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683E3" w14:textId="77777777" w:rsidR="002F1A50" w:rsidRPr="0094041C" w:rsidRDefault="002F1A50" w:rsidP="002F1A50">
      <w:pPr>
        <w:jc w:val="center"/>
        <w:rPr>
          <w:rFonts w:ascii="Times New Roman" w:hAnsi="Times New Roman" w:cs="Times New Roman"/>
          <w:sz w:val="24"/>
          <w:szCs w:val="24"/>
        </w:rPr>
      </w:pPr>
    </w:p>
    <w:p w14:paraId="3E1F7B70" w14:textId="77777777" w:rsidR="002F1A50" w:rsidRPr="0094041C" w:rsidRDefault="002F1A50" w:rsidP="002F1A50">
      <w:pPr>
        <w:jc w:val="center"/>
        <w:rPr>
          <w:rFonts w:ascii="Times New Roman" w:hAnsi="Times New Roman" w:cs="Times New Roman"/>
          <w:sz w:val="24"/>
          <w:szCs w:val="24"/>
        </w:rPr>
      </w:pPr>
    </w:p>
    <w:p w14:paraId="6C0766D3" w14:textId="77777777" w:rsidR="002F1A50" w:rsidRPr="0094041C" w:rsidRDefault="002F1A50" w:rsidP="002F1A50">
      <w:pPr>
        <w:jc w:val="center"/>
        <w:rPr>
          <w:rFonts w:ascii="Times New Roman" w:hAnsi="Times New Roman" w:cs="Times New Roman"/>
          <w:b/>
          <w:bCs/>
          <w:sz w:val="24"/>
          <w:szCs w:val="24"/>
        </w:rPr>
      </w:pPr>
    </w:p>
    <w:p w14:paraId="7AEBAB33" w14:textId="77777777" w:rsidR="002F1A50" w:rsidRPr="0094041C" w:rsidRDefault="002F1A50" w:rsidP="002F1A50">
      <w:pPr>
        <w:jc w:val="center"/>
        <w:rPr>
          <w:rFonts w:ascii="Times New Roman" w:hAnsi="Times New Roman" w:cs="Times New Roman"/>
          <w:b/>
          <w:bCs/>
          <w:sz w:val="24"/>
          <w:szCs w:val="24"/>
        </w:rPr>
      </w:pPr>
    </w:p>
    <w:p w14:paraId="0586D6C7" w14:textId="77777777" w:rsidR="00D07297" w:rsidRPr="0094041C" w:rsidRDefault="00D07297" w:rsidP="002F1A50">
      <w:pPr>
        <w:jc w:val="center"/>
        <w:rPr>
          <w:rFonts w:ascii="Times New Roman" w:hAnsi="Times New Roman" w:cs="Times New Roman"/>
          <w:b/>
          <w:bCs/>
          <w:sz w:val="24"/>
          <w:szCs w:val="24"/>
        </w:rPr>
      </w:pPr>
      <w:r w:rsidRPr="0094041C">
        <w:rPr>
          <w:rFonts w:ascii="Times New Roman" w:hAnsi="Times New Roman" w:cs="Times New Roman"/>
          <w:b/>
          <w:bCs/>
          <w:sz w:val="24"/>
          <w:szCs w:val="24"/>
        </w:rPr>
        <w:t xml:space="preserve">Informe Paralelo de la Sociedad Civil </w:t>
      </w:r>
    </w:p>
    <w:p w14:paraId="0F42B264" w14:textId="77777777" w:rsidR="00D07297" w:rsidRPr="0094041C" w:rsidRDefault="00D07297" w:rsidP="002F1A50">
      <w:pPr>
        <w:jc w:val="center"/>
        <w:rPr>
          <w:rFonts w:ascii="Times New Roman" w:hAnsi="Times New Roman" w:cs="Times New Roman"/>
          <w:b/>
          <w:bCs/>
          <w:sz w:val="24"/>
          <w:szCs w:val="24"/>
        </w:rPr>
      </w:pPr>
    </w:p>
    <w:p w14:paraId="545C6393" w14:textId="77777777" w:rsidR="00D07297" w:rsidRPr="0094041C" w:rsidRDefault="00D07297" w:rsidP="002F1A50">
      <w:pPr>
        <w:jc w:val="center"/>
        <w:rPr>
          <w:rFonts w:ascii="Times New Roman" w:hAnsi="Times New Roman" w:cs="Times New Roman"/>
          <w:sz w:val="24"/>
          <w:szCs w:val="24"/>
        </w:rPr>
      </w:pPr>
      <w:r w:rsidRPr="0094041C">
        <w:rPr>
          <w:rFonts w:ascii="Times New Roman" w:hAnsi="Times New Roman" w:cs="Times New Roman"/>
          <w:sz w:val="24"/>
          <w:szCs w:val="24"/>
        </w:rPr>
        <w:t xml:space="preserve">ante </w:t>
      </w:r>
    </w:p>
    <w:p w14:paraId="63B8A756" w14:textId="77777777" w:rsidR="00D07297" w:rsidRPr="0094041C" w:rsidRDefault="00D07297" w:rsidP="00D07297">
      <w:pPr>
        <w:jc w:val="center"/>
        <w:rPr>
          <w:rFonts w:ascii="Times New Roman" w:hAnsi="Times New Roman" w:cs="Times New Roman"/>
          <w:b/>
          <w:bCs/>
          <w:sz w:val="24"/>
          <w:szCs w:val="24"/>
        </w:rPr>
      </w:pPr>
      <w:r w:rsidRPr="0094041C">
        <w:rPr>
          <w:rFonts w:ascii="Times New Roman" w:hAnsi="Times New Roman" w:cs="Times New Roman"/>
          <w:b/>
          <w:bCs/>
          <w:sz w:val="24"/>
          <w:szCs w:val="24"/>
        </w:rPr>
        <w:t xml:space="preserve">El Comité para la Eliminación de la Discriminación Racial </w:t>
      </w:r>
    </w:p>
    <w:p w14:paraId="16A8A943" w14:textId="77777777" w:rsidR="00D07297" w:rsidRPr="0094041C" w:rsidRDefault="00D07297" w:rsidP="00D07297">
      <w:pPr>
        <w:jc w:val="center"/>
        <w:rPr>
          <w:rFonts w:ascii="Times New Roman" w:hAnsi="Times New Roman" w:cs="Times New Roman"/>
          <w:b/>
          <w:bCs/>
          <w:sz w:val="24"/>
          <w:szCs w:val="24"/>
        </w:rPr>
      </w:pPr>
    </w:p>
    <w:p w14:paraId="7EB2144E" w14:textId="54F21F1C" w:rsidR="00D07297" w:rsidRPr="0094041C" w:rsidRDefault="00D07297" w:rsidP="00D07297">
      <w:pPr>
        <w:jc w:val="center"/>
        <w:rPr>
          <w:rFonts w:ascii="Times New Roman" w:hAnsi="Times New Roman" w:cs="Times New Roman"/>
          <w:sz w:val="24"/>
          <w:szCs w:val="24"/>
        </w:rPr>
      </w:pPr>
      <w:r w:rsidRPr="0094041C">
        <w:rPr>
          <w:rFonts w:ascii="Times New Roman" w:hAnsi="Times New Roman" w:cs="Times New Roman"/>
          <w:sz w:val="24"/>
          <w:szCs w:val="24"/>
        </w:rPr>
        <w:t xml:space="preserve">sobre </w:t>
      </w:r>
    </w:p>
    <w:p w14:paraId="3946D6BE" w14:textId="77777777" w:rsidR="00D07297" w:rsidRPr="0094041C" w:rsidRDefault="00D07297" w:rsidP="00D07297">
      <w:pPr>
        <w:jc w:val="center"/>
        <w:rPr>
          <w:rFonts w:ascii="Times New Roman" w:hAnsi="Times New Roman" w:cs="Times New Roman"/>
          <w:sz w:val="24"/>
          <w:szCs w:val="24"/>
        </w:rPr>
      </w:pPr>
    </w:p>
    <w:p w14:paraId="5F3A55D2" w14:textId="228AC76D" w:rsidR="002F1A50" w:rsidRPr="0094041C" w:rsidRDefault="00D07297" w:rsidP="00D07297">
      <w:pPr>
        <w:jc w:val="center"/>
        <w:rPr>
          <w:rFonts w:ascii="Times New Roman" w:hAnsi="Times New Roman" w:cs="Times New Roman"/>
          <w:b/>
          <w:bCs/>
          <w:sz w:val="24"/>
          <w:szCs w:val="24"/>
        </w:rPr>
      </w:pPr>
      <w:r w:rsidRPr="0094041C">
        <w:rPr>
          <w:rFonts w:ascii="Times New Roman" w:hAnsi="Times New Roman" w:cs="Times New Roman"/>
          <w:b/>
          <w:bCs/>
          <w:sz w:val="24"/>
          <w:szCs w:val="24"/>
        </w:rPr>
        <w:t>La situación de los Pueblos Indígenas en Panamá</w:t>
      </w:r>
    </w:p>
    <w:p w14:paraId="4F4FA5E0" w14:textId="77777777" w:rsidR="002F1A50" w:rsidRPr="0094041C" w:rsidRDefault="002F1A50" w:rsidP="002F1A50">
      <w:pPr>
        <w:jc w:val="center"/>
        <w:rPr>
          <w:rFonts w:ascii="Times New Roman" w:hAnsi="Times New Roman" w:cs="Times New Roman"/>
          <w:sz w:val="24"/>
          <w:szCs w:val="24"/>
        </w:rPr>
      </w:pPr>
    </w:p>
    <w:p w14:paraId="0BAACC6F" w14:textId="77777777" w:rsidR="00D07297" w:rsidRPr="0094041C" w:rsidRDefault="00D07297" w:rsidP="002F1A50">
      <w:pPr>
        <w:jc w:val="center"/>
        <w:rPr>
          <w:rFonts w:ascii="Times New Roman" w:hAnsi="Times New Roman" w:cs="Times New Roman"/>
          <w:sz w:val="24"/>
          <w:szCs w:val="24"/>
        </w:rPr>
      </w:pPr>
    </w:p>
    <w:p w14:paraId="43D46668" w14:textId="77777777" w:rsidR="00D07297" w:rsidRPr="0094041C" w:rsidRDefault="00D07297" w:rsidP="002F1A50">
      <w:pPr>
        <w:jc w:val="center"/>
        <w:rPr>
          <w:rFonts w:ascii="Times New Roman" w:hAnsi="Times New Roman" w:cs="Times New Roman"/>
          <w:sz w:val="24"/>
          <w:szCs w:val="24"/>
        </w:rPr>
      </w:pPr>
    </w:p>
    <w:p w14:paraId="5616A4AD" w14:textId="77777777" w:rsidR="00D07297" w:rsidRPr="0094041C" w:rsidRDefault="00D07297" w:rsidP="002F1A50">
      <w:pPr>
        <w:jc w:val="center"/>
        <w:rPr>
          <w:rFonts w:ascii="Times New Roman" w:hAnsi="Times New Roman" w:cs="Times New Roman"/>
          <w:sz w:val="24"/>
          <w:szCs w:val="24"/>
        </w:rPr>
      </w:pPr>
    </w:p>
    <w:p w14:paraId="672804D4" w14:textId="77777777" w:rsidR="00D07297" w:rsidRPr="0094041C" w:rsidRDefault="00D07297" w:rsidP="002F1A50">
      <w:pPr>
        <w:jc w:val="center"/>
        <w:rPr>
          <w:rFonts w:ascii="Times New Roman" w:hAnsi="Times New Roman" w:cs="Times New Roman"/>
          <w:sz w:val="24"/>
          <w:szCs w:val="24"/>
        </w:rPr>
      </w:pPr>
    </w:p>
    <w:p w14:paraId="21A3114C" w14:textId="77777777" w:rsidR="00D07297" w:rsidRPr="0094041C" w:rsidRDefault="00D07297" w:rsidP="002F1A50">
      <w:pPr>
        <w:jc w:val="center"/>
        <w:rPr>
          <w:rFonts w:ascii="Times New Roman" w:hAnsi="Times New Roman" w:cs="Times New Roman"/>
          <w:sz w:val="24"/>
          <w:szCs w:val="24"/>
        </w:rPr>
      </w:pPr>
    </w:p>
    <w:p w14:paraId="06535DAE" w14:textId="77777777" w:rsidR="00D07297" w:rsidRPr="0094041C" w:rsidRDefault="00D07297" w:rsidP="002F1A50">
      <w:pPr>
        <w:jc w:val="center"/>
        <w:rPr>
          <w:rFonts w:ascii="Times New Roman" w:hAnsi="Times New Roman" w:cs="Times New Roman"/>
          <w:sz w:val="24"/>
          <w:szCs w:val="24"/>
        </w:rPr>
      </w:pPr>
    </w:p>
    <w:p w14:paraId="1E9EB18B" w14:textId="77777777" w:rsidR="00D07297" w:rsidRPr="0094041C" w:rsidRDefault="00D07297" w:rsidP="002F1A50">
      <w:pPr>
        <w:jc w:val="center"/>
        <w:rPr>
          <w:rFonts w:ascii="Times New Roman" w:hAnsi="Times New Roman" w:cs="Times New Roman"/>
          <w:sz w:val="24"/>
          <w:szCs w:val="24"/>
        </w:rPr>
      </w:pPr>
    </w:p>
    <w:p w14:paraId="36E335C3" w14:textId="77777777" w:rsidR="00D07297" w:rsidRPr="0094041C" w:rsidRDefault="00D07297" w:rsidP="002F1A50">
      <w:pPr>
        <w:jc w:val="center"/>
        <w:rPr>
          <w:rFonts w:ascii="Times New Roman" w:hAnsi="Times New Roman" w:cs="Times New Roman"/>
          <w:sz w:val="24"/>
          <w:szCs w:val="24"/>
        </w:rPr>
      </w:pPr>
    </w:p>
    <w:p w14:paraId="188D184D" w14:textId="77777777" w:rsidR="00D07297" w:rsidRPr="0094041C" w:rsidRDefault="00D07297" w:rsidP="002F1A50">
      <w:pPr>
        <w:jc w:val="center"/>
        <w:rPr>
          <w:rFonts w:ascii="Times New Roman" w:hAnsi="Times New Roman" w:cs="Times New Roman"/>
          <w:sz w:val="24"/>
          <w:szCs w:val="24"/>
        </w:rPr>
      </w:pPr>
    </w:p>
    <w:p w14:paraId="6734BA88" w14:textId="77777777" w:rsidR="00D07297" w:rsidRPr="0094041C" w:rsidRDefault="00D07297" w:rsidP="002F1A50">
      <w:pPr>
        <w:jc w:val="center"/>
        <w:rPr>
          <w:rFonts w:ascii="Times New Roman" w:hAnsi="Times New Roman" w:cs="Times New Roman"/>
          <w:sz w:val="24"/>
          <w:szCs w:val="24"/>
        </w:rPr>
      </w:pPr>
    </w:p>
    <w:p w14:paraId="23321E13" w14:textId="77777777" w:rsidR="00D07297" w:rsidRPr="0094041C" w:rsidRDefault="00D07297" w:rsidP="002F1A50">
      <w:pPr>
        <w:jc w:val="center"/>
        <w:rPr>
          <w:rFonts w:ascii="Times New Roman" w:hAnsi="Times New Roman" w:cs="Times New Roman"/>
          <w:sz w:val="24"/>
          <w:szCs w:val="24"/>
        </w:rPr>
      </w:pPr>
    </w:p>
    <w:p w14:paraId="45E8A3CD" w14:textId="77777777" w:rsidR="00D07297" w:rsidRPr="0094041C" w:rsidRDefault="00D07297" w:rsidP="002F1A50">
      <w:pPr>
        <w:jc w:val="center"/>
        <w:rPr>
          <w:rFonts w:ascii="Times New Roman" w:hAnsi="Times New Roman" w:cs="Times New Roman"/>
          <w:sz w:val="24"/>
          <w:szCs w:val="24"/>
        </w:rPr>
      </w:pPr>
    </w:p>
    <w:p w14:paraId="35667367" w14:textId="77777777" w:rsidR="00D07297" w:rsidRPr="0094041C" w:rsidRDefault="00D07297" w:rsidP="002F1A50">
      <w:pPr>
        <w:jc w:val="center"/>
        <w:rPr>
          <w:rFonts w:ascii="Times New Roman" w:hAnsi="Times New Roman" w:cs="Times New Roman"/>
          <w:sz w:val="24"/>
          <w:szCs w:val="24"/>
        </w:rPr>
      </w:pPr>
    </w:p>
    <w:p w14:paraId="054DFCDC" w14:textId="77777777" w:rsidR="00D07297" w:rsidRPr="0094041C" w:rsidRDefault="00D07297" w:rsidP="002F1A50">
      <w:pPr>
        <w:jc w:val="center"/>
        <w:rPr>
          <w:rFonts w:ascii="Times New Roman" w:hAnsi="Times New Roman" w:cs="Times New Roman"/>
          <w:sz w:val="24"/>
          <w:szCs w:val="24"/>
        </w:rPr>
      </w:pPr>
    </w:p>
    <w:p w14:paraId="018A6AAE" w14:textId="77777777" w:rsidR="00D07297" w:rsidRPr="0094041C" w:rsidRDefault="00D07297" w:rsidP="002F1A50">
      <w:pPr>
        <w:jc w:val="center"/>
        <w:rPr>
          <w:rFonts w:ascii="Times New Roman" w:hAnsi="Times New Roman" w:cs="Times New Roman"/>
          <w:sz w:val="24"/>
          <w:szCs w:val="24"/>
        </w:rPr>
      </w:pPr>
    </w:p>
    <w:p w14:paraId="37CF3FBF" w14:textId="77777777" w:rsidR="00D07297" w:rsidRPr="0094041C" w:rsidRDefault="00D07297" w:rsidP="002F1A50">
      <w:pPr>
        <w:jc w:val="center"/>
        <w:rPr>
          <w:rFonts w:ascii="Times New Roman" w:hAnsi="Times New Roman" w:cs="Times New Roman"/>
          <w:sz w:val="24"/>
          <w:szCs w:val="24"/>
        </w:rPr>
      </w:pPr>
    </w:p>
    <w:p w14:paraId="74359BCD" w14:textId="77777777" w:rsidR="00D07297" w:rsidRPr="0094041C" w:rsidRDefault="00D07297" w:rsidP="002F1A50">
      <w:pPr>
        <w:jc w:val="center"/>
        <w:rPr>
          <w:rFonts w:ascii="Times New Roman" w:hAnsi="Times New Roman" w:cs="Times New Roman"/>
          <w:sz w:val="24"/>
          <w:szCs w:val="24"/>
        </w:rPr>
      </w:pPr>
    </w:p>
    <w:p w14:paraId="6CEFB440" w14:textId="77777777" w:rsidR="00D07297" w:rsidRPr="0094041C" w:rsidRDefault="00D07297" w:rsidP="002F1A50">
      <w:pPr>
        <w:jc w:val="center"/>
        <w:rPr>
          <w:rFonts w:ascii="Times New Roman" w:hAnsi="Times New Roman" w:cs="Times New Roman"/>
          <w:sz w:val="24"/>
          <w:szCs w:val="24"/>
        </w:rPr>
      </w:pPr>
    </w:p>
    <w:p w14:paraId="1848894D" w14:textId="77777777" w:rsidR="00D07297" w:rsidRPr="0094041C" w:rsidRDefault="00D07297" w:rsidP="002F1A50">
      <w:pPr>
        <w:jc w:val="center"/>
        <w:rPr>
          <w:rFonts w:ascii="Times New Roman" w:hAnsi="Times New Roman" w:cs="Times New Roman"/>
          <w:sz w:val="24"/>
          <w:szCs w:val="24"/>
        </w:rPr>
      </w:pPr>
    </w:p>
    <w:p w14:paraId="08AECFB9" w14:textId="77777777" w:rsidR="00D07297" w:rsidRPr="0094041C" w:rsidRDefault="00D07297" w:rsidP="00D07297">
      <w:pPr>
        <w:jc w:val="both"/>
        <w:rPr>
          <w:rFonts w:ascii="Times New Roman" w:hAnsi="Times New Roman" w:cs="Times New Roman"/>
          <w:sz w:val="24"/>
          <w:szCs w:val="24"/>
        </w:rPr>
      </w:pPr>
    </w:p>
    <w:p w14:paraId="73562914" w14:textId="77777777" w:rsidR="00D07297" w:rsidRPr="0094041C" w:rsidRDefault="00D07297" w:rsidP="00FB659F">
      <w:pPr>
        <w:ind w:firstLine="708"/>
        <w:jc w:val="both"/>
        <w:rPr>
          <w:rFonts w:ascii="Times New Roman" w:hAnsi="Times New Roman" w:cs="Times New Roman"/>
          <w:b/>
          <w:bCs/>
          <w:sz w:val="24"/>
          <w:szCs w:val="24"/>
        </w:rPr>
      </w:pPr>
      <w:r w:rsidRPr="0094041C">
        <w:rPr>
          <w:rFonts w:ascii="Times New Roman" w:hAnsi="Times New Roman" w:cs="Times New Roman"/>
          <w:b/>
          <w:bCs/>
          <w:sz w:val="24"/>
          <w:szCs w:val="24"/>
        </w:rPr>
        <w:t>Introducción</w:t>
      </w:r>
    </w:p>
    <w:p w14:paraId="4B72E85D" w14:textId="44589ED3" w:rsidR="00D07297" w:rsidRPr="0094041C" w:rsidRDefault="00D07297" w:rsidP="00FB659F">
      <w:pPr>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Este informe alternativo es presentado por organizaciones de la sociedad civil panameña con el fin de ofrecer al Comité para la Eliminación de la Discriminación Racial (CERD) información complementaria al informe estatal de Panamá. Se documentan violaciones de derechos humanos y patrones de discriminación racial que afectan de manera sistemática a los pueblos </w:t>
      </w:r>
      <w:r w:rsidR="00CF368C">
        <w:rPr>
          <w:rFonts w:ascii="Times New Roman" w:hAnsi="Times New Roman" w:cs="Times New Roman"/>
          <w:sz w:val="24"/>
          <w:szCs w:val="24"/>
        </w:rPr>
        <w:t>indígenas</w:t>
      </w:r>
      <w:r w:rsidRPr="0094041C">
        <w:rPr>
          <w:rFonts w:ascii="Times New Roman" w:hAnsi="Times New Roman" w:cs="Times New Roman"/>
          <w:sz w:val="24"/>
          <w:szCs w:val="24"/>
        </w:rPr>
        <w:t xml:space="preserve">, vinculando dichas situaciones con obligaciones concretas </w:t>
      </w:r>
      <w:r w:rsidR="00FB659F" w:rsidRPr="0094041C">
        <w:rPr>
          <w:rFonts w:ascii="Times New Roman" w:hAnsi="Times New Roman" w:cs="Times New Roman"/>
          <w:sz w:val="24"/>
          <w:szCs w:val="24"/>
        </w:rPr>
        <w:t>según</w:t>
      </w:r>
      <w:r w:rsidRPr="0094041C">
        <w:rPr>
          <w:rFonts w:ascii="Times New Roman" w:hAnsi="Times New Roman" w:cs="Times New Roman"/>
          <w:sz w:val="24"/>
          <w:szCs w:val="24"/>
        </w:rPr>
        <w:t xml:space="preserve"> la Convención Internacional sobre la Eliminación de todas las Formas de Discriminación Racial (ICERD). </w:t>
      </w:r>
      <w:r w:rsidR="00FC00B6" w:rsidRPr="0094041C">
        <w:rPr>
          <w:rFonts w:ascii="Times New Roman" w:hAnsi="Times New Roman" w:cs="Times New Roman"/>
          <w:sz w:val="24"/>
          <w:szCs w:val="24"/>
        </w:rPr>
        <w:t xml:space="preserve">Además de estas obligaciones, queremos </w:t>
      </w:r>
      <w:r w:rsidR="007A608B" w:rsidRPr="0094041C">
        <w:rPr>
          <w:rFonts w:ascii="Times New Roman" w:hAnsi="Times New Roman" w:cs="Times New Roman"/>
          <w:sz w:val="24"/>
          <w:szCs w:val="24"/>
        </w:rPr>
        <w:t xml:space="preserve">destacar que </w:t>
      </w:r>
      <w:r w:rsidR="00FC00B6" w:rsidRPr="0094041C">
        <w:rPr>
          <w:rFonts w:ascii="Times New Roman" w:hAnsi="Times New Roman" w:cs="Times New Roman"/>
          <w:sz w:val="24"/>
          <w:szCs w:val="24"/>
        </w:rPr>
        <w:t xml:space="preserve">diversos órganos de tratados de las Naciones Unidas han emitido observaciones finales respecto a la situación de los pueblos indígenas en Panamá. Estas recomendaciones reflejan preocupaciones persistentes en torno a discriminación estructural, acceso desigual a derechos y falta de mecanismos efectivos de consulta y reparación. </w:t>
      </w:r>
      <w:r w:rsidR="007A608B" w:rsidRPr="0094041C">
        <w:rPr>
          <w:rFonts w:ascii="Times New Roman" w:hAnsi="Times New Roman" w:cs="Times New Roman"/>
          <w:sz w:val="24"/>
          <w:szCs w:val="24"/>
        </w:rPr>
        <w:t>Por ende, el presente</w:t>
      </w:r>
      <w:r w:rsidRPr="0094041C">
        <w:rPr>
          <w:rFonts w:ascii="Times New Roman" w:hAnsi="Times New Roman" w:cs="Times New Roman"/>
          <w:sz w:val="24"/>
          <w:szCs w:val="24"/>
        </w:rPr>
        <w:t xml:space="preserve"> informe </w:t>
      </w:r>
      <w:r w:rsidR="007A608B" w:rsidRPr="0094041C">
        <w:rPr>
          <w:rFonts w:ascii="Times New Roman" w:hAnsi="Times New Roman" w:cs="Times New Roman"/>
          <w:sz w:val="24"/>
          <w:szCs w:val="24"/>
        </w:rPr>
        <w:t xml:space="preserve">no </w:t>
      </w:r>
      <w:r w:rsidRPr="0094041C">
        <w:rPr>
          <w:rFonts w:ascii="Times New Roman" w:hAnsi="Times New Roman" w:cs="Times New Roman"/>
          <w:sz w:val="24"/>
          <w:szCs w:val="24"/>
        </w:rPr>
        <w:t xml:space="preserve">se sustenta </w:t>
      </w:r>
      <w:r w:rsidR="007A608B" w:rsidRPr="0094041C">
        <w:rPr>
          <w:rFonts w:ascii="Times New Roman" w:hAnsi="Times New Roman" w:cs="Times New Roman"/>
          <w:sz w:val="24"/>
          <w:szCs w:val="24"/>
        </w:rPr>
        <w:t xml:space="preserve">solamente en las obligaciones estatales establecidas por la ICERD, sino también </w:t>
      </w:r>
      <w:r w:rsidRPr="0094041C">
        <w:rPr>
          <w:rFonts w:ascii="Times New Roman" w:hAnsi="Times New Roman" w:cs="Times New Roman"/>
          <w:sz w:val="24"/>
          <w:szCs w:val="24"/>
        </w:rPr>
        <w:t>en recomendaciones recientes de otros órganos de tratados de la ONU y en informes de la OIT y la OACNUDH.</w:t>
      </w:r>
    </w:p>
    <w:p w14:paraId="1323C88B" w14:textId="77777777" w:rsidR="004F16E2" w:rsidRPr="0094041C" w:rsidRDefault="004F16E2" w:rsidP="00D07297">
      <w:pPr>
        <w:jc w:val="both"/>
        <w:rPr>
          <w:rFonts w:ascii="Times New Roman" w:hAnsi="Times New Roman" w:cs="Times New Roman"/>
          <w:sz w:val="24"/>
          <w:szCs w:val="24"/>
        </w:rPr>
      </w:pPr>
    </w:p>
    <w:p w14:paraId="760184D1" w14:textId="499387D1" w:rsidR="004F16E2" w:rsidRPr="0094041C" w:rsidRDefault="004F16E2" w:rsidP="00DC1EBC">
      <w:pPr>
        <w:ind w:firstLine="708"/>
        <w:jc w:val="both"/>
        <w:rPr>
          <w:rFonts w:ascii="Times New Roman" w:hAnsi="Times New Roman" w:cs="Times New Roman"/>
          <w:b/>
          <w:bCs/>
          <w:sz w:val="24"/>
          <w:szCs w:val="24"/>
        </w:rPr>
      </w:pPr>
      <w:r w:rsidRPr="0094041C">
        <w:rPr>
          <w:rFonts w:ascii="Times New Roman" w:hAnsi="Times New Roman" w:cs="Times New Roman"/>
          <w:b/>
          <w:bCs/>
          <w:sz w:val="24"/>
          <w:szCs w:val="24"/>
        </w:rPr>
        <w:t>Contexto de los pueblos indígenas de Panamá</w:t>
      </w:r>
    </w:p>
    <w:p w14:paraId="02776A51" w14:textId="30E393A3" w:rsidR="008D318E" w:rsidRPr="0094041C" w:rsidRDefault="00831AA5" w:rsidP="004E7F09">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La historia de </w:t>
      </w:r>
      <w:r w:rsidR="008D318E" w:rsidRPr="0094041C">
        <w:rPr>
          <w:rFonts w:ascii="Times New Roman" w:hAnsi="Times New Roman" w:cs="Times New Roman"/>
          <w:sz w:val="24"/>
          <w:szCs w:val="24"/>
        </w:rPr>
        <w:t xml:space="preserve">los pueblos </w:t>
      </w:r>
      <w:r w:rsidR="00CF368C">
        <w:rPr>
          <w:rFonts w:ascii="Times New Roman" w:hAnsi="Times New Roman" w:cs="Times New Roman"/>
          <w:sz w:val="24"/>
          <w:szCs w:val="24"/>
        </w:rPr>
        <w:t>indígenas</w:t>
      </w:r>
      <w:r w:rsidRPr="0094041C">
        <w:rPr>
          <w:rFonts w:ascii="Times New Roman" w:hAnsi="Times New Roman" w:cs="Times New Roman"/>
          <w:sz w:val="24"/>
          <w:szCs w:val="24"/>
        </w:rPr>
        <w:t xml:space="preserve"> en Panamá es rica y compleja, marcada por siglos de resistencia, adaptación y reivindicación de derechos. </w:t>
      </w:r>
    </w:p>
    <w:p w14:paraId="297A3D37" w14:textId="68918492" w:rsidR="008D318E" w:rsidRPr="0094041C" w:rsidRDefault="00FB659F" w:rsidP="004E7F09">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En la actualidad</w:t>
      </w:r>
      <w:r w:rsidR="00831AA5" w:rsidRPr="0094041C">
        <w:rPr>
          <w:rFonts w:ascii="Times New Roman" w:hAnsi="Times New Roman" w:cs="Times New Roman"/>
          <w:sz w:val="24"/>
          <w:szCs w:val="24"/>
        </w:rPr>
        <w:t xml:space="preserve">, </w:t>
      </w:r>
      <w:r w:rsidR="008D318E" w:rsidRPr="0094041C">
        <w:rPr>
          <w:rFonts w:ascii="Times New Roman" w:hAnsi="Times New Roman" w:cs="Times New Roman"/>
          <w:sz w:val="24"/>
          <w:szCs w:val="24"/>
        </w:rPr>
        <w:t xml:space="preserve">el Estado panameño reconoce legalmente a siete pueblos indígenas, con identidades culturales, lingüísticas y formas de organización propias, agrupados en seis comarcas y otros territorios fuera del régimen comarcal. Estas comarcas – Guna Yala, Emberá Wounaan, </w:t>
      </w:r>
      <w:r w:rsidR="00F41FD7" w:rsidRPr="0094041C">
        <w:rPr>
          <w:rFonts w:ascii="Times New Roman" w:hAnsi="Times New Roman" w:cs="Times New Roman"/>
          <w:sz w:val="24"/>
          <w:szCs w:val="24"/>
        </w:rPr>
        <w:t>G</w:t>
      </w:r>
      <w:r w:rsidR="008D318E" w:rsidRPr="0094041C">
        <w:rPr>
          <w:rFonts w:ascii="Times New Roman" w:hAnsi="Times New Roman" w:cs="Times New Roman"/>
          <w:sz w:val="24"/>
          <w:szCs w:val="24"/>
        </w:rPr>
        <w:t xml:space="preserve">una de </w:t>
      </w:r>
      <w:r w:rsidR="00F41FD7" w:rsidRPr="0094041C">
        <w:rPr>
          <w:rFonts w:ascii="Times New Roman" w:hAnsi="Times New Roman" w:cs="Times New Roman"/>
          <w:sz w:val="24"/>
          <w:szCs w:val="24"/>
        </w:rPr>
        <w:t>Madugandí</w:t>
      </w:r>
      <w:r w:rsidR="008D318E" w:rsidRPr="0094041C">
        <w:rPr>
          <w:rFonts w:ascii="Times New Roman" w:hAnsi="Times New Roman" w:cs="Times New Roman"/>
          <w:sz w:val="24"/>
          <w:szCs w:val="24"/>
        </w:rPr>
        <w:t xml:space="preserve">, </w:t>
      </w:r>
      <w:r w:rsidR="00F41FD7" w:rsidRPr="0094041C">
        <w:rPr>
          <w:rFonts w:ascii="Times New Roman" w:hAnsi="Times New Roman" w:cs="Times New Roman"/>
          <w:sz w:val="24"/>
          <w:szCs w:val="24"/>
        </w:rPr>
        <w:t>G</w:t>
      </w:r>
      <w:r w:rsidR="008D318E" w:rsidRPr="0094041C">
        <w:rPr>
          <w:rFonts w:ascii="Times New Roman" w:hAnsi="Times New Roman" w:cs="Times New Roman"/>
          <w:sz w:val="24"/>
          <w:szCs w:val="24"/>
        </w:rPr>
        <w:t xml:space="preserve">una de </w:t>
      </w:r>
      <w:r w:rsidR="00F41FD7" w:rsidRPr="0094041C">
        <w:rPr>
          <w:rFonts w:ascii="Times New Roman" w:hAnsi="Times New Roman" w:cs="Times New Roman"/>
          <w:sz w:val="24"/>
          <w:szCs w:val="24"/>
        </w:rPr>
        <w:t>Wargandí</w:t>
      </w:r>
      <w:r w:rsidR="008D318E" w:rsidRPr="0094041C">
        <w:rPr>
          <w:rFonts w:ascii="Times New Roman" w:hAnsi="Times New Roman" w:cs="Times New Roman"/>
          <w:sz w:val="24"/>
          <w:szCs w:val="24"/>
        </w:rPr>
        <w:t xml:space="preserve">, Ngäbe-Buglé, Naso </w:t>
      </w:r>
      <w:proofErr w:type="spellStart"/>
      <w:r w:rsidR="008D318E" w:rsidRPr="0094041C">
        <w:rPr>
          <w:rFonts w:ascii="Times New Roman" w:hAnsi="Times New Roman" w:cs="Times New Roman"/>
          <w:sz w:val="24"/>
          <w:szCs w:val="24"/>
        </w:rPr>
        <w:t>Tjër</w:t>
      </w:r>
      <w:proofErr w:type="spellEnd"/>
      <w:r w:rsidR="008D318E" w:rsidRPr="0094041C">
        <w:rPr>
          <w:rFonts w:ascii="Times New Roman" w:hAnsi="Times New Roman" w:cs="Times New Roman"/>
          <w:sz w:val="24"/>
          <w:szCs w:val="24"/>
        </w:rPr>
        <w:t xml:space="preserve"> Di – han sido producto de largas luchas por el reconocimiento del derecho ancestral al territorio. </w:t>
      </w:r>
    </w:p>
    <w:p w14:paraId="4FCE33CE" w14:textId="7AA9A953" w:rsidR="004F16E2" w:rsidRPr="0094041C" w:rsidRDefault="004F16E2" w:rsidP="004E7F09">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Según el </w:t>
      </w:r>
      <w:r w:rsidR="00FB659F" w:rsidRPr="0094041C">
        <w:rPr>
          <w:rFonts w:ascii="Times New Roman" w:hAnsi="Times New Roman" w:cs="Times New Roman"/>
          <w:sz w:val="24"/>
          <w:szCs w:val="24"/>
        </w:rPr>
        <w:t>c</w:t>
      </w:r>
      <w:r w:rsidRPr="0094041C">
        <w:rPr>
          <w:rFonts w:ascii="Times New Roman" w:hAnsi="Times New Roman" w:cs="Times New Roman"/>
          <w:sz w:val="24"/>
          <w:szCs w:val="24"/>
        </w:rPr>
        <w:t xml:space="preserve">enso 2023, la población indígena asciende a 698,114 personas, equivalente al 17.2 % de la población total del país (aproximadamente 4.06 millones de habitantes). </w:t>
      </w:r>
      <w:r w:rsidR="00FB659F" w:rsidRPr="0094041C">
        <w:rPr>
          <w:rFonts w:ascii="Times New Roman" w:hAnsi="Times New Roman" w:cs="Times New Roman"/>
          <w:sz w:val="24"/>
          <w:szCs w:val="24"/>
        </w:rPr>
        <w:t xml:space="preserve">Comparado con el censo realizado en el año 2010, que contabilizaba un total de 417,559 habitantes perteneciendo a uno de los pueblos originarios, la población </w:t>
      </w:r>
      <w:r w:rsidR="00DD045D" w:rsidRPr="0094041C">
        <w:rPr>
          <w:rFonts w:ascii="Times New Roman" w:hAnsi="Times New Roman" w:cs="Times New Roman"/>
          <w:sz w:val="24"/>
          <w:szCs w:val="24"/>
        </w:rPr>
        <w:t xml:space="preserve">indígena </w:t>
      </w:r>
      <w:r w:rsidR="00FB659F" w:rsidRPr="0094041C">
        <w:rPr>
          <w:rFonts w:ascii="Times New Roman" w:hAnsi="Times New Roman" w:cs="Times New Roman"/>
          <w:sz w:val="24"/>
          <w:szCs w:val="24"/>
        </w:rPr>
        <w:t>se incrementó en un 67.2 por ciento</w:t>
      </w:r>
      <w:r w:rsidR="00FB659F" w:rsidRPr="0094041C">
        <w:rPr>
          <w:rStyle w:val="FootnoteReference"/>
          <w:rFonts w:ascii="Times New Roman" w:hAnsi="Times New Roman" w:cs="Times New Roman"/>
          <w:sz w:val="24"/>
          <w:szCs w:val="24"/>
        </w:rPr>
        <w:footnoteReference w:id="1"/>
      </w:r>
      <w:r w:rsidR="00FB659F" w:rsidRPr="0094041C">
        <w:rPr>
          <w:rFonts w:ascii="Times New Roman" w:hAnsi="Times New Roman" w:cs="Times New Roman"/>
          <w:sz w:val="24"/>
          <w:szCs w:val="24"/>
        </w:rPr>
        <w:t>.</w:t>
      </w:r>
    </w:p>
    <w:p w14:paraId="137FED0C" w14:textId="6B24B047" w:rsidR="00DD045D" w:rsidRPr="0094041C" w:rsidRDefault="00DD045D" w:rsidP="004E7F09">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A pesar de este fuerte incremento poblacional, las inversiones estatales en servicios públicos no han ido aumentando proporcionalmente. Al contrario, el Estado panameño </w:t>
      </w:r>
      <w:r w:rsidR="00161EB8" w:rsidRPr="0094041C">
        <w:rPr>
          <w:rFonts w:ascii="Times New Roman" w:hAnsi="Times New Roman" w:cs="Times New Roman"/>
          <w:sz w:val="24"/>
          <w:szCs w:val="24"/>
        </w:rPr>
        <w:t>mantiene</w:t>
      </w:r>
      <w:r w:rsidRPr="0094041C">
        <w:rPr>
          <w:rFonts w:ascii="Times New Roman" w:hAnsi="Times New Roman" w:cs="Times New Roman"/>
          <w:sz w:val="24"/>
          <w:szCs w:val="24"/>
        </w:rPr>
        <w:t xml:space="preserve"> una política de abandono generalizado que hace que </w:t>
      </w:r>
      <w:r w:rsidR="00161EB8" w:rsidRPr="0094041C">
        <w:rPr>
          <w:rFonts w:ascii="Times New Roman" w:hAnsi="Times New Roman" w:cs="Times New Roman"/>
          <w:sz w:val="24"/>
          <w:szCs w:val="24"/>
        </w:rPr>
        <w:t>l</w:t>
      </w:r>
      <w:r w:rsidRPr="0094041C">
        <w:rPr>
          <w:rFonts w:ascii="Times New Roman" w:hAnsi="Times New Roman" w:cs="Times New Roman"/>
          <w:sz w:val="24"/>
          <w:szCs w:val="24"/>
        </w:rPr>
        <w:t>a población indígena siga enfrentando barreras significativas en múltiples dimensiones.</w:t>
      </w:r>
      <w:r w:rsidR="00161EB8" w:rsidRPr="0094041C">
        <w:rPr>
          <w:rFonts w:ascii="Times New Roman" w:hAnsi="Times New Roman" w:cs="Times New Roman"/>
          <w:sz w:val="24"/>
          <w:szCs w:val="24"/>
        </w:rPr>
        <w:t xml:space="preserve"> Según el Fondo de Población de las Naciones Unidas, </w:t>
      </w:r>
      <w:r w:rsidR="00161EB8" w:rsidRPr="0094041C">
        <w:rPr>
          <w:rFonts w:ascii="Times New Roman" w:hAnsi="Times New Roman" w:cs="Times New Roman"/>
          <w:i/>
          <w:iCs/>
          <w:sz w:val="24"/>
          <w:szCs w:val="24"/>
        </w:rPr>
        <w:t xml:space="preserve">„Los principales hallazgos revelan una significativa brecha de acceso a servicios esenciales, tales como salud, educación y empleo, entre las poblaciones indígenas y no indígenas (…) que refleja desigualdades </w:t>
      </w:r>
      <w:r w:rsidR="00161EB8" w:rsidRPr="0094041C">
        <w:rPr>
          <w:rFonts w:ascii="Times New Roman" w:hAnsi="Times New Roman" w:cs="Times New Roman"/>
          <w:i/>
          <w:iCs/>
          <w:sz w:val="24"/>
          <w:szCs w:val="24"/>
        </w:rPr>
        <w:lastRenderedPageBreak/>
        <w:t>estructurales profundas. Además, los pueblos indígenas siguen estando marginados en el acceso a recursos básicos y servicios públicos, lo que exige políticas públicas más inclusivas y enfocadas en estas poblaciones vulnerables.”</w:t>
      </w:r>
      <w:r w:rsidR="00161EB8" w:rsidRPr="0094041C">
        <w:rPr>
          <w:rStyle w:val="FootnoteReference"/>
          <w:rFonts w:ascii="Times New Roman" w:hAnsi="Times New Roman" w:cs="Times New Roman"/>
          <w:i/>
          <w:iCs/>
          <w:sz w:val="24"/>
          <w:szCs w:val="24"/>
        </w:rPr>
        <w:footnoteReference w:id="2"/>
      </w:r>
    </w:p>
    <w:p w14:paraId="3BE854F1" w14:textId="2D52AB9B" w:rsidR="00161EB8" w:rsidRPr="0094041C" w:rsidRDefault="00E03DB2" w:rsidP="004E7F09">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En este contexto marcado por </w:t>
      </w:r>
      <w:r w:rsidR="00681348" w:rsidRPr="0094041C">
        <w:rPr>
          <w:rFonts w:ascii="Times New Roman" w:hAnsi="Times New Roman" w:cs="Times New Roman"/>
          <w:sz w:val="24"/>
          <w:szCs w:val="24"/>
        </w:rPr>
        <w:t xml:space="preserve">fuertes </w:t>
      </w:r>
      <w:r w:rsidRPr="0094041C">
        <w:rPr>
          <w:rFonts w:ascii="Times New Roman" w:hAnsi="Times New Roman" w:cs="Times New Roman"/>
          <w:sz w:val="24"/>
          <w:szCs w:val="24"/>
        </w:rPr>
        <w:t>desigualdades estructurales, entre 2023 y 2025</w:t>
      </w:r>
      <w:r w:rsidR="004E7F09" w:rsidRPr="0094041C">
        <w:rPr>
          <w:rFonts w:ascii="Times New Roman" w:hAnsi="Times New Roman" w:cs="Times New Roman"/>
          <w:sz w:val="24"/>
          <w:szCs w:val="24"/>
        </w:rPr>
        <w:t>,</w:t>
      </w:r>
      <w:r w:rsidRPr="0094041C">
        <w:rPr>
          <w:rFonts w:ascii="Times New Roman" w:hAnsi="Times New Roman" w:cs="Times New Roman"/>
          <w:sz w:val="24"/>
          <w:szCs w:val="24"/>
        </w:rPr>
        <w:t xml:space="preserve"> </w:t>
      </w:r>
      <w:r w:rsidR="00681348" w:rsidRPr="0094041C">
        <w:rPr>
          <w:rFonts w:ascii="Times New Roman" w:hAnsi="Times New Roman" w:cs="Times New Roman"/>
          <w:sz w:val="24"/>
          <w:szCs w:val="24"/>
        </w:rPr>
        <w:t xml:space="preserve">Panamá vivió </w:t>
      </w:r>
      <w:r w:rsidRPr="0094041C">
        <w:rPr>
          <w:rFonts w:ascii="Times New Roman" w:hAnsi="Times New Roman" w:cs="Times New Roman"/>
          <w:sz w:val="24"/>
          <w:szCs w:val="24"/>
        </w:rPr>
        <w:t xml:space="preserve">un ciclo de intensas </w:t>
      </w:r>
      <w:r w:rsidR="00681348" w:rsidRPr="0094041C">
        <w:rPr>
          <w:rFonts w:ascii="Times New Roman" w:hAnsi="Times New Roman" w:cs="Times New Roman"/>
          <w:sz w:val="24"/>
          <w:szCs w:val="24"/>
        </w:rPr>
        <w:t>manifestaciones</w:t>
      </w:r>
      <w:r w:rsidRPr="0094041C">
        <w:rPr>
          <w:rFonts w:ascii="Times New Roman" w:hAnsi="Times New Roman" w:cs="Times New Roman"/>
          <w:sz w:val="24"/>
          <w:szCs w:val="24"/>
        </w:rPr>
        <w:t xml:space="preserve"> sociales en rechazo a concesiones mineras</w:t>
      </w:r>
      <w:r w:rsidR="00681348" w:rsidRPr="0094041C">
        <w:rPr>
          <w:rStyle w:val="FootnoteReference"/>
          <w:rFonts w:ascii="Times New Roman" w:hAnsi="Times New Roman" w:cs="Times New Roman"/>
          <w:sz w:val="24"/>
          <w:szCs w:val="24"/>
        </w:rPr>
        <w:footnoteReference w:id="3"/>
      </w:r>
      <w:r w:rsidRPr="0094041C">
        <w:rPr>
          <w:rFonts w:ascii="Times New Roman" w:hAnsi="Times New Roman" w:cs="Times New Roman"/>
          <w:sz w:val="24"/>
          <w:szCs w:val="24"/>
        </w:rPr>
        <w:t>, proyectos hidroeléctricos y medidas económicas percibidas como injustas</w:t>
      </w:r>
      <w:r w:rsidR="00D83447" w:rsidRPr="0094041C">
        <w:rPr>
          <w:rStyle w:val="FootnoteReference"/>
          <w:rFonts w:ascii="Times New Roman" w:hAnsi="Times New Roman" w:cs="Times New Roman"/>
          <w:sz w:val="24"/>
          <w:szCs w:val="24"/>
        </w:rPr>
        <w:footnoteReference w:id="4"/>
      </w:r>
      <w:r w:rsidRPr="0094041C">
        <w:rPr>
          <w:rFonts w:ascii="Times New Roman" w:hAnsi="Times New Roman" w:cs="Times New Roman"/>
          <w:sz w:val="24"/>
          <w:szCs w:val="24"/>
        </w:rPr>
        <w:t xml:space="preserve">. </w:t>
      </w:r>
      <w:r w:rsidR="004E7F09" w:rsidRPr="0094041C">
        <w:rPr>
          <w:rFonts w:ascii="Times New Roman" w:hAnsi="Times New Roman" w:cs="Times New Roman"/>
          <w:sz w:val="24"/>
          <w:szCs w:val="24"/>
        </w:rPr>
        <w:t>L</w:t>
      </w:r>
      <w:r w:rsidRPr="0094041C">
        <w:rPr>
          <w:rFonts w:ascii="Times New Roman" w:hAnsi="Times New Roman" w:cs="Times New Roman"/>
          <w:sz w:val="24"/>
          <w:szCs w:val="24"/>
        </w:rPr>
        <w:t>as comunidades indígenas</w:t>
      </w:r>
      <w:r w:rsidR="00D83447" w:rsidRPr="0094041C">
        <w:rPr>
          <w:rFonts w:ascii="Times New Roman" w:hAnsi="Times New Roman" w:cs="Times New Roman"/>
          <w:sz w:val="24"/>
          <w:szCs w:val="24"/>
        </w:rPr>
        <w:t xml:space="preserve">, </w:t>
      </w:r>
      <w:r w:rsidRPr="0094041C">
        <w:rPr>
          <w:rFonts w:ascii="Times New Roman" w:hAnsi="Times New Roman" w:cs="Times New Roman"/>
          <w:sz w:val="24"/>
          <w:szCs w:val="24"/>
        </w:rPr>
        <w:t>particularmente Ngäbe-Buglé, Emberá y Guna</w:t>
      </w:r>
      <w:r w:rsidR="00D83447" w:rsidRPr="0094041C">
        <w:rPr>
          <w:rFonts w:ascii="Times New Roman" w:hAnsi="Times New Roman" w:cs="Times New Roman"/>
          <w:sz w:val="24"/>
          <w:szCs w:val="24"/>
        </w:rPr>
        <w:t xml:space="preserve">, </w:t>
      </w:r>
      <w:r w:rsidRPr="0094041C">
        <w:rPr>
          <w:rFonts w:ascii="Times New Roman" w:hAnsi="Times New Roman" w:cs="Times New Roman"/>
          <w:sz w:val="24"/>
          <w:szCs w:val="24"/>
        </w:rPr>
        <w:t>estuvieron en la primera línea de la movilización y fueron objeto de un uso excesivo de la fuerza por parte de la Policía Nacional y el SENAFRONT. Organismos internacionales y nacionales documentaron detenciones arbitrarias, represión con armas letales, uso indiscriminado de gases lacrimógenos, suspensión de comunicaciones y casos de violencia sexual contra manifestantes</w:t>
      </w:r>
      <w:r w:rsidR="006F5690" w:rsidRPr="0094041C">
        <w:rPr>
          <w:rStyle w:val="FootnoteReference"/>
          <w:rFonts w:ascii="Times New Roman" w:hAnsi="Times New Roman" w:cs="Times New Roman"/>
          <w:sz w:val="24"/>
          <w:szCs w:val="24"/>
        </w:rPr>
        <w:footnoteReference w:id="5"/>
      </w:r>
      <w:r w:rsidRPr="0094041C">
        <w:rPr>
          <w:rFonts w:ascii="Times New Roman" w:hAnsi="Times New Roman" w:cs="Times New Roman"/>
          <w:sz w:val="24"/>
          <w:szCs w:val="24"/>
        </w:rPr>
        <w:t xml:space="preserve">, </w:t>
      </w:r>
      <w:r w:rsidR="007B5B77" w:rsidRPr="0094041C">
        <w:rPr>
          <w:rFonts w:ascii="Times New Roman" w:hAnsi="Times New Roman" w:cs="Times New Roman"/>
          <w:sz w:val="24"/>
          <w:szCs w:val="24"/>
        </w:rPr>
        <w:t>configurando</w:t>
      </w:r>
      <w:r w:rsidRPr="0094041C">
        <w:rPr>
          <w:rFonts w:ascii="Times New Roman" w:hAnsi="Times New Roman" w:cs="Times New Roman"/>
          <w:sz w:val="24"/>
          <w:szCs w:val="24"/>
        </w:rPr>
        <w:t xml:space="preserve"> violaciones graves a los derechos a la vida, a la integridad personal, a la libertad de expresión y a la protesta pacífica, protegidos por la ICERD y otros tratados internacionales de derechos humanos.</w:t>
      </w:r>
    </w:p>
    <w:p w14:paraId="3BA1363A" w14:textId="6A8985D2" w:rsidR="007B5B77" w:rsidRPr="0094041C" w:rsidRDefault="008C392D" w:rsidP="007B5B77">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El panorama descrito refleja un patrón de discriminación racial persistente que compromete el cumplimiento de las obligaciones internacionales asumidas por el Estado panameño en virtud de la </w:t>
      </w:r>
      <w:r w:rsidR="007B5B77" w:rsidRPr="0094041C">
        <w:rPr>
          <w:rFonts w:ascii="Times New Roman" w:hAnsi="Times New Roman" w:cs="Times New Roman"/>
          <w:sz w:val="24"/>
          <w:szCs w:val="24"/>
        </w:rPr>
        <w:t>ICERD</w:t>
      </w:r>
      <w:r w:rsidRPr="0094041C">
        <w:rPr>
          <w:rFonts w:ascii="Times New Roman" w:hAnsi="Times New Roman" w:cs="Times New Roman"/>
          <w:sz w:val="24"/>
          <w:szCs w:val="24"/>
        </w:rPr>
        <w:t xml:space="preserve">. En las secciones subsiguientes, queremos destacar las principales preocupaciones de la sociedad civil </w:t>
      </w:r>
      <w:r w:rsidR="007B5B77" w:rsidRPr="0094041C">
        <w:rPr>
          <w:rFonts w:ascii="Times New Roman" w:hAnsi="Times New Roman" w:cs="Times New Roman"/>
          <w:sz w:val="24"/>
          <w:szCs w:val="24"/>
        </w:rPr>
        <w:t>respecto a las vulneraciones de derechos de los pueblos indígenas en Panamá.</w:t>
      </w:r>
    </w:p>
    <w:p w14:paraId="7825A7C7" w14:textId="77777777" w:rsidR="007B5B77" w:rsidRPr="0094041C" w:rsidRDefault="007B5B77" w:rsidP="007B5B77">
      <w:pPr>
        <w:spacing w:line="240" w:lineRule="auto"/>
        <w:ind w:firstLine="708"/>
        <w:jc w:val="both"/>
        <w:rPr>
          <w:rFonts w:ascii="Times New Roman" w:hAnsi="Times New Roman" w:cs="Times New Roman"/>
          <w:sz w:val="24"/>
          <w:szCs w:val="24"/>
        </w:rPr>
      </w:pPr>
    </w:p>
    <w:p w14:paraId="45641A26" w14:textId="036A1FBB" w:rsidR="007B5B77" w:rsidRPr="0094041C" w:rsidRDefault="00DC1EBC" w:rsidP="00DC1EBC">
      <w:p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ab/>
        <w:t>Principales preocupaciones</w:t>
      </w:r>
    </w:p>
    <w:p w14:paraId="0C8A20C6" w14:textId="77777777" w:rsidR="007B5B77" w:rsidRPr="0094041C" w:rsidRDefault="007B5B77" w:rsidP="007B5B77">
      <w:pPr>
        <w:spacing w:line="240" w:lineRule="auto"/>
        <w:ind w:firstLine="708"/>
        <w:jc w:val="both"/>
        <w:rPr>
          <w:rFonts w:ascii="Times New Roman" w:hAnsi="Times New Roman" w:cs="Times New Roman"/>
          <w:b/>
          <w:bCs/>
          <w:sz w:val="24"/>
          <w:szCs w:val="24"/>
        </w:rPr>
      </w:pPr>
    </w:p>
    <w:p w14:paraId="1F5077F5" w14:textId="77777777" w:rsidR="00964C55" w:rsidRPr="0094041C" w:rsidRDefault="007B5B77" w:rsidP="00964C55">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Uso excesivo de la fuerza y criminalización de la protesta social</w:t>
      </w:r>
    </w:p>
    <w:p w14:paraId="23E85974" w14:textId="77777777" w:rsidR="002C679C" w:rsidRPr="0094041C" w:rsidRDefault="00964C55" w:rsidP="00964C55">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Desde la sociedad civil, manifestamos nuestra profunda preocupación ante la represión violenta y la criminalización de las protestas sociales legitimas surgidas en los últimos años</w:t>
      </w:r>
      <w:r w:rsidR="00D33328" w:rsidRPr="0094041C">
        <w:rPr>
          <w:rFonts w:ascii="Times New Roman" w:hAnsi="Times New Roman" w:cs="Times New Roman"/>
          <w:sz w:val="24"/>
          <w:szCs w:val="24"/>
        </w:rPr>
        <w:t>, en contravención a los artículos 2,</w:t>
      </w:r>
      <w:r w:rsidRPr="0094041C">
        <w:rPr>
          <w:rFonts w:ascii="Times New Roman" w:hAnsi="Times New Roman" w:cs="Times New Roman"/>
          <w:sz w:val="24"/>
          <w:szCs w:val="24"/>
        </w:rPr>
        <w:t xml:space="preserve"> </w:t>
      </w:r>
      <w:r w:rsidR="00D33328" w:rsidRPr="0094041C">
        <w:rPr>
          <w:rFonts w:ascii="Times New Roman" w:hAnsi="Times New Roman" w:cs="Times New Roman"/>
          <w:sz w:val="24"/>
          <w:szCs w:val="24"/>
        </w:rPr>
        <w:t xml:space="preserve">5 y 6 de la ICERD. Estas medidas desproporcionadas incluyen allanamientos sin orden judicial, uso indiscriminado de gases lacrimógenos, disparos contra manifestantes y detenciones arbitrarias. </w:t>
      </w:r>
    </w:p>
    <w:p w14:paraId="2F5863E8" w14:textId="520295C4" w:rsidR="002F1A2E" w:rsidRPr="0094041C" w:rsidRDefault="002C679C" w:rsidP="00964C55">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lastRenderedPageBreak/>
        <w:t>Existen numerosos casos documentados de violencia policial</w:t>
      </w:r>
      <w:r w:rsidR="00E612EC" w:rsidRPr="0094041C">
        <w:rPr>
          <w:rFonts w:ascii="Times New Roman" w:hAnsi="Times New Roman" w:cs="Times New Roman"/>
          <w:sz w:val="24"/>
          <w:szCs w:val="24"/>
        </w:rPr>
        <w:t>,</w:t>
      </w:r>
      <w:r w:rsidR="006F5690" w:rsidRPr="0094041C">
        <w:rPr>
          <w:rFonts w:ascii="Times New Roman" w:hAnsi="Times New Roman" w:cs="Times New Roman"/>
          <w:sz w:val="24"/>
          <w:szCs w:val="24"/>
        </w:rPr>
        <w:t xml:space="preserve"> </w:t>
      </w:r>
      <w:r w:rsidR="00E612EC" w:rsidRPr="0094041C">
        <w:rPr>
          <w:rFonts w:ascii="Times New Roman" w:hAnsi="Times New Roman" w:cs="Times New Roman"/>
          <w:sz w:val="24"/>
          <w:szCs w:val="24"/>
        </w:rPr>
        <w:t>represión indiscriminada de las protestas</w:t>
      </w:r>
      <w:r w:rsidRPr="0094041C">
        <w:rPr>
          <w:rFonts w:ascii="Times New Roman" w:hAnsi="Times New Roman" w:cs="Times New Roman"/>
          <w:sz w:val="24"/>
          <w:szCs w:val="24"/>
        </w:rPr>
        <w:t xml:space="preserve"> y vulneraciones de los derechos de los manifestantes</w:t>
      </w:r>
      <w:r w:rsidRPr="0094041C">
        <w:rPr>
          <w:rStyle w:val="FootnoteReference"/>
          <w:rFonts w:ascii="Times New Roman" w:hAnsi="Times New Roman" w:cs="Times New Roman"/>
          <w:sz w:val="24"/>
          <w:szCs w:val="24"/>
        </w:rPr>
        <w:footnoteReference w:id="6"/>
      </w:r>
      <w:r w:rsidRPr="0094041C">
        <w:rPr>
          <w:rFonts w:ascii="Times New Roman" w:hAnsi="Times New Roman" w:cs="Times New Roman"/>
          <w:sz w:val="24"/>
          <w:szCs w:val="24"/>
        </w:rPr>
        <w:t xml:space="preserve">. </w:t>
      </w:r>
    </w:p>
    <w:p w14:paraId="74B7834B" w14:textId="55A4319B" w:rsidR="00E612EC" w:rsidRPr="0094041C" w:rsidRDefault="002C679C" w:rsidP="001610E2">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Por ejemplo, en mayo 2025, comunidades de la Comarca Ngäbe-Buglé en Trinidad, El Piro, Ojo de Agua, </w:t>
      </w:r>
      <w:proofErr w:type="spellStart"/>
      <w:r w:rsidRPr="0094041C">
        <w:rPr>
          <w:rFonts w:ascii="Times New Roman" w:hAnsi="Times New Roman" w:cs="Times New Roman"/>
          <w:sz w:val="24"/>
          <w:szCs w:val="24"/>
        </w:rPr>
        <w:t>Viguí</w:t>
      </w:r>
      <w:proofErr w:type="spellEnd"/>
      <w:r w:rsidRPr="0094041C">
        <w:rPr>
          <w:rFonts w:ascii="Times New Roman" w:hAnsi="Times New Roman" w:cs="Times New Roman"/>
          <w:sz w:val="24"/>
          <w:szCs w:val="24"/>
        </w:rPr>
        <w:t>,</w:t>
      </w:r>
      <w:r w:rsidR="0044356D" w:rsidRPr="0094041C">
        <w:rPr>
          <w:rFonts w:ascii="Times New Roman" w:hAnsi="Times New Roman" w:cs="Times New Roman"/>
          <w:sz w:val="24"/>
          <w:szCs w:val="24"/>
        </w:rPr>
        <w:t xml:space="preserve"> </w:t>
      </w:r>
      <w:r w:rsidRPr="0094041C">
        <w:rPr>
          <w:rFonts w:ascii="Times New Roman" w:hAnsi="Times New Roman" w:cs="Times New Roman"/>
          <w:sz w:val="24"/>
          <w:szCs w:val="24"/>
        </w:rPr>
        <w:t xml:space="preserve">Tolé, El Prado, San Félix y </w:t>
      </w:r>
      <w:proofErr w:type="spellStart"/>
      <w:r w:rsidRPr="0094041C">
        <w:rPr>
          <w:rFonts w:ascii="Times New Roman" w:hAnsi="Times New Roman" w:cs="Times New Roman"/>
          <w:sz w:val="24"/>
          <w:szCs w:val="24"/>
        </w:rPr>
        <w:t>Horconcito</w:t>
      </w:r>
      <w:proofErr w:type="spellEnd"/>
      <w:r w:rsidRPr="0094041C">
        <w:rPr>
          <w:rFonts w:ascii="Times New Roman" w:hAnsi="Times New Roman" w:cs="Times New Roman"/>
          <w:sz w:val="24"/>
          <w:szCs w:val="24"/>
        </w:rPr>
        <w:t xml:space="preserve"> denunciaron incursiones de SENAFRONT y Policía Nacional. Reportaron uso de gas lacrimógeno en hogares, escuelas </w:t>
      </w:r>
      <w:proofErr w:type="spellStart"/>
      <w:r w:rsidRPr="0094041C">
        <w:rPr>
          <w:rFonts w:ascii="Times New Roman" w:hAnsi="Times New Roman" w:cs="Times New Roman"/>
          <w:sz w:val="24"/>
          <w:szCs w:val="24"/>
        </w:rPr>
        <w:t>y</w:t>
      </w:r>
      <w:proofErr w:type="spellEnd"/>
      <w:r w:rsidRPr="0094041C">
        <w:rPr>
          <w:rFonts w:ascii="Times New Roman" w:hAnsi="Times New Roman" w:cs="Times New Roman"/>
          <w:sz w:val="24"/>
          <w:szCs w:val="24"/>
        </w:rPr>
        <w:t xml:space="preserve"> iglesias, así como detenciones arbitrarias, disparos de postas de goma, persecución casa por casa, y heridos graves que requirieron cirugías y cuidados intensivos.</w:t>
      </w:r>
      <w:r w:rsidR="001610E2" w:rsidRPr="0094041C">
        <w:rPr>
          <w:rFonts w:ascii="Times New Roman" w:hAnsi="Times New Roman" w:cs="Times New Roman"/>
          <w:sz w:val="24"/>
          <w:szCs w:val="24"/>
        </w:rPr>
        <w:t xml:space="preserve"> </w:t>
      </w:r>
    </w:p>
    <w:p w14:paraId="68AA52D1" w14:textId="77777777" w:rsidR="00E612EC" w:rsidRPr="0094041C" w:rsidRDefault="002F1A2E" w:rsidP="001610E2">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En </w:t>
      </w:r>
      <w:proofErr w:type="spellStart"/>
      <w:r w:rsidRPr="0094041C">
        <w:rPr>
          <w:rFonts w:ascii="Times New Roman" w:hAnsi="Times New Roman" w:cs="Times New Roman"/>
          <w:sz w:val="24"/>
          <w:szCs w:val="24"/>
        </w:rPr>
        <w:t>Arimae</w:t>
      </w:r>
      <w:proofErr w:type="spellEnd"/>
      <w:r w:rsidRPr="0094041C">
        <w:rPr>
          <w:rFonts w:ascii="Times New Roman" w:hAnsi="Times New Roman" w:cs="Times New Roman"/>
          <w:sz w:val="24"/>
          <w:szCs w:val="24"/>
        </w:rPr>
        <w:t>, en la provincia de Darién, agentes fronterizos lanzaron gas lacrimógeno y balas de goma contra manifestantes que bloqueaban una vía, dejando atrás heridos graves y una vivienda incendiada.</w:t>
      </w:r>
      <w:r w:rsidRPr="0094041C">
        <w:rPr>
          <w:rStyle w:val="FootnoteReference"/>
          <w:rFonts w:ascii="Times New Roman" w:hAnsi="Times New Roman" w:cs="Times New Roman"/>
          <w:sz w:val="24"/>
          <w:szCs w:val="24"/>
        </w:rPr>
        <w:footnoteReference w:id="7"/>
      </w:r>
      <w:r w:rsidRPr="0094041C">
        <w:rPr>
          <w:rFonts w:ascii="Times New Roman" w:hAnsi="Times New Roman" w:cs="Times New Roman"/>
          <w:sz w:val="24"/>
          <w:szCs w:val="24"/>
        </w:rPr>
        <w:t xml:space="preserve"> </w:t>
      </w:r>
    </w:p>
    <w:p w14:paraId="2135FF17" w14:textId="3F34D3B3" w:rsidR="001610E2" w:rsidRPr="0094041C" w:rsidRDefault="001610E2" w:rsidP="001610E2">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Durante una incursión de las fuerzas de seguridad en la comunidad de Pueblo Nuevo, provincia de Bocas del Toro, una menor de 1 año y 8 meses falleció tras inhalar gases lacrimógenos, según reportes de la organización Aldeas Infantiles SOS</w:t>
      </w:r>
      <w:r w:rsidR="00E612EC" w:rsidRPr="0094041C">
        <w:rPr>
          <w:rStyle w:val="FootnoteReference"/>
          <w:rFonts w:ascii="Times New Roman" w:hAnsi="Times New Roman" w:cs="Times New Roman"/>
          <w:sz w:val="24"/>
          <w:szCs w:val="24"/>
        </w:rPr>
        <w:footnoteReference w:id="8"/>
      </w:r>
      <w:r w:rsidRPr="0094041C">
        <w:rPr>
          <w:rFonts w:ascii="Times New Roman" w:hAnsi="Times New Roman" w:cs="Times New Roman"/>
          <w:sz w:val="24"/>
          <w:szCs w:val="24"/>
        </w:rPr>
        <w:t>. En este caso, la Defensoría del Pueblo de Panamá presentó una denuncia formal ante el Ministerio Público.</w:t>
      </w:r>
    </w:p>
    <w:p w14:paraId="210CB3CF" w14:textId="5AE8720A" w:rsidR="00A44805" w:rsidRPr="0094041C" w:rsidRDefault="00E612EC" w:rsidP="00A44805">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En junio de 2025, el Gobierno decretó la suspensión de garantías constitucionales en la provincia de Bocas del Toro tras más de un mes de protestas masivas en las que participaron de manera destacada comunidades indígenas. Esta medida restringió la libertad de movimiento, de reunión y de expresión, e incluyó además el bloqueo de comunicaciones telefónicas e internet en varias localidades. Tales acciones impidieron a los manifestantes comunicarse con familiares, abogados y organizaciones de derechos humanos, dejando a comunidades enteras en una situación de aislamiento y extrema vulnerabilidad. La suspensión de derechos no solo neutralizó la protesta pacífica, sino que también abrió la puerta a detenciones arbitrarias, uso excesivo de la fuerza y otras violaciones graves, en abierta contravención de los artículos 5 y 6 de la ICERD, que garantizan la participación política sin discriminación y el acceso a recursos efectivos frente a abusos estatales</w:t>
      </w:r>
      <w:r w:rsidRPr="0094041C">
        <w:rPr>
          <w:rStyle w:val="FootnoteReference"/>
          <w:rFonts w:ascii="Times New Roman" w:hAnsi="Times New Roman" w:cs="Times New Roman"/>
          <w:sz w:val="24"/>
          <w:szCs w:val="24"/>
        </w:rPr>
        <w:footnoteReference w:id="9"/>
      </w:r>
      <w:r w:rsidRPr="0094041C">
        <w:rPr>
          <w:rFonts w:ascii="Times New Roman" w:hAnsi="Times New Roman" w:cs="Times New Roman"/>
          <w:sz w:val="24"/>
          <w:szCs w:val="24"/>
        </w:rPr>
        <w:t>.</w:t>
      </w:r>
    </w:p>
    <w:p w14:paraId="57C975FB" w14:textId="473C3976" w:rsidR="00EC1F1F" w:rsidRPr="0094041C" w:rsidRDefault="00EC1F1F" w:rsidP="00A44805">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Cabe destacar que este tipo de medidas represivas violentas e indiscriminadas no fueron tomadas durante las protestas de 2023 en la Ciudad de Panamá u otros centros urbanos del país, sino solamente en comunidades con una población mayoritariamente indígena y afrodescendiente.</w:t>
      </w:r>
    </w:p>
    <w:p w14:paraId="5E811CC5" w14:textId="77777777" w:rsidR="00EC1F1F" w:rsidRPr="0094041C" w:rsidRDefault="00EC1F1F" w:rsidP="00A44805">
      <w:pPr>
        <w:spacing w:line="240" w:lineRule="auto"/>
        <w:ind w:firstLine="708"/>
        <w:jc w:val="both"/>
        <w:rPr>
          <w:rFonts w:ascii="Times New Roman" w:hAnsi="Times New Roman" w:cs="Times New Roman"/>
          <w:sz w:val="24"/>
          <w:szCs w:val="24"/>
        </w:rPr>
      </w:pPr>
    </w:p>
    <w:p w14:paraId="4DA79477" w14:textId="4832DB85" w:rsidR="00A44805" w:rsidRPr="0094041C" w:rsidRDefault="00A44805" w:rsidP="00A44805">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lastRenderedPageBreak/>
        <w:t>Discurso oficial que legitima la violencia estatal</w:t>
      </w:r>
    </w:p>
    <w:p w14:paraId="7522E15F" w14:textId="0ED6977C" w:rsidR="00A44805" w:rsidRPr="0094041C" w:rsidRDefault="00A44805" w:rsidP="00A44805">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Durante las protestas de 2023-2025, el presidente José Raúl </w:t>
      </w:r>
      <w:proofErr w:type="spellStart"/>
      <w:r w:rsidRPr="0094041C">
        <w:rPr>
          <w:rFonts w:ascii="Times New Roman" w:hAnsi="Times New Roman" w:cs="Times New Roman"/>
          <w:sz w:val="24"/>
          <w:szCs w:val="24"/>
        </w:rPr>
        <w:t>Mulino</w:t>
      </w:r>
      <w:proofErr w:type="spellEnd"/>
      <w:r w:rsidRPr="0094041C">
        <w:rPr>
          <w:rFonts w:ascii="Times New Roman" w:hAnsi="Times New Roman" w:cs="Times New Roman"/>
          <w:sz w:val="24"/>
          <w:szCs w:val="24"/>
        </w:rPr>
        <w:t xml:space="preserve"> profirió declaraciones públicas que resultan estigmatizantes y discriminatorias contra los manifestantes, en su mayoría comunidades indígenas. Al referirse a ellos como </w:t>
      </w:r>
      <w:r w:rsidRPr="0094041C">
        <w:rPr>
          <w:rFonts w:ascii="Times New Roman" w:hAnsi="Times New Roman" w:cs="Times New Roman"/>
          <w:i/>
          <w:iCs/>
          <w:sz w:val="24"/>
          <w:szCs w:val="24"/>
        </w:rPr>
        <w:t>“cinco gatos que no pagan planillas”</w:t>
      </w:r>
      <w:r w:rsidRPr="0094041C">
        <w:rPr>
          <w:rFonts w:ascii="Times New Roman" w:hAnsi="Times New Roman" w:cs="Times New Roman"/>
          <w:sz w:val="24"/>
          <w:szCs w:val="24"/>
        </w:rPr>
        <w:t xml:space="preserve"> o calificando a dirigentes sindicales de </w:t>
      </w:r>
      <w:r w:rsidRPr="0094041C">
        <w:rPr>
          <w:rFonts w:ascii="Times New Roman" w:hAnsi="Times New Roman" w:cs="Times New Roman"/>
          <w:i/>
          <w:iCs/>
          <w:sz w:val="24"/>
          <w:szCs w:val="24"/>
        </w:rPr>
        <w:t>“mafiosos”</w:t>
      </w:r>
      <w:r w:rsidRPr="0094041C">
        <w:rPr>
          <w:rFonts w:ascii="Times New Roman" w:hAnsi="Times New Roman" w:cs="Times New Roman"/>
          <w:sz w:val="24"/>
          <w:szCs w:val="24"/>
        </w:rPr>
        <w:t xml:space="preserve">, el mandatario no solo minimizó y criminalizó la protesta social, sino que también contribuyó a un discurso oficial que legitima la violencia estatal y el desprecio hacia poblaciones históricamente marginadas. Asimismo, su negativa a entablar diálogo fue denunciada por la Coordinadora Nacional de Pueblos Indígenas (COONAPIP) como una actitud </w:t>
      </w:r>
      <w:r w:rsidRPr="0094041C">
        <w:rPr>
          <w:rFonts w:ascii="Times New Roman" w:hAnsi="Times New Roman" w:cs="Times New Roman"/>
          <w:i/>
          <w:iCs/>
          <w:sz w:val="24"/>
          <w:szCs w:val="24"/>
        </w:rPr>
        <w:t>“dictatorial, prepotente y avasalladora”</w:t>
      </w:r>
      <w:r w:rsidRPr="0094041C">
        <w:rPr>
          <w:rFonts w:ascii="Times New Roman" w:hAnsi="Times New Roman" w:cs="Times New Roman"/>
          <w:sz w:val="24"/>
          <w:szCs w:val="24"/>
        </w:rPr>
        <w:t>. Tales expresiones contravienen el artículo 4 de la ICERD, que obliga a los Estados a condenar toda propaganda y expresión basada en ideas de superioridad racial o que incite a la discriminación, así como el artículo 5(c), que protege el derecho a participar en la vida política y en manifestaciones públicas sin discriminación.</w:t>
      </w:r>
    </w:p>
    <w:p w14:paraId="638BD164" w14:textId="77777777" w:rsidR="00CB1405" w:rsidRPr="0094041C" w:rsidRDefault="00CB1405" w:rsidP="00A44805">
      <w:pPr>
        <w:spacing w:line="240" w:lineRule="auto"/>
        <w:ind w:firstLine="708"/>
        <w:jc w:val="both"/>
        <w:rPr>
          <w:rFonts w:ascii="Times New Roman" w:hAnsi="Times New Roman" w:cs="Times New Roman"/>
          <w:sz w:val="24"/>
          <w:szCs w:val="24"/>
        </w:rPr>
      </w:pPr>
    </w:p>
    <w:p w14:paraId="677B151E" w14:textId="662EA610" w:rsidR="00CB1405" w:rsidRPr="0094041C" w:rsidRDefault="00952A90" w:rsidP="00952A90">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Derechos territoriales y Consulta Previa</w:t>
      </w:r>
      <w:r w:rsidR="00626773">
        <w:rPr>
          <w:rFonts w:ascii="Times New Roman" w:hAnsi="Times New Roman" w:cs="Times New Roman"/>
          <w:b/>
          <w:bCs/>
          <w:sz w:val="24"/>
          <w:szCs w:val="24"/>
        </w:rPr>
        <w:t>,</w:t>
      </w:r>
      <w:r w:rsidRPr="0094041C">
        <w:rPr>
          <w:rFonts w:ascii="Times New Roman" w:hAnsi="Times New Roman" w:cs="Times New Roman"/>
          <w:b/>
          <w:bCs/>
          <w:sz w:val="24"/>
          <w:szCs w:val="24"/>
        </w:rPr>
        <w:t xml:space="preserve"> Libre </w:t>
      </w:r>
      <w:r w:rsidR="00626773">
        <w:rPr>
          <w:rFonts w:ascii="Times New Roman" w:hAnsi="Times New Roman" w:cs="Times New Roman"/>
          <w:b/>
          <w:bCs/>
          <w:sz w:val="24"/>
          <w:szCs w:val="24"/>
        </w:rPr>
        <w:t xml:space="preserve">e </w:t>
      </w:r>
      <w:r w:rsidRPr="0094041C">
        <w:rPr>
          <w:rFonts w:ascii="Times New Roman" w:hAnsi="Times New Roman" w:cs="Times New Roman"/>
          <w:b/>
          <w:bCs/>
          <w:sz w:val="24"/>
          <w:szCs w:val="24"/>
        </w:rPr>
        <w:t>Informada</w:t>
      </w:r>
    </w:p>
    <w:p w14:paraId="22C6654A" w14:textId="47B93111" w:rsidR="00952A90" w:rsidRPr="0094041C" w:rsidRDefault="00952A90" w:rsidP="00952A90">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El derecho de los pueblos indígenas a sus tierras, territorios y recursos naturales continúa siendo uno de los ámbitos donde el Estado panameño incumple de manera reiterada sus obligaciones bajo la ICERD, particularmente los artículos 2(2) y 5(d)(v), relativos al reconocimiento y ejercicio igualitario de derechos de propiedad y de disfrute de los recursos naturales. A pesar de que Panamá ha reconocido seis comarcas y ha creado en 2020 la comarca Naso </w:t>
      </w:r>
      <w:proofErr w:type="spellStart"/>
      <w:r w:rsidRPr="0094041C">
        <w:rPr>
          <w:rFonts w:ascii="Times New Roman" w:hAnsi="Times New Roman" w:cs="Times New Roman"/>
          <w:sz w:val="24"/>
          <w:szCs w:val="24"/>
        </w:rPr>
        <w:t>Tjër</w:t>
      </w:r>
      <w:proofErr w:type="spellEnd"/>
      <w:r w:rsidRPr="0094041C">
        <w:rPr>
          <w:rFonts w:ascii="Times New Roman" w:hAnsi="Times New Roman" w:cs="Times New Roman"/>
          <w:sz w:val="24"/>
          <w:szCs w:val="24"/>
        </w:rPr>
        <w:t xml:space="preserve"> Di, persisten graves </w:t>
      </w:r>
      <w:r w:rsidR="00DB5997" w:rsidRPr="0094041C">
        <w:rPr>
          <w:rFonts w:ascii="Times New Roman" w:hAnsi="Times New Roman" w:cs="Times New Roman"/>
          <w:sz w:val="24"/>
          <w:szCs w:val="24"/>
        </w:rPr>
        <w:t>atrasos</w:t>
      </w:r>
      <w:r w:rsidRPr="0094041C">
        <w:rPr>
          <w:rFonts w:ascii="Times New Roman" w:hAnsi="Times New Roman" w:cs="Times New Roman"/>
          <w:sz w:val="24"/>
          <w:szCs w:val="24"/>
        </w:rPr>
        <w:t xml:space="preserve"> en el saneamiento, titulación y protección de tierras colectivas, lo que ha dado lugar a conflictos recurrentes con empresas mineras, hidroeléctricas y de infraestructura. Ejemplos recientes incluyen la aprobación de concesiones en territorios Ngäbe-Buglé sin consentimiento de las comunidades afectadas</w:t>
      </w:r>
      <w:r w:rsidR="00C542CE" w:rsidRPr="0094041C">
        <w:rPr>
          <w:rStyle w:val="FootnoteReference"/>
          <w:rFonts w:ascii="Times New Roman" w:hAnsi="Times New Roman" w:cs="Times New Roman"/>
          <w:sz w:val="24"/>
          <w:szCs w:val="24"/>
        </w:rPr>
        <w:footnoteReference w:id="10"/>
      </w:r>
      <w:r w:rsidRPr="0094041C">
        <w:rPr>
          <w:rFonts w:ascii="Times New Roman" w:hAnsi="Times New Roman" w:cs="Times New Roman"/>
          <w:sz w:val="24"/>
          <w:szCs w:val="24"/>
        </w:rPr>
        <w:t xml:space="preserve"> y el avance de proyectos hidroeléctricos en ríos que abastecen a la comarca Emberá-Wounaan sin procesos adecuados de consulta previa</w:t>
      </w:r>
      <w:r w:rsidR="00C542CE" w:rsidRPr="0094041C">
        <w:rPr>
          <w:rStyle w:val="FootnoteReference"/>
          <w:rFonts w:ascii="Times New Roman" w:hAnsi="Times New Roman" w:cs="Times New Roman"/>
          <w:sz w:val="24"/>
          <w:szCs w:val="24"/>
        </w:rPr>
        <w:footnoteReference w:id="11"/>
      </w:r>
      <w:r w:rsidRPr="0094041C">
        <w:rPr>
          <w:rFonts w:ascii="Times New Roman" w:hAnsi="Times New Roman" w:cs="Times New Roman"/>
          <w:sz w:val="24"/>
          <w:szCs w:val="24"/>
        </w:rPr>
        <w:t>. Estas prácticas contravienen la obligación de garantizar la consulta libre, previa e informada (CLPI), reconocida por el CERD en sus observaciones de 2010, reafirmada por el CESCR en 2023 y destacada con perspectiva de género por el CEDAW en 2022</w:t>
      </w:r>
      <w:r w:rsidR="00DB5997" w:rsidRPr="0094041C">
        <w:rPr>
          <w:rFonts w:ascii="Times New Roman" w:hAnsi="Times New Roman" w:cs="Times New Roman"/>
          <w:sz w:val="24"/>
          <w:szCs w:val="24"/>
        </w:rPr>
        <w:t xml:space="preserve">. </w:t>
      </w:r>
      <w:r w:rsidRPr="0094041C">
        <w:rPr>
          <w:rFonts w:ascii="Times New Roman" w:hAnsi="Times New Roman" w:cs="Times New Roman"/>
          <w:sz w:val="24"/>
          <w:szCs w:val="24"/>
        </w:rPr>
        <w:t>La ausencia de mecanismos institucionales efectivos de consulta no solo limita el derecho a la participación política (art. 5(c)), sino que también perpetúa un patrón de discriminación estructural al desconocer los sistemas de gobernanza indígena y su cosmovisión.</w:t>
      </w:r>
    </w:p>
    <w:p w14:paraId="2A1666DB" w14:textId="77777777" w:rsidR="00C542CE" w:rsidRPr="0094041C" w:rsidRDefault="00C542CE" w:rsidP="00952A90">
      <w:pPr>
        <w:spacing w:line="240" w:lineRule="auto"/>
        <w:ind w:firstLine="708"/>
        <w:jc w:val="both"/>
        <w:rPr>
          <w:rFonts w:ascii="Times New Roman" w:hAnsi="Times New Roman" w:cs="Times New Roman"/>
          <w:sz w:val="24"/>
          <w:szCs w:val="24"/>
        </w:rPr>
      </w:pPr>
    </w:p>
    <w:p w14:paraId="6C75C3B7" w14:textId="65E836FB" w:rsidR="00C542CE" w:rsidRPr="0094041C" w:rsidRDefault="003305E5" w:rsidP="00C542CE">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Desigualdades socioeconómicas y acceso a servicios</w:t>
      </w:r>
    </w:p>
    <w:p w14:paraId="6EE2FD24" w14:textId="22753905" w:rsidR="00BC2FF4" w:rsidRPr="0094041C" w:rsidRDefault="00BC2FF4" w:rsidP="00BC2FF4">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Los pueblos indígenas de Panamá afrontan niveles de pobreza y exclusión profundos y persistentes que refuerzan su </w:t>
      </w:r>
      <w:proofErr w:type="spellStart"/>
      <w:r w:rsidRPr="0094041C">
        <w:rPr>
          <w:rFonts w:ascii="Times New Roman" w:hAnsi="Times New Roman" w:cs="Times New Roman"/>
          <w:sz w:val="24"/>
          <w:szCs w:val="24"/>
        </w:rPr>
        <w:t>invisibilización</w:t>
      </w:r>
      <w:proofErr w:type="spellEnd"/>
      <w:r w:rsidRPr="0094041C">
        <w:rPr>
          <w:rFonts w:ascii="Times New Roman" w:hAnsi="Times New Roman" w:cs="Times New Roman"/>
          <w:sz w:val="24"/>
          <w:szCs w:val="24"/>
        </w:rPr>
        <w:t xml:space="preserve"> estructural. Según el reciente informe </w:t>
      </w:r>
      <w:r w:rsidRPr="0094041C">
        <w:rPr>
          <w:rFonts w:ascii="Times New Roman" w:hAnsi="Times New Roman" w:cs="Times New Roman"/>
          <w:i/>
          <w:iCs/>
          <w:sz w:val="24"/>
          <w:szCs w:val="24"/>
        </w:rPr>
        <w:t>Análisis de la situación de la población indígena en Panamá</w:t>
      </w:r>
      <w:r w:rsidR="00D73C8F" w:rsidRPr="0094041C">
        <w:rPr>
          <w:rFonts w:ascii="Times New Roman" w:hAnsi="Times New Roman" w:cs="Times New Roman"/>
          <w:sz w:val="24"/>
          <w:szCs w:val="24"/>
        </w:rPr>
        <w:t xml:space="preserve"> </w:t>
      </w:r>
      <w:r w:rsidRPr="0094041C">
        <w:rPr>
          <w:rFonts w:ascii="Times New Roman" w:hAnsi="Times New Roman" w:cs="Times New Roman"/>
          <w:sz w:val="24"/>
          <w:szCs w:val="24"/>
        </w:rPr>
        <w:t xml:space="preserve">(UNFPA, agosto 2025), estas comunidades presentan disparidades alarmantes en indicadores clave: en </w:t>
      </w:r>
      <w:r w:rsidRPr="0094041C">
        <w:rPr>
          <w:rFonts w:ascii="Times New Roman" w:hAnsi="Times New Roman" w:cs="Times New Roman"/>
          <w:sz w:val="24"/>
          <w:szCs w:val="24"/>
        </w:rPr>
        <w:lastRenderedPageBreak/>
        <w:t>comarcas como Ngäbe-Buglé, Guna Yala y Emberá, la pobreza multidimensional alcanza entre 65 % y 78 %, frente al 21–22 % a nivel nacional</w:t>
      </w:r>
      <w:r w:rsidRPr="0094041C">
        <w:rPr>
          <w:rStyle w:val="FootnoteReference"/>
          <w:rFonts w:ascii="Times New Roman" w:hAnsi="Times New Roman" w:cs="Times New Roman"/>
          <w:sz w:val="24"/>
          <w:szCs w:val="24"/>
        </w:rPr>
        <w:footnoteReference w:id="12"/>
      </w:r>
      <w:r w:rsidRPr="0094041C">
        <w:rPr>
          <w:rFonts w:ascii="Times New Roman" w:hAnsi="Times New Roman" w:cs="Times New Roman"/>
          <w:sz w:val="24"/>
          <w:szCs w:val="24"/>
        </w:rPr>
        <w:t>.</w:t>
      </w:r>
    </w:p>
    <w:p w14:paraId="3E431073" w14:textId="369E38F5" w:rsidR="00BC2FF4" w:rsidRPr="0094041C" w:rsidRDefault="00BC2FF4" w:rsidP="00BC2FF4">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Además, solo el 25,1 % de la población indígena está cubierta por la seguridad social (CSS), lo que deja a unas 522,887 personas sin acceso a protección sanitaria y pensional.</w:t>
      </w:r>
      <w:r w:rsidRPr="0094041C">
        <w:rPr>
          <w:rStyle w:val="FootnoteReference"/>
          <w:rFonts w:ascii="Times New Roman" w:hAnsi="Times New Roman" w:cs="Times New Roman"/>
          <w:sz w:val="24"/>
          <w:szCs w:val="24"/>
        </w:rPr>
        <w:footnoteReference w:id="13"/>
      </w:r>
      <w:r w:rsidRPr="0094041C">
        <w:rPr>
          <w:rFonts w:ascii="Times New Roman" w:hAnsi="Times New Roman" w:cs="Times New Roman"/>
          <w:sz w:val="24"/>
          <w:szCs w:val="24"/>
        </w:rPr>
        <w:t xml:space="preserve"> Los niveles de informalidad laboral también son extremos: casi el 99 % de la ocupación agrícola en las comarcas se da en condiciones informales, frente a menos del 2 % en empleos plenos.</w:t>
      </w:r>
      <w:r w:rsidRPr="0094041C">
        <w:rPr>
          <w:rStyle w:val="FootnoteReference"/>
          <w:rFonts w:ascii="Times New Roman" w:hAnsi="Times New Roman" w:cs="Times New Roman"/>
          <w:sz w:val="24"/>
          <w:szCs w:val="24"/>
        </w:rPr>
        <w:footnoteReference w:id="14"/>
      </w:r>
    </w:p>
    <w:p w14:paraId="21DCA388" w14:textId="287A4B49" w:rsidR="00CF368C" w:rsidRPr="0094041C" w:rsidRDefault="00D73C8F" w:rsidP="00CF368C">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Según el análisis de UNFPA, el hacinamiento también es una cuestión central, especialmente en las zonas rurales y dentro de las comarcas, donde un alto porcentaje de la población indígena vive en condiciones de hacinamiento crítico. Las tasas de hacinamiento severo alcanzan un 69.7%, mucho más altas que las de la población no indígena, lo que refleja la falta de viviendas adecuadas y la imposibilidad de acceder a espacios habitacionales dignos debido a la pobreza estructural y la exclusión económica. Este fenómeno es aún más grave dentro de las comarcas, donde las tasas de hacinamiento crítico alcanzan un 84.3%.</w:t>
      </w:r>
    </w:p>
    <w:p w14:paraId="4EEA319E" w14:textId="64A6E6AA" w:rsidR="00BC2FF4" w:rsidRDefault="00BC2FF4" w:rsidP="00B371CC">
      <w:pPr>
        <w:pStyle w:val="BodyTextIndent"/>
      </w:pPr>
      <w:r w:rsidRPr="0094041C">
        <w:t>Estas cifras se combinan con un marcado déficit en servicios básicos: acceso restringido a educación en lengua materna, agua potable, atención sanitaria y conectividad, lo cual limita el ejercicio de derechos fundamentales y perpetúa la marginalidad territorial. La intersección de pobreza, informalidad y déficit de servicios revela un escenario de discriminación estructural que contraviene el artículo 5(e) de la ICERD, que garantiza, entre otros, el derecho al trabajo, salud y educación sin distinción. Asimismo, se incumplen las obligaciones del artículo 2, que demanda que el Estado adopte medidas especiales para corregir desigualdades históricas.</w:t>
      </w:r>
    </w:p>
    <w:p w14:paraId="7C3E7EFF" w14:textId="77777777" w:rsidR="00B371CC" w:rsidRDefault="00B371CC" w:rsidP="00BC2FF4">
      <w:pPr>
        <w:spacing w:line="240" w:lineRule="auto"/>
        <w:ind w:firstLine="708"/>
        <w:jc w:val="both"/>
        <w:rPr>
          <w:rFonts w:ascii="Times New Roman" w:hAnsi="Times New Roman" w:cs="Times New Roman"/>
          <w:sz w:val="24"/>
          <w:szCs w:val="24"/>
        </w:rPr>
      </w:pPr>
    </w:p>
    <w:p w14:paraId="3DA24B41" w14:textId="0589B4A5" w:rsidR="00B371CC" w:rsidRPr="00B371CC" w:rsidRDefault="00B371CC" w:rsidP="00B371CC">
      <w:pPr>
        <w:pStyle w:val="ListParagraph"/>
        <w:numPr>
          <w:ilvl w:val="0"/>
          <w:numId w:val="1"/>
        </w:numPr>
        <w:jc w:val="both"/>
        <w:rPr>
          <w:rFonts w:ascii="Times New Roman" w:hAnsi="Times New Roman" w:cs="Times New Roman"/>
          <w:b/>
          <w:bCs/>
          <w:sz w:val="24"/>
          <w:szCs w:val="24"/>
        </w:rPr>
      </w:pPr>
      <w:r w:rsidRPr="00B371CC">
        <w:rPr>
          <w:rFonts w:ascii="Times New Roman" w:hAnsi="Times New Roman" w:cs="Times New Roman"/>
          <w:b/>
          <w:bCs/>
          <w:sz w:val="24"/>
          <w:szCs w:val="24"/>
        </w:rPr>
        <w:t xml:space="preserve">Discriminación </w:t>
      </w:r>
      <w:r>
        <w:rPr>
          <w:rFonts w:ascii="Times New Roman" w:hAnsi="Times New Roman" w:cs="Times New Roman"/>
          <w:b/>
          <w:bCs/>
          <w:sz w:val="24"/>
          <w:szCs w:val="24"/>
        </w:rPr>
        <w:t xml:space="preserve">interseccional </w:t>
      </w:r>
      <w:r w:rsidRPr="00B371CC">
        <w:rPr>
          <w:rFonts w:ascii="Times New Roman" w:hAnsi="Times New Roman" w:cs="Times New Roman"/>
          <w:b/>
          <w:bCs/>
          <w:sz w:val="24"/>
          <w:szCs w:val="24"/>
        </w:rPr>
        <w:t>hacia las mujeres indígenas</w:t>
      </w:r>
    </w:p>
    <w:p w14:paraId="02F45984" w14:textId="77777777" w:rsidR="00B371CC" w:rsidRPr="00B371CC" w:rsidRDefault="00B371CC" w:rsidP="00B371CC">
      <w:pPr>
        <w:spacing w:line="240" w:lineRule="auto"/>
        <w:ind w:firstLine="708"/>
        <w:jc w:val="both"/>
        <w:rPr>
          <w:rFonts w:ascii="Times New Roman" w:hAnsi="Times New Roman" w:cs="Times New Roman"/>
          <w:sz w:val="24"/>
          <w:szCs w:val="24"/>
        </w:rPr>
      </w:pPr>
      <w:r w:rsidRPr="00B371CC">
        <w:rPr>
          <w:rFonts w:ascii="Times New Roman" w:hAnsi="Times New Roman" w:cs="Times New Roman"/>
          <w:sz w:val="24"/>
          <w:szCs w:val="24"/>
        </w:rPr>
        <w:t>Las mujeres indígenas en Panamá enfrentan formas múltiples e interseccionales de discriminación que limitan su acceso a derechos fundamentales y su participación plena en la sociedad. Persisten altos niveles de analfabetismo y deserción escolar entre niñas y jóvenes indígenas, debido a barreras lingüísticas, distancias geográficas, discriminación por vestimenta o idioma y ausencia de programas con pertinencia cultural. Estas brechas vulneran el artículo 5(e)(v) de la ICERD y contradicen recomendaciones del CRC (2011) y del CESCR (2023) sobre educación intercultural bilingüe.</w:t>
      </w:r>
    </w:p>
    <w:p w14:paraId="731AC244" w14:textId="77777777" w:rsidR="00B371CC" w:rsidRPr="00B371CC" w:rsidRDefault="00B371CC" w:rsidP="00B371CC">
      <w:pPr>
        <w:spacing w:line="240" w:lineRule="auto"/>
        <w:ind w:firstLine="708"/>
        <w:jc w:val="both"/>
        <w:rPr>
          <w:rFonts w:ascii="Times New Roman" w:hAnsi="Times New Roman" w:cs="Times New Roman"/>
          <w:sz w:val="24"/>
          <w:szCs w:val="24"/>
        </w:rPr>
      </w:pPr>
      <w:r w:rsidRPr="00B371CC">
        <w:rPr>
          <w:rFonts w:ascii="Times New Roman" w:hAnsi="Times New Roman" w:cs="Times New Roman"/>
          <w:sz w:val="24"/>
          <w:szCs w:val="24"/>
        </w:rPr>
        <w:t xml:space="preserve">En el ámbito laboral, las mujeres indígenas presentan menores niveles de participación en el sector formal y mayores tasas de desempleo que los hombres indígenas y que las mujeres no indígenas. Incluso cuando migran a zonas urbanas, enfrentan discriminación por el uso de vestimenta tradicional, particularmente en el caso de las mujeres gunas y </w:t>
      </w:r>
      <w:proofErr w:type="spellStart"/>
      <w:r w:rsidRPr="00B371CC">
        <w:rPr>
          <w:rFonts w:ascii="Times New Roman" w:hAnsi="Times New Roman" w:cs="Times New Roman"/>
          <w:sz w:val="24"/>
          <w:szCs w:val="24"/>
        </w:rPr>
        <w:t>ngäbes</w:t>
      </w:r>
      <w:proofErr w:type="spellEnd"/>
      <w:r w:rsidRPr="00B371CC">
        <w:rPr>
          <w:rFonts w:ascii="Times New Roman" w:hAnsi="Times New Roman" w:cs="Times New Roman"/>
          <w:sz w:val="24"/>
          <w:szCs w:val="24"/>
        </w:rPr>
        <w:t xml:space="preserve">, quienes han denunciado burlas, hostigamiento y despidos motivados por su identidad cultural. Este patrón refleja una violación al artículo 5(e)(i) de la ICERD, relativo al derecho al trabajo y a la no discriminación en el empleo, así como a las observaciones del Comité para la Eliminación de la Discriminación contra la Mujer (CEDAW, 2022), que solicitó a Panamá medidas específicas para erradicar la </w:t>
      </w:r>
      <w:r w:rsidRPr="00B371CC">
        <w:rPr>
          <w:rFonts w:ascii="Times New Roman" w:hAnsi="Times New Roman" w:cs="Times New Roman"/>
          <w:sz w:val="24"/>
          <w:szCs w:val="24"/>
        </w:rPr>
        <w:lastRenderedPageBreak/>
        <w:t>discriminación múltiple contra mujeres indígenas y garantizar su representación en el mercado laboral formal.</w:t>
      </w:r>
    </w:p>
    <w:p w14:paraId="649B9613" w14:textId="77777777" w:rsidR="00B371CC" w:rsidRPr="00B371CC" w:rsidRDefault="00B371CC" w:rsidP="00B371CC">
      <w:pPr>
        <w:spacing w:line="240" w:lineRule="auto"/>
        <w:ind w:firstLine="708"/>
        <w:jc w:val="both"/>
        <w:rPr>
          <w:rFonts w:ascii="Times New Roman" w:hAnsi="Times New Roman" w:cs="Times New Roman"/>
          <w:sz w:val="24"/>
          <w:szCs w:val="24"/>
        </w:rPr>
      </w:pPr>
      <w:r w:rsidRPr="00B371CC">
        <w:rPr>
          <w:rFonts w:ascii="Times New Roman" w:hAnsi="Times New Roman" w:cs="Times New Roman"/>
          <w:sz w:val="24"/>
          <w:szCs w:val="24"/>
        </w:rPr>
        <w:t>En salud, persisten altas tasas de mortalidad materna e infantil en las comarcas, junto con prejuicios del personal médico y falta de información en lenguas indígenas, lo que constituye una violación al artículo 5(e)(</w:t>
      </w:r>
      <w:proofErr w:type="spellStart"/>
      <w:r w:rsidRPr="00B371CC">
        <w:rPr>
          <w:rFonts w:ascii="Times New Roman" w:hAnsi="Times New Roman" w:cs="Times New Roman"/>
          <w:sz w:val="24"/>
          <w:szCs w:val="24"/>
        </w:rPr>
        <w:t>iv</w:t>
      </w:r>
      <w:proofErr w:type="spellEnd"/>
      <w:r w:rsidRPr="00B371CC">
        <w:rPr>
          <w:rFonts w:ascii="Times New Roman" w:hAnsi="Times New Roman" w:cs="Times New Roman"/>
          <w:sz w:val="24"/>
          <w:szCs w:val="24"/>
        </w:rPr>
        <w:t>) de la ICERD. Tanto el CESCR (2023) como el CEDAW (2022) han instado a Panamá a garantizar servicios de salud culturalmente pertinentes con enfoque de género.</w:t>
      </w:r>
    </w:p>
    <w:p w14:paraId="3FD952E9" w14:textId="77777777" w:rsidR="00B371CC" w:rsidRPr="00B371CC" w:rsidRDefault="00B371CC" w:rsidP="00B371CC">
      <w:pPr>
        <w:spacing w:line="240" w:lineRule="auto"/>
        <w:ind w:firstLine="708"/>
        <w:jc w:val="both"/>
        <w:rPr>
          <w:rFonts w:ascii="Times New Roman" w:hAnsi="Times New Roman" w:cs="Times New Roman"/>
          <w:sz w:val="24"/>
          <w:szCs w:val="24"/>
        </w:rPr>
      </w:pPr>
      <w:r w:rsidRPr="00B371CC">
        <w:rPr>
          <w:rFonts w:ascii="Times New Roman" w:hAnsi="Times New Roman" w:cs="Times New Roman"/>
          <w:sz w:val="24"/>
          <w:szCs w:val="24"/>
        </w:rPr>
        <w:t>Finalmente, la violencia contra las mujeres indígenas y la dificultad para acceder a la justicia por barreras idiomáticas y prejuicios institucionales reflejan una vulneración del artículo 6 de la ICERD, que obliga a garantizar recursos efectivos. La Recomendación General N.º 25 del CERD (2000) enfatiza que los Estados deben atender la dimensión de género de la discriminación racial, lo que sigue siendo un pendiente en Panamá.</w:t>
      </w:r>
    </w:p>
    <w:p w14:paraId="7D4AAC31" w14:textId="5E276E0E" w:rsidR="00CF368C" w:rsidRPr="00B371CC" w:rsidRDefault="00B371CC" w:rsidP="005E5E19">
      <w:pPr>
        <w:spacing w:line="240" w:lineRule="auto"/>
        <w:ind w:firstLine="708"/>
        <w:jc w:val="both"/>
        <w:rPr>
          <w:rFonts w:ascii="Times New Roman" w:hAnsi="Times New Roman" w:cs="Times New Roman"/>
          <w:sz w:val="24"/>
          <w:szCs w:val="24"/>
        </w:rPr>
      </w:pPr>
      <w:r w:rsidRPr="00B371CC">
        <w:rPr>
          <w:rFonts w:ascii="Times New Roman" w:hAnsi="Times New Roman" w:cs="Times New Roman"/>
          <w:sz w:val="24"/>
          <w:szCs w:val="24"/>
        </w:rPr>
        <w:t>En conjunto, estas problemáticas exigen que el Estado adopte medidas especiales conforme al artículo 2(2) de la ICERD para garantizar la igualdad sustantiva de las mujeres indígenas, en línea con los compromisos internacionales de derechos humanos.</w:t>
      </w:r>
    </w:p>
    <w:p w14:paraId="5B8D0ED0" w14:textId="77777777" w:rsidR="0044356D" w:rsidRPr="0094041C" w:rsidRDefault="0044356D" w:rsidP="00BC2FF4">
      <w:pPr>
        <w:spacing w:line="240" w:lineRule="auto"/>
        <w:ind w:firstLine="708"/>
        <w:jc w:val="both"/>
        <w:rPr>
          <w:rFonts w:ascii="Times New Roman" w:hAnsi="Times New Roman" w:cs="Times New Roman"/>
          <w:sz w:val="24"/>
          <w:szCs w:val="24"/>
        </w:rPr>
      </w:pPr>
    </w:p>
    <w:p w14:paraId="7E2C9F33" w14:textId="6DB37B66" w:rsidR="0044356D" w:rsidRPr="0094041C" w:rsidRDefault="0044356D" w:rsidP="0044356D">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Educación y derechos culturales</w:t>
      </w:r>
    </w:p>
    <w:p w14:paraId="25EB8962" w14:textId="13788C37" w:rsidR="003F6458" w:rsidRPr="0094041C" w:rsidRDefault="003F6458" w:rsidP="003F6458">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La situación de los pueblos indígenas enfrenta múltiples desafíos en el ámbito educativo, cultural y social. A pesar de los avances legislativos, como la Ley 88 sobre la Educación Intercultural Bilingüe y la Ley 20 sobre propiedad intelectual, la implementación efectiva de estas leyes sigue siendo fragmentaria. Faltan docentes formados en lenguas </w:t>
      </w:r>
      <w:r w:rsidR="005E5E19">
        <w:rPr>
          <w:rFonts w:ascii="Times New Roman" w:hAnsi="Times New Roman" w:cs="Times New Roman"/>
          <w:sz w:val="24"/>
          <w:szCs w:val="24"/>
        </w:rPr>
        <w:t>indígenas</w:t>
      </w:r>
      <w:r w:rsidRPr="0094041C">
        <w:rPr>
          <w:rFonts w:ascii="Times New Roman" w:hAnsi="Times New Roman" w:cs="Times New Roman"/>
          <w:sz w:val="24"/>
          <w:szCs w:val="24"/>
        </w:rPr>
        <w:t>, materiales didácticos pertinentes y presupuestos específicos, lo que invisibiliza los sistemas de conocimiento indígena y refuerza la imposición de un currículo monocultural. Este déficit afecta también a los derechos culturales, dado que la escasa promoción oficial de lenguas y tradiciones propias genera un proceso sostenido de erosión cultural.</w:t>
      </w:r>
    </w:p>
    <w:p w14:paraId="1A1594C8" w14:textId="251411B4" w:rsidR="003F6458" w:rsidRPr="0094041C" w:rsidRDefault="003F6458" w:rsidP="003F6458">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Además, como organizaciones defensoras de derechos de los pueblos indígenas, recibimos a menudo testimonios sobre casos de discriminación de niños y niñas en los centros educativos</w:t>
      </w:r>
      <w:r w:rsidR="00746AB7" w:rsidRPr="0094041C">
        <w:rPr>
          <w:rFonts w:ascii="Times New Roman" w:hAnsi="Times New Roman" w:cs="Times New Roman"/>
          <w:sz w:val="24"/>
          <w:szCs w:val="24"/>
        </w:rPr>
        <w:t>, como los</w:t>
      </w:r>
      <w:r w:rsidR="0094041C" w:rsidRPr="0094041C">
        <w:rPr>
          <w:rFonts w:ascii="Times New Roman" w:hAnsi="Times New Roman" w:cs="Times New Roman"/>
          <w:sz w:val="24"/>
          <w:szCs w:val="24"/>
        </w:rPr>
        <w:t xml:space="preserve"> </w:t>
      </w:r>
      <w:r w:rsidR="00746AB7" w:rsidRPr="0094041C">
        <w:rPr>
          <w:rFonts w:ascii="Times New Roman" w:hAnsi="Times New Roman" w:cs="Times New Roman"/>
          <w:sz w:val="24"/>
          <w:szCs w:val="24"/>
        </w:rPr>
        <w:t>de la comarca Ngäbe-Buglé, donde se reportan casos persistentes de discriminación de expresión en lengua materna por parte de docentes que no provienen de la comunidad Ngäbe-Buglé. Este tipo de actos intimidan a los estudiantes y vulneran su derecho a mantener, desarrollar y expresarse libremente en su lengua materna. Una de las consecuencias de estos actos discriminatorios es el aumento del fracaso y de la deserción escolar.</w:t>
      </w:r>
    </w:p>
    <w:p w14:paraId="0D0DBDD7" w14:textId="0C57020F" w:rsidR="00746AB7" w:rsidRPr="0094041C" w:rsidRDefault="00746AB7" w:rsidP="003F6458">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En todas las comarcas y tierras colectivas prevalecen las deficiencias en infraestructura escolar – edificaciones, mobiliarios, equipos, laboratorios –.  De igual manera preocupan las graves limitaciones en el acceso a tecnología educativa – internet, equipos, plataformas, recursos y materiales educativos, entre otros –, que vulneran los derechos a educación digna y de calidad de los NNA indígenas, especialmente de los que viven en comarcas y territorios indígenas.</w:t>
      </w:r>
    </w:p>
    <w:p w14:paraId="38CD5650" w14:textId="2CD1F6A0" w:rsidR="00746AB7" w:rsidRPr="0094041C" w:rsidRDefault="00746AB7" w:rsidP="003F6458">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Organismos como el Comité de Derechos del Niño (CRC, 2011) y el Comité de Derechos Económicos, Sociales y Culturales (CESCR, 2023) han manifestado preocupación por la falta de medidas efectivas para garantizar a niños, niñas y adolescentes indígenas el acceso a una educación de calidad en su idioma y de acuerdo con su identidad cultural. Tales carencias contravienen directamente el artículo 5(e)(v) de </w:t>
      </w:r>
      <w:r w:rsidRPr="0094041C">
        <w:rPr>
          <w:rFonts w:ascii="Times New Roman" w:hAnsi="Times New Roman" w:cs="Times New Roman"/>
          <w:sz w:val="24"/>
          <w:szCs w:val="24"/>
        </w:rPr>
        <w:lastRenderedPageBreak/>
        <w:t xml:space="preserve">la ICERD, que protege el derecho a la educación sin discriminación, y el artículo 5(e)(vi), que garantiza el derecho a participar en la vida cultural. La persistencia de brechas educativas y de </w:t>
      </w:r>
      <w:proofErr w:type="spellStart"/>
      <w:r w:rsidRPr="0094041C">
        <w:rPr>
          <w:rFonts w:ascii="Times New Roman" w:hAnsi="Times New Roman" w:cs="Times New Roman"/>
          <w:sz w:val="24"/>
          <w:szCs w:val="24"/>
        </w:rPr>
        <w:t>invisibilización</w:t>
      </w:r>
      <w:proofErr w:type="spellEnd"/>
      <w:r w:rsidRPr="0094041C">
        <w:rPr>
          <w:rFonts w:ascii="Times New Roman" w:hAnsi="Times New Roman" w:cs="Times New Roman"/>
          <w:sz w:val="24"/>
          <w:szCs w:val="24"/>
        </w:rPr>
        <w:t xml:space="preserve"> de las culturas indígenas evidencia un patrón de exclusión institucional que reproduce estereotipos raciales y limita el pleno desarrollo de los pueblos </w:t>
      </w:r>
      <w:r w:rsidR="00CF368C">
        <w:rPr>
          <w:rFonts w:ascii="Times New Roman" w:hAnsi="Times New Roman" w:cs="Times New Roman"/>
          <w:sz w:val="24"/>
          <w:szCs w:val="24"/>
        </w:rPr>
        <w:t>indígenas</w:t>
      </w:r>
      <w:r w:rsidRPr="0094041C">
        <w:rPr>
          <w:rFonts w:ascii="Times New Roman" w:hAnsi="Times New Roman" w:cs="Times New Roman"/>
          <w:sz w:val="24"/>
          <w:szCs w:val="24"/>
        </w:rPr>
        <w:t xml:space="preserve"> en igualdad de condiciones.</w:t>
      </w:r>
    </w:p>
    <w:p w14:paraId="2EE13D5E" w14:textId="77777777" w:rsidR="00C17F71" w:rsidRPr="0094041C" w:rsidRDefault="00C17F71" w:rsidP="003F6458">
      <w:pPr>
        <w:spacing w:line="240" w:lineRule="auto"/>
        <w:ind w:firstLine="708"/>
        <w:jc w:val="both"/>
        <w:rPr>
          <w:rFonts w:ascii="Times New Roman" w:hAnsi="Times New Roman" w:cs="Times New Roman"/>
          <w:sz w:val="24"/>
          <w:szCs w:val="24"/>
        </w:rPr>
      </w:pPr>
    </w:p>
    <w:p w14:paraId="0DE4A445" w14:textId="1D418E61" w:rsidR="00C17F71" w:rsidRPr="0094041C" w:rsidRDefault="00C17F71" w:rsidP="00C17F71">
      <w:pPr>
        <w:pStyle w:val="ListParagraph"/>
        <w:numPr>
          <w:ilvl w:val="0"/>
          <w:numId w:val="1"/>
        </w:numPr>
        <w:spacing w:line="240" w:lineRule="auto"/>
        <w:jc w:val="both"/>
        <w:rPr>
          <w:rFonts w:ascii="Times New Roman" w:hAnsi="Times New Roman" w:cs="Times New Roman"/>
          <w:b/>
          <w:bCs/>
          <w:sz w:val="24"/>
          <w:szCs w:val="24"/>
        </w:rPr>
      </w:pPr>
      <w:r w:rsidRPr="0094041C">
        <w:rPr>
          <w:rFonts w:ascii="Times New Roman" w:hAnsi="Times New Roman" w:cs="Times New Roman"/>
          <w:b/>
          <w:bCs/>
          <w:sz w:val="24"/>
          <w:szCs w:val="24"/>
        </w:rPr>
        <w:t>Derechos ambientales</w:t>
      </w:r>
    </w:p>
    <w:p w14:paraId="1EB06BF8" w14:textId="5336589D" w:rsidR="00C17F71" w:rsidRPr="0094041C" w:rsidRDefault="00C17F71" w:rsidP="00C17F71">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Los pueblos indígenas de Panamá mantienen una relación </w:t>
      </w:r>
      <w:r w:rsidR="007148FF" w:rsidRPr="0094041C">
        <w:rPr>
          <w:rFonts w:ascii="Times New Roman" w:hAnsi="Times New Roman" w:cs="Times New Roman"/>
          <w:sz w:val="24"/>
          <w:szCs w:val="24"/>
        </w:rPr>
        <w:t>muy profunda</w:t>
      </w:r>
      <w:r w:rsidRPr="0094041C">
        <w:rPr>
          <w:rFonts w:ascii="Times New Roman" w:hAnsi="Times New Roman" w:cs="Times New Roman"/>
          <w:sz w:val="24"/>
          <w:szCs w:val="24"/>
        </w:rPr>
        <w:t xml:space="preserve"> con los ecosistemas de sus territorios, los cuales son esenciales para su supervivencia cultural y material. Sin embargo, en los últimos años, nuestras comunidades han enfrentado la imposición de proyectos extractivos y de infraestructura que generan impactos ambientales severos (deforestación, contaminación de ríos, pérdida de biodiversidad), sin contar con procesos de consulta y consentimiento previo, libre e informado. </w:t>
      </w:r>
    </w:p>
    <w:p w14:paraId="5A135011" w14:textId="66F25114" w:rsidR="00C17F71" w:rsidRPr="0094041C" w:rsidRDefault="00C17F71" w:rsidP="00C17F71">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 xml:space="preserve">Casos como la concesión minera de Cobre Panamá, los proyectos hidroeléctricos en el río </w:t>
      </w:r>
      <w:proofErr w:type="spellStart"/>
      <w:r w:rsidRPr="0094041C">
        <w:rPr>
          <w:rFonts w:ascii="Times New Roman" w:hAnsi="Times New Roman" w:cs="Times New Roman"/>
          <w:sz w:val="24"/>
          <w:szCs w:val="24"/>
        </w:rPr>
        <w:t>Tabasará</w:t>
      </w:r>
      <w:proofErr w:type="spellEnd"/>
      <w:r w:rsidRPr="0094041C">
        <w:rPr>
          <w:rFonts w:ascii="Times New Roman" w:hAnsi="Times New Roman" w:cs="Times New Roman"/>
          <w:sz w:val="24"/>
          <w:szCs w:val="24"/>
        </w:rPr>
        <w:t xml:space="preserve"> (Barro Blanco) y en la cuenca del río Changuinola (Chan 75), así como la expansión de la Línea IV de transmisión eléctrica, han sido documentados como ejemplos de violación del derecho de los pueblos a un medio ambiente sano y a la gestión autónoma de sus recursos. Estos proyectos han ocasionado desplazamientos, afectación a fuentes de agua potable y destrucción de sitios de valor espiritual, configurando una discriminación estructural en el acceso a un entorno seguro y culturalmente adecuado</w:t>
      </w:r>
      <w:r w:rsidR="007148FF" w:rsidRPr="0094041C">
        <w:rPr>
          <w:rStyle w:val="FootnoteReference"/>
          <w:rFonts w:ascii="Times New Roman" w:hAnsi="Times New Roman" w:cs="Times New Roman"/>
          <w:sz w:val="24"/>
          <w:szCs w:val="24"/>
        </w:rPr>
        <w:footnoteReference w:id="15"/>
      </w:r>
      <w:r w:rsidRPr="0094041C">
        <w:rPr>
          <w:rFonts w:ascii="Times New Roman" w:hAnsi="Times New Roman" w:cs="Times New Roman"/>
          <w:sz w:val="24"/>
          <w:szCs w:val="24"/>
        </w:rPr>
        <w:t>.</w:t>
      </w:r>
    </w:p>
    <w:p w14:paraId="2F54BB82" w14:textId="0DF7FF7C" w:rsidR="00BC2FF4" w:rsidRPr="0094041C" w:rsidRDefault="00C17F71" w:rsidP="0094041C">
      <w:pPr>
        <w:spacing w:line="240" w:lineRule="auto"/>
        <w:ind w:firstLine="708"/>
        <w:jc w:val="both"/>
        <w:rPr>
          <w:rFonts w:ascii="Times New Roman" w:hAnsi="Times New Roman" w:cs="Times New Roman"/>
          <w:sz w:val="24"/>
          <w:szCs w:val="24"/>
        </w:rPr>
      </w:pPr>
      <w:r w:rsidRPr="0094041C">
        <w:rPr>
          <w:rFonts w:ascii="Times New Roman" w:hAnsi="Times New Roman" w:cs="Times New Roman"/>
          <w:sz w:val="24"/>
          <w:szCs w:val="24"/>
        </w:rPr>
        <w:t>Tanto el Comité de Derechos Económicos, Sociales y Culturales (CESCR, 2023) como el CERD (2010) han recomendado a Panamá fortalecer los mecanismos de protección ambiental y garantizar la participación efectiva de los pueblos indígenas en las decisiones sobre proyectos que afectan sus territorios. La omisión del Estado en asegurar esta participación perpetúa un patrón de racismo ambiental que vulnera el artículo 5(e)(</w:t>
      </w:r>
      <w:proofErr w:type="spellStart"/>
      <w:r w:rsidRPr="0094041C">
        <w:rPr>
          <w:rFonts w:ascii="Times New Roman" w:hAnsi="Times New Roman" w:cs="Times New Roman"/>
          <w:sz w:val="24"/>
          <w:szCs w:val="24"/>
        </w:rPr>
        <w:t>iv</w:t>
      </w:r>
      <w:proofErr w:type="spellEnd"/>
      <w:r w:rsidRPr="0094041C">
        <w:rPr>
          <w:rFonts w:ascii="Times New Roman" w:hAnsi="Times New Roman" w:cs="Times New Roman"/>
          <w:sz w:val="24"/>
          <w:szCs w:val="24"/>
        </w:rPr>
        <w:t>) de la ICERD, relativo al derecho a la vivienda y al mejoramiento de las condiciones de vida, y el artículo 5(e)(vi), en cuanto al disfrute de un medio ambiente sano como parte de la vida cultural.</w:t>
      </w:r>
    </w:p>
    <w:p w14:paraId="3B9E666A" w14:textId="77777777" w:rsidR="003305E5" w:rsidRPr="0094041C" w:rsidRDefault="003305E5" w:rsidP="003305E5">
      <w:pPr>
        <w:spacing w:line="240" w:lineRule="auto"/>
        <w:jc w:val="both"/>
        <w:rPr>
          <w:rFonts w:ascii="Times New Roman" w:hAnsi="Times New Roman" w:cs="Times New Roman"/>
          <w:sz w:val="24"/>
          <w:szCs w:val="24"/>
        </w:rPr>
      </w:pPr>
    </w:p>
    <w:p w14:paraId="30780F4D" w14:textId="4F9E329F" w:rsidR="00AE65BD" w:rsidRPr="0094041C" w:rsidRDefault="00AE65BD" w:rsidP="00AE65BD">
      <w:pPr>
        <w:spacing w:line="240" w:lineRule="auto"/>
        <w:ind w:firstLine="708"/>
        <w:jc w:val="both"/>
        <w:rPr>
          <w:rFonts w:ascii="Times New Roman" w:hAnsi="Times New Roman" w:cs="Times New Roman"/>
          <w:b/>
          <w:bCs/>
          <w:sz w:val="24"/>
          <w:szCs w:val="24"/>
        </w:rPr>
      </w:pPr>
      <w:r w:rsidRPr="0094041C">
        <w:rPr>
          <w:rFonts w:ascii="Times New Roman" w:hAnsi="Times New Roman" w:cs="Times New Roman"/>
          <w:b/>
          <w:bCs/>
          <w:sz w:val="24"/>
          <w:szCs w:val="24"/>
        </w:rPr>
        <w:t>Conclusiones</w:t>
      </w:r>
    </w:p>
    <w:p w14:paraId="763DC3FC" w14:textId="20655D73" w:rsidR="007B5B77" w:rsidRPr="0094041C" w:rsidRDefault="0094041C" w:rsidP="00AE65BD">
      <w:pPr>
        <w:pStyle w:val="BodyTextIndent"/>
      </w:pPr>
      <w:r>
        <w:t xml:space="preserve">Nuestro </w:t>
      </w:r>
      <w:r w:rsidR="00AE65BD" w:rsidRPr="0094041C">
        <w:t xml:space="preserve">análisis confirma la persistencia de un patrón estructural de discriminación racial contra los pueblos indígenas en Panamá, manifestado en violaciones recurrentes a derechos fundamentales: uso excesivo de la fuerza y criminalización de la protesta; discurso oficial estigmatizante; incumplimiento de los derechos territoriales y del deber de consulta previa, libre e informada; desigualdades socioeconómicas profundas y falta de acceso equitativo a servicios básicos; discriminación en el ámbito </w:t>
      </w:r>
      <w:r w:rsidR="00AE65BD" w:rsidRPr="0094041C">
        <w:lastRenderedPageBreak/>
        <w:t xml:space="preserve">educativo y cultural y vulneración sistemática de los derechos ambientales. Estas situaciones contradicen de manera directa las obligaciones asumidas por el Estado panameño bajo la Convención Internacional sobre la Eliminación de todas las Formas de Discriminación Racial, así como las recomendaciones reiteradas de otros órganos de tratados de Naciones Unidas. Resulta imperativo que Panamá adopte medidas integrales y estructurales para revertir este patrón histórico de discriminación y garantizar la plena vigencia de los derechos de los pueblos </w:t>
      </w:r>
      <w:r w:rsidR="00CF368C">
        <w:t>indígenas</w:t>
      </w:r>
      <w:r w:rsidR="00AE65BD" w:rsidRPr="0094041C">
        <w:t>.</w:t>
      </w:r>
    </w:p>
    <w:p w14:paraId="1B5FDF0B" w14:textId="77777777" w:rsidR="00AE65BD" w:rsidRPr="0094041C" w:rsidRDefault="00AE65BD" w:rsidP="00AE65BD">
      <w:pPr>
        <w:pStyle w:val="BodyTextIndent"/>
      </w:pPr>
    </w:p>
    <w:p w14:paraId="5C4DDEBF" w14:textId="3BAF6884" w:rsidR="00AE65BD" w:rsidRPr="0094041C" w:rsidRDefault="00AE65BD" w:rsidP="00AE65BD">
      <w:pPr>
        <w:pStyle w:val="BodyTextIndent"/>
        <w:rPr>
          <w:b/>
          <w:bCs/>
        </w:rPr>
      </w:pPr>
      <w:r w:rsidRPr="0094041C">
        <w:rPr>
          <w:b/>
          <w:bCs/>
        </w:rPr>
        <w:t>Agradecimientos</w:t>
      </w:r>
    </w:p>
    <w:p w14:paraId="3A851C53" w14:textId="662F8DF0" w:rsidR="00AE65BD" w:rsidRPr="0094041C" w:rsidRDefault="00AE65BD" w:rsidP="00AE65BD">
      <w:pPr>
        <w:pStyle w:val="BodyTextIndent"/>
      </w:pPr>
      <w:r w:rsidRPr="0094041C">
        <w:t>Las organizaciones firmantes agradecemos al Comité para la Eliminación de la Discriminación Racial por su atención a la situación de los pueblos indígenas de Panamá y por su compromiso permanente con la erradicación de la discriminación racial en todas sus formas. Expresamos también nuestro reconocimiento a las comunidades y líderes indígenas que, a pesar de enfrentar hostigamientos y riesgos graves a su integridad, han contribuido con testimonios y datos indispensables para la elaboración de este informe. Finalmente, agradecemos el apoyo de redes regionales e internacionales de derechos humanos que acompañan nuestras luchas y fortalecen la incidencia en favor de la justicia y la igualdad.</w:t>
      </w:r>
    </w:p>
    <w:p w14:paraId="4CE6E7CA" w14:textId="77777777" w:rsidR="00AE65BD" w:rsidRPr="0094041C" w:rsidRDefault="00AE65BD" w:rsidP="00AE65BD">
      <w:pPr>
        <w:pStyle w:val="BodyTextIndent"/>
      </w:pPr>
    </w:p>
    <w:p w14:paraId="1560852A" w14:textId="77777777" w:rsidR="00AE65BD" w:rsidRPr="0094041C" w:rsidRDefault="00AE65BD" w:rsidP="00AE65BD">
      <w:pPr>
        <w:pStyle w:val="BodyTextIndent"/>
      </w:pPr>
    </w:p>
    <w:p w14:paraId="08F90E42" w14:textId="77777777" w:rsidR="00AE65BD" w:rsidRPr="0094041C" w:rsidRDefault="00AE65BD" w:rsidP="00AE65BD">
      <w:pPr>
        <w:pStyle w:val="BodyTextIndent"/>
      </w:pPr>
    </w:p>
    <w:p w14:paraId="28153E88" w14:textId="77777777" w:rsidR="00AE65BD" w:rsidRPr="0094041C" w:rsidRDefault="00AE65BD" w:rsidP="00AE65BD">
      <w:pPr>
        <w:pStyle w:val="BodyTextIndent"/>
      </w:pPr>
    </w:p>
    <w:p w14:paraId="4CAC5316" w14:textId="77777777" w:rsidR="00AE65BD" w:rsidRPr="0094041C" w:rsidRDefault="00AE65BD" w:rsidP="00AE65BD">
      <w:pPr>
        <w:pStyle w:val="BodyTextIndent"/>
      </w:pPr>
    </w:p>
    <w:p w14:paraId="304FEB37" w14:textId="77777777" w:rsidR="00AE65BD" w:rsidRPr="0094041C" w:rsidRDefault="00AE65BD" w:rsidP="00AE65BD">
      <w:pPr>
        <w:pStyle w:val="BodyTextIndent"/>
      </w:pPr>
    </w:p>
    <w:p w14:paraId="5495A975" w14:textId="77777777" w:rsidR="00AE65BD" w:rsidRPr="0094041C" w:rsidRDefault="00AE65BD" w:rsidP="00AE65BD">
      <w:pPr>
        <w:pStyle w:val="BodyTextIndent"/>
      </w:pPr>
    </w:p>
    <w:p w14:paraId="74DF792F" w14:textId="77777777" w:rsidR="00AE65BD" w:rsidRPr="0094041C" w:rsidRDefault="00AE65BD" w:rsidP="00AE65BD">
      <w:pPr>
        <w:pStyle w:val="BodyTextIndent"/>
      </w:pPr>
    </w:p>
    <w:p w14:paraId="6E657CA6" w14:textId="77777777" w:rsidR="00AE65BD" w:rsidRPr="0094041C" w:rsidRDefault="00AE65BD" w:rsidP="00AE65BD">
      <w:pPr>
        <w:pStyle w:val="BodyTextIndent"/>
      </w:pPr>
    </w:p>
    <w:p w14:paraId="32B3C7B3" w14:textId="77777777" w:rsidR="00AE65BD" w:rsidRPr="0094041C" w:rsidRDefault="00AE65BD" w:rsidP="00AE65BD">
      <w:pPr>
        <w:pStyle w:val="BodyTextIndent"/>
      </w:pPr>
    </w:p>
    <w:p w14:paraId="5D1AFDDD" w14:textId="77777777" w:rsidR="00AE65BD" w:rsidRPr="0094041C" w:rsidRDefault="00AE65BD" w:rsidP="00AE65BD">
      <w:pPr>
        <w:pStyle w:val="BodyTextIndent"/>
      </w:pPr>
    </w:p>
    <w:p w14:paraId="19E71F45" w14:textId="77777777" w:rsidR="00AE65BD" w:rsidRPr="0094041C" w:rsidRDefault="00AE65BD" w:rsidP="00AE65BD">
      <w:pPr>
        <w:pStyle w:val="BodyTextIndent"/>
      </w:pPr>
    </w:p>
    <w:p w14:paraId="7A6FFB79" w14:textId="77777777" w:rsidR="00AE65BD" w:rsidRPr="0094041C" w:rsidRDefault="00AE65BD" w:rsidP="00AE65BD">
      <w:pPr>
        <w:pStyle w:val="BodyTextIndent"/>
      </w:pPr>
    </w:p>
    <w:p w14:paraId="23DDCF5B" w14:textId="77777777" w:rsidR="00AE65BD" w:rsidRDefault="00AE65BD" w:rsidP="00AE65BD">
      <w:pPr>
        <w:pStyle w:val="BodyTextIndent"/>
      </w:pPr>
    </w:p>
    <w:p w14:paraId="5F88559A" w14:textId="77777777" w:rsidR="0092382E" w:rsidRDefault="0092382E" w:rsidP="00AE65BD">
      <w:pPr>
        <w:pStyle w:val="BodyTextIndent"/>
      </w:pPr>
    </w:p>
    <w:p w14:paraId="650B8ED2" w14:textId="77777777" w:rsidR="0092382E" w:rsidRDefault="0092382E" w:rsidP="00AE65BD">
      <w:pPr>
        <w:pStyle w:val="BodyTextIndent"/>
      </w:pPr>
    </w:p>
    <w:p w14:paraId="6198A51F" w14:textId="77777777" w:rsidR="0092382E" w:rsidRDefault="0092382E" w:rsidP="00AE65BD">
      <w:pPr>
        <w:pStyle w:val="BodyTextIndent"/>
      </w:pPr>
    </w:p>
    <w:p w14:paraId="76CDE8AB" w14:textId="77777777" w:rsidR="0092382E" w:rsidRDefault="0092382E" w:rsidP="00AE65BD">
      <w:pPr>
        <w:pStyle w:val="BodyTextIndent"/>
      </w:pPr>
    </w:p>
    <w:p w14:paraId="13ACF9C1" w14:textId="77777777" w:rsidR="0092382E" w:rsidRPr="0094041C" w:rsidRDefault="0092382E" w:rsidP="00AE65BD">
      <w:pPr>
        <w:pStyle w:val="BodyTextIndent"/>
      </w:pPr>
    </w:p>
    <w:p w14:paraId="469A250E" w14:textId="77777777" w:rsidR="00AE65BD" w:rsidRPr="0094041C" w:rsidRDefault="00AE65BD" w:rsidP="00AE65BD">
      <w:pPr>
        <w:pStyle w:val="BodyTextIndent"/>
      </w:pPr>
    </w:p>
    <w:p w14:paraId="1EC88790" w14:textId="77777777" w:rsidR="00AE65BD" w:rsidRPr="0094041C" w:rsidRDefault="00AE65BD" w:rsidP="00AE65BD">
      <w:pPr>
        <w:pStyle w:val="BodyTextIndent"/>
        <w:ind w:firstLine="360"/>
        <w:rPr>
          <w:b/>
          <w:bCs/>
        </w:rPr>
      </w:pPr>
      <w:r w:rsidRPr="0094041C">
        <w:rPr>
          <w:b/>
          <w:bCs/>
        </w:rPr>
        <w:t>Cuestiones que solicitamos al Comité plantear al Estado panameño</w:t>
      </w:r>
    </w:p>
    <w:p w14:paraId="2D5C1841" w14:textId="77777777" w:rsidR="00AE65BD" w:rsidRPr="0094041C" w:rsidRDefault="00AE65BD" w:rsidP="00AE65BD">
      <w:pPr>
        <w:pStyle w:val="BodyTextIndent"/>
        <w:ind w:firstLine="360"/>
        <w:rPr>
          <w:b/>
          <w:bCs/>
        </w:rPr>
      </w:pPr>
    </w:p>
    <w:p w14:paraId="07F9EB61" w14:textId="1370EA51" w:rsidR="00AE65BD" w:rsidRPr="0094041C" w:rsidRDefault="00AE65BD" w:rsidP="00AE65BD">
      <w:pPr>
        <w:pStyle w:val="BodyTextIndent"/>
        <w:numPr>
          <w:ilvl w:val="0"/>
          <w:numId w:val="2"/>
        </w:numPr>
      </w:pPr>
      <w:r w:rsidRPr="0094041C">
        <w:rPr>
          <w:b/>
          <w:bCs/>
        </w:rPr>
        <w:t>Uso de la fuerza durante la protesta social:</w:t>
      </w:r>
    </w:p>
    <w:p w14:paraId="47420E7B" w14:textId="5D793884" w:rsidR="00AE65BD" w:rsidRPr="0094041C" w:rsidRDefault="00AE65BD" w:rsidP="00AE65BD">
      <w:pPr>
        <w:pStyle w:val="BodyTextIndent"/>
        <w:ind w:left="720" w:firstLine="0"/>
      </w:pPr>
      <w:r w:rsidRPr="0094041C">
        <w:t>a) ¿Qué medidas ha adoptado el Estado para investigar, sancionar y reparar las violaciones de derechos humanos cometidas por fuerzas de seguridad contra comunidades indígenas durante las protestas de 2023-2025?</w:t>
      </w:r>
    </w:p>
    <w:p w14:paraId="065A23CC" w14:textId="4D504C1E" w:rsidR="00AE65BD" w:rsidRPr="0094041C" w:rsidRDefault="00AE65BD" w:rsidP="00AE65BD">
      <w:pPr>
        <w:pStyle w:val="BodyTextIndent"/>
        <w:ind w:left="720" w:firstLine="0"/>
      </w:pPr>
      <w:r w:rsidRPr="0094041C">
        <w:t>b) ¿Cómo garantizará la no repetición de actos de represión selectiva en territorios indígenas y afrodescendientes?</w:t>
      </w:r>
    </w:p>
    <w:p w14:paraId="1D47DD29" w14:textId="77777777" w:rsidR="00AE65BD" w:rsidRPr="0094041C" w:rsidRDefault="00AE65BD" w:rsidP="00AE65BD">
      <w:pPr>
        <w:pStyle w:val="BodyTextIndent"/>
        <w:numPr>
          <w:ilvl w:val="0"/>
          <w:numId w:val="2"/>
        </w:numPr>
      </w:pPr>
      <w:r w:rsidRPr="0094041C">
        <w:rPr>
          <w:b/>
          <w:bCs/>
        </w:rPr>
        <w:t>Discurso estigmatizante y racismo institucional:</w:t>
      </w:r>
    </w:p>
    <w:p w14:paraId="0E5679E8" w14:textId="77CFB9A8" w:rsidR="00AE65BD" w:rsidRPr="0094041C" w:rsidRDefault="00AE65BD" w:rsidP="00AE65BD">
      <w:pPr>
        <w:pStyle w:val="BodyTextIndent"/>
        <w:ind w:left="720" w:firstLine="0"/>
      </w:pPr>
      <w:r w:rsidRPr="0094041C">
        <w:t>¿Qué acciones tomará el Estado para erradicar expresiones discriminatorias por parte de autoridades, incluidas las declaraciones del presidente, que legitiman la violencia y el desprecio hacia pueblos indígenas?</w:t>
      </w:r>
    </w:p>
    <w:p w14:paraId="07C33EE1" w14:textId="77777777" w:rsidR="00AE65BD" w:rsidRPr="0094041C" w:rsidRDefault="00AE65BD" w:rsidP="00AE65BD">
      <w:pPr>
        <w:pStyle w:val="BodyTextIndent"/>
        <w:numPr>
          <w:ilvl w:val="0"/>
          <w:numId w:val="2"/>
        </w:numPr>
      </w:pPr>
      <w:r w:rsidRPr="0094041C">
        <w:rPr>
          <w:b/>
          <w:bCs/>
        </w:rPr>
        <w:t>Derechos territoriales y CLPI:</w:t>
      </w:r>
    </w:p>
    <w:p w14:paraId="1F9BBEEA" w14:textId="1490E173" w:rsidR="00AE65BD" w:rsidRPr="0094041C" w:rsidRDefault="00AE65BD" w:rsidP="00AE65BD">
      <w:pPr>
        <w:pStyle w:val="BodyTextIndent"/>
        <w:ind w:left="720" w:firstLine="0"/>
      </w:pPr>
      <w:r w:rsidRPr="0094041C">
        <w:t>¿Cuáles son los avances concretos en la implementación de un marco legal vinculante de consulta y consentimiento previo, libre e informado, conforme a estándares internacionales?</w:t>
      </w:r>
    </w:p>
    <w:p w14:paraId="2973BA72" w14:textId="77777777" w:rsidR="00AE65BD" w:rsidRPr="0094041C" w:rsidRDefault="00AE65BD" w:rsidP="00AE65BD">
      <w:pPr>
        <w:pStyle w:val="BodyTextIndent"/>
        <w:numPr>
          <w:ilvl w:val="0"/>
          <w:numId w:val="2"/>
        </w:numPr>
      </w:pPr>
      <w:r w:rsidRPr="0094041C">
        <w:rPr>
          <w:b/>
          <w:bCs/>
        </w:rPr>
        <w:t>Desigualdades socioeconómicas:</w:t>
      </w:r>
    </w:p>
    <w:p w14:paraId="13823FB8" w14:textId="590B817F" w:rsidR="00AE65BD" w:rsidRDefault="00AE65BD" w:rsidP="00AE65BD">
      <w:pPr>
        <w:pStyle w:val="BodyTextIndent"/>
        <w:ind w:left="720" w:firstLine="0"/>
      </w:pPr>
      <w:r w:rsidRPr="0094041C">
        <w:t>¿Cómo se garantiza la asignación de recursos presupuestarios adecuados para la provisión de servicios en las comarcas y territorios colectivos?</w:t>
      </w:r>
    </w:p>
    <w:p w14:paraId="73D1ED11" w14:textId="148F8E6A" w:rsidR="00B371CC" w:rsidRDefault="00B371CC" w:rsidP="00B371CC">
      <w:pPr>
        <w:pStyle w:val="BodyTextIndent"/>
        <w:numPr>
          <w:ilvl w:val="0"/>
          <w:numId w:val="2"/>
        </w:numPr>
        <w:rPr>
          <w:b/>
          <w:bCs/>
        </w:rPr>
      </w:pPr>
      <w:r w:rsidRPr="00B371CC">
        <w:rPr>
          <w:b/>
          <w:bCs/>
        </w:rPr>
        <w:t>Mujeres indígenas y discriminación interseccional</w:t>
      </w:r>
    </w:p>
    <w:p w14:paraId="4308B8C7" w14:textId="001BE8CA" w:rsidR="00B371CC" w:rsidRPr="00B371CC" w:rsidRDefault="00B371CC" w:rsidP="00B371CC">
      <w:pPr>
        <w:pStyle w:val="BodyTextIndent"/>
        <w:ind w:left="720" w:firstLine="0"/>
      </w:pPr>
      <w:r w:rsidRPr="00B371CC">
        <w:t>¿Qué medidas específicas está tomando el Estado para eliminar la discriminación múltiple que enfrentan las mujeres indígenas en educación, empleo, salud y acceso a la justicia, en cumplimiento de la ICERD?</w:t>
      </w:r>
    </w:p>
    <w:p w14:paraId="4D2066A1" w14:textId="77777777" w:rsidR="00AE65BD" w:rsidRPr="0094041C" w:rsidRDefault="00AE65BD" w:rsidP="00AE65BD">
      <w:pPr>
        <w:pStyle w:val="BodyTextIndent"/>
        <w:numPr>
          <w:ilvl w:val="0"/>
          <w:numId w:val="2"/>
        </w:numPr>
      </w:pPr>
      <w:r w:rsidRPr="0094041C">
        <w:rPr>
          <w:b/>
          <w:bCs/>
        </w:rPr>
        <w:t>Educación y derechos culturales:</w:t>
      </w:r>
    </w:p>
    <w:p w14:paraId="0206F546" w14:textId="77777777" w:rsidR="00AE65BD" w:rsidRPr="0094041C" w:rsidRDefault="00AE65BD" w:rsidP="00AE65BD">
      <w:pPr>
        <w:pStyle w:val="BodyTextIndent"/>
        <w:ind w:left="720" w:firstLine="0"/>
      </w:pPr>
      <w:r w:rsidRPr="0094041C">
        <w:t>a) ¿Qué medidas concretas se están adoptando para garantizar la educación intercultural bilingüe y combatir la discriminación contra estudiantes indígenas en las escuelas?</w:t>
      </w:r>
    </w:p>
    <w:p w14:paraId="47521A18" w14:textId="7A3C947C" w:rsidR="00AE65BD" w:rsidRPr="0094041C" w:rsidRDefault="00AE65BD" w:rsidP="00AE65BD">
      <w:pPr>
        <w:pStyle w:val="BodyTextIndent"/>
        <w:ind w:left="720" w:firstLine="0"/>
      </w:pPr>
      <w:r w:rsidRPr="0094041C">
        <w:t>b) ¿Qué estrategias existen para preservar, revitalizar y promover las lenguas y expresiones culturales indígenas?</w:t>
      </w:r>
    </w:p>
    <w:p w14:paraId="026950E2" w14:textId="77777777" w:rsidR="00AE65BD" w:rsidRPr="0094041C" w:rsidRDefault="00AE65BD" w:rsidP="00AE65BD">
      <w:pPr>
        <w:pStyle w:val="BodyTextIndent"/>
        <w:numPr>
          <w:ilvl w:val="0"/>
          <w:numId w:val="2"/>
        </w:numPr>
      </w:pPr>
      <w:r w:rsidRPr="0094041C">
        <w:rPr>
          <w:b/>
          <w:bCs/>
        </w:rPr>
        <w:t>Derechos ambientales:</w:t>
      </w:r>
    </w:p>
    <w:p w14:paraId="642E8DEE" w14:textId="5B850AA9" w:rsidR="00AE65BD" w:rsidRPr="0094041C" w:rsidRDefault="00AE65BD" w:rsidP="00AE65BD">
      <w:pPr>
        <w:pStyle w:val="BodyTextIndent"/>
        <w:ind w:left="720" w:firstLine="0"/>
      </w:pPr>
      <w:r w:rsidRPr="0094041C">
        <w:t>¿Qué acciones ha tomado el Estado para reparar los daños ambientales causados por proyectos extractivos en territorios indígenas y garantizar la participación plena de las comunidades en la toma de decisiones ambientales?</w:t>
      </w:r>
    </w:p>
    <w:p w14:paraId="015AB052" w14:textId="77777777" w:rsidR="00AE65BD" w:rsidRPr="0094041C" w:rsidRDefault="00AE65BD" w:rsidP="00AE65BD">
      <w:pPr>
        <w:pStyle w:val="BodyTextIndent"/>
        <w:ind w:firstLine="0"/>
      </w:pPr>
    </w:p>
    <w:p w14:paraId="4B2604B4" w14:textId="77777777" w:rsidR="007B5B77" w:rsidRPr="0094041C" w:rsidRDefault="007B5B77" w:rsidP="007B5B77">
      <w:pPr>
        <w:spacing w:line="240" w:lineRule="auto"/>
        <w:jc w:val="both"/>
        <w:rPr>
          <w:rFonts w:ascii="Times New Roman" w:hAnsi="Times New Roman" w:cs="Times New Roman"/>
          <w:b/>
          <w:bCs/>
          <w:sz w:val="24"/>
          <w:szCs w:val="24"/>
        </w:rPr>
      </w:pPr>
    </w:p>
    <w:p w14:paraId="48510100" w14:textId="77777777" w:rsidR="00D07297" w:rsidRPr="0094041C" w:rsidRDefault="00D07297" w:rsidP="002F1A50">
      <w:pPr>
        <w:jc w:val="center"/>
        <w:rPr>
          <w:rFonts w:ascii="Times New Roman" w:hAnsi="Times New Roman" w:cs="Times New Roman"/>
          <w:sz w:val="24"/>
          <w:szCs w:val="24"/>
        </w:rPr>
      </w:pPr>
    </w:p>
    <w:p w14:paraId="05A9D23F" w14:textId="77777777" w:rsidR="002F1A50" w:rsidRPr="0094041C" w:rsidRDefault="002F1A50" w:rsidP="0092382E">
      <w:pPr>
        <w:rPr>
          <w:rFonts w:ascii="Times New Roman" w:hAnsi="Times New Roman" w:cs="Times New Roman"/>
          <w:sz w:val="24"/>
          <w:szCs w:val="24"/>
        </w:rPr>
      </w:pPr>
    </w:p>
    <w:p w14:paraId="09C549BE" w14:textId="77777777" w:rsidR="002F1A50" w:rsidRPr="0094041C" w:rsidRDefault="002F1A50" w:rsidP="0094041C">
      <w:pPr>
        <w:rPr>
          <w:rFonts w:ascii="Times New Roman" w:hAnsi="Times New Roman" w:cs="Times New Roman"/>
          <w:sz w:val="24"/>
          <w:szCs w:val="24"/>
        </w:rPr>
      </w:pPr>
    </w:p>
    <w:p w14:paraId="016CCB2E" w14:textId="77777777" w:rsidR="002F1A50" w:rsidRPr="0094041C" w:rsidRDefault="002F1A50" w:rsidP="002F1A50">
      <w:pPr>
        <w:jc w:val="both"/>
        <w:rPr>
          <w:rFonts w:ascii="Times New Roman" w:hAnsi="Times New Roman" w:cs="Times New Roman"/>
          <w:sz w:val="24"/>
          <w:szCs w:val="24"/>
        </w:rPr>
      </w:pPr>
    </w:p>
    <w:p w14:paraId="4017F215" w14:textId="057CFA76" w:rsidR="002F1A50" w:rsidRPr="0094041C" w:rsidRDefault="002F1A50" w:rsidP="0092382E">
      <w:pPr>
        <w:ind w:firstLine="360"/>
        <w:jc w:val="both"/>
        <w:rPr>
          <w:rFonts w:ascii="Times New Roman" w:hAnsi="Times New Roman" w:cs="Times New Roman"/>
          <w:b/>
          <w:bCs/>
          <w:sz w:val="24"/>
          <w:szCs w:val="24"/>
        </w:rPr>
      </w:pPr>
      <w:r w:rsidRPr="0094041C">
        <w:rPr>
          <w:rFonts w:ascii="Times New Roman" w:hAnsi="Times New Roman" w:cs="Times New Roman"/>
          <w:b/>
          <w:bCs/>
          <w:sz w:val="24"/>
          <w:szCs w:val="24"/>
        </w:rPr>
        <w:t xml:space="preserve">Organizaciones </w:t>
      </w:r>
      <w:r w:rsidR="00AE65BD" w:rsidRPr="0094041C">
        <w:rPr>
          <w:rFonts w:ascii="Times New Roman" w:hAnsi="Times New Roman" w:cs="Times New Roman"/>
          <w:b/>
          <w:bCs/>
          <w:sz w:val="24"/>
          <w:szCs w:val="24"/>
        </w:rPr>
        <w:t>firmantes</w:t>
      </w:r>
      <w:r w:rsidRPr="0094041C">
        <w:rPr>
          <w:rFonts w:ascii="Times New Roman" w:hAnsi="Times New Roman" w:cs="Times New Roman"/>
          <w:b/>
          <w:bCs/>
          <w:sz w:val="24"/>
          <w:szCs w:val="24"/>
        </w:rPr>
        <w:t>:</w:t>
      </w:r>
    </w:p>
    <w:p w14:paraId="12A996E7" w14:textId="77777777" w:rsidR="0094041C" w:rsidRPr="0094041C" w:rsidRDefault="0094041C" w:rsidP="002F1A50">
      <w:pPr>
        <w:jc w:val="both"/>
        <w:rPr>
          <w:rFonts w:ascii="Times New Roman" w:hAnsi="Times New Roman" w:cs="Times New Roman"/>
          <w:b/>
          <w:bCs/>
          <w:sz w:val="24"/>
          <w:szCs w:val="24"/>
        </w:rPr>
      </w:pPr>
    </w:p>
    <w:p w14:paraId="1017BBE8" w14:textId="552C4290"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Alianza de Mujeres Indígenas de Centroamérica y México (AMICAM)</w:t>
      </w:r>
    </w:p>
    <w:p w14:paraId="79906914" w14:textId="315D4242"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Asociación de Estudiantes Kunas (AEKU)</w:t>
      </w:r>
    </w:p>
    <w:p w14:paraId="341C0E24" w14:textId="7437AE93"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Asociación de Estudiantes Emberá-Wounaan de la Universidad de Panamá (ASEEWUP)</w:t>
      </w:r>
    </w:p>
    <w:p w14:paraId="335747E1" w14:textId="755248E0"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Bellezas Indígenas de Panamá (OBIP)</w:t>
      </w:r>
    </w:p>
    <w:p w14:paraId="366D638C" w14:textId="118AE753"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Centro de Desarrollo y Asistencia Técnica Ngäbe (CEDETENG)</w:t>
      </w:r>
    </w:p>
    <w:p w14:paraId="1D90BF6A" w14:textId="1292A01B"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 xml:space="preserve">Congreso local de </w:t>
      </w:r>
      <w:proofErr w:type="spellStart"/>
      <w:r w:rsidRPr="0094041C">
        <w:rPr>
          <w:rFonts w:ascii="Times New Roman" w:hAnsi="Times New Roman" w:cs="Times New Roman"/>
          <w:sz w:val="24"/>
          <w:szCs w:val="24"/>
        </w:rPr>
        <w:t>Mironó</w:t>
      </w:r>
      <w:proofErr w:type="spellEnd"/>
    </w:p>
    <w:p w14:paraId="550BF8E8" w14:textId="6DA43D54"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Coordinadora Nacional de Mujeres Indígenas de Panamá (CONAMUIP)</w:t>
      </w:r>
    </w:p>
    <w:p w14:paraId="4758CD59" w14:textId="21196FF9"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Fundación Casa Taller</w:t>
      </w:r>
    </w:p>
    <w:p w14:paraId="34CAACD8" w14:textId="079F8B7E"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Instituto de Patrimonio Cultural del Pueblo Guna (IPCPG)</w:t>
      </w:r>
    </w:p>
    <w:p w14:paraId="5E55A851" w14:textId="28EEC0A6"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Organización de Mujeres Indígenas Unidas por la Biodiversidad (OMIUB)</w:t>
      </w:r>
    </w:p>
    <w:p w14:paraId="17272111" w14:textId="596AADBC"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Resistencia indígena de Bocas del Toro</w:t>
      </w:r>
    </w:p>
    <w:p w14:paraId="78B5B86E" w14:textId="77777777"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 xml:space="preserve">Unión Nacional de Mujeres Kunas </w:t>
      </w:r>
      <w:proofErr w:type="spellStart"/>
      <w:r w:rsidRPr="0094041C">
        <w:rPr>
          <w:rFonts w:ascii="Times New Roman" w:hAnsi="Times New Roman" w:cs="Times New Roman"/>
          <w:sz w:val="24"/>
          <w:szCs w:val="24"/>
        </w:rPr>
        <w:t>Nis</w:t>
      </w:r>
      <w:proofErr w:type="spellEnd"/>
      <w:r w:rsidRPr="0094041C">
        <w:rPr>
          <w:rFonts w:ascii="Times New Roman" w:hAnsi="Times New Roman" w:cs="Times New Roman"/>
          <w:sz w:val="24"/>
          <w:szCs w:val="24"/>
        </w:rPr>
        <w:t xml:space="preserve"> </w:t>
      </w:r>
      <w:proofErr w:type="spellStart"/>
      <w:r w:rsidRPr="0094041C">
        <w:rPr>
          <w:rFonts w:ascii="Times New Roman" w:hAnsi="Times New Roman" w:cs="Times New Roman"/>
          <w:sz w:val="24"/>
          <w:szCs w:val="24"/>
        </w:rPr>
        <w:t>Bundor</w:t>
      </w:r>
      <w:proofErr w:type="spellEnd"/>
    </w:p>
    <w:p w14:paraId="532C4365" w14:textId="4ED4D097" w:rsidR="0094041C" w:rsidRPr="0094041C" w:rsidRDefault="0094041C" w:rsidP="0094041C">
      <w:pPr>
        <w:pStyle w:val="ListParagraph"/>
        <w:numPr>
          <w:ilvl w:val="0"/>
          <w:numId w:val="3"/>
        </w:numPr>
        <w:jc w:val="both"/>
        <w:rPr>
          <w:rFonts w:ascii="Times New Roman" w:hAnsi="Times New Roman" w:cs="Times New Roman"/>
          <w:sz w:val="24"/>
          <w:szCs w:val="24"/>
        </w:rPr>
      </w:pPr>
      <w:r w:rsidRPr="0094041C">
        <w:rPr>
          <w:rFonts w:ascii="Times New Roman" w:hAnsi="Times New Roman" w:cs="Times New Roman"/>
          <w:sz w:val="24"/>
          <w:szCs w:val="24"/>
        </w:rPr>
        <w:t>Universidad Especializada de las Américas (UDELAS)</w:t>
      </w:r>
    </w:p>
    <w:p w14:paraId="44BBB86F" w14:textId="77777777" w:rsidR="0094041C" w:rsidRPr="0094041C" w:rsidRDefault="0094041C" w:rsidP="002F1A50">
      <w:pPr>
        <w:jc w:val="both"/>
        <w:rPr>
          <w:rFonts w:ascii="Times New Roman" w:hAnsi="Times New Roman" w:cs="Times New Roman"/>
          <w:b/>
          <w:bCs/>
          <w:sz w:val="24"/>
          <w:szCs w:val="24"/>
        </w:rPr>
      </w:pPr>
    </w:p>
    <w:p w14:paraId="5FF45E9B" w14:textId="77777777" w:rsidR="002F1A50" w:rsidRPr="0094041C" w:rsidRDefault="002F1A50" w:rsidP="002F1A50">
      <w:pPr>
        <w:jc w:val="both"/>
        <w:rPr>
          <w:rFonts w:ascii="Times New Roman" w:hAnsi="Times New Roman" w:cs="Times New Roman"/>
          <w:sz w:val="24"/>
          <w:szCs w:val="24"/>
        </w:rPr>
      </w:pPr>
    </w:p>
    <w:p w14:paraId="383AE982" w14:textId="77777777" w:rsidR="002F1A50" w:rsidRPr="0094041C" w:rsidRDefault="002F1A50" w:rsidP="002F1A50">
      <w:pPr>
        <w:jc w:val="both"/>
        <w:rPr>
          <w:rFonts w:ascii="Times New Roman" w:hAnsi="Times New Roman" w:cs="Times New Roman"/>
          <w:sz w:val="24"/>
          <w:szCs w:val="24"/>
        </w:rPr>
      </w:pPr>
    </w:p>
    <w:p w14:paraId="3A9E9349" w14:textId="77777777" w:rsidR="002F1A50" w:rsidRPr="0094041C" w:rsidRDefault="002F1A50" w:rsidP="002F1A50">
      <w:pPr>
        <w:jc w:val="both"/>
        <w:rPr>
          <w:rFonts w:ascii="Times New Roman" w:hAnsi="Times New Roman" w:cs="Times New Roman"/>
          <w:sz w:val="24"/>
          <w:szCs w:val="24"/>
        </w:rPr>
      </w:pPr>
    </w:p>
    <w:p w14:paraId="3D708E60" w14:textId="77777777" w:rsidR="002F1A50" w:rsidRPr="0094041C" w:rsidRDefault="002F1A50" w:rsidP="002F1A50">
      <w:pPr>
        <w:jc w:val="both"/>
        <w:rPr>
          <w:rFonts w:ascii="Times New Roman" w:hAnsi="Times New Roman" w:cs="Times New Roman"/>
          <w:sz w:val="24"/>
          <w:szCs w:val="24"/>
        </w:rPr>
      </w:pPr>
    </w:p>
    <w:p w14:paraId="45F4161F" w14:textId="77777777" w:rsidR="002F1A50" w:rsidRPr="0094041C" w:rsidRDefault="002F1A50" w:rsidP="002F1A50">
      <w:pPr>
        <w:jc w:val="both"/>
        <w:rPr>
          <w:rFonts w:ascii="Times New Roman" w:hAnsi="Times New Roman" w:cs="Times New Roman"/>
          <w:sz w:val="24"/>
          <w:szCs w:val="24"/>
        </w:rPr>
      </w:pPr>
    </w:p>
    <w:p w14:paraId="11CD7B47" w14:textId="77777777" w:rsidR="002F1A50" w:rsidRPr="0094041C" w:rsidRDefault="002F1A50" w:rsidP="002F1A50">
      <w:pPr>
        <w:jc w:val="both"/>
        <w:rPr>
          <w:rFonts w:ascii="Times New Roman" w:hAnsi="Times New Roman" w:cs="Times New Roman"/>
          <w:sz w:val="24"/>
          <w:szCs w:val="24"/>
        </w:rPr>
      </w:pPr>
    </w:p>
    <w:p w14:paraId="5FC53286" w14:textId="77777777" w:rsidR="002F1A50" w:rsidRPr="0094041C" w:rsidRDefault="002F1A50" w:rsidP="002F1A50">
      <w:pPr>
        <w:jc w:val="both"/>
        <w:rPr>
          <w:rFonts w:ascii="Times New Roman" w:hAnsi="Times New Roman" w:cs="Times New Roman"/>
          <w:sz w:val="24"/>
          <w:szCs w:val="24"/>
        </w:rPr>
      </w:pPr>
    </w:p>
    <w:p w14:paraId="7464FBB8" w14:textId="77777777" w:rsidR="002F1A50" w:rsidRPr="0094041C" w:rsidRDefault="002F1A50" w:rsidP="002F1A50">
      <w:pPr>
        <w:jc w:val="both"/>
        <w:rPr>
          <w:rFonts w:ascii="Times New Roman" w:hAnsi="Times New Roman" w:cs="Times New Roman"/>
          <w:sz w:val="24"/>
          <w:szCs w:val="24"/>
        </w:rPr>
      </w:pPr>
    </w:p>
    <w:p w14:paraId="33CE9CC3" w14:textId="77777777" w:rsidR="002F1A50" w:rsidRPr="0094041C" w:rsidRDefault="002F1A50" w:rsidP="002F1A50">
      <w:pPr>
        <w:jc w:val="both"/>
        <w:rPr>
          <w:rFonts w:ascii="Times New Roman" w:hAnsi="Times New Roman" w:cs="Times New Roman"/>
          <w:sz w:val="24"/>
          <w:szCs w:val="24"/>
        </w:rPr>
      </w:pPr>
    </w:p>
    <w:p w14:paraId="52B6886D" w14:textId="77777777" w:rsidR="002F1A50" w:rsidRPr="0094041C" w:rsidRDefault="002F1A50" w:rsidP="002F1A50">
      <w:pPr>
        <w:jc w:val="both"/>
        <w:rPr>
          <w:rFonts w:ascii="Times New Roman" w:hAnsi="Times New Roman" w:cs="Times New Roman"/>
          <w:sz w:val="24"/>
          <w:szCs w:val="24"/>
        </w:rPr>
      </w:pPr>
    </w:p>
    <w:p w14:paraId="751CD8D9" w14:textId="77777777" w:rsidR="002F1A50" w:rsidRPr="0094041C" w:rsidRDefault="002F1A50" w:rsidP="002F1A50">
      <w:pPr>
        <w:jc w:val="both"/>
        <w:rPr>
          <w:rFonts w:ascii="Times New Roman" w:hAnsi="Times New Roman" w:cs="Times New Roman"/>
          <w:sz w:val="24"/>
          <w:szCs w:val="24"/>
        </w:rPr>
      </w:pPr>
    </w:p>
    <w:p w14:paraId="22CF3B77" w14:textId="77777777" w:rsidR="002F1A50" w:rsidRPr="0094041C" w:rsidRDefault="002F1A50" w:rsidP="002F1A50">
      <w:pPr>
        <w:jc w:val="both"/>
        <w:rPr>
          <w:rFonts w:ascii="Times New Roman" w:hAnsi="Times New Roman" w:cs="Times New Roman"/>
          <w:sz w:val="24"/>
          <w:szCs w:val="24"/>
        </w:rPr>
      </w:pPr>
    </w:p>
    <w:p w14:paraId="58710CDE" w14:textId="77777777" w:rsidR="002F1A50" w:rsidRPr="0094041C" w:rsidRDefault="002F1A50" w:rsidP="002F1A50">
      <w:pPr>
        <w:jc w:val="both"/>
        <w:rPr>
          <w:rFonts w:ascii="Times New Roman" w:hAnsi="Times New Roman" w:cs="Times New Roman"/>
          <w:sz w:val="24"/>
          <w:szCs w:val="24"/>
        </w:rPr>
      </w:pPr>
    </w:p>
    <w:p w14:paraId="326B029D" w14:textId="77777777" w:rsidR="002F1A50" w:rsidRPr="0094041C" w:rsidRDefault="002F1A50" w:rsidP="002F1A50">
      <w:pPr>
        <w:jc w:val="both"/>
        <w:rPr>
          <w:rFonts w:ascii="Times New Roman" w:hAnsi="Times New Roman" w:cs="Times New Roman"/>
          <w:sz w:val="24"/>
          <w:szCs w:val="24"/>
        </w:rPr>
      </w:pPr>
    </w:p>
    <w:p w14:paraId="7220F52C" w14:textId="77777777" w:rsidR="002F1A50" w:rsidRPr="0094041C" w:rsidRDefault="002F1A50" w:rsidP="002F1A50">
      <w:pPr>
        <w:jc w:val="both"/>
        <w:rPr>
          <w:rFonts w:ascii="Times New Roman" w:hAnsi="Times New Roman" w:cs="Times New Roman"/>
          <w:sz w:val="24"/>
          <w:szCs w:val="24"/>
        </w:rPr>
      </w:pPr>
    </w:p>
    <w:p w14:paraId="161071C6" w14:textId="77777777" w:rsidR="002F1A50" w:rsidRPr="0094041C" w:rsidRDefault="002F1A50" w:rsidP="002F1A50">
      <w:pPr>
        <w:jc w:val="both"/>
        <w:rPr>
          <w:rFonts w:ascii="Times New Roman" w:hAnsi="Times New Roman" w:cs="Times New Roman"/>
          <w:sz w:val="24"/>
          <w:szCs w:val="24"/>
        </w:rPr>
      </w:pPr>
    </w:p>
    <w:p w14:paraId="0D1DF359" w14:textId="77777777" w:rsidR="002F1A50" w:rsidRPr="0094041C" w:rsidRDefault="002F1A50" w:rsidP="002F1A50">
      <w:pPr>
        <w:jc w:val="both"/>
        <w:rPr>
          <w:rFonts w:ascii="Times New Roman" w:hAnsi="Times New Roman" w:cs="Times New Roman"/>
          <w:sz w:val="24"/>
          <w:szCs w:val="24"/>
        </w:rPr>
      </w:pPr>
    </w:p>
    <w:p w14:paraId="070A2510" w14:textId="77777777" w:rsidR="002F1A50" w:rsidRPr="0094041C" w:rsidRDefault="002F1A50" w:rsidP="002F1A50">
      <w:pPr>
        <w:jc w:val="both"/>
        <w:rPr>
          <w:rFonts w:ascii="Times New Roman" w:hAnsi="Times New Roman" w:cs="Times New Roman"/>
          <w:sz w:val="24"/>
          <w:szCs w:val="24"/>
        </w:rPr>
      </w:pPr>
    </w:p>
    <w:p w14:paraId="4F5AEA7B" w14:textId="77777777" w:rsidR="002F1A50" w:rsidRPr="0094041C" w:rsidRDefault="002F1A50" w:rsidP="002F1A50">
      <w:pPr>
        <w:jc w:val="both"/>
        <w:rPr>
          <w:rFonts w:ascii="Times New Roman" w:hAnsi="Times New Roman" w:cs="Times New Roman"/>
          <w:sz w:val="24"/>
          <w:szCs w:val="24"/>
        </w:rPr>
      </w:pPr>
    </w:p>
    <w:p w14:paraId="1F517155" w14:textId="77777777" w:rsidR="002F1A50" w:rsidRPr="0094041C" w:rsidRDefault="002F1A50" w:rsidP="002F1A50">
      <w:pPr>
        <w:jc w:val="both"/>
        <w:rPr>
          <w:rFonts w:ascii="Times New Roman" w:hAnsi="Times New Roman" w:cs="Times New Roman"/>
          <w:sz w:val="24"/>
          <w:szCs w:val="24"/>
        </w:rPr>
      </w:pPr>
    </w:p>
    <w:p w14:paraId="4553244F" w14:textId="77777777" w:rsidR="002F1A50" w:rsidRPr="0094041C" w:rsidRDefault="002F1A50" w:rsidP="002F1A50">
      <w:pPr>
        <w:jc w:val="both"/>
        <w:rPr>
          <w:rFonts w:ascii="Times New Roman" w:hAnsi="Times New Roman" w:cs="Times New Roman"/>
          <w:sz w:val="24"/>
          <w:szCs w:val="24"/>
        </w:rPr>
      </w:pPr>
    </w:p>
    <w:p w14:paraId="4AC3E068" w14:textId="77777777" w:rsidR="002F1A50" w:rsidRPr="0094041C" w:rsidRDefault="002F1A50" w:rsidP="002F1A50">
      <w:pPr>
        <w:jc w:val="both"/>
        <w:rPr>
          <w:rFonts w:ascii="Times New Roman" w:hAnsi="Times New Roman" w:cs="Times New Roman"/>
          <w:sz w:val="24"/>
          <w:szCs w:val="24"/>
        </w:rPr>
      </w:pPr>
    </w:p>
    <w:p w14:paraId="1C65E0B7" w14:textId="77777777" w:rsidR="002F1A50" w:rsidRPr="0094041C" w:rsidRDefault="002F1A50" w:rsidP="002F1A50">
      <w:pPr>
        <w:jc w:val="both"/>
        <w:rPr>
          <w:rFonts w:ascii="Times New Roman" w:hAnsi="Times New Roman" w:cs="Times New Roman"/>
          <w:sz w:val="24"/>
          <w:szCs w:val="24"/>
        </w:rPr>
      </w:pPr>
    </w:p>
    <w:p w14:paraId="0EF274BB" w14:textId="77777777" w:rsidR="002F1A50" w:rsidRPr="0094041C" w:rsidRDefault="002F1A50" w:rsidP="002F1A50">
      <w:pPr>
        <w:jc w:val="both"/>
        <w:rPr>
          <w:rFonts w:ascii="Times New Roman" w:hAnsi="Times New Roman" w:cs="Times New Roman"/>
          <w:sz w:val="24"/>
          <w:szCs w:val="24"/>
        </w:rPr>
      </w:pPr>
    </w:p>
    <w:p w14:paraId="4F4A3531" w14:textId="77777777" w:rsidR="002F1A50" w:rsidRPr="0094041C" w:rsidRDefault="002F1A50" w:rsidP="002F1A50">
      <w:pPr>
        <w:jc w:val="both"/>
        <w:rPr>
          <w:rFonts w:ascii="Times New Roman" w:hAnsi="Times New Roman" w:cs="Times New Roman"/>
          <w:sz w:val="24"/>
          <w:szCs w:val="24"/>
        </w:rPr>
      </w:pPr>
    </w:p>
    <w:p w14:paraId="067C0B60" w14:textId="77777777" w:rsidR="002F1A50" w:rsidRPr="0094041C" w:rsidRDefault="002F1A50" w:rsidP="002F1A50">
      <w:pPr>
        <w:jc w:val="both"/>
        <w:rPr>
          <w:rFonts w:ascii="Times New Roman" w:hAnsi="Times New Roman" w:cs="Times New Roman"/>
          <w:sz w:val="24"/>
          <w:szCs w:val="24"/>
        </w:rPr>
      </w:pPr>
    </w:p>
    <w:p w14:paraId="585FFEE3" w14:textId="77777777" w:rsidR="002F1A50" w:rsidRPr="0094041C" w:rsidRDefault="002F1A50" w:rsidP="002F1A50">
      <w:pPr>
        <w:jc w:val="both"/>
        <w:rPr>
          <w:rFonts w:ascii="Times New Roman" w:hAnsi="Times New Roman" w:cs="Times New Roman"/>
          <w:sz w:val="24"/>
          <w:szCs w:val="24"/>
        </w:rPr>
      </w:pPr>
    </w:p>
    <w:p w14:paraId="33455E07" w14:textId="77777777" w:rsidR="002F1A50" w:rsidRPr="0094041C" w:rsidRDefault="002F1A50" w:rsidP="002F1A50">
      <w:pPr>
        <w:jc w:val="both"/>
        <w:rPr>
          <w:rFonts w:ascii="Times New Roman" w:hAnsi="Times New Roman" w:cs="Times New Roman"/>
          <w:sz w:val="24"/>
          <w:szCs w:val="24"/>
        </w:rPr>
      </w:pPr>
    </w:p>
    <w:sectPr w:rsidR="002F1A50" w:rsidRPr="0094041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0D8A8" w14:textId="77777777" w:rsidR="008B2AA4" w:rsidRPr="006F5690" w:rsidRDefault="008B2AA4" w:rsidP="00FB659F">
      <w:pPr>
        <w:spacing w:after="0" w:line="240" w:lineRule="auto"/>
      </w:pPr>
      <w:r w:rsidRPr="006F5690">
        <w:separator/>
      </w:r>
    </w:p>
  </w:endnote>
  <w:endnote w:type="continuationSeparator" w:id="0">
    <w:p w14:paraId="5E06A67D" w14:textId="77777777" w:rsidR="008B2AA4" w:rsidRPr="006F5690" w:rsidRDefault="008B2AA4" w:rsidP="00FB659F">
      <w:pPr>
        <w:spacing w:after="0" w:line="240" w:lineRule="auto"/>
      </w:pPr>
      <w:r w:rsidRPr="006F56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787A5" w14:textId="77777777" w:rsidR="008B2AA4" w:rsidRPr="006F5690" w:rsidRDefault="008B2AA4" w:rsidP="00FB659F">
      <w:pPr>
        <w:spacing w:after="0" w:line="240" w:lineRule="auto"/>
      </w:pPr>
      <w:r w:rsidRPr="006F5690">
        <w:separator/>
      </w:r>
    </w:p>
  </w:footnote>
  <w:footnote w:type="continuationSeparator" w:id="0">
    <w:p w14:paraId="2155C158" w14:textId="77777777" w:rsidR="008B2AA4" w:rsidRPr="006F5690" w:rsidRDefault="008B2AA4" w:rsidP="00FB659F">
      <w:pPr>
        <w:spacing w:after="0" w:line="240" w:lineRule="auto"/>
      </w:pPr>
      <w:r w:rsidRPr="006F5690">
        <w:continuationSeparator/>
      </w:r>
    </w:p>
  </w:footnote>
  <w:footnote w:id="1">
    <w:p w14:paraId="1ED08C3D" w14:textId="22376CE1" w:rsidR="00FB659F" w:rsidRPr="006F5690" w:rsidRDefault="00FB659F" w:rsidP="00DD045D">
      <w:pPr>
        <w:pStyle w:val="FootnoteText"/>
        <w:jc w:val="both"/>
      </w:pPr>
      <w:r w:rsidRPr="006F5690">
        <w:rPr>
          <w:rStyle w:val="FootnoteReference"/>
        </w:rPr>
        <w:footnoteRef/>
      </w:r>
      <w:r w:rsidRPr="006F5690">
        <w:t xml:space="preserve"> Según datos estadísticos recopilados por el Ministerio de Salud en el </w:t>
      </w:r>
      <w:r w:rsidRPr="006F5690">
        <w:rPr>
          <w:i/>
          <w:iCs/>
        </w:rPr>
        <w:t>Perfil de Salud de los Territorios Indígenas de Panamá</w:t>
      </w:r>
      <w:r w:rsidRPr="006F5690">
        <w:t>, 2024</w:t>
      </w:r>
    </w:p>
  </w:footnote>
  <w:footnote w:id="2">
    <w:p w14:paraId="45E8D0E5" w14:textId="469A1854" w:rsidR="00161EB8" w:rsidRPr="006F5690" w:rsidRDefault="00161EB8" w:rsidP="000C14AF">
      <w:pPr>
        <w:pStyle w:val="FootnoteText"/>
        <w:jc w:val="both"/>
      </w:pPr>
      <w:r w:rsidRPr="006F5690">
        <w:rPr>
          <w:rStyle w:val="FootnoteReference"/>
        </w:rPr>
        <w:footnoteRef/>
      </w:r>
      <w:r w:rsidRPr="006F5690">
        <w:t xml:space="preserve"> Fondo de Población de las Naciones Unidas, </w:t>
      </w:r>
      <w:r w:rsidRPr="006F5690">
        <w:rPr>
          <w:i/>
          <w:iCs/>
        </w:rPr>
        <w:t>Análisis de la Situación de la Población Indígena en Panamá</w:t>
      </w:r>
      <w:r w:rsidR="0044356D" w:rsidRPr="006F5690">
        <w:rPr>
          <w:i/>
          <w:iCs/>
        </w:rPr>
        <w:t>:</w:t>
      </w:r>
      <w:r w:rsidRPr="006F5690">
        <w:rPr>
          <w:i/>
          <w:iCs/>
        </w:rPr>
        <w:t xml:space="preserve"> Más Allá de los Números y las Desigualdades Interseccionales </w:t>
      </w:r>
      <w:r w:rsidRPr="006F5690">
        <w:t>(2025), p. 10.</w:t>
      </w:r>
    </w:p>
  </w:footnote>
  <w:footnote w:id="3">
    <w:p w14:paraId="2FDB2EE3" w14:textId="41AB96BF" w:rsidR="00681348" w:rsidRPr="006F5690" w:rsidRDefault="00681348" w:rsidP="000C14AF">
      <w:pPr>
        <w:pStyle w:val="FootnoteText"/>
        <w:jc w:val="both"/>
      </w:pPr>
      <w:r w:rsidRPr="006F5690">
        <w:rPr>
          <w:rStyle w:val="FootnoteReference"/>
        </w:rPr>
        <w:footnoteRef/>
      </w:r>
      <w:r w:rsidRPr="006F5690">
        <w:t xml:space="preserve"> Protestas </w:t>
      </w:r>
      <w:r w:rsidR="00D83447" w:rsidRPr="006F5690">
        <w:t xml:space="preserve">masivas </w:t>
      </w:r>
      <w:r w:rsidRPr="006F5690">
        <w:t xml:space="preserve">en contra de la renovación de la licencia minera de </w:t>
      </w:r>
      <w:proofErr w:type="spellStart"/>
      <w:r w:rsidRPr="006F5690">
        <w:t>First</w:t>
      </w:r>
      <w:proofErr w:type="spellEnd"/>
      <w:r w:rsidRPr="006F5690">
        <w:t xml:space="preserve"> Quantum </w:t>
      </w:r>
      <w:proofErr w:type="spellStart"/>
      <w:r w:rsidRPr="006F5690">
        <w:t>Minerals</w:t>
      </w:r>
      <w:proofErr w:type="spellEnd"/>
      <w:r w:rsidRPr="006F5690">
        <w:t xml:space="preserve"> en zonas biodiversas y territorios indígenas, que culminaron con un fallo de inconstitucionalidad contra la Ley 406 del contrato minero.</w:t>
      </w:r>
    </w:p>
  </w:footnote>
  <w:footnote w:id="4">
    <w:p w14:paraId="4FCACCBA" w14:textId="77C994B2" w:rsidR="00D83447" w:rsidRPr="006F5690" w:rsidRDefault="00D83447" w:rsidP="000C14AF">
      <w:pPr>
        <w:pStyle w:val="FootnoteText"/>
        <w:jc w:val="both"/>
      </w:pPr>
      <w:r w:rsidRPr="006F5690">
        <w:rPr>
          <w:rStyle w:val="FootnoteReference"/>
        </w:rPr>
        <w:footnoteRef/>
      </w:r>
      <w:r w:rsidRPr="006F5690">
        <w:t xml:space="preserve"> Huelgas, marchas y movilizaciones surgidas </w:t>
      </w:r>
      <w:r w:rsidR="000C14AF" w:rsidRPr="006F5690">
        <w:t xml:space="preserve">en abril 2025 </w:t>
      </w:r>
      <w:r w:rsidRPr="006F5690">
        <w:t xml:space="preserve">en </w:t>
      </w:r>
      <w:r w:rsidR="000C14AF" w:rsidRPr="006F5690">
        <w:t>rechazo</w:t>
      </w:r>
      <w:r w:rsidRPr="006F5690">
        <w:t xml:space="preserve"> a la Ley 462</w:t>
      </w:r>
      <w:r w:rsidR="000C14AF" w:rsidRPr="006F5690">
        <w:t xml:space="preserve"> de reforma del sistema de pensiones de la Caja de Seguro Social. Ulteriormente, estas movilizaciones se extendieron a raíz </w:t>
      </w:r>
      <w:r w:rsidR="00A648C4" w:rsidRPr="006F5690">
        <w:t>de un</w:t>
      </w:r>
      <w:r w:rsidR="000C14AF" w:rsidRPr="006F5690">
        <w:t xml:space="preserve"> memorándum de entendimiento entre el </w:t>
      </w:r>
      <w:r w:rsidR="00A648C4" w:rsidRPr="006F5690">
        <w:t>G</w:t>
      </w:r>
      <w:r w:rsidR="000C14AF" w:rsidRPr="006F5690">
        <w:t xml:space="preserve">obierno de Panamá y el Gobierno de </w:t>
      </w:r>
      <w:proofErr w:type="gramStart"/>
      <w:r w:rsidR="000C14AF" w:rsidRPr="006F5690">
        <w:t>EE.UU.</w:t>
      </w:r>
      <w:proofErr w:type="gramEnd"/>
      <w:r w:rsidR="000C14AF" w:rsidRPr="006F5690">
        <w:t xml:space="preserve"> </w:t>
      </w:r>
      <w:r w:rsidR="00A648C4" w:rsidRPr="006F5690">
        <w:t>que permite</w:t>
      </w:r>
      <w:r w:rsidR="000C14AF" w:rsidRPr="006F5690">
        <w:t xml:space="preserve"> una mayor presencia militar estadounidense en Panamá</w:t>
      </w:r>
      <w:r w:rsidR="00A648C4" w:rsidRPr="006F5690">
        <w:t>, y la</w:t>
      </w:r>
      <w:r w:rsidR="000C14AF" w:rsidRPr="006F5690">
        <w:t xml:space="preserve"> </w:t>
      </w:r>
      <w:r w:rsidR="00A648C4" w:rsidRPr="006F5690">
        <w:t>intención del Gobierno panameño de considerar reabrir la mina Cobre Panamá, cerrada en 2023 después del fallo de la Corte Suprema.</w:t>
      </w:r>
    </w:p>
  </w:footnote>
  <w:footnote w:id="5">
    <w:p w14:paraId="352266D3" w14:textId="5A1E6749" w:rsidR="006F5690" w:rsidRPr="006F5690" w:rsidRDefault="006F5690">
      <w:pPr>
        <w:pStyle w:val="FootnoteText"/>
      </w:pPr>
      <w:r w:rsidRPr="006F5690">
        <w:rPr>
          <w:rStyle w:val="FootnoteReference"/>
        </w:rPr>
        <w:footnoteRef/>
      </w:r>
      <w:r w:rsidRPr="006F5690">
        <w:t xml:space="preserve"> Véase: </w:t>
      </w:r>
      <w:hyperlink r:id="rId1" w:history="1">
        <w:r w:rsidRPr="006F5690">
          <w:rPr>
            <w:rStyle w:val="Hyperlink"/>
          </w:rPr>
          <w:t>https://www.iitc.org/es/international-denunciation-of-acts-of-repression-in-panama/</w:t>
        </w:r>
      </w:hyperlink>
      <w:r w:rsidRPr="006F5690">
        <w:t xml:space="preserve">  (2 junio</w:t>
      </w:r>
      <w:r>
        <w:t xml:space="preserve"> 2025</w:t>
      </w:r>
      <w:r w:rsidRPr="006F5690">
        <w:t>)</w:t>
      </w:r>
    </w:p>
    <w:p w14:paraId="578E1C12" w14:textId="48385BB1" w:rsidR="006F5690" w:rsidRDefault="006F5690">
      <w:pPr>
        <w:pStyle w:val="FootnoteText"/>
      </w:pPr>
      <w:hyperlink r:id="rId2" w:history="1">
        <w:r w:rsidRPr="006F5690">
          <w:rPr>
            <w:rStyle w:val="Hyperlink"/>
          </w:rPr>
          <w:t>https://www.laestrella.com.pa/panama/nacional/alertan-sobre-posibles-abusos-y-violacion-a-procesos-con-detenidos-en-bocas-del-toro-LC13993910</w:t>
        </w:r>
      </w:hyperlink>
      <w:r w:rsidRPr="006F5690">
        <w:t xml:space="preserve">  (27 junio </w:t>
      </w:r>
      <w:r>
        <w:t>2025</w:t>
      </w:r>
      <w:r w:rsidRPr="006F5690">
        <w:t>)</w:t>
      </w:r>
    </w:p>
    <w:p w14:paraId="0840151D" w14:textId="0D49BAE5" w:rsidR="006F5690" w:rsidRPr="006F5690" w:rsidRDefault="006F5690">
      <w:pPr>
        <w:pStyle w:val="FootnoteText"/>
      </w:pPr>
      <w:hyperlink r:id="rId3" w:history="1">
        <w:r w:rsidRPr="006F5690">
          <w:rPr>
            <w:rStyle w:val="Hyperlink"/>
          </w:rPr>
          <w:t>https://eusee.hivos.org/alert/investigations-into-alleged-police-abuse-during-protests/</w:t>
        </w:r>
      </w:hyperlink>
      <w:r w:rsidRPr="006F5690">
        <w:t xml:space="preserve"> (13 agos</w:t>
      </w:r>
      <w:r>
        <w:t>to 2025</w:t>
      </w:r>
      <w:r w:rsidRPr="006F5690">
        <w:t>)</w:t>
      </w:r>
    </w:p>
  </w:footnote>
  <w:footnote w:id="6">
    <w:p w14:paraId="2DEC76ED" w14:textId="77777777" w:rsidR="002C679C" w:rsidRPr="006F5690" w:rsidRDefault="002C679C" w:rsidP="002C679C">
      <w:pPr>
        <w:pStyle w:val="FootnoteText"/>
      </w:pPr>
      <w:r w:rsidRPr="006F5690">
        <w:rPr>
          <w:rStyle w:val="FootnoteReference"/>
        </w:rPr>
        <w:footnoteRef/>
      </w:r>
      <w:r w:rsidRPr="006F5690">
        <w:t xml:space="preserve"> Véase: </w:t>
      </w:r>
      <w:hyperlink r:id="rId4" w:history="1">
        <w:r w:rsidRPr="006F5690">
          <w:rPr>
            <w:rStyle w:val="Hyperlink"/>
          </w:rPr>
          <w:t>https://www.frontlinedefenders.org/en/statement-report/panama-concern-over-violent-repression-against-ngabe-bugle-indigenous-communities</w:t>
        </w:r>
      </w:hyperlink>
      <w:r w:rsidRPr="006F5690">
        <w:t xml:space="preserve">   (3 junio 2025)</w:t>
      </w:r>
    </w:p>
    <w:p w14:paraId="639B2FF2" w14:textId="77777777" w:rsidR="002C679C" w:rsidRPr="006F5690" w:rsidRDefault="002C679C" w:rsidP="002F1A2E">
      <w:pPr>
        <w:pStyle w:val="FootnoteText"/>
        <w:jc w:val="both"/>
      </w:pPr>
      <w:hyperlink r:id="rId5" w:history="1">
        <w:r w:rsidRPr="006F5690">
          <w:rPr>
            <w:rStyle w:val="Hyperlink"/>
          </w:rPr>
          <w:t>https://www.elpais.cr/2025/05/14/policia-reprime-a-indigenas-panamenos-contrarios-a-ley-del-seguro/</w:t>
        </w:r>
      </w:hyperlink>
      <w:r w:rsidRPr="006F5690">
        <w:t xml:space="preserve">  (14 mayo 2025)</w:t>
      </w:r>
    </w:p>
    <w:p w14:paraId="22049DCF" w14:textId="66F2A632" w:rsidR="002C679C" w:rsidRPr="006F5690" w:rsidRDefault="002C679C" w:rsidP="002F1A2E">
      <w:pPr>
        <w:pStyle w:val="FootnoteText"/>
        <w:jc w:val="both"/>
      </w:pPr>
      <w:hyperlink r:id="rId6" w:history="1">
        <w:r w:rsidRPr="006F5690">
          <w:rPr>
            <w:rStyle w:val="Hyperlink"/>
          </w:rPr>
          <w:t>https://iprights.org/index.php/en/all-statements/ipri-calls-for-an-immediate-cessation-of-unprecedented-repression-against-indigenous-peoples-in-panama</w:t>
        </w:r>
      </w:hyperlink>
      <w:r w:rsidRPr="006F5690">
        <w:t xml:space="preserve">  (20 mayo 2025)</w:t>
      </w:r>
    </w:p>
  </w:footnote>
  <w:footnote w:id="7">
    <w:p w14:paraId="43014BAD" w14:textId="15A7F1C4" w:rsidR="002F1A2E" w:rsidRPr="006F5690" w:rsidRDefault="002F1A2E" w:rsidP="002F1A2E">
      <w:pPr>
        <w:pStyle w:val="FootnoteText"/>
        <w:jc w:val="both"/>
      </w:pPr>
      <w:r w:rsidRPr="006F5690">
        <w:rPr>
          <w:rStyle w:val="FootnoteReference"/>
        </w:rPr>
        <w:footnoteRef/>
      </w:r>
      <w:hyperlink r:id="rId7" w:history="1">
        <w:r w:rsidRPr="006F5690">
          <w:rPr>
            <w:rStyle w:val="Hyperlink"/>
          </w:rPr>
          <w:t>https://apnews.com/article/panama-police-protests-darien-93f64bcd72ffa57d1c60c9efe153dbf6</w:t>
        </w:r>
      </w:hyperlink>
      <w:r w:rsidRPr="006F5690">
        <w:t xml:space="preserve">  (5 junio 2025)</w:t>
      </w:r>
    </w:p>
  </w:footnote>
  <w:footnote w:id="8">
    <w:p w14:paraId="455E3986" w14:textId="14088FCB" w:rsidR="00E612EC" w:rsidRPr="006F5690" w:rsidRDefault="00E612EC">
      <w:pPr>
        <w:pStyle w:val="FootnoteText"/>
      </w:pPr>
      <w:r w:rsidRPr="006F5690">
        <w:rPr>
          <w:rStyle w:val="FootnoteReference"/>
        </w:rPr>
        <w:footnoteRef/>
      </w:r>
      <w:r w:rsidRPr="006F5690">
        <w:t xml:space="preserve"> </w:t>
      </w:r>
      <w:hyperlink r:id="rId8" w:history="1">
        <w:r w:rsidRPr="006F5690">
          <w:rPr>
            <w:rStyle w:val="Hyperlink"/>
          </w:rPr>
          <w:t>https://www.laestrella.com.pa/panama/nacional/aldeas-sos-si-hay-documentos-que-respaldan-hipotesis-sobre-gases-lacrimogenos-en-caso-de-menor-fallecida-BG14030414</w:t>
        </w:r>
      </w:hyperlink>
      <w:r w:rsidRPr="006F5690">
        <w:t xml:space="preserve">  (27 junio 2025)</w:t>
      </w:r>
    </w:p>
  </w:footnote>
  <w:footnote w:id="9">
    <w:p w14:paraId="79E7E463" w14:textId="78C73882" w:rsidR="00E612EC" w:rsidRPr="006F5690" w:rsidRDefault="00E612EC">
      <w:pPr>
        <w:pStyle w:val="FootnoteText"/>
      </w:pPr>
      <w:r w:rsidRPr="006F5690">
        <w:rPr>
          <w:rStyle w:val="FootnoteReference"/>
        </w:rPr>
        <w:footnoteRef/>
      </w:r>
      <w:r w:rsidRPr="006F5690">
        <w:t xml:space="preserve"> </w:t>
      </w:r>
      <w:hyperlink r:id="rId9" w:history="1">
        <w:r w:rsidRPr="006F5690">
          <w:rPr>
            <w:rStyle w:val="Hyperlink"/>
          </w:rPr>
          <w:t>https://www.reuters.com/world/americas/panama-temporarily-suspends-some-constitutional-guarantees-protest-rocked-2025-06-20/</w:t>
        </w:r>
      </w:hyperlink>
      <w:r w:rsidRPr="006F5690">
        <w:t xml:space="preserve">  (20 junio 2025)</w:t>
      </w:r>
    </w:p>
  </w:footnote>
  <w:footnote w:id="10">
    <w:p w14:paraId="76132930" w14:textId="7E19B142" w:rsidR="00C542CE" w:rsidRPr="006F5690" w:rsidRDefault="00C542CE">
      <w:pPr>
        <w:pStyle w:val="FootnoteText"/>
      </w:pPr>
      <w:r w:rsidRPr="006F5690">
        <w:rPr>
          <w:rStyle w:val="FootnoteReference"/>
        </w:rPr>
        <w:footnoteRef/>
      </w:r>
      <w:r w:rsidRPr="006F5690">
        <w:t xml:space="preserve"> </w:t>
      </w:r>
      <w:hyperlink r:id="rId10" w:history="1">
        <w:r w:rsidRPr="006F5690">
          <w:rPr>
            <w:rStyle w:val="Hyperlink"/>
          </w:rPr>
          <w:t>https://www.ciel.org/project-update/panama-transmission-line-iv/</w:t>
        </w:r>
      </w:hyperlink>
      <w:r w:rsidRPr="006F5690">
        <w:t xml:space="preserve"> </w:t>
      </w:r>
    </w:p>
    <w:p w14:paraId="08F17AEC" w14:textId="4312759C" w:rsidR="007148FF" w:rsidRPr="006F5690" w:rsidRDefault="00C542CE">
      <w:pPr>
        <w:pStyle w:val="FootnoteText"/>
      </w:pPr>
      <w:r w:rsidRPr="006F5690">
        <w:t>https://www.cao-ombudsman.org/case/panama-pl-iv-01multi-locations</w:t>
      </w:r>
    </w:p>
  </w:footnote>
  <w:footnote w:id="11">
    <w:p w14:paraId="269C441A" w14:textId="28206119" w:rsidR="00C542CE" w:rsidRPr="006F5690" w:rsidRDefault="00C542CE">
      <w:pPr>
        <w:pStyle w:val="FootnoteText"/>
      </w:pPr>
      <w:r w:rsidRPr="006F5690">
        <w:rPr>
          <w:rStyle w:val="FootnoteReference"/>
        </w:rPr>
        <w:footnoteRef/>
      </w:r>
      <w:r w:rsidRPr="006F5690">
        <w:t xml:space="preserve"> https://earthjustice.org/case/challenging-a-panamanian-dam-project-for-violating-indigenous-rights</w:t>
      </w:r>
    </w:p>
  </w:footnote>
  <w:footnote w:id="12">
    <w:p w14:paraId="06C478D5" w14:textId="6D6813DE" w:rsidR="00BC2FF4" w:rsidRPr="006F5690" w:rsidRDefault="00BC2FF4">
      <w:pPr>
        <w:pStyle w:val="FootnoteText"/>
      </w:pPr>
      <w:r w:rsidRPr="006F5690">
        <w:rPr>
          <w:rStyle w:val="FootnoteReference"/>
        </w:rPr>
        <w:footnoteRef/>
      </w:r>
      <w:r w:rsidRPr="006F5690">
        <w:t xml:space="preserve"> https://www.undp.org/es/panama/blog/pobreza-desde-la-mirada-indigena</w:t>
      </w:r>
    </w:p>
  </w:footnote>
  <w:footnote w:id="13">
    <w:p w14:paraId="2CA33FC2" w14:textId="5B318FC6" w:rsidR="00BC2FF4" w:rsidRPr="006F5690" w:rsidRDefault="00BC2FF4">
      <w:pPr>
        <w:pStyle w:val="FootnoteText"/>
      </w:pPr>
      <w:r w:rsidRPr="006F5690">
        <w:rPr>
          <w:rStyle w:val="FootnoteReference"/>
        </w:rPr>
        <w:footnoteRef/>
      </w:r>
      <w:r w:rsidRPr="006F5690">
        <w:t xml:space="preserve"> https://www.laestrella.com.pa/panama/nacional/censo-2023-25-1-poblacion-MELE494932</w:t>
      </w:r>
    </w:p>
  </w:footnote>
  <w:footnote w:id="14">
    <w:p w14:paraId="7322A5B8" w14:textId="1E301B91" w:rsidR="00BC2FF4" w:rsidRPr="00626773" w:rsidRDefault="00BC2FF4">
      <w:pPr>
        <w:pStyle w:val="FootnoteText"/>
        <w:rPr>
          <w:lang w:val="fr-FR"/>
        </w:rPr>
      </w:pPr>
      <w:r w:rsidRPr="006F5690">
        <w:rPr>
          <w:rStyle w:val="FootnoteReference"/>
        </w:rPr>
        <w:footnoteRef/>
      </w:r>
      <w:r w:rsidRPr="00626773">
        <w:rPr>
          <w:lang w:val="fr-FR"/>
        </w:rPr>
        <w:t xml:space="preserve"> https://panamasinpobreza.org/panama/</w:t>
      </w:r>
    </w:p>
  </w:footnote>
  <w:footnote w:id="15">
    <w:p w14:paraId="791D687E" w14:textId="0DDD3E17" w:rsidR="007148FF" w:rsidRPr="00626773" w:rsidRDefault="007148FF" w:rsidP="007148FF">
      <w:pPr>
        <w:pStyle w:val="FootnoteText"/>
        <w:rPr>
          <w:lang w:val="fr-FR"/>
        </w:rPr>
      </w:pPr>
      <w:r w:rsidRPr="006F5690">
        <w:rPr>
          <w:rStyle w:val="FootnoteReference"/>
        </w:rPr>
        <w:footnoteRef/>
      </w:r>
      <w:r w:rsidRPr="00626773">
        <w:rPr>
          <w:lang w:val="fr-FR"/>
        </w:rPr>
        <w:t xml:space="preserve"> </w:t>
      </w:r>
      <w:proofErr w:type="spellStart"/>
      <w:proofErr w:type="gramStart"/>
      <w:r w:rsidRPr="00626773">
        <w:rPr>
          <w:lang w:val="fr-FR"/>
        </w:rPr>
        <w:t>Véase</w:t>
      </w:r>
      <w:proofErr w:type="spellEnd"/>
      <w:r w:rsidRPr="00626773">
        <w:rPr>
          <w:lang w:val="fr-FR"/>
        </w:rPr>
        <w:t>:</w:t>
      </w:r>
      <w:proofErr w:type="gramEnd"/>
      <w:r w:rsidRPr="00626773">
        <w:rPr>
          <w:lang w:val="fr-FR"/>
        </w:rPr>
        <w:t xml:space="preserve"> </w:t>
      </w:r>
      <w:hyperlink r:id="rId11" w:history="1">
        <w:r w:rsidRPr="00626773">
          <w:rPr>
            <w:rStyle w:val="Hyperlink"/>
            <w:lang w:val="fr-FR"/>
          </w:rPr>
          <w:t>https://www.culturalsurvival.org/publications/cultural-survival-quarterly/underwater-barro-blanco-displaces-three-ngabe-bugle</w:t>
        </w:r>
      </w:hyperlink>
    </w:p>
    <w:p w14:paraId="2DBFEF18" w14:textId="77B1E92A" w:rsidR="007148FF" w:rsidRPr="00626773" w:rsidRDefault="007148FF" w:rsidP="007148FF">
      <w:pPr>
        <w:pStyle w:val="FootnoteText"/>
        <w:rPr>
          <w:lang w:val="fr-FR"/>
        </w:rPr>
      </w:pPr>
      <w:hyperlink r:id="rId12" w:history="1">
        <w:r w:rsidRPr="00626773">
          <w:rPr>
            <w:rStyle w:val="Hyperlink"/>
            <w:lang w:val="fr-FR"/>
          </w:rPr>
          <w:t>https://www.theguardian.com/global-development/2025/jan/21/panama-cobre-mine-first-quantum-minerals</w:t>
        </w:r>
      </w:hyperlink>
    </w:p>
    <w:p w14:paraId="79BFA0FB" w14:textId="1F34AF5C" w:rsidR="007148FF" w:rsidRPr="00626773" w:rsidRDefault="007148FF" w:rsidP="007148FF">
      <w:pPr>
        <w:pStyle w:val="FootnoteText"/>
        <w:rPr>
          <w:lang w:val="fr-FR"/>
        </w:rPr>
      </w:pPr>
      <w:hyperlink r:id="rId13" w:history="1">
        <w:r w:rsidRPr="00626773">
          <w:rPr>
            <w:rStyle w:val="Hyperlink"/>
            <w:lang w:val="fr-FR"/>
          </w:rPr>
          <w:t>https://news.mongabay.com/2025/02/yet-another-abandoned-mine-erodes-this-time-in-a-panamanian-protected-area/</w:t>
        </w:r>
      </w:hyperlink>
    </w:p>
    <w:p w14:paraId="4DDF5CB7" w14:textId="1FB0992F" w:rsidR="007148FF" w:rsidRPr="00626773" w:rsidRDefault="007148FF" w:rsidP="007148FF">
      <w:pPr>
        <w:pStyle w:val="FootnoteText"/>
        <w:rPr>
          <w:lang w:val="fr-FR"/>
        </w:rPr>
      </w:pPr>
      <w:hyperlink r:id="rId14" w:history="1">
        <w:r w:rsidRPr="00626773">
          <w:rPr>
            <w:rStyle w:val="Hyperlink"/>
            <w:lang w:val="fr-FR"/>
          </w:rPr>
          <w:t>https://apnews.com/article/darien-gap-environment-pollution-trash-migration-crisis-1b117a9f73db9ad36f0d6e7664e5d631</w:t>
        </w:r>
      </w:hyperlink>
    </w:p>
    <w:p w14:paraId="7C706004" w14:textId="77777777" w:rsidR="007148FF" w:rsidRPr="00626773" w:rsidRDefault="007148FF" w:rsidP="007148FF">
      <w:pPr>
        <w:pStyle w:val="FootnoteText"/>
        <w:rPr>
          <w:lang w:val="fr-FR"/>
        </w:rPr>
      </w:pPr>
    </w:p>
    <w:p w14:paraId="58480D43" w14:textId="77777777" w:rsidR="007148FF" w:rsidRPr="007148FF" w:rsidRDefault="007148FF">
      <w:pPr>
        <w:pStyle w:val="FootnoteText"/>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57861"/>
    <w:multiLevelType w:val="hybridMultilevel"/>
    <w:tmpl w:val="5B2042AA"/>
    <w:lvl w:ilvl="0" w:tplc="5F4653AC">
      <w:start w:val="1"/>
      <w:numFmt w:val="decimal"/>
      <w:lvlText w:val="%1)"/>
      <w:lvlJc w:val="left"/>
      <w:pPr>
        <w:ind w:left="1068" w:hanging="360"/>
      </w:pPr>
      <w:rPr>
        <w:rFonts w:hint="default"/>
      </w:rPr>
    </w:lvl>
    <w:lvl w:ilvl="1" w:tplc="180A0019" w:tentative="1">
      <w:start w:val="1"/>
      <w:numFmt w:val="lowerLetter"/>
      <w:lvlText w:val="%2."/>
      <w:lvlJc w:val="left"/>
      <w:pPr>
        <w:ind w:left="1788" w:hanging="360"/>
      </w:pPr>
    </w:lvl>
    <w:lvl w:ilvl="2" w:tplc="180A001B" w:tentative="1">
      <w:start w:val="1"/>
      <w:numFmt w:val="lowerRoman"/>
      <w:lvlText w:val="%3."/>
      <w:lvlJc w:val="right"/>
      <w:pPr>
        <w:ind w:left="2508" w:hanging="180"/>
      </w:pPr>
    </w:lvl>
    <w:lvl w:ilvl="3" w:tplc="180A000F" w:tentative="1">
      <w:start w:val="1"/>
      <w:numFmt w:val="decimal"/>
      <w:lvlText w:val="%4."/>
      <w:lvlJc w:val="left"/>
      <w:pPr>
        <w:ind w:left="3228" w:hanging="360"/>
      </w:pPr>
    </w:lvl>
    <w:lvl w:ilvl="4" w:tplc="180A0019" w:tentative="1">
      <w:start w:val="1"/>
      <w:numFmt w:val="lowerLetter"/>
      <w:lvlText w:val="%5."/>
      <w:lvlJc w:val="left"/>
      <w:pPr>
        <w:ind w:left="3948" w:hanging="360"/>
      </w:pPr>
    </w:lvl>
    <w:lvl w:ilvl="5" w:tplc="180A001B" w:tentative="1">
      <w:start w:val="1"/>
      <w:numFmt w:val="lowerRoman"/>
      <w:lvlText w:val="%6."/>
      <w:lvlJc w:val="right"/>
      <w:pPr>
        <w:ind w:left="4668" w:hanging="180"/>
      </w:pPr>
    </w:lvl>
    <w:lvl w:ilvl="6" w:tplc="180A000F" w:tentative="1">
      <w:start w:val="1"/>
      <w:numFmt w:val="decimal"/>
      <w:lvlText w:val="%7."/>
      <w:lvlJc w:val="left"/>
      <w:pPr>
        <w:ind w:left="5388" w:hanging="360"/>
      </w:pPr>
    </w:lvl>
    <w:lvl w:ilvl="7" w:tplc="180A0019" w:tentative="1">
      <w:start w:val="1"/>
      <w:numFmt w:val="lowerLetter"/>
      <w:lvlText w:val="%8."/>
      <w:lvlJc w:val="left"/>
      <w:pPr>
        <w:ind w:left="6108" w:hanging="360"/>
      </w:pPr>
    </w:lvl>
    <w:lvl w:ilvl="8" w:tplc="180A001B" w:tentative="1">
      <w:start w:val="1"/>
      <w:numFmt w:val="lowerRoman"/>
      <w:lvlText w:val="%9."/>
      <w:lvlJc w:val="right"/>
      <w:pPr>
        <w:ind w:left="6828" w:hanging="180"/>
      </w:pPr>
    </w:lvl>
  </w:abstractNum>
  <w:abstractNum w:abstractNumId="1" w15:restartNumberingAfterBreak="0">
    <w:nsid w:val="22EF5D6D"/>
    <w:multiLevelType w:val="hybridMultilevel"/>
    <w:tmpl w:val="1C94DA46"/>
    <w:lvl w:ilvl="0" w:tplc="283042F4">
      <w:numFmt w:val="bullet"/>
      <w:lvlText w:val=""/>
      <w:lvlJc w:val="left"/>
      <w:pPr>
        <w:ind w:left="720" w:hanging="360"/>
      </w:pPr>
      <w:rPr>
        <w:rFonts w:ascii="Times New Roman" w:eastAsiaTheme="minorHAnsi" w:hAnsi="Times New Roman" w:cs="Times New Roman"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 w15:restartNumberingAfterBreak="0">
    <w:nsid w:val="45883C49"/>
    <w:multiLevelType w:val="multilevel"/>
    <w:tmpl w:val="2CE6E044"/>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2E6B9B"/>
    <w:multiLevelType w:val="hybridMultilevel"/>
    <w:tmpl w:val="C95A3A1C"/>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16cid:durableId="1592084652">
    <w:abstractNumId w:val="0"/>
  </w:num>
  <w:num w:numId="2" w16cid:durableId="394351446">
    <w:abstractNumId w:val="2"/>
  </w:num>
  <w:num w:numId="3" w16cid:durableId="1160005522">
    <w:abstractNumId w:val="3"/>
  </w:num>
  <w:num w:numId="4" w16cid:durableId="142364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99"/>
    <w:rsid w:val="000C14AF"/>
    <w:rsid w:val="001610E2"/>
    <w:rsid w:val="00161EB8"/>
    <w:rsid w:val="0020640D"/>
    <w:rsid w:val="002C679C"/>
    <w:rsid w:val="002E0A0C"/>
    <w:rsid w:val="002F1A2E"/>
    <w:rsid w:val="002F1A50"/>
    <w:rsid w:val="003305E5"/>
    <w:rsid w:val="003F6458"/>
    <w:rsid w:val="0044356D"/>
    <w:rsid w:val="004D1F81"/>
    <w:rsid w:val="004E7F09"/>
    <w:rsid w:val="004F16E2"/>
    <w:rsid w:val="005823BB"/>
    <w:rsid w:val="005E5E19"/>
    <w:rsid w:val="006241C5"/>
    <w:rsid w:val="00626773"/>
    <w:rsid w:val="00681348"/>
    <w:rsid w:val="006F5690"/>
    <w:rsid w:val="007148FF"/>
    <w:rsid w:val="007345DE"/>
    <w:rsid w:val="00746AB7"/>
    <w:rsid w:val="007A608B"/>
    <w:rsid w:val="007B5B77"/>
    <w:rsid w:val="007D535F"/>
    <w:rsid w:val="00831AA5"/>
    <w:rsid w:val="008B2AA4"/>
    <w:rsid w:val="008C392D"/>
    <w:rsid w:val="008D318E"/>
    <w:rsid w:val="0092382E"/>
    <w:rsid w:val="0094041C"/>
    <w:rsid w:val="00952A90"/>
    <w:rsid w:val="00962D99"/>
    <w:rsid w:val="00964C55"/>
    <w:rsid w:val="00A44805"/>
    <w:rsid w:val="00A648C4"/>
    <w:rsid w:val="00A776C0"/>
    <w:rsid w:val="00AE65BD"/>
    <w:rsid w:val="00B14F23"/>
    <w:rsid w:val="00B371CC"/>
    <w:rsid w:val="00BC2FF4"/>
    <w:rsid w:val="00C17F71"/>
    <w:rsid w:val="00C542CE"/>
    <w:rsid w:val="00C76DC7"/>
    <w:rsid w:val="00CB1405"/>
    <w:rsid w:val="00CF368C"/>
    <w:rsid w:val="00CF7D91"/>
    <w:rsid w:val="00D07297"/>
    <w:rsid w:val="00D33328"/>
    <w:rsid w:val="00D73C8F"/>
    <w:rsid w:val="00D83447"/>
    <w:rsid w:val="00DB5997"/>
    <w:rsid w:val="00DC1EBC"/>
    <w:rsid w:val="00DD045D"/>
    <w:rsid w:val="00DE1274"/>
    <w:rsid w:val="00E03DB2"/>
    <w:rsid w:val="00E612EC"/>
    <w:rsid w:val="00EC1F1F"/>
    <w:rsid w:val="00EC5479"/>
    <w:rsid w:val="00F154E0"/>
    <w:rsid w:val="00F41FD7"/>
    <w:rsid w:val="00FB659F"/>
    <w:rsid w:val="00FC00B6"/>
    <w:rsid w:val="00FE66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75C2A"/>
  <w15:chartTrackingRefBased/>
  <w15:docId w15:val="{3F2B49C2-F68D-46AC-8A2B-3901E326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A"/>
    </w:rPr>
  </w:style>
  <w:style w:type="paragraph" w:styleId="Heading1">
    <w:name w:val="heading 1"/>
    <w:basedOn w:val="Normal"/>
    <w:next w:val="Normal"/>
    <w:link w:val="Heading1Char"/>
    <w:uiPriority w:val="9"/>
    <w:qFormat/>
    <w:rsid w:val="00962D9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62D9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62D9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62D9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62D9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62D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D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D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D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D9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62D9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62D9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62D9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62D9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62D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D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D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D99"/>
    <w:rPr>
      <w:rFonts w:eastAsiaTheme="majorEastAsia" w:cstheme="majorBidi"/>
      <w:color w:val="272727" w:themeColor="text1" w:themeTint="D8"/>
    </w:rPr>
  </w:style>
  <w:style w:type="paragraph" w:styleId="Title">
    <w:name w:val="Title"/>
    <w:basedOn w:val="Normal"/>
    <w:next w:val="Normal"/>
    <w:link w:val="TitleChar"/>
    <w:uiPriority w:val="10"/>
    <w:qFormat/>
    <w:rsid w:val="00962D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D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D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D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D99"/>
    <w:pPr>
      <w:spacing w:before="160"/>
      <w:jc w:val="center"/>
    </w:pPr>
    <w:rPr>
      <w:i/>
      <w:iCs/>
      <w:color w:val="404040" w:themeColor="text1" w:themeTint="BF"/>
    </w:rPr>
  </w:style>
  <w:style w:type="character" w:customStyle="1" w:styleId="QuoteChar">
    <w:name w:val="Quote Char"/>
    <w:basedOn w:val="DefaultParagraphFont"/>
    <w:link w:val="Quote"/>
    <w:uiPriority w:val="29"/>
    <w:rsid w:val="00962D99"/>
    <w:rPr>
      <w:i/>
      <w:iCs/>
      <w:color w:val="404040" w:themeColor="text1" w:themeTint="BF"/>
    </w:rPr>
  </w:style>
  <w:style w:type="paragraph" w:styleId="ListParagraph">
    <w:name w:val="List Paragraph"/>
    <w:basedOn w:val="Normal"/>
    <w:uiPriority w:val="34"/>
    <w:qFormat/>
    <w:rsid w:val="00962D99"/>
    <w:pPr>
      <w:ind w:left="720"/>
      <w:contextualSpacing/>
    </w:pPr>
  </w:style>
  <w:style w:type="character" w:styleId="IntenseEmphasis">
    <w:name w:val="Intense Emphasis"/>
    <w:basedOn w:val="DefaultParagraphFont"/>
    <w:uiPriority w:val="21"/>
    <w:qFormat/>
    <w:rsid w:val="00962D99"/>
    <w:rPr>
      <w:i/>
      <w:iCs/>
      <w:color w:val="2E74B5" w:themeColor="accent1" w:themeShade="BF"/>
    </w:rPr>
  </w:style>
  <w:style w:type="paragraph" w:styleId="IntenseQuote">
    <w:name w:val="Intense Quote"/>
    <w:basedOn w:val="Normal"/>
    <w:next w:val="Normal"/>
    <w:link w:val="IntenseQuoteChar"/>
    <w:uiPriority w:val="30"/>
    <w:qFormat/>
    <w:rsid w:val="00962D9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62D99"/>
    <w:rPr>
      <w:i/>
      <w:iCs/>
      <w:color w:val="2E74B5" w:themeColor="accent1" w:themeShade="BF"/>
    </w:rPr>
  </w:style>
  <w:style w:type="character" w:styleId="IntenseReference">
    <w:name w:val="Intense Reference"/>
    <w:basedOn w:val="DefaultParagraphFont"/>
    <w:uiPriority w:val="32"/>
    <w:qFormat/>
    <w:rsid w:val="00962D99"/>
    <w:rPr>
      <w:b/>
      <w:bCs/>
      <w:smallCaps/>
      <w:color w:val="2E74B5" w:themeColor="accent1" w:themeShade="BF"/>
      <w:spacing w:val="5"/>
    </w:rPr>
  </w:style>
  <w:style w:type="paragraph" w:styleId="BodyText">
    <w:name w:val="Body Text"/>
    <w:basedOn w:val="Normal"/>
    <w:link w:val="BodyTextChar"/>
    <w:uiPriority w:val="99"/>
    <w:unhideWhenUsed/>
    <w:rsid w:val="008D318E"/>
    <w:pPr>
      <w:jc w:val="both"/>
    </w:pPr>
  </w:style>
  <w:style w:type="character" w:customStyle="1" w:styleId="BodyTextChar">
    <w:name w:val="Body Text Char"/>
    <w:basedOn w:val="DefaultParagraphFont"/>
    <w:link w:val="BodyText"/>
    <w:uiPriority w:val="99"/>
    <w:rsid w:val="008D318E"/>
    <w:rPr>
      <w:lang w:val="es-ES"/>
    </w:rPr>
  </w:style>
  <w:style w:type="paragraph" w:styleId="FootnoteText">
    <w:name w:val="footnote text"/>
    <w:basedOn w:val="Normal"/>
    <w:link w:val="FootnoteTextChar"/>
    <w:uiPriority w:val="99"/>
    <w:semiHidden/>
    <w:unhideWhenUsed/>
    <w:rsid w:val="00FB65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659F"/>
    <w:rPr>
      <w:sz w:val="20"/>
      <w:szCs w:val="20"/>
    </w:rPr>
  </w:style>
  <w:style w:type="character" w:styleId="FootnoteReference">
    <w:name w:val="footnote reference"/>
    <w:basedOn w:val="DefaultParagraphFont"/>
    <w:uiPriority w:val="99"/>
    <w:semiHidden/>
    <w:unhideWhenUsed/>
    <w:rsid w:val="00FB659F"/>
    <w:rPr>
      <w:vertAlign w:val="superscript"/>
    </w:rPr>
  </w:style>
  <w:style w:type="character" w:styleId="Hyperlink">
    <w:name w:val="Hyperlink"/>
    <w:basedOn w:val="DefaultParagraphFont"/>
    <w:uiPriority w:val="99"/>
    <w:unhideWhenUsed/>
    <w:rsid w:val="002C679C"/>
    <w:rPr>
      <w:color w:val="0563C1" w:themeColor="hyperlink"/>
      <w:u w:val="single"/>
    </w:rPr>
  </w:style>
  <w:style w:type="character" w:styleId="UnresolvedMention">
    <w:name w:val="Unresolved Mention"/>
    <w:basedOn w:val="DefaultParagraphFont"/>
    <w:uiPriority w:val="99"/>
    <w:semiHidden/>
    <w:unhideWhenUsed/>
    <w:rsid w:val="002C679C"/>
    <w:rPr>
      <w:color w:val="605E5C"/>
      <w:shd w:val="clear" w:color="auto" w:fill="E1DFDD"/>
    </w:rPr>
  </w:style>
  <w:style w:type="paragraph" w:styleId="BodyTextIndent">
    <w:name w:val="Body Text Indent"/>
    <w:basedOn w:val="Normal"/>
    <w:link w:val="BodyTextIndentChar"/>
    <w:uiPriority w:val="99"/>
    <w:unhideWhenUsed/>
    <w:rsid w:val="00AE65BD"/>
    <w:pPr>
      <w:spacing w:line="240" w:lineRule="auto"/>
      <w:ind w:firstLine="708"/>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AE65BD"/>
    <w:rPr>
      <w:rFonts w:ascii="Times New Roman" w:hAnsi="Times New Roman" w:cs="Times New Roman"/>
      <w:sz w:val="24"/>
      <w:szCs w:val="24"/>
      <w:lang w:val="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aestrella.com.pa/panama/nacional/aldeas-sos-si-hay-documentos-que-respaldan-hipotesis-sobre-gases-lacrimogenos-en-caso-de-menor-fallecida-BG14030414" TargetMode="External"/><Relationship Id="rId13" Type="http://schemas.openxmlformats.org/officeDocument/2006/relationships/hyperlink" Target="https://news.mongabay.com/2025/02/yet-another-abandoned-mine-erodes-this-time-in-a-panamanian-protected-area/" TargetMode="External"/><Relationship Id="rId3" Type="http://schemas.openxmlformats.org/officeDocument/2006/relationships/hyperlink" Target="https://eusee.hivos.org/alert/investigations-into-alleged-police-abuse-during-protests/" TargetMode="External"/><Relationship Id="rId7" Type="http://schemas.openxmlformats.org/officeDocument/2006/relationships/hyperlink" Target="https://apnews.com/article/panama-police-protests-darien-93f64bcd72ffa57d1c60c9efe153dbf6" TargetMode="External"/><Relationship Id="rId12" Type="http://schemas.openxmlformats.org/officeDocument/2006/relationships/hyperlink" Target="https://www.theguardian.com/global-development/2025/jan/21/panama-cobre-mine-first-quantum-minerals" TargetMode="External"/><Relationship Id="rId2" Type="http://schemas.openxmlformats.org/officeDocument/2006/relationships/hyperlink" Target="https://www.laestrella.com.pa/panama/nacional/alertan-sobre-posibles-abusos-y-violacion-a-procesos-con-detenidos-en-bocas-del-toro-LC13993910" TargetMode="External"/><Relationship Id="rId1" Type="http://schemas.openxmlformats.org/officeDocument/2006/relationships/hyperlink" Target="https://www.iitc.org/es/international-denunciation-of-acts-of-repression-in-panama/" TargetMode="External"/><Relationship Id="rId6" Type="http://schemas.openxmlformats.org/officeDocument/2006/relationships/hyperlink" Target="https://iprights.org/index.php/en/all-statements/ipri-calls-for-an-immediate-cessation-of-unprecedented-repression-against-indigenous-peoples-in-panama" TargetMode="External"/><Relationship Id="rId11" Type="http://schemas.openxmlformats.org/officeDocument/2006/relationships/hyperlink" Target="https://www.culturalsurvival.org/publications/cultural-survival-quarterly/underwater-barro-blanco-displaces-three-ngabe-bugle" TargetMode="External"/><Relationship Id="rId5" Type="http://schemas.openxmlformats.org/officeDocument/2006/relationships/hyperlink" Target="https://www.elpais.cr/2025/05/14/policia-reprime-a-indigenas-panamenos-contrarios-a-ley-del-seguro/" TargetMode="External"/><Relationship Id="rId10" Type="http://schemas.openxmlformats.org/officeDocument/2006/relationships/hyperlink" Target="https://www.ciel.org/project-update/panama-transmission-line-iv/" TargetMode="External"/><Relationship Id="rId4" Type="http://schemas.openxmlformats.org/officeDocument/2006/relationships/hyperlink" Target="https://www.frontlinedefenders.org/en/statement-report/panama-concern-over-violent-repression-against-ngabe-bugle-indigenous-communities" TargetMode="External"/><Relationship Id="rId9" Type="http://schemas.openxmlformats.org/officeDocument/2006/relationships/hyperlink" Target="https://www.reuters.com/world/americas/panama-temporarily-suspends-some-constitutional-guarantees-protest-rocked-2025-06-20/" TargetMode="External"/><Relationship Id="rId14" Type="http://schemas.openxmlformats.org/officeDocument/2006/relationships/hyperlink" Target="https://apnews.com/article/darien-gap-environment-pollution-trash-migration-crisis-1b117a9f73db9ad36f0d6e7664e5d6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2025-09-09T07:10:08+00:00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738F71-F51B-4085-A2C3-3AE20A74CC85}">
  <ds:schemaRefs>
    <ds:schemaRef ds:uri="http://schemas.openxmlformats.org/officeDocument/2006/bibliography"/>
  </ds:schemaRefs>
</ds:datastoreItem>
</file>

<file path=customXml/itemProps2.xml><?xml version="1.0" encoding="utf-8"?>
<ds:datastoreItem xmlns:ds="http://schemas.openxmlformats.org/officeDocument/2006/customXml" ds:itemID="{B2098762-1289-4C0F-A18A-34B949C12EA7}"/>
</file>

<file path=customXml/itemProps3.xml><?xml version="1.0" encoding="utf-8"?>
<ds:datastoreItem xmlns:ds="http://schemas.openxmlformats.org/officeDocument/2006/customXml" ds:itemID="{422E9499-AF6F-44C5-8E02-20EC0AC9CAD1}"/>
</file>

<file path=customXml/itemProps4.xml><?xml version="1.0" encoding="utf-8"?>
<ds:datastoreItem xmlns:ds="http://schemas.openxmlformats.org/officeDocument/2006/customXml" ds:itemID="{EFF26871-E029-4F32-A9C0-8D963781280C}"/>
</file>

<file path=docProps/app.xml><?xml version="1.0" encoding="utf-8"?>
<Properties xmlns="http://schemas.openxmlformats.org/officeDocument/2006/extended-properties" xmlns:vt="http://schemas.openxmlformats.org/officeDocument/2006/docPropsVTypes">
  <Template>Normal</Template>
  <TotalTime>506</TotalTime>
  <Pages>1</Pages>
  <Words>3609</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Ivan</dc:creator>
  <cp:keywords/>
  <dc:description/>
  <cp:lastModifiedBy>Dorina Ivan</cp:lastModifiedBy>
  <cp:revision>7</cp:revision>
  <dcterms:created xsi:type="dcterms:W3CDTF">2025-09-04T02:27:00Z</dcterms:created>
  <dcterms:modified xsi:type="dcterms:W3CDTF">2025-09-09T03:32:00Z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