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59375" w14:textId="3150F76A" w:rsidR="003F57E4" w:rsidRPr="003F57E4" w:rsidRDefault="00DA05C9" w:rsidP="00124E0C">
      <w:pPr>
        <w:pStyle w:val="BFrontcovermaintitle"/>
        <w:rPr>
          <w:rFonts w:eastAsia="MS Mincho"/>
          <w:shd w:val="clear" w:color="auto" w:fill="FFFF00"/>
        </w:rPr>
      </w:pPr>
      <w:r>
        <w:rPr>
          <w:rFonts w:eastAsia="MS Mincho"/>
          <w:shd w:val="clear" w:color="auto" w:fill="FFFF00"/>
        </w:rPr>
        <w:t>MOLDOVA</w:t>
      </w:r>
      <w:r w:rsidR="003F57E4" w:rsidRPr="003F57E4">
        <w:rPr>
          <w:rFonts w:eastAsia="MS Mincho"/>
          <w:shd w:val="clear" w:color="auto" w:fill="FFFF00"/>
        </w:rPr>
        <w:t> </w:t>
      </w:r>
    </w:p>
    <w:p w14:paraId="06A09547" w14:textId="79095B45" w:rsidR="00EC015A" w:rsidRDefault="002136E5" w:rsidP="003A4CE6">
      <w:pPr>
        <w:pStyle w:val="BSubtitle"/>
      </w:pPr>
      <w:r w:rsidRPr="003A4CE6">
        <w:t xml:space="preserve">SUBMISSION TO THE UN COMMITTEE </w:t>
      </w:r>
      <w:r w:rsidR="00EC015A" w:rsidRPr="003A4CE6">
        <w:t xml:space="preserve">ON THE ELIMINATION OF DISCRIMINATION AGAINST WOMEN </w:t>
      </w:r>
    </w:p>
    <w:p w14:paraId="57E9B746" w14:textId="0020EDA1" w:rsidR="003A4CE6" w:rsidRPr="003A4CE6" w:rsidRDefault="003A4CE6" w:rsidP="003A4CE6">
      <w:pPr>
        <w:rPr>
          <w:rFonts w:ascii="Amnesty Trade Gothic Cn" w:hAnsi="Amnesty Trade Gothic Cn"/>
          <w:bCs/>
          <w:sz w:val="36"/>
          <w:szCs w:val="36"/>
          <w:lang w:val="en-US"/>
        </w:rPr>
      </w:pPr>
      <w:r w:rsidRPr="003A4CE6">
        <w:rPr>
          <w:rFonts w:ascii="Amnesty Trade Gothic Cn" w:hAnsi="Amnesty Trade Gothic Cn"/>
          <w:bCs/>
          <w:sz w:val="36"/>
          <w:szCs w:val="36"/>
          <w:lang w:val="en-US"/>
        </w:rPr>
        <w:t>93</w:t>
      </w:r>
      <w:r w:rsidRPr="003A4CE6">
        <w:rPr>
          <w:rFonts w:ascii="Amnesty Trade Gothic Cn" w:hAnsi="Amnesty Trade Gothic Cn"/>
          <w:bCs/>
          <w:sz w:val="36"/>
          <w:szCs w:val="36"/>
          <w:vertAlign w:val="superscript"/>
          <w:lang w:val="en-US"/>
        </w:rPr>
        <w:t>RD</w:t>
      </w:r>
      <w:r w:rsidRPr="003A4CE6">
        <w:rPr>
          <w:rFonts w:ascii="Amnesty Trade Gothic Cn" w:hAnsi="Amnesty Trade Gothic Cn"/>
          <w:bCs/>
          <w:sz w:val="36"/>
          <w:szCs w:val="36"/>
          <w:lang w:val="en-US"/>
        </w:rPr>
        <w:t xml:space="preserve"> PRE-SESSIONAL WORKING GROUP, 7-11 JULY 2025, LIST OF ISSUES</w:t>
      </w:r>
    </w:p>
    <w:p w14:paraId="673CB362" w14:textId="77777777" w:rsidR="003A4CE6" w:rsidRPr="003A4CE6" w:rsidRDefault="003A4CE6" w:rsidP="003A4CE6">
      <w:pPr>
        <w:rPr>
          <w:lang w:val="en-US"/>
        </w:rPr>
      </w:pPr>
    </w:p>
    <w:p w14:paraId="1534ABF8" w14:textId="77777777" w:rsidR="00EC015A" w:rsidRDefault="00EC015A" w:rsidP="003A4CE6">
      <w:pPr>
        <w:pStyle w:val="BSubtitle"/>
      </w:pPr>
    </w:p>
    <w:p w14:paraId="442B8FB5" w14:textId="77777777" w:rsidR="002136E5" w:rsidRDefault="002136E5" w:rsidP="003A4CE6">
      <w:pPr>
        <w:pStyle w:val="BSubtitle"/>
      </w:pPr>
    </w:p>
    <w:p w14:paraId="5634F103" w14:textId="77777777" w:rsidR="00065FFC" w:rsidRDefault="00065FFC" w:rsidP="00B0223B"/>
    <w:p w14:paraId="480EED43" w14:textId="77777777" w:rsidR="00065FFC" w:rsidRDefault="002136E5" w:rsidP="002136E5">
      <w:pPr>
        <w:jc w:val="center"/>
      </w:pPr>
      <w:r w:rsidRPr="002136E5">
        <w:rPr>
          <w:noProof/>
        </w:rPr>
        <w:drawing>
          <wp:inline distT="0" distB="0" distL="0" distR="0" wp14:anchorId="104A50FC" wp14:editId="0E119DCE">
            <wp:extent cx="2447925" cy="4120054"/>
            <wp:effectExtent l="0" t="0" r="0" b="0"/>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2163" cy="4127186"/>
                    </a:xfrm>
                    <a:prstGeom prst="rect">
                      <a:avLst/>
                    </a:prstGeom>
                    <a:noFill/>
                    <a:ln>
                      <a:noFill/>
                    </a:ln>
                  </pic:spPr>
                </pic:pic>
              </a:graphicData>
            </a:graphic>
          </wp:inline>
        </w:drawing>
      </w:r>
    </w:p>
    <w:p w14:paraId="7FB0EFC3" w14:textId="77777777" w:rsidR="00162896" w:rsidRDefault="00065FFC" w:rsidP="00065FFC">
      <w:pPr>
        <w:pStyle w:val="BContentsheading"/>
      </w:pPr>
      <w:r w:rsidRPr="00065FFC">
        <w:lastRenderedPageBreak/>
        <w:t>Contents</w:t>
      </w:r>
    </w:p>
    <w:p w14:paraId="614E5323" w14:textId="3ED52B4D" w:rsidR="0012489E" w:rsidRDefault="00346173" w:rsidP="00066FE6">
      <w:pPr>
        <w:pStyle w:val="TOC1"/>
        <w:ind w:firstLine="0"/>
        <w:rPr>
          <w:rFonts w:asciiTheme="minorHAnsi" w:eastAsiaTheme="minorEastAsia" w:hAnsiTheme="minorHAnsi" w:cstheme="minorBidi"/>
          <w:color w:val="auto"/>
          <w:kern w:val="2"/>
          <w:sz w:val="24"/>
          <w:szCs w:val="24"/>
          <w:u w:val="none"/>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98549183" w:history="1">
        <w:r w:rsidR="0012489E" w:rsidRPr="009606A0">
          <w:rPr>
            <w:rStyle w:val="Hyperlink"/>
          </w:rPr>
          <w:t>1.</w:t>
        </w:r>
        <w:r w:rsidR="0012489E">
          <w:rPr>
            <w:rFonts w:asciiTheme="minorHAnsi" w:eastAsiaTheme="minorEastAsia" w:hAnsiTheme="minorHAnsi" w:cstheme="minorBidi"/>
            <w:color w:val="auto"/>
            <w:kern w:val="2"/>
            <w:sz w:val="24"/>
            <w:szCs w:val="24"/>
            <w:u w:val="none"/>
            <w14:ligatures w14:val="standardContextual"/>
          </w:rPr>
          <w:tab/>
        </w:r>
        <w:r w:rsidR="0012489E" w:rsidRPr="009606A0">
          <w:rPr>
            <w:rStyle w:val="Hyperlink"/>
          </w:rPr>
          <w:t>Prevention of and combating gender-based violence (article 1, 2, 3, 5)</w:t>
        </w:r>
        <w:r w:rsidR="0012489E">
          <w:rPr>
            <w:webHidden/>
          </w:rPr>
          <w:tab/>
        </w:r>
        <w:r w:rsidR="0012489E">
          <w:rPr>
            <w:webHidden/>
          </w:rPr>
          <w:fldChar w:fldCharType="begin"/>
        </w:r>
        <w:r w:rsidR="0012489E">
          <w:rPr>
            <w:webHidden/>
          </w:rPr>
          <w:instrText xml:space="preserve"> PAGEREF _Toc198549183 \h </w:instrText>
        </w:r>
        <w:r w:rsidR="0012489E">
          <w:rPr>
            <w:webHidden/>
          </w:rPr>
        </w:r>
        <w:r w:rsidR="0012489E">
          <w:rPr>
            <w:webHidden/>
          </w:rPr>
          <w:fldChar w:fldCharType="separate"/>
        </w:r>
        <w:r w:rsidR="0012489E">
          <w:rPr>
            <w:webHidden/>
          </w:rPr>
          <w:t>3</w:t>
        </w:r>
        <w:r w:rsidR="0012489E">
          <w:rPr>
            <w:webHidden/>
          </w:rPr>
          <w:fldChar w:fldCharType="end"/>
        </w:r>
      </w:hyperlink>
    </w:p>
    <w:p w14:paraId="14D8603A" w14:textId="666401E3" w:rsidR="0012489E" w:rsidRDefault="0012489E">
      <w:pPr>
        <w:pStyle w:val="TOC2"/>
        <w:rPr>
          <w:rFonts w:asciiTheme="minorHAnsi" w:eastAsiaTheme="minorEastAsia" w:hAnsiTheme="minorHAnsi" w:cstheme="minorBidi"/>
          <w:bCs w:val="0"/>
          <w:kern w:val="2"/>
          <w:sz w:val="24"/>
          <w:u w:val="none"/>
          <w14:ligatures w14:val="standardContextual"/>
        </w:rPr>
      </w:pPr>
      <w:hyperlink w:anchor="_Toc198549184" w:history="1">
        <w:r w:rsidRPr="009606A0">
          <w:rPr>
            <w:rStyle w:val="Hyperlink"/>
            <w:lang w:val="en-US"/>
          </w:rPr>
          <w:t>1.1</w:t>
        </w:r>
        <w:r>
          <w:rPr>
            <w:rFonts w:asciiTheme="minorHAnsi" w:eastAsiaTheme="minorEastAsia" w:hAnsiTheme="minorHAnsi" w:cstheme="minorBidi"/>
            <w:bCs w:val="0"/>
            <w:kern w:val="2"/>
            <w:sz w:val="24"/>
            <w:u w:val="none"/>
            <w14:ligatures w14:val="standardContextual"/>
          </w:rPr>
          <w:tab/>
        </w:r>
        <w:r w:rsidRPr="009606A0">
          <w:rPr>
            <w:rStyle w:val="Hyperlink"/>
            <w:lang w:val="en-US"/>
          </w:rPr>
          <w:t>RECOMMENDATIONS</w:t>
        </w:r>
        <w:r>
          <w:rPr>
            <w:webHidden/>
          </w:rPr>
          <w:tab/>
        </w:r>
        <w:r>
          <w:rPr>
            <w:webHidden/>
          </w:rPr>
          <w:fldChar w:fldCharType="begin"/>
        </w:r>
        <w:r>
          <w:rPr>
            <w:webHidden/>
          </w:rPr>
          <w:instrText xml:space="preserve"> PAGEREF _Toc198549184 \h </w:instrText>
        </w:r>
        <w:r>
          <w:rPr>
            <w:webHidden/>
          </w:rPr>
        </w:r>
        <w:r>
          <w:rPr>
            <w:webHidden/>
          </w:rPr>
          <w:fldChar w:fldCharType="separate"/>
        </w:r>
        <w:r>
          <w:rPr>
            <w:webHidden/>
          </w:rPr>
          <w:t>4</w:t>
        </w:r>
        <w:r>
          <w:rPr>
            <w:webHidden/>
          </w:rPr>
          <w:fldChar w:fldCharType="end"/>
        </w:r>
      </w:hyperlink>
    </w:p>
    <w:p w14:paraId="4BF043DF" w14:textId="20C1CC9B" w:rsidR="0012489E" w:rsidRDefault="0012489E" w:rsidP="00066FE6">
      <w:pPr>
        <w:pStyle w:val="TOC1"/>
        <w:ind w:firstLine="0"/>
        <w:rPr>
          <w:rFonts w:asciiTheme="minorHAnsi" w:eastAsiaTheme="minorEastAsia" w:hAnsiTheme="minorHAnsi" w:cstheme="minorBidi"/>
          <w:color w:val="auto"/>
          <w:kern w:val="2"/>
          <w:sz w:val="24"/>
          <w:szCs w:val="24"/>
          <w:u w:val="none"/>
          <w14:ligatures w14:val="standardContextual"/>
        </w:rPr>
      </w:pPr>
      <w:hyperlink w:anchor="_Toc198549185" w:history="1">
        <w:r w:rsidRPr="009606A0">
          <w:rPr>
            <w:rStyle w:val="Hyperlink"/>
          </w:rPr>
          <w:t>2.</w:t>
        </w:r>
        <w:r>
          <w:rPr>
            <w:rFonts w:asciiTheme="minorHAnsi" w:eastAsiaTheme="minorEastAsia" w:hAnsiTheme="minorHAnsi" w:cstheme="minorBidi"/>
            <w:color w:val="auto"/>
            <w:kern w:val="2"/>
            <w:sz w:val="24"/>
            <w:szCs w:val="24"/>
            <w:u w:val="none"/>
            <w14:ligatures w14:val="standardContextual"/>
          </w:rPr>
          <w:tab/>
        </w:r>
        <w:r w:rsidRPr="009606A0">
          <w:rPr>
            <w:rStyle w:val="Hyperlink"/>
          </w:rPr>
          <w:t>Sexual and Reproductive Health (Article 12)</w:t>
        </w:r>
        <w:r>
          <w:rPr>
            <w:webHidden/>
          </w:rPr>
          <w:tab/>
        </w:r>
        <w:r>
          <w:rPr>
            <w:webHidden/>
          </w:rPr>
          <w:fldChar w:fldCharType="begin"/>
        </w:r>
        <w:r>
          <w:rPr>
            <w:webHidden/>
          </w:rPr>
          <w:instrText xml:space="preserve"> PAGEREF _Toc198549185 \h </w:instrText>
        </w:r>
        <w:r>
          <w:rPr>
            <w:webHidden/>
          </w:rPr>
        </w:r>
        <w:r>
          <w:rPr>
            <w:webHidden/>
          </w:rPr>
          <w:fldChar w:fldCharType="separate"/>
        </w:r>
        <w:r>
          <w:rPr>
            <w:webHidden/>
          </w:rPr>
          <w:t>4</w:t>
        </w:r>
        <w:r>
          <w:rPr>
            <w:webHidden/>
          </w:rPr>
          <w:fldChar w:fldCharType="end"/>
        </w:r>
      </w:hyperlink>
    </w:p>
    <w:p w14:paraId="5B68A1B2" w14:textId="366C4CE2" w:rsidR="0012489E" w:rsidRDefault="0012489E">
      <w:pPr>
        <w:pStyle w:val="TOC2"/>
        <w:rPr>
          <w:rFonts w:asciiTheme="minorHAnsi" w:eastAsiaTheme="minorEastAsia" w:hAnsiTheme="minorHAnsi" w:cstheme="minorBidi"/>
          <w:bCs w:val="0"/>
          <w:kern w:val="2"/>
          <w:sz w:val="24"/>
          <w:u w:val="none"/>
          <w14:ligatures w14:val="standardContextual"/>
        </w:rPr>
      </w:pPr>
      <w:hyperlink w:anchor="_Toc198549186" w:history="1">
        <w:r w:rsidRPr="009606A0">
          <w:rPr>
            <w:rStyle w:val="Hyperlink"/>
            <w:lang w:val="en-US"/>
          </w:rPr>
          <w:t>2.1</w:t>
        </w:r>
        <w:r>
          <w:rPr>
            <w:rFonts w:asciiTheme="minorHAnsi" w:eastAsiaTheme="minorEastAsia" w:hAnsiTheme="minorHAnsi" w:cstheme="minorBidi"/>
            <w:bCs w:val="0"/>
            <w:kern w:val="2"/>
            <w:sz w:val="24"/>
            <w:u w:val="none"/>
            <w14:ligatures w14:val="standardContextual"/>
          </w:rPr>
          <w:tab/>
        </w:r>
        <w:r w:rsidRPr="009606A0">
          <w:rPr>
            <w:rStyle w:val="Hyperlink"/>
            <w:lang w:val="en-US"/>
          </w:rPr>
          <w:t>RECOMMENDATIONS</w:t>
        </w:r>
        <w:r>
          <w:rPr>
            <w:webHidden/>
          </w:rPr>
          <w:tab/>
        </w:r>
        <w:r>
          <w:rPr>
            <w:webHidden/>
          </w:rPr>
          <w:fldChar w:fldCharType="begin"/>
        </w:r>
        <w:r>
          <w:rPr>
            <w:webHidden/>
          </w:rPr>
          <w:instrText xml:space="preserve"> PAGEREF _Toc198549186 \h </w:instrText>
        </w:r>
        <w:r>
          <w:rPr>
            <w:webHidden/>
          </w:rPr>
        </w:r>
        <w:r>
          <w:rPr>
            <w:webHidden/>
          </w:rPr>
          <w:fldChar w:fldCharType="separate"/>
        </w:r>
        <w:r>
          <w:rPr>
            <w:webHidden/>
          </w:rPr>
          <w:t>5</w:t>
        </w:r>
        <w:r>
          <w:rPr>
            <w:webHidden/>
          </w:rPr>
          <w:fldChar w:fldCharType="end"/>
        </w:r>
      </w:hyperlink>
    </w:p>
    <w:p w14:paraId="581001C7" w14:textId="37ADDA0F" w:rsidR="0012489E" w:rsidRDefault="0012489E" w:rsidP="00066FE6">
      <w:pPr>
        <w:pStyle w:val="TOC1"/>
        <w:ind w:firstLine="0"/>
        <w:rPr>
          <w:rFonts w:asciiTheme="minorHAnsi" w:eastAsiaTheme="minorEastAsia" w:hAnsiTheme="minorHAnsi" w:cstheme="minorBidi"/>
          <w:color w:val="auto"/>
          <w:kern w:val="2"/>
          <w:sz w:val="24"/>
          <w:szCs w:val="24"/>
          <w:u w:val="none"/>
          <w14:ligatures w14:val="standardContextual"/>
        </w:rPr>
      </w:pPr>
      <w:hyperlink w:anchor="_Toc198549187" w:history="1">
        <w:r w:rsidRPr="009606A0">
          <w:rPr>
            <w:rStyle w:val="Hyperlink"/>
          </w:rPr>
          <w:t>3.</w:t>
        </w:r>
        <w:r>
          <w:rPr>
            <w:rFonts w:asciiTheme="minorHAnsi" w:eastAsiaTheme="minorEastAsia" w:hAnsiTheme="minorHAnsi" w:cstheme="minorBidi"/>
            <w:color w:val="auto"/>
            <w:kern w:val="2"/>
            <w:sz w:val="24"/>
            <w:szCs w:val="24"/>
            <w:u w:val="none"/>
            <w14:ligatures w14:val="standardContextual"/>
          </w:rPr>
          <w:tab/>
        </w:r>
        <w:r w:rsidRPr="009606A0">
          <w:rPr>
            <w:rStyle w:val="Hyperlink"/>
          </w:rPr>
          <w:t>Protection of the rights of sex workers (Article 6)</w:t>
        </w:r>
        <w:r>
          <w:rPr>
            <w:webHidden/>
          </w:rPr>
          <w:tab/>
        </w:r>
        <w:r>
          <w:rPr>
            <w:webHidden/>
          </w:rPr>
          <w:fldChar w:fldCharType="begin"/>
        </w:r>
        <w:r>
          <w:rPr>
            <w:webHidden/>
          </w:rPr>
          <w:instrText xml:space="preserve"> PAGEREF _Toc198549187 \h </w:instrText>
        </w:r>
        <w:r>
          <w:rPr>
            <w:webHidden/>
          </w:rPr>
        </w:r>
        <w:r>
          <w:rPr>
            <w:webHidden/>
          </w:rPr>
          <w:fldChar w:fldCharType="separate"/>
        </w:r>
        <w:r>
          <w:rPr>
            <w:webHidden/>
          </w:rPr>
          <w:t>5</w:t>
        </w:r>
        <w:r>
          <w:rPr>
            <w:webHidden/>
          </w:rPr>
          <w:fldChar w:fldCharType="end"/>
        </w:r>
      </w:hyperlink>
    </w:p>
    <w:p w14:paraId="79212082" w14:textId="7063C633" w:rsidR="0012489E" w:rsidRDefault="0012489E">
      <w:pPr>
        <w:pStyle w:val="TOC2"/>
        <w:rPr>
          <w:rFonts w:asciiTheme="minorHAnsi" w:eastAsiaTheme="minorEastAsia" w:hAnsiTheme="minorHAnsi" w:cstheme="minorBidi"/>
          <w:bCs w:val="0"/>
          <w:kern w:val="2"/>
          <w:sz w:val="24"/>
          <w:u w:val="none"/>
          <w14:ligatures w14:val="standardContextual"/>
        </w:rPr>
      </w:pPr>
      <w:hyperlink w:anchor="_Toc198549188" w:history="1">
        <w:r w:rsidRPr="009606A0">
          <w:rPr>
            <w:rStyle w:val="Hyperlink"/>
            <w:lang w:val="en-US"/>
          </w:rPr>
          <w:t>3.1</w:t>
        </w:r>
        <w:r>
          <w:rPr>
            <w:rFonts w:asciiTheme="minorHAnsi" w:eastAsiaTheme="minorEastAsia" w:hAnsiTheme="minorHAnsi" w:cstheme="minorBidi"/>
            <w:bCs w:val="0"/>
            <w:kern w:val="2"/>
            <w:sz w:val="24"/>
            <w:u w:val="none"/>
            <w14:ligatures w14:val="standardContextual"/>
          </w:rPr>
          <w:tab/>
        </w:r>
        <w:r w:rsidRPr="009606A0">
          <w:rPr>
            <w:rStyle w:val="Hyperlink"/>
            <w:lang w:val="en-US"/>
          </w:rPr>
          <w:t>RECOMMENDATIONS</w:t>
        </w:r>
        <w:r>
          <w:rPr>
            <w:webHidden/>
          </w:rPr>
          <w:tab/>
        </w:r>
        <w:r>
          <w:rPr>
            <w:webHidden/>
          </w:rPr>
          <w:fldChar w:fldCharType="begin"/>
        </w:r>
        <w:r>
          <w:rPr>
            <w:webHidden/>
          </w:rPr>
          <w:instrText xml:space="preserve"> PAGEREF _Toc198549188 \h </w:instrText>
        </w:r>
        <w:r>
          <w:rPr>
            <w:webHidden/>
          </w:rPr>
        </w:r>
        <w:r>
          <w:rPr>
            <w:webHidden/>
          </w:rPr>
          <w:fldChar w:fldCharType="separate"/>
        </w:r>
        <w:r>
          <w:rPr>
            <w:webHidden/>
          </w:rPr>
          <w:t>6</w:t>
        </w:r>
        <w:r>
          <w:rPr>
            <w:webHidden/>
          </w:rPr>
          <w:fldChar w:fldCharType="end"/>
        </w:r>
      </w:hyperlink>
    </w:p>
    <w:p w14:paraId="0164DF74" w14:textId="06E906AD" w:rsidR="001153D5" w:rsidRDefault="00346173" w:rsidP="001153D5">
      <w:pPr>
        <w:pStyle w:val="BBodyText"/>
        <w:rPr>
          <w:rFonts w:asciiTheme="majorHAnsi" w:hAnsiTheme="majorHAnsi"/>
          <w:b/>
          <w:caps/>
          <w:noProof/>
          <w:color w:val="000000" w:themeColor="text1"/>
          <w:sz w:val="17"/>
          <w:szCs w:val="22"/>
          <w:u w:val="single"/>
          <w:lang w:eastAsia="en-GB"/>
        </w:rPr>
      </w:pPr>
      <w:r w:rsidRPr="00B61AFE">
        <w:rPr>
          <w:rFonts w:asciiTheme="majorHAnsi" w:hAnsiTheme="majorHAnsi"/>
          <w:b/>
          <w:caps/>
          <w:noProof/>
          <w:color w:val="000000" w:themeColor="text1"/>
          <w:sz w:val="17"/>
          <w:szCs w:val="22"/>
          <w:u w:val="single"/>
          <w:lang w:eastAsia="en-GB"/>
        </w:rPr>
        <w:fldChar w:fldCharType="end"/>
      </w:r>
    </w:p>
    <w:p w14:paraId="15DD26EE" w14:textId="77777777" w:rsidR="002136E5" w:rsidRDefault="002136E5" w:rsidP="001153D5">
      <w:pPr>
        <w:pStyle w:val="BBodyText"/>
        <w:sectPr w:rsidR="002136E5" w:rsidSect="00DA7998">
          <w:footerReference w:type="default" r:id="rId9"/>
          <w:footerReference w:type="first" r:id="rId10"/>
          <w:pgSz w:w="11906" w:h="16838" w:code="9"/>
          <w:pgMar w:top="1474" w:right="1418" w:bottom="1418" w:left="1418" w:header="709" w:footer="709" w:gutter="0"/>
          <w:cols w:space="708"/>
          <w:titlePg/>
          <w:docGrid w:linePitch="360"/>
        </w:sectPr>
      </w:pPr>
      <w:r w:rsidRPr="00065FFC">
        <w:rPr>
          <w:b/>
          <w:bCs w:val="0"/>
          <w:noProof/>
        </w:rPr>
        <mc:AlternateContent>
          <mc:Choice Requires="wps">
            <w:drawing>
              <wp:anchor distT="0" distB="0" distL="114300" distR="114300" simplePos="0" relativeHeight="251658248" behindDoc="0" locked="1" layoutInCell="1" allowOverlap="0" wp14:anchorId="54DF9B89" wp14:editId="1544A76A">
                <wp:simplePos x="0" y="0"/>
                <wp:positionH relativeFrom="margin">
                  <wp:posOffset>2827020</wp:posOffset>
                </wp:positionH>
                <wp:positionV relativeFrom="page">
                  <wp:posOffset>6212840</wp:posOffset>
                </wp:positionV>
                <wp:extent cx="2886075" cy="1755140"/>
                <wp:effectExtent l="0" t="0" r="952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886075" cy="1755140"/>
                        </a:xfrm>
                        <a:prstGeom prst="rect">
                          <a:avLst/>
                        </a:prstGeom>
                        <a:solidFill>
                          <a:sysClr val="window" lastClr="FFFFFF"/>
                        </a:solidFill>
                        <a:ln w="6350">
                          <a:noFill/>
                        </a:ln>
                      </wps:spPr>
                      <wps:txbx>
                        <w:txbxContent>
                          <w:p w14:paraId="375C8ABA" w14:textId="77777777" w:rsidR="00236DE0" w:rsidRPr="000B1E55" w:rsidRDefault="00236DE0" w:rsidP="00236DE0">
                            <w:pPr>
                              <w:spacing w:line="276" w:lineRule="auto"/>
                              <w:jc w:val="both"/>
                              <w:rPr>
                                <w:sz w:val="22"/>
                                <w:szCs w:val="22"/>
                              </w:rPr>
                            </w:pPr>
                            <w:r w:rsidRPr="3F1F90BE">
                              <w:rPr>
                                <w:sz w:val="22"/>
                                <w:szCs w:val="22"/>
                              </w:rPr>
                              <w:t xml:space="preserve">Amnesty International submits this information in advance of the adoption of the list of issues by the UN Committee on the Elimination of Discrimination against Women (the Committee) for the Republic of Moldova in July 2025. It should not be seen as an exhaustive list of concerns. </w:t>
                            </w:r>
                          </w:p>
                          <w:p w14:paraId="44EBACD1" w14:textId="40527B9A" w:rsidR="002136E5" w:rsidRPr="00F76C52" w:rsidRDefault="002136E5" w:rsidP="002136E5">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DF9B89" id="_x0000_t202" coordsize="21600,21600" o:spt="202" path="m,l,21600r21600,l21600,xe">
                <v:stroke joinstyle="miter"/>
                <v:path gradientshapeok="t" o:connecttype="rect"/>
              </v:shapetype>
              <v:shape id="Text Box 7" o:spid="_x0000_s1026" type="#_x0000_t202" style="position:absolute;margin-left:222.6pt;margin-top:489.2pt;width:227.25pt;height:138.2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" o:allowoverlap="f" fillcolor="window" stroked="f" strokeweight=".5pt">
                <o:lock v:ext="edit" aspectratio="t"/>
                <v:textbox>
                  <w:txbxContent>
                    <w:p w14:paraId="375C8ABA" w14:textId="77777777" w:rsidR="00236DE0" w:rsidRPr="000B1E55" w:rsidRDefault="00236DE0" w:rsidP="00236DE0">
                      <w:pPr>
                        <w:spacing w:line="276" w:lineRule="auto"/>
                        <w:jc w:val="both"/>
                        <w:rPr>
                          <w:sz w:val="22"/>
                          <w:szCs w:val="22"/>
                        </w:rPr>
                      </w:pPr>
                      <w:r w:rsidRPr="3F1F90BE">
                        <w:rPr>
                          <w:sz w:val="22"/>
                          <w:szCs w:val="22"/>
                        </w:rPr>
                        <w:t xml:space="preserve">Amnesty International submits this information in advance of the adoption of the list of issues by the UN Committee on the Elimination of Discrimination against Women (the Committee) for the Republic of Moldova in July 2025. It should not be seen as an exhaustive list of concerns. </w:t>
                      </w:r>
                    </w:p>
                    <w:p w14:paraId="44EBACD1" w14:textId="40527B9A" w:rsidR="002136E5" w:rsidRPr="00F76C52" w:rsidRDefault="002136E5" w:rsidP="002136E5">
                      <w:pPr>
                        <w:pStyle w:val="Babstract"/>
                      </w:pPr>
                    </w:p>
                  </w:txbxContent>
                </v:textbox>
                <w10:wrap anchorx="margin" anchory="page"/>
                <w10:anchorlock/>
              </v:shape>
            </w:pict>
          </mc:Fallback>
        </mc:AlternateContent>
      </w:r>
    </w:p>
    <w:p w14:paraId="6FA9724B" w14:textId="611972B7" w:rsidR="0012489E" w:rsidRPr="0012489E" w:rsidRDefault="0012489E" w:rsidP="00066FE6">
      <w:pPr>
        <w:pStyle w:val="BNumberedHeading"/>
        <w:rPr>
          <w:lang w:val="en-GB"/>
        </w:rPr>
      </w:pPr>
      <w:bookmarkStart w:id="0" w:name="_Toc198549183"/>
      <w:r w:rsidRPr="0012489E">
        <w:lastRenderedPageBreak/>
        <w:t>Prevention of and combating gender-based violence (article 1, 2, 3, 5)</w:t>
      </w:r>
      <w:bookmarkEnd w:id="0"/>
    </w:p>
    <w:p w14:paraId="5292A9D8" w14:textId="37418080" w:rsidR="0012489E" w:rsidRPr="0012489E" w:rsidRDefault="0012489E" w:rsidP="0012489E">
      <w:pPr>
        <w:pStyle w:val="BBodyText"/>
        <w:rPr>
          <w:lang w:val="en-US"/>
        </w:rPr>
      </w:pPr>
      <w:r w:rsidRPr="0012489E">
        <w:rPr>
          <w:lang w:val="en-US"/>
        </w:rPr>
        <w:t>The Committee has previously reiterated its recommendation to amend Article 78</w:t>
      </w:r>
      <w:r w:rsidRPr="0012489E">
        <w:rPr>
          <w:vertAlign w:val="superscript"/>
          <w:lang w:val="en-US"/>
        </w:rPr>
        <w:t>1</w:t>
      </w:r>
      <w:r w:rsidRPr="0012489E">
        <w:rPr>
          <w:lang w:val="en-US"/>
        </w:rPr>
        <w:t xml:space="preserve"> of the Contravention Code of the Republic of Moldova</w:t>
      </w:r>
      <w:r w:rsidRPr="0012489E">
        <w:rPr>
          <w:vertAlign w:val="superscript"/>
          <w:lang w:val="en-US"/>
        </w:rPr>
        <w:footnoteReference w:id="2"/>
      </w:r>
      <w:r w:rsidRPr="0012489E">
        <w:rPr>
          <w:lang w:val="en-US"/>
        </w:rPr>
        <w:t xml:space="preserve"> that allows for exempting perpetrators of domestic violence from criminal liability based on the severity of bodily injury. The GREVIO has raised concerns that 1) there are no uniform criteria applied consistently to distinguish between the contravention and the criminal offence of domestic violence and 2) leaving the qualification of the legal nature of the act to practitioners solely based on the severity of bodily injury, and without clear guidance, may result in serious cases of physical violence being charged as a contravention and in turn, cases of psychological violence may go unpunished, despite their explicit </w:t>
      </w:r>
      <w:r w:rsidR="00FC6C0F" w:rsidRPr="0012489E">
        <w:rPr>
          <w:lang w:val="en-US"/>
        </w:rPr>
        <w:t>criminalization</w:t>
      </w:r>
      <w:r w:rsidRPr="0012489E">
        <w:rPr>
          <w:lang w:val="en-US"/>
        </w:rPr>
        <w:t xml:space="preserve"> under Article 201</w:t>
      </w:r>
      <w:r w:rsidRPr="0012489E">
        <w:rPr>
          <w:vertAlign w:val="superscript"/>
          <w:lang w:val="en-US"/>
        </w:rPr>
        <w:t>1</w:t>
      </w:r>
      <w:r w:rsidRPr="0012489E">
        <w:rPr>
          <w:lang w:val="en-US"/>
        </w:rPr>
        <w:t xml:space="preserve"> of the Criminal Code.</w:t>
      </w:r>
      <w:r w:rsidRPr="0012489E">
        <w:rPr>
          <w:vertAlign w:val="superscript"/>
          <w:lang w:val="en-US"/>
        </w:rPr>
        <w:footnoteReference w:id="3"/>
      </w:r>
    </w:p>
    <w:p w14:paraId="5F8AB462" w14:textId="187380C1" w:rsidR="0012489E" w:rsidRPr="0012489E" w:rsidRDefault="0012489E" w:rsidP="0012489E">
      <w:pPr>
        <w:pStyle w:val="BBodyText"/>
        <w:rPr>
          <w:lang w:val="en-US"/>
        </w:rPr>
      </w:pPr>
      <w:r w:rsidRPr="0012489E">
        <w:rPr>
          <w:lang w:val="en-US"/>
        </w:rPr>
        <w:t>The Moldovan authorities have not yet implemented this recommendation. Even though discussions on this topic are held sporadically, the main resistance comes from the police sector which objects to such an amendment on the grounds that it would increase the incarceration rate and overpopulation in the penitentiary system. At the same time, NGO reports have shown that the provision in Article 78</w:t>
      </w:r>
      <w:r w:rsidRPr="0012489E" w:rsidDel="5150A32C">
        <w:rPr>
          <w:vertAlign w:val="superscript"/>
          <w:lang w:val="en-US"/>
        </w:rPr>
        <w:t>1</w:t>
      </w:r>
      <w:r w:rsidRPr="0012489E">
        <w:rPr>
          <w:lang w:val="en-US"/>
        </w:rPr>
        <w:t xml:space="preserve"> is not an effective tool for preventing and combating domestic violence. Namely, while the court was examining domestic violence cases in proceedings under the Contravention Code (Minor Offence Code), </w:t>
      </w:r>
      <w:proofErr w:type="gramStart"/>
      <w:r w:rsidRPr="0012489E">
        <w:rPr>
          <w:lang w:val="en-US"/>
        </w:rPr>
        <w:t>the overwhelming majority of</w:t>
      </w:r>
      <w:proofErr w:type="gramEnd"/>
      <w:r w:rsidRPr="0012489E">
        <w:rPr>
          <w:lang w:val="en-US"/>
        </w:rPr>
        <w:t xml:space="preserve"> offenders continued to intentionally display violent behaviour towards family members. In other cases, shortly </w:t>
      </w:r>
      <w:r w:rsidR="0097616C" w:rsidRPr="0012489E">
        <w:rPr>
          <w:lang w:val="en-US"/>
        </w:rPr>
        <w:t>after the</w:t>
      </w:r>
      <w:r w:rsidRPr="0012489E">
        <w:rPr>
          <w:lang w:val="en-US"/>
        </w:rPr>
        <w:t xml:space="preserve"> judge found the alleged perpetrator guilty of </w:t>
      </w:r>
      <w:proofErr w:type="gramStart"/>
      <w:r w:rsidRPr="0012489E">
        <w:rPr>
          <w:lang w:val="en-US"/>
        </w:rPr>
        <w:t>a contravention</w:t>
      </w:r>
      <w:proofErr w:type="gramEnd"/>
      <w:r w:rsidRPr="0012489E">
        <w:rPr>
          <w:lang w:val="en-US"/>
        </w:rPr>
        <w:t>, the perpetrator committed repeated acts of violence. The monitoring results confirmed the need for more effective measures to discourage perpetrators from committing further acts of violence against family members.</w:t>
      </w:r>
      <w:r w:rsidRPr="0012489E">
        <w:rPr>
          <w:vertAlign w:val="superscript"/>
          <w:lang w:val="en-US"/>
        </w:rPr>
        <w:footnoteReference w:id="4"/>
      </w:r>
      <w:r w:rsidRPr="0012489E">
        <w:rPr>
          <w:vertAlign w:val="superscript"/>
          <w:lang w:val="en-US"/>
        </w:rPr>
        <w:t xml:space="preserve"> </w:t>
      </w:r>
      <w:r w:rsidRPr="0012489E">
        <w:rPr>
          <w:lang w:val="en-US"/>
        </w:rPr>
        <w:t xml:space="preserve">By ratifying the Council of Europe Convention on preventing and combating violence against women and domestic violence (the Istanbul Convention), the Moldovan authorities have committed to aligning domestic legislation with the human rights standards set out in the Convention, including </w:t>
      </w:r>
      <w:r w:rsidR="0097616C" w:rsidRPr="0012489E">
        <w:rPr>
          <w:lang w:val="en-US"/>
        </w:rPr>
        <w:t>criminalizing</w:t>
      </w:r>
      <w:r w:rsidRPr="0012489E">
        <w:rPr>
          <w:lang w:val="en-US"/>
        </w:rPr>
        <w:t xml:space="preserve"> and prosecuting all forms of violence against women including domestic violence. On 6 March 2025, a draft was registered in the parliament law that is meant to amend various pieces of legislation, including introducing </w:t>
      </w:r>
      <w:r w:rsidR="0097616C" w:rsidRPr="0012489E">
        <w:rPr>
          <w:lang w:val="en-US"/>
        </w:rPr>
        <w:t>criminalization</w:t>
      </w:r>
      <w:r w:rsidRPr="0012489E">
        <w:rPr>
          <w:lang w:val="en-US"/>
        </w:rPr>
        <w:t xml:space="preserve"> of a broad range of forms of violence against women covered by the Istanbul Convention.</w:t>
      </w:r>
      <w:r w:rsidRPr="0012489E">
        <w:rPr>
          <w:vertAlign w:val="superscript"/>
          <w:lang w:val="en-US"/>
        </w:rPr>
        <w:footnoteReference w:id="5"/>
      </w:r>
      <w:r w:rsidRPr="0012489E">
        <w:rPr>
          <w:lang w:val="en-US"/>
        </w:rPr>
        <w:t xml:space="preserve"> Nonetheless, there are some forms of violence against women which are not covered in the current law. The draft law fills this gap to some extent with the inclusion of provisions on stalking and forced marriage. However, neither the legislation in force, nor the draft law include explicit provisions on female genital mutilation, forced abortion and forced sterilization. Such acts could be prosecuted only through extensive interpretation of the law, on the accounts of „intentional injury to bodily integrity or health”, provided for instance in the Criminal and Contravention Codes of the Republic of Moldova. However, this legal context creates space for a broad discretion of the competent authorities on how to qualify such instances. At the same time, in its Baseline Evaluation Report on the Republic of Moldova, the Group of Experts on Action against Violence against Women and Domestic Violence (GREVIO) has stated that: </w:t>
      </w:r>
    </w:p>
    <w:p w14:paraId="67370989" w14:textId="77777777" w:rsidR="0012489E" w:rsidRDefault="0012489E" w:rsidP="0012489E">
      <w:pPr>
        <w:pStyle w:val="BBodyText"/>
        <w:rPr>
          <w:i/>
          <w:iCs/>
          <w:lang w:val="en-US"/>
        </w:rPr>
      </w:pPr>
      <w:r w:rsidRPr="0012489E">
        <w:rPr>
          <w:i/>
          <w:iCs/>
          <w:lang w:val="en-US"/>
        </w:rPr>
        <w:t xml:space="preserve">whilst the national legislation establishes “a good framework for preventing and combating domestic violence and, to a certain degree, sexual violence, […] none of the measures included therein addresses certain forms of violence against women covered by the convention, such as stalking, forced marriage, female genital mutilation (FGM), sexual harassment, forced abortion and forced </w:t>
      </w:r>
      <w:proofErr w:type="spellStart"/>
      <w:r w:rsidRPr="0012489E">
        <w:rPr>
          <w:i/>
          <w:iCs/>
          <w:lang w:val="en-US"/>
        </w:rPr>
        <w:t>sterilisation</w:t>
      </w:r>
      <w:proofErr w:type="spellEnd"/>
      <w:r w:rsidRPr="0012489E">
        <w:rPr>
          <w:i/>
          <w:iCs/>
          <w:lang w:val="en-US"/>
        </w:rPr>
        <w:t>. No other policy documents in force appear to specifically address these forms of violence.”</w:t>
      </w:r>
      <w:r w:rsidRPr="0012489E">
        <w:rPr>
          <w:i/>
          <w:iCs/>
          <w:vertAlign w:val="superscript"/>
          <w:lang w:val="en-US"/>
        </w:rPr>
        <w:footnoteReference w:id="6"/>
      </w:r>
    </w:p>
    <w:p w14:paraId="0F5DAD06" w14:textId="77777777" w:rsidR="00066FE6" w:rsidRPr="0012489E" w:rsidRDefault="00066FE6" w:rsidP="0012489E">
      <w:pPr>
        <w:pStyle w:val="BBodyText"/>
        <w:rPr>
          <w:lang w:val="en-US"/>
        </w:rPr>
      </w:pPr>
    </w:p>
    <w:p w14:paraId="4575C93A" w14:textId="77777777" w:rsidR="0012489E" w:rsidRPr="0012489E" w:rsidRDefault="0012489E" w:rsidP="00066FE6">
      <w:pPr>
        <w:pStyle w:val="BNumberedSubheading"/>
      </w:pPr>
      <w:bookmarkStart w:id="1" w:name="_Toc198549184"/>
      <w:r w:rsidRPr="0012489E">
        <w:t>RECOMMENDATIONS</w:t>
      </w:r>
      <w:bookmarkEnd w:id="1"/>
    </w:p>
    <w:p w14:paraId="52B58498" w14:textId="77777777" w:rsidR="0012489E" w:rsidRPr="0012489E" w:rsidRDefault="0012489E" w:rsidP="0012489E">
      <w:pPr>
        <w:pStyle w:val="BBodyText"/>
        <w:rPr>
          <w:b/>
          <w:lang w:val="en-US"/>
        </w:rPr>
      </w:pPr>
      <w:r w:rsidRPr="0012489E">
        <w:rPr>
          <w:lang w:val="en-US"/>
        </w:rPr>
        <w:t>Amnesty International recommends that the authorities of Moldova:</w:t>
      </w:r>
      <w:r w:rsidRPr="0012489E">
        <w:rPr>
          <w:b/>
          <w:lang w:val="en-US"/>
        </w:rPr>
        <w:t xml:space="preserve"> </w:t>
      </w:r>
    </w:p>
    <w:p w14:paraId="18ACA2D9" w14:textId="77777777" w:rsidR="0012489E" w:rsidRPr="0012489E" w:rsidRDefault="0012489E" w:rsidP="0012489E">
      <w:pPr>
        <w:pStyle w:val="BBodyText"/>
        <w:numPr>
          <w:ilvl w:val="0"/>
          <w:numId w:val="31"/>
        </w:numPr>
        <w:rPr>
          <w:lang w:val="en-US"/>
        </w:rPr>
      </w:pPr>
      <w:r w:rsidRPr="0012489E">
        <w:rPr>
          <w:lang w:val="en-US"/>
        </w:rPr>
        <w:t xml:space="preserve"> </w:t>
      </w:r>
      <w:r w:rsidRPr="0012489E">
        <w:rPr>
          <w:b/>
          <w:lang w:val="en-US"/>
        </w:rPr>
        <w:t>Ensure, more operational clarity between the contravention and the crime of domestic violence</w:t>
      </w:r>
      <w:r w:rsidRPr="0012489E">
        <w:rPr>
          <w:lang w:val="en-US"/>
        </w:rPr>
        <w:t>, through all available means such as protocols, training of professionals and legislative change, as per 2023 GREVIO report's recommendations. Ensure there are more dissuasive sanctions for the contravention of domestic violence.</w:t>
      </w:r>
    </w:p>
    <w:p w14:paraId="31F01A54" w14:textId="77777777" w:rsidR="0012489E" w:rsidRPr="0012489E" w:rsidRDefault="0012489E" w:rsidP="0012489E">
      <w:pPr>
        <w:pStyle w:val="BBodyText"/>
        <w:numPr>
          <w:ilvl w:val="0"/>
          <w:numId w:val="31"/>
        </w:numPr>
        <w:rPr>
          <w:lang w:val="en-US"/>
        </w:rPr>
      </w:pPr>
      <w:r w:rsidRPr="0012489E">
        <w:rPr>
          <w:b/>
          <w:lang w:val="en-US"/>
        </w:rPr>
        <w:t>Eliminate stigma and barriers discouraging women from reporting cases of gender-based violence</w:t>
      </w:r>
      <w:r w:rsidRPr="0012489E">
        <w:rPr>
          <w:lang w:val="en-US"/>
        </w:rPr>
        <w:t xml:space="preserve">. Implement mandatory, gender-sensitive training for police, prosecutors, and judges on gender-based violence. </w:t>
      </w:r>
    </w:p>
    <w:p w14:paraId="632EC488" w14:textId="77777777" w:rsidR="0012489E" w:rsidRPr="0012489E" w:rsidRDefault="0012489E" w:rsidP="0012489E">
      <w:pPr>
        <w:pStyle w:val="BBodyText"/>
        <w:numPr>
          <w:ilvl w:val="0"/>
          <w:numId w:val="31"/>
        </w:numPr>
        <w:rPr>
          <w:lang w:val="en-US"/>
        </w:rPr>
      </w:pPr>
      <w:r w:rsidRPr="0012489E">
        <w:rPr>
          <w:b/>
          <w:lang w:val="en-US"/>
        </w:rPr>
        <w:t>Amend domestic legislation to ensure its full alignment with the Istanbul Convention, including by introducing legal provisions criminalizing all forms of violence against women under the Istanbul Convention</w:t>
      </w:r>
      <w:r w:rsidRPr="0012489E">
        <w:rPr>
          <w:lang w:val="en-US"/>
        </w:rPr>
        <w:t xml:space="preserve">, including stalking, female genital mutilation, forced marriage, forced abortion, and forced sterilization. These must be clearly defined in both the Criminal and Contravention Codes to avoid discretionary interpretation by authorities. </w:t>
      </w:r>
    </w:p>
    <w:p w14:paraId="0A2DD4D8" w14:textId="77777777" w:rsidR="0012489E" w:rsidRPr="0012489E" w:rsidRDefault="0012489E" w:rsidP="00066FE6">
      <w:pPr>
        <w:pStyle w:val="BNumberedHeading"/>
      </w:pPr>
      <w:bookmarkStart w:id="2" w:name="_Toc198549185"/>
      <w:r w:rsidRPr="0012489E">
        <w:t>Sexual and Reproductive Health (Article 12)</w:t>
      </w:r>
      <w:bookmarkEnd w:id="2"/>
    </w:p>
    <w:p w14:paraId="1B4B0EAE" w14:textId="4274C770" w:rsidR="0012489E" w:rsidRPr="0012489E" w:rsidRDefault="0012489E" w:rsidP="0012489E">
      <w:pPr>
        <w:pStyle w:val="BBodyText"/>
        <w:rPr>
          <w:lang w:val="en-US"/>
        </w:rPr>
      </w:pPr>
      <w:r w:rsidRPr="0012489E">
        <w:rPr>
          <w:lang w:val="en-US"/>
        </w:rPr>
        <w:t xml:space="preserve">Abortion in Moldova is legal on request until week 12 of pregnancy and generally permitted until 28 weeks for a broad variety of reasons determined by the Ministry of Health – until 22 weeks in cases of risks to health, fetal impairment, when pregnancy is the result of a crime or for social reasons, and until 28 weeks if the fetus has severe malformations or congenital syphilis. Abortions must be carried out in authorized medical facilities by obstetricians and </w:t>
      </w:r>
      <w:r w:rsidR="0097616C" w:rsidRPr="0012489E">
        <w:rPr>
          <w:lang w:val="en-US"/>
        </w:rPr>
        <w:t>gynaecologists</w:t>
      </w:r>
      <w:r w:rsidRPr="0012489E">
        <w:rPr>
          <w:lang w:val="en-US"/>
        </w:rPr>
        <w:t xml:space="preserve">. However, since the start of the COVID-19 pandemic, abortion has also been lawfully provided in Moldova via telemedicine to address the reduced access due to lockdowns, reduced mobility and travel, and </w:t>
      </w:r>
      <w:proofErr w:type="gramStart"/>
      <w:r w:rsidRPr="0012489E">
        <w:rPr>
          <w:lang w:val="en-US"/>
        </w:rPr>
        <w:t>closing down</w:t>
      </w:r>
      <w:proofErr w:type="gramEnd"/>
      <w:r w:rsidRPr="0012489E">
        <w:rPr>
          <w:lang w:val="en-US"/>
        </w:rPr>
        <w:t xml:space="preserve"> of health services. Abortion via telemedicine service </w:t>
      </w:r>
      <w:proofErr w:type="gramStart"/>
      <w:r w:rsidRPr="0012489E">
        <w:rPr>
          <w:lang w:val="en-US"/>
        </w:rPr>
        <w:t>continued also</w:t>
      </w:r>
      <w:proofErr w:type="gramEnd"/>
      <w:r w:rsidRPr="0012489E">
        <w:rPr>
          <w:lang w:val="en-US"/>
        </w:rPr>
        <w:t xml:space="preserve"> after the end of the pandemic until it was banned in early 2025.  </w:t>
      </w:r>
    </w:p>
    <w:p w14:paraId="297EE322" w14:textId="77777777" w:rsidR="0012489E" w:rsidRPr="0012489E" w:rsidRDefault="0012489E" w:rsidP="0012489E">
      <w:pPr>
        <w:pStyle w:val="BBodyText"/>
        <w:rPr>
          <w:lang w:val="en-US"/>
        </w:rPr>
      </w:pPr>
      <w:r w:rsidRPr="0012489E">
        <w:rPr>
          <w:lang w:val="en-US"/>
        </w:rPr>
        <w:t xml:space="preserve">On 23 of January 2025, the Ministry of Health issued Ordinance No. 45/2025, amending Ordinance No. 766/2020 on the approval of "Standard on Safe Abortion” to remove the provision of medical abortion services through telemedicine. This decision was taken without proper consultation with medical professionals or civil society organizations involved in the provision of sexual and reproductive health services. Moreover, several media sources reported that the Ministry of Health took this decision based on an anti-abortion petition signed by 19 individuals, including lawyers, musicians, teachers, retirees, and employees of the </w:t>
      </w:r>
      <w:proofErr w:type="spellStart"/>
      <w:r w:rsidRPr="0012489E">
        <w:rPr>
          <w:lang w:val="en-US"/>
        </w:rPr>
        <w:t>Moldovagaz</w:t>
      </w:r>
      <w:proofErr w:type="spellEnd"/>
      <w:r w:rsidRPr="0012489E">
        <w:rPr>
          <w:lang w:val="en-US"/>
        </w:rPr>
        <w:t xml:space="preserve"> company.</w:t>
      </w:r>
      <w:r w:rsidRPr="0012489E">
        <w:rPr>
          <w:vertAlign w:val="superscript"/>
          <w:lang w:val="en-US"/>
        </w:rPr>
        <w:footnoteReference w:id="7"/>
      </w:r>
      <w:r w:rsidRPr="0012489E">
        <w:rPr>
          <w:lang w:val="en-US"/>
        </w:rPr>
        <w:t xml:space="preserve"> The petition has not been made public; however, Amnesty International Moldova has been able to obtain its text. The Ministry of Health’s justification for their decision (ordinance) was an alleged lack of sufficient regulation of this service.   </w:t>
      </w:r>
    </w:p>
    <w:p w14:paraId="03DC527E" w14:textId="30CCA430" w:rsidR="0012489E" w:rsidRPr="0012489E" w:rsidRDefault="0012489E" w:rsidP="0012489E">
      <w:pPr>
        <w:pStyle w:val="BBodyText"/>
        <w:rPr>
          <w:vertAlign w:val="superscript"/>
          <w:lang w:val="en-US"/>
        </w:rPr>
      </w:pPr>
      <w:r w:rsidRPr="0012489E">
        <w:rPr>
          <w:lang w:val="en-US"/>
        </w:rPr>
        <w:t>On March 10, 2025, Amnesty International Moldova and other NGO members of the Gender Equality Platform in Moldova sent a letter to the Ministry of Health to present arguments in favour of abortion through telemedicine service, as per the World Health Organization guide on self-management of medical abortion,</w:t>
      </w:r>
      <w:r w:rsidRPr="0012489E">
        <w:rPr>
          <w:vertAlign w:val="superscript"/>
          <w:lang w:val="en-US"/>
        </w:rPr>
        <w:footnoteReference w:id="8"/>
      </w:r>
      <w:r w:rsidRPr="0012489E">
        <w:rPr>
          <w:lang w:val="en-US"/>
        </w:rPr>
        <w:t xml:space="preserve"> and requested a meeting with the Minister of Health to facilitate a collaborative dialogue with civil society organizations.</w:t>
      </w:r>
      <w:r w:rsidRPr="0012489E">
        <w:rPr>
          <w:vertAlign w:val="superscript"/>
          <w:lang w:val="en-US"/>
        </w:rPr>
        <w:footnoteReference w:id="9"/>
      </w:r>
      <w:r w:rsidRPr="0012489E">
        <w:rPr>
          <w:vertAlign w:val="superscript"/>
          <w:lang w:val="en-US"/>
        </w:rPr>
        <w:t xml:space="preserve"> </w:t>
      </w:r>
      <w:r w:rsidRPr="0012489E">
        <w:rPr>
          <w:lang w:val="en-US"/>
        </w:rPr>
        <w:t xml:space="preserve">In its response, the Ministry of Health confirmed the changes had been made due to safety concerns but refused to hold a meeting with civil society </w:t>
      </w:r>
      <w:r w:rsidR="00A71DE2" w:rsidRPr="0012489E">
        <w:rPr>
          <w:lang w:val="en-US"/>
        </w:rPr>
        <w:t>organizations</w:t>
      </w:r>
      <w:r w:rsidRPr="0012489E">
        <w:rPr>
          <w:lang w:val="en-US"/>
        </w:rPr>
        <w:t xml:space="preserve">. The Ministry of Health opted </w:t>
      </w:r>
      <w:proofErr w:type="gramStart"/>
      <w:r w:rsidRPr="0012489E">
        <w:rPr>
          <w:lang w:val="en-US"/>
        </w:rPr>
        <w:t>for eliminating</w:t>
      </w:r>
      <w:proofErr w:type="gramEnd"/>
      <w:r w:rsidRPr="0012489E">
        <w:rPr>
          <w:lang w:val="en-US"/>
        </w:rPr>
        <w:t xml:space="preserve"> </w:t>
      </w:r>
      <w:r w:rsidR="00A71DE2" w:rsidRPr="0012489E">
        <w:rPr>
          <w:lang w:val="en-US"/>
        </w:rPr>
        <w:t>abortion</w:t>
      </w:r>
      <w:r w:rsidRPr="0012489E">
        <w:rPr>
          <w:lang w:val="en-US"/>
        </w:rPr>
        <w:t xml:space="preserve"> through telemedicine service altogether instead of developing specific regulations on telemedicine abortion services.</w:t>
      </w:r>
      <w:r w:rsidRPr="0012489E">
        <w:rPr>
          <w:vertAlign w:val="superscript"/>
          <w:lang w:val="en-US"/>
        </w:rPr>
        <w:footnoteReference w:id="10"/>
      </w:r>
      <w:r w:rsidRPr="0012489E">
        <w:rPr>
          <w:lang w:val="en-US"/>
        </w:rPr>
        <w:t xml:space="preserve"> At the same time, a group of civil society organizations signed a petition calling on the Ministry of Health to lift the ban on medical abortion via telemedicine,</w:t>
      </w:r>
      <w:r w:rsidRPr="0012489E">
        <w:rPr>
          <w:vertAlign w:val="superscript"/>
          <w:lang w:val="en-US"/>
        </w:rPr>
        <w:footnoteReference w:id="11"/>
      </w:r>
      <w:r w:rsidRPr="0012489E">
        <w:rPr>
          <w:vertAlign w:val="superscript"/>
          <w:lang w:val="en-US"/>
        </w:rPr>
        <w:t xml:space="preserve"> </w:t>
      </w:r>
      <w:r w:rsidRPr="0012489E">
        <w:rPr>
          <w:lang w:val="en-US"/>
        </w:rPr>
        <w:t>to which the Ministry has not yet responded.</w:t>
      </w:r>
    </w:p>
    <w:p w14:paraId="365555A9" w14:textId="77777777" w:rsidR="0012489E" w:rsidRDefault="0012489E" w:rsidP="0012489E">
      <w:pPr>
        <w:pStyle w:val="BBodyText"/>
        <w:rPr>
          <w:lang w:val="en-US"/>
        </w:rPr>
      </w:pPr>
      <w:r w:rsidRPr="0012489E">
        <w:rPr>
          <w:lang w:val="en-US"/>
        </w:rPr>
        <w:t>This ban negatively affects access to safe abortion services for women and girls, particularly those living in rural or underserved areas, and survivors of gender-based violence who may face stigma, fear, or delays due to geographical distance to services. Furthermore, such measures constitute retrogression in the exercise of sexual and reproductive rights in the Republic of Moldova, in breach of Moldova’s obligations under international human rights law.</w:t>
      </w:r>
    </w:p>
    <w:p w14:paraId="28AC3592" w14:textId="77777777" w:rsidR="00066FE6" w:rsidRPr="0012489E" w:rsidRDefault="00066FE6" w:rsidP="0012489E">
      <w:pPr>
        <w:pStyle w:val="BBodyText"/>
        <w:rPr>
          <w:lang w:val="en-US"/>
        </w:rPr>
      </w:pPr>
    </w:p>
    <w:p w14:paraId="02C3FC7B" w14:textId="77777777" w:rsidR="0012489E" w:rsidRPr="0012489E" w:rsidRDefault="0012489E" w:rsidP="00066FE6">
      <w:pPr>
        <w:pStyle w:val="BNumberedSubheading"/>
      </w:pPr>
      <w:bookmarkStart w:id="3" w:name="_Toc198549186"/>
      <w:r w:rsidRPr="0012489E">
        <w:t>RECOMMENDATIONS</w:t>
      </w:r>
      <w:bookmarkEnd w:id="3"/>
    </w:p>
    <w:p w14:paraId="33B9A41F" w14:textId="77777777" w:rsidR="0012489E" w:rsidRPr="0012489E" w:rsidRDefault="0012489E" w:rsidP="0012489E">
      <w:pPr>
        <w:pStyle w:val="BBodyText"/>
        <w:rPr>
          <w:b/>
          <w:lang w:val="en-US"/>
        </w:rPr>
      </w:pPr>
      <w:r w:rsidRPr="0012489E">
        <w:rPr>
          <w:lang w:val="en-US"/>
        </w:rPr>
        <w:t>Amnesty International recommends that the authorities of Moldova:</w:t>
      </w:r>
    </w:p>
    <w:p w14:paraId="73D9FDE5" w14:textId="2813BD5A" w:rsidR="0012489E" w:rsidRPr="0012489E" w:rsidRDefault="0012489E" w:rsidP="0012489E">
      <w:pPr>
        <w:pStyle w:val="BBodyText"/>
        <w:numPr>
          <w:ilvl w:val="0"/>
          <w:numId w:val="33"/>
        </w:numPr>
        <w:rPr>
          <w:lang w:val="en-US"/>
        </w:rPr>
      </w:pPr>
      <w:r w:rsidRPr="0012489E">
        <w:rPr>
          <w:b/>
          <w:lang w:val="en-US"/>
        </w:rPr>
        <w:t>Reverse immediately Ordinance No. 45/2025 banning medical abortion via telemedicine and</w:t>
      </w:r>
      <w:r w:rsidRPr="0012489E">
        <w:rPr>
          <w:lang w:val="en-US"/>
        </w:rPr>
        <w:t xml:space="preserve"> restore access to medical abortion via telemedicine, in line with the WHO guidelines, and ensure that relevant clinical safety protocols are developed in consultation with medical experts and civil society.</w:t>
      </w:r>
    </w:p>
    <w:p w14:paraId="0CEE39B9" w14:textId="77777777" w:rsidR="0012489E" w:rsidRPr="0012489E" w:rsidRDefault="0012489E" w:rsidP="0012489E">
      <w:pPr>
        <w:pStyle w:val="BBodyText"/>
        <w:numPr>
          <w:ilvl w:val="0"/>
          <w:numId w:val="33"/>
        </w:numPr>
        <w:rPr>
          <w:lang w:val="en-US"/>
        </w:rPr>
      </w:pPr>
      <w:r w:rsidRPr="0012489E">
        <w:rPr>
          <w:b/>
          <w:lang w:val="en-US"/>
        </w:rPr>
        <w:t>Ensure all women and girls Moldova, including those in rural or underserved areas, have timely, affordable, and confidential access to comprehensive abortion care</w:t>
      </w:r>
      <w:r w:rsidRPr="0012489E">
        <w:rPr>
          <w:lang w:val="en-US"/>
        </w:rPr>
        <w:t>, including through telemedicine where appropriate.</w:t>
      </w:r>
    </w:p>
    <w:p w14:paraId="07E3FDE7" w14:textId="77777777" w:rsidR="0012489E" w:rsidRPr="0012489E" w:rsidRDefault="0012489E" w:rsidP="00066FE6">
      <w:pPr>
        <w:pStyle w:val="BNumberedHeading"/>
      </w:pPr>
      <w:bookmarkStart w:id="4" w:name="_Toc198549187"/>
      <w:r w:rsidRPr="0012489E">
        <w:t>Protection of the rights of sex workers (Article 6)</w:t>
      </w:r>
      <w:bookmarkEnd w:id="4"/>
    </w:p>
    <w:p w14:paraId="50904987" w14:textId="77777777" w:rsidR="0012489E" w:rsidRPr="0012489E" w:rsidRDefault="0012489E" w:rsidP="0012489E">
      <w:pPr>
        <w:pStyle w:val="BBodyText"/>
        <w:rPr>
          <w:lang w:val="en-US"/>
        </w:rPr>
      </w:pPr>
      <w:r w:rsidRPr="0012489E">
        <w:rPr>
          <w:lang w:val="en-US"/>
        </w:rPr>
        <w:t xml:space="preserve">In the Concluding Observations on the sixth periodic report of the Republic of Moldova, the CEDAW Committee has made several recommendations to the authorities of the Republic of Moldova aiming at protecting the rights of sex workers, including through: </w:t>
      </w:r>
    </w:p>
    <w:p w14:paraId="4A61AC3D" w14:textId="77777777" w:rsidR="0012489E" w:rsidRPr="0012489E" w:rsidRDefault="0012489E" w:rsidP="0012489E">
      <w:pPr>
        <w:pStyle w:val="BBodyText"/>
        <w:rPr>
          <w:i/>
          <w:iCs/>
          <w:lang w:val="en-US"/>
        </w:rPr>
      </w:pPr>
      <w:r w:rsidRPr="0012489E">
        <w:rPr>
          <w:i/>
          <w:iCs/>
          <w:lang w:val="en-US"/>
        </w:rPr>
        <w:t>“(e) repeal[</w:t>
      </w:r>
      <w:proofErr w:type="spellStart"/>
      <w:r w:rsidRPr="0012489E">
        <w:rPr>
          <w:i/>
          <w:iCs/>
          <w:lang w:val="en-US"/>
        </w:rPr>
        <w:t>ing</w:t>
      </w:r>
      <w:proofErr w:type="spellEnd"/>
      <w:r w:rsidRPr="0012489E">
        <w:rPr>
          <w:i/>
          <w:iCs/>
          <w:lang w:val="en-US"/>
        </w:rPr>
        <w:t xml:space="preserve">] “article 89 (1) of the Contravention Code to decriminalize women in prostitution and provide alternative income-generating opportunities, educational programmes and exit programmes for women in </w:t>
      </w:r>
      <w:proofErr w:type="gramStart"/>
      <w:r w:rsidRPr="0012489E">
        <w:rPr>
          <w:i/>
          <w:iCs/>
          <w:lang w:val="en-US"/>
        </w:rPr>
        <w:t>prostitution;</w:t>
      </w:r>
      <w:proofErr w:type="gramEnd"/>
      <w:r w:rsidRPr="0012489E">
        <w:rPr>
          <w:i/>
          <w:iCs/>
          <w:lang w:val="en-US"/>
        </w:rPr>
        <w:t xml:space="preserve"> </w:t>
      </w:r>
    </w:p>
    <w:p w14:paraId="20198517" w14:textId="77777777" w:rsidR="0012489E" w:rsidRPr="0012489E" w:rsidRDefault="0012489E" w:rsidP="0012489E">
      <w:pPr>
        <w:pStyle w:val="BBodyText"/>
        <w:rPr>
          <w:i/>
          <w:iCs/>
          <w:lang w:val="en-US"/>
        </w:rPr>
      </w:pPr>
      <w:r w:rsidRPr="0012489E">
        <w:rPr>
          <w:i/>
          <w:iCs/>
          <w:lang w:val="en-US"/>
        </w:rPr>
        <w:t xml:space="preserve">(f) </w:t>
      </w:r>
      <w:proofErr w:type="spellStart"/>
      <w:r w:rsidRPr="0012489E">
        <w:rPr>
          <w:i/>
          <w:iCs/>
          <w:lang w:val="en-US"/>
        </w:rPr>
        <w:t>eliminat</w:t>
      </w:r>
      <w:proofErr w:type="spellEnd"/>
      <w:r w:rsidRPr="0012489E">
        <w:rPr>
          <w:i/>
          <w:iCs/>
          <w:lang w:val="en-US"/>
        </w:rPr>
        <w:t>[</w:t>
      </w:r>
      <w:proofErr w:type="spellStart"/>
      <w:r w:rsidRPr="0012489E">
        <w:rPr>
          <w:i/>
          <w:iCs/>
          <w:lang w:val="en-US"/>
        </w:rPr>
        <w:t>ing</w:t>
      </w:r>
      <w:proofErr w:type="spellEnd"/>
      <w:r w:rsidRPr="0012489E">
        <w:rPr>
          <w:i/>
          <w:iCs/>
          <w:lang w:val="en-US"/>
        </w:rPr>
        <w:t>] stigma and discrimination against women and girls in prostitution to ensure that they have adequate access to health care, legal services and shelters.”</w:t>
      </w:r>
      <w:r w:rsidRPr="0012489E">
        <w:rPr>
          <w:i/>
          <w:iCs/>
          <w:vertAlign w:val="superscript"/>
          <w:lang w:val="en-US"/>
        </w:rPr>
        <w:footnoteReference w:id="12"/>
      </w:r>
    </w:p>
    <w:p w14:paraId="1F9C8EB2" w14:textId="44E784D6" w:rsidR="0012489E" w:rsidRPr="0012489E" w:rsidRDefault="0012489E" w:rsidP="0012489E">
      <w:pPr>
        <w:pStyle w:val="BBodyText"/>
      </w:pPr>
      <w:r w:rsidRPr="0012489E">
        <w:t xml:space="preserve">Nonetheless, until present day article 89 of the Contravention Code is still in force. Amnesty International Moldova requested information from the competent authorities on the number of people </w:t>
      </w:r>
      <w:r w:rsidR="00A71DE2" w:rsidRPr="0012489E">
        <w:t>penalized</w:t>
      </w:r>
      <w:r w:rsidRPr="0012489E">
        <w:t xml:space="preserve"> under this article. From the responses offered by the General Inspectorate of Police, </w:t>
      </w:r>
      <w:proofErr w:type="gramStart"/>
      <w:r w:rsidRPr="0012489E">
        <w:t>it is clear that the</w:t>
      </w:r>
      <w:proofErr w:type="gramEnd"/>
      <w:r w:rsidRPr="0012489E">
        <w:t xml:space="preserve"> application of this article has increased exponentially, from 60 instances in 2019 to 3,142 in 2024; it is unclear however from the response how many individuals were </w:t>
      </w:r>
      <w:r w:rsidR="00A71DE2" w:rsidRPr="0012489E">
        <w:t>penalized</w:t>
      </w:r>
      <w:r w:rsidRPr="0012489E">
        <w:t xml:space="preserve"> as some may have faced repeated sanctions. The data </w:t>
      </w:r>
      <w:r w:rsidR="00A71DE2" w:rsidRPr="0012489E">
        <w:t>provided shows</w:t>
      </w:r>
      <w:r w:rsidRPr="0012489E">
        <w:t xml:space="preserve"> that women are sanctioned both as providers and buyers of sex work. Furthermore, under both categories (providers and buyers) there are children under 18 sanctioned under Article 89 of the Contravention Code, in contravention to Moldova’s international human rights obligations to ensure children are effectively protected from sexual exploitation and child labour.</w:t>
      </w:r>
    </w:p>
    <w:p w14:paraId="541AFB9C" w14:textId="77777777" w:rsidR="0012489E" w:rsidRDefault="0012489E" w:rsidP="0012489E">
      <w:pPr>
        <w:pStyle w:val="BBodyText"/>
        <w:rPr>
          <w:lang w:val="en-US"/>
        </w:rPr>
      </w:pPr>
      <w:r w:rsidRPr="0012489E">
        <w:rPr>
          <w:lang w:val="en-US"/>
        </w:rPr>
        <w:t>Amnesty International’s research</w:t>
      </w:r>
      <w:r w:rsidRPr="0012489E">
        <w:rPr>
          <w:vertAlign w:val="superscript"/>
          <w:lang w:val="en-US"/>
        </w:rPr>
        <w:footnoteReference w:id="13"/>
      </w:r>
      <w:r w:rsidRPr="0012489E">
        <w:rPr>
          <w:vertAlign w:val="superscript"/>
          <w:lang w:val="en-US"/>
        </w:rPr>
        <w:t xml:space="preserve"> </w:t>
      </w:r>
      <w:r w:rsidRPr="0012489E">
        <w:rPr>
          <w:lang w:val="en-US"/>
        </w:rPr>
        <w:t>and research by other organizations that offer support to sex workers</w:t>
      </w:r>
      <w:r w:rsidRPr="0012489E">
        <w:rPr>
          <w:vertAlign w:val="superscript"/>
          <w:lang w:val="en-US"/>
        </w:rPr>
        <w:footnoteReference w:id="14"/>
      </w:r>
      <w:r w:rsidRPr="0012489E">
        <w:rPr>
          <w:lang w:val="en-US"/>
        </w:rPr>
        <w:t xml:space="preserve"> demonstrate that the criminalization of sex work is a significant factor that impedes sex workers’ reporting cases of violence against them, as well as accessing healthcare services, legal services and shelters. Sex workers stated that because of the risk of being sanctioned, they are reluctant to report cases of violence by their clients. This risk comes along with stigmatization by police or health professionals once they discover that the person seeking their support is a sex worker.</w:t>
      </w:r>
      <w:r w:rsidRPr="0012489E">
        <w:rPr>
          <w:vertAlign w:val="superscript"/>
          <w:lang w:val="en-US"/>
        </w:rPr>
        <w:footnoteReference w:id="15"/>
      </w:r>
      <w:r w:rsidRPr="0012489E">
        <w:rPr>
          <w:lang w:val="en-US"/>
        </w:rPr>
        <w:t xml:space="preserve"> On 26 February 2024, following the elaboration of the draft law on amending the Contravention Code initiated by the Ministry of Justice, Amnesty International Moldova sent a letter with recommendations reiterating the need to repeal Article 89 of the Contravention Code. This draft law has not passed through further steps of approval, but the recommendations were not addressed. </w:t>
      </w:r>
    </w:p>
    <w:p w14:paraId="49DDCF9D" w14:textId="77777777" w:rsidR="00066FE6" w:rsidRPr="0012489E" w:rsidRDefault="00066FE6" w:rsidP="0012489E">
      <w:pPr>
        <w:pStyle w:val="BBodyText"/>
        <w:rPr>
          <w:lang w:val="ro-RO"/>
        </w:rPr>
      </w:pPr>
    </w:p>
    <w:p w14:paraId="2A336B50" w14:textId="77777777" w:rsidR="0012489E" w:rsidRPr="0012489E" w:rsidRDefault="0012489E" w:rsidP="00066FE6">
      <w:pPr>
        <w:pStyle w:val="BNumberedSubheading"/>
      </w:pPr>
      <w:bookmarkStart w:id="5" w:name="_Toc198549188"/>
      <w:r w:rsidRPr="0012489E">
        <w:t>RECOMMENDATIONS</w:t>
      </w:r>
      <w:bookmarkEnd w:id="5"/>
    </w:p>
    <w:p w14:paraId="11A89529" w14:textId="77777777" w:rsidR="0012489E" w:rsidRPr="0012489E" w:rsidRDefault="0012489E" w:rsidP="0012489E">
      <w:pPr>
        <w:pStyle w:val="BBodyText"/>
        <w:rPr>
          <w:b/>
          <w:lang w:val="en-US"/>
        </w:rPr>
      </w:pPr>
      <w:r w:rsidRPr="0012489E">
        <w:rPr>
          <w:lang w:val="en-US"/>
        </w:rPr>
        <w:t>Amnesty International recommends that the authorities of Moldova:</w:t>
      </w:r>
    </w:p>
    <w:p w14:paraId="0B6F091C" w14:textId="77777777" w:rsidR="0012489E" w:rsidRPr="0012489E" w:rsidRDefault="0012489E" w:rsidP="0012489E">
      <w:pPr>
        <w:pStyle w:val="BBodyText"/>
        <w:numPr>
          <w:ilvl w:val="0"/>
          <w:numId w:val="32"/>
        </w:numPr>
        <w:rPr>
          <w:lang w:val="en-US"/>
        </w:rPr>
      </w:pPr>
      <w:r w:rsidRPr="0012489E">
        <w:rPr>
          <w:b/>
          <w:lang w:val="en-US"/>
        </w:rPr>
        <w:t>Repeal Article 89 of the Contravention Code to fully decriminalize sex work</w:t>
      </w:r>
      <w:r w:rsidRPr="0012489E">
        <w:rPr>
          <w:lang w:val="en-US"/>
        </w:rPr>
        <w:t xml:space="preserve"> and end the penalization of sex workers. This includes removing sanctions against both adult providers and buyers.</w:t>
      </w:r>
    </w:p>
    <w:p w14:paraId="3DBD2807" w14:textId="2A208B51" w:rsidR="0012489E" w:rsidRPr="0012489E" w:rsidRDefault="0012489E" w:rsidP="0012489E">
      <w:pPr>
        <w:pStyle w:val="BBodyText"/>
        <w:numPr>
          <w:ilvl w:val="0"/>
          <w:numId w:val="32"/>
        </w:numPr>
        <w:rPr>
          <w:lang w:val="en-US"/>
        </w:rPr>
      </w:pPr>
      <w:r w:rsidRPr="0012489E">
        <w:rPr>
          <w:b/>
          <w:lang w:val="en-US"/>
        </w:rPr>
        <w:t>Ensure</w:t>
      </w:r>
      <w:r w:rsidRPr="0012489E">
        <w:rPr>
          <w:lang w:val="en-US"/>
        </w:rPr>
        <w:t xml:space="preserve"> that child victims of sexual exploitation are not prosecuted or otherwise </w:t>
      </w:r>
      <w:r w:rsidR="00A71DE2" w:rsidRPr="0012489E">
        <w:rPr>
          <w:lang w:val="en-US"/>
        </w:rPr>
        <w:t>penalized</w:t>
      </w:r>
      <w:r w:rsidRPr="0012489E">
        <w:rPr>
          <w:lang w:val="en-US"/>
        </w:rPr>
        <w:t xml:space="preserve"> for involvement in commercial sex but are supported as victims of crime. </w:t>
      </w:r>
    </w:p>
    <w:p w14:paraId="1CB55881" w14:textId="77777777" w:rsidR="0012489E" w:rsidRPr="0012489E" w:rsidRDefault="0012489E" w:rsidP="0012489E">
      <w:pPr>
        <w:pStyle w:val="BBodyText"/>
        <w:numPr>
          <w:ilvl w:val="0"/>
          <w:numId w:val="32"/>
        </w:numPr>
        <w:rPr>
          <w:lang w:val="en-US"/>
        </w:rPr>
      </w:pPr>
      <w:r w:rsidRPr="0012489E">
        <w:rPr>
          <w:b/>
          <w:lang w:val="en-US"/>
        </w:rPr>
        <w:t>Launch public awareness campaigns and training for healthcare workers, police, and legal service providers</w:t>
      </w:r>
      <w:r w:rsidRPr="0012489E">
        <w:rPr>
          <w:lang w:val="en-US"/>
        </w:rPr>
        <w:t xml:space="preserve"> to combat stigma and ensure non-discriminatory access to essential services for sex workers, who face systemic discrimination and access barriers in Moldova. </w:t>
      </w:r>
    </w:p>
    <w:p w14:paraId="44A3031D" w14:textId="023F0E03" w:rsidR="007C431D" w:rsidRPr="0012489E" w:rsidRDefault="007C431D" w:rsidP="0012489E">
      <w:pPr>
        <w:pStyle w:val="BBodyText"/>
        <w:rPr>
          <w:bCs w:val="0"/>
          <w:lang w:val="en-US"/>
        </w:rPr>
      </w:pPr>
    </w:p>
    <w:p w14:paraId="79C6A4DA" w14:textId="77777777" w:rsidR="002136E5" w:rsidRDefault="002136E5" w:rsidP="00661C0B">
      <w:pPr>
        <w:pStyle w:val="BBodyText"/>
        <w:rPr>
          <w:lang w:eastAsia="en-GB"/>
        </w:rPr>
        <w:sectPr w:rsidR="002136E5" w:rsidSect="00DA7998">
          <w:footerReference w:type="first" r:id="rId11"/>
          <w:pgSz w:w="11906" w:h="16838" w:code="9"/>
          <w:pgMar w:top="1474" w:right="1418" w:bottom="1418" w:left="1418" w:header="709" w:footer="709" w:gutter="0"/>
          <w:cols w:space="708"/>
          <w:titlePg/>
          <w:docGrid w:linePitch="360"/>
        </w:sectPr>
      </w:pPr>
    </w:p>
    <w:p w14:paraId="54AF37C1" w14:textId="77777777" w:rsidR="00085AA0" w:rsidRPr="009C6598" w:rsidRDefault="008D2844" w:rsidP="00661C0B">
      <w:pPr>
        <w:pStyle w:val="BBodyText"/>
        <w:rPr>
          <w:lang w:eastAsia="en-GB"/>
        </w:rPr>
      </w:pPr>
      <w:r>
        <w:rPr>
          <w:noProof/>
        </w:rPr>
        <mc:AlternateContent>
          <mc:Choice Requires="wps">
            <w:drawing>
              <wp:anchor distT="0" distB="0" distL="114300" distR="114300" simplePos="0" relativeHeight="251658241" behindDoc="0" locked="0" layoutInCell="1" allowOverlap="1" wp14:anchorId="4A92CC5C" wp14:editId="7CB6B4C4">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77C05A52"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2955F074"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2CC5C"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77C05A52"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2955F074"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p>
    <w:p w14:paraId="60FACAFE"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0841D11F" wp14:editId="600046EF">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678B1A03"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720EB4C" wp14:editId="24EFB03B">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5E71C239" w14:textId="77777777" w:rsidR="004E5E19" w:rsidRPr="00D4065A" w:rsidRDefault="004E5E19" w:rsidP="004E5E19">
                            <w:pPr>
                              <w:pStyle w:val="BBodyText"/>
                              <w:jc w:val="center"/>
                              <w:rPr>
                                <w:rStyle w:val="Hyperlink"/>
                                <w:rFonts w:ascii="Amnesty Trade Gothic Cn" w:hAnsi="Amnesty Trade Gothic Cn"/>
                                <w:color w:val="auto"/>
                              </w:rPr>
                            </w:pPr>
                            <w:hyperlink r:id="rId14" w:history="1">
                              <w:r w:rsidRPr="00D4065A">
                                <w:rPr>
                                  <w:rFonts w:ascii="Amnesty Trade Gothic Cn" w:hAnsi="Amnesty Trade Gothic Cn"/>
                                  <w:noProof/>
                                  <w:vertAlign w:val="subscript"/>
                                </w:rPr>
                                <w:drawing>
                                  <wp:inline distT="0" distB="0" distL="0" distR="0" wp14:anchorId="1A48974F" wp14:editId="6DE17D4D">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r w:rsidRPr="00D4065A">
                                <w:rPr>
                                  <w:rStyle w:val="Hyperlink"/>
                                  <w:rFonts w:ascii="Amnesty Trade Gothic Cn" w:hAnsi="Amnesty Trade Gothic Cn"/>
                                  <w:b/>
                                  <w:bCs w:val="0"/>
                                  <w:color w:val="auto"/>
                                </w:rPr>
                                <w:t>AmnestyGlobal</w:t>
                              </w:r>
                            </w:hyperlink>
                          </w:p>
                          <w:p w14:paraId="4D34FC71"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7E90D760" wp14:editId="15A36701">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04C55EEF"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22D7AF2C"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41D11F"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678B1A03"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720EB4C" wp14:editId="24EFB03B">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5E71C239" w14:textId="77777777" w:rsidR="004E5E19" w:rsidRPr="00D4065A" w:rsidRDefault="004E5E19" w:rsidP="004E5E19">
                      <w:pPr>
                        <w:pStyle w:val="BBodyText"/>
                        <w:jc w:val="center"/>
                        <w:rPr>
                          <w:rStyle w:val="Hyperlink"/>
                          <w:rFonts w:ascii="Amnesty Trade Gothic Cn" w:hAnsi="Amnesty Trade Gothic Cn"/>
                          <w:color w:val="auto"/>
                        </w:rPr>
                      </w:pPr>
                      <w:hyperlink r:id="rId18" w:history="1">
                        <w:r w:rsidRPr="00D4065A">
                          <w:rPr>
                            <w:rFonts w:ascii="Amnesty Trade Gothic Cn" w:hAnsi="Amnesty Trade Gothic Cn"/>
                            <w:noProof/>
                            <w:vertAlign w:val="subscript"/>
                          </w:rPr>
                          <w:drawing>
                            <wp:inline distT="0" distB="0" distL="0" distR="0" wp14:anchorId="1A48974F" wp14:editId="6DE17D4D">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r w:rsidRPr="00D4065A">
                          <w:rPr>
                            <w:rStyle w:val="Hyperlink"/>
                            <w:rFonts w:ascii="Amnesty Trade Gothic Cn" w:hAnsi="Amnesty Trade Gothic Cn"/>
                            <w:b/>
                            <w:bCs w:val="0"/>
                            <w:color w:val="auto"/>
                          </w:rPr>
                          <w:t>AmnestyGlobal</w:t>
                        </w:r>
                      </w:hyperlink>
                    </w:p>
                    <w:p w14:paraId="4D34FC71"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7E90D760" wp14:editId="15A36701">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04C55EEF"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22D7AF2C"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5AE3344" wp14:editId="06F17586">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7A37FF39"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51471448"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2EE2019F"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E3344"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7A37FF39"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51471448"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2EE2019F"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78364388" wp14:editId="54C9BEE7">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5AAD7F8E" wp14:editId="4D034A0B">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51CD6DB2"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50F620ED"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38B33ED8" wp14:editId="4F7EC81F">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0D5A0715"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51CE6215"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D7F8E"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51CD6DB2"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50F620ED"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38B33ED8" wp14:editId="4F7EC81F">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0D5A0715"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51CE6215"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123C7193" wp14:editId="33DDC542">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0680EA07"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1A9ED2C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3C7193"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0680EA07"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1A9ED2CE"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5DE538EF" wp14:editId="3DC61F5C">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4A103B4F" w14:textId="15B92436" w:rsidR="0081658E" w:rsidRPr="00392F19" w:rsidRDefault="0081658E" w:rsidP="0081658E">
                            <w:pPr>
                              <w:pStyle w:val="BCopyrightsmallprint"/>
                              <w:rPr>
                                <w:rStyle w:val="Boldbodycharacter"/>
                                <w:sz w:val="21"/>
                                <w:szCs w:val="21"/>
                              </w:rPr>
                            </w:pPr>
                            <w:r w:rsidRPr="00392F19">
                              <w:rPr>
                                <w:sz w:val="21"/>
                                <w:szCs w:val="21"/>
                              </w:rPr>
                              <w:t>Index:</w:t>
                            </w:r>
                            <w:r w:rsidR="00066FE6">
                              <w:rPr>
                                <w:sz w:val="21"/>
                                <w:szCs w:val="21"/>
                              </w:rPr>
                              <w:t xml:space="preserve"> </w:t>
                            </w:r>
                            <w:r w:rsidR="00066FE6" w:rsidRPr="00066FE6">
                              <w:rPr>
                                <w:b/>
                                <w:sz w:val="21"/>
                                <w:szCs w:val="21"/>
                              </w:rPr>
                              <w:t>EUR 59/9404/2025</w:t>
                            </w:r>
                          </w:p>
                          <w:p w14:paraId="6BC01B1D" w14:textId="79D1A5C6" w:rsidR="0081658E" w:rsidRPr="00392F19" w:rsidRDefault="0081658E" w:rsidP="0081658E">
                            <w:pPr>
                              <w:pStyle w:val="BCopyrightsmallprint"/>
                              <w:rPr>
                                <w:sz w:val="21"/>
                                <w:szCs w:val="21"/>
                              </w:rPr>
                            </w:pPr>
                            <w:r w:rsidRPr="00392F19">
                              <w:rPr>
                                <w:sz w:val="21"/>
                                <w:szCs w:val="21"/>
                              </w:rPr>
                              <w:t xml:space="preserve">Publication: </w:t>
                            </w:r>
                            <w:r w:rsidR="0012489E">
                              <w:rPr>
                                <w:rStyle w:val="Boldbodycharacter"/>
                                <w:sz w:val="21"/>
                                <w:szCs w:val="21"/>
                              </w:rPr>
                              <w:t>May</w:t>
                            </w:r>
                            <w:r w:rsidR="002136E5">
                              <w:rPr>
                                <w:rStyle w:val="Boldbodycharacter"/>
                                <w:sz w:val="21"/>
                                <w:szCs w:val="21"/>
                              </w:rPr>
                              <w:t xml:space="preserve"> 2025</w:t>
                            </w:r>
                          </w:p>
                          <w:p w14:paraId="43DD2A6F"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16B1CAC1"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3DBC0D34"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E538EF"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4A103B4F" w14:textId="15B92436" w:rsidR="0081658E" w:rsidRPr="00392F19" w:rsidRDefault="0081658E" w:rsidP="0081658E">
                      <w:pPr>
                        <w:pStyle w:val="BCopyrightsmallprint"/>
                        <w:rPr>
                          <w:rStyle w:val="Boldbodycharacter"/>
                          <w:sz w:val="21"/>
                          <w:szCs w:val="21"/>
                        </w:rPr>
                      </w:pPr>
                      <w:r w:rsidRPr="00392F19">
                        <w:rPr>
                          <w:sz w:val="21"/>
                          <w:szCs w:val="21"/>
                        </w:rPr>
                        <w:t>Index:</w:t>
                      </w:r>
                      <w:r w:rsidR="00066FE6">
                        <w:rPr>
                          <w:sz w:val="21"/>
                          <w:szCs w:val="21"/>
                        </w:rPr>
                        <w:t xml:space="preserve"> </w:t>
                      </w:r>
                      <w:r w:rsidR="00066FE6" w:rsidRPr="00066FE6">
                        <w:rPr>
                          <w:b/>
                          <w:sz w:val="21"/>
                          <w:szCs w:val="21"/>
                        </w:rPr>
                        <w:t>EUR 59/9404/2025</w:t>
                      </w:r>
                    </w:p>
                    <w:p w14:paraId="6BC01B1D" w14:textId="79D1A5C6" w:rsidR="0081658E" w:rsidRPr="00392F19" w:rsidRDefault="0081658E" w:rsidP="0081658E">
                      <w:pPr>
                        <w:pStyle w:val="BCopyrightsmallprint"/>
                        <w:rPr>
                          <w:sz w:val="21"/>
                          <w:szCs w:val="21"/>
                        </w:rPr>
                      </w:pPr>
                      <w:r w:rsidRPr="00392F19">
                        <w:rPr>
                          <w:sz w:val="21"/>
                          <w:szCs w:val="21"/>
                        </w:rPr>
                        <w:t xml:space="preserve">Publication: </w:t>
                      </w:r>
                      <w:r w:rsidR="0012489E">
                        <w:rPr>
                          <w:rStyle w:val="Boldbodycharacter"/>
                          <w:sz w:val="21"/>
                          <w:szCs w:val="21"/>
                        </w:rPr>
                        <w:t>May</w:t>
                      </w:r>
                      <w:r w:rsidR="002136E5">
                        <w:rPr>
                          <w:rStyle w:val="Boldbodycharacter"/>
                          <w:sz w:val="21"/>
                          <w:szCs w:val="21"/>
                        </w:rPr>
                        <w:t xml:space="preserve"> 2025</w:t>
                      </w:r>
                    </w:p>
                    <w:p w14:paraId="43DD2A6F"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16B1CAC1"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3DBC0D34"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74ADF3E5" wp14:editId="50729279">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2E9647D"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DF3E5"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2E9647D"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3F13F" w14:textId="77777777" w:rsidR="00DA05C9" w:rsidRDefault="00DA05C9" w:rsidP="003A7195">
      <w:r>
        <w:separator/>
      </w:r>
    </w:p>
  </w:endnote>
  <w:endnote w:type="continuationSeparator" w:id="0">
    <w:p w14:paraId="7E72D264" w14:textId="77777777" w:rsidR="00DA05C9" w:rsidRDefault="00DA05C9" w:rsidP="003A7195">
      <w:r>
        <w:continuationSeparator/>
      </w:r>
    </w:p>
  </w:endnote>
  <w:endnote w:type="continuationNotice" w:id="1">
    <w:p w14:paraId="550D365D" w14:textId="77777777" w:rsidR="00DA05C9" w:rsidRDefault="00DA05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652E" w14:textId="1F4027DB" w:rsidR="005B4CE5" w:rsidRPr="00914551" w:rsidRDefault="003A4CE6" w:rsidP="005B4CE5">
    <w:pPr>
      <w:pStyle w:val="BFootertitle"/>
      <w:spacing w:before="160"/>
    </w:pPr>
    <w:r>
      <w:t>MOLDOVA</w:t>
    </w:r>
    <w:r w:rsidR="005B4CE5" w:rsidRPr="00914551">
      <w:tab/>
    </w:r>
  </w:p>
  <w:p w14:paraId="16857E63" w14:textId="7533B93A" w:rsidR="005B4CE5" w:rsidRPr="00914551" w:rsidRDefault="003A4CE6" w:rsidP="005B4CE5">
    <w:pPr>
      <w:pStyle w:val="BFooterbriefingsubtitle"/>
    </w:pPr>
    <w:r>
      <w:t>SUBMISSION TO THE UN COMMITTEE ON THE ELIMINATION OF DISCRIMINATION AGAINST WOMEN, LIST OF ISSUES</w:t>
    </w:r>
    <w:r w:rsidR="005B4CE5" w:rsidRPr="00914551">
      <w:tab/>
    </w:r>
  </w:p>
  <w:p w14:paraId="1A4E6C4A"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B9981" w14:textId="77777777" w:rsidR="003A7195" w:rsidRDefault="009055DA">
    <w:pPr>
      <w:pStyle w:val="Footer"/>
    </w:pPr>
    <w:r w:rsidRPr="00CB0FBD">
      <w:rPr>
        <w:noProof/>
        <w:lang w:eastAsia="en-GB"/>
      </w:rPr>
      <w:drawing>
        <wp:anchor distT="0" distB="0" distL="114300" distR="114300" simplePos="0" relativeHeight="251658240" behindDoc="0" locked="1" layoutInCell="1" allowOverlap="1" wp14:anchorId="0F5DCFEC" wp14:editId="1CFE487C">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270CD" w14:textId="77777777" w:rsidR="00A71DE2" w:rsidRPr="00914551" w:rsidRDefault="00A71DE2" w:rsidP="00A71DE2">
    <w:pPr>
      <w:pStyle w:val="BFootertitle"/>
      <w:spacing w:before="160"/>
    </w:pPr>
    <w:r>
      <w:t>MOLDOVA</w:t>
    </w:r>
    <w:r w:rsidRPr="00914551">
      <w:tab/>
    </w:r>
  </w:p>
  <w:p w14:paraId="52CE48AE" w14:textId="77777777" w:rsidR="00A71DE2" w:rsidRPr="00914551" w:rsidRDefault="00A71DE2" w:rsidP="00A71DE2">
    <w:pPr>
      <w:pStyle w:val="BFooterbriefingsubtitle"/>
    </w:pPr>
    <w:r>
      <w:t>SUBMISSION TO THE UN COMMITTEE ON THE ELIMINATION OF DISCRIMINATION AGAINST WOMEN, LIST OF ISSUES</w:t>
    </w:r>
    <w:r w:rsidRPr="00914551">
      <w:tab/>
    </w:r>
  </w:p>
  <w:p w14:paraId="0EFF214C" w14:textId="5CCE2460" w:rsidR="002136E5" w:rsidRPr="00A71DE2" w:rsidRDefault="00A71DE2" w:rsidP="00A71DE2">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4</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B4189" w14:textId="77777777" w:rsidR="002136E5" w:rsidRDefault="0021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553AE" w14:textId="77777777" w:rsidR="00DA05C9" w:rsidRDefault="00DA05C9" w:rsidP="003A7195">
      <w:r>
        <w:separator/>
      </w:r>
    </w:p>
  </w:footnote>
  <w:footnote w:type="continuationSeparator" w:id="0">
    <w:p w14:paraId="18F8B25B" w14:textId="77777777" w:rsidR="00DA05C9" w:rsidRDefault="00DA05C9" w:rsidP="003A7195">
      <w:r>
        <w:continuationSeparator/>
      </w:r>
    </w:p>
  </w:footnote>
  <w:footnote w:type="continuationNotice" w:id="1">
    <w:p w14:paraId="62A2A83D" w14:textId="77777777" w:rsidR="00DA05C9" w:rsidRDefault="00DA05C9"/>
  </w:footnote>
  <w:footnote w:id="2">
    <w:p w14:paraId="74111D09" w14:textId="77777777" w:rsidR="0012489E" w:rsidRPr="0012489E" w:rsidRDefault="0012489E" w:rsidP="0012489E">
      <w:pPr>
        <w:pStyle w:val="FootnoteText"/>
        <w:spacing w:after="0"/>
        <w:jc w:val="both"/>
        <w:rPr>
          <w:sz w:val="15"/>
          <w:szCs w:val="15"/>
        </w:rPr>
      </w:pPr>
      <w:r w:rsidRPr="0012489E">
        <w:rPr>
          <w:rStyle w:val="FootnoteReference"/>
          <w:sz w:val="15"/>
          <w:szCs w:val="15"/>
        </w:rPr>
        <w:footnoteRef/>
      </w:r>
      <w:r w:rsidRPr="0012489E">
        <w:rPr>
          <w:sz w:val="15"/>
          <w:szCs w:val="15"/>
        </w:rPr>
        <w:t xml:space="preserve"> The Contravention Code governs conduct with a level of social danger lower than a crime. The determinant factor triggering the application of the Criminal Code or the Contravention Code in a domestic violence case appears to be the degree of bodily injury caused. In this sense, an “insignificant” bodily injury is subject to contravention liability, whereas if minor, moderate or serious bodily injury is caused, the criminal offence of domestic violence is invoked. GREVIO, in its report on Moldova, welcomed the </w:t>
      </w:r>
      <w:proofErr w:type="spellStart"/>
      <w:r w:rsidRPr="0012489E">
        <w:rPr>
          <w:sz w:val="15"/>
          <w:szCs w:val="15"/>
        </w:rPr>
        <w:t>criminalisation</w:t>
      </w:r>
      <w:proofErr w:type="spellEnd"/>
      <w:r w:rsidRPr="0012489E">
        <w:rPr>
          <w:sz w:val="15"/>
          <w:szCs w:val="15"/>
        </w:rPr>
        <w:t xml:space="preserve"> of domestic violence in the Moldovan criminal legislation, but raised concerns that the parallel qualification of domestic violence as a contravention raises </w:t>
      </w:r>
      <w:proofErr w:type="gramStart"/>
      <w:r w:rsidRPr="0012489E">
        <w:rPr>
          <w:sz w:val="15"/>
          <w:szCs w:val="15"/>
        </w:rPr>
        <w:t>a number of</w:t>
      </w:r>
      <w:proofErr w:type="gramEnd"/>
      <w:r w:rsidRPr="0012489E">
        <w:rPr>
          <w:sz w:val="15"/>
          <w:szCs w:val="15"/>
        </w:rPr>
        <w:t xml:space="preserve"> issues. (See GREVIO, </w:t>
      </w:r>
      <w:proofErr w:type="spellStart"/>
      <w:r w:rsidRPr="0012489E">
        <w:rPr>
          <w:sz w:val="15"/>
          <w:szCs w:val="15"/>
        </w:rPr>
        <w:t>BAseline</w:t>
      </w:r>
      <w:proofErr w:type="spellEnd"/>
      <w:r w:rsidRPr="0012489E">
        <w:rPr>
          <w:sz w:val="15"/>
          <w:szCs w:val="15"/>
        </w:rPr>
        <w:t xml:space="preserve"> </w:t>
      </w:r>
      <w:proofErr w:type="spellStart"/>
      <w:r w:rsidRPr="0012489E">
        <w:rPr>
          <w:sz w:val="15"/>
          <w:szCs w:val="15"/>
        </w:rPr>
        <w:t>Evaltuion</w:t>
      </w:r>
      <w:proofErr w:type="spellEnd"/>
      <w:r w:rsidRPr="0012489E">
        <w:rPr>
          <w:sz w:val="15"/>
          <w:szCs w:val="15"/>
        </w:rPr>
        <w:t xml:space="preserve"> Report on the Republic of Moldova, 14 November 2023, paras 191-195, available at: </w:t>
      </w:r>
      <w:hyperlink r:id="rId1" w:history="1">
        <w:hyperlink r:id="rId2" w:history="1">
          <w:r w:rsidRPr="0012489E">
            <w:rPr>
              <w:rStyle w:val="Hyperlink"/>
              <w:sz w:val="15"/>
              <w:szCs w:val="15"/>
            </w:rPr>
            <w:t>https://rm.coe.int/grevio-s-baseline-evaluation-report-on-legislative-and-other-measures-/1680ad46a1</w:t>
          </w:r>
        </w:hyperlink>
      </w:hyperlink>
      <w:r w:rsidRPr="0012489E">
        <w:rPr>
          <w:sz w:val="15"/>
          <w:szCs w:val="15"/>
        </w:rPr>
        <w:t xml:space="preserve">) </w:t>
      </w:r>
    </w:p>
  </w:footnote>
  <w:footnote w:id="3">
    <w:p w14:paraId="4F93C9BF" w14:textId="77777777" w:rsidR="0012489E" w:rsidRPr="0012489E" w:rsidRDefault="0012489E" w:rsidP="0012489E">
      <w:pPr>
        <w:pStyle w:val="FootnoteText"/>
        <w:spacing w:after="0"/>
        <w:jc w:val="both"/>
        <w:rPr>
          <w:sz w:val="15"/>
          <w:szCs w:val="15"/>
        </w:rPr>
      </w:pPr>
      <w:r w:rsidRPr="0012489E">
        <w:rPr>
          <w:rStyle w:val="FootnoteReference"/>
          <w:sz w:val="15"/>
          <w:szCs w:val="15"/>
        </w:rPr>
        <w:footnoteRef/>
      </w:r>
      <w:r w:rsidRPr="0012489E">
        <w:rPr>
          <w:sz w:val="15"/>
          <w:szCs w:val="15"/>
        </w:rPr>
        <w:t xml:space="preserve"> GREVIO, Baseline Evaluation Report on the Republic of Moldova, 14 November 2023, paras 192, available at: </w:t>
      </w:r>
      <w:hyperlink r:id="rId3" w:history="1">
        <w:hyperlink r:id="rId4" w:history="1">
          <w:hyperlink r:id="rId5" w:history="1">
            <w:r w:rsidRPr="0012489E">
              <w:rPr>
                <w:rStyle w:val="Hyperlink"/>
                <w:sz w:val="15"/>
                <w:szCs w:val="15"/>
              </w:rPr>
              <w:t>https://rm.coe.int/grevio-s-baseline-evaluation-report-on-legislative-and-other-measures-/1680ad46a1</w:t>
            </w:r>
          </w:hyperlink>
        </w:hyperlink>
      </w:hyperlink>
      <w:r w:rsidRPr="0012489E">
        <w:rPr>
          <w:sz w:val="15"/>
          <w:szCs w:val="15"/>
        </w:rPr>
        <w:t>)</w:t>
      </w:r>
    </w:p>
  </w:footnote>
  <w:footnote w:id="4">
    <w:p w14:paraId="73AF7861" w14:textId="77777777" w:rsidR="0012489E" w:rsidRPr="0012489E" w:rsidRDefault="0012489E" w:rsidP="0012489E">
      <w:pPr>
        <w:pStyle w:val="FootnoteText"/>
        <w:spacing w:after="0"/>
        <w:jc w:val="both"/>
        <w:rPr>
          <w:sz w:val="15"/>
          <w:szCs w:val="15"/>
          <w:lang w:val="ro-RO"/>
        </w:rPr>
      </w:pPr>
      <w:r w:rsidRPr="0012489E">
        <w:rPr>
          <w:rStyle w:val="FootnoteReference"/>
          <w:sz w:val="15"/>
          <w:szCs w:val="15"/>
        </w:rPr>
        <w:footnoteRef/>
      </w:r>
      <w:r w:rsidRPr="0012489E">
        <w:rPr>
          <w:sz w:val="15"/>
          <w:szCs w:val="15"/>
        </w:rPr>
        <w:t xml:space="preserve"> Analysis report on the compatibility of the legislation of the Republic of Moldova with the provisions of the Council of Europe Convention on Preventing and Combating Violence against Women and Domestic Violence (Original from Romanian: </w:t>
      </w:r>
      <w:r w:rsidRPr="0012489E">
        <w:rPr>
          <w:sz w:val="15"/>
          <w:szCs w:val="15"/>
          <w:lang w:val="ro-RO"/>
        </w:rPr>
        <w:t xml:space="preserve">Raport de analiză a compatibilității legislației Republicii Moldova cu prevederile Convenției Consiliului Europei privind Prevenirea și Combaterea Violenței împotriva femeilor și a violenței domestice), Chișinău 2024, p. 124,  available at </w:t>
      </w:r>
      <w:r w:rsidRPr="0012489E">
        <w:rPr>
          <w:sz w:val="15"/>
          <w:szCs w:val="15"/>
        </w:rPr>
        <w:fldChar w:fldCharType="begin"/>
      </w:r>
      <w:r w:rsidRPr="0012489E">
        <w:rPr>
          <w:sz w:val="15"/>
          <w:szCs w:val="15"/>
        </w:rPr>
        <w:instrText>HYPERLINK "https://social.gov.md/wp-content/uploads/2024/07/RAPORT-de-compatibilitate-2024.iulie_.pdf"</w:instrText>
      </w:r>
      <w:r w:rsidRPr="0012489E">
        <w:rPr>
          <w:sz w:val="15"/>
          <w:szCs w:val="15"/>
        </w:rPr>
      </w:r>
      <w:r w:rsidRPr="0012489E">
        <w:rPr>
          <w:sz w:val="15"/>
          <w:szCs w:val="15"/>
        </w:rPr>
        <w:fldChar w:fldCharType="separate"/>
      </w:r>
      <w:r w:rsidRPr="0012489E">
        <w:rPr>
          <w:rStyle w:val="Hyperlink"/>
          <w:sz w:val="15"/>
          <w:szCs w:val="15"/>
          <w:lang w:val="ro-RO"/>
        </w:rPr>
        <w:t>https://social.gov.md/wp-content/uploads/2024/07/RAPORT-de-compatibilitate-2024.iulie_.pdf</w:t>
      </w:r>
      <w:r w:rsidRPr="0012489E">
        <w:rPr>
          <w:sz w:val="15"/>
          <w:szCs w:val="15"/>
        </w:rPr>
        <w:fldChar w:fldCharType="end"/>
      </w:r>
      <w:r w:rsidRPr="0012489E">
        <w:rPr>
          <w:sz w:val="15"/>
          <w:szCs w:val="15"/>
          <w:lang w:val="ro-RO"/>
        </w:rPr>
        <w:t xml:space="preserve"> </w:t>
      </w:r>
    </w:p>
  </w:footnote>
  <w:footnote w:id="5">
    <w:p w14:paraId="2DAA12D5" w14:textId="77777777" w:rsidR="0012489E" w:rsidRPr="0012489E" w:rsidRDefault="0012489E" w:rsidP="0012489E">
      <w:pPr>
        <w:pStyle w:val="FootnoteText"/>
        <w:spacing w:after="0"/>
        <w:jc w:val="both"/>
        <w:rPr>
          <w:sz w:val="15"/>
          <w:szCs w:val="15"/>
        </w:rPr>
      </w:pPr>
      <w:r w:rsidRPr="0012489E">
        <w:rPr>
          <w:rStyle w:val="FootnoteReference"/>
          <w:sz w:val="15"/>
          <w:szCs w:val="15"/>
        </w:rPr>
        <w:footnoteRef/>
      </w:r>
      <w:r w:rsidRPr="0012489E">
        <w:rPr>
          <w:sz w:val="15"/>
          <w:szCs w:val="15"/>
        </w:rPr>
        <w:t xml:space="preserve"> Draft law amending certain normative acts (Law no. 45/2007 on preventing and combating violence against women and domestic violence – art. 2, 3, 8, etc.; Law no. 1069/2000 on information technology – art. 2, 4; etc.) (Original from Romanian: </w:t>
      </w:r>
      <w:proofErr w:type="spellStart"/>
      <w:r w:rsidRPr="0012489E">
        <w:rPr>
          <w:sz w:val="15"/>
          <w:szCs w:val="15"/>
        </w:rPr>
        <w:t>Proiectul</w:t>
      </w:r>
      <w:proofErr w:type="spellEnd"/>
      <w:r w:rsidRPr="0012489E">
        <w:rPr>
          <w:sz w:val="15"/>
          <w:szCs w:val="15"/>
        </w:rPr>
        <w:t xml:space="preserve"> de </w:t>
      </w:r>
      <w:proofErr w:type="spellStart"/>
      <w:r w:rsidRPr="0012489E">
        <w:rPr>
          <w:sz w:val="15"/>
          <w:szCs w:val="15"/>
        </w:rPr>
        <w:t>lege</w:t>
      </w:r>
      <w:proofErr w:type="spellEnd"/>
      <w:r w:rsidRPr="0012489E">
        <w:rPr>
          <w:sz w:val="15"/>
          <w:szCs w:val="15"/>
        </w:rPr>
        <w:t xml:space="preserve"> </w:t>
      </w:r>
      <w:proofErr w:type="spellStart"/>
      <w:r w:rsidRPr="0012489E">
        <w:rPr>
          <w:sz w:val="15"/>
          <w:szCs w:val="15"/>
        </w:rPr>
        <w:t>pentru</w:t>
      </w:r>
      <w:proofErr w:type="spellEnd"/>
      <w:r w:rsidRPr="0012489E">
        <w:rPr>
          <w:sz w:val="15"/>
          <w:szCs w:val="15"/>
        </w:rPr>
        <w:t xml:space="preserve"> </w:t>
      </w:r>
      <w:proofErr w:type="spellStart"/>
      <w:r w:rsidRPr="0012489E">
        <w:rPr>
          <w:sz w:val="15"/>
          <w:szCs w:val="15"/>
        </w:rPr>
        <w:t>modificarea</w:t>
      </w:r>
      <w:proofErr w:type="spellEnd"/>
      <w:r w:rsidRPr="0012489E">
        <w:rPr>
          <w:sz w:val="15"/>
          <w:szCs w:val="15"/>
        </w:rPr>
        <w:t xml:space="preserve"> </w:t>
      </w:r>
      <w:proofErr w:type="spellStart"/>
      <w:r w:rsidRPr="0012489E">
        <w:rPr>
          <w:sz w:val="15"/>
          <w:szCs w:val="15"/>
        </w:rPr>
        <w:t>unor</w:t>
      </w:r>
      <w:proofErr w:type="spellEnd"/>
      <w:r w:rsidRPr="0012489E">
        <w:rPr>
          <w:sz w:val="15"/>
          <w:szCs w:val="15"/>
        </w:rPr>
        <w:t xml:space="preserve"> </w:t>
      </w:r>
      <w:proofErr w:type="spellStart"/>
      <w:r w:rsidRPr="0012489E">
        <w:rPr>
          <w:sz w:val="15"/>
          <w:szCs w:val="15"/>
        </w:rPr>
        <w:t>acte</w:t>
      </w:r>
      <w:proofErr w:type="spellEnd"/>
      <w:r w:rsidRPr="0012489E">
        <w:rPr>
          <w:sz w:val="15"/>
          <w:szCs w:val="15"/>
        </w:rPr>
        <w:t xml:space="preserve"> normative (</w:t>
      </w:r>
      <w:proofErr w:type="spellStart"/>
      <w:r w:rsidRPr="0012489E">
        <w:rPr>
          <w:sz w:val="15"/>
          <w:szCs w:val="15"/>
        </w:rPr>
        <w:t>Legea</w:t>
      </w:r>
      <w:proofErr w:type="spellEnd"/>
      <w:r w:rsidRPr="0012489E">
        <w:rPr>
          <w:sz w:val="15"/>
          <w:szCs w:val="15"/>
        </w:rPr>
        <w:t xml:space="preserve"> nr. 45/2007 cu </w:t>
      </w:r>
      <w:proofErr w:type="spellStart"/>
      <w:r w:rsidRPr="0012489E">
        <w:rPr>
          <w:sz w:val="15"/>
          <w:szCs w:val="15"/>
        </w:rPr>
        <w:t>privire</w:t>
      </w:r>
      <w:proofErr w:type="spellEnd"/>
      <w:r w:rsidRPr="0012489E">
        <w:rPr>
          <w:sz w:val="15"/>
          <w:szCs w:val="15"/>
        </w:rPr>
        <w:t xml:space="preserve"> la </w:t>
      </w:r>
      <w:proofErr w:type="spellStart"/>
      <w:r w:rsidRPr="0012489E">
        <w:rPr>
          <w:sz w:val="15"/>
          <w:szCs w:val="15"/>
        </w:rPr>
        <w:t>prevenirea</w:t>
      </w:r>
      <w:proofErr w:type="spellEnd"/>
      <w:r w:rsidRPr="0012489E">
        <w:rPr>
          <w:sz w:val="15"/>
          <w:szCs w:val="15"/>
        </w:rPr>
        <w:t xml:space="preserve"> </w:t>
      </w:r>
      <w:proofErr w:type="spellStart"/>
      <w:r w:rsidRPr="0012489E">
        <w:rPr>
          <w:sz w:val="15"/>
          <w:szCs w:val="15"/>
        </w:rPr>
        <w:t>și</w:t>
      </w:r>
      <w:proofErr w:type="spellEnd"/>
      <w:r w:rsidRPr="0012489E">
        <w:rPr>
          <w:sz w:val="15"/>
          <w:szCs w:val="15"/>
        </w:rPr>
        <w:t xml:space="preserve"> </w:t>
      </w:r>
      <w:proofErr w:type="spellStart"/>
      <w:r w:rsidRPr="0012489E">
        <w:rPr>
          <w:sz w:val="15"/>
          <w:szCs w:val="15"/>
        </w:rPr>
        <w:t>combaterea</w:t>
      </w:r>
      <w:proofErr w:type="spellEnd"/>
      <w:r w:rsidRPr="0012489E">
        <w:rPr>
          <w:sz w:val="15"/>
          <w:szCs w:val="15"/>
        </w:rPr>
        <w:t xml:space="preserve"> </w:t>
      </w:r>
      <w:proofErr w:type="spellStart"/>
      <w:r w:rsidRPr="0012489E">
        <w:rPr>
          <w:sz w:val="15"/>
          <w:szCs w:val="15"/>
        </w:rPr>
        <w:t>violenței</w:t>
      </w:r>
      <w:proofErr w:type="spellEnd"/>
      <w:r w:rsidRPr="0012489E">
        <w:rPr>
          <w:sz w:val="15"/>
          <w:szCs w:val="15"/>
        </w:rPr>
        <w:t xml:space="preserve"> </w:t>
      </w:r>
      <w:proofErr w:type="spellStart"/>
      <w:r w:rsidRPr="0012489E">
        <w:rPr>
          <w:sz w:val="15"/>
          <w:szCs w:val="15"/>
        </w:rPr>
        <w:t>împotriva</w:t>
      </w:r>
      <w:proofErr w:type="spellEnd"/>
      <w:r w:rsidRPr="0012489E">
        <w:rPr>
          <w:sz w:val="15"/>
          <w:szCs w:val="15"/>
        </w:rPr>
        <w:t xml:space="preserve"> </w:t>
      </w:r>
      <w:proofErr w:type="spellStart"/>
      <w:r w:rsidRPr="0012489E">
        <w:rPr>
          <w:sz w:val="15"/>
          <w:szCs w:val="15"/>
        </w:rPr>
        <w:t>femeilor</w:t>
      </w:r>
      <w:proofErr w:type="spellEnd"/>
      <w:r w:rsidRPr="0012489E">
        <w:rPr>
          <w:sz w:val="15"/>
          <w:szCs w:val="15"/>
        </w:rPr>
        <w:t xml:space="preserve"> </w:t>
      </w:r>
      <w:proofErr w:type="spellStart"/>
      <w:r w:rsidRPr="0012489E">
        <w:rPr>
          <w:sz w:val="15"/>
          <w:szCs w:val="15"/>
        </w:rPr>
        <w:t>și</w:t>
      </w:r>
      <w:proofErr w:type="spellEnd"/>
      <w:r w:rsidRPr="0012489E">
        <w:rPr>
          <w:sz w:val="15"/>
          <w:szCs w:val="15"/>
        </w:rPr>
        <w:t xml:space="preserve"> a </w:t>
      </w:r>
      <w:proofErr w:type="spellStart"/>
      <w:r w:rsidRPr="0012489E">
        <w:rPr>
          <w:sz w:val="15"/>
          <w:szCs w:val="15"/>
        </w:rPr>
        <w:t>violenței</w:t>
      </w:r>
      <w:proofErr w:type="spellEnd"/>
      <w:r w:rsidRPr="0012489E">
        <w:rPr>
          <w:sz w:val="15"/>
          <w:szCs w:val="15"/>
        </w:rPr>
        <w:t xml:space="preserve"> </w:t>
      </w:r>
      <w:proofErr w:type="spellStart"/>
      <w:r w:rsidRPr="0012489E">
        <w:rPr>
          <w:sz w:val="15"/>
          <w:szCs w:val="15"/>
        </w:rPr>
        <w:t>în</w:t>
      </w:r>
      <w:proofErr w:type="spellEnd"/>
      <w:r w:rsidRPr="0012489E">
        <w:rPr>
          <w:sz w:val="15"/>
          <w:szCs w:val="15"/>
        </w:rPr>
        <w:t xml:space="preserve"> </w:t>
      </w:r>
      <w:proofErr w:type="spellStart"/>
      <w:r w:rsidRPr="0012489E">
        <w:rPr>
          <w:sz w:val="15"/>
          <w:szCs w:val="15"/>
        </w:rPr>
        <w:t>familie</w:t>
      </w:r>
      <w:proofErr w:type="spellEnd"/>
      <w:r w:rsidRPr="0012489E">
        <w:rPr>
          <w:sz w:val="15"/>
          <w:szCs w:val="15"/>
        </w:rPr>
        <w:t xml:space="preserve"> – art.2, 3, 8, </w:t>
      </w:r>
      <w:proofErr w:type="spellStart"/>
      <w:r w:rsidRPr="0012489E">
        <w:rPr>
          <w:sz w:val="15"/>
          <w:szCs w:val="15"/>
        </w:rPr>
        <w:t>ș.a</w:t>
      </w:r>
      <w:proofErr w:type="spellEnd"/>
      <w:r w:rsidRPr="0012489E">
        <w:rPr>
          <w:sz w:val="15"/>
          <w:szCs w:val="15"/>
        </w:rPr>
        <w:t xml:space="preserve">.; </w:t>
      </w:r>
      <w:proofErr w:type="spellStart"/>
      <w:r w:rsidRPr="0012489E">
        <w:rPr>
          <w:sz w:val="15"/>
          <w:szCs w:val="15"/>
        </w:rPr>
        <w:t>Legea</w:t>
      </w:r>
      <w:proofErr w:type="spellEnd"/>
      <w:r w:rsidRPr="0012489E">
        <w:rPr>
          <w:sz w:val="15"/>
          <w:szCs w:val="15"/>
        </w:rPr>
        <w:t xml:space="preserve"> nr. 1069/2000 cu </w:t>
      </w:r>
      <w:proofErr w:type="spellStart"/>
      <w:r w:rsidRPr="0012489E">
        <w:rPr>
          <w:sz w:val="15"/>
          <w:szCs w:val="15"/>
        </w:rPr>
        <w:t>privire</w:t>
      </w:r>
      <w:proofErr w:type="spellEnd"/>
      <w:r w:rsidRPr="0012489E">
        <w:rPr>
          <w:sz w:val="15"/>
          <w:szCs w:val="15"/>
        </w:rPr>
        <w:t xml:space="preserve"> la </w:t>
      </w:r>
      <w:proofErr w:type="spellStart"/>
      <w:r w:rsidRPr="0012489E">
        <w:rPr>
          <w:sz w:val="15"/>
          <w:szCs w:val="15"/>
        </w:rPr>
        <w:t>informatică</w:t>
      </w:r>
      <w:proofErr w:type="spellEnd"/>
      <w:r w:rsidRPr="0012489E">
        <w:rPr>
          <w:sz w:val="15"/>
          <w:szCs w:val="15"/>
        </w:rPr>
        <w:t xml:space="preserve"> – art.2, 4; </w:t>
      </w:r>
      <w:proofErr w:type="spellStart"/>
      <w:r w:rsidRPr="0012489E">
        <w:rPr>
          <w:sz w:val="15"/>
          <w:szCs w:val="15"/>
        </w:rPr>
        <w:t>ș.a</w:t>
      </w:r>
      <w:proofErr w:type="spellEnd"/>
      <w:r w:rsidRPr="0012489E">
        <w:rPr>
          <w:sz w:val="15"/>
          <w:szCs w:val="15"/>
        </w:rPr>
        <w:t xml:space="preserve">.)), available at </w:t>
      </w:r>
      <w:hyperlink r:id="rId6" w:history="1">
        <w:r w:rsidRPr="0012489E">
          <w:rPr>
            <w:rStyle w:val="Hyperlink"/>
            <w:sz w:val="15"/>
            <w:szCs w:val="15"/>
          </w:rPr>
          <w:t>https://parlament.md/material-details-md.nspx?param=81da8b57-3ea5-417b-9a6a-e4481dc716b2</w:t>
        </w:r>
      </w:hyperlink>
      <w:r w:rsidRPr="0012489E">
        <w:rPr>
          <w:sz w:val="15"/>
          <w:szCs w:val="15"/>
        </w:rPr>
        <w:t xml:space="preserve"> </w:t>
      </w:r>
    </w:p>
  </w:footnote>
  <w:footnote w:id="6">
    <w:p w14:paraId="70A136F0" w14:textId="77777777" w:rsidR="0012489E" w:rsidRPr="0012489E" w:rsidRDefault="0012489E" w:rsidP="0012489E">
      <w:pPr>
        <w:pStyle w:val="FootnoteText"/>
        <w:spacing w:after="0"/>
        <w:jc w:val="both"/>
        <w:rPr>
          <w:sz w:val="15"/>
          <w:szCs w:val="15"/>
        </w:rPr>
      </w:pPr>
      <w:r w:rsidRPr="0012489E">
        <w:rPr>
          <w:rStyle w:val="FootnoteReference"/>
          <w:sz w:val="15"/>
          <w:szCs w:val="15"/>
        </w:rPr>
        <w:footnoteRef/>
      </w:r>
      <w:r w:rsidRPr="0012489E">
        <w:rPr>
          <w:sz w:val="15"/>
          <w:szCs w:val="15"/>
        </w:rPr>
        <w:t xml:space="preserve"> GREVIO’s (Baseline) Evaluation Report on legislative and other measures giving effect to the provisions of the Council of Europe Convention on Preventing and Combating Violence against Women and Domestic Violence (Istanbul Convention). The Republic of Moldova (26 October 2023), p. 11, available at </w:t>
      </w:r>
      <w:hyperlink r:id="rId7" w:history="1">
        <w:r w:rsidRPr="0012489E">
          <w:rPr>
            <w:rStyle w:val="Hyperlink"/>
            <w:sz w:val="15"/>
            <w:szCs w:val="15"/>
          </w:rPr>
          <w:t>https://rm.coe.int/grevio-s-baseline-evaluation-report-on-legislative-and-other-measures-/1680ad46a1</w:t>
        </w:r>
      </w:hyperlink>
      <w:r w:rsidRPr="0012489E">
        <w:rPr>
          <w:sz w:val="15"/>
          <w:szCs w:val="15"/>
        </w:rPr>
        <w:t xml:space="preserve"> </w:t>
      </w:r>
    </w:p>
  </w:footnote>
  <w:footnote w:id="7">
    <w:p w14:paraId="73C592EA" w14:textId="77777777" w:rsidR="0012489E" w:rsidRPr="0012489E" w:rsidRDefault="0012489E" w:rsidP="0012489E">
      <w:pPr>
        <w:pStyle w:val="FootnoteText"/>
        <w:spacing w:after="0"/>
        <w:jc w:val="both"/>
        <w:rPr>
          <w:sz w:val="15"/>
          <w:szCs w:val="15"/>
        </w:rPr>
      </w:pPr>
      <w:r w:rsidRPr="0012489E">
        <w:rPr>
          <w:rStyle w:val="FootnoteReference"/>
          <w:sz w:val="15"/>
          <w:szCs w:val="15"/>
        </w:rPr>
        <w:footnoteRef/>
      </w:r>
      <w:r w:rsidRPr="0012489E">
        <w:rPr>
          <w:sz w:val="15"/>
          <w:szCs w:val="15"/>
        </w:rPr>
        <w:t xml:space="preserve"> The Ministry of Health banned medical abortion via telemedicine, after an anti-abortion petition (Original from Romanian: </w:t>
      </w:r>
      <w:proofErr w:type="spellStart"/>
      <w:r w:rsidRPr="0012489E">
        <w:rPr>
          <w:sz w:val="15"/>
          <w:szCs w:val="15"/>
        </w:rPr>
        <w:t>Ministerul</w:t>
      </w:r>
      <w:proofErr w:type="spellEnd"/>
      <w:r w:rsidRPr="0012489E">
        <w:rPr>
          <w:sz w:val="15"/>
          <w:szCs w:val="15"/>
        </w:rPr>
        <w:t xml:space="preserve"> </w:t>
      </w:r>
      <w:proofErr w:type="spellStart"/>
      <w:r w:rsidRPr="0012489E">
        <w:rPr>
          <w:sz w:val="15"/>
          <w:szCs w:val="15"/>
        </w:rPr>
        <w:t>Sănătății</w:t>
      </w:r>
      <w:proofErr w:type="spellEnd"/>
      <w:r w:rsidRPr="0012489E">
        <w:rPr>
          <w:sz w:val="15"/>
          <w:szCs w:val="15"/>
        </w:rPr>
        <w:t xml:space="preserve"> a </w:t>
      </w:r>
      <w:proofErr w:type="spellStart"/>
      <w:r w:rsidRPr="0012489E">
        <w:rPr>
          <w:sz w:val="15"/>
          <w:szCs w:val="15"/>
        </w:rPr>
        <w:t>interzis</w:t>
      </w:r>
      <w:proofErr w:type="spellEnd"/>
      <w:r w:rsidRPr="0012489E">
        <w:rPr>
          <w:sz w:val="15"/>
          <w:szCs w:val="15"/>
        </w:rPr>
        <w:t xml:space="preserve"> </w:t>
      </w:r>
      <w:proofErr w:type="spellStart"/>
      <w:r w:rsidRPr="0012489E">
        <w:rPr>
          <w:sz w:val="15"/>
          <w:szCs w:val="15"/>
        </w:rPr>
        <w:t>avortul</w:t>
      </w:r>
      <w:proofErr w:type="spellEnd"/>
      <w:r w:rsidRPr="0012489E">
        <w:rPr>
          <w:sz w:val="15"/>
          <w:szCs w:val="15"/>
        </w:rPr>
        <w:t xml:space="preserve"> </w:t>
      </w:r>
      <w:proofErr w:type="spellStart"/>
      <w:r w:rsidRPr="0012489E">
        <w:rPr>
          <w:sz w:val="15"/>
          <w:szCs w:val="15"/>
        </w:rPr>
        <w:t>medicamentos</w:t>
      </w:r>
      <w:proofErr w:type="spellEnd"/>
      <w:r w:rsidRPr="0012489E">
        <w:rPr>
          <w:sz w:val="15"/>
          <w:szCs w:val="15"/>
        </w:rPr>
        <w:t xml:space="preserve"> </w:t>
      </w:r>
      <w:proofErr w:type="spellStart"/>
      <w:r w:rsidRPr="0012489E">
        <w:rPr>
          <w:sz w:val="15"/>
          <w:szCs w:val="15"/>
        </w:rPr>
        <w:t>prin</w:t>
      </w:r>
      <w:proofErr w:type="spellEnd"/>
      <w:r w:rsidRPr="0012489E">
        <w:rPr>
          <w:sz w:val="15"/>
          <w:szCs w:val="15"/>
        </w:rPr>
        <w:t xml:space="preserve"> </w:t>
      </w:r>
      <w:proofErr w:type="spellStart"/>
      <w:r w:rsidRPr="0012489E">
        <w:rPr>
          <w:sz w:val="15"/>
          <w:szCs w:val="15"/>
        </w:rPr>
        <w:t>telemedicină</w:t>
      </w:r>
      <w:proofErr w:type="spellEnd"/>
      <w:r w:rsidRPr="0012489E">
        <w:rPr>
          <w:sz w:val="15"/>
          <w:szCs w:val="15"/>
        </w:rPr>
        <w:t xml:space="preserve">, </w:t>
      </w:r>
      <w:proofErr w:type="spellStart"/>
      <w:r w:rsidRPr="0012489E">
        <w:rPr>
          <w:sz w:val="15"/>
          <w:szCs w:val="15"/>
        </w:rPr>
        <w:t>după</w:t>
      </w:r>
      <w:proofErr w:type="spellEnd"/>
      <w:r w:rsidRPr="0012489E">
        <w:rPr>
          <w:sz w:val="15"/>
          <w:szCs w:val="15"/>
        </w:rPr>
        <w:t xml:space="preserve"> o </w:t>
      </w:r>
      <w:proofErr w:type="spellStart"/>
      <w:r w:rsidRPr="0012489E">
        <w:rPr>
          <w:sz w:val="15"/>
          <w:szCs w:val="15"/>
        </w:rPr>
        <w:t>petiție</w:t>
      </w:r>
      <w:proofErr w:type="spellEnd"/>
      <w:r w:rsidRPr="0012489E">
        <w:rPr>
          <w:sz w:val="15"/>
          <w:szCs w:val="15"/>
        </w:rPr>
        <w:t xml:space="preserve"> anti-</w:t>
      </w:r>
      <w:proofErr w:type="spellStart"/>
      <w:r w:rsidRPr="0012489E">
        <w:rPr>
          <w:sz w:val="15"/>
          <w:szCs w:val="15"/>
        </w:rPr>
        <w:t>avor</w:t>
      </w:r>
      <w:proofErr w:type="spellEnd"/>
      <w:r w:rsidRPr="0012489E">
        <w:rPr>
          <w:sz w:val="15"/>
          <w:szCs w:val="15"/>
        </w:rPr>
        <w:t xml:space="preserve">), Radio Free Europe Moldova, 31 January 2025, available at: </w:t>
      </w:r>
      <w:hyperlink r:id="rId8" w:history="1">
        <w:r w:rsidRPr="0012489E">
          <w:rPr>
            <w:rStyle w:val="Hyperlink"/>
            <w:sz w:val="15"/>
            <w:szCs w:val="15"/>
          </w:rPr>
          <w:t>https://moldova.europalibera.org/a/ministerul-sanatatii-a-interzis-avortul-medicamentos-prin-telemedicina-dupa-o-petitie-anti-avort/33298399.html</w:t>
        </w:r>
      </w:hyperlink>
      <w:r w:rsidRPr="0012489E">
        <w:rPr>
          <w:sz w:val="15"/>
          <w:szCs w:val="15"/>
        </w:rPr>
        <w:t xml:space="preserve"> </w:t>
      </w:r>
    </w:p>
  </w:footnote>
  <w:footnote w:id="8">
    <w:p w14:paraId="7DA2136A" w14:textId="53D75F3B" w:rsidR="0012489E" w:rsidRPr="0012489E" w:rsidRDefault="0012489E" w:rsidP="0012489E">
      <w:pPr>
        <w:pStyle w:val="FootnoteText"/>
        <w:spacing w:after="0"/>
        <w:jc w:val="both"/>
        <w:rPr>
          <w:sz w:val="15"/>
          <w:szCs w:val="15"/>
        </w:rPr>
      </w:pPr>
      <w:r w:rsidRPr="0012489E">
        <w:rPr>
          <w:rStyle w:val="FootnoteReference"/>
          <w:sz w:val="15"/>
          <w:szCs w:val="15"/>
        </w:rPr>
        <w:footnoteRef/>
      </w:r>
      <w:r w:rsidR="00A71DE2">
        <w:rPr>
          <w:sz w:val="15"/>
          <w:szCs w:val="15"/>
        </w:rPr>
        <w:t xml:space="preserve"> </w:t>
      </w:r>
      <w:r w:rsidRPr="0012489E">
        <w:rPr>
          <w:sz w:val="15"/>
          <w:szCs w:val="15"/>
        </w:rPr>
        <w:t xml:space="preserve">WHO recommendations on self-care interventions: self-management of medical abortion, 2022 update, available at: </w:t>
      </w:r>
      <w:hyperlink r:id="rId9" w:history="1">
        <w:r w:rsidRPr="0012489E">
          <w:rPr>
            <w:rStyle w:val="Hyperlink"/>
            <w:sz w:val="15"/>
            <w:szCs w:val="15"/>
          </w:rPr>
          <w:t>https://www.who.int/publications/i/item/WHO-SRH-22.1</w:t>
        </w:r>
      </w:hyperlink>
      <w:r w:rsidRPr="0012489E">
        <w:rPr>
          <w:sz w:val="15"/>
          <w:szCs w:val="15"/>
        </w:rPr>
        <w:t xml:space="preserve"> </w:t>
      </w:r>
    </w:p>
  </w:footnote>
  <w:footnote w:id="9">
    <w:p w14:paraId="4DCFC5D0" w14:textId="77777777" w:rsidR="0012489E" w:rsidRPr="0012489E" w:rsidRDefault="0012489E" w:rsidP="0012489E">
      <w:pPr>
        <w:pStyle w:val="FootnoteText"/>
        <w:spacing w:after="0"/>
        <w:rPr>
          <w:sz w:val="15"/>
          <w:szCs w:val="15"/>
        </w:rPr>
      </w:pPr>
      <w:r w:rsidRPr="0012489E">
        <w:rPr>
          <w:rStyle w:val="FootnoteReference"/>
          <w:sz w:val="15"/>
          <w:szCs w:val="15"/>
        </w:rPr>
        <w:footnoteRef/>
      </w:r>
      <w:r w:rsidRPr="0012489E">
        <w:rPr>
          <w:sz w:val="15"/>
          <w:szCs w:val="15"/>
        </w:rPr>
        <w:t xml:space="preserve"> Letter from the Gender Equality Platform addressed to the Ministry of Health, 10 March 2025 </w:t>
      </w:r>
    </w:p>
  </w:footnote>
  <w:footnote w:id="10">
    <w:p w14:paraId="36E4A397" w14:textId="77777777" w:rsidR="0012489E" w:rsidRPr="0012489E" w:rsidRDefault="0012489E" w:rsidP="0012489E">
      <w:pPr>
        <w:pStyle w:val="FootnoteText"/>
        <w:spacing w:after="0"/>
        <w:rPr>
          <w:sz w:val="15"/>
          <w:szCs w:val="15"/>
        </w:rPr>
      </w:pPr>
      <w:r w:rsidRPr="0012489E">
        <w:rPr>
          <w:rStyle w:val="FootnoteReference"/>
          <w:sz w:val="15"/>
          <w:szCs w:val="15"/>
        </w:rPr>
        <w:footnoteRef/>
      </w:r>
      <w:r w:rsidRPr="0012489E">
        <w:rPr>
          <w:sz w:val="15"/>
          <w:szCs w:val="15"/>
        </w:rPr>
        <w:t xml:space="preserve"> Response from the Ministry of Health to the 10 March 2025 Letter from the Gender Equality Platform, 07 April 2025</w:t>
      </w:r>
    </w:p>
  </w:footnote>
  <w:footnote w:id="11">
    <w:p w14:paraId="3C9A7B81" w14:textId="5DE2E8C4" w:rsidR="0012489E" w:rsidRPr="0012489E" w:rsidRDefault="0012489E" w:rsidP="0012489E">
      <w:pPr>
        <w:pStyle w:val="FootnoteText"/>
        <w:spacing w:after="0"/>
        <w:jc w:val="both"/>
        <w:rPr>
          <w:sz w:val="15"/>
          <w:szCs w:val="15"/>
        </w:rPr>
      </w:pPr>
      <w:r w:rsidRPr="0012489E">
        <w:rPr>
          <w:rStyle w:val="FootnoteReference"/>
          <w:sz w:val="15"/>
          <w:szCs w:val="15"/>
        </w:rPr>
        <w:footnoteRef/>
      </w:r>
      <w:r w:rsidRPr="0012489E">
        <w:rPr>
          <w:sz w:val="15"/>
          <w:szCs w:val="15"/>
        </w:rPr>
        <w:t xml:space="preserve"> NGOs ask the Ministry of Health to lift the ban on medical abortion via telemedicine ((Original from Romanian: ONG-urile </w:t>
      </w:r>
      <w:proofErr w:type="spellStart"/>
      <w:r w:rsidRPr="0012489E">
        <w:rPr>
          <w:sz w:val="15"/>
          <w:szCs w:val="15"/>
        </w:rPr>
        <w:t>cer</w:t>
      </w:r>
      <w:proofErr w:type="spellEnd"/>
      <w:r w:rsidRPr="0012489E">
        <w:rPr>
          <w:sz w:val="15"/>
          <w:szCs w:val="15"/>
        </w:rPr>
        <w:t xml:space="preserve"> </w:t>
      </w:r>
      <w:proofErr w:type="spellStart"/>
      <w:r w:rsidRPr="0012489E">
        <w:rPr>
          <w:sz w:val="15"/>
          <w:szCs w:val="15"/>
        </w:rPr>
        <w:t>Ministerului</w:t>
      </w:r>
      <w:proofErr w:type="spellEnd"/>
      <w:r w:rsidRPr="0012489E">
        <w:rPr>
          <w:sz w:val="15"/>
          <w:szCs w:val="15"/>
        </w:rPr>
        <w:t xml:space="preserve"> </w:t>
      </w:r>
      <w:proofErr w:type="spellStart"/>
      <w:r w:rsidRPr="0012489E">
        <w:rPr>
          <w:sz w:val="15"/>
          <w:szCs w:val="15"/>
        </w:rPr>
        <w:t>Sănătății</w:t>
      </w:r>
      <w:proofErr w:type="spellEnd"/>
      <w:r w:rsidRPr="0012489E">
        <w:rPr>
          <w:sz w:val="15"/>
          <w:szCs w:val="15"/>
        </w:rPr>
        <w:t xml:space="preserve"> </w:t>
      </w:r>
      <w:proofErr w:type="spellStart"/>
      <w:r w:rsidRPr="0012489E">
        <w:rPr>
          <w:sz w:val="15"/>
          <w:szCs w:val="15"/>
        </w:rPr>
        <w:t>să</w:t>
      </w:r>
      <w:proofErr w:type="spellEnd"/>
      <w:r w:rsidRPr="0012489E">
        <w:rPr>
          <w:sz w:val="15"/>
          <w:szCs w:val="15"/>
        </w:rPr>
        <w:t xml:space="preserve"> </w:t>
      </w:r>
      <w:proofErr w:type="spellStart"/>
      <w:r w:rsidRPr="0012489E">
        <w:rPr>
          <w:sz w:val="15"/>
          <w:szCs w:val="15"/>
        </w:rPr>
        <w:t>anuleze</w:t>
      </w:r>
      <w:proofErr w:type="spellEnd"/>
      <w:r w:rsidRPr="0012489E">
        <w:rPr>
          <w:sz w:val="15"/>
          <w:szCs w:val="15"/>
        </w:rPr>
        <w:t xml:space="preserve"> </w:t>
      </w:r>
      <w:proofErr w:type="spellStart"/>
      <w:r w:rsidRPr="0012489E">
        <w:rPr>
          <w:sz w:val="15"/>
          <w:szCs w:val="15"/>
        </w:rPr>
        <w:t>interdicția</w:t>
      </w:r>
      <w:proofErr w:type="spellEnd"/>
      <w:r w:rsidRPr="0012489E">
        <w:rPr>
          <w:sz w:val="15"/>
          <w:szCs w:val="15"/>
        </w:rPr>
        <w:t xml:space="preserve"> </w:t>
      </w:r>
      <w:proofErr w:type="spellStart"/>
      <w:r w:rsidRPr="0012489E">
        <w:rPr>
          <w:sz w:val="15"/>
          <w:szCs w:val="15"/>
        </w:rPr>
        <w:t>privind</w:t>
      </w:r>
      <w:proofErr w:type="spellEnd"/>
      <w:r w:rsidRPr="0012489E">
        <w:rPr>
          <w:sz w:val="15"/>
          <w:szCs w:val="15"/>
        </w:rPr>
        <w:t xml:space="preserve"> </w:t>
      </w:r>
      <w:proofErr w:type="spellStart"/>
      <w:r w:rsidRPr="0012489E">
        <w:rPr>
          <w:sz w:val="15"/>
          <w:szCs w:val="15"/>
        </w:rPr>
        <w:t>avortul</w:t>
      </w:r>
      <w:proofErr w:type="spellEnd"/>
      <w:r w:rsidRPr="0012489E">
        <w:rPr>
          <w:sz w:val="15"/>
          <w:szCs w:val="15"/>
        </w:rPr>
        <w:t xml:space="preserve"> </w:t>
      </w:r>
      <w:proofErr w:type="spellStart"/>
      <w:r w:rsidRPr="0012489E">
        <w:rPr>
          <w:sz w:val="15"/>
          <w:szCs w:val="15"/>
        </w:rPr>
        <w:t>medicamentos</w:t>
      </w:r>
      <w:proofErr w:type="spellEnd"/>
      <w:r w:rsidRPr="0012489E">
        <w:rPr>
          <w:sz w:val="15"/>
          <w:szCs w:val="15"/>
        </w:rPr>
        <w:t xml:space="preserve"> </w:t>
      </w:r>
      <w:proofErr w:type="spellStart"/>
      <w:r w:rsidRPr="0012489E">
        <w:rPr>
          <w:sz w:val="15"/>
          <w:szCs w:val="15"/>
        </w:rPr>
        <w:t>prin</w:t>
      </w:r>
      <w:proofErr w:type="spellEnd"/>
      <w:r w:rsidRPr="0012489E">
        <w:rPr>
          <w:sz w:val="15"/>
          <w:szCs w:val="15"/>
        </w:rPr>
        <w:t xml:space="preserve"> </w:t>
      </w:r>
      <w:proofErr w:type="spellStart"/>
      <w:r w:rsidRPr="0012489E">
        <w:rPr>
          <w:sz w:val="15"/>
          <w:szCs w:val="15"/>
        </w:rPr>
        <w:t>telemedicină</w:t>
      </w:r>
      <w:proofErr w:type="spellEnd"/>
      <w:r w:rsidRPr="0012489E">
        <w:rPr>
          <w:sz w:val="15"/>
          <w:szCs w:val="15"/>
        </w:rPr>
        <w:t xml:space="preserve">), 10 February 2025, available at:  </w:t>
      </w:r>
      <w:hyperlink r:id="rId10" w:history="1">
        <w:r w:rsidRPr="0012489E">
          <w:rPr>
            <w:rStyle w:val="Hyperlink"/>
            <w:sz w:val="15"/>
            <w:szCs w:val="15"/>
          </w:rPr>
          <w:t>https://moldova.europalibera.org/a/ong-urile-cer-ministerului-sanatatii-sa-anuleze-interdictia-privind-avortul-medicamentos-prin-telemedicina/33309348.html</w:t>
        </w:r>
      </w:hyperlink>
      <w:r w:rsidRPr="0012489E">
        <w:rPr>
          <w:sz w:val="15"/>
          <w:szCs w:val="15"/>
        </w:rPr>
        <w:t xml:space="preserve"> </w:t>
      </w:r>
    </w:p>
  </w:footnote>
  <w:footnote w:id="12">
    <w:p w14:paraId="0D80C761" w14:textId="65089CB0" w:rsidR="0012489E" w:rsidRPr="0012489E" w:rsidRDefault="0012489E" w:rsidP="0012489E">
      <w:pPr>
        <w:pStyle w:val="FootnoteText"/>
        <w:spacing w:after="0"/>
        <w:jc w:val="both"/>
        <w:rPr>
          <w:sz w:val="15"/>
          <w:szCs w:val="15"/>
        </w:rPr>
      </w:pPr>
      <w:r w:rsidRPr="0012489E">
        <w:rPr>
          <w:rStyle w:val="FootnoteReference"/>
          <w:sz w:val="15"/>
          <w:szCs w:val="15"/>
        </w:rPr>
        <w:footnoteRef/>
      </w:r>
      <w:r w:rsidRPr="0012489E">
        <w:rPr>
          <w:sz w:val="15"/>
          <w:szCs w:val="15"/>
        </w:rPr>
        <w:t xml:space="preserve"> Committee on the Elimination of Discrimination Against Women, Concluding Observations on the sixth periodic report of the Republic of Moldova, CEDAW/C/MDA/CO/6, 10 March 2020, para. 25 e-f</w:t>
      </w:r>
      <w:r w:rsidR="00A71DE2">
        <w:rPr>
          <w:sz w:val="15"/>
          <w:szCs w:val="15"/>
        </w:rPr>
        <w:t>.</w:t>
      </w:r>
    </w:p>
  </w:footnote>
  <w:footnote w:id="13">
    <w:p w14:paraId="206D7A9B" w14:textId="77777777" w:rsidR="0012489E" w:rsidRPr="0012489E" w:rsidRDefault="0012489E" w:rsidP="0012489E">
      <w:pPr>
        <w:pStyle w:val="FootnoteText"/>
        <w:spacing w:after="0"/>
        <w:jc w:val="both"/>
        <w:rPr>
          <w:sz w:val="15"/>
          <w:szCs w:val="15"/>
        </w:rPr>
      </w:pPr>
      <w:r w:rsidRPr="0012489E">
        <w:rPr>
          <w:rStyle w:val="FootnoteReference"/>
          <w:sz w:val="15"/>
          <w:szCs w:val="15"/>
        </w:rPr>
        <w:footnoteRef/>
      </w:r>
      <w:r w:rsidRPr="0012489E">
        <w:rPr>
          <w:sz w:val="15"/>
          <w:szCs w:val="15"/>
        </w:rPr>
        <w:t xml:space="preserve"> See Amnesty International research on sex worker’s rights in the context of criminalization at the following page: </w:t>
      </w:r>
      <w:hyperlink r:id="rId11" w:history="1">
        <w:r w:rsidRPr="0012489E">
          <w:rPr>
            <w:rStyle w:val="Hyperlink"/>
            <w:sz w:val="15"/>
            <w:szCs w:val="15"/>
          </w:rPr>
          <w:t>https://www.amnesty.org/en/latest/news/2016/05/amnesty-international-publishes-policy-and-research-on-protection-of-sex-workers-rights/</w:t>
        </w:r>
      </w:hyperlink>
      <w:r w:rsidRPr="0012489E">
        <w:rPr>
          <w:sz w:val="15"/>
          <w:szCs w:val="15"/>
        </w:rPr>
        <w:t xml:space="preserve"> </w:t>
      </w:r>
    </w:p>
  </w:footnote>
  <w:footnote w:id="14">
    <w:p w14:paraId="23053FC9" w14:textId="77777777" w:rsidR="0012489E" w:rsidRPr="0012489E" w:rsidRDefault="0012489E" w:rsidP="0012489E">
      <w:pPr>
        <w:pStyle w:val="FootnoteText"/>
        <w:spacing w:after="0"/>
        <w:jc w:val="both"/>
        <w:rPr>
          <w:sz w:val="15"/>
          <w:szCs w:val="15"/>
          <w:lang w:val="ro-RO"/>
        </w:rPr>
      </w:pPr>
      <w:r w:rsidRPr="0012489E">
        <w:rPr>
          <w:rStyle w:val="FootnoteReference"/>
          <w:sz w:val="15"/>
          <w:szCs w:val="15"/>
        </w:rPr>
        <w:footnoteRef/>
      </w:r>
      <w:r w:rsidRPr="0012489E">
        <w:rPr>
          <w:sz w:val="15"/>
          <w:szCs w:val="15"/>
        </w:rPr>
        <w:t xml:space="preserve"> Act for </w:t>
      </w:r>
      <w:proofErr w:type="spellStart"/>
      <w:r w:rsidRPr="0012489E">
        <w:rPr>
          <w:sz w:val="15"/>
          <w:szCs w:val="15"/>
        </w:rPr>
        <w:t>Involvment</w:t>
      </w:r>
      <w:proofErr w:type="spellEnd"/>
      <w:r w:rsidRPr="0012489E">
        <w:rPr>
          <w:sz w:val="15"/>
          <w:szCs w:val="15"/>
        </w:rPr>
        <w:t xml:space="preserve">, „Assessing the level of training of sex workers in Chisinau (Capital of the Republic of Moldova) in community mobilization, including involvement in HIV control measures” (In Romanian: </w:t>
      </w:r>
      <w:proofErr w:type="spellStart"/>
      <w:r w:rsidRPr="0012489E">
        <w:rPr>
          <w:sz w:val="15"/>
          <w:szCs w:val="15"/>
        </w:rPr>
        <w:t>Evaluarea</w:t>
      </w:r>
      <w:proofErr w:type="spellEnd"/>
      <w:r w:rsidRPr="0012489E">
        <w:rPr>
          <w:sz w:val="15"/>
          <w:szCs w:val="15"/>
        </w:rPr>
        <w:t xml:space="preserve"> </w:t>
      </w:r>
      <w:proofErr w:type="spellStart"/>
      <w:r w:rsidRPr="0012489E">
        <w:rPr>
          <w:sz w:val="15"/>
          <w:szCs w:val="15"/>
        </w:rPr>
        <w:t>nivelului</w:t>
      </w:r>
      <w:proofErr w:type="spellEnd"/>
      <w:r w:rsidRPr="0012489E">
        <w:rPr>
          <w:sz w:val="15"/>
          <w:szCs w:val="15"/>
        </w:rPr>
        <w:t xml:space="preserve"> de </w:t>
      </w:r>
      <w:proofErr w:type="spellStart"/>
      <w:r w:rsidRPr="0012489E">
        <w:rPr>
          <w:sz w:val="15"/>
          <w:szCs w:val="15"/>
        </w:rPr>
        <w:t>pregătire</w:t>
      </w:r>
      <w:proofErr w:type="spellEnd"/>
      <w:r w:rsidRPr="0012489E">
        <w:rPr>
          <w:sz w:val="15"/>
          <w:szCs w:val="15"/>
        </w:rPr>
        <w:t xml:space="preserve"> a </w:t>
      </w:r>
      <w:proofErr w:type="spellStart"/>
      <w:r w:rsidRPr="0012489E">
        <w:rPr>
          <w:sz w:val="15"/>
          <w:szCs w:val="15"/>
        </w:rPr>
        <w:t>lucr</w:t>
      </w:r>
      <w:proofErr w:type="spellEnd"/>
      <w:r w:rsidRPr="0012489E">
        <w:rPr>
          <w:sz w:val="15"/>
          <w:szCs w:val="15"/>
          <w:lang w:val="ro-RO"/>
        </w:rPr>
        <w:t xml:space="preserve">ătoarelor sexului din Chișinău (Capitala Republicii Moldova) în mobilizarea comunitară, inclusiv implicarea în măsurile de control pentru HIV), 2022, pp. 24-25, available at: </w:t>
      </w:r>
      <w:hyperlink r:id="rId12" w:history="1">
        <w:r w:rsidRPr="0012489E">
          <w:rPr>
            <w:rStyle w:val="Hyperlink"/>
            <w:sz w:val="15"/>
            <w:szCs w:val="15"/>
            <w:lang w:val="ro-RO"/>
          </w:rPr>
          <w:t>https://afi.md/pic/uploaded/AFI%20-%20Raport_FSW.pdf</w:t>
        </w:r>
      </w:hyperlink>
    </w:p>
  </w:footnote>
  <w:footnote w:id="15">
    <w:p w14:paraId="1B6CD3B2" w14:textId="77777777" w:rsidR="0012489E" w:rsidRPr="002F68D3" w:rsidRDefault="0012489E" w:rsidP="0012489E">
      <w:pPr>
        <w:pStyle w:val="FootnoteText"/>
        <w:spacing w:after="0"/>
        <w:jc w:val="both"/>
        <w:rPr>
          <w:sz w:val="16"/>
          <w:szCs w:val="16"/>
          <w:lang w:val="ro-RO"/>
        </w:rPr>
      </w:pPr>
      <w:r w:rsidRPr="0012489E">
        <w:rPr>
          <w:rStyle w:val="FootnoteReference"/>
          <w:sz w:val="15"/>
          <w:szCs w:val="15"/>
        </w:rPr>
        <w:footnoteRef/>
      </w:r>
      <w:r w:rsidRPr="0012489E">
        <w:rPr>
          <w:sz w:val="15"/>
          <w:szCs w:val="15"/>
        </w:rPr>
        <w:t xml:space="preserve"> Ibid., pp. 23-24</w:t>
      </w:r>
      <w:r w:rsidRPr="0012489E">
        <w:rPr>
          <w:sz w:val="15"/>
          <w:szCs w:val="15"/>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37F5DD9"/>
    <w:multiLevelType w:val="hybridMultilevel"/>
    <w:tmpl w:val="C85E704E"/>
    <w:lvl w:ilvl="0" w:tplc="E7507B48">
      <w:start w:val="1"/>
      <w:numFmt w:val="decimal"/>
      <w:lvlText w:val="%1."/>
      <w:lvlJc w:val="left"/>
      <w:pPr>
        <w:ind w:left="720" w:hanging="360"/>
      </w:pPr>
    </w:lvl>
    <w:lvl w:ilvl="1" w:tplc="06AEB17C">
      <w:start w:val="1"/>
      <w:numFmt w:val="lowerLetter"/>
      <w:lvlText w:val="%2."/>
      <w:lvlJc w:val="left"/>
      <w:pPr>
        <w:ind w:left="1440" w:hanging="360"/>
      </w:pPr>
    </w:lvl>
    <w:lvl w:ilvl="2" w:tplc="71A433C6">
      <w:start w:val="1"/>
      <w:numFmt w:val="lowerRoman"/>
      <w:lvlText w:val="%3."/>
      <w:lvlJc w:val="right"/>
      <w:pPr>
        <w:ind w:left="2160" w:hanging="180"/>
      </w:pPr>
    </w:lvl>
    <w:lvl w:ilvl="3" w:tplc="A1F85004">
      <w:start w:val="1"/>
      <w:numFmt w:val="decimal"/>
      <w:lvlText w:val="%4."/>
      <w:lvlJc w:val="left"/>
      <w:pPr>
        <w:ind w:left="2880" w:hanging="360"/>
      </w:pPr>
    </w:lvl>
    <w:lvl w:ilvl="4" w:tplc="3D9CDFE6">
      <w:start w:val="1"/>
      <w:numFmt w:val="lowerLetter"/>
      <w:lvlText w:val="%5."/>
      <w:lvlJc w:val="left"/>
      <w:pPr>
        <w:ind w:left="3600" w:hanging="360"/>
      </w:pPr>
    </w:lvl>
    <w:lvl w:ilvl="5" w:tplc="2DE41074">
      <w:start w:val="1"/>
      <w:numFmt w:val="lowerRoman"/>
      <w:lvlText w:val="%6."/>
      <w:lvlJc w:val="right"/>
      <w:pPr>
        <w:ind w:left="4320" w:hanging="180"/>
      </w:pPr>
    </w:lvl>
    <w:lvl w:ilvl="6" w:tplc="9ED8596C">
      <w:start w:val="1"/>
      <w:numFmt w:val="decimal"/>
      <w:lvlText w:val="%7."/>
      <w:lvlJc w:val="left"/>
      <w:pPr>
        <w:ind w:left="5040" w:hanging="360"/>
      </w:pPr>
    </w:lvl>
    <w:lvl w:ilvl="7" w:tplc="D6EE1DF2">
      <w:start w:val="1"/>
      <w:numFmt w:val="lowerLetter"/>
      <w:lvlText w:val="%8."/>
      <w:lvlJc w:val="left"/>
      <w:pPr>
        <w:ind w:left="5760" w:hanging="360"/>
      </w:pPr>
    </w:lvl>
    <w:lvl w:ilvl="8" w:tplc="149E5690">
      <w:start w:val="1"/>
      <w:numFmt w:val="lowerRoman"/>
      <w:lvlText w:val="%9."/>
      <w:lvlJc w:val="right"/>
      <w:pPr>
        <w:ind w:left="6480" w:hanging="180"/>
      </w:pPr>
    </w:lvl>
  </w:abstractNum>
  <w:abstractNum w:abstractNumId="17" w15:restartNumberingAfterBreak="0">
    <w:nsid w:val="3B55756B"/>
    <w:multiLevelType w:val="hybridMultilevel"/>
    <w:tmpl w:val="272669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6D4526"/>
    <w:multiLevelType w:val="multilevel"/>
    <w:tmpl w:val="1FCE9190"/>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19F9CC"/>
    <w:multiLevelType w:val="hybridMultilevel"/>
    <w:tmpl w:val="5422FB76"/>
    <w:lvl w:ilvl="0" w:tplc="9244DBFE">
      <w:start w:val="1"/>
      <w:numFmt w:val="decimal"/>
      <w:lvlText w:val="%1."/>
      <w:lvlJc w:val="left"/>
      <w:pPr>
        <w:ind w:left="720" w:hanging="360"/>
      </w:pPr>
    </w:lvl>
    <w:lvl w:ilvl="1" w:tplc="36280E78">
      <w:start w:val="1"/>
      <w:numFmt w:val="lowerLetter"/>
      <w:lvlText w:val="%2."/>
      <w:lvlJc w:val="left"/>
      <w:pPr>
        <w:ind w:left="1440" w:hanging="360"/>
      </w:pPr>
    </w:lvl>
    <w:lvl w:ilvl="2" w:tplc="5BD21E34">
      <w:start w:val="1"/>
      <w:numFmt w:val="lowerRoman"/>
      <w:lvlText w:val="%3."/>
      <w:lvlJc w:val="right"/>
      <w:pPr>
        <w:ind w:left="2160" w:hanging="180"/>
      </w:pPr>
    </w:lvl>
    <w:lvl w:ilvl="3" w:tplc="05609B7C">
      <w:start w:val="1"/>
      <w:numFmt w:val="decimal"/>
      <w:lvlText w:val="%4."/>
      <w:lvlJc w:val="left"/>
      <w:pPr>
        <w:ind w:left="2880" w:hanging="360"/>
      </w:pPr>
    </w:lvl>
    <w:lvl w:ilvl="4" w:tplc="6532C866">
      <w:start w:val="1"/>
      <w:numFmt w:val="lowerLetter"/>
      <w:lvlText w:val="%5."/>
      <w:lvlJc w:val="left"/>
      <w:pPr>
        <w:ind w:left="3600" w:hanging="360"/>
      </w:pPr>
    </w:lvl>
    <w:lvl w:ilvl="5" w:tplc="8230DDCA">
      <w:start w:val="1"/>
      <w:numFmt w:val="lowerRoman"/>
      <w:lvlText w:val="%6."/>
      <w:lvlJc w:val="right"/>
      <w:pPr>
        <w:ind w:left="4320" w:hanging="180"/>
      </w:pPr>
    </w:lvl>
    <w:lvl w:ilvl="6" w:tplc="347E1622">
      <w:start w:val="1"/>
      <w:numFmt w:val="decimal"/>
      <w:lvlText w:val="%7."/>
      <w:lvlJc w:val="left"/>
      <w:pPr>
        <w:ind w:left="5040" w:hanging="360"/>
      </w:pPr>
    </w:lvl>
    <w:lvl w:ilvl="7" w:tplc="806E883C">
      <w:start w:val="1"/>
      <w:numFmt w:val="lowerLetter"/>
      <w:lvlText w:val="%8."/>
      <w:lvlJc w:val="left"/>
      <w:pPr>
        <w:ind w:left="5760" w:hanging="360"/>
      </w:pPr>
    </w:lvl>
    <w:lvl w:ilvl="8" w:tplc="E8CC8F24">
      <w:start w:val="1"/>
      <w:numFmt w:val="lowerRoman"/>
      <w:lvlText w:val="%9."/>
      <w:lvlJc w:val="right"/>
      <w:pPr>
        <w:ind w:left="6480" w:hanging="180"/>
      </w:pPr>
    </w:lvl>
  </w:abstractNum>
  <w:abstractNum w:abstractNumId="21"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3"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376409">
    <w:abstractNumId w:val="22"/>
  </w:num>
  <w:num w:numId="2" w16cid:durableId="585578797">
    <w:abstractNumId w:val="22"/>
  </w:num>
  <w:num w:numId="3" w16cid:durableId="1953398399">
    <w:abstractNumId w:val="22"/>
  </w:num>
  <w:num w:numId="4" w16cid:durableId="2050834943">
    <w:abstractNumId w:val="22"/>
  </w:num>
  <w:num w:numId="5" w16cid:durableId="2086104889">
    <w:abstractNumId w:val="22"/>
  </w:num>
  <w:num w:numId="6" w16cid:durableId="941568261">
    <w:abstractNumId w:val="22"/>
  </w:num>
  <w:num w:numId="7" w16cid:durableId="1193149750">
    <w:abstractNumId w:val="22"/>
  </w:num>
  <w:num w:numId="8" w16cid:durableId="1445811119">
    <w:abstractNumId w:val="22"/>
  </w:num>
  <w:num w:numId="9" w16cid:durableId="651561670">
    <w:abstractNumId w:val="21"/>
  </w:num>
  <w:num w:numId="10" w16cid:durableId="1860191260">
    <w:abstractNumId w:val="23"/>
  </w:num>
  <w:num w:numId="11" w16cid:durableId="853567293">
    <w:abstractNumId w:val="25"/>
  </w:num>
  <w:num w:numId="12" w16cid:durableId="920602135">
    <w:abstractNumId w:val="12"/>
  </w:num>
  <w:num w:numId="13" w16cid:durableId="1566990208">
    <w:abstractNumId w:val="14"/>
  </w:num>
  <w:num w:numId="14" w16cid:durableId="1876966676">
    <w:abstractNumId w:val="10"/>
  </w:num>
  <w:num w:numId="15" w16cid:durableId="1659571782">
    <w:abstractNumId w:val="11"/>
  </w:num>
  <w:num w:numId="16" w16cid:durableId="1144540707">
    <w:abstractNumId w:val="24"/>
  </w:num>
  <w:num w:numId="17" w16cid:durableId="723795444">
    <w:abstractNumId w:val="19"/>
  </w:num>
  <w:num w:numId="18" w16cid:durableId="694035282">
    <w:abstractNumId w:val="9"/>
  </w:num>
  <w:num w:numId="19" w16cid:durableId="357580766">
    <w:abstractNumId w:val="7"/>
  </w:num>
  <w:num w:numId="20" w16cid:durableId="1078788325">
    <w:abstractNumId w:val="6"/>
  </w:num>
  <w:num w:numId="21" w16cid:durableId="1771243487">
    <w:abstractNumId w:val="5"/>
  </w:num>
  <w:num w:numId="22" w16cid:durableId="931863928">
    <w:abstractNumId w:val="4"/>
  </w:num>
  <w:num w:numId="23" w16cid:durableId="984239419">
    <w:abstractNumId w:val="8"/>
  </w:num>
  <w:num w:numId="24" w16cid:durableId="566234366">
    <w:abstractNumId w:val="3"/>
  </w:num>
  <w:num w:numId="25" w16cid:durableId="1431044472">
    <w:abstractNumId w:val="2"/>
  </w:num>
  <w:num w:numId="26" w16cid:durableId="1807893994">
    <w:abstractNumId w:val="1"/>
  </w:num>
  <w:num w:numId="27" w16cid:durableId="834802586">
    <w:abstractNumId w:val="0"/>
  </w:num>
  <w:num w:numId="28" w16cid:durableId="1743064786">
    <w:abstractNumId w:val="13"/>
  </w:num>
  <w:num w:numId="29" w16cid:durableId="1405301222">
    <w:abstractNumId w:val="18"/>
  </w:num>
  <w:num w:numId="30" w16cid:durableId="1277982086">
    <w:abstractNumId w:val="15"/>
  </w:num>
  <w:num w:numId="31" w16cid:durableId="434910074">
    <w:abstractNumId w:val="17"/>
  </w:num>
  <w:num w:numId="32" w16cid:durableId="1033649855">
    <w:abstractNumId w:val="16"/>
  </w:num>
  <w:num w:numId="33" w16cid:durableId="5725900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21154"/>
    <w:rsid w:val="00021885"/>
    <w:rsid w:val="00022B80"/>
    <w:rsid w:val="000259F7"/>
    <w:rsid w:val="00025AFD"/>
    <w:rsid w:val="00031C00"/>
    <w:rsid w:val="000357E2"/>
    <w:rsid w:val="0005087E"/>
    <w:rsid w:val="000535EF"/>
    <w:rsid w:val="000604C6"/>
    <w:rsid w:val="00065FFC"/>
    <w:rsid w:val="000660E7"/>
    <w:rsid w:val="0006664D"/>
    <w:rsid w:val="0006667A"/>
    <w:rsid w:val="00066FE6"/>
    <w:rsid w:val="00070657"/>
    <w:rsid w:val="0007677B"/>
    <w:rsid w:val="000808AF"/>
    <w:rsid w:val="00081537"/>
    <w:rsid w:val="0008415F"/>
    <w:rsid w:val="00085AA0"/>
    <w:rsid w:val="00090DB1"/>
    <w:rsid w:val="000922C7"/>
    <w:rsid w:val="000946B9"/>
    <w:rsid w:val="000A1082"/>
    <w:rsid w:val="000B3317"/>
    <w:rsid w:val="000B3BD6"/>
    <w:rsid w:val="000B7EEA"/>
    <w:rsid w:val="000C2825"/>
    <w:rsid w:val="000C59BD"/>
    <w:rsid w:val="000C5B09"/>
    <w:rsid w:val="000D2BD5"/>
    <w:rsid w:val="000F5DC9"/>
    <w:rsid w:val="00106694"/>
    <w:rsid w:val="001078C8"/>
    <w:rsid w:val="00112CAF"/>
    <w:rsid w:val="00113E91"/>
    <w:rsid w:val="001140D3"/>
    <w:rsid w:val="001153D5"/>
    <w:rsid w:val="00116223"/>
    <w:rsid w:val="001231E9"/>
    <w:rsid w:val="0012489E"/>
    <w:rsid w:val="00124E0C"/>
    <w:rsid w:val="00125850"/>
    <w:rsid w:val="001263C5"/>
    <w:rsid w:val="00126A84"/>
    <w:rsid w:val="00130C4E"/>
    <w:rsid w:val="00131015"/>
    <w:rsid w:val="00132E35"/>
    <w:rsid w:val="00133535"/>
    <w:rsid w:val="00136468"/>
    <w:rsid w:val="00137621"/>
    <w:rsid w:val="00140418"/>
    <w:rsid w:val="0014349E"/>
    <w:rsid w:val="0015226A"/>
    <w:rsid w:val="00154926"/>
    <w:rsid w:val="0016172B"/>
    <w:rsid w:val="00162896"/>
    <w:rsid w:val="00163908"/>
    <w:rsid w:val="0016768A"/>
    <w:rsid w:val="001822A9"/>
    <w:rsid w:val="00183E7F"/>
    <w:rsid w:val="00186073"/>
    <w:rsid w:val="0018795D"/>
    <w:rsid w:val="0019203A"/>
    <w:rsid w:val="00195520"/>
    <w:rsid w:val="001A03AE"/>
    <w:rsid w:val="001A0E99"/>
    <w:rsid w:val="001A1A6A"/>
    <w:rsid w:val="001B2B26"/>
    <w:rsid w:val="001C36E1"/>
    <w:rsid w:val="001C5866"/>
    <w:rsid w:val="001D411B"/>
    <w:rsid w:val="001D51A7"/>
    <w:rsid w:val="001D5317"/>
    <w:rsid w:val="001D7D31"/>
    <w:rsid w:val="001E449A"/>
    <w:rsid w:val="001E76B1"/>
    <w:rsid w:val="001E7BBB"/>
    <w:rsid w:val="001F0F4A"/>
    <w:rsid w:val="001F10A7"/>
    <w:rsid w:val="001F392A"/>
    <w:rsid w:val="001F6ADE"/>
    <w:rsid w:val="00210F45"/>
    <w:rsid w:val="002136E5"/>
    <w:rsid w:val="002146C5"/>
    <w:rsid w:val="00217DDF"/>
    <w:rsid w:val="00220669"/>
    <w:rsid w:val="00221268"/>
    <w:rsid w:val="0022451F"/>
    <w:rsid w:val="00231581"/>
    <w:rsid w:val="00232DD3"/>
    <w:rsid w:val="00236DE0"/>
    <w:rsid w:val="00243174"/>
    <w:rsid w:val="002541A8"/>
    <w:rsid w:val="00254FC0"/>
    <w:rsid w:val="002603C2"/>
    <w:rsid w:val="0026103D"/>
    <w:rsid w:val="00262EB8"/>
    <w:rsid w:val="00263834"/>
    <w:rsid w:val="00266153"/>
    <w:rsid w:val="002710FE"/>
    <w:rsid w:val="00272FBA"/>
    <w:rsid w:val="002731B3"/>
    <w:rsid w:val="00280E63"/>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4CC8"/>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45F7"/>
    <w:rsid w:val="00335368"/>
    <w:rsid w:val="003408CB"/>
    <w:rsid w:val="00342011"/>
    <w:rsid w:val="003454C8"/>
    <w:rsid w:val="00346173"/>
    <w:rsid w:val="0035046C"/>
    <w:rsid w:val="00350C78"/>
    <w:rsid w:val="00352EB8"/>
    <w:rsid w:val="00355567"/>
    <w:rsid w:val="003618E5"/>
    <w:rsid w:val="00363BFE"/>
    <w:rsid w:val="00364BCD"/>
    <w:rsid w:val="00365804"/>
    <w:rsid w:val="00376059"/>
    <w:rsid w:val="00391D04"/>
    <w:rsid w:val="00392F19"/>
    <w:rsid w:val="003A1382"/>
    <w:rsid w:val="003A412F"/>
    <w:rsid w:val="003A4CE6"/>
    <w:rsid w:val="003A7195"/>
    <w:rsid w:val="003B1E1B"/>
    <w:rsid w:val="003B366A"/>
    <w:rsid w:val="003B4525"/>
    <w:rsid w:val="003C499F"/>
    <w:rsid w:val="003C5F3A"/>
    <w:rsid w:val="003D3442"/>
    <w:rsid w:val="003D4123"/>
    <w:rsid w:val="003D61B4"/>
    <w:rsid w:val="003E2AA1"/>
    <w:rsid w:val="003E7C09"/>
    <w:rsid w:val="003F20BF"/>
    <w:rsid w:val="003F57E4"/>
    <w:rsid w:val="003F5ED3"/>
    <w:rsid w:val="003F6CBC"/>
    <w:rsid w:val="00401691"/>
    <w:rsid w:val="0040522F"/>
    <w:rsid w:val="00410A85"/>
    <w:rsid w:val="00413312"/>
    <w:rsid w:val="004172C3"/>
    <w:rsid w:val="0042150F"/>
    <w:rsid w:val="00423306"/>
    <w:rsid w:val="00424BBC"/>
    <w:rsid w:val="00425F1E"/>
    <w:rsid w:val="00425FE9"/>
    <w:rsid w:val="004325EC"/>
    <w:rsid w:val="0044168B"/>
    <w:rsid w:val="00442296"/>
    <w:rsid w:val="00442E70"/>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6D9E"/>
    <w:rsid w:val="004D279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E5767"/>
    <w:rsid w:val="005E6F94"/>
    <w:rsid w:val="005F5691"/>
    <w:rsid w:val="00607A4C"/>
    <w:rsid w:val="006154D8"/>
    <w:rsid w:val="00615A29"/>
    <w:rsid w:val="006164DC"/>
    <w:rsid w:val="00620197"/>
    <w:rsid w:val="00624209"/>
    <w:rsid w:val="006247AA"/>
    <w:rsid w:val="00625E6A"/>
    <w:rsid w:val="00636E70"/>
    <w:rsid w:val="0064277D"/>
    <w:rsid w:val="00651242"/>
    <w:rsid w:val="00651A22"/>
    <w:rsid w:val="00656B9B"/>
    <w:rsid w:val="006570CD"/>
    <w:rsid w:val="0065763F"/>
    <w:rsid w:val="00661C0B"/>
    <w:rsid w:val="00662C5D"/>
    <w:rsid w:val="00663EEA"/>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12C7F"/>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840"/>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53D1"/>
    <w:rsid w:val="008532A2"/>
    <w:rsid w:val="0086029C"/>
    <w:rsid w:val="0086048F"/>
    <w:rsid w:val="0086381A"/>
    <w:rsid w:val="00864E37"/>
    <w:rsid w:val="00865E1A"/>
    <w:rsid w:val="008732DF"/>
    <w:rsid w:val="008767CB"/>
    <w:rsid w:val="00881CC4"/>
    <w:rsid w:val="00882303"/>
    <w:rsid w:val="00885D28"/>
    <w:rsid w:val="008946FB"/>
    <w:rsid w:val="00895609"/>
    <w:rsid w:val="008A2963"/>
    <w:rsid w:val="008B1FF0"/>
    <w:rsid w:val="008B241C"/>
    <w:rsid w:val="008B3697"/>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7A5A"/>
    <w:rsid w:val="009254DD"/>
    <w:rsid w:val="00941599"/>
    <w:rsid w:val="0094789C"/>
    <w:rsid w:val="00947912"/>
    <w:rsid w:val="00951603"/>
    <w:rsid w:val="0095511C"/>
    <w:rsid w:val="0095521F"/>
    <w:rsid w:val="00961312"/>
    <w:rsid w:val="00962784"/>
    <w:rsid w:val="009645AB"/>
    <w:rsid w:val="0097095E"/>
    <w:rsid w:val="00970D4C"/>
    <w:rsid w:val="009730BD"/>
    <w:rsid w:val="00973F85"/>
    <w:rsid w:val="0097616C"/>
    <w:rsid w:val="00981DD2"/>
    <w:rsid w:val="009A0CBC"/>
    <w:rsid w:val="009A3965"/>
    <w:rsid w:val="009A6D60"/>
    <w:rsid w:val="009A6F95"/>
    <w:rsid w:val="009B141F"/>
    <w:rsid w:val="009C24A1"/>
    <w:rsid w:val="009C6598"/>
    <w:rsid w:val="009C7548"/>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2768"/>
    <w:rsid w:val="00A52E32"/>
    <w:rsid w:val="00A6153A"/>
    <w:rsid w:val="00A64BD0"/>
    <w:rsid w:val="00A71DE2"/>
    <w:rsid w:val="00A72775"/>
    <w:rsid w:val="00A916B2"/>
    <w:rsid w:val="00A92C02"/>
    <w:rsid w:val="00A93A4E"/>
    <w:rsid w:val="00A96594"/>
    <w:rsid w:val="00AA354E"/>
    <w:rsid w:val="00AA45E1"/>
    <w:rsid w:val="00AA6BA7"/>
    <w:rsid w:val="00AA6C22"/>
    <w:rsid w:val="00AB0170"/>
    <w:rsid w:val="00AB0F34"/>
    <w:rsid w:val="00AB224A"/>
    <w:rsid w:val="00AB4821"/>
    <w:rsid w:val="00AB4D57"/>
    <w:rsid w:val="00AC5A52"/>
    <w:rsid w:val="00AC7F90"/>
    <w:rsid w:val="00AD1D3F"/>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15D70"/>
    <w:rsid w:val="00B2691C"/>
    <w:rsid w:val="00B3222A"/>
    <w:rsid w:val="00B33BCE"/>
    <w:rsid w:val="00B61AFE"/>
    <w:rsid w:val="00B632E8"/>
    <w:rsid w:val="00B64F84"/>
    <w:rsid w:val="00B702DD"/>
    <w:rsid w:val="00B7100E"/>
    <w:rsid w:val="00B772D5"/>
    <w:rsid w:val="00B80C70"/>
    <w:rsid w:val="00B830F7"/>
    <w:rsid w:val="00B93717"/>
    <w:rsid w:val="00B946FF"/>
    <w:rsid w:val="00B97309"/>
    <w:rsid w:val="00BA23EB"/>
    <w:rsid w:val="00BB031B"/>
    <w:rsid w:val="00BB1C71"/>
    <w:rsid w:val="00BC3FCB"/>
    <w:rsid w:val="00BC7BD9"/>
    <w:rsid w:val="00BD07B1"/>
    <w:rsid w:val="00BD139E"/>
    <w:rsid w:val="00BD175B"/>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790D"/>
    <w:rsid w:val="00CA0DA3"/>
    <w:rsid w:val="00CA2406"/>
    <w:rsid w:val="00CA2524"/>
    <w:rsid w:val="00CB4453"/>
    <w:rsid w:val="00CB4F4E"/>
    <w:rsid w:val="00CC014D"/>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51E44"/>
    <w:rsid w:val="00D52AA7"/>
    <w:rsid w:val="00D53899"/>
    <w:rsid w:val="00D60846"/>
    <w:rsid w:val="00D6093F"/>
    <w:rsid w:val="00D6346E"/>
    <w:rsid w:val="00D70E36"/>
    <w:rsid w:val="00D7128C"/>
    <w:rsid w:val="00D73A4B"/>
    <w:rsid w:val="00D80EE1"/>
    <w:rsid w:val="00D81E9E"/>
    <w:rsid w:val="00D87D91"/>
    <w:rsid w:val="00D90830"/>
    <w:rsid w:val="00D929FA"/>
    <w:rsid w:val="00DA05C9"/>
    <w:rsid w:val="00DA7998"/>
    <w:rsid w:val="00DB43E8"/>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0723A"/>
    <w:rsid w:val="00E105E7"/>
    <w:rsid w:val="00E226FA"/>
    <w:rsid w:val="00E230C4"/>
    <w:rsid w:val="00E24A2D"/>
    <w:rsid w:val="00E31933"/>
    <w:rsid w:val="00E3223D"/>
    <w:rsid w:val="00E33427"/>
    <w:rsid w:val="00E350B8"/>
    <w:rsid w:val="00E3733D"/>
    <w:rsid w:val="00E46ACE"/>
    <w:rsid w:val="00E50346"/>
    <w:rsid w:val="00E50DC9"/>
    <w:rsid w:val="00E60E45"/>
    <w:rsid w:val="00E630D5"/>
    <w:rsid w:val="00E64EB5"/>
    <w:rsid w:val="00E65296"/>
    <w:rsid w:val="00E660B6"/>
    <w:rsid w:val="00E672DC"/>
    <w:rsid w:val="00E764BD"/>
    <w:rsid w:val="00E816B7"/>
    <w:rsid w:val="00E8209D"/>
    <w:rsid w:val="00E91854"/>
    <w:rsid w:val="00E92348"/>
    <w:rsid w:val="00E93F77"/>
    <w:rsid w:val="00E9433D"/>
    <w:rsid w:val="00E96BCC"/>
    <w:rsid w:val="00EA1109"/>
    <w:rsid w:val="00EA243E"/>
    <w:rsid w:val="00EA3C51"/>
    <w:rsid w:val="00EA643D"/>
    <w:rsid w:val="00EA6B7F"/>
    <w:rsid w:val="00EB4A4A"/>
    <w:rsid w:val="00EB5121"/>
    <w:rsid w:val="00EB527B"/>
    <w:rsid w:val="00EC015A"/>
    <w:rsid w:val="00EC41A9"/>
    <w:rsid w:val="00EC462E"/>
    <w:rsid w:val="00EC4F29"/>
    <w:rsid w:val="00ED183A"/>
    <w:rsid w:val="00ED4369"/>
    <w:rsid w:val="00ED4D01"/>
    <w:rsid w:val="00ED770F"/>
    <w:rsid w:val="00EE02A8"/>
    <w:rsid w:val="00EE3C56"/>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60155"/>
    <w:rsid w:val="00F60EFF"/>
    <w:rsid w:val="00F708A6"/>
    <w:rsid w:val="00F73053"/>
    <w:rsid w:val="00F8479C"/>
    <w:rsid w:val="00F84C25"/>
    <w:rsid w:val="00F87828"/>
    <w:rsid w:val="00F91C6C"/>
    <w:rsid w:val="00F95BFA"/>
    <w:rsid w:val="00FA29BD"/>
    <w:rsid w:val="00FA57B9"/>
    <w:rsid w:val="00FB221B"/>
    <w:rsid w:val="00FB7091"/>
    <w:rsid w:val="00FB74B0"/>
    <w:rsid w:val="00FC6C0F"/>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17B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3A4CE6"/>
    <w:pPr>
      <w:suppressAutoHyphens/>
      <w:spacing w:line="440" w:lineRule="exact"/>
    </w:pPr>
    <w:rPr>
      <w:rFonts w:ascii="Amnesty Trade Gothic Cn" w:eastAsia="MS Mincho" w:hAnsi="Amnesty Trade Gothic Cn"/>
      <w:bCs/>
      <w:caps/>
      <w:noProof/>
      <w:sz w:val="48"/>
      <w:szCs w:val="48"/>
      <w:lang w:val="en-US"/>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066FE6"/>
    <w:pPr>
      <w:keepNext/>
      <w:numPr>
        <w:numId w:val="29"/>
      </w:numPr>
      <w:tabs>
        <w:tab w:val="left" w:pos="567"/>
      </w:tabs>
      <w:suppressAutoHyphens/>
      <w:spacing w:before="480" w:line="420" w:lineRule="exact"/>
      <w:ind w:left="567" w:hanging="567"/>
      <w:contextualSpacing/>
      <w:outlineLvl w:val="0"/>
    </w:pPr>
    <w:rPr>
      <w:rFonts w:ascii="Amnesty Trade Gothic Cn" w:hAnsi="Amnesty Trade Gothic Cn" w:cs="Calibri"/>
      <w:b/>
      <w:caps/>
      <w:noProof/>
      <w:color w:val="auto"/>
      <w:sz w:val="40"/>
      <w:szCs w:val="22"/>
      <w:lang w:val="en-US"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val="en-US"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066FE6"/>
    <w:rPr>
      <w:rFonts w:ascii="Amnesty Trade Gothic Cn" w:hAnsi="Amnesty Trade Gothic Cn" w:cs="Calibri"/>
      <w:b/>
      <w:caps/>
      <w:noProof/>
      <w:color w:val="auto"/>
      <w:sz w:val="40"/>
      <w:szCs w:val="22"/>
      <w:lang w:val="en-US"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val="en-US"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moldova.europalibera.org/a/ministerul-sanatatii-a-interzis-avortul-medicamentos-prin-telemedicina-dupa-o-petitie-anti-avort/33298399.html" TargetMode="External"/><Relationship Id="rId3" Type="http://schemas.openxmlformats.org/officeDocument/2006/relationships/hyperlink" Target="https://rm.coe.int/grevio-s-baseline-evaluation-report-on-legislative-and-other-measures-/1680ad46a1" TargetMode="External"/><Relationship Id="rId7" Type="http://schemas.openxmlformats.org/officeDocument/2006/relationships/hyperlink" Target="https://rm.coe.int/grevio-s-baseline-evaluation-report-on-legislative-and-other-measures-/1680ad46a1" TargetMode="External"/><Relationship Id="rId12" Type="http://schemas.openxmlformats.org/officeDocument/2006/relationships/hyperlink" Target="https://afi.md/pic/uploaded/AFI%20-%20Raport_FSW.pdf" TargetMode="External"/><Relationship Id="rId2" Type="http://schemas.openxmlformats.org/officeDocument/2006/relationships/hyperlink" Target="https://rm.coe.int/grevio-s-baseline-evaluation-report-on-legislative-and-other-measures-/1680ad46a1" TargetMode="External"/><Relationship Id="rId1" Type="http://schemas.openxmlformats.org/officeDocument/2006/relationships/hyperlink" Target="https://rm.coe.int/grevio-s-baseline-evaluation-report-on-legislative-and-other-measures-/1680ad46a1" TargetMode="External"/><Relationship Id="rId6" Type="http://schemas.openxmlformats.org/officeDocument/2006/relationships/hyperlink" Target="https://parlament.md/material-details-md.nspx?param=81da8b57-3ea5-417b-9a6a-e4481dc716b2" TargetMode="External"/><Relationship Id="rId11" Type="http://schemas.openxmlformats.org/officeDocument/2006/relationships/hyperlink" Target="https://www.amnesty.org/en/latest/news/2016/05/amnesty-international-publishes-policy-and-research-on-protection-of-sex-workers-rights/" TargetMode="External"/><Relationship Id="rId5" Type="http://schemas.openxmlformats.org/officeDocument/2006/relationships/hyperlink" Target="https://rm.coe.int/grevio-s-baseline-evaluation-report-on-legislative-and-other-measures-/1680ad46a1" TargetMode="External"/><Relationship Id="rId10" Type="http://schemas.openxmlformats.org/officeDocument/2006/relationships/hyperlink" Target="https://moldova.europalibera.org/a/ong-urile-cer-ministerului-sanatatii-sa-anuleze-interdictia-privind-avortul-medicamentos-prin-telemedicina/33309348.html" TargetMode="External"/><Relationship Id="rId4" Type="http://schemas.openxmlformats.org/officeDocument/2006/relationships/hyperlink" Target="https://rm.coe.int/grevio-s-baseline-evaluation-report-on-legislative-and-other-measures-/1680ad46a1" TargetMode="External"/><Relationship Id="rId9" Type="http://schemas.openxmlformats.org/officeDocument/2006/relationships/hyperlink" Target="https://www.who.int/publications/i/item/WHO-SRH-22.1"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1952</Words>
  <Characters>11133</Characters>
  <Application>Microsoft Office Word</Application>
  <DocSecurity>0</DocSecurity>
  <Lines>92</Lines>
  <Paragraphs>26</Paragraphs>
  <ScaleCrop>false</ScaleCrop>
  <Company/>
  <LinksUpToDate>false</LinksUpToDate>
  <CharactersWithSpaces>13059</CharactersWithSpaces>
  <SharedDoc>false</SharedDoc>
  <HLinks>
    <vt:vector size="132" baseType="variant">
      <vt:variant>
        <vt:i4>1703996</vt:i4>
      </vt:variant>
      <vt:variant>
        <vt:i4>32</vt:i4>
      </vt:variant>
      <vt:variant>
        <vt:i4>0</vt:i4>
      </vt:variant>
      <vt:variant>
        <vt:i4>5</vt:i4>
      </vt:variant>
      <vt:variant>
        <vt:lpwstr/>
      </vt:variant>
      <vt:variant>
        <vt:lpwstr>_Toc198549188</vt:lpwstr>
      </vt:variant>
      <vt:variant>
        <vt:i4>1703996</vt:i4>
      </vt:variant>
      <vt:variant>
        <vt:i4>26</vt:i4>
      </vt:variant>
      <vt:variant>
        <vt:i4>0</vt:i4>
      </vt:variant>
      <vt:variant>
        <vt:i4>5</vt:i4>
      </vt:variant>
      <vt:variant>
        <vt:lpwstr/>
      </vt:variant>
      <vt:variant>
        <vt:lpwstr>_Toc198549187</vt:lpwstr>
      </vt:variant>
      <vt:variant>
        <vt:i4>1703996</vt:i4>
      </vt:variant>
      <vt:variant>
        <vt:i4>20</vt:i4>
      </vt:variant>
      <vt:variant>
        <vt:i4>0</vt:i4>
      </vt:variant>
      <vt:variant>
        <vt:i4>5</vt:i4>
      </vt:variant>
      <vt:variant>
        <vt:lpwstr/>
      </vt:variant>
      <vt:variant>
        <vt:lpwstr>_Toc198549186</vt:lpwstr>
      </vt:variant>
      <vt:variant>
        <vt:i4>1703996</vt:i4>
      </vt:variant>
      <vt:variant>
        <vt:i4>14</vt:i4>
      </vt:variant>
      <vt:variant>
        <vt:i4>0</vt:i4>
      </vt:variant>
      <vt:variant>
        <vt:i4>5</vt:i4>
      </vt:variant>
      <vt:variant>
        <vt:lpwstr/>
      </vt:variant>
      <vt:variant>
        <vt:lpwstr>_Toc198549185</vt:lpwstr>
      </vt:variant>
      <vt:variant>
        <vt:i4>1703996</vt:i4>
      </vt:variant>
      <vt:variant>
        <vt:i4>8</vt:i4>
      </vt:variant>
      <vt:variant>
        <vt:i4>0</vt:i4>
      </vt:variant>
      <vt:variant>
        <vt:i4>5</vt:i4>
      </vt:variant>
      <vt:variant>
        <vt:lpwstr/>
      </vt:variant>
      <vt:variant>
        <vt:lpwstr>_Toc198549184</vt:lpwstr>
      </vt:variant>
      <vt:variant>
        <vt:i4>1703996</vt:i4>
      </vt:variant>
      <vt:variant>
        <vt:i4>2</vt:i4>
      </vt:variant>
      <vt:variant>
        <vt:i4>0</vt:i4>
      </vt:variant>
      <vt:variant>
        <vt:i4>5</vt:i4>
      </vt:variant>
      <vt:variant>
        <vt:lpwstr/>
      </vt:variant>
      <vt:variant>
        <vt:lpwstr>_Toc198549183</vt:lpwstr>
      </vt:variant>
      <vt:variant>
        <vt:i4>458848</vt:i4>
      </vt:variant>
      <vt:variant>
        <vt:i4>36</vt:i4>
      </vt:variant>
      <vt:variant>
        <vt:i4>0</vt:i4>
      </vt:variant>
      <vt:variant>
        <vt:i4>5</vt:i4>
      </vt:variant>
      <vt:variant>
        <vt:lpwstr>https://afi.md/pic/uploaded/AFI - Raport_FSW.pdf</vt:lpwstr>
      </vt:variant>
      <vt:variant>
        <vt:lpwstr/>
      </vt:variant>
      <vt:variant>
        <vt:i4>6946928</vt:i4>
      </vt:variant>
      <vt:variant>
        <vt:i4>33</vt:i4>
      </vt:variant>
      <vt:variant>
        <vt:i4>0</vt:i4>
      </vt:variant>
      <vt:variant>
        <vt:i4>5</vt:i4>
      </vt:variant>
      <vt:variant>
        <vt:lpwstr>https://www.amnesty.org/en/latest/news/2016/05/amnesty-international-publishes-policy-and-research-on-protection-of-sex-workers-rights/</vt:lpwstr>
      </vt:variant>
      <vt:variant>
        <vt:lpwstr/>
      </vt:variant>
      <vt:variant>
        <vt:i4>2949239</vt:i4>
      </vt:variant>
      <vt:variant>
        <vt:i4>30</vt:i4>
      </vt:variant>
      <vt:variant>
        <vt:i4>0</vt:i4>
      </vt:variant>
      <vt:variant>
        <vt:i4>5</vt:i4>
      </vt:variant>
      <vt:variant>
        <vt:lpwstr>https://moldova.europalibera.org/a/ong-urile-cer-ministerului-sanatatii-sa-anuleze-interdictia-privind-avortul-medicamentos-prin-telemedicina/33309348.html</vt:lpwstr>
      </vt:variant>
      <vt:variant>
        <vt:lpwstr/>
      </vt:variant>
      <vt:variant>
        <vt:i4>917598</vt:i4>
      </vt:variant>
      <vt:variant>
        <vt:i4>27</vt:i4>
      </vt:variant>
      <vt:variant>
        <vt:i4>0</vt:i4>
      </vt:variant>
      <vt:variant>
        <vt:i4>5</vt:i4>
      </vt:variant>
      <vt:variant>
        <vt:lpwstr>https://www.who.int/publications/i/item/WHO-SRH-22.1</vt:lpwstr>
      </vt:variant>
      <vt:variant>
        <vt:lpwstr/>
      </vt:variant>
      <vt:variant>
        <vt:i4>1179716</vt:i4>
      </vt:variant>
      <vt:variant>
        <vt:i4>24</vt:i4>
      </vt:variant>
      <vt:variant>
        <vt:i4>0</vt:i4>
      </vt:variant>
      <vt:variant>
        <vt:i4>5</vt:i4>
      </vt:variant>
      <vt:variant>
        <vt:lpwstr>https://moldova.europalibera.org/a/ministerul-sanatatii-a-interzis-avortul-medicamentos-prin-telemedicina-dupa-o-petitie-anti-avort/33298399.html</vt:lpwstr>
      </vt:variant>
      <vt:variant>
        <vt:lpwstr/>
      </vt:variant>
      <vt:variant>
        <vt:i4>1179676</vt:i4>
      </vt:variant>
      <vt:variant>
        <vt:i4>21</vt:i4>
      </vt:variant>
      <vt:variant>
        <vt:i4>0</vt:i4>
      </vt:variant>
      <vt:variant>
        <vt:i4>5</vt:i4>
      </vt:variant>
      <vt:variant>
        <vt:lpwstr>https://rm.coe.int/grevio-s-baseline-evaluation-report-on-legislative-and-other-measures-/1680ad46a1</vt:lpwstr>
      </vt:variant>
      <vt:variant>
        <vt:lpwstr/>
      </vt:variant>
      <vt:variant>
        <vt:i4>2031630</vt:i4>
      </vt:variant>
      <vt:variant>
        <vt:i4>18</vt:i4>
      </vt:variant>
      <vt:variant>
        <vt:i4>0</vt:i4>
      </vt:variant>
      <vt:variant>
        <vt:i4>5</vt:i4>
      </vt:variant>
      <vt:variant>
        <vt:lpwstr>https://parlament.md/material-details-md.nspx?param=81da8b57-3ea5-417b-9a6a-e4481dc716b2</vt:lpwstr>
      </vt:variant>
      <vt:variant>
        <vt:lpwstr/>
      </vt:variant>
      <vt:variant>
        <vt:i4>1441824</vt:i4>
      </vt:variant>
      <vt:variant>
        <vt:i4>15</vt:i4>
      </vt:variant>
      <vt:variant>
        <vt:i4>0</vt:i4>
      </vt:variant>
      <vt:variant>
        <vt:i4>5</vt:i4>
      </vt:variant>
      <vt:variant>
        <vt:lpwstr>https://social.gov.md/wp-content/uploads/2024/07/RAPORT-de-compatibilitate-2024.iulie_.pdf</vt:lpwstr>
      </vt:variant>
      <vt:variant>
        <vt:lpwstr/>
      </vt:variant>
      <vt:variant>
        <vt:i4>1179676</vt:i4>
      </vt:variant>
      <vt:variant>
        <vt:i4>10</vt:i4>
      </vt:variant>
      <vt:variant>
        <vt:i4>0</vt:i4>
      </vt:variant>
      <vt:variant>
        <vt:i4>5</vt:i4>
      </vt:variant>
      <vt:variant>
        <vt:lpwstr>https://rm.coe.int/grevio-s-baseline-evaluation-report-on-legislative-and-other-measures-/1680ad46a1</vt:lpwstr>
      </vt:variant>
      <vt:variant>
        <vt:lpwstr/>
      </vt:variant>
      <vt:variant>
        <vt:i4>1179676</vt:i4>
      </vt:variant>
      <vt:variant>
        <vt:i4>8</vt:i4>
      </vt:variant>
      <vt:variant>
        <vt:i4>0</vt:i4>
      </vt:variant>
      <vt:variant>
        <vt:i4>5</vt:i4>
      </vt:variant>
      <vt:variant>
        <vt:lpwstr>https://rm.coe.int/grevio-s-baseline-evaluation-report-on-legislative-and-other-measures-/1680ad46a1</vt:lpwstr>
      </vt:variant>
      <vt:variant>
        <vt:lpwstr/>
      </vt:variant>
      <vt:variant>
        <vt:i4>1179676</vt:i4>
      </vt:variant>
      <vt:variant>
        <vt:i4>6</vt:i4>
      </vt:variant>
      <vt:variant>
        <vt:i4>0</vt:i4>
      </vt:variant>
      <vt:variant>
        <vt:i4>5</vt:i4>
      </vt:variant>
      <vt:variant>
        <vt:lpwstr>https://rm.coe.int/grevio-s-baseline-evaluation-report-on-legislative-and-other-measures-/1680ad46a1</vt:lpwstr>
      </vt:variant>
      <vt:variant>
        <vt:lpwstr/>
      </vt:variant>
      <vt:variant>
        <vt:i4>1179676</vt:i4>
      </vt:variant>
      <vt:variant>
        <vt:i4>2</vt:i4>
      </vt:variant>
      <vt:variant>
        <vt:i4>0</vt:i4>
      </vt:variant>
      <vt:variant>
        <vt:i4>5</vt:i4>
      </vt:variant>
      <vt:variant>
        <vt:lpwstr>https://rm.coe.int/grevio-s-baseline-evaluation-report-on-legislative-and-other-measures-/1680ad46a1</vt:lpwstr>
      </vt:variant>
      <vt:variant>
        <vt:lpwstr/>
      </vt:variant>
      <vt:variant>
        <vt:i4>1179676</vt:i4>
      </vt:variant>
      <vt:variant>
        <vt:i4>0</vt:i4>
      </vt:variant>
      <vt:variant>
        <vt:i4>0</vt:i4>
      </vt:variant>
      <vt:variant>
        <vt:i4>5</vt:i4>
      </vt:variant>
      <vt:variant>
        <vt:lpwstr>https://rm.coe.int/grevio-s-baseline-evaluation-report-on-legislative-and-other-measures-/1680ad46a1</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2025-05-19T10:26:00Z</dcterms:created>
  <dcterms:modified xsi:type="dcterms:W3CDTF">2025-05-19T10:26:00Z</dcterms:modified>
</cp:coreProperties>
</file>