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0B4C5424" w:rsidR="002E5F76" w:rsidRPr="009069DB" w:rsidRDefault="006A0E73"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9264" behindDoc="0" locked="0" layoutInCell="1" allowOverlap="1" wp14:anchorId="3ACED689" wp14:editId="5B9845BB">
            <wp:simplePos x="0" y="0"/>
            <wp:positionH relativeFrom="column">
              <wp:posOffset>3876002</wp:posOffset>
            </wp:positionH>
            <wp:positionV relativeFrom="paragraph">
              <wp:posOffset>104140</wp:posOffset>
            </wp:positionV>
            <wp:extent cx="2581910" cy="75057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581910" cy="750570"/>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DC3CF8">
        <w:rPr>
          <w:rFonts w:eastAsia="Times New Roman" w:cstheme="minorHAnsi"/>
          <w:b/>
          <w:sz w:val="44"/>
          <w:szCs w:val="44"/>
          <w:lang w:val="en-GB"/>
        </w:rPr>
        <w:t>South Africa</w:t>
      </w:r>
      <w:r w:rsidR="004D437A">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66D1B42A" w14:textId="4D6E9B02" w:rsidR="00425DEE" w:rsidRPr="009D7A6C" w:rsidRDefault="00A32609" w:rsidP="00425DEE">
      <w:pPr>
        <w:spacing w:after="120"/>
        <w:rPr>
          <w:rFonts w:eastAsia="Times New Roman" w:cstheme="minorHAnsi"/>
          <w:b/>
          <w:sz w:val="24"/>
          <w:szCs w:val="24"/>
          <w:lang w:val="en-GB"/>
        </w:rPr>
      </w:pPr>
      <w:r w:rsidRPr="009069DB">
        <w:rPr>
          <w:rFonts w:eastAsia="Times New Roman" w:cstheme="minorHAnsi"/>
          <w:b/>
          <w:sz w:val="24"/>
          <w:szCs w:val="24"/>
          <w:lang w:val="en-GB"/>
        </w:rPr>
        <w:t xml:space="preserve">Information for the Committee on the Elimination of Discrimination Against Women, Pre-Sessional </w:t>
      </w:r>
      <w:r>
        <w:rPr>
          <w:rFonts w:eastAsia="Times New Roman" w:cstheme="minorHAnsi"/>
          <w:b/>
          <w:sz w:val="24"/>
          <w:szCs w:val="24"/>
          <w:lang w:val="en-GB"/>
        </w:rPr>
        <w:t>Working Group for the 77</w:t>
      </w:r>
      <w:r w:rsidRPr="00474522">
        <w:rPr>
          <w:rFonts w:eastAsia="Times New Roman" w:cstheme="minorHAnsi"/>
          <w:b/>
          <w:sz w:val="24"/>
          <w:szCs w:val="24"/>
          <w:vertAlign w:val="superscript"/>
          <w:lang w:val="en-GB"/>
        </w:rPr>
        <w:t>th</w:t>
      </w:r>
      <w:r>
        <w:rPr>
          <w:rFonts w:eastAsia="Times New Roman" w:cstheme="minorHAnsi"/>
          <w:b/>
          <w:sz w:val="24"/>
          <w:szCs w:val="24"/>
          <w:lang w:val="en-GB"/>
        </w:rPr>
        <w:t xml:space="preserve"> </w:t>
      </w:r>
      <w:r w:rsidRPr="009069DB">
        <w:rPr>
          <w:rFonts w:eastAsia="Times New Roman" w:cstheme="minorHAnsi"/>
          <w:b/>
          <w:sz w:val="24"/>
          <w:szCs w:val="24"/>
          <w:lang w:val="en-GB"/>
        </w:rPr>
        <w:t xml:space="preserve">session, </w:t>
      </w:r>
      <w:r>
        <w:rPr>
          <w:rFonts w:eastAsia="Times New Roman" w:cstheme="minorHAnsi"/>
          <w:b/>
          <w:sz w:val="24"/>
          <w:szCs w:val="24"/>
          <w:lang w:val="en-GB"/>
        </w:rPr>
        <w:br/>
      </w:r>
      <w:r w:rsidRPr="007767B7">
        <w:rPr>
          <w:rFonts w:eastAsia="Times New Roman" w:cstheme="minorHAnsi"/>
          <w:i/>
          <w:sz w:val="23"/>
          <w:szCs w:val="23"/>
          <w:lang w:val="en-GB"/>
        </w:rPr>
        <w:t>from the Global Initiative to End All Corporal Punishment of Children (</w:t>
      </w:r>
      <w:hyperlink r:id="rId12" w:history="1">
        <w:r w:rsidRPr="007767B7">
          <w:rPr>
            <w:rStyle w:val="Hyperlink"/>
            <w:rFonts w:eastAsia="Times New Roman" w:cstheme="minorHAnsi"/>
            <w:i/>
            <w:color w:val="0096A3"/>
            <w:sz w:val="23"/>
            <w:szCs w:val="23"/>
            <w:lang w:val="en-GB"/>
          </w:rPr>
          <w:t>www.endcorporalpunishment.org</w:t>
        </w:r>
      </w:hyperlink>
      <w:r w:rsidRPr="007767B7">
        <w:rPr>
          <w:rFonts w:eastAsia="Times New Roman" w:cstheme="minorHAnsi"/>
          <w:i/>
          <w:sz w:val="23"/>
          <w:szCs w:val="23"/>
          <w:lang w:val="en-GB"/>
        </w:rPr>
        <w:t>), January 202</w:t>
      </w:r>
      <w:r>
        <w:rPr>
          <w:rFonts w:eastAsia="Times New Roman" w:cstheme="minorHAnsi"/>
          <w:i/>
          <w:sz w:val="23"/>
          <w:szCs w:val="23"/>
          <w:lang w:val="en-GB"/>
        </w:rPr>
        <w:t>0</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77C8674B" w14:textId="1798A4A3" w:rsidR="00CD48B3" w:rsidRPr="00CD48B3" w:rsidRDefault="00CD48B3" w:rsidP="00CD48B3">
      <w:pPr>
        <w:spacing w:after="120"/>
        <w:rPr>
          <w:rFonts w:eastAsia="Times New Roman" w:cstheme="minorHAnsi"/>
          <w:sz w:val="26"/>
          <w:szCs w:val="26"/>
          <w:lang w:val="en-GB"/>
        </w:rPr>
      </w:pPr>
      <w:r w:rsidRPr="00CD48B3">
        <w:rPr>
          <w:rFonts w:eastAsia="Times New Roman" w:cstheme="minorHAnsi"/>
          <w:sz w:val="26"/>
          <w:szCs w:val="26"/>
          <w:lang w:val="en-GB"/>
        </w:rPr>
        <w:t xml:space="preserve">This briefing provides an update on </w:t>
      </w:r>
      <w:r w:rsidR="00DC3CF8">
        <w:rPr>
          <w:rFonts w:eastAsia="Times New Roman" w:cstheme="minorHAnsi"/>
          <w:sz w:val="26"/>
          <w:szCs w:val="26"/>
          <w:lang w:val="en-GB"/>
        </w:rPr>
        <w:t>South Africa</w:t>
      </w:r>
      <w:r w:rsidRPr="00CD48B3">
        <w:rPr>
          <w:rFonts w:eastAsia="Times New Roman" w:cstheme="minorHAnsi"/>
          <w:sz w:val="26"/>
          <w:szCs w:val="26"/>
          <w:lang w:val="en-GB"/>
        </w:rPr>
        <w:t xml:space="preserve"> in light of </w:t>
      </w:r>
      <w:r w:rsidR="00CA6CBF">
        <w:rPr>
          <w:rFonts w:eastAsia="Times New Roman" w:cstheme="minorHAnsi"/>
          <w:sz w:val="26"/>
          <w:szCs w:val="26"/>
          <w:lang w:val="en-GB"/>
        </w:rPr>
        <w:t xml:space="preserve">the </w:t>
      </w:r>
      <w:r w:rsidR="00DC3CF8">
        <w:rPr>
          <w:rFonts w:eastAsia="Times New Roman" w:cstheme="minorHAnsi"/>
          <w:sz w:val="26"/>
          <w:szCs w:val="26"/>
          <w:lang w:val="en-GB"/>
        </w:rPr>
        <w:t xml:space="preserve">recent decision by the </w:t>
      </w:r>
      <w:r w:rsidR="00DC3CF8" w:rsidRPr="00DC3CF8">
        <w:rPr>
          <w:rFonts w:eastAsia="Times New Roman" w:cstheme="minorHAnsi"/>
          <w:sz w:val="26"/>
          <w:szCs w:val="26"/>
          <w:lang w:val="en-GB"/>
        </w:rPr>
        <w:t xml:space="preserve">Constitutional Court which found the common law defence of “reasonable or moderate chastisement” </w:t>
      </w:r>
      <w:r w:rsidR="00AA4D02">
        <w:rPr>
          <w:rFonts w:eastAsia="Times New Roman" w:cstheme="minorHAnsi"/>
          <w:sz w:val="26"/>
          <w:szCs w:val="26"/>
          <w:lang w:val="en-GB"/>
        </w:rPr>
        <w:t xml:space="preserve">of children </w:t>
      </w:r>
      <w:r w:rsidR="00DC3CF8" w:rsidRPr="00DC3CF8">
        <w:rPr>
          <w:rFonts w:eastAsia="Times New Roman" w:cstheme="minorHAnsi"/>
          <w:sz w:val="26"/>
          <w:szCs w:val="26"/>
          <w:lang w:val="en-GB"/>
        </w:rPr>
        <w:t>to be unconstitutional</w:t>
      </w:r>
      <w:r w:rsidR="00CA6CBF">
        <w:rPr>
          <w:rFonts w:eastAsia="Times New Roman" w:cstheme="minorHAnsi"/>
          <w:sz w:val="26"/>
          <w:szCs w:val="26"/>
          <w:lang w:val="en-GB"/>
        </w:rPr>
        <w:t>.</w:t>
      </w:r>
    </w:p>
    <w:p w14:paraId="64A3B347" w14:textId="24FA99B9" w:rsidR="00CA6CBF" w:rsidRPr="00CA6CBF" w:rsidRDefault="00FE12B6" w:rsidP="00CA6CBF">
      <w:pPr>
        <w:spacing w:after="120"/>
        <w:rPr>
          <w:rFonts w:eastAsia="Times New Roman" w:cstheme="minorHAnsi"/>
          <w:b/>
          <w:sz w:val="26"/>
          <w:szCs w:val="26"/>
          <w:lang w:val="en-GB"/>
        </w:rPr>
      </w:pPr>
      <w:r w:rsidRPr="009069DB">
        <w:rPr>
          <w:rFonts w:eastAsia="Times New Roman" w:cstheme="minorHAnsi"/>
          <w:b/>
          <w:sz w:val="26"/>
          <w:szCs w:val="26"/>
          <w:lang w:val="en-GB"/>
        </w:rPr>
        <w:t xml:space="preserve">We hope the Committee on the Elimination of Discrimination Against Women will </w:t>
      </w:r>
      <w:r w:rsidR="00CA6CBF">
        <w:rPr>
          <w:rFonts w:eastAsia="Times New Roman" w:cstheme="minorHAnsi"/>
          <w:b/>
          <w:sz w:val="26"/>
          <w:szCs w:val="26"/>
          <w:lang w:val="en-GB"/>
        </w:rPr>
        <w:t xml:space="preserve">welcome </w:t>
      </w:r>
      <w:r w:rsidR="000E2E6B">
        <w:rPr>
          <w:rFonts w:eastAsia="Times New Roman" w:cstheme="minorHAnsi"/>
          <w:b/>
          <w:sz w:val="26"/>
          <w:szCs w:val="26"/>
          <w:lang w:val="en-GB"/>
        </w:rPr>
        <w:t xml:space="preserve">this decision which </w:t>
      </w:r>
      <w:r w:rsidR="000E2E6B" w:rsidRPr="000E2E6B">
        <w:rPr>
          <w:rFonts w:eastAsia="Times New Roman" w:cstheme="minorHAnsi"/>
          <w:b/>
          <w:sz w:val="26"/>
          <w:szCs w:val="26"/>
          <w:lang w:val="en-GB"/>
        </w:rPr>
        <w:t>effectively banned the use of all corporal punishment in the home</w:t>
      </w:r>
      <w:r w:rsidR="00CA6CBF">
        <w:rPr>
          <w:rFonts w:eastAsia="Times New Roman" w:cstheme="minorHAnsi"/>
          <w:b/>
          <w:sz w:val="26"/>
          <w:szCs w:val="26"/>
          <w:lang w:val="en-GB"/>
        </w:rPr>
        <w:t xml:space="preserve"> in its examination of </w:t>
      </w:r>
      <w:r w:rsidR="000E2E6B">
        <w:rPr>
          <w:rFonts w:eastAsia="Times New Roman" w:cstheme="minorHAnsi"/>
          <w:b/>
          <w:sz w:val="26"/>
          <w:szCs w:val="26"/>
          <w:lang w:val="en-GB"/>
        </w:rPr>
        <w:t>South Africa</w:t>
      </w:r>
      <w:r w:rsidR="00FA74E2" w:rsidRPr="009069DB">
        <w:rPr>
          <w:rFonts w:eastAsia="Times New Roman" w:cstheme="minorHAnsi"/>
          <w:b/>
          <w:sz w:val="26"/>
          <w:szCs w:val="26"/>
          <w:lang w:val="en-GB"/>
        </w:rPr>
        <w:t xml:space="preserve">. </w:t>
      </w:r>
      <w:r w:rsidR="00CA6CBF">
        <w:rPr>
          <w:rFonts w:eastAsia="Times New Roman" w:cstheme="minorHAnsi"/>
          <w:b/>
          <w:sz w:val="26"/>
          <w:szCs w:val="26"/>
          <w:lang w:val="en-GB"/>
        </w:rPr>
        <w:t>We further</w:t>
      </w:r>
      <w:r w:rsidR="00FA74E2" w:rsidRPr="009069DB">
        <w:rPr>
          <w:rFonts w:eastAsia="Times New Roman" w:cstheme="minorHAnsi"/>
          <w:b/>
          <w:sz w:val="26"/>
          <w:szCs w:val="26"/>
          <w:lang w:val="en-GB"/>
        </w:rPr>
        <w:t xml:space="preserve"> hope the Committee will</w:t>
      </w:r>
      <w:r w:rsidR="00CD48B3">
        <w:rPr>
          <w:rFonts w:eastAsia="Times New Roman" w:cstheme="minorHAnsi"/>
          <w:b/>
          <w:sz w:val="26"/>
          <w:szCs w:val="26"/>
          <w:lang w:val="en-GB"/>
        </w:rPr>
        <w:t>,</w:t>
      </w:r>
      <w:r w:rsidR="00CD48B3" w:rsidRPr="00131E4B">
        <w:rPr>
          <w:rFonts w:eastAsia="Times New Roman" w:cstheme="minorHAnsi"/>
          <w:b/>
          <w:sz w:val="26"/>
          <w:szCs w:val="26"/>
          <w:lang w:val="en-GB"/>
        </w:rPr>
        <w:t xml:space="preserve"> </w:t>
      </w:r>
      <w:r w:rsidR="00FA74E2"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0E2E6B">
        <w:rPr>
          <w:rFonts w:eastAsia="Times New Roman" w:cstheme="minorHAnsi"/>
          <w:b/>
          <w:sz w:val="26"/>
          <w:szCs w:val="26"/>
          <w:lang w:val="en-GB"/>
        </w:rPr>
        <w:t>fifth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00FA74E2" w:rsidRPr="00131E4B">
        <w:rPr>
          <w:rFonts w:eastAsia="Times New Roman" w:cstheme="minorHAnsi"/>
          <w:b/>
          <w:sz w:val="26"/>
          <w:szCs w:val="26"/>
          <w:lang w:val="en-GB"/>
        </w:rPr>
        <w:t xml:space="preserve">, recommend that </w:t>
      </w:r>
      <w:r w:rsidR="000E2E6B">
        <w:rPr>
          <w:rFonts w:eastAsia="Times New Roman" w:cstheme="minorHAnsi"/>
          <w:b/>
          <w:sz w:val="26"/>
          <w:szCs w:val="26"/>
          <w:lang w:val="en-GB"/>
        </w:rPr>
        <w:t>South Africa</w:t>
      </w:r>
      <w:r w:rsidR="00FA74E2" w:rsidRPr="00131E4B">
        <w:rPr>
          <w:rFonts w:eastAsia="Times New Roman" w:cstheme="minorHAnsi"/>
          <w:b/>
          <w:sz w:val="26"/>
          <w:szCs w:val="26"/>
          <w:lang w:val="en-GB"/>
        </w:rPr>
        <w:t xml:space="preserve"> ensure that </w:t>
      </w:r>
      <w:r w:rsidR="00FA74E2" w:rsidRPr="00131E4B">
        <w:rPr>
          <w:rFonts w:eastAsia="Times New Roman" w:cstheme="minorHAnsi"/>
          <w:b/>
          <w:i/>
          <w:sz w:val="26"/>
          <w:szCs w:val="26"/>
          <w:lang w:val="en-GB"/>
        </w:rPr>
        <w:t>no</w:t>
      </w:r>
      <w:r w:rsidR="00FA74E2" w:rsidRPr="00131E4B">
        <w:rPr>
          <w:rFonts w:eastAsia="Times New Roman" w:cstheme="minorHAnsi"/>
          <w:b/>
          <w:sz w:val="26"/>
          <w:szCs w:val="26"/>
          <w:lang w:val="en-GB"/>
        </w:rPr>
        <w:t xml:space="preserve"> form of violence within the domestic sphere is condoned, including by parents against their children,</w:t>
      </w:r>
      <w:r w:rsidR="000E2E6B">
        <w:rPr>
          <w:rFonts w:eastAsia="Times New Roman" w:cstheme="minorHAnsi"/>
          <w:b/>
          <w:sz w:val="26"/>
          <w:szCs w:val="26"/>
          <w:lang w:val="en-GB"/>
        </w:rPr>
        <w:t xml:space="preserve"> by enacting the </w:t>
      </w:r>
      <w:r w:rsidR="000E2E6B" w:rsidRPr="000E2E6B">
        <w:rPr>
          <w:rFonts w:eastAsia="Times New Roman" w:cstheme="minorHAnsi"/>
          <w:b/>
          <w:sz w:val="26"/>
          <w:szCs w:val="26"/>
          <w:lang w:val="en-GB"/>
        </w:rPr>
        <w:t>Children’s Third Amendment Bill</w:t>
      </w:r>
      <w:r w:rsidR="000E2E6B">
        <w:rPr>
          <w:rFonts w:eastAsia="Times New Roman" w:cstheme="minorHAnsi"/>
          <w:b/>
          <w:sz w:val="26"/>
          <w:szCs w:val="26"/>
          <w:lang w:val="en-GB"/>
        </w:rPr>
        <w:t xml:space="preserve"> to clearly confirm the ban in legislation, </w:t>
      </w:r>
      <w:r w:rsidR="00CA6CBF" w:rsidRPr="00CA6CBF">
        <w:rPr>
          <w:rFonts w:eastAsia="Times New Roman" w:cstheme="minorHAnsi"/>
          <w:b/>
          <w:sz w:val="26"/>
          <w:szCs w:val="26"/>
          <w:lang w:val="en-GB"/>
        </w:rPr>
        <w:t>ensur</w:t>
      </w:r>
      <w:r w:rsidR="000E2E6B">
        <w:rPr>
          <w:rFonts w:eastAsia="Times New Roman" w:cstheme="minorHAnsi"/>
          <w:b/>
          <w:sz w:val="26"/>
          <w:szCs w:val="26"/>
          <w:lang w:val="en-GB"/>
        </w:rPr>
        <w:t>ing</w:t>
      </w:r>
      <w:r w:rsidR="00CA6CBF" w:rsidRPr="00CA6CBF">
        <w:rPr>
          <w:rFonts w:eastAsia="Times New Roman" w:cstheme="minorHAnsi"/>
          <w:b/>
          <w:sz w:val="26"/>
          <w:szCs w:val="26"/>
          <w:lang w:val="en-GB"/>
        </w:rPr>
        <w:t xml:space="preserve"> that the prohibition of corporal punishment is adequately monitored and enforced in all settings</w:t>
      </w:r>
      <w:r w:rsidR="00CA6CBF">
        <w:rPr>
          <w:rFonts w:eastAsia="Times New Roman" w:cstheme="minorHAnsi"/>
          <w:b/>
          <w:sz w:val="26"/>
          <w:szCs w:val="26"/>
          <w:lang w:val="en-GB"/>
        </w:rPr>
        <w:t xml:space="preserve">, and </w:t>
      </w:r>
      <w:r w:rsidR="000E2E6B">
        <w:rPr>
          <w:rFonts w:eastAsia="Times New Roman" w:cstheme="minorHAnsi"/>
          <w:b/>
          <w:sz w:val="26"/>
          <w:szCs w:val="26"/>
          <w:lang w:val="en-GB"/>
        </w:rPr>
        <w:t xml:space="preserve">promoting </w:t>
      </w:r>
      <w:r w:rsidR="00CA6CBF" w:rsidRPr="00CA6CBF">
        <w:rPr>
          <w:rFonts w:eastAsia="Times New Roman" w:cstheme="minorHAnsi"/>
          <w:b/>
          <w:sz w:val="26"/>
          <w:szCs w:val="26"/>
          <w:lang w:val="en-GB"/>
        </w:rPr>
        <w:t>positive, non-violent and participatory forms of child rearing and discipline through awareness campaigns</w:t>
      </w:r>
      <w:r w:rsidR="00CA6CBF">
        <w:rPr>
          <w:rFonts w:eastAsia="Times New Roman" w:cstheme="minorHAnsi"/>
          <w:b/>
          <w:sz w:val="26"/>
          <w:szCs w:val="26"/>
          <w:lang w:val="en-GB"/>
        </w:rPr>
        <w:t xml:space="preserve"> and training programmes.</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12AA8077" w14:textId="1B85A44F" w:rsidR="001A344C" w:rsidRPr="00CD48B3" w:rsidRDefault="002A4484" w:rsidP="00CD48B3">
      <w:pPr>
        <w:spacing w:after="120"/>
        <w:ind w:left="482" w:hanging="482"/>
        <w:rPr>
          <w:rFonts w:eastAsia="Times New Roman" w:cstheme="minorHAnsi"/>
          <w:sz w:val="24"/>
          <w:szCs w:val="24"/>
          <w:lang w:val="en-GB"/>
        </w:rPr>
      </w:pPr>
      <w:r w:rsidRPr="009069DB">
        <w:rPr>
          <w:rFonts w:eastAsia="Times New Roman" w:cstheme="minorHAnsi"/>
          <w:b/>
          <w:sz w:val="26"/>
          <w:szCs w:val="26"/>
          <w:lang w:val="en-GB"/>
        </w:rPr>
        <w:t>1</w:t>
      </w:r>
      <w:r w:rsidR="001A344C" w:rsidRPr="009069DB">
        <w:rPr>
          <w:rFonts w:eastAsia="Times New Roman" w:cstheme="minorHAnsi"/>
          <w:b/>
          <w:sz w:val="26"/>
          <w:szCs w:val="26"/>
          <w:lang w:val="en-GB"/>
        </w:rPr>
        <w:t xml:space="preserve"> </w:t>
      </w:r>
      <w:r w:rsidR="00CA6CBF">
        <w:rPr>
          <w:rFonts w:eastAsia="Times New Roman" w:cstheme="minorHAnsi"/>
          <w:b/>
          <w:sz w:val="26"/>
          <w:szCs w:val="26"/>
          <w:lang w:val="en-GB"/>
        </w:rPr>
        <w:t xml:space="preserve">The prohibition of all corporal punishment in </w:t>
      </w:r>
      <w:r w:rsidR="00DC3CF8">
        <w:rPr>
          <w:rFonts w:eastAsia="Times New Roman" w:cstheme="minorHAnsi"/>
          <w:b/>
          <w:sz w:val="26"/>
          <w:szCs w:val="26"/>
          <w:lang w:val="en-GB"/>
        </w:rPr>
        <w:t>South Africa</w:t>
      </w:r>
      <w:r w:rsidR="003F1E3C">
        <w:rPr>
          <w:rFonts w:eastAsia="Times New Roman" w:cstheme="minorHAnsi"/>
          <w:b/>
          <w:sz w:val="26"/>
          <w:szCs w:val="26"/>
          <w:lang w:val="en-GB"/>
        </w:rPr>
        <w:t xml:space="preserve"> </w:t>
      </w:r>
    </w:p>
    <w:p w14:paraId="170959D7" w14:textId="3878C863" w:rsidR="00DC3CF8" w:rsidRPr="00DC3CF8" w:rsidRDefault="00A86EC8" w:rsidP="00DC3CF8">
      <w:pPr>
        <w:spacing w:after="120"/>
        <w:ind w:left="482" w:hanging="482"/>
        <w:rPr>
          <w:rFonts w:eastAsia="Times New Roman" w:cstheme="minorHAnsi"/>
          <w:sz w:val="24"/>
          <w:szCs w:val="24"/>
          <w:lang w:val="en-GB"/>
        </w:rPr>
      </w:pPr>
      <w:r>
        <w:rPr>
          <w:rFonts w:eastAsia="Times New Roman" w:cstheme="minorHAnsi"/>
          <w:sz w:val="24"/>
          <w:szCs w:val="24"/>
          <w:lang w:val="en-GB"/>
        </w:rPr>
        <w:t xml:space="preserve">1.1 </w:t>
      </w:r>
      <w:r w:rsidR="00DC3CF8" w:rsidRPr="00DC3CF8">
        <w:rPr>
          <w:rFonts w:eastAsia="Times New Roman" w:cstheme="minorHAnsi"/>
          <w:sz w:val="24"/>
          <w:szCs w:val="24"/>
          <w:lang w:val="en-GB"/>
        </w:rPr>
        <w:t>In September 2019, the Constitutional Court confirmed a 2017 decision by the High Court of Gauteng which had found the common law defence of “reasonable or moderate chastisement” to be unconstitutional under articles 10 and 12(1)(c) of the Constitution.</w:t>
      </w:r>
      <w:r w:rsidR="00DC3CF8" w:rsidRPr="00DC3CF8">
        <w:rPr>
          <w:rFonts w:eastAsia="Times New Roman" w:cstheme="minorHAnsi"/>
          <w:sz w:val="24"/>
          <w:szCs w:val="24"/>
          <w:vertAlign w:val="superscript"/>
          <w:lang w:val="en-GB"/>
        </w:rPr>
        <w:footnoteReference w:id="1"/>
      </w:r>
      <w:r w:rsidR="00DC3CF8" w:rsidRPr="00DC3CF8">
        <w:rPr>
          <w:rFonts w:eastAsia="Times New Roman" w:cstheme="minorHAnsi"/>
          <w:sz w:val="24"/>
          <w:szCs w:val="24"/>
          <w:lang w:val="en-GB"/>
        </w:rPr>
        <w:t xml:space="preserve"> Previously, common law recognised parents’ power “to inflict moderate and reasonable chastisement on a child for misconduct provided that this was not done in a manner offensive to good morals or for objects other than correction and admonition”.</w:t>
      </w:r>
      <w:r w:rsidR="00DC3CF8" w:rsidRPr="00DC3CF8">
        <w:rPr>
          <w:rFonts w:eastAsia="Times New Roman" w:cstheme="minorHAnsi"/>
          <w:sz w:val="24"/>
          <w:szCs w:val="24"/>
          <w:vertAlign w:val="superscript"/>
          <w:lang w:val="en-GB"/>
        </w:rPr>
        <w:footnoteReference w:id="2"/>
      </w:r>
      <w:r w:rsidR="00DC3CF8" w:rsidRPr="00DC3CF8">
        <w:rPr>
          <w:rFonts w:eastAsia="Times New Roman" w:cstheme="minorHAnsi"/>
          <w:sz w:val="24"/>
          <w:szCs w:val="24"/>
          <w:lang w:val="en-GB"/>
        </w:rPr>
        <w:t xml:space="preserve"> Under South Africa’s common law system, this decision from the Constitutional Court is equivalent to repealing the defence in legislation. With this decision, the Court effectively banned the use of all corporal punishment in the home, as criminal provisions against assault now apply equally to children. </w:t>
      </w:r>
    </w:p>
    <w:p w14:paraId="5CC85243" w14:textId="2B4B182C" w:rsidR="00DC3CF8" w:rsidRPr="00DC3CF8" w:rsidRDefault="00DC3CF8" w:rsidP="00DC3CF8">
      <w:pPr>
        <w:spacing w:after="120"/>
        <w:ind w:left="482" w:hanging="482"/>
        <w:rPr>
          <w:rFonts w:eastAsia="Times New Roman" w:cstheme="minorHAnsi"/>
          <w:sz w:val="24"/>
          <w:szCs w:val="24"/>
          <w:lang w:val="en-GB"/>
        </w:rPr>
      </w:pPr>
      <w:r>
        <w:rPr>
          <w:rFonts w:eastAsia="Times New Roman" w:cstheme="minorHAnsi"/>
          <w:sz w:val="24"/>
          <w:szCs w:val="24"/>
          <w:lang w:val="en-GB"/>
        </w:rPr>
        <w:t xml:space="preserve">1.2 </w:t>
      </w:r>
      <w:r w:rsidRPr="00DC3CF8">
        <w:rPr>
          <w:rFonts w:eastAsia="Times New Roman" w:cstheme="minorHAnsi"/>
          <w:sz w:val="24"/>
          <w:szCs w:val="24"/>
          <w:lang w:val="en-GB"/>
        </w:rPr>
        <w:t>Explicit legislation would strengthen the prohibition. In July 2018, the Department of Social Development published the draft Children’s Third Amendment Bill for consultations, explaining that one of its aims was to “remove the common law defence of reasonable chastisement and prohibit corporal punishment in the home”.</w:t>
      </w:r>
      <w:r w:rsidRPr="00DC3CF8">
        <w:rPr>
          <w:rFonts w:eastAsia="Times New Roman" w:cstheme="minorHAnsi"/>
          <w:sz w:val="24"/>
          <w:szCs w:val="24"/>
          <w:vertAlign w:val="superscript"/>
          <w:lang w:val="en-GB"/>
        </w:rPr>
        <w:footnoteReference w:id="3"/>
      </w:r>
      <w:r w:rsidRPr="00DC3CF8">
        <w:rPr>
          <w:rFonts w:eastAsia="Times New Roman" w:cstheme="minorHAnsi"/>
          <w:sz w:val="24"/>
          <w:szCs w:val="24"/>
          <w:lang w:val="en-GB"/>
        </w:rPr>
        <w:t xml:space="preserve"> Article 8 of the Bill stated: “Positive discipline of children - 12A. (1) A person who has care of a child, including a person who has parental responsibilities and rights in respect of a child, must not treat or punish the child in a cruel, </w:t>
      </w:r>
      <w:r w:rsidRPr="00DC3CF8">
        <w:rPr>
          <w:rFonts w:eastAsia="Times New Roman" w:cstheme="minorHAnsi"/>
          <w:sz w:val="24"/>
          <w:szCs w:val="24"/>
          <w:lang w:val="en-GB"/>
        </w:rPr>
        <w:lastRenderedPageBreak/>
        <w:t>inhuman or degrading way, when disciplining the child, to ensure the child’s right to physical and psychological integrity as conferred by section 12 (1)(c), (d) and (e) of the Constitution. (2) The common law defence of reasonable chastisement available in any court proceeding to a person contemplated in subsection (1) is hereby abolished. (3) A parent, guardian, care-giver or any person holding parental responsibilities and rights in respect of a child who is reported for subjecting such child to any inappropriate form of punishment, including corporal punishment, must be referred to a prevention and early intervention programme as contemplated in section 144. (4) The Department in partnership with relevant stakeholders, must take all reasonable steps to ensure that- (a) education and awareness-raising programmes concerning the effect of subsections (1) and (2) are implemented across the Republic; and (b) programmes promoting positive discipline at home and in alternative care are available across the Republic. (5) When prevention and early intervention services have failed, or are deemed to be inappropriate, and the child’s safety and wellbeing is at risk, the designated social worker must assess the child in terms of section 110.” A new version of the Bill was opened for submissions in October 2018. Article 7 of the Bill creates a new article 12A on “Discipline of children”: “(1) Any person caring for a child, including a person who has parental responsibilities and rights in respect of a child, must not treat or punish the child in a cruel, inhuman or degrading way. (2) Any punishment, within the home or other environment, in which physical force or action is used and intended to cause some degree of pain or harm to the child is unlawful. (3) Any person who is reported for contravening subsection (1) must be dealt with in accordance with section 110 of this Act.”</w:t>
      </w:r>
    </w:p>
    <w:p w14:paraId="0C08C749" w14:textId="2C5EFE51" w:rsidR="00DC3CF8" w:rsidRPr="00DC3CF8" w:rsidRDefault="00DC3CF8" w:rsidP="00DC3CF8">
      <w:pPr>
        <w:spacing w:after="120"/>
        <w:ind w:left="482" w:hanging="482"/>
        <w:rPr>
          <w:rFonts w:eastAsia="Times New Roman" w:cstheme="minorHAnsi"/>
          <w:sz w:val="24"/>
          <w:szCs w:val="24"/>
          <w:lang w:val="en-GB"/>
        </w:rPr>
      </w:pPr>
      <w:r>
        <w:rPr>
          <w:rFonts w:eastAsia="Times New Roman" w:cstheme="minorHAnsi"/>
          <w:sz w:val="24"/>
          <w:szCs w:val="24"/>
          <w:lang w:val="en-GB"/>
        </w:rPr>
        <w:t xml:space="preserve">1.3 </w:t>
      </w:r>
      <w:r w:rsidRPr="00DC3CF8">
        <w:rPr>
          <w:rFonts w:eastAsia="Times New Roman" w:cstheme="minorHAnsi"/>
          <w:sz w:val="24"/>
          <w:szCs w:val="24"/>
          <w:lang w:val="en-GB"/>
        </w:rPr>
        <w:t xml:space="preserve">The current Children’s Act of 2005 defines abuse in relation to a child as “any form of harm or ill-treatment deliberately inflicted on a child” including “assaulting a child or inflicting any other form of deliberate injury to a child” and “exposing or subjecting a child to behaviour that may harm the child psychologically or emotionally” (art. 1). The Children’s Act was amended in 2007 to provide for prevention and early intervention programmes which must focus on, among other things, “developing appropriate parenting skills and the capacity of parents and care-givers to safeguard the well-being and best interests of their children, including the promotion of positive, non-violent forms of discipline” (art. 144(1)(b)). </w:t>
      </w:r>
    </w:p>
    <w:p w14:paraId="47D1E10F" w14:textId="26495899" w:rsidR="00DC3CF8" w:rsidRPr="00DC3CF8" w:rsidRDefault="00DC3CF8" w:rsidP="00DC3CF8">
      <w:pPr>
        <w:spacing w:after="120"/>
        <w:ind w:left="482" w:hanging="482"/>
        <w:rPr>
          <w:rFonts w:eastAsia="Times New Roman" w:cstheme="minorHAnsi"/>
          <w:sz w:val="24"/>
          <w:szCs w:val="24"/>
          <w:lang w:val="en-GB"/>
        </w:rPr>
      </w:pPr>
      <w:r>
        <w:rPr>
          <w:rFonts w:eastAsia="Times New Roman" w:cstheme="minorHAnsi"/>
          <w:sz w:val="24"/>
          <w:szCs w:val="24"/>
          <w:lang w:val="en-GB"/>
        </w:rPr>
        <w:t xml:space="preserve">1.4 </w:t>
      </w:r>
      <w:r w:rsidRPr="00DC3CF8">
        <w:rPr>
          <w:rFonts w:eastAsia="Times New Roman" w:cstheme="minorHAnsi"/>
          <w:sz w:val="24"/>
          <w:szCs w:val="24"/>
          <w:lang w:val="en-GB"/>
        </w:rPr>
        <w:t>South Africa is a Pathfinder country with the Global Partnership to End Violence Against Children, which commits it to three to five years of accelerated action towards the achievement of Target 16.2 of the Sustainable Development Goals.</w:t>
      </w:r>
    </w:p>
    <w:p w14:paraId="1990C317" w14:textId="19299CF0" w:rsidR="005677EF" w:rsidRDefault="005677EF" w:rsidP="00DC3CF8">
      <w:pPr>
        <w:spacing w:after="120"/>
        <w:ind w:left="482" w:hanging="482"/>
        <w:rPr>
          <w:rFonts w:eastAsia="Times New Roman" w:cstheme="minorHAnsi"/>
          <w:i/>
          <w:sz w:val="24"/>
          <w:szCs w:val="24"/>
          <w:lang w:val="en-GB"/>
        </w:rPr>
      </w:pPr>
    </w:p>
    <w:p w14:paraId="12C98FAA" w14:textId="727C3258" w:rsidR="00E05A5C" w:rsidRDefault="00E05A5C" w:rsidP="00270F82">
      <w:pPr>
        <w:rPr>
          <w:rFonts w:eastAsia="Times New Roman" w:cstheme="minorHAnsi"/>
          <w:i/>
          <w:sz w:val="24"/>
          <w:szCs w:val="24"/>
          <w:lang w:val="en-GB"/>
        </w:rPr>
      </w:pPr>
    </w:p>
    <w:p w14:paraId="3A0BAB2E" w14:textId="77777777" w:rsidR="00E05A5C" w:rsidRPr="009069DB" w:rsidRDefault="00E05A5C" w:rsidP="00E05A5C">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21A45ED2" w14:textId="6CB2E3EB" w:rsidR="00E05A5C" w:rsidRPr="009069DB" w:rsidRDefault="009F6535" w:rsidP="00E05A5C">
      <w:pPr>
        <w:rPr>
          <w:rFonts w:eastAsia="Times New Roman" w:cstheme="minorHAnsi"/>
          <w:i/>
          <w:sz w:val="24"/>
          <w:szCs w:val="24"/>
          <w:lang w:val="en-GB"/>
        </w:rPr>
      </w:pPr>
      <w:hyperlink r:id="rId13">
        <w:r w:rsidR="00E05A5C" w:rsidRPr="000034FB">
          <w:rPr>
            <w:rStyle w:val="Hyperlink"/>
            <w:rFonts w:eastAsia="Times New Roman"/>
            <w:i/>
            <w:color w:val="0096A3"/>
            <w:sz w:val="24"/>
            <w:szCs w:val="24"/>
            <w:lang w:eastAsia="en-GB"/>
          </w:rPr>
          <w:t>www.endcorporalpunishment.org</w:t>
        </w:r>
      </w:hyperlink>
      <w:r w:rsidR="00E05A5C" w:rsidRPr="000034FB">
        <w:rPr>
          <w:rFonts w:cstheme="minorHAnsi"/>
          <w:i/>
          <w:spacing w:val="-1"/>
          <w:sz w:val="24"/>
          <w:szCs w:val="24"/>
          <w:lang w:val="en-GB"/>
        </w:rPr>
        <w:t xml:space="preserve">; </w:t>
      </w:r>
      <w:hyperlink r:id="rId14">
        <w:r w:rsidR="00E05A5C" w:rsidRPr="000034FB">
          <w:rPr>
            <w:rStyle w:val="Hyperlink"/>
            <w:rFonts w:eastAsia="Times New Roman"/>
            <w:i/>
            <w:color w:val="0096A3"/>
            <w:sz w:val="24"/>
            <w:szCs w:val="24"/>
            <w:lang w:eastAsia="en-GB"/>
          </w:rPr>
          <w:t>info@endcorporalpunishment.org</w:t>
        </w:r>
      </w:hyperlink>
    </w:p>
    <w:sectPr w:rsidR="00E05A5C" w:rsidRPr="009069DB" w:rsidSect="00727862">
      <w:footerReference w:type="even" r:id="rId15"/>
      <w:footerReference w:type="default" r:id="rId16"/>
      <w:footerReference w:type="first" r:id="rId17"/>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8FB02" w14:textId="77777777" w:rsidR="009F6535" w:rsidRDefault="009F6535">
      <w:r>
        <w:separator/>
      </w:r>
    </w:p>
  </w:endnote>
  <w:endnote w:type="continuationSeparator" w:id="0">
    <w:p w14:paraId="65838C7F" w14:textId="77777777" w:rsidR="009F6535" w:rsidRDefault="009F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7DAC2CCF"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4D02">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257657"/>
      <w:docPartObj>
        <w:docPartGallery w:val="Page Numbers (Bottom of Page)"/>
        <w:docPartUnique/>
      </w:docPartObj>
    </w:sdtPr>
    <w:sdtEndPr>
      <w:rPr>
        <w:noProof/>
      </w:rPr>
    </w:sdtEndPr>
    <w:sdtContent>
      <w:p w14:paraId="42C37AAE" w14:textId="323F1154" w:rsidR="002027F1" w:rsidRDefault="002027F1">
        <w:pPr>
          <w:pStyle w:val="Footer"/>
          <w:jc w:val="center"/>
        </w:pPr>
        <w:r>
          <w:fldChar w:fldCharType="begin"/>
        </w:r>
        <w:r>
          <w:instrText xml:space="preserve"> PAGE   \* MERGEFORMAT </w:instrText>
        </w:r>
        <w:r>
          <w:fldChar w:fldCharType="separate"/>
        </w:r>
        <w:r w:rsidR="00AA4D02">
          <w:rPr>
            <w:noProof/>
          </w:rPr>
          <w:t>1</w:t>
        </w:r>
        <w:r>
          <w:rPr>
            <w:noProof/>
          </w:rPr>
          <w:fldChar w:fldCharType="end"/>
        </w:r>
      </w:p>
    </w:sdtContent>
  </w:sdt>
  <w:p w14:paraId="24A400E8" w14:textId="77777777" w:rsidR="002027F1" w:rsidRDefault="002027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5523C" w14:textId="77777777" w:rsidR="009F6535" w:rsidRDefault="009F6535">
      <w:r>
        <w:separator/>
      </w:r>
    </w:p>
  </w:footnote>
  <w:footnote w:type="continuationSeparator" w:id="0">
    <w:p w14:paraId="339067F9" w14:textId="77777777" w:rsidR="009F6535" w:rsidRDefault="009F6535">
      <w:r>
        <w:continuationSeparator/>
      </w:r>
    </w:p>
  </w:footnote>
  <w:footnote w:id="1">
    <w:p w14:paraId="59B3D65D" w14:textId="77777777" w:rsidR="00DC3CF8" w:rsidRPr="00DC3CF8" w:rsidRDefault="00DC3CF8" w:rsidP="00DC3CF8">
      <w:pPr>
        <w:pStyle w:val="FootnoteText"/>
        <w:rPr>
          <w:rFonts w:cstheme="minorHAnsi"/>
          <w:sz w:val="20"/>
          <w:szCs w:val="20"/>
        </w:rPr>
      </w:pPr>
      <w:r w:rsidRPr="00DC3CF8">
        <w:rPr>
          <w:rStyle w:val="FootnoteReference"/>
          <w:rFonts w:cstheme="minorHAnsi"/>
          <w:sz w:val="20"/>
          <w:szCs w:val="20"/>
        </w:rPr>
        <w:footnoteRef/>
      </w:r>
      <w:r w:rsidRPr="00DC3CF8">
        <w:rPr>
          <w:rFonts w:cstheme="minorHAnsi"/>
          <w:sz w:val="20"/>
          <w:szCs w:val="20"/>
        </w:rPr>
        <w:t xml:space="preserve"> 18 September 2019, </w:t>
      </w:r>
      <w:r w:rsidRPr="00DC3CF8">
        <w:rPr>
          <w:rFonts w:cstheme="minorHAnsi"/>
          <w:i/>
          <w:sz w:val="20"/>
          <w:szCs w:val="20"/>
        </w:rPr>
        <w:t>Freedom of Religion South Africa v Minister of Justice and Constitutional Development and Others</w:t>
      </w:r>
      <w:r w:rsidRPr="00DC3CF8">
        <w:rPr>
          <w:rFonts w:cstheme="minorHAnsi"/>
          <w:sz w:val="20"/>
          <w:szCs w:val="20"/>
        </w:rPr>
        <w:t xml:space="preserve">, Constitutional Court, ZACC34; confirming 19 October 2017, </w:t>
      </w:r>
      <w:r w:rsidRPr="00DC3CF8">
        <w:rPr>
          <w:rFonts w:cstheme="minorHAnsi"/>
          <w:i/>
          <w:sz w:val="20"/>
          <w:szCs w:val="20"/>
        </w:rPr>
        <w:t>YG v. Th</w:t>
      </w:r>
      <w:bookmarkStart w:id="0" w:name="_GoBack"/>
      <w:bookmarkEnd w:id="0"/>
      <w:r w:rsidRPr="00DC3CF8">
        <w:rPr>
          <w:rFonts w:cstheme="minorHAnsi"/>
          <w:i/>
          <w:sz w:val="20"/>
          <w:szCs w:val="20"/>
        </w:rPr>
        <w:t>e State</w:t>
      </w:r>
      <w:r w:rsidRPr="00DC3CF8">
        <w:rPr>
          <w:rFonts w:cstheme="minorHAnsi"/>
          <w:sz w:val="20"/>
          <w:szCs w:val="20"/>
        </w:rPr>
        <w:t>, High Court of Gauteng Local Division, Case No. A263/2016</w:t>
      </w:r>
    </w:p>
  </w:footnote>
  <w:footnote w:id="2">
    <w:p w14:paraId="6333866C" w14:textId="77777777" w:rsidR="00DC3CF8" w:rsidRPr="00DC3CF8" w:rsidRDefault="00DC3CF8" w:rsidP="00DC3CF8">
      <w:pPr>
        <w:pStyle w:val="FootnoteText"/>
        <w:rPr>
          <w:rFonts w:cstheme="minorHAnsi"/>
          <w:sz w:val="20"/>
          <w:szCs w:val="20"/>
        </w:rPr>
      </w:pPr>
      <w:r w:rsidRPr="00DC3CF8">
        <w:rPr>
          <w:rStyle w:val="FootnoteReference"/>
          <w:rFonts w:cstheme="minorHAnsi"/>
          <w:sz w:val="20"/>
          <w:szCs w:val="20"/>
        </w:rPr>
        <w:footnoteRef/>
      </w:r>
      <w:r w:rsidRPr="00DC3CF8">
        <w:rPr>
          <w:rFonts w:cstheme="minorHAnsi"/>
          <w:sz w:val="20"/>
          <w:szCs w:val="20"/>
        </w:rPr>
        <w:t xml:space="preserve"> </w:t>
      </w:r>
      <w:r w:rsidRPr="00DC3CF8">
        <w:rPr>
          <w:rFonts w:cstheme="minorHAnsi"/>
          <w:i/>
          <w:sz w:val="20"/>
          <w:szCs w:val="20"/>
        </w:rPr>
        <w:t xml:space="preserve">R v </w:t>
      </w:r>
      <w:proofErr w:type="spellStart"/>
      <w:r w:rsidRPr="00DC3CF8">
        <w:rPr>
          <w:rFonts w:cstheme="minorHAnsi"/>
          <w:i/>
          <w:sz w:val="20"/>
          <w:szCs w:val="20"/>
        </w:rPr>
        <w:t>Janke</w:t>
      </w:r>
      <w:proofErr w:type="spellEnd"/>
      <w:r w:rsidRPr="00DC3CF8">
        <w:rPr>
          <w:rFonts w:cstheme="minorHAnsi"/>
          <w:i/>
          <w:sz w:val="20"/>
          <w:szCs w:val="20"/>
        </w:rPr>
        <w:t xml:space="preserve"> and </w:t>
      </w:r>
      <w:proofErr w:type="spellStart"/>
      <w:r w:rsidRPr="00DC3CF8">
        <w:rPr>
          <w:rFonts w:cstheme="minorHAnsi"/>
          <w:i/>
          <w:sz w:val="20"/>
          <w:szCs w:val="20"/>
        </w:rPr>
        <w:t>Janke</w:t>
      </w:r>
      <w:proofErr w:type="spellEnd"/>
      <w:r w:rsidRPr="00DC3CF8">
        <w:rPr>
          <w:rFonts w:cstheme="minorHAnsi"/>
          <w:sz w:val="20"/>
          <w:szCs w:val="20"/>
        </w:rPr>
        <w:t xml:space="preserve"> 1913 TPD 382</w:t>
      </w:r>
    </w:p>
  </w:footnote>
  <w:footnote w:id="3">
    <w:p w14:paraId="4AB8D8DE" w14:textId="77777777" w:rsidR="00DC3CF8" w:rsidRPr="00DC3CF8" w:rsidRDefault="00DC3CF8" w:rsidP="00DC3CF8">
      <w:pPr>
        <w:pStyle w:val="FootnoteText"/>
        <w:rPr>
          <w:rFonts w:cstheme="minorHAnsi"/>
          <w:sz w:val="20"/>
          <w:szCs w:val="20"/>
        </w:rPr>
      </w:pPr>
      <w:r w:rsidRPr="00DC3CF8">
        <w:rPr>
          <w:rStyle w:val="FootnoteReference"/>
          <w:rFonts w:cstheme="minorHAnsi"/>
          <w:sz w:val="20"/>
          <w:szCs w:val="20"/>
        </w:rPr>
        <w:footnoteRef/>
      </w:r>
      <w:r w:rsidRPr="00DC3CF8">
        <w:rPr>
          <w:rFonts w:cstheme="minorHAnsi"/>
          <w:sz w:val="20"/>
          <w:szCs w:val="20"/>
        </w:rPr>
        <w:t xml:space="preserve"> See </w:t>
      </w:r>
      <w:hyperlink r:id="rId1" w:history="1">
        <w:r w:rsidRPr="00DC3CF8">
          <w:rPr>
            <w:rStyle w:val="Hyperlink"/>
            <w:rFonts w:cstheme="minorHAnsi"/>
            <w:sz w:val="20"/>
            <w:szCs w:val="20"/>
          </w:rPr>
          <w:t>https://pmg.org.za/call-for-comment/704/</w:t>
        </w:r>
      </w:hyperlink>
      <w:r w:rsidRPr="00DC3CF8">
        <w:rPr>
          <w:rFonts w:cstheme="minorHAnsi"/>
          <w:sz w:val="20"/>
          <w:szCs w:val="20"/>
        </w:rPr>
        <w:t>, accessed 1 August 2018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5E6C0DF9"/>
    <w:multiLevelType w:val="multilevel"/>
    <w:tmpl w:val="5A42FE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4F12"/>
    <w:rsid w:val="0000655D"/>
    <w:rsid w:val="00015B33"/>
    <w:rsid w:val="000172B9"/>
    <w:rsid w:val="00023216"/>
    <w:rsid w:val="000237D5"/>
    <w:rsid w:val="0004463B"/>
    <w:rsid w:val="00046414"/>
    <w:rsid w:val="00051B7A"/>
    <w:rsid w:val="00052D37"/>
    <w:rsid w:val="000565BC"/>
    <w:rsid w:val="000617BA"/>
    <w:rsid w:val="000873B5"/>
    <w:rsid w:val="00090EC6"/>
    <w:rsid w:val="000A0795"/>
    <w:rsid w:val="000B1213"/>
    <w:rsid w:val="000D6F69"/>
    <w:rsid w:val="000E2E6B"/>
    <w:rsid w:val="000F2F81"/>
    <w:rsid w:val="000F39B5"/>
    <w:rsid w:val="00114FD3"/>
    <w:rsid w:val="00131E4B"/>
    <w:rsid w:val="00141559"/>
    <w:rsid w:val="00156598"/>
    <w:rsid w:val="001842FF"/>
    <w:rsid w:val="0019666A"/>
    <w:rsid w:val="001A344C"/>
    <w:rsid w:val="001B10D8"/>
    <w:rsid w:val="001B3A03"/>
    <w:rsid w:val="001B4A12"/>
    <w:rsid w:val="001D3761"/>
    <w:rsid w:val="00201836"/>
    <w:rsid w:val="002027F1"/>
    <w:rsid w:val="00203D59"/>
    <w:rsid w:val="00204AFD"/>
    <w:rsid w:val="00214F8E"/>
    <w:rsid w:val="00215892"/>
    <w:rsid w:val="002236F2"/>
    <w:rsid w:val="00225BDF"/>
    <w:rsid w:val="00245511"/>
    <w:rsid w:val="00250435"/>
    <w:rsid w:val="00254D04"/>
    <w:rsid w:val="0025528E"/>
    <w:rsid w:val="0026613A"/>
    <w:rsid w:val="00270F82"/>
    <w:rsid w:val="00281DCE"/>
    <w:rsid w:val="00286205"/>
    <w:rsid w:val="002A4484"/>
    <w:rsid w:val="002A4758"/>
    <w:rsid w:val="002A573D"/>
    <w:rsid w:val="002C1788"/>
    <w:rsid w:val="002E5F76"/>
    <w:rsid w:val="002F2C99"/>
    <w:rsid w:val="00305B3A"/>
    <w:rsid w:val="0032457A"/>
    <w:rsid w:val="00324DCB"/>
    <w:rsid w:val="003265C9"/>
    <w:rsid w:val="003327C9"/>
    <w:rsid w:val="00332931"/>
    <w:rsid w:val="003533B0"/>
    <w:rsid w:val="0036069B"/>
    <w:rsid w:val="00385162"/>
    <w:rsid w:val="003866C0"/>
    <w:rsid w:val="00386703"/>
    <w:rsid w:val="00397CE1"/>
    <w:rsid w:val="003A7E00"/>
    <w:rsid w:val="003B0DDD"/>
    <w:rsid w:val="003C36EB"/>
    <w:rsid w:val="003F1E3C"/>
    <w:rsid w:val="00425DEE"/>
    <w:rsid w:val="00425E71"/>
    <w:rsid w:val="004508A3"/>
    <w:rsid w:val="004512B2"/>
    <w:rsid w:val="0045274A"/>
    <w:rsid w:val="00455F1B"/>
    <w:rsid w:val="00466383"/>
    <w:rsid w:val="00484B92"/>
    <w:rsid w:val="004A2DB2"/>
    <w:rsid w:val="004D437A"/>
    <w:rsid w:val="004D64FA"/>
    <w:rsid w:val="004F144F"/>
    <w:rsid w:val="004F220E"/>
    <w:rsid w:val="0052090F"/>
    <w:rsid w:val="00524A05"/>
    <w:rsid w:val="00531EC6"/>
    <w:rsid w:val="00536734"/>
    <w:rsid w:val="00540A13"/>
    <w:rsid w:val="00556CCC"/>
    <w:rsid w:val="00557F21"/>
    <w:rsid w:val="005677EF"/>
    <w:rsid w:val="005A3967"/>
    <w:rsid w:val="005C211E"/>
    <w:rsid w:val="005C4EF7"/>
    <w:rsid w:val="005D5362"/>
    <w:rsid w:val="005F08A2"/>
    <w:rsid w:val="005F3DB9"/>
    <w:rsid w:val="006040E0"/>
    <w:rsid w:val="0064515D"/>
    <w:rsid w:val="00647F27"/>
    <w:rsid w:val="00651BC7"/>
    <w:rsid w:val="0065239D"/>
    <w:rsid w:val="00690E23"/>
    <w:rsid w:val="006A0E73"/>
    <w:rsid w:val="006B2D0D"/>
    <w:rsid w:val="006C1D33"/>
    <w:rsid w:val="006D3790"/>
    <w:rsid w:val="006D7815"/>
    <w:rsid w:val="006E6DAE"/>
    <w:rsid w:val="00727862"/>
    <w:rsid w:val="007436D7"/>
    <w:rsid w:val="00757738"/>
    <w:rsid w:val="00770416"/>
    <w:rsid w:val="00794BF1"/>
    <w:rsid w:val="00797F6C"/>
    <w:rsid w:val="007B47BE"/>
    <w:rsid w:val="007D2134"/>
    <w:rsid w:val="007E0A38"/>
    <w:rsid w:val="008029FD"/>
    <w:rsid w:val="00814471"/>
    <w:rsid w:val="00814891"/>
    <w:rsid w:val="00841CF2"/>
    <w:rsid w:val="00856996"/>
    <w:rsid w:val="00875929"/>
    <w:rsid w:val="00903511"/>
    <w:rsid w:val="009069DB"/>
    <w:rsid w:val="0094143B"/>
    <w:rsid w:val="009859AD"/>
    <w:rsid w:val="009A064B"/>
    <w:rsid w:val="009A0870"/>
    <w:rsid w:val="009A5718"/>
    <w:rsid w:val="009B1E5D"/>
    <w:rsid w:val="009C550F"/>
    <w:rsid w:val="009D3E63"/>
    <w:rsid w:val="009D7A6C"/>
    <w:rsid w:val="009F6535"/>
    <w:rsid w:val="00A32609"/>
    <w:rsid w:val="00A40C54"/>
    <w:rsid w:val="00A611AF"/>
    <w:rsid w:val="00A86EC8"/>
    <w:rsid w:val="00A91F0C"/>
    <w:rsid w:val="00A9391B"/>
    <w:rsid w:val="00A970EF"/>
    <w:rsid w:val="00AA4D02"/>
    <w:rsid w:val="00AA4FCB"/>
    <w:rsid w:val="00AA532A"/>
    <w:rsid w:val="00AC7CDC"/>
    <w:rsid w:val="00AC7D57"/>
    <w:rsid w:val="00AF2C81"/>
    <w:rsid w:val="00B20BB9"/>
    <w:rsid w:val="00B23F56"/>
    <w:rsid w:val="00B301D6"/>
    <w:rsid w:val="00B47068"/>
    <w:rsid w:val="00B676BC"/>
    <w:rsid w:val="00B70DC0"/>
    <w:rsid w:val="00B845E3"/>
    <w:rsid w:val="00BA61BD"/>
    <w:rsid w:val="00BD71D0"/>
    <w:rsid w:val="00BE5DB7"/>
    <w:rsid w:val="00BF1440"/>
    <w:rsid w:val="00C0306B"/>
    <w:rsid w:val="00C05E9C"/>
    <w:rsid w:val="00C125AA"/>
    <w:rsid w:val="00C20AF6"/>
    <w:rsid w:val="00C2735A"/>
    <w:rsid w:val="00C35902"/>
    <w:rsid w:val="00C45C75"/>
    <w:rsid w:val="00C64C14"/>
    <w:rsid w:val="00CA6CBF"/>
    <w:rsid w:val="00CB20E2"/>
    <w:rsid w:val="00CD48B3"/>
    <w:rsid w:val="00CE1235"/>
    <w:rsid w:val="00CF1067"/>
    <w:rsid w:val="00CF3135"/>
    <w:rsid w:val="00D16D07"/>
    <w:rsid w:val="00D30A1D"/>
    <w:rsid w:val="00D35AC7"/>
    <w:rsid w:val="00D43755"/>
    <w:rsid w:val="00D51629"/>
    <w:rsid w:val="00D538F1"/>
    <w:rsid w:val="00D759F5"/>
    <w:rsid w:val="00D86145"/>
    <w:rsid w:val="00DB18C0"/>
    <w:rsid w:val="00DC3CF8"/>
    <w:rsid w:val="00DC6F45"/>
    <w:rsid w:val="00DE21DA"/>
    <w:rsid w:val="00DF1532"/>
    <w:rsid w:val="00DF3F48"/>
    <w:rsid w:val="00E04488"/>
    <w:rsid w:val="00E05A5C"/>
    <w:rsid w:val="00E16457"/>
    <w:rsid w:val="00E16FEA"/>
    <w:rsid w:val="00E170A5"/>
    <w:rsid w:val="00E170C0"/>
    <w:rsid w:val="00E43E05"/>
    <w:rsid w:val="00E45B78"/>
    <w:rsid w:val="00E5444D"/>
    <w:rsid w:val="00E67E73"/>
    <w:rsid w:val="00E96D9F"/>
    <w:rsid w:val="00EA1767"/>
    <w:rsid w:val="00EA1E17"/>
    <w:rsid w:val="00ED5BC1"/>
    <w:rsid w:val="00EE7664"/>
    <w:rsid w:val="00F13827"/>
    <w:rsid w:val="00F46740"/>
    <w:rsid w:val="00F7165B"/>
    <w:rsid w:val="00F73E20"/>
    <w:rsid w:val="00F8168C"/>
    <w:rsid w:val="00FA74E2"/>
    <w:rsid w:val="00FB34F5"/>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footnote text"/>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
    <w:name w:val="Unresolved Mention"/>
    <w:basedOn w:val="DefaultParagraphFont"/>
    <w:uiPriority w:val="99"/>
    <w:semiHidden/>
    <w:unhideWhenUsed/>
    <w:rsid w:val="005C4E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44328953">
      <w:bodyDiv w:val="1"/>
      <w:marLeft w:val="0"/>
      <w:marRight w:val="0"/>
      <w:marTop w:val="0"/>
      <w:marBottom w:val="0"/>
      <w:divBdr>
        <w:top w:val="none" w:sz="0" w:space="0" w:color="auto"/>
        <w:left w:val="none" w:sz="0" w:space="0" w:color="auto"/>
        <w:bottom w:val="none" w:sz="0" w:space="0" w:color="auto"/>
        <w:right w:val="none" w:sz="0" w:space="0" w:color="auto"/>
      </w:divBdr>
    </w:div>
    <w:div w:id="408771785">
      <w:bodyDiv w:val="1"/>
      <w:marLeft w:val="0"/>
      <w:marRight w:val="0"/>
      <w:marTop w:val="0"/>
      <w:marBottom w:val="0"/>
      <w:divBdr>
        <w:top w:val="none" w:sz="0" w:space="0" w:color="auto"/>
        <w:left w:val="none" w:sz="0" w:space="0" w:color="auto"/>
        <w:bottom w:val="none" w:sz="0" w:space="0" w:color="auto"/>
        <w:right w:val="none" w:sz="0" w:space="0" w:color="auto"/>
      </w:divBdr>
    </w:div>
    <w:div w:id="724836940">
      <w:bodyDiv w:val="1"/>
      <w:marLeft w:val="0"/>
      <w:marRight w:val="0"/>
      <w:marTop w:val="0"/>
      <w:marBottom w:val="0"/>
      <w:divBdr>
        <w:top w:val="none" w:sz="0" w:space="0" w:color="auto"/>
        <w:left w:val="none" w:sz="0" w:space="0" w:color="auto"/>
        <w:bottom w:val="none" w:sz="0" w:space="0" w:color="auto"/>
        <w:right w:val="none" w:sz="0" w:space="0" w:color="auto"/>
      </w:divBdr>
    </w:div>
    <w:div w:id="759061906">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03792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mg.org.za/call-for-comment/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2.xml><?xml version="1.0" encoding="utf-8"?>
<ds:datastoreItem xmlns:ds="http://schemas.openxmlformats.org/officeDocument/2006/customXml" ds:itemID="{157E1F9F-FEC2-428A-B05E-F9343BF6FF2C}"/>
</file>

<file path=customXml/itemProps3.xml><?xml version="1.0" encoding="utf-8"?>
<ds:datastoreItem xmlns:ds="http://schemas.openxmlformats.org/officeDocument/2006/customXml" ds:itemID="{DF935CC0-8409-4B14-8F63-9016C3DD86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B4ED3A-3D10-496C-89F4-F45BDDF2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2</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Eloïse Di Gianni</cp:lastModifiedBy>
  <cp:revision>61</cp:revision>
  <dcterms:created xsi:type="dcterms:W3CDTF">2016-01-21T13:24:00Z</dcterms:created>
  <dcterms:modified xsi:type="dcterms:W3CDTF">2020-01-10T11:45:00Z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