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40F6D1" w14:textId="7C4C480D" w:rsidR="00271070" w:rsidRPr="00465FBD" w:rsidRDefault="00271070" w:rsidP="00271070">
      <w:pPr>
        <w:pBdr>
          <w:bottom w:val="single" w:sz="18" w:space="1" w:color="auto"/>
        </w:pBdr>
        <w:bidi/>
        <w:spacing w:after="0" w:line="240" w:lineRule="auto"/>
        <w:jc w:val="center"/>
        <w:rPr>
          <w:rFonts w:ascii="Dubai" w:hAnsi="Dubai" w:cs="PT Bold Heading"/>
          <w:b/>
          <w:bCs/>
          <w:color w:val="538135" w:themeColor="accent6" w:themeShade="BF"/>
          <w:sz w:val="28"/>
          <w:szCs w:val="28"/>
          <w:rtl/>
        </w:rPr>
      </w:pPr>
      <w:r w:rsidRPr="00465FBD">
        <w:rPr>
          <w:rFonts w:ascii="Dubai" w:hAnsi="Dubai" w:cs="PT Bold Heading"/>
          <w:b/>
          <w:bCs/>
          <w:color w:val="538135" w:themeColor="accent6" w:themeShade="BF"/>
          <w:sz w:val="28"/>
          <w:szCs w:val="28"/>
          <w:rtl/>
        </w:rPr>
        <w:t xml:space="preserve">تقرير </w:t>
      </w:r>
      <w:r w:rsidRPr="00465FBD">
        <w:rPr>
          <w:rFonts w:ascii="Dubai" w:hAnsi="Dubai" w:cs="PT Bold Heading" w:hint="cs"/>
          <w:b/>
          <w:bCs/>
          <w:color w:val="538135" w:themeColor="accent6" w:themeShade="BF"/>
          <w:sz w:val="28"/>
          <w:szCs w:val="28"/>
          <w:rtl/>
        </w:rPr>
        <w:t xml:space="preserve">التحالف الدولي للسلام والتنمية </w:t>
      </w:r>
      <w:r w:rsidRPr="00465FBD">
        <w:rPr>
          <w:rFonts w:ascii="Dubai" w:hAnsi="Dubai" w:cs="PT Bold Heading" w:hint="cs"/>
          <w:b/>
          <w:bCs/>
          <w:color w:val="538135" w:themeColor="accent6" w:themeShade="BF"/>
          <w:sz w:val="28"/>
          <w:szCs w:val="28"/>
          <w:rtl/>
          <w:lang w:bidi="ar-EG"/>
        </w:rPr>
        <w:t>ال</w:t>
      </w:r>
      <w:r w:rsidRPr="00465FBD">
        <w:rPr>
          <w:rFonts w:ascii="Dubai" w:hAnsi="Dubai" w:cs="PT Bold Heading"/>
          <w:b/>
          <w:bCs/>
          <w:color w:val="538135" w:themeColor="accent6" w:themeShade="BF"/>
          <w:sz w:val="28"/>
          <w:szCs w:val="28"/>
          <w:rtl/>
        </w:rPr>
        <w:t xml:space="preserve">مقدم إلي اللجنة المعنية بحماية حقوق جميع العمال </w:t>
      </w:r>
      <w:r w:rsidRPr="00465FBD">
        <w:rPr>
          <w:rFonts w:ascii="Dubai" w:hAnsi="Dubai" w:cs="PT Bold Heading" w:hint="cs"/>
          <w:b/>
          <w:bCs/>
          <w:color w:val="538135" w:themeColor="accent6" w:themeShade="BF"/>
          <w:sz w:val="28"/>
          <w:szCs w:val="28"/>
          <w:rtl/>
        </w:rPr>
        <w:t>المهاجرين وأفراد</w:t>
      </w:r>
      <w:r w:rsidRPr="00465FBD">
        <w:rPr>
          <w:rFonts w:ascii="Dubai" w:hAnsi="Dubai" w:cs="PT Bold Heading"/>
          <w:b/>
          <w:bCs/>
          <w:color w:val="538135" w:themeColor="accent6" w:themeShade="BF"/>
          <w:sz w:val="28"/>
          <w:szCs w:val="28"/>
          <w:rtl/>
        </w:rPr>
        <w:t xml:space="preserve"> أسرهم </w:t>
      </w:r>
      <w:r w:rsidRPr="00465FBD">
        <w:rPr>
          <w:rFonts w:ascii="Dubai" w:hAnsi="Dubai" w:cs="PT Bold Heading" w:hint="cs"/>
          <w:b/>
          <w:bCs/>
          <w:color w:val="538135" w:themeColor="accent6" w:themeShade="BF"/>
          <w:sz w:val="28"/>
          <w:szCs w:val="28"/>
          <w:rtl/>
        </w:rPr>
        <w:t>بخصوص مصر</w:t>
      </w:r>
    </w:p>
    <w:p w14:paraId="14698D76" w14:textId="77777777" w:rsidR="00271070" w:rsidRDefault="00271070" w:rsidP="00271070">
      <w:pPr>
        <w:bidi/>
        <w:jc w:val="both"/>
        <w:rPr>
          <w:sz w:val="28"/>
          <w:szCs w:val="28"/>
          <w:rtl/>
        </w:rPr>
      </w:pPr>
    </w:p>
    <w:p w14:paraId="0749A2CB" w14:textId="417A85BD" w:rsidR="00271070" w:rsidRPr="00C33CF3" w:rsidRDefault="00271070" w:rsidP="00271070">
      <w:pPr>
        <w:bidi/>
        <w:jc w:val="both"/>
        <w:rPr>
          <w:sz w:val="28"/>
          <w:szCs w:val="28"/>
          <w:rtl/>
          <w:lang w:bidi="ar-EG"/>
        </w:rPr>
      </w:pPr>
      <w:r w:rsidRPr="00C33CF3">
        <w:rPr>
          <w:sz w:val="28"/>
          <w:szCs w:val="28"/>
          <w:rtl/>
        </w:rPr>
        <w:t xml:space="preserve">ينتهز التحالف الدولي للسلام والتنمية فرصة مراجعة مصر أمام لجنة حقوق العمال المهاجرين وأفراد أسرهم والمقررة في الدورة 39 </w:t>
      </w:r>
      <w:r>
        <w:rPr>
          <w:rFonts w:hint="cs"/>
          <w:sz w:val="28"/>
          <w:szCs w:val="28"/>
          <w:rtl/>
          <w:lang w:bidi="ar-EG"/>
        </w:rPr>
        <w:t>المقرر</w:t>
      </w:r>
      <w:r w:rsidRPr="00C33CF3">
        <w:rPr>
          <w:sz w:val="28"/>
          <w:szCs w:val="28"/>
          <w:rtl/>
          <w:lang w:bidi="ar-EG"/>
        </w:rPr>
        <w:t xml:space="preserve"> انعقادها </w:t>
      </w:r>
      <w:r w:rsidRPr="00C33CF3">
        <w:rPr>
          <w:rFonts w:hint="cs"/>
          <w:sz w:val="28"/>
          <w:szCs w:val="28"/>
          <w:rtl/>
          <w:lang w:bidi="ar-EG"/>
        </w:rPr>
        <w:t>خلال</w:t>
      </w:r>
      <w:r w:rsidRPr="00C33CF3">
        <w:rPr>
          <w:sz w:val="28"/>
          <w:szCs w:val="28"/>
          <w:rtl/>
          <w:lang w:bidi="ar-EG"/>
        </w:rPr>
        <w:t xml:space="preserve"> الفترة بين 2 و13 ديسمبر 2024،</w:t>
      </w:r>
      <w:r w:rsidRPr="00C33CF3">
        <w:rPr>
          <w:rStyle w:val="FootnoteReference"/>
          <w:sz w:val="28"/>
          <w:szCs w:val="28"/>
          <w:rtl/>
          <w:lang w:bidi="ar-EG"/>
        </w:rPr>
        <w:footnoteReference w:id="1"/>
      </w:r>
      <w:r w:rsidRPr="00C33CF3">
        <w:rPr>
          <w:sz w:val="28"/>
          <w:szCs w:val="28"/>
          <w:rtl/>
          <w:lang w:bidi="ar-EG"/>
        </w:rPr>
        <w:t xml:space="preserve"> من أجل تحديث المعلومات المقدمة للجنة</w:t>
      </w:r>
      <w:r w:rsidRPr="00C33CF3">
        <w:rPr>
          <w:rFonts w:hint="cs"/>
          <w:sz w:val="28"/>
          <w:szCs w:val="28"/>
          <w:rtl/>
          <w:lang w:bidi="ar-EG"/>
        </w:rPr>
        <w:t xml:space="preserve"> </w:t>
      </w:r>
      <w:r>
        <w:rPr>
          <w:rFonts w:hint="cs"/>
          <w:sz w:val="28"/>
          <w:szCs w:val="28"/>
          <w:rtl/>
          <w:lang w:bidi="ar-EG"/>
        </w:rPr>
        <w:t>والمتعلقة ب</w:t>
      </w:r>
      <w:r w:rsidRPr="00C33CF3">
        <w:rPr>
          <w:sz w:val="28"/>
          <w:szCs w:val="28"/>
          <w:rtl/>
          <w:lang w:bidi="ar-EG"/>
        </w:rPr>
        <w:t>تنفيذ مصر لأحكام اتفاقية حقوق العمال المهاجرين وأفراد أسرهم (يشار إليها فيما بعد بالاتفاقية)</w:t>
      </w:r>
      <w:r w:rsidRPr="00C33CF3">
        <w:rPr>
          <w:rFonts w:hint="cs"/>
          <w:sz w:val="28"/>
          <w:szCs w:val="28"/>
          <w:rtl/>
        </w:rPr>
        <w:t xml:space="preserve">. </w:t>
      </w:r>
      <w:r w:rsidRPr="00C33CF3">
        <w:rPr>
          <w:sz w:val="28"/>
          <w:szCs w:val="28"/>
          <w:rtl/>
          <w:lang w:bidi="ar-EG"/>
        </w:rPr>
        <w:t>ويستهدف التحالف</w:t>
      </w:r>
      <w:r>
        <w:rPr>
          <w:rFonts w:hint="cs"/>
          <w:sz w:val="28"/>
          <w:szCs w:val="28"/>
          <w:rtl/>
          <w:lang w:bidi="ar-EG"/>
        </w:rPr>
        <w:t xml:space="preserve"> من هذا التقرير</w:t>
      </w:r>
      <w:r w:rsidRPr="00C33CF3">
        <w:rPr>
          <w:sz w:val="28"/>
          <w:szCs w:val="28"/>
          <w:rtl/>
          <w:lang w:bidi="ar-EG"/>
        </w:rPr>
        <w:t xml:space="preserve"> تقييم مدى تنفيذ مصر لبعض الأحكام الواردة بالاتفاقية </w:t>
      </w:r>
      <w:r>
        <w:rPr>
          <w:rFonts w:hint="cs"/>
          <w:sz w:val="28"/>
          <w:szCs w:val="28"/>
          <w:rtl/>
          <w:lang w:bidi="ar-EG"/>
        </w:rPr>
        <w:t>من خلال التركيز</w:t>
      </w:r>
      <w:r w:rsidRPr="00C33CF3">
        <w:rPr>
          <w:sz w:val="28"/>
          <w:szCs w:val="28"/>
          <w:rtl/>
          <w:lang w:bidi="ar-EG"/>
        </w:rPr>
        <w:t xml:space="preserve"> على </w:t>
      </w:r>
      <w:r w:rsidRPr="00C33CF3">
        <w:rPr>
          <w:rFonts w:hint="cs"/>
          <w:sz w:val="28"/>
          <w:szCs w:val="28"/>
          <w:rtl/>
          <w:lang w:bidi="ar-EG"/>
        </w:rPr>
        <w:t>التطورات الإيجابية والتحديات</w:t>
      </w:r>
      <w:r w:rsidRPr="00C33CF3">
        <w:rPr>
          <w:sz w:val="28"/>
          <w:szCs w:val="28"/>
          <w:rtl/>
          <w:lang w:bidi="ar-EG"/>
        </w:rPr>
        <w:t xml:space="preserve"> التي </w:t>
      </w:r>
      <w:r w:rsidRPr="00C33CF3">
        <w:rPr>
          <w:rFonts w:hint="cs"/>
          <w:sz w:val="28"/>
          <w:szCs w:val="28"/>
          <w:rtl/>
          <w:lang w:bidi="ar-EG"/>
        </w:rPr>
        <w:t>لا تزال ماثلة أمام جهود الحكومة المصرية لتنفيذ</w:t>
      </w:r>
      <w:r w:rsidRPr="00C33CF3">
        <w:rPr>
          <w:sz w:val="28"/>
          <w:szCs w:val="28"/>
          <w:rtl/>
          <w:lang w:bidi="ar-EG"/>
        </w:rPr>
        <w:t xml:space="preserve"> </w:t>
      </w:r>
      <w:r w:rsidRPr="00C33CF3">
        <w:rPr>
          <w:rFonts w:hint="cs"/>
          <w:sz w:val="28"/>
          <w:szCs w:val="28"/>
          <w:rtl/>
          <w:lang w:bidi="ar-EG"/>
        </w:rPr>
        <w:t xml:space="preserve">الاتفاقية مع تقديم توصيات عملية من شأنها معالجة هذه التحديات. </w:t>
      </w:r>
    </w:p>
    <w:p w14:paraId="2EF70AC2" w14:textId="77777777" w:rsidR="00271070" w:rsidRPr="00465FBD" w:rsidRDefault="00271070" w:rsidP="00271070">
      <w:pPr>
        <w:pStyle w:val="ListParagraph"/>
        <w:numPr>
          <w:ilvl w:val="0"/>
          <w:numId w:val="30"/>
        </w:numPr>
        <w:pBdr>
          <w:bottom w:val="single" w:sz="18" w:space="1" w:color="auto"/>
        </w:pBdr>
        <w:bidi/>
        <w:spacing w:after="160" w:line="259" w:lineRule="auto"/>
        <w:ind w:left="288"/>
        <w:jc w:val="both"/>
        <w:rPr>
          <w:rFonts w:ascii="Dubai" w:hAnsi="Dubai" w:cs="PT Bold Heading"/>
          <w:b/>
          <w:bCs/>
          <w:sz w:val="28"/>
          <w:szCs w:val="28"/>
          <w:rtl/>
        </w:rPr>
      </w:pPr>
      <w:r w:rsidRPr="00465FBD">
        <w:rPr>
          <w:rFonts w:ascii="Dubai" w:hAnsi="Dubai" w:cs="PT Bold Heading" w:hint="cs"/>
          <w:b/>
          <w:bCs/>
          <w:sz w:val="28"/>
          <w:szCs w:val="28"/>
          <w:rtl/>
        </w:rPr>
        <w:t xml:space="preserve">الحماية من التعذيب وإساءة المعاملة </w:t>
      </w:r>
    </w:p>
    <w:p w14:paraId="5664731E" w14:textId="77777777" w:rsidR="00271070" w:rsidRPr="004832EC" w:rsidRDefault="00271070" w:rsidP="00271070">
      <w:pPr>
        <w:bidi/>
        <w:jc w:val="both"/>
        <w:rPr>
          <w:sz w:val="28"/>
          <w:szCs w:val="28"/>
          <w:rtl/>
        </w:rPr>
      </w:pPr>
      <w:r w:rsidRPr="004832EC">
        <w:rPr>
          <w:sz w:val="28"/>
          <w:szCs w:val="28"/>
          <w:rtl/>
          <w:lang w:bidi="ar-EG"/>
        </w:rPr>
        <w:t>تحظر المادة 10 من الاتفاقية ممارسات التعذيب أو إساءة المعاملة ضد العمال المهاجرين وأفراد أسرهم</w:t>
      </w:r>
      <w:r>
        <w:rPr>
          <w:rFonts w:hint="cs"/>
          <w:sz w:val="28"/>
          <w:szCs w:val="28"/>
          <w:rtl/>
          <w:lang w:bidi="ar-EG"/>
        </w:rPr>
        <w:t>،</w:t>
      </w:r>
      <w:r w:rsidRPr="004832EC">
        <w:rPr>
          <w:sz w:val="28"/>
          <w:szCs w:val="28"/>
          <w:rtl/>
          <w:lang w:bidi="ar-EG"/>
        </w:rPr>
        <w:t xml:space="preserve"> ويثني التحالف على توافر ضمانات دستورية وتشريعية مختلفة لحظر التعذيب في مصر</w:t>
      </w:r>
      <w:r>
        <w:rPr>
          <w:rFonts w:hint="cs"/>
          <w:sz w:val="28"/>
          <w:szCs w:val="28"/>
          <w:rtl/>
          <w:lang w:bidi="ar-EG"/>
        </w:rPr>
        <w:t xml:space="preserve"> بما في ذلك الموجهة ضد المهاجرين</w:t>
      </w:r>
      <w:r w:rsidRPr="004832EC">
        <w:rPr>
          <w:sz w:val="28"/>
          <w:szCs w:val="28"/>
          <w:rtl/>
          <w:lang w:bidi="ar-EG"/>
        </w:rPr>
        <w:t>،</w:t>
      </w:r>
      <w:r w:rsidRPr="004832EC">
        <w:rPr>
          <w:sz w:val="28"/>
          <w:szCs w:val="28"/>
          <w:rtl/>
        </w:rPr>
        <w:t xml:space="preserve"> وتنص المادة 52 من الدستور المصري المعدل لعام 2019 على إن" التعذيب بجميع صوره وأشكاله، جريمة لا تسقط بالتقادم" وتنص المادة 60 من الدستور على إن “لجسد الإنسان حرمة، والاعتداء عليه، أو تشويهه، أو التمثيل به، جريمة يعاقب عليها القانون. ويحظر الاتجار بأعضائه، ولا يجوز إجراء أية تجربة طبية، أو علمية عليه بغير رضاه الحر الموثق، ووفقاً للأسس المستقرة في مجال العلوم الطبية، على النحو الذي ينظمه القانون</w:t>
      </w:r>
      <w:r w:rsidRPr="004832EC">
        <w:rPr>
          <w:rStyle w:val="FootnoteReference"/>
          <w:sz w:val="28"/>
          <w:szCs w:val="28"/>
          <w:rtl/>
        </w:rPr>
        <w:footnoteReference w:id="2"/>
      </w:r>
      <w:r w:rsidRPr="004832EC">
        <w:rPr>
          <w:sz w:val="28"/>
          <w:szCs w:val="28"/>
          <w:rtl/>
        </w:rPr>
        <w:t xml:space="preserve">. </w:t>
      </w:r>
    </w:p>
    <w:p w14:paraId="66A11A0A" w14:textId="77777777" w:rsidR="00271070" w:rsidRPr="00E34123" w:rsidRDefault="00271070" w:rsidP="00271070">
      <w:pPr>
        <w:bidi/>
        <w:jc w:val="both"/>
        <w:rPr>
          <w:color w:val="C00000"/>
          <w:sz w:val="28"/>
          <w:szCs w:val="28"/>
          <w:rtl/>
          <w:lang w:bidi="ar-EG"/>
        </w:rPr>
      </w:pPr>
      <w:r w:rsidRPr="004832EC">
        <w:rPr>
          <w:sz w:val="28"/>
          <w:szCs w:val="28"/>
          <w:rtl/>
        </w:rPr>
        <w:t xml:space="preserve">في السياق ذاته يلاحظ التحالف التطورات التشريعية الواردة </w:t>
      </w:r>
      <w:r w:rsidRPr="004832EC">
        <w:rPr>
          <w:rFonts w:hint="cs"/>
          <w:sz w:val="28"/>
          <w:szCs w:val="28"/>
          <w:rtl/>
        </w:rPr>
        <w:t>على</w:t>
      </w:r>
      <w:r w:rsidRPr="004832EC">
        <w:rPr>
          <w:sz w:val="28"/>
          <w:szCs w:val="28"/>
          <w:rtl/>
        </w:rPr>
        <w:t xml:space="preserve"> قانون العقوبات </w:t>
      </w:r>
      <w:r>
        <w:rPr>
          <w:rFonts w:hint="cs"/>
          <w:sz w:val="28"/>
          <w:szCs w:val="28"/>
          <w:rtl/>
        </w:rPr>
        <w:t xml:space="preserve">والتي </w:t>
      </w:r>
      <w:r w:rsidRPr="004832EC">
        <w:rPr>
          <w:sz w:val="28"/>
          <w:szCs w:val="28"/>
          <w:rtl/>
        </w:rPr>
        <w:t xml:space="preserve">تلغي أي شكل من أشكال التعذيب أو الإساءة البدنية وأخرهًا القانون 152 لسنة 2001 </w:t>
      </w:r>
      <w:r w:rsidRPr="004832EC">
        <w:rPr>
          <w:rFonts w:hint="cs"/>
          <w:sz w:val="28"/>
          <w:szCs w:val="28"/>
          <w:rtl/>
        </w:rPr>
        <w:t>الذي</w:t>
      </w:r>
      <w:r w:rsidRPr="004832EC">
        <w:rPr>
          <w:sz w:val="28"/>
          <w:szCs w:val="28"/>
          <w:rtl/>
        </w:rPr>
        <w:t xml:space="preserve"> يلغى عقوبة الجلد باعتبارها آخر أشكال العقوبات البدنية التي كانت مطبقة </w:t>
      </w:r>
      <w:r w:rsidRPr="004832EC">
        <w:rPr>
          <w:rFonts w:hint="cs"/>
          <w:sz w:val="28"/>
          <w:szCs w:val="28"/>
          <w:rtl/>
        </w:rPr>
        <w:t>في</w:t>
      </w:r>
      <w:r w:rsidRPr="004832EC">
        <w:rPr>
          <w:sz w:val="28"/>
          <w:szCs w:val="28"/>
          <w:rtl/>
        </w:rPr>
        <w:t xml:space="preserve"> السجون. كما تحظر المادة 63 من قانون العقوبات اي شكل من اشكال التحجج بأوامر الرؤساء لممارسة التعذيب ومن ثم، لا يجوز بأي حال التذرع بأوامر الرؤساء للإقدام على ممارسات التعذيب أو استعمال القسوة. كما يلاحظ التحالف إن المادة 126 من قانون العقوبات ترسخ لقاعدة عامة تتمثل في تجريم التعذيب الناجم عن أمر صادر من موظف أو قيام الأخير بذلك بنفسه، لتؤكد تجريم جميع صور التعذيب أو الممارسات التي ترقي لهذا الفعل التي قد يقدم عليها الرئيس وتؤدي إلى ارتكاب المرؤوس لممارسة التعذيب. كما يعد الشخص وفقا للقانون المصري مشتركًا في ارتكاب جريمة التعذيب متى حرض عليها أو اتفق مع غيره على الإقدام عليها أو ساعد الجاني على الإقدام على ممارسات التعذيب، ويعاقب عليها بذات العقوبة المقررة للفاعل الأصلي. </w:t>
      </w:r>
      <w:r w:rsidRPr="00BD642C">
        <w:rPr>
          <w:sz w:val="28"/>
          <w:szCs w:val="28"/>
          <w:rtl/>
        </w:rPr>
        <w:t xml:space="preserve">مع ذلك ورغم هذه الضمانات القانونية لا يزال التحالف يطلع </w:t>
      </w:r>
      <w:r w:rsidRPr="00BD642C">
        <w:rPr>
          <w:rFonts w:hint="cs"/>
          <w:sz w:val="28"/>
          <w:szCs w:val="28"/>
          <w:rtl/>
        </w:rPr>
        <w:t>على</w:t>
      </w:r>
      <w:r w:rsidRPr="00BD642C">
        <w:rPr>
          <w:sz w:val="28"/>
          <w:szCs w:val="28"/>
          <w:rtl/>
        </w:rPr>
        <w:t xml:space="preserve"> تقارير تفيد بإن</w:t>
      </w:r>
      <w:r w:rsidRPr="00BD642C">
        <w:rPr>
          <w:rFonts w:hint="cs"/>
          <w:sz w:val="28"/>
          <w:szCs w:val="28"/>
          <w:rtl/>
        </w:rPr>
        <w:t xml:space="preserve"> بعض</w:t>
      </w:r>
      <w:r w:rsidRPr="00BD642C">
        <w:rPr>
          <w:sz w:val="28"/>
          <w:szCs w:val="28"/>
          <w:rtl/>
        </w:rPr>
        <w:t xml:space="preserve"> العاملات المهاجرات وخاصة من الجنسية النيجرية </w:t>
      </w:r>
      <w:r w:rsidRPr="00BD642C">
        <w:rPr>
          <w:sz w:val="28"/>
          <w:szCs w:val="28"/>
          <w:rtl/>
          <w:lang w:bidi="ar-EG"/>
        </w:rPr>
        <w:t>واجهن ظروف عمل قاسية وممارسات تعسفية وإساءة معاملة من قبل أصحاب العمل</w:t>
      </w:r>
      <w:r w:rsidRPr="00BD642C">
        <w:rPr>
          <w:rStyle w:val="FootnoteReference"/>
          <w:sz w:val="28"/>
          <w:szCs w:val="28"/>
          <w:rtl/>
          <w:lang w:bidi="ar-EG"/>
        </w:rPr>
        <w:footnoteReference w:id="3"/>
      </w:r>
      <w:r w:rsidRPr="00BD642C">
        <w:rPr>
          <w:rFonts w:hint="cs"/>
          <w:sz w:val="28"/>
          <w:szCs w:val="28"/>
          <w:rtl/>
          <w:lang w:bidi="ar-EG"/>
        </w:rPr>
        <w:t>. ويلاحظ التحالف إنه حتى مع</w:t>
      </w:r>
      <w:r w:rsidRPr="00BD642C">
        <w:rPr>
          <w:sz w:val="28"/>
          <w:szCs w:val="28"/>
          <w:rtl/>
          <w:lang w:bidi="ar-EG"/>
        </w:rPr>
        <w:t xml:space="preserve"> وجود آليات </w:t>
      </w:r>
      <w:r w:rsidRPr="00BD642C">
        <w:rPr>
          <w:rFonts w:hint="cs"/>
          <w:sz w:val="28"/>
          <w:szCs w:val="28"/>
          <w:rtl/>
          <w:lang w:bidi="ar-EG"/>
        </w:rPr>
        <w:t>لإبلاغ الشكاوى فإن النساء المهاجرات</w:t>
      </w:r>
      <w:r w:rsidRPr="00BD642C">
        <w:rPr>
          <w:sz w:val="28"/>
          <w:szCs w:val="28"/>
          <w:rtl/>
          <w:lang w:bidi="ar-EG"/>
        </w:rPr>
        <w:t xml:space="preserve"> يترددن </w:t>
      </w:r>
      <w:r w:rsidRPr="00BD642C">
        <w:rPr>
          <w:rFonts w:hint="cs"/>
          <w:sz w:val="28"/>
          <w:szCs w:val="28"/>
          <w:rtl/>
        </w:rPr>
        <w:t>في</w:t>
      </w:r>
      <w:r w:rsidRPr="00BD642C">
        <w:rPr>
          <w:sz w:val="28"/>
          <w:szCs w:val="28"/>
          <w:rtl/>
        </w:rPr>
        <w:t xml:space="preserve"> طلب الخدمات المتعلقة بالعنف القائم على النوع الاجتماعي سواء طبية او قانونية خوفًا من الوصمة والانتقام من قبل الجناة</w:t>
      </w:r>
      <w:r w:rsidRPr="00BD642C">
        <w:rPr>
          <w:rStyle w:val="FootnoteReference"/>
          <w:sz w:val="28"/>
          <w:szCs w:val="28"/>
          <w:rtl/>
        </w:rPr>
        <w:footnoteReference w:id="4"/>
      </w:r>
      <w:r w:rsidRPr="00BD642C">
        <w:rPr>
          <w:rFonts w:hint="cs"/>
          <w:sz w:val="28"/>
          <w:szCs w:val="28"/>
          <w:rtl/>
          <w:lang w:bidi="ar-EG"/>
        </w:rPr>
        <w:t>.</w:t>
      </w:r>
    </w:p>
    <w:p w14:paraId="4D70F129" w14:textId="77777777" w:rsidR="00271070" w:rsidRPr="00465FBD" w:rsidRDefault="00271070" w:rsidP="00271070">
      <w:pPr>
        <w:pStyle w:val="ListParagraph"/>
        <w:numPr>
          <w:ilvl w:val="0"/>
          <w:numId w:val="30"/>
        </w:numPr>
        <w:pBdr>
          <w:bottom w:val="single" w:sz="18" w:space="1" w:color="auto"/>
        </w:pBdr>
        <w:bidi/>
        <w:spacing w:after="160" w:line="259" w:lineRule="auto"/>
        <w:ind w:left="288"/>
        <w:jc w:val="both"/>
        <w:rPr>
          <w:rFonts w:ascii="Dubai" w:hAnsi="Dubai" w:cs="PT Bold Heading"/>
          <w:b/>
          <w:bCs/>
          <w:sz w:val="28"/>
          <w:szCs w:val="28"/>
          <w:rtl/>
        </w:rPr>
      </w:pPr>
      <w:r w:rsidRPr="00465FBD">
        <w:rPr>
          <w:rFonts w:ascii="Dubai" w:hAnsi="Dubai" w:cs="PT Bold Heading" w:hint="cs"/>
          <w:b/>
          <w:bCs/>
          <w:sz w:val="28"/>
          <w:szCs w:val="28"/>
          <w:rtl/>
        </w:rPr>
        <w:lastRenderedPageBreak/>
        <w:t xml:space="preserve">خصوصية العمال المهاجرين </w:t>
      </w:r>
    </w:p>
    <w:p w14:paraId="00E09195" w14:textId="77777777" w:rsidR="00271070" w:rsidRDefault="00271070" w:rsidP="00271070">
      <w:pPr>
        <w:bidi/>
        <w:jc w:val="both"/>
        <w:rPr>
          <w:sz w:val="28"/>
          <w:szCs w:val="28"/>
          <w:rtl/>
        </w:rPr>
      </w:pPr>
      <w:r w:rsidRPr="00E209BF">
        <w:rPr>
          <w:sz w:val="28"/>
          <w:szCs w:val="28"/>
          <w:rtl/>
        </w:rPr>
        <w:t>تشدد المادة 14 من الاتفاقية على حماية الحياة الخاصة للعمال المهاجرين وأفراد أسرهم</w:t>
      </w:r>
      <w:r>
        <w:rPr>
          <w:rFonts w:hint="cs"/>
          <w:sz w:val="28"/>
          <w:szCs w:val="28"/>
          <w:rtl/>
        </w:rPr>
        <w:t xml:space="preserve"> والعناية بخصوصية المهاجرين</w:t>
      </w:r>
      <w:r w:rsidRPr="00E209BF">
        <w:rPr>
          <w:sz w:val="28"/>
          <w:szCs w:val="28"/>
          <w:rtl/>
        </w:rPr>
        <w:t xml:space="preserve">. ويلاحظ التحالف أن </w:t>
      </w:r>
      <w:r>
        <w:rPr>
          <w:rFonts w:hint="cs"/>
          <w:sz w:val="28"/>
          <w:szCs w:val="28"/>
          <w:rtl/>
        </w:rPr>
        <w:t>الحكومة المصرية</w:t>
      </w:r>
      <w:r w:rsidRPr="00E209BF">
        <w:rPr>
          <w:sz w:val="28"/>
          <w:szCs w:val="28"/>
          <w:rtl/>
        </w:rPr>
        <w:t xml:space="preserve"> تتخذ خطوات فعالة نحو الوصول إلى التطبيق الأمثل لهذه المادة. وفي هذا الخصوص أصدرت إحدى محاكم الجنح ب</w:t>
      </w:r>
      <w:r>
        <w:rPr>
          <w:rFonts w:hint="cs"/>
          <w:sz w:val="28"/>
          <w:szCs w:val="28"/>
          <w:rtl/>
        </w:rPr>
        <w:t xml:space="preserve">محافظة </w:t>
      </w:r>
      <w:r w:rsidRPr="00E209BF">
        <w:rPr>
          <w:sz w:val="28"/>
          <w:szCs w:val="28"/>
          <w:rtl/>
        </w:rPr>
        <w:t>الجيزة في يوليو من العام 2020، حكماً بالحبس لمدة عامين والغرامة 100 ألف جنيه على شخصين بعد أدانتهما بالاعتداء على طفل مهاجر من جنوب السودان يبلغ من العمر 14 عاماً بمنطقة أرض اللواء بمحافظة الجيزة، بجانب سرقة متعلقاته ورميه بالحجارة مما تسبب في إصابته بجروح متفرقة في جسده مع توجيه عبارات عنصرية تجاهه، وهو ما اعتبرته السلطات القضائية انتهاكاً لخصوصيته ضمن أوجه الاتهام الأخرى.</w:t>
      </w:r>
      <w:r>
        <w:rPr>
          <w:rFonts w:hint="cs"/>
          <w:sz w:val="28"/>
          <w:szCs w:val="28"/>
          <w:rtl/>
        </w:rPr>
        <w:t xml:space="preserve"> </w:t>
      </w:r>
      <w:r w:rsidRPr="00E209BF">
        <w:rPr>
          <w:sz w:val="28"/>
          <w:szCs w:val="28"/>
          <w:vertAlign w:val="superscript"/>
        </w:rPr>
        <w:t xml:space="preserve"> </w:t>
      </w:r>
      <w:r w:rsidRPr="00E209BF">
        <w:rPr>
          <w:sz w:val="28"/>
          <w:szCs w:val="28"/>
          <w:vertAlign w:val="superscript"/>
        </w:rPr>
        <w:footnoteReference w:id="5"/>
      </w:r>
      <w:r w:rsidRPr="00E209BF">
        <w:rPr>
          <w:sz w:val="28"/>
          <w:szCs w:val="28"/>
          <w:rtl/>
        </w:rPr>
        <w:t xml:space="preserve">وفي أعقاب هذه الحادثة، قدمت الحكومة المصرية تعديلاً على قانون العقوبات، والذي حظي حينها بموافقة مجلس النواب. وفقًا لهذا التعديل، تم تعريف جريمة التنمر بأنها استخدام القوة أو السيطرة من قبل الجاني، واستغلال ضعف أو ظروف معينة للمجني عليه، بما في ذلك الجنس أو الدين أو العرق أو الأوصاف الجسدية، والحالة الصحية أو العقلية أو المستوى الاجتماعي. واشتمل التعريف على أن استغلال أي من هذه العوامل بهدف الترهيب أو السخرية أو الحط من قدر الشخص أو استبعاده اجتماعيًا يُعد جريمة تنمر. يُعاقب على هذه الجريمة بالسجن لمدة لا تقل عن ستة أشهر، وغرامة تتراوح بين </w:t>
      </w:r>
      <w:r>
        <w:rPr>
          <w:rFonts w:hint="cs"/>
          <w:sz w:val="28"/>
          <w:szCs w:val="28"/>
          <w:rtl/>
        </w:rPr>
        <w:t>10 آلاف إلى 30 ألف جنيه</w:t>
      </w:r>
      <w:r w:rsidRPr="00E209BF">
        <w:rPr>
          <w:sz w:val="28"/>
          <w:szCs w:val="28"/>
          <w:rtl/>
        </w:rPr>
        <w:t>، أو بإحدى هاتين العقوبتين</w:t>
      </w:r>
      <w:r>
        <w:rPr>
          <w:rFonts w:hint="cs"/>
          <w:sz w:val="28"/>
          <w:szCs w:val="28"/>
          <w:rtl/>
        </w:rPr>
        <w:t xml:space="preserve">. </w:t>
      </w:r>
    </w:p>
    <w:p w14:paraId="423DB2E2" w14:textId="77777777" w:rsidR="00271070" w:rsidRPr="00465FBD" w:rsidRDefault="00271070" w:rsidP="00271070">
      <w:pPr>
        <w:pStyle w:val="ListParagraph"/>
        <w:numPr>
          <w:ilvl w:val="0"/>
          <w:numId w:val="30"/>
        </w:numPr>
        <w:pBdr>
          <w:bottom w:val="single" w:sz="18" w:space="1" w:color="auto"/>
        </w:pBdr>
        <w:bidi/>
        <w:spacing w:after="160" w:line="259" w:lineRule="auto"/>
        <w:jc w:val="both"/>
        <w:rPr>
          <w:rFonts w:ascii="Dubai" w:hAnsi="Dubai" w:cs="PT Bold Heading"/>
          <w:b/>
          <w:bCs/>
          <w:sz w:val="28"/>
          <w:szCs w:val="28"/>
          <w:rtl/>
        </w:rPr>
      </w:pPr>
      <w:r w:rsidRPr="00465FBD">
        <w:rPr>
          <w:rFonts w:ascii="Dubai" w:hAnsi="Dubai" w:cs="PT Bold Heading"/>
          <w:b/>
          <w:bCs/>
          <w:sz w:val="28"/>
          <w:szCs w:val="28"/>
          <w:rtl/>
        </w:rPr>
        <w:t xml:space="preserve">المساواة أمام </w:t>
      </w:r>
      <w:r w:rsidRPr="00465FBD">
        <w:rPr>
          <w:rFonts w:ascii="Dubai" w:hAnsi="Dubai" w:cs="PT Bold Heading" w:hint="cs"/>
          <w:b/>
          <w:bCs/>
          <w:sz w:val="28"/>
          <w:szCs w:val="28"/>
          <w:rtl/>
        </w:rPr>
        <w:t xml:space="preserve">المحاكم </w:t>
      </w:r>
    </w:p>
    <w:p w14:paraId="540452F5" w14:textId="77777777" w:rsidR="00271070" w:rsidRPr="00F02B9B" w:rsidRDefault="00271070" w:rsidP="00271070">
      <w:pPr>
        <w:bidi/>
        <w:jc w:val="both"/>
        <w:rPr>
          <w:b/>
          <w:sz w:val="28"/>
          <w:szCs w:val="28"/>
          <w:lang w:bidi="ar-EG"/>
        </w:rPr>
      </w:pPr>
      <w:r w:rsidRPr="00F02B9B">
        <w:rPr>
          <w:b/>
          <w:sz w:val="28"/>
          <w:szCs w:val="28"/>
          <w:rtl/>
          <w:lang w:bidi="ar-EG"/>
        </w:rPr>
        <w:t xml:space="preserve">تلتزم مصر وفقاً لدستورها وقوانينها بمبدأ المساواة أمام القضاء بغض النظر عن جنسية المتقاضين أو وضعيتهم القانونية، كما تعمل الأجهزة القضائية </w:t>
      </w:r>
      <w:r>
        <w:rPr>
          <w:rFonts w:hint="cs"/>
          <w:b/>
          <w:sz w:val="28"/>
          <w:szCs w:val="28"/>
          <w:rtl/>
          <w:lang w:bidi="ar-EG"/>
        </w:rPr>
        <w:t xml:space="preserve">في </w:t>
      </w:r>
      <w:r w:rsidRPr="00F02B9B">
        <w:rPr>
          <w:b/>
          <w:sz w:val="28"/>
          <w:szCs w:val="28"/>
          <w:rtl/>
          <w:lang w:bidi="ar-EG"/>
        </w:rPr>
        <w:t>مصر على صون وحماية حقوق المهاجرين تماماً كالمواطنين المصريين.</w:t>
      </w:r>
      <w:r>
        <w:rPr>
          <w:rFonts w:hint="cs"/>
          <w:b/>
          <w:sz w:val="28"/>
          <w:szCs w:val="28"/>
          <w:rtl/>
          <w:lang w:bidi="ar-EG"/>
        </w:rPr>
        <w:t xml:space="preserve"> ويحظى المهاجرون في مصر</w:t>
      </w:r>
      <w:r w:rsidRPr="00F02B9B">
        <w:rPr>
          <w:b/>
          <w:sz w:val="28"/>
          <w:szCs w:val="28"/>
          <w:rtl/>
          <w:lang w:bidi="ar-EG"/>
        </w:rPr>
        <w:t xml:space="preserve"> حتى الذين هم في وضع غير نظامي بالحقوق المقررة للعمالة الوطنية من حيث تقديم شكاوى إلى مكاتب العمل، والمحاكم العمالية على نحو متساو مع العمال المصريين، </w:t>
      </w:r>
      <w:r>
        <w:rPr>
          <w:rFonts w:hint="cs"/>
          <w:b/>
          <w:sz w:val="28"/>
          <w:szCs w:val="28"/>
          <w:rtl/>
          <w:lang w:bidi="ar-EG"/>
        </w:rPr>
        <w:t xml:space="preserve">ويحظى العمال المهاجرون حتى </w:t>
      </w:r>
      <w:r w:rsidRPr="00C61359">
        <w:rPr>
          <w:rFonts w:hint="cs"/>
          <w:b/>
          <w:sz w:val="28"/>
          <w:szCs w:val="28"/>
          <w:rtl/>
          <w:lang w:bidi="ar-EG"/>
        </w:rPr>
        <w:t>ولو</w:t>
      </w:r>
      <w:r w:rsidRPr="00C61359">
        <w:rPr>
          <w:b/>
          <w:sz w:val="28"/>
          <w:szCs w:val="28"/>
          <w:rtl/>
          <w:lang w:bidi="ar-EG"/>
        </w:rPr>
        <w:t xml:space="preserve"> كانوا من غير النظاميين بالحقوق المقررة للعمالة الوطنية من حيث تقديم شكاوى إلى مكاتب العمل، والمحاكم العمالية حيث أنهم خاضعين على قدم المساواة مع العمال المصريين</w:t>
      </w:r>
      <w:r>
        <w:rPr>
          <w:rFonts w:hint="cs"/>
          <w:b/>
          <w:sz w:val="28"/>
          <w:szCs w:val="28"/>
          <w:rtl/>
          <w:lang w:bidi="ar-EG"/>
        </w:rPr>
        <w:t xml:space="preserve">. </w:t>
      </w:r>
      <w:r w:rsidRPr="00F02B9B">
        <w:rPr>
          <w:b/>
          <w:sz w:val="28"/>
          <w:szCs w:val="28"/>
          <w:rtl/>
          <w:lang w:bidi="ar-EG"/>
        </w:rPr>
        <w:t>في سياق متصل عاقبت</w:t>
      </w:r>
      <w:r w:rsidRPr="00F02B9B">
        <w:rPr>
          <w:sz w:val="28"/>
          <w:szCs w:val="28"/>
          <w:rtl/>
        </w:rPr>
        <w:t xml:space="preserve"> محكمة جنايات مدينة نصر عامل نظافة مصري بالإعدام في إبريل 2024 </w:t>
      </w:r>
      <w:r>
        <w:rPr>
          <w:rFonts w:hint="cs"/>
          <w:sz w:val="28"/>
          <w:szCs w:val="28"/>
          <w:rtl/>
        </w:rPr>
        <w:t>بعد إقدامه علي ارتكاب</w:t>
      </w:r>
      <w:r w:rsidRPr="00F02B9B">
        <w:rPr>
          <w:sz w:val="28"/>
          <w:szCs w:val="28"/>
          <w:rtl/>
        </w:rPr>
        <w:t xml:space="preserve"> </w:t>
      </w:r>
      <w:r>
        <w:rPr>
          <w:rFonts w:hint="cs"/>
          <w:sz w:val="28"/>
          <w:szCs w:val="28"/>
          <w:rtl/>
        </w:rPr>
        <w:t>جريمة</w:t>
      </w:r>
      <w:r w:rsidRPr="00F02B9B">
        <w:rPr>
          <w:sz w:val="28"/>
          <w:szCs w:val="28"/>
          <w:rtl/>
        </w:rPr>
        <w:t xml:space="preserve"> هتك عرض رضيعة سودانية تبلغ من العمر عشرة أشهر وقتلها خنقاً، وذلك بعد أن اختطفها من أمام مسكنها بأحد أحياء مدينة نصر </w:t>
      </w:r>
      <w:r w:rsidRPr="00F02B9B">
        <w:rPr>
          <w:rFonts w:hint="cs"/>
          <w:sz w:val="28"/>
          <w:szCs w:val="28"/>
          <w:rtl/>
        </w:rPr>
        <w:t>واصطحابه</w:t>
      </w:r>
      <w:r w:rsidRPr="00F02B9B">
        <w:rPr>
          <w:rFonts w:hint="eastAsia"/>
          <w:sz w:val="28"/>
          <w:szCs w:val="28"/>
          <w:rtl/>
        </w:rPr>
        <w:t>ا</w:t>
      </w:r>
      <w:r w:rsidRPr="00F02B9B">
        <w:rPr>
          <w:sz w:val="28"/>
          <w:szCs w:val="28"/>
          <w:rtl/>
        </w:rPr>
        <w:t xml:space="preserve"> إلى إحدى الحدائق المجاورة للمسكن حيث قام بارتكاب جريمته.</w:t>
      </w:r>
      <w:r w:rsidRPr="00F02B9B">
        <w:rPr>
          <w:sz w:val="28"/>
          <w:szCs w:val="28"/>
          <w:vertAlign w:val="superscript"/>
        </w:rPr>
        <w:footnoteReference w:id="6"/>
      </w:r>
      <w:r w:rsidRPr="00F02B9B">
        <w:rPr>
          <w:sz w:val="28"/>
          <w:szCs w:val="28"/>
        </w:rPr>
        <w:t xml:space="preserve"> </w:t>
      </w:r>
      <w:r w:rsidRPr="00F02B9B">
        <w:rPr>
          <w:sz w:val="28"/>
          <w:szCs w:val="28"/>
          <w:vertAlign w:val="superscript"/>
        </w:rPr>
        <w:footnoteReference w:id="7"/>
      </w:r>
      <w:r w:rsidRPr="00F02B9B">
        <w:rPr>
          <w:b/>
          <w:sz w:val="28"/>
          <w:szCs w:val="28"/>
          <w:rtl/>
          <w:lang w:bidi="ar-EG"/>
        </w:rPr>
        <w:t xml:space="preserve">في سياق متصل، </w:t>
      </w:r>
      <w:r w:rsidRPr="00F02B9B">
        <w:rPr>
          <w:rFonts w:hint="cs"/>
          <w:b/>
          <w:sz w:val="28"/>
          <w:szCs w:val="28"/>
          <w:rtl/>
          <w:lang w:bidi="ar-EG"/>
        </w:rPr>
        <w:t>وبالاطلاع</w:t>
      </w:r>
      <w:r w:rsidRPr="00F02B9B">
        <w:rPr>
          <w:b/>
          <w:sz w:val="28"/>
          <w:szCs w:val="28"/>
          <w:rtl/>
          <w:lang w:bidi="ar-EG"/>
        </w:rPr>
        <w:t xml:space="preserve"> على الأحكام الخاصة بحق التقاضي في الدستور المصري </w:t>
      </w:r>
      <w:r>
        <w:rPr>
          <w:rFonts w:hint="cs"/>
          <w:b/>
          <w:sz w:val="28"/>
          <w:szCs w:val="28"/>
          <w:rtl/>
          <w:lang w:bidi="ar-EG"/>
        </w:rPr>
        <w:t>لعام 2014 المعدل في عام 2019</w:t>
      </w:r>
      <w:r w:rsidRPr="00F02B9B">
        <w:rPr>
          <w:b/>
          <w:sz w:val="28"/>
          <w:szCs w:val="28"/>
          <w:rtl/>
          <w:lang w:bidi="ar-EG"/>
        </w:rPr>
        <w:t xml:space="preserve">، يلاحظ التحالف أن </w:t>
      </w:r>
      <w:r>
        <w:rPr>
          <w:rFonts w:hint="cs"/>
          <w:b/>
          <w:sz w:val="28"/>
          <w:szCs w:val="28"/>
          <w:rtl/>
          <w:lang w:bidi="ar-EG"/>
        </w:rPr>
        <w:t>العبارات</w:t>
      </w:r>
      <w:r w:rsidRPr="00F02B9B">
        <w:rPr>
          <w:b/>
          <w:sz w:val="28"/>
          <w:szCs w:val="28"/>
          <w:rtl/>
          <w:lang w:bidi="ar-EG"/>
        </w:rPr>
        <w:t xml:space="preserve"> الواردة بالمواد 54 و55 جاءت عامة وشاملة وغير مقتصرة على المواطنين المصريين فقط، وهو ما يعزز من نفاذ المادة 18 من الاتفاقية داخل الأوساط القضائية في مصر.</w:t>
      </w:r>
      <w:r w:rsidRPr="00F02B9B">
        <w:rPr>
          <w:rStyle w:val="FootnoteReference"/>
          <w:b/>
          <w:sz w:val="28"/>
          <w:szCs w:val="28"/>
          <w:rtl/>
          <w:lang w:bidi="ar-EG"/>
        </w:rPr>
        <w:footnoteReference w:id="8"/>
      </w:r>
      <w:r>
        <w:rPr>
          <w:rFonts w:hint="cs"/>
          <w:b/>
          <w:sz w:val="28"/>
          <w:szCs w:val="28"/>
          <w:rtl/>
          <w:lang w:bidi="ar-EG"/>
        </w:rPr>
        <w:t xml:space="preserve"> وتساعد هذه الضمانات علي تنفيذ مصر للمادة 24 من أحكام الاتفاقية. </w:t>
      </w:r>
    </w:p>
    <w:p w14:paraId="44EF518D" w14:textId="77777777" w:rsidR="00271070" w:rsidRPr="00465FBD" w:rsidRDefault="00271070" w:rsidP="00271070">
      <w:pPr>
        <w:pStyle w:val="ListParagraph"/>
        <w:numPr>
          <w:ilvl w:val="0"/>
          <w:numId w:val="30"/>
        </w:numPr>
        <w:pBdr>
          <w:bottom w:val="single" w:sz="18" w:space="1" w:color="auto"/>
        </w:pBdr>
        <w:bidi/>
        <w:spacing w:after="160" w:line="259" w:lineRule="auto"/>
        <w:ind w:left="288"/>
        <w:jc w:val="both"/>
        <w:rPr>
          <w:rFonts w:ascii="Dubai" w:hAnsi="Dubai" w:cs="PT Bold Heading"/>
          <w:b/>
          <w:bCs/>
          <w:sz w:val="28"/>
          <w:szCs w:val="28"/>
          <w:rtl/>
        </w:rPr>
      </w:pPr>
      <w:r w:rsidRPr="00465FBD">
        <w:rPr>
          <w:rFonts w:ascii="Dubai" w:hAnsi="Dubai" w:cs="PT Bold Heading"/>
          <w:b/>
          <w:bCs/>
          <w:sz w:val="28"/>
          <w:szCs w:val="28"/>
          <w:rtl/>
        </w:rPr>
        <w:t xml:space="preserve">الوصول للتعليم </w:t>
      </w:r>
    </w:p>
    <w:p w14:paraId="2C18722E" w14:textId="77777777" w:rsidR="00271070" w:rsidRDefault="00271070" w:rsidP="00271070">
      <w:pPr>
        <w:bidi/>
        <w:jc w:val="both"/>
        <w:rPr>
          <w:sz w:val="28"/>
          <w:szCs w:val="28"/>
          <w:rtl/>
        </w:rPr>
      </w:pPr>
      <w:r w:rsidRPr="00E246EE">
        <w:rPr>
          <w:b/>
          <w:sz w:val="28"/>
          <w:szCs w:val="28"/>
          <w:rtl/>
          <w:lang w:bidi="ar-EG"/>
        </w:rPr>
        <w:t xml:space="preserve">يلاحظ التحالف بإيجابية </w:t>
      </w:r>
      <w:r>
        <w:rPr>
          <w:rFonts w:hint="cs"/>
          <w:b/>
          <w:sz w:val="28"/>
          <w:szCs w:val="28"/>
          <w:rtl/>
          <w:lang w:bidi="ar-EG"/>
        </w:rPr>
        <w:t>تيسير</w:t>
      </w:r>
      <w:r w:rsidRPr="00E246EE">
        <w:rPr>
          <w:b/>
          <w:sz w:val="28"/>
          <w:szCs w:val="28"/>
          <w:rtl/>
          <w:lang w:bidi="ar-EG"/>
        </w:rPr>
        <w:t xml:space="preserve"> مصر لتلقي المهاجرين للتعليم بما في ذلك السماح بالمنح الموجهة لتعزيز الحق في التعليم للأجانب في مصر بما في ذلك اللاجئين. </w:t>
      </w:r>
      <w:r>
        <w:rPr>
          <w:rFonts w:hint="cs"/>
          <w:b/>
          <w:sz w:val="28"/>
          <w:szCs w:val="28"/>
          <w:rtl/>
          <w:lang w:bidi="ar-EG"/>
        </w:rPr>
        <w:t>وفي 30 سبتمبر 2024 أعلنت</w:t>
      </w:r>
      <w:r w:rsidRPr="00E978CF">
        <w:rPr>
          <w:b/>
          <w:sz w:val="28"/>
          <w:szCs w:val="28"/>
          <w:rtl/>
          <w:lang w:bidi="ar-EG"/>
        </w:rPr>
        <w:t xml:space="preserve"> الحكومة المصرية بالتعاون مع الأمم المتحدة والاتحاد الأوروبي</w:t>
      </w:r>
      <w:r>
        <w:rPr>
          <w:rFonts w:hint="cs"/>
          <w:b/>
          <w:sz w:val="28"/>
          <w:szCs w:val="28"/>
          <w:rtl/>
          <w:lang w:bidi="ar-EG"/>
        </w:rPr>
        <w:t xml:space="preserve"> عن إطلاق</w:t>
      </w:r>
      <w:r w:rsidRPr="00E978CF">
        <w:rPr>
          <w:b/>
          <w:sz w:val="28"/>
          <w:szCs w:val="28"/>
          <w:rtl/>
          <w:lang w:bidi="ar-EG"/>
        </w:rPr>
        <w:t xml:space="preserve"> برنامجاً مشتركاً </w:t>
      </w:r>
      <w:r>
        <w:rPr>
          <w:rFonts w:hint="cs"/>
          <w:b/>
          <w:sz w:val="28"/>
          <w:szCs w:val="28"/>
          <w:rtl/>
          <w:lang w:bidi="ar-EG"/>
        </w:rPr>
        <w:t>بمنحة تقدر بنحو</w:t>
      </w:r>
      <w:r w:rsidRPr="00E978CF">
        <w:rPr>
          <w:b/>
          <w:sz w:val="28"/>
          <w:szCs w:val="28"/>
          <w:rtl/>
          <w:lang w:bidi="ar-EG"/>
        </w:rPr>
        <w:t xml:space="preserve"> 12.2 مليون يورو من الاتحاد الأوروبي، </w:t>
      </w:r>
      <w:r>
        <w:rPr>
          <w:rFonts w:hint="cs"/>
          <w:b/>
          <w:sz w:val="28"/>
          <w:szCs w:val="28"/>
          <w:rtl/>
          <w:lang w:bidi="ar-EG"/>
        </w:rPr>
        <w:lastRenderedPageBreak/>
        <w:t>يحاول البرنامج تلبية</w:t>
      </w:r>
      <w:r w:rsidRPr="00E978CF">
        <w:rPr>
          <w:b/>
          <w:sz w:val="28"/>
          <w:szCs w:val="28"/>
          <w:rtl/>
          <w:lang w:bidi="ar-EG"/>
        </w:rPr>
        <w:t xml:space="preserve"> الاحتياجات </w:t>
      </w:r>
      <w:r w:rsidRPr="0009574F">
        <w:rPr>
          <w:b/>
          <w:sz w:val="28"/>
          <w:szCs w:val="28"/>
          <w:rtl/>
          <w:lang w:bidi="ar-EG"/>
        </w:rPr>
        <w:t xml:space="preserve">الأساسية </w:t>
      </w:r>
      <w:r w:rsidRPr="0009574F">
        <w:rPr>
          <w:rFonts w:hint="cs"/>
          <w:b/>
          <w:sz w:val="28"/>
          <w:szCs w:val="28"/>
          <w:rtl/>
          <w:lang w:bidi="ar-EG"/>
        </w:rPr>
        <w:t>بما في ذلك التعليم</w:t>
      </w:r>
      <w:r w:rsidRPr="0009574F">
        <w:rPr>
          <w:b/>
          <w:sz w:val="28"/>
          <w:szCs w:val="28"/>
          <w:rtl/>
          <w:lang w:bidi="ar-EG"/>
        </w:rPr>
        <w:t xml:space="preserve"> وتعزيز </w:t>
      </w:r>
      <w:r w:rsidRPr="00E978CF">
        <w:rPr>
          <w:b/>
          <w:sz w:val="28"/>
          <w:szCs w:val="28"/>
          <w:rtl/>
          <w:lang w:bidi="ar-EG"/>
        </w:rPr>
        <w:t>القدرة على صمود والحماية للاجئين والمهاجرين وطالبي اللجوء في أوضاع هشة في مصر</w:t>
      </w:r>
      <w:r>
        <w:rPr>
          <w:rFonts w:hint="cs"/>
          <w:b/>
          <w:sz w:val="28"/>
          <w:szCs w:val="28"/>
          <w:rtl/>
          <w:lang w:bidi="ar-EG"/>
        </w:rPr>
        <w:t>، و</w:t>
      </w:r>
      <w:r w:rsidRPr="00B760F8">
        <w:rPr>
          <w:b/>
          <w:sz w:val="28"/>
          <w:szCs w:val="28"/>
          <w:rtl/>
          <w:lang w:bidi="ar-EG"/>
        </w:rPr>
        <w:t xml:space="preserve">يعتمد البرنامج المشترك للأمم المتحدة على توصيات تقرير تحليل الأوضاع العامة للخدمات التعليمية والصحية التي تقدم للمهاجرين واللاجئين في مصر الذي </w:t>
      </w:r>
      <w:r>
        <w:rPr>
          <w:rFonts w:hint="cs"/>
          <w:b/>
          <w:sz w:val="28"/>
          <w:szCs w:val="28"/>
          <w:rtl/>
          <w:lang w:bidi="ar-EG"/>
        </w:rPr>
        <w:t>أعٌد</w:t>
      </w:r>
      <w:r w:rsidRPr="00B760F8">
        <w:rPr>
          <w:b/>
          <w:sz w:val="28"/>
          <w:szCs w:val="28"/>
          <w:rtl/>
          <w:lang w:bidi="ar-EG"/>
        </w:rPr>
        <w:t xml:space="preserve"> في عام 2022</w:t>
      </w:r>
      <w:r>
        <w:rPr>
          <w:rStyle w:val="FootnoteReference"/>
          <w:b/>
          <w:sz w:val="28"/>
          <w:szCs w:val="28"/>
          <w:rtl/>
          <w:lang w:bidi="ar-EG"/>
        </w:rPr>
        <w:footnoteReference w:id="9"/>
      </w:r>
      <w:r>
        <w:rPr>
          <w:rFonts w:hint="cs"/>
          <w:b/>
          <w:sz w:val="28"/>
          <w:szCs w:val="28"/>
          <w:rtl/>
          <w:lang w:bidi="ar-EG"/>
        </w:rPr>
        <w:t>، ومن شأن تنفيذ البرنامج أن يعزز من تنفيذ المادة 30 من الاتفاقية وخاصة للأطفال المهاجرين. و</w:t>
      </w:r>
      <w:r w:rsidRPr="00E246EE">
        <w:rPr>
          <w:sz w:val="28"/>
          <w:szCs w:val="28"/>
          <w:rtl/>
        </w:rPr>
        <w:t>في 23 ديسمبر 2023 وافق صندوق التعليم لا ينتظر عن منحة بقيمة 2 مليون دولار لمدة عام لصالح تعزيز تعليم أكثر من 20 ألف لاجئ سوداني في أربع محافظات وهم أسوان والقاهرة والجيزة والإسكندرية</w:t>
      </w:r>
      <w:r w:rsidRPr="00E246EE">
        <w:rPr>
          <w:rStyle w:val="FootnoteReference"/>
          <w:sz w:val="28"/>
          <w:szCs w:val="28"/>
          <w:rtl/>
        </w:rPr>
        <w:footnoteReference w:id="10"/>
      </w:r>
      <w:r w:rsidRPr="00E246EE">
        <w:rPr>
          <w:sz w:val="28"/>
          <w:szCs w:val="28"/>
          <w:rtl/>
        </w:rPr>
        <w:t>.</w:t>
      </w:r>
      <w:r>
        <w:rPr>
          <w:rFonts w:hint="cs"/>
          <w:sz w:val="28"/>
          <w:szCs w:val="28"/>
          <w:rtl/>
        </w:rPr>
        <w:t xml:space="preserve"> </w:t>
      </w:r>
      <w:r w:rsidRPr="00E246EE">
        <w:rPr>
          <w:sz w:val="28"/>
          <w:szCs w:val="28"/>
          <w:rtl/>
          <w:lang w:bidi="ar-EG"/>
        </w:rPr>
        <w:t>كما يتم تنفيذ برنامج استعادة التعلم الذي يستهدف تدريب 200 معُلم</w:t>
      </w:r>
      <w:r>
        <w:rPr>
          <w:rFonts w:hint="cs"/>
          <w:sz w:val="28"/>
          <w:szCs w:val="28"/>
          <w:rtl/>
          <w:lang w:bidi="ar-EG"/>
        </w:rPr>
        <w:t xml:space="preserve"> من المهاجرين</w:t>
      </w:r>
      <w:r w:rsidRPr="00E246EE">
        <w:rPr>
          <w:sz w:val="28"/>
          <w:szCs w:val="28"/>
          <w:rtl/>
          <w:lang w:bidi="ar-EG"/>
        </w:rPr>
        <w:t xml:space="preserve"> للوصول </w:t>
      </w:r>
      <w:r w:rsidRPr="00E246EE">
        <w:rPr>
          <w:rFonts w:hint="cs"/>
          <w:sz w:val="28"/>
          <w:szCs w:val="28"/>
          <w:rtl/>
          <w:lang w:bidi="ar-EG"/>
        </w:rPr>
        <w:t>إلى</w:t>
      </w:r>
      <w:r w:rsidRPr="00E246EE">
        <w:rPr>
          <w:sz w:val="28"/>
          <w:szCs w:val="28"/>
          <w:rtl/>
          <w:lang w:bidi="ar-EG"/>
        </w:rPr>
        <w:t xml:space="preserve"> 4 آلاف طالب بتعاون بين وزارة التربية والتعليم وشركاءها </w:t>
      </w:r>
      <w:r w:rsidRPr="00E246EE">
        <w:rPr>
          <w:b/>
          <w:sz w:val="28"/>
          <w:szCs w:val="28"/>
          <w:rtl/>
          <w:lang w:bidi="ar-EG"/>
        </w:rPr>
        <w:t xml:space="preserve">لدعم الوصول إلى التعليم الأساسي وخدمات حماية </w:t>
      </w:r>
      <w:r>
        <w:rPr>
          <w:rFonts w:hint="cs"/>
          <w:b/>
          <w:sz w:val="28"/>
          <w:szCs w:val="28"/>
          <w:rtl/>
          <w:lang w:bidi="ar-EG"/>
        </w:rPr>
        <w:t>ا</w:t>
      </w:r>
      <w:r w:rsidRPr="00E246EE">
        <w:rPr>
          <w:b/>
          <w:sz w:val="28"/>
          <w:szCs w:val="28"/>
          <w:rtl/>
          <w:lang w:bidi="ar-EG"/>
        </w:rPr>
        <w:t xml:space="preserve">لأطفال اللاجئين والمهاجرين وأسرهم وغيرهم من السكان </w:t>
      </w:r>
      <w:r>
        <w:rPr>
          <w:rFonts w:hint="cs"/>
          <w:b/>
          <w:sz w:val="28"/>
          <w:szCs w:val="28"/>
          <w:rtl/>
          <w:lang w:bidi="ar-EG"/>
        </w:rPr>
        <w:t>في حالة ضعف</w:t>
      </w:r>
      <w:r w:rsidRPr="00E246EE">
        <w:rPr>
          <w:b/>
          <w:sz w:val="28"/>
          <w:szCs w:val="28"/>
          <w:rtl/>
          <w:lang w:bidi="ar-EG"/>
        </w:rPr>
        <w:t xml:space="preserve"> في مصر. </w:t>
      </w:r>
      <w:r w:rsidRPr="00E246EE">
        <w:rPr>
          <w:sz w:val="28"/>
          <w:szCs w:val="28"/>
          <w:rtl/>
        </w:rPr>
        <w:t xml:space="preserve">تأتي هذه التسهيلات انطلاقا من اعتراف مصر بأحقية الأطفال المهاجرين في التعليم على أساس المساواة مع الطلاب المصريين، </w:t>
      </w:r>
      <w:r>
        <w:rPr>
          <w:rFonts w:hint="cs"/>
          <w:sz w:val="28"/>
          <w:szCs w:val="28"/>
          <w:rtl/>
        </w:rPr>
        <w:t>و</w:t>
      </w:r>
      <w:r w:rsidRPr="00E246EE">
        <w:rPr>
          <w:sz w:val="28"/>
          <w:szCs w:val="28"/>
          <w:rtl/>
        </w:rPr>
        <w:t xml:space="preserve">يأتي ذلك في ظل منح وزارة التعليم المصرية بعض الامتيازات للطلاب من دول معينة مثل اليمن وسوريا والسودان وجنوب السودان؛ حيث قررت الوزارة منذ نوفمبر 2013 اعتبار الطلاب السوريين المسجلين لدى </w:t>
      </w:r>
      <w:r w:rsidRPr="00E246EE">
        <w:rPr>
          <w:sz w:val="28"/>
          <w:szCs w:val="28"/>
          <w:rtl/>
          <w:lang w:bidi="ar-EG"/>
        </w:rPr>
        <w:t xml:space="preserve">المفوضية السامية لشؤون اللاجئين </w:t>
      </w:r>
      <w:r w:rsidRPr="00E246EE">
        <w:rPr>
          <w:sz w:val="28"/>
          <w:szCs w:val="28"/>
          <w:rtl/>
        </w:rPr>
        <w:t>كالطلاب المصريين في مراحل التعليم المختلفة. في هذا السياق ورغم تقدير الجهود المصرية الكبيرة في هذا الجانب</w:t>
      </w:r>
      <w:r w:rsidRPr="0009574F">
        <w:rPr>
          <w:sz w:val="28"/>
          <w:szCs w:val="28"/>
          <w:rtl/>
        </w:rPr>
        <w:t xml:space="preserve">، يلاحظ التحالف أن </w:t>
      </w:r>
      <w:r w:rsidRPr="0009574F">
        <w:rPr>
          <w:b/>
          <w:bCs/>
          <w:sz w:val="28"/>
          <w:szCs w:val="28"/>
          <w:rtl/>
        </w:rPr>
        <w:t>القرار يستبعد الطلاب السوريين الغير مسجلين بالمفوضية وأصحاب الإقامات الغير قانونية</w:t>
      </w:r>
      <w:r w:rsidRPr="0009574F">
        <w:rPr>
          <w:sz w:val="28"/>
          <w:szCs w:val="28"/>
          <w:rtl/>
        </w:rPr>
        <w:t>، وتشير التقديرات أن تلك الفئة تمثل ثلاثة أضعاف الطلاب السوريين الملتحقين بالمدارس المصرية، كما أن الغالبية العظمى منهم لا يقدرون على تحمل نفقات المدارس الخاصة</w:t>
      </w:r>
      <w:r>
        <w:rPr>
          <w:rFonts w:hint="cs"/>
          <w:sz w:val="28"/>
          <w:szCs w:val="28"/>
          <w:rtl/>
        </w:rPr>
        <w:t>،</w:t>
      </w:r>
      <w:r w:rsidRPr="0009574F">
        <w:rPr>
          <w:sz w:val="28"/>
          <w:szCs w:val="28"/>
          <w:rtl/>
        </w:rPr>
        <w:t xml:space="preserve"> </w:t>
      </w:r>
      <w:r w:rsidRPr="0009574F">
        <w:rPr>
          <w:rFonts w:hint="cs"/>
          <w:sz w:val="28"/>
          <w:szCs w:val="28"/>
          <w:rtl/>
        </w:rPr>
        <w:t>خاصة</w:t>
      </w:r>
      <w:r w:rsidRPr="0009574F">
        <w:rPr>
          <w:sz w:val="28"/>
          <w:szCs w:val="28"/>
          <w:rtl/>
        </w:rPr>
        <w:t xml:space="preserve"> </w:t>
      </w:r>
      <w:r w:rsidRPr="00E246EE">
        <w:rPr>
          <w:sz w:val="28"/>
          <w:szCs w:val="28"/>
          <w:rtl/>
        </w:rPr>
        <w:t>الأسر التي لديها أكثر من طفل بمراحل التعليم، وهو ما يهدد حق هؤلاء الأطفال في الوصول للتعليم ويعيق تنفيذ المادة 30 من الاتفاقية على الوجه الأمثل.</w:t>
      </w:r>
      <w:r w:rsidRPr="00E246EE">
        <w:rPr>
          <w:sz w:val="28"/>
          <w:szCs w:val="28"/>
          <w:vertAlign w:val="superscript"/>
        </w:rPr>
        <w:footnoteReference w:id="11"/>
      </w:r>
      <w:r w:rsidRPr="00E246EE">
        <w:rPr>
          <w:sz w:val="28"/>
          <w:szCs w:val="28"/>
        </w:rPr>
        <w:t xml:space="preserve"> </w:t>
      </w:r>
    </w:p>
    <w:p w14:paraId="40E10E07" w14:textId="77777777" w:rsidR="00271070" w:rsidRPr="00465FBD" w:rsidRDefault="00271070" w:rsidP="00271070">
      <w:pPr>
        <w:pStyle w:val="ListParagraph"/>
        <w:numPr>
          <w:ilvl w:val="0"/>
          <w:numId w:val="30"/>
        </w:numPr>
        <w:pBdr>
          <w:bottom w:val="single" w:sz="18" w:space="1" w:color="auto"/>
        </w:pBdr>
        <w:bidi/>
        <w:spacing w:after="160" w:line="259" w:lineRule="auto"/>
        <w:jc w:val="both"/>
        <w:rPr>
          <w:rFonts w:ascii="Dubai" w:hAnsi="Dubai" w:cs="PT Bold Heading"/>
          <w:b/>
          <w:bCs/>
          <w:sz w:val="28"/>
          <w:szCs w:val="28"/>
        </w:rPr>
      </w:pPr>
      <w:r w:rsidRPr="00465FBD">
        <w:rPr>
          <w:rFonts w:ascii="Dubai" w:hAnsi="Dubai" w:cs="PT Bold Heading"/>
          <w:b/>
          <w:bCs/>
          <w:sz w:val="28"/>
          <w:szCs w:val="28"/>
          <w:rtl/>
        </w:rPr>
        <w:t>الحق في تكوين الجمعيات</w:t>
      </w:r>
    </w:p>
    <w:p w14:paraId="14E3E8AE" w14:textId="77777777" w:rsidR="00271070" w:rsidRPr="00CF711F" w:rsidRDefault="00271070" w:rsidP="00271070">
      <w:pPr>
        <w:bidi/>
        <w:jc w:val="both"/>
        <w:rPr>
          <w:sz w:val="28"/>
          <w:szCs w:val="28"/>
          <w:rtl/>
          <w:lang w:bidi="ar-EG"/>
        </w:rPr>
      </w:pPr>
      <w:r>
        <w:rPr>
          <w:rFonts w:hint="cs"/>
          <w:sz w:val="28"/>
          <w:szCs w:val="28"/>
          <w:rtl/>
          <w:lang w:bidi="ar-EG"/>
        </w:rPr>
        <w:t>يلاحظ التحالف الدولي</w:t>
      </w:r>
      <w:r w:rsidRPr="0007625E">
        <w:rPr>
          <w:sz w:val="28"/>
          <w:szCs w:val="28"/>
          <w:rtl/>
          <w:lang w:bidi="ar-EG"/>
        </w:rPr>
        <w:t xml:space="preserve"> موافقة وزارة التضامن على أكثر من 20 منحة للجمعيات الأهلية العاملة على حقوق المهاجرين خلال الفترة من يناير 2022 وحتى أغسطس 2024 وتدعم هذه المنح حماية الأطفال المهاجرين الأكثر عرضة للخطر وتقديم خدمات الصحة النفسية وإعادة إدماج المهاجرين العائدين من الخارج وتعزيز الوصول إلى التعليم والرعاية الصحية وفرص التوظيف. كما </w:t>
      </w:r>
      <w:r>
        <w:rPr>
          <w:rFonts w:hint="cs"/>
          <w:sz w:val="28"/>
          <w:szCs w:val="28"/>
          <w:rtl/>
          <w:lang w:bidi="ar-EG"/>
        </w:rPr>
        <w:t xml:space="preserve">يلاحظ التحالف </w:t>
      </w:r>
      <w:r w:rsidRPr="0007625E">
        <w:rPr>
          <w:rFonts w:hint="cs"/>
          <w:sz w:val="28"/>
          <w:szCs w:val="28"/>
          <w:rtl/>
          <w:lang w:bidi="ar-EG"/>
        </w:rPr>
        <w:t>وجود</w:t>
      </w:r>
      <w:r w:rsidRPr="0007625E">
        <w:rPr>
          <w:sz w:val="28"/>
          <w:szCs w:val="28"/>
          <w:rtl/>
          <w:lang w:bidi="ar-EG"/>
        </w:rPr>
        <w:t xml:space="preserve"> جمعيات ومبادرات مختلفة تعمل على تعزيز حقوق العمال المهاجرين وأفراد أسرهم وتركز أنشطة هذه الجمعيات على مجالات الإغاثة وتقديم الخدمات التعليمية ومكافحة العنف ضد النساء المهاجرات</w:t>
      </w:r>
      <w:r w:rsidRPr="0007625E">
        <w:rPr>
          <w:rStyle w:val="FootnoteReference"/>
          <w:sz w:val="28"/>
          <w:szCs w:val="28"/>
          <w:rtl/>
          <w:lang w:bidi="ar-EG"/>
        </w:rPr>
        <w:footnoteReference w:id="12"/>
      </w:r>
      <w:r w:rsidRPr="0007625E">
        <w:rPr>
          <w:sz w:val="28"/>
          <w:szCs w:val="28"/>
          <w:rtl/>
          <w:lang w:bidi="ar-EG"/>
        </w:rPr>
        <w:t xml:space="preserve">، كما سمحت الحكومة المصرية للمنظمات الدولية التي لديها فروع في مصر على تقديم الخدمات والمساعدات الإنسانية للمهاجرين واللاجئين في مصر. </w:t>
      </w:r>
      <w:r>
        <w:rPr>
          <w:rFonts w:hint="cs"/>
          <w:sz w:val="28"/>
          <w:szCs w:val="28"/>
          <w:rtl/>
          <w:lang w:bidi="ar-EG"/>
        </w:rPr>
        <w:t xml:space="preserve">مع ذلك </w:t>
      </w:r>
      <w:r w:rsidRPr="0007625E">
        <w:rPr>
          <w:rFonts w:hint="cs"/>
          <w:sz w:val="28"/>
          <w:szCs w:val="28"/>
          <w:rtl/>
          <w:lang w:bidi="ar-EG"/>
        </w:rPr>
        <w:t>لا</w:t>
      </w:r>
      <w:r w:rsidRPr="0007625E">
        <w:rPr>
          <w:sz w:val="28"/>
          <w:szCs w:val="28"/>
          <w:rtl/>
          <w:lang w:bidi="ar-EG"/>
        </w:rPr>
        <w:t xml:space="preserve"> تزال هناك تقارير تفيد بإن المهاجرين بما في ذلك اللاجئين وطالبي اللجوء حظوا بقدرة محدودة على ممارسة الحق في تكوين الجمعيات</w:t>
      </w:r>
      <w:r w:rsidRPr="0007625E">
        <w:rPr>
          <w:rStyle w:val="FootnoteReference"/>
          <w:sz w:val="28"/>
          <w:szCs w:val="28"/>
          <w:rtl/>
          <w:lang w:bidi="ar-EG"/>
        </w:rPr>
        <w:footnoteReference w:id="13"/>
      </w:r>
      <w:r>
        <w:rPr>
          <w:rFonts w:hint="cs"/>
          <w:sz w:val="28"/>
          <w:szCs w:val="28"/>
          <w:rtl/>
          <w:lang w:bidi="ar-EG"/>
        </w:rPr>
        <w:t>.</w:t>
      </w:r>
    </w:p>
    <w:p w14:paraId="06620F4A" w14:textId="77777777" w:rsidR="00271070" w:rsidRPr="00465FBD" w:rsidRDefault="00271070" w:rsidP="00271070">
      <w:pPr>
        <w:pStyle w:val="ListParagraph"/>
        <w:numPr>
          <w:ilvl w:val="0"/>
          <w:numId w:val="30"/>
        </w:numPr>
        <w:pBdr>
          <w:bottom w:val="single" w:sz="18" w:space="1" w:color="auto"/>
        </w:pBdr>
        <w:bidi/>
        <w:spacing w:after="160" w:line="259" w:lineRule="auto"/>
        <w:ind w:left="288"/>
        <w:jc w:val="both"/>
        <w:rPr>
          <w:rFonts w:ascii="Dubai" w:hAnsi="Dubai" w:cs="PT Bold Heading"/>
          <w:b/>
          <w:bCs/>
          <w:sz w:val="28"/>
          <w:szCs w:val="28"/>
        </w:rPr>
      </w:pPr>
      <w:r w:rsidRPr="00465FBD">
        <w:rPr>
          <w:rFonts w:ascii="Dubai" w:hAnsi="Dubai" w:cs="PT Bold Heading"/>
          <w:b/>
          <w:bCs/>
          <w:sz w:val="28"/>
          <w:szCs w:val="28"/>
          <w:rtl/>
        </w:rPr>
        <w:t>العمال المهاجرين المصريين وأفراد أسرهم</w:t>
      </w:r>
    </w:p>
    <w:p w14:paraId="7AF14692" w14:textId="77777777" w:rsidR="00271070" w:rsidRPr="0007625E" w:rsidRDefault="00271070" w:rsidP="00271070">
      <w:pPr>
        <w:bidi/>
        <w:jc w:val="both"/>
        <w:rPr>
          <w:sz w:val="28"/>
          <w:szCs w:val="28"/>
          <w:rtl/>
        </w:rPr>
      </w:pPr>
      <w:r w:rsidRPr="0007625E">
        <w:rPr>
          <w:sz w:val="28"/>
          <w:szCs w:val="28"/>
          <w:rtl/>
        </w:rPr>
        <w:t>تتراوح أعداد المصريين بالخارج بين 11 إلى 14 مليون</w:t>
      </w:r>
      <w:r>
        <w:rPr>
          <w:rFonts w:hint="cs"/>
          <w:sz w:val="28"/>
          <w:szCs w:val="28"/>
          <w:rtl/>
        </w:rPr>
        <w:t>،</w:t>
      </w:r>
      <w:r w:rsidRPr="0007625E">
        <w:rPr>
          <w:sz w:val="28"/>
          <w:szCs w:val="28"/>
          <w:rtl/>
        </w:rPr>
        <w:t xml:space="preserve"> فوفقا للجهاز المركزي للتعبئة والإحصاء، فإن أعداد المصريين في الخارج، وصلت </w:t>
      </w:r>
      <w:r w:rsidRPr="0007625E">
        <w:rPr>
          <w:rFonts w:hint="cs"/>
          <w:sz w:val="28"/>
          <w:szCs w:val="28"/>
          <w:rtl/>
        </w:rPr>
        <w:t>حتى</w:t>
      </w:r>
      <w:r w:rsidRPr="0007625E">
        <w:rPr>
          <w:sz w:val="28"/>
          <w:szCs w:val="28"/>
          <w:rtl/>
        </w:rPr>
        <w:t xml:space="preserve"> نهاية 2022 بـ 11 مليون مصري، وذلك استنادا للكتاب الإحصائي السنوي لوزارة الخارجية، لكن بحسب بيانات وزارة الهجرة في مارس 2024 فإن عدد المصريين بالخارج 14 </w:t>
      </w:r>
      <w:r w:rsidRPr="0007625E">
        <w:rPr>
          <w:rFonts w:hint="cs"/>
          <w:sz w:val="28"/>
          <w:szCs w:val="28"/>
          <w:rtl/>
        </w:rPr>
        <w:t>مليون.</w:t>
      </w:r>
      <w:r>
        <w:rPr>
          <w:rFonts w:hint="cs"/>
          <w:sz w:val="28"/>
          <w:szCs w:val="28"/>
          <w:rtl/>
        </w:rPr>
        <w:t xml:space="preserve"> </w:t>
      </w:r>
      <w:r w:rsidRPr="0007625E">
        <w:rPr>
          <w:sz w:val="28"/>
          <w:szCs w:val="28"/>
          <w:rtl/>
        </w:rPr>
        <w:t xml:space="preserve">وفي </w:t>
      </w:r>
      <w:r w:rsidRPr="0007625E">
        <w:rPr>
          <w:sz w:val="28"/>
          <w:szCs w:val="28"/>
          <w:rtl/>
        </w:rPr>
        <w:lastRenderedPageBreak/>
        <w:t xml:space="preserve">حين لا توجد إحصائيات مفصلة عن المصريين المحتجزين في الخارج وثق التحالف اعتقال السلطات في قيرغيزستان 8 من الطلاب المصريين في مايو 2024 وذلك بعد اشتباكات بين الطلاب الجامعين وسكان محليين قبل أن تتدخل القنصلية المصرية حتى الإفراج عنهم </w:t>
      </w:r>
      <w:r w:rsidRPr="0007625E">
        <w:rPr>
          <w:rStyle w:val="FootnoteReference"/>
          <w:sz w:val="28"/>
          <w:szCs w:val="28"/>
          <w:rtl/>
        </w:rPr>
        <w:footnoteReference w:id="14"/>
      </w:r>
      <w:r w:rsidRPr="0007625E">
        <w:rPr>
          <w:sz w:val="28"/>
          <w:szCs w:val="28"/>
          <w:rtl/>
        </w:rPr>
        <w:t xml:space="preserve">. كما وثق التحالف مقتل 3 مصريين وإصابة 4 اخرين في إطلاق نار في المكسيك </w:t>
      </w:r>
      <w:r w:rsidRPr="0007625E">
        <w:rPr>
          <w:rFonts w:hint="cs"/>
          <w:sz w:val="28"/>
          <w:szCs w:val="28"/>
          <w:rtl/>
        </w:rPr>
        <w:t>على</w:t>
      </w:r>
      <w:r w:rsidRPr="0007625E">
        <w:rPr>
          <w:sz w:val="28"/>
          <w:szCs w:val="28"/>
          <w:rtl/>
        </w:rPr>
        <w:t xml:space="preserve"> قافلة تقل مهاجرين غير شرعيين وطالبت الخارجية المصرية ضرورة إنهاء التحقيقات والإجراءات اللازمة لنقل جثامين الضحايا إلى أرض الوطن، بالإضافة إلى توفير الرعاية الطبية اللازمة للمصابين. مع ذلك </w:t>
      </w:r>
      <w:r w:rsidRPr="0007625E">
        <w:rPr>
          <w:rFonts w:hint="cs"/>
          <w:sz w:val="28"/>
          <w:szCs w:val="28"/>
          <w:rtl/>
        </w:rPr>
        <w:t>حتى</w:t>
      </w:r>
      <w:r w:rsidRPr="0007625E">
        <w:rPr>
          <w:sz w:val="28"/>
          <w:szCs w:val="28"/>
          <w:rtl/>
        </w:rPr>
        <w:t xml:space="preserve"> 16 أكتوبر لم تكن جثث المتوفين قد نُقلت </w:t>
      </w:r>
      <w:r w:rsidRPr="0007625E">
        <w:rPr>
          <w:rFonts w:hint="cs"/>
          <w:sz w:val="28"/>
          <w:szCs w:val="28"/>
          <w:rtl/>
        </w:rPr>
        <w:t>إلى</w:t>
      </w:r>
      <w:r w:rsidRPr="0007625E">
        <w:rPr>
          <w:sz w:val="28"/>
          <w:szCs w:val="28"/>
          <w:rtl/>
        </w:rPr>
        <w:t xml:space="preserve"> مصر</w:t>
      </w:r>
      <w:r w:rsidRPr="0007625E">
        <w:rPr>
          <w:rStyle w:val="FootnoteReference"/>
          <w:sz w:val="28"/>
          <w:szCs w:val="28"/>
          <w:rtl/>
        </w:rPr>
        <w:footnoteReference w:id="15"/>
      </w:r>
      <w:r w:rsidRPr="0007625E">
        <w:rPr>
          <w:sz w:val="28"/>
          <w:szCs w:val="28"/>
          <w:rtl/>
        </w:rPr>
        <w:t xml:space="preserve">. </w:t>
      </w:r>
    </w:p>
    <w:p w14:paraId="152D5431" w14:textId="77777777" w:rsidR="00271070" w:rsidRPr="00465FBD" w:rsidRDefault="00271070" w:rsidP="00271070">
      <w:pPr>
        <w:pStyle w:val="ListParagraph"/>
        <w:numPr>
          <w:ilvl w:val="0"/>
          <w:numId w:val="30"/>
        </w:numPr>
        <w:pBdr>
          <w:bottom w:val="single" w:sz="18" w:space="1" w:color="auto"/>
        </w:pBdr>
        <w:bidi/>
        <w:spacing w:after="160" w:line="259" w:lineRule="auto"/>
        <w:ind w:left="288"/>
        <w:jc w:val="both"/>
        <w:rPr>
          <w:rFonts w:asciiTheme="majorBidi" w:hAnsiTheme="majorBidi" w:cs="PT Bold Heading"/>
          <w:b/>
          <w:bCs/>
          <w:sz w:val="28"/>
          <w:szCs w:val="28"/>
          <w:rtl/>
        </w:rPr>
      </w:pPr>
      <w:r w:rsidRPr="00465FBD">
        <w:rPr>
          <w:rFonts w:asciiTheme="majorBidi" w:hAnsiTheme="majorBidi" w:cs="PT Bold Heading" w:hint="cs"/>
          <w:b/>
          <w:bCs/>
          <w:sz w:val="28"/>
          <w:szCs w:val="28"/>
          <w:rtl/>
        </w:rPr>
        <w:t xml:space="preserve">العمال المنزليون </w:t>
      </w:r>
    </w:p>
    <w:p w14:paraId="070386BD" w14:textId="77777777" w:rsidR="00271070" w:rsidRPr="004A1445" w:rsidRDefault="00271070" w:rsidP="00271070">
      <w:pPr>
        <w:bidi/>
        <w:jc w:val="both"/>
        <w:rPr>
          <w:sz w:val="28"/>
          <w:szCs w:val="28"/>
        </w:rPr>
      </w:pPr>
      <w:r w:rsidRPr="004A1445">
        <w:rPr>
          <w:sz w:val="28"/>
          <w:szCs w:val="28"/>
          <w:rtl/>
        </w:rPr>
        <w:t xml:space="preserve">في 25 أغسطس 2024 أفادت وزارة العمل إن الوزارة تدرس اصدار قانون للعمالة المنزلية، تقوم فلسفة القانون </w:t>
      </w:r>
      <w:r w:rsidRPr="004A1445">
        <w:rPr>
          <w:rFonts w:hint="cs"/>
          <w:sz w:val="28"/>
          <w:szCs w:val="28"/>
          <w:rtl/>
        </w:rPr>
        <w:t>على</w:t>
      </w:r>
      <w:r w:rsidRPr="004A1445">
        <w:rPr>
          <w:sz w:val="28"/>
          <w:szCs w:val="28"/>
          <w:rtl/>
        </w:rPr>
        <w:t xml:space="preserve"> وضع ضمانات لحماية هذه الفئة تشمل من بين جملة أمور تقنين أوضاع هذه الفئة وإتاحة التدريب والتأهيل لها ومنحهم الشهادات الخاصة بمزاولة المهنة بما يساعد </w:t>
      </w:r>
      <w:r w:rsidRPr="004A1445">
        <w:rPr>
          <w:rFonts w:hint="cs"/>
          <w:sz w:val="28"/>
          <w:szCs w:val="28"/>
          <w:rtl/>
        </w:rPr>
        <w:t>على</w:t>
      </w:r>
      <w:r w:rsidRPr="004A1445">
        <w:rPr>
          <w:sz w:val="28"/>
          <w:szCs w:val="28"/>
          <w:rtl/>
        </w:rPr>
        <w:t xml:space="preserve"> إدماجهم في الاقتصاد الرسمي. كما ينظم مشروع القانون التعامل مع شركات الاستخدام، وأصحاب الأعمال، بعقود عمل رسمية، كما يتضمن مشروع القانون أحكام خاصة بأجور هذه الفئة والتأمين عليهم وآليات التفتيش على المنازل وآليات إبلاغ </w:t>
      </w:r>
      <w:r w:rsidRPr="004A1445">
        <w:rPr>
          <w:rFonts w:hint="cs"/>
          <w:sz w:val="28"/>
          <w:szCs w:val="28"/>
          <w:rtl/>
        </w:rPr>
        <w:t>الشكاوى</w:t>
      </w:r>
      <w:r w:rsidRPr="004A1445">
        <w:rPr>
          <w:sz w:val="28"/>
          <w:szCs w:val="28"/>
          <w:rtl/>
        </w:rPr>
        <w:t xml:space="preserve">، وغيرها من أحكام تراعي مصالحهم وخصوصية هذا النوع من علاقات العمل. مع ذلك </w:t>
      </w:r>
      <w:r w:rsidRPr="004A1445">
        <w:rPr>
          <w:rFonts w:hint="cs"/>
          <w:sz w:val="28"/>
          <w:szCs w:val="28"/>
          <w:rtl/>
        </w:rPr>
        <w:t>وحتى</w:t>
      </w:r>
      <w:r>
        <w:rPr>
          <w:rFonts w:hint="cs"/>
          <w:sz w:val="28"/>
          <w:szCs w:val="28"/>
          <w:rtl/>
        </w:rPr>
        <w:t xml:space="preserve"> كتابة هذا التقرير</w:t>
      </w:r>
      <w:r w:rsidRPr="004A1445">
        <w:rPr>
          <w:sz w:val="28"/>
          <w:szCs w:val="28"/>
          <w:rtl/>
        </w:rPr>
        <w:t xml:space="preserve"> لم تكن الحكومة قد قدمت مشروع للقانون. </w:t>
      </w:r>
      <w:r w:rsidRPr="004A1445">
        <w:rPr>
          <w:sz w:val="28"/>
          <w:szCs w:val="28"/>
          <w:rtl/>
          <w:lang w:bidi="ar-EG"/>
        </w:rPr>
        <w:t>ويلاحظ التحالف إن الحكومة لم تستجب للمطالب الخاصة بشمول مشروع قانون العمل المزمع إقراره للعمال المنزليين</w:t>
      </w:r>
      <w:r w:rsidRPr="004A1445">
        <w:rPr>
          <w:rStyle w:val="FootnoteReference"/>
          <w:sz w:val="28"/>
          <w:szCs w:val="28"/>
          <w:rtl/>
          <w:lang w:bidi="ar-EG"/>
        </w:rPr>
        <w:footnoteReference w:id="16"/>
      </w:r>
      <w:r w:rsidRPr="004A1445">
        <w:rPr>
          <w:sz w:val="28"/>
          <w:szCs w:val="28"/>
          <w:rtl/>
          <w:lang w:bidi="ar-EG"/>
        </w:rPr>
        <w:t>.</w:t>
      </w:r>
      <w:r>
        <w:rPr>
          <w:rFonts w:hint="cs"/>
          <w:sz w:val="28"/>
          <w:szCs w:val="28"/>
          <w:rtl/>
          <w:lang w:bidi="ar-EG"/>
        </w:rPr>
        <w:t xml:space="preserve"> </w:t>
      </w:r>
      <w:r w:rsidRPr="004A1445">
        <w:rPr>
          <w:sz w:val="28"/>
          <w:szCs w:val="28"/>
          <w:rtl/>
          <w:lang w:bidi="ar-EG"/>
        </w:rPr>
        <w:t>ويعد العم</w:t>
      </w:r>
      <w:r>
        <w:rPr>
          <w:rFonts w:hint="cs"/>
          <w:sz w:val="28"/>
          <w:szCs w:val="28"/>
          <w:rtl/>
          <w:lang w:bidi="ar-EG"/>
        </w:rPr>
        <w:t>ا</w:t>
      </w:r>
      <w:r w:rsidRPr="004A1445">
        <w:rPr>
          <w:sz w:val="28"/>
          <w:szCs w:val="28"/>
          <w:rtl/>
          <w:lang w:bidi="ar-EG"/>
        </w:rPr>
        <w:t>ل المهاجرون العاملون في المنازل بما في ذلك العاملات المنزليات من الفئات المحمية بموجب الاتفاقية</w:t>
      </w:r>
      <w:r>
        <w:rPr>
          <w:rFonts w:hint="cs"/>
          <w:sz w:val="28"/>
          <w:szCs w:val="28"/>
          <w:rtl/>
          <w:lang w:bidi="ar-EG"/>
        </w:rPr>
        <w:t xml:space="preserve"> ما يستدعي حمايتهم من قبل الحكومة</w:t>
      </w:r>
      <w:r w:rsidRPr="004A1445">
        <w:rPr>
          <w:sz w:val="28"/>
          <w:szCs w:val="28"/>
          <w:rtl/>
          <w:lang w:bidi="ar-EG"/>
        </w:rPr>
        <w:t xml:space="preserve">، في سياق متصل يلاحظ التحالف التفاوت في الأجور الممنوحة للعاملات المنزليات بين الجنسيات المختلفة فعادة ما يحصل الآسيويين علي أعلي اجور تتراوح بين بين 8000 جنيه إلى 12000 جنيه شهريا. أما العاملات الأفارقة فغالبا يحصلن على ما يتراوح بين 6000 جنيه إلى 9000 جنيه شهريًا. ومع ذلك، لا </w:t>
      </w:r>
      <w:r>
        <w:rPr>
          <w:rFonts w:hint="cs"/>
          <w:sz w:val="28"/>
          <w:szCs w:val="28"/>
          <w:rtl/>
          <w:lang w:bidi="ar-EG"/>
        </w:rPr>
        <w:t>ي</w:t>
      </w:r>
      <w:r w:rsidRPr="004A1445">
        <w:rPr>
          <w:sz w:val="28"/>
          <w:szCs w:val="28"/>
          <w:rtl/>
          <w:lang w:bidi="ar-EG"/>
        </w:rPr>
        <w:t>زال يري ال</w:t>
      </w:r>
      <w:r>
        <w:rPr>
          <w:rFonts w:hint="cs"/>
          <w:sz w:val="28"/>
          <w:szCs w:val="28"/>
          <w:rtl/>
          <w:lang w:bidi="ar-EG"/>
        </w:rPr>
        <w:t>ت</w:t>
      </w:r>
      <w:r w:rsidRPr="004A1445">
        <w:rPr>
          <w:sz w:val="28"/>
          <w:szCs w:val="28"/>
          <w:rtl/>
          <w:lang w:bidi="ar-EG"/>
        </w:rPr>
        <w:t>حالف إن هؤلاء العاملات في حاجة إلى الاعتراف بهم من قبل الحكومة من خلال إدراجهم في قوانين العمل المصرية، لضمان الحصول على الحماية الاجتماعية والصحية والمساعدة القانونية</w:t>
      </w:r>
      <w:r w:rsidRPr="004A1445">
        <w:rPr>
          <w:rStyle w:val="FootnoteReference"/>
          <w:sz w:val="28"/>
          <w:szCs w:val="28"/>
          <w:rtl/>
          <w:lang w:bidi="ar-EG"/>
        </w:rPr>
        <w:footnoteReference w:id="17"/>
      </w:r>
      <w:r>
        <w:rPr>
          <w:rFonts w:hint="cs"/>
          <w:sz w:val="28"/>
          <w:szCs w:val="28"/>
          <w:rtl/>
          <w:lang w:bidi="ar-EG"/>
        </w:rPr>
        <w:t>.</w:t>
      </w:r>
    </w:p>
    <w:p w14:paraId="2D54B736" w14:textId="77777777" w:rsidR="00271070" w:rsidRPr="00465FBD" w:rsidRDefault="00271070" w:rsidP="00271070">
      <w:pPr>
        <w:pBdr>
          <w:bottom w:val="single" w:sz="18" w:space="1" w:color="auto"/>
        </w:pBdr>
        <w:bidi/>
        <w:jc w:val="both"/>
        <w:rPr>
          <w:rFonts w:asciiTheme="majorBidi" w:hAnsiTheme="majorBidi" w:cs="PT Bold Heading"/>
          <w:b/>
          <w:bCs/>
          <w:sz w:val="28"/>
          <w:szCs w:val="28"/>
          <w:rtl/>
        </w:rPr>
      </w:pPr>
      <w:r w:rsidRPr="00465FBD">
        <w:rPr>
          <w:rFonts w:asciiTheme="majorBidi" w:hAnsiTheme="majorBidi" w:cs="PT Bold Heading" w:hint="cs"/>
          <w:b/>
          <w:bCs/>
          <w:sz w:val="28"/>
          <w:szCs w:val="28"/>
          <w:rtl/>
        </w:rPr>
        <w:t xml:space="preserve">التوصيات </w:t>
      </w:r>
    </w:p>
    <w:p w14:paraId="26054F16" w14:textId="77777777" w:rsidR="00271070" w:rsidRPr="00D10795" w:rsidRDefault="00271070" w:rsidP="00271070">
      <w:pPr>
        <w:pStyle w:val="ListParagraph"/>
        <w:numPr>
          <w:ilvl w:val="0"/>
          <w:numId w:val="29"/>
        </w:numPr>
        <w:bidi/>
        <w:spacing w:after="160" w:line="259" w:lineRule="auto"/>
        <w:jc w:val="both"/>
        <w:rPr>
          <w:sz w:val="28"/>
          <w:szCs w:val="28"/>
        </w:rPr>
      </w:pPr>
      <w:r w:rsidRPr="00D10795">
        <w:rPr>
          <w:sz w:val="28"/>
          <w:szCs w:val="28"/>
          <w:rtl/>
        </w:rPr>
        <w:t>النظر في إنشاء مساحات آمنة تتيح للعاملات المهاجرات الإبلاغ عن ممارسة إساءة المعاملة من قبل أصحاب العمل</w:t>
      </w:r>
    </w:p>
    <w:p w14:paraId="34B7C8DF" w14:textId="77777777" w:rsidR="00271070" w:rsidRPr="00D10795" w:rsidRDefault="00271070" w:rsidP="00271070">
      <w:pPr>
        <w:pStyle w:val="ListParagraph"/>
        <w:numPr>
          <w:ilvl w:val="0"/>
          <w:numId w:val="29"/>
        </w:numPr>
        <w:bidi/>
        <w:spacing w:after="160" w:line="259" w:lineRule="auto"/>
        <w:jc w:val="both"/>
        <w:rPr>
          <w:sz w:val="28"/>
          <w:szCs w:val="28"/>
          <w:rtl/>
        </w:rPr>
      </w:pPr>
      <w:r w:rsidRPr="00D10795">
        <w:rPr>
          <w:sz w:val="28"/>
          <w:szCs w:val="28"/>
          <w:rtl/>
        </w:rPr>
        <w:t>مواءمة القوانين الوطنية بشكل كامل مع أحكام الاتفاقية لضمان حماية حقوق العمال المهاجرين وأفراد أسرهم، وفي مقدمتها تعديل المادة الرابعة من قانون العمل المصري لتشمل العمال المنزليين بشكل عام وتضمن التساوي الكامل في الحقوق مع العمال المصريين.</w:t>
      </w:r>
    </w:p>
    <w:p w14:paraId="09A1F09A" w14:textId="77777777" w:rsidR="00271070" w:rsidRPr="00D10795" w:rsidRDefault="00271070" w:rsidP="00271070">
      <w:pPr>
        <w:pStyle w:val="ListParagraph"/>
        <w:numPr>
          <w:ilvl w:val="0"/>
          <w:numId w:val="29"/>
        </w:numPr>
        <w:bidi/>
        <w:spacing w:after="160" w:line="259" w:lineRule="auto"/>
        <w:jc w:val="both"/>
        <w:rPr>
          <w:sz w:val="28"/>
          <w:szCs w:val="28"/>
        </w:rPr>
      </w:pPr>
      <w:r w:rsidRPr="00D10795">
        <w:rPr>
          <w:rFonts w:hint="cs"/>
          <w:sz w:val="28"/>
          <w:szCs w:val="28"/>
          <w:rtl/>
        </w:rPr>
        <w:t xml:space="preserve">إنشاء منصة تعني بتقدم المساعدة القانونية للمصريين الذين يتعرضون للاحتجاز في الخارج </w:t>
      </w:r>
    </w:p>
    <w:p w14:paraId="2497F267" w14:textId="77777777" w:rsidR="00271070" w:rsidRPr="00D10795" w:rsidRDefault="00271070" w:rsidP="00271070">
      <w:pPr>
        <w:pStyle w:val="ListParagraph"/>
        <w:numPr>
          <w:ilvl w:val="0"/>
          <w:numId w:val="29"/>
        </w:numPr>
        <w:bidi/>
        <w:spacing w:after="160" w:line="259" w:lineRule="auto"/>
        <w:jc w:val="both"/>
        <w:rPr>
          <w:sz w:val="28"/>
          <w:szCs w:val="28"/>
        </w:rPr>
      </w:pPr>
      <w:r w:rsidRPr="00D10795">
        <w:rPr>
          <w:sz w:val="28"/>
          <w:szCs w:val="28"/>
          <w:rtl/>
        </w:rPr>
        <w:t xml:space="preserve">النظر في سرعة الانتهاء من مشروع قانون العمالة المنزلية والاستجابة لاحتياجات هذه الفئة ضمن أحكام القانون </w:t>
      </w:r>
    </w:p>
    <w:p w14:paraId="743B2491" w14:textId="77777777" w:rsidR="00271070" w:rsidRPr="00D10795" w:rsidRDefault="00271070" w:rsidP="00271070">
      <w:pPr>
        <w:pStyle w:val="ListParagraph"/>
        <w:numPr>
          <w:ilvl w:val="0"/>
          <w:numId w:val="29"/>
        </w:numPr>
        <w:bidi/>
        <w:spacing w:after="160" w:line="259" w:lineRule="auto"/>
        <w:jc w:val="both"/>
        <w:rPr>
          <w:sz w:val="28"/>
          <w:szCs w:val="28"/>
        </w:rPr>
      </w:pPr>
      <w:r w:rsidRPr="00D10795">
        <w:rPr>
          <w:sz w:val="28"/>
          <w:szCs w:val="28"/>
          <w:rtl/>
        </w:rPr>
        <w:t>التعاون مع منظمات المجتمع المدني التي تقدم الدعم والمساعدة للعمال المهاجرين وأسرهم، لضمان تنفيذ سياسات تعزز من حقوق العمال المهاجرين داخل مصر وفقًا للمعايير الدولية.</w:t>
      </w:r>
    </w:p>
    <w:p w14:paraId="1BF6D600" w14:textId="77777777" w:rsidR="00271070" w:rsidRPr="00D10795" w:rsidRDefault="00271070" w:rsidP="00271070">
      <w:pPr>
        <w:pStyle w:val="ListParagraph"/>
        <w:numPr>
          <w:ilvl w:val="0"/>
          <w:numId w:val="29"/>
        </w:numPr>
        <w:bidi/>
        <w:spacing w:after="160" w:line="259" w:lineRule="auto"/>
        <w:jc w:val="both"/>
        <w:rPr>
          <w:sz w:val="28"/>
          <w:szCs w:val="28"/>
        </w:rPr>
      </w:pPr>
      <w:r w:rsidRPr="00D10795">
        <w:rPr>
          <w:sz w:val="28"/>
          <w:szCs w:val="28"/>
          <w:rtl/>
        </w:rPr>
        <w:lastRenderedPageBreak/>
        <w:t xml:space="preserve">إطلاق حملات توعوية حول حقوق العمال المهاجرين لمساعدتهم في التعرف على حقوقهم في إطار الاتفاقية، وكذلك تقديم برامج تدريبية لأصحاب العمل والمسؤولين الحكوميين حول أهمية حماية حقوق العمال </w:t>
      </w:r>
      <w:permStart w:id="1979281137" w:edGrp="everyone"/>
      <w:permEnd w:id="1979281137"/>
      <w:r w:rsidRPr="00D10795">
        <w:rPr>
          <w:sz w:val="28"/>
          <w:szCs w:val="28"/>
          <w:rtl/>
        </w:rPr>
        <w:t>المهاجرين</w:t>
      </w:r>
      <w:r>
        <w:rPr>
          <w:rFonts w:hint="cs"/>
          <w:sz w:val="28"/>
          <w:szCs w:val="28"/>
          <w:rtl/>
        </w:rPr>
        <w:t>.</w:t>
      </w:r>
    </w:p>
    <w:p w14:paraId="19073781" w14:textId="77777777" w:rsidR="001719EB" w:rsidRPr="00265110" w:rsidRDefault="001719EB" w:rsidP="00271070">
      <w:pPr>
        <w:bidi/>
        <w:jc w:val="both"/>
        <w:rPr>
          <w:rFonts w:ascii="Aptos" w:hAnsi="Aptos"/>
        </w:rPr>
      </w:pPr>
    </w:p>
    <w:sectPr w:rsidR="001719EB" w:rsidRPr="00265110">
      <w:footerReference w:type="default" r:id="rId11"/>
      <w:headerReference w:type="first" r:id="rId12"/>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A2D4E3" w14:textId="77777777" w:rsidR="00FA3204" w:rsidRDefault="00FA3204" w:rsidP="003D1884">
      <w:pPr>
        <w:spacing w:after="0" w:line="240" w:lineRule="auto"/>
      </w:pPr>
      <w:r>
        <w:separator/>
      </w:r>
    </w:p>
  </w:endnote>
  <w:endnote w:type="continuationSeparator" w:id="0">
    <w:p w14:paraId="499FCBC5" w14:textId="77777777" w:rsidR="00FA3204" w:rsidRDefault="00FA3204" w:rsidP="003D1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ubai">
    <w:altName w:val="Tahoma"/>
    <w:panose1 w:val="020B0503030403030204"/>
    <w:charset w:val="00"/>
    <w:family w:val="swiss"/>
    <w:pitch w:val="variable"/>
    <w:sig w:usb0="80002067" w:usb1="80000000" w:usb2="00000008" w:usb3="00000000" w:csb0="00000041" w:csb1="00000000"/>
  </w:font>
  <w:font w:name="PT Bold Heading">
    <w:altName w:val="Segoe UI Semilight"/>
    <w:charset w:val="B2"/>
    <w:family w:val="auto"/>
    <w:pitch w:val="variable"/>
    <w:sig w:usb0="00002001" w:usb1="80000000" w:usb2="00000008" w:usb3="00000000" w:csb0="00000040"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67605283"/>
      <w:docPartObj>
        <w:docPartGallery w:val="Page Numbers (Bottom of Page)"/>
        <w:docPartUnique/>
      </w:docPartObj>
    </w:sdtPr>
    <w:sdtEndPr>
      <w:rPr>
        <w:noProof/>
      </w:rPr>
    </w:sdtEndPr>
    <w:sdtContent>
      <w:p w14:paraId="7712E20D" w14:textId="4C8C234A" w:rsidR="007203A5" w:rsidRDefault="000B59D1">
        <w:pPr>
          <w:pStyle w:val="Footer"/>
          <w:jc w:val="center"/>
        </w:pPr>
        <w:r w:rsidRPr="006B714E">
          <w:rPr>
            <w:b/>
            <w:bCs/>
          </w:rPr>
          <w:fldChar w:fldCharType="begin"/>
        </w:r>
        <w:r w:rsidRPr="006B714E">
          <w:rPr>
            <w:b/>
            <w:bCs/>
          </w:rPr>
          <w:instrText xml:space="preserve"> PAGE   \* MERGEFORMAT </w:instrText>
        </w:r>
        <w:r w:rsidRPr="006B714E">
          <w:rPr>
            <w:b/>
            <w:bCs/>
          </w:rPr>
          <w:fldChar w:fldCharType="separate"/>
        </w:r>
        <w:r w:rsidRPr="006B714E">
          <w:rPr>
            <w:b/>
            <w:bCs/>
            <w:noProof/>
          </w:rPr>
          <w:t>2</w:t>
        </w:r>
        <w:r w:rsidRPr="006B714E">
          <w:rPr>
            <w:b/>
            <w:bCs/>
            <w:noProof/>
          </w:rPr>
          <w:fldChar w:fldCharType="end"/>
        </w:r>
      </w:p>
    </w:sdtContent>
  </w:sdt>
  <w:p w14:paraId="2A770DAD" w14:textId="77777777" w:rsidR="007203A5" w:rsidRDefault="007203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277CAB" w14:textId="77777777" w:rsidR="00FA3204" w:rsidRDefault="00FA3204" w:rsidP="003D1884">
      <w:pPr>
        <w:spacing w:after="0" w:line="240" w:lineRule="auto"/>
      </w:pPr>
      <w:r>
        <w:separator/>
      </w:r>
    </w:p>
  </w:footnote>
  <w:footnote w:type="continuationSeparator" w:id="0">
    <w:p w14:paraId="5B849147" w14:textId="77777777" w:rsidR="00FA3204" w:rsidRDefault="00FA3204" w:rsidP="003D1884">
      <w:pPr>
        <w:spacing w:after="0" w:line="240" w:lineRule="auto"/>
      </w:pPr>
      <w:r>
        <w:continuationSeparator/>
      </w:r>
    </w:p>
  </w:footnote>
  <w:footnote w:id="1">
    <w:p w14:paraId="677C7346" w14:textId="77777777" w:rsidR="00271070" w:rsidRPr="00271070" w:rsidRDefault="00271070" w:rsidP="00271070">
      <w:pPr>
        <w:pStyle w:val="FootnoteText"/>
        <w:rPr>
          <w:rFonts w:asciiTheme="majorBidi" w:hAnsiTheme="majorBidi" w:cstheme="majorBidi"/>
          <w:sz w:val="16"/>
          <w:szCs w:val="16"/>
          <w:rtl/>
          <w:lang w:bidi="ar-EG"/>
        </w:rPr>
      </w:pPr>
      <w:r w:rsidRPr="00271070">
        <w:rPr>
          <w:rStyle w:val="FootnoteReference"/>
          <w:rFonts w:asciiTheme="majorBidi" w:hAnsiTheme="majorBidi" w:cstheme="majorBidi"/>
          <w:sz w:val="16"/>
          <w:szCs w:val="16"/>
        </w:rPr>
        <w:footnoteRef/>
      </w:r>
      <w:r w:rsidRPr="00271070">
        <w:rPr>
          <w:rFonts w:asciiTheme="majorBidi" w:hAnsiTheme="majorBidi" w:cstheme="majorBidi"/>
          <w:sz w:val="16"/>
          <w:szCs w:val="16"/>
          <w:rtl/>
        </w:rPr>
        <w:t xml:space="preserve"> </w:t>
      </w:r>
      <w:r w:rsidRPr="00271070">
        <w:rPr>
          <w:rFonts w:asciiTheme="majorBidi" w:hAnsiTheme="majorBidi" w:cstheme="majorBidi"/>
          <w:sz w:val="16"/>
          <w:szCs w:val="16"/>
        </w:rPr>
        <w:t>CMW 39 Session (02 Dec 2024 - 13 Dec 2024)</w:t>
      </w:r>
      <w:r w:rsidRPr="00271070">
        <w:rPr>
          <w:rFonts w:asciiTheme="majorBidi" w:hAnsiTheme="majorBidi" w:cstheme="majorBidi"/>
          <w:sz w:val="16"/>
          <w:szCs w:val="16"/>
          <w:lang w:bidi="ar-EG"/>
        </w:rPr>
        <w:t xml:space="preserve">, UN Treaty Body Database, </w:t>
      </w:r>
      <w:hyperlink r:id="rId1" w:history="1">
        <w:r w:rsidRPr="00271070">
          <w:rPr>
            <w:rStyle w:val="Hyperlink"/>
            <w:rFonts w:asciiTheme="majorBidi" w:hAnsiTheme="majorBidi" w:cstheme="majorBidi"/>
            <w:sz w:val="16"/>
            <w:szCs w:val="16"/>
            <w:lang w:bidi="ar-EG"/>
          </w:rPr>
          <w:t>https://2h.ae/UUxS</w:t>
        </w:r>
      </w:hyperlink>
      <w:r w:rsidRPr="00271070">
        <w:rPr>
          <w:rFonts w:asciiTheme="majorBidi" w:hAnsiTheme="majorBidi" w:cstheme="majorBidi"/>
          <w:sz w:val="16"/>
          <w:szCs w:val="16"/>
          <w:lang w:bidi="ar-EG"/>
        </w:rPr>
        <w:t xml:space="preserve">  </w:t>
      </w:r>
    </w:p>
  </w:footnote>
  <w:footnote w:id="2">
    <w:p w14:paraId="2C5F23E4" w14:textId="77777777" w:rsidR="00271070" w:rsidRPr="00271070" w:rsidRDefault="00271070" w:rsidP="00271070">
      <w:pPr>
        <w:pStyle w:val="FootnoteText"/>
        <w:rPr>
          <w:rFonts w:asciiTheme="majorBidi" w:hAnsiTheme="majorBidi" w:cstheme="majorBidi"/>
          <w:sz w:val="16"/>
          <w:szCs w:val="16"/>
        </w:rPr>
      </w:pPr>
      <w:r w:rsidRPr="00271070">
        <w:rPr>
          <w:rStyle w:val="FootnoteReference"/>
          <w:rFonts w:asciiTheme="majorBidi" w:hAnsiTheme="majorBidi" w:cstheme="majorBidi"/>
          <w:sz w:val="16"/>
          <w:szCs w:val="16"/>
        </w:rPr>
        <w:footnoteRef/>
      </w:r>
      <w:r w:rsidRPr="00271070">
        <w:rPr>
          <w:rFonts w:asciiTheme="majorBidi" w:hAnsiTheme="majorBidi" w:cstheme="majorBidi"/>
          <w:sz w:val="16"/>
          <w:szCs w:val="16"/>
          <w:rtl/>
        </w:rPr>
        <w:t xml:space="preserve"> </w:t>
      </w:r>
      <w:r w:rsidRPr="00271070">
        <w:rPr>
          <w:rFonts w:asciiTheme="majorBidi" w:hAnsiTheme="majorBidi" w:cstheme="majorBidi"/>
          <w:sz w:val="16"/>
          <w:szCs w:val="16"/>
        </w:rPr>
        <w:t xml:space="preserve">Egypt 2014 (rev. 2019), Article 53, </w:t>
      </w:r>
      <w:hyperlink r:id="rId2" w:history="1">
        <w:r w:rsidRPr="00271070">
          <w:rPr>
            <w:rStyle w:val="Hyperlink"/>
            <w:rFonts w:asciiTheme="majorBidi" w:hAnsiTheme="majorBidi" w:cstheme="majorBidi"/>
            <w:sz w:val="16"/>
            <w:szCs w:val="16"/>
          </w:rPr>
          <w:t>https://www.constituteproject.org/constitution/Egypt_2019</w:t>
        </w:r>
      </w:hyperlink>
    </w:p>
  </w:footnote>
  <w:footnote w:id="3">
    <w:p w14:paraId="58F0A50A" w14:textId="77777777" w:rsidR="00271070" w:rsidRPr="00271070" w:rsidRDefault="00271070" w:rsidP="00271070">
      <w:pPr>
        <w:pStyle w:val="FootnoteText"/>
        <w:rPr>
          <w:rFonts w:asciiTheme="majorBidi" w:hAnsiTheme="majorBidi" w:cstheme="majorBidi"/>
          <w:sz w:val="16"/>
          <w:szCs w:val="16"/>
        </w:rPr>
      </w:pPr>
      <w:r w:rsidRPr="00271070">
        <w:rPr>
          <w:rStyle w:val="FootnoteReference"/>
          <w:rFonts w:asciiTheme="majorBidi" w:hAnsiTheme="majorBidi" w:cstheme="majorBidi"/>
          <w:sz w:val="16"/>
          <w:szCs w:val="16"/>
        </w:rPr>
        <w:footnoteRef/>
      </w:r>
      <w:r w:rsidRPr="00271070">
        <w:rPr>
          <w:rFonts w:asciiTheme="majorBidi" w:hAnsiTheme="majorBidi" w:cstheme="majorBidi"/>
          <w:sz w:val="16"/>
          <w:szCs w:val="16"/>
          <w:rtl/>
        </w:rPr>
        <w:t xml:space="preserve">  </w:t>
      </w:r>
      <w:r w:rsidRPr="00271070">
        <w:rPr>
          <w:rFonts w:asciiTheme="majorBidi" w:hAnsiTheme="majorBidi" w:cstheme="majorBidi"/>
          <w:sz w:val="16"/>
          <w:szCs w:val="16"/>
        </w:rPr>
        <w:t xml:space="preserve">How Traffickers Lure Nigerians into Modern Slavery in Egypt, </w:t>
      </w:r>
      <w:hyperlink r:id="rId3" w:history="1">
        <w:r w:rsidRPr="00271070">
          <w:rPr>
            <w:rStyle w:val="Hyperlink"/>
            <w:rFonts w:asciiTheme="majorBidi" w:hAnsiTheme="majorBidi" w:cstheme="majorBidi"/>
            <w:sz w:val="16"/>
            <w:szCs w:val="16"/>
          </w:rPr>
          <w:t>https://humanglemedia.com/how-traffickers-lure-nigerians-into-modern-slavery-in-egypt/</w:t>
        </w:r>
      </w:hyperlink>
      <w:r w:rsidRPr="00271070">
        <w:rPr>
          <w:rFonts w:asciiTheme="majorBidi" w:hAnsiTheme="majorBidi" w:cstheme="majorBidi"/>
          <w:sz w:val="16"/>
          <w:szCs w:val="16"/>
        </w:rPr>
        <w:t xml:space="preserve"> </w:t>
      </w:r>
    </w:p>
  </w:footnote>
  <w:footnote w:id="4">
    <w:p w14:paraId="22F847DA" w14:textId="77777777" w:rsidR="00271070" w:rsidRPr="00271070" w:rsidRDefault="00271070" w:rsidP="00271070">
      <w:pPr>
        <w:pStyle w:val="FootnoteText"/>
        <w:rPr>
          <w:rFonts w:asciiTheme="majorBidi" w:hAnsiTheme="majorBidi" w:cstheme="majorBidi"/>
          <w:sz w:val="16"/>
          <w:szCs w:val="16"/>
        </w:rPr>
      </w:pPr>
      <w:r w:rsidRPr="00271070">
        <w:rPr>
          <w:rStyle w:val="FootnoteReference"/>
          <w:rFonts w:asciiTheme="majorBidi" w:hAnsiTheme="majorBidi" w:cstheme="majorBidi"/>
          <w:sz w:val="16"/>
          <w:szCs w:val="16"/>
        </w:rPr>
        <w:footnoteRef/>
      </w:r>
      <w:r w:rsidRPr="00271070">
        <w:rPr>
          <w:rFonts w:asciiTheme="majorBidi" w:hAnsiTheme="majorBidi" w:cstheme="majorBidi"/>
          <w:sz w:val="16"/>
          <w:szCs w:val="16"/>
          <w:rtl/>
        </w:rPr>
        <w:t xml:space="preserve">  </w:t>
      </w:r>
      <w:r w:rsidRPr="00271070">
        <w:rPr>
          <w:rFonts w:asciiTheme="majorBidi" w:hAnsiTheme="majorBidi" w:cstheme="majorBidi"/>
          <w:sz w:val="16"/>
          <w:szCs w:val="16"/>
        </w:rPr>
        <w:t xml:space="preserve">Joint Platform for Migrants and Refugees in Egypt Common Situational Analysis Education and Health Services for Migrants and Refugees in Egypt, PAGE  6, </w:t>
      </w:r>
      <w:hyperlink r:id="rId4" w:history="1">
        <w:r w:rsidRPr="00271070">
          <w:rPr>
            <w:rStyle w:val="Hyperlink"/>
            <w:rFonts w:asciiTheme="majorBidi" w:hAnsiTheme="majorBidi" w:cstheme="majorBidi"/>
            <w:sz w:val="16"/>
            <w:szCs w:val="16"/>
          </w:rPr>
          <w:t>https://rb.gy/oaji9p</w:t>
        </w:r>
      </w:hyperlink>
      <w:r w:rsidRPr="00271070">
        <w:rPr>
          <w:rFonts w:asciiTheme="majorBidi" w:hAnsiTheme="majorBidi" w:cstheme="majorBidi"/>
          <w:sz w:val="16"/>
          <w:szCs w:val="16"/>
        </w:rPr>
        <w:t xml:space="preserve"> </w:t>
      </w:r>
    </w:p>
  </w:footnote>
  <w:footnote w:id="5">
    <w:p w14:paraId="29E93A28" w14:textId="77777777" w:rsidR="00271070" w:rsidRPr="00271070" w:rsidRDefault="00271070" w:rsidP="00271070">
      <w:pPr>
        <w:spacing w:after="0" w:line="240" w:lineRule="auto"/>
        <w:rPr>
          <w:rFonts w:asciiTheme="majorBidi" w:hAnsiTheme="majorBidi" w:cstheme="majorBidi"/>
          <w:sz w:val="16"/>
          <w:szCs w:val="16"/>
        </w:rPr>
      </w:pPr>
      <w:r w:rsidRPr="00271070">
        <w:rPr>
          <w:rFonts w:asciiTheme="majorBidi" w:hAnsiTheme="majorBidi" w:cstheme="majorBidi"/>
          <w:sz w:val="16"/>
          <w:szCs w:val="16"/>
          <w:vertAlign w:val="superscript"/>
        </w:rPr>
        <w:footnoteRef/>
      </w:r>
      <w:r w:rsidRPr="00271070">
        <w:rPr>
          <w:rFonts w:asciiTheme="majorBidi" w:hAnsiTheme="majorBidi" w:cstheme="majorBidi"/>
          <w:sz w:val="16"/>
          <w:szCs w:val="16"/>
        </w:rPr>
        <w:t xml:space="preserve"> Egyptian court issues first ever verdict in a bullying case, Egypt independent, </w:t>
      </w:r>
      <w:hyperlink r:id="rId5">
        <w:r w:rsidRPr="00271070">
          <w:rPr>
            <w:rFonts w:asciiTheme="majorBidi" w:hAnsiTheme="majorBidi" w:cstheme="majorBidi"/>
            <w:color w:val="1155CC"/>
            <w:sz w:val="16"/>
            <w:szCs w:val="16"/>
            <w:u w:val="single"/>
          </w:rPr>
          <w:t>https://2h.ae/JaPi</w:t>
        </w:r>
      </w:hyperlink>
      <w:r w:rsidRPr="00271070">
        <w:rPr>
          <w:rFonts w:asciiTheme="majorBidi" w:hAnsiTheme="majorBidi" w:cstheme="majorBidi"/>
          <w:sz w:val="16"/>
          <w:szCs w:val="16"/>
        </w:rPr>
        <w:t xml:space="preserve"> </w:t>
      </w:r>
    </w:p>
  </w:footnote>
  <w:footnote w:id="6">
    <w:p w14:paraId="7368E0B4" w14:textId="77777777" w:rsidR="00271070" w:rsidRPr="00271070" w:rsidRDefault="00271070" w:rsidP="00271070">
      <w:pPr>
        <w:spacing w:after="0" w:line="240" w:lineRule="auto"/>
        <w:rPr>
          <w:rFonts w:asciiTheme="majorBidi" w:hAnsiTheme="majorBidi" w:cstheme="majorBidi"/>
          <w:sz w:val="16"/>
          <w:szCs w:val="16"/>
        </w:rPr>
      </w:pPr>
      <w:r w:rsidRPr="00271070">
        <w:rPr>
          <w:rFonts w:asciiTheme="majorBidi" w:hAnsiTheme="majorBidi" w:cstheme="majorBidi"/>
          <w:sz w:val="16"/>
          <w:szCs w:val="16"/>
          <w:vertAlign w:val="superscript"/>
        </w:rPr>
        <w:footnoteRef/>
      </w:r>
      <w:r w:rsidRPr="00271070">
        <w:rPr>
          <w:rFonts w:asciiTheme="majorBidi" w:hAnsiTheme="majorBidi" w:cstheme="majorBidi"/>
          <w:sz w:val="16"/>
          <w:szCs w:val="16"/>
          <w:rtl/>
        </w:rPr>
        <w:t xml:space="preserve"> </w:t>
      </w:r>
      <w:r w:rsidRPr="00271070">
        <w:rPr>
          <w:rFonts w:asciiTheme="majorBidi" w:hAnsiTheme="majorBidi" w:cstheme="majorBidi"/>
          <w:sz w:val="16"/>
          <w:szCs w:val="16"/>
          <w:rtl/>
        </w:rPr>
        <w:t xml:space="preserve">مصر.. إحالة المتهم بقتل طفلة سودانية لمحكمة الجنايات، روسيا اليوم، </w:t>
      </w:r>
      <w:hyperlink r:id="rId6">
        <w:r w:rsidRPr="00271070">
          <w:rPr>
            <w:rFonts w:asciiTheme="majorBidi" w:hAnsiTheme="majorBidi" w:cstheme="majorBidi"/>
            <w:color w:val="1155CC"/>
            <w:sz w:val="16"/>
            <w:szCs w:val="16"/>
            <w:u w:val="single"/>
          </w:rPr>
          <w:t>https://2h.ae/Jgef</w:t>
        </w:r>
      </w:hyperlink>
      <w:r w:rsidRPr="00271070">
        <w:rPr>
          <w:rFonts w:asciiTheme="majorBidi" w:hAnsiTheme="majorBidi" w:cstheme="majorBidi"/>
          <w:sz w:val="16"/>
          <w:szCs w:val="16"/>
        </w:rPr>
        <w:t xml:space="preserve"> </w:t>
      </w:r>
    </w:p>
  </w:footnote>
  <w:footnote w:id="7">
    <w:p w14:paraId="198140DF" w14:textId="77777777" w:rsidR="00271070" w:rsidRPr="00271070" w:rsidRDefault="00271070" w:rsidP="00271070">
      <w:pPr>
        <w:spacing w:after="0" w:line="240" w:lineRule="auto"/>
        <w:rPr>
          <w:rFonts w:asciiTheme="majorBidi" w:hAnsiTheme="majorBidi" w:cstheme="majorBidi"/>
          <w:sz w:val="16"/>
          <w:szCs w:val="16"/>
        </w:rPr>
      </w:pPr>
      <w:r w:rsidRPr="00271070">
        <w:rPr>
          <w:rFonts w:asciiTheme="majorBidi" w:hAnsiTheme="majorBidi" w:cstheme="majorBidi"/>
          <w:sz w:val="16"/>
          <w:szCs w:val="16"/>
          <w:vertAlign w:val="superscript"/>
        </w:rPr>
        <w:footnoteRef/>
      </w:r>
      <w:r w:rsidRPr="00271070">
        <w:rPr>
          <w:rFonts w:asciiTheme="majorBidi" w:hAnsiTheme="majorBidi" w:cstheme="majorBidi"/>
          <w:sz w:val="16"/>
          <w:szCs w:val="16"/>
          <w:rtl/>
        </w:rPr>
        <w:t xml:space="preserve"> </w:t>
      </w:r>
      <w:r w:rsidRPr="00271070">
        <w:rPr>
          <w:rFonts w:asciiTheme="majorBidi" w:hAnsiTheme="majorBidi" w:cstheme="majorBidi"/>
          <w:sz w:val="16"/>
          <w:szCs w:val="16"/>
          <w:rtl/>
        </w:rPr>
        <w:t xml:space="preserve">"حق جانيت رجع": تفاعُل مستخدمي وسائل التواصل الاجتماعي مع حكم الإعدام للمتهم بقتل طفلة سودانية في مصر، بي بي سي، </w:t>
      </w:r>
      <w:hyperlink r:id="rId7">
        <w:r w:rsidRPr="00271070">
          <w:rPr>
            <w:rFonts w:asciiTheme="majorBidi" w:hAnsiTheme="majorBidi" w:cstheme="majorBidi"/>
            <w:color w:val="1155CC"/>
            <w:sz w:val="16"/>
            <w:szCs w:val="16"/>
            <w:u w:val="single"/>
          </w:rPr>
          <w:t>https://2h.ae/cdNa</w:t>
        </w:r>
      </w:hyperlink>
      <w:r w:rsidRPr="00271070">
        <w:rPr>
          <w:rFonts w:asciiTheme="majorBidi" w:hAnsiTheme="majorBidi" w:cstheme="majorBidi"/>
          <w:sz w:val="16"/>
          <w:szCs w:val="16"/>
        </w:rPr>
        <w:t xml:space="preserve"> </w:t>
      </w:r>
    </w:p>
  </w:footnote>
  <w:footnote w:id="8">
    <w:p w14:paraId="0EA258A5" w14:textId="77777777" w:rsidR="00271070" w:rsidRPr="00271070" w:rsidRDefault="00271070" w:rsidP="00271070">
      <w:pPr>
        <w:pStyle w:val="FootnoteText"/>
        <w:rPr>
          <w:rFonts w:asciiTheme="majorBidi" w:hAnsiTheme="majorBidi" w:cstheme="majorBidi"/>
          <w:sz w:val="16"/>
          <w:szCs w:val="16"/>
        </w:rPr>
      </w:pPr>
      <w:r w:rsidRPr="00271070">
        <w:rPr>
          <w:rStyle w:val="FootnoteReference"/>
          <w:rFonts w:asciiTheme="majorBidi" w:hAnsiTheme="majorBidi" w:cstheme="majorBidi"/>
          <w:sz w:val="16"/>
          <w:szCs w:val="16"/>
        </w:rPr>
        <w:footnoteRef/>
      </w:r>
      <w:r w:rsidRPr="00271070">
        <w:rPr>
          <w:rFonts w:asciiTheme="majorBidi" w:hAnsiTheme="majorBidi" w:cstheme="majorBidi"/>
          <w:sz w:val="16"/>
          <w:szCs w:val="16"/>
          <w:rtl/>
        </w:rPr>
        <w:t xml:space="preserve"> </w:t>
      </w:r>
      <w:r w:rsidRPr="00271070">
        <w:rPr>
          <w:rFonts w:asciiTheme="majorBidi" w:hAnsiTheme="majorBidi" w:cstheme="majorBidi"/>
          <w:sz w:val="16"/>
          <w:szCs w:val="16"/>
          <w:rtl/>
          <w:lang w:bidi="ar-EG"/>
        </w:rPr>
        <w:t xml:space="preserve">دستور جمهورية مصر العربية 2014 (المعدل 2019)، </w:t>
      </w:r>
      <w:hyperlink r:id="rId8" w:history="1">
        <w:r w:rsidRPr="00271070">
          <w:rPr>
            <w:rStyle w:val="Hyperlink"/>
            <w:rFonts w:asciiTheme="majorBidi" w:hAnsiTheme="majorBidi" w:cstheme="majorBidi"/>
            <w:sz w:val="16"/>
            <w:szCs w:val="16"/>
            <w:lang w:bidi="ar-EG"/>
          </w:rPr>
          <w:t>https://2h.ae/AVgI</w:t>
        </w:r>
      </w:hyperlink>
    </w:p>
  </w:footnote>
  <w:footnote w:id="9">
    <w:p w14:paraId="052F7D2C" w14:textId="77777777" w:rsidR="00271070" w:rsidRPr="00271070" w:rsidRDefault="00271070" w:rsidP="00271070">
      <w:pPr>
        <w:pStyle w:val="FootnoteText"/>
        <w:rPr>
          <w:rFonts w:asciiTheme="majorBidi" w:hAnsiTheme="majorBidi" w:cstheme="majorBidi"/>
          <w:sz w:val="16"/>
          <w:szCs w:val="16"/>
        </w:rPr>
      </w:pPr>
      <w:r w:rsidRPr="00271070">
        <w:rPr>
          <w:rStyle w:val="FootnoteReference"/>
          <w:rFonts w:asciiTheme="majorBidi" w:hAnsiTheme="majorBidi" w:cstheme="majorBidi"/>
          <w:sz w:val="16"/>
          <w:szCs w:val="16"/>
        </w:rPr>
        <w:footnoteRef/>
      </w:r>
      <w:r w:rsidRPr="00271070">
        <w:rPr>
          <w:rFonts w:asciiTheme="majorBidi" w:hAnsiTheme="majorBidi" w:cstheme="majorBidi"/>
          <w:sz w:val="16"/>
          <w:szCs w:val="16"/>
          <w:rtl/>
        </w:rPr>
        <w:t xml:space="preserve">  </w:t>
      </w:r>
      <w:r w:rsidRPr="00271070">
        <w:rPr>
          <w:rFonts w:asciiTheme="majorBidi" w:hAnsiTheme="majorBidi" w:cstheme="majorBidi"/>
          <w:sz w:val="16"/>
          <w:szCs w:val="16"/>
        </w:rPr>
        <w:t xml:space="preserve">Launch of the Joint UN Programmed under the Joint Platform for Migrants and Refugees in Egypt, </w:t>
      </w:r>
      <w:hyperlink r:id="rId9" w:history="1">
        <w:r w:rsidRPr="00271070">
          <w:rPr>
            <w:rStyle w:val="Hyperlink"/>
            <w:rFonts w:asciiTheme="majorBidi" w:hAnsiTheme="majorBidi" w:cstheme="majorBidi"/>
            <w:sz w:val="16"/>
            <w:szCs w:val="16"/>
          </w:rPr>
          <w:t>https://tinyurl.com/3t9ytxjj</w:t>
        </w:r>
      </w:hyperlink>
      <w:r w:rsidRPr="00271070">
        <w:rPr>
          <w:rFonts w:asciiTheme="majorBidi" w:hAnsiTheme="majorBidi" w:cstheme="majorBidi"/>
          <w:sz w:val="16"/>
          <w:szCs w:val="16"/>
        </w:rPr>
        <w:t xml:space="preserve"> </w:t>
      </w:r>
    </w:p>
  </w:footnote>
  <w:footnote w:id="10">
    <w:p w14:paraId="09E1C28D" w14:textId="77777777" w:rsidR="00271070" w:rsidRPr="00271070" w:rsidRDefault="00271070" w:rsidP="00271070">
      <w:pPr>
        <w:pStyle w:val="FootnoteText"/>
        <w:rPr>
          <w:rFonts w:asciiTheme="majorBidi" w:hAnsiTheme="majorBidi" w:cstheme="majorBidi"/>
          <w:sz w:val="16"/>
          <w:szCs w:val="16"/>
        </w:rPr>
      </w:pPr>
      <w:r w:rsidRPr="00271070">
        <w:rPr>
          <w:rStyle w:val="FootnoteReference"/>
          <w:rFonts w:asciiTheme="majorBidi" w:hAnsiTheme="majorBidi" w:cstheme="majorBidi"/>
          <w:sz w:val="16"/>
          <w:szCs w:val="16"/>
        </w:rPr>
        <w:footnoteRef/>
      </w:r>
      <w:r w:rsidRPr="00271070">
        <w:rPr>
          <w:rFonts w:asciiTheme="majorBidi" w:hAnsiTheme="majorBidi" w:cstheme="majorBidi"/>
          <w:sz w:val="16"/>
          <w:szCs w:val="16"/>
          <w:rtl/>
        </w:rPr>
        <w:t xml:space="preserve">  </w:t>
      </w:r>
      <w:r w:rsidRPr="00271070">
        <w:rPr>
          <w:rFonts w:asciiTheme="majorBidi" w:hAnsiTheme="majorBidi" w:cstheme="majorBidi"/>
          <w:sz w:val="16"/>
          <w:szCs w:val="16"/>
        </w:rPr>
        <w:t xml:space="preserve">Education Cannot Wait, UNHCR, UNICEF, Strategic Partners Call for Increased Resources for the Education Response in Egypt and Region, </w:t>
      </w:r>
      <w:hyperlink r:id="rId10" w:history="1">
        <w:r w:rsidRPr="00271070">
          <w:rPr>
            <w:rStyle w:val="Hyperlink"/>
            <w:rFonts w:asciiTheme="majorBidi" w:hAnsiTheme="majorBidi" w:cstheme="majorBidi"/>
            <w:sz w:val="16"/>
            <w:szCs w:val="16"/>
          </w:rPr>
          <w:t>https://www.unhcr.org/eg/47255-sudan-ecw-unhcr-unicef.html</w:t>
        </w:r>
      </w:hyperlink>
      <w:r w:rsidRPr="00271070">
        <w:rPr>
          <w:rFonts w:asciiTheme="majorBidi" w:hAnsiTheme="majorBidi" w:cstheme="majorBidi"/>
          <w:sz w:val="16"/>
          <w:szCs w:val="16"/>
        </w:rPr>
        <w:t xml:space="preserve"> </w:t>
      </w:r>
    </w:p>
  </w:footnote>
  <w:footnote w:id="11">
    <w:p w14:paraId="34F14C3A" w14:textId="77777777" w:rsidR="00271070" w:rsidRPr="00271070" w:rsidRDefault="00271070" w:rsidP="00271070">
      <w:pPr>
        <w:spacing w:after="0" w:line="240" w:lineRule="auto"/>
        <w:rPr>
          <w:rFonts w:asciiTheme="majorBidi" w:hAnsiTheme="majorBidi" w:cstheme="majorBidi"/>
          <w:sz w:val="16"/>
          <w:szCs w:val="16"/>
        </w:rPr>
      </w:pPr>
      <w:r w:rsidRPr="00271070">
        <w:rPr>
          <w:rFonts w:asciiTheme="majorBidi" w:hAnsiTheme="majorBidi" w:cstheme="majorBidi"/>
          <w:sz w:val="16"/>
          <w:szCs w:val="16"/>
          <w:vertAlign w:val="superscript"/>
        </w:rPr>
        <w:footnoteRef/>
      </w:r>
      <w:r w:rsidRPr="00271070">
        <w:rPr>
          <w:rFonts w:asciiTheme="majorBidi" w:hAnsiTheme="majorBidi" w:cstheme="majorBidi"/>
          <w:sz w:val="16"/>
          <w:szCs w:val="16"/>
          <w:rtl/>
        </w:rPr>
        <w:t xml:space="preserve"> </w:t>
      </w:r>
      <w:r w:rsidRPr="00271070">
        <w:rPr>
          <w:rFonts w:asciiTheme="majorBidi" w:hAnsiTheme="majorBidi" w:cstheme="majorBidi"/>
          <w:sz w:val="16"/>
          <w:szCs w:val="16"/>
          <w:rtl/>
        </w:rPr>
        <w:t xml:space="preserve">قرارات التعليم الجديدة بخصوص اللاجئين في مصر تعيد الطمأنينة للسوريين، سوريا تي في، </w:t>
      </w:r>
      <w:hyperlink r:id="rId11">
        <w:r w:rsidRPr="00271070">
          <w:rPr>
            <w:rFonts w:asciiTheme="majorBidi" w:hAnsiTheme="majorBidi" w:cstheme="majorBidi"/>
            <w:color w:val="1155CC"/>
            <w:sz w:val="16"/>
            <w:szCs w:val="16"/>
            <w:u w:val="single"/>
          </w:rPr>
          <w:t>https://2h.ae/waqs</w:t>
        </w:r>
      </w:hyperlink>
      <w:r w:rsidRPr="00271070">
        <w:rPr>
          <w:rFonts w:asciiTheme="majorBidi" w:hAnsiTheme="majorBidi" w:cstheme="majorBidi"/>
          <w:sz w:val="16"/>
          <w:szCs w:val="16"/>
        </w:rPr>
        <w:t xml:space="preserve"> </w:t>
      </w:r>
    </w:p>
  </w:footnote>
  <w:footnote w:id="12">
    <w:p w14:paraId="28061EF8" w14:textId="77777777" w:rsidR="00271070" w:rsidRPr="00271070" w:rsidRDefault="00271070" w:rsidP="00271070">
      <w:pPr>
        <w:pStyle w:val="FootnoteText"/>
        <w:rPr>
          <w:rFonts w:asciiTheme="majorBidi" w:hAnsiTheme="majorBidi" w:cstheme="majorBidi"/>
          <w:sz w:val="16"/>
          <w:szCs w:val="16"/>
          <w:rtl/>
          <w:lang w:bidi="ar-EG"/>
        </w:rPr>
      </w:pPr>
      <w:r w:rsidRPr="00271070">
        <w:rPr>
          <w:rStyle w:val="FootnoteReference"/>
          <w:rFonts w:asciiTheme="majorBidi" w:hAnsiTheme="majorBidi" w:cstheme="majorBidi"/>
          <w:sz w:val="16"/>
          <w:szCs w:val="16"/>
        </w:rPr>
        <w:footnoteRef/>
      </w:r>
      <w:r w:rsidRPr="00271070">
        <w:rPr>
          <w:rFonts w:asciiTheme="majorBidi" w:hAnsiTheme="majorBidi" w:cstheme="majorBidi"/>
          <w:sz w:val="16"/>
          <w:szCs w:val="16"/>
        </w:rPr>
        <w:t xml:space="preserve"> For Sudanese Refugees, Egypt Is Barely a Refuge, </w:t>
      </w:r>
      <w:hyperlink r:id="rId12" w:history="1">
        <w:r w:rsidRPr="00271070">
          <w:rPr>
            <w:rStyle w:val="Hyperlink"/>
            <w:rFonts w:asciiTheme="majorBidi" w:hAnsiTheme="majorBidi" w:cstheme="majorBidi"/>
            <w:sz w:val="16"/>
            <w:szCs w:val="16"/>
            <w:shd w:val="clear" w:color="auto" w:fill="FFFFFF"/>
          </w:rPr>
          <w:t>https://t.ly/LiaB-</w:t>
        </w:r>
      </w:hyperlink>
      <w:r w:rsidRPr="00271070">
        <w:rPr>
          <w:rFonts w:asciiTheme="majorBidi" w:hAnsiTheme="majorBidi" w:cstheme="majorBidi"/>
          <w:color w:val="333333"/>
          <w:sz w:val="16"/>
          <w:szCs w:val="16"/>
          <w:shd w:val="clear" w:color="auto" w:fill="FFFFFF"/>
        </w:rPr>
        <w:t xml:space="preserve"> </w:t>
      </w:r>
    </w:p>
  </w:footnote>
  <w:footnote w:id="13">
    <w:p w14:paraId="0DDED807" w14:textId="77777777" w:rsidR="00271070" w:rsidRPr="00271070" w:rsidRDefault="00271070" w:rsidP="00271070">
      <w:pPr>
        <w:pStyle w:val="FootnoteText"/>
        <w:rPr>
          <w:rFonts w:asciiTheme="majorBidi" w:hAnsiTheme="majorBidi" w:cstheme="majorBidi"/>
          <w:sz w:val="16"/>
          <w:szCs w:val="16"/>
          <w:rtl/>
          <w:lang w:bidi="ar-EG"/>
        </w:rPr>
      </w:pPr>
      <w:r w:rsidRPr="00271070">
        <w:rPr>
          <w:rStyle w:val="FootnoteReference"/>
          <w:rFonts w:asciiTheme="majorBidi" w:hAnsiTheme="majorBidi" w:cstheme="majorBidi"/>
          <w:sz w:val="16"/>
          <w:szCs w:val="16"/>
        </w:rPr>
        <w:footnoteRef/>
      </w:r>
      <w:r w:rsidRPr="00271070">
        <w:rPr>
          <w:rFonts w:asciiTheme="majorBidi" w:hAnsiTheme="majorBidi" w:cstheme="majorBidi"/>
          <w:sz w:val="16"/>
          <w:szCs w:val="16"/>
        </w:rPr>
        <w:t xml:space="preserve"> Review of national policy, legislative and regulatory frameworks and practice in Egypt, Page 3, </w:t>
      </w:r>
      <w:hyperlink r:id="rId13" w:history="1">
        <w:r w:rsidRPr="00271070">
          <w:rPr>
            <w:rStyle w:val="Hyperlink"/>
            <w:rFonts w:asciiTheme="majorBidi" w:hAnsiTheme="majorBidi" w:cstheme="majorBidi"/>
            <w:sz w:val="16"/>
            <w:szCs w:val="16"/>
          </w:rPr>
          <w:t>https://www.3rpsyriacrisis.org/wp-content/uploads/2022/11/gv1tHb-wcms_861695.pdf</w:t>
        </w:r>
      </w:hyperlink>
      <w:r w:rsidRPr="00271070">
        <w:rPr>
          <w:rFonts w:asciiTheme="majorBidi" w:hAnsiTheme="majorBidi" w:cstheme="majorBidi"/>
          <w:sz w:val="16"/>
          <w:szCs w:val="16"/>
        </w:rPr>
        <w:t xml:space="preserve"> </w:t>
      </w:r>
    </w:p>
  </w:footnote>
  <w:footnote w:id="14">
    <w:p w14:paraId="39124668" w14:textId="77777777" w:rsidR="00271070" w:rsidRPr="00271070" w:rsidRDefault="00271070" w:rsidP="00271070">
      <w:pPr>
        <w:pStyle w:val="FootnoteText"/>
        <w:rPr>
          <w:rFonts w:asciiTheme="majorBidi" w:hAnsiTheme="majorBidi" w:cstheme="majorBidi"/>
          <w:sz w:val="16"/>
          <w:szCs w:val="16"/>
          <w:lang w:bidi="ar-EG"/>
        </w:rPr>
      </w:pPr>
      <w:r w:rsidRPr="00271070">
        <w:rPr>
          <w:rStyle w:val="FootnoteReference"/>
          <w:rFonts w:asciiTheme="majorBidi" w:hAnsiTheme="majorBidi" w:cstheme="majorBidi"/>
          <w:sz w:val="16"/>
          <w:szCs w:val="16"/>
        </w:rPr>
        <w:footnoteRef/>
      </w:r>
      <w:r w:rsidRPr="00271070">
        <w:rPr>
          <w:rFonts w:asciiTheme="majorBidi" w:hAnsiTheme="majorBidi" w:cstheme="majorBidi"/>
          <w:sz w:val="16"/>
          <w:szCs w:val="16"/>
          <w:rtl/>
        </w:rPr>
        <w:t xml:space="preserve"> </w:t>
      </w:r>
      <w:r w:rsidRPr="00271070">
        <w:rPr>
          <w:rFonts w:asciiTheme="majorBidi" w:hAnsiTheme="majorBidi" w:cstheme="majorBidi"/>
          <w:sz w:val="16"/>
          <w:szCs w:val="16"/>
        </w:rPr>
        <w:t xml:space="preserve">Detained Egyptian students in Kyrgyzstan violence released as crisis 'completely resolved': Foreign ministry, </w:t>
      </w:r>
      <w:hyperlink r:id="rId14" w:history="1">
        <w:r w:rsidRPr="00271070">
          <w:rPr>
            <w:rStyle w:val="Hyperlink"/>
            <w:rFonts w:asciiTheme="majorBidi" w:hAnsiTheme="majorBidi" w:cstheme="majorBidi"/>
            <w:sz w:val="16"/>
            <w:szCs w:val="16"/>
          </w:rPr>
          <w:t>https://tinyurl.com/4cu8euw7</w:t>
        </w:r>
      </w:hyperlink>
      <w:r w:rsidRPr="00271070">
        <w:rPr>
          <w:rFonts w:asciiTheme="majorBidi" w:hAnsiTheme="majorBidi" w:cstheme="majorBidi"/>
          <w:sz w:val="16"/>
          <w:szCs w:val="16"/>
        </w:rPr>
        <w:t xml:space="preserve"> </w:t>
      </w:r>
    </w:p>
  </w:footnote>
  <w:footnote w:id="15">
    <w:p w14:paraId="0D23D0A9" w14:textId="77777777" w:rsidR="00271070" w:rsidRPr="00271070" w:rsidRDefault="00271070" w:rsidP="00271070">
      <w:pPr>
        <w:pStyle w:val="FootnoteText"/>
        <w:rPr>
          <w:rFonts w:asciiTheme="majorBidi" w:hAnsiTheme="majorBidi" w:cstheme="majorBidi"/>
          <w:sz w:val="16"/>
          <w:szCs w:val="16"/>
          <w:lang w:bidi="ar-EG"/>
        </w:rPr>
      </w:pPr>
      <w:r w:rsidRPr="00271070">
        <w:rPr>
          <w:rStyle w:val="FootnoteReference"/>
          <w:rFonts w:asciiTheme="majorBidi" w:hAnsiTheme="majorBidi" w:cstheme="majorBidi"/>
          <w:sz w:val="16"/>
          <w:szCs w:val="16"/>
        </w:rPr>
        <w:footnoteRef/>
      </w:r>
      <w:r w:rsidRPr="00271070">
        <w:rPr>
          <w:rFonts w:asciiTheme="majorBidi" w:hAnsiTheme="majorBidi" w:cstheme="majorBidi"/>
          <w:sz w:val="16"/>
          <w:szCs w:val="16"/>
          <w:rtl/>
        </w:rPr>
        <w:t xml:space="preserve"> </w:t>
      </w:r>
      <w:r w:rsidRPr="00271070">
        <w:rPr>
          <w:rFonts w:asciiTheme="majorBidi" w:hAnsiTheme="majorBidi" w:cstheme="majorBidi"/>
          <w:sz w:val="16"/>
          <w:szCs w:val="16"/>
        </w:rPr>
        <w:t xml:space="preserve">Mexican Army Troops Open Fire on Truck, 6 Migrants Reported Dead, </w:t>
      </w:r>
      <w:hyperlink r:id="rId15" w:history="1">
        <w:r w:rsidRPr="00271070">
          <w:rPr>
            <w:rStyle w:val="Hyperlink"/>
            <w:rFonts w:asciiTheme="majorBidi" w:hAnsiTheme="majorBidi" w:cstheme="majorBidi"/>
            <w:sz w:val="16"/>
            <w:szCs w:val="16"/>
          </w:rPr>
          <w:t>https://www.newsweek.com/six-migrants-shot-dead-mexico-soldiers-guatemala-1963084</w:t>
        </w:r>
      </w:hyperlink>
      <w:r w:rsidRPr="00271070">
        <w:rPr>
          <w:rFonts w:asciiTheme="majorBidi" w:hAnsiTheme="majorBidi" w:cstheme="majorBidi"/>
          <w:sz w:val="16"/>
          <w:szCs w:val="16"/>
        </w:rPr>
        <w:t xml:space="preserve"> </w:t>
      </w:r>
    </w:p>
  </w:footnote>
  <w:footnote w:id="16">
    <w:p w14:paraId="3208A4CF" w14:textId="77777777" w:rsidR="00271070" w:rsidRPr="00271070" w:rsidRDefault="00271070" w:rsidP="00271070">
      <w:pPr>
        <w:pStyle w:val="FootnoteText"/>
        <w:rPr>
          <w:rFonts w:asciiTheme="majorBidi" w:hAnsiTheme="majorBidi" w:cstheme="majorBidi"/>
          <w:sz w:val="16"/>
          <w:szCs w:val="16"/>
          <w:rtl/>
          <w:lang w:bidi="ar-EG"/>
        </w:rPr>
      </w:pPr>
      <w:r w:rsidRPr="00271070">
        <w:rPr>
          <w:rStyle w:val="FootnoteReference"/>
          <w:rFonts w:asciiTheme="majorBidi" w:hAnsiTheme="majorBidi" w:cstheme="majorBidi"/>
          <w:sz w:val="16"/>
          <w:szCs w:val="16"/>
        </w:rPr>
        <w:footnoteRef/>
      </w:r>
      <w:r w:rsidRPr="00271070">
        <w:rPr>
          <w:rFonts w:asciiTheme="majorBidi" w:hAnsiTheme="majorBidi" w:cstheme="majorBidi"/>
          <w:sz w:val="16"/>
          <w:szCs w:val="16"/>
        </w:rPr>
        <w:t xml:space="preserve"> </w:t>
      </w:r>
      <w:r w:rsidRPr="00271070">
        <w:rPr>
          <w:rFonts w:asciiTheme="majorBidi" w:hAnsiTheme="majorBidi" w:cstheme="majorBidi"/>
          <w:sz w:val="16"/>
          <w:szCs w:val="16"/>
          <w:rtl/>
          <w:lang w:bidi="ar-EG"/>
        </w:rPr>
        <w:t xml:space="preserve">  </w:t>
      </w:r>
      <w:r w:rsidRPr="00271070">
        <w:rPr>
          <w:rFonts w:asciiTheme="majorBidi" w:hAnsiTheme="majorBidi" w:cstheme="majorBidi"/>
          <w:sz w:val="16"/>
          <w:szCs w:val="16"/>
          <w:rtl/>
          <w:lang w:bidi="ar-EG"/>
        </w:rPr>
        <w:t>2023</w:t>
      </w:r>
      <w:r w:rsidRPr="00271070">
        <w:rPr>
          <w:rFonts w:asciiTheme="majorBidi" w:hAnsiTheme="majorBidi" w:cstheme="majorBidi"/>
          <w:sz w:val="16"/>
          <w:szCs w:val="16"/>
          <w:lang w:bidi="ar-EG"/>
        </w:rPr>
        <w:t xml:space="preserve"> Trafficking in Persons Report, </w:t>
      </w:r>
      <w:hyperlink r:id="rId16" w:history="1">
        <w:r w:rsidRPr="00271070">
          <w:rPr>
            <w:rStyle w:val="Hyperlink"/>
            <w:rFonts w:asciiTheme="majorBidi" w:hAnsiTheme="majorBidi" w:cstheme="majorBidi"/>
            <w:sz w:val="16"/>
            <w:szCs w:val="16"/>
            <w:lang w:bidi="ar-EG"/>
          </w:rPr>
          <w:t>https://www.state.gov/reports/2023-trafficking-in-persons-report/</w:t>
        </w:r>
      </w:hyperlink>
      <w:r w:rsidRPr="00271070">
        <w:rPr>
          <w:rFonts w:asciiTheme="majorBidi" w:hAnsiTheme="majorBidi" w:cstheme="majorBidi"/>
          <w:sz w:val="16"/>
          <w:szCs w:val="16"/>
          <w:lang w:bidi="ar-EG"/>
        </w:rPr>
        <w:t xml:space="preserve"> </w:t>
      </w:r>
    </w:p>
  </w:footnote>
  <w:footnote w:id="17">
    <w:p w14:paraId="10A762A2" w14:textId="77777777" w:rsidR="00271070" w:rsidRPr="00271070" w:rsidRDefault="00271070" w:rsidP="00271070">
      <w:pPr>
        <w:pStyle w:val="FootnoteText"/>
        <w:rPr>
          <w:rFonts w:asciiTheme="majorBidi" w:hAnsiTheme="majorBidi" w:cstheme="majorBidi"/>
          <w:sz w:val="16"/>
          <w:szCs w:val="16"/>
          <w:rtl/>
          <w:lang w:bidi="ar-EG"/>
        </w:rPr>
      </w:pPr>
      <w:r w:rsidRPr="00271070">
        <w:rPr>
          <w:rStyle w:val="FootnoteReference"/>
          <w:rFonts w:asciiTheme="majorBidi" w:hAnsiTheme="majorBidi" w:cstheme="majorBidi"/>
          <w:sz w:val="16"/>
          <w:szCs w:val="16"/>
        </w:rPr>
        <w:footnoteRef/>
      </w:r>
      <w:r w:rsidRPr="00271070">
        <w:rPr>
          <w:rFonts w:asciiTheme="majorBidi" w:hAnsiTheme="majorBidi" w:cstheme="majorBidi"/>
          <w:sz w:val="16"/>
          <w:szCs w:val="16"/>
        </w:rPr>
        <w:t xml:space="preserve"> Egypt’s African household workers, </w:t>
      </w:r>
      <w:hyperlink r:id="rId17" w:history="1">
        <w:r w:rsidRPr="00271070">
          <w:rPr>
            <w:rStyle w:val="Hyperlink"/>
            <w:rFonts w:asciiTheme="majorBidi" w:hAnsiTheme="majorBidi" w:cstheme="majorBidi"/>
            <w:sz w:val="16"/>
            <w:szCs w:val="16"/>
          </w:rPr>
          <w:t>https://english.ahram.org.eg/NewsContent/50/1210/404685/AlAhram-Weekly/Living/Egypt%E2%80%99s-African-household-workers.aspx</w:t>
        </w:r>
      </w:hyperlink>
      <w:r w:rsidRPr="00271070">
        <w:rPr>
          <w:rFonts w:asciiTheme="majorBidi" w:hAnsiTheme="majorBidi" w:cstheme="majorBidi"/>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02EF65" w14:textId="2A35154A" w:rsidR="001374D3" w:rsidRDefault="001374D3">
    <w:pPr>
      <w:pStyle w:val="Header"/>
    </w:pPr>
    <w:r w:rsidRPr="005C5F24">
      <w:rPr>
        <w:rFonts w:cstheme="minorHAnsi"/>
        <w:noProof/>
        <w:sz w:val="24"/>
        <w:szCs w:val="24"/>
        <w:lang w:bidi="ar-EG"/>
      </w:rPr>
      <w:drawing>
        <wp:inline distT="0" distB="0" distL="0" distR="0" wp14:anchorId="517E8D86" wp14:editId="7F083F1E">
          <wp:extent cx="1974850" cy="1328584"/>
          <wp:effectExtent l="0" t="0" r="635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5295" cy="132888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31D8C"/>
    <w:multiLevelType w:val="hybridMultilevel"/>
    <w:tmpl w:val="30CC5CA8"/>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677BD2"/>
    <w:multiLevelType w:val="hybridMultilevel"/>
    <w:tmpl w:val="CC5676A4"/>
    <w:lvl w:ilvl="0" w:tplc="D2C8E05E">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E27379"/>
    <w:multiLevelType w:val="hybridMultilevel"/>
    <w:tmpl w:val="72CED88E"/>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3E4173"/>
    <w:multiLevelType w:val="hybridMultilevel"/>
    <w:tmpl w:val="43DCBD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FF5B55"/>
    <w:multiLevelType w:val="hybridMultilevel"/>
    <w:tmpl w:val="3930453E"/>
    <w:lvl w:ilvl="0" w:tplc="B91E2684">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0151948"/>
    <w:multiLevelType w:val="hybridMultilevel"/>
    <w:tmpl w:val="A3E40AC8"/>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15:restartNumberingAfterBreak="0">
    <w:nsid w:val="111C244C"/>
    <w:multiLevelType w:val="hybridMultilevel"/>
    <w:tmpl w:val="7436B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8C37D8"/>
    <w:multiLevelType w:val="hybridMultilevel"/>
    <w:tmpl w:val="384AF420"/>
    <w:lvl w:ilvl="0" w:tplc="D2C8E05E">
      <w:numFmt w:val="bullet"/>
      <w:lvlText w:val="-"/>
      <w:lvlJc w:val="left"/>
      <w:pPr>
        <w:ind w:left="900" w:hanging="360"/>
      </w:pPr>
      <w:rPr>
        <w:rFonts w:ascii="Calibri" w:eastAsiaTheme="minorHAnsi" w:hAnsi="Calibri" w:cs="Calibr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132F3110"/>
    <w:multiLevelType w:val="hybridMultilevel"/>
    <w:tmpl w:val="5E7E9FD4"/>
    <w:lvl w:ilvl="0" w:tplc="04090013">
      <w:start w:val="1"/>
      <w:numFmt w:val="arabicAlpha"/>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337474B"/>
    <w:multiLevelType w:val="hybridMultilevel"/>
    <w:tmpl w:val="4AA8745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45D48FE"/>
    <w:multiLevelType w:val="hybridMultilevel"/>
    <w:tmpl w:val="16DEC34E"/>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25DD3B59"/>
    <w:multiLevelType w:val="hybridMultilevel"/>
    <w:tmpl w:val="6ED8B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487B3F"/>
    <w:multiLevelType w:val="hybridMultilevel"/>
    <w:tmpl w:val="87F66154"/>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0B71676"/>
    <w:multiLevelType w:val="hybridMultilevel"/>
    <w:tmpl w:val="77FEB35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034E4E"/>
    <w:multiLevelType w:val="hybridMultilevel"/>
    <w:tmpl w:val="89F4F672"/>
    <w:lvl w:ilvl="0" w:tplc="3794A37E">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CFE2180"/>
    <w:multiLevelType w:val="hybridMultilevel"/>
    <w:tmpl w:val="B5F861FE"/>
    <w:lvl w:ilvl="0" w:tplc="630AF8F0">
      <w:numFmt w:val="bullet"/>
      <w:lvlText w:val="-"/>
      <w:lvlJc w:val="left"/>
      <w:pPr>
        <w:ind w:left="720" w:hanging="360"/>
      </w:pPr>
      <w:rPr>
        <w:rFonts w:ascii="Sakkal Majalla" w:eastAsia="Sakkal Majall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F10A58"/>
    <w:multiLevelType w:val="hybridMultilevel"/>
    <w:tmpl w:val="72CED88E"/>
    <w:lvl w:ilvl="0" w:tplc="FFFFFFFF">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1814542"/>
    <w:multiLevelType w:val="hybridMultilevel"/>
    <w:tmpl w:val="EA7C2D2C"/>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8" w15:restartNumberingAfterBreak="0">
    <w:nsid w:val="4B8500DF"/>
    <w:multiLevelType w:val="hybridMultilevel"/>
    <w:tmpl w:val="8846671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79072B"/>
    <w:multiLevelType w:val="hybridMultilevel"/>
    <w:tmpl w:val="C54EDA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E5D7FB8"/>
    <w:multiLevelType w:val="hybridMultilevel"/>
    <w:tmpl w:val="F6780B82"/>
    <w:lvl w:ilvl="0" w:tplc="D2C8E05E">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987A9E"/>
    <w:multiLevelType w:val="hybridMultilevel"/>
    <w:tmpl w:val="E9922B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1C691B"/>
    <w:multiLevelType w:val="hybridMultilevel"/>
    <w:tmpl w:val="6C1A83C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95A1B56"/>
    <w:multiLevelType w:val="hybridMultilevel"/>
    <w:tmpl w:val="A790CBEA"/>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23A1534"/>
    <w:multiLevelType w:val="hybridMultilevel"/>
    <w:tmpl w:val="AAA8670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B515360"/>
    <w:multiLevelType w:val="hybridMultilevel"/>
    <w:tmpl w:val="03F62C7E"/>
    <w:lvl w:ilvl="0" w:tplc="A8BA913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5004043"/>
    <w:multiLevelType w:val="hybridMultilevel"/>
    <w:tmpl w:val="12AA488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6777E6C"/>
    <w:multiLevelType w:val="hybridMultilevel"/>
    <w:tmpl w:val="42BE05B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76A44FC3"/>
    <w:multiLevelType w:val="hybridMultilevel"/>
    <w:tmpl w:val="485EB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F3E456F"/>
    <w:multiLevelType w:val="hybridMultilevel"/>
    <w:tmpl w:val="8092BE0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4"/>
  </w:num>
  <w:num w:numId="3">
    <w:abstractNumId w:val="25"/>
  </w:num>
  <w:num w:numId="4">
    <w:abstractNumId w:val="13"/>
  </w:num>
  <w:num w:numId="5">
    <w:abstractNumId w:val="29"/>
  </w:num>
  <w:num w:numId="6">
    <w:abstractNumId w:val="2"/>
  </w:num>
  <w:num w:numId="7">
    <w:abstractNumId w:val="8"/>
  </w:num>
  <w:num w:numId="8">
    <w:abstractNumId w:val="16"/>
  </w:num>
  <w:num w:numId="9">
    <w:abstractNumId w:val="18"/>
  </w:num>
  <w:num w:numId="10">
    <w:abstractNumId w:val="20"/>
  </w:num>
  <w:num w:numId="11">
    <w:abstractNumId w:val="1"/>
  </w:num>
  <w:num w:numId="12">
    <w:abstractNumId w:val="0"/>
  </w:num>
  <w:num w:numId="13">
    <w:abstractNumId w:val="21"/>
  </w:num>
  <w:num w:numId="14">
    <w:abstractNumId w:val="23"/>
  </w:num>
  <w:num w:numId="15">
    <w:abstractNumId w:val="27"/>
  </w:num>
  <w:num w:numId="16">
    <w:abstractNumId w:val="24"/>
  </w:num>
  <w:num w:numId="17">
    <w:abstractNumId w:val="5"/>
  </w:num>
  <w:num w:numId="18">
    <w:abstractNumId w:val="19"/>
  </w:num>
  <w:num w:numId="19">
    <w:abstractNumId w:val="7"/>
  </w:num>
  <w:num w:numId="20">
    <w:abstractNumId w:val="12"/>
  </w:num>
  <w:num w:numId="21">
    <w:abstractNumId w:val="9"/>
  </w:num>
  <w:num w:numId="22">
    <w:abstractNumId w:val="28"/>
  </w:num>
  <w:num w:numId="23">
    <w:abstractNumId w:val="10"/>
  </w:num>
  <w:num w:numId="24">
    <w:abstractNumId w:val="22"/>
  </w:num>
  <w:num w:numId="25">
    <w:abstractNumId w:val="4"/>
  </w:num>
  <w:num w:numId="26">
    <w:abstractNumId w:val="17"/>
  </w:num>
  <w:num w:numId="27">
    <w:abstractNumId w:val="11"/>
  </w:num>
  <w:num w:numId="28">
    <w:abstractNumId w:val="6"/>
  </w:num>
  <w:num w:numId="29">
    <w:abstractNumId w:val="15"/>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A7tv6Su+kJwC6Sq+ovP/BpYGwU+C5dt34ktMUdyc+4Uux24kKozvLcdRexXDJxVlmj1Ec7wrq/1ldv7It5aung==" w:salt="P/ydhXhYdxnAsWncRvXDi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884"/>
    <w:rsid w:val="000242A8"/>
    <w:rsid w:val="0006411F"/>
    <w:rsid w:val="00090770"/>
    <w:rsid w:val="000A1FA0"/>
    <w:rsid w:val="000B59D1"/>
    <w:rsid w:val="000B6672"/>
    <w:rsid w:val="000D76D9"/>
    <w:rsid w:val="000E46C3"/>
    <w:rsid w:val="000E7525"/>
    <w:rsid w:val="000F092A"/>
    <w:rsid w:val="000F7D01"/>
    <w:rsid w:val="00105DB7"/>
    <w:rsid w:val="00120EA5"/>
    <w:rsid w:val="0012660F"/>
    <w:rsid w:val="001268F4"/>
    <w:rsid w:val="00127B97"/>
    <w:rsid w:val="001374D3"/>
    <w:rsid w:val="00137D94"/>
    <w:rsid w:val="00137FA4"/>
    <w:rsid w:val="00145C8B"/>
    <w:rsid w:val="00155A14"/>
    <w:rsid w:val="001719EB"/>
    <w:rsid w:val="001751C8"/>
    <w:rsid w:val="00176BE1"/>
    <w:rsid w:val="001A5CB1"/>
    <w:rsid w:val="001B3856"/>
    <w:rsid w:val="001B74C9"/>
    <w:rsid w:val="001C3019"/>
    <w:rsid w:val="001D2801"/>
    <w:rsid w:val="001E0F28"/>
    <w:rsid w:val="001E5853"/>
    <w:rsid w:val="001F17D0"/>
    <w:rsid w:val="00204088"/>
    <w:rsid w:val="0021413B"/>
    <w:rsid w:val="00220D6B"/>
    <w:rsid w:val="00265110"/>
    <w:rsid w:val="00271070"/>
    <w:rsid w:val="00273EAA"/>
    <w:rsid w:val="0027781D"/>
    <w:rsid w:val="00287FC0"/>
    <w:rsid w:val="00292DF1"/>
    <w:rsid w:val="002A6B29"/>
    <w:rsid w:val="002D3C5D"/>
    <w:rsid w:val="002F1224"/>
    <w:rsid w:val="00304121"/>
    <w:rsid w:val="003174DA"/>
    <w:rsid w:val="00340D06"/>
    <w:rsid w:val="00391176"/>
    <w:rsid w:val="003946B5"/>
    <w:rsid w:val="003A181E"/>
    <w:rsid w:val="003D1884"/>
    <w:rsid w:val="003E0E53"/>
    <w:rsid w:val="003E1F7C"/>
    <w:rsid w:val="003F36C0"/>
    <w:rsid w:val="003F39DD"/>
    <w:rsid w:val="003F65C7"/>
    <w:rsid w:val="00434E12"/>
    <w:rsid w:val="00444AC0"/>
    <w:rsid w:val="00465FBD"/>
    <w:rsid w:val="00466AA6"/>
    <w:rsid w:val="00472C5D"/>
    <w:rsid w:val="00483CDB"/>
    <w:rsid w:val="00484B01"/>
    <w:rsid w:val="004B000E"/>
    <w:rsid w:val="004D7A9C"/>
    <w:rsid w:val="00507A7F"/>
    <w:rsid w:val="005171C1"/>
    <w:rsid w:val="00526952"/>
    <w:rsid w:val="00532295"/>
    <w:rsid w:val="00553347"/>
    <w:rsid w:val="00563368"/>
    <w:rsid w:val="00567291"/>
    <w:rsid w:val="00590ACC"/>
    <w:rsid w:val="005C5F24"/>
    <w:rsid w:val="005D2424"/>
    <w:rsid w:val="005D7270"/>
    <w:rsid w:val="005E07AC"/>
    <w:rsid w:val="005E1A66"/>
    <w:rsid w:val="00605C13"/>
    <w:rsid w:val="00605E6A"/>
    <w:rsid w:val="00623B00"/>
    <w:rsid w:val="0063407D"/>
    <w:rsid w:val="00661876"/>
    <w:rsid w:val="00672538"/>
    <w:rsid w:val="00685328"/>
    <w:rsid w:val="006857E8"/>
    <w:rsid w:val="00690CA6"/>
    <w:rsid w:val="006A4EDA"/>
    <w:rsid w:val="006A5B98"/>
    <w:rsid w:val="006D29FD"/>
    <w:rsid w:val="006D5294"/>
    <w:rsid w:val="006D7846"/>
    <w:rsid w:val="006F0399"/>
    <w:rsid w:val="006F77AB"/>
    <w:rsid w:val="007001BC"/>
    <w:rsid w:val="007165EF"/>
    <w:rsid w:val="00716EF6"/>
    <w:rsid w:val="007203A5"/>
    <w:rsid w:val="007253A8"/>
    <w:rsid w:val="00726C7D"/>
    <w:rsid w:val="00756631"/>
    <w:rsid w:val="007719B0"/>
    <w:rsid w:val="00774046"/>
    <w:rsid w:val="007809DA"/>
    <w:rsid w:val="0078773E"/>
    <w:rsid w:val="007A3308"/>
    <w:rsid w:val="007A5537"/>
    <w:rsid w:val="007D795E"/>
    <w:rsid w:val="007E687B"/>
    <w:rsid w:val="0080014F"/>
    <w:rsid w:val="00804A32"/>
    <w:rsid w:val="00832E45"/>
    <w:rsid w:val="0085336D"/>
    <w:rsid w:val="008738FB"/>
    <w:rsid w:val="0087723C"/>
    <w:rsid w:val="00877E2D"/>
    <w:rsid w:val="008A1847"/>
    <w:rsid w:val="008C49F7"/>
    <w:rsid w:val="008D520A"/>
    <w:rsid w:val="008F2735"/>
    <w:rsid w:val="00904745"/>
    <w:rsid w:val="0096340C"/>
    <w:rsid w:val="0096779B"/>
    <w:rsid w:val="009852FE"/>
    <w:rsid w:val="009940AF"/>
    <w:rsid w:val="00996355"/>
    <w:rsid w:val="009A47EF"/>
    <w:rsid w:val="009C68A7"/>
    <w:rsid w:val="009D18CE"/>
    <w:rsid w:val="009E120E"/>
    <w:rsid w:val="009E5640"/>
    <w:rsid w:val="00A16414"/>
    <w:rsid w:val="00A42355"/>
    <w:rsid w:val="00A52770"/>
    <w:rsid w:val="00A641E3"/>
    <w:rsid w:val="00A66799"/>
    <w:rsid w:val="00AE3F17"/>
    <w:rsid w:val="00B02619"/>
    <w:rsid w:val="00B30326"/>
    <w:rsid w:val="00B544FE"/>
    <w:rsid w:val="00B567EF"/>
    <w:rsid w:val="00B86C51"/>
    <w:rsid w:val="00BC412F"/>
    <w:rsid w:val="00BD5A19"/>
    <w:rsid w:val="00BE0F32"/>
    <w:rsid w:val="00BE1008"/>
    <w:rsid w:val="00C26EB5"/>
    <w:rsid w:val="00C3032A"/>
    <w:rsid w:val="00C508A5"/>
    <w:rsid w:val="00C6564D"/>
    <w:rsid w:val="00C71B16"/>
    <w:rsid w:val="00C76041"/>
    <w:rsid w:val="00C82B72"/>
    <w:rsid w:val="00CA624A"/>
    <w:rsid w:val="00CA7CEB"/>
    <w:rsid w:val="00CF53E4"/>
    <w:rsid w:val="00D103E9"/>
    <w:rsid w:val="00D46634"/>
    <w:rsid w:val="00D51762"/>
    <w:rsid w:val="00D65F66"/>
    <w:rsid w:val="00DB790F"/>
    <w:rsid w:val="00DC2019"/>
    <w:rsid w:val="00DC4F4D"/>
    <w:rsid w:val="00DF4ECD"/>
    <w:rsid w:val="00E0326C"/>
    <w:rsid w:val="00E23A40"/>
    <w:rsid w:val="00E23EEE"/>
    <w:rsid w:val="00E3778A"/>
    <w:rsid w:val="00E4081E"/>
    <w:rsid w:val="00E53BB1"/>
    <w:rsid w:val="00E55D80"/>
    <w:rsid w:val="00E56E43"/>
    <w:rsid w:val="00EB2133"/>
    <w:rsid w:val="00EC41C9"/>
    <w:rsid w:val="00ED1E5C"/>
    <w:rsid w:val="00EE156B"/>
    <w:rsid w:val="00F154A1"/>
    <w:rsid w:val="00F44F63"/>
    <w:rsid w:val="00F4689D"/>
    <w:rsid w:val="00F854B3"/>
    <w:rsid w:val="00F86E04"/>
    <w:rsid w:val="00F86F47"/>
    <w:rsid w:val="00FA3204"/>
    <w:rsid w:val="00FB1391"/>
    <w:rsid w:val="00FB2237"/>
    <w:rsid w:val="00FB3D68"/>
    <w:rsid w:val="00FC11B4"/>
    <w:rsid w:val="00FC312B"/>
    <w:rsid w:val="00FD7EF0"/>
    <w:rsid w:val="00FE6E15"/>
    <w:rsid w:val="00FE7E22"/>
    <w:rsid w:val="00FF6E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0D8783"/>
  <w15:docId w15:val="{49683657-F885-4E7F-9DC5-D8D6759D1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326"/>
    <w:pPr>
      <w:spacing w:after="200" w:line="276" w:lineRule="auto"/>
    </w:pPr>
  </w:style>
  <w:style w:type="paragraph" w:styleId="Heading1">
    <w:name w:val="heading 1"/>
    <w:basedOn w:val="Normal"/>
    <w:link w:val="Heading1Char"/>
    <w:uiPriority w:val="9"/>
    <w:qFormat/>
    <w:rsid w:val="003D1884"/>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BE0F32"/>
    <w:pPr>
      <w:keepNext/>
      <w:keepLines/>
      <w:bidi/>
      <w:spacing w:before="40" w:after="0" w:line="259" w:lineRule="auto"/>
      <w:outlineLvl w:val="1"/>
    </w:pPr>
    <w:rPr>
      <w:rFonts w:asciiTheme="majorHAnsi" w:eastAsiaTheme="majorEastAsia" w:hAnsiTheme="majorHAnsi" w:cstheme="majorBidi"/>
      <w:color w:val="2F5496" w:themeColor="accent1" w:themeShade="BF"/>
      <w:kern w:val="0"/>
      <w:sz w:val="26"/>
      <w:szCs w:val="26"/>
      <w:lang w:bidi="ar-EG"/>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18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884"/>
  </w:style>
  <w:style w:type="paragraph" w:styleId="Footer">
    <w:name w:val="footer"/>
    <w:basedOn w:val="Normal"/>
    <w:link w:val="FooterChar"/>
    <w:uiPriority w:val="99"/>
    <w:unhideWhenUsed/>
    <w:rsid w:val="003D18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884"/>
  </w:style>
  <w:style w:type="paragraph" w:styleId="ListParagraph">
    <w:name w:val="List Paragraph"/>
    <w:basedOn w:val="Normal"/>
    <w:link w:val="ListParagraphChar"/>
    <w:uiPriority w:val="34"/>
    <w:qFormat/>
    <w:rsid w:val="003D1884"/>
    <w:pPr>
      <w:ind w:left="720"/>
      <w:contextualSpacing/>
    </w:pPr>
  </w:style>
  <w:style w:type="character" w:customStyle="1" w:styleId="ListParagraphChar">
    <w:name w:val="List Paragraph Char"/>
    <w:link w:val="ListParagraph"/>
    <w:uiPriority w:val="34"/>
    <w:rsid w:val="003D1884"/>
  </w:style>
  <w:style w:type="character" w:styleId="FootnoteReference">
    <w:name w:val="footnote reference"/>
    <w:aliases w:val="4_G,4_GA,4_G Char Char Char Char Char Char,Footnotes refss Char Char Char Char Char Char,ftref Char Char Char Char Char Char,BVI fnr Char Char Char Char Char Char,BVI fnr Car Car Char Char Char Char Char Char"/>
    <w:basedOn w:val="DefaultParagraphFont"/>
    <w:link w:val="4GCharCharCharCharChar"/>
    <w:uiPriority w:val="99"/>
    <w:unhideWhenUsed/>
    <w:qFormat/>
    <w:rsid w:val="003D1884"/>
    <w:rPr>
      <w:vertAlign w:val="superscript"/>
    </w:rPr>
  </w:style>
  <w:style w:type="paragraph" w:styleId="FootnoteText">
    <w:name w:val="footnote text"/>
    <w:aliases w:val="5_G,Footnote Text Char Char,Footnote Text Char1 Char Char,Footnote Text Char Char Char Char,Footnote Text Char1 Char Char1 Char Char,Footnote Text Char Char Char Char1 Char Char,ft Char Char Char Char Char Char,ft,Geneva 9,Font: Geneva 9"/>
    <w:basedOn w:val="Normal"/>
    <w:link w:val="FootnoteTextChar"/>
    <w:uiPriority w:val="99"/>
    <w:unhideWhenUsed/>
    <w:qFormat/>
    <w:rsid w:val="003D1884"/>
    <w:pPr>
      <w:spacing w:after="0" w:line="240" w:lineRule="auto"/>
    </w:pPr>
    <w:rPr>
      <w:sz w:val="20"/>
      <w:szCs w:val="20"/>
    </w:rPr>
  </w:style>
  <w:style w:type="character" w:customStyle="1" w:styleId="FootnoteTextChar">
    <w:name w:val="Footnote Text Char"/>
    <w:aliases w:val="5_G Char,Footnote Text Char Char Char,Footnote Text Char1 Char Char Char,Footnote Text Char Char Char Char Char,Footnote Text Char1 Char Char1 Char Char Char,Footnote Text Char Char Char Char1 Char Char Char,ft Char,Geneva 9 Char"/>
    <w:basedOn w:val="DefaultParagraphFont"/>
    <w:link w:val="FootnoteText"/>
    <w:uiPriority w:val="99"/>
    <w:rsid w:val="003D1884"/>
    <w:rPr>
      <w:sz w:val="20"/>
      <w:szCs w:val="20"/>
    </w:rPr>
  </w:style>
  <w:style w:type="character" w:styleId="Hyperlink">
    <w:name w:val="Hyperlink"/>
    <w:basedOn w:val="DefaultParagraphFont"/>
    <w:uiPriority w:val="99"/>
    <w:unhideWhenUsed/>
    <w:rsid w:val="003D1884"/>
    <w:rPr>
      <w:color w:val="0563C1" w:themeColor="hyperlink"/>
      <w:u w:val="single"/>
    </w:rPr>
  </w:style>
  <w:style w:type="table" w:styleId="TableGrid">
    <w:name w:val="Table Grid"/>
    <w:basedOn w:val="TableNormal"/>
    <w:uiPriority w:val="59"/>
    <w:rsid w:val="003D18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3D1884"/>
  </w:style>
  <w:style w:type="character" w:customStyle="1" w:styleId="rynqvb">
    <w:name w:val="rynqvb"/>
    <w:basedOn w:val="DefaultParagraphFont"/>
    <w:rsid w:val="003D1884"/>
  </w:style>
  <w:style w:type="character" w:customStyle="1" w:styleId="Heading1Char">
    <w:name w:val="Heading 1 Char"/>
    <w:basedOn w:val="DefaultParagraphFont"/>
    <w:link w:val="Heading1"/>
    <w:uiPriority w:val="9"/>
    <w:rsid w:val="003D1884"/>
    <w:rPr>
      <w:rFonts w:ascii="Times New Roman" w:eastAsia="Times New Roman" w:hAnsi="Times New Roman" w:cs="Times New Roman"/>
      <w:b/>
      <w:bCs/>
      <w:kern w:val="36"/>
      <w:sz w:val="48"/>
      <w:szCs w:val="48"/>
      <w14:ligatures w14:val="none"/>
    </w:rPr>
  </w:style>
  <w:style w:type="character" w:styleId="Emphasis">
    <w:name w:val="Emphasis"/>
    <w:basedOn w:val="DefaultParagraphFont"/>
    <w:uiPriority w:val="20"/>
    <w:qFormat/>
    <w:rsid w:val="000F092A"/>
    <w:rPr>
      <w:i/>
      <w:iCs/>
    </w:rPr>
  </w:style>
  <w:style w:type="character" w:customStyle="1" w:styleId="Heading2Char">
    <w:name w:val="Heading 2 Char"/>
    <w:basedOn w:val="DefaultParagraphFont"/>
    <w:link w:val="Heading2"/>
    <w:uiPriority w:val="9"/>
    <w:rsid w:val="00BE0F32"/>
    <w:rPr>
      <w:rFonts w:asciiTheme="majorHAnsi" w:eastAsiaTheme="majorEastAsia" w:hAnsiTheme="majorHAnsi" w:cstheme="majorBidi"/>
      <w:color w:val="2F5496" w:themeColor="accent1" w:themeShade="BF"/>
      <w:kern w:val="0"/>
      <w:sz w:val="26"/>
      <w:szCs w:val="26"/>
      <w:lang w:bidi="ar-EG"/>
      <w14:ligatures w14:val="none"/>
    </w:rPr>
  </w:style>
  <w:style w:type="character" w:styleId="CommentReference">
    <w:name w:val="annotation reference"/>
    <w:basedOn w:val="DefaultParagraphFont"/>
    <w:uiPriority w:val="99"/>
    <w:semiHidden/>
    <w:unhideWhenUsed/>
    <w:rsid w:val="00BE0F32"/>
    <w:rPr>
      <w:sz w:val="16"/>
      <w:szCs w:val="16"/>
    </w:rPr>
  </w:style>
  <w:style w:type="paragraph" w:styleId="CommentText">
    <w:name w:val="annotation text"/>
    <w:basedOn w:val="Normal"/>
    <w:link w:val="CommentTextChar"/>
    <w:uiPriority w:val="99"/>
    <w:semiHidden/>
    <w:unhideWhenUsed/>
    <w:rsid w:val="00BE0F32"/>
    <w:pPr>
      <w:spacing w:line="240" w:lineRule="auto"/>
    </w:pPr>
    <w:rPr>
      <w:sz w:val="20"/>
      <w:szCs w:val="20"/>
    </w:rPr>
  </w:style>
  <w:style w:type="character" w:customStyle="1" w:styleId="CommentTextChar">
    <w:name w:val="Comment Text Char"/>
    <w:basedOn w:val="DefaultParagraphFont"/>
    <w:link w:val="CommentText"/>
    <w:uiPriority w:val="99"/>
    <w:semiHidden/>
    <w:rsid w:val="00BE0F32"/>
    <w:rPr>
      <w:sz w:val="20"/>
      <w:szCs w:val="20"/>
    </w:rPr>
  </w:style>
  <w:style w:type="paragraph" w:styleId="CommentSubject">
    <w:name w:val="annotation subject"/>
    <w:basedOn w:val="CommentText"/>
    <w:next w:val="CommentText"/>
    <w:link w:val="CommentSubjectChar"/>
    <w:uiPriority w:val="99"/>
    <w:semiHidden/>
    <w:unhideWhenUsed/>
    <w:rsid w:val="00BE0F32"/>
    <w:rPr>
      <w:b/>
      <w:bCs/>
    </w:rPr>
  </w:style>
  <w:style w:type="character" w:customStyle="1" w:styleId="CommentSubjectChar">
    <w:name w:val="Comment Subject Char"/>
    <w:basedOn w:val="CommentTextChar"/>
    <w:link w:val="CommentSubject"/>
    <w:uiPriority w:val="99"/>
    <w:semiHidden/>
    <w:rsid w:val="00BE0F32"/>
    <w:rPr>
      <w:b/>
      <w:bCs/>
      <w:sz w:val="20"/>
      <w:szCs w:val="20"/>
    </w:rPr>
  </w:style>
  <w:style w:type="character" w:styleId="UnresolvedMention">
    <w:name w:val="Unresolved Mention"/>
    <w:basedOn w:val="DefaultParagraphFont"/>
    <w:uiPriority w:val="99"/>
    <w:semiHidden/>
    <w:unhideWhenUsed/>
    <w:rsid w:val="00FC312B"/>
    <w:rPr>
      <w:color w:val="605E5C"/>
      <w:shd w:val="clear" w:color="auto" w:fill="E1DFDD"/>
    </w:rPr>
  </w:style>
  <w:style w:type="character" w:customStyle="1" w:styleId="hwtze">
    <w:name w:val="hwtze"/>
    <w:basedOn w:val="DefaultParagraphFont"/>
    <w:rsid w:val="00273EAA"/>
  </w:style>
  <w:style w:type="paragraph" w:styleId="NormalWeb">
    <w:name w:val="Normal (Web)"/>
    <w:basedOn w:val="Normal"/>
    <w:uiPriority w:val="99"/>
    <w:unhideWhenUsed/>
    <w:rsid w:val="0055334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3407D"/>
    <w:rPr>
      <w:b/>
      <w:bCs/>
    </w:rPr>
  </w:style>
  <w:style w:type="paragraph" w:customStyle="1" w:styleId="4GCharCharCharCharChar">
    <w:name w:val="4_G Char Char Char Char Char"/>
    <w:aliases w:val="Footnotes refss Char Char Char Char Char,ftref Char Char Char Char Char,BVI fnr Char Char Char Char Char,BVI fnr Car Car Char Char Char Char Char,BVI fnr Car Char Char Char Char Char"/>
    <w:basedOn w:val="Normal"/>
    <w:link w:val="FootnoteReference"/>
    <w:uiPriority w:val="99"/>
    <w:rsid w:val="00271070"/>
    <w:pPr>
      <w:spacing w:after="160" w:line="240" w:lineRule="exact"/>
      <w:jc w:val="both"/>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205346">
      <w:bodyDiv w:val="1"/>
      <w:marLeft w:val="0"/>
      <w:marRight w:val="0"/>
      <w:marTop w:val="0"/>
      <w:marBottom w:val="0"/>
      <w:divBdr>
        <w:top w:val="none" w:sz="0" w:space="0" w:color="auto"/>
        <w:left w:val="none" w:sz="0" w:space="0" w:color="auto"/>
        <w:bottom w:val="none" w:sz="0" w:space="0" w:color="auto"/>
        <w:right w:val="none" w:sz="0" w:space="0" w:color="auto"/>
      </w:divBdr>
    </w:div>
    <w:div w:id="142351386">
      <w:bodyDiv w:val="1"/>
      <w:marLeft w:val="0"/>
      <w:marRight w:val="0"/>
      <w:marTop w:val="0"/>
      <w:marBottom w:val="0"/>
      <w:divBdr>
        <w:top w:val="none" w:sz="0" w:space="0" w:color="auto"/>
        <w:left w:val="none" w:sz="0" w:space="0" w:color="auto"/>
        <w:bottom w:val="none" w:sz="0" w:space="0" w:color="auto"/>
        <w:right w:val="none" w:sz="0" w:space="0" w:color="auto"/>
      </w:divBdr>
    </w:div>
    <w:div w:id="167251237">
      <w:bodyDiv w:val="1"/>
      <w:marLeft w:val="0"/>
      <w:marRight w:val="0"/>
      <w:marTop w:val="0"/>
      <w:marBottom w:val="0"/>
      <w:divBdr>
        <w:top w:val="none" w:sz="0" w:space="0" w:color="auto"/>
        <w:left w:val="none" w:sz="0" w:space="0" w:color="auto"/>
        <w:bottom w:val="none" w:sz="0" w:space="0" w:color="auto"/>
        <w:right w:val="none" w:sz="0" w:space="0" w:color="auto"/>
      </w:divBdr>
    </w:div>
    <w:div w:id="179122689">
      <w:bodyDiv w:val="1"/>
      <w:marLeft w:val="0"/>
      <w:marRight w:val="0"/>
      <w:marTop w:val="0"/>
      <w:marBottom w:val="0"/>
      <w:divBdr>
        <w:top w:val="none" w:sz="0" w:space="0" w:color="auto"/>
        <w:left w:val="none" w:sz="0" w:space="0" w:color="auto"/>
        <w:bottom w:val="none" w:sz="0" w:space="0" w:color="auto"/>
        <w:right w:val="none" w:sz="0" w:space="0" w:color="auto"/>
      </w:divBdr>
    </w:div>
    <w:div w:id="196090210">
      <w:bodyDiv w:val="1"/>
      <w:marLeft w:val="0"/>
      <w:marRight w:val="0"/>
      <w:marTop w:val="0"/>
      <w:marBottom w:val="0"/>
      <w:divBdr>
        <w:top w:val="none" w:sz="0" w:space="0" w:color="auto"/>
        <w:left w:val="none" w:sz="0" w:space="0" w:color="auto"/>
        <w:bottom w:val="none" w:sz="0" w:space="0" w:color="auto"/>
        <w:right w:val="none" w:sz="0" w:space="0" w:color="auto"/>
      </w:divBdr>
    </w:div>
    <w:div w:id="285620757">
      <w:bodyDiv w:val="1"/>
      <w:marLeft w:val="0"/>
      <w:marRight w:val="0"/>
      <w:marTop w:val="0"/>
      <w:marBottom w:val="0"/>
      <w:divBdr>
        <w:top w:val="none" w:sz="0" w:space="0" w:color="auto"/>
        <w:left w:val="none" w:sz="0" w:space="0" w:color="auto"/>
        <w:bottom w:val="none" w:sz="0" w:space="0" w:color="auto"/>
        <w:right w:val="none" w:sz="0" w:space="0" w:color="auto"/>
      </w:divBdr>
    </w:div>
    <w:div w:id="342441231">
      <w:bodyDiv w:val="1"/>
      <w:marLeft w:val="0"/>
      <w:marRight w:val="0"/>
      <w:marTop w:val="0"/>
      <w:marBottom w:val="0"/>
      <w:divBdr>
        <w:top w:val="none" w:sz="0" w:space="0" w:color="auto"/>
        <w:left w:val="none" w:sz="0" w:space="0" w:color="auto"/>
        <w:bottom w:val="none" w:sz="0" w:space="0" w:color="auto"/>
        <w:right w:val="none" w:sz="0" w:space="0" w:color="auto"/>
      </w:divBdr>
    </w:div>
    <w:div w:id="427888171">
      <w:bodyDiv w:val="1"/>
      <w:marLeft w:val="0"/>
      <w:marRight w:val="0"/>
      <w:marTop w:val="0"/>
      <w:marBottom w:val="0"/>
      <w:divBdr>
        <w:top w:val="none" w:sz="0" w:space="0" w:color="auto"/>
        <w:left w:val="none" w:sz="0" w:space="0" w:color="auto"/>
        <w:bottom w:val="none" w:sz="0" w:space="0" w:color="auto"/>
        <w:right w:val="none" w:sz="0" w:space="0" w:color="auto"/>
      </w:divBdr>
      <w:divsChild>
        <w:div w:id="905649144">
          <w:marLeft w:val="0"/>
          <w:marRight w:val="0"/>
          <w:marTop w:val="0"/>
          <w:marBottom w:val="0"/>
          <w:divBdr>
            <w:top w:val="none" w:sz="0" w:space="0" w:color="auto"/>
            <w:left w:val="none" w:sz="0" w:space="0" w:color="auto"/>
            <w:bottom w:val="none" w:sz="0" w:space="0" w:color="auto"/>
            <w:right w:val="none" w:sz="0" w:space="0" w:color="auto"/>
          </w:divBdr>
        </w:div>
      </w:divsChild>
    </w:div>
    <w:div w:id="451555181">
      <w:bodyDiv w:val="1"/>
      <w:marLeft w:val="0"/>
      <w:marRight w:val="0"/>
      <w:marTop w:val="0"/>
      <w:marBottom w:val="0"/>
      <w:divBdr>
        <w:top w:val="none" w:sz="0" w:space="0" w:color="auto"/>
        <w:left w:val="none" w:sz="0" w:space="0" w:color="auto"/>
        <w:bottom w:val="none" w:sz="0" w:space="0" w:color="auto"/>
        <w:right w:val="none" w:sz="0" w:space="0" w:color="auto"/>
      </w:divBdr>
    </w:div>
    <w:div w:id="530146085">
      <w:bodyDiv w:val="1"/>
      <w:marLeft w:val="0"/>
      <w:marRight w:val="0"/>
      <w:marTop w:val="0"/>
      <w:marBottom w:val="0"/>
      <w:divBdr>
        <w:top w:val="none" w:sz="0" w:space="0" w:color="auto"/>
        <w:left w:val="none" w:sz="0" w:space="0" w:color="auto"/>
        <w:bottom w:val="none" w:sz="0" w:space="0" w:color="auto"/>
        <w:right w:val="none" w:sz="0" w:space="0" w:color="auto"/>
      </w:divBdr>
    </w:div>
    <w:div w:id="561672417">
      <w:bodyDiv w:val="1"/>
      <w:marLeft w:val="0"/>
      <w:marRight w:val="0"/>
      <w:marTop w:val="0"/>
      <w:marBottom w:val="0"/>
      <w:divBdr>
        <w:top w:val="none" w:sz="0" w:space="0" w:color="auto"/>
        <w:left w:val="none" w:sz="0" w:space="0" w:color="auto"/>
        <w:bottom w:val="none" w:sz="0" w:space="0" w:color="auto"/>
        <w:right w:val="none" w:sz="0" w:space="0" w:color="auto"/>
      </w:divBdr>
    </w:div>
    <w:div w:id="570315097">
      <w:bodyDiv w:val="1"/>
      <w:marLeft w:val="0"/>
      <w:marRight w:val="0"/>
      <w:marTop w:val="0"/>
      <w:marBottom w:val="0"/>
      <w:divBdr>
        <w:top w:val="none" w:sz="0" w:space="0" w:color="auto"/>
        <w:left w:val="none" w:sz="0" w:space="0" w:color="auto"/>
        <w:bottom w:val="none" w:sz="0" w:space="0" w:color="auto"/>
        <w:right w:val="none" w:sz="0" w:space="0" w:color="auto"/>
      </w:divBdr>
    </w:div>
    <w:div w:id="645551394">
      <w:bodyDiv w:val="1"/>
      <w:marLeft w:val="0"/>
      <w:marRight w:val="0"/>
      <w:marTop w:val="0"/>
      <w:marBottom w:val="0"/>
      <w:divBdr>
        <w:top w:val="none" w:sz="0" w:space="0" w:color="auto"/>
        <w:left w:val="none" w:sz="0" w:space="0" w:color="auto"/>
        <w:bottom w:val="none" w:sz="0" w:space="0" w:color="auto"/>
        <w:right w:val="none" w:sz="0" w:space="0" w:color="auto"/>
      </w:divBdr>
    </w:div>
    <w:div w:id="671031608">
      <w:bodyDiv w:val="1"/>
      <w:marLeft w:val="0"/>
      <w:marRight w:val="0"/>
      <w:marTop w:val="0"/>
      <w:marBottom w:val="0"/>
      <w:divBdr>
        <w:top w:val="none" w:sz="0" w:space="0" w:color="auto"/>
        <w:left w:val="none" w:sz="0" w:space="0" w:color="auto"/>
        <w:bottom w:val="none" w:sz="0" w:space="0" w:color="auto"/>
        <w:right w:val="none" w:sz="0" w:space="0" w:color="auto"/>
      </w:divBdr>
      <w:divsChild>
        <w:div w:id="1458720784">
          <w:marLeft w:val="0"/>
          <w:marRight w:val="0"/>
          <w:marTop w:val="0"/>
          <w:marBottom w:val="0"/>
          <w:divBdr>
            <w:top w:val="none" w:sz="0" w:space="0" w:color="auto"/>
            <w:left w:val="none" w:sz="0" w:space="0" w:color="auto"/>
            <w:bottom w:val="none" w:sz="0" w:space="0" w:color="auto"/>
            <w:right w:val="none" w:sz="0" w:space="0" w:color="auto"/>
          </w:divBdr>
        </w:div>
      </w:divsChild>
    </w:div>
    <w:div w:id="771436483">
      <w:bodyDiv w:val="1"/>
      <w:marLeft w:val="0"/>
      <w:marRight w:val="0"/>
      <w:marTop w:val="0"/>
      <w:marBottom w:val="0"/>
      <w:divBdr>
        <w:top w:val="none" w:sz="0" w:space="0" w:color="auto"/>
        <w:left w:val="none" w:sz="0" w:space="0" w:color="auto"/>
        <w:bottom w:val="none" w:sz="0" w:space="0" w:color="auto"/>
        <w:right w:val="none" w:sz="0" w:space="0" w:color="auto"/>
      </w:divBdr>
    </w:div>
    <w:div w:id="817724798">
      <w:bodyDiv w:val="1"/>
      <w:marLeft w:val="0"/>
      <w:marRight w:val="0"/>
      <w:marTop w:val="0"/>
      <w:marBottom w:val="0"/>
      <w:divBdr>
        <w:top w:val="none" w:sz="0" w:space="0" w:color="auto"/>
        <w:left w:val="none" w:sz="0" w:space="0" w:color="auto"/>
        <w:bottom w:val="none" w:sz="0" w:space="0" w:color="auto"/>
        <w:right w:val="none" w:sz="0" w:space="0" w:color="auto"/>
      </w:divBdr>
    </w:div>
    <w:div w:id="885335662">
      <w:bodyDiv w:val="1"/>
      <w:marLeft w:val="0"/>
      <w:marRight w:val="0"/>
      <w:marTop w:val="0"/>
      <w:marBottom w:val="0"/>
      <w:divBdr>
        <w:top w:val="none" w:sz="0" w:space="0" w:color="auto"/>
        <w:left w:val="none" w:sz="0" w:space="0" w:color="auto"/>
        <w:bottom w:val="none" w:sz="0" w:space="0" w:color="auto"/>
        <w:right w:val="none" w:sz="0" w:space="0" w:color="auto"/>
      </w:divBdr>
    </w:div>
    <w:div w:id="888491390">
      <w:bodyDiv w:val="1"/>
      <w:marLeft w:val="0"/>
      <w:marRight w:val="0"/>
      <w:marTop w:val="0"/>
      <w:marBottom w:val="0"/>
      <w:divBdr>
        <w:top w:val="none" w:sz="0" w:space="0" w:color="auto"/>
        <w:left w:val="none" w:sz="0" w:space="0" w:color="auto"/>
        <w:bottom w:val="none" w:sz="0" w:space="0" w:color="auto"/>
        <w:right w:val="none" w:sz="0" w:space="0" w:color="auto"/>
      </w:divBdr>
    </w:div>
    <w:div w:id="970087854">
      <w:bodyDiv w:val="1"/>
      <w:marLeft w:val="0"/>
      <w:marRight w:val="0"/>
      <w:marTop w:val="0"/>
      <w:marBottom w:val="0"/>
      <w:divBdr>
        <w:top w:val="none" w:sz="0" w:space="0" w:color="auto"/>
        <w:left w:val="none" w:sz="0" w:space="0" w:color="auto"/>
        <w:bottom w:val="none" w:sz="0" w:space="0" w:color="auto"/>
        <w:right w:val="none" w:sz="0" w:space="0" w:color="auto"/>
      </w:divBdr>
    </w:div>
    <w:div w:id="1038310587">
      <w:bodyDiv w:val="1"/>
      <w:marLeft w:val="0"/>
      <w:marRight w:val="0"/>
      <w:marTop w:val="0"/>
      <w:marBottom w:val="0"/>
      <w:divBdr>
        <w:top w:val="none" w:sz="0" w:space="0" w:color="auto"/>
        <w:left w:val="none" w:sz="0" w:space="0" w:color="auto"/>
        <w:bottom w:val="none" w:sz="0" w:space="0" w:color="auto"/>
        <w:right w:val="none" w:sz="0" w:space="0" w:color="auto"/>
      </w:divBdr>
    </w:div>
    <w:div w:id="1104689923">
      <w:bodyDiv w:val="1"/>
      <w:marLeft w:val="0"/>
      <w:marRight w:val="0"/>
      <w:marTop w:val="0"/>
      <w:marBottom w:val="0"/>
      <w:divBdr>
        <w:top w:val="none" w:sz="0" w:space="0" w:color="auto"/>
        <w:left w:val="none" w:sz="0" w:space="0" w:color="auto"/>
        <w:bottom w:val="none" w:sz="0" w:space="0" w:color="auto"/>
        <w:right w:val="none" w:sz="0" w:space="0" w:color="auto"/>
      </w:divBdr>
    </w:div>
    <w:div w:id="1162619608">
      <w:bodyDiv w:val="1"/>
      <w:marLeft w:val="0"/>
      <w:marRight w:val="0"/>
      <w:marTop w:val="0"/>
      <w:marBottom w:val="0"/>
      <w:divBdr>
        <w:top w:val="none" w:sz="0" w:space="0" w:color="auto"/>
        <w:left w:val="none" w:sz="0" w:space="0" w:color="auto"/>
        <w:bottom w:val="none" w:sz="0" w:space="0" w:color="auto"/>
        <w:right w:val="none" w:sz="0" w:space="0" w:color="auto"/>
      </w:divBdr>
    </w:div>
    <w:div w:id="1353646222">
      <w:bodyDiv w:val="1"/>
      <w:marLeft w:val="0"/>
      <w:marRight w:val="0"/>
      <w:marTop w:val="0"/>
      <w:marBottom w:val="0"/>
      <w:divBdr>
        <w:top w:val="none" w:sz="0" w:space="0" w:color="auto"/>
        <w:left w:val="none" w:sz="0" w:space="0" w:color="auto"/>
        <w:bottom w:val="none" w:sz="0" w:space="0" w:color="auto"/>
        <w:right w:val="none" w:sz="0" w:space="0" w:color="auto"/>
      </w:divBdr>
    </w:div>
    <w:div w:id="1408842219">
      <w:bodyDiv w:val="1"/>
      <w:marLeft w:val="0"/>
      <w:marRight w:val="0"/>
      <w:marTop w:val="0"/>
      <w:marBottom w:val="0"/>
      <w:divBdr>
        <w:top w:val="none" w:sz="0" w:space="0" w:color="auto"/>
        <w:left w:val="none" w:sz="0" w:space="0" w:color="auto"/>
        <w:bottom w:val="none" w:sz="0" w:space="0" w:color="auto"/>
        <w:right w:val="none" w:sz="0" w:space="0" w:color="auto"/>
      </w:divBdr>
    </w:div>
    <w:div w:id="1533113376">
      <w:bodyDiv w:val="1"/>
      <w:marLeft w:val="0"/>
      <w:marRight w:val="0"/>
      <w:marTop w:val="0"/>
      <w:marBottom w:val="0"/>
      <w:divBdr>
        <w:top w:val="none" w:sz="0" w:space="0" w:color="auto"/>
        <w:left w:val="none" w:sz="0" w:space="0" w:color="auto"/>
        <w:bottom w:val="none" w:sz="0" w:space="0" w:color="auto"/>
        <w:right w:val="none" w:sz="0" w:space="0" w:color="auto"/>
      </w:divBdr>
    </w:div>
    <w:div w:id="1591159765">
      <w:bodyDiv w:val="1"/>
      <w:marLeft w:val="0"/>
      <w:marRight w:val="0"/>
      <w:marTop w:val="0"/>
      <w:marBottom w:val="0"/>
      <w:divBdr>
        <w:top w:val="none" w:sz="0" w:space="0" w:color="auto"/>
        <w:left w:val="none" w:sz="0" w:space="0" w:color="auto"/>
        <w:bottom w:val="none" w:sz="0" w:space="0" w:color="auto"/>
        <w:right w:val="none" w:sz="0" w:space="0" w:color="auto"/>
      </w:divBdr>
    </w:div>
    <w:div w:id="1685790685">
      <w:bodyDiv w:val="1"/>
      <w:marLeft w:val="0"/>
      <w:marRight w:val="0"/>
      <w:marTop w:val="0"/>
      <w:marBottom w:val="0"/>
      <w:divBdr>
        <w:top w:val="none" w:sz="0" w:space="0" w:color="auto"/>
        <w:left w:val="none" w:sz="0" w:space="0" w:color="auto"/>
        <w:bottom w:val="none" w:sz="0" w:space="0" w:color="auto"/>
        <w:right w:val="none" w:sz="0" w:space="0" w:color="auto"/>
      </w:divBdr>
    </w:div>
    <w:div w:id="1693339842">
      <w:bodyDiv w:val="1"/>
      <w:marLeft w:val="0"/>
      <w:marRight w:val="0"/>
      <w:marTop w:val="0"/>
      <w:marBottom w:val="0"/>
      <w:divBdr>
        <w:top w:val="none" w:sz="0" w:space="0" w:color="auto"/>
        <w:left w:val="none" w:sz="0" w:space="0" w:color="auto"/>
        <w:bottom w:val="none" w:sz="0" w:space="0" w:color="auto"/>
        <w:right w:val="none" w:sz="0" w:space="0" w:color="auto"/>
      </w:divBdr>
      <w:divsChild>
        <w:div w:id="1456293669">
          <w:marLeft w:val="0"/>
          <w:marRight w:val="0"/>
          <w:marTop w:val="0"/>
          <w:marBottom w:val="0"/>
          <w:divBdr>
            <w:top w:val="none" w:sz="0" w:space="0" w:color="auto"/>
            <w:left w:val="none" w:sz="0" w:space="0" w:color="auto"/>
            <w:bottom w:val="none" w:sz="0" w:space="0" w:color="auto"/>
            <w:right w:val="none" w:sz="0" w:space="0" w:color="auto"/>
          </w:divBdr>
        </w:div>
      </w:divsChild>
    </w:div>
    <w:div w:id="1712223370">
      <w:bodyDiv w:val="1"/>
      <w:marLeft w:val="0"/>
      <w:marRight w:val="0"/>
      <w:marTop w:val="0"/>
      <w:marBottom w:val="0"/>
      <w:divBdr>
        <w:top w:val="none" w:sz="0" w:space="0" w:color="auto"/>
        <w:left w:val="none" w:sz="0" w:space="0" w:color="auto"/>
        <w:bottom w:val="none" w:sz="0" w:space="0" w:color="auto"/>
        <w:right w:val="none" w:sz="0" w:space="0" w:color="auto"/>
      </w:divBdr>
      <w:divsChild>
        <w:div w:id="386076936">
          <w:marLeft w:val="0"/>
          <w:marRight w:val="0"/>
          <w:marTop w:val="0"/>
          <w:marBottom w:val="0"/>
          <w:divBdr>
            <w:top w:val="none" w:sz="0" w:space="0" w:color="auto"/>
            <w:left w:val="none" w:sz="0" w:space="0" w:color="auto"/>
            <w:bottom w:val="none" w:sz="0" w:space="0" w:color="auto"/>
            <w:right w:val="none" w:sz="0" w:space="0" w:color="auto"/>
          </w:divBdr>
        </w:div>
      </w:divsChild>
    </w:div>
    <w:div w:id="1712461243">
      <w:bodyDiv w:val="1"/>
      <w:marLeft w:val="0"/>
      <w:marRight w:val="0"/>
      <w:marTop w:val="0"/>
      <w:marBottom w:val="0"/>
      <w:divBdr>
        <w:top w:val="none" w:sz="0" w:space="0" w:color="auto"/>
        <w:left w:val="none" w:sz="0" w:space="0" w:color="auto"/>
        <w:bottom w:val="none" w:sz="0" w:space="0" w:color="auto"/>
        <w:right w:val="none" w:sz="0" w:space="0" w:color="auto"/>
      </w:divBdr>
    </w:div>
    <w:div w:id="1921525951">
      <w:bodyDiv w:val="1"/>
      <w:marLeft w:val="0"/>
      <w:marRight w:val="0"/>
      <w:marTop w:val="0"/>
      <w:marBottom w:val="0"/>
      <w:divBdr>
        <w:top w:val="none" w:sz="0" w:space="0" w:color="auto"/>
        <w:left w:val="none" w:sz="0" w:space="0" w:color="auto"/>
        <w:bottom w:val="none" w:sz="0" w:space="0" w:color="auto"/>
        <w:right w:val="none" w:sz="0" w:space="0" w:color="auto"/>
      </w:divBdr>
    </w:div>
    <w:div w:id="1967009170">
      <w:bodyDiv w:val="1"/>
      <w:marLeft w:val="0"/>
      <w:marRight w:val="0"/>
      <w:marTop w:val="0"/>
      <w:marBottom w:val="0"/>
      <w:divBdr>
        <w:top w:val="none" w:sz="0" w:space="0" w:color="auto"/>
        <w:left w:val="none" w:sz="0" w:space="0" w:color="auto"/>
        <w:bottom w:val="none" w:sz="0" w:space="0" w:color="auto"/>
        <w:right w:val="none" w:sz="0" w:space="0" w:color="auto"/>
      </w:divBdr>
    </w:div>
    <w:div w:id="1975215113">
      <w:bodyDiv w:val="1"/>
      <w:marLeft w:val="0"/>
      <w:marRight w:val="0"/>
      <w:marTop w:val="0"/>
      <w:marBottom w:val="0"/>
      <w:divBdr>
        <w:top w:val="none" w:sz="0" w:space="0" w:color="auto"/>
        <w:left w:val="none" w:sz="0" w:space="0" w:color="auto"/>
        <w:bottom w:val="none" w:sz="0" w:space="0" w:color="auto"/>
        <w:right w:val="none" w:sz="0" w:space="0" w:color="auto"/>
      </w:divBdr>
      <w:divsChild>
        <w:div w:id="1848326705">
          <w:marLeft w:val="0"/>
          <w:marRight w:val="0"/>
          <w:marTop w:val="0"/>
          <w:marBottom w:val="0"/>
          <w:divBdr>
            <w:top w:val="none" w:sz="0" w:space="0" w:color="auto"/>
            <w:left w:val="none" w:sz="0" w:space="0" w:color="auto"/>
            <w:bottom w:val="none" w:sz="0" w:space="0" w:color="auto"/>
            <w:right w:val="none" w:sz="0" w:space="0" w:color="auto"/>
          </w:divBdr>
        </w:div>
      </w:divsChild>
    </w:div>
    <w:div w:id="1980720184">
      <w:bodyDiv w:val="1"/>
      <w:marLeft w:val="0"/>
      <w:marRight w:val="0"/>
      <w:marTop w:val="0"/>
      <w:marBottom w:val="0"/>
      <w:divBdr>
        <w:top w:val="none" w:sz="0" w:space="0" w:color="auto"/>
        <w:left w:val="none" w:sz="0" w:space="0" w:color="auto"/>
        <w:bottom w:val="none" w:sz="0" w:space="0" w:color="auto"/>
        <w:right w:val="none" w:sz="0" w:space="0" w:color="auto"/>
      </w:divBdr>
    </w:div>
    <w:div w:id="2032875458">
      <w:bodyDiv w:val="1"/>
      <w:marLeft w:val="0"/>
      <w:marRight w:val="0"/>
      <w:marTop w:val="0"/>
      <w:marBottom w:val="0"/>
      <w:divBdr>
        <w:top w:val="none" w:sz="0" w:space="0" w:color="auto"/>
        <w:left w:val="none" w:sz="0" w:space="0" w:color="auto"/>
        <w:bottom w:val="none" w:sz="0" w:space="0" w:color="auto"/>
        <w:right w:val="none" w:sz="0" w:space="0" w:color="auto"/>
      </w:divBdr>
      <w:divsChild>
        <w:div w:id="1931622620">
          <w:marLeft w:val="0"/>
          <w:marRight w:val="0"/>
          <w:marTop w:val="0"/>
          <w:marBottom w:val="0"/>
          <w:divBdr>
            <w:top w:val="none" w:sz="0" w:space="0" w:color="auto"/>
            <w:left w:val="none" w:sz="0" w:space="0" w:color="auto"/>
            <w:bottom w:val="none" w:sz="0" w:space="0" w:color="auto"/>
            <w:right w:val="none" w:sz="0" w:space="0" w:color="auto"/>
          </w:divBdr>
        </w:div>
      </w:divsChild>
    </w:div>
    <w:div w:id="2086955008">
      <w:bodyDiv w:val="1"/>
      <w:marLeft w:val="0"/>
      <w:marRight w:val="0"/>
      <w:marTop w:val="0"/>
      <w:marBottom w:val="0"/>
      <w:divBdr>
        <w:top w:val="none" w:sz="0" w:space="0" w:color="auto"/>
        <w:left w:val="none" w:sz="0" w:space="0" w:color="auto"/>
        <w:bottom w:val="none" w:sz="0" w:space="0" w:color="auto"/>
        <w:right w:val="none" w:sz="0" w:space="0" w:color="auto"/>
      </w:divBdr>
    </w:div>
    <w:div w:id="20875335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2h.ae/AVgI" TargetMode="External"/><Relationship Id="rId13" Type="http://schemas.openxmlformats.org/officeDocument/2006/relationships/hyperlink" Target="https://www.3rpsyriacrisis.org/wp-content/uploads/2022/11/gv1tHb-wcms_861695.pdf" TargetMode="External"/><Relationship Id="rId3" Type="http://schemas.openxmlformats.org/officeDocument/2006/relationships/hyperlink" Target="https://humanglemedia.com/how-traffickers-lure-nigerians-into-modern-slavery-in-egypt/" TargetMode="External"/><Relationship Id="rId7" Type="http://schemas.openxmlformats.org/officeDocument/2006/relationships/hyperlink" Target="https://2h.ae/cdNa" TargetMode="External"/><Relationship Id="rId12" Type="http://schemas.openxmlformats.org/officeDocument/2006/relationships/hyperlink" Target="https://t.ly/LiaB-" TargetMode="External"/><Relationship Id="rId17" Type="http://schemas.openxmlformats.org/officeDocument/2006/relationships/hyperlink" Target="https://english.ahram.org.eg/NewsContent/50/1210/404685/AlAhram-Weekly/Living/Egypt%E2%80%99s-African-household-workers.aspx" TargetMode="External"/><Relationship Id="rId2" Type="http://schemas.openxmlformats.org/officeDocument/2006/relationships/hyperlink" Target="https://www.constituteproject.org/constitution/Egypt_2019" TargetMode="External"/><Relationship Id="rId16" Type="http://schemas.openxmlformats.org/officeDocument/2006/relationships/hyperlink" Target="https://www.state.gov/reports/2023-trafficking-in-persons-report/" TargetMode="External"/><Relationship Id="rId1" Type="http://schemas.openxmlformats.org/officeDocument/2006/relationships/hyperlink" Target="https://2h.ae/UUxS" TargetMode="External"/><Relationship Id="rId6" Type="http://schemas.openxmlformats.org/officeDocument/2006/relationships/hyperlink" Target="https://2h.ae/Jgef" TargetMode="External"/><Relationship Id="rId11" Type="http://schemas.openxmlformats.org/officeDocument/2006/relationships/hyperlink" Target="https://2h.ae/waqs" TargetMode="External"/><Relationship Id="rId5" Type="http://schemas.openxmlformats.org/officeDocument/2006/relationships/hyperlink" Target="https://2h.ae/JaPi" TargetMode="External"/><Relationship Id="rId15" Type="http://schemas.openxmlformats.org/officeDocument/2006/relationships/hyperlink" Target="https://www.newsweek.com/six-migrants-shot-dead-mexico-soldiers-guatemala-1963084" TargetMode="External"/><Relationship Id="rId10" Type="http://schemas.openxmlformats.org/officeDocument/2006/relationships/hyperlink" Target="https://www.unhcr.org/eg/47255-sudan-ecw-unhcr-unicef.html" TargetMode="External"/><Relationship Id="rId4" Type="http://schemas.openxmlformats.org/officeDocument/2006/relationships/hyperlink" Target="https://rb.gy/oaji9p" TargetMode="External"/><Relationship Id="rId9" Type="http://schemas.openxmlformats.org/officeDocument/2006/relationships/hyperlink" Target="https://tinyurl.com/3t9ytxjj" TargetMode="External"/><Relationship Id="rId14" Type="http://schemas.openxmlformats.org/officeDocument/2006/relationships/hyperlink" Target="https://tinyurl.com/4cu8euw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2024-11-05T16:22:11+00:00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ED054A-A178-43F4-906D-AFD8AEC7387E}">
  <ds:schemaRefs>
    <ds:schemaRef ds:uri="http://schemas.openxmlformats.org/officeDocument/2006/bibliography"/>
  </ds:schemaRefs>
</ds:datastoreItem>
</file>

<file path=customXml/itemProps2.xml><?xml version="1.0" encoding="utf-8"?>
<ds:datastoreItem xmlns:ds="http://schemas.openxmlformats.org/officeDocument/2006/customXml" ds:itemID="{87F69C63-A8EC-4D4C-9B6F-D44EFD7BEBE3}">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3.xml><?xml version="1.0" encoding="utf-8"?>
<ds:datastoreItem xmlns:ds="http://schemas.openxmlformats.org/officeDocument/2006/customXml" ds:itemID="{353EF764-1803-494E-9A73-FBFA0685ACCE}">
  <ds:schemaRefs>
    <ds:schemaRef ds:uri="http://schemas.microsoft.com/sharepoint/v3/contenttype/forms"/>
  </ds:schemaRefs>
</ds:datastoreItem>
</file>

<file path=customXml/itemProps4.xml><?xml version="1.0" encoding="utf-8"?>
<ds:datastoreItem xmlns:ds="http://schemas.openxmlformats.org/officeDocument/2006/customXml" ds:itemID="{0A85E5F1-9BE0-4325-A1E3-9285FC90E3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1655</Words>
  <Characters>9435</Characters>
  <Application>Microsoft Office Word</Application>
  <DocSecurity>8</DocSecurity>
  <Lines>78</Lines>
  <Paragraphs>22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ICGS_8</dc:creator>
  <cp:keywords/>
  <dc:description/>
  <cp:lastModifiedBy>CMW</cp:lastModifiedBy>
  <cp:revision>4</cp:revision>
  <dcterms:created xsi:type="dcterms:W3CDTF">2024-11-02T16:31:00Z</dcterms:created>
  <dcterms:modified xsi:type="dcterms:W3CDTF">2024-11-07T09:09:00Z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944d6e79f3c9932c053996f329bf2f058c93239f5ca6e8838eed1da75b1f6526</vt:lpwstr>
  </property>
  <property fmtid="{D5CDD505-2E9C-101B-9397-08002B2CF9AE}" pid="3" name="ContentTypeId">
    <vt:lpwstr>0x010100FB4CCA895A17B843B34B7F2324FFA44A</vt:lpwstr>
  </property>
  <property fmtid="{D5CDD505-2E9C-101B-9397-08002B2CF9AE}" pid="4" name="MediaServiceImageTags">
    <vt:lpwstr/>
  </property>
</Properties>
</file>