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864" w:rsidRPr="00673309" w:rsidRDefault="00BB65C1" w:rsidP="00673309">
      <w:pPr>
        <w:pStyle w:val="Title"/>
        <w:pBdr>
          <w:bottom w:val="single" w:sz="8" w:space="28" w:color="4F81BD" w:themeColor="accent1"/>
        </w:pBdr>
        <w:spacing w:line="276" w:lineRule="auto"/>
        <w:jc w:val="center"/>
        <w:rPr>
          <w:rFonts w:ascii="Times New Roman" w:hAnsi="Times New Roman" w:cs="Times New Roman"/>
          <w:lang w:val="fr-FR"/>
        </w:rPr>
      </w:pPr>
      <w:r w:rsidRPr="00673309">
        <w:rPr>
          <w:rFonts w:ascii="Times New Roman" w:hAnsi="Times New Roman" w:cs="Times New Roman"/>
          <w:lang w:val="fr-FR"/>
        </w:rPr>
        <w:t>RAPPORT ALTERNATIF</w:t>
      </w:r>
      <w:r w:rsidR="00997B72" w:rsidRPr="00673309">
        <w:rPr>
          <w:rFonts w:ascii="Times New Roman" w:hAnsi="Times New Roman" w:cs="Times New Roman"/>
          <w:b/>
          <w:noProof/>
        </w:rPr>
        <w:drawing>
          <wp:anchor distT="0" distB="0" distL="114300" distR="114300" simplePos="0" relativeHeight="251657216" behindDoc="1" locked="0" layoutInCell="1" allowOverlap="1">
            <wp:simplePos x="0" y="0"/>
            <wp:positionH relativeFrom="column">
              <wp:posOffset>0</wp:posOffset>
            </wp:positionH>
            <wp:positionV relativeFrom="paragraph">
              <wp:posOffset>0</wp:posOffset>
            </wp:positionV>
            <wp:extent cx="689976" cy="730953"/>
            <wp:effectExtent l="19050" t="0" r="0" b="0"/>
            <wp:wrapNone/>
            <wp:docPr id="1" name="Picture 1" descr="C:\Users\emili\Pictures\Screenshots\Screenshot 2023-05-02 14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i\Pictures\Screenshots\Screenshot 2023-05-02 141024.png"/>
                    <pic:cNvPicPr>
                      <a:picLocks noChangeAspect="1" noChangeArrowheads="1"/>
                    </pic:cNvPicPr>
                  </pic:nvPicPr>
                  <pic:blipFill>
                    <a:blip r:embed="rId8" cstate="print"/>
                    <a:srcRect l="2347" r="6552" b="16241"/>
                    <a:stretch>
                      <a:fillRect/>
                    </a:stretch>
                  </pic:blipFill>
                  <pic:spPr bwMode="auto">
                    <a:xfrm>
                      <a:off x="0" y="0"/>
                      <a:ext cx="689976" cy="730953"/>
                    </a:xfrm>
                    <a:prstGeom prst="rect">
                      <a:avLst/>
                    </a:prstGeom>
                    <a:noFill/>
                    <a:ln w="9525">
                      <a:noFill/>
                      <a:miter lim="800000"/>
                      <a:headEnd/>
                      <a:tailEnd/>
                    </a:ln>
                  </pic:spPr>
                </pic:pic>
              </a:graphicData>
            </a:graphic>
          </wp:anchor>
        </w:drawing>
      </w:r>
    </w:p>
    <w:p w:rsidR="00997B72" w:rsidRPr="00673309" w:rsidRDefault="00997B72" w:rsidP="00673309">
      <w:pPr>
        <w:rPr>
          <w:rFonts w:ascii="Times New Roman" w:hAnsi="Times New Roman" w:cs="Times New Roman"/>
          <w:lang w:val="fr-FR"/>
        </w:rPr>
      </w:pPr>
    </w:p>
    <w:p w:rsidR="00153864" w:rsidRPr="00673309" w:rsidRDefault="00BB65C1" w:rsidP="00673309">
      <w:pPr>
        <w:rPr>
          <w:rFonts w:ascii="Times New Roman" w:hAnsi="Times New Roman" w:cs="Times New Roman"/>
          <w:lang w:val="fr-FR"/>
        </w:rPr>
      </w:pPr>
      <w:r w:rsidRPr="00673309">
        <w:rPr>
          <w:rFonts w:ascii="Times New Roman" w:hAnsi="Times New Roman" w:cs="Times New Roman"/>
          <w:lang w:val="fr-FR"/>
        </w:rPr>
        <w:t>Soumis par : Coalition Nationale des Associations de Personnes Handicapées d’Haïti (CONAPH)</w:t>
      </w:r>
    </w:p>
    <w:p w:rsidR="00153864" w:rsidRPr="00673309" w:rsidRDefault="00BB65C1" w:rsidP="00673309">
      <w:pPr>
        <w:rPr>
          <w:rFonts w:ascii="Times New Roman" w:hAnsi="Times New Roman" w:cs="Times New Roman"/>
          <w:lang w:val="fr-FR"/>
        </w:rPr>
      </w:pPr>
      <w:r w:rsidRPr="00673309">
        <w:rPr>
          <w:rFonts w:ascii="Times New Roman" w:hAnsi="Times New Roman" w:cs="Times New Roman"/>
          <w:lang w:val="fr-FR"/>
        </w:rPr>
        <w:t>À l’attention du Comité des droits de l’homme</w:t>
      </w:r>
    </w:p>
    <w:p w:rsidR="00153864" w:rsidRPr="00673309" w:rsidRDefault="00BB65C1" w:rsidP="00673309">
      <w:pPr>
        <w:rPr>
          <w:rFonts w:ascii="Times New Roman" w:hAnsi="Times New Roman" w:cs="Times New Roman"/>
          <w:lang w:val="fr-FR"/>
        </w:rPr>
      </w:pPr>
      <w:r w:rsidRPr="00673309">
        <w:rPr>
          <w:rFonts w:ascii="Times New Roman" w:hAnsi="Times New Roman" w:cs="Times New Roman"/>
          <w:lang w:val="fr-FR"/>
        </w:rPr>
        <w:t>Relatif à la mise en œuvre du Pacte international relatif aux droits civils et politiques (PIDCP)</w:t>
      </w:r>
    </w:p>
    <w:p w:rsidR="00153864" w:rsidRPr="00673309" w:rsidRDefault="00BB65C1" w:rsidP="00673309">
      <w:pPr>
        <w:rPr>
          <w:rFonts w:ascii="Times New Roman" w:hAnsi="Times New Roman" w:cs="Times New Roman"/>
          <w:lang w:val="fr-FR"/>
        </w:rPr>
      </w:pPr>
      <w:r w:rsidRPr="00673309">
        <w:rPr>
          <w:rFonts w:ascii="Times New Roman" w:hAnsi="Times New Roman" w:cs="Times New Roman"/>
          <w:lang w:val="fr-FR"/>
        </w:rPr>
        <w:t>Haïti – Mai 2025</w:t>
      </w: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p>
    <w:p w:rsidR="00997B72" w:rsidRPr="00673309" w:rsidRDefault="00997B72" w:rsidP="00673309">
      <w:pPr>
        <w:rPr>
          <w:rFonts w:ascii="Times New Roman" w:hAnsi="Times New Roman" w:cs="Times New Roman"/>
          <w:lang w:val="fr-FR"/>
        </w:rPr>
      </w:pPr>
      <w:r w:rsidRPr="00673309">
        <w:rPr>
          <w:rFonts w:ascii="Times New Roman" w:hAnsi="Times New Roman" w:cs="Times New Roman"/>
          <w:b/>
          <w:noProof/>
        </w:rPr>
        <w:drawing>
          <wp:anchor distT="0" distB="0" distL="114300" distR="114300" simplePos="0" relativeHeight="251659264" behindDoc="1" locked="0" layoutInCell="1" allowOverlap="1">
            <wp:simplePos x="0" y="0"/>
            <wp:positionH relativeFrom="margin">
              <wp:align>center</wp:align>
            </wp:positionH>
            <wp:positionV relativeFrom="margin">
              <wp:align>bottom</wp:align>
            </wp:positionV>
            <wp:extent cx="4352290" cy="762635"/>
            <wp:effectExtent l="0" t="0" r="3810" b="0"/>
            <wp:wrapSquare wrapText="bothSides"/>
            <wp:docPr id="4" name="Picture 4" descr="A logo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ogo with blue text&#10;&#10;AI-generated content may be incorrect."/>
                    <pic:cNvPicPr>
                      <a:picLocks noChangeAspect="1" noChangeArrowheads="1"/>
                    </pic:cNvPicPr>
                  </pic:nvPicPr>
                  <pic:blipFill>
                    <a:blip r:embed="rId9"/>
                    <a:srcRect/>
                    <a:stretch>
                      <a:fillRect/>
                    </a:stretch>
                  </pic:blipFill>
                  <pic:spPr bwMode="auto">
                    <a:xfrm>
                      <a:off x="0" y="0"/>
                      <a:ext cx="4352290" cy="762635"/>
                    </a:xfrm>
                    <a:prstGeom prst="rect">
                      <a:avLst/>
                    </a:prstGeom>
                    <a:noFill/>
                    <a:ln w="9525">
                      <a:noFill/>
                      <a:miter lim="800000"/>
                      <a:headEnd/>
                      <a:tailEnd/>
                    </a:ln>
                  </pic:spPr>
                </pic:pic>
              </a:graphicData>
            </a:graphic>
          </wp:anchor>
        </w:drawing>
      </w:r>
      <w:r w:rsidRPr="00673309">
        <w:rPr>
          <w:rFonts w:ascii="Times New Roman" w:hAnsi="Times New Roman" w:cs="Times New Roman"/>
          <w:lang w:val="fr-FR"/>
        </w:rPr>
        <w:tab/>
      </w:r>
      <w:r w:rsidRPr="00673309">
        <w:rPr>
          <w:rFonts w:ascii="Times New Roman" w:hAnsi="Times New Roman" w:cs="Times New Roman"/>
          <w:lang w:val="fr-FR"/>
        </w:rPr>
        <w:tab/>
      </w:r>
      <w:r w:rsidRPr="00673309">
        <w:rPr>
          <w:rFonts w:ascii="Times New Roman" w:hAnsi="Times New Roman" w:cs="Times New Roman"/>
          <w:lang w:val="fr-FR"/>
        </w:rPr>
        <w:tab/>
      </w:r>
      <w:r w:rsidRPr="00673309">
        <w:rPr>
          <w:rFonts w:ascii="Times New Roman" w:hAnsi="Times New Roman" w:cs="Times New Roman"/>
          <w:lang w:val="fr-FR"/>
        </w:rPr>
        <w:tab/>
      </w:r>
      <w:r w:rsidRPr="00673309">
        <w:rPr>
          <w:rFonts w:ascii="Times New Roman" w:hAnsi="Times New Roman" w:cs="Times New Roman"/>
          <w:lang w:val="fr-FR"/>
        </w:rPr>
        <w:tab/>
        <w:t xml:space="preserve">Avec le soutien de </w:t>
      </w:r>
      <w:r w:rsidR="00D54DE5" w:rsidRPr="00673309">
        <w:rPr>
          <w:rFonts w:ascii="Times New Roman" w:hAnsi="Times New Roman" w:cs="Times New Roman"/>
          <w:lang w:val="fr-FR"/>
        </w:rPr>
        <w:t>Disability</w:t>
      </w:r>
      <w:r w:rsidR="00315223" w:rsidRPr="00673309">
        <w:rPr>
          <w:rFonts w:ascii="Times New Roman" w:hAnsi="Times New Roman" w:cs="Times New Roman"/>
          <w:lang w:val="fr-FR"/>
        </w:rPr>
        <w:t xml:space="preserve"> </w:t>
      </w:r>
      <w:r w:rsidR="00D54DE5" w:rsidRPr="00673309">
        <w:rPr>
          <w:rFonts w:ascii="Times New Roman" w:hAnsi="Times New Roman" w:cs="Times New Roman"/>
          <w:lang w:val="fr-FR"/>
        </w:rPr>
        <w:t>Rights</w:t>
      </w:r>
      <w:r w:rsidR="00315223" w:rsidRPr="00673309">
        <w:rPr>
          <w:rFonts w:ascii="Times New Roman" w:hAnsi="Times New Roman" w:cs="Times New Roman"/>
          <w:lang w:val="fr-FR"/>
        </w:rPr>
        <w:t xml:space="preserve"> </w:t>
      </w:r>
      <w:r w:rsidR="00D54DE5" w:rsidRPr="00673309">
        <w:rPr>
          <w:rFonts w:ascii="Times New Roman" w:hAnsi="Times New Roman" w:cs="Times New Roman"/>
          <w:lang w:val="fr-FR"/>
        </w:rPr>
        <w:t>Fund</w:t>
      </w:r>
    </w:p>
    <w:p w:rsidR="00997B72" w:rsidRPr="00673309" w:rsidRDefault="00997B72" w:rsidP="00673309">
      <w:pPr>
        <w:rPr>
          <w:rFonts w:ascii="Times New Roman" w:hAnsi="Times New Roman" w:cs="Times New Roman"/>
          <w:lang w:val="fr-FR"/>
        </w:rPr>
      </w:pPr>
    </w:p>
    <w:p w:rsidR="00153864" w:rsidRPr="00673309" w:rsidRDefault="00BB65C1" w:rsidP="00673309">
      <w:pPr>
        <w:pStyle w:val="Heading1"/>
        <w:jc w:val="center"/>
        <w:rPr>
          <w:rFonts w:ascii="Times New Roman" w:hAnsi="Times New Roman" w:cs="Times New Roman"/>
          <w:sz w:val="22"/>
          <w:szCs w:val="22"/>
          <w:lang w:val="fr-FR"/>
        </w:rPr>
      </w:pPr>
      <w:r w:rsidRPr="00673309">
        <w:rPr>
          <w:rFonts w:ascii="Times New Roman" w:hAnsi="Times New Roman" w:cs="Times New Roman"/>
          <w:sz w:val="22"/>
          <w:szCs w:val="22"/>
          <w:lang w:val="fr-FR"/>
        </w:rPr>
        <w:lastRenderedPageBreak/>
        <w:t>Introduction</w:t>
      </w:r>
    </w:p>
    <w:p w:rsidR="00135640" w:rsidRPr="00673309" w:rsidRDefault="00BB65C1" w:rsidP="00673309">
      <w:pPr>
        <w:pStyle w:val="ListParagraph"/>
        <w:numPr>
          <w:ilvl w:val="0"/>
          <w:numId w:val="10"/>
        </w:numPr>
        <w:jc w:val="both"/>
        <w:rPr>
          <w:rFonts w:ascii="Times New Roman" w:hAnsi="Times New Roman" w:cs="Times New Roman"/>
          <w:lang w:val="fr-FR"/>
        </w:rPr>
      </w:pPr>
      <w:r w:rsidRPr="00673309">
        <w:rPr>
          <w:rFonts w:ascii="Times New Roman" w:hAnsi="Times New Roman" w:cs="Times New Roman"/>
          <w:lang w:val="fr-FR"/>
        </w:rPr>
        <w:t>La Coalition Nationale des Associations de Personnes Handicapées d’Haïti (CONAPH), en tant que plateforme représentative des organisations de personnes handicapées à travers le pays, soumet ce rapport alternatif dans le cadre du processus d’examen de la</w:t>
      </w:r>
    </w:p>
    <w:p w:rsidR="00135640" w:rsidRPr="00673309" w:rsidRDefault="00BB65C1" w:rsidP="00673309">
      <w:pPr>
        <w:pStyle w:val="ListParagraph"/>
        <w:ind w:left="360"/>
        <w:jc w:val="both"/>
        <w:rPr>
          <w:rFonts w:ascii="Times New Roman" w:hAnsi="Times New Roman" w:cs="Times New Roman"/>
          <w:lang w:val="fr-FR"/>
        </w:rPr>
      </w:pPr>
      <w:r w:rsidRPr="00673309">
        <w:rPr>
          <w:rFonts w:ascii="Times New Roman" w:hAnsi="Times New Roman" w:cs="Times New Roman"/>
          <w:lang w:val="fr-FR"/>
        </w:rPr>
        <w:t xml:space="preserve">République d’Haïti par le Comité des droits de l’homme, conformément à l’article 40 du Pacte international relatif aux droits civils et politiques (PIDCP). </w:t>
      </w:r>
    </w:p>
    <w:p w:rsidR="00135640" w:rsidRPr="00673309" w:rsidRDefault="00BB65C1" w:rsidP="00673309">
      <w:pPr>
        <w:pStyle w:val="ListParagraph"/>
        <w:numPr>
          <w:ilvl w:val="0"/>
          <w:numId w:val="10"/>
        </w:numPr>
        <w:jc w:val="both"/>
        <w:rPr>
          <w:rFonts w:ascii="Times New Roman" w:hAnsi="Times New Roman" w:cs="Times New Roman"/>
          <w:lang w:val="fr-FR"/>
        </w:rPr>
      </w:pPr>
      <w:r w:rsidRPr="00673309">
        <w:rPr>
          <w:rFonts w:ascii="Times New Roman" w:hAnsi="Times New Roman" w:cs="Times New Roman"/>
          <w:lang w:val="fr-FR"/>
        </w:rPr>
        <w:t>Ce rapport se concentre sur la situation des droits civils et politiques des personnes handicapées, groupe historiquement marginalisé et systématiquement exclu des politiques publiques, en particulier dans le contexte actuel de crise multidimensionnelle.</w:t>
      </w:r>
    </w:p>
    <w:p w:rsidR="002069C0" w:rsidRPr="00673309" w:rsidRDefault="00BB65C1" w:rsidP="00673309">
      <w:pPr>
        <w:pStyle w:val="ListParagraph"/>
        <w:numPr>
          <w:ilvl w:val="0"/>
          <w:numId w:val="10"/>
        </w:numPr>
        <w:spacing w:after="0"/>
        <w:jc w:val="both"/>
        <w:rPr>
          <w:rFonts w:ascii="Times New Roman" w:hAnsi="Times New Roman" w:cs="Times New Roman"/>
          <w:lang w:val="fr-FR"/>
        </w:rPr>
      </w:pPr>
      <w:r w:rsidRPr="00673309">
        <w:rPr>
          <w:rFonts w:ascii="Times New Roman" w:hAnsi="Times New Roman" w:cs="Times New Roman"/>
          <w:lang w:val="fr-FR"/>
        </w:rPr>
        <w:t>Haïti a ratifié le PIDCP en février 1991 et la Convention relative aux droits des personnes handicapées (CDPH) en mars 2009. Toutefois, la mise en œuvre effective de ces instruments reste gravement compromise. La situation actuelle, marquée par l’effondrement institutionnel, la montée de la violence, les catastrophes naturelles répétées et l’insécurité généralisée, affecte l’ensemble de la population, mais impacte de manière disproportionnée les personnes handicapées.</w:t>
      </w:r>
    </w:p>
    <w:p w:rsidR="00274855" w:rsidRPr="00673309" w:rsidRDefault="00274855" w:rsidP="00673309">
      <w:pPr>
        <w:pStyle w:val="ListParagraph"/>
        <w:numPr>
          <w:ilvl w:val="0"/>
          <w:numId w:val="10"/>
        </w:numPr>
        <w:jc w:val="both"/>
        <w:rPr>
          <w:rFonts w:ascii="Times New Roman" w:hAnsi="Times New Roman" w:cs="Times New Roman"/>
          <w:lang w:val="fr-FR"/>
        </w:rPr>
      </w:pPr>
      <w:r w:rsidRPr="00673309">
        <w:rPr>
          <w:rFonts w:ascii="Times New Roman" w:hAnsi="Times New Roman" w:cs="Times New Roman"/>
          <w:lang w:val="fr-FR"/>
        </w:rPr>
        <w:t>Le pays est plongé dans une crise multidimensionnelle, depuis 2018, marquée par une instabilité politique persistante, une insécurité généralisée, une dégradation profonde de la situation socioéconomique et une série récurrente de catastrophes naturelles. Combinés, ces facteurs compromettent gravement la jouissance des droits fondamentaux garantis tant par le Pacte international relatif aux droits civils et politiques (PIDCP) que par la Convention relative aux droits des personnes handicapées (CDPH). Les personnes handicapées, en particulier, figurent parmi les groupes les plus marginalisés et les plus exposés aux violations de ces droits.</w:t>
      </w:r>
    </w:p>
    <w:p w:rsidR="00153864" w:rsidRPr="00673309" w:rsidRDefault="00BB65C1" w:rsidP="00673309">
      <w:pPr>
        <w:pStyle w:val="ListParagraph"/>
        <w:numPr>
          <w:ilvl w:val="0"/>
          <w:numId w:val="10"/>
        </w:numPr>
        <w:jc w:val="both"/>
        <w:rPr>
          <w:rFonts w:ascii="Times New Roman" w:hAnsi="Times New Roman" w:cs="Times New Roman"/>
          <w:lang w:val="fr-FR"/>
        </w:rPr>
      </w:pPr>
      <w:r w:rsidRPr="00673309">
        <w:rPr>
          <w:rFonts w:ascii="Times New Roman" w:hAnsi="Times New Roman" w:cs="Times New Roman"/>
          <w:lang w:val="fr-FR"/>
        </w:rPr>
        <w:t>Ce rapport documente les violations structurelles et continues des droits civils et politiques des personnes handicapées, en lien direct avec les dispositions du PIDCP. Il s’appuie sur des témoignages recueillis lors de consultations communautaires, sur des observations de terrain réalisées par les organisations membres de la CONAPH, ainsi que sur des données secondaires. Il vise à faire entendre la voix des personnes handicapées dans les mécanismes internationaux de suivi des droits humains et à contribuer à la formulation de recommandations concrètes, adaptées au contexte haïtien.</w:t>
      </w:r>
    </w:p>
    <w:p w:rsidR="00274855" w:rsidRPr="00673309" w:rsidRDefault="00BB65C1" w:rsidP="00673309">
      <w:pPr>
        <w:pStyle w:val="Heading1"/>
        <w:rPr>
          <w:rFonts w:ascii="Times New Roman" w:hAnsi="Times New Roman" w:cs="Times New Roman"/>
          <w:sz w:val="22"/>
          <w:szCs w:val="22"/>
          <w:lang w:val="fr-FR"/>
        </w:rPr>
      </w:pPr>
      <w:r w:rsidRPr="00673309">
        <w:rPr>
          <w:rFonts w:ascii="Times New Roman" w:hAnsi="Times New Roman" w:cs="Times New Roman"/>
          <w:sz w:val="22"/>
          <w:szCs w:val="22"/>
          <w:lang w:val="fr-FR"/>
        </w:rPr>
        <w:t>1. Atteintes au droit à la vie (Article 6 PIDCP)</w:t>
      </w:r>
    </w:p>
    <w:p w:rsidR="003F59B3" w:rsidRPr="00673309" w:rsidRDefault="003F59B3" w:rsidP="00673309">
      <w:pPr>
        <w:pStyle w:val="NormalWeb"/>
        <w:numPr>
          <w:ilvl w:val="0"/>
          <w:numId w:val="10"/>
        </w:numPr>
        <w:spacing w:before="0" w:beforeAutospacing="0" w:line="276" w:lineRule="auto"/>
        <w:jc w:val="both"/>
        <w:rPr>
          <w:sz w:val="22"/>
          <w:szCs w:val="22"/>
          <w:lang w:val="fr-FR"/>
        </w:rPr>
      </w:pPr>
      <w:r w:rsidRPr="00673309">
        <w:rPr>
          <w:sz w:val="22"/>
          <w:szCs w:val="22"/>
          <w:lang w:val="fr-FR"/>
        </w:rPr>
        <w:t>L’alinéa 1 de l’article 6 du Pacte international relatif aux droits civils et politiques est étroitement lié à l’article 10 de la Convention relative aux droits des personnes handicapées (CDPH). Cette disposition consacre l’obligation des États de garantir ce droit fondamental à toute personne, y compris les personnes handicapées, sans discrimination aucune.</w:t>
      </w:r>
    </w:p>
    <w:p w:rsidR="003F59B3" w:rsidRPr="00673309" w:rsidRDefault="003F59B3" w:rsidP="00673309">
      <w:pPr>
        <w:pStyle w:val="ListParagraph"/>
        <w:numPr>
          <w:ilvl w:val="0"/>
          <w:numId w:val="10"/>
        </w:numPr>
        <w:jc w:val="both"/>
        <w:rPr>
          <w:rFonts w:ascii="Times New Roman" w:hAnsi="Times New Roman" w:cs="Times New Roman"/>
          <w:lang w:val="fr-FR"/>
        </w:rPr>
      </w:pPr>
      <w:r w:rsidRPr="00673309">
        <w:rPr>
          <w:rFonts w:ascii="Times New Roman" w:hAnsi="Times New Roman" w:cs="Times New Roman"/>
          <w:lang w:val="fr-FR"/>
        </w:rPr>
        <w:t>Toutefois, la situation sécuritaire en Haïti constitue une menace directe au droit à la vie des personnes handicapées. L’extrême violence armée, notamment dans les zones contrôlées par des groupes criminels, les catastrophes naturelles récurrentes, les déplacements forcés, et l'effondrement des systèmes de santé et de protection sociale créent un environnement dans lequel la survie des personnes handicapées est gravement compromise.</w:t>
      </w:r>
    </w:p>
    <w:p w:rsidR="00CE5AB6" w:rsidRPr="00673309" w:rsidRDefault="00BB65C1" w:rsidP="00673309">
      <w:pPr>
        <w:pStyle w:val="ListParagraph"/>
        <w:numPr>
          <w:ilvl w:val="0"/>
          <w:numId w:val="10"/>
        </w:numPr>
        <w:jc w:val="both"/>
        <w:rPr>
          <w:rFonts w:ascii="Times New Roman" w:hAnsi="Times New Roman" w:cs="Times New Roman"/>
          <w:lang w:val="fr-FR"/>
        </w:rPr>
      </w:pPr>
      <w:r w:rsidRPr="00673309">
        <w:rPr>
          <w:rFonts w:ascii="Times New Roman" w:hAnsi="Times New Roman" w:cs="Times New Roman"/>
          <w:lang w:val="fr-FR"/>
        </w:rPr>
        <w:t>Les personnes</w:t>
      </w:r>
      <w:r w:rsidR="00BE1F58" w:rsidRPr="00673309">
        <w:rPr>
          <w:rFonts w:ascii="Times New Roman" w:hAnsi="Times New Roman" w:cs="Times New Roman"/>
          <w:lang w:val="fr-FR"/>
        </w:rPr>
        <w:t xml:space="preserve"> handicapées, en particuliercelles </w:t>
      </w:r>
      <w:r w:rsidRPr="00673309">
        <w:rPr>
          <w:rFonts w:ascii="Times New Roman" w:hAnsi="Times New Roman" w:cs="Times New Roman"/>
          <w:lang w:val="fr-FR"/>
        </w:rPr>
        <w:t xml:space="preserve">à mobilité réduite, </w:t>
      </w:r>
      <w:r w:rsidR="00BE1F58" w:rsidRPr="00673309">
        <w:rPr>
          <w:rFonts w:ascii="Times New Roman" w:hAnsi="Times New Roman" w:cs="Times New Roman"/>
          <w:lang w:val="fr-FR"/>
        </w:rPr>
        <w:t xml:space="preserve">ou </w:t>
      </w:r>
      <w:r w:rsidR="007754E0" w:rsidRPr="00673309">
        <w:rPr>
          <w:rFonts w:ascii="Times New Roman" w:hAnsi="Times New Roman" w:cs="Times New Roman"/>
          <w:lang w:val="fr-FR"/>
        </w:rPr>
        <w:t>personnes handicapées</w:t>
      </w:r>
      <w:r w:rsidRPr="00673309">
        <w:rPr>
          <w:rFonts w:ascii="Times New Roman" w:hAnsi="Times New Roman" w:cs="Times New Roman"/>
          <w:lang w:val="fr-FR"/>
        </w:rPr>
        <w:t xml:space="preserve"> intellectuelles ou sensorielles, sont souvent incapables de fuir en situation de danger, en raison de l’inexistence de dispositifs d’évacuation inclusifs. Dans les zones touchées par des </w:t>
      </w:r>
      <w:r w:rsidRPr="00673309">
        <w:rPr>
          <w:rFonts w:ascii="Times New Roman" w:hAnsi="Times New Roman" w:cs="Times New Roman"/>
          <w:lang w:val="fr-FR"/>
        </w:rPr>
        <w:lastRenderedPageBreak/>
        <w:t xml:space="preserve">violences ou des catastrophes naturelles, l’absence de </w:t>
      </w:r>
      <w:r w:rsidR="00B36267" w:rsidRPr="00673309">
        <w:rPr>
          <w:rFonts w:ascii="Times New Roman" w:hAnsi="Times New Roman" w:cs="Times New Roman"/>
          <w:lang w:val="fr-FR"/>
        </w:rPr>
        <w:t>plan d’évacuation</w:t>
      </w:r>
      <w:r w:rsidR="00BE1F58" w:rsidRPr="00673309">
        <w:rPr>
          <w:rFonts w:ascii="Times New Roman" w:hAnsi="Times New Roman" w:cs="Times New Roman"/>
          <w:lang w:val="fr-FR"/>
        </w:rPr>
        <w:t xml:space="preserve"> inclusive ou de </w:t>
      </w:r>
      <w:r w:rsidRPr="00673309">
        <w:rPr>
          <w:rFonts w:ascii="Times New Roman" w:hAnsi="Times New Roman" w:cs="Times New Roman"/>
          <w:lang w:val="fr-FR"/>
        </w:rPr>
        <w:t>refuges accessibles, de systèmes d’alerte inclusifs, et de services de santé fonctionnels conduit à des taux de mortalité disproportionnés parmi les personnes handicapées.</w:t>
      </w:r>
    </w:p>
    <w:p w:rsidR="00CE5AB6" w:rsidRPr="00673309" w:rsidRDefault="00CE5AB6" w:rsidP="00673309">
      <w:pPr>
        <w:pStyle w:val="ListParagraph"/>
        <w:numPr>
          <w:ilvl w:val="0"/>
          <w:numId w:val="10"/>
        </w:numPr>
        <w:jc w:val="both"/>
        <w:rPr>
          <w:rFonts w:ascii="Times New Roman" w:hAnsi="Times New Roman" w:cs="Times New Roman"/>
          <w:lang w:val="fr-FR"/>
        </w:rPr>
      </w:pPr>
      <w:r w:rsidRPr="00673309">
        <w:rPr>
          <w:rFonts w:ascii="Times New Roman" w:hAnsi="Times New Roman" w:cs="Times New Roman"/>
          <w:lang w:val="fr-FR"/>
        </w:rPr>
        <w:t>En dépit des défis identifiés, l’État haïtien n’a pris aucune mesure systématique pour garantir le droit à la vie des personnes handicapées, ni intégré de dispositions spécifiques dans les plans humanitaires, de sécurité civile ou de protection sociale. Cette carence constitue une violation claire de l’article 10 de la CDPH et de l’article 6.1 du PIDCP, et accroît les risques pesant sur la survie de cette population.</w:t>
      </w:r>
    </w:p>
    <w:p w:rsidR="00153864" w:rsidRPr="00673309" w:rsidRDefault="00BB65C1" w:rsidP="00673309">
      <w:pPr>
        <w:pStyle w:val="Heading1"/>
        <w:rPr>
          <w:rFonts w:ascii="Times New Roman" w:hAnsi="Times New Roman" w:cs="Times New Roman"/>
          <w:lang w:val="fr-FR"/>
        </w:rPr>
      </w:pPr>
      <w:r w:rsidRPr="00673309">
        <w:rPr>
          <w:rFonts w:ascii="Times New Roman" w:hAnsi="Times New Roman" w:cs="Times New Roman"/>
          <w:lang w:val="fr-FR"/>
        </w:rPr>
        <w:t>Recommandations :</w:t>
      </w:r>
    </w:p>
    <w:p w:rsidR="00153864" w:rsidRPr="00673309" w:rsidRDefault="00BB65C1"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Élaborer des plans d’évacuation et de réponse humanitaire inclusifs.</w:t>
      </w:r>
    </w:p>
    <w:p w:rsidR="00153864" w:rsidRPr="00673309" w:rsidRDefault="00BB65C1"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Former les agents de la protection civile et les intervenants humanitaires à l’inclusion du handicap.</w:t>
      </w:r>
    </w:p>
    <w:p w:rsidR="00153864" w:rsidRPr="00673309" w:rsidRDefault="00BB65C1"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Mettre à disposition des services de santé et d’urgence accessibles dans les zones à risque.</w:t>
      </w:r>
    </w:p>
    <w:p w:rsidR="00CE5AB6" w:rsidRPr="00673309" w:rsidRDefault="00CE5AB6"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Consulter les OPH dans l'élaboration et la mise en œuvre des politiques de sécurité civile et de protection humanitaire</w:t>
      </w:r>
      <w:r w:rsidR="00B449CE" w:rsidRPr="00673309">
        <w:rPr>
          <w:rFonts w:ascii="Times New Roman" w:hAnsi="Times New Roman" w:cs="Times New Roman"/>
          <w:lang w:val="fr-FR"/>
        </w:rPr>
        <w:t>.</w:t>
      </w:r>
    </w:p>
    <w:p w:rsidR="00B449CE" w:rsidRPr="00673309" w:rsidRDefault="00B449CE"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Fournir un accompagnement ciblé pour les familles ayant des membres handicapés</w:t>
      </w:r>
    </w:p>
    <w:p w:rsidR="00153864" w:rsidRPr="00673309" w:rsidRDefault="00BB65C1" w:rsidP="00673309">
      <w:pPr>
        <w:pStyle w:val="Heading1"/>
        <w:rPr>
          <w:rFonts w:ascii="Times New Roman" w:hAnsi="Times New Roman" w:cs="Times New Roman"/>
          <w:sz w:val="22"/>
          <w:szCs w:val="22"/>
          <w:lang w:val="fr-FR"/>
        </w:rPr>
      </w:pPr>
      <w:r w:rsidRPr="00673309">
        <w:rPr>
          <w:rFonts w:ascii="Times New Roman" w:hAnsi="Times New Roman" w:cs="Times New Roman"/>
          <w:sz w:val="22"/>
          <w:szCs w:val="22"/>
          <w:lang w:val="fr-FR"/>
        </w:rPr>
        <w:t>2. Protection contre la torture et les traitements inhumains (Article 7 PIDCP)</w:t>
      </w:r>
    </w:p>
    <w:p w:rsidR="00CE5AB6" w:rsidRPr="00673309" w:rsidRDefault="00CE5AB6" w:rsidP="00673309">
      <w:pPr>
        <w:pStyle w:val="ListParagraph"/>
        <w:numPr>
          <w:ilvl w:val="0"/>
          <w:numId w:val="10"/>
        </w:numPr>
        <w:jc w:val="both"/>
        <w:rPr>
          <w:rFonts w:ascii="Times New Roman" w:hAnsi="Times New Roman" w:cs="Times New Roman"/>
          <w:lang w:val="fr-FR"/>
        </w:rPr>
      </w:pPr>
      <w:r w:rsidRPr="00673309">
        <w:rPr>
          <w:rFonts w:ascii="Times New Roman" w:hAnsi="Times New Roman" w:cs="Times New Roman"/>
          <w:lang w:val="fr-FR"/>
        </w:rPr>
        <w:t>L’article 7 du Pacte international relatif aux droits civils et politiques rejoint l’article 15 de la Convention relative aux droits des personnes handicapées, ainsi que la législation nationale sur l’intégration des personnes handicapées, qui interdit formellement de soumettre une personne handicapée à une expérience médicale ou scientifique sans son consentement libre et éclairé.</w:t>
      </w:r>
    </w:p>
    <w:p w:rsidR="00CE5AB6" w:rsidRPr="00673309" w:rsidRDefault="00CE5AB6" w:rsidP="00673309">
      <w:pPr>
        <w:pStyle w:val="ListParagraph"/>
        <w:numPr>
          <w:ilvl w:val="0"/>
          <w:numId w:val="10"/>
        </w:numPr>
        <w:jc w:val="both"/>
        <w:rPr>
          <w:rFonts w:ascii="Times New Roman" w:hAnsi="Times New Roman" w:cs="Times New Roman"/>
          <w:lang w:val="fr-FR"/>
        </w:rPr>
      </w:pPr>
      <w:r w:rsidRPr="00673309">
        <w:rPr>
          <w:rFonts w:ascii="Times New Roman" w:hAnsi="Times New Roman" w:cs="Times New Roman"/>
          <w:lang w:val="fr-FR"/>
        </w:rPr>
        <w:t>En dépit des recommandations émises par le Comité des droits des personnes handicapées en 2018, l'État haïtien n’a pas adopté de mesures suffisantes pour interdire les pratiques coercitives visant les adultes et enfants handicapés.</w:t>
      </w:r>
    </w:p>
    <w:p w:rsidR="00153864" w:rsidRPr="00673309" w:rsidRDefault="00CE5AB6" w:rsidP="00673309">
      <w:pPr>
        <w:pStyle w:val="ListParagraph"/>
        <w:numPr>
          <w:ilvl w:val="0"/>
          <w:numId w:val="10"/>
        </w:numPr>
        <w:jc w:val="both"/>
        <w:rPr>
          <w:rFonts w:ascii="Times New Roman" w:hAnsi="Times New Roman" w:cs="Times New Roman"/>
          <w:lang w:val="fr-FR"/>
        </w:rPr>
      </w:pPr>
      <w:r w:rsidRPr="00673309">
        <w:rPr>
          <w:rFonts w:ascii="Times New Roman" w:hAnsi="Times New Roman" w:cs="Times New Roman"/>
          <w:lang w:val="fr-FR"/>
        </w:rPr>
        <w:t>Lors des séances de consultation communautaire organisées dans différentes localités, de nombreux témoignages ont été recueillis, attestant que les personnes handicapées, notamment celles vivant avec des handicaps psychosociaux, sont régulièrement soumises à des traitements inhumains dans des institutions ou lors de pratiques religieuses informelles. Les pratiques coercitives, telles que l’isolement prolongé, les traitements non consentis ou les abus physiques, sont fréquentes et restent impunies</w:t>
      </w:r>
      <w:r w:rsidR="00B6456F" w:rsidRPr="00673309">
        <w:rPr>
          <w:rStyle w:val="FootnoteReference"/>
          <w:rFonts w:ascii="Times New Roman" w:hAnsi="Times New Roman" w:cs="Times New Roman"/>
          <w:lang w:val="fr-FR"/>
        </w:rPr>
        <w:footnoteReference w:id="2"/>
      </w:r>
      <w:r w:rsidR="006306DF" w:rsidRPr="00673309">
        <w:rPr>
          <w:rFonts w:ascii="Times New Roman" w:hAnsi="Times New Roman" w:cs="Times New Roman"/>
          <w:lang w:val="fr-FR"/>
        </w:rPr>
        <w:t>D’un autre coté dans un article</w:t>
      </w:r>
      <w:r w:rsidR="006D3F76" w:rsidRPr="00673309">
        <w:rPr>
          <w:rFonts w:ascii="Times New Roman" w:hAnsi="Times New Roman" w:cs="Times New Roman"/>
          <w:lang w:val="fr-FR"/>
        </w:rPr>
        <w:t xml:space="preserve">publié sur la page de radio PBS, on a </w:t>
      </w:r>
      <w:r w:rsidR="00E33EFF" w:rsidRPr="00673309">
        <w:rPr>
          <w:rFonts w:ascii="Times New Roman" w:hAnsi="Times New Roman" w:cs="Times New Roman"/>
          <w:lang w:val="fr-FR"/>
        </w:rPr>
        <w:t>décrit</w:t>
      </w:r>
      <w:r w:rsidR="006D3F76" w:rsidRPr="00673309">
        <w:rPr>
          <w:rFonts w:ascii="Times New Roman" w:hAnsi="Times New Roman" w:cs="Times New Roman"/>
          <w:lang w:val="fr-FR"/>
        </w:rPr>
        <w:t xml:space="preserve"> une situation sombre des personnes ayant de handicap psychosocial</w:t>
      </w:r>
      <w:r w:rsidR="006D3F76" w:rsidRPr="00673309">
        <w:rPr>
          <w:rStyle w:val="FootnoteReference"/>
          <w:rFonts w:ascii="Times New Roman" w:hAnsi="Times New Roman" w:cs="Times New Roman"/>
          <w:lang w:val="fr-FR"/>
        </w:rPr>
        <w:footnoteReference w:id="3"/>
      </w:r>
      <w:r w:rsidR="006D3F76" w:rsidRPr="00673309">
        <w:rPr>
          <w:rFonts w:ascii="Times New Roman" w:hAnsi="Times New Roman" w:cs="Times New Roman"/>
          <w:lang w:val="fr-FR"/>
        </w:rPr>
        <w:t xml:space="preserve">. </w:t>
      </w:r>
    </w:p>
    <w:p w:rsidR="00153864" w:rsidRPr="00673309" w:rsidRDefault="00BB65C1" w:rsidP="00673309">
      <w:pPr>
        <w:pStyle w:val="Heading1"/>
        <w:rPr>
          <w:lang w:val="fr-FR"/>
        </w:rPr>
      </w:pPr>
      <w:r w:rsidRPr="00673309">
        <w:rPr>
          <w:lang w:val="fr-FR"/>
        </w:rPr>
        <w:lastRenderedPageBreak/>
        <w:t>Recommandations :</w:t>
      </w:r>
    </w:p>
    <w:p w:rsidR="00153864" w:rsidRPr="00673309" w:rsidRDefault="00BB65C1"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Interdire toutes formes de traitement coercitif non consenti sur la base du handicap.</w:t>
      </w:r>
    </w:p>
    <w:p w:rsidR="00153864" w:rsidRPr="00673309" w:rsidRDefault="00BB65C1"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Réglementer les soins psychiatriques et spirituels, notamment dans les établissements religieux informels</w:t>
      </w:r>
      <w:r w:rsidR="00367129" w:rsidRPr="00673309">
        <w:rPr>
          <w:rFonts w:ascii="Times New Roman" w:hAnsi="Times New Roman" w:cs="Times New Roman"/>
          <w:lang w:val="fr-FR"/>
        </w:rPr>
        <w:t xml:space="preserve"> p</w:t>
      </w:r>
      <w:r w:rsidR="00E33EFF" w:rsidRPr="00673309">
        <w:rPr>
          <w:rFonts w:ascii="Times New Roman" w:hAnsi="Times New Roman" w:cs="Times New Roman"/>
          <w:lang w:val="fr-FR"/>
        </w:rPr>
        <w:t xml:space="preserve">our arriver </w:t>
      </w:r>
      <w:r w:rsidR="008E4ADA" w:rsidRPr="00673309">
        <w:rPr>
          <w:rFonts w:ascii="Times New Roman" w:hAnsi="Times New Roman" w:cs="Times New Roman"/>
          <w:lang w:val="fr-FR"/>
        </w:rPr>
        <w:t>à</w:t>
      </w:r>
      <w:r w:rsidR="00E33EFF" w:rsidRPr="00673309">
        <w:rPr>
          <w:rFonts w:ascii="Times New Roman" w:hAnsi="Times New Roman" w:cs="Times New Roman"/>
          <w:lang w:val="fr-FR"/>
        </w:rPr>
        <w:t xml:space="preserve"> exclure ou interdire les traitement</w:t>
      </w:r>
      <w:r w:rsidR="008E4ADA" w:rsidRPr="00673309">
        <w:rPr>
          <w:rFonts w:ascii="Times New Roman" w:hAnsi="Times New Roman" w:cs="Times New Roman"/>
          <w:lang w:val="fr-FR"/>
        </w:rPr>
        <w:t>s</w:t>
      </w:r>
      <w:r w:rsidR="00E33EFF" w:rsidRPr="00673309">
        <w:rPr>
          <w:rFonts w:ascii="Times New Roman" w:hAnsi="Times New Roman" w:cs="Times New Roman"/>
          <w:lang w:val="fr-FR"/>
        </w:rPr>
        <w:t xml:space="preserve"> forcé</w:t>
      </w:r>
      <w:r w:rsidR="008E4ADA" w:rsidRPr="00673309">
        <w:rPr>
          <w:rFonts w:ascii="Times New Roman" w:hAnsi="Times New Roman" w:cs="Times New Roman"/>
          <w:lang w:val="fr-FR"/>
        </w:rPr>
        <w:t>s</w:t>
      </w:r>
      <w:r w:rsidR="00E33EFF" w:rsidRPr="00673309">
        <w:rPr>
          <w:rFonts w:ascii="Times New Roman" w:hAnsi="Times New Roman" w:cs="Times New Roman"/>
          <w:lang w:val="fr-FR"/>
        </w:rPr>
        <w:t xml:space="preserve"> de manière </w:t>
      </w:r>
      <w:r w:rsidR="00716060" w:rsidRPr="00673309">
        <w:rPr>
          <w:rFonts w:ascii="Times New Roman" w:hAnsi="Times New Roman" w:cs="Times New Roman"/>
          <w:lang w:val="fr-FR"/>
        </w:rPr>
        <w:t xml:space="preserve">définitive </w:t>
      </w:r>
    </w:p>
    <w:p w:rsidR="00153864" w:rsidRPr="00673309" w:rsidRDefault="00716060"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Développer un réseau de soins en santé mentale, avec du personne</w:t>
      </w:r>
      <w:r w:rsidR="00BB65C1" w:rsidRPr="00673309">
        <w:rPr>
          <w:rFonts w:ascii="Times New Roman" w:hAnsi="Times New Roman" w:cs="Times New Roman"/>
          <w:lang w:val="fr-FR"/>
        </w:rPr>
        <w:t>l qualifié et formé aux droits humains.</w:t>
      </w:r>
    </w:p>
    <w:p w:rsidR="00EB03F4" w:rsidRPr="00673309" w:rsidRDefault="00EB03F4"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 xml:space="preserve">Assurer la disponibilité et l’accessibilité des services aux personnes </w:t>
      </w:r>
      <w:r w:rsidR="004261A5" w:rsidRPr="00673309">
        <w:rPr>
          <w:rFonts w:ascii="Times New Roman" w:hAnsi="Times New Roman" w:cs="Times New Roman"/>
          <w:lang w:val="fr-FR"/>
        </w:rPr>
        <w:t>handicapées</w:t>
      </w:r>
    </w:p>
    <w:p w:rsidR="00153864" w:rsidRPr="00673309" w:rsidRDefault="00BB65C1" w:rsidP="00673309">
      <w:pPr>
        <w:pStyle w:val="Heading1"/>
        <w:rPr>
          <w:rFonts w:ascii="Times New Roman" w:hAnsi="Times New Roman" w:cs="Times New Roman"/>
          <w:sz w:val="22"/>
          <w:szCs w:val="22"/>
          <w:lang w:val="fr-FR"/>
        </w:rPr>
      </w:pPr>
      <w:r w:rsidRPr="00673309">
        <w:rPr>
          <w:rFonts w:ascii="Times New Roman" w:hAnsi="Times New Roman" w:cs="Times New Roman"/>
          <w:sz w:val="22"/>
          <w:szCs w:val="22"/>
          <w:lang w:val="fr-FR"/>
        </w:rPr>
        <w:t>3. Accès à la justice</w:t>
      </w:r>
      <w:r w:rsidR="00673309">
        <w:rPr>
          <w:rFonts w:ascii="Times New Roman" w:hAnsi="Times New Roman" w:cs="Times New Roman"/>
          <w:sz w:val="22"/>
          <w:szCs w:val="22"/>
          <w:lang w:val="fr-FR"/>
        </w:rPr>
        <w:t xml:space="preserve"> </w:t>
      </w:r>
      <w:r w:rsidRPr="00673309">
        <w:rPr>
          <w:rFonts w:ascii="Times New Roman" w:hAnsi="Times New Roman" w:cs="Times New Roman"/>
          <w:sz w:val="22"/>
          <w:szCs w:val="22"/>
          <w:lang w:val="fr-FR"/>
        </w:rPr>
        <w:t>et privation de liberté</w:t>
      </w:r>
      <w:r w:rsidR="008E4ADA" w:rsidRPr="00673309">
        <w:rPr>
          <w:rFonts w:ascii="Times New Roman" w:hAnsi="Times New Roman" w:cs="Times New Roman"/>
          <w:sz w:val="22"/>
          <w:szCs w:val="22"/>
          <w:lang w:val="fr-FR"/>
        </w:rPr>
        <w:t>(article</w:t>
      </w:r>
      <w:r w:rsidR="004261A5" w:rsidRPr="00673309">
        <w:rPr>
          <w:rFonts w:ascii="Times New Roman" w:hAnsi="Times New Roman" w:cs="Times New Roman"/>
          <w:sz w:val="22"/>
          <w:szCs w:val="22"/>
          <w:lang w:val="fr-FR"/>
        </w:rPr>
        <w:t>9</w:t>
      </w:r>
      <w:r w:rsidRPr="00673309">
        <w:rPr>
          <w:rFonts w:ascii="Times New Roman" w:hAnsi="Times New Roman" w:cs="Times New Roman"/>
          <w:sz w:val="22"/>
          <w:szCs w:val="22"/>
          <w:lang w:val="fr-FR"/>
        </w:rPr>
        <w:t xml:space="preserve"> PIDC</w:t>
      </w:r>
      <w:r w:rsidR="004261A5" w:rsidRPr="00673309">
        <w:rPr>
          <w:rFonts w:ascii="Times New Roman" w:hAnsi="Times New Roman" w:cs="Times New Roman"/>
          <w:sz w:val="22"/>
          <w:szCs w:val="22"/>
          <w:lang w:val="fr-FR"/>
        </w:rPr>
        <w:t>P</w:t>
      </w:r>
      <w:r w:rsidR="008E4ADA" w:rsidRPr="00673309">
        <w:rPr>
          <w:rFonts w:ascii="Times New Roman" w:hAnsi="Times New Roman" w:cs="Times New Roman"/>
          <w:sz w:val="22"/>
          <w:szCs w:val="22"/>
          <w:lang w:val="fr-FR"/>
        </w:rPr>
        <w:t>)</w:t>
      </w:r>
    </w:p>
    <w:p w:rsidR="00013579" w:rsidRPr="00673309" w:rsidRDefault="00013579" w:rsidP="00673309">
      <w:pPr>
        <w:pStyle w:val="ListParagraph"/>
        <w:numPr>
          <w:ilvl w:val="0"/>
          <w:numId w:val="10"/>
        </w:numPr>
        <w:spacing w:after="0"/>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 xml:space="preserve">Les personnes handicapées rencontrent de graves obstacles dans l’accès à la justice en Haïti. Les infrastructures judiciaires sont largement inaccessibles, les procédures </w:t>
      </w:r>
      <w:r w:rsidR="00A35704" w:rsidRPr="00673309">
        <w:rPr>
          <w:rFonts w:ascii="Times New Roman" w:eastAsia="Times New Roman" w:hAnsi="Times New Roman" w:cs="Times New Roman"/>
          <w:lang w:val="fr-FR"/>
        </w:rPr>
        <w:t>ne sont pas inclusi</w:t>
      </w:r>
      <w:r w:rsidR="008E4ADA" w:rsidRPr="00673309">
        <w:rPr>
          <w:rFonts w:ascii="Times New Roman" w:eastAsia="Times New Roman" w:hAnsi="Times New Roman" w:cs="Times New Roman"/>
          <w:lang w:val="fr-FR"/>
        </w:rPr>
        <w:t>ve</w:t>
      </w:r>
      <w:r w:rsidR="00A35704" w:rsidRPr="00673309">
        <w:rPr>
          <w:rFonts w:ascii="Times New Roman" w:eastAsia="Times New Roman" w:hAnsi="Times New Roman" w:cs="Times New Roman"/>
          <w:lang w:val="fr-FR"/>
        </w:rPr>
        <w:t>s et n'offrent pas des aménagements</w:t>
      </w:r>
      <w:r w:rsidR="00673309">
        <w:rPr>
          <w:rFonts w:ascii="Times New Roman" w:eastAsia="Times New Roman" w:hAnsi="Times New Roman" w:cs="Times New Roman"/>
          <w:lang w:val="fr-FR"/>
        </w:rPr>
        <w:t xml:space="preserve"> </w:t>
      </w:r>
      <w:r w:rsidR="00A35704" w:rsidRPr="00673309">
        <w:rPr>
          <w:rFonts w:ascii="Times New Roman" w:eastAsia="Times New Roman" w:hAnsi="Times New Roman" w:cs="Times New Roman"/>
          <w:lang w:val="fr-FR"/>
        </w:rPr>
        <w:t>procéduraux aux personnes handicapées</w:t>
      </w:r>
      <w:r w:rsidRPr="00673309">
        <w:rPr>
          <w:rFonts w:ascii="Times New Roman" w:eastAsia="Times New Roman" w:hAnsi="Times New Roman" w:cs="Times New Roman"/>
          <w:lang w:val="fr-FR"/>
        </w:rPr>
        <w:t>, et les professionnels du droit ne sont pas formés aux droits des personnes handicapées.</w:t>
      </w:r>
    </w:p>
    <w:p w:rsidR="00013579" w:rsidRPr="00673309" w:rsidRDefault="00013579"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La dégradation continue de la situation sécuritaire affecte particulièrement les personnes handicapées, notamment dans les zones fortement touchées par la violence armée. Elles sont parmi les premières victimes d’abus et demeurent absentes des dispositifs de protection. Aucun plan spécifique ne prend en compte leur sécurité dans le contexte des conflits armés internes, qu’il s’agisse d’affrontements entre groupes civils ou d’opérations menées par les forces de l’ordre.</w:t>
      </w:r>
    </w:p>
    <w:p w:rsidR="00013579" w:rsidRPr="00673309" w:rsidRDefault="00013579"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L'incapacité persistante des autorités à restaurer l’ordre public accentue la vulnérabilité de ce groupe déjà marginalisé. Lors d’une déclaration officielle, le ministre de la Justice et de la Sécurité publique a reconnu l’existence de « territoires perdus »</w:t>
      </w:r>
      <w:r w:rsidR="00D54DE5" w:rsidRPr="00673309">
        <w:rPr>
          <w:rStyle w:val="FootnoteReference"/>
          <w:rFonts w:ascii="Times New Roman" w:eastAsia="Times New Roman" w:hAnsi="Times New Roman" w:cs="Times New Roman"/>
          <w:lang w:val="fr-FR"/>
        </w:rPr>
        <w:footnoteReference w:id="4"/>
      </w:r>
      <w:r w:rsidRPr="00673309">
        <w:rPr>
          <w:rFonts w:ascii="Times New Roman" w:eastAsia="Times New Roman" w:hAnsi="Times New Roman" w:cs="Times New Roman"/>
          <w:lang w:val="fr-FR"/>
        </w:rPr>
        <w:t xml:space="preserve"> hors du contrôle de l’État, ce qui reflète la réalité actuelle dans de nombreuses zones dominées par des groupes armés. Cette situation compromet sévèrement l’accès des personnes handicapées à la protection étatique et à la justice.</w:t>
      </w:r>
    </w:p>
    <w:p w:rsidR="00013579" w:rsidRPr="00673309" w:rsidRDefault="00013579"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 xml:space="preserve">Le climat d’insécurité a également des effets indirects sur l’accès à la justice. Plusieurs juridictions, y compris le siège des tribunaux, ont dû être relocalisées sous la menace de groupes armés. Dans ce contexte, les personnes handicapées rencontrent des obstacles encore plus importants à leur participation effective aux procédures judiciaires, à l’obtention d’aménagements </w:t>
      </w:r>
      <w:r w:rsidR="00A27F32" w:rsidRPr="00673309">
        <w:rPr>
          <w:rFonts w:ascii="Times New Roman" w:eastAsia="Times New Roman" w:hAnsi="Times New Roman" w:cs="Times New Roman"/>
          <w:lang w:val="fr-FR"/>
        </w:rPr>
        <w:t>procéduraux</w:t>
      </w:r>
      <w:r w:rsidR="00673309">
        <w:rPr>
          <w:rFonts w:ascii="Times New Roman" w:eastAsia="Times New Roman" w:hAnsi="Times New Roman" w:cs="Times New Roman"/>
          <w:lang w:val="fr-FR"/>
        </w:rPr>
        <w:t xml:space="preserve"> </w:t>
      </w:r>
      <w:r w:rsidRPr="00673309">
        <w:rPr>
          <w:rFonts w:ascii="Times New Roman" w:eastAsia="Times New Roman" w:hAnsi="Times New Roman" w:cs="Times New Roman"/>
          <w:lang w:val="fr-FR"/>
        </w:rPr>
        <w:t>et à l’accès à une assistance juridique adéquate.</w:t>
      </w:r>
    </w:p>
    <w:p w:rsidR="00013579" w:rsidRPr="00673309" w:rsidRDefault="00013579"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Malgré les recommandations du Comité des droits des personnes handicapées</w:t>
      </w:r>
      <w:r w:rsidR="00673309">
        <w:rPr>
          <w:rFonts w:ascii="Times New Roman" w:eastAsia="Times New Roman" w:hAnsi="Times New Roman" w:cs="Times New Roman"/>
          <w:lang w:val="fr-FR"/>
        </w:rPr>
        <w:t xml:space="preserve"> </w:t>
      </w:r>
      <w:r w:rsidR="00A67FEF" w:rsidRPr="00673309">
        <w:rPr>
          <w:rFonts w:ascii="Times New Roman" w:eastAsia="Times New Roman" w:hAnsi="Times New Roman" w:cs="Times New Roman"/>
          <w:lang w:val="fr-FR"/>
        </w:rPr>
        <w:t>de 2018</w:t>
      </w:r>
      <w:r w:rsidRPr="00673309">
        <w:rPr>
          <w:rFonts w:ascii="Times New Roman" w:eastAsia="Times New Roman" w:hAnsi="Times New Roman" w:cs="Times New Roman"/>
          <w:lang w:val="fr-FR"/>
        </w:rPr>
        <w:t>, ces violations persistent. Les lieux de justice et de détention restent physiquement inaccessibles. L'information judiciaire n’est pas disponible dans des formats accessibles (langue des signes, braille, audio, etc.), et il n’existe aucun système structuré d’assistance juridique adaptée.</w:t>
      </w:r>
    </w:p>
    <w:p w:rsidR="00013579" w:rsidRPr="00673309" w:rsidRDefault="00013579"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Par ailleurs, le système judiciaire haïtien demeure dépourvu de personnel formé aux droits des personnes handicapées, ce qui limite la capacité des institutions à prévenir et sanctionner les violences, les abus et les maltraitances. La majorité des cas restent impunis, ce qui compromet sérieusement le droit à un recours effectif et à une justice équitable, tel que garanti par les articles 9 et 14 du PIDCP et l’article 13 de la CDPH.</w:t>
      </w:r>
    </w:p>
    <w:p w:rsidR="00153864" w:rsidRPr="00673309" w:rsidRDefault="00BB65C1" w:rsidP="00673309">
      <w:pPr>
        <w:pStyle w:val="Heading1"/>
        <w:rPr>
          <w:rFonts w:ascii="Times New Roman" w:hAnsi="Times New Roman" w:cs="Times New Roman"/>
          <w:lang w:val="fr-FR"/>
        </w:rPr>
      </w:pPr>
      <w:r w:rsidRPr="00673309">
        <w:rPr>
          <w:rFonts w:ascii="Times New Roman" w:hAnsi="Times New Roman" w:cs="Times New Roman"/>
          <w:lang w:val="fr-FR"/>
        </w:rPr>
        <w:lastRenderedPageBreak/>
        <w:t>Recommandations :</w:t>
      </w:r>
    </w:p>
    <w:p w:rsidR="00013579" w:rsidRPr="00673309" w:rsidRDefault="00013579" w:rsidP="00673309">
      <w:pPr>
        <w:pStyle w:val="ListBullet"/>
        <w:tabs>
          <w:tab w:val="clear" w:pos="360"/>
          <w:tab w:val="num" w:pos="720"/>
        </w:tabs>
        <w:ind w:left="720"/>
        <w:jc w:val="both"/>
        <w:rPr>
          <w:rFonts w:ascii="Times New Roman" w:hAnsi="Times New Roman" w:cs="Times New Roman"/>
          <w:b/>
          <w:bCs/>
          <w:color w:val="000000"/>
          <w:lang w:val="fr-FR"/>
        </w:rPr>
      </w:pPr>
      <w:r w:rsidRPr="00673309">
        <w:rPr>
          <w:rFonts w:ascii="Times New Roman" w:hAnsi="Times New Roman" w:cs="Times New Roman"/>
          <w:color w:val="000000"/>
          <w:lang w:val="fr-FR"/>
        </w:rPr>
        <w:t xml:space="preserve">Rétablir l’autorité de l’Etat sur tout le territoire </w:t>
      </w:r>
    </w:p>
    <w:p w:rsidR="00153864" w:rsidRPr="00673309" w:rsidRDefault="00BB65C1"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Rendre accessibles tous les tribunaux, postes de police et lieux de détention.</w:t>
      </w:r>
    </w:p>
    <w:p w:rsidR="00153864" w:rsidRPr="00673309" w:rsidRDefault="00BB65C1"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Assurer l’accès à l’information judiciaire en formats accessibles (langue des signes, braille, audio).</w:t>
      </w:r>
    </w:p>
    <w:p w:rsidR="005B36A9" w:rsidRPr="00673309" w:rsidRDefault="00BB65C1"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Mettre en place un programme national de formation des acteurs judiciaires aux droits des personnes handicapées.</w:t>
      </w:r>
    </w:p>
    <w:p w:rsidR="005B36A9" w:rsidRPr="00673309" w:rsidRDefault="00F67BD9" w:rsidP="00673309">
      <w:pPr>
        <w:pStyle w:val="Heading1"/>
        <w:rPr>
          <w:rFonts w:ascii="Times New Roman" w:hAnsi="Times New Roman" w:cs="Times New Roman"/>
          <w:sz w:val="22"/>
          <w:szCs w:val="22"/>
          <w:lang w:val="fr-FR"/>
        </w:rPr>
      </w:pPr>
      <w:r w:rsidRPr="00673309">
        <w:rPr>
          <w:rFonts w:ascii="Times New Roman" w:hAnsi="Times New Roman" w:cs="Times New Roman"/>
          <w:sz w:val="22"/>
          <w:szCs w:val="22"/>
          <w:lang w:val="fr-FR"/>
        </w:rPr>
        <w:t xml:space="preserve">4. </w:t>
      </w:r>
      <w:r w:rsidR="004261A5" w:rsidRPr="00673309">
        <w:rPr>
          <w:rFonts w:ascii="Times New Roman" w:hAnsi="Times New Roman" w:cs="Times New Roman"/>
          <w:sz w:val="22"/>
          <w:szCs w:val="22"/>
          <w:lang w:val="fr-FR"/>
        </w:rPr>
        <w:t xml:space="preserve">Egalite devant la loi </w:t>
      </w:r>
      <w:r w:rsidR="008E4ADA" w:rsidRPr="00673309">
        <w:rPr>
          <w:rFonts w:ascii="Times New Roman" w:hAnsi="Times New Roman" w:cs="Times New Roman"/>
          <w:sz w:val="22"/>
          <w:szCs w:val="22"/>
          <w:lang w:val="fr-FR"/>
        </w:rPr>
        <w:t>(Article 14 PIDCP)</w:t>
      </w:r>
    </w:p>
    <w:p w:rsidR="008E4ADA" w:rsidRPr="00673309" w:rsidRDefault="0083425A" w:rsidP="00673309">
      <w:pPr>
        <w:pStyle w:val="ListParagraph"/>
        <w:numPr>
          <w:ilvl w:val="0"/>
          <w:numId w:val="10"/>
        </w:numPr>
        <w:spacing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Les garanties de l</w:t>
      </w:r>
      <w:r w:rsidR="008E4ADA" w:rsidRPr="00673309">
        <w:rPr>
          <w:rFonts w:ascii="Times New Roman" w:eastAsia="Times New Roman" w:hAnsi="Times New Roman" w:cs="Times New Roman"/>
          <w:lang w:val="fr-FR"/>
        </w:rPr>
        <w:t>’article 14 du Pacte international relatif aux droits civils et politiques demeure largement théorique pour les personnes handicapées en Haïti.</w:t>
      </w:r>
    </w:p>
    <w:p w:rsidR="008E4ADA" w:rsidRPr="00673309" w:rsidRDefault="008E4ADA"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Un cas emblématique d’injustice illustre cette défaillance : depuis plus de neuf ans, trois femmes sourdes, victimes d’un assassinat brutal, attendent toujours que justice soit rendue. Malgré les démarches soutenues des organisations de personnes handicapées et des familles des victimes pour dénoncer cet acte odieux, la justice haïtienne n’a engagé aucune procédure judiciaire sérieuse. Aucun suspect n’a été interpellé, et les auteurs présumés demeurent impunis.</w:t>
      </w:r>
    </w:p>
    <w:p w:rsidR="008E4ADA" w:rsidRPr="00673309" w:rsidRDefault="008E4ADA"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En 2018</w:t>
      </w:r>
      <w:r w:rsidRPr="00673309">
        <w:rPr>
          <w:rStyle w:val="FootnoteReference"/>
          <w:rFonts w:ascii="Times New Roman" w:eastAsia="Times New Roman" w:hAnsi="Times New Roman" w:cs="Times New Roman"/>
          <w:lang w:val="fr-FR"/>
        </w:rPr>
        <w:footnoteReference w:id="5"/>
      </w:r>
      <w:r w:rsidRPr="00673309">
        <w:rPr>
          <w:rFonts w:ascii="Times New Roman" w:eastAsia="Times New Roman" w:hAnsi="Times New Roman" w:cs="Times New Roman"/>
          <w:lang w:val="fr-FR"/>
        </w:rPr>
        <w:t>, le Comité des droits des personnes handicapées a explicitement recommandé à l’État haïtien de doter l’ensemble du personnel judiciaire des moyens nécessaires pour enquêter, poursuivre et sanctionner les auteurs de violations des droits des personnes handicapées, notamment du droit à la vie. Pourtant, aucun progrès n’a été constaté dans cette affaire, ce qui alimente le climat d’impunité et de méfiance vis-à-vis du système judiciaire.</w:t>
      </w:r>
    </w:p>
    <w:p w:rsidR="008E4ADA" w:rsidRPr="00673309" w:rsidRDefault="008E4ADA"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Cette inaction constitue une violation manifeste des principes d’égalité devant la loi, de non-discrimination et du droit à un recours effectif. Elle montre aussi l’incapacité de l’État à protéger les personnes handicapées contre les violences graves et à garantir leur droit à la justice.</w:t>
      </w:r>
    </w:p>
    <w:p w:rsidR="00491B82" w:rsidRPr="00673309" w:rsidRDefault="00491B82" w:rsidP="00673309">
      <w:pPr>
        <w:pStyle w:val="ListBullet"/>
        <w:numPr>
          <w:ilvl w:val="0"/>
          <w:numId w:val="0"/>
        </w:numPr>
        <w:ind w:left="360"/>
        <w:jc w:val="both"/>
        <w:rPr>
          <w:rFonts w:ascii="Times New Roman" w:hAnsi="Times New Roman" w:cs="Times New Roman"/>
          <w:lang w:val="fr-FR"/>
        </w:rPr>
      </w:pPr>
    </w:p>
    <w:p w:rsidR="005B36A9" w:rsidRPr="00673309" w:rsidRDefault="009C47D3" w:rsidP="00673309">
      <w:pPr>
        <w:pStyle w:val="Heading1"/>
        <w:rPr>
          <w:rFonts w:ascii="Times New Roman" w:hAnsi="Times New Roman" w:cs="Times New Roman"/>
          <w:lang w:val="fr-FR"/>
        </w:rPr>
      </w:pPr>
      <w:r w:rsidRPr="00673309">
        <w:rPr>
          <w:rFonts w:ascii="Times New Roman" w:hAnsi="Times New Roman" w:cs="Times New Roman"/>
          <w:lang w:val="fr-FR"/>
        </w:rPr>
        <w:t>Recomman</w:t>
      </w:r>
      <w:r w:rsidR="00315223" w:rsidRPr="00673309">
        <w:rPr>
          <w:rFonts w:ascii="Times New Roman" w:hAnsi="Times New Roman" w:cs="Times New Roman"/>
          <w:lang w:val="fr-FR"/>
        </w:rPr>
        <w:t>da</w:t>
      </w:r>
      <w:r w:rsidRPr="00673309">
        <w:rPr>
          <w:rFonts w:ascii="Times New Roman" w:hAnsi="Times New Roman" w:cs="Times New Roman"/>
          <w:lang w:val="fr-FR"/>
        </w:rPr>
        <w:t>tions</w:t>
      </w:r>
      <w:r w:rsidR="00315223" w:rsidRPr="00673309">
        <w:rPr>
          <w:rFonts w:ascii="Times New Roman" w:hAnsi="Times New Roman" w:cs="Times New Roman"/>
          <w:lang w:val="fr-FR"/>
        </w:rPr>
        <w:t> :</w:t>
      </w:r>
    </w:p>
    <w:p w:rsidR="008E4ADA" w:rsidRPr="00673309" w:rsidRDefault="008E4ADA" w:rsidP="00673309">
      <w:pPr>
        <w:pStyle w:val="ListBullet"/>
        <w:tabs>
          <w:tab w:val="clear" w:pos="360"/>
          <w:tab w:val="num" w:pos="720"/>
        </w:tabs>
        <w:ind w:left="720"/>
        <w:jc w:val="both"/>
        <w:rPr>
          <w:rFonts w:ascii="Times New Roman" w:hAnsi="Times New Roman" w:cs="Times New Roman"/>
          <w:color w:val="000000"/>
          <w:lang w:val="fr-FR"/>
        </w:rPr>
      </w:pPr>
      <w:r w:rsidRPr="00673309">
        <w:rPr>
          <w:rFonts w:ascii="Times New Roman" w:hAnsi="Times New Roman" w:cs="Times New Roman"/>
          <w:color w:val="000000"/>
          <w:lang w:val="fr-FR"/>
        </w:rPr>
        <w:t>Ouvrir une enquête indépendante et diligente sur l’assassinat des trois femmes sourdes, avec la pleine participation des familles et des organisations de personnes</w:t>
      </w:r>
      <w:r w:rsidR="00315223" w:rsidRPr="00673309">
        <w:rPr>
          <w:rFonts w:ascii="Times New Roman" w:hAnsi="Times New Roman" w:cs="Times New Roman"/>
          <w:color w:val="000000"/>
          <w:lang w:val="fr-FR"/>
        </w:rPr>
        <w:t xml:space="preserve"> </w:t>
      </w:r>
      <w:r w:rsidRPr="00673309">
        <w:rPr>
          <w:rFonts w:ascii="Times New Roman" w:hAnsi="Times New Roman" w:cs="Times New Roman"/>
          <w:color w:val="000000"/>
          <w:lang w:val="fr-FR"/>
        </w:rPr>
        <w:t>handicapées, en</w:t>
      </w:r>
      <w:r w:rsidR="00315223" w:rsidRPr="00673309">
        <w:rPr>
          <w:rFonts w:ascii="Times New Roman" w:hAnsi="Times New Roman" w:cs="Times New Roman"/>
          <w:color w:val="000000"/>
          <w:lang w:val="fr-FR"/>
        </w:rPr>
        <w:t xml:space="preserve"> </w:t>
      </w:r>
      <w:r w:rsidRPr="00673309">
        <w:rPr>
          <w:rFonts w:ascii="Times New Roman" w:hAnsi="Times New Roman" w:cs="Times New Roman"/>
          <w:color w:val="000000"/>
          <w:lang w:val="fr-FR"/>
        </w:rPr>
        <w:t>vue de traduire les auteurs en justice.</w:t>
      </w:r>
    </w:p>
    <w:p w:rsidR="008E4ADA" w:rsidRPr="00673309" w:rsidRDefault="008E4ADA" w:rsidP="00673309">
      <w:pPr>
        <w:pStyle w:val="ListBullet"/>
        <w:tabs>
          <w:tab w:val="clear" w:pos="360"/>
          <w:tab w:val="num" w:pos="720"/>
        </w:tabs>
        <w:ind w:left="720"/>
        <w:jc w:val="both"/>
        <w:rPr>
          <w:rFonts w:ascii="Times New Roman" w:hAnsi="Times New Roman" w:cs="Times New Roman"/>
          <w:color w:val="000000"/>
          <w:lang w:val="fr-FR"/>
        </w:rPr>
      </w:pPr>
      <w:r w:rsidRPr="00673309">
        <w:rPr>
          <w:rFonts w:ascii="Times New Roman" w:hAnsi="Times New Roman" w:cs="Times New Roman"/>
          <w:color w:val="000000"/>
          <w:lang w:val="fr-FR"/>
        </w:rPr>
        <w:t>Intégrer de manière systématique des interprètes</w:t>
      </w:r>
      <w:r w:rsidR="00315223" w:rsidRPr="00673309">
        <w:rPr>
          <w:rFonts w:ascii="Times New Roman" w:hAnsi="Times New Roman" w:cs="Times New Roman"/>
          <w:color w:val="000000"/>
          <w:lang w:val="fr-FR"/>
        </w:rPr>
        <w:t xml:space="preserve"> </w:t>
      </w:r>
      <w:r w:rsidRPr="00673309">
        <w:rPr>
          <w:rFonts w:ascii="Times New Roman" w:hAnsi="Times New Roman" w:cs="Times New Roman"/>
          <w:color w:val="000000"/>
          <w:lang w:val="fr-FR"/>
        </w:rPr>
        <w:t>en langue des signes dans les procédures</w:t>
      </w:r>
      <w:r w:rsidR="00315223" w:rsidRPr="00673309">
        <w:rPr>
          <w:rFonts w:ascii="Times New Roman" w:hAnsi="Times New Roman" w:cs="Times New Roman"/>
          <w:color w:val="000000"/>
          <w:lang w:val="fr-FR"/>
        </w:rPr>
        <w:t xml:space="preserve"> </w:t>
      </w:r>
      <w:r w:rsidRPr="00673309">
        <w:rPr>
          <w:rFonts w:ascii="Times New Roman" w:hAnsi="Times New Roman" w:cs="Times New Roman"/>
          <w:color w:val="000000"/>
          <w:lang w:val="fr-FR"/>
        </w:rPr>
        <w:t>judiciaires, afin de garantir aux personnes</w:t>
      </w:r>
      <w:r w:rsidR="00315223" w:rsidRPr="00673309">
        <w:rPr>
          <w:rFonts w:ascii="Times New Roman" w:hAnsi="Times New Roman" w:cs="Times New Roman"/>
          <w:color w:val="000000"/>
          <w:lang w:val="fr-FR"/>
        </w:rPr>
        <w:t xml:space="preserve"> </w:t>
      </w:r>
      <w:r w:rsidRPr="00673309">
        <w:rPr>
          <w:rFonts w:ascii="Times New Roman" w:hAnsi="Times New Roman" w:cs="Times New Roman"/>
          <w:color w:val="000000"/>
          <w:lang w:val="fr-FR"/>
        </w:rPr>
        <w:t>sourdes un accès</w:t>
      </w:r>
      <w:r w:rsidR="00315223" w:rsidRPr="00673309">
        <w:rPr>
          <w:rFonts w:ascii="Times New Roman" w:hAnsi="Times New Roman" w:cs="Times New Roman"/>
          <w:color w:val="000000"/>
          <w:lang w:val="fr-FR"/>
        </w:rPr>
        <w:t xml:space="preserve"> </w:t>
      </w:r>
      <w:r w:rsidRPr="00673309">
        <w:rPr>
          <w:rFonts w:ascii="Times New Roman" w:hAnsi="Times New Roman" w:cs="Times New Roman"/>
          <w:color w:val="000000"/>
          <w:lang w:val="fr-FR"/>
        </w:rPr>
        <w:t>équitable à la justice.</w:t>
      </w:r>
    </w:p>
    <w:p w:rsidR="008E4ADA" w:rsidRPr="00673309" w:rsidRDefault="008E4ADA" w:rsidP="00673309">
      <w:pPr>
        <w:pStyle w:val="ListBullet"/>
        <w:tabs>
          <w:tab w:val="clear" w:pos="360"/>
          <w:tab w:val="num" w:pos="720"/>
        </w:tabs>
        <w:ind w:left="720"/>
        <w:jc w:val="both"/>
        <w:rPr>
          <w:rFonts w:ascii="Times New Roman" w:hAnsi="Times New Roman" w:cs="Times New Roman"/>
          <w:color w:val="000000"/>
          <w:lang w:val="fr-FR"/>
        </w:rPr>
      </w:pPr>
      <w:r w:rsidRPr="00673309">
        <w:rPr>
          <w:rFonts w:ascii="Times New Roman" w:hAnsi="Times New Roman" w:cs="Times New Roman"/>
          <w:color w:val="000000"/>
          <w:lang w:val="fr-FR"/>
        </w:rPr>
        <w:t>Former l’ensemble des professionnels de la chaîne pénale aux droits des personnes handicapées, en mettant l’accent sur les obligations de non-discrimination, d’égalité devant la loi et de protection des victimes.</w:t>
      </w:r>
    </w:p>
    <w:p w:rsidR="008E4ADA" w:rsidRPr="00673309" w:rsidRDefault="008E4ADA" w:rsidP="00673309">
      <w:pPr>
        <w:pStyle w:val="ListBullet"/>
        <w:tabs>
          <w:tab w:val="clear" w:pos="360"/>
          <w:tab w:val="num" w:pos="720"/>
        </w:tabs>
        <w:ind w:left="720"/>
        <w:jc w:val="both"/>
        <w:rPr>
          <w:rFonts w:ascii="Times New Roman" w:hAnsi="Times New Roman" w:cs="Times New Roman"/>
          <w:color w:val="000000"/>
          <w:lang w:val="fr-FR"/>
        </w:rPr>
      </w:pPr>
      <w:r w:rsidRPr="00673309">
        <w:rPr>
          <w:rFonts w:ascii="Times New Roman" w:hAnsi="Times New Roman" w:cs="Times New Roman"/>
          <w:color w:val="000000"/>
          <w:lang w:val="fr-FR"/>
        </w:rPr>
        <w:t>Créer un mécanisme national de suivi et de documentation des crimes et violences ciblant les personnes handicapées, assorti d’un dispositif de plainte accessible.</w:t>
      </w:r>
    </w:p>
    <w:p w:rsidR="00153864" w:rsidRPr="00673309" w:rsidRDefault="0083425A" w:rsidP="00673309">
      <w:pPr>
        <w:pStyle w:val="Heading1"/>
        <w:rPr>
          <w:rFonts w:ascii="Times New Roman" w:hAnsi="Times New Roman" w:cs="Times New Roman"/>
          <w:sz w:val="22"/>
          <w:szCs w:val="22"/>
          <w:lang w:val="fr-FR"/>
        </w:rPr>
      </w:pPr>
      <w:r w:rsidRPr="00673309">
        <w:rPr>
          <w:rFonts w:ascii="Times New Roman" w:hAnsi="Times New Roman" w:cs="Times New Roman"/>
          <w:sz w:val="22"/>
          <w:szCs w:val="22"/>
          <w:lang w:val="fr-FR"/>
        </w:rPr>
        <w:lastRenderedPageBreak/>
        <w:t>5</w:t>
      </w:r>
      <w:r w:rsidR="00BB65C1" w:rsidRPr="00673309">
        <w:rPr>
          <w:rFonts w:ascii="Times New Roman" w:hAnsi="Times New Roman" w:cs="Times New Roman"/>
          <w:sz w:val="22"/>
          <w:szCs w:val="22"/>
          <w:lang w:val="fr-FR"/>
        </w:rPr>
        <w:t>. Reconnaissance de la personnalité juridique (Article 16 PIDCP)</w:t>
      </w:r>
    </w:p>
    <w:p w:rsidR="000C6D4B" w:rsidRPr="00673309" w:rsidRDefault="00B449CE" w:rsidP="00673309">
      <w:pPr>
        <w:pStyle w:val="ListParagraph"/>
        <w:numPr>
          <w:ilvl w:val="0"/>
          <w:numId w:val="10"/>
        </w:numPr>
        <w:spacing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L’article 16 du Pacte international relatif aux droits civils et politiques, ainsi que l’article 12 de la Convention relative aux droits des personnes handicapées (CDPH), reconnaissent à toute personne le droit à la reconnaissance de sa personnalité juridique en tous lieux. Ce principe fondamental implique que les personnes handicapées doivent pouvoir jouir de leur capacité juridique sur un pied d’égalité avec les autres citoyen</w:t>
      </w:r>
      <w:r w:rsidR="0083425A" w:rsidRPr="00673309">
        <w:rPr>
          <w:rFonts w:ascii="Times New Roman" w:eastAsia="Times New Roman" w:hAnsi="Times New Roman" w:cs="Times New Roman"/>
          <w:lang w:val="fr-FR"/>
        </w:rPr>
        <w:t>s.</w:t>
      </w:r>
    </w:p>
    <w:p w:rsidR="00B449CE" w:rsidRPr="00673309" w:rsidRDefault="00B449CE" w:rsidP="002D4377">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Le Comité des droits des personnes handicapées a recommandé à l’État haïtien de revoir et d’abroger toutes les dispositions légales qui restreignent la capacité juridique des personnes handicapées, en particulier celles vivant avec un handicap psychosocial ou intellectuel. L’absence de mise en œuvre de cette recommandation continue d’entraver l’accès de ces personnes à leurs droits fondamentaux et les prive de la possibilité d’agir en tant que sujets de droit à part entière.</w:t>
      </w:r>
    </w:p>
    <w:p w:rsidR="0083425A" w:rsidRPr="00673309" w:rsidRDefault="0083425A" w:rsidP="00673309">
      <w:pPr>
        <w:pStyle w:val="Heading1"/>
        <w:rPr>
          <w:rFonts w:ascii="Times New Roman" w:hAnsi="Times New Roman" w:cs="Times New Roman"/>
          <w:sz w:val="22"/>
          <w:szCs w:val="22"/>
          <w:lang w:val="fr-FR"/>
        </w:rPr>
      </w:pPr>
      <w:r w:rsidRPr="00673309">
        <w:rPr>
          <w:rFonts w:ascii="Times New Roman" w:hAnsi="Times New Roman" w:cs="Times New Roman"/>
          <w:sz w:val="22"/>
          <w:szCs w:val="22"/>
          <w:lang w:val="fr-FR"/>
        </w:rPr>
        <w:t>6. Participation à la vie politique et publique (Article 25 PIDCP).</w:t>
      </w:r>
    </w:p>
    <w:p w:rsidR="00B449CE" w:rsidRPr="00673309" w:rsidRDefault="00B449CE" w:rsidP="00673309">
      <w:pPr>
        <w:pStyle w:val="ListParagraph"/>
        <w:numPr>
          <w:ilvl w:val="0"/>
          <w:numId w:val="10"/>
        </w:numPr>
        <w:spacing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 xml:space="preserve">Un cas emblématique de discrimination fondée sur le handicap </w:t>
      </w:r>
      <w:r w:rsidR="0083425A" w:rsidRPr="00673309">
        <w:rPr>
          <w:rFonts w:ascii="Times New Roman" w:eastAsia="Times New Roman" w:hAnsi="Times New Roman" w:cs="Times New Roman"/>
          <w:lang w:val="fr-FR"/>
        </w:rPr>
        <w:t>psychosocial</w:t>
      </w:r>
      <w:r w:rsidR="00673309">
        <w:rPr>
          <w:rFonts w:ascii="Times New Roman" w:eastAsia="Times New Roman" w:hAnsi="Times New Roman" w:cs="Times New Roman"/>
          <w:lang w:val="fr-FR"/>
        </w:rPr>
        <w:t xml:space="preserve"> </w:t>
      </w:r>
      <w:r w:rsidRPr="00673309">
        <w:rPr>
          <w:rFonts w:ascii="Times New Roman" w:eastAsia="Times New Roman" w:hAnsi="Times New Roman" w:cs="Times New Roman"/>
          <w:lang w:val="fr-FR"/>
        </w:rPr>
        <w:t>a été documenté en 2019 au sein du système judiciaire haïtien. Il s’agit d’un juge suppléant auprès d’un tribunal de paix, en fonction depuis 2012, reconnu pour son sérieux et son engagement professionnel.</w:t>
      </w:r>
    </w:p>
    <w:p w:rsidR="00B449CE" w:rsidRPr="00673309" w:rsidRDefault="00B449CE"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En 2015, l’intéressé a connu un épisode de détérioration de sa santé mentale. Le 4 janvier 2018, son médecin lui a prescrit un congé de repos de 20 jours. En réponse à sa demande de congé maladie, le Conseil Supérieur du Pouvoir Judiciaire (CSPJ) lui a accordé une mise en disponibilité avec solde, sans toutefois reconnaître officiellement le congé demandé.</w:t>
      </w:r>
    </w:p>
    <w:p w:rsidR="00B449CE" w:rsidRPr="00673309" w:rsidRDefault="00B449CE"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 xml:space="preserve">Le 27 mars 2018, une nouvelle évaluation médicale atteste de son rétablissement complet. Pourtant, le 15 avril 2019, le CSPJ lui notifie son renvoi définitif, invoquant que sa « santé mentale débile </w:t>
      </w:r>
      <w:r w:rsidR="0083425A" w:rsidRPr="00673309">
        <w:rPr>
          <w:rFonts w:ascii="Times New Roman" w:eastAsia="Times New Roman" w:hAnsi="Times New Roman" w:cs="Times New Roman"/>
          <w:lang w:val="fr-FR"/>
        </w:rPr>
        <w:t>(</w:t>
      </w:r>
      <w:r w:rsidRPr="00673309">
        <w:rPr>
          <w:rFonts w:ascii="Times New Roman" w:eastAsia="Times New Roman" w:hAnsi="Times New Roman" w:cs="Times New Roman"/>
          <w:lang w:val="fr-FR"/>
        </w:rPr>
        <w:t>était</w:t>
      </w:r>
      <w:r w:rsidR="0083425A" w:rsidRPr="00673309">
        <w:rPr>
          <w:rFonts w:ascii="Times New Roman" w:eastAsia="Times New Roman" w:hAnsi="Times New Roman" w:cs="Times New Roman"/>
          <w:lang w:val="fr-FR"/>
        </w:rPr>
        <w:t>)</w:t>
      </w:r>
      <w:r w:rsidRPr="00673309">
        <w:rPr>
          <w:rFonts w:ascii="Times New Roman" w:eastAsia="Times New Roman" w:hAnsi="Times New Roman" w:cs="Times New Roman"/>
          <w:lang w:val="fr-FR"/>
        </w:rPr>
        <w:t xml:space="preserve"> préjudiciable à </w:t>
      </w:r>
      <w:r w:rsidR="0083425A" w:rsidRPr="00673309">
        <w:rPr>
          <w:rFonts w:ascii="Times New Roman" w:eastAsia="Times New Roman" w:hAnsi="Times New Roman" w:cs="Times New Roman"/>
          <w:lang w:val="fr-FR"/>
        </w:rPr>
        <w:t>(</w:t>
      </w:r>
      <w:r w:rsidRPr="00673309">
        <w:rPr>
          <w:rFonts w:ascii="Times New Roman" w:eastAsia="Times New Roman" w:hAnsi="Times New Roman" w:cs="Times New Roman"/>
          <w:lang w:val="fr-FR"/>
        </w:rPr>
        <w:t>son</w:t>
      </w:r>
      <w:r w:rsidR="0083425A" w:rsidRPr="00673309">
        <w:rPr>
          <w:rFonts w:ascii="Times New Roman" w:eastAsia="Times New Roman" w:hAnsi="Times New Roman" w:cs="Times New Roman"/>
          <w:lang w:val="fr-FR"/>
        </w:rPr>
        <w:t>)</w:t>
      </w:r>
      <w:r w:rsidRPr="00673309">
        <w:rPr>
          <w:rFonts w:ascii="Times New Roman" w:eastAsia="Times New Roman" w:hAnsi="Times New Roman" w:cs="Times New Roman"/>
          <w:lang w:val="fr-FR"/>
        </w:rPr>
        <w:t xml:space="preserve"> fonctionnement normal dans la magistrature. »</w:t>
      </w:r>
    </w:p>
    <w:p w:rsidR="00B449CE" w:rsidRPr="00673309" w:rsidRDefault="00B449CE"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 xml:space="preserve">Le juge </w:t>
      </w:r>
      <w:r w:rsidR="0083425A" w:rsidRPr="00673309">
        <w:rPr>
          <w:rFonts w:ascii="Times New Roman" w:eastAsia="Times New Roman" w:hAnsi="Times New Roman" w:cs="Times New Roman"/>
          <w:lang w:val="fr-FR"/>
        </w:rPr>
        <w:t xml:space="preserve">a </w:t>
      </w:r>
      <w:r w:rsidRPr="00673309">
        <w:rPr>
          <w:rFonts w:ascii="Times New Roman" w:eastAsia="Times New Roman" w:hAnsi="Times New Roman" w:cs="Times New Roman"/>
          <w:lang w:val="fr-FR"/>
        </w:rPr>
        <w:t>contest</w:t>
      </w:r>
      <w:r w:rsidR="0083425A" w:rsidRPr="00673309">
        <w:rPr>
          <w:rFonts w:ascii="Times New Roman" w:eastAsia="Times New Roman" w:hAnsi="Times New Roman" w:cs="Times New Roman"/>
          <w:lang w:val="fr-FR"/>
        </w:rPr>
        <w:t xml:space="preserve">é </w:t>
      </w:r>
      <w:r w:rsidRPr="00673309">
        <w:rPr>
          <w:rFonts w:ascii="Times New Roman" w:eastAsia="Times New Roman" w:hAnsi="Times New Roman" w:cs="Times New Roman"/>
          <w:lang w:val="fr-FR"/>
        </w:rPr>
        <w:t xml:space="preserve">cette décision qu’il </w:t>
      </w:r>
      <w:r w:rsidR="0083425A" w:rsidRPr="00673309">
        <w:rPr>
          <w:rFonts w:ascii="Times New Roman" w:eastAsia="Times New Roman" w:hAnsi="Times New Roman" w:cs="Times New Roman"/>
          <w:lang w:val="fr-FR"/>
        </w:rPr>
        <w:t xml:space="preserve">a </w:t>
      </w:r>
      <w:r w:rsidRPr="00673309">
        <w:rPr>
          <w:rFonts w:ascii="Times New Roman" w:eastAsia="Times New Roman" w:hAnsi="Times New Roman" w:cs="Times New Roman"/>
          <w:lang w:val="fr-FR"/>
        </w:rPr>
        <w:t>qualifi</w:t>
      </w:r>
      <w:r w:rsidR="0083425A" w:rsidRPr="00673309">
        <w:rPr>
          <w:rFonts w:ascii="Times New Roman" w:eastAsia="Times New Roman" w:hAnsi="Times New Roman" w:cs="Times New Roman"/>
          <w:lang w:val="fr-FR"/>
        </w:rPr>
        <w:t>é</w:t>
      </w:r>
      <w:r w:rsidR="00960480" w:rsidRPr="00673309">
        <w:rPr>
          <w:rFonts w:ascii="Times New Roman" w:eastAsia="Times New Roman" w:hAnsi="Times New Roman" w:cs="Times New Roman"/>
          <w:lang w:val="fr-FR"/>
        </w:rPr>
        <w:t>e</w:t>
      </w:r>
      <w:r w:rsidRPr="00673309">
        <w:rPr>
          <w:rFonts w:ascii="Times New Roman" w:eastAsia="Times New Roman" w:hAnsi="Times New Roman" w:cs="Times New Roman"/>
          <w:lang w:val="fr-FR"/>
        </w:rPr>
        <w:t xml:space="preserve"> d’arbitraire, illégale et discriminatoire. Ni le Code du travail ni la loi sur la fonction publique ne justifient un licenciement fondé sur un diagnostic de santé mentale, en l’absence d’évaluation fonctionnelle ou de faute professionnelle. Malgré ses démarches, il n’a pu obtenir réparation ni faire valoir son droit à la réintégration.</w:t>
      </w:r>
    </w:p>
    <w:p w:rsidR="00B449CE" w:rsidRPr="00673309" w:rsidRDefault="00B449CE"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Ce cas illustre les effets très concrets de l’absence de reconnaissance de la capacité juridique des personnes vivant avec un handicap psychosocial en Haïti, ainsi que le manque de recours accessibles pour dénoncer la discrimination fondée sur le handicap.</w:t>
      </w:r>
    </w:p>
    <w:p w:rsidR="00960480" w:rsidRPr="00673309" w:rsidRDefault="00960480"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Depuis les élections de 2016, le système électoral haïtien a connu de graves dysfonctionnements, limitant fortement la participation des personnes handicapées à la vie politique. En 2020, un effort a été fait pour relancer le processus à travers la création d’un nouveau Conseil Électoral Provisoire (CEP), qui comprenait pour la première fois un représentant des personnes handicapées parmi ses neuf membres.</w:t>
      </w:r>
    </w:p>
    <w:p w:rsidR="00960480" w:rsidRPr="00673309" w:rsidRDefault="00960480"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Toutefois, cette initiative n’a pas abouti. La composition du CEP a été contestée politiquement, ce qui a nui à sa légitimité. Après l’assassinat du président de la République en 2021, les membres du CEP ont été révoqués, mettant fin à cette tentative d’inclusion institutionnelle.</w:t>
      </w:r>
    </w:p>
    <w:p w:rsidR="00960480" w:rsidRPr="00673309" w:rsidRDefault="00960480"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lastRenderedPageBreak/>
        <w:t>Pour les personnes handicapées, cet échec a été vécu comme une exclusion supplémentaire du processus politique, aggravant le sentiment d’invisibilité et d’impuissance face aux décisions qui impactent directement leur vie.</w:t>
      </w:r>
    </w:p>
    <w:p w:rsidR="00960480" w:rsidRPr="00673309" w:rsidRDefault="00960480"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Le CEP devait organiser des consultations pour réformer la Constitution, organiser un référendum et tenir des élections générales. Cependant, ces objectifs n’ont pas été atteints. Au-delà des blocages politiques, le manque de prise en compte effective de la participation des personnes handicapées dans ces processus a contribué à leur exclusion.</w:t>
      </w:r>
    </w:p>
    <w:p w:rsidR="00960480" w:rsidRPr="00673309" w:rsidRDefault="00960480"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Les révisions annoncées du décret électoral de 2015, qui visaient à supprimer les obstacles à la participation des personnes handicapées, n’ont jamais été mises en œuvre. Les aménagements raisonnables requis pour garantir leur pleine participation au vote n’ont pas été instaurés, et les difficultés déjà documentées lors de l’Examen Périodique Universel (EPU) de 2018 se sont même intensifiées</w:t>
      </w:r>
      <w:r w:rsidRPr="00673309">
        <w:rPr>
          <w:rStyle w:val="FootnoteReference"/>
          <w:rFonts w:ascii="Times New Roman" w:eastAsia="Times New Roman" w:hAnsi="Times New Roman" w:cs="Times New Roman"/>
          <w:lang w:val="fr-FR"/>
        </w:rPr>
        <w:footnoteReference w:id="6"/>
      </w:r>
      <w:r w:rsidRPr="00673309">
        <w:rPr>
          <w:rFonts w:ascii="Times New Roman" w:eastAsia="Times New Roman" w:hAnsi="Times New Roman" w:cs="Times New Roman"/>
          <w:lang w:val="fr-FR"/>
        </w:rPr>
        <w:t>.</w:t>
      </w:r>
    </w:p>
    <w:p w:rsidR="00960480" w:rsidRPr="00673309" w:rsidRDefault="00960480" w:rsidP="00673309">
      <w:pPr>
        <w:pStyle w:val="ListParagraph"/>
        <w:numPr>
          <w:ilvl w:val="0"/>
          <w:numId w:val="10"/>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L’aggravation de la crise sociopolitique et l’insécurité généralisée limitent davantage l’exercice effectif du droit des personnes handicapées à participer à la vie politique. Cette exclusion de facto empêche la défense de leurs droits et leur contribution à la construction démocratique du pays.</w:t>
      </w:r>
    </w:p>
    <w:p w:rsidR="00960480" w:rsidRPr="00673309" w:rsidRDefault="00960480" w:rsidP="00673309">
      <w:pPr>
        <w:pStyle w:val="ListParagraph"/>
        <w:numPr>
          <w:ilvl w:val="0"/>
          <w:numId w:val="10"/>
        </w:numPr>
        <w:spacing w:after="0"/>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Certaines dispositions du décret électoral de 2015 restent préoccupantes. Par exemple:</w:t>
      </w:r>
    </w:p>
    <w:p w:rsidR="00960480" w:rsidRPr="00673309" w:rsidRDefault="00960480" w:rsidP="00673309">
      <w:pPr>
        <w:numPr>
          <w:ilvl w:val="0"/>
          <w:numId w:val="14"/>
        </w:numPr>
        <w:spacing w:after="0"/>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L’article 29 prévoit la radiation du registre électoral des personnes frappées d’«incapacité », ce qui est grave en soi. En plus, aucun article ne définit ni garantie des mécanismes de recours équitables.</w:t>
      </w:r>
    </w:p>
    <w:p w:rsidR="00960480" w:rsidRPr="00673309" w:rsidRDefault="00960480" w:rsidP="00673309">
      <w:pPr>
        <w:numPr>
          <w:ilvl w:val="0"/>
          <w:numId w:val="14"/>
        </w:numPr>
        <w:spacing w:before="100" w:beforeAutospacing="1" w:after="100" w:afterAutospacing="1"/>
        <w:jc w:val="both"/>
        <w:rPr>
          <w:rFonts w:ascii="Times New Roman" w:eastAsia="Times New Roman" w:hAnsi="Times New Roman" w:cs="Times New Roman"/>
          <w:lang w:val="fr-FR"/>
        </w:rPr>
      </w:pPr>
      <w:r w:rsidRPr="00673309">
        <w:rPr>
          <w:rFonts w:ascii="Times New Roman" w:eastAsia="Times New Roman" w:hAnsi="Times New Roman" w:cs="Times New Roman"/>
          <w:lang w:val="fr-FR"/>
        </w:rPr>
        <w:t>L’article 87.2 autorise le remplacement d’un candidat frappé d’incapacité, ce qui pourrait être discriminatoire s’il n’est pas accompagné de garanties claires sur les droits des personnes handicapées et de mesures effectives d'accompagnement si requises.</w:t>
      </w:r>
    </w:p>
    <w:p w:rsidR="00673309" w:rsidRPr="00673309" w:rsidRDefault="00960480" w:rsidP="00673309">
      <w:pPr>
        <w:numPr>
          <w:ilvl w:val="0"/>
          <w:numId w:val="14"/>
        </w:numPr>
        <w:spacing w:after="0"/>
        <w:jc w:val="both"/>
        <w:rPr>
          <w:rFonts w:ascii="Times New Roman" w:hAnsi="Times New Roman" w:cs="Times New Roman"/>
          <w:lang w:val="fr-FR"/>
        </w:rPr>
      </w:pPr>
      <w:r w:rsidRPr="00673309">
        <w:rPr>
          <w:rFonts w:ascii="Times New Roman" w:eastAsia="Times New Roman" w:hAnsi="Times New Roman" w:cs="Times New Roman"/>
          <w:lang w:val="fr-FR"/>
        </w:rPr>
        <w:t>L’article 157 établit que seule une incapacité mentale dûment constatée peut priver un citoyen de son droit de vote, ce qui soulève des inquiétudes quant à son caractère discriminatoire. En revanche, il permet à toute personne ayant une incapacité physique de se faire accompagner au moment du vote, ce qui constitue un pas positif, mais encore insuffisant sans un cadre d’application systématique.</w:t>
      </w:r>
    </w:p>
    <w:p w:rsidR="00153864" w:rsidRPr="00673309" w:rsidRDefault="00BB65C1" w:rsidP="00673309">
      <w:pPr>
        <w:pStyle w:val="Heading1"/>
        <w:spacing w:before="0"/>
        <w:rPr>
          <w:lang w:val="fr-FR"/>
        </w:rPr>
      </w:pPr>
      <w:r w:rsidRPr="00673309">
        <w:rPr>
          <w:lang w:val="fr-FR"/>
        </w:rPr>
        <w:t>Recommandations</w:t>
      </w:r>
      <w:r w:rsidR="00F71132" w:rsidRPr="00673309">
        <w:rPr>
          <w:lang w:val="fr-FR"/>
        </w:rPr>
        <w:t xml:space="preserve"> : </w:t>
      </w:r>
    </w:p>
    <w:p w:rsidR="00153864" w:rsidRPr="00673309" w:rsidRDefault="00BB65C1" w:rsidP="00673309">
      <w:pPr>
        <w:pStyle w:val="ListBullet"/>
        <w:tabs>
          <w:tab w:val="clear" w:pos="360"/>
          <w:tab w:val="num" w:pos="720"/>
        </w:tabs>
        <w:spacing w:after="0"/>
        <w:ind w:left="720"/>
        <w:jc w:val="both"/>
        <w:rPr>
          <w:rFonts w:ascii="Times New Roman" w:hAnsi="Times New Roman" w:cs="Times New Roman"/>
          <w:lang w:val="fr-FR"/>
        </w:rPr>
      </w:pPr>
      <w:r w:rsidRPr="00673309">
        <w:rPr>
          <w:rFonts w:ascii="Times New Roman" w:hAnsi="Times New Roman" w:cs="Times New Roman"/>
          <w:lang w:val="fr-FR"/>
        </w:rPr>
        <w:t xml:space="preserve">Abroger toutes les lois </w:t>
      </w:r>
      <w:r w:rsidR="00960480" w:rsidRPr="00673309">
        <w:rPr>
          <w:rFonts w:ascii="Times New Roman" w:hAnsi="Times New Roman" w:cs="Times New Roman"/>
          <w:lang w:val="fr-FR"/>
        </w:rPr>
        <w:t>discriminatoires fondées sur le handicap</w:t>
      </w:r>
      <w:r w:rsidRPr="00673309">
        <w:rPr>
          <w:rFonts w:ascii="Times New Roman" w:hAnsi="Times New Roman" w:cs="Times New Roman"/>
          <w:lang w:val="fr-FR"/>
        </w:rPr>
        <w:t>.</w:t>
      </w:r>
    </w:p>
    <w:p w:rsidR="00997B72" w:rsidRPr="00673309" w:rsidRDefault="00997B72"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Éliminer les dispositions discriminatoires dans la future réforme du décret électoral.</w:t>
      </w:r>
    </w:p>
    <w:p w:rsidR="00997B72" w:rsidRPr="00673309" w:rsidRDefault="00997B72"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Garantir la participation pleine et égale des personnes handicapées dans l’ensemble du processus électoral, y compris dans les instances de décision.</w:t>
      </w:r>
    </w:p>
    <w:p w:rsidR="00997B72" w:rsidRPr="00673309" w:rsidRDefault="00997B72"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Assurer l’accessibilité des lieux de vote, des bulletins et du matériel électoral pour tous les types de handicap.</w:t>
      </w:r>
    </w:p>
    <w:p w:rsidR="00997B72" w:rsidRPr="00673309" w:rsidRDefault="00997B72"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Promouvoir l’accès à l’emploi public et aux fonctions électives pour les personnes vivant avec un handicap psychosocial, en mettant fin aux pratiques discriminatoires.</w:t>
      </w:r>
    </w:p>
    <w:p w:rsidR="00153864" w:rsidRPr="00673309" w:rsidRDefault="00BB65C1"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Réviser les lois électorales pour éliminer toute discrimination fondée sur le handicap.</w:t>
      </w:r>
    </w:p>
    <w:p w:rsidR="00153864" w:rsidRPr="00673309" w:rsidRDefault="00BB65C1"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Garantir l’accessibilité des centres et matériels électoraux.</w:t>
      </w:r>
    </w:p>
    <w:p w:rsidR="00153864" w:rsidRPr="00673309" w:rsidRDefault="00BB65C1" w:rsidP="00673309">
      <w:pPr>
        <w:pStyle w:val="ListBullet"/>
        <w:tabs>
          <w:tab w:val="clear" w:pos="360"/>
          <w:tab w:val="num" w:pos="720"/>
        </w:tabs>
        <w:ind w:left="720"/>
        <w:jc w:val="both"/>
        <w:rPr>
          <w:rFonts w:ascii="Times New Roman" w:hAnsi="Times New Roman" w:cs="Times New Roman"/>
          <w:lang w:val="fr-FR"/>
        </w:rPr>
      </w:pPr>
      <w:r w:rsidRPr="00673309">
        <w:rPr>
          <w:rFonts w:ascii="Times New Roman" w:hAnsi="Times New Roman" w:cs="Times New Roman"/>
          <w:lang w:val="fr-FR"/>
        </w:rPr>
        <w:t>Créer des mécanismes permanents de consultation des OPH dans les affaires publiques.</w:t>
      </w:r>
    </w:p>
    <w:p w:rsidR="00153864" w:rsidRPr="00673309" w:rsidRDefault="00BB65C1" w:rsidP="00673309">
      <w:pPr>
        <w:pStyle w:val="Heading1"/>
        <w:jc w:val="center"/>
        <w:rPr>
          <w:rFonts w:ascii="Times New Roman" w:hAnsi="Times New Roman" w:cs="Times New Roman"/>
          <w:sz w:val="22"/>
          <w:szCs w:val="22"/>
          <w:lang w:val="fr-FR"/>
        </w:rPr>
      </w:pPr>
      <w:r w:rsidRPr="00673309">
        <w:rPr>
          <w:rFonts w:ascii="Times New Roman" w:hAnsi="Times New Roman" w:cs="Times New Roman"/>
          <w:sz w:val="22"/>
          <w:szCs w:val="22"/>
          <w:lang w:val="fr-FR"/>
        </w:rPr>
        <w:lastRenderedPageBreak/>
        <w:t>Conclusion</w:t>
      </w:r>
    </w:p>
    <w:p w:rsidR="00960480" w:rsidRPr="00673309" w:rsidRDefault="00BB65C1" w:rsidP="00673309">
      <w:pPr>
        <w:jc w:val="both"/>
        <w:rPr>
          <w:rFonts w:ascii="Times New Roman" w:hAnsi="Times New Roman" w:cs="Times New Roman"/>
          <w:lang w:val="fr-FR"/>
        </w:rPr>
      </w:pPr>
      <w:r w:rsidRPr="00673309">
        <w:rPr>
          <w:rFonts w:ascii="Times New Roman" w:hAnsi="Times New Roman" w:cs="Times New Roman"/>
          <w:lang w:val="fr-FR"/>
        </w:rPr>
        <w:br/>
        <w:t>La République d’Haïti manque à ses obligations au regard du Pacte international relatif aux droits civils et politiques, en particulier envers les personnes handicapées. Ces violations reflètent un manque de volonté politique à intégrer les principes de non-discrimination, d’inclusion et de participation dans les politiques publiques. Il est impératif que l’État haïtien prenne des mesures urgentes pour garantir l’égalité de jouissance des droits civils et politiques à toutes les personnes, y compris celles en situation de handicap.</w:t>
      </w:r>
    </w:p>
    <w:p w:rsidR="00153864" w:rsidRPr="00673309" w:rsidRDefault="00BB65C1" w:rsidP="00673309">
      <w:pPr>
        <w:jc w:val="both"/>
        <w:rPr>
          <w:rFonts w:ascii="Times New Roman" w:hAnsi="Times New Roman" w:cs="Times New Roman"/>
          <w:lang w:val="fr-FR"/>
        </w:rPr>
      </w:pPr>
      <w:r w:rsidRPr="00673309">
        <w:rPr>
          <w:rFonts w:ascii="Times New Roman" w:hAnsi="Times New Roman" w:cs="Times New Roman"/>
          <w:lang w:val="fr-FR"/>
        </w:rPr>
        <w:br/>
      </w:r>
    </w:p>
    <w:sectPr w:rsidR="00153864" w:rsidRPr="00673309" w:rsidSect="00B32A2F">
      <w:headerReference w:type="default" r:id="rId10"/>
      <w:footerReference w:type="default" r:id="rId11"/>
      <w:pgSz w:w="12240" w:h="15840"/>
      <w:pgMar w:top="1440" w:right="1800" w:bottom="1440" w:left="1800" w:header="720" w:footer="720" w:gutter="0"/>
      <w:pgNumType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618A" w:rsidRDefault="005F618A" w:rsidP="00D54DE5">
      <w:pPr>
        <w:spacing w:after="0" w:line="240" w:lineRule="auto"/>
      </w:pPr>
      <w:r>
        <w:separator/>
      </w:r>
    </w:p>
  </w:endnote>
  <w:endnote w:type="continuationSeparator" w:id="1">
    <w:p w:rsidR="005F618A" w:rsidRDefault="005F618A" w:rsidP="00D54D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5810665"/>
      <w:docPartObj>
        <w:docPartGallery w:val="Page Numbers (Bottom of Page)"/>
        <w:docPartUnique/>
      </w:docPartObj>
    </w:sdtPr>
    <w:sdtContent>
      <w:p w:rsidR="009065C9" w:rsidRDefault="00646727">
        <w:pPr>
          <w:pStyle w:val="Footer"/>
          <w:jc w:val="center"/>
        </w:pPr>
        <w:fldSimple w:instr=" PAGE   \* MERGEFORMAT ">
          <w:r w:rsidR="002D4377">
            <w:rPr>
              <w:noProof/>
            </w:rPr>
            <w:t>8</w:t>
          </w:r>
        </w:fldSimple>
      </w:p>
    </w:sdtContent>
  </w:sdt>
  <w:p w:rsidR="00B32A2F" w:rsidRDefault="00B32A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618A" w:rsidRDefault="005F618A" w:rsidP="00D54DE5">
      <w:pPr>
        <w:spacing w:after="0" w:line="240" w:lineRule="auto"/>
      </w:pPr>
      <w:r>
        <w:separator/>
      </w:r>
    </w:p>
  </w:footnote>
  <w:footnote w:type="continuationSeparator" w:id="1">
    <w:p w:rsidR="005F618A" w:rsidRDefault="005F618A" w:rsidP="00D54DE5">
      <w:pPr>
        <w:spacing w:after="0" w:line="240" w:lineRule="auto"/>
      </w:pPr>
      <w:r>
        <w:continuationSeparator/>
      </w:r>
    </w:p>
  </w:footnote>
  <w:footnote w:id="2">
    <w:p w:rsidR="00B6456F" w:rsidRDefault="00B6456F">
      <w:pPr>
        <w:pStyle w:val="FootnoteText"/>
      </w:pPr>
      <w:r>
        <w:rPr>
          <w:rStyle w:val="FootnoteReference"/>
        </w:rPr>
        <w:footnoteRef/>
      </w:r>
      <w:hyperlink r:id="rId1" w:history="1">
        <w:r w:rsidRPr="008329F9">
          <w:rPr>
            <w:rStyle w:val="Hyperlink"/>
          </w:rPr>
          <w:t>https://www.passioninfosplus.com/2022/08/enpak-appelle-au-respect-des-droits-des-personnes-ayant-un-handicap-psychosocial/</w:t>
        </w:r>
      </w:hyperlink>
    </w:p>
  </w:footnote>
  <w:footnote w:id="3">
    <w:p w:rsidR="006D3F76" w:rsidRDefault="006D3F76">
      <w:pPr>
        <w:pStyle w:val="FootnoteText"/>
      </w:pPr>
      <w:r>
        <w:rPr>
          <w:rStyle w:val="FootnoteReference"/>
        </w:rPr>
        <w:footnoteRef/>
      </w:r>
      <w:r w:rsidRPr="006D3F76">
        <w:t>https://radiopbs.org/2022/12/violences-sexuelles-sur-les-malades-mentaux-les-mythes-qui-entourent-cette-pratique-haitienne-2/</w:t>
      </w:r>
    </w:p>
  </w:footnote>
  <w:footnote w:id="4">
    <w:p w:rsidR="00D54DE5" w:rsidRDefault="00D54DE5">
      <w:pPr>
        <w:pStyle w:val="FootnoteText"/>
      </w:pPr>
      <w:r>
        <w:rPr>
          <w:rStyle w:val="FootnoteReference"/>
        </w:rPr>
        <w:footnoteRef/>
      </w:r>
      <w:hyperlink r:id="rId2" w:history="1">
        <w:r w:rsidRPr="006D3F76">
          <w:rPr>
            <w:rStyle w:val="Hyperlink"/>
            <w:rFonts w:ascii="Times New Roman" w:hAnsi="Times New Roman" w:cs="Times New Roman"/>
            <w:sz w:val="18"/>
            <w:szCs w:val="18"/>
          </w:rPr>
          <w:t>https://gazettehaiti.com/node/9685</w:t>
        </w:r>
      </w:hyperlink>
    </w:p>
  </w:footnote>
  <w:footnote w:id="5">
    <w:p w:rsidR="008E4ADA" w:rsidRDefault="008E4ADA">
      <w:pPr>
        <w:pStyle w:val="FootnoteText"/>
      </w:pPr>
      <w:r>
        <w:rPr>
          <w:rStyle w:val="FootnoteReference"/>
        </w:rPr>
        <w:footnoteRef/>
      </w:r>
      <w:hyperlink r:id="rId3" w:history="1">
        <w:r w:rsidRPr="00B851F3">
          <w:rPr>
            <w:rStyle w:val="Hyperlink"/>
          </w:rPr>
          <w:t>https://docs.un.org/fr/CRPD/C/HTI/CO/1</w:t>
        </w:r>
      </w:hyperlink>
    </w:p>
  </w:footnote>
  <w:footnote w:id="6">
    <w:p w:rsidR="00960480" w:rsidRPr="00F665A0" w:rsidRDefault="00960480" w:rsidP="00960480">
      <w:pPr>
        <w:pStyle w:val="Header"/>
      </w:pPr>
      <w:r>
        <w:rPr>
          <w:rStyle w:val="FootnoteReference"/>
        </w:rPr>
        <w:footnoteRef/>
      </w:r>
      <w:fldSimple w:instr=" TITLE  \* MERGEFORMAT ">
        <w:r>
          <w:t>CRPD/C/HTI/CO/1</w:t>
        </w:r>
      </w:fldSimple>
      <w:r>
        <w:t>, article 29 , p. 14</w:t>
      </w:r>
    </w:p>
    <w:p w:rsidR="00960480" w:rsidRDefault="00960480" w:rsidP="00960480">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6E9" w:rsidRDefault="009E76E9">
    <w:pPr>
      <w:pStyle w:val="Header"/>
      <w:jc w:val="center"/>
    </w:pPr>
  </w:p>
  <w:p w:rsidR="009E76E9" w:rsidRDefault="009E76E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1215D14"/>
    <w:multiLevelType w:val="hybridMultilevel"/>
    <w:tmpl w:val="1A78F0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4F45501F"/>
    <w:multiLevelType w:val="multilevel"/>
    <w:tmpl w:val="D710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930246"/>
    <w:multiLevelType w:val="multilevel"/>
    <w:tmpl w:val="AA0C3B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nsid w:val="7C0D4599"/>
    <w:multiLevelType w:val="hybridMultilevel"/>
    <w:tmpl w:val="01A68A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1"/>
  </w:num>
  <w:num w:numId="12">
    <w:abstractNumId w:val="12"/>
  </w:num>
  <w:num w:numId="13">
    <w:abstractNumId w:val="8"/>
  </w:num>
  <w:num w:numId="14">
    <w:abstractNumId w:val="10"/>
  </w:num>
  <w:num w:numId="15">
    <w:abstractNumId w:val="8"/>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defaultTabStop w:val="720"/>
  <w:characterSpacingControl w:val="doNotCompress"/>
  <w:footnotePr>
    <w:footnote w:id="0"/>
    <w:footnote w:id="1"/>
  </w:footnotePr>
  <w:endnotePr>
    <w:endnote w:id="0"/>
    <w:endnote w:id="1"/>
  </w:endnotePr>
  <w:compat>
    <w:useFELayout/>
  </w:compat>
  <w:rsids>
    <w:rsidRoot w:val="00B47730"/>
    <w:rsid w:val="00013579"/>
    <w:rsid w:val="00034616"/>
    <w:rsid w:val="00056F54"/>
    <w:rsid w:val="00057550"/>
    <w:rsid w:val="0006063C"/>
    <w:rsid w:val="000C6D4B"/>
    <w:rsid w:val="00111739"/>
    <w:rsid w:val="001230FE"/>
    <w:rsid w:val="00135640"/>
    <w:rsid w:val="0015074B"/>
    <w:rsid w:val="00153864"/>
    <w:rsid w:val="002069C0"/>
    <w:rsid w:val="002172B7"/>
    <w:rsid w:val="00224CC5"/>
    <w:rsid w:val="00274855"/>
    <w:rsid w:val="0029639D"/>
    <w:rsid w:val="002D4377"/>
    <w:rsid w:val="00315223"/>
    <w:rsid w:val="00325317"/>
    <w:rsid w:val="00326F90"/>
    <w:rsid w:val="00367129"/>
    <w:rsid w:val="003F59B3"/>
    <w:rsid w:val="00426003"/>
    <w:rsid w:val="004261A5"/>
    <w:rsid w:val="00480234"/>
    <w:rsid w:val="00491B82"/>
    <w:rsid w:val="005B36A9"/>
    <w:rsid w:val="005F618A"/>
    <w:rsid w:val="006306DF"/>
    <w:rsid w:val="00646727"/>
    <w:rsid w:val="00655507"/>
    <w:rsid w:val="00660470"/>
    <w:rsid w:val="00673309"/>
    <w:rsid w:val="006B5CA1"/>
    <w:rsid w:val="006D3F76"/>
    <w:rsid w:val="00707EED"/>
    <w:rsid w:val="00710830"/>
    <w:rsid w:val="00716060"/>
    <w:rsid w:val="0075330C"/>
    <w:rsid w:val="007754E0"/>
    <w:rsid w:val="007C4CC1"/>
    <w:rsid w:val="0083425A"/>
    <w:rsid w:val="0087516A"/>
    <w:rsid w:val="0087646E"/>
    <w:rsid w:val="008E4ADA"/>
    <w:rsid w:val="009065C9"/>
    <w:rsid w:val="00960480"/>
    <w:rsid w:val="00997B72"/>
    <w:rsid w:val="009C25B7"/>
    <w:rsid w:val="009C47D3"/>
    <w:rsid w:val="009C7DA5"/>
    <w:rsid w:val="009E76E9"/>
    <w:rsid w:val="00A27F32"/>
    <w:rsid w:val="00A30E5A"/>
    <w:rsid w:val="00A35704"/>
    <w:rsid w:val="00A67FEF"/>
    <w:rsid w:val="00AA1D8D"/>
    <w:rsid w:val="00B32A2F"/>
    <w:rsid w:val="00B36267"/>
    <w:rsid w:val="00B449CE"/>
    <w:rsid w:val="00B47730"/>
    <w:rsid w:val="00B6456F"/>
    <w:rsid w:val="00BB65C1"/>
    <w:rsid w:val="00BE1F58"/>
    <w:rsid w:val="00C25D0D"/>
    <w:rsid w:val="00CB0664"/>
    <w:rsid w:val="00CE5AB6"/>
    <w:rsid w:val="00D47C3D"/>
    <w:rsid w:val="00D54DE5"/>
    <w:rsid w:val="00D8749F"/>
    <w:rsid w:val="00D90DA1"/>
    <w:rsid w:val="00E22789"/>
    <w:rsid w:val="00E33EFF"/>
    <w:rsid w:val="00EB03F4"/>
    <w:rsid w:val="00F67BD9"/>
    <w:rsid w:val="00F71132"/>
    <w:rsid w:val="00FA310F"/>
    <w:rsid w:val="00FC69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unhideWhenUsed/>
    <w:qFormat/>
    <w:rsid w:val="00E618BF"/>
    <w:pPr>
      <w:tabs>
        <w:tab w:val="center" w:pos="4680"/>
        <w:tab w:val="right" w:pos="9360"/>
      </w:tabs>
      <w:spacing w:after="0" w:line="240" w:lineRule="auto"/>
    </w:pPr>
  </w:style>
  <w:style w:type="character" w:customStyle="1" w:styleId="HeaderChar">
    <w:name w:val="Header Char"/>
    <w:aliases w:val="6_G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LightList1">
    <w:name w:val="Light List1"/>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1">
    <w:name w:val="Light Grid1"/>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1">
    <w:name w:val="Medium Shading 1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1">
    <w:name w:val="Medium List 2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1">
    <w:name w:val="Medium Grid 1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1">
    <w:name w:val="Medium Grid 2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1">
    <w:name w:val="Dark List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1">
    <w:name w:val="Colorful Shading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1">
    <w:name w:val="Colorful List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1">
    <w:name w:val="Colorful Grid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3F59B3"/>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54D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4DE5"/>
    <w:rPr>
      <w:sz w:val="20"/>
      <w:szCs w:val="20"/>
    </w:rPr>
  </w:style>
  <w:style w:type="character" w:styleId="FootnoteReference">
    <w:name w:val="footnote reference"/>
    <w:basedOn w:val="DefaultParagraphFont"/>
    <w:uiPriority w:val="99"/>
    <w:semiHidden/>
    <w:unhideWhenUsed/>
    <w:rsid w:val="00D54DE5"/>
    <w:rPr>
      <w:vertAlign w:val="superscript"/>
    </w:rPr>
  </w:style>
  <w:style w:type="character" w:styleId="Hyperlink">
    <w:name w:val="Hyperlink"/>
    <w:basedOn w:val="DefaultParagraphFont"/>
    <w:uiPriority w:val="99"/>
    <w:unhideWhenUsed/>
    <w:rsid w:val="00D54DE5"/>
    <w:rPr>
      <w:color w:val="0000FF" w:themeColor="hyperlink"/>
      <w:u w:val="single"/>
    </w:rPr>
  </w:style>
  <w:style w:type="character" w:styleId="CommentReference">
    <w:name w:val="annotation reference"/>
    <w:basedOn w:val="DefaultParagraphFont"/>
    <w:uiPriority w:val="99"/>
    <w:semiHidden/>
    <w:unhideWhenUsed/>
    <w:rsid w:val="007754E0"/>
    <w:rPr>
      <w:sz w:val="16"/>
      <w:szCs w:val="16"/>
    </w:rPr>
  </w:style>
  <w:style w:type="paragraph" w:styleId="CommentText">
    <w:name w:val="annotation text"/>
    <w:basedOn w:val="Normal"/>
    <w:link w:val="CommentTextChar"/>
    <w:uiPriority w:val="99"/>
    <w:semiHidden/>
    <w:unhideWhenUsed/>
    <w:rsid w:val="007754E0"/>
    <w:pPr>
      <w:spacing w:line="240" w:lineRule="auto"/>
    </w:pPr>
    <w:rPr>
      <w:sz w:val="20"/>
      <w:szCs w:val="20"/>
    </w:rPr>
  </w:style>
  <w:style w:type="character" w:customStyle="1" w:styleId="CommentTextChar">
    <w:name w:val="Comment Text Char"/>
    <w:basedOn w:val="DefaultParagraphFont"/>
    <w:link w:val="CommentText"/>
    <w:uiPriority w:val="99"/>
    <w:semiHidden/>
    <w:rsid w:val="007754E0"/>
    <w:rPr>
      <w:sz w:val="20"/>
      <w:szCs w:val="20"/>
    </w:rPr>
  </w:style>
  <w:style w:type="paragraph" w:styleId="CommentSubject">
    <w:name w:val="annotation subject"/>
    <w:basedOn w:val="CommentText"/>
    <w:next w:val="CommentText"/>
    <w:link w:val="CommentSubjectChar"/>
    <w:uiPriority w:val="99"/>
    <w:semiHidden/>
    <w:unhideWhenUsed/>
    <w:rsid w:val="007754E0"/>
    <w:rPr>
      <w:b/>
      <w:bCs/>
    </w:rPr>
  </w:style>
  <w:style w:type="character" w:customStyle="1" w:styleId="CommentSubjectChar">
    <w:name w:val="Comment Subject Char"/>
    <w:basedOn w:val="CommentTextChar"/>
    <w:link w:val="CommentSubject"/>
    <w:uiPriority w:val="99"/>
    <w:semiHidden/>
    <w:rsid w:val="007754E0"/>
    <w:rPr>
      <w:b/>
      <w:bCs/>
      <w:sz w:val="20"/>
      <w:szCs w:val="20"/>
    </w:rPr>
  </w:style>
  <w:style w:type="paragraph" w:styleId="Revision">
    <w:name w:val="Revision"/>
    <w:hidden/>
    <w:uiPriority w:val="99"/>
    <w:semiHidden/>
    <w:rsid w:val="007754E0"/>
    <w:pPr>
      <w:spacing w:after="0" w:line="240" w:lineRule="auto"/>
    </w:pPr>
  </w:style>
  <w:style w:type="paragraph" w:styleId="BalloonText">
    <w:name w:val="Balloon Text"/>
    <w:basedOn w:val="Normal"/>
    <w:link w:val="BalloonTextChar"/>
    <w:uiPriority w:val="99"/>
    <w:semiHidden/>
    <w:unhideWhenUsed/>
    <w:rsid w:val="007C4C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CC1"/>
    <w:rPr>
      <w:rFonts w:ascii="Tahoma" w:hAnsi="Tahoma" w:cs="Tahoma"/>
      <w:sz w:val="16"/>
      <w:szCs w:val="16"/>
    </w:rPr>
  </w:style>
  <w:style w:type="paragraph" w:customStyle="1" w:styleId="Default">
    <w:name w:val="Default"/>
    <w:rsid w:val="005B36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ingleTxtG">
    <w:name w:val="_ Single Txt_G"/>
    <w:basedOn w:val="Normal"/>
    <w:link w:val="SingleTxtGChar"/>
    <w:qFormat/>
    <w:rsid w:val="00224CC5"/>
    <w:pPr>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fr-CH"/>
    </w:rPr>
  </w:style>
  <w:style w:type="character" w:customStyle="1" w:styleId="SingleTxtGChar">
    <w:name w:val="_ Single Txt_G Char"/>
    <w:link w:val="SingleTxtG"/>
    <w:locked/>
    <w:rsid w:val="00224CC5"/>
    <w:rPr>
      <w:rFonts w:ascii="Times New Roman" w:eastAsiaTheme="minorHAnsi" w:hAnsi="Times New Roman" w:cs="Times New Roman"/>
      <w:sz w:val="20"/>
      <w:szCs w:val="20"/>
      <w:lang w:val="fr-CH"/>
    </w:rPr>
  </w:style>
  <w:style w:type="character" w:customStyle="1" w:styleId="UnresolvedMention">
    <w:name w:val="Unresolved Mention"/>
    <w:basedOn w:val="DefaultParagraphFont"/>
    <w:uiPriority w:val="99"/>
    <w:semiHidden/>
    <w:unhideWhenUsed/>
    <w:rsid w:val="008E4AD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74161805">
      <w:bodyDiv w:val="1"/>
      <w:marLeft w:val="0"/>
      <w:marRight w:val="0"/>
      <w:marTop w:val="0"/>
      <w:marBottom w:val="0"/>
      <w:divBdr>
        <w:top w:val="none" w:sz="0" w:space="0" w:color="auto"/>
        <w:left w:val="none" w:sz="0" w:space="0" w:color="auto"/>
        <w:bottom w:val="none" w:sz="0" w:space="0" w:color="auto"/>
        <w:right w:val="none" w:sz="0" w:space="0" w:color="auto"/>
      </w:divBdr>
    </w:div>
    <w:div w:id="743841967">
      <w:bodyDiv w:val="1"/>
      <w:marLeft w:val="0"/>
      <w:marRight w:val="0"/>
      <w:marTop w:val="0"/>
      <w:marBottom w:val="0"/>
      <w:divBdr>
        <w:top w:val="none" w:sz="0" w:space="0" w:color="auto"/>
        <w:left w:val="none" w:sz="0" w:space="0" w:color="auto"/>
        <w:bottom w:val="none" w:sz="0" w:space="0" w:color="auto"/>
        <w:right w:val="none" w:sz="0" w:space="0" w:color="auto"/>
      </w:divBdr>
    </w:div>
    <w:div w:id="1365329292">
      <w:bodyDiv w:val="1"/>
      <w:marLeft w:val="0"/>
      <w:marRight w:val="0"/>
      <w:marTop w:val="0"/>
      <w:marBottom w:val="0"/>
      <w:divBdr>
        <w:top w:val="none" w:sz="0" w:space="0" w:color="auto"/>
        <w:left w:val="none" w:sz="0" w:space="0" w:color="auto"/>
        <w:bottom w:val="none" w:sz="0" w:space="0" w:color="auto"/>
        <w:right w:val="none" w:sz="0" w:space="0" w:color="auto"/>
      </w:divBdr>
    </w:div>
    <w:div w:id="1420904130">
      <w:bodyDiv w:val="1"/>
      <w:marLeft w:val="0"/>
      <w:marRight w:val="0"/>
      <w:marTop w:val="0"/>
      <w:marBottom w:val="0"/>
      <w:divBdr>
        <w:top w:val="none" w:sz="0" w:space="0" w:color="auto"/>
        <w:left w:val="none" w:sz="0" w:space="0" w:color="auto"/>
        <w:bottom w:val="none" w:sz="0" w:space="0" w:color="auto"/>
        <w:right w:val="none" w:sz="0" w:space="0" w:color="auto"/>
      </w:divBdr>
    </w:div>
    <w:div w:id="1477066089">
      <w:bodyDiv w:val="1"/>
      <w:marLeft w:val="0"/>
      <w:marRight w:val="0"/>
      <w:marTop w:val="0"/>
      <w:marBottom w:val="0"/>
      <w:divBdr>
        <w:top w:val="none" w:sz="0" w:space="0" w:color="auto"/>
        <w:left w:val="none" w:sz="0" w:space="0" w:color="auto"/>
        <w:bottom w:val="none" w:sz="0" w:space="0" w:color="auto"/>
        <w:right w:val="none" w:sz="0" w:space="0" w:color="auto"/>
      </w:divBdr>
    </w:div>
    <w:div w:id="1631813537">
      <w:bodyDiv w:val="1"/>
      <w:marLeft w:val="0"/>
      <w:marRight w:val="0"/>
      <w:marTop w:val="0"/>
      <w:marBottom w:val="0"/>
      <w:divBdr>
        <w:top w:val="none" w:sz="0" w:space="0" w:color="auto"/>
        <w:left w:val="none" w:sz="0" w:space="0" w:color="auto"/>
        <w:bottom w:val="none" w:sz="0" w:space="0" w:color="auto"/>
        <w:right w:val="none" w:sz="0" w:space="0" w:color="auto"/>
      </w:divBdr>
    </w:div>
    <w:div w:id="1666670316">
      <w:bodyDiv w:val="1"/>
      <w:marLeft w:val="0"/>
      <w:marRight w:val="0"/>
      <w:marTop w:val="0"/>
      <w:marBottom w:val="0"/>
      <w:divBdr>
        <w:top w:val="none" w:sz="0" w:space="0" w:color="auto"/>
        <w:left w:val="none" w:sz="0" w:space="0" w:color="auto"/>
        <w:bottom w:val="none" w:sz="0" w:space="0" w:color="auto"/>
        <w:right w:val="none" w:sz="0" w:space="0" w:color="auto"/>
      </w:divBdr>
    </w:div>
    <w:div w:id="1731222069">
      <w:bodyDiv w:val="1"/>
      <w:marLeft w:val="0"/>
      <w:marRight w:val="0"/>
      <w:marTop w:val="0"/>
      <w:marBottom w:val="0"/>
      <w:divBdr>
        <w:top w:val="none" w:sz="0" w:space="0" w:color="auto"/>
        <w:left w:val="none" w:sz="0" w:space="0" w:color="auto"/>
        <w:bottom w:val="none" w:sz="0" w:space="0" w:color="auto"/>
        <w:right w:val="none" w:sz="0" w:space="0" w:color="auto"/>
      </w:divBdr>
    </w:div>
    <w:div w:id="21389895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PD/C/HTI/CO/1" TargetMode="External"/><Relationship Id="rId2" Type="http://schemas.openxmlformats.org/officeDocument/2006/relationships/hyperlink" Target="https://gazettehaiti.com/node/9685" TargetMode="External"/><Relationship Id="rId1" Type="http://schemas.openxmlformats.org/officeDocument/2006/relationships/hyperlink" Target="https://www.passioninfosplus.com/2022/08/enpak-appelle-au-respect-des-droits-des-personnes-ayant-un-handicap-psychosoc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2025-05-29T08:52:09+00:00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9A7F220-8EC3-4EEB-B944-43807CFF3E48}">
  <ds:schemaRefs>
    <ds:schemaRef ds:uri="http://schemas.openxmlformats.org/officeDocument/2006/bibliography"/>
  </ds:schemaRefs>
</ds:datastoreItem>
</file>

<file path=customXml/itemProps2.xml><?xml version="1.0" encoding="utf-8"?>
<ds:datastoreItem xmlns:ds="http://schemas.openxmlformats.org/officeDocument/2006/customXml" ds:itemID="{38044A3A-72B8-48EC-934F-5F7E1F8A0C1F}"/>
</file>

<file path=customXml/itemProps3.xml><?xml version="1.0" encoding="utf-8"?>
<ds:datastoreItem xmlns:ds="http://schemas.openxmlformats.org/officeDocument/2006/customXml" ds:itemID="{C731190F-B89A-4831-97AF-5D7A04730A1E}"/>
</file>

<file path=customXml/itemProps4.xml><?xml version="1.0" encoding="utf-8"?>
<ds:datastoreItem xmlns:ds="http://schemas.openxmlformats.org/officeDocument/2006/customXml" ds:itemID="{9315F065-EF86-4A84-B8B2-8ADD88792343}"/>
</file>

<file path=docProps/app.xml><?xml version="1.0" encoding="utf-8"?>
<Properties xmlns="http://schemas.openxmlformats.org/officeDocument/2006/extended-properties" xmlns:vt="http://schemas.openxmlformats.org/officeDocument/2006/docPropsVTypes">
  <Template>Normal</Template>
  <TotalTime>31</TotalTime>
  <Pages>8</Pages>
  <Words>2827</Words>
  <Characters>16116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emilioneas@gmail.com</cp:lastModifiedBy>
  <cp:revision>10</cp:revision>
  <dcterms:created xsi:type="dcterms:W3CDTF">2025-05-26T20:21:00Z</dcterms:created>
  <dcterms:modified xsi:type="dcterms:W3CDTF">2025-05-28T18:01:00Z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