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86823" w14:paraId="7C6C330E" w14:textId="77777777" w:rsidTr="00E56EE3">
        <w:trPr>
          <w:trHeight w:hRule="exact" w:val="851"/>
        </w:trPr>
        <w:tc>
          <w:tcPr>
            <w:tcW w:w="1280" w:type="dxa"/>
            <w:tcBorders>
              <w:bottom w:val="single" w:sz="4" w:space="0" w:color="auto"/>
            </w:tcBorders>
          </w:tcPr>
          <w:p w14:paraId="49DFA711" w14:textId="77777777" w:rsidR="002D5AAC" w:rsidRDefault="002D5AAC" w:rsidP="00E56EE3"/>
        </w:tc>
        <w:tc>
          <w:tcPr>
            <w:tcW w:w="2273" w:type="dxa"/>
            <w:tcBorders>
              <w:bottom w:val="single" w:sz="4" w:space="0" w:color="auto"/>
            </w:tcBorders>
            <w:vAlign w:val="bottom"/>
          </w:tcPr>
          <w:p w14:paraId="2419258C" w14:textId="24A50635" w:rsidR="002D5AAC" w:rsidRPr="00D4778E" w:rsidRDefault="002D5AAC" w:rsidP="00E56EE3">
            <w:pPr>
              <w:spacing w:after="80" w:line="300" w:lineRule="exact"/>
              <w:rPr>
                <w:sz w:val="28"/>
              </w:rPr>
            </w:pPr>
          </w:p>
        </w:tc>
        <w:tc>
          <w:tcPr>
            <w:tcW w:w="6086" w:type="dxa"/>
            <w:gridSpan w:val="2"/>
            <w:tcBorders>
              <w:bottom w:val="single" w:sz="4" w:space="0" w:color="auto"/>
            </w:tcBorders>
            <w:vAlign w:val="bottom"/>
          </w:tcPr>
          <w:p w14:paraId="73C234B0" w14:textId="77777777" w:rsidR="002D5AAC" w:rsidRDefault="008A69CB" w:rsidP="00E56EE3">
            <w:pPr>
              <w:jc w:val="right"/>
            </w:pPr>
            <w:r w:rsidRPr="00660281">
              <w:rPr>
                <w:sz w:val="40"/>
              </w:rPr>
              <w:t>CRPD</w:t>
            </w:r>
            <w:r w:rsidR="00935A0B" w:rsidRPr="00F43810">
              <w:t>/C/COL/RQ/2-4</w:t>
            </w:r>
          </w:p>
        </w:tc>
      </w:tr>
      <w:tr w:rsidR="00886823" w14:paraId="278BC23D" w14:textId="77777777" w:rsidTr="00E56EE3">
        <w:trPr>
          <w:trHeight w:hRule="exact" w:val="2835"/>
        </w:trPr>
        <w:tc>
          <w:tcPr>
            <w:tcW w:w="1280" w:type="dxa"/>
            <w:tcBorders>
              <w:top w:val="single" w:sz="4" w:space="0" w:color="auto"/>
              <w:bottom w:val="single" w:sz="12" w:space="0" w:color="auto"/>
            </w:tcBorders>
          </w:tcPr>
          <w:p w14:paraId="5DEF884F" w14:textId="4EF4E93F" w:rsidR="002D5AAC" w:rsidRDefault="002D5AAC" w:rsidP="00E56EE3">
            <w:pPr>
              <w:spacing w:before="120"/>
              <w:jc w:val="center"/>
            </w:pPr>
          </w:p>
        </w:tc>
        <w:tc>
          <w:tcPr>
            <w:tcW w:w="5540" w:type="dxa"/>
            <w:gridSpan w:val="2"/>
            <w:tcBorders>
              <w:top w:val="single" w:sz="4" w:space="0" w:color="auto"/>
              <w:bottom w:val="single" w:sz="12" w:space="0" w:color="auto"/>
            </w:tcBorders>
          </w:tcPr>
          <w:p w14:paraId="494D3203" w14:textId="72CD7456" w:rsidR="002D5AAC" w:rsidRPr="00D4778E" w:rsidRDefault="008358D4" w:rsidP="00CC3501">
            <w:pPr>
              <w:spacing w:before="120" w:line="360" w:lineRule="exact"/>
              <w:rPr>
                <w:b/>
                <w:sz w:val="34"/>
                <w:szCs w:val="34"/>
              </w:rPr>
            </w:pPr>
            <w:r>
              <w:rPr>
                <w:b/>
                <w:sz w:val="34"/>
                <w:szCs w:val="34"/>
              </w:rPr>
              <w:t>VERSION AVANZADA NO EDITADA</w:t>
            </w:r>
          </w:p>
        </w:tc>
        <w:tc>
          <w:tcPr>
            <w:tcW w:w="2819" w:type="dxa"/>
            <w:tcBorders>
              <w:top w:val="single" w:sz="4" w:space="0" w:color="auto"/>
              <w:bottom w:val="single" w:sz="12" w:space="0" w:color="auto"/>
            </w:tcBorders>
          </w:tcPr>
          <w:p w14:paraId="31848BD6" w14:textId="77777777" w:rsidR="00935A0B" w:rsidRPr="00F43810" w:rsidRDefault="008A69CB" w:rsidP="00935A0B">
            <w:pPr>
              <w:spacing w:before="240" w:line="240" w:lineRule="exact"/>
            </w:pPr>
            <w:proofErr w:type="spellStart"/>
            <w:r w:rsidRPr="00F43810">
              <w:t>Distr</w:t>
            </w:r>
            <w:proofErr w:type="spellEnd"/>
            <w:r w:rsidRPr="00F43810">
              <w:t xml:space="preserve">. </w:t>
            </w:r>
            <w:r w:rsidR="006551F6" w:rsidRPr="00F43810">
              <w:t>general</w:t>
            </w:r>
          </w:p>
          <w:p w14:paraId="44F5560D" w14:textId="77777777" w:rsidR="00935A0B" w:rsidRPr="00F43810" w:rsidRDefault="008A69CB" w:rsidP="00935A0B">
            <w:r w:rsidRPr="00F43810">
              <w:t>31 de julio de 2026</w:t>
            </w:r>
          </w:p>
          <w:p w14:paraId="12F30B3D" w14:textId="77777777" w:rsidR="00935A0B" w:rsidRPr="00F43810" w:rsidRDefault="00935A0B" w:rsidP="00935A0B"/>
          <w:p w14:paraId="375DE0F4" w14:textId="146B3711" w:rsidR="002D5AAC" w:rsidRDefault="008A69CB" w:rsidP="008358D4">
            <w:r w:rsidRPr="00F43810">
              <w:t>Original: español</w:t>
            </w:r>
          </w:p>
        </w:tc>
      </w:tr>
    </w:tbl>
    <w:p w14:paraId="37A77095" w14:textId="77777777" w:rsidR="001A4396" w:rsidRDefault="008A69CB" w:rsidP="001A4396">
      <w:pPr>
        <w:spacing w:before="120"/>
        <w:rPr>
          <w:b/>
          <w:sz w:val="24"/>
          <w:szCs w:val="24"/>
        </w:rPr>
      </w:pPr>
      <w:r w:rsidRPr="00D65EF3">
        <w:rPr>
          <w:b/>
          <w:sz w:val="24"/>
          <w:szCs w:val="24"/>
        </w:rPr>
        <w:t>Comité sobre los Derechos de las Personas con Discapacidad</w:t>
      </w:r>
    </w:p>
    <w:p w14:paraId="6FFA2D44" w14:textId="07F9DAC8" w:rsidR="003B4D5D" w:rsidRPr="00FA7E8E" w:rsidRDefault="008A69CB" w:rsidP="0057653A">
      <w:pPr>
        <w:pStyle w:val="HMG"/>
      </w:pPr>
      <w:r w:rsidRPr="00FA7E8E">
        <w:rPr>
          <w:color w:val="000000"/>
        </w:rPr>
        <w:tab/>
      </w:r>
      <w:r w:rsidRPr="00FA7E8E">
        <w:rPr>
          <w:color w:val="000000"/>
        </w:rPr>
        <w:tab/>
      </w:r>
      <w:r w:rsidR="008346E4" w:rsidRPr="002D7768">
        <w:rPr>
          <w:lang w:val="es-ES_tradnl"/>
        </w:rPr>
        <w:t xml:space="preserve">Respuestas </w:t>
      </w:r>
      <w:r w:rsidR="008346E4">
        <w:rPr>
          <w:lang w:val="es-ES_tradnl"/>
        </w:rPr>
        <w:t xml:space="preserve">de Colombia </w:t>
      </w:r>
      <w:r w:rsidR="008346E4" w:rsidRPr="002D7768">
        <w:rPr>
          <w:lang w:val="es-ES_tradnl"/>
        </w:rPr>
        <w:t xml:space="preserve">a la lista de cuestiones </w:t>
      </w:r>
      <w:r w:rsidRPr="00E528EB">
        <w:rPr>
          <w:lang w:val="es-ES_tradnl"/>
        </w:rPr>
        <w:t>relativa</w:t>
      </w:r>
      <w:r w:rsidRPr="00E528EB">
        <w:t xml:space="preserve"> </w:t>
      </w:r>
      <w:r w:rsidR="008346E4" w:rsidRPr="00E528EB">
        <w:t>a su</w:t>
      </w:r>
      <w:r w:rsidR="00E528EB" w:rsidRPr="00E528EB">
        <w:t>s</w:t>
      </w:r>
      <w:r w:rsidR="008346E4" w:rsidRPr="00E528EB">
        <w:t xml:space="preserve"> informes </w:t>
      </w:r>
      <w:r w:rsidR="008346E4">
        <w:t>periódicos segundo a cuarto combinados</w:t>
      </w:r>
      <w:r>
        <w:rPr>
          <w:rStyle w:val="FootnoteReference"/>
          <w:b w:val="0"/>
          <w:color w:val="000000" w:themeColor="text1"/>
          <w:sz w:val="20"/>
          <w:vertAlign w:val="baseline"/>
        </w:rPr>
        <w:footnoteReference w:customMarkFollows="1" w:id="1"/>
        <w:t>*</w:t>
      </w:r>
    </w:p>
    <w:p w14:paraId="6BA770F4" w14:textId="1C9958E3" w:rsidR="003B4D5D" w:rsidRPr="002D7768" w:rsidRDefault="008A69CB" w:rsidP="003B4D5D">
      <w:pPr>
        <w:pStyle w:val="SingleTxtG"/>
        <w:jc w:val="right"/>
      </w:pPr>
      <w:r w:rsidRPr="002D7768">
        <w:t xml:space="preserve"> [</w:t>
      </w:r>
      <w:r w:rsidRPr="002D7768">
        <w:rPr>
          <w:lang w:val="es-ES_tradnl"/>
        </w:rPr>
        <w:t xml:space="preserve">Fecha de </w:t>
      </w:r>
      <w:r w:rsidRPr="00E528EB">
        <w:rPr>
          <w:lang w:val="es-ES_tradnl"/>
        </w:rPr>
        <w:t>recepción:</w:t>
      </w:r>
      <w:r w:rsidRPr="00E528EB">
        <w:t xml:space="preserve"> </w:t>
      </w:r>
      <w:r w:rsidR="00E528EB" w:rsidRPr="00E528EB">
        <w:t>31</w:t>
      </w:r>
      <w:r w:rsidRPr="00E528EB">
        <w:rPr>
          <w:lang w:val="es-ES_tradnl"/>
        </w:rPr>
        <w:t xml:space="preserve"> de </w:t>
      </w:r>
      <w:r w:rsidR="00E528EB" w:rsidRPr="00E528EB">
        <w:rPr>
          <w:lang w:val="es-ES_tradnl"/>
        </w:rPr>
        <w:t>julio</w:t>
      </w:r>
      <w:r w:rsidRPr="00E528EB">
        <w:rPr>
          <w:lang w:val="es-ES_tradnl"/>
        </w:rPr>
        <w:t xml:space="preserve"> de </w:t>
      </w:r>
      <w:r w:rsidR="00E528EB" w:rsidRPr="00E528EB">
        <w:rPr>
          <w:lang w:val="es-ES_tradnl"/>
        </w:rPr>
        <w:t>2026</w:t>
      </w:r>
      <w:r w:rsidRPr="00E528EB">
        <w:t>]</w:t>
      </w:r>
    </w:p>
    <w:p w14:paraId="07B61E42" w14:textId="4ED13EA6" w:rsidR="00CE7178" w:rsidRDefault="00CE7178">
      <w:pPr>
        <w:spacing w:line="240" w:lineRule="auto"/>
      </w:pPr>
      <w:r>
        <w:br w:type="page"/>
      </w:r>
    </w:p>
    <w:p w14:paraId="29280EF6" w14:textId="6FDF1915" w:rsidR="00CE7178" w:rsidRPr="00CE7178" w:rsidRDefault="00E528EB" w:rsidP="00E528EB">
      <w:pPr>
        <w:pStyle w:val="H1G"/>
        <w:rPr>
          <w:lang w:val="es-CO" w:eastAsia="ja-JP"/>
        </w:rPr>
      </w:pPr>
      <w:r>
        <w:rPr>
          <w:lang w:val="es-CO" w:eastAsia="ja-JP"/>
        </w:rPr>
        <w:lastRenderedPageBreak/>
        <w:tab/>
      </w:r>
      <w:r>
        <w:rPr>
          <w:lang w:val="es-CO" w:eastAsia="ja-JP"/>
        </w:rPr>
        <w:tab/>
      </w:r>
      <w:r w:rsidR="00CE7178" w:rsidRPr="00CE7178">
        <w:rPr>
          <w:lang w:val="es-CO" w:eastAsia="ja-JP"/>
        </w:rPr>
        <w:t>Respuesta presentada por la República de Colombia a la lista de cuestiones relativa a los informes periódicos segundo y cuarto combinados de Colombia</w:t>
      </w:r>
      <w:r w:rsidR="00CE7178" w:rsidRPr="00CE7178">
        <w:rPr>
          <w:vertAlign w:val="superscript"/>
          <w:lang w:val="es-CO" w:eastAsia="ja-JP"/>
        </w:rPr>
        <w:footnoteReference w:id="2"/>
      </w:r>
      <w:r>
        <w:rPr>
          <w:lang w:val="es-CO" w:eastAsia="ja-JP"/>
        </w:rPr>
        <w:t>-</w:t>
      </w:r>
      <w:r w:rsidR="00CE7178" w:rsidRPr="00CE7178">
        <w:rPr>
          <w:lang w:val="es-CO" w:eastAsia="ja-JP"/>
        </w:rPr>
        <w:t>2026</w:t>
      </w:r>
    </w:p>
    <w:p w14:paraId="6C0D1A7F" w14:textId="77777777" w:rsidR="00CE7178" w:rsidRPr="00CE7178" w:rsidRDefault="00CE7178" w:rsidP="00CE7178">
      <w:pPr>
        <w:spacing w:line="279" w:lineRule="auto"/>
        <w:jc w:val="both"/>
        <w:rPr>
          <w:rFonts w:ascii="Verdana" w:eastAsia="SimSun" w:hAnsi="Verdana" w:cs="Arial"/>
          <w:b/>
          <w:bCs/>
          <w:color w:val="002060"/>
          <w:sz w:val="24"/>
          <w:szCs w:val="24"/>
          <w:lang w:val="es-CO" w:eastAsia="ja-JP"/>
        </w:rPr>
      </w:pPr>
    </w:p>
    <w:p w14:paraId="4DBE5C08" w14:textId="77777777" w:rsidR="00CE7178" w:rsidRPr="00CE7178" w:rsidRDefault="00CE7178" w:rsidP="008A69CB">
      <w:pPr>
        <w:numPr>
          <w:ilvl w:val="0"/>
          <w:numId w:val="39"/>
        </w:numPr>
        <w:spacing w:after="160" w:line="279" w:lineRule="auto"/>
        <w:ind w:left="0" w:firstLine="0"/>
        <w:jc w:val="both"/>
        <w:rPr>
          <w:rFonts w:ascii="Verdana" w:eastAsia="SimSun" w:hAnsi="Verdana" w:cs="Arial"/>
          <w:b/>
          <w:bCs/>
          <w:sz w:val="24"/>
          <w:szCs w:val="24"/>
          <w:lang w:val="es-CO" w:eastAsia="ja-JP"/>
        </w:rPr>
      </w:pPr>
    </w:p>
    <w:p w14:paraId="1ADD71B4" w14:textId="77777777" w:rsidR="00CE7178" w:rsidRPr="00CE7178" w:rsidRDefault="00CE7178" w:rsidP="008A69CB">
      <w:pPr>
        <w:numPr>
          <w:ilvl w:val="1"/>
          <w:numId w:val="40"/>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eastAsia="ja-JP"/>
        </w:rPr>
        <w:t>Colombia formuló la Política Nacional de Discapacidad</w:t>
      </w:r>
      <w:r w:rsidRPr="00CE7178">
        <w:rPr>
          <w:rFonts w:ascii="Verdana" w:eastAsia="SimSun" w:hAnsi="Verdana" w:cs="Arial"/>
          <w:sz w:val="24"/>
          <w:szCs w:val="24"/>
          <w:vertAlign w:val="superscript"/>
          <w:lang w:val="es-CO" w:eastAsia="ja-JP"/>
        </w:rPr>
        <w:footnoteReference w:id="3"/>
      </w:r>
      <w:r w:rsidRPr="00CE7178">
        <w:rPr>
          <w:rFonts w:ascii="Verdana" w:eastAsia="SimSun" w:hAnsi="Verdana" w:cs="Arial"/>
          <w:sz w:val="24"/>
          <w:szCs w:val="24"/>
          <w:lang w:eastAsia="ja-JP"/>
        </w:rPr>
        <w:t xml:space="preserve"> dentro del eje "Hacia un mundo sin barreras </w:t>
      </w:r>
      <w:r w:rsidRPr="00CE7178">
        <w:rPr>
          <w:rFonts w:ascii="Verdana" w:eastAsia="Verdana" w:hAnsi="Verdana" w:cs="Verdana"/>
          <w:sz w:val="24"/>
          <w:szCs w:val="24"/>
          <w:lang w:val="es" w:eastAsia="ja-JP"/>
        </w:rPr>
        <w:t>para la garantía de los derechos de las PCD</w:t>
      </w:r>
      <w:r w:rsidRPr="00CE7178">
        <w:rPr>
          <w:rFonts w:ascii="Verdana" w:eastAsia="SimSun" w:hAnsi="Verdana" w:cs="Arial"/>
          <w:sz w:val="24"/>
          <w:szCs w:val="24"/>
          <w:lang w:eastAsia="ja-JP"/>
        </w:rPr>
        <w:t>" del PND2022-2026</w:t>
      </w:r>
      <w:r w:rsidRPr="00CE7178">
        <w:rPr>
          <w:rFonts w:ascii="Verdana" w:eastAsia="SimSun" w:hAnsi="Verdana" w:cs="Arial"/>
          <w:sz w:val="24"/>
          <w:szCs w:val="24"/>
          <w:vertAlign w:val="superscript"/>
          <w:lang w:val="es-CO" w:eastAsia="ja-JP"/>
        </w:rPr>
        <w:footnoteReference w:id="4"/>
      </w:r>
      <w:r w:rsidRPr="00CE7178">
        <w:rPr>
          <w:rFonts w:ascii="Verdana" w:eastAsia="SimSun" w:hAnsi="Verdana" w:cs="Arial"/>
          <w:sz w:val="24"/>
          <w:szCs w:val="24"/>
          <w:lang w:val="es-CO" w:eastAsia="ja-JP"/>
        </w:rPr>
        <w:t xml:space="preserve"> liderada por </w:t>
      </w:r>
      <w:proofErr w:type="spellStart"/>
      <w:r w:rsidRPr="00CE7178">
        <w:rPr>
          <w:rFonts w:ascii="Verdana" w:eastAsia="SimSun" w:hAnsi="Verdana" w:cs="Arial"/>
          <w:sz w:val="24"/>
          <w:szCs w:val="24"/>
          <w:lang w:val="es-CO" w:eastAsia="ja-JP"/>
        </w:rPr>
        <w:t>MinIgualdad</w:t>
      </w:r>
      <w:proofErr w:type="spellEnd"/>
      <w:r w:rsidRPr="00CE7178">
        <w:rPr>
          <w:rFonts w:ascii="Verdana" w:eastAsia="SimSun" w:hAnsi="Verdana" w:cs="Arial"/>
          <w:sz w:val="24"/>
          <w:szCs w:val="24"/>
          <w:lang w:val="es-CO" w:eastAsia="ja-JP"/>
        </w:rPr>
        <w:t xml:space="preserve"> y DNP, mediante 41 encuentros regionales en 2023 con 1.783 líderes sociales, organizaciones de PCD y comités departamentales y municipales. Entre 2024-2025 se formuló el documento; el borrador se sometió a consulta pública en 2025 (noviembre), con versiones accesibles del INSOR y el INCI, recibiendo 62 observaciones ciudadanas, y se presentó al CND. Se aprobó el CONPES 4198, que adopta la política con enfoque de DDHH, territorial e interseccional, orientada a superar barreras y promover el goce de los derechos, vida diga con autonomía, independencia y participación plena en condiciones de igualdad. Prevé la inversión de 5,66 billones de pesos (2026-2035), involucra 34 entidades y un plan con 119 acciones en cuatro líneas estratégicas: fortalecimiento de bienes y servicios públicos; eliminación de barreras físicas, comunicacionales y digitales; acceso al trabajo en equidad; y articulación institucional del SND, incluyendo prevención de la discriminación. Prioriza a PCD por género, edad, etnia, ruralidad, víctimas del conflicto, orientación sexual e identidad de género, con seguimiento del SND, en cumplimiento de la CDPD.</w:t>
      </w:r>
    </w:p>
    <w:p w14:paraId="3C5FD537" w14:textId="77777777" w:rsidR="00CE7178" w:rsidRPr="00CE7178" w:rsidRDefault="00CE7178" w:rsidP="00CE7178">
      <w:pPr>
        <w:spacing w:line="279" w:lineRule="auto"/>
        <w:contextualSpacing/>
        <w:jc w:val="both"/>
        <w:rPr>
          <w:rFonts w:ascii="Verdana" w:eastAsia="SimSun" w:hAnsi="Verdana" w:cs="Arial"/>
          <w:sz w:val="24"/>
          <w:szCs w:val="24"/>
          <w:lang w:val="es-CO" w:eastAsia="ja-JP"/>
        </w:rPr>
      </w:pPr>
    </w:p>
    <w:p w14:paraId="43837C1E" w14:textId="77777777" w:rsidR="00CE7178" w:rsidRPr="00CE7178" w:rsidRDefault="00CE7178" w:rsidP="008A69CB">
      <w:pPr>
        <w:numPr>
          <w:ilvl w:val="1"/>
          <w:numId w:val="40"/>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La Constitución Política y la Ley Estatutaria 1757/2015 garantizan la participación de PCD en la formulación, implementación, seguimiento y evaluación de leyes, políticas, planes, programas y proyectos, ejercida mediante el CNPC, el Consejo Nacional de Planeación, las Mesas de Participación Efectiva de las Víctimas y el SND. La Ley Estatutaria 1618/2013 y el Decreto 1350/2018 establecen ajustes razonables de accesibilidad: LSC, guía-interpretación, facilitadores, formatos accesibles, apoyos tecnológicos y lenguaje claro, aplicados en las instancias del SND y en la formulación y consulta de la Política Nacional de Discapacidad 2026-2035</w:t>
      </w:r>
      <w:r w:rsidRPr="00CE7178">
        <w:rPr>
          <w:rFonts w:ascii="Verdana" w:eastAsia="SimSun" w:hAnsi="Verdana" w:cs="Arial"/>
          <w:sz w:val="24"/>
          <w:szCs w:val="24"/>
          <w:vertAlign w:val="superscript"/>
          <w:lang w:val="es-CO" w:eastAsia="ja-JP"/>
        </w:rPr>
        <w:footnoteReference w:id="5"/>
      </w:r>
      <w:r w:rsidRPr="00CE7178">
        <w:rPr>
          <w:rFonts w:ascii="Verdana" w:eastAsia="SimSun" w:hAnsi="Verdana" w:cs="Arial"/>
          <w:sz w:val="24"/>
          <w:szCs w:val="24"/>
          <w:lang w:val="es-CO" w:eastAsia="ja-JP"/>
        </w:rPr>
        <w:t xml:space="preserve">. La PNEA incorpora el enfoque diferencial e interseccional que reconoce e incluye a las PCD como sujetos de especial atención en los procesos de educación ambiental. Los planes, programas y proyectos de educación ambiental deben garantizar su participación, </w:t>
      </w:r>
      <w:r w:rsidRPr="00CE7178">
        <w:rPr>
          <w:rFonts w:ascii="Verdana" w:eastAsia="SimSun" w:hAnsi="Verdana" w:cs="Arial"/>
          <w:sz w:val="24"/>
          <w:szCs w:val="24"/>
          <w:lang w:val="es-CO" w:eastAsia="ja-JP"/>
        </w:rPr>
        <w:lastRenderedPageBreak/>
        <w:t>considerando sus necesidades y particularidades en todas las etapas de formulación e implementación.</w:t>
      </w:r>
    </w:p>
    <w:p w14:paraId="263D5C46" w14:textId="77777777" w:rsidR="00CE7178" w:rsidRPr="00CE7178" w:rsidRDefault="00CE7178" w:rsidP="00CE7178">
      <w:pPr>
        <w:spacing w:line="279" w:lineRule="auto"/>
        <w:jc w:val="both"/>
        <w:rPr>
          <w:rFonts w:ascii="Verdana" w:eastAsia="SimSun" w:hAnsi="Verdana" w:cs="Arial"/>
          <w:sz w:val="24"/>
          <w:szCs w:val="24"/>
          <w:lang w:val="es-CO" w:eastAsia="ja-JP"/>
        </w:rPr>
      </w:pPr>
    </w:p>
    <w:p w14:paraId="1B09A6F3" w14:textId="77777777" w:rsidR="00CE7178" w:rsidRPr="00CE7178" w:rsidRDefault="00CE7178" w:rsidP="008A69CB">
      <w:pPr>
        <w:numPr>
          <w:ilvl w:val="1"/>
          <w:numId w:val="40"/>
        </w:numPr>
        <w:spacing w:after="160" w:line="279" w:lineRule="auto"/>
        <w:ind w:left="0" w:firstLine="0"/>
        <w:jc w:val="both"/>
        <w:rPr>
          <w:rFonts w:ascii="Verdana" w:eastAsia="SimSun" w:hAnsi="Verdana" w:cs="Arial"/>
          <w:sz w:val="24"/>
          <w:szCs w:val="24"/>
          <w:lang w:eastAsia="ja-JP"/>
        </w:rPr>
      </w:pPr>
      <w:r w:rsidRPr="00CE7178">
        <w:rPr>
          <w:rFonts w:ascii="Verdana" w:eastAsia="SimSun" w:hAnsi="Verdana" w:cs="Arial"/>
          <w:color w:val="000000"/>
          <w:sz w:val="24"/>
          <w:szCs w:val="24"/>
          <w:lang w:val="es-CO" w:eastAsia="ja-JP"/>
        </w:rPr>
        <w:t>La</w:t>
      </w:r>
      <w:r w:rsidRPr="00CE7178">
        <w:rPr>
          <w:rFonts w:ascii="Verdana" w:eastAsia="SimSun" w:hAnsi="Verdana" w:cs="Arial"/>
          <w:b/>
          <w:bCs/>
          <w:color w:val="000000"/>
          <w:sz w:val="24"/>
          <w:szCs w:val="24"/>
          <w:lang w:val="es-CO" w:eastAsia="ja-JP"/>
        </w:rPr>
        <w:t xml:space="preserve"> </w:t>
      </w:r>
      <w:r w:rsidRPr="00CE7178">
        <w:rPr>
          <w:rFonts w:ascii="Verdana" w:eastAsia="SimSun" w:hAnsi="Verdana" w:cs="Arial"/>
          <w:sz w:val="24"/>
          <w:szCs w:val="24"/>
          <w:lang w:val="es-CO" w:eastAsia="ja-JP"/>
        </w:rPr>
        <w:t>selección de representantes de la sociedad civil ante el CND se realiza mediante un proceso público, transparente y de alcance nacional, con ajustes razonables y medidas de accesibilidad en todas sus etapas.</w:t>
      </w:r>
    </w:p>
    <w:p w14:paraId="5C56709F" w14:textId="77777777" w:rsidR="00CE7178" w:rsidRPr="00CE7178" w:rsidRDefault="00CE7178" w:rsidP="00CE7178">
      <w:pPr>
        <w:spacing w:line="279" w:lineRule="auto"/>
        <w:jc w:val="both"/>
        <w:rPr>
          <w:rFonts w:ascii="Verdana" w:eastAsia="SimSun" w:hAnsi="Verdana" w:cs="Arial"/>
          <w:sz w:val="24"/>
          <w:szCs w:val="24"/>
          <w:lang w:eastAsia="ja-JP"/>
        </w:rPr>
      </w:pPr>
    </w:p>
    <w:p w14:paraId="7B2B7460" w14:textId="77777777" w:rsidR="00CE7178" w:rsidRPr="00CE7178" w:rsidRDefault="00CE7178" w:rsidP="008A69CB">
      <w:pPr>
        <w:numPr>
          <w:ilvl w:val="1"/>
          <w:numId w:val="40"/>
        </w:numPr>
        <w:spacing w:after="160" w:line="279" w:lineRule="auto"/>
        <w:ind w:left="0" w:firstLine="0"/>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 xml:space="preserve">Colombia fortaleció el acceso a la información pública y la rendición de cuentas inclusiva, conforme a las leyes 1712/2014, 1757/2015 y la Resolución 1519/2020, mediante portales web accesibles, lenguaje claro, formatos accesibles y canales multiformato. Las entidades públicas incorporaron ajustes razonables en audiencias, consultas y mesas de diálogo, con interpretación en LSC, apoyo tecnológico, transmisiones virtuales y mecanismos accesibles. </w:t>
      </w:r>
      <w:proofErr w:type="spellStart"/>
      <w:r w:rsidRPr="00CE7178">
        <w:rPr>
          <w:rFonts w:ascii="Verdana" w:eastAsia="SimSun" w:hAnsi="Verdana" w:cs="Arial"/>
          <w:sz w:val="24"/>
          <w:szCs w:val="24"/>
          <w:lang w:val="es-CO" w:eastAsia="ja-JP"/>
        </w:rPr>
        <w:t>MinSalud</w:t>
      </w:r>
      <w:proofErr w:type="spellEnd"/>
      <w:r w:rsidRPr="00CE7178">
        <w:rPr>
          <w:rFonts w:ascii="Verdana" w:eastAsia="SimSun" w:hAnsi="Verdana" w:cs="Arial"/>
          <w:sz w:val="24"/>
          <w:szCs w:val="24"/>
          <w:lang w:val="es-CO" w:eastAsia="ja-JP"/>
        </w:rPr>
        <w:t xml:space="preserve"> y </w:t>
      </w:r>
      <w:proofErr w:type="spellStart"/>
      <w:r w:rsidRPr="00CE7178">
        <w:rPr>
          <w:rFonts w:ascii="Verdana" w:eastAsia="SimSun" w:hAnsi="Verdana" w:cs="Arial"/>
          <w:sz w:val="24"/>
          <w:szCs w:val="24"/>
          <w:lang w:val="es-CO" w:eastAsia="ja-JP"/>
        </w:rPr>
        <w:t>MinIgualdad</w:t>
      </w:r>
      <w:proofErr w:type="spellEnd"/>
      <w:r w:rsidRPr="00CE7178">
        <w:rPr>
          <w:rFonts w:ascii="Verdana" w:eastAsia="SimSun" w:hAnsi="Verdana" w:cs="Arial"/>
          <w:sz w:val="24"/>
          <w:szCs w:val="24"/>
          <w:lang w:val="es-CO" w:eastAsia="ja-JP"/>
        </w:rPr>
        <w:t xml:space="preserve"> implementaron rendición de cuentas accesible con diagnósticos, evaluación y diálogo con organizaciones, incluido el CND. El </w:t>
      </w:r>
      <w:proofErr w:type="spellStart"/>
      <w:r w:rsidRPr="00CE7178">
        <w:rPr>
          <w:rFonts w:ascii="Verdana" w:eastAsia="SimSun" w:hAnsi="Verdana" w:cs="Arial"/>
          <w:sz w:val="24"/>
          <w:szCs w:val="24"/>
          <w:lang w:val="es-CO" w:eastAsia="ja-JP"/>
        </w:rPr>
        <w:t>CoSJ</w:t>
      </w:r>
      <w:proofErr w:type="spellEnd"/>
      <w:r w:rsidRPr="00CE7178">
        <w:rPr>
          <w:rFonts w:ascii="Verdana" w:eastAsia="SimSun" w:hAnsi="Verdana" w:cs="Arial"/>
          <w:sz w:val="24"/>
          <w:szCs w:val="24"/>
          <w:lang w:val="es-CO" w:eastAsia="ja-JP"/>
        </w:rPr>
        <w:t>, la PGN, la JEP</w:t>
      </w:r>
      <w:r w:rsidRPr="00CE7178">
        <w:rPr>
          <w:rFonts w:ascii="Verdana" w:eastAsia="SimSun" w:hAnsi="Verdana" w:cs="Arial"/>
          <w:sz w:val="24"/>
          <w:szCs w:val="24"/>
          <w:vertAlign w:val="superscript"/>
          <w:lang w:val="es-CO" w:eastAsia="ja-JP"/>
        </w:rPr>
        <w:footnoteReference w:id="6"/>
      </w:r>
      <w:r w:rsidRPr="00CE7178">
        <w:rPr>
          <w:rFonts w:ascii="Verdana" w:eastAsia="SimSun" w:hAnsi="Verdana" w:cs="Arial"/>
          <w:sz w:val="24"/>
          <w:szCs w:val="24"/>
          <w:lang w:val="es-CO" w:eastAsia="ja-JP"/>
        </w:rPr>
        <w:t xml:space="preserve"> y el CNE adoptaron medidas de acceso a información judicial y electoral accesible, interpretación en LSC y accesibilidad digital.</w:t>
      </w:r>
    </w:p>
    <w:p w14:paraId="4D1C874D" w14:textId="77777777" w:rsidR="00CE7178" w:rsidRPr="00CE7178" w:rsidRDefault="00CE7178" w:rsidP="00CE7178">
      <w:pPr>
        <w:spacing w:line="279" w:lineRule="auto"/>
        <w:jc w:val="both"/>
        <w:rPr>
          <w:rFonts w:ascii="Verdana" w:eastAsia="SimSun" w:hAnsi="Verdana" w:cs="Arial"/>
          <w:sz w:val="24"/>
          <w:szCs w:val="24"/>
          <w:lang w:val="es-CO" w:eastAsia="ja-JP"/>
        </w:rPr>
      </w:pPr>
    </w:p>
    <w:p w14:paraId="5A7F7BB3" w14:textId="77777777" w:rsidR="00CE7178" w:rsidRPr="00CE7178" w:rsidRDefault="00CE7178" w:rsidP="008A69CB">
      <w:pPr>
        <w:numPr>
          <w:ilvl w:val="1"/>
          <w:numId w:val="40"/>
        </w:numPr>
        <w:spacing w:after="160" w:line="279" w:lineRule="auto"/>
        <w:ind w:left="14" w:hanging="14"/>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 xml:space="preserve">La certificación </w:t>
      </w:r>
      <w:r w:rsidRPr="00CE7178">
        <w:rPr>
          <w:rFonts w:ascii="Verdana" w:eastAsia="Verdana" w:hAnsi="Verdana" w:cs="Verdana"/>
          <w:sz w:val="24"/>
          <w:szCs w:val="24"/>
          <w:lang w:val="es-CO" w:eastAsia="ja-JP"/>
        </w:rPr>
        <w:t>adopta el concepto de PCD de la CDPD, se fundamenta en el enfoque biopsicosocial de la CIF, mediante valoración clínica multidisciplinaria incorporada al RLCPD genera datos para acceso a programas sociales y formulación de políticas y dar cumplimiento al artículo 31 CDPD. Es gratuita, se implementa en modalidad intramural, domiciliaria, jornada de salud y telemedicina, llegando a zonas rurales y de difícil acceso. A abril (2026) se habían certificado 678.697 personas. Las resoluciones 1239/2022 y 1197/2024 eliminaron requisitos innecesarios y crearon mecanismos de financiación, reduciendo cargas administrativas y económicas. El INPEC financia las valoraciones de las PPL con 2.781 certificaciones (2020-2026)</w:t>
      </w:r>
      <w:r w:rsidRPr="00CE7178">
        <w:rPr>
          <w:rFonts w:ascii="Verdana" w:eastAsia="SimSun" w:hAnsi="Verdana" w:cs="Arial"/>
          <w:sz w:val="24"/>
          <w:szCs w:val="24"/>
          <w:lang w:val="es-CO" w:eastAsia="ja-JP"/>
        </w:rPr>
        <w:t>.</w:t>
      </w:r>
    </w:p>
    <w:p w14:paraId="67B95CFD" w14:textId="77777777" w:rsidR="00CE7178" w:rsidRPr="00CE7178" w:rsidRDefault="00CE7178" w:rsidP="00CE7178">
      <w:pPr>
        <w:spacing w:line="279" w:lineRule="auto"/>
        <w:jc w:val="both"/>
        <w:rPr>
          <w:rFonts w:ascii="Verdana" w:eastAsia="SimSun" w:hAnsi="Verdana" w:cs="Arial"/>
          <w:sz w:val="24"/>
          <w:szCs w:val="24"/>
          <w:lang w:val="es-CO" w:eastAsia="ja-JP"/>
        </w:rPr>
      </w:pPr>
    </w:p>
    <w:p w14:paraId="4D314361" w14:textId="77777777" w:rsidR="00CE7178" w:rsidRPr="00CE7178" w:rsidRDefault="00CE7178" w:rsidP="008A69CB">
      <w:pPr>
        <w:numPr>
          <w:ilvl w:val="1"/>
          <w:numId w:val="40"/>
        </w:numPr>
        <w:spacing w:after="160" w:line="279" w:lineRule="auto"/>
        <w:ind w:left="0" w:firstLine="0"/>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En el marco del PND2018-2022, el Pacto por la Inclusión de Todas las PCD incluyó el indicador "Porcentaje de personas que acceden a valoración de certificación y RLCPD", con avance del 90,20% de la meta del cuatrienio: 103.783 valoraciones (01/10/2020-30/06/2022): 92.351 institucionales, 4.549 domiciliarias y 6.883 telemedicina). Las resoluciones 367/2021 y 1233/2021 asignaron $9.800.000.000COP a 38 entidades territoriales que certificaron el cumplimiento de la Resolución 1043/2020.</w:t>
      </w:r>
    </w:p>
    <w:p w14:paraId="75F2C889" w14:textId="77777777" w:rsidR="00CE7178" w:rsidRPr="00CE7178" w:rsidRDefault="00CE7178" w:rsidP="00CE7178">
      <w:pPr>
        <w:spacing w:line="279" w:lineRule="auto"/>
        <w:jc w:val="both"/>
        <w:rPr>
          <w:rFonts w:ascii="Verdana" w:eastAsia="SimSun" w:hAnsi="Verdana" w:cs="Arial"/>
          <w:sz w:val="24"/>
          <w:szCs w:val="24"/>
          <w:lang w:val="es-CO" w:eastAsia="ja-JP"/>
        </w:rPr>
      </w:pPr>
    </w:p>
    <w:p w14:paraId="7E0429F9" w14:textId="77777777" w:rsidR="00CE7178" w:rsidRPr="00CE7178" w:rsidRDefault="00CE7178" w:rsidP="008A69CB">
      <w:pPr>
        <w:numPr>
          <w:ilvl w:val="1"/>
          <w:numId w:val="40"/>
        </w:numPr>
        <w:spacing w:after="160" w:line="279" w:lineRule="auto"/>
        <w:ind w:left="0" w:firstLine="0"/>
        <w:contextualSpacing/>
        <w:jc w:val="both"/>
        <w:rPr>
          <w:rFonts w:ascii="Verdana" w:eastAsia="SimSun" w:hAnsi="Verdana" w:cs="Arial"/>
          <w:sz w:val="24"/>
          <w:szCs w:val="24"/>
          <w:lang w:eastAsia="ja-JP"/>
        </w:rPr>
      </w:pPr>
      <w:proofErr w:type="spellStart"/>
      <w:r w:rsidRPr="00CE7178">
        <w:rPr>
          <w:rFonts w:ascii="Verdana" w:eastAsia="SimSun" w:hAnsi="Verdana" w:cs="Arial"/>
          <w:sz w:val="24"/>
          <w:szCs w:val="24"/>
          <w:lang w:val="es-CO" w:eastAsia="ja-JP"/>
        </w:rPr>
        <w:lastRenderedPageBreak/>
        <w:t>MinIgualdad</w:t>
      </w:r>
      <w:proofErr w:type="spellEnd"/>
      <w:r w:rsidRPr="00CE7178">
        <w:rPr>
          <w:rFonts w:ascii="Verdana" w:eastAsia="SimSun" w:hAnsi="Verdana" w:cs="Arial"/>
          <w:sz w:val="24"/>
          <w:szCs w:val="24"/>
          <w:lang w:val="es-CO" w:eastAsia="ja-JP"/>
        </w:rPr>
        <w:t xml:space="preserve"> adelantó acciones para garantizar la continuidad institucional y el fortalecimiento de su rectoría en la política pública de discapacidad en el SND; emitió comunicaciones alertando sobre la necesidad de asegurar la permanencia y sostenibilidad de la Dirección para la Garantía de los Derechos de las PCD, dado su rol en la coordinación, articulación y seguimiento de acciones de garantía de derechos; impulsó incidencia con los consejeros nacionales del SND y participó en mesas técnicas con el DPS para analizar mecanismos de transición que salvaguarden programas dirigidos a esta población; brindó apoyo técnico y jurídico para la defensa institucional del Ministerio, protegiendo su estructura misional y la sostenibilidad de sus acciones.</w:t>
      </w:r>
    </w:p>
    <w:p w14:paraId="00CB3F8E" w14:textId="77777777" w:rsidR="00CE7178" w:rsidRPr="00CE7178" w:rsidRDefault="00CE7178" w:rsidP="00CE7178">
      <w:pPr>
        <w:spacing w:line="279" w:lineRule="auto"/>
        <w:jc w:val="both"/>
        <w:rPr>
          <w:rFonts w:ascii="Verdana" w:eastAsia="SimSun" w:hAnsi="Verdana" w:cs="Arial"/>
          <w:sz w:val="24"/>
          <w:szCs w:val="24"/>
          <w:lang w:eastAsia="ja-JP"/>
        </w:rPr>
      </w:pPr>
    </w:p>
    <w:p w14:paraId="1051D513" w14:textId="77777777" w:rsidR="00CE7178" w:rsidRPr="00CE7178" w:rsidRDefault="00CE7178" w:rsidP="008A69CB">
      <w:pPr>
        <w:numPr>
          <w:ilvl w:val="1"/>
          <w:numId w:val="40"/>
        </w:numPr>
        <w:spacing w:after="160" w:line="279" w:lineRule="auto"/>
        <w:ind w:left="0" w:firstLine="0"/>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Colombia avanzó en la armonización de su ordenamiento con la Convención, incorporando enfoques de DDHH, igualdad, no discriminación, accesibilidad, participación y capacidad jurídica. Conformó una Comisión Legislativa dentro del GES del SND para seguimiento a proyectos normativos en el Congreso y su adecuación a la Convención. La Corte Constitucional</w:t>
      </w:r>
      <w:r w:rsidRPr="00CE7178">
        <w:rPr>
          <w:rFonts w:ascii="Verdana" w:eastAsia="SimSun" w:hAnsi="Verdana" w:cs="Arial"/>
          <w:sz w:val="24"/>
          <w:szCs w:val="24"/>
          <w:vertAlign w:val="superscript"/>
          <w:lang w:val="es-CO" w:eastAsia="ja-JP"/>
        </w:rPr>
        <w:footnoteReference w:id="7"/>
      </w:r>
      <w:r w:rsidRPr="00CE7178">
        <w:rPr>
          <w:rFonts w:ascii="Verdana" w:eastAsia="SimSun" w:hAnsi="Verdana" w:cs="Arial"/>
          <w:sz w:val="24"/>
          <w:szCs w:val="24"/>
          <w:lang w:val="es-CO" w:eastAsia="ja-JP"/>
        </w:rPr>
        <w:t>, orientó la depuración del lenguaje normativo conforme al modelo social de la discapacidad, la dignidad humana y la igualdad.</w:t>
      </w:r>
    </w:p>
    <w:p w14:paraId="2E67ED02" w14:textId="77777777" w:rsidR="00CE7178" w:rsidRPr="00CE7178" w:rsidRDefault="00CE7178" w:rsidP="00CE7178">
      <w:pPr>
        <w:spacing w:line="279" w:lineRule="auto"/>
        <w:jc w:val="both"/>
        <w:rPr>
          <w:rFonts w:ascii="Verdana" w:eastAsia="SimSun" w:hAnsi="Verdana" w:cs="Arial"/>
          <w:sz w:val="24"/>
          <w:szCs w:val="24"/>
          <w:lang w:eastAsia="ja-JP"/>
        </w:rPr>
      </w:pPr>
    </w:p>
    <w:p w14:paraId="63FC200E" w14:textId="77777777" w:rsidR="00CE7178" w:rsidRPr="00CE7178" w:rsidRDefault="00CE7178" w:rsidP="008A69CB">
      <w:pPr>
        <w:numPr>
          <w:ilvl w:val="1"/>
          <w:numId w:val="40"/>
        </w:numPr>
        <w:spacing w:after="160" w:line="279" w:lineRule="auto"/>
        <w:ind w:left="0" w:firstLine="0"/>
        <w:jc w:val="both"/>
        <w:rPr>
          <w:rFonts w:ascii="Verdana" w:eastAsia="SimSun" w:hAnsi="Verdana" w:cs="Arial"/>
          <w:sz w:val="24"/>
          <w:szCs w:val="24"/>
          <w:lang w:eastAsia="ja-JP"/>
        </w:rPr>
      </w:pPr>
      <w:r w:rsidRPr="00CE7178">
        <w:rPr>
          <w:rFonts w:ascii="Verdana" w:eastAsia="SimSun" w:hAnsi="Verdana" w:cs="Arial"/>
          <w:sz w:val="24"/>
          <w:szCs w:val="24"/>
          <w:lang w:eastAsia="ja-JP"/>
        </w:rPr>
        <w:t>El Congreso aprobó el Protocolo</w:t>
      </w:r>
      <w:r w:rsidRPr="00CE7178">
        <w:rPr>
          <w:rFonts w:ascii="Verdana" w:eastAsia="SimSun" w:hAnsi="Verdana" w:cs="Arial"/>
          <w:sz w:val="24"/>
          <w:szCs w:val="24"/>
          <w:vertAlign w:val="superscript"/>
          <w:lang w:val="es-CO" w:eastAsia="ja-JP"/>
        </w:rPr>
        <w:footnoteReference w:id="8"/>
      </w:r>
      <w:r w:rsidRPr="00CE7178">
        <w:rPr>
          <w:rFonts w:ascii="Verdana" w:eastAsia="SimSun" w:hAnsi="Verdana" w:cs="Arial"/>
          <w:sz w:val="24"/>
          <w:szCs w:val="24"/>
          <w:lang w:eastAsia="ja-JP"/>
        </w:rPr>
        <w:t xml:space="preserve">. La ley aprobatoria fue remitida a la Corte Constitucional para control constitucional, trámite que está en curso. Tras la decisión de </w:t>
      </w:r>
      <w:proofErr w:type="spellStart"/>
      <w:r w:rsidRPr="00CE7178">
        <w:rPr>
          <w:rFonts w:ascii="Verdana" w:eastAsia="SimSun" w:hAnsi="Verdana" w:cs="Arial"/>
          <w:sz w:val="24"/>
          <w:szCs w:val="24"/>
          <w:lang w:eastAsia="ja-JP"/>
        </w:rPr>
        <w:t>exequibilidad</w:t>
      </w:r>
      <w:proofErr w:type="spellEnd"/>
      <w:r w:rsidRPr="00CE7178">
        <w:rPr>
          <w:rFonts w:ascii="Verdana" w:eastAsia="SimSun" w:hAnsi="Verdana" w:cs="Arial"/>
          <w:sz w:val="24"/>
          <w:szCs w:val="24"/>
          <w:lang w:eastAsia="ja-JP"/>
        </w:rPr>
        <w:t xml:space="preserve"> del tratado y su ley aprobatoria, el Estado continuará con las etapas restantes: verificación de capacidades institucionales, elaboración y suscripción del instrumento de ratificación por el Gobierno y depósito ante la ONU.</w:t>
      </w:r>
    </w:p>
    <w:p w14:paraId="5A66B5BA" w14:textId="77777777" w:rsidR="00CE7178" w:rsidRPr="00CE7178" w:rsidRDefault="00CE7178" w:rsidP="00CE7178">
      <w:pPr>
        <w:spacing w:line="279" w:lineRule="auto"/>
        <w:contextualSpacing/>
        <w:jc w:val="both"/>
        <w:rPr>
          <w:rFonts w:ascii="Verdana" w:eastAsia="SimSun" w:hAnsi="Verdana" w:cs="Arial"/>
          <w:b/>
          <w:bCs/>
          <w:sz w:val="24"/>
          <w:szCs w:val="24"/>
          <w:lang w:eastAsia="ja-JP"/>
        </w:rPr>
      </w:pPr>
    </w:p>
    <w:p w14:paraId="315693A9" w14:textId="77777777" w:rsidR="00CE7178" w:rsidRPr="00CE7178" w:rsidRDefault="00CE7178" w:rsidP="008A69CB">
      <w:pPr>
        <w:numPr>
          <w:ilvl w:val="0"/>
          <w:numId w:val="39"/>
        </w:numPr>
        <w:spacing w:after="160" w:line="279" w:lineRule="auto"/>
        <w:ind w:left="0" w:firstLine="0"/>
        <w:jc w:val="both"/>
        <w:rPr>
          <w:rFonts w:ascii="Verdana" w:eastAsia="SimSun" w:hAnsi="Verdana" w:cs="Arial"/>
          <w:b/>
          <w:bCs/>
          <w:sz w:val="24"/>
          <w:szCs w:val="24"/>
          <w:lang w:val="es-CO" w:eastAsia="ja-JP"/>
        </w:rPr>
      </w:pPr>
    </w:p>
    <w:p w14:paraId="616B943B" w14:textId="77777777" w:rsidR="00CE7178" w:rsidRPr="00CE7178" w:rsidRDefault="00CE7178" w:rsidP="008A69CB">
      <w:pPr>
        <w:numPr>
          <w:ilvl w:val="0"/>
          <w:numId w:val="38"/>
        </w:numPr>
        <w:spacing w:after="160" w:line="279" w:lineRule="auto"/>
        <w:ind w:left="0" w:firstLine="0"/>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 Colombia fortaleció la atención accesible a PCD: espacios físicos accesibles, contenidos en LSC, navegación web y documentos accesibles, videollamadas con interpretación en LSC, y capacitación del talento humano en protocolos, LSC y braille, garantizando acceso a la información en igualdad.</w:t>
      </w:r>
    </w:p>
    <w:p w14:paraId="77229377" w14:textId="77777777" w:rsidR="00CE7178" w:rsidRPr="00CE7178" w:rsidRDefault="00CE7178" w:rsidP="00CE7178">
      <w:pPr>
        <w:spacing w:line="279" w:lineRule="auto"/>
        <w:jc w:val="both"/>
        <w:rPr>
          <w:rFonts w:ascii="Verdana" w:eastAsia="SimSun" w:hAnsi="Verdana" w:cs="Arial"/>
          <w:sz w:val="24"/>
          <w:szCs w:val="24"/>
          <w:lang w:eastAsia="ja-JP"/>
        </w:rPr>
      </w:pPr>
    </w:p>
    <w:p w14:paraId="04803BFD" w14:textId="77777777" w:rsidR="00CE7178" w:rsidRPr="00CE7178" w:rsidRDefault="00CE7178" w:rsidP="008A69CB">
      <w:pPr>
        <w:numPr>
          <w:ilvl w:val="0"/>
          <w:numId w:val="38"/>
        </w:numPr>
        <w:spacing w:after="160" w:line="279" w:lineRule="auto"/>
        <w:ind w:left="0" w:firstLine="0"/>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Colombia implementó acciones para reducir la discriminación contra PCD, como el Plan Integral de atención y garantía de derechos de pueblos indígenas con discapacidad, que fortaleció saberes comunitarios, promovió la participación y desarrolló ajustes razonables en entornos comunitarios, beneficiando a más de 1.500 personas.</w:t>
      </w:r>
    </w:p>
    <w:p w14:paraId="468A00D9" w14:textId="77777777" w:rsidR="00CE7178" w:rsidRPr="00CE7178" w:rsidRDefault="00CE7178" w:rsidP="00CE7178">
      <w:pPr>
        <w:spacing w:line="279" w:lineRule="auto"/>
        <w:jc w:val="both"/>
        <w:rPr>
          <w:rFonts w:ascii="Verdana" w:eastAsia="SimSun" w:hAnsi="Verdana" w:cs="Arial"/>
          <w:sz w:val="24"/>
          <w:szCs w:val="24"/>
          <w:lang w:eastAsia="ja-JP"/>
        </w:rPr>
      </w:pPr>
    </w:p>
    <w:p w14:paraId="374F578E" w14:textId="77777777" w:rsidR="00CE7178" w:rsidRPr="00CE7178" w:rsidRDefault="00CE7178" w:rsidP="008A69CB">
      <w:pPr>
        <w:numPr>
          <w:ilvl w:val="0"/>
          <w:numId w:val="38"/>
        </w:numPr>
        <w:spacing w:after="160" w:line="279" w:lineRule="auto"/>
        <w:ind w:left="0" w:firstLine="0"/>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Colombia garantiza que personas refugiadas y solicitantes de asilo con discapacidad accedan a programas humanitarios y sociales sin obstáculos burocráticos ni discriminación, mediante </w:t>
      </w:r>
      <w:proofErr w:type="spellStart"/>
      <w:r w:rsidRPr="00CE7178">
        <w:rPr>
          <w:rFonts w:ascii="Verdana" w:eastAsia="SimSun" w:hAnsi="Verdana" w:cs="Arial"/>
          <w:sz w:val="24"/>
          <w:szCs w:val="24"/>
          <w:lang w:val="es-CO" w:eastAsia="ja-JP"/>
        </w:rPr>
        <w:t>MinIgualdad</w:t>
      </w:r>
      <w:proofErr w:type="spellEnd"/>
      <w:r w:rsidRPr="00CE7178">
        <w:rPr>
          <w:rFonts w:ascii="Verdana" w:eastAsia="SimSun" w:hAnsi="Verdana" w:cs="Arial"/>
          <w:sz w:val="24"/>
          <w:szCs w:val="24"/>
          <w:lang w:val="es-CO" w:eastAsia="ja-JP"/>
        </w:rPr>
        <w:t xml:space="preserve"> y su programa "Raíces en Movimiento", con enfoque diferencial en discapacidad para la inclusión social, económica y cultural de la población migrante y retornada. Los 20 centros INTEGRATE realizan caracterización y atención basadas en la condición migratoria, eliminando requisitos discriminatorios y facilitando orientación, asistencia humanitaria, formación y acompañamiento institucional. Entre 2024-2026 se atendió a 4.554 personas migrantes con discapacidad (11.717 atenciones), con mayor concentración en física (1.926), visual (1.066), múltiple (476), cognitiva (438), auditiva (365), psicosocial (209), sordoceguera (65) y sin habla (9). Se brindó orientación general (1.750), garantía de derechos (1.675), orientación jurídica (1.121), salud (769) y empleabilidad (503), con acompañamiento jurídico para trámites como la certificación de discapacidad.</w:t>
      </w:r>
    </w:p>
    <w:p w14:paraId="79DEAA70" w14:textId="77777777" w:rsidR="00CE7178" w:rsidRPr="00CE7178" w:rsidRDefault="00CE7178" w:rsidP="00CE7178">
      <w:pPr>
        <w:spacing w:line="279" w:lineRule="auto"/>
        <w:jc w:val="both"/>
        <w:rPr>
          <w:rFonts w:ascii="Verdana" w:eastAsia="SimSun" w:hAnsi="Verdana" w:cs="Arial"/>
          <w:sz w:val="24"/>
          <w:szCs w:val="24"/>
          <w:lang w:eastAsia="ja-JP"/>
        </w:rPr>
      </w:pPr>
    </w:p>
    <w:p w14:paraId="6E3D924E" w14:textId="77777777" w:rsidR="00CE7178" w:rsidRPr="00CE7178" w:rsidRDefault="00CE7178" w:rsidP="008A69CB">
      <w:pPr>
        <w:numPr>
          <w:ilvl w:val="0"/>
          <w:numId w:val="38"/>
        </w:numPr>
        <w:spacing w:after="160" w:line="279" w:lineRule="auto"/>
        <w:ind w:left="0" w:firstLine="0"/>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El SPOA registra 577 procesos en indagación (01/01/2021-30/04/2026): 575 reportados por la DAIASC (606 víctimas con discapacidad) y 2 por la DAIACCO (4 víctimas), tipificados como actos de racismo o discriminación y hostigamiento por raza, religión, ideología, política u origen nacional, étnico o cultural.</w:t>
      </w:r>
    </w:p>
    <w:p w14:paraId="4B22B1D9" w14:textId="77777777" w:rsidR="00CE7178" w:rsidRPr="00CE7178" w:rsidRDefault="00CE7178" w:rsidP="00CE7178">
      <w:pPr>
        <w:spacing w:line="279" w:lineRule="auto"/>
        <w:jc w:val="both"/>
        <w:rPr>
          <w:rFonts w:ascii="Verdana" w:eastAsia="SimSun" w:hAnsi="Verdana" w:cs="Arial"/>
          <w:sz w:val="24"/>
          <w:szCs w:val="24"/>
          <w:lang w:eastAsia="ja-JP"/>
        </w:rPr>
      </w:pPr>
    </w:p>
    <w:p w14:paraId="0D0DA0E3"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5EE1C9C7" w14:textId="77777777" w:rsidR="00CE7178" w:rsidRPr="00CE7178" w:rsidRDefault="00CE7178" w:rsidP="008A69CB">
      <w:pPr>
        <w:numPr>
          <w:ilvl w:val="0"/>
          <w:numId w:val="37"/>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El RLCPD incluye el registro gratuito de cuidadores de PCD. </w:t>
      </w:r>
      <w:proofErr w:type="spellStart"/>
      <w:r w:rsidRPr="00CE7178">
        <w:rPr>
          <w:rFonts w:ascii="Verdana" w:eastAsia="SimSun" w:hAnsi="Verdana" w:cs="Arial"/>
          <w:sz w:val="24"/>
          <w:szCs w:val="24"/>
          <w:lang w:val="es-CO" w:eastAsia="ja-JP"/>
        </w:rPr>
        <w:t>MinSalud</w:t>
      </w:r>
      <w:proofErr w:type="spellEnd"/>
      <w:r w:rsidRPr="00CE7178">
        <w:rPr>
          <w:rFonts w:ascii="Verdana" w:eastAsia="SimSun" w:hAnsi="Verdana" w:cs="Arial"/>
          <w:sz w:val="24"/>
          <w:szCs w:val="24"/>
          <w:lang w:val="es-CO" w:eastAsia="ja-JP"/>
        </w:rPr>
        <w:t xml:space="preserve"> financió ayudas técnicas de movilidad vía UPC</w:t>
      </w:r>
      <w:r w:rsidRPr="00CE7178">
        <w:rPr>
          <w:rFonts w:ascii="Verdana" w:eastAsia="SimSun" w:hAnsi="Verdana" w:cs="Arial"/>
          <w:sz w:val="24"/>
          <w:szCs w:val="24"/>
          <w:vertAlign w:val="superscript"/>
          <w:lang w:val="es-CO" w:eastAsia="ja-JP"/>
        </w:rPr>
        <w:footnoteReference w:id="9"/>
      </w:r>
      <w:r w:rsidRPr="00CE7178">
        <w:rPr>
          <w:rFonts w:ascii="Verdana" w:eastAsia="SimSun" w:hAnsi="Verdana" w:cs="Arial"/>
          <w:sz w:val="24"/>
          <w:szCs w:val="24"/>
          <w:lang w:val="es-CO" w:eastAsia="ja-JP"/>
        </w:rPr>
        <w:t xml:space="preserve">. En 2025, </w:t>
      </w:r>
      <w:proofErr w:type="spellStart"/>
      <w:r w:rsidRPr="00CE7178">
        <w:rPr>
          <w:rFonts w:ascii="Verdana" w:eastAsia="SimSun" w:hAnsi="Verdana" w:cs="Arial"/>
          <w:sz w:val="24"/>
          <w:szCs w:val="24"/>
          <w:lang w:val="es-CO" w:eastAsia="ja-JP"/>
        </w:rPr>
        <w:t>MinIgualdad</w:t>
      </w:r>
      <w:proofErr w:type="spellEnd"/>
      <w:r w:rsidRPr="00CE7178">
        <w:rPr>
          <w:rFonts w:ascii="Verdana" w:eastAsia="SimSun" w:hAnsi="Verdana" w:cs="Arial"/>
          <w:sz w:val="24"/>
          <w:szCs w:val="24"/>
          <w:lang w:val="es-CO" w:eastAsia="ja-JP"/>
        </w:rPr>
        <w:t xml:space="preserve"> y </w:t>
      </w:r>
      <w:proofErr w:type="spellStart"/>
      <w:r w:rsidRPr="00CE7178">
        <w:rPr>
          <w:rFonts w:ascii="Verdana" w:eastAsia="SimSun" w:hAnsi="Verdana" w:cs="Arial"/>
          <w:sz w:val="24"/>
          <w:szCs w:val="24"/>
          <w:lang w:val="es-CO" w:eastAsia="ja-JP"/>
        </w:rPr>
        <w:t>MinTrabajo</w:t>
      </w:r>
      <w:proofErr w:type="spellEnd"/>
      <w:r w:rsidRPr="00CE7178">
        <w:rPr>
          <w:rFonts w:ascii="Verdana" w:eastAsia="SimSun" w:hAnsi="Verdana" w:cs="Arial"/>
          <w:sz w:val="24"/>
          <w:szCs w:val="24"/>
          <w:lang w:val="es-CO" w:eastAsia="ja-JP"/>
        </w:rPr>
        <w:t>, con SENA, DANE, DNP y BID, validaron perfiles de cuidador y asistente personal, avanzando en sistema de valoración de apoyos. Se proyectan el Catálogo Nacional de Servicios de Cuidado y procesos de formación y certificación. La Circular 0031/2026 promueve trabajo flexible y prohíbe discriminación laboral, y el CONPES 4143/2023 impulsa redistribución del cuidado.</w:t>
      </w:r>
    </w:p>
    <w:p w14:paraId="1706C2AB"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7966D8C2" w14:textId="77777777" w:rsidR="00CE7178" w:rsidRPr="00CE7178" w:rsidRDefault="00CE7178" w:rsidP="008A69CB">
      <w:pPr>
        <w:numPr>
          <w:ilvl w:val="0"/>
          <w:numId w:val="37"/>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Se implementó Casas para la Dignidad de las Mujeres (38 sedes operando, 12 en construcción), brindando atención jurídica, psicosocial y de autonomía económica con criterios de accesibilidad universal, conforme a la NTC-6047, la Ley 361/1997 y el Decreto 1538/2005. La JEP incorporó el modelo social de discapacidad y enfoque interseccional mediante los Acuerdos AOG-005-2022, AOG-020-2022 y 33-2023 y la Resolución 227/2025, que prevén ajustes razonables, accesibilidad física y comunicativa, acompañamiento especializado </w:t>
      </w:r>
      <w:r w:rsidRPr="00CE7178">
        <w:rPr>
          <w:rFonts w:ascii="Verdana" w:eastAsia="SimSun" w:hAnsi="Verdana" w:cs="Arial"/>
          <w:sz w:val="24"/>
          <w:szCs w:val="24"/>
          <w:lang w:val="es-CO" w:eastAsia="ja-JP"/>
        </w:rPr>
        <w:lastRenderedPageBreak/>
        <w:t>e implementación de LSC. Promueve diálogo con organizaciones de mujeres con discapacidad para caracterizar daños de violencias de género e incorporar el enfoque en los TOAR. La PNEA promueve procesos de educación ambiental orientados al reconocimiento de la diversidad, inclusión e igualdad.</w:t>
      </w:r>
    </w:p>
    <w:p w14:paraId="799684FB" w14:textId="77777777" w:rsidR="00CE7178" w:rsidRPr="00CE7178" w:rsidRDefault="00CE7178" w:rsidP="00CE7178">
      <w:pPr>
        <w:spacing w:after="160" w:line="279" w:lineRule="auto"/>
        <w:ind w:left="720"/>
        <w:contextualSpacing/>
        <w:rPr>
          <w:rFonts w:ascii="Verdana" w:eastAsia="Times New Roman" w:hAnsi="Verdana" w:cs="Segoe UI"/>
          <w:sz w:val="24"/>
          <w:szCs w:val="24"/>
          <w:lang w:val="es-CO" w:eastAsia="es-CO"/>
        </w:rPr>
      </w:pPr>
    </w:p>
    <w:p w14:paraId="1E7890CA" w14:textId="77777777" w:rsidR="00CE7178" w:rsidRPr="00CE7178" w:rsidRDefault="00CE7178" w:rsidP="008A69CB">
      <w:pPr>
        <w:numPr>
          <w:ilvl w:val="0"/>
          <w:numId w:val="37"/>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Times New Roman" w:hAnsi="Verdana" w:cs="Segoe UI"/>
          <w:sz w:val="24"/>
          <w:szCs w:val="24"/>
          <w:lang w:val="es-CO" w:eastAsia="es-CO"/>
        </w:rPr>
        <w:t xml:space="preserve">En 2020, el programa </w:t>
      </w:r>
      <w:r w:rsidRPr="00CE7178">
        <w:rPr>
          <w:rFonts w:ascii="Verdana" w:eastAsia="Times New Roman" w:hAnsi="Verdana" w:cs="Segoe UI"/>
          <w:i/>
          <w:iCs/>
          <w:sz w:val="24"/>
          <w:szCs w:val="24"/>
          <w:lang w:val="es-CO" w:eastAsia="es-CO"/>
        </w:rPr>
        <w:t>Mujeres Narran su Territorio</w:t>
      </w:r>
      <w:r w:rsidRPr="00CE7178">
        <w:rPr>
          <w:rFonts w:ascii="Verdana" w:eastAsia="Times New Roman" w:hAnsi="Verdana" w:cs="Segoe UI"/>
          <w:sz w:val="24"/>
          <w:szCs w:val="24"/>
          <w:lang w:val="es-CO" w:eastAsia="es-CO"/>
        </w:rPr>
        <w:t xml:space="preserve"> implementó la estrategia digital “Relatos de Mujeres”, mediante la cual se difundieron contenidos de 9 mujeres con discapacidad (auditiva, intelectual, psicosocial, sordoceguera y física), incluyendo 1 mujer indígena Misak. En 2021 se recopilaron relatos de mujeres con discapacidad que dieron origen a la antología “Urdimbres: Mujeres Narran la Discapacidad en su Territorio” (2022), la cual reunió los escritos de 53 mujeres con discapacidad de 12 departamentos, entre ellas 2 mujeres afrocolombianas, con discapacidad física, visual, auditiva, intelectual, psicosocial y múltiple.</w:t>
      </w:r>
    </w:p>
    <w:p w14:paraId="125755C0"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3B815B5A" w14:textId="77777777" w:rsidR="00CE7178" w:rsidRPr="00CE7178" w:rsidRDefault="00CE7178" w:rsidP="008A69CB">
      <w:pPr>
        <w:numPr>
          <w:ilvl w:val="0"/>
          <w:numId w:val="37"/>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Las Casas para la Dignidad de las Mujeres brindan atención psicosocial, orientación jurídica, redes de apoyo, autonomía económica y activación de rutas, sin distinción de nacionalidad o estatus migratorio. </w:t>
      </w:r>
      <w:proofErr w:type="spellStart"/>
      <w:r w:rsidRPr="00CE7178">
        <w:rPr>
          <w:rFonts w:ascii="Verdana" w:eastAsia="SimSun" w:hAnsi="Verdana" w:cs="Arial"/>
          <w:sz w:val="24"/>
          <w:szCs w:val="24"/>
          <w:lang w:val="es-CO" w:eastAsia="ja-JP"/>
        </w:rPr>
        <w:t>MinSalud</w:t>
      </w:r>
      <w:proofErr w:type="spellEnd"/>
      <w:r w:rsidRPr="00CE7178">
        <w:rPr>
          <w:rFonts w:ascii="Verdana" w:eastAsia="SimSun" w:hAnsi="Verdana" w:cs="Arial"/>
          <w:sz w:val="24"/>
          <w:szCs w:val="24"/>
          <w:lang w:val="es-CO" w:eastAsia="ja-JP"/>
        </w:rPr>
        <w:t xml:space="preserve"> garantiza atención integral en salud a migrantes regulares afiliados, incluyendo salud sexual y reproductiva y atención a violencias, y urgencias a población irregular; participa en la Comisión Intersectorial contra la Trata de Personas y adoptó la Resolución 401/2025, estrategia de acompañamiento psicosocial para migrantes, retornados y comunidades de acogida con enfoque interseccional.</w:t>
      </w:r>
    </w:p>
    <w:p w14:paraId="6C9A52CD"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77676AC5"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r w:rsidRPr="00CE7178">
        <w:rPr>
          <w:rFonts w:ascii="Verdana" w:eastAsia="SimSun" w:hAnsi="Verdana" w:cs="Arial"/>
          <w:b/>
          <w:bCs/>
          <w:sz w:val="24"/>
          <w:szCs w:val="24"/>
          <w:lang w:val="es-CO" w:eastAsia="ja-JP"/>
        </w:rPr>
        <w:t xml:space="preserve"> </w:t>
      </w:r>
    </w:p>
    <w:p w14:paraId="557801C6" w14:textId="77777777" w:rsidR="00CE7178" w:rsidRPr="00CE7178" w:rsidRDefault="00CE7178" w:rsidP="008A69CB">
      <w:pPr>
        <w:numPr>
          <w:ilvl w:val="0"/>
          <w:numId w:val="36"/>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El Sistema de Información Misional del ICBF registra 531 NNA con discapacidad atendidos bajo modalidad de institucionalización, quienes reciben atención integral en 132 servicios de acogimiento residencial tipo internado.</w:t>
      </w:r>
    </w:p>
    <w:p w14:paraId="77E8ECA8"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3DCBE02B" w14:textId="77777777" w:rsidR="00CE7178" w:rsidRPr="00CE7178" w:rsidRDefault="00CE7178" w:rsidP="008A69CB">
      <w:pPr>
        <w:numPr>
          <w:ilvl w:val="0"/>
          <w:numId w:val="36"/>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eastAsia="ja-JP"/>
        </w:rPr>
        <w:t xml:space="preserve">El ICBF no promueve la institucionalización por discapacidad; el ingreso solo procede en el PARD ante vulneraciones comprobadas; crea el marco estratégico del Plan para la Transformación del Cuidado, orientado a desinstitucionalización progresiva, priorización de entornos familiares y comunitarios, y prevención de institucionalizaciones </w:t>
      </w:r>
      <w:r w:rsidRPr="00CE7178">
        <w:rPr>
          <w:rFonts w:ascii="Verdana" w:eastAsia="SimSun" w:hAnsi="Verdana" w:cs="Arial"/>
          <w:sz w:val="24"/>
          <w:szCs w:val="24"/>
          <w:u w:val="single"/>
          <w:lang w:eastAsia="ja-JP"/>
        </w:rPr>
        <w:t>innecesaria</w:t>
      </w:r>
      <w:r w:rsidRPr="00CE7178">
        <w:rPr>
          <w:rFonts w:ascii="Verdana" w:eastAsia="SimSun" w:hAnsi="Verdana" w:cs="Arial"/>
          <w:sz w:val="24"/>
          <w:szCs w:val="24"/>
          <w:lang w:eastAsia="ja-JP"/>
        </w:rPr>
        <w:t>; fortalece el Hogar Sustituto como principal alternativa</w:t>
      </w:r>
      <w:r w:rsidRPr="00CE7178">
        <w:rPr>
          <w:rFonts w:ascii="Verdana" w:eastAsia="SimSun" w:hAnsi="Verdana" w:cs="Arial"/>
          <w:sz w:val="24"/>
          <w:szCs w:val="24"/>
          <w:vertAlign w:val="superscript"/>
          <w:lang w:eastAsia="ja-JP"/>
        </w:rPr>
        <w:footnoteReference w:id="10"/>
      </w:r>
      <w:r w:rsidRPr="00CE7178">
        <w:rPr>
          <w:rFonts w:ascii="Verdana" w:eastAsia="SimSun" w:hAnsi="Verdana" w:cs="Arial"/>
          <w:sz w:val="24"/>
          <w:szCs w:val="24"/>
          <w:lang w:eastAsia="ja-JP"/>
        </w:rPr>
        <w:t>, priorizando la familia extensa y crea Centros de Apoyo para la gestión de casos. El Código de la Infancia y la Adolescencia</w:t>
      </w:r>
      <w:r w:rsidRPr="00CE7178">
        <w:rPr>
          <w:rFonts w:ascii="Verdana" w:eastAsia="SimSun" w:hAnsi="Verdana" w:cs="Arial"/>
          <w:sz w:val="24"/>
          <w:szCs w:val="24"/>
          <w:vertAlign w:val="superscript"/>
          <w:lang w:val="es-CO" w:eastAsia="ja-JP"/>
        </w:rPr>
        <w:footnoteReference w:id="11"/>
      </w:r>
      <w:r w:rsidRPr="00CE7178">
        <w:rPr>
          <w:rFonts w:ascii="Verdana" w:eastAsia="SimSun" w:hAnsi="Verdana" w:cs="Arial"/>
          <w:sz w:val="24"/>
          <w:szCs w:val="24"/>
          <w:lang w:eastAsia="ja-JP"/>
        </w:rPr>
        <w:t xml:space="preserve"> garantiza el derecho de niños con discapacidad a ser escuchados: la decisión corresponde a la autoridad administrativa, con base en conceptos del Equipo Técnico Interdisciplinario y el interés superior del niño, conforme a la Sentencia T-</w:t>
      </w:r>
      <w:r w:rsidRPr="00CE7178">
        <w:rPr>
          <w:rFonts w:ascii="Verdana" w:eastAsia="SimSun" w:hAnsi="Verdana" w:cs="Arial"/>
          <w:sz w:val="24"/>
          <w:szCs w:val="24"/>
          <w:lang w:eastAsia="ja-JP"/>
        </w:rPr>
        <w:lastRenderedPageBreak/>
        <w:t>302/2025, garantizando apoyos, ajustes razonables y motivación expresa sobre la valoración de su opinión.</w:t>
      </w:r>
    </w:p>
    <w:p w14:paraId="5163A444"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76A1ABF4" w14:textId="77777777" w:rsidR="00CE7178" w:rsidRPr="00CE7178" w:rsidRDefault="00CE7178" w:rsidP="008A69CB">
      <w:pPr>
        <w:numPr>
          <w:ilvl w:val="0"/>
          <w:numId w:val="36"/>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El ICBF fortaleció mecanismos de prevención, investigación y sanción de vulneraciones de derechos mediante la Resolución 6300/2024 y el Decreto 1430/2025, que robustecen inspección, vigilancia y control sobre servicios de protección. Se incrementaron visitas de verificación con enfoque en discapacidad, adoptando medidas como intervención especial o suspensión provisional ante irregularidades. Entre 2021-2026 se sancionaron 20 instituciones: 3 cancelaciones de personería jurídica, 2 de licencia de funcionamiento, 13 suspensiones de licencia y 2 de personería jurídica. Se articula con el PARD, bajo la Ley 1878/2018 y el Código de Infancia y Adolescencia, con seguimiento hasta 6 meses prorrogables por 6 más, sin exceder 18 meses, y con la Guía de Prevención de Riesgos y el Código de Ética. Los equipos de supervisión tramitan quejas e investigaciones, consolidando el PARD como mecanismo central de protección y restitución de derechos de NNA con discapacidad institucionalizados.</w:t>
      </w:r>
    </w:p>
    <w:p w14:paraId="334E9505" w14:textId="77777777" w:rsidR="00CE7178" w:rsidRPr="00CE7178" w:rsidRDefault="00CE7178" w:rsidP="00CE7178">
      <w:pPr>
        <w:spacing w:line="279" w:lineRule="auto"/>
        <w:contextualSpacing/>
        <w:jc w:val="both"/>
        <w:rPr>
          <w:rFonts w:ascii="Verdana" w:eastAsia="SimSun" w:hAnsi="Verdana" w:cs="Arial"/>
          <w:sz w:val="24"/>
          <w:szCs w:val="24"/>
          <w:lang w:val="es-CO" w:eastAsia="ja-JP"/>
        </w:rPr>
      </w:pPr>
    </w:p>
    <w:p w14:paraId="68B7B183" w14:textId="77777777" w:rsidR="00CE7178" w:rsidRPr="00CE7178" w:rsidRDefault="00CE7178" w:rsidP="008A69CB">
      <w:pPr>
        <w:numPr>
          <w:ilvl w:val="0"/>
          <w:numId w:val="36"/>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eastAsia="ja-JP"/>
        </w:rPr>
        <w:t>En el Caso 07 de la JEP</w:t>
      </w:r>
      <w:r w:rsidRPr="00CE7178">
        <w:rPr>
          <w:rFonts w:ascii="Verdana" w:eastAsia="SimSun" w:hAnsi="Verdana" w:cs="Arial"/>
          <w:sz w:val="24"/>
          <w:szCs w:val="24"/>
          <w:vertAlign w:val="superscript"/>
          <w:lang w:val="es-CO" w:eastAsia="ja-JP"/>
        </w:rPr>
        <w:footnoteReference w:id="12"/>
      </w:r>
      <w:r w:rsidRPr="00CE7178">
        <w:rPr>
          <w:rFonts w:ascii="Verdana" w:eastAsia="SimSun" w:hAnsi="Verdana" w:cs="Arial"/>
          <w:sz w:val="24"/>
          <w:szCs w:val="24"/>
          <w:lang w:eastAsia="ja-JP"/>
        </w:rPr>
        <w:t>, la identificación de NNA con discapacidad se realiza mediante cruces técnicos, preservando confidencialidad. La JEP identificó (2026) 48 PCD; la UARIV reportó 2.658 víctimas acreditadas, 198 con discapacidad: 87 física, 42 múltiple, 16 visual, 8 auditiva, 7 intelectual, 7 psicosocial, 31 por establecer. La JEP implementa "Recetas para la paz y la restauración", que en 2025 benefició a 1.495 NNA y 60 docentes de 59 instituciones de Casanare, Huila, Antioquia, Cundinamarca, Soacha y Bogotá. En 2026 se expande a 25 establecimientos en Medellín, Valledupar y Cundinamarca. La UARIV articula la reparación administrativa con las decisiones de la JEP para garantizar acceso al componente restaurativo con enfoque diferencial y de discapacidad.</w:t>
      </w:r>
    </w:p>
    <w:p w14:paraId="6A21E07B"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30ADAC1F"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11B0E826" w14:textId="77777777" w:rsidR="00CE7178" w:rsidRPr="00CE7178" w:rsidRDefault="00CE7178" w:rsidP="008A69CB">
      <w:pPr>
        <w:numPr>
          <w:ilvl w:val="0"/>
          <w:numId w:val="35"/>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eastAsia="ja-JP"/>
        </w:rPr>
        <w:t>“Tejiendo Justicia”</w:t>
      </w:r>
      <w:r w:rsidRPr="00CE7178">
        <w:rPr>
          <w:rFonts w:ascii="Verdana" w:eastAsia="SimSun" w:hAnsi="Verdana" w:cs="Arial"/>
          <w:sz w:val="24"/>
          <w:szCs w:val="24"/>
          <w:vertAlign w:val="superscript"/>
          <w:lang w:val="es-CO" w:eastAsia="ja-JP"/>
        </w:rPr>
        <w:footnoteReference w:id="13"/>
      </w:r>
      <w:r w:rsidRPr="00CE7178">
        <w:rPr>
          <w:rFonts w:ascii="Verdana" w:eastAsia="SimSun" w:hAnsi="Verdana" w:cs="Arial"/>
          <w:sz w:val="24"/>
          <w:szCs w:val="24"/>
          <w:lang w:eastAsia="ja-JP"/>
        </w:rPr>
        <w:t xml:space="preserve"> realizó 12 encuentros nacionales (1.082 participantes) y 12 regionales, promoviendo enfoques de género y discapacidad (2020-2025); realizó cursos sobre la Ley 1996 y toma de decisiones con apoyo certificaron a 2.718 personas (2021-2025). El Protocolo de Atención Inclusiva en el Acceso a la Justicia se implementó en 118 instituciones (2020-2025), incluyendo consultorios jurídicos, centros de conciliación, comisarías de familia, notarías y alcaldías, para reducir barreras arquitectónicas, comunicativas y de información, </w:t>
      </w:r>
      <w:r w:rsidRPr="00CE7178">
        <w:rPr>
          <w:rFonts w:ascii="Verdana" w:eastAsia="SimSun" w:hAnsi="Verdana" w:cs="Arial"/>
          <w:sz w:val="24"/>
          <w:szCs w:val="24"/>
          <w:lang w:eastAsia="ja-JP"/>
        </w:rPr>
        <w:lastRenderedPageBreak/>
        <w:t>complementado con el Sistema Único de Información Normativa y la Guía de Atención a PCD.</w:t>
      </w:r>
    </w:p>
    <w:p w14:paraId="4AC6A6D6"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41FB3FF3" w14:textId="77777777" w:rsidR="00CE7178" w:rsidRPr="00CE7178" w:rsidRDefault="00CE7178" w:rsidP="008A69CB">
      <w:pPr>
        <w:numPr>
          <w:ilvl w:val="0"/>
          <w:numId w:val="35"/>
        </w:numPr>
        <w:spacing w:after="160" w:line="279" w:lineRule="auto"/>
        <w:ind w:left="0" w:firstLine="0"/>
        <w:contextualSpacing/>
        <w:jc w:val="both"/>
        <w:rPr>
          <w:rFonts w:ascii="Verdana" w:eastAsia="SimSun" w:hAnsi="Verdana" w:cs="Arial"/>
          <w:sz w:val="24"/>
          <w:szCs w:val="24"/>
          <w:lang w:eastAsia="ja-JP"/>
        </w:rPr>
      </w:pPr>
      <w:proofErr w:type="spellStart"/>
      <w:r w:rsidRPr="00CE7178">
        <w:rPr>
          <w:rFonts w:ascii="Verdana" w:eastAsia="SimSun" w:hAnsi="Verdana" w:cs="Arial"/>
          <w:sz w:val="24"/>
          <w:szCs w:val="24"/>
          <w:lang w:val="es-CO" w:eastAsia="ja-JP"/>
        </w:rPr>
        <w:t>MinIgualdad</w:t>
      </w:r>
      <w:proofErr w:type="spellEnd"/>
      <w:r w:rsidRPr="00CE7178">
        <w:rPr>
          <w:rFonts w:ascii="Verdana" w:eastAsia="SimSun" w:hAnsi="Verdana" w:cs="Arial"/>
          <w:sz w:val="24"/>
          <w:szCs w:val="24"/>
          <w:lang w:val="es-CO" w:eastAsia="ja-JP"/>
        </w:rPr>
        <w:t xml:space="preserve"> (con UdeA y SENA) desarrolló un curso sobre valoración de apoyos e incorporó el eje de toma de conciencia. </w:t>
      </w:r>
      <w:proofErr w:type="spellStart"/>
      <w:r w:rsidRPr="00CE7178">
        <w:rPr>
          <w:rFonts w:ascii="Verdana" w:eastAsia="SimSun" w:hAnsi="Verdana" w:cs="Arial"/>
          <w:sz w:val="24"/>
          <w:szCs w:val="24"/>
          <w:lang w:val="es-CO" w:eastAsia="ja-JP"/>
        </w:rPr>
        <w:t>MinJusticia</w:t>
      </w:r>
      <w:proofErr w:type="spellEnd"/>
      <w:r w:rsidRPr="00CE7178">
        <w:rPr>
          <w:rFonts w:ascii="Verdana" w:eastAsia="SimSun" w:hAnsi="Verdana" w:cs="Arial"/>
          <w:sz w:val="24"/>
          <w:szCs w:val="24"/>
          <w:lang w:val="es-CO" w:eastAsia="ja-JP"/>
        </w:rPr>
        <w:t xml:space="preserve"> realizó 61 asistencias técnicas (5.295 participantes), dirigidas a operadores de justicia, academia, familias y ciudadanía (2020-2025). En 2025, la Defensoría del Pueblo capacitó 1.199 personas (223 PCD y familiares, 976 funcionarios) sobre la Convención y el modelo social de discapacidad. </w:t>
      </w:r>
      <w:proofErr w:type="spellStart"/>
      <w:r w:rsidRPr="00CE7178">
        <w:rPr>
          <w:rFonts w:ascii="Verdana" w:eastAsia="SimSun" w:hAnsi="Verdana" w:cs="Arial"/>
          <w:sz w:val="24"/>
          <w:szCs w:val="24"/>
          <w:lang w:val="es-CO" w:eastAsia="ja-JP"/>
        </w:rPr>
        <w:t>MinSalud</w:t>
      </w:r>
      <w:proofErr w:type="spellEnd"/>
      <w:r w:rsidRPr="00CE7178">
        <w:rPr>
          <w:rFonts w:ascii="Verdana" w:eastAsia="SimSun" w:hAnsi="Verdana" w:cs="Arial"/>
          <w:sz w:val="24"/>
          <w:szCs w:val="24"/>
          <w:lang w:val="es-CO" w:eastAsia="ja-JP"/>
        </w:rPr>
        <w:t xml:space="preserve"> desarrolló webinario (2024), piezas audiovisuales (2025-2026) y curso virtual sobre enfoque diferencial desde 2022, articulado con la PNSM 2025-2034 y la Ley 2460/2025 para eliminar estereotipos y promover decisiones con apoyo.</w:t>
      </w:r>
    </w:p>
    <w:p w14:paraId="5ED12FCE"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1A23EC92"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6F3764BE" w14:textId="77777777" w:rsidR="00CE7178" w:rsidRPr="00CE7178" w:rsidRDefault="00CE7178" w:rsidP="008A69CB">
      <w:pPr>
        <w:numPr>
          <w:ilvl w:val="0"/>
          <w:numId w:val="34"/>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eastAsia="ja-JP"/>
        </w:rPr>
        <w:t>Se reactivó la Mesa Intersectorial de Accesibilidad y avanzó el Plan Nacional de Accesibilidad</w:t>
      </w:r>
      <w:r w:rsidRPr="00CE7178">
        <w:rPr>
          <w:rFonts w:ascii="Verdana" w:eastAsia="SimSun" w:hAnsi="Verdana" w:cs="Arial"/>
          <w:sz w:val="24"/>
          <w:szCs w:val="24"/>
          <w:vertAlign w:val="superscript"/>
          <w:lang w:val="es-CO" w:eastAsia="ja-JP"/>
        </w:rPr>
        <w:footnoteReference w:id="14"/>
      </w:r>
      <w:r w:rsidRPr="00CE7178">
        <w:rPr>
          <w:rFonts w:ascii="Verdana" w:eastAsia="SimSun" w:hAnsi="Verdana" w:cs="Arial"/>
          <w:sz w:val="24"/>
          <w:szCs w:val="24"/>
          <w:lang w:eastAsia="ja-JP"/>
        </w:rPr>
        <w:t xml:space="preserve">, financiado por </w:t>
      </w:r>
      <w:proofErr w:type="spellStart"/>
      <w:r w:rsidRPr="00CE7178">
        <w:rPr>
          <w:rFonts w:ascii="Verdana" w:eastAsia="SimSun" w:hAnsi="Verdana" w:cs="Arial"/>
          <w:sz w:val="24"/>
          <w:szCs w:val="24"/>
          <w:lang w:eastAsia="ja-JP"/>
        </w:rPr>
        <w:t>Fonigualdad</w:t>
      </w:r>
      <w:proofErr w:type="spellEnd"/>
      <w:r w:rsidRPr="00CE7178">
        <w:rPr>
          <w:rFonts w:ascii="Verdana" w:eastAsia="SimSun" w:hAnsi="Verdana" w:cs="Arial"/>
          <w:sz w:val="24"/>
          <w:szCs w:val="24"/>
          <w:lang w:eastAsia="ja-JP"/>
        </w:rPr>
        <w:t xml:space="preserve"> y articulado con el CONPES de discapacidad. </w:t>
      </w:r>
      <w:proofErr w:type="spellStart"/>
      <w:r w:rsidRPr="00CE7178">
        <w:rPr>
          <w:rFonts w:ascii="Verdana" w:eastAsia="SimSun" w:hAnsi="Verdana" w:cs="Arial"/>
          <w:sz w:val="24"/>
          <w:szCs w:val="24"/>
          <w:lang w:eastAsia="ja-JP"/>
        </w:rPr>
        <w:t>MinTransporte</w:t>
      </w:r>
      <w:proofErr w:type="spellEnd"/>
      <w:r w:rsidRPr="00CE7178">
        <w:rPr>
          <w:rFonts w:ascii="Verdana" w:eastAsia="SimSun" w:hAnsi="Verdana" w:cs="Arial"/>
          <w:sz w:val="24"/>
          <w:szCs w:val="24"/>
          <w:lang w:eastAsia="ja-JP"/>
        </w:rPr>
        <w:t xml:space="preserve"> expidió 25 normas técnicas desde 2013, incluida la Resolución 20223040030355, que habilita acceso de personas sordas a licencias de conducción e incorpora LSC. La accesibilidad comunicativa se regula por la Ley 324</w:t>
      </w:r>
      <w:r w:rsidRPr="00CE7178">
        <w:rPr>
          <w:rFonts w:ascii="Verdana" w:eastAsia="SimSun" w:hAnsi="Verdana" w:cs="Arial"/>
          <w:sz w:val="24"/>
          <w:szCs w:val="24"/>
          <w:lang w:val="es-CO" w:eastAsia="ja-JP"/>
        </w:rPr>
        <w:t xml:space="preserve">/1996, el Decreto 2369/1997, la Ley 982/2005, las Resoluciones 5050/2016 y 7276/2023 (televisión) y 1519/2020 (entornos digitales). </w:t>
      </w:r>
      <w:r w:rsidRPr="00CE7178">
        <w:rPr>
          <w:rFonts w:ascii="Verdana" w:eastAsia="Times New Roman" w:hAnsi="Verdana" w:cs="Segoe UI"/>
          <w:sz w:val="24"/>
          <w:szCs w:val="24"/>
          <w:lang w:val="es-CO" w:eastAsia="es-CO"/>
        </w:rPr>
        <w:t xml:space="preserve">Entre 2021-2026, el Museo Nacional consolidó el Programa de Comunidades, Accesibilidad e Inclusión, fortaleciendo la accesibilidad física, comunicativa, museográfica y educativa mediante recursos accesibles (LSC, braille, audiodescripción, subtitulado y lectura fácil), ajustes razonables y procesos de </w:t>
      </w:r>
      <w:proofErr w:type="spellStart"/>
      <w:r w:rsidRPr="00CE7178">
        <w:rPr>
          <w:rFonts w:ascii="Verdana" w:eastAsia="Times New Roman" w:hAnsi="Verdana" w:cs="Segoe UI"/>
          <w:sz w:val="24"/>
          <w:szCs w:val="24"/>
          <w:lang w:val="es-CO" w:eastAsia="es-CO"/>
        </w:rPr>
        <w:t>co-diseño</w:t>
      </w:r>
      <w:proofErr w:type="spellEnd"/>
      <w:r w:rsidRPr="00CE7178">
        <w:rPr>
          <w:rFonts w:ascii="Verdana" w:eastAsia="Times New Roman" w:hAnsi="Verdana" w:cs="Segoe UI"/>
          <w:sz w:val="24"/>
          <w:szCs w:val="24"/>
          <w:lang w:val="es-CO" w:eastAsia="es-CO"/>
        </w:rPr>
        <w:t xml:space="preserve"> con PCD</w:t>
      </w:r>
      <w:r w:rsidRPr="00CE7178">
        <w:rPr>
          <w:rFonts w:ascii="Segoe UI" w:eastAsia="Times New Roman" w:hAnsi="Segoe UI" w:cs="Segoe UI"/>
          <w:sz w:val="21"/>
          <w:szCs w:val="21"/>
          <w:lang w:val="es-CO" w:eastAsia="es-CO"/>
        </w:rPr>
        <w:t xml:space="preserve">. </w:t>
      </w:r>
    </w:p>
    <w:p w14:paraId="3B20C6B5"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7373E6FE" w14:textId="77777777" w:rsidR="00CE7178" w:rsidRPr="00CE7178" w:rsidRDefault="00CE7178" w:rsidP="008A69CB">
      <w:pPr>
        <w:numPr>
          <w:ilvl w:val="0"/>
          <w:numId w:val="34"/>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Colombia</w:t>
      </w:r>
      <w:r w:rsidRPr="00CE7178">
        <w:rPr>
          <w:rFonts w:ascii="Verdana" w:eastAsia="SimSun" w:hAnsi="Verdana" w:cs="Arial"/>
          <w:b/>
          <w:bCs/>
          <w:sz w:val="24"/>
          <w:szCs w:val="24"/>
          <w:lang w:val="es-CO" w:eastAsia="ja-JP"/>
        </w:rPr>
        <w:t xml:space="preserve"> </w:t>
      </w:r>
      <w:r w:rsidRPr="00CE7178">
        <w:rPr>
          <w:rFonts w:ascii="Verdana" w:eastAsia="SimSun" w:hAnsi="Verdana" w:cs="Arial"/>
          <w:sz w:val="24"/>
          <w:szCs w:val="24"/>
          <w:lang w:val="es-CO" w:eastAsia="ja-JP"/>
        </w:rPr>
        <w:t xml:space="preserve">fortaleció la accesibilidad física, comunicacional y digital conforme a la NTC-6047, NTC-5854 y Resolución 1519/2020. En 2026 (marzo), 76.315 sedes habilitadas del REPS cumplían condiciones de accesibilidad; la DIAN contaba con 111 sedes accesibles y el ICBF con 251 buzones accesibles en las 33 regionales. </w:t>
      </w:r>
      <w:proofErr w:type="spellStart"/>
      <w:r w:rsidRPr="00CE7178">
        <w:rPr>
          <w:rFonts w:ascii="Verdana" w:eastAsia="SimSun" w:hAnsi="Verdana" w:cs="Arial"/>
          <w:sz w:val="24"/>
          <w:szCs w:val="24"/>
          <w:lang w:val="es-CO" w:eastAsia="ja-JP"/>
        </w:rPr>
        <w:t>MinJusticia</w:t>
      </w:r>
      <w:proofErr w:type="spellEnd"/>
      <w:r w:rsidRPr="00CE7178">
        <w:rPr>
          <w:rFonts w:ascii="Verdana" w:eastAsia="SimSun" w:hAnsi="Verdana" w:cs="Arial"/>
          <w:sz w:val="24"/>
          <w:szCs w:val="24"/>
          <w:lang w:val="es-CO" w:eastAsia="ja-JP"/>
        </w:rPr>
        <w:t xml:space="preserve"> implementó el Protocolo de Atención Inclusiva en 118 instituciones (2020-2025). La FGN, JEP, CSJ, ministerios y alcaldías incorporaron rampas, señalización braille, sistemas </w:t>
      </w:r>
      <w:proofErr w:type="spellStart"/>
      <w:r w:rsidRPr="00CE7178">
        <w:rPr>
          <w:rFonts w:ascii="Verdana" w:eastAsia="SimSun" w:hAnsi="Verdana" w:cs="Arial"/>
          <w:sz w:val="24"/>
          <w:szCs w:val="24"/>
          <w:lang w:val="es-CO" w:eastAsia="ja-JP"/>
        </w:rPr>
        <w:t>podotáctiles</w:t>
      </w:r>
      <w:proofErr w:type="spellEnd"/>
      <w:r w:rsidRPr="00CE7178">
        <w:rPr>
          <w:rFonts w:ascii="Verdana" w:eastAsia="SimSun" w:hAnsi="Verdana" w:cs="Arial"/>
          <w:sz w:val="24"/>
          <w:szCs w:val="24"/>
          <w:lang w:val="es-CO" w:eastAsia="ja-JP"/>
        </w:rPr>
        <w:t xml:space="preserve">, software y portales web accesibles. El INSOR asistió técnicamente a más de 50 entidades. En 2025, el DPS atendió 37.847 PCD; desde 2023, la FGN benefició a 488 personas con videollamadas en LSC, y la UAEMC implementó interpretación remota en 35 puntos. Se desarrollaron iniciativas como TIC Sin Barreras, lectores de pantalla, navegación por teclado y videollamadas en LSC, sin cifra nacional consolidada de beneficiarios. Para ampliar intérpretes de LSC se implementaron convenios </w:t>
      </w:r>
      <w:r w:rsidRPr="00CE7178">
        <w:rPr>
          <w:rFonts w:ascii="Verdana" w:eastAsia="SimSun" w:hAnsi="Verdana" w:cs="Arial"/>
          <w:sz w:val="24"/>
          <w:szCs w:val="24"/>
          <w:lang w:val="es-CO" w:eastAsia="ja-JP"/>
        </w:rPr>
        <w:lastRenderedPageBreak/>
        <w:t>con el Centro de Relevo, creación del RENI, formación con el SENA y contratación directa, aunque persiste déficit regional.</w:t>
      </w:r>
    </w:p>
    <w:p w14:paraId="407184ED"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5E054C3E" w14:textId="77777777" w:rsidR="00CE7178" w:rsidRPr="00CE7178" w:rsidRDefault="00CE7178" w:rsidP="008A69CB">
      <w:pPr>
        <w:numPr>
          <w:ilvl w:val="0"/>
          <w:numId w:val="34"/>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La Superintendencia de Transporte expidió la Resolución 2491/2022, con lineamientos para supervisar la accesibilidad en terminales terrestres, aeropuertos e infraestructura vial concesionada. El seguimiento cubrió 166 infraestructuras (48 concesiones viales, 52 terminales terrestres, 66 aéreas), con 166 autoevaluaciones, 166 verificaciones documentales y 103 inspecciones territoriales. La accesibilidad promedio fue 44,4%: terminales terrestres 58,4% (15 entre 0-50%, 29 entre 51-70%, 8 sobre 71%); aeropuertos 40,6% (46 entre 0-50%, 29 entre 51-70%, 3 sobre 71%); </w:t>
      </w:r>
      <w:bookmarkStart w:id="0" w:name="_Int_gR6VpPMm"/>
      <w:r w:rsidRPr="00CE7178">
        <w:rPr>
          <w:rFonts w:ascii="Verdana" w:eastAsia="SimSun" w:hAnsi="Verdana" w:cs="Arial"/>
          <w:sz w:val="24"/>
          <w:szCs w:val="24"/>
          <w:lang w:val="es-CO" w:eastAsia="ja-JP"/>
        </w:rPr>
        <w:t>vial concesionada</w:t>
      </w:r>
      <w:bookmarkEnd w:id="0"/>
      <w:r w:rsidRPr="00CE7178">
        <w:rPr>
          <w:rFonts w:ascii="Verdana" w:eastAsia="SimSun" w:hAnsi="Verdana" w:cs="Arial"/>
          <w:sz w:val="24"/>
          <w:szCs w:val="24"/>
          <w:lang w:val="es-CO" w:eastAsia="ja-JP"/>
        </w:rPr>
        <w:t xml:space="preserve"> 34,4% (37 bajo 50%, 8 entre 51-70%, 3 entre 71-80%), único sector con 2 proyectos cercanos al 100% de cumplimiento.</w:t>
      </w:r>
    </w:p>
    <w:p w14:paraId="0C4ABFB1" w14:textId="77777777" w:rsidR="00CE7178" w:rsidRPr="00CE7178" w:rsidRDefault="00CE7178" w:rsidP="00CE7178">
      <w:pPr>
        <w:spacing w:line="279" w:lineRule="auto"/>
        <w:ind w:hanging="360"/>
        <w:contextualSpacing/>
        <w:jc w:val="both"/>
        <w:rPr>
          <w:rFonts w:ascii="Verdana" w:eastAsia="SimSun" w:hAnsi="Verdana" w:cs="Arial"/>
          <w:sz w:val="24"/>
          <w:szCs w:val="24"/>
          <w:lang w:eastAsia="ja-JP"/>
        </w:rPr>
      </w:pPr>
    </w:p>
    <w:p w14:paraId="2AA8A29F" w14:textId="77777777" w:rsidR="00CE7178" w:rsidRPr="00CE7178" w:rsidRDefault="00CE7178" w:rsidP="008A69CB">
      <w:pPr>
        <w:numPr>
          <w:ilvl w:val="0"/>
          <w:numId w:val="34"/>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El Estado fortaleció la accesibilidad de los servicios de emergencia mediante el SNGRD, coordinado por el MinDefensa con Defensa Civil, la Cruz Roja y bomberos, garantizando capacidades médicas en todo el territorio. La FGN incorporó videollamadas en LSC en sus canales presenciales, telefónicos y virtuales, avanzando en rutas de atención diferenciadas y adecuación de servicios, incluidas estrategias para poblaciones rurales e indígenas. Se mantiene la línea “123” como mecanismo de activación inmediata. La capacitación de operadores y el restablecimiento del Centro de Relevo continúan mediante coordinación interinstitucional.</w:t>
      </w:r>
    </w:p>
    <w:p w14:paraId="227385E1" w14:textId="77777777" w:rsidR="00CE7178" w:rsidRPr="00CE7178" w:rsidRDefault="00CE7178" w:rsidP="00CE7178">
      <w:pPr>
        <w:spacing w:line="279" w:lineRule="auto"/>
        <w:contextualSpacing/>
        <w:jc w:val="both"/>
        <w:rPr>
          <w:rFonts w:ascii="Verdana" w:eastAsia="SimSun" w:hAnsi="Verdana" w:cs="Arial"/>
          <w:b/>
          <w:bCs/>
          <w:color w:val="FFFFFF"/>
          <w:sz w:val="24"/>
          <w:szCs w:val="24"/>
          <w:lang w:eastAsia="ja-JP"/>
        </w:rPr>
      </w:pPr>
    </w:p>
    <w:p w14:paraId="44E3D397"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7339334D" w14:textId="77777777" w:rsidR="00CE7178" w:rsidRPr="00CE7178" w:rsidRDefault="00CE7178" w:rsidP="008A69CB">
      <w:pPr>
        <w:numPr>
          <w:ilvl w:val="0"/>
          <w:numId w:val="33"/>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eastAsia="ja-JP"/>
        </w:rPr>
        <w:t>Colombia implementa SAT accesibles y multisensoriales, rutas de evacuación y albergues bajo criterios de diseño universal, ayudas humanitarias diferenciadas, y simulacros inclusivos ajustados a distintos tipos de discapacidad. Se promueve la participación plena, efectiva y vinculante de las PCD y sus organizaciones en los espacios de decisión del SNGRD. El Proyecto 3.3-P1</w:t>
      </w:r>
      <w:r w:rsidRPr="00CE7178">
        <w:rPr>
          <w:rFonts w:ascii="Verdana" w:eastAsia="SimSun" w:hAnsi="Verdana" w:cs="Arial"/>
          <w:sz w:val="24"/>
          <w:szCs w:val="24"/>
          <w:vertAlign w:val="superscript"/>
          <w:lang w:val="es-CO" w:eastAsia="ja-JP"/>
        </w:rPr>
        <w:footnoteReference w:id="15"/>
      </w:r>
      <w:r w:rsidRPr="00CE7178">
        <w:rPr>
          <w:rFonts w:ascii="Verdana" w:eastAsia="SimSun" w:hAnsi="Verdana" w:cs="Arial"/>
          <w:sz w:val="24"/>
          <w:szCs w:val="24"/>
          <w:lang w:eastAsia="ja-JP"/>
        </w:rPr>
        <w:t>, transversaliza el enfoque de derechos en el SNGRD; se destaca el diseño de módulos pedagógicos sobre interseccionalidad, género, enfoques étnicos</w:t>
      </w:r>
      <w:r w:rsidRPr="00CE7178">
        <w:rPr>
          <w:rFonts w:ascii="Verdana" w:eastAsia="SimSun" w:hAnsi="Verdana" w:cs="Arial"/>
          <w:sz w:val="24"/>
          <w:szCs w:val="24"/>
          <w:lang w:val="es-CO" w:eastAsia="ja-JP"/>
        </w:rPr>
        <w:t>, campesino, discapacidad y ciclo de vida.</w:t>
      </w:r>
    </w:p>
    <w:p w14:paraId="7471FCF1"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5401A003" w14:textId="77777777" w:rsidR="00CE7178" w:rsidRPr="00CE7178" w:rsidRDefault="00CE7178" w:rsidP="008A69CB">
      <w:pPr>
        <w:numPr>
          <w:ilvl w:val="0"/>
          <w:numId w:val="33"/>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MinDefensa actualiza la Política de Discapacidad del Sector para armonizarla con el CONPES de Discapacidad y lineamientos del CND. La iniciativa "Gestión del Riesgo de Desastres para la Inclusión de PCD", incorpora el enfoque diferencial en lineamientos técnicos nacionales para garantizar atención </w:t>
      </w:r>
      <w:r w:rsidRPr="00CE7178">
        <w:rPr>
          <w:rFonts w:ascii="Verdana" w:eastAsia="SimSun" w:hAnsi="Verdana" w:cs="Arial"/>
          <w:sz w:val="24"/>
          <w:szCs w:val="24"/>
          <w:lang w:val="es-CO" w:eastAsia="ja-JP"/>
        </w:rPr>
        <w:lastRenderedPageBreak/>
        <w:t>oportuna, accesible e inclusiva en emergencias incluyendo protocolos de evacuación, SAT y fortalecimiento de capacidades territoriales.</w:t>
      </w:r>
    </w:p>
    <w:p w14:paraId="5D6473AC" w14:textId="77777777" w:rsidR="00CE7178" w:rsidRPr="00CE7178" w:rsidRDefault="00CE7178" w:rsidP="00CE7178">
      <w:pPr>
        <w:spacing w:line="279" w:lineRule="auto"/>
        <w:contextualSpacing/>
        <w:jc w:val="both"/>
        <w:rPr>
          <w:rFonts w:ascii="Verdana" w:eastAsia="SimSun" w:hAnsi="Verdana" w:cs="Arial"/>
          <w:sz w:val="24"/>
          <w:szCs w:val="24"/>
          <w:highlight w:val="red"/>
          <w:lang w:eastAsia="ja-JP"/>
        </w:rPr>
      </w:pPr>
    </w:p>
    <w:p w14:paraId="71B66C7E" w14:textId="77777777" w:rsidR="00CE7178" w:rsidRPr="00CE7178" w:rsidRDefault="00CE7178" w:rsidP="008A69CB">
      <w:pPr>
        <w:numPr>
          <w:ilvl w:val="0"/>
          <w:numId w:val="33"/>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Se incorporan criterios de accesibilidad universal para la gestión de emergencias, incluyendo señalización táctil, visual y en braille; sistemas de alerta y alarmas multisensoriales con sonido, luz, vibración y mensajes; adecuación de rutas de evacuación mediante eliminación de barreras físicas; y fortalecimiento de simulacros inclusivos para validar tiempos y condiciones reales de evacuación de PCD.</w:t>
      </w:r>
    </w:p>
    <w:p w14:paraId="7E6D03E6"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373B7E93" w14:textId="77777777" w:rsidR="00CE7178" w:rsidRPr="00CE7178" w:rsidRDefault="00CE7178" w:rsidP="008A69CB">
      <w:pPr>
        <w:numPr>
          <w:ilvl w:val="0"/>
          <w:numId w:val="33"/>
        </w:numPr>
        <w:spacing w:after="160" w:line="279" w:lineRule="auto"/>
        <w:ind w:left="0" w:firstLine="0"/>
        <w:contextualSpacing/>
        <w:jc w:val="both"/>
        <w:rPr>
          <w:rFonts w:ascii="Verdana" w:eastAsia="SimSun" w:hAnsi="Verdana" w:cs="Arial"/>
          <w:sz w:val="24"/>
          <w:szCs w:val="24"/>
          <w:lang w:eastAsia="ja-JP"/>
        </w:rPr>
      </w:pPr>
      <w:proofErr w:type="spellStart"/>
      <w:r w:rsidRPr="00CE7178">
        <w:rPr>
          <w:rFonts w:ascii="Verdana" w:eastAsia="SimSun" w:hAnsi="Verdana" w:cs="Arial"/>
          <w:sz w:val="24"/>
          <w:szCs w:val="24"/>
          <w:lang w:eastAsia="ja-JP"/>
        </w:rPr>
        <w:t>MinSalud</w:t>
      </w:r>
      <w:proofErr w:type="spellEnd"/>
      <w:r w:rsidRPr="00CE7178">
        <w:rPr>
          <w:rFonts w:ascii="Verdana" w:eastAsia="SimSun" w:hAnsi="Verdana" w:cs="Arial"/>
          <w:sz w:val="24"/>
          <w:szCs w:val="24"/>
          <w:lang w:eastAsia="ja-JP"/>
        </w:rPr>
        <w:t xml:space="preserve"> incorporó el enfoque diferencial en la atención, con medidas de accesibilidad en información, puntos de vacunación y consentimiento informado con apoyos. Consolidó la telemedicina para certificación y registro de discapacidad, con 61.929 valoraciones (2021-2026). La PGN fortaleció el control para eliminar barreras, garantizar continuidad de rehabilitación y supervisar el Plan Nacional de Vacunación con criterios de equidad</w:t>
      </w:r>
      <w:r w:rsidRPr="00CE7178">
        <w:rPr>
          <w:rFonts w:ascii="Verdana" w:eastAsia="SimSun" w:hAnsi="Verdana" w:cs="Arial"/>
          <w:sz w:val="24"/>
          <w:szCs w:val="24"/>
          <w:vertAlign w:val="superscript"/>
          <w:lang w:val="es-CO" w:eastAsia="ja-JP"/>
        </w:rPr>
        <w:footnoteReference w:id="16"/>
      </w:r>
      <w:r w:rsidRPr="00CE7178">
        <w:rPr>
          <w:rFonts w:ascii="Verdana" w:eastAsia="SimSun" w:hAnsi="Verdana" w:cs="Arial"/>
          <w:sz w:val="24"/>
          <w:szCs w:val="24"/>
          <w:lang w:eastAsia="ja-JP"/>
        </w:rPr>
        <w:t>.</w:t>
      </w:r>
    </w:p>
    <w:p w14:paraId="00739629"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6D5464AE" w14:textId="77777777" w:rsidR="00CE7178" w:rsidRPr="00CE7178" w:rsidRDefault="00CE7178" w:rsidP="008A69CB">
      <w:pPr>
        <w:numPr>
          <w:ilvl w:val="0"/>
          <w:numId w:val="33"/>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La PGN ejerce vigilancia preventiva para que los procesos de priorización en salud se ajusten a estándares internacionales, exigiendo protocolos con criterios objetivos, razonables y proporcionales que prohíban la discriminación por discapacidad, en el </w:t>
      </w:r>
      <w:proofErr w:type="spellStart"/>
      <w:r w:rsidRPr="00CE7178">
        <w:rPr>
          <w:rFonts w:ascii="Verdana" w:eastAsia="SimSun" w:hAnsi="Verdana" w:cs="Arial"/>
          <w:sz w:val="24"/>
          <w:szCs w:val="24"/>
          <w:lang w:val="es-CO" w:eastAsia="ja-JP"/>
        </w:rPr>
        <w:t>triage</w:t>
      </w:r>
      <w:proofErr w:type="spellEnd"/>
      <w:r w:rsidRPr="00CE7178">
        <w:rPr>
          <w:rFonts w:ascii="Verdana" w:eastAsia="SimSun" w:hAnsi="Verdana" w:cs="Arial"/>
          <w:sz w:val="24"/>
          <w:szCs w:val="24"/>
          <w:lang w:val="es-CO" w:eastAsia="ja-JP"/>
        </w:rPr>
        <w:t xml:space="preserve"> y acceso a UCI, advirtiendo que su incumplimiento puede dar lugar a acciones disciplinarias. </w:t>
      </w:r>
      <w:r w:rsidRPr="00CE7178">
        <w:rPr>
          <w:rFonts w:ascii="Verdana" w:eastAsia="Verdana" w:hAnsi="Verdana" w:cs="Verdana"/>
          <w:sz w:val="24"/>
          <w:szCs w:val="24"/>
          <w:lang w:val="es-CO" w:eastAsia="ja-JP"/>
        </w:rPr>
        <w:t>Minsalud expidió la Resolución 2720/2025 fija criterios de priorización éticos y no discriminatorios, exige ajustes razonables, accesibilidad, participación de PCD, criterios clínicos basados en evidencia y formación en bioética.</w:t>
      </w:r>
    </w:p>
    <w:p w14:paraId="59A7537B"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033A8D33" w14:textId="77777777" w:rsidR="00CE7178" w:rsidRPr="00CE7178" w:rsidRDefault="00CE7178" w:rsidP="008A69CB">
      <w:pPr>
        <w:numPr>
          <w:ilvl w:val="0"/>
          <w:numId w:val="33"/>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 xml:space="preserve">La JEP, implementa lineamientos, guías y protocolos con ajustes razonables, LSC, lectura fácil, subtitulación, apoyos técnicos y enfoque interseccional, aplicados en el Caso 03 y la Resolución SAI-SUBA-IC-D036-2023, y la OAED brinda acompañamiento especializado para la implementación de ajustes razonables durante las actuaciones judiciales. Entre 2021-2026(abril), la PGN recibió 1.156 declaraciones de PCD en su núcleo familiar y asesoró en ayudas humanitarias e indemnizaciones por ruta prioritaria a 267 víctimas (199 en 2025, 68 en 2026). Entre 2021-2024, la UARIV indemnizó a 43.592 PCD: 3.703 (2021), 7.673 (2022), 16.830 (2023) y 15.386 (2024). La Comisión de Seguimiento a la Ley de Víctimas recomendó a la UARIV y </w:t>
      </w:r>
      <w:proofErr w:type="spellStart"/>
      <w:r w:rsidRPr="00CE7178">
        <w:rPr>
          <w:rFonts w:ascii="Verdana" w:eastAsia="SimSun" w:hAnsi="Verdana" w:cs="Arial"/>
          <w:sz w:val="24"/>
          <w:szCs w:val="24"/>
          <w:lang w:val="es-CO" w:eastAsia="ja-JP"/>
        </w:rPr>
        <w:t>MinSalud</w:t>
      </w:r>
      <w:proofErr w:type="spellEnd"/>
      <w:r w:rsidRPr="00CE7178">
        <w:rPr>
          <w:rFonts w:ascii="Verdana" w:eastAsia="SimSun" w:hAnsi="Verdana" w:cs="Arial"/>
          <w:sz w:val="24"/>
          <w:szCs w:val="24"/>
          <w:lang w:val="es-CO" w:eastAsia="ja-JP"/>
        </w:rPr>
        <w:t xml:space="preserve"> adoptar planes específicos y agilizar la certificación de discapacidad en municipios categorías 5-6.</w:t>
      </w:r>
    </w:p>
    <w:p w14:paraId="78478623" w14:textId="77777777" w:rsidR="00CE7178" w:rsidRPr="00CE7178" w:rsidRDefault="00CE7178" w:rsidP="00CE7178">
      <w:pPr>
        <w:spacing w:line="279" w:lineRule="auto"/>
        <w:contextualSpacing/>
        <w:jc w:val="both"/>
        <w:rPr>
          <w:rFonts w:ascii="Verdana" w:eastAsia="SimSun" w:hAnsi="Verdana" w:cs="Arial"/>
          <w:sz w:val="24"/>
          <w:szCs w:val="24"/>
          <w:lang w:val="es-CO" w:eastAsia="ja-JP"/>
        </w:rPr>
      </w:pPr>
    </w:p>
    <w:p w14:paraId="6AF1D7CA" w14:textId="77777777" w:rsidR="00CE7178" w:rsidRPr="00CE7178" w:rsidRDefault="00CE7178" w:rsidP="008A69CB">
      <w:pPr>
        <w:numPr>
          <w:ilvl w:val="0"/>
          <w:numId w:val="33"/>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lastRenderedPageBreak/>
        <w:t>La JEP implementa un esquema transversal para incorporar el modelo de DDHH y prevenir discriminación y estigma contra PCD, especialmente firmantes del Acuerdo de Paz</w:t>
      </w:r>
      <w:r w:rsidRPr="00CE7178">
        <w:rPr>
          <w:rFonts w:ascii="Verdana" w:eastAsia="SimSun" w:hAnsi="Verdana" w:cs="Arial"/>
          <w:sz w:val="24"/>
          <w:szCs w:val="24"/>
          <w:vertAlign w:val="superscript"/>
          <w:lang w:val="es-CO" w:eastAsia="ja-JP"/>
        </w:rPr>
        <w:footnoteReference w:id="17"/>
      </w:r>
      <w:r w:rsidRPr="00CE7178">
        <w:rPr>
          <w:rFonts w:ascii="Verdana" w:eastAsia="SimSun" w:hAnsi="Verdana" w:cs="Arial"/>
          <w:sz w:val="24"/>
          <w:szCs w:val="24"/>
          <w:lang w:val="es-CO" w:eastAsia="ja-JP"/>
        </w:rPr>
        <w:t>. Con la ARN, desarrolla capacitaciones sobre no estigmatización y gestión del conocimiento dirigida a servidores, contratistas, organizaciones sociales, comparecientes y víctimas, promoviendo lenguaje incluyente. En 2023, 184 personas fueron capacitadas. En 2024: 222 (CONELAEC), 182 (Secretaría Judicial), 77 (Sistema Restaurativo) y 24 (Atención al Ciudadano). En 2025: 89 (UNP), 30 (Enfoques Diferenciales), 126 (Monitoreo Integral) y 87 abogados(as) del SAADV.</w:t>
      </w:r>
    </w:p>
    <w:p w14:paraId="5AF04084" w14:textId="77777777" w:rsidR="00CE7178" w:rsidRPr="00CE7178" w:rsidRDefault="00CE7178" w:rsidP="00CE7178">
      <w:pPr>
        <w:spacing w:line="279" w:lineRule="auto"/>
        <w:contextualSpacing/>
        <w:jc w:val="both"/>
        <w:rPr>
          <w:rFonts w:ascii="Verdana" w:eastAsia="SimSun" w:hAnsi="Verdana" w:cs="Arial"/>
          <w:sz w:val="24"/>
          <w:szCs w:val="24"/>
          <w:lang w:val="es-CO" w:eastAsia="ja-JP"/>
        </w:rPr>
      </w:pPr>
    </w:p>
    <w:p w14:paraId="4DE7E397" w14:textId="77777777" w:rsidR="00CE7178" w:rsidRPr="00CE7178" w:rsidRDefault="00CE7178" w:rsidP="008A69CB">
      <w:pPr>
        <w:numPr>
          <w:ilvl w:val="0"/>
          <w:numId w:val="33"/>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Verdana" w:hAnsi="Verdana" w:cs="Verdana"/>
          <w:sz w:val="24"/>
          <w:szCs w:val="24"/>
          <w:lang w:val="es-CO" w:eastAsia="ja-JP"/>
        </w:rPr>
        <w:t>La ARN cuenta con 8 PCD en planta: 6 auditiva, 2 física; 5 mujeres, 3 hombres, entre 35-66 años. Como beneficiarios de sus servicios, 2.229 PCD están vinculadas al proceso: Meta (308), Antioquia (227), Caquetá (185) y Tolima (177). Por género: 1.804 masculinas, 425 femeninas. Por tipo: física (1.312), múltiple (266), visual (197), auditiva (86), psicosocial (22), intelectual (16), 330 sin dato. Por edad: 45-59 años (937), 29-44 años (863), mayores de 60 (392), 18-28 años (34). Se destaca cobertura del 100% de beneficiarios registrados; con la atención de al menos un servicio ofertado.</w:t>
      </w:r>
      <w:r w:rsidRPr="00CE7178">
        <w:rPr>
          <w:rFonts w:ascii="Verdana" w:eastAsia="SimSun" w:hAnsi="Verdana" w:cs="Arial"/>
          <w:sz w:val="24"/>
          <w:szCs w:val="24"/>
          <w:lang w:val="es-CO" w:eastAsia="ja-JP"/>
        </w:rPr>
        <w:t xml:space="preserve"> </w:t>
      </w:r>
    </w:p>
    <w:p w14:paraId="5412F750" w14:textId="77777777" w:rsidR="00CE7178" w:rsidRPr="00CE7178" w:rsidRDefault="00CE7178" w:rsidP="00CE7178">
      <w:pPr>
        <w:spacing w:line="279" w:lineRule="auto"/>
        <w:ind w:left="720"/>
        <w:contextualSpacing/>
        <w:rPr>
          <w:rFonts w:ascii="Verdana" w:eastAsia="SimSun" w:hAnsi="Verdana" w:cs="Arial"/>
          <w:sz w:val="24"/>
          <w:szCs w:val="24"/>
          <w:lang w:val="es-CO" w:eastAsia="ja-JP"/>
        </w:rPr>
      </w:pPr>
    </w:p>
    <w:p w14:paraId="76A6A1A2"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7193C16E" w14:textId="77777777" w:rsidR="00CE7178" w:rsidRPr="00CE7178" w:rsidRDefault="00CE7178" w:rsidP="008A69CB">
      <w:pPr>
        <w:numPr>
          <w:ilvl w:val="0"/>
          <w:numId w:val="32"/>
        </w:numPr>
        <w:spacing w:before="240"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 Ley 1996 derogó la interdicción y adoptó modelo de DDHH basado en capacidad jurídica y toma de decisiones con apoyos. El Decreto 1429/2020 reglamentó acuerdos de apoyo, directivas anticipadas y adjudicación judicial de apoyos ante notarías y centros de conciliación. El modelo permite ejercer los derechos mediante apoyos voluntarios, redes de confianza, ajustes razonables y salvaguardias frente a abusos, fortalecido mediante reglamentación, protocolos y registro.</w:t>
      </w:r>
    </w:p>
    <w:p w14:paraId="4C708349" w14:textId="77777777" w:rsidR="00CE7178" w:rsidRPr="00CE7178" w:rsidRDefault="00CE7178" w:rsidP="00CE7178">
      <w:pPr>
        <w:spacing w:before="240" w:line="279" w:lineRule="auto"/>
        <w:contextualSpacing/>
        <w:jc w:val="both"/>
        <w:rPr>
          <w:rFonts w:ascii="Verdana" w:eastAsia="SimSun" w:hAnsi="Verdana" w:cs="Arial"/>
          <w:sz w:val="24"/>
          <w:szCs w:val="24"/>
          <w:lang w:eastAsia="ja-JP"/>
        </w:rPr>
      </w:pPr>
    </w:p>
    <w:p w14:paraId="136957C5" w14:textId="77777777" w:rsidR="00CE7178" w:rsidRPr="00CE7178" w:rsidRDefault="00CE7178" w:rsidP="008A69CB">
      <w:pPr>
        <w:numPr>
          <w:ilvl w:val="0"/>
          <w:numId w:val="32"/>
        </w:numPr>
        <w:spacing w:before="240"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El </w:t>
      </w:r>
      <w:proofErr w:type="spellStart"/>
      <w:r w:rsidRPr="00CE7178">
        <w:rPr>
          <w:rFonts w:ascii="Verdana" w:eastAsia="SimSun" w:hAnsi="Verdana" w:cs="Arial"/>
          <w:sz w:val="24"/>
          <w:szCs w:val="24"/>
          <w:lang w:val="es-CO" w:eastAsia="ja-JP"/>
        </w:rPr>
        <w:t>CoSJ</w:t>
      </w:r>
      <w:proofErr w:type="spellEnd"/>
      <w:r w:rsidRPr="00CE7178">
        <w:rPr>
          <w:rFonts w:ascii="Verdana" w:eastAsia="SimSun" w:hAnsi="Verdana" w:cs="Arial"/>
          <w:sz w:val="24"/>
          <w:szCs w:val="24"/>
          <w:lang w:val="es-CO" w:eastAsia="ja-JP"/>
        </w:rPr>
        <w:t xml:space="preserve"> mantiene estrategia de fortalecimiento de la especialidad de familia, mediante asignación de recursos a juzgados competentes. La PGN supervisa la transición de antiguos regímenes de interdicción hacia el sistema de apoyos. Mediante la Directiva 008/2022, exhortó a autoridades territoriales, personerías y Defensoría del Pueblo a eliminar barreras y garantizar ajustes razonables que respeten la voluntad de las PCD. Realiza seguimiento a la revisión de sentencias que restringieron la capacidad jurídica, instando a fortalecer rutas de orientación, representación legal gratuita y debido proceso, especialmente para personas institucionalizadas.</w:t>
      </w:r>
    </w:p>
    <w:p w14:paraId="4B58E8A6" w14:textId="77777777" w:rsidR="00CE7178" w:rsidRPr="00CE7178" w:rsidRDefault="00CE7178" w:rsidP="00CE7178">
      <w:pPr>
        <w:spacing w:before="240" w:line="279" w:lineRule="auto"/>
        <w:contextualSpacing/>
        <w:jc w:val="both"/>
        <w:rPr>
          <w:rFonts w:ascii="Verdana" w:eastAsia="SimSun" w:hAnsi="Verdana" w:cs="Arial"/>
          <w:sz w:val="24"/>
          <w:szCs w:val="24"/>
          <w:lang w:eastAsia="ja-JP"/>
        </w:rPr>
      </w:pPr>
    </w:p>
    <w:p w14:paraId="2CE1F81B" w14:textId="77777777" w:rsidR="00CE7178" w:rsidRPr="00CE7178" w:rsidRDefault="00CE7178" w:rsidP="008A69CB">
      <w:pPr>
        <w:numPr>
          <w:ilvl w:val="0"/>
          <w:numId w:val="32"/>
        </w:numPr>
        <w:spacing w:before="240"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lastRenderedPageBreak/>
        <w:t>El SIERJU registró 176 (2020) y 174 (2021) sentencias de interdicción. Bajo el modelo de adjudicación de apoyos, se reportaron 957 (2022), 2.212 (2023), 3.613 (2024), 3.391 (2025) y 666 (enero-marzo 2026).</w:t>
      </w:r>
    </w:p>
    <w:p w14:paraId="73F7E871" w14:textId="77777777" w:rsidR="00CE7178" w:rsidRPr="00CE7178" w:rsidRDefault="00CE7178" w:rsidP="008A69CB">
      <w:pPr>
        <w:numPr>
          <w:ilvl w:val="0"/>
          <w:numId w:val="32"/>
        </w:numPr>
        <w:spacing w:before="240" w:after="160" w:line="279" w:lineRule="auto"/>
        <w:ind w:left="0" w:firstLine="0"/>
        <w:contextualSpacing/>
        <w:jc w:val="both"/>
        <w:rPr>
          <w:rFonts w:ascii="Verdana" w:eastAsia="SimSun" w:hAnsi="Verdana" w:cs="Arial"/>
          <w:color w:val="FFFFFF"/>
          <w:sz w:val="24"/>
          <w:szCs w:val="24"/>
          <w:lang w:eastAsia="ja-JP"/>
        </w:rPr>
      </w:pPr>
    </w:p>
    <w:p w14:paraId="089D1F94"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0ED1333B" w14:textId="77777777" w:rsidR="00CE7178" w:rsidRPr="00CE7178" w:rsidRDefault="00CE7178" w:rsidP="008A69CB">
      <w:pPr>
        <w:numPr>
          <w:ilvl w:val="0"/>
          <w:numId w:val="31"/>
        </w:numPr>
        <w:spacing w:after="160" w:line="279" w:lineRule="auto"/>
        <w:ind w:left="0" w:firstLine="0"/>
        <w:contextualSpacing/>
        <w:jc w:val="both"/>
        <w:rPr>
          <w:rFonts w:ascii="Verdana" w:eastAsia="SimSun" w:hAnsi="Verdana" w:cs="Arial"/>
          <w:sz w:val="24"/>
          <w:szCs w:val="24"/>
          <w:lang w:eastAsia="ja-JP"/>
        </w:rPr>
      </w:pPr>
      <w:proofErr w:type="spellStart"/>
      <w:r w:rsidRPr="00CE7178">
        <w:rPr>
          <w:rFonts w:ascii="Verdana" w:eastAsia="SimSun" w:hAnsi="Verdana" w:cs="Arial"/>
          <w:sz w:val="24"/>
          <w:szCs w:val="24"/>
          <w:lang w:eastAsia="ja-JP"/>
        </w:rPr>
        <w:t>MinJusticia</w:t>
      </w:r>
      <w:proofErr w:type="spellEnd"/>
      <w:r w:rsidRPr="00CE7178">
        <w:rPr>
          <w:rFonts w:ascii="Verdana" w:eastAsia="SimSun" w:hAnsi="Verdana" w:cs="Arial"/>
          <w:sz w:val="24"/>
          <w:szCs w:val="24"/>
          <w:lang w:eastAsia="ja-JP"/>
        </w:rPr>
        <w:t xml:space="preserve"> publicó el Protocolo para el Acceso a la Justicia de las PCD. La JEP, mediante la OAED, aplica ajustes razonables y adaptaciones procesales conforme a su Guía de acceso a la justicia; la FGN incorporó protocolos de atención, ajustes razonables y canales accesibles de denuncia. La PGN elaboró cartilla sobre trámites notariales y guía para centros de conciliación</w:t>
      </w:r>
      <w:r w:rsidRPr="00CE7178">
        <w:rPr>
          <w:rFonts w:ascii="Verdana" w:eastAsia="SimSun" w:hAnsi="Verdana" w:cs="Arial"/>
          <w:sz w:val="24"/>
          <w:szCs w:val="24"/>
          <w:vertAlign w:val="superscript"/>
          <w:lang w:val="es-CO" w:eastAsia="ja-JP"/>
        </w:rPr>
        <w:footnoteReference w:id="18"/>
      </w:r>
      <w:r w:rsidRPr="00CE7178">
        <w:rPr>
          <w:rFonts w:ascii="Verdana" w:eastAsia="SimSun" w:hAnsi="Verdana" w:cs="Arial"/>
          <w:sz w:val="24"/>
          <w:szCs w:val="24"/>
          <w:lang w:val="es-CO" w:eastAsia="ja-JP"/>
        </w:rPr>
        <w:t>. Verificó el cumplimiento de la Ley 1618/2013</w:t>
      </w:r>
      <w:r w:rsidRPr="00CE7178">
        <w:rPr>
          <w:rFonts w:ascii="Verdana" w:eastAsia="SimSun" w:hAnsi="Verdana" w:cs="Arial"/>
          <w:sz w:val="24"/>
          <w:szCs w:val="24"/>
          <w:vertAlign w:val="superscript"/>
          <w:lang w:val="es-CO" w:eastAsia="ja-JP"/>
        </w:rPr>
        <w:footnoteReference w:id="19"/>
      </w:r>
      <w:r w:rsidRPr="00CE7178">
        <w:rPr>
          <w:rFonts w:ascii="Verdana" w:eastAsia="SimSun" w:hAnsi="Verdana" w:cs="Arial"/>
          <w:sz w:val="24"/>
          <w:szCs w:val="24"/>
          <w:lang w:val="es-CO" w:eastAsia="ja-JP"/>
        </w:rPr>
        <w:t xml:space="preserve"> en juzgados civiles de Bogotá, realizó visitas a centros de conciliación y, con </w:t>
      </w:r>
      <w:proofErr w:type="spellStart"/>
      <w:r w:rsidRPr="00CE7178">
        <w:rPr>
          <w:rFonts w:ascii="Verdana" w:eastAsia="SimSun" w:hAnsi="Verdana" w:cs="Arial"/>
          <w:sz w:val="24"/>
          <w:szCs w:val="24"/>
          <w:lang w:val="es-CO" w:eastAsia="ja-JP"/>
        </w:rPr>
        <w:t>Asdown</w:t>
      </w:r>
      <w:proofErr w:type="spellEnd"/>
      <w:r w:rsidRPr="00CE7178">
        <w:rPr>
          <w:rFonts w:ascii="Verdana" w:eastAsia="SimSun" w:hAnsi="Verdana" w:cs="Arial"/>
          <w:sz w:val="24"/>
          <w:szCs w:val="24"/>
          <w:lang w:val="es-CO" w:eastAsia="ja-JP"/>
        </w:rPr>
        <w:t>, PAIIS y la Secretaría de Integración Social, capacitó sobre capacidad jurídica y eliminación de barreras actitudinales y comunicativas.</w:t>
      </w:r>
    </w:p>
    <w:p w14:paraId="0AA71655"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471081B0" w14:textId="77777777" w:rsidR="00CE7178" w:rsidRPr="00CE7178" w:rsidRDefault="00CE7178" w:rsidP="008A69CB">
      <w:pPr>
        <w:numPr>
          <w:ilvl w:val="0"/>
          <w:numId w:val="31"/>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 FGN reporta 229 servidores con discapacidad: 76 nivel profesional, 100 técnico y 53 asistencial. No se dispone de información consolidada de las demás categorías.</w:t>
      </w:r>
    </w:p>
    <w:p w14:paraId="5F4C095D"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0310191E" w14:textId="77777777" w:rsidR="00CE7178" w:rsidRPr="00CE7178" w:rsidRDefault="00CE7178" w:rsidP="008A69CB">
      <w:pPr>
        <w:numPr>
          <w:ilvl w:val="0"/>
          <w:numId w:val="31"/>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El SPOA registra 3 actuaciones relacionadas; no fue posible establecer la inimputabilidad, pues su declaratoria corresponde exclusivamente a la autoridad judicial y no se determina desde SPOA.</w:t>
      </w:r>
    </w:p>
    <w:p w14:paraId="1BA04FB2"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701E1131" w14:textId="77777777" w:rsidR="00CE7178" w:rsidRPr="00CE7178" w:rsidRDefault="00CE7178" w:rsidP="008A69CB">
      <w:pPr>
        <w:numPr>
          <w:ilvl w:val="0"/>
          <w:numId w:val="31"/>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Entre 2021-2025, 3.801 notarios y conciliadores realizaron el curso virtual sobre la Ley 1996 y </w:t>
      </w:r>
      <w:proofErr w:type="spellStart"/>
      <w:r w:rsidRPr="00CE7178">
        <w:rPr>
          <w:rFonts w:ascii="Verdana" w:eastAsia="SimSun" w:hAnsi="Verdana" w:cs="Arial"/>
          <w:sz w:val="24"/>
          <w:szCs w:val="24"/>
          <w:lang w:val="es-CO" w:eastAsia="ja-JP"/>
        </w:rPr>
        <w:t>MinJusticia</w:t>
      </w:r>
      <w:proofErr w:type="spellEnd"/>
      <w:r w:rsidRPr="00CE7178">
        <w:rPr>
          <w:rFonts w:ascii="Verdana" w:eastAsia="SimSun" w:hAnsi="Verdana" w:cs="Arial"/>
          <w:sz w:val="24"/>
          <w:szCs w:val="24"/>
          <w:lang w:val="es-CO" w:eastAsia="ja-JP"/>
        </w:rPr>
        <w:t xml:space="preserve"> implementó el Protocolo de Atención Inclusiva en el Acceso a la Justicia en 118 instituciones (2020-2025).</w:t>
      </w:r>
    </w:p>
    <w:p w14:paraId="4C86781D" w14:textId="77777777" w:rsidR="00CE7178" w:rsidRPr="00CE7178" w:rsidRDefault="00CE7178" w:rsidP="00CE7178">
      <w:pPr>
        <w:spacing w:line="279" w:lineRule="auto"/>
        <w:contextualSpacing/>
        <w:jc w:val="both"/>
        <w:rPr>
          <w:rFonts w:ascii="Verdana" w:eastAsia="SimSun" w:hAnsi="Verdana" w:cs="Arial"/>
          <w:color w:val="000000"/>
          <w:sz w:val="24"/>
          <w:szCs w:val="24"/>
          <w:lang w:eastAsia="ja-JP"/>
        </w:rPr>
      </w:pPr>
    </w:p>
    <w:p w14:paraId="5DBADF5A" w14:textId="77777777" w:rsidR="00CE7178" w:rsidRPr="00CE7178" w:rsidRDefault="00CE7178" w:rsidP="008A69CB">
      <w:pPr>
        <w:numPr>
          <w:ilvl w:val="0"/>
          <w:numId w:val="31"/>
        </w:numPr>
        <w:spacing w:after="160" w:line="279" w:lineRule="auto"/>
        <w:ind w:left="0" w:firstLine="0"/>
        <w:contextualSpacing/>
        <w:jc w:val="both"/>
        <w:rPr>
          <w:rFonts w:ascii="Verdana" w:eastAsia="SimSun" w:hAnsi="Verdana" w:cs="Arial"/>
          <w:color w:val="000000"/>
          <w:sz w:val="24"/>
          <w:szCs w:val="24"/>
          <w:lang w:eastAsia="ja-JP"/>
        </w:rPr>
      </w:pPr>
      <w:r w:rsidRPr="00CE7178">
        <w:rPr>
          <w:rFonts w:ascii="Verdana" w:eastAsia="SimSun" w:hAnsi="Verdana" w:cs="Arial"/>
          <w:color w:val="000000"/>
          <w:sz w:val="24"/>
          <w:szCs w:val="24"/>
          <w:lang w:eastAsia="ja-JP"/>
        </w:rPr>
        <w:t xml:space="preserve">La FGN capacitó 1.784 servidores mediante el Manual de Atención al Usuario, el Sistema Único de Información Penal, el sistema de turnos, la Guía para la Atención a PCD, el Curso Básico de Receptores y talleres para Gestores PAF. El </w:t>
      </w:r>
      <w:proofErr w:type="spellStart"/>
      <w:r w:rsidRPr="00CE7178">
        <w:rPr>
          <w:rFonts w:ascii="Verdana" w:eastAsia="SimSun" w:hAnsi="Verdana" w:cs="Arial"/>
          <w:color w:val="000000"/>
          <w:sz w:val="24"/>
          <w:szCs w:val="24"/>
          <w:lang w:eastAsia="ja-JP"/>
        </w:rPr>
        <w:t>CoSJ</w:t>
      </w:r>
      <w:proofErr w:type="spellEnd"/>
      <w:r w:rsidRPr="00CE7178">
        <w:rPr>
          <w:rFonts w:ascii="Verdana" w:eastAsia="SimSun" w:hAnsi="Verdana" w:cs="Arial"/>
          <w:color w:val="000000"/>
          <w:sz w:val="24"/>
          <w:szCs w:val="24"/>
          <w:lang w:eastAsia="ja-JP"/>
        </w:rPr>
        <w:t xml:space="preserve"> avanza en la Política Institucional de Atención al Usuario y la Guía de Atención a PCD, con enfoque de accesibilidad e inclusión. El CENDOJ fortaleció contenidos en LSC y, con INSOR, desarrolla lineamientos para su interpretación judicial. La EJRLB capacitó 39.827 servidores presencialmente y 31.258 virtualmente</w:t>
      </w:r>
      <w:r w:rsidRPr="00CE7178">
        <w:rPr>
          <w:rFonts w:ascii="Verdana" w:eastAsia="SimSun" w:hAnsi="Verdana" w:cs="Arial"/>
          <w:color w:val="000000"/>
          <w:sz w:val="24"/>
          <w:szCs w:val="24"/>
          <w:vertAlign w:val="superscript"/>
          <w:lang w:val="es-CO" w:eastAsia="ja-JP"/>
        </w:rPr>
        <w:footnoteReference w:id="20"/>
      </w:r>
      <w:r w:rsidRPr="00CE7178">
        <w:rPr>
          <w:rFonts w:ascii="Verdana" w:eastAsia="SimSun" w:hAnsi="Verdana" w:cs="Arial"/>
          <w:color w:val="000000"/>
          <w:sz w:val="24"/>
          <w:szCs w:val="24"/>
          <w:lang w:eastAsia="ja-JP"/>
        </w:rPr>
        <w:t>.</w:t>
      </w:r>
    </w:p>
    <w:p w14:paraId="65177255" w14:textId="77777777" w:rsidR="00CE7178" w:rsidRPr="00CE7178" w:rsidRDefault="00CE7178" w:rsidP="008A69CB">
      <w:pPr>
        <w:numPr>
          <w:ilvl w:val="0"/>
          <w:numId w:val="31"/>
        </w:numPr>
        <w:spacing w:after="160" w:line="279" w:lineRule="auto"/>
        <w:ind w:left="0" w:firstLine="0"/>
        <w:contextualSpacing/>
        <w:jc w:val="both"/>
        <w:rPr>
          <w:rFonts w:ascii="Verdana" w:eastAsia="SimSun" w:hAnsi="Verdana" w:cs="Arial"/>
          <w:color w:val="FFFFFF"/>
          <w:sz w:val="24"/>
          <w:szCs w:val="24"/>
          <w:lang w:val="es-CO" w:eastAsia="ja-JP"/>
        </w:rPr>
      </w:pPr>
      <w:r w:rsidRPr="00CE7178">
        <w:rPr>
          <w:rFonts w:ascii="Verdana" w:eastAsia="SimSun" w:hAnsi="Verdana" w:cs="Arial"/>
          <w:color w:val="FFFFFF"/>
          <w:sz w:val="24"/>
          <w:szCs w:val="24"/>
          <w:lang w:val="es-CO" w:eastAsia="ja-JP"/>
        </w:rPr>
        <w:t xml:space="preserve"> </w:t>
      </w:r>
    </w:p>
    <w:p w14:paraId="4F8A23A2" w14:textId="77777777" w:rsidR="00CE7178" w:rsidRPr="00CE7178" w:rsidRDefault="00CE7178" w:rsidP="00CE7178">
      <w:pPr>
        <w:spacing w:line="279" w:lineRule="auto"/>
        <w:contextualSpacing/>
        <w:jc w:val="both"/>
        <w:rPr>
          <w:rFonts w:ascii="Verdana" w:eastAsia="SimSun" w:hAnsi="Verdana" w:cs="Arial"/>
          <w:color w:val="FFFFFF"/>
          <w:sz w:val="24"/>
          <w:szCs w:val="24"/>
          <w:lang w:val="es-CO" w:eastAsia="ja-JP"/>
        </w:rPr>
      </w:pPr>
    </w:p>
    <w:p w14:paraId="0185E841" w14:textId="77777777" w:rsidR="00CE7178" w:rsidRPr="00CE7178" w:rsidRDefault="00CE7178" w:rsidP="008A69CB">
      <w:pPr>
        <w:numPr>
          <w:ilvl w:val="0"/>
          <w:numId w:val="31"/>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lastRenderedPageBreak/>
        <w:t>Seis defensorías regionales</w:t>
      </w:r>
      <w:r w:rsidRPr="00CE7178">
        <w:rPr>
          <w:rFonts w:ascii="Verdana" w:eastAsia="SimSun" w:hAnsi="Verdana" w:cs="Arial"/>
          <w:sz w:val="24"/>
          <w:szCs w:val="24"/>
          <w:vertAlign w:val="superscript"/>
          <w:lang w:val="es-CO" w:eastAsia="ja-JP"/>
        </w:rPr>
        <w:footnoteReference w:id="21"/>
      </w:r>
      <w:r w:rsidRPr="00CE7178">
        <w:rPr>
          <w:rFonts w:ascii="Verdana" w:eastAsia="SimSun" w:hAnsi="Verdana" w:cs="Arial"/>
          <w:sz w:val="24"/>
          <w:szCs w:val="24"/>
          <w:lang w:val="es-CO" w:eastAsia="ja-JP"/>
        </w:rPr>
        <w:t xml:space="preserve"> atendieron solicitudes de juzgados de primera instancia para designar defensores personales a trece PCD en apoyo a la toma de decisiones y realización de trámites administrativos (entre otras, ámbito patrimonial, ámbito de salud, acompañamiento en asamblea de socios de empresa).</w:t>
      </w:r>
    </w:p>
    <w:p w14:paraId="092BB665" w14:textId="77777777" w:rsidR="00CE7178" w:rsidRPr="00CE7178" w:rsidRDefault="00CE7178" w:rsidP="00CE7178">
      <w:pPr>
        <w:spacing w:line="279" w:lineRule="auto"/>
        <w:contextualSpacing/>
        <w:jc w:val="both"/>
        <w:rPr>
          <w:rFonts w:ascii="Verdana" w:eastAsia="SimSun" w:hAnsi="Verdana" w:cs="Arial"/>
          <w:sz w:val="24"/>
          <w:szCs w:val="24"/>
          <w:lang w:val="es-CO" w:eastAsia="ja-JP"/>
        </w:rPr>
      </w:pPr>
    </w:p>
    <w:p w14:paraId="6D00FDAF" w14:textId="77777777" w:rsidR="00CE7178" w:rsidRPr="00CE7178" w:rsidRDefault="00CE7178" w:rsidP="008A69CB">
      <w:pPr>
        <w:numPr>
          <w:ilvl w:val="0"/>
          <w:numId w:val="31"/>
        </w:numPr>
        <w:spacing w:after="160" w:line="279" w:lineRule="auto"/>
        <w:ind w:left="0" w:firstLine="0"/>
        <w:contextualSpacing/>
        <w:jc w:val="both"/>
        <w:rPr>
          <w:rFonts w:ascii="Verdana" w:eastAsia="SimSun" w:hAnsi="Verdana" w:cs="Arial"/>
          <w:sz w:val="24"/>
          <w:szCs w:val="24"/>
          <w:lang w:eastAsia="ja-JP"/>
        </w:rPr>
      </w:pPr>
      <w:proofErr w:type="spellStart"/>
      <w:r w:rsidRPr="00CE7178">
        <w:rPr>
          <w:rFonts w:ascii="Verdana" w:eastAsia="SimSun" w:hAnsi="Verdana" w:cs="Arial"/>
          <w:sz w:val="24"/>
          <w:szCs w:val="24"/>
          <w:lang w:val="es-CO" w:eastAsia="ja-JP"/>
        </w:rPr>
        <w:t>MinJusticia</w:t>
      </w:r>
      <w:proofErr w:type="spellEnd"/>
      <w:r w:rsidRPr="00CE7178">
        <w:rPr>
          <w:rFonts w:ascii="Verdana" w:eastAsia="SimSun" w:hAnsi="Verdana" w:cs="Arial"/>
          <w:sz w:val="24"/>
          <w:szCs w:val="24"/>
          <w:lang w:val="es-CO" w:eastAsia="ja-JP"/>
        </w:rPr>
        <w:t xml:space="preserve"> impulsa "Tejiendo Justicia” para incorporar enfoques de género y discapacidad en la formación jurídica y fortalecer servicios inclusivos en consultorios jurídicos mediante actividades de información y formación.</w:t>
      </w:r>
    </w:p>
    <w:p w14:paraId="5A11025E"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5994C602" w14:textId="77777777" w:rsidR="00CE7178" w:rsidRPr="00CE7178" w:rsidRDefault="00CE7178" w:rsidP="008A69CB">
      <w:pPr>
        <w:numPr>
          <w:ilvl w:val="0"/>
          <w:numId w:val="31"/>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 JEP identificó 3.479 PCD en el Registro de Víctimas Acreditadas del Caso 03; incorpora el enfoque diferencial de discapacidad en sus actuaciones judiciales y restaurativas mediante ajustes razonables, criterios de accesibilidad, medidas para garantizar participación efectiva y reconocimiento de afectaciones específicas en la construcción de sanciones propias, reparación integral y garantías de no repetición</w:t>
      </w:r>
      <w:r w:rsidRPr="00CE7178">
        <w:rPr>
          <w:rFonts w:ascii="Verdana" w:eastAsia="SimSun" w:hAnsi="Verdana" w:cs="Arial"/>
          <w:sz w:val="24"/>
          <w:szCs w:val="24"/>
          <w:vertAlign w:val="superscript"/>
          <w:lang w:val="es-CO" w:eastAsia="ja-JP"/>
        </w:rPr>
        <w:footnoteReference w:id="22"/>
      </w:r>
      <w:r w:rsidRPr="00CE7178">
        <w:rPr>
          <w:rFonts w:ascii="Verdana" w:eastAsia="SimSun" w:hAnsi="Verdana" w:cs="Arial"/>
          <w:sz w:val="24"/>
          <w:szCs w:val="24"/>
          <w:lang w:val="es-CO" w:eastAsia="ja-JP"/>
        </w:rPr>
        <w:t>.</w:t>
      </w:r>
    </w:p>
    <w:p w14:paraId="3B7D3037"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4CAF80A0" w14:textId="77777777" w:rsidR="00CE7178" w:rsidRPr="00CE7178" w:rsidRDefault="00CE7178" w:rsidP="008A69CB">
      <w:pPr>
        <w:numPr>
          <w:ilvl w:val="0"/>
          <w:numId w:val="31"/>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Colombia garantiza el acceso a la justicia de las PCD solicitantes de asilo o refugiadas mediante la Ley 2136/2021 y el Decreto 1067/2015, que regulan un procedimiento de refugio con garantías de debido proceso, recursos y medidas de protección para NNA. Asimismo, el Protocolo para el Acceso a la Justicia de las PCD (2026) establece ajustes de procedimiento y medidas de accesibilidad aplicables sin distinción de nacionalidad o condición migratoria.</w:t>
      </w:r>
    </w:p>
    <w:p w14:paraId="03E66161" w14:textId="77777777" w:rsidR="00CE7178" w:rsidRPr="00CE7178" w:rsidRDefault="00CE7178" w:rsidP="00CE7178">
      <w:pPr>
        <w:spacing w:line="279" w:lineRule="auto"/>
        <w:contextualSpacing/>
        <w:jc w:val="both"/>
        <w:rPr>
          <w:rFonts w:ascii="Verdana" w:eastAsia="SimSun" w:hAnsi="Verdana" w:cs="Arial"/>
          <w:b/>
          <w:bCs/>
          <w:sz w:val="24"/>
          <w:szCs w:val="24"/>
          <w:lang w:eastAsia="ja-JP"/>
        </w:rPr>
      </w:pPr>
    </w:p>
    <w:p w14:paraId="38328541"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052EDF3D" w14:textId="77777777" w:rsidR="00CE7178" w:rsidRPr="00CE7178" w:rsidRDefault="00CE7178" w:rsidP="008A69CB">
      <w:pPr>
        <w:numPr>
          <w:ilvl w:val="0"/>
          <w:numId w:val="30"/>
        </w:numPr>
        <w:spacing w:after="160" w:line="279" w:lineRule="auto"/>
        <w:ind w:left="0" w:firstLine="0"/>
        <w:contextualSpacing/>
        <w:jc w:val="both"/>
        <w:rPr>
          <w:rFonts w:ascii="Verdana" w:eastAsia="SimSun" w:hAnsi="Verdana" w:cs="Arial"/>
          <w:sz w:val="24"/>
          <w:szCs w:val="24"/>
          <w:lang w:val="es-CO" w:eastAsia="ja-JP"/>
        </w:rPr>
      </w:pPr>
      <w:proofErr w:type="spellStart"/>
      <w:r w:rsidRPr="00CE7178">
        <w:rPr>
          <w:rFonts w:ascii="Verdana" w:eastAsia="SimSun" w:hAnsi="Verdana" w:cs="Arial"/>
          <w:sz w:val="24"/>
          <w:szCs w:val="24"/>
          <w:lang w:val="es-CO" w:eastAsia="ja-JP"/>
        </w:rPr>
        <w:t>MinSalud</w:t>
      </w:r>
      <w:proofErr w:type="spellEnd"/>
      <w:r w:rsidRPr="00CE7178">
        <w:rPr>
          <w:rFonts w:ascii="Verdana" w:eastAsia="SimSun" w:hAnsi="Verdana" w:cs="Arial"/>
          <w:sz w:val="24"/>
          <w:szCs w:val="24"/>
          <w:lang w:val="es-CO" w:eastAsia="ja-JP"/>
        </w:rPr>
        <w:t xml:space="preserve">, con el sector justicia, adelanta acciones para garantizar salud a PPL con discapacidad psicosocial o inimputables, fortaleciendo DDHH, atención integral y rehabilitación psicosocial. El Decreto 729/2025, que implementa la PNSM, promueve atención integral, reducción de prácticas </w:t>
      </w:r>
      <w:proofErr w:type="spellStart"/>
      <w:r w:rsidRPr="00CE7178">
        <w:rPr>
          <w:rFonts w:ascii="Verdana" w:eastAsia="SimSun" w:hAnsi="Verdana" w:cs="Arial"/>
          <w:sz w:val="24"/>
          <w:szCs w:val="24"/>
          <w:lang w:val="es-CO" w:eastAsia="ja-JP"/>
        </w:rPr>
        <w:t>institucionalizantes</w:t>
      </w:r>
      <w:proofErr w:type="spellEnd"/>
      <w:r w:rsidRPr="00CE7178">
        <w:rPr>
          <w:rFonts w:ascii="Verdana" w:eastAsia="SimSun" w:hAnsi="Verdana" w:cs="Arial"/>
          <w:sz w:val="24"/>
          <w:szCs w:val="24"/>
          <w:lang w:val="es-CO" w:eastAsia="ja-JP"/>
        </w:rPr>
        <w:t xml:space="preserve"> y rehabilitación basada en comunidad; la Sentencia SU-512/2024 impulsó revisión de modelos de atención. Se propone reformar el Código Penitenciario y Carcelario, reemplazando pabellones psiquiátricos por Establecimientos de Reclusión Asistencial bajo supervisión del </w:t>
      </w:r>
      <w:proofErr w:type="spellStart"/>
      <w:r w:rsidRPr="00CE7178">
        <w:rPr>
          <w:rFonts w:ascii="Verdana" w:eastAsia="SimSun" w:hAnsi="Verdana" w:cs="Arial"/>
          <w:sz w:val="24"/>
          <w:szCs w:val="24"/>
          <w:lang w:val="es-CO" w:eastAsia="ja-JP"/>
        </w:rPr>
        <w:t>MinSalud</w:t>
      </w:r>
      <w:proofErr w:type="spellEnd"/>
      <w:r w:rsidRPr="00CE7178">
        <w:rPr>
          <w:rFonts w:ascii="Verdana" w:eastAsia="SimSun" w:hAnsi="Verdana" w:cs="Arial"/>
          <w:sz w:val="24"/>
          <w:szCs w:val="24"/>
          <w:lang w:val="es-CO" w:eastAsia="ja-JP"/>
        </w:rPr>
        <w:t>. Para 2026, el sistema cuenta con presupuesto de 39.694.000.000COP, 469 cupos, 373 ocupados (79,5%), costo diario de 231.413COP por persona. Se adelanta creación del Comité Nacional de Inimputables, protocolos por las EPS, articulación territorial para reinserción social y defensa legal especializada.</w:t>
      </w:r>
    </w:p>
    <w:p w14:paraId="7236EBB8" w14:textId="77777777" w:rsidR="00CE7178" w:rsidRPr="00CE7178" w:rsidRDefault="00CE7178" w:rsidP="00CE7178">
      <w:pPr>
        <w:spacing w:line="279" w:lineRule="auto"/>
        <w:contextualSpacing/>
        <w:jc w:val="both"/>
        <w:rPr>
          <w:rFonts w:ascii="Verdana" w:eastAsia="SimSun" w:hAnsi="Verdana" w:cs="Arial"/>
          <w:sz w:val="24"/>
          <w:szCs w:val="24"/>
          <w:lang w:val="es-CO" w:eastAsia="ja-JP"/>
        </w:rPr>
      </w:pPr>
    </w:p>
    <w:p w14:paraId="3FFDD367" w14:textId="77777777" w:rsidR="00CE7178" w:rsidRPr="00CE7178" w:rsidRDefault="00CE7178" w:rsidP="008A69CB">
      <w:pPr>
        <w:numPr>
          <w:ilvl w:val="0"/>
          <w:numId w:val="30"/>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Entre 2020-2026, el RLCPD certificó 2.781 PPL con discapacidad: 88,53% hombres, 71,70% (27-59 años), 14,16% grupos étnicos y 71,68% con discapacidad física. Se fortalecieron, con el sector justicia y entidades territoriales, las acciones para garantizar el derecho a la salud, los mecanismos de registro, caracterización e interoperabilidad de información, y las rutas de atención, denuncia y coordinación intersectorial.</w:t>
      </w:r>
    </w:p>
    <w:p w14:paraId="07A3DD14" w14:textId="77777777" w:rsidR="00CE7178" w:rsidRPr="00CE7178" w:rsidRDefault="00CE7178" w:rsidP="00CE7178">
      <w:pPr>
        <w:spacing w:line="279" w:lineRule="auto"/>
        <w:contextualSpacing/>
        <w:jc w:val="both"/>
        <w:rPr>
          <w:rFonts w:ascii="Verdana" w:eastAsia="SimSun" w:hAnsi="Verdana" w:cs="Arial"/>
          <w:sz w:val="24"/>
          <w:szCs w:val="24"/>
          <w:lang w:val="es-CO" w:eastAsia="ja-JP"/>
        </w:rPr>
      </w:pPr>
    </w:p>
    <w:p w14:paraId="346506C2" w14:textId="77777777" w:rsidR="00CE7178" w:rsidRPr="00CE7178" w:rsidRDefault="00CE7178" w:rsidP="008A69CB">
      <w:pPr>
        <w:numPr>
          <w:ilvl w:val="0"/>
          <w:numId w:val="30"/>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 Ley 1996 y la Resolución 1904/2017 garantizan capacidad jurídica en salud mediante apoyos, ajustes razonables, salvaguardias y consentimiento libre e informado, incluida la internación. Las internaciones se financian únicamente por necesidades de salud y, en salud mental, solo proceden ante riesgo para la vida/integridad, privilegiando alternativas como hospitalización parcial. Se fortaleció la Estrategia de Rehabilitación Basada en Comunidad para promover inclusión y alternativas comunitarias a la institucionalización. En cumplimiento de la Sentencia SU-367/2025, la PGN verifica la existencia de personas institucionalizadas sin consentimiento o redes de apoyo, disponibilidad de alternativas comunitarias y rutas para revisar la permanencia institucional.</w:t>
      </w:r>
    </w:p>
    <w:p w14:paraId="22C106B0"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622A48FB" w14:textId="77777777" w:rsidR="00CE7178" w:rsidRPr="00CE7178" w:rsidRDefault="00CE7178" w:rsidP="008A69CB">
      <w:pPr>
        <w:numPr>
          <w:ilvl w:val="0"/>
          <w:numId w:val="30"/>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No se identifican NNA ni personas mayores de 18 años con discapacidad en PARD, en modalidad de internado o casa hogar, con registro de la actuación PRD_940 correspondiente a la radicación o designación de una solicitud de refugio.</w:t>
      </w:r>
    </w:p>
    <w:p w14:paraId="0B3EA41F"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7D2AF20E"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r w:rsidRPr="00CE7178">
        <w:rPr>
          <w:rFonts w:ascii="Verdana" w:eastAsia="SimSun" w:hAnsi="Verdana" w:cs="Arial"/>
          <w:b/>
          <w:bCs/>
          <w:sz w:val="24"/>
          <w:szCs w:val="24"/>
          <w:lang w:val="es-CO" w:eastAsia="ja-JP"/>
        </w:rPr>
        <w:t xml:space="preserve"> </w:t>
      </w:r>
    </w:p>
    <w:p w14:paraId="7394F726" w14:textId="77777777" w:rsidR="00CE7178" w:rsidRPr="00CE7178" w:rsidRDefault="00CE7178" w:rsidP="008A69CB">
      <w:pPr>
        <w:numPr>
          <w:ilvl w:val="0"/>
          <w:numId w:val="29"/>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eastAsia="ja-JP"/>
        </w:rPr>
        <w:t>La FGN creó la UENNA</w:t>
      </w:r>
      <w:r w:rsidRPr="00CE7178">
        <w:rPr>
          <w:rFonts w:ascii="Verdana" w:eastAsia="SimSun" w:hAnsi="Verdana" w:cs="Arial"/>
          <w:sz w:val="24"/>
          <w:szCs w:val="24"/>
          <w:vertAlign w:val="superscript"/>
          <w:lang w:val="es-CO" w:eastAsia="ja-JP"/>
        </w:rPr>
        <w:footnoteReference w:id="23"/>
      </w:r>
      <w:r w:rsidRPr="00CE7178">
        <w:rPr>
          <w:rFonts w:ascii="Verdana" w:eastAsia="SimSun" w:hAnsi="Verdana" w:cs="Arial"/>
          <w:sz w:val="24"/>
          <w:szCs w:val="24"/>
          <w:lang w:val="es-CO" w:eastAsia="ja-JP"/>
        </w:rPr>
        <w:t xml:space="preserve"> (35 seccionales); aplica el Protocolo de Investigación de Violencia Sexual</w:t>
      </w:r>
      <w:r w:rsidRPr="00CE7178">
        <w:rPr>
          <w:rFonts w:ascii="Verdana" w:eastAsia="SimSun" w:hAnsi="Verdana" w:cs="Arial"/>
          <w:sz w:val="24"/>
          <w:szCs w:val="24"/>
          <w:vertAlign w:val="superscript"/>
          <w:lang w:val="es-CO" w:eastAsia="ja-JP"/>
        </w:rPr>
        <w:footnoteReference w:id="24"/>
      </w:r>
      <w:r w:rsidRPr="00CE7178">
        <w:rPr>
          <w:rFonts w:ascii="Verdana" w:eastAsia="SimSun" w:hAnsi="Verdana" w:cs="Arial"/>
          <w:sz w:val="24"/>
          <w:szCs w:val="24"/>
          <w:lang w:val="es-CO" w:eastAsia="ja-JP"/>
        </w:rPr>
        <w:t xml:space="preserve">, y dispone de CAIVAS y Denuncia Fácil con LSC, con más de 472.000 interacciones virtuales en 2025. El ICBF prohíbe el aislamiento, sujeción mecánica/farmacológica, psicocirugía, medicación forzada y terapia electroconvulsiva, aplicando la Guía de Orientación para la Prevención y Manejo de Situaciones de Riesgo. Las leyes 1618/2013 y 1616/2013 y la Ley 1996/2019 garantizan consentimiento informado, limitan medidas restrictivas en salud mental y reconocen capacidad jurídica plena. La protección se articula mediante FGN, Defensoría del Pueblo, PGN, </w:t>
      </w:r>
      <w:proofErr w:type="spellStart"/>
      <w:r w:rsidRPr="00CE7178">
        <w:rPr>
          <w:rFonts w:ascii="Verdana" w:eastAsia="SimSun" w:hAnsi="Verdana" w:cs="Arial"/>
          <w:sz w:val="24"/>
          <w:szCs w:val="24"/>
          <w:lang w:val="es-CO" w:eastAsia="ja-JP"/>
        </w:rPr>
        <w:t>SuperSalud</w:t>
      </w:r>
      <w:proofErr w:type="spellEnd"/>
      <w:r w:rsidRPr="00CE7178">
        <w:rPr>
          <w:rFonts w:ascii="Verdana" w:eastAsia="SimSun" w:hAnsi="Verdana" w:cs="Arial"/>
          <w:sz w:val="24"/>
          <w:szCs w:val="24"/>
          <w:lang w:val="es-CO" w:eastAsia="ja-JP"/>
        </w:rPr>
        <w:t xml:space="preserve"> y acción de tutela.</w:t>
      </w:r>
    </w:p>
    <w:p w14:paraId="34DA5495" w14:textId="77777777" w:rsidR="00CE7178" w:rsidRPr="00CE7178" w:rsidRDefault="00CE7178" w:rsidP="00CE7178">
      <w:pPr>
        <w:spacing w:line="279" w:lineRule="auto"/>
        <w:contextualSpacing/>
        <w:jc w:val="both"/>
        <w:rPr>
          <w:rFonts w:ascii="Verdana" w:eastAsia="SimSun" w:hAnsi="Verdana" w:cs="Arial"/>
          <w:sz w:val="24"/>
          <w:szCs w:val="24"/>
          <w:lang w:val="es-CO" w:eastAsia="ja-JP"/>
        </w:rPr>
      </w:pPr>
    </w:p>
    <w:p w14:paraId="36EBA1A2" w14:textId="77777777" w:rsidR="00CE7178" w:rsidRPr="00CE7178" w:rsidRDefault="00CE7178" w:rsidP="008A69CB">
      <w:pPr>
        <w:numPr>
          <w:ilvl w:val="0"/>
          <w:numId w:val="29"/>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eastAsia="ja-JP"/>
        </w:rPr>
        <w:t xml:space="preserve">En centros de detención existen mecanismos para recepción de quejas, investigación de violencia y articulación con salud para atención integral a víctimas. La Unidad de Justicia Restaurativa de la FGN aplica mediación penal, conciliación e incidente de reparación integral, conforme al Manual de Justicia </w:t>
      </w:r>
      <w:r w:rsidRPr="00CE7178">
        <w:rPr>
          <w:rFonts w:ascii="Verdana" w:eastAsia="SimSun" w:hAnsi="Verdana" w:cs="Arial"/>
          <w:sz w:val="24"/>
          <w:szCs w:val="24"/>
          <w:lang w:eastAsia="ja-JP"/>
        </w:rPr>
        <w:lastRenderedPageBreak/>
        <w:t>Restaurativa</w:t>
      </w:r>
      <w:r w:rsidRPr="00CE7178">
        <w:rPr>
          <w:rFonts w:ascii="Verdana" w:eastAsia="SimSun" w:hAnsi="Verdana" w:cs="Arial"/>
          <w:sz w:val="24"/>
          <w:szCs w:val="24"/>
          <w:vertAlign w:val="superscript"/>
          <w:lang w:val="es-CO" w:eastAsia="ja-JP"/>
        </w:rPr>
        <w:footnoteReference w:id="25"/>
      </w:r>
      <w:r w:rsidRPr="00CE7178">
        <w:rPr>
          <w:rFonts w:ascii="Verdana" w:eastAsia="SimSun" w:hAnsi="Verdana" w:cs="Arial"/>
          <w:sz w:val="24"/>
          <w:szCs w:val="24"/>
          <w:lang w:eastAsia="ja-JP"/>
        </w:rPr>
        <w:t>. La Resolución 04180/2022 adoptó el Manual de Atención Policial con directrices para atención de PCD. En el marco de la Transformación Integral de la Policía Nacional y la Ley 2196/2022</w:t>
      </w:r>
      <w:r w:rsidRPr="00CE7178">
        <w:rPr>
          <w:rFonts w:ascii="Verdana" w:eastAsia="SimSun" w:hAnsi="Verdana" w:cs="Arial"/>
          <w:sz w:val="24"/>
          <w:szCs w:val="24"/>
          <w:vertAlign w:val="superscript"/>
          <w:lang w:val="es-CO" w:eastAsia="ja-JP"/>
        </w:rPr>
        <w:footnoteReference w:id="26"/>
      </w:r>
      <w:r w:rsidRPr="00CE7178">
        <w:rPr>
          <w:rFonts w:ascii="Verdana" w:eastAsia="SimSun" w:hAnsi="Verdana" w:cs="Arial"/>
          <w:sz w:val="24"/>
          <w:szCs w:val="24"/>
          <w:lang w:eastAsia="ja-JP"/>
        </w:rPr>
        <w:t>, se fortalecieron el Sistema de Garantías y los mecanismos de participación ciudadana, seguimiento y quejas</w:t>
      </w:r>
      <w:r w:rsidRPr="00CE7178">
        <w:rPr>
          <w:rFonts w:ascii="Verdana" w:eastAsia="SimSun" w:hAnsi="Verdana" w:cs="Arial"/>
          <w:sz w:val="24"/>
          <w:szCs w:val="24"/>
          <w:lang w:val="es-CO" w:eastAsia="ja-JP"/>
        </w:rPr>
        <w:t>.</w:t>
      </w:r>
    </w:p>
    <w:p w14:paraId="08A4A4F6" w14:textId="77777777" w:rsidR="00CE7178" w:rsidRPr="00CE7178" w:rsidRDefault="00CE7178" w:rsidP="00CE7178">
      <w:pPr>
        <w:spacing w:line="279" w:lineRule="auto"/>
        <w:contextualSpacing/>
        <w:jc w:val="both"/>
        <w:rPr>
          <w:rFonts w:ascii="Verdana" w:eastAsia="SimSun" w:hAnsi="Verdana" w:cs="Arial"/>
          <w:sz w:val="24"/>
          <w:szCs w:val="24"/>
          <w:lang w:val="es-CO" w:eastAsia="ja-JP"/>
        </w:rPr>
      </w:pPr>
    </w:p>
    <w:p w14:paraId="2F59346E"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0C3D293F" w14:textId="77777777" w:rsidR="00CE7178" w:rsidRPr="00CE7178" w:rsidRDefault="00CE7178" w:rsidP="008A69CB">
      <w:pPr>
        <w:numPr>
          <w:ilvl w:val="0"/>
          <w:numId w:val="28"/>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En el paro nacional</w:t>
      </w:r>
      <w:r w:rsidRPr="00CE7178">
        <w:rPr>
          <w:rFonts w:ascii="Verdana" w:eastAsia="SimSun" w:hAnsi="Verdana" w:cs="Arial"/>
          <w:sz w:val="24"/>
          <w:szCs w:val="24"/>
          <w:vertAlign w:val="superscript"/>
          <w:lang w:val="es-CO" w:eastAsia="ja-JP"/>
        </w:rPr>
        <w:footnoteReference w:id="27"/>
      </w:r>
      <w:r w:rsidRPr="00CE7178">
        <w:rPr>
          <w:rFonts w:ascii="Verdana" w:eastAsia="SimSun" w:hAnsi="Verdana" w:cs="Arial"/>
          <w:sz w:val="24"/>
          <w:szCs w:val="24"/>
          <w:lang w:val="es-CO" w:eastAsia="ja-JP"/>
        </w:rPr>
        <w:t>, se consolidaron 95 investigaciones por lesiones oculares</w:t>
      </w:r>
      <w:r w:rsidRPr="00CE7178">
        <w:rPr>
          <w:rFonts w:ascii="Verdana" w:eastAsia="SimSun" w:hAnsi="Verdana" w:cs="Arial"/>
          <w:sz w:val="24"/>
          <w:szCs w:val="24"/>
          <w:vertAlign w:val="superscript"/>
          <w:lang w:val="es-CO" w:eastAsia="ja-JP"/>
        </w:rPr>
        <w:footnoteReference w:id="28"/>
      </w:r>
      <w:r w:rsidRPr="00CE7178">
        <w:rPr>
          <w:rFonts w:ascii="Verdana" w:eastAsia="SimSun" w:hAnsi="Verdana" w:cs="Arial"/>
          <w:sz w:val="24"/>
          <w:szCs w:val="24"/>
          <w:lang w:val="es-CO" w:eastAsia="ja-JP"/>
        </w:rPr>
        <w:t>: 89 (indagación), 5 (juicio oral) y 1 (sentencia condenatoria firme). La Defensoría del Pueblo recibió 20 quejas (2021) y 2 (2023), implementó el Protocolo de Atención a la Protesta Social, fortaleció la capacitación de la fuerza pública en DDHH y uso legítimo de la fuerza, y recomendó reforzar el seguimiento a la UNDMO. La CSJ no ha proferido decisiones sobre lesiones oculares del paro de 2021</w:t>
      </w:r>
      <w:r w:rsidRPr="00CE7178">
        <w:rPr>
          <w:rFonts w:ascii="Verdana" w:eastAsia="SimSun" w:hAnsi="Verdana" w:cs="Arial"/>
          <w:sz w:val="24"/>
          <w:szCs w:val="24"/>
          <w:vertAlign w:val="superscript"/>
          <w:lang w:val="es-CO" w:eastAsia="ja-JP"/>
        </w:rPr>
        <w:footnoteReference w:id="29"/>
      </w:r>
      <w:r w:rsidRPr="00CE7178">
        <w:rPr>
          <w:rFonts w:ascii="Verdana" w:eastAsia="SimSun" w:hAnsi="Verdana" w:cs="Arial"/>
          <w:sz w:val="24"/>
          <w:szCs w:val="24"/>
          <w:lang w:val="es-CO" w:eastAsia="ja-JP"/>
        </w:rPr>
        <w:t>.</w:t>
      </w:r>
    </w:p>
    <w:p w14:paraId="2163FBBA"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13BCDDFF" w14:textId="77777777" w:rsidR="00CE7178" w:rsidRPr="00CE7178" w:rsidRDefault="00CE7178" w:rsidP="008A69CB">
      <w:pPr>
        <w:numPr>
          <w:ilvl w:val="0"/>
          <w:numId w:val="28"/>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Las denuncias se presentan ante la FGN. En el ICBF, estos hechos se informan inmediatamente a la FGN. En violencia sexual, se activa la ruta de atención integral: atención en salud, acceso a justicia, denuncia dentro de 24 horas siguientes (si no se ha presentado previamente), medidas de protección y coordinación interinstitucional. Ante amenaza o vulneración de derechos de NNA, se inicia el PARD y, si constituye posible delito, se presenta denuncia, con mecanismos accesibles mediante ajustes razonables y enfoques diferenciales.</w:t>
      </w:r>
    </w:p>
    <w:p w14:paraId="4F9D47CB"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5FD80D83" w14:textId="77777777" w:rsidR="00CE7178" w:rsidRPr="00CE7178" w:rsidRDefault="00CE7178" w:rsidP="008A69CB">
      <w:pPr>
        <w:numPr>
          <w:ilvl w:val="0"/>
          <w:numId w:val="28"/>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 Directiva 001/2024 (FGN) estableció lineamientos para investigar hechos en protesta social pacífica con enfoque de DDHH y diferencial. La Resolución 029/2025 creó grupo especializado de 6 fiscales, investigadores y analistas para investigar homicidio, lesiones, tortura, violencia sexual, abuso de autoridad y desaparición forzada, identificando patrones de violaciones de DDHH. El uso de la fuerza en manifestaciones está regulado por el Decreto 003/2021 y la Resolución 1091/2023 de la Policía Nacional, que priorizan el diálogo y establecen proporcionalidad, necesidad y uso de la fuerza como último recurso, integrados a la formación policial en DDHH y DIH.</w:t>
      </w:r>
    </w:p>
    <w:p w14:paraId="7E8B4177"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3F5B5B21" w14:textId="77777777" w:rsidR="00CE7178" w:rsidRPr="00CE7178" w:rsidRDefault="00CE7178" w:rsidP="008A69CB">
      <w:pPr>
        <w:numPr>
          <w:ilvl w:val="0"/>
          <w:numId w:val="28"/>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La FGN cuenta con la Guía para la Atención a PCD y el Manual de Atención al Usuario, garantizando atención accesible. El ICBF fortaleció sus protocolos mediante las Resoluciones 7535/2023 y 1376/2026, incorporando medidas para PCD, rutas de atención psicosocial, en salud, asesoría jurídica y mecanismos de denuncia, con lineamientos para primera infancia, fortalecimiento familiar y </w:t>
      </w:r>
      <w:r w:rsidRPr="00CE7178">
        <w:rPr>
          <w:rFonts w:ascii="Verdana" w:eastAsia="SimSun" w:hAnsi="Verdana" w:cs="Arial"/>
          <w:sz w:val="24"/>
          <w:szCs w:val="24"/>
          <w:lang w:val="es-CO" w:eastAsia="ja-JP"/>
        </w:rPr>
        <w:lastRenderedPageBreak/>
        <w:t>comunidades étnicas articulados con salud, justicia y protección. El PARD atiende amenazas o vulneraciones de derechos de NNA mediante valoración interdisciplinaria, medidas de protección y apoyos y ajustes razonables que garantizan su participación en igualdad de condiciones.</w:t>
      </w:r>
    </w:p>
    <w:p w14:paraId="2EC3E638"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2C63B508" w14:textId="77777777" w:rsidR="00CE7178" w:rsidRPr="00CE7178" w:rsidRDefault="00CE7178" w:rsidP="008A69CB">
      <w:pPr>
        <w:numPr>
          <w:ilvl w:val="0"/>
          <w:numId w:val="28"/>
        </w:numPr>
        <w:spacing w:after="160" w:line="279" w:lineRule="auto"/>
        <w:ind w:left="0" w:firstLine="0"/>
        <w:contextualSpacing/>
        <w:jc w:val="both"/>
        <w:rPr>
          <w:rFonts w:ascii="Verdana" w:eastAsia="SimSun" w:hAnsi="Verdana" w:cs="Arial"/>
          <w:sz w:val="24"/>
          <w:szCs w:val="24"/>
          <w:lang w:eastAsia="ja-JP"/>
        </w:rPr>
      </w:pPr>
      <w:proofErr w:type="spellStart"/>
      <w:r w:rsidRPr="00CE7178">
        <w:rPr>
          <w:rFonts w:ascii="Verdana" w:eastAsia="SimSun" w:hAnsi="Verdana" w:cs="Arial"/>
          <w:sz w:val="24"/>
          <w:szCs w:val="24"/>
          <w:lang w:val="es-CO" w:eastAsia="ja-JP"/>
        </w:rPr>
        <w:t>MinIgualdad</w:t>
      </w:r>
      <w:proofErr w:type="spellEnd"/>
      <w:r w:rsidRPr="00CE7178">
        <w:rPr>
          <w:rFonts w:ascii="Verdana" w:eastAsia="SimSun" w:hAnsi="Verdana" w:cs="Arial"/>
          <w:sz w:val="24"/>
          <w:szCs w:val="24"/>
          <w:lang w:val="es-CO" w:eastAsia="ja-JP"/>
        </w:rPr>
        <w:t xml:space="preserve"> implementó SALVIA, con enfoque interseccional, territorial y diferencial con enfoque de discapacidad. En 2026 (febrero) había registrado 10.733 casos atendidos; </w:t>
      </w:r>
      <w:r w:rsidRPr="00CE7178">
        <w:rPr>
          <w:rFonts w:ascii="Verdana" w:eastAsia="SimSun" w:hAnsi="Verdana" w:cs="Arial"/>
          <w:color w:val="000000"/>
          <w:sz w:val="24"/>
          <w:szCs w:val="24"/>
          <w:lang w:val="es-CO" w:eastAsia="ja-JP"/>
        </w:rPr>
        <w:t>576 PCD</w:t>
      </w:r>
      <w:r w:rsidRPr="00CE7178">
        <w:rPr>
          <w:rFonts w:ascii="Verdana" w:eastAsia="SimSun" w:hAnsi="Verdana" w:cs="Arial"/>
          <w:color w:val="000000"/>
          <w:sz w:val="24"/>
          <w:szCs w:val="24"/>
          <w:vertAlign w:val="superscript"/>
          <w:lang w:val="es-CO" w:eastAsia="ja-JP"/>
        </w:rPr>
        <w:footnoteReference w:id="30"/>
      </w:r>
      <w:r w:rsidRPr="00CE7178">
        <w:rPr>
          <w:rFonts w:ascii="Verdana" w:eastAsia="SimSun" w:hAnsi="Verdana" w:cs="Arial"/>
          <w:sz w:val="24"/>
          <w:szCs w:val="24"/>
          <w:lang w:val="es-CO" w:eastAsia="ja-JP"/>
        </w:rPr>
        <w:t>. Adicionalmente, la Línea Púrpura de Bogotá dispone de atención mediante videollamada en LSC para garantizar la accesibilidad.</w:t>
      </w:r>
    </w:p>
    <w:p w14:paraId="0824C0B6"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0501C091" w14:textId="77777777" w:rsidR="00CE7178" w:rsidRPr="00CE7178" w:rsidRDefault="00CE7178" w:rsidP="008A69CB">
      <w:pPr>
        <w:numPr>
          <w:ilvl w:val="0"/>
          <w:numId w:val="28"/>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El programa Tejiendo Comunidad para las PCD y el SND, fortalecen la educación inclusiva, accesibilidad, participación y apoyo a familias. La Estrategia Nacional Pedagógica para la Prevención del Castigo Físico y Tratos Crueles, Humillantes y Degradantes capacitó a familias y cuidadores con el material "¡A que te Cuido!" para promover crianza positiva. Desde 2025, Somos Redes de Cuidado Sensible fortalece la prevención de violencias en primera infancia. El PARD y el SRPA incorporan fortalecimiento familiar, apoyo psicosocial y participación familiar. La Política Nacional de Sexualidad, Derechos Sexuales y Derechos Reproductivos y el Plan Anual de Asistencia Técnica fortalecen la autonomía y toma de decisiones con apoyos. Se hace seguimiento a la Sentencia T-159/2023 y al CONPES 4143/2025 para incorporar el enfoque de discapacidad y fortalecer familias con NNA con discapacidad.</w:t>
      </w:r>
    </w:p>
    <w:p w14:paraId="2F4521DD"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0A30F50E" w14:textId="77777777" w:rsidR="00CE7178" w:rsidRPr="00CE7178" w:rsidRDefault="00CE7178" w:rsidP="008A69CB">
      <w:pPr>
        <w:numPr>
          <w:ilvl w:val="0"/>
          <w:numId w:val="28"/>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eastAsia="ja-JP"/>
        </w:rPr>
        <w:t>El PND</w:t>
      </w:r>
      <w:r w:rsidRPr="00CE7178">
        <w:rPr>
          <w:rFonts w:ascii="Verdana" w:eastAsia="SimSun" w:hAnsi="Verdana" w:cs="Arial"/>
          <w:sz w:val="24"/>
          <w:szCs w:val="24"/>
          <w:vertAlign w:val="superscript"/>
          <w:lang w:val="es-CO" w:eastAsia="ja-JP"/>
        </w:rPr>
        <w:footnoteReference w:id="31"/>
      </w:r>
      <w:r w:rsidRPr="00CE7178">
        <w:rPr>
          <w:rFonts w:ascii="Verdana" w:eastAsia="SimSun" w:hAnsi="Verdana" w:cs="Arial"/>
          <w:sz w:val="24"/>
          <w:szCs w:val="24"/>
          <w:lang w:eastAsia="ja-JP"/>
        </w:rPr>
        <w:t>, el Decreto 0530</w:t>
      </w:r>
      <w:r w:rsidRPr="00CE7178">
        <w:rPr>
          <w:rFonts w:ascii="Verdana" w:eastAsia="SimSun" w:hAnsi="Verdana" w:cs="Arial"/>
          <w:sz w:val="24"/>
          <w:szCs w:val="24"/>
          <w:lang w:val="es-CO" w:eastAsia="ja-JP"/>
        </w:rPr>
        <w:t>/2024 y la Resolución 347/2025 incorporan transversalmente los enfoques de género, diferencial e interseccional para garantizar que refugios y servicios para víctimas de violencia sean accesibles para PCD, especialmente mujeres y niñas. Las Casas para la Dignidad de las Mujeres incorporan criterios de accesibilidad universal conforme a la NTC-6047, la Ley 361/1997 y el Decreto 1538/2005, incluyendo señalética con diseño inclusivo.</w:t>
      </w:r>
    </w:p>
    <w:p w14:paraId="1335BE6E"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0FD7391D" w14:textId="77777777" w:rsidR="00CE7178" w:rsidRPr="00CE7178" w:rsidRDefault="00CE7178" w:rsidP="008A69CB">
      <w:pPr>
        <w:numPr>
          <w:ilvl w:val="0"/>
          <w:numId w:val="28"/>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Para prevenir y responder a la violencia sexual, explotación sexual y trata con enfoque de discapacidad, la Policía Nacional desarrolla el programa Abre tus Ojos y, mediante los Grupos de Protección a la Infancia y Adolescencia, realiza vigilancia, detección y activación de rutas de protección. La Dirección de Investigación Criminal e INTERPOL implementa las Directivas Operativas Transitorias 013/2025 y 011/2025 para investigar estos delitos, fortalecer coordinación interinstitucional y activar la Ruta de Protección y Asistencia para </w:t>
      </w:r>
      <w:r w:rsidRPr="00CE7178">
        <w:rPr>
          <w:rFonts w:ascii="Verdana" w:eastAsia="SimSun" w:hAnsi="Verdana" w:cs="Arial"/>
          <w:sz w:val="24"/>
          <w:szCs w:val="24"/>
          <w:lang w:val="es-CO" w:eastAsia="ja-JP"/>
        </w:rPr>
        <w:lastRenderedPageBreak/>
        <w:t>Víctimas de Trata de Personas. En 2026 se realizaron 22.241 acciones de prevención en instituciones educativas, con 663.693 estudiantes beneficiados.</w:t>
      </w:r>
    </w:p>
    <w:p w14:paraId="4EB6B506"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524B7674" w14:textId="77777777" w:rsidR="00CE7178" w:rsidRPr="00CE7178" w:rsidRDefault="00CE7178" w:rsidP="008A69CB">
      <w:pPr>
        <w:numPr>
          <w:ilvl w:val="0"/>
          <w:numId w:val="28"/>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Colombia fortaleció la Escuela </w:t>
      </w:r>
      <w:proofErr w:type="spellStart"/>
      <w:r w:rsidRPr="00CE7178">
        <w:rPr>
          <w:rFonts w:ascii="Verdana" w:eastAsia="SimSun" w:hAnsi="Verdana" w:cs="Arial"/>
          <w:sz w:val="24"/>
          <w:szCs w:val="24"/>
          <w:lang w:val="es-CO" w:eastAsia="ja-JP"/>
        </w:rPr>
        <w:t>Policarpas</w:t>
      </w:r>
      <w:proofErr w:type="spellEnd"/>
      <w:r w:rsidRPr="00CE7178">
        <w:rPr>
          <w:rFonts w:ascii="Verdana" w:eastAsia="SimSun" w:hAnsi="Verdana" w:cs="Arial"/>
          <w:sz w:val="24"/>
          <w:szCs w:val="24"/>
          <w:lang w:val="es-CO" w:eastAsia="ja-JP"/>
        </w:rPr>
        <w:t xml:space="preserve"> (2.100 cupos) contra violencia de género hacia mujeres con discapacidad. SALVIA registró 10.733 casos de violencia de género y prejuicio (04/11/2024–28/02/2026); 576 en discapacidad (93,9% mujeres cisgénero; predominio motora, múltiple, visual; 31 afrodescendientes, 19 indígenas, 1 </w:t>
      </w:r>
      <w:proofErr w:type="spellStart"/>
      <w:r w:rsidRPr="00CE7178">
        <w:rPr>
          <w:rFonts w:ascii="Verdana" w:eastAsia="SimSun" w:hAnsi="Verdana" w:cs="Arial"/>
          <w:sz w:val="24"/>
          <w:szCs w:val="24"/>
          <w:lang w:val="es-CO" w:eastAsia="ja-JP"/>
        </w:rPr>
        <w:t>Rrom</w:t>
      </w:r>
      <w:proofErr w:type="spellEnd"/>
      <w:r w:rsidRPr="00CE7178">
        <w:rPr>
          <w:rFonts w:ascii="Verdana" w:eastAsia="SimSun" w:hAnsi="Verdana" w:cs="Arial"/>
          <w:sz w:val="24"/>
          <w:szCs w:val="24"/>
          <w:lang w:val="es-CO" w:eastAsia="ja-JP"/>
        </w:rPr>
        <w:t>). SIVIGILA registra violencia de género y VIF en discapacidad. La Ley 2447/2025 eliminó el matrimonio infantil y fortaleció el Sistema Nacional de Recopilación de Datos sobre violencia de género. El SPOA registró 20.246 procesos (2021–abril2026) con víctimas con discapacidad por VIF, delitos sexuales, feminicidio, lesiones personales, lesiones con agente químico y amenazas, más 56 procesos (74 víctimas), desagregados por edad, delito, tipo de discapacidad y etapa procesal.</w:t>
      </w:r>
    </w:p>
    <w:p w14:paraId="340C20B9"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50503837"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color w:val="000000"/>
          <w:sz w:val="24"/>
          <w:szCs w:val="24"/>
          <w:lang w:val="es-CO" w:eastAsia="ja-JP"/>
        </w:rPr>
        <w:t>El consentimiento libre e informado en salud está garantizado por las Resoluciones 1904/2017, 3280/2018, 051/2023 y 544/2023, que exigen apoyos y ajustes razonables Está en trámite un lineamiento sobre capacidad legal y ajustes razonables en salud</w:t>
      </w:r>
      <w:r w:rsidRPr="00CE7178">
        <w:rPr>
          <w:rFonts w:ascii="Verdana" w:eastAsia="SimSun" w:hAnsi="Verdana" w:cs="Arial"/>
          <w:color w:val="000000"/>
          <w:sz w:val="24"/>
          <w:szCs w:val="24"/>
          <w:vertAlign w:val="superscript"/>
          <w:lang w:val="es-CO" w:eastAsia="ja-JP"/>
        </w:rPr>
        <w:footnoteReference w:id="32"/>
      </w:r>
      <w:r w:rsidRPr="00CE7178">
        <w:rPr>
          <w:rFonts w:ascii="Verdana" w:eastAsia="SimSun" w:hAnsi="Verdana" w:cs="Arial"/>
          <w:color w:val="000000"/>
          <w:sz w:val="24"/>
          <w:szCs w:val="24"/>
          <w:lang w:val="es-CO" w:eastAsia="ja-JP"/>
        </w:rPr>
        <w:t>. La certificación de discapacidad, el Plan Nacional de Vacunación COVID-19 y los servicios de salud sexual y reproductiva incorporan consentimiento informado, accesibilidad y apoyos. La Resolución 1904 /2017 y la Ley 1996 exigen consentimiento libre, previo e informado de la propia persona para esterilización o intervención ginecológica, sin sustitución por terceros. El SND creó comisión especializada para promover autonomía, capacidad jurídica y eliminación de prácticas restrictivas en decisiones de salud, en implementación de la Ley 1996.</w:t>
      </w:r>
    </w:p>
    <w:p w14:paraId="30897C1C"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256B07C1"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161538D4" w14:textId="77777777" w:rsidR="00CE7178" w:rsidRPr="00CE7178" w:rsidRDefault="00CE7178" w:rsidP="008A69CB">
      <w:pPr>
        <w:numPr>
          <w:ilvl w:val="0"/>
          <w:numId w:val="27"/>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El retorno, reubicación e integración de víctimas de desplazamiento forzado se rigen por las Resoluciones 3320/2019 y 00027/2022, con enfoque diferencial</w:t>
      </w:r>
      <w:r w:rsidRPr="00CE7178">
        <w:rPr>
          <w:rFonts w:ascii="Verdana" w:eastAsia="SimSun" w:hAnsi="Verdana" w:cs="Arial"/>
          <w:sz w:val="24"/>
          <w:szCs w:val="24"/>
          <w:vertAlign w:val="superscript"/>
          <w:lang w:val="es-CO" w:eastAsia="ja-JP"/>
        </w:rPr>
        <w:footnoteReference w:id="33"/>
      </w:r>
      <w:r w:rsidRPr="00CE7178">
        <w:rPr>
          <w:rFonts w:ascii="Verdana" w:eastAsia="SimSun" w:hAnsi="Verdana" w:cs="Arial"/>
          <w:sz w:val="24"/>
          <w:szCs w:val="24"/>
          <w:lang w:val="es-CO" w:eastAsia="ja-JP"/>
        </w:rPr>
        <w:t xml:space="preserve"> para PCD. En </w:t>
      </w:r>
      <w:proofErr w:type="spellStart"/>
      <w:r w:rsidRPr="00CE7178">
        <w:rPr>
          <w:rFonts w:ascii="Verdana" w:eastAsia="SimSun" w:hAnsi="Verdana" w:cs="Arial"/>
          <w:sz w:val="24"/>
          <w:szCs w:val="24"/>
          <w:lang w:val="es-CO" w:eastAsia="ja-JP"/>
        </w:rPr>
        <w:t>Juradó</w:t>
      </w:r>
      <w:proofErr w:type="spellEnd"/>
      <w:r w:rsidRPr="00CE7178">
        <w:rPr>
          <w:rFonts w:ascii="Verdana" w:eastAsia="SimSun" w:hAnsi="Verdana" w:cs="Arial"/>
          <w:sz w:val="24"/>
          <w:szCs w:val="24"/>
          <w:lang w:val="es-CO" w:eastAsia="ja-JP"/>
        </w:rPr>
        <w:t xml:space="preserve"> se ejecutan 10 planes de retorno y reubicación indígena, con 200 acciones (22 ejecutadas, 178 pendientes). En esquemas de acompañamiento comunitario se focalizaron 9 acciones en 2025; en 2026 no se han ejecutado apoyos. Las entidades territoriales remitieron cartas de intención; los planes, aún sin formular, podrán </w:t>
      </w:r>
      <w:proofErr w:type="spellStart"/>
      <w:r w:rsidRPr="00CE7178">
        <w:rPr>
          <w:rFonts w:ascii="Verdana" w:eastAsia="SimSun" w:hAnsi="Verdana" w:cs="Arial"/>
          <w:sz w:val="24"/>
          <w:szCs w:val="24"/>
          <w:lang w:val="es-CO" w:eastAsia="ja-JP"/>
        </w:rPr>
        <w:t>refocalizarse</w:t>
      </w:r>
      <w:proofErr w:type="spellEnd"/>
      <w:r w:rsidRPr="00CE7178">
        <w:rPr>
          <w:rFonts w:ascii="Verdana" w:eastAsia="SimSun" w:hAnsi="Verdana" w:cs="Arial"/>
          <w:sz w:val="24"/>
          <w:szCs w:val="24"/>
          <w:lang w:val="es-CO" w:eastAsia="ja-JP"/>
        </w:rPr>
        <w:t xml:space="preserve"> según compromiso municipal</w:t>
      </w:r>
      <w:r w:rsidRPr="00CE7178">
        <w:rPr>
          <w:rFonts w:ascii="Verdana" w:eastAsia="SimSun" w:hAnsi="Verdana" w:cs="Arial"/>
          <w:sz w:val="24"/>
          <w:szCs w:val="24"/>
          <w:lang w:eastAsia="ja-JP"/>
        </w:rPr>
        <w:t>.</w:t>
      </w:r>
    </w:p>
    <w:p w14:paraId="4731DBF5" w14:textId="77777777" w:rsidR="00CE7178" w:rsidRPr="00CE7178" w:rsidRDefault="00CE7178" w:rsidP="008A69CB">
      <w:pPr>
        <w:numPr>
          <w:ilvl w:val="0"/>
          <w:numId w:val="27"/>
        </w:numPr>
        <w:spacing w:after="160" w:line="279" w:lineRule="auto"/>
        <w:ind w:left="0" w:firstLine="0"/>
        <w:contextualSpacing/>
        <w:jc w:val="both"/>
        <w:rPr>
          <w:rFonts w:ascii="Verdana" w:eastAsia="SimSun" w:hAnsi="Verdana" w:cs="Arial"/>
          <w:color w:val="FFFFFF"/>
          <w:sz w:val="24"/>
          <w:szCs w:val="24"/>
          <w:lang w:eastAsia="ja-JP"/>
        </w:rPr>
      </w:pPr>
    </w:p>
    <w:p w14:paraId="5ED00FA8" w14:textId="77777777" w:rsidR="00CE7178" w:rsidRPr="00CE7178" w:rsidRDefault="00CE7178" w:rsidP="008A69CB">
      <w:pPr>
        <w:numPr>
          <w:ilvl w:val="0"/>
          <w:numId w:val="27"/>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La Ley 2136/2021, el Decreto 1067/2015 y el Decreto 089/2025 incorporan la perspectiva de discapacidad y fortalecen el procedimiento para la </w:t>
      </w:r>
      <w:r w:rsidRPr="00CE7178">
        <w:rPr>
          <w:rFonts w:ascii="Verdana" w:eastAsia="SimSun" w:hAnsi="Verdana" w:cs="Arial"/>
          <w:sz w:val="24"/>
          <w:szCs w:val="24"/>
          <w:lang w:val="es-CO" w:eastAsia="ja-JP"/>
        </w:rPr>
        <w:lastRenderedPageBreak/>
        <w:t>determinación de la condición de refugiado, garantizando el debido proceso, el principio de no devolución y un trámite ágil y efectivo.</w:t>
      </w:r>
    </w:p>
    <w:p w14:paraId="6EF58F13"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5D7EAD15" w14:textId="77777777" w:rsidR="00CE7178" w:rsidRPr="00CE7178" w:rsidRDefault="00CE7178" w:rsidP="008A69CB">
      <w:pPr>
        <w:numPr>
          <w:ilvl w:val="0"/>
          <w:numId w:val="27"/>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Las personas migrantes, refugiadas o asiladas con discapacidad acceden al certificado en igualdad de condiciones, conforme a la Constitución, la Ley 1618/2013 y la Resolución 1197/2024. El procedimiento es gratuito, incorpora apoyos y ajustes razonables; requiere documento de identificación válido, afiliación al SGSSS y solicitud ante la secretaría de salud con historia clínica. La certificación se realiza mediante valoración clínica multidisciplinaria basada en la CIF; confirmada la discapacidad, se expide el certificado y se registra en el RLCPD. Se brinda acompañamiento jurídico a personas regularizadas afiliadas a EPS. Se registran atenciones: 1.675 (goce efectivo de derechos), 1.750 (orientación general), 1.121 (orientación jurídica), 769 (salud) y 503 (orientación para empleabilidad).</w:t>
      </w:r>
    </w:p>
    <w:p w14:paraId="5FC2EF18" w14:textId="77777777" w:rsidR="00CE7178" w:rsidRPr="00CE7178" w:rsidRDefault="00CE7178" w:rsidP="00CE7178">
      <w:pPr>
        <w:spacing w:line="279" w:lineRule="auto"/>
        <w:contextualSpacing/>
        <w:jc w:val="both"/>
        <w:rPr>
          <w:rFonts w:ascii="Verdana" w:eastAsia="SimSun" w:hAnsi="Verdana" w:cs="Arial"/>
          <w:sz w:val="24"/>
          <w:szCs w:val="24"/>
          <w:lang w:val="es-CO" w:eastAsia="ja-JP"/>
        </w:rPr>
      </w:pPr>
    </w:p>
    <w:p w14:paraId="545B5E35" w14:textId="77777777" w:rsidR="00CE7178" w:rsidRPr="00CE7178" w:rsidRDefault="00CE7178" w:rsidP="008A69CB">
      <w:pPr>
        <w:numPr>
          <w:ilvl w:val="0"/>
          <w:numId w:val="27"/>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 xml:space="preserve">La UAEMC, dentro del Plan de Ajustes Razonables fortaleció la accesibilidad en Centros Facilitadores de Servicios Migratorios y Puestos de Control Migratorio. En el Centro Facilitador de Bogotá se instalaron 42 metros de señalización </w:t>
      </w:r>
      <w:proofErr w:type="spellStart"/>
      <w:r w:rsidRPr="00CE7178">
        <w:rPr>
          <w:rFonts w:ascii="Verdana" w:eastAsia="SimSun" w:hAnsi="Verdana" w:cs="Arial"/>
          <w:sz w:val="24"/>
          <w:szCs w:val="24"/>
          <w:lang w:val="es-CO" w:eastAsia="ja-JP"/>
        </w:rPr>
        <w:t>podotáctil</w:t>
      </w:r>
      <w:proofErr w:type="spellEnd"/>
      <w:r w:rsidRPr="00CE7178">
        <w:rPr>
          <w:rFonts w:ascii="Verdana" w:eastAsia="SimSun" w:hAnsi="Verdana" w:cs="Arial"/>
          <w:sz w:val="24"/>
          <w:szCs w:val="24"/>
          <w:vertAlign w:val="superscript"/>
          <w:lang w:val="es-CO" w:eastAsia="ja-JP"/>
        </w:rPr>
        <w:footnoteReference w:id="34"/>
      </w:r>
      <w:r w:rsidRPr="00CE7178">
        <w:rPr>
          <w:rFonts w:ascii="Verdana" w:eastAsia="SimSun" w:hAnsi="Verdana" w:cs="Arial"/>
          <w:sz w:val="24"/>
          <w:szCs w:val="24"/>
          <w:lang w:val="es-CO" w:eastAsia="ja-JP"/>
        </w:rPr>
        <w:t>. El portal web cumple la NTC-5854 y la Resolución 1519/2020. Desde 2024 se ofrece interpretación remota en LSC en 35 puntos de atención, canal de orientación en LSC e interpretación en videos institucionales. El Estatuto Temporal de Protección para Migrantes Venezolanos incluye el Registro Único para Migrantes Venezolanos y el PPT como mecanismos de regularización.</w:t>
      </w:r>
    </w:p>
    <w:p w14:paraId="503A0612"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5D07D32E"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103D621B" w14:textId="77777777" w:rsidR="00CE7178" w:rsidRPr="00CE7178" w:rsidRDefault="00CE7178" w:rsidP="008A69CB">
      <w:pPr>
        <w:numPr>
          <w:ilvl w:val="0"/>
          <w:numId w:val="26"/>
        </w:numPr>
        <w:spacing w:before="240"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Existe oferta formativa para asistentes personales, apoyo en el hogar y cuidadores no especializados: el programa técnico Cuidado Básico de Personas con Dependencia Funcional (1.296 horas) y cuatro programas complementarios (40-48 horas) sobre autocuidado, cuidados básicos para personas mayores, enfermedades huérfanas y abordaje de discapacidad.</w:t>
      </w:r>
    </w:p>
    <w:p w14:paraId="1DE969D9" w14:textId="77777777" w:rsidR="00CE7178" w:rsidRPr="00CE7178" w:rsidRDefault="00CE7178" w:rsidP="00CE7178">
      <w:pPr>
        <w:spacing w:before="240" w:line="279" w:lineRule="auto"/>
        <w:contextualSpacing/>
        <w:jc w:val="both"/>
        <w:rPr>
          <w:rFonts w:ascii="Verdana" w:eastAsia="SimSun" w:hAnsi="Verdana" w:cs="Arial"/>
          <w:sz w:val="24"/>
          <w:szCs w:val="24"/>
          <w:lang w:eastAsia="ja-JP"/>
        </w:rPr>
      </w:pPr>
    </w:p>
    <w:p w14:paraId="1E8E5A9D" w14:textId="77777777" w:rsidR="00CE7178" w:rsidRPr="00CE7178" w:rsidRDefault="00CE7178" w:rsidP="008A69CB">
      <w:pPr>
        <w:numPr>
          <w:ilvl w:val="0"/>
          <w:numId w:val="26"/>
        </w:numPr>
        <w:spacing w:before="240"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 xml:space="preserve">Colombia adelanta la desinstitucionalización mediante reformas normativas y alternativas comunitarias, en implementación a junio de 2026, sin cronograma nacional unificado. La PNSM 2025-2034 y la Ley 2460/2025 fortalecen la atención comunitaria, la rehabilitación basada en comunidad, las redes familiares y la prevención de institucionalizaciones prolongadas. El marco estratégico del Plan de Transformación del Cuidado y Desinstitucionalización del ICBF prioriza la vida en familia y comunidad. Desde 2023 opera el Modelo de Enfoque Diferencial de Derechos. El servicio Vida en Comunidad (2026), </w:t>
      </w:r>
      <w:proofErr w:type="spellStart"/>
      <w:r w:rsidRPr="00CE7178">
        <w:rPr>
          <w:rFonts w:ascii="Verdana" w:eastAsia="SimSun" w:hAnsi="Verdana" w:cs="Arial"/>
          <w:sz w:val="24"/>
          <w:szCs w:val="24"/>
          <w:lang w:val="es-CO" w:eastAsia="ja-JP"/>
        </w:rPr>
        <w:t>desinstitucionalizó</w:t>
      </w:r>
      <w:proofErr w:type="spellEnd"/>
      <w:r w:rsidRPr="00CE7178">
        <w:rPr>
          <w:rFonts w:ascii="Verdana" w:eastAsia="SimSun" w:hAnsi="Verdana" w:cs="Arial"/>
          <w:sz w:val="24"/>
          <w:szCs w:val="24"/>
          <w:lang w:val="es-CO" w:eastAsia="ja-JP"/>
        </w:rPr>
        <w:t xml:space="preserve"> a 60 PCD. Se limitó la creación de servicios de acogimiento </w:t>
      </w:r>
      <w:r w:rsidRPr="00CE7178">
        <w:rPr>
          <w:rFonts w:ascii="Verdana" w:eastAsia="SimSun" w:hAnsi="Verdana" w:cs="Arial"/>
          <w:sz w:val="24"/>
          <w:szCs w:val="24"/>
          <w:lang w:val="es-CO" w:eastAsia="ja-JP"/>
        </w:rPr>
        <w:lastRenderedPageBreak/>
        <w:t xml:space="preserve">residencial con más de 50 cupos, se restringió el ingreso de niñas y niños menores de tres años a estos servicios y se actualizaron los manuales de operación para eliminar prácticas </w:t>
      </w:r>
      <w:proofErr w:type="spellStart"/>
      <w:r w:rsidRPr="00CE7178">
        <w:rPr>
          <w:rFonts w:ascii="Verdana" w:eastAsia="SimSun" w:hAnsi="Verdana" w:cs="Arial"/>
          <w:sz w:val="24"/>
          <w:szCs w:val="24"/>
          <w:lang w:val="es-CO" w:eastAsia="ja-JP"/>
        </w:rPr>
        <w:t>institucionalizantes</w:t>
      </w:r>
      <w:proofErr w:type="spellEnd"/>
      <w:r w:rsidRPr="00CE7178">
        <w:rPr>
          <w:rFonts w:ascii="Verdana" w:eastAsia="SimSun" w:hAnsi="Verdana" w:cs="Arial"/>
          <w:sz w:val="24"/>
          <w:szCs w:val="24"/>
          <w:lang w:val="es-CO" w:eastAsia="ja-JP"/>
        </w:rPr>
        <w:t>.</w:t>
      </w:r>
    </w:p>
    <w:p w14:paraId="5636F607" w14:textId="77777777" w:rsidR="00CE7178" w:rsidRPr="00CE7178" w:rsidRDefault="00CE7178" w:rsidP="00CE7178">
      <w:pPr>
        <w:spacing w:before="240" w:line="279" w:lineRule="auto"/>
        <w:contextualSpacing/>
        <w:jc w:val="both"/>
        <w:rPr>
          <w:rFonts w:ascii="Verdana" w:eastAsia="SimSun" w:hAnsi="Verdana" w:cs="Arial"/>
          <w:sz w:val="24"/>
          <w:szCs w:val="24"/>
          <w:lang w:val="es-CO" w:eastAsia="ja-JP"/>
        </w:rPr>
      </w:pPr>
    </w:p>
    <w:p w14:paraId="15893ED7" w14:textId="77777777" w:rsidR="00CE7178" w:rsidRPr="00CE7178" w:rsidRDefault="00CE7178" w:rsidP="008A69CB">
      <w:pPr>
        <w:numPr>
          <w:ilvl w:val="0"/>
          <w:numId w:val="26"/>
        </w:numPr>
        <w:spacing w:before="240"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Colombia desarrolla un instrumento de valoración de autonomía y necesidades de apoyo, adaptando el modelo de vida independiente de Japón mediante formación de profesionales, incluidas PCD. En el marco de la desinstitucionalización, el servicio Vida en Comunidad reemplaza el internamiento por 10 viviendas comunitarias para 60 NNA con discapacidad, iniciado en 2026 (febrero) con inversión de $1.459.944.000COP, financiada mediante reorientación de recursos de antiguos internados, bajo enfoque centrado en la persona.</w:t>
      </w:r>
    </w:p>
    <w:p w14:paraId="4D3C7ED8" w14:textId="77777777" w:rsidR="00CE7178" w:rsidRPr="00CE7178" w:rsidRDefault="00CE7178" w:rsidP="00CE7178">
      <w:pPr>
        <w:spacing w:before="240" w:line="279" w:lineRule="auto"/>
        <w:contextualSpacing/>
        <w:jc w:val="both"/>
        <w:rPr>
          <w:rFonts w:ascii="Verdana" w:eastAsia="SimSun" w:hAnsi="Verdana" w:cs="Arial"/>
          <w:sz w:val="24"/>
          <w:szCs w:val="24"/>
          <w:lang w:eastAsia="ja-JP"/>
        </w:rPr>
      </w:pPr>
    </w:p>
    <w:p w14:paraId="24DAFBE9" w14:textId="77777777" w:rsidR="00CE7178" w:rsidRPr="00CE7178" w:rsidRDefault="00CE7178" w:rsidP="008A69CB">
      <w:pPr>
        <w:numPr>
          <w:ilvl w:val="0"/>
          <w:numId w:val="26"/>
        </w:numPr>
        <w:spacing w:before="240"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El CONPES 4143 estructura el SNC y orienta acciones para garantizar el derecho a cuidar y recibir cuidado, con énfasis en derechos de personas cuidadoras, articulado con la Política Nacional de Discapacidad. Incorpora la figura del asistente personal en cuatro acciones: reconocimiento de competencias de cuidadores/asistentes; apropiación digital; programa nacional de apoyos para la vida independiente; y módulo virtual sobre participación ciudadana/política. La articulación SNC-SND está prevista en el decreto de gobernanza del SNC, mediante la Secretaría Técnica del SND en el Comité Técnico del SNC, y un delegado de PCD, elegido por el CND, en el Consejo Asesor de Cuidado.</w:t>
      </w:r>
    </w:p>
    <w:p w14:paraId="7FFEF282" w14:textId="77777777" w:rsidR="00CE7178" w:rsidRPr="00CE7178" w:rsidRDefault="00CE7178" w:rsidP="00CE7178">
      <w:pPr>
        <w:spacing w:before="240" w:line="279" w:lineRule="auto"/>
        <w:contextualSpacing/>
        <w:jc w:val="both"/>
        <w:rPr>
          <w:rFonts w:ascii="Verdana" w:eastAsia="SimSun" w:hAnsi="Verdana" w:cs="Arial"/>
          <w:sz w:val="24"/>
          <w:szCs w:val="24"/>
          <w:lang w:eastAsia="ja-JP"/>
        </w:rPr>
      </w:pPr>
    </w:p>
    <w:p w14:paraId="72AA4F66"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val="es-CO" w:eastAsia="ja-JP"/>
        </w:rPr>
      </w:pPr>
      <w:r w:rsidRPr="00CE7178">
        <w:rPr>
          <w:rFonts w:ascii="Verdana" w:eastAsia="SimSun" w:hAnsi="Verdana" w:cs="Arial"/>
          <w:sz w:val="24"/>
          <w:szCs w:val="24"/>
          <w:lang w:val="es-CO" w:eastAsia="ja-JP"/>
        </w:rPr>
        <w:t>El Estatuto Tributario</w:t>
      </w:r>
      <w:r w:rsidRPr="00CE7178">
        <w:rPr>
          <w:rFonts w:ascii="Verdana" w:eastAsia="SimSun" w:hAnsi="Verdana" w:cs="Arial"/>
          <w:sz w:val="24"/>
          <w:szCs w:val="24"/>
          <w:vertAlign w:val="superscript"/>
          <w:lang w:val="es-CO" w:eastAsia="ja-JP"/>
        </w:rPr>
        <w:footnoteReference w:id="35"/>
      </w:r>
      <w:r w:rsidRPr="00CE7178">
        <w:rPr>
          <w:rFonts w:ascii="Verdana" w:eastAsia="SimSun" w:hAnsi="Verdana" w:cs="Arial"/>
          <w:sz w:val="24"/>
          <w:szCs w:val="24"/>
          <w:lang w:val="es-CO" w:eastAsia="ja-JP"/>
        </w:rPr>
        <w:t xml:space="preserve"> excluye del IVA sillas de ruedas, vehículos para movilidad reducida, muletas, aparatos ortopédicos, prótesis y audífonos. La Ley 361/1997</w:t>
      </w:r>
      <w:r w:rsidRPr="00CE7178">
        <w:rPr>
          <w:rFonts w:ascii="Verdana" w:eastAsia="SimSun" w:hAnsi="Verdana" w:cs="Arial"/>
          <w:sz w:val="24"/>
          <w:szCs w:val="24"/>
          <w:vertAlign w:val="superscript"/>
          <w:lang w:val="es-CO" w:eastAsia="ja-JP"/>
        </w:rPr>
        <w:footnoteReference w:id="36"/>
      </w:r>
      <w:r w:rsidRPr="00CE7178">
        <w:rPr>
          <w:rFonts w:ascii="Verdana" w:eastAsia="SimSun" w:hAnsi="Verdana" w:cs="Arial"/>
          <w:sz w:val="24"/>
          <w:szCs w:val="24"/>
          <w:lang w:val="es-CO" w:eastAsia="ja-JP"/>
        </w:rPr>
        <w:t xml:space="preserve"> permite deducir el 200% de salarios y prestaciones de trabajadores con discapacidad del impuesto sobre la renta. La Resolución 2765/2025</w:t>
      </w:r>
      <w:r w:rsidRPr="00CE7178">
        <w:rPr>
          <w:rFonts w:ascii="Verdana" w:eastAsia="SimSun" w:hAnsi="Verdana" w:cs="Arial"/>
          <w:sz w:val="24"/>
          <w:szCs w:val="24"/>
          <w:vertAlign w:val="superscript"/>
          <w:lang w:val="es-CO" w:eastAsia="ja-JP"/>
        </w:rPr>
        <w:footnoteReference w:id="37"/>
      </w:r>
      <w:r w:rsidRPr="00CE7178">
        <w:rPr>
          <w:rFonts w:ascii="Verdana" w:eastAsia="SimSun" w:hAnsi="Verdana" w:cs="Arial"/>
          <w:sz w:val="24"/>
          <w:szCs w:val="24"/>
          <w:lang w:val="es-CO" w:eastAsia="ja-JP"/>
        </w:rPr>
        <w:t xml:space="preserve"> financia con recursos de la UPC prótesis, válvulas, lentes intraoculares, audífonos y órtesis sin finalidad estética, e incluye entrega de muletas, caminadores y bastones con entrenamiento. Se promueve accesibilidad digital mediante compatibilidad de plataformas públicas con tecnologías de asistencia.</w:t>
      </w:r>
    </w:p>
    <w:p w14:paraId="0AB4E4BC" w14:textId="77777777" w:rsidR="00CE7178" w:rsidRPr="00CE7178" w:rsidRDefault="00CE7178" w:rsidP="00CE7178">
      <w:pPr>
        <w:spacing w:line="279" w:lineRule="auto"/>
        <w:contextualSpacing/>
        <w:jc w:val="both"/>
        <w:rPr>
          <w:rFonts w:ascii="Verdana" w:eastAsia="SimSun" w:hAnsi="Verdana" w:cs="Arial"/>
          <w:b/>
          <w:bCs/>
          <w:sz w:val="24"/>
          <w:szCs w:val="24"/>
          <w:lang w:val="es-CO" w:eastAsia="ja-JP"/>
        </w:rPr>
      </w:pPr>
    </w:p>
    <w:p w14:paraId="58B7AA55"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190E54E6" w14:textId="77777777" w:rsidR="00CE7178" w:rsidRPr="00CE7178" w:rsidRDefault="00CE7178" w:rsidP="008A69CB">
      <w:pPr>
        <w:numPr>
          <w:ilvl w:val="0"/>
          <w:numId w:val="25"/>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Cuatro canales regionales reportaron contar con representación en sus espacios de programación: </w:t>
      </w:r>
      <w:proofErr w:type="spellStart"/>
      <w:r w:rsidRPr="00CE7178">
        <w:rPr>
          <w:rFonts w:ascii="Verdana" w:eastAsia="SimSun" w:hAnsi="Verdana" w:cs="Arial"/>
          <w:sz w:val="24"/>
          <w:szCs w:val="24"/>
          <w:lang w:val="es-CO" w:eastAsia="ja-JP"/>
        </w:rPr>
        <w:t>CanalTrece</w:t>
      </w:r>
      <w:proofErr w:type="spellEnd"/>
      <w:r w:rsidRPr="00CE7178">
        <w:rPr>
          <w:rFonts w:ascii="Verdana" w:eastAsia="SimSun" w:hAnsi="Verdana" w:cs="Arial"/>
          <w:sz w:val="24"/>
          <w:szCs w:val="24"/>
          <w:lang w:val="es-CO" w:eastAsia="ja-JP"/>
        </w:rPr>
        <w:t xml:space="preserve">, un presentador con discapacidad auditiva; </w:t>
      </w:r>
      <w:proofErr w:type="spellStart"/>
      <w:r w:rsidRPr="00CE7178">
        <w:rPr>
          <w:rFonts w:ascii="Verdana" w:eastAsia="SimSun" w:hAnsi="Verdana" w:cs="Arial"/>
          <w:sz w:val="24"/>
          <w:szCs w:val="24"/>
          <w:lang w:val="es-CO" w:eastAsia="ja-JP"/>
        </w:rPr>
        <w:t>Telepacífico</w:t>
      </w:r>
      <w:proofErr w:type="spellEnd"/>
      <w:r w:rsidRPr="00CE7178">
        <w:rPr>
          <w:rFonts w:ascii="Verdana" w:eastAsia="SimSun" w:hAnsi="Verdana" w:cs="Arial"/>
          <w:sz w:val="24"/>
          <w:szCs w:val="24"/>
          <w:lang w:val="es-CO" w:eastAsia="ja-JP"/>
        </w:rPr>
        <w:t xml:space="preserve">, presentador con discapacidad visual; </w:t>
      </w:r>
      <w:proofErr w:type="spellStart"/>
      <w:r w:rsidRPr="00CE7178">
        <w:rPr>
          <w:rFonts w:ascii="Verdana" w:eastAsia="SimSun" w:hAnsi="Verdana" w:cs="Arial"/>
          <w:sz w:val="24"/>
          <w:szCs w:val="24"/>
          <w:lang w:val="es-CO" w:eastAsia="ja-JP"/>
        </w:rPr>
        <w:t>Telecafé</w:t>
      </w:r>
      <w:proofErr w:type="spellEnd"/>
      <w:r w:rsidRPr="00CE7178">
        <w:rPr>
          <w:rFonts w:ascii="Verdana" w:eastAsia="SimSun" w:hAnsi="Verdana" w:cs="Arial"/>
          <w:sz w:val="24"/>
          <w:szCs w:val="24"/>
          <w:lang w:val="es-CO" w:eastAsia="ja-JP"/>
        </w:rPr>
        <w:t>, director y presentador con trisomía 14; y Telecaribe, presentador con autismo.</w:t>
      </w:r>
    </w:p>
    <w:p w14:paraId="55DBC31C" w14:textId="77777777" w:rsidR="00CE7178" w:rsidRPr="00CE7178" w:rsidRDefault="00CE7178" w:rsidP="00CE7178">
      <w:pPr>
        <w:spacing w:line="279" w:lineRule="auto"/>
        <w:contextualSpacing/>
        <w:jc w:val="both"/>
        <w:rPr>
          <w:rFonts w:ascii="Verdana" w:eastAsia="SimSun" w:hAnsi="Verdana" w:cs="Arial"/>
          <w:color w:val="FF0000"/>
          <w:sz w:val="24"/>
          <w:szCs w:val="24"/>
          <w:lang w:eastAsia="ja-JP"/>
        </w:rPr>
      </w:pPr>
    </w:p>
    <w:p w14:paraId="6AD8F4EB" w14:textId="77777777" w:rsidR="00CE7178" w:rsidRPr="00CE7178" w:rsidRDefault="00CE7178" w:rsidP="008A69CB">
      <w:pPr>
        <w:numPr>
          <w:ilvl w:val="0"/>
          <w:numId w:val="25"/>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eastAsia="ja-JP"/>
        </w:rPr>
        <w:lastRenderedPageBreak/>
        <w:t>El Manual de Producción de RTVC incorpora disposiciones orientadas a prevenir cualquier forma de discriminación o estigmatización, así como la exageración y la burla que afecten la honra y personalidad de los individuos y las comunidades</w:t>
      </w:r>
      <w:r w:rsidRPr="00CE7178">
        <w:rPr>
          <w:rFonts w:ascii="Verdana" w:eastAsia="SimSun" w:hAnsi="Verdana" w:cs="Arial"/>
          <w:sz w:val="24"/>
          <w:szCs w:val="24"/>
          <w:vertAlign w:val="superscript"/>
          <w:lang w:val="es-CO" w:eastAsia="ja-JP"/>
        </w:rPr>
        <w:footnoteReference w:id="38"/>
      </w:r>
      <w:r w:rsidRPr="00CE7178">
        <w:rPr>
          <w:rFonts w:ascii="Verdana" w:eastAsia="SimSun" w:hAnsi="Verdana" w:cs="Arial"/>
          <w:sz w:val="24"/>
          <w:szCs w:val="24"/>
          <w:lang w:eastAsia="ja-JP"/>
        </w:rPr>
        <w:t>.</w:t>
      </w:r>
    </w:p>
    <w:p w14:paraId="2038BCDB"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3BB1DD2C" w14:textId="77777777" w:rsidR="00CE7178" w:rsidRPr="00CE7178" w:rsidRDefault="00CE7178" w:rsidP="008A69CB">
      <w:pPr>
        <w:numPr>
          <w:ilvl w:val="0"/>
          <w:numId w:val="25"/>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Las sedes electrónicas de Mi Colombia Digital cumplen las WCAG nivel AA. El cumplimiento de la Resolución 1519/2020 tiene seguimiento preventivo bajo la Ley 1712/2014, complementado con la Circular 012/2025, capacitaciones y requerimientos ante incumplimientos. Se brinda asistencia técnica a entidades públicas y privadas para garantizar acceso a la información de personas sordas; se elaboró guía para producción audiovisual accesible y se implementaron formatos accesibles para PQRSDF y documentos digitales, con base en las guías AGCMG.11 y EDG.18.</w:t>
      </w:r>
    </w:p>
    <w:p w14:paraId="317EC2FE"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670B543A" w14:textId="77777777" w:rsidR="00CE7178" w:rsidRPr="00CE7178" w:rsidRDefault="00CE7178" w:rsidP="008A69CB">
      <w:pPr>
        <w:numPr>
          <w:ilvl w:val="0"/>
          <w:numId w:val="25"/>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Se promueven portales con lenguaje claro, contenidos en LSC y formularios accesibles. Sobre migración, el portal incorpora las WCAG, la NTC-5854 y la Resolución 1519/2020, y el aplicativo de citas incluye videos en LSC y posibilidad de registrar la discapacidad y apoyos requeridos para la atención.</w:t>
      </w:r>
    </w:p>
    <w:p w14:paraId="38AB19A0" w14:textId="77777777" w:rsidR="00CE7178" w:rsidRPr="00CE7178" w:rsidRDefault="00CE7178" w:rsidP="00CE7178">
      <w:pPr>
        <w:spacing w:line="279" w:lineRule="auto"/>
        <w:contextualSpacing/>
        <w:jc w:val="both"/>
        <w:rPr>
          <w:rFonts w:ascii="Verdana" w:eastAsia="SimSun" w:hAnsi="Verdana" w:cs="Arial"/>
          <w:sz w:val="24"/>
          <w:szCs w:val="24"/>
          <w:lang w:val="es-CO" w:eastAsia="ja-JP"/>
        </w:rPr>
      </w:pPr>
    </w:p>
    <w:p w14:paraId="1702DFD3" w14:textId="77777777" w:rsidR="00CE7178" w:rsidRPr="00CE7178" w:rsidRDefault="00CE7178" w:rsidP="008A69CB">
      <w:pPr>
        <w:numPr>
          <w:ilvl w:val="0"/>
          <w:numId w:val="25"/>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En el procedimiento de otorgamiento del Salvoconducto de Refugio, se garantiza a las personas refugiadas con discapacidad acceso a servicio de interpretación mediante videollamada y se dispone de dos intérpretes de LSC en Bogotá.</w:t>
      </w:r>
    </w:p>
    <w:p w14:paraId="64516D2E"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22D65B26"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r w:rsidRPr="00CE7178">
        <w:rPr>
          <w:rFonts w:ascii="Verdana" w:eastAsia="SimSun" w:hAnsi="Verdana" w:cs="Arial"/>
          <w:b/>
          <w:bCs/>
          <w:sz w:val="24"/>
          <w:szCs w:val="24"/>
          <w:lang w:val="es-CO" w:eastAsia="ja-JP"/>
        </w:rPr>
        <w:t xml:space="preserve"> </w:t>
      </w:r>
    </w:p>
    <w:p w14:paraId="147387B1" w14:textId="77777777" w:rsidR="00CE7178" w:rsidRPr="00CE7178" w:rsidRDefault="00CE7178" w:rsidP="008A69CB">
      <w:pPr>
        <w:numPr>
          <w:ilvl w:val="0"/>
          <w:numId w:val="24"/>
        </w:numPr>
        <w:spacing w:before="240"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 Resolución 1904/2017 garantiza capacidad jurídica, consentimiento libre e informado, apoyos y ajustes razonables, y prohíbe la esterilización forzada. Su implementación se fortalece mediante materiales en lectura fácil, lineamientos sobre consentimiento informado y curso virtual sobre enfoque diferencial en salud. En protección de NNA, el Memorando 202320000000184503 establece lineamientos sobre anticoncepción con enfoque de género y discapacidad. El SRPA cuenta con lineamiento sobre derechos sexuales y reproductivos, que capacitó a 371 operadores pedagógicos (14 regionales). El Programa de Adopción incorporó ajustes razonables e informes de idoneidad con enfoque de discapacidad.</w:t>
      </w:r>
    </w:p>
    <w:p w14:paraId="2F293E56" w14:textId="77777777" w:rsidR="00CE7178" w:rsidRPr="00CE7178" w:rsidRDefault="00CE7178" w:rsidP="00CE7178">
      <w:pPr>
        <w:spacing w:before="240" w:line="279" w:lineRule="auto"/>
        <w:contextualSpacing/>
        <w:jc w:val="both"/>
        <w:rPr>
          <w:rFonts w:ascii="Verdana" w:eastAsia="SimSun" w:hAnsi="Verdana" w:cs="Arial"/>
          <w:sz w:val="24"/>
          <w:szCs w:val="24"/>
          <w:lang w:eastAsia="ja-JP"/>
        </w:rPr>
      </w:pPr>
    </w:p>
    <w:p w14:paraId="5C492316" w14:textId="77777777" w:rsidR="00CE7178" w:rsidRPr="00CE7178" w:rsidRDefault="00CE7178" w:rsidP="008A69CB">
      <w:pPr>
        <w:numPr>
          <w:ilvl w:val="0"/>
          <w:numId w:val="24"/>
        </w:numPr>
        <w:spacing w:before="240"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La UNAFA (2016-2019) fortaleció capacidades de familias de NNA con discapacidad en cuidado, comunicación, participación y derechos sexuales y reproductivos. Las leyes 1878/2018 y 1996/2019 consolidaron el modelo de capacidad jurídica y apoyos para la autonomía. Desde 2024 operan Somos </w:t>
      </w:r>
      <w:r w:rsidRPr="00CE7178">
        <w:rPr>
          <w:rFonts w:ascii="Verdana" w:eastAsia="SimSun" w:hAnsi="Verdana" w:cs="Arial"/>
          <w:sz w:val="24"/>
          <w:szCs w:val="24"/>
          <w:lang w:val="es-CO" w:eastAsia="ja-JP"/>
        </w:rPr>
        <w:lastRenderedPageBreak/>
        <w:t>Familia, Somos Comunidad, Presencia para el Fortalecimiento de Vínculos Familiares y Comunitarios, y Tejiendo Interculturalidad. Avanza el diseño del Programa Nacional de Servicios de Apoyo para la Autonomía, la Vida Independiente y la Vida en Comunidad. Con apoyo del BID se desarrolla algoritmo para valorar autonomía y necesidades de apoyo; el GES y el CND validaron los perfiles ocupacionales de asistente personal y cuidador.</w:t>
      </w:r>
    </w:p>
    <w:p w14:paraId="7CD3E585" w14:textId="77777777" w:rsidR="00CE7178" w:rsidRPr="00CE7178" w:rsidRDefault="00CE7178" w:rsidP="00CE7178">
      <w:pPr>
        <w:spacing w:before="240" w:line="279" w:lineRule="auto"/>
        <w:contextualSpacing/>
        <w:jc w:val="both"/>
        <w:rPr>
          <w:rFonts w:ascii="Verdana" w:eastAsia="SimSun" w:hAnsi="Verdana" w:cs="Arial"/>
          <w:sz w:val="24"/>
          <w:szCs w:val="24"/>
          <w:lang w:eastAsia="ja-JP"/>
        </w:rPr>
      </w:pPr>
    </w:p>
    <w:p w14:paraId="68191A0C" w14:textId="77777777" w:rsidR="00CE7178" w:rsidRPr="00CE7178" w:rsidRDefault="00CE7178" w:rsidP="008A69CB">
      <w:pPr>
        <w:numPr>
          <w:ilvl w:val="0"/>
          <w:numId w:val="24"/>
        </w:numPr>
        <w:spacing w:before="240"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 modalidad Mi Familia (2021-2023) fue reemplazada por Somos Familia, Somos Comunidad (2024-2025), orientado a fortalecer los vínculos de cuidado, autonomía y sistemas comunitarios de cuidado, con enfoque diferencial e inclusión de PCD.</w:t>
      </w:r>
    </w:p>
    <w:p w14:paraId="26092C95" w14:textId="77777777" w:rsidR="00CE7178" w:rsidRPr="00CE7178" w:rsidRDefault="00CE7178" w:rsidP="00CE7178">
      <w:pPr>
        <w:spacing w:before="240" w:line="279" w:lineRule="auto"/>
        <w:contextualSpacing/>
        <w:jc w:val="both"/>
        <w:rPr>
          <w:rFonts w:ascii="Verdana" w:eastAsia="SimSun" w:hAnsi="Verdana" w:cs="Arial"/>
          <w:sz w:val="24"/>
          <w:szCs w:val="24"/>
          <w:lang w:eastAsia="ja-JP"/>
        </w:rPr>
      </w:pPr>
    </w:p>
    <w:tbl>
      <w:tblPr>
        <w:tblStyle w:val="TableGrid10"/>
        <w:tblW w:w="0" w:type="auto"/>
        <w:jc w:val="center"/>
        <w:tblLook w:val="06A0" w:firstRow="1" w:lastRow="0" w:firstColumn="1" w:lastColumn="0" w:noHBand="1" w:noVBand="1"/>
      </w:tblPr>
      <w:tblGrid>
        <w:gridCol w:w="1125"/>
        <w:gridCol w:w="4095"/>
        <w:gridCol w:w="4140"/>
      </w:tblGrid>
      <w:tr w:rsidR="00CE7178" w:rsidRPr="00CE7178" w14:paraId="494269B3" w14:textId="77777777" w:rsidTr="009E0223">
        <w:trPr>
          <w:trHeight w:val="300"/>
          <w:jc w:val="center"/>
        </w:trPr>
        <w:tc>
          <w:tcPr>
            <w:tcW w:w="1125" w:type="dxa"/>
            <w:shd w:val="clear" w:color="auto" w:fill="002060"/>
          </w:tcPr>
          <w:p w14:paraId="49000B06" w14:textId="77777777" w:rsidR="00CE7178" w:rsidRPr="00CE7178" w:rsidRDefault="00CE7178" w:rsidP="00CE7178">
            <w:pPr>
              <w:spacing w:line="240" w:lineRule="auto"/>
              <w:contextualSpacing/>
              <w:rPr>
                <w:rFonts w:eastAsia="SimSun"/>
                <w:lang w:eastAsia="ja-JP"/>
              </w:rPr>
            </w:pPr>
          </w:p>
        </w:tc>
        <w:tc>
          <w:tcPr>
            <w:tcW w:w="4095" w:type="dxa"/>
            <w:shd w:val="clear" w:color="auto" w:fill="002060"/>
          </w:tcPr>
          <w:p w14:paraId="21B3B62E" w14:textId="77777777" w:rsidR="00CE7178" w:rsidRPr="00CE7178" w:rsidRDefault="00CE7178" w:rsidP="00CE7178">
            <w:pPr>
              <w:spacing w:line="240" w:lineRule="auto"/>
              <w:jc w:val="center"/>
              <w:rPr>
                <w:rFonts w:eastAsia="SimSun"/>
                <w:lang w:val="en-US" w:eastAsia="ja-JP"/>
              </w:rPr>
            </w:pPr>
            <w:r w:rsidRPr="00CE7178">
              <w:rPr>
                <w:rFonts w:eastAsia="SimSun"/>
                <w:lang w:val="es-CO" w:eastAsia="ja-JP"/>
              </w:rPr>
              <w:t>Familias atendidas</w:t>
            </w:r>
          </w:p>
        </w:tc>
        <w:tc>
          <w:tcPr>
            <w:tcW w:w="4140" w:type="dxa"/>
            <w:shd w:val="clear" w:color="auto" w:fill="002060"/>
          </w:tcPr>
          <w:p w14:paraId="0660C3C1" w14:textId="77777777" w:rsidR="00CE7178" w:rsidRPr="00CE7178" w:rsidRDefault="00CE7178" w:rsidP="00CE7178">
            <w:pPr>
              <w:spacing w:line="240" w:lineRule="auto"/>
              <w:contextualSpacing/>
              <w:jc w:val="center"/>
              <w:rPr>
                <w:rFonts w:eastAsia="SimSun"/>
                <w:lang w:val="es-CO" w:eastAsia="ja-JP"/>
              </w:rPr>
            </w:pPr>
            <w:r w:rsidRPr="00CE7178">
              <w:rPr>
                <w:rFonts w:eastAsia="SimSun"/>
                <w:lang w:val="es-CO" w:eastAsia="ja-JP"/>
              </w:rPr>
              <w:t>Inversión promedio</w:t>
            </w:r>
          </w:p>
        </w:tc>
      </w:tr>
      <w:tr w:rsidR="00CE7178" w:rsidRPr="00CE7178" w14:paraId="7F9D2D81" w14:textId="77777777" w:rsidTr="009E0223">
        <w:trPr>
          <w:trHeight w:val="300"/>
          <w:jc w:val="center"/>
        </w:trPr>
        <w:tc>
          <w:tcPr>
            <w:tcW w:w="1125" w:type="dxa"/>
          </w:tcPr>
          <w:p w14:paraId="13DDE6C6" w14:textId="77777777" w:rsidR="00CE7178" w:rsidRPr="00CE7178" w:rsidRDefault="00CE7178" w:rsidP="00CE7178">
            <w:pPr>
              <w:spacing w:line="240" w:lineRule="auto"/>
              <w:contextualSpacing/>
              <w:rPr>
                <w:rFonts w:eastAsia="SimSun"/>
                <w:lang w:val="es-CO" w:eastAsia="ja-JP"/>
              </w:rPr>
            </w:pPr>
            <w:r w:rsidRPr="00CE7178">
              <w:rPr>
                <w:rFonts w:eastAsia="SimSun"/>
                <w:lang w:val="es-CO" w:eastAsia="ja-JP"/>
              </w:rPr>
              <w:t>2021</w:t>
            </w:r>
          </w:p>
        </w:tc>
        <w:tc>
          <w:tcPr>
            <w:tcW w:w="4095" w:type="dxa"/>
          </w:tcPr>
          <w:p w14:paraId="42EAFF3D" w14:textId="77777777" w:rsidR="00CE7178" w:rsidRPr="00CE7178" w:rsidRDefault="00CE7178" w:rsidP="00CE7178">
            <w:pPr>
              <w:spacing w:line="240" w:lineRule="auto"/>
              <w:contextualSpacing/>
              <w:rPr>
                <w:rFonts w:eastAsia="SimSun"/>
                <w:lang w:val="es-CO" w:eastAsia="ja-JP"/>
              </w:rPr>
            </w:pPr>
            <w:r w:rsidRPr="00CE7178">
              <w:rPr>
                <w:rFonts w:eastAsia="SimSun"/>
                <w:lang w:val="es-CO" w:eastAsia="ja-JP"/>
              </w:rPr>
              <w:t>4.696</w:t>
            </w:r>
          </w:p>
        </w:tc>
        <w:tc>
          <w:tcPr>
            <w:tcW w:w="4140" w:type="dxa"/>
          </w:tcPr>
          <w:p w14:paraId="4C4EA1AC" w14:textId="77777777" w:rsidR="00CE7178" w:rsidRPr="00CE7178" w:rsidRDefault="00CE7178" w:rsidP="00CE7178">
            <w:pPr>
              <w:spacing w:line="240" w:lineRule="auto"/>
              <w:contextualSpacing/>
              <w:jc w:val="center"/>
              <w:rPr>
                <w:rFonts w:eastAsia="SimSun"/>
                <w:lang w:val="es-CO" w:eastAsia="ja-JP"/>
              </w:rPr>
            </w:pPr>
            <w:r w:rsidRPr="00CE7178">
              <w:rPr>
                <w:rFonts w:eastAsia="SimSun"/>
                <w:lang w:val="es-CO" w:eastAsia="ja-JP"/>
              </w:rPr>
              <w:t>$3.936.375.040</w:t>
            </w:r>
          </w:p>
        </w:tc>
      </w:tr>
      <w:tr w:rsidR="00CE7178" w:rsidRPr="00CE7178" w14:paraId="16882FF2" w14:textId="77777777" w:rsidTr="009E0223">
        <w:trPr>
          <w:trHeight w:val="300"/>
          <w:jc w:val="center"/>
        </w:trPr>
        <w:tc>
          <w:tcPr>
            <w:tcW w:w="1125" w:type="dxa"/>
          </w:tcPr>
          <w:p w14:paraId="4BE7AEE4" w14:textId="77777777" w:rsidR="00CE7178" w:rsidRPr="00CE7178" w:rsidRDefault="00CE7178" w:rsidP="00CE7178">
            <w:pPr>
              <w:spacing w:line="240" w:lineRule="auto"/>
              <w:rPr>
                <w:rFonts w:eastAsia="SimSun"/>
                <w:lang w:val="es-CO" w:eastAsia="ja-JP"/>
              </w:rPr>
            </w:pPr>
            <w:r w:rsidRPr="00CE7178">
              <w:rPr>
                <w:rFonts w:eastAsia="SimSun"/>
                <w:lang w:val="es-CO" w:eastAsia="ja-JP"/>
              </w:rPr>
              <w:t>2022</w:t>
            </w:r>
          </w:p>
        </w:tc>
        <w:tc>
          <w:tcPr>
            <w:tcW w:w="4095" w:type="dxa"/>
          </w:tcPr>
          <w:p w14:paraId="122D3294" w14:textId="77777777" w:rsidR="00CE7178" w:rsidRPr="00CE7178" w:rsidRDefault="00CE7178" w:rsidP="00CE7178">
            <w:pPr>
              <w:spacing w:line="240" w:lineRule="auto"/>
              <w:contextualSpacing/>
              <w:rPr>
                <w:rFonts w:eastAsia="SimSun"/>
                <w:lang w:val="es-CO" w:eastAsia="ja-JP"/>
              </w:rPr>
            </w:pPr>
            <w:r w:rsidRPr="00CE7178">
              <w:rPr>
                <w:rFonts w:eastAsia="SimSun"/>
                <w:lang w:val="es-CO" w:eastAsia="ja-JP"/>
              </w:rPr>
              <w:t>4.262</w:t>
            </w:r>
          </w:p>
        </w:tc>
        <w:tc>
          <w:tcPr>
            <w:tcW w:w="4140" w:type="dxa"/>
          </w:tcPr>
          <w:p w14:paraId="6AFA11C2" w14:textId="77777777" w:rsidR="00CE7178" w:rsidRPr="00CE7178" w:rsidRDefault="00CE7178" w:rsidP="00CE7178">
            <w:pPr>
              <w:spacing w:line="240" w:lineRule="auto"/>
              <w:contextualSpacing/>
              <w:jc w:val="center"/>
              <w:rPr>
                <w:rFonts w:eastAsia="SimSun"/>
                <w:lang w:val="es-CO" w:eastAsia="ja-JP"/>
              </w:rPr>
            </w:pPr>
            <w:r w:rsidRPr="00CE7178">
              <w:rPr>
                <w:rFonts w:eastAsia="SimSun"/>
                <w:lang w:val="es-CO" w:eastAsia="ja-JP"/>
              </w:rPr>
              <w:t>$3.908.079.258</w:t>
            </w:r>
          </w:p>
        </w:tc>
      </w:tr>
      <w:tr w:rsidR="00CE7178" w:rsidRPr="00CE7178" w14:paraId="074AFDF9" w14:textId="77777777" w:rsidTr="009E0223">
        <w:trPr>
          <w:trHeight w:val="300"/>
          <w:jc w:val="center"/>
        </w:trPr>
        <w:tc>
          <w:tcPr>
            <w:tcW w:w="1125" w:type="dxa"/>
          </w:tcPr>
          <w:p w14:paraId="01A4231F" w14:textId="77777777" w:rsidR="00CE7178" w:rsidRPr="00CE7178" w:rsidRDefault="00CE7178" w:rsidP="00CE7178">
            <w:pPr>
              <w:spacing w:line="240" w:lineRule="auto"/>
              <w:contextualSpacing/>
              <w:rPr>
                <w:rFonts w:eastAsia="SimSun"/>
                <w:lang w:val="es-CO" w:eastAsia="ja-JP"/>
              </w:rPr>
            </w:pPr>
            <w:r w:rsidRPr="00CE7178">
              <w:rPr>
                <w:rFonts w:eastAsia="SimSun"/>
                <w:lang w:val="es-CO" w:eastAsia="ja-JP"/>
              </w:rPr>
              <w:t>2023</w:t>
            </w:r>
          </w:p>
        </w:tc>
        <w:tc>
          <w:tcPr>
            <w:tcW w:w="4095" w:type="dxa"/>
          </w:tcPr>
          <w:p w14:paraId="10E40553" w14:textId="77777777" w:rsidR="00CE7178" w:rsidRPr="00CE7178" w:rsidRDefault="00CE7178" w:rsidP="00CE7178">
            <w:pPr>
              <w:spacing w:line="240" w:lineRule="auto"/>
              <w:contextualSpacing/>
              <w:rPr>
                <w:rFonts w:eastAsia="SimSun"/>
                <w:lang w:val="es-CO" w:eastAsia="ja-JP"/>
              </w:rPr>
            </w:pPr>
            <w:r w:rsidRPr="00CE7178">
              <w:rPr>
                <w:rFonts w:eastAsia="SimSun"/>
                <w:lang w:val="es-CO" w:eastAsia="ja-JP"/>
              </w:rPr>
              <w:t>1.082</w:t>
            </w:r>
          </w:p>
        </w:tc>
        <w:tc>
          <w:tcPr>
            <w:tcW w:w="4140" w:type="dxa"/>
          </w:tcPr>
          <w:p w14:paraId="16AD0950" w14:textId="77777777" w:rsidR="00CE7178" w:rsidRPr="00CE7178" w:rsidRDefault="00CE7178" w:rsidP="00CE7178">
            <w:pPr>
              <w:spacing w:line="240" w:lineRule="auto"/>
              <w:contextualSpacing/>
              <w:jc w:val="center"/>
              <w:rPr>
                <w:rFonts w:eastAsia="SimSun"/>
                <w:lang w:val="es-CO" w:eastAsia="ja-JP"/>
              </w:rPr>
            </w:pPr>
            <w:r w:rsidRPr="00CE7178">
              <w:rPr>
                <w:rFonts w:eastAsia="SimSun"/>
                <w:lang w:val="es-CO" w:eastAsia="ja-JP"/>
              </w:rPr>
              <w:t>$1.449.302.212</w:t>
            </w:r>
          </w:p>
        </w:tc>
      </w:tr>
      <w:tr w:rsidR="00CE7178" w:rsidRPr="00CE7178" w14:paraId="0D3E7F71" w14:textId="77777777" w:rsidTr="009E0223">
        <w:trPr>
          <w:trHeight w:val="300"/>
          <w:jc w:val="center"/>
        </w:trPr>
        <w:tc>
          <w:tcPr>
            <w:tcW w:w="1125" w:type="dxa"/>
          </w:tcPr>
          <w:p w14:paraId="62FDE241" w14:textId="77777777" w:rsidR="00CE7178" w:rsidRPr="00CE7178" w:rsidRDefault="00CE7178" w:rsidP="00CE7178">
            <w:pPr>
              <w:spacing w:line="240" w:lineRule="auto"/>
              <w:contextualSpacing/>
              <w:rPr>
                <w:rFonts w:eastAsia="SimSun"/>
                <w:lang w:val="es-CO" w:eastAsia="ja-JP"/>
              </w:rPr>
            </w:pPr>
            <w:r w:rsidRPr="00CE7178">
              <w:rPr>
                <w:rFonts w:eastAsia="SimSun"/>
                <w:lang w:val="es-CO" w:eastAsia="ja-JP"/>
              </w:rPr>
              <w:t>2024</w:t>
            </w:r>
          </w:p>
        </w:tc>
        <w:tc>
          <w:tcPr>
            <w:tcW w:w="4095" w:type="dxa"/>
          </w:tcPr>
          <w:p w14:paraId="40DDC0ED" w14:textId="77777777" w:rsidR="00CE7178" w:rsidRPr="00CE7178" w:rsidRDefault="00CE7178" w:rsidP="00CE7178">
            <w:pPr>
              <w:spacing w:line="240" w:lineRule="auto"/>
              <w:contextualSpacing/>
              <w:rPr>
                <w:rFonts w:eastAsia="SimSun"/>
                <w:lang w:val="es-CO" w:eastAsia="ja-JP"/>
              </w:rPr>
            </w:pPr>
            <w:r w:rsidRPr="00CE7178">
              <w:rPr>
                <w:rFonts w:eastAsia="SimSun"/>
                <w:lang w:val="es-CO" w:eastAsia="ja-JP"/>
              </w:rPr>
              <w:t>1.299</w:t>
            </w:r>
          </w:p>
        </w:tc>
        <w:tc>
          <w:tcPr>
            <w:tcW w:w="4140" w:type="dxa"/>
          </w:tcPr>
          <w:p w14:paraId="163F1612" w14:textId="77777777" w:rsidR="00CE7178" w:rsidRPr="00CE7178" w:rsidRDefault="00CE7178" w:rsidP="00CE7178">
            <w:pPr>
              <w:spacing w:line="240" w:lineRule="auto"/>
              <w:contextualSpacing/>
              <w:jc w:val="center"/>
              <w:rPr>
                <w:rFonts w:eastAsia="SimSun"/>
                <w:lang w:val="es-CO" w:eastAsia="ja-JP"/>
              </w:rPr>
            </w:pPr>
            <w:r w:rsidRPr="00CE7178">
              <w:rPr>
                <w:rFonts w:eastAsia="SimSun"/>
                <w:lang w:val="es-CO" w:eastAsia="ja-JP"/>
              </w:rPr>
              <w:t>$1.130.576.856</w:t>
            </w:r>
          </w:p>
        </w:tc>
      </w:tr>
      <w:tr w:rsidR="00CE7178" w:rsidRPr="00CE7178" w14:paraId="66F57B04" w14:textId="77777777" w:rsidTr="009E0223">
        <w:trPr>
          <w:trHeight w:val="300"/>
          <w:jc w:val="center"/>
        </w:trPr>
        <w:tc>
          <w:tcPr>
            <w:tcW w:w="1125" w:type="dxa"/>
          </w:tcPr>
          <w:p w14:paraId="31ABCFCB" w14:textId="77777777" w:rsidR="00CE7178" w:rsidRPr="00CE7178" w:rsidRDefault="00CE7178" w:rsidP="00CE7178">
            <w:pPr>
              <w:spacing w:line="240" w:lineRule="auto"/>
              <w:rPr>
                <w:rFonts w:eastAsia="SimSun"/>
                <w:lang w:val="es-CO" w:eastAsia="ja-JP"/>
              </w:rPr>
            </w:pPr>
            <w:r w:rsidRPr="00CE7178">
              <w:rPr>
                <w:rFonts w:eastAsia="SimSun"/>
                <w:lang w:val="es-CO" w:eastAsia="ja-JP"/>
              </w:rPr>
              <w:t>2025</w:t>
            </w:r>
          </w:p>
        </w:tc>
        <w:tc>
          <w:tcPr>
            <w:tcW w:w="4095" w:type="dxa"/>
          </w:tcPr>
          <w:p w14:paraId="274F6C00" w14:textId="77777777" w:rsidR="00CE7178" w:rsidRPr="00CE7178" w:rsidRDefault="00CE7178" w:rsidP="00CE7178">
            <w:pPr>
              <w:spacing w:line="240" w:lineRule="auto"/>
              <w:contextualSpacing/>
              <w:rPr>
                <w:rFonts w:eastAsia="SimSun"/>
                <w:lang w:val="es-CO" w:eastAsia="ja-JP"/>
              </w:rPr>
            </w:pPr>
            <w:r w:rsidRPr="00CE7178">
              <w:rPr>
                <w:rFonts w:eastAsia="SimSun"/>
                <w:lang w:val="es-CO" w:eastAsia="ja-JP"/>
              </w:rPr>
              <w:t>867</w:t>
            </w:r>
          </w:p>
        </w:tc>
        <w:tc>
          <w:tcPr>
            <w:tcW w:w="4140" w:type="dxa"/>
          </w:tcPr>
          <w:p w14:paraId="2CEEF9E4" w14:textId="77777777" w:rsidR="00CE7178" w:rsidRPr="00CE7178" w:rsidRDefault="00CE7178" w:rsidP="00CE7178">
            <w:pPr>
              <w:spacing w:line="240" w:lineRule="auto"/>
              <w:contextualSpacing/>
              <w:jc w:val="center"/>
              <w:rPr>
                <w:rFonts w:eastAsia="SimSun"/>
                <w:lang w:val="es-CO" w:eastAsia="ja-JP"/>
              </w:rPr>
            </w:pPr>
            <w:r w:rsidRPr="00CE7178">
              <w:rPr>
                <w:rFonts w:eastAsia="SimSun"/>
                <w:lang w:val="es-CO" w:eastAsia="ja-JP"/>
              </w:rPr>
              <w:t>$1.156.358.640</w:t>
            </w:r>
          </w:p>
        </w:tc>
      </w:tr>
    </w:tbl>
    <w:p w14:paraId="727D2476"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45ECC52B" w14:textId="77777777" w:rsidR="00CE7178" w:rsidRPr="00CE7178" w:rsidRDefault="00CE7178" w:rsidP="008A69CB">
      <w:pPr>
        <w:numPr>
          <w:ilvl w:val="0"/>
          <w:numId w:val="24"/>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Colombia desarrolla asistencias técnicas para fortalecer capacidades territoriales en derechos sexuales y reproductivos de las PCD, promoviendo autonomía, consentimiento informado, apoyos para la toma de decisiones, prevención de esterilización forzada, acceso a anticoncepción, maternidad, paternidad y prevención de violencias sexuales. Se fortalece el SND mediante articulación interinstitucional, participación de organizaciones de PCD y sus familias, e incorporación transversal del enfoque de discapacidad en políticas, planes y programas sectoriales.</w:t>
      </w:r>
    </w:p>
    <w:p w14:paraId="2754D7AB"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7CE274D0"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16A84A86" w14:textId="77777777" w:rsidR="00CE7178" w:rsidRPr="00CE7178" w:rsidRDefault="00CE7178" w:rsidP="008A69CB">
      <w:pPr>
        <w:numPr>
          <w:ilvl w:val="0"/>
          <w:numId w:val="23"/>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La Ley 1618/2013 y el Decreto 1421/2017 garantizan educación inclusiva mediante accesibilidad, ajustes razonables, flexibilización curricular, DUA y PIAR, implementados con plantas temporales de docentes de apoyo y recursos del SGP para intérpretes de LSC, guías intérpretes, mediadores, tiflólogos y materiales accesibles. Los establecimientos deben implementar los apoyos del PIAR sin exigir a las familias contratar cuidadores. Sin institución cercana, las entidades territoriales certificadas garantizan transporte y alimentación escolar, medida extensiva a solicitantes de asilo, refugiados y migrantes con discapacidad. En educación superior, el Fondo de Apoyo Financiero para Estudiantes con Discapacidad otorga créditos </w:t>
      </w:r>
      <w:proofErr w:type="spellStart"/>
      <w:r w:rsidRPr="00CE7178">
        <w:rPr>
          <w:rFonts w:ascii="Verdana" w:eastAsia="SimSun" w:hAnsi="Verdana" w:cs="Arial"/>
          <w:sz w:val="24"/>
          <w:szCs w:val="24"/>
          <w:lang w:val="es-CO" w:eastAsia="ja-JP"/>
        </w:rPr>
        <w:t>condonables</w:t>
      </w:r>
      <w:proofErr w:type="spellEnd"/>
      <w:r w:rsidRPr="00CE7178">
        <w:rPr>
          <w:rFonts w:ascii="Verdana" w:eastAsia="SimSun" w:hAnsi="Verdana" w:cs="Arial"/>
          <w:sz w:val="24"/>
          <w:szCs w:val="24"/>
          <w:lang w:val="es-CO" w:eastAsia="ja-JP"/>
        </w:rPr>
        <w:t xml:space="preserve"> de hasta 8 SMMLV para matrícula y 4 SMMLV para sostenimiento, dirigidos a estudiantes de estratos 1, 2 y 3.</w:t>
      </w:r>
    </w:p>
    <w:p w14:paraId="513FAD01"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12DCCD4B" w14:textId="77777777" w:rsidR="00CE7178" w:rsidRPr="00CE7178" w:rsidRDefault="00CE7178" w:rsidP="008A69CB">
      <w:pPr>
        <w:numPr>
          <w:ilvl w:val="0"/>
          <w:numId w:val="23"/>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lastRenderedPageBreak/>
        <w:t>El Decreto 1421/2017 reglamenta la atención educativa de las PCD en cuatro modalidades: oferta general con PIAR; oferta bilingüe-bicultural para personas sordas; atención hospitalaria o domiciliaria; y educación para adultos. El Decreto 1075/2015 garantiza la LSC como primera lengua y el español como segunda, con guías-intérpretes para sordociegos y apoyos del INCI para discapacidad visual. La caracterización en el SIMAT sigue la Resolución 113/2020. En 2025 (noviembre) se registraban 213.411 estudiantes con discapacidad (165.944 oficiales, 47.467 no oficiales; 132.842 hombres, 80.569 mujeres; 166.363 urbanos, 47.048 rurales), predominando discapacidad intelectual (93.954), psicosocial (37.599) y TEA (28.580). La estrategia de Búsqueda Activa identifica NNA fuera del sistema educativo y promueve su matrícula mediante acciones territoriales con ICBF, DPS y Policía de Infancia y Adolescencia</w:t>
      </w:r>
      <w:r w:rsidRPr="00CE7178">
        <w:rPr>
          <w:rFonts w:ascii="Verdana" w:eastAsia="SimSun" w:hAnsi="Verdana" w:cs="Arial"/>
          <w:sz w:val="24"/>
          <w:szCs w:val="24"/>
          <w:vertAlign w:val="superscript"/>
          <w:lang w:val="es-CO" w:eastAsia="ja-JP"/>
        </w:rPr>
        <w:footnoteReference w:id="39"/>
      </w:r>
      <w:r w:rsidRPr="00CE7178">
        <w:rPr>
          <w:rFonts w:ascii="Verdana" w:eastAsia="SimSun" w:hAnsi="Verdana" w:cs="Arial"/>
          <w:sz w:val="24"/>
          <w:szCs w:val="24"/>
          <w:lang w:val="es-CO" w:eastAsia="ja-JP"/>
        </w:rPr>
        <w:t>.</w:t>
      </w:r>
    </w:p>
    <w:p w14:paraId="3BBC6620"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45A6B616" w14:textId="77777777" w:rsidR="00CE7178" w:rsidRPr="00CE7178" w:rsidRDefault="00CE7178" w:rsidP="008A69CB">
      <w:pPr>
        <w:numPr>
          <w:ilvl w:val="0"/>
          <w:numId w:val="23"/>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La asignación de docentes de apoyo pedagógico se realiza mediante plantas temporales viabilizadas anualmente por las entidades territoriales certificadas. El Decreto 1421/2017 financia la educación inclusiva con recursos del SGP, asignando un 20% adicional por PCD registrado en el SIMAT, destinado a docentes de apoyo, intérpretes de LSC, guías intérpretes, modelos lingüísticos, mediadores, tiflólogos y ayudas técnicas. Estos recursos aumentaron de $73.286.000.000COP (2018) a $125.847.000.000COP (proyectados 2026). La contratación y distribución corresponde a las entidades territoriales certificadas, según necesidades de estudiantes y condiciones del territorio, garantizando continuidad durante el calendario escolar.</w:t>
      </w:r>
    </w:p>
    <w:p w14:paraId="27A44961" w14:textId="77777777" w:rsidR="00CE7178" w:rsidRPr="00CE7178" w:rsidRDefault="00CE7178" w:rsidP="00CE7178">
      <w:pPr>
        <w:spacing w:line="279" w:lineRule="auto"/>
        <w:contextualSpacing/>
        <w:jc w:val="both"/>
        <w:rPr>
          <w:rFonts w:ascii="Verdana" w:eastAsia="SimSun" w:hAnsi="Verdana" w:cs="Arial"/>
          <w:sz w:val="24"/>
          <w:szCs w:val="24"/>
          <w:lang w:val="es-CO" w:eastAsia="ja-JP"/>
        </w:rPr>
      </w:pPr>
    </w:p>
    <w:p w14:paraId="649FCA7B" w14:textId="77777777" w:rsidR="00CE7178" w:rsidRPr="00CE7178" w:rsidRDefault="00CE7178" w:rsidP="008A69CB">
      <w:pPr>
        <w:numPr>
          <w:ilvl w:val="0"/>
          <w:numId w:val="23"/>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Colombia fortalece la accesibilidad y los ajustes razonables en las pruebas Saber, mediante identificación previa de necesidades de apoyo y ajustes como formatos accesibles, ampliación de tiempos, tecnologías de apoyo y recursos comunicativos para estudiantes sordos. Los instrumentos de evaluación se revisan continuamente, con organizaciones de PCD, para garantizar evaluaciones inclusivas y equitativas.</w:t>
      </w:r>
    </w:p>
    <w:p w14:paraId="6127AC05"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49FF25C4" w14:textId="77777777" w:rsidR="00CE7178" w:rsidRPr="00CE7178" w:rsidRDefault="00CE7178" w:rsidP="008A69CB">
      <w:pPr>
        <w:numPr>
          <w:ilvl w:val="0"/>
          <w:numId w:val="23"/>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 Ley 1620/2013 creó el SNCE y SIUCE, que registra y hace seguimiento a casos de acoso y violencia escolar, clasificados en Tipo II y III. El SIUCE registró 1.362 casos contra PCD (832 II y 530 III) (2020-abril2026). Predominó cognitiva (512) y psicosocial (458); agresiones físicas (706) y psicológicas (845). La mayoría ocurrió en establecimientos educativos (823), afectó a estudiantes entre 11-16 años (especialmente 13-14 años) y se concentró en Antioquia, Bogotá, Cundinamarca, Santander y Valle del Cauca, con 711 víctimas mujeres y 651 hombres.</w:t>
      </w:r>
    </w:p>
    <w:p w14:paraId="5C58A3E6"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4F948446"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r w:rsidRPr="00CE7178">
        <w:rPr>
          <w:rFonts w:ascii="Verdana" w:eastAsia="SimSun" w:hAnsi="Verdana" w:cs="Arial"/>
          <w:b/>
          <w:bCs/>
          <w:sz w:val="24"/>
          <w:szCs w:val="24"/>
          <w:lang w:val="es-CO" w:eastAsia="ja-JP"/>
        </w:rPr>
        <w:t xml:space="preserve">   </w:t>
      </w:r>
    </w:p>
    <w:p w14:paraId="0FA3437B" w14:textId="77777777" w:rsidR="00CE7178" w:rsidRPr="00CE7178" w:rsidRDefault="00CE7178" w:rsidP="008A69CB">
      <w:pPr>
        <w:numPr>
          <w:ilvl w:val="0"/>
          <w:numId w:val="22"/>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El acceso a la salud de las PCD se garantiza mediante las Rutas Integrales de Atención en Salud, que incluyen promoción, prevención, diagnóstico, tratamiento y rehabilitación sin discriminación, con cobertura de salud sexual y reproductiva, anticoncepción, atención materno perinatal, ITS, VIH e IVE. Las Resoluciones 3100/2019 y 544/2023 establecen estándares de accesibilidad física y comunicativa para las IPS, incluyendo rutas accesibles, baños adaptados, señalización en Braille, registro de necesidades de comunicación para garantizar el consentimiento informado y ajustes razonables, además de protocolos de atención preferencial conforme a la Ley 1618/2013.</w:t>
      </w:r>
    </w:p>
    <w:p w14:paraId="05607531"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607C926B" w14:textId="77777777" w:rsidR="00CE7178" w:rsidRPr="00CE7178" w:rsidRDefault="00CE7178" w:rsidP="008A69CB">
      <w:pPr>
        <w:numPr>
          <w:ilvl w:val="0"/>
          <w:numId w:val="22"/>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eastAsia="ja-JP"/>
        </w:rPr>
        <w:t>Con base en el cruce de información del RLCPD, RUV y RIPS</w:t>
      </w:r>
      <w:r w:rsidRPr="00CE7178">
        <w:rPr>
          <w:rFonts w:ascii="Verdana" w:eastAsia="SimSun" w:hAnsi="Verdana" w:cs="Arial"/>
          <w:sz w:val="24"/>
          <w:szCs w:val="24"/>
          <w:vertAlign w:val="superscript"/>
          <w:lang w:val="es-CO" w:eastAsia="ja-JP"/>
        </w:rPr>
        <w:footnoteReference w:id="40"/>
      </w:r>
      <w:r w:rsidRPr="00CE7178">
        <w:rPr>
          <w:rFonts w:ascii="Verdana" w:eastAsia="SimSun" w:hAnsi="Verdana" w:cs="Arial"/>
          <w:sz w:val="24"/>
          <w:szCs w:val="24"/>
          <w:lang w:val="es-CO" w:eastAsia="ja-JP"/>
        </w:rPr>
        <w:t>, 552.200 PCD víctimas del conflicto armado recibieron atención integral en salud, incluyendo rehabilitación funcional y servicios cubiertos por el Plan de Beneficios en Salud a través de las EAPB.</w:t>
      </w:r>
    </w:p>
    <w:p w14:paraId="260A06DD"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69B606A7" w14:textId="77777777" w:rsidR="00CE7178" w:rsidRPr="00CE7178" w:rsidRDefault="00CE7178" w:rsidP="008A69CB">
      <w:pPr>
        <w:numPr>
          <w:ilvl w:val="0"/>
          <w:numId w:val="22"/>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 Resolución 572/2022, junto con las resoluciones 3015/2017, 1178/2021, 1823/2024, 4278/2022 y 1054/2023, reconoció el PPT y su certificado de trámite como documentos válidos para la afiliación al SGSSS. El Decreto 616/2022 habilitó la afiliación de oficio por cuatro meses, complementada con el Sistema de Afiliación Transaccional, jornadas de afiliación y asistencias técnicas. Las personas venezolanas afiliadas al SGSSS aumentaron de 7.732 (2017) a 1.634.296 (marzo 2026) (+76,8% frente a agosto de 2022). Del total, 54,9% son mujeres, 81,4% pertenecen al régimen subsidiado, con mayor concentración en Antioquia, Bogotá, Norte de Santander, Valle del Cauca, Atlántico y La Guajira.</w:t>
      </w:r>
    </w:p>
    <w:p w14:paraId="072A219E"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765861EB" w14:textId="77777777" w:rsidR="00CE7178" w:rsidRPr="00CE7178" w:rsidRDefault="00CE7178" w:rsidP="008A69CB">
      <w:pPr>
        <w:numPr>
          <w:ilvl w:val="0"/>
          <w:numId w:val="22"/>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 PNSM y la Ley 2460/2025 fortalecieron la gobernanza en salud mental con enfoque de DDHH, participación social e inclusión comunitaria. El Consejo Nacional para la Salud Mental consolida la articulación intersectorial y promueve la superación de enfoques biomédicos frente a la discapacidad psicosocial. La política incorpora participación incidente, cuidado comunitario, territorialización, inclusión social y enfoques diferencial e interseccional, y fortalece el diálogo con organizaciones de PCD. Persisten desafíos para garantizar su participación efectiva y una implementación homogénea del modelo de DDHH en todo el territorio.</w:t>
      </w:r>
    </w:p>
    <w:p w14:paraId="37B16510"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2B7EF7D9" w14:textId="77777777" w:rsidR="00CE7178" w:rsidRPr="00CE7178" w:rsidRDefault="00CE7178" w:rsidP="008A69CB">
      <w:pPr>
        <w:numPr>
          <w:ilvl w:val="0"/>
          <w:numId w:val="22"/>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eastAsia="ja-JP"/>
        </w:rPr>
        <w:lastRenderedPageBreak/>
        <w:t>La Ley 1751/2015</w:t>
      </w:r>
      <w:r w:rsidRPr="00CE7178">
        <w:rPr>
          <w:rFonts w:ascii="Verdana" w:eastAsia="SimSun" w:hAnsi="Verdana" w:cs="Arial"/>
          <w:sz w:val="24"/>
          <w:szCs w:val="24"/>
          <w:vertAlign w:val="superscript"/>
          <w:lang w:val="es-CO" w:eastAsia="ja-JP"/>
        </w:rPr>
        <w:footnoteReference w:id="41"/>
      </w:r>
      <w:r w:rsidRPr="00CE7178">
        <w:rPr>
          <w:rFonts w:ascii="Verdana" w:eastAsia="SimSun" w:hAnsi="Verdana" w:cs="Arial"/>
          <w:sz w:val="24"/>
          <w:szCs w:val="24"/>
          <w:lang w:eastAsia="ja-JP"/>
        </w:rPr>
        <w:t>, en concordancia con las leyes 1618/2013, 1346/2009 y 1996/2019, reconoce el derecho a recibir información accesible y suficiente para aceptar o rechazar tratamientos, elimina la interdicción y establece un modelo de apoyos para la toma de decisiones, sin sustitución de la voluntad salvo en los casos excepcionales previstos por la ley. El Decreto 1079/2021 exige formatos accesibles, como lectura fácil, LSC y sistemas alternativos de comunicación, integrados al Sistema Obligatorio de Garantía de Calidad en Salud</w:t>
      </w:r>
      <w:r w:rsidRPr="00CE7178">
        <w:rPr>
          <w:rFonts w:ascii="Verdana" w:eastAsia="SimSun" w:hAnsi="Verdana" w:cs="Arial"/>
          <w:sz w:val="24"/>
          <w:szCs w:val="24"/>
          <w:vertAlign w:val="superscript"/>
          <w:lang w:val="es-CO" w:eastAsia="ja-JP"/>
        </w:rPr>
        <w:footnoteReference w:id="42"/>
      </w:r>
      <w:r w:rsidRPr="00CE7178">
        <w:rPr>
          <w:rFonts w:ascii="Verdana" w:eastAsia="SimSun" w:hAnsi="Verdana" w:cs="Arial"/>
          <w:sz w:val="24"/>
          <w:szCs w:val="24"/>
          <w:lang w:eastAsia="ja-JP"/>
        </w:rPr>
        <w:t xml:space="preserve"> y al Sistema Único de Habilitación</w:t>
      </w:r>
      <w:r w:rsidRPr="00CE7178">
        <w:rPr>
          <w:rFonts w:ascii="Verdana" w:eastAsia="SimSun" w:hAnsi="Verdana" w:cs="Arial"/>
          <w:sz w:val="24"/>
          <w:szCs w:val="24"/>
          <w:vertAlign w:val="superscript"/>
          <w:lang w:val="es-CO" w:eastAsia="ja-JP"/>
        </w:rPr>
        <w:footnoteReference w:id="43"/>
      </w:r>
      <w:r w:rsidRPr="00CE7178">
        <w:rPr>
          <w:rFonts w:ascii="Verdana" w:eastAsia="SimSun" w:hAnsi="Verdana" w:cs="Arial"/>
          <w:sz w:val="24"/>
          <w:szCs w:val="24"/>
          <w:lang w:eastAsia="ja-JP"/>
        </w:rPr>
        <w:t>. La Ley 1581/2012 y el Decreto 1377/2013 protegen los datos de salud como información sensible y exigen consentimiento expreso para su tratamiento, con supervisión de la SIC.</w:t>
      </w:r>
    </w:p>
    <w:p w14:paraId="40F6FBED"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5E2B807F" w14:textId="77777777" w:rsidR="00CE7178" w:rsidRPr="00CE7178" w:rsidRDefault="00CE7178" w:rsidP="008A69CB">
      <w:pPr>
        <w:numPr>
          <w:ilvl w:val="0"/>
          <w:numId w:val="22"/>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 Resolución 1904/2017 constituye la principal medida para garantizar los derechos sexuales y reproductivos de las PCD. Reconoce capacidad jurídica para decidir sobre anticoncepción (incluida la definitiva), exige apoyos, ajustes razonables y salvaguardias, prohíbe decisiones basadas en estereotipos o por terceros, e incorpora enfoque interseccional para mujeres afrodescendientes, indígenas, rurales y migrantes. Su implementación se fortalece mediante asistencia técnica, articulación territorial, mesas técnicas, capacitación, materiales accesibles y participación social. Persisten desafíos en el seguimiento territorial y en la disponibilidad de información sobre esterilización forzada o anticoncepción no consentida, por lo que se desarrolla una herramienta de monitoreo.</w:t>
      </w:r>
    </w:p>
    <w:p w14:paraId="45ED7A54"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427ABB76" w14:textId="77777777" w:rsidR="00CE7178" w:rsidRPr="00CE7178" w:rsidRDefault="00CE7178" w:rsidP="008A69CB">
      <w:pPr>
        <w:numPr>
          <w:ilvl w:val="0"/>
          <w:numId w:val="22"/>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 Ley 2244/2022 y la Ruta Integral de Atención Materno Perinatal garantizan parto digno, respetado y humanizado, basado en autonomía, consentimiento informado y respeto por las decisiones de las gestantes. Incluyen ajustes razonables, comunicación accesible, apoyos para la toma de decisiones y eliminación de barreras actitudinales. La violencia gineco-obstétrica es reconocida como violencia basada en género, con rutas de denuncia y atención.</w:t>
      </w:r>
    </w:p>
    <w:p w14:paraId="79767AA0"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514B4762"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eastAsia="ja-JP"/>
        </w:rPr>
        <w:t>Colombia garantiza atención integral en salud a PCD mediante el SGSSS y el Plan de Beneficios en Salud</w:t>
      </w:r>
      <w:r w:rsidRPr="00CE7178">
        <w:rPr>
          <w:rFonts w:ascii="Verdana" w:eastAsia="SimSun" w:hAnsi="Verdana" w:cs="Arial"/>
          <w:sz w:val="24"/>
          <w:szCs w:val="24"/>
          <w:vertAlign w:val="superscript"/>
          <w:lang w:val="es-CO" w:eastAsia="ja-JP"/>
        </w:rPr>
        <w:footnoteReference w:id="44"/>
      </w:r>
      <w:r w:rsidRPr="00CE7178">
        <w:rPr>
          <w:rFonts w:ascii="Verdana" w:eastAsia="SimSun" w:hAnsi="Verdana" w:cs="Arial"/>
          <w:sz w:val="24"/>
          <w:szCs w:val="24"/>
          <w:lang w:eastAsia="ja-JP"/>
        </w:rPr>
        <w:t>, que cubre rehabilitación, terapias, apoyo psicológico, dispositivos médicos y tecnologías de apoyo, articulado entre EPS, EAPB y entidades territoriales. En salud mental, se financia con cargo a la UPC psicoterapia, hospitalización parcial y atención a víctimas de violencia, fortaleciendo el modelo comunitario. Como complemento al PAPSIVI, se desarrolla rehabilitación psicosocial con enfoque diferencial, de género y Acción sin Daño, mediante atención individual, grupal y no presencial.</w:t>
      </w:r>
    </w:p>
    <w:p w14:paraId="4FFE4CCC"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69D511E9"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2E1D15C0" w14:textId="77777777" w:rsidR="00CE7178" w:rsidRPr="00CE7178" w:rsidRDefault="00CE7178" w:rsidP="008A69CB">
      <w:pPr>
        <w:numPr>
          <w:ilvl w:val="0"/>
          <w:numId w:val="21"/>
        </w:numPr>
        <w:spacing w:after="160" w:line="279" w:lineRule="auto"/>
        <w:ind w:left="0" w:firstLine="0"/>
        <w:contextualSpacing/>
        <w:jc w:val="both"/>
        <w:rPr>
          <w:rFonts w:ascii="Verdana" w:eastAsia="SimSun" w:hAnsi="Verdana" w:cs="Arial"/>
          <w:b/>
          <w:bCs/>
          <w:sz w:val="24"/>
          <w:szCs w:val="24"/>
          <w:lang w:eastAsia="ja-JP"/>
        </w:rPr>
      </w:pPr>
      <w:r w:rsidRPr="00CE7178">
        <w:rPr>
          <w:rFonts w:ascii="Verdana" w:eastAsia="SimSun" w:hAnsi="Verdana" w:cs="Arial"/>
          <w:sz w:val="24"/>
          <w:szCs w:val="24"/>
          <w:lang w:eastAsia="ja-JP"/>
        </w:rPr>
        <w:t xml:space="preserve">El Estado colombiano fortaleció el marco normativo de inclusión laboral de PCD. La asistencia técnica a los Comités de Discapacidad permitió la creación de Subcomisiones de inclusión social, laboral y productiva en distintos territorios, con 74 sesiones realizadas en 2024-2025. El Decreto 287/2026 modificó el Decreto 392/2018 y reglamentó el puntaje adicional del 2% en contratación pública para empresas que vinculen PCD. El Decreto 0533/2024 estableció un incentivo del 35% de un SMMLV por persona contratada, con un 10% adicional en casos específicos; en 2025 (diciembre) se habían otorgado 3.010 incentivos. La Ley 2466/2025 fijó una cuota de contratación privada de 2 </w:t>
      </w:r>
      <w:r w:rsidRPr="00CE7178">
        <w:rPr>
          <w:rFonts w:ascii="Verdana" w:eastAsia="SimSun" w:hAnsi="Verdana" w:cs="Arial"/>
          <w:sz w:val="24"/>
          <w:szCs w:val="24"/>
          <w:lang w:val="es-CO" w:eastAsia="ja-JP"/>
        </w:rPr>
        <w:t>PCD por cada 100, con obligaciones de ajustes razonables, accesibilidad y no discriminación. En el sector público, la Ley 2418/2024</w:t>
      </w:r>
      <w:r w:rsidRPr="00CE7178">
        <w:rPr>
          <w:rFonts w:ascii="Verdana" w:eastAsia="SimSun" w:hAnsi="Verdana" w:cs="Arial"/>
          <w:sz w:val="24"/>
          <w:szCs w:val="24"/>
          <w:vertAlign w:val="superscript"/>
          <w:lang w:val="es-CO" w:eastAsia="ja-JP"/>
        </w:rPr>
        <w:footnoteReference w:id="45"/>
      </w:r>
      <w:r w:rsidRPr="00CE7178">
        <w:rPr>
          <w:rFonts w:ascii="Verdana" w:eastAsia="SimSun" w:hAnsi="Verdana" w:cs="Arial"/>
          <w:sz w:val="24"/>
          <w:szCs w:val="24"/>
          <w:lang w:val="es-CO" w:eastAsia="ja-JP"/>
        </w:rPr>
        <w:t>, creó una reserva del 7% de cargos de carrera administrativa, con ajustes razonables en los concursos. Colombia avanza en la reglamentación de las cuotas laborales desde julio de 2026 y en una hoja de ruta interinstitucional para implementar ajustes razonables en empleo público, privado, formación y emprendimiento.</w:t>
      </w:r>
    </w:p>
    <w:p w14:paraId="2CD83520" w14:textId="77777777" w:rsidR="00CE7178" w:rsidRPr="00CE7178" w:rsidRDefault="00CE7178" w:rsidP="00CE7178">
      <w:pPr>
        <w:spacing w:line="279" w:lineRule="auto"/>
        <w:contextualSpacing/>
        <w:jc w:val="both"/>
        <w:rPr>
          <w:rFonts w:ascii="Verdana" w:eastAsia="SimSun" w:hAnsi="Verdana" w:cs="Arial"/>
          <w:b/>
          <w:bCs/>
          <w:sz w:val="24"/>
          <w:szCs w:val="24"/>
          <w:lang w:eastAsia="ja-JP"/>
        </w:rPr>
      </w:pPr>
    </w:p>
    <w:p w14:paraId="7D7AE650" w14:textId="77777777" w:rsidR="00CE7178" w:rsidRPr="00CE7178" w:rsidRDefault="00CE7178" w:rsidP="008A69CB">
      <w:pPr>
        <w:numPr>
          <w:ilvl w:val="0"/>
          <w:numId w:val="21"/>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Colombia genera estadísticas oficiales sobre participación laboral de PCD mediante la GEIH, con información sobre empleo, desempleo y participación laboral desagregada por sexo, edad, territorio y otras variables sociodemográficas. Para el trimestre móvil febrero-abril de 2026, la tasa global de participación fue del 22,45%, la tasa de ocupación del 19,77% y la tasa de desocupación del 11,93%.</w:t>
      </w:r>
    </w:p>
    <w:p w14:paraId="6EE27529"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00B58788" w14:textId="77777777" w:rsidR="00CE7178" w:rsidRPr="00CE7178" w:rsidRDefault="00CE7178" w:rsidP="008A69CB">
      <w:pPr>
        <w:numPr>
          <w:ilvl w:val="0"/>
          <w:numId w:val="21"/>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El SENA cuenta con 181 intérpretes de LSC sus centros de formación, para garantizar acceso, permanencia y participación de aprendices con discapacidad auditiva. Dispone de 15 intérpretes en oficinas de la Agencia Pública de Empleo, priorizando las regionales de mayor demanda. Fortalece estrategias para eliminar barreras y promover la empleabilidad de PCD. La Agencia Pública de Empleo brinda intermediación laboral; la decisión de contratación corresponde a los empleadores.</w:t>
      </w:r>
    </w:p>
    <w:p w14:paraId="4F1D1398"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298587FC"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02BEA4B8" w14:textId="77777777" w:rsidR="00CE7178" w:rsidRPr="00CE7178" w:rsidRDefault="00CE7178" w:rsidP="008A69CB">
      <w:pPr>
        <w:numPr>
          <w:ilvl w:val="0"/>
          <w:numId w:val="20"/>
        </w:numPr>
        <w:spacing w:after="160" w:line="279" w:lineRule="auto"/>
        <w:contextualSpacing/>
        <w:jc w:val="both"/>
        <w:rPr>
          <w:rFonts w:ascii="Verdana" w:eastAsia="SimSun" w:hAnsi="Verdana" w:cs="Arial"/>
          <w:color w:val="FFFFFF"/>
          <w:sz w:val="24"/>
          <w:szCs w:val="24"/>
          <w:lang w:eastAsia="ja-JP"/>
        </w:rPr>
      </w:pPr>
    </w:p>
    <w:p w14:paraId="66C1D5F9" w14:textId="77777777" w:rsidR="00CE7178" w:rsidRPr="00CE7178" w:rsidRDefault="00CE7178" w:rsidP="008A69CB">
      <w:pPr>
        <w:numPr>
          <w:ilvl w:val="0"/>
          <w:numId w:val="20"/>
        </w:numPr>
        <w:spacing w:after="160" w:line="279" w:lineRule="auto"/>
        <w:contextualSpacing/>
        <w:jc w:val="both"/>
        <w:rPr>
          <w:rFonts w:ascii="Verdana" w:eastAsia="SimSun" w:hAnsi="Verdana" w:cs="Arial"/>
          <w:sz w:val="24"/>
          <w:szCs w:val="24"/>
          <w:lang w:val="es-CO" w:eastAsia="ja-JP"/>
        </w:rPr>
      </w:pPr>
      <w:r w:rsidRPr="00CE7178">
        <w:rPr>
          <w:rFonts w:ascii="Verdana" w:eastAsia="SimSun" w:hAnsi="Verdana" w:cs="Arial"/>
          <w:sz w:val="24"/>
          <w:szCs w:val="24"/>
          <w:lang w:eastAsia="ja-JP"/>
        </w:rPr>
        <w:t>El DANE genera estadísticas oficiales sobre pobreza de PCD mediante la ENCV, base del Índice de Pobreza Multidimensional, con desagregaciones por sexo, etnia, territorio y otras variables. En el marco del Programa Hambre Cero</w:t>
      </w:r>
      <w:r w:rsidRPr="00CE7178">
        <w:rPr>
          <w:rFonts w:ascii="Verdana" w:eastAsia="SimSun" w:hAnsi="Verdana" w:cs="Arial"/>
          <w:sz w:val="24"/>
          <w:szCs w:val="24"/>
          <w:vertAlign w:val="superscript"/>
          <w:lang w:val="es-CO" w:eastAsia="ja-JP"/>
        </w:rPr>
        <w:footnoteReference w:id="46"/>
      </w:r>
      <w:r w:rsidRPr="00CE7178">
        <w:rPr>
          <w:rFonts w:ascii="Verdana" w:eastAsia="SimSun" w:hAnsi="Verdana" w:cs="Arial"/>
          <w:sz w:val="24"/>
          <w:szCs w:val="24"/>
          <w:lang w:eastAsia="ja-JP"/>
        </w:rPr>
        <w:t xml:space="preserve">, más de 35.000 personas fueron atendidas con canastas </w:t>
      </w:r>
      <w:r w:rsidRPr="00CE7178">
        <w:rPr>
          <w:rFonts w:ascii="Verdana" w:eastAsia="SimSun" w:hAnsi="Verdana" w:cs="Arial"/>
          <w:sz w:val="24"/>
          <w:szCs w:val="24"/>
          <w:lang w:eastAsia="ja-JP"/>
        </w:rPr>
        <w:lastRenderedPageBreak/>
        <w:t>alimentarias, comida caliente y huertas comunitarias y familiares bajo enfoque territorial y diferencial. Se identificaron 878 PCD atendidas: 541 afrodescendientes, 305 indígenas y 32 sin pertenencia étnica reportada. La mayor concentración estuvo en Chocó (394), La Guajira (192) y Vichada (169). Por discapacidad: 574 física, 176 visual, 70 auditiva, 55 otras y 3 cognitiva. La variable discapacidad fue incorporada progresivamente mediante procesos de integración, validación y consolidación de información histórica.</w:t>
      </w:r>
    </w:p>
    <w:p w14:paraId="353A94F7" w14:textId="77777777" w:rsidR="00CE7178" w:rsidRPr="00CE7178" w:rsidRDefault="00CE7178" w:rsidP="00CE7178">
      <w:pPr>
        <w:spacing w:line="279" w:lineRule="auto"/>
        <w:contextualSpacing/>
        <w:jc w:val="both"/>
        <w:rPr>
          <w:rFonts w:ascii="Verdana" w:eastAsia="SimSun" w:hAnsi="Verdana" w:cs="Arial"/>
          <w:sz w:val="24"/>
          <w:szCs w:val="24"/>
          <w:lang w:val="es-CO" w:eastAsia="ja-JP"/>
        </w:rPr>
      </w:pPr>
    </w:p>
    <w:p w14:paraId="23719A9A" w14:textId="77777777" w:rsidR="00CE7178" w:rsidRPr="00CE7178" w:rsidRDefault="00CE7178" w:rsidP="008A69CB">
      <w:pPr>
        <w:numPr>
          <w:ilvl w:val="0"/>
          <w:numId w:val="20"/>
        </w:numPr>
        <w:spacing w:after="160" w:line="279" w:lineRule="auto"/>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El ICBF, mediante el Servicio Integrado de Atención y Prevención a la Desnutrición, atendió a 82 PCD (2021-marzo2026): 73 niñas y niños menores de 5 años (34 niñas y 39 niños) y 9 mujeres gestantes. Estas acciones se desarrollan bajo el Modelo de Enfoque Diferencial de Derechos, a través de estrategias como “1.000 días para cambiar el mundo” (2021-2024), el Servicio Integrado desde 2025 y los Centros de Recuperación Nutricional y Comunitarios, orientadas a prevenir y atender la desnutrición aguda y el bajo peso. La atención en salud se garantiza mediante el SGSSS y el Plan de Beneficios en Salud</w:t>
      </w:r>
      <w:r w:rsidRPr="00CE7178">
        <w:rPr>
          <w:rFonts w:ascii="Verdana" w:eastAsia="SimSun" w:hAnsi="Verdana" w:cs="Arial"/>
          <w:sz w:val="24"/>
          <w:szCs w:val="24"/>
          <w:vertAlign w:val="superscript"/>
          <w:lang w:val="es-CO" w:eastAsia="ja-JP"/>
        </w:rPr>
        <w:footnoteReference w:id="47"/>
      </w:r>
      <w:r w:rsidRPr="00CE7178">
        <w:rPr>
          <w:rFonts w:ascii="Verdana" w:eastAsia="SimSun" w:hAnsi="Verdana" w:cs="Arial"/>
          <w:sz w:val="24"/>
          <w:szCs w:val="24"/>
          <w:lang w:val="es-CO" w:eastAsia="ja-JP"/>
        </w:rPr>
        <w:t>, que incluye servicios de rehabilitación funcional integral, terapias, apoyo psicológico, medicamentos, dispositivos y tecnologías de apoyo, bajo un enfoque diferencial e interdisciplinario.</w:t>
      </w:r>
    </w:p>
    <w:p w14:paraId="5844DBBD" w14:textId="77777777" w:rsidR="00CE7178" w:rsidRPr="00CE7178" w:rsidRDefault="00CE7178" w:rsidP="00CE7178">
      <w:pPr>
        <w:spacing w:line="279" w:lineRule="auto"/>
        <w:contextualSpacing/>
        <w:jc w:val="both"/>
        <w:rPr>
          <w:rFonts w:ascii="Verdana" w:eastAsia="SimSun" w:hAnsi="Verdana" w:cs="Arial"/>
          <w:sz w:val="24"/>
          <w:szCs w:val="24"/>
          <w:lang w:val="es-CO" w:eastAsia="ja-JP"/>
        </w:rPr>
      </w:pPr>
    </w:p>
    <w:p w14:paraId="64AEBAAC"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val="es-CO" w:eastAsia="ja-JP"/>
        </w:rPr>
      </w:pPr>
    </w:p>
    <w:p w14:paraId="1E3C5099" w14:textId="77777777" w:rsidR="00CE7178" w:rsidRPr="00CE7178" w:rsidRDefault="00CE7178" w:rsidP="008A69CB">
      <w:pPr>
        <w:numPr>
          <w:ilvl w:val="0"/>
          <w:numId w:val="19"/>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En cumplimiento del Decreto 1350/2018 y la Ley 1618/2013, </w:t>
      </w:r>
      <w:proofErr w:type="spellStart"/>
      <w:r w:rsidRPr="00CE7178">
        <w:rPr>
          <w:rFonts w:ascii="Verdana" w:eastAsia="SimSun" w:hAnsi="Verdana" w:cs="Arial"/>
          <w:sz w:val="24"/>
          <w:szCs w:val="24"/>
          <w:lang w:val="es-CO" w:eastAsia="ja-JP"/>
        </w:rPr>
        <w:t>MinInterior</w:t>
      </w:r>
      <w:proofErr w:type="spellEnd"/>
      <w:r w:rsidRPr="00CE7178">
        <w:rPr>
          <w:rFonts w:ascii="Verdana" w:eastAsia="SimSun" w:hAnsi="Verdana" w:cs="Arial"/>
          <w:sz w:val="24"/>
          <w:szCs w:val="24"/>
          <w:lang w:val="es-CO" w:eastAsia="ja-JP"/>
        </w:rPr>
        <w:t xml:space="preserve"> implementa el programa misional “Apoyo a las disposiciones para garantizar el pleno ejercicio de los derechos de las PCD”, orientado al fortalecimiento de la participación ciudadana, social y política. Entre 2019-2025 se fortalecieron las capacidades de participación e incidencia política de 4.682 PCD mediante procesos de formación, liderazgo, articulación territorial y sostenibilidad organizativa. El Módulo de Formación Virtual sobre Participación y Liderazgo en Organizaciones de PCD, incorporado en 2021 a la Escuela de Liderazgo y Participación Ciudadana de </w:t>
      </w:r>
      <w:proofErr w:type="spellStart"/>
      <w:r w:rsidRPr="00CE7178">
        <w:rPr>
          <w:rFonts w:ascii="Verdana" w:eastAsia="SimSun" w:hAnsi="Verdana" w:cs="Arial"/>
          <w:sz w:val="24"/>
          <w:szCs w:val="24"/>
          <w:lang w:val="es-CO" w:eastAsia="ja-JP"/>
        </w:rPr>
        <w:t>Mininterior</w:t>
      </w:r>
      <w:proofErr w:type="spellEnd"/>
      <w:r w:rsidRPr="00CE7178">
        <w:rPr>
          <w:rFonts w:ascii="Verdana" w:eastAsia="SimSun" w:hAnsi="Verdana" w:cs="Arial"/>
          <w:sz w:val="24"/>
          <w:szCs w:val="24"/>
          <w:lang w:val="es-CO" w:eastAsia="ja-JP"/>
        </w:rPr>
        <w:t>, registró 913 personas certificadas a abril de 2026; y, mediante convenio con la ESAP (2022), 306 personas participaron en diplomados sobre participación ciudadana, políticas públicas, formulación de proyectos, liderazgo, incidencia y transformación digital.</w:t>
      </w:r>
    </w:p>
    <w:p w14:paraId="0AECB795" w14:textId="77777777" w:rsidR="00CE7178" w:rsidRPr="00CE7178" w:rsidRDefault="00CE7178" w:rsidP="00CE7178">
      <w:pPr>
        <w:spacing w:before="240" w:line="279" w:lineRule="auto"/>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 xml:space="preserve">Entre 2023-2025 se construyó el “Protocolo de consulta y diálogo democrático”, orientado a fortalecer los mecanismos de representación y diálogo entre las organizaciones de PCD y el Gobierno. El proceso contó con 544 aportes de 1.549 participantes de todo el país y se encuentra en revisión jurídica. Entre 2022-2025, el Plan de Encuentros Multiplicadores fortaleció las capacidades de liderazgo y participación de 1.376 mujeres con discapacidad y familiares, y en </w:t>
      </w:r>
      <w:r w:rsidRPr="00CE7178">
        <w:rPr>
          <w:rFonts w:ascii="Verdana" w:eastAsia="SimSun" w:hAnsi="Verdana" w:cs="Arial"/>
          <w:sz w:val="24"/>
          <w:szCs w:val="24"/>
          <w:lang w:val="es-CO" w:eastAsia="ja-JP"/>
        </w:rPr>
        <w:lastRenderedPageBreak/>
        <w:t>2023 se promovió la conformación de la Red Nacional de Mujeres con Discapacidad.</w:t>
      </w:r>
    </w:p>
    <w:p w14:paraId="364B72DF" w14:textId="77777777" w:rsidR="00CE7178" w:rsidRPr="00CE7178" w:rsidRDefault="00CE7178" w:rsidP="00CE7178">
      <w:pPr>
        <w:spacing w:before="240" w:line="279" w:lineRule="auto"/>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 xml:space="preserve">La Mesa de Garantías Electorales para la Participación Política de las PCD acompañó los procesos electorales de 2021 y 2022 como mecanismo de articulación interinstitucional, con participación de entidades como la Registraduría Nacional, </w:t>
      </w:r>
      <w:proofErr w:type="spellStart"/>
      <w:r w:rsidRPr="00CE7178">
        <w:rPr>
          <w:rFonts w:ascii="Verdana" w:eastAsia="SimSun" w:hAnsi="Verdana" w:cs="Arial"/>
          <w:sz w:val="24"/>
          <w:szCs w:val="24"/>
          <w:lang w:val="es-CO" w:eastAsia="ja-JP"/>
        </w:rPr>
        <w:t>MinInterior</w:t>
      </w:r>
      <w:proofErr w:type="spellEnd"/>
      <w:r w:rsidRPr="00CE7178">
        <w:rPr>
          <w:rFonts w:ascii="Verdana" w:eastAsia="SimSun" w:hAnsi="Verdana" w:cs="Arial"/>
          <w:sz w:val="24"/>
          <w:szCs w:val="24"/>
          <w:lang w:val="es-CO" w:eastAsia="ja-JP"/>
        </w:rPr>
        <w:t xml:space="preserve">, PGN, CGR, Defensoría del Pueblo, INCI, INSOR y sociedad civil, especialmente del CND. Entre 2024-2025 se desarrollaron mesas técnicas con partidos políticos, espacios de diálogo y capacitaciones sobre campañas electorales y violencia política. 17 partidos políticos reportaron aproximadamente 1.200 PCD. Iniciativas como “Diálogos por la Democracia” y “CNE </w:t>
      </w:r>
      <w:proofErr w:type="spellStart"/>
      <w:r w:rsidRPr="00CE7178">
        <w:rPr>
          <w:rFonts w:ascii="Verdana" w:eastAsia="SimSun" w:hAnsi="Verdana" w:cs="Arial"/>
          <w:sz w:val="24"/>
          <w:szCs w:val="24"/>
          <w:lang w:val="es-CO" w:eastAsia="ja-JP"/>
        </w:rPr>
        <w:t>enSeña</w:t>
      </w:r>
      <w:proofErr w:type="spellEnd"/>
      <w:r w:rsidRPr="00CE7178">
        <w:rPr>
          <w:rFonts w:ascii="Verdana" w:eastAsia="SimSun" w:hAnsi="Verdana" w:cs="Arial"/>
          <w:sz w:val="24"/>
          <w:szCs w:val="24"/>
          <w:lang w:val="es-CO" w:eastAsia="ja-JP"/>
        </w:rPr>
        <w:t>” promovieron la participación electoral mediante contenidos accesibles en LSC.</w:t>
      </w:r>
    </w:p>
    <w:p w14:paraId="0782A125" w14:textId="77777777" w:rsidR="00CE7178" w:rsidRPr="00CE7178" w:rsidRDefault="00CE7178" w:rsidP="00CE7178">
      <w:pPr>
        <w:spacing w:before="240" w:line="279" w:lineRule="auto"/>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Respecto al número de PCD vinculadas al Grupo de Gestión en Discapacidad del </w:t>
      </w:r>
      <w:proofErr w:type="spellStart"/>
      <w:r w:rsidRPr="00CE7178">
        <w:rPr>
          <w:rFonts w:ascii="Verdana" w:eastAsia="SimSun" w:hAnsi="Verdana" w:cs="Arial"/>
          <w:sz w:val="24"/>
          <w:szCs w:val="24"/>
          <w:lang w:val="es-CO" w:eastAsia="ja-JP"/>
        </w:rPr>
        <w:t>MinInterior</w:t>
      </w:r>
      <w:proofErr w:type="spellEnd"/>
      <w:r w:rsidRPr="00CE7178">
        <w:rPr>
          <w:rFonts w:ascii="Verdana" w:eastAsia="SimSun" w:hAnsi="Verdana" w:cs="Arial"/>
          <w:sz w:val="24"/>
          <w:szCs w:val="24"/>
          <w:lang w:val="es-CO" w:eastAsia="ja-JP"/>
        </w:rPr>
        <w:t>, se reporta: tres (2020-2022), dos (2023), tres (2024) y una (2025). En el Grupo de Asuntos Electorales, no se registró durante el período reportado la vinculación de PCD. La Mesa de Garantías Electorales para la Participación Política de las PCD no contó con una composición fija ni un sistema de registro permanente de participantes, por lo que no existe un número consolidado de integrantes con discapacidad; sin embargo, se garantizó de manera permanente la participación de representantes de la sociedad civil y de organizaciones de PCD.</w:t>
      </w:r>
    </w:p>
    <w:p w14:paraId="396CAA89" w14:textId="77777777" w:rsidR="00CE7178" w:rsidRPr="00CE7178" w:rsidRDefault="00CE7178" w:rsidP="008A69CB">
      <w:pPr>
        <w:numPr>
          <w:ilvl w:val="0"/>
          <w:numId w:val="19"/>
        </w:numPr>
        <w:spacing w:before="240"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 Registraduría Nacional, en las elecciones territoriales de 2023 registró 57 candidaturas de PCD entre aproximadamente 128.000 candidaturas (0,1%): 45 hombres y 12 mujeres (2 alcaldías, 52 concejos municipales y 3 JAL). Por tipo de discapacidad: 19 física, 16 sordoceguera, 14 visual, 5 múltiple, 2 auditiva y 1 intelectual. La MOE identificó inconsistencias en 12 registros de sordoceguera por errores de diligenciamiento. Fueron elegidas 6 PCD en alcaldías, concejos y JAL, y se identificaron 2 mujeres electas en JAL cuya discapacidad no quedó registrada en la inscripción.</w:t>
      </w:r>
    </w:p>
    <w:p w14:paraId="18D7160D" w14:textId="77777777" w:rsidR="00CE7178" w:rsidRPr="00CE7178" w:rsidRDefault="00CE7178" w:rsidP="00CE7178">
      <w:pPr>
        <w:spacing w:before="240" w:line="279" w:lineRule="auto"/>
        <w:contextualSpacing/>
        <w:jc w:val="both"/>
        <w:rPr>
          <w:rFonts w:ascii="Verdana" w:eastAsia="SimSun" w:hAnsi="Verdana" w:cs="Arial"/>
          <w:sz w:val="24"/>
          <w:szCs w:val="24"/>
          <w:lang w:eastAsia="ja-JP"/>
        </w:rPr>
      </w:pPr>
    </w:p>
    <w:p w14:paraId="0E75A0C1" w14:textId="77777777" w:rsidR="00CE7178" w:rsidRPr="00CE7178" w:rsidRDefault="00CE7178" w:rsidP="008A69CB">
      <w:pPr>
        <w:numPr>
          <w:ilvl w:val="0"/>
          <w:numId w:val="19"/>
        </w:numPr>
        <w:spacing w:before="240"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eastAsia="ja-JP"/>
        </w:rPr>
        <w:t>Entre 2020-2022, Tejiendo Saberes</w:t>
      </w:r>
      <w:r w:rsidRPr="00CE7178">
        <w:rPr>
          <w:rFonts w:ascii="Verdana" w:eastAsia="SimSun" w:hAnsi="Verdana" w:cs="Arial"/>
          <w:sz w:val="24"/>
          <w:szCs w:val="24"/>
          <w:vertAlign w:val="superscript"/>
          <w:lang w:val="es-CO" w:eastAsia="ja-JP"/>
        </w:rPr>
        <w:footnoteReference w:id="48"/>
      </w:r>
      <w:r w:rsidRPr="00CE7178">
        <w:rPr>
          <w:rFonts w:ascii="Verdana" w:eastAsia="SimSun" w:hAnsi="Verdana" w:cs="Arial"/>
          <w:sz w:val="24"/>
          <w:szCs w:val="24"/>
          <w:lang w:eastAsia="ja-JP"/>
        </w:rPr>
        <w:t>, fortaleció organizaciones de PCD, mujeres, jóvenes, veedurías ciudadanas, acciones comunales y alcaldías de municipios de categoría 6. Participaron organizaciones constituidas y no constituidas, conforme a la Ley 1145/2007 y el Decreto 1350/2018. Los criterios de registro no incluyeron variables para identificar organizaciones de mujeres o jóvenes con discapacidad, por lo que no se dispone de información desagregada sobre iniciativas específicas dirigidas a estos grupos.</w:t>
      </w:r>
    </w:p>
    <w:p w14:paraId="51A4D026" w14:textId="77777777" w:rsidR="00CE7178" w:rsidRPr="00CE7178" w:rsidRDefault="00CE7178" w:rsidP="00CE7178">
      <w:pPr>
        <w:spacing w:before="240" w:line="279" w:lineRule="auto"/>
        <w:contextualSpacing/>
        <w:jc w:val="both"/>
        <w:rPr>
          <w:rFonts w:ascii="Verdana" w:eastAsia="SimSun" w:hAnsi="Verdana" w:cs="Arial"/>
          <w:sz w:val="24"/>
          <w:szCs w:val="24"/>
          <w:lang w:val="es-CO" w:eastAsia="ja-JP"/>
        </w:rPr>
      </w:pPr>
    </w:p>
    <w:p w14:paraId="3AD218F2" w14:textId="77777777" w:rsidR="00CE7178" w:rsidRPr="00CE7178" w:rsidRDefault="00CE7178" w:rsidP="008A69CB">
      <w:pPr>
        <w:numPr>
          <w:ilvl w:val="0"/>
          <w:numId w:val="19"/>
        </w:numPr>
        <w:spacing w:before="240"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lastRenderedPageBreak/>
        <w:t>Colombia fortaleció las garantías para el ejercicio del derecho al voto de las PCD mediante protocolos y medidas de accesibilidad electoral. Las circulares 004/2019 y 112/2019 y el Memorando 013/2021 incorporaron ajustes para la inscripción de cédulas y los procesos electorales, con puntos accesibles, capacitación e información clara. La Ley 163/1994 garantiza acompañamiento y atención preferencial durante la votación y, en cumplimiento de la Sentencia T-473/2003, se disponen tarjetas electorales en Braille y cubículos de talla baja. Las circulares 112/2018 y 028, 078, 097 y 112/2019 regulan la accesibilidad física y ajustes razonables en los puestos de votación. La Resolución 1711/2019 exige interpretación en LSC en la publicidad electoral televisiva. Se implementó el Protocolo de Atención para PCD en el Marco Electoral y se realizaron mesas técnicas para identificar y eliminar barreras a la participación política.</w:t>
      </w:r>
    </w:p>
    <w:p w14:paraId="2913DF45" w14:textId="77777777" w:rsidR="00CE7178" w:rsidRPr="00CE7178" w:rsidRDefault="00CE7178" w:rsidP="00CE7178">
      <w:pPr>
        <w:spacing w:before="240" w:line="279" w:lineRule="auto"/>
        <w:contextualSpacing/>
        <w:jc w:val="both"/>
        <w:rPr>
          <w:rFonts w:ascii="Verdana" w:eastAsia="SimSun" w:hAnsi="Verdana" w:cs="Arial"/>
          <w:sz w:val="24"/>
          <w:szCs w:val="24"/>
          <w:lang w:val="es-CO" w:eastAsia="ja-JP"/>
        </w:rPr>
      </w:pPr>
    </w:p>
    <w:p w14:paraId="7A692E5C"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30246686" w14:textId="77777777" w:rsidR="00CE7178" w:rsidRPr="00CE7178" w:rsidRDefault="00CE7178" w:rsidP="00CE7178">
      <w:pPr>
        <w:spacing w:line="279" w:lineRule="auto"/>
        <w:contextualSpacing/>
        <w:jc w:val="both"/>
        <w:rPr>
          <w:rFonts w:ascii="Verdana" w:eastAsia="SimSun" w:hAnsi="Verdana" w:cs="Arial"/>
          <w:b/>
          <w:bCs/>
          <w:sz w:val="24"/>
          <w:szCs w:val="24"/>
          <w:lang w:eastAsia="ja-JP"/>
        </w:rPr>
      </w:pPr>
      <w:r w:rsidRPr="00CE7178">
        <w:rPr>
          <w:rFonts w:ascii="Verdana" w:eastAsia="Times New Roman" w:hAnsi="Verdana" w:cs="Segoe UI"/>
          <w:sz w:val="24"/>
          <w:szCs w:val="24"/>
          <w:lang w:val="es-CO" w:eastAsia="es-CO"/>
        </w:rPr>
        <w:t>c)El programa “Construyendo Cultura Sorda desde los Territorios” contó con la participación de 458 personas sordas y contribuyó al fortalecimiento de los derechos lingüísticos y culturales, la valoración de la LSC, el reconocimiento de la identidad colectiva de la comunidad sorda y la visibilización de sus aportes a la diversidad cultural del país.</w:t>
      </w:r>
    </w:p>
    <w:p w14:paraId="7F7DFA1E" w14:textId="77777777" w:rsidR="00CE7178" w:rsidRPr="00CE7178" w:rsidRDefault="00CE7178" w:rsidP="00CE7178">
      <w:pPr>
        <w:spacing w:line="279" w:lineRule="auto"/>
        <w:ind w:left="90"/>
        <w:contextualSpacing/>
        <w:jc w:val="both"/>
        <w:rPr>
          <w:rFonts w:ascii="Verdana" w:eastAsia="SimSun" w:hAnsi="Verdana" w:cs="Arial"/>
          <w:b/>
          <w:bCs/>
          <w:sz w:val="24"/>
          <w:szCs w:val="24"/>
          <w:lang w:eastAsia="ja-JP"/>
        </w:rPr>
      </w:pPr>
    </w:p>
    <w:p w14:paraId="1EF15021"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r w:rsidRPr="00CE7178">
        <w:rPr>
          <w:rFonts w:ascii="Verdana" w:eastAsia="SimSun" w:hAnsi="Verdana" w:cs="Arial"/>
          <w:b/>
          <w:bCs/>
          <w:sz w:val="24"/>
          <w:szCs w:val="24"/>
          <w:lang w:val="es-CO" w:eastAsia="ja-JP"/>
        </w:rPr>
        <w:t xml:space="preserve"> </w:t>
      </w:r>
    </w:p>
    <w:p w14:paraId="2A9BC5F3" w14:textId="77777777" w:rsidR="00CE7178" w:rsidRPr="00CE7178" w:rsidRDefault="00CE7178" w:rsidP="008A69CB">
      <w:pPr>
        <w:numPr>
          <w:ilvl w:val="0"/>
          <w:numId w:val="18"/>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El DANE adoptó la metodología del Grupo de Washington sobre Estadísticas de Discapacidad y su conjunto corto de preguntas, alineada con la CIF de la OMS y la CDPD. Produce información desagregada mediante la ENCV (anual), la GEIH (mensual), la Encuesta Nacional de Uso del Tiempo (trianual) y la Encuesta Multipropósito (trianual).</w:t>
      </w:r>
    </w:p>
    <w:p w14:paraId="3505CB74"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3A5AE241" w14:textId="77777777" w:rsidR="00CE7178" w:rsidRPr="00CE7178" w:rsidRDefault="00CE7178" w:rsidP="008A69CB">
      <w:pPr>
        <w:numPr>
          <w:ilvl w:val="0"/>
          <w:numId w:val="18"/>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 Guía para la Inclusión del Enfoque Diferencial e Interseccional en la Producción Estadística del Sistema Estadístico Nacional fortalece la incorporación de variables de género, orientación sexual, identidad de género, pertenencia étnica y discapacidad en la producción estadística, promoviendo información desagregada para el diseño de políticas públicas inclusivas. Para su implementación, el DANE desarrolla talleres, jornadas de socialización y un curso virtual de capacitación, y recibió 40 Planes de Implementación de entidades del Sistema Estadístico Nacional, sobre los cuales realiza seguimiento y asistencia técnica. En el marco de la Ley 2335/2023 y del Plan Estadístico Nacional 2023-2027, desde 2024 se adelanta la actualización de la Guía, actualmente en fase de publicación.</w:t>
      </w:r>
    </w:p>
    <w:p w14:paraId="4BA6AB88"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540F6B07" w14:textId="77777777" w:rsidR="00CE7178" w:rsidRPr="00CE7178" w:rsidRDefault="00CE7178" w:rsidP="008A69CB">
      <w:pPr>
        <w:numPr>
          <w:ilvl w:val="0"/>
          <w:numId w:val="18"/>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 xml:space="preserve">El RLCPD interopera con la Registraduría Nacional y el Registro Único del Talento Humano en Salud para validación de información, y cruza datos con el Sistema Integral de la Protección Social, el RUV, el Sistema de Potenciales </w:t>
      </w:r>
      <w:r w:rsidRPr="00CE7178">
        <w:rPr>
          <w:rFonts w:ascii="Verdana" w:eastAsia="SimSun" w:hAnsi="Verdana" w:cs="Arial"/>
          <w:sz w:val="24"/>
          <w:szCs w:val="24"/>
          <w:lang w:val="es-CO" w:eastAsia="ja-JP"/>
        </w:rPr>
        <w:lastRenderedPageBreak/>
        <w:t>Beneficiarios y el Registro de Personas en Proceso de Reincorporación para consultas estadísticas. Asimismo, dispone de un servicio API para consultas nominales por parte de las entidades autorizadas. Aunque aún no existe interoperabilidad plena con todos los sectores, se avanza en la homologación de variables sobre discapacidad y en el fortalecimiento de los mecanismos de intercambio de información. Entre 2024-2025 se desarrollaron asistencias técnicas y herramientas para facilitar el cargue y consulta de datos. A 2026, el Observatorio Nacional de Discapacidad se encuentra en fase de diseño de su documento técnico y manual operativo, como paso previo a su implementación.</w:t>
      </w:r>
    </w:p>
    <w:p w14:paraId="6E89D796"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392092D9" w14:textId="77777777" w:rsidR="00CE7178" w:rsidRPr="00CE7178" w:rsidRDefault="00CE7178" w:rsidP="008A69CB">
      <w:pPr>
        <w:numPr>
          <w:ilvl w:val="0"/>
          <w:numId w:val="18"/>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La JEP identificó 101 PCD acreditadas en el Caso 03: Costa Caribe (1), Meta (14), Huila (25), Norte de Santander (27), Dabeiba (6) y Casanare (28, en actualización). La información se obtiene mediante cruces de registros administrativos y permite identificar la condición de discapacidad, aunque no establecer si esta fue ocasionada por los hechos investigados. La UARIV informó que, si bien desde 2024 desagrega la información por tipo de discapacidad en el Formato Único de Víctimas, no cuenta con información que permita identificar a las personas que adquirieron una discapacidad en estos hechos. Por su parte, el CNMH identificó 5.462 víctimas con discapacidad en su Sistema de Información de Eventos de Violencia y Conflicto Armado Colombiano, incluyendo víctimas de violencia sexual, desaparición forzada, secuestro y otros hechos del conflicto, aunque no dispone de información desagregada para las líneas de investigación consultadas.</w:t>
      </w:r>
    </w:p>
    <w:p w14:paraId="31AE6454" w14:textId="77777777" w:rsidR="00CE7178" w:rsidRPr="00CE7178" w:rsidRDefault="00CE7178" w:rsidP="00CE7178">
      <w:pPr>
        <w:spacing w:line="279" w:lineRule="auto"/>
        <w:ind w:hanging="360"/>
        <w:contextualSpacing/>
        <w:jc w:val="both"/>
        <w:rPr>
          <w:rFonts w:ascii="Verdana" w:eastAsia="SimSun" w:hAnsi="Verdana" w:cs="Arial"/>
          <w:sz w:val="24"/>
          <w:szCs w:val="24"/>
          <w:lang w:eastAsia="ja-JP"/>
        </w:rPr>
      </w:pPr>
    </w:p>
    <w:p w14:paraId="0A4BA7A9"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b/>
          <w:bCs/>
          <w:sz w:val="24"/>
          <w:szCs w:val="24"/>
          <w:lang w:eastAsia="ja-JP"/>
        </w:rPr>
      </w:pPr>
    </w:p>
    <w:p w14:paraId="136BBA44" w14:textId="77777777" w:rsidR="00CE7178" w:rsidRPr="00CE7178" w:rsidRDefault="00CE7178" w:rsidP="008A69CB">
      <w:pPr>
        <w:numPr>
          <w:ilvl w:val="0"/>
          <w:numId w:val="17"/>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val="es-CO" w:eastAsia="ja-JP"/>
        </w:rPr>
        <w:t>CÍCLOPE, sistema que registra la cooperación internacional no reembolsable, no incluye entre sus variables el número de PCD beneficiadas por los proyectos.</w:t>
      </w:r>
    </w:p>
    <w:p w14:paraId="26D57B33"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66E42BB7" w14:textId="77777777" w:rsidR="00CE7178" w:rsidRPr="00CE7178" w:rsidRDefault="00CE7178" w:rsidP="008A69CB">
      <w:pPr>
        <w:numPr>
          <w:ilvl w:val="0"/>
          <w:numId w:val="17"/>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 xml:space="preserve">Colombia desarrolla, con cooperación internacional, al menos 12 proyectos dirigidos específicamente a PCD, financiados por la Unión Europea, AECID, ACNUR, CAF, JICA, USAID, el Gobierno de Noruega, el MRE de Italia y ONU, entre otros. Abarcan inclusión laboral; educación inclusiva de niñas y mujeres; accesibilidad; rehabilitación y salud mental; atención a firmantes del Acuerdo de Paz con discapacidad; asistencia humanitaria e integración de personas refugiadas y migrantes; protección de la niñez migrante; fortalecimiento de sistemas de cuidado; prevención de violencias basadas en género; atención a sobrevivientes de artefactos explosivos; reintegro familiar de NNA con discapacidad; y fortalecimiento de la autonomía de víctimas con discapacidad. Se incorpora de manera transversal el enfoque de discapacidad en: Tejiendo Comunidad para las PCD, </w:t>
      </w:r>
      <w:proofErr w:type="spellStart"/>
      <w:r w:rsidRPr="00CE7178">
        <w:rPr>
          <w:rFonts w:ascii="Verdana" w:eastAsia="SimSun" w:hAnsi="Verdana" w:cs="Arial"/>
          <w:sz w:val="24"/>
          <w:szCs w:val="24"/>
          <w:lang w:val="es-CO" w:eastAsia="ja-JP"/>
        </w:rPr>
        <w:t>CaPAZcidades</w:t>
      </w:r>
      <w:proofErr w:type="spellEnd"/>
      <w:r w:rsidRPr="00CE7178">
        <w:rPr>
          <w:rFonts w:ascii="Verdana" w:eastAsia="SimSun" w:hAnsi="Verdana" w:cs="Arial"/>
          <w:sz w:val="24"/>
          <w:szCs w:val="24"/>
          <w:lang w:val="es-CO" w:eastAsia="ja-JP"/>
        </w:rPr>
        <w:t xml:space="preserve">, SportPower2, Salud Sin Barreras (SOCIEUX+), Deportes+, Juegos Intercolegiados, Jornada Deportiva Escolar </w:t>
      </w:r>
      <w:r w:rsidRPr="00CE7178">
        <w:rPr>
          <w:rFonts w:ascii="Verdana" w:eastAsia="SimSun" w:hAnsi="Verdana" w:cs="Arial"/>
          <w:sz w:val="24"/>
          <w:szCs w:val="24"/>
          <w:lang w:val="es-CO" w:eastAsia="ja-JP"/>
        </w:rPr>
        <w:lastRenderedPageBreak/>
        <w:t xml:space="preserve">Complementaria, cooperación del </w:t>
      </w:r>
      <w:proofErr w:type="spellStart"/>
      <w:r w:rsidRPr="00CE7178">
        <w:rPr>
          <w:rFonts w:ascii="Verdana" w:eastAsia="SimSun" w:hAnsi="Verdana" w:cs="Arial"/>
          <w:sz w:val="24"/>
          <w:szCs w:val="24"/>
          <w:lang w:val="es-CO" w:eastAsia="ja-JP"/>
        </w:rPr>
        <w:t>CoSJ</w:t>
      </w:r>
      <w:proofErr w:type="spellEnd"/>
      <w:r w:rsidRPr="00CE7178">
        <w:rPr>
          <w:rFonts w:ascii="Verdana" w:eastAsia="SimSun" w:hAnsi="Verdana" w:cs="Arial"/>
          <w:sz w:val="24"/>
          <w:szCs w:val="24"/>
          <w:lang w:val="es-CO" w:eastAsia="ja-JP"/>
        </w:rPr>
        <w:t xml:space="preserve"> con ONU en justicia restaurativa, y convocatorias de </w:t>
      </w:r>
      <w:proofErr w:type="spellStart"/>
      <w:r w:rsidRPr="00CE7178">
        <w:rPr>
          <w:rFonts w:ascii="Verdana" w:eastAsia="SimSun" w:hAnsi="Verdana" w:cs="Arial"/>
          <w:sz w:val="24"/>
          <w:szCs w:val="24"/>
          <w:lang w:val="es-CO" w:eastAsia="ja-JP"/>
        </w:rPr>
        <w:t>MinCiencias</w:t>
      </w:r>
      <w:proofErr w:type="spellEnd"/>
      <w:r w:rsidRPr="00CE7178">
        <w:rPr>
          <w:rFonts w:ascii="Verdana" w:eastAsia="SimSun" w:hAnsi="Verdana" w:cs="Arial"/>
          <w:sz w:val="24"/>
          <w:szCs w:val="24"/>
          <w:lang w:val="es-CO" w:eastAsia="ja-JP"/>
        </w:rPr>
        <w:t xml:space="preserve"> articuladas con el Marco de Cooperación de </w:t>
      </w:r>
      <w:bookmarkStart w:id="1" w:name="_Int_ZfSGJYQ4"/>
      <w:r w:rsidRPr="00CE7178">
        <w:rPr>
          <w:rFonts w:ascii="Verdana" w:eastAsia="SimSun" w:hAnsi="Verdana" w:cs="Arial"/>
          <w:sz w:val="24"/>
          <w:szCs w:val="24"/>
          <w:lang w:val="es-CO" w:eastAsia="ja-JP"/>
        </w:rPr>
        <w:t>ONU</w:t>
      </w:r>
      <w:bookmarkEnd w:id="1"/>
      <w:r w:rsidRPr="00CE7178">
        <w:rPr>
          <w:rFonts w:ascii="Verdana" w:eastAsia="SimSun" w:hAnsi="Verdana" w:cs="Arial"/>
          <w:sz w:val="24"/>
          <w:szCs w:val="24"/>
          <w:lang w:val="es-CO" w:eastAsia="ja-JP"/>
        </w:rPr>
        <w:t xml:space="preserve"> para el Desarrollo Sostenible.</w:t>
      </w:r>
    </w:p>
    <w:p w14:paraId="5A6E03AA"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498F7815" w14:textId="77777777" w:rsidR="00CE7178" w:rsidRPr="00CE7178" w:rsidRDefault="00CE7178" w:rsidP="008A69CB">
      <w:pPr>
        <w:numPr>
          <w:ilvl w:val="0"/>
          <w:numId w:val="17"/>
        </w:numPr>
        <w:spacing w:after="160" w:line="279" w:lineRule="auto"/>
        <w:ind w:left="0" w:firstLine="0"/>
        <w:contextualSpacing/>
        <w:jc w:val="both"/>
        <w:rPr>
          <w:rFonts w:ascii="Verdana" w:eastAsia="SimSun" w:hAnsi="Verdana" w:cs="Arial"/>
          <w:sz w:val="24"/>
          <w:szCs w:val="24"/>
          <w:lang w:val="es-CO" w:eastAsia="ja-JP"/>
        </w:rPr>
      </w:pPr>
      <w:r w:rsidRPr="00CE7178">
        <w:rPr>
          <w:rFonts w:ascii="Verdana" w:eastAsia="SimSun" w:hAnsi="Verdana" w:cs="Arial"/>
          <w:sz w:val="24"/>
          <w:szCs w:val="24"/>
          <w:lang w:val="es-CO" w:eastAsia="ja-JP"/>
        </w:rPr>
        <w:t>En 2025 (junio) se creó la Mesa de Reglamentación, Seguimiento e Implementación del Tratado, liderada por la DNDA, con participación de entidades nacionales y sociedad civil. Las leyes 1680/2013, 1915/2018 y 2090/2021, incorporan el Tratado al ordenamiento interno. El 27/02/2025 Colombia depositó el instrumento de ratificación ante la OMPI. El INCI es la entidad autorizada para el intercambio transfronterizo de obras en formatos accesibles en el marco del proyecto ABC-OMPI. Se avanza en la reglamentación de la Ley 1915/2018 y en el fortalecimiento de capacidades para ampliar la disponibilidad de materiales en Braille, audio y formatos digitales accesibles.</w:t>
      </w:r>
    </w:p>
    <w:p w14:paraId="1FFEA9FA"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07CBA853" w14:textId="77777777" w:rsidR="00CE7178" w:rsidRPr="00CE7178" w:rsidRDefault="00CE7178" w:rsidP="008A69CB">
      <w:pPr>
        <w:numPr>
          <w:ilvl w:val="0"/>
          <w:numId w:val="39"/>
        </w:numPr>
        <w:spacing w:after="160" w:line="279" w:lineRule="auto"/>
        <w:ind w:left="0" w:firstLine="0"/>
        <w:contextualSpacing/>
        <w:jc w:val="both"/>
        <w:rPr>
          <w:rFonts w:ascii="Verdana" w:eastAsia="SimSun" w:hAnsi="Verdana" w:cs="Arial"/>
          <w:sz w:val="24"/>
          <w:szCs w:val="24"/>
          <w:lang w:eastAsia="ja-JP"/>
        </w:rPr>
      </w:pPr>
      <w:r w:rsidRPr="00CE7178">
        <w:rPr>
          <w:rFonts w:ascii="Verdana" w:eastAsia="SimSun" w:hAnsi="Verdana" w:cs="Arial"/>
          <w:sz w:val="24"/>
          <w:szCs w:val="24"/>
          <w:lang w:eastAsia="ja-JP"/>
        </w:rPr>
        <w:t>En 2023 se constituyó el mecanismo independiente para la promoción, protección y supervisión de la Convención</w:t>
      </w:r>
      <w:r w:rsidRPr="00CE7178">
        <w:rPr>
          <w:rFonts w:ascii="Verdana" w:eastAsia="SimSun" w:hAnsi="Verdana" w:cs="Arial"/>
          <w:sz w:val="24"/>
          <w:szCs w:val="24"/>
          <w:vertAlign w:val="superscript"/>
          <w:lang w:val="es-CO" w:eastAsia="ja-JP"/>
        </w:rPr>
        <w:footnoteReference w:id="49"/>
      </w:r>
      <w:r w:rsidRPr="00CE7178">
        <w:rPr>
          <w:rFonts w:ascii="Verdana" w:eastAsia="SimSun" w:hAnsi="Verdana" w:cs="Arial"/>
          <w:sz w:val="24"/>
          <w:szCs w:val="24"/>
          <w:lang w:eastAsia="ja-JP"/>
        </w:rPr>
        <w:t>. Está integrado por la Defensoría del Pueblo, la PGN, la CGR y organizaciones. Para el monitoreo sistemático de la Convención, estructuró su labor en ejes estratégicos e implementó una metodología que evalúa los artículos 1-33 mediante indicadores de estructura, proceso y resultado, e incorpora el análisis de situaciones estructurales y coyunturales. Garantiza la participación a través de la Alianza de Organizaciones de Discapacidad y de procesos participativos que incluyen mesas territoriales, diálogos, encuestas y talleres con organizaciones representativas, PCD y sus familias.</w:t>
      </w:r>
    </w:p>
    <w:p w14:paraId="2B053D17"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03055308" w14:textId="5CE3EAE1" w:rsidR="00CE7178" w:rsidRPr="00CE7178" w:rsidRDefault="00CE7178" w:rsidP="00E528EB">
      <w:pPr>
        <w:pStyle w:val="H1G"/>
        <w:rPr>
          <w:lang w:eastAsia="ja-JP"/>
        </w:rPr>
      </w:pPr>
      <w:r w:rsidRPr="00CE7178">
        <w:rPr>
          <w:lang w:val="es-CO" w:eastAsia="ja-JP"/>
        </w:rPr>
        <w:t>Anexo</w:t>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A0" w:firstRow="1" w:lastRow="0" w:firstColumn="1" w:lastColumn="0" w:noHBand="1" w:noVBand="1"/>
      </w:tblPr>
      <w:tblGrid>
        <w:gridCol w:w="4288"/>
        <w:gridCol w:w="3082"/>
      </w:tblGrid>
      <w:tr w:rsidR="00CE7178" w:rsidRPr="00E528EB" w14:paraId="391ED01E" w14:textId="77777777" w:rsidTr="00E528EB">
        <w:trPr>
          <w:tblHeader/>
        </w:trPr>
        <w:tc>
          <w:tcPr>
            <w:tcW w:w="4288" w:type="dxa"/>
            <w:tcBorders>
              <w:top w:val="single" w:sz="4" w:space="0" w:color="auto"/>
              <w:bottom w:val="single" w:sz="12" w:space="0" w:color="auto"/>
            </w:tcBorders>
            <w:vAlign w:val="bottom"/>
          </w:tcPr>
          <w:p w14:paraId="7E4F0BCE" w14:textId="77777777" w:rsidR="00CE7178" w:rsidRPr="00E528EB" w:rsidRDefault="00CE7178" w:rsidP="00E528EB">
            <w:pPr>
              <w:spacing w:before="80" w:after="80" w:line="200" w:lineRule="exact"/>
              <w:ind w:right="113"/>
              <w:rPr>
                <w:rFonts w:ascii="Times New Roman" w:hAnsi="Times New Roman" w:cs="Times New Roman"/>
                <w:i/>
                <w:sz w:val="16"/>
                <w:lang w:val="es-CO" w:eastAsia="ja-JP"/>
              </w:rPr>
            </w:pPr>
            <w:r w:rsidRPr="00E528EB">
              <w:rPr>
                <w:rFonts w:ascii="Times New Roman" w:hAnsi="Times New Roman" w:cs="Times New Roman"/>
                <w:i/>
                <w:sz w:val="16"/>
                <w:lang w:val="es-CO" w:eastAsia="ja-JP"/>
              </w:rPr>
              <w:t>Alto Comisionado de las Naciones Unidas para los Refugiados</w:t>
            </w:r>
          </w:p>
        </w:tc>
        <w:tc>
          <w:tcPr>
            <w:tcW w:w="3082" w:type="dxa"/>
            <w:tcBorders>
              <w:top w:val="single" w:sz="4" w:space="0" w:color="auto"/>
              <w:bottom w:val="single" w:sz="12" w:space="0" w:color="auto"/>
            </w:tcBorders>
            <w:vAlign w:val="bottom"/>
          </w:tcPr>
          <w:p w14:paraId="3984DCFE" w14:textId="77777777" w:rsidR="00CE7178" w:rsidRPr="00E528EB" w:rsidRDefault="00CE7178" w:rsidP="00E528EB">
            <w:pPr>
              <w:spacing w:before="80" w:after="80" w:line="200" w:lineRule="exact"/>
              <w:ind w:right="113"/>
              <w:rPr>
                <w:rFonts w:ascii="Times New Roman" w:hAnsi="Times New Roman" w:cs="Times New Roman"/>
                <w:i/>
                <w:sz w:val="16"/>
                <w:lang w:val="es-CO" w:eastAsia="ja-JP"/>
              </w:rPr>
            </w:pPr>
            <w:r w:rsidRPr="00E528EB">
              <w:rPr>
                <w:rFonts w:ascii="Times New Roman" w:hAnsi="Times New Roman" w:cs="Times New Roman"/>
                <w:i/>
                <w:sz w:val="16"/>
                <w:lang w:val="es-CO" w:eastAsia="ja-JP"/>
              </w:rPr>
              <w:t>ACNUR</w:t>
            </w:r>
          </w:p>
        </w:tc>
      </w:tr>
      <w:tr w:rsidR="00E528EB" w:rsidRPr="00E528EB" w14:paraId="4DD654A5" w14:textId="77777777" w:rsidTr="00E528EB">
        <w:trPr>
          <w:trHeight w:hRule="exact" w:val="113"/>
        </w:trPr>
        <w:tc>
          <w:tcPr>
            <w:tcW w:w="4288" w:type="dxa"/>
            <w:tcBorders>
              <w:top w:val="single" w:sz="12" w:space="0" w:color="auto"/>
            </w:tcBorders>
          </w:tcPr>
          <w:p w14:paraId="0E49AEB4" w14:textId="77777777" w:rsidR="00E528EB" w:rsidRPr="00E528EB" w:rsidRDefault="00E528EB" w:rsidP="00E528EB">
            <w:pPr>
              <w:spacing w:before="40" w:after="120"/>
              <w:ind w:right="113"/>
              <w:rPr>
                <w:rFonts w:ascii="Times New Roman" w:hAnsi="Times New Roman" w:cs="Times New Roman"/>
                <w:sz w:val="20"/>
                <w:lang w:val="es-CO" w:eastAsia="ja-JP"/>
              </w:rPr>
            </w:pPr>
          </w:p>
        </w:tc>
        <w:tc>
          <w:tcPr>
            <w:tcW w:w="3082" w:type="dxa"/>
            <w:tcBorders>
              <w:top w:val="single" w:sz="12" w:space="0" w:color="auto"/>
            </w:tcBorders>
          </w:tcPr>
          <w:p w14:paraId="3BBFF2E7" w14:textId="77777777" w:rsidR="00E528EB" w:rsidRPr="00E528EB" w:rsidRDefault="00E528EB" w:rsidP="00E528EB">
            <w:pPr>
              <w:spacing w:before="40" w:after="120"/>
              <w:ind w:right="113"/>
              <w:rPr>
                <w:rFonts w:ascii="Times New Roman" w:hAnsi="Times New Roman" w:cs="Times New Roman"/>
                <w:sz w:val="20"/>
                <w:lang w:val="es-CO" w:eastAsia="ja-JP"/>
              </w:rPr>
            </w:pPr>
          </w:p>
        </w:tc>
      </w:tr>
      <w:tr w:rsidR="00CE7178" w:rsidRPr="00E528EB" w14:paraId="591C0205" w14:textId="77777777" w:rsidTr="00E528EB">
        <w:tc>
          <w:tcPr>
            <w:tcW w:w="4288" w:type="dxa"/>
          </w:tcPr>
          <w:p w14:paraId="6E22F28D"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Agencia Española de Cooperación Internacional para el Desarrollo</w:t>
            </w:r>
          </w:p>
        </w:tc>
        <w:tc>
          <w:tcPr>
            <w:tcW w:w="3082" w:type="dxa"/>
          </w:tcPr>
          <w:p w14:paraId="4DBFFB64"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AECID</w:t>
            </w:r>
          </w:p>
        </w:tc>
      </w:tr>
      <w:tr w:rsidR="00CE7178" w:rsidRPr="00E528EB" w14:paraId="33AEC4ED" w14:textId="77777777" w:rsidTr="00E528EB">
        <w:tc>
          <w:tcPr>
            <w:tcW w:w="4288" w:type="dxa"/>
          </w:tcPr>
          <w:p w14:paraId="228659BA"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Agencia para la Reincorporación y la Normalización</w:t>
            </w:r>
          </w:p>
        </w:tc>
        <w:tc>
          <w:tcPr>
            <w:tcW w:w="3082" w:type="dxa"/>
          </w:tcPr>
          <w:p w14:paraId="172CFB3B"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ARN</w:t>
            </w:r>
          </w:p>
        </w:tc>
      </w:tr>
      <w:tr w:rsidR="00CE7178" w:rsidRPr="00E528EB" w14:paraId="76C2803C" w14:textId="77777777" w:rsidTr="00E528EB">
        <w:tc>
          <w:tcPr>
            <w:tcW w:w="4288" w:type="dxa"/>
          </w:tcPr>
          <w:p w14:paraId="52C57E4E"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Agencia Presidencial de Cooperación Internacional de Colombia</w:t>
            </w:r>
          </w:p>
          <w:p w14:paraId="7D8B57BD" w14:textId="77777777" w:rsidR="00CE7178" w:rsidRPr="00E528EB" w:rsidRDefault="00CE7178" w:rsidP="00E528EB">
            <w:pPr>
              <w:spacing w:before="40" w:after="120"/>
              <w:ind w:right="113"/>
              <w:rPr>
                <w:rFonts w:ascii="Times New Roman" w:hAnsi="Times New Roman" w:cs="Times New Roman"/>
                <w:sz w:val="20"/>
                <w:lang w:val="es-CO" w:eastAsia="ja-JP"/>
              </w:rPr>
            </w:pPr>
          </w:p>
        </w:tc>
        <w:tc>
          <w:tcPr>
            <w:tcW w:w="3082" w:type="dxa"/>
          </w:tcPr>
          <w:p w14:paraId="65B1F2F5"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APC-Colombia</w:t>
            </w:r>
          </w:p>
        </w:tc>
      </w:tr>
      <w:tr w:rsidR="00CE7178" w:rsidRPr="00E528EB" w14:paraId="6576B028" w14:textId="77777777" w:rsidTr="00E528EB">
        <w:tc>
          <w:tcPr>
            <w:tcW w:w="4288" w:type="dxa"/>
          </w:tcPr>
          <w:p w14:paraId="1EBE78D5" w14:textId="77777777" w:rsidR="00CE7178" w:rsidRPr="00E528EB" w:rsidRDefault="00CE7178" w:rsidP="00E528EB">
            <w:pPr>
              <w:spacing w:before="40" w:after="120"/>
              <w:ind w:right="113"/>
              <w:rPr>
                <w:rFonts w:ascii="Times New Roman" w:hAnsi="Times New Roman" w:cs="Times New Roman"/>
                <w:sz w:val="20"/>
                <w:lang w:val="es-CO" w:eastAsia="ja-JP"/>
              </w:rPr>
            </w:pPr>
            <w:proofErr w:type="spellStart"/>
            <w:r w:rsidRPr="00E528EB">
              <w:rPr>
                <w:rFonts w:ascii="Times New Roman" w:hAnsi="Times New Roman" w:cs="Times New Roman"/>
                <w:sz w:val="20"/>
                <w:lang w:val="es-CO" w:eastAsia="ja-JP"/>
              </w:rPr>
              <w:t>Application</w:t>
            </w:r>
            <w:proofErr w:type="spellEnd"/>
            <w:r w:rsidRPr="00E528EB">
              <w:rPr>
                <w:rFonts w:ascii="Times New Roman" w:hAnsi="Times New Roman" w:cs="Times New Roman"/>
                <w:sz w:val="20"/>
                <w:lang w:val="es-CO" w:eastAsia="ja-JP"/>
              </w:rPr>
              <w:t xml:space="preserve"> </w:t>
            </w:r>
            <w:proofErr w:type="spellStart"/>
            <w:r w:rsidRPr="00E528EB">
              <w:rPr>
                <w:rFonts w:ascii="Times New Roman" w:hAnsi="Times New Roman" w:cs="Times New Roman"/>
                <w:sz w:val="20"/>
                <w:lang w:val="es-CO" w:eastAsia="ja-JP"/>
              </w:rPr>
              <w:t>Programming</w:t>
            </w:r>
            <w:proofErr w:type="spellEnd"/>
            <w:r w:rsidRPr="00E528EB">
              <w:rPr>
                <w:rFonts w:ascii="Times New Roman" w:hAnsi="Times New Roman" w:cs="Times New Roman"/>
                <w:sz w:val="20"/>
                <w:lang w:val="es-CO" w:eastAsia="ja-JP"/>
              </w:rPr>
              <w:t xml:space="preserve"> </w:t>
            </w:r>
            <w:bookmarkStart w:id="2" w:name="_Int_YideAOl2"/>
            <w:r w:rsidRPr="00E528EB">
              <w:rPr>
                <w:rFonts w:ascii="Times New Roman" w:hAnsi="Times New Roman" w:cs="Times New Roman"/>
                <w:sz w:val="20"/>
                <w:lang w:val="es-CO" w:eastAsia="ja-JP"/>
              </w:rPr>
              <w:t>Interface</w:t>
            </w:r>
            <w:bookmarkEnd w:id="2"/>
          </w:p>
        </w:tc>
        <w:tc>
          <w:tcPr>
            <w:tcW w:w="3082" w:type="dxa"/>
          </w:tcPr>
          <w:p w14:paraId="0C2E40C0"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API</w:t>
            </w:r>
          </w:p>
        </w:tc>
      </w:tr>
      <w:tr w:rsidR="00CE7178" w:rsidRPr="00E528EB" w14:paraId="65F04132" w14:textId="77777777" w:rsidTr="00E528EB">
        <w:tc>
          <w:tcPr>
            <w:tcW w:w="4288" w:type="dxa"/>
          </w:tcPr>
          <w:p w14:paraId="1550E765" w14:textId="77777777" w:rsidR="00CE7178" w:rsidRPr="00E528EB" w:rsidRDefault="00CE7178" w:rsidP="00E528EB">
            <w:pPr>
              <w:spacing w:before="40" w:after="120"/>
              <w:ind w:right="113"/>
              <w:rPr>
                <w:rFonts w:ascii="Times New Roman" w:hAnsi="Times New Roman" w:cs="Times New Roman"/>
                <w:sz w:val="20"/>
                <w:lang w:val="es" w:eastAsia="ja-JP"/>
              </w:rPr>
            </w:pPr>
            <w:r w:rsidRPr="00E528EB">
              <w:rPr>
                <w:rFonts w:ascii="Times New Roman" w:hAnsi="Times New Roman" w:cs="Times New Roman"/>
                <w:sz w:val="20"/>
                <w:lang w:val="es-CO" w:eastAsia="ja-JP"/>
              </w:rPr>
              <w:t>Banco de Desarrollo de América Latina y el Caribe</w:t>
            </w:r>
          </w:p>
        </w:tc>
        <w:tc>
          <w:tcPr>
            <w:tcW w:w="3082" w:type="dxa"/>
          </w:tcPr>
          <w:p w14:paraId="5BC9C0A4"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CAF</w:t>
            </w:r>
          </w:p>
        </w:tc>
      </w:tr>
      <w:tr w:rsidR="00CE7178" w:rsidRPr="00E528EB" w14:paraId="513D6C38" w14:textId="77777777" w:rsidTr="00E528EB">
        <w:tc>
          <w:tcPr>
            <w:tcW w:w="4288" w:type="dxa"/>
          </w:tcPr>
          <w:p w14:paraId="4D021167"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Banco Interamericano de Desarrollo</w:t>
            </w:r>
          </w:p>
        </w:tc>
        <w:tc>
          <w:tcPr>
            <w:tcW w:w="3082" w:type="dxa"/>
          </w:tcPr>
          <w:p w14:paraId="63626805"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BID</w:t>
            </w:r>
          </w:p>
        </w:tc>
      </w:tr>
      <w:tr w:rsidR="00CE7178" w:rsidRPr="00E528EB" w14:paraId="0F2B907A" w14:textId="77777777" w:rsidTr="00E528EB">
        <w:tc>
          <w:tcPr>
            <w:tcW w:w="4288" w:type="dxa"/>
          </w:tcPr>
          <w:p w14:paraId="3C6D8978"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lastRenderedPageBreak/>
              <w:t>Centros de Atención e Investigación Integral a las Víctimas de Delitos Sexuales</w:t>
            </w:r>
          </w:p>
        </w:tc>
        <w:tc>
          <w:tcPr>
            <w:tcW w:w="3082" w:type="dxa"/>
          </w:tcPr>
          <w:p w14:paraId="513F945D"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CAIVAS</w:t>
            </w:r>
          </w:p>
        </w:tc>
      </w:tr>
      <w:tr w:rsidR="00CE7178" w:rsidRPr="00E528EB" w14:paraId="60DFE76E" w14:textId="77777777" w:rsidTr="00E528EB">
        <w:tc>
          <w:tcPr>
            <w:tcW w:w="4288" w:type="dxa"/>
          </w:tcPr>
          <w:p w14:paraId="15523FE3" w14:textId="77777777" w:rsidR="00CE7178" w:rsidRPr="00E528EB" w:rsidRDefault="00CE7178" w:rsidP="00E528EB">
            <w:pPr>
              <w:spacing w:before="40" w:after="120"/>
              <w:ind w:right="113"/>
              <w:rPr>
                <w:rFonts w:ascii="Times New Roman" w:hAnsi="Times New Roman" w:cs="Times New Roman"/>
                <w:sz w:val="20"/>
                <w:lang w:val="es" w:eastAsia="ja-JP"/>
              </w:rPr>
            </w:pPr>
            <w:r w:rsidRPr="00E528EB">
              <w:rPr>
                <w:rFonts w:ascii="Times New Roman" w:hAnsi="Times New Roman" w:cs="Times New Roman"/>
                <w:sz w:val="20"/>
                <w:lang w:val="es-CO" w:eastAsia="ja-JP"/>
              </w:rPr>
              <w:t>Centro Regional para el Fomento del Libro en América Latina y el Caribe</w:t>
            </w:r>
          </w:p>
        </w:tc>
        <w:tc>
          <w:tcPr>
            <w:tcW w:w="3082" w:type="dxa"/>
          </w:tcPr>
          <w:p w14:paraId="0F69975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CERLALC</w:t>
            </w:r>
          </w:p>
        </w:tc>
      </w:tr>
      <w:tr w:rsidR="00CE7178" w:rsidRPr="00E528EB" w14:paraId="635A62BD" w14:textId="77777777" w:rsidTr="00E528EB">
        <w:tc>
          <w:tcPr>
            <w:tcW w:w="4288" w:type="dxa"/>
          </w:tcPr>
          <w:p w14:paraId="08BE465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Convención sobre los Derechos de las Personas con Discapacidad</w:t>
            </w:r>
          </w:p>
        </w:tc>
        <w:tc>
          <w:tcPr>
            <w:tcW w:w="3082" w:type="dxa"/>
          </w:tcPr>
          <w:p w14:paraId="069D8094"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CDPD</w:t>
            </w:r>
          </w:p>
        </w:tc>
      </w:tr>
      <w:tr w:rsidR="00CE7178" w:rsidRPr="00E528EB" w14:paraId="32F9D5DE" w14:textId="77777777" w:rsidTr="00E528EB">
        <w:tc>
          <w:tcPr>
            <w:tcW w:w="4288" w:type="dxa"/>
            <w:tcBorders>
              <w:bottom w:val="single" w:sz="12" w:space="0" w:color="auto"/>
            </w:tcBorders>
          </w:tcPr>
          <w:p w14:paraId="1D8AD69C"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Centro de Documentación Judicial</w:t>
            </w:r>
            <w:r w:rsidRPr="00E528EB">
              <w:rPr>
                <w:rFonts w:ascii="Times New Roman" w:hAnsi="Times New Roman" w:cs="Times New Roman"/>
                <w:sz w:val="20"/>
                <w:vertAlign w:val="superscript"/>
                <w:lang w:val="es-CO" w:eastAsia="ja-JP"/>
              </w:rPr>
              <w:footnoteReference w:id="50"/>
            </w:r>
          </w:p>
        </w:tc>
        <w:tc>
          <w:tcPr>
            <w:tcW w:w="3082" w:type="dxa"/>
            <w:tcBorders>
              <w:bottom w:val="single" w:sz="12" w:space="0" w:color="auto"/>
            </w:tcBorders>
          </w:tcPr>
          <w:p w14:paraId="7257F25D"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CENDOJ</w:t>
            </w:r>
          </w:p>
        </w:tc>
      </w:tr>
      <w:tr w:rsidR="00CE7178" w:rsidRPr="00E528EB" w14:paraId="597DEA63" w14:textId="77777777" w:rsidTr="00E528EB">
        <w:tc>
          <w:tcPr>
            <w:tcW w:w="4288" w:type="dxa"/>
            <w:tcBorders>
              <w:top w:val="single" w:sz="12" w:space="0" w:color="auto"/>
            </w:tcBorders>
          </w:tcPr>
          <w:p w14:paraId="358E77B2"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Clasificación Internacional del Funcionamiento, de la Discapacidad y de la Salud</w:t>
            </w:r>
          </w:p>
        </w:tc>
        <w:tc>
          <w:tcPr>
            <w:tcW w:w="3082" w:type="dxa"/>
            <w:tcBorders>
              <w:top w:val="single" w:sz="12" w:space="0" w:color="auto"/>
            </w:tcBorders>
          </w:tcPr>
          <w:p w14:paraId="3592BD88"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CIF</w:t>
            </w:r>
          </w:p>
        </w:tc>
      </w:tr>
      <w:tr w:rsidR="00CE7178" w:rsidRPr="00E528EB" w14:paraId="12529976" w14:textId="77777777" w:rsidTr="00E528EB">
        <w:tc>
          <w:tcPr>
            <w:tcW w:w="4288" w:type="dxa"/>
          </w:tcPr>
          <w:p w14:paraId="4E95CBF4"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Consejo Nacional de Discapacidad</w:t>
            </w:r>
          </w:p>
        </w:tc>
        <w:tc>
          <w:tcPr>
            <w:tcW w:w="3082" w:type="dxa"/>
          </w:tcPr>
          <w:p w14:paraId="63BE305F"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CND</w:t>
            </w:r>
          </w:p>
        </w:tc>
      </w:tr>
      <w:tr w:rsidR="00CE7178" w:rsidRPr="00E528EB" w14:paraId="67F20F10" w14:textId="77777777" w:rsidTr="00E528EB">
        <w:tc>
          <w:tcPr>
            <w:tcW w:w="4288" w:type="dxa"/>
          </w:tcPr>
          <w:p w14:paraId="05D5FB65"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Consejo Nacional Electoral</w:t>
            </w:r>
          </w:p>
        </w:tc>
        <w:tc>
          <w:tcPr>
            <w:tcW w:w="3082" w:type="dxa"/>
          </w:tcPr>
          <w:p w14:paraId="7D19F5A7"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CNE</w:t>
            </w:r>
          </w:p>
        </w:tc>
      </w:tr>
      <w:tr w:rsidR="00CE7178" w:rsidRPr="00E528EB" w14:paraId="0FBF1851" w14:textId="77777777" w:rsidTr="00E528EB">
        <w:tc>
          <w:tcPr>
            <w:tcW w:w="4288" w:type="dxa"/>
          </w:tcPr>
          <w:p w14:paraId="4C38BB58"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Consejo Nacional de Participación Ciudadana</w:t>
            </w:r>
          </w:p>
        </w:tc>
        <w:tc>
          <w:tcPr>
            <w:tcW w:w="3082" w:type="dxa"/>
          </w:tcPr>
          <w:p w14:paraId="3777F357"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CNPC</w:t>
            </w:r>
          </w:p>
        </w:tc>
      </w:tr>
      <w:tr w:rsidR="00CE7178" w:rsidRPr="00E528EB" w14:paraId="33E44EC2" w14:textId="77777777" w:rsidTr="00E528EB">
        <w:tc>
          <w:tcPr>
            <w:tcW w:w="4288" w:type="dxa"/>
          </w:tcPr>
          <w:p w14:paraId="31148862"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Consejo Superior de la Judicatura</w:t>
            </w:r>
          </w:p>
        </w:tc>
        <w:tc>
          <w:tcPr>
            <w:tcW w:w="3082" w:type="dxa"/>
          </w:tcPr>
          <w:p w14:paraId="7BC0F0D6" w14:textId="77777777" w:rsidR="00CE7178" w:rsidRPr="00E528EB" w:rsidRDefault="00CE7178" w:rsidP="00E528EB">
            <w:pPr>
              <w:spacing w:before="40" w:after="120"/>
              <w:ind w:right="113"/>
              <w:rPr>
                <w:rFonts w:ascii="Times New Roman" w:hAnsi="Times New Roman" w:cs="Times New Roman"/>
                <w:sz w:val="20"/>
                <w:lang w:val="es-CO" w:eastAsia="ja-JP"/>
              </w:rPr>
            </w:pPr>
            <w:proofErr w:type="spellStart"/>
            <w:r w:rsidRPr="00E528EB">
              <w:rPr>
                <w:rFonts w:ascii="Times New Roman" w:hAnsi="Times New Roman" w:cs="Times New Roman"/>
                <w:sz w:val="20"/>
                <w:lang w:val="es-CO" w:eastAsia="ja-JP"/>
              </w:rPr>
              <w:t>CoSJ</w:t>
            </w:r>
            <w:proofErr w:type="spellEnd"/>
          </w:p>
        </w:tc>
      </w:tr>
      <w:tr w:rsidR="00CE7178" w:rsidRPr="00E528EB" w14:paraId="7023FBC7" w14:textId="77777777" w:rsidTr="00E528EB">
        <w:tc>
          <w:tcPr>
            <w:tcW w:w="4288" w:type="dxa"/>
          </w:tcPr>
          <w:p w14:paraId="58AE3C9F"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Confederación Nacional de Entidades de Limitados Auditivos y Personas con Discapacidad</w:t>
            </w:r>
          </w:p>
        </w:tc>
        <w:tc>
          <w:tcPr>
            <w:tcW w:w="3082" w:type="dxa"/>
          </w:tcPr>
          <w:p w14:paraId="2F5878ED"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CONELAEC</w:t>
            </w:r>
          </w:p>
        </w:tc>
      </w:tr>
      <w:tr w:rsidR="00CE7178" w:rsidRPr="00E528EB" w14:paraId="1514F91B" w14:textId="77777777" w:rsidTr="00E528EB">
        <w:tc>
          <w:tcPr>
            <w:tcW w:w="4288" w:type="dxa"/>
          </w:tcPr>
          <w:p w14:paraId="2F7EFFC6"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Consejo Nacional de Política Económica y Social</w:t>
            </w:r>
          </w:p>
        </w:tc>
        <w:tc>
          <w:tcPr>
            <w:tcW w:w="3082" w:type="dxa"/>
          </w:tcPr>
          <w:p w14:paraId="362719C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CONPES</w:t>
            </w:r>
          </w:p>
        </w:tc>
      </w:tr>
      <w:tr w:rsidR="00CE7178" w:rsidRPr="00E528EB" w14:paraId="5D2B98BB" w14:textId="77777777" w:rsidTr="00E528EB">
        <w:tc>
          <w:tcPr>
            <w:tcW w:w="4288" w:type="dxa"/>
          </w:tcPr>
          <w:p w14:paraId="60A5466A"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Contraloría General de la República</w:t>
            </w:r>
          </w:p>
        </w:tc>
        <w:tc>
          <w:tcPr>
            <w:tcW w:w="3082" w:type="dxa"/>
          </w:tcPr>
          <w:p w14:paraId="3F8B46E5"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CGR</w:t>
            </w:r>
          </w:p>
        </w:tc>
      </w:tr>
      <w:tr w:rsidR="00CE7178" w:rsidRPr="00E528EB" w14:paraId="2BFC3806" w14:textId="77777777" w:rsidTr="00E528EB">
        <w:tc>
          <w:tcPr>
            <w:tcW w:w="4288" w:type="dxa"/>
          </w:tcPr>
          <w:p w14:paraId="6C8F1A18"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Corte Suprema de Justicia</w:t>
            </w:r>
          </w:p>
        </w:tc>
        <w:tc>
          <w:tcPr>
            <w:tcW w:w="3082" w:type="dxa"/>
          </w:tcPr>
          <w:p w14:paraId="48E8F498"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CSJ</w:t>
            </w:r>
          </w:p>
        </w:tc>
      </w:tr>
      <w:tr w:rsidR="00CE7178" w:rsidRPr="00E528EB" w14:paraId="298CC99D" w14:textId="77777777" w:rsidTr="00E528EB">
        <w:tc>
          <w:tcPr>
            <w:tcW w:w="4288" w:type="dxa"/>
          </w:tcPr>
          <w:p w14:paraId="05FDF8A1"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Derechos Humanos</w:t>
            </w:r>
          </w:p>
        </w:tc>
        <w:tc>
          <w:tcPr>
            <w:tcW w:w="3082" w:type="dxa"/>
          </w:tcPr>
          <w:p w14:paraId="7B37DFAC"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DDHH</w:t>
            </w:r>
          </w:p>
        </w:tc>
      </w:tr>
      <w:tr w:rsidR="00CE7178" w:rsidRPr="00E528EB" w14:paraId="78CF2F9D" w14:textId="77777777" w:rsidTr="00E528EB">
        <w:tc>
          <w:tcPr>
            <w:tcW w:w="4288" w:type="dxa"/>
          </w:tcPr>
          <w:p w14:paraId="191F56E4"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Derecho Internacional Humanitario</w:t>
            </w:r>
          </w:p>
        </w:tc>
        <w:tc>
          <w:tcPr>
            <w:tcW w:w="3082" w:type="dxa"/>
          </w:tcPr>
          <w:p w14:paraId="62552DE9"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DIH</w:t>
            </w:r>
          </w:p>
        </w:tc>
      </w:tr>
      <w:tr w:rsidR="00CE7178" w:rsidRPr="00E528EB" w14:paraId="3C998018" w14:textId="77777777" w:rsidTr="00E528EB">
        <w:tc>
          <w:tcPr>
            <w:tcW w:w="4288" w:type="dxa"/>
          </w:tcPr>
          <w:p w14:paraId="3F62906C"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Dirección de Apoyo a la Investigación y Análisis contra la Criminalidad Organizada</w:t>
            </w:r>
          </w:p>
        </w:tc>
        <w:tc>
          <w:tcPr>
            <w:tcW w:w="3082" w:type="dxa"/>
          </w:tcPr>
          <w:p w14:paraId="434B58C6"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DAIACCO</w:t>
            </w:r>
          </w:p>
        </w:tc>
      </w:tr>
      <w:tr w:rsidR="00CE7178" w:rsidRPr="00E528EB" w14:paraId="3B0B4EBC" w14:textId="77777777" w:rsidTr="00E528EB">
        <w:tc>
          <w:tcPr>
            <w:tcW w:w="4288" w:type="dxa"/>
          </w:tcPr>
          <w:p w14:paraId="67D3DC3A"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Dirección de Apoyo a la Investigación y Análisis de Seguridad Ciudadana</w:t>
            </w:r>
          </w:p>
        </w:tc>
        <w:tc>
          <w:tcPr>
            <w:tcW w:w="3082" w:type="dxa"/>
          </w:tcPr>
          <w:p w14:paraId="45B4902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DAIASC</w:t>
            </w:r>
          </w:p>
        </w:tc>
      </w:tr>
      <w:tr w:rsidR="00CE7178" w:rsidRPr="00E528EB" w14:paraId="07DCA547" w14:textId="77777777" w:rsidTr="00E528EB">
        <w:tc>
          <w:tcPr>
            <w:tcW w:w="4288" w:type="dxa"/>
          </w:tcPr>
          <w:p w14:paraId="3BD853F8"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Departamento Administrativo Nacional de Estadística</w:t>
            </w:r>
          </w:p>
        </w:tc>
        <w:tc>
          <w:tcPr>
            <w:tcW w:w="3082" w:type="dxa"/>
          </w:tcPr>
          <w:p w14:paraId="751A2A7B"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DANE</w:t>
            </w:r>
          </w:p>
        </w:tc>
      </w:tr>
      <w:tr w:rsidR="00CE7178" w:rsidRPr="00E528EB" w14:paraId="5792789B" w14:textId="77777777" w:rsidTr="00E528EB">
        <w:tc>
          <w:tcPr>
            <w:tcW w:w="4288" w:type="dxa"/>
          </w:tcPr>
          <w:p w14:paraId="36BD3A2F"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Dirección de Impuestos y Aduanas Nacionales</w:t>
            </w:r>
          </w:p>
        </w:tc>
        <w:tc>
          <w:tcPr>
            <w:tcW w:w="3082" w:type="dxa"/>
          </w:tcPr>
          <w:p w14:paraId="146DE90E"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DIAN</w:t>
            </w:r>
          </w:p>
        </w:tc>
      </w:tr>
      <w:tr w:rsidR="00CE7178" w:rsidRPr="00E528EB" w14:paraId="0477667A" w14:textId="77777777" w:rsidTr="00E528EB">
        <w:tc>
          <w:tcPr>
            <w:tcW w:w="4288" w:type="dxa"/>
          </w:tcPr>
          <w:p w14:paraId="2929A6D4"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Dirección Nacional de Derecho de Autor</w:t>
            </w:r>
          </w:p>
        </w:tc>
        <w:tc>
          <w:tcPr>
            <w:tcW w:w="3082" w:type="dxa"/>
          </w:tcPr>
          <w:p w14:paraId="3DF1E8A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DNDA</w:t>
            </w:r>
          </w:p>
        </w:tc>
      </w:tr>
      <w:tr w:rsidR="00CE7178" w:rsidRPr="00E528EB" w14:paraId="26D3ADD4" w14:textId="77777777" w:rsidTr="00E528EB">
        <w:tc>
          <w:tcPr>
            <w:tcW w:w="4288" w:type="dxa"/>
          </w:tcPr>
          <w:p w14:paraId="73A309F1"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Departamento Nacional de Planeación</w:t>
            </w:r>
          </w:p>
        </w:tc>
        <w:tc>
          <w:tcPr>
            <w:tcW w:w="3082" w:type="dxa"/>
          </w:tcPr>
          <w:p w14:paraId="50C16886"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DNP</w:t>
            </w:r>
          </w:p>
        </w:tc>
      </w:tr>
      <w:tr w:rsidR="00CE7178" w:rsidRPr="00E528EB" w14:paraId="2BF25CAE" w14:textId="77777777" w:rsidTr="00E528EB">
        <w:tc>
          <w:tcPr>
            <w:tcW w:w="4288" w:type="dxa"/>
          </w:tcPr>
          <w:p w14:paraId="21C06CFE"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Departamento Administrativo para la Prosperidad Social</w:t>
            </w:r>
          </w:p>
        </w:tc>
        <w:tc>
          <w:tcPr>
            <w:tcW w:w="3082" w:type="dxa"/>
          </w:tcPr>
          <w:p w14:paraId="6E2210FB"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DPS</w:t>
            </w:r>
          </w:p>
        </w:tc>
      </w:tr>
      <w:tr w:rsidR="00CE7178" w:rsidRPr="00E528EB" w14:paraId="047DD952" w14:textId="77777777" w:rsidTr="00E528EB">
        <w:tc>
          <w:tcPr>
            <w:tcW w:w="4288" w:type="dxa"/>
          </w:tcPr>
          <w:p w14:paraId="0BDA3D7B"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Dirección Nacional de Derecho de Autor</w:t>
            </w:r>
          </w:p>
        </w:tc>
        <w:tc>
          <w:tcPr>
            <w:tcW w:w="3082" w:type="dxa"/>
          </w:tcPr>
          <w:p w14:paraId="4E7548FC"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DNDA</w:t>
            </w:r>
          </w:p>
        </w:tc>
      </w:tr>
      <w:tr w:rsidR="00CE7178" w:rsidRPr="00E528EB" w14:paraId="70BBC48B" w14:textId="77777777" w:rsidTr="00E528EB">
        <w:tc>
          <w:tcPr>
            <w:tcW w:w="4288" w:type="dxa"/>
          </w:tcPr>
          <w:p w14:paraId="6B06D63C"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Diseño Universal para el Aprendizaje</w:t>
            </w:r>
          </w:p>
        </w:tc>
        <w:tc>
          <w:tcPr>
            <w:tcW w:w="3082" w:type="dxa"/>
          </w:tcPr>
          <w:p w14:paraId="0055A586"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DUA</w:t>
            </w:r>
          </w:p>
        </w:tc>
      </w:tr>
      <w:tr w:rsidR="00CE7178" w:rsidRPr="00E528EB" w14:paraId="25EE9F73" w14:textId="77777777" w:rsidTr="00E528EB">
        <w:tc>
          <w:tcPr>
            <w:tcW w:w="4288" w:type="dxa"/>
          </w:tcPr>
          <w:p w14:paraId="6E6FF18B"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Encuesta Nacional de Calidad de Vida</w:t>
            </w:r>
          </w:p>
        </w:tc>
        <w:tc>
          <w:tcPr>
            <w:tcW w:w="3082" w:type="dxa"/>
          </w:tcPr>
          <w:p w14:paraId="5792630C"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ENCV</w:t>
            </w:r>
          </w:p>
        </w:tc>
      </w:tr>
      <w:tr w:rsidR="00CE7178" w:rsidRPr="00E528EB" w14:paraId="56A08BAE" w14:textId="77777777" w:rsidTr="00E528EB">
        <w:tc>
          <w:tcPr>
            <w:tcW w:w="4288" w:type="dxa"/>
          </w:tcPr>
          <w:p w14:paraId="4E67BB52"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Entidad Administradora de Planes de Beneficios</w:t>
            </w:r>
          </w:p>
        </w:tc>
        <w:tc>
          <w:tcPr>
            <w:tcW w:w="3082" w:type="dxa"/>
          </w:tcPr>
          <w:p w14:paraId="7C8A09A2"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EAPB</w:t>
            </w:r>
          </w:p>
        </w:tc>
      </w:tr>
      <w:tr w:rsidR="00CE7178" w:rsidRPr="00E528EB" w14:paraId="58542AA4" w14:textId="77777777" w:rsidTr="00E528EB">
        <w:tc>
          <w:tcPr>
            <w:tcW w:w="4288" w:type="dxa"/>
          </w:tcPr>
          <w:p w14:paraId="681B678D"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lastRenderedPageBreak/>
              <w:t>Entidad Promotora de Salud</w:t>
            </w:r>
          </w:p>
        </w:tc>
        <w:tc>
          <w:tcPr>
            <w:tcW w:w="3082" w:type="dxa"/>
          </w:tcPr>
          <w:p w14:paraId="7E608827"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EPS</w:t>
            </w:r>
          </w:p>
        </w:tc>
      </w:tr>
      <w:tr w:rsidR="00CE7178" w:rsidRPr="00E528EB" w14:paraId="163D448C" w14:textId="77777777" w:rsidTr="00E528EB">
        <w:tc>
          <w:tcPr>
            <w:tcW w:w="4288" w:type="dxa"/>
          </w:tcPr>
          <w:p w14:paraId="2FF4B3C4"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Escuela Judicial Rodrigo Lara Bonilla</w:t>
            </w:r>
          </w:p>
        </w:tc>
        <w:tc>
          <w:tcPr>
            <w:tcW w:w="3082" w:type="dxa"/>
          </w:tcPr>
          <w:p w14:paraId="59A1260A"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EJRLB</w:t>
            </w:r>
          </w:p>
        </w:tc>
      </w:tr>
      <w:tr w:rsidR="00CE7178" w:rsidRPr="00E528EB" w14:paraId="7289A2A7" w14:textId="77777777" w:rsidTr="00E528EB">
        <w:tc>
          <w:tcPr>
            <w:tcW w:w="4288" w:type="dxa"/>
          </w:tcPr>
          <w:p w14:paraId="477B6C73"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 xml:space="preserve">Fiscalía General de la Nación  </w:t>
            </w:r>
          </w:p>
        </w:tc>
        <w:tc>
          <w:tcPr>
            <w:tcW w:w="3082" w:type="dxa"/>
          </w:tcPr>
          <w:p w14:paraId="64FC5D74"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FGN</w:t>
            </w:r>
          </w:p>
          <w:p w14:paraId="409A17A3" w14:textId="77777777" w:rsidR="00CE7178" w:rsidRPr="00E528EB" w:rsidRDefault="00CE7178" w:rsidP="00E528EB">
            <w:pPr>
              <w:spacing w:before="40" w:after="120"/>
              <w:ind w:right="113"/>
              <w:rPr>
                <w:rFonts w:ascii="Times New Roman" w:hAnsi="Times New Roman" w:cs="Times New Roman"/>
                <w:sz w:val="20"/>
                <w:lang w:val="es-CO" w:eastAsia="ja-JP"/>
              </w:rPr>
            </w:pPr>
          </w:p>
        </w:tc>
      </w:tr>
      <w:tr w:rsidR="00CE7178" w:rsidRPr="00E528EB" w14:paraId="6D6A973C" w14:textId="77777777" w:rsidTr="00E528EB">
        <w:tc>
          <w:tcPr>
            <w:tcW w:w="4288" w:type="dxa"/>
          </w:tcPr>
          <w:p w14:paraId="2531C3BA"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Grupo de Enlace Sectorial</w:t>
            </w:r>
          </w:p>
        </w:tc>
        <w:tc>
          <w:tcPr>
            <w:tcW w:w="3082" w:type="dxa"/>
          </w:tcPr>
          <w:p w14:paraId="012E6F25"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GES</w:t>
            </w:r>
          </w:p>
        </w:tc>
      </w:tr>
      <w:tr w:rsidR="00CE7178" w:rsidRPr="00E528EB" w14:paraId="6FDA778A" w14:textId="77777777" w:rsidTr="00E528EB">
        <w:tc>
          <w:tcPr>
            <w:tcW w:w="4288" w:type="dxa"/>
          </w:tcPr>
          <w:p w14:paraId="2D38CCDD"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Gran Encuesta Integrada de Hogares</w:t>
            </w:r>
          </w:p>
        </w:tc>
        <w:tc>
          <w:tcPr>
            <w:tcW w:w="3082" w:type="dxa"/>
          </w:tcPr>
          <w:p w14:paraId="7718073C"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GEIH</w:t>
            </w:r>
          </w:p>
        </w:tc>
      </w:tr>
      <w:tr w:rsidR="00CE7178" w:rsidRPr="00E528EB" w14:paraId="07949D03" w14:textId="77777777" w:rsidTr="00E528EB">
        <w:tc>
          <w:tcPr>
            <w:tcW w:w="4288" w:type="dxa"/>
            <w:tcBorders>
              <w:bottom w:val="single" w:sz="12" w:space="0" w:color="auto"/>
            </w:tcBorders>
          </w:tcPr>
          <w:p w14:paraId="2B28D4F5"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Instituto Colombiano de Bienestar Familiar</w:t>
            </w:r>
          </w:p>
        </w:tc>
        <w:tc>
          <w:tcPr>
            <w:tcW w:w="3082" w:type="dxa"/>
            <w:tcBorders>
              <w:bottom w:val="single" w:sz="12" w:space="0" w:color="auto"/>
            </w:tcBorders>
          </w:tcPr>
          <w:p w14:paraId="587E7D2A"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ICBF</w:t>
            </w:r>
          </w:p>
        </w:tc>
      </w:tr>
      <w:tr w:rsidR="00CE7178" w:rsidRPr="00E528EB" w14:paraId="6604E270" w14:textId="77777777" w:rsidTr="00E528EB">
        <w:tc>
          <w:tcPr>
            <w:tcW w:w="4288" w:type="dxa"/>
            <w:tcBorders>
              <w:top w:val="single" w:sz="12" w:space="0" w:color="auto"/>
            </w:tcBorders>
          </w:tcPr>
          <w:p w14:paraId="6B582D04"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Instituto Nacional para Ciegos</w:t>
            </w:r>
          </w:p>
        </w:tc>
        <w:tc>
          <w:tcPr>
            <w:tcW w:w="3082" w:type="dxa"/>
            <w:tcBorders>
              <w:top w:val="single" w:sz="12" w:space="0" w:color="auto"/>
            </w:tcBorders>
          </w:tcPr>
          <w:p w14:paraId="30C3E3BF"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INCI</w:t>
            </w:r>
          </w:p>
        </w:tc>
      </w:tr>
      <w:tr w:rsidR="00CE7178" w:rsidRPr="00E528EB" w14:paraId="08E7976D" w14:textId="77777777" w:rsidTr="00E528EB">
        <w:tc>
          <w:tcPr>
            <w:tcW w:w="4288" w:type="dxa"/>
          </w:tcPr>
          <w:p w14:paraId="646FCA8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Instituto Nacional Penitenciario y Carcelario</w:t>
            </w:r>
          </w:p>
        </w:tc>
        <w:tc>
          <w:tcPr>
            <w:tcW w:w="3082" w:type="dxa"/>
          </w:tcPr>
          <w:p w14:paraId="2FB9E088"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INPEC</w:t>
            </w:r>
          </w:p>
        </w:tc>
      </w:tr>
      <w:tr w:rsidR="00CE7178" w:rsidRPr="00E528EB" w14:paraId="34B5817E" w14:textId="77777777" w:rsidTr="00E528EB">
        <w:tc>
          <w:tcPr>
            <w:tcW w:w="4288" w:type="dxa"/>
          </w:tcPr>
          <w:p w14:paraId="37A8F828"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 xml:space="preserve">Instituto Nacional para Sordos  </w:t>
            </w:r>
          </w:p>
        </w:tc>
        <w:tc>
          <w:tcPr>
            <w:tcW w:w="3082" w:type="dxa"/>
          </w:tcPr>
          <w:p w14:paraId="6844DBEA"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INSOR</w:t>
            </w:r>
          </w:p>
        </w:tc>
      </w:tr>
      <w:tr w:rsidR="00CE7178" w:rsidRPr="00E528EB" w14:paraId="0F2D1986" w14:textId="77777777" w:rsidTr="00E528EB">
        <w:tc>
          <w:tcPr>
            <w:tcW w:w="4288" w:type="dxa"/>
          </w:tcPr>
          <w:p w14:paraId="32357E50"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 xml:space="preserve">International Police </w:t>
            </w:r>
            <w:proofErr w:type="spellStart"/>
            <w:r w:rsidRPr="00E528EB">
              <w:rPr>
                <w:rFonts w:ascii="Times New Roman" w:hAnsi="Times New Roman" w:cs="Times New Roman"/>
                <w:sz w:val="20"/>
                <w:lang w:val="es-CO" w:eastAsia="ja-JP"/>
              </w:rPr>
              <w:t>Organization</w:t>
            </w:r>
            <w:proofErr w:type="spellEnd"/>
          </w:p>
        </w:tc>
        <w:tc>
          <w:tcPr>
            <w:tcW w:w="3082" w:type="dxa"/>
          </w:tcPr>
          <w:p w14:paraId="493B9E1A"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INTERPOL</w:t>
            </w:r>
          </w:p>
        </w:tc>
      </w:tr>
      <w:tr w:rsidR="00CE7178" w:rsidRPr="00E528EB" w14:paraId="088DCE32" w14:textId="77777777" w:rsidTr="00E528EB">
        <w:tc>
          <w:tcPr>
            <w:tcW w:w="4288" w:type="dxa"/>
          </w:tcPr>
          <w:p w14:paraId="5038E77F"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Job Access With Speech</w:t>
            </w:r>
          </w:p>
        </w:tc>
        <w:tc>
          <w:tcPr>
            <w:tcW w:w="3082" w:type="dxa"/>
          </w:tcPr>
          <w:p w14:paraId="3215C75B"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JAWS</w:t>
            </w:r>
          </w:p>
        </w:tc>
      </w:tr>
      <w:tr w:rsidR="00CE7178" w:rsidRPr="00E528EB" w14:paraId="64BA241F" w14:textId="77777777" w:rsidTr="00E528EB">
        <w:tc>
          <w:tcPr>
            <w:tcW w:w="4288" w:type="dxa"/>
          </w:tcPr>
          <w:p w14:paraId="432C095D"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Juntas Administradoras Locales</w:t>
            </w:r>
          </w:p>
        </w:tc>
        <w:tc>
          <w:tcPr>
            <w:tcW w:w="3082" w:type="dxa"/>
          </w:tcPr>
          <w:p w14:paraId="0B700D47"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JAL</w:t>
            </w:r>
          </w:p>
        </w:tc>
      </w:tr>
      <w:tr w:rsidR="00CE7178" w:rsidRPr="00E528EB" w14:paraId="39637AAE" w14:textId="77777777" w:rsidTr="00E528EB">
        <w:tc>
          <w:tcPr>
            <w:tcW w:w="4288" w:type="dxa"/>
          </w:tcPr>
          <w:p w14:paraId="5408B677"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Jurisdicción Especial para la Paz</w:t>
            </w:r>
          </w:p>
        </w:tc>
        <w:tc>
          <w:tcPr>
            <w:tcW w:w="3082" w:type="dxa"/>
          </w:tcPr>
          <w:p w14:paraId="6D4CE113"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JEP</w:t>
            </w:r>
          </w:p>
        </w:tc>
      </w:tr>
      <w:tr w:rsidR="00CE7178" w:rsidRPr="00E528EB" w14:paraId="75D101CD" w14:textId="77777777" w:rsidTr="00E528EB">
        <w:tc>
          <w:tcPr>
            <w:tcW w:w="4288" w:type="dxa"/>
          </w:tcPr>
          <w:p w14:paraId="38664AE4"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 xml:space="preserve">Lesbianas, </w:t>
            </w:r>
            <w:proofErr w:type="spellStart"/>
            <w:r w:rsidRPr="00E528EB">
              <w:rPr>
                <w:rFonts w:ascii="Times New Roman" w:hAnsi="Times New Roman" w:cs="Times New Roman"/>
                <w:sz w:val="20"/>
                <w:lang w:val="es-CO" w:eastAsia="ja-JP"/>
              </w:rPr>
              <w:t>Gays</w:t>
            </w:r>
            <w:proofErr w:type="spellEnd"/>
            <w:r w:rsidRPr="00E528EB">
              <w:rPr>
                <w:rFonts w:ascii="Times New Roman" w:hAnsi="Times New Roman" w:cs="Times New Roman"/>
                <w:sz w:val="20"/>
                <w:lang w:val="es-CO" w:eastAsia="ja-JP"/>
              </w:rPr>
              <w:t>, Bisexuales, Transgénero e Intersexuales</w:t>
            </w:r>
          </w:p>
        </w:tc>
        <w:tc>
          <w:tcPr>
            <w:tcW w:w="3082" w:type="dxa"/>
          </w:tcPr>
          <w:p w14:paraId="4753D2F6"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LGBTI</w:t>
            </w:r>
          </w:p>
        </w:tc>
      </w:tr>
      <w:tr w:rsidR="00CE7178" w:rsidRPr="00E528EB" w14:paraId="014AEB14" w14:textId="77777777" w:rsidTr="00E528EB">
        <w:tc>
          <w:tcPr>
            <w:tcW w:w="4288" w:type="dxa"/>
          </w:tcPr>
          <w:p w14:paraId="6E3F1EE3"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Lengua de Señas Colombiana</w:t>
            </w:r>
          </w:p>
        </w:tc>
        <w:tc>
          <w:tcPr>
            <w:tcW w:w="3082" w:type="dxa"/>
          </w:tcPr>
          <w:p w14:paraId="0690EFC4"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LSC</w:t>
            </w:r>
          </w:p>
        </w:tc>
      </w:tr>
      <w:tr w:rsidR="00CE7178" w:rsidRPr="00E528EB" w14:paraId="43F44219" w14:textId="77777777" w:rsidTr="00E528EB">
        <w:tc>
          <w:tcPr>
            <w:tcW w:w="4288" w:type="dxa"/>
          </w:tcPr>
          <w:p w14:paraId="32290C93"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Ley 1996 de 2019</w:t>
            </w:r>
          </w:p>
        </w:tc>
        <w:tc>
          <w:tcPr>
            <w:tcW w:w="3082" w:type="dxa"/>
          </w:tcPr>
          <w:p w14:paraId="6BD4209E"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Ley 1996</w:t>
            </w:r>
          </w:p>
        </w:tc>
      </w:tr>
      <w:tr w:rsidR="00CE7178" w:rsidRPr="00E528EB" w14:paraId="31622D6E" w14:textId="77777777" w:rsidTr="00E528EB">
        <w:tc>
          <w:tcPr>
            <w:tcW w:w="4288" w:type="dxa"/>
          </w:tcPr>
          <w:p w14:paraId="0C98A282"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Ministerio de Educación Nacional</w:t>
            </w:r>
          </w:p>
        </w:tc>
        <w:tc>
          <w:tcPr>
            <w:tcW w:w="3082" w:type="dxa"/>
          </w:tcPr>
          <w:p w14:paraId="569F1E81"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MEN</w:t>
            </w:r>
          </w:p>
        </w:tc>
      </w:tr>
      <w:tr w:rsidR="00CE7178" w:rsidRPr="00E528EB" w14:paraId="2DFFA608" w14:textId="77777777" w:rsidTr="00E528EB">
        <w:tc>
          <w:tcPr>
            <w:tcW w:w="4288" w:type="dxa"/>
          </w:tcPr>
          <w:p w14:paraId="1E75A463"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Ministerio de Igualdad y Equidad</w:t>
            </w:r>
          </w:p>
        </w:tc>
        <w:tc>
          <w:tcPr>
            <w:tcW w:w="3082" w:type="dxa"/>
          </w:tcPr>
          <w:p w14:paraId="2230321F" w14:textId="77777777" w:rsidR="00CE7178" w:rsidRPr="00E528EB" w:rsidRDefault="00CE7178" w:rsidP="00E528EB">
            <w:pPr>
              <w:spacing w:before="40" w:after="120"/>
              <w:ind w:right="113"/>
              <w:rPr>
                <w:rFonts w:ascii="Times New Roman" w:hAnsi="Times New Roman" w:cs="Times New Roman"/>
                <w:sz w:val="20"/>
                <w:lang w:val="es-CO" w:eastAsia="ja-JP"/>
              </w:rPr>
            </w:pPr>
            <w:proofErr w:type="spellStart"/>
            <w:r w:rsidRPr="00E528EB">
              <w:rPr>
                <w:rFonts w:ascii="Times New Roman" w:hAnsi="Times New Roman" w:cs="Times New Roman"/>
                <w:sz w:val="20"/>
                <w:lang w:val="es-CO" w:eastAsia="ja-JP"/>
              </w:rPr>
              <w:t>MinIgualdad</w:t>
            </w:r>
            <w:proofErr w:type="spellEnd"/>
          </w:p>
        </w:tc>
      </w:tr>
      <w:tr w:rsidR="00CE7178" w:rsidRPr="00E528EB" w14:paraId="097D00CC" w14:textId="77777777" w:rsidTr="00E528EB">
        <w:tc>
          <w:tcPr>
            <w:tcW w:w="4288" w:type="dxa"/>
          </w:tcPr>
          <w:p w14:paraId="4391416B"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Ministerio de Justicia y del Derecho</w:t>
            </w:r>
          </w:p>
        </w:tc>
        <w:tc>
          <w:tcPr>
            <w:tcW w:w="3082" w:type="dxa"/>
          </w:tcPr>
          <w:p w14:paraId="36878EC6" w14:textId="77777777" w:rsidR="00CE7178" w:rsidRPr="00E528EB" w:rsidRDefault="00CE7178" w:rsidP="00E528EB">
            <w:pPr>
              <w:spacing w:before="40" w:after="120"/>
              <w:ind w:right="113"/>
              <w:rPr>
                <w:rFonts w:ascii="Times New Roman" w:hAnsi="Times New Roman" w:cs="Times New Roman"/>
                <w:sz w:val="20"/>
                <w:lang w:val="es-CO" w:eastAsia="ja-JP"/>
              </w:rPr>
            </w:pPr>
            <w:proofErr w:type="spellStart"/>
            <w:r w:rsidRPr="00E528EB">
              <w:rPr>
                <w:rFonts w:ascii="Times New Roman" w:hAnsi="Times New Roman" w:cs="Times New Roman"/>
                <w:sz w:val="20"/>
                <w:lang w:val="es-CO" w:eastAsia="ja-JP"/>
              </w:rPr>
              <w:t>MinJusticia</w:t>
            </w:r>
            <w:proofErr w:type="spellEnd"/>
          </w:p>
        </w:tc>
      </w:tr>
      <w:tr w:rsidR="00CE7178" w:rsidRPr="00E528EB" w14:paraId="3F5EE574" w14:textId="77777777" w:rsidTr="00E528EB">
        <w:tc>
          <w:tcPr>
            <w:tcW w:w="4288" w:type="dxa"/>
          </w:tcPr>
          <w:p w14:paraId="1B9454CC"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Ministerio de Relaciones Exteriores</w:t>
            </w:r>
          </w:p>
        </w:tc>
        <w:tc>
          <w:tcPr>
            <w:tcW w:w="3082" w:type="dxa"/>
          </w:tcPr>
          <w:p w14:paraId="2485E2EA"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MRE</w:t>
            </w:r>
          </w:p>
        </w:tc>
      </w:tr>
      <w:tr w:rsidR="00CE7178" w:rsidRPr="00E528EB" w14:paraId="13C596E2" w14:textId="77777777" w:rsidTr="00E528EB">
        <w:tc>
          <w:tcPr>
            <w:tcW w:w="4288" w:type="dxa"/>
          </w:tcPr>
          <w:p w14:paraId="369560B1"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Ministerio de Salud y Protección Social</w:t>
            </w:r>
          </w:p>
        </w:tc>
        <w:tc>
          <w:tcPr>
            <w:tcW w:w="3082" w:type="dxa"/>
          </w:tcPr>
          <w:p w14:paraId="1BAB4011" w14:textId="77777777" w:rsidR="00CE7178" w:rsidRPr="00E528EB" w:rsidRDefault="00CE7178" w:rsidP="00E528EB">
            <w:pPr>
              <w:spacing w:before="40" w:after="120"/>
              <w:ind w:right="113"/>
              <w:rPr>
                <w:rFonts w:ascii="Times New Roman" w:hAnsi="Times New Roman" w:cs="Times New Roman"/>
                <w:sz w:val="20"/>
                <w:lang w:val="es-CO" w:eastAsia="ja-JP"/>
              </w:rPr>
            </w:pPr>
            <w:proofErr w:type="spellStart"/>
            <w:r w:rsidRPr="00E528EB">
              <w:rPr>
                <w:rFonts w:ascii="Times New Roman" w:hAnsi="Times New Roman" w:cs="Times New Roman"/>
                <w:sz w:val="20"/>
                <w:lang w:val="es-CO" w:eastAsia="ja-JP"/>
              </w:rPr>
              <w:t>MinSalud</w:t>
            </w:r>
            <w:proofErr w:type="spellEnd"/>
          </w:p>
        </w:tc>
      </w:tr>
      <w:tr w:rsidR="00CE7178" w:rsidRPr="00E528EB" w14:paraId="0DD150B9" w14:textId="77777777" w:rsidTr="00E528EB">
        <w:tc>
          <w:tcPr>
            <w:tcW w:w="4288" w:type="dxa"/>
          </w:tcPr>
          <w:p w14:paraId="1E3A1340"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Ministerio de Tecnologías de la Información y las Comunicaciones</w:t>
            </w:r>
          </w:p>
        </w:tc>
        <w:tc>
          <w:tcPr>
            <w:tcW w:w="3082" w:type="dxa"/>
          </w:tcPr>
          <w:p w14:paraId="35014C1A"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MinTIC</w:t>
            </w:r>
          </w:p>
        </w:tc>
      </w:tr>
      <w:tr w:rsidR="00CE7178" w:rsidRPr="00E528EB" w14:paraId="02B7DF71" w14:textId="77777777" w:rsidTr="00E528EB">
        <w:tc>
          <w:tcPr>
            <w:tcW w:w="4288" w:type="dxa"/>
          </w:tcPr>
          <w:p w14:paraId="3212836D"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Ministerio del Trabajo</w:t>
            </w:r>
          </w:p>
        </w:tc>
        <w:tc>
          <w:tcPr>
            <w:tcW w:w="3082" w:type="dxa"/>
          </w:tcPr>
          <w:p w14:paraId="0B48CB9C" w14:textId="77777777" w:rsidR="00CE7178" w:rsidRPr="00E528EB" w:rsidRDefault="00CE7178" w:rsidP="00E528EB">
            <w:pPr>
              <w:spacing w:before="40" w:after="120"/>
              <w:ind w:right="113"/>
              <w:rPr>
                <w:rFonts w:ascii="Times New Roman" w:hAnsi="Times New Roman" w:cs="Times New Roman"/>
                <w:sz w:val="20"/>
                <w:lang w:val="es-CO" w:eastAsia="ja-JP"/>
              </w:rPr>
            </w:pPr>
            <w:proofErr w:type="spellStart"/>
            <w:r w:rsidRPr="00E528EB">
              <w:rPr>
                <w:rFonts w:ascii="Times New Roman" w:hAnsi="Times New Roman" w:cs="Times New Roman"/>
                <w:sz w:val="20"/>
                <w:lang w:val="es-CO" w:eastAsia="ja-JP"/>
              </w:rPr>
              <w:t>MinTrabajo</w:t>
            </w:r>
            <w:proofErr w:type="spellEnd"/>
          </w:p>
        </w:tc>
      </w:tr>
      <w:tr w:rsidR="00CE7178" w:rsidRPr="00E528EB" w14:paraId="6DEF8399" w14:textId="77777777" w:rsidTr="00E528EB">
        <w:tc>
          <w:tcPr>
            <w:tcW w:w="4288" w:type="dxa"/>
          </w:tcPr>
          <w:p w14:paraId="63039544"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Ministerio de Transporte</w:t>
            </w:r>
          </w:p>
        </w:tc>
        <w:tc>
          <w:tcPr>
            <w:tcW w:w="3082" w:type="dxa"/>
          </w:tcPr>
          <w:p w14:paraId="1B8239C9" w14:textId="77777777" w:rsidR="00CE7178" w:rsidRPr="00E528EB" w:rsidRDefault="00CE7178" w:rsidP="00E528EB">
            <w:pPr>
              <w:spacing w:before="40" w:after="120"/>
              <w:ind w:right="113"/>
              <w:rPr>
                <w:rFonts w:ascii="Times New Roman" w:hAnsi="Times New Roman" w:cs="Times New Roman"/>
                <w:sz w:val="20"/>
                <w:lang w:val="es-CO" w:eastAsia="ja-JP"/>
              </w:rPr>
            </w:pPr>
            <w:proofErr w:type="spellStart"/>
            <w:r w:rsidRPr="00E528EB">
              <w:rPr>
                <w:rFonts w:ascii="Times New Roman" w:hAnsi="Times New Roman" w:cs="Times New Roman"/>
                <w:sz w:val="20"/>
                <w:lang w:val="es-CO" w:eastAsia="ja-JP"/>
              </w:rPr>
              <w:t>MinTransporte</w:t>
            </w:r>
            <w:proofErr w:type="spellEnd"/>
          </w:p>
        </w:tc>
      </w:tr>
      <w:tr w:rsidR="00CE7178" w:rsidRPr="00E528EB" w14:paraId="13E88E48" w14:textId="77777777" w:rsidTr="00E528EB">
        <w:tc>
          <w:tcPr>
            <w:tcW w:w="4288" w:type="dxa"/>
          </w:tcPr>
          <w:p w14:paraId="18986B8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Misión de Observación Electoral</w:t>
            </w:r>
          </w:p>
        </w:tc>
        <w:tc>
          <w:tcPr>
            <w:tcW w:w="3082" w:type="dxa"/>
          </w:tcPr>
          <w:p w14:paraId="2A62306D"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MOE</w:t>
            </w:r>
          </w:p>
        </w:tc>
      </w:tr>
      <w:tr w:rsidR="00CE7178" w:rsidRPr="00E528EB" w14:paraId="2C541A5B" w14:textId="77777777" w:rsidTr="00E528EB">
        <w:tc>
          <w:tcPr>
            <w:tcW w:w="4288" w:type="dxa"/>
          </w:tcPr>
          <w:p w14:paraId="5BA71AF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Niños, Niñas y Adolescentes</w:t>
            </w:r>
          </w:p>
        </w:tc>
        <w:tc>
          <w:tcPr>
            <w:tcW w:w="3082" w:type="dxa"/>
          </w:tcPr>
          <w:p w14:paraId="34C2B2DA"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NNA</w:t>
            </w:r>
          </w:p>
        </w:tc>
      </w:tr>
      <w:tr w:rsidR="00CE7178" w:rsidRPr="00E528EB" w14:paraId="1AB5B6D1" w14:textId="77777777" w:rsidTr="00E528EB">
        <w:tc>
          <w:tcPr>
            <w:tcW w:w="4288" w:type="dxa"/>
          </w:tcPr>
          <w:p w14:paraId="3183E1A3"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Organización de las Naciones Unidas</w:t>
            </w:r>
          </w:p>
        </w:tc>
        <w:tc>
          <w:tcPr>
            <w:tcW w:w="3082" w:type="dxa"/>
          </w:tcPr>
          <w:p w14:paraId="2B73F61E"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ONU</w:t>
            </w:r>
          </w:p>
        </w:tc>
      </w:tr>
      <w:tr w:rsidR="00CE7178" w:rsidRPr="00E528EB" w14:paraId="4F90C57E" w14:textId="77777777" w:rsidTr="00E528EB">
        <w:tc>
          <w:tcPr>
            <w:tcW w:w="4288" w:type="dxa"/>
          </w:tcPr>
          <w:p w14:paraId="48332234"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Norma Técnica Colombiana</w:t>
            </w:r>
          </w:p>
        </w:tc>
        <w:tc>
          <w:tcPr>
            <w:tcW w:w="3082" w:type="dxa"/>
          </w:tcPr>
          <w:p w14:paraId="6CB3FA28"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NTC</w:t>
            </w:r>
          </w:p>
        </w:tc>
      </w:tr>
      <w:tr w:rsidR="00CE7178" w:rsidRPr="00E528EB" w14:paraId="61979ABF" w14:textId="77777777" w:rsidTr="00E528EB">
        <w:tc>
          <w:tcPr>
            <w:tcW w:w="4288" w:type="dxa"/>
          </w:tcPr>
          <w:p w14:paraId="7FF56170" w14:textId="77777777" w:rsidR="00CE7178" w:rsidRPr="00E528EB" w:rsidRDefault="00CE7178" w:rsidP="00E528EB">
            <w:pPr>
              <w:spacing w:before="40" w:after="120"/>
              <w:ind w:right="113"/>
              <w:rPr>
                <w:rFonts w:ascii="Times New Roman" w:hAnsi="Times New Roman" w:cs="Times New Roman"/>
                <w:sz w:val="20"/>
                <w:lang w:val="es" w:eastAsia="ja-JP"/>
              </w:rPr>
            </w:pPr>
            <w:r w:rsidRPr="00E528EB">
              <w:rPr>
                <w:rFonts w:ascii="Times New Roman" w:hAnsi="Times New Roman" w:cs="Times New Roman"/>
                <w:sz w:val="20"/>
                <w:lang w:val="es-CO" w:eastAsia="ja-JP"/>
              </w:rPr>
              <w:t>Oficina Asesora de Enfoques Diferenciales</w:t>
            </w:r>
          </w:p>
        </w:tc>
        <w:tc>
          <w:tcPr>
            <w:tcW w:w="3082" w:type="dxa"/>
          </w:tcPr>
          <w:p w14:paraId="03A810C2"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OAED</w:t>
            </w:r>
          </w:p>
        </w:tc>
      </w:tr>
      <w:tr w:rsidR="00CE7178" w:rsidRPr="00E528EB" w14:paraId="0679D659" w14:textId="77777777" w:rsidTr="00E528EB">
        <w:tc>
          <w:tcPr>
            <w:tcW w:w="4288" w:type="dxa"/>
          </w:tcPr>
          <w:p w14:paraId="10187B0A"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Organización Mundial de la Propiedad Intelectual</w:t>
            </w:r>
          </w:p>
        </w:tc>
        <w:tc>
          <w:tcPr>
            <w:tcW w:w="3082" w:type="dxa"/>
          </w:tcPr>
          <w:p w14:paraId="1634E675"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OMPI</w:t>
            </w:r>
          </w:p>
        </w:tc>
      </w:tr>
      <w:tr w:rsidR="00CE7178" w:rsidRPr="00E528EB" w14:paraId="7A6AF6F5" w14:textId="77777777" w:rsidTr="00E528EB">
        <w:tc>
          <w:tcPr>
            <w:tcW w:w="4288" w:type="dxa"/>
          </w:tcPr>
          <w:p w14:paraId="0B20BE85" w14:textId="77777777" w:rsidR="00CE7178" w:rsidRPr="00E528EB" w:rsidRDefault="00CE7178" w:rsidP="00E528EB">
            <w:pPr>
              <w:spacing w:before="40" w:after="120"/>
              <w:ind w:right="113"/>
              <w:rPr>
                <w:rFonts w:ascii="Times New Roman" w:hAnsi="Times New Roman" w:cs="Times New Roman"/>
                <w:sz w:val="20"/>
                <w:lang w:val="es" w:eastAsia="ja-JP"/>
              </w:rPr>
            </w:pPr>
            <w:r w:rsidRPr="00E528EB">
              <w:rPr>
                <w:rFonts w:ascii="Times New Roman" w:hAnsi="Times New Roman" w:cs="Times New Roman"/>
                <w:sz w:val="20"/>
                <w:lang w:val="es-CO" w:eastAsia="ja-JP"/>
              </w:rPr>
              <w:t>Organización Mundial de la Salud</w:t>
            </w:r>
          </w:p>
        </w:tc>
        <w:tc>
          <w:tcPr>
            <w:tcW w:w="3082" w:type="dxa"/>
          </w:tcPr>
          <w:p w14:paraId="0239B1E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OMS</w:t>
            </w:r>
          </w:p>
        </w:tc>
      </w:tr>
      <w:tr w:rsidR="00CE7178" w:rsidRPr="00E528EB" w14:paraId="0D0FE37D" w14:textId="77777777" w:rsidTr="00E528EB">
        <w:tc>
          <w:tcPr>
            <w:tcW w:w="4288" w:type="dxa"/>
          </w:tcPr>
          <w:p w14:paraId="74910180"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Planes Individuales de Ajustes Razonables</w:t>
            </w:r>
          </w:p>
        </w:tc>
        <w:tc>
          <w:tcPr>
            <w:tcW w:w="3082" w:type="dxa"/>
          </w:tcPr>
          <w:p w14:paraId="79F37D03"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PIAR</w:t>
            </w:r>
          </w:p>
        </w:tc>
      </w:tr>
      <w:tr w:rsidR="00CE7178" w:rsidRPr="00E528EB" w14:paraId="3C4C9E6C" w14:textId="77777777" w:rsidTr="00E528EB">
        <w:tc>
          <w:tcPr>
            <w:tcW w:w="4288" w:type="dxa"/>
          </w:tcPr>
          <w:p w14:paraId="3596EE94"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lastRenderedPageBreak/>
              <w:t>Proceso Administrativo de Restablecimiento de Derechos</w:t>
            </w:r>
          </w:p>
        </w:tc>
        <w:tc>
          <w:tcPr>
            <w:tcW w:w="3082" w:type="dxa"/>
          </w:tcPr>
          <w:p w14:paraId="7A4B7822"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PARD</w:t>
            </w:r>
          </w:p>
        </w:tc>
      </w:tr>
      <w:tr w:rsidR="00CE7178" w:rsidRPr="00E528EB" w14:paraId="6AC83731" w14:textId="77777777" w:rsidTr="00E528EB">
        <w:tc>
          <w:tcPr>
            <w:tcW w:w="4288" w:type="dxa"/>
          </w:tcPr>
          <w:p w14:paraId="626668A1"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Pautas de Accesibilidad para el Contenido Web</w:t>
            </w:r>
          </w:p>
        </w:tc>
        <w:tc>
          <w:tcPr>
            <w:tcW w:w="3082" w:type="dxa"/>
          </w:tcPr>
          <w:p w14:paraId="0DC8C8B3"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PCAG</w:t>
            </w:r>
          </w:p>
        </w:tc>
      </w:tr>
      <w:tr w:rsidR="00CE7178" w:rsidRPr="00E528EB" w14:paraId="2F580362" w14:textId="77777777" w:rsidTr="00E528EB">
        <w:tc>
          <w:tcPr>
            <w:tcW w:w="4288" w:type="dxa"/>
          </w:tcPr>
          <w:p w14:paraId="1DFA4D89"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Personas Privadas de la Libertad</w:t>
            </w:r>
          </w:p>
        </w:tc>
        <w:tc>
          <w:tcPr>
            <w:tcW w:w="3082" w:type="dxa"/>
          </w:tcPr>
          <w:p w14:paraId="267D48A1"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PPL</w:t>
            </w:r>
          </w:p>
        </w:tc>
      </w:tr>
      <w:tr w:rsidR="00CE7178" w:rsidRPr="00E528EB" w14:paraId="06D62381" w14:textId="77777777" w:rsidTr="00E528EB">
        <w:tc>
          <w:tcPr>
            <w:tcW w:w="4288" w:type="dxa"/>
          </w:tcPr>
          <w:p w14:paraId="5E86979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Plan Estratégico de Superación de Barreras de Acceso a la Justicia</w:t>
            </w:r>
          </w:p>
        </w:tc>
        <w:tc>
          <w:tcPr>
            <w:tcW w:w="3082" w:type="dxa"/>
          </w:tcPr>
          <w:p w14:paraId="6C72AFFB"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PESBAJ</w:t>
            </w:r>
          </w:p>
        </w:tc>
      </w:tr>
      <w:tr w:rsidR="00CE7178" w:rsidRPr="00E528EB" w14:paraId="0AC30C8D" w14:textId="77777777" w:rsidTr="00E528EB">
        <w:tc>
          <w:tcPr>
            <w:tcW w:w="4288" w:type="dxa"/>
          </w:tcPr>
          <w:p w14:paraId="601CADF4"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Planes Individuales de Ajustes Razonables</w:t>
            </w:r>
          </w:p>
        </w:tc>
        <w:tc>
          <w:tcPr>
            <w:tcW w:w="3082" w:type="dxa"/>
          </w:tcPr>
          <w:p w14:paraId="474A5C48"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PIAR</w:t>
            </w:r>
          </w:p>
        </w:tc>
      </w:tr>
      <w:tr w:rsidR="00CE7178" w:rsidRPr="00E528EB" w14:paraId="7BF25A53" w14:textId="77777777" w:rsidTr="00E528EB">
        <w:tc>
          <w:tcPr>
            <w:tcW w:w="4288" w:type="dxa"/>
            <w:tcBorders>
              <w:bottom w:val="single" w:sz="12" w:space="0" w:color="auto"/>
            </w:tcBorders>
          </w:tcPr>
          <w:p w14:paraId="77C54141"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Plan Nacional de Desarrollo</w:t>
            </w:r>
          </w:p>
        </w:tc>
        <w:tc>
          <w:tcPr>
            <w:tcW w:w="3082" w:type="dxa"/>
            <w:tcBorders>
              <w:bottom w:val="single" w:sz="12" w:space="0" w:color="auto"/>
            </w:tcBorders>
          </w:tcPr>
          <w:p w14:paraId="6565581E"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PND</w:t>
            </w:r>
          </w:p>
        </w:tc>
      </w:tr>
      <w:tr w:rsidR="00CE7178" w:rsidRPr="00E528EB" w14:paraId="1EF150FD" w14:textId="77777777" w:rsidTr="00E528EB">
        <w:tc>
          <w:tcPr>
            <w:tcW w:w="4288" w:type="dxa"/>
            <w:tcBorders>
              <w:top w:val="single" w:sz="12" w:space="0" w:color="auto"/>
            </w:tcBorders>
          </w:tcPr>
          <w:p w14:paraId="1B8023C8"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Peticiones, Quejas, Reclamos, Sugerencias, Denuncias y Felicitaciones</w:t>
            </w:r>
          </w:p>
        </w:tc>
        <w:tc>
          <w:tcPr>
            <w:tcW w:w="3082" w:type="dxa"/>
            <w:tcBorders>
              <w:top w:val="single" w:sz="12" w:space="0" w:color="auto"/>
            </w:tcBorders>
          </w:tcPr>
          <w:p w14:paraId="1DE96C6D"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PQRSDF</w:t>
            </w:r>
          </w:p>
        </w:tc>
      </w:tr>
      <w:tr w:rsidR="00CE7178" w:rsidRPr="00E528EB" w14:paraId="4DE93D36" w14:textId="77777777" w:rsidTr="00E528EB">
        <w:tc>
          <w:tcPr>
            <w:tcW w:w="4288" w:type="dxa"/>
          </w:tcPr>
          <w:p w14:paraId="2ABCC703"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Política Nacional de Educación Ambiental</w:t>
            </w:r>
          </w:p>
        </w:tc>
        <w:tc>
          <w:tcPr>
            <w:tcW w:w="3082" w:type="dxa"/>
          </w:tcPr>
          <w:p w14:paraId="272B946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PNEA</w:t>
            </w:r>
          </w:p>
        </w:tc>
      </w:tr>
      <w:tr w:rsidR="00CE7178" w:rsidRPr="00E528EB" w14:paraId="32448FA9" w14:textId="77777777" w:rsidTr="00E528EB">
        <w:tc>
          <w:tcPr>
            <w:tcW w:w="4288" w:type="dxa"/>
          </w:tcPr>
          <w:p w14:paraId="07DE1BE2"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Política Nacional de Salud Mental</w:t>
            </w:r>
          </w:p>
        </w:tc>
        <w:tc>
          <w:tcPr>
            <w:tcW w:w="3082" w:type="dxa"/>
          </w:tcPr>
          <w:p w14:paraId="6EE069B7"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PNSM</w:t>
            </w:r>
          </w:p>
        </w:tc>
      </w:tr>
      <w:tr w:rsidR="00CE7178" w:rsidRPr="00E528EB" w14:paraId="5185568B" w14:textId="77777777" w:rsidTr="00E528EB">
        <w:tc>
          <w:tcPr>
            <w:tcW w:w="4288" w:type="dxa"/>
          </w:tcPr>
          <w:p w14:paraId="0B481BBE"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Procuraduría General de la Nación</w:t>
            </w:r>
          </w:p>
        </w:tc>
        <w:tc>
          <w:tcPr>
            <w:tcW w:w="3082" w:type="dxa"/>
          </w:tcPr>
          <w:p w14:paraId="685CF73A"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PGN</w:t>
            </w:r>
          </w:p>
        </w:tc>
      </w:tr>
      <w:tr w:rsidR="00CE7178" w:rsidRPr="00E528EB" w14:paraId="739E2E2A" w14:textId="77777777" w:rsidTr="00E528EB">
        <w:tc>
          <w:tcPr>
            <w:tcW w:w="4288" w:type="dxa"/>
          </w:tcPr>
          <w:p w14:paraId="0355F09C"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Radio Televisión Nacional de Colombia</w:t>
            </w:r>
          </w:p>
        </w:tc>
        <w:tc>
          <w:tcPr>
            <w:tcW w:w="3082" w:type="dxa"/>
          </w:tcPr>
          <w:p w14:paraId="12FC498C"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RTVC</w:t>
            </w:r>
          </w:p>
        </w:tc>
      </w:tr>
      <w:tr w:rsidR="00CE7178" w:rsidRPr="00E528EB" w14:paraId="24B2AE29" w14:textId="77777777" w:rsidTr="00E528EB">
        <w:tc>
          <w:tcPr>
            <w:tcW w:w="4288" w:type="dxa"/>
          </w:tcPr>
          <w:p w14:paraId="165DE4D7"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Registro Nacional de Intérpretes</w:t>
            </w:r>
          </w:p>
        </w:tc>
        <w:tc>
          <w:tcPr>
            <w:tcW w:w="3082" w:type="dxa"/>
          </w:tcPr>
          <w:p w14:paraId="2B20CF05"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RENI</w:t>
            </w:r>
          </w:p>
        </w:tc>
      </w:tr>
      <w:tr w:rsidR="00CE7178" w:rsidRPr="00E528EB" w14:paraId="0DB2F882" w14:textId="77777777" w:rsidTr="00E528EB">
        <w:tc>
          <w:tcPr>
            <w:tcW w:w="4288" w:type="dxa"/>
          </w:tcPr>
          <w:p w14:paraId="75D02F56"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Registro Especial de Prestadores de Servicios de Salud</w:t>
            </w:r>
          </w:p>
        </w:tc>
        <w:tc>
          <w:tcPr>
            <w:tcW w:w="3082" w:type="dxa"/>
          </w:tcPr>
          <w:p w14:paraId="4EB4EB48"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REPS</w:t>
            </w:r>
          </w:p>
        </w:tc>
      </w:tr>
      <w:tr w:rsidR="00CE7178" w:rsidRPr="00E528EB" w14:paraId="1374A632" w14:textId="77777777" w:rsidTr="00E528EB">
        <w:tc>
          <w:tcPr>
            <w:tcW w:w="4288" w:type="dxa"/>
          </w:tcPr>
          <w:p w14:paraId="25F4546B"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Registro Individual de Prestación de Servicios de Salud</w:t>
            </w:r>
          </w:p>
        </w:tc>
        <w:tc>
          <w:tcPr>
            <w:tcW w:w="3082" w:type="dxa"/>
          </w:tcPr>
          <w:p w14:paraId="29574166"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RIPS</w:t>
            </w:r>
          </w:p>
        </w:tc>
      </w:tr>
      <w:tr w:rsidR="00CE7178" w:rsidRPr="00E528EB" w14:paraId="67DF6DAC" w14:textId="77777777" w:rsidTr="00E528EB">
        <w:tc>
          <w:tcPr>
            <w:tcW w:w="4288" w:type="dxa"/>
          </w:tcPr>
          <w:p w14:paraId="7D189238"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Registro de Localización y Caracterización de Personas con Discapacidad</w:t>
            </w:r>
          </w:p>
        </w:tc>
        <w:tc>
          <w:tcPr>
            <w:tcW w:w="3082" w:type="dxa"/>
          </w:tcPr>
          <w:p w14:paraId="32AE682E"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RLCPD</w:t>
            </w:r>
          </w:p>
        </w:tc>
      </w:tr>
      <w:tr w:rsidR="00CE7178" w:rsidRPr="00E528EB" w14:paraId="39E8010A" w14:textId="77777777" w:rsidTr="00E528EB">
        <w:tc>
          <w:tcPr>
            <w:tcW w:w="4288" w:type="dxa"/>
          </w:tcPr>
          <w:p w14:paraId="017F4BD6"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Registro Único de Víctimas</w:t>
            </w:r>
          </w:p>
        </w:tc>
        <w:tc>
          <w:tcPr>
            <w:tcW w:w="3082" w:type="dxa"/>
          </w:tcPr>
          <w:p w14:paraId="0B8CF6E2"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RUV</w:t>
            </w:r>
          </w:p>
        </w:tc>
      </w:tr>
      <w:tr w:rsidR="00CE7178" w:rsidRPr="00E528EB" w14:paraId="318B76E4" w14:textId="77777777" w:rsidTr="00E528EB">
        <w:tc>
          <w:tcPr>
            <w:tcW w:w="4288" w:type="dxa"/>
          </w:tcPr>
          <w:p w14:paraId="147C9FCF"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 xml:space="preserve">Registro de Víctimas Acreditadas  </w:t>
            </w:r>
          </w:p>
        </w:tc>
        <w:tc>
          <w:tcPr>
            <w:tcW w:w="3082" w:type="dxa"/>
          </w:tcPr>
          <w:p w14:paraId="0C0B88CA"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RVA</w:t>
            </w:r>
          </w:p>
        </w:tc>
      </w:tr>
      <w:tr w:rsidR="00CE7178" w:rsidRPr="00E528EB" w14:paraId="208A1B83" w14:textId="77777777" w:rsidTr="00E528EB">
        <w:tc>
          <w:tcPr>
            <w:tcW w:w="4288" w:type="dxa"/>
          </w:tcPr>
          <w:p w14:paraId="4E5CC392"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Salario Mínimo Mensual Legal Vigente</w:t>
            </w:r>
          </w:p>
        </w:tc>
        <w:tc>
          <w:tcPr>
            <w:tcW w:w="3082" w:type="dxa"/>
          </w:tcPr>
          <w:p w14:paraId="57C7A176"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SMMLV</w:t>
            </w:r>
          </w:p>
        </w:tc>
      </w:tr>
      <w:tr w:rsidR="00CE7178" w:rsidRPr="00E528EB" w14:paraId="3D42EB24" w14:textId="77777777" w:rsidTr="00E528EB">
        <w:tc>
          <w:tcPr>
            <w:tcW w:w="4288" w:type="dxa"/>
          </w:tcPr>
          <w:p w14:paraId="6D4E3CCA"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Sistema Nacional contra Violencias basadas en Género</w:t>
            </w:r>
          </w:p>
        </w:tc>
        <w:tc>
          <w:tcPr>
            <w:tcW w:w="3082" w:type="dxa"/>
          </w:tcPr>
          <w:p w14:paraId="6D7F072B"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SALVIA</w:t>
            </w:r>
          </w:p>
        </w:tc>
      </w:tr>
      <w:tr w:rsidR="00CE7178" w:rsidRPr="00E528EB" w14:paraId="07D67DC3" w14:textId="77777777" w:rsidTr="00E528EB">
        <w:tc>
          <w:tcPr>
            <w:tcW w:w="4288" w:type="dxa"/>
          </w:tcPr>
          <w:p w14:paraId="4B439AEB"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Servicio Nacional de Aprendizaje</w:t>
            </w:r>
          </w:p>
        </w:tc>
        <w:tc>
          <w:tcPr>
            <w:tcW w:w="3082" w:type="dxa"/>
          </w:tcPr>
          <w:p w14:paraId="7B9B1736"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SENA</w:t>
            </w:r>
          </w:p>
        </w:tc>
      </w:tr>
      <w:tr w:rsidR="00CE7178" w:rsidRPr="00E528EB" w14:paraId="51F3B132" w14:textId="77777777" w:rsidTr="00E528EB">
        <w:tc>
          <w:tcPr>
            <w:tcW w:w="4288" w:type="dxa"/>
          </w:tcPr>
          <w:p w14:paraId="4AA36127"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Sistemas de Alerta Temprana</w:t>
            </w:r>
          </w:p>
        </w:tc>
        <w:tc>
          <w:tcPr>
            <w:tcW w:w="3082" w:type="dxa"/>
          </w:tcPr>
          <w:p w14:paraId="78D301A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SAT</w:t>
            </w:r>
          </w:p>
        </w:tc>
      </w:tr>
      <w:tr w:rsidR="00CE7178" w:rsidRPr="00E528EB" w14:paraId="14AB221B" w14:textId="77777777" w:rsidTr="00E528EB">
        <w:tc>
          <w:tcPr>
            <w:tcW w:w="4288" w:type="dxa"/>
          </w:tcPr>
          <w:p w14:paraId="0CE1AE4C"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Sistema de Información Estadística de la Rama Judicial</w:t>
            </w:r>
          </w:p>
        </w:tc>
        <w:tc>
          <w:tcPr>
            <w:tcW w:w="3082" w:type="dxa"/>
          </w:tcPr>
          <w:p w14:paraId="48E85900"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SIERJU</w:t>
            </w:r>
          </w:p>
        </w:tc>
      </w:tr>
      <w:tr w:rsidR="00CE7178" w:rsidRPr="00E528EB" w14:paraId="78A4DB53" w14:textId="77777777" w:rsidTr="00E528EB">
        <w:tc>
          <w:tcPr>
            <w:tcW w:w="4288" w:type="dxa"/>
          </w:tcPr>
          <w:p w14:paraId="044815C4" w14:textId="77777777" w:rsidR="00CE7178" w:rsidRPr="00E528EB" w:rsidRDefault="00CE7178" w:rsidP="00E528EB">
            <w:pPr>
              <w:spacing w:before="40" w:after="120"/>
              <w:ind w:right="113"/>
              <w:rPr>
                <w:rFonts w:ascii="Times New Roman" w:hAnsi="Times New Roman" w:cs="Times New Roman"/>
                <w:sz w:val="20"/>
                <w:lang w:eastAsia="ja-JP"/>
              </w:rPr>
            </w:pPr>
            <w:r w:rsidRPr="00E528EB">
              <w:rPr>
                <w:rFonts w:ascii="Times New Roman" w:hAnsi="Times New Roman" w:cs="Times New Roman"/>
                <w:sz w:val="20"/>
                <w:lang w:val="es-CO" w:eastAsia="ja-JP"/>
              </w:rPr>
              <w:t>Sistema Autónomo de Asesoría y Defensa para las Víctimas</w:t>
            </w:r>
          </w:p>
        </w:tc>
        <w:tc>
          <w:tcPr>
            <w:tcW w:w="3082" w:type="dxa"/>
          </w:tcPr>
          <w:p w14:paraId="5C77BD45"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SAADV</w:t>
            </w:r>
          </w:p>
        </w:tc>
      </w:tr>
      <w:tr w:rsidR="00CE7178" w:rsidRPr="00E528EB" w14:paraId="348790DB" w14:textId="77777777" w:rsidTr="00E528EB">
        <w:tc>
          <w:tcPr>
            <w:tcW w:w="4288" w:type="dxa"/>
          </w:tcPr>
          <w:p w14:paraId="677F087E"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 xml:space="preserve">Sistema Integrado de Matrícula  </w:t>
            </w:r>
          </w:p>
        </w:tc>
        <w:tc>
          <w:tcPr>
            <w:tcW w:w="3082" w:type="dxa"/>
          </w:tcPr>
          <w:p w14:paraId="0F75C808"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SIMAT</w:t>
            </w:r>
          </w:p>
        </w:tc>
      </w:tr>
      <w:tr w:rsidR="00CE7178" w:rsidRPr="00E528EB" w14:paraId="23ABEA35" w14:textId="77777777" w:rsidTr="00E528EB">
        <w:tc>
          <w:tcPr>
            <w:tcW w:w="4288" w:type="dxa"/>
          </w:tcPr>
          <w:p w14:paraId="4FCCF301"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Sistema de Información Unificado de Convivencia Escolar</w:t>
            </w:r>
          </w:p>
        </w:tc>
        <w:tc>
          <w:tcPr>
            <w:tcW w:w="3082" w:type="dxa"/>
          </w:tcPr>
          <w:p w14:paraId="04935837"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SIUCE</w:t>
            </w:r>
          </w:p>
        </w:tc>
      </w:tr>
      <w:tr w:rsidR="00CE7178" w:rsidRPr="00E528EB" w14:paraId="5F5654E9" w14:textId="77777777" w:rsidTr="00E528EB">
        <w:tc>
          <w:tcPr>
            <w:tcW w:w="4288" w:type="dxa"/>
          </w:tcPr>
          <w:p w14:paraId="1544BDE3"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Sistema de Responsabilidad Penal para Adolescentes</w:t>
            </w:r>
          </w:p>
        </w:tc>
        <w:tc>
          <w:tcPr>
            <w:tcW w:w="3082" w:type="dxa"/>
          </w:tcPr>
          <w:p w14:paraId="09355DA6"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SRPA</w:t>
            </w:r>
          </w:p>
        </w:tc>
      </w:tr>
      <w:tr w:rsidR="00CE7178" w:rsidRPr="00E528EB" w14:paraId="29E46638" w14:textId="77777777" w:rsidTr="00E528EB">
        <w:tc>
          <w:tcPr>
            <w:tcW w:w="4288" w:type="dxa"/>
          </w:tcPr>
          <w:p w14:paraId="0E0463E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Sistema Nacional de Convivencia Escolar</w:t>
            </w:r>
          </w:p>
        </w:tc>
        <w:tc>
          <w:tcPr>
            <w:tcW w:w="3082" w:type="dxa"/>
          </w:tcPr>
          <w:p w14:paraId="59799F62"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SNCE</w:t>
            </w:r>
          </w:p>
        </w:tc>
      </w:tr>
      <w:tr w:rsidR="00CE7178" w:rsidRPr="00E528EB" w14:paraId="3F09C78F" w14:textId="77777777" w:rsidTr="00E528EB">
        <w:tc>
          <w:tcPr>
            <w:tcW w:w="4288" w:type="dxa"/>
          </w:tcPr>
          <w:p w14:paraId="3A32303C"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Sistema Nacional de Cuidado</w:t>
            </w:r>
          </w:p>
        </w:tc>
        <w:tc>
          <w:tcPr>
            <w:tcW w:w="3082" w:type="dxa"/>
          </w:tcPr>
          <w:p w14:paraId="327148FC"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SNC</w:t>
            </w:r>
          </w:p>
        </w:tc>
      </w:tr>
      <w:tr w:rsidR="00CE7178" w:rsidRPr="00E528EB" w14:paraId="67D18490" w14:textId="77777777" w:rsidTr="00E528EB">
        <w:tc>
          <w:tcPr>
            <w:tcW w:w="4288" w:type="dxa"/>
          </w:tcPr>
          <w:p w14:paraId="753994E2"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lastRenderedPageBreak/>
              <w:t>Sistema Nacional de Discapacidad</w:t>
            </w:r>
          </w:p>
        </w:tc>
        <w:tc>
          <w:tcPr>
            <w:tcW w:w="3082" w:type="dxa"/>
          </w:tcPr>
          <w:p w14:paraId="3D119D6F"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SND</w:t>
            </w:r>
          </w:p>
        </w:tc>
      </w:tr>
      <w:tr w:rsidR="00CE7178" w:rsidRPr="00E528EB" w14:paraId="2C8923E0" w14:textId="77777777" w:rsidTr="00E528EB">
        <w:tc>
          <w:tcPr>
            <w:tcW w:w="4288" w:type="dxa"/>
          </w:tcPr>
          <w:p w14:paraId="6BD76EF6"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Sistema Nacional de Gestión del Riesgo de Desastres</w:t>
            </w:r>
          </w:p>
        </w:tc>
        <w:tc>
          <w:tcPr>
            <w:tcW w:w="3082" w:type="dxa"/>
          </w:tcPr>
          <w:p w14:paraId="42C8CDBA"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SNGRD</w:t>
            </w:r>
          </w:p>
        </w:tc>
      </w:tr>
      <w:tr w:rsidR="00CE7178" w:rsidRPr="00E528EB" w14:paraId="5CF37850" w14:textId="77777777" w:rsidTr="00E528EB">
        <w:tc>
          <w:tcPr>
            <w:tcW w:w="4288" w:type="dxa"/>
          </w:tcPr>
          <w:p w14:paraId="243210E8"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Sistema Penal Oral Acusatorio</w:t>
            </w:r>
            <w:r w:rsidRPr="00E528EB">
              <w:rPr>
                <w:rFonts w:ascii="Times New Roman" w:hAnsi="Times New Roman" w:cs="Times New Roman"/>
                <w:sz w:val="20"/>
                <w:vertAlign w:val="superscript"/>
                <w:lang w:val="es-CO" w:eastAsia="ja-JP"/>
              </w:rPr>
              <w:footnoteReference w:id="51"/>
            </w:r>
          </w:p>
        </w:tc>
        <w:tc>
          <w:tcPr>
            <w:tcW w:w="3082" w:type="dxa"/>
          </w:tcPr>
          <w:p w14:paraId="2FBF6787"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SPOA</w:t>
            </w:r>
          </w:p>
        </w:tc>
      </w:tr>
      <w:tr w:rsidR="00CE7178" w:rsidRPr="00E528EB" w14:paraId="1501A68A" w14:textId="77777777" w:rsidTr="00E528EB">
        <w:tc>
          <w:tcPr>
            <w:tcW w:w="4288" w:type="dxa"/>
            <w:tcBorders>
              <w:bottom w:val="single" w:sz="12" w:space="0" w:color="auto"/>
            </w:tcBorders>
          </w:tcPr>
          <w:p w14:paraId="035B7FD7"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Superintendencia de Industria y Comercio</w:t>
            </w:r>
          </w:p>
        </w:tc>
        <w:tc>
          <w:tcPr>
            <w:tcW w:w="3082" w:type="dxa"/>
            <w:tcBorders>
              <w:bottom w:val="single" w:sz="12" w:space="0" w:color="auto"/>
            </w:tcBorders>
          </w:tcPr>
          <w:p w14:paraId="6844085C"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SIC</w:t>
            </w:r>
          </w:p>
        </w:tc>
      </w:tr>
      <w:tr w:rsidR="00CE7178" w:rsidRPr="00E528EB" w14:paraId="10BC55CB" w14:textId="77777777" w:rsidTr="00E528EB">
        <w:tc>
          <w:tcPr>
            <w:tcW w:w="4288" w:type="dxa"/>
            <w:tcBorders>
              <w:top w:val="single" w:sz="12" w:space="0" w:color="auto"/>
            </w:tcBorders>
          </w:tcPr>
          <w:p w14:paraId="7B5EABEF"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Superintendencia Nacional de Salud</w:t>
            </w:r>
          </w:p>
        </w:tc>
        <w:tc>
          <w:tcPr>
            <w:tcW w:w="3082" w:type="dxa"/>
            <w:tcBorders>
              <w:top w:val="single" w:sz="12" w:space="0" w:color="auto"/>
            </w:tcBorders>
          </w:tcPr>
          <w:p w14:paraId="79F6EBAD" w14:textId="77777777" w:rsidR="00CE7178" w:rsidRPr="00E528EB" w:rsidRDefault="00CE7178" w:rsidP="00E528EB">
            <w:pPr>
              <w:spacing w:before="40" w:after="120"/>
              <w:ind w:right="113"/>
              <w:rPr>
                <w:rFonts w:ascii="Times New Roman" w:hAnsi="Times New Roman" w:cs="Times New Roman"/>
                <w:sz w:val="20"/>
                <w:lang w:val="es-CO" w:eastAsia="ja-JP"/>
              </w:rPr>
            </w:pPr>
            <w:proofErr w:type="spellStart"/>
            <w:r w:rsidRPr="00E528EB">
              <w:rPr>
                <w:rFonts w:ascii="Times New Roman" w:hAnsi="Times New Roman" w:cs="Times New Roman"/>
                <w:sz w:val="20"/>
                <w:lang w:val="es-CO" w:eastAsia="ja-JP"/>
              </w:rPr>
              <w:t>SuperSalud</w:t>
            </w:r>
            <w:proofErr w:type="spellEnd"/>
          </w:p>
        </w:tc>
      </w:tr>
      <w:tr w:rsidR="00CE7178" w:rsidRPr="00E528EB" w14:paraId="2B03041B" w14:textId="77777777" w:rsidTr="00E528EB">
        <w:tc>
          <w:tcPr>
            <w:tcW w:w="4288" w:type="dxa"/>
          </w:tcPr>
          <w:p w14:paraId="24340FA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Trabajos, Obras y Actividades con contenido Restaurador o Reparador</w:t>
            </w:r>
          </w:p>
        </w:tc>
        <w:tc>
          <w:tcPr>
            <w:tcW w:w="3082" w:type="dxa"/>
          </w:tcPr>
          <w:p w14:paraId="7C4981BC"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TOAR</w:t>
            </w:r>
          </w:p>
        </w:tc>
      </w:tr>
      <w:tr w:rsidR="00CE7178" w:rsidRPr="00E528EB" w14:paraId="61F84664" w14:textId="77777777" w:rsidTr="00E528EB">
        <w:tc>
          <w:tcPr>
            <w:tcW w:w="4288" w:type="dxa"/>
          </w:tcPr>
          <w:p w14:paraId="2DC14E8F"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Trastorno del Espectro Autista</w:t>
            </w:r>
          </w:p>
        </w:tc>
        <w:tc>
          <w:tcPr>
            <w:tcW w:w="3082" w:type="dxa"/>
          </w:tcPr>
          <w:p w14:paraId="6BEF9A1D"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TEA</w:t>
            </w:r>
          </w:p>
        </w:tc>
      </w:tr>
      <w:tr w:rsidR="00CE7178" w:rsidRPr="00E528EB" w14:paraId="5F2D976C" w14:textId="77777777" w:rsidTr="00E528EB">
        <w:tc>
          <w:tcPr>
            <w:tcW w:w="4288" w:type="dxa"/>
          </w:tcPr>
          <w:p w14:paraId="0CB14DE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Unidad Administrativa Especial de Migración Colombia</w:t>
            </w:r>
          </w:p>
        </w:tc>
        <w:tc>
          <w:tcPr>
            <w:tcW w:w="3082" w:type="dxa"/>
          </w:tcPr>
          <w:p w14:paraId="0906A67C"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UAEMC</w:t>
            </w:r>
          </w:p>
        </w:tc>
      </w:tr>
      <w:tr w:rsidR="00CE7178" w:rsidRPr="00E528EB" w14:paraId="4FAF9EBA" w14:textId="77777777" w:rsidTr="00E528EB">
        <w:tc>
          <w:tcPr>
            <w:tcW w:w="4288" w:type="dxa"/>
          </w:tcPr>
          <w:p w14:paraId="7316E2CC"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Unidad de Cuidados Intensivos</w:t>
            </w:r>
          </w:p>
        </w:tc>
        <w:tc>
          <w:tcPr>
            <w:tcW w:w="3082" w:type="dxa"/>
          </w:tcPr>
          <w:p w14:paraId="5007A0C6"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UCI</w:t>
            </w:r>
          </w:p>
        </w:tc>
      </w:tr>
      <w:tr w:rsidR="00CE7178" w:rsidRPr="00E528EB" w14:paraId="4576ED63" w14:textId="77777777" w:rsidTr="00E528EB">
        <w:tc>
          <w:tcPr>
            <w:tcW w:w="4288" w:type="dxa"/>
          </w:tcPr>
          <w:p w14:paraId="1F691466"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Unidad para la Atención y Reparación Integral a las Víctimas</w:t>
            </w:r>
          </w:p>
        </w:tc>
        <w:tc>
          <w:tcPr>
            <w:tcW w:w="3082" w:type="dxa"/>
          </w:tcPr>
          <w:p w14:paraId="1D4043D4"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UARIV</w:t>
            </w:r>
          </w:p>
        </w:tc>
      </w:tr>
      <w:tr w:rsidR="00CE7178" w:rsidRPr="00E528EB" w14:paraId="1464B9F8" w14:textId="77777777" w:rsidTr="00E528EB">
        <w:tc>
          <w:tcPr>
            <w:tcW w:w="4288" w:type="dxa"/>
          </w:tcPr>
          <w:p w14:paraId="7E7DD2D7"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Unidad Especial Nacional de Apoyo</w:t>
            </w:r>
          </w:p>
        </w:tc>
        <w:tc>
          <w:tcPr>
            <w:tcW w:w="3082" w:type="dxa"/>
          </w:tcPr>
          <w:p w14:paraId="3C0E872E"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UENNA</w:t>
            </w:r>
          </w:p>
        </w:tc>
      </w:tr>
      <w:tr w:rsidR="00CE7178" w:rsidRPr="00E528EB" w14:paraId="06D12942" w14:textId="77777777" w:rsidTr="00E528EB">
        <w:tc>
          <w:tcPr>
            <w:tcW w:w="4288" w:type="dxa"/>
          </w:tcPr>
          <w:p w14:paraId="773F12CB"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Unidades de Apoyo y Fortalecimiento a Familias</w:t>
            </w:r>
          </w:p>
        </w:tc>
        <w:tc>
          <w:tcPr>
            <w:tcW w:w="3082" w:type="dxa"/>
          </w:tcPr>
          <w:p w14:paraId="49C0DC53"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UNAFA</w:t>
            </w:r>
          </w:p>
        </w:tc>
      </w:tr>
      <w:tr w:rsidR="00CE7178" w:rsidRPr="00E528EB" w14:paraId="221E7718" w14:textId="77777777" w:rsidTr="00E528EB">
        <w:tc>
          <w:tcPr>
            <w:tcW w:w="4288" w:type="dxa"/>
          </w:tcPr>
          <w:p w14:paraId="212878EF"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Unidad Nacional de Diálogo y Mantenimiento del Orden</w:t>
            </w:r>
          </w:p>
        </w:tc>
        <w:tc>
          <w:tcPr>
            <w:tcW w:w="3082" w:type="dxa"/>
          </w:tcPr>
          <w:p w14:paraId="28B425E4"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UNDMO</w:t>
            </w:r>
          </w:p>
        </w:tc>
      </w:tr>
      <w:tr w:rsidR="00CE7178" w:rsidRPr="00E528EB" w14:paraId="0B4E13CC" w14:textId="77777777" w:rsidTr="00E528EB">
        <w:tc>
          <w:tcPr>
            <w:tcW w:w="4288" w:type="dxa"/>
          </w:tcPr>
          <w:p w14:paraId="05CB9057"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Unidad Nacional para la Gestión del Riesgo de Desastres</w:t>
            </w:r>
          </w:p>
        </w:tc>
        <w:tc>
          <w:tcPr>
            <w:tcW w:w="3082" w:type="dxa"/>
          </w:tcPr>
          <w:p w14:paraId="6D6D0B0E"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UNGRD</w:t>
            </w:r>
          </w:p>
        </w:tc>
      </w:tr>
      <w:tr w:rsidR="00CE7178" w:rsidRPr="00E528EB" w14:paraId="370F22C5" w14:textId="77777777" w:rsidTr="00E528EB">
        <w:tc>
          <w:tcPr>
            <w:tcW w:w="4288" w:type="dxa"/>
          </w:tcPr>
          <w:p w14:paraId="4D5A2863"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Unidad de Pago por Capitación</w:t>
            </w:r>
          </w:p>
        </w:tc>
        <w:tc>
          <w:tcPr>
            <w:tcW w:w="3082" w:type="dxa"/>
          </w:tcPr>
          <w:p w14:paraId="16CC4F6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UPC</w:t>
            </w:r>
          </w:p>
        </w:tc>
      </w:tr>
      <w:tr w:rsidR="00CE7178" w:rsidRPr="00E528EB" w14:paraId="402AC11D" w14:textId="77777777" w:rsidTr="00E528EB">
        <w:tc>
          <w:tcPr>
            <w:tcW w:w="4288" w:type="dxa"/>
          </w:tcPr>
          <w:p w14:paraId="5AB5BF2C"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Unidad De Servicios Penitenciarios y Carcelarios</w:t>
            </w:r>
          </w:p>
        </w:tc>
        <w:tc>
          <w:tcPr>
            <w:tcW w:w="3082" w:type="dxa"/>
          </w:tcPr>
          <w:p w14:paraId="0973F280"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USPEC</w:t>
            </w:r>
          </w:p>
        </w:tc>
      </w:tr>
      <w:tr w:rsidR="00CE7178" w:rsidRPr="00E528EB" w14:paraId="7F331A14" w14:textId="77777777" w:rsidTr="00E528EB">
        <w:tc>
          <w:tcPr>
            <w:tcW w:w="4288" w:type="dxa"/>
          </w:tcPr>
          <w:p w14:paraId="433F3A3F"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Violencia Intrafamiliar</w:t>
            </w:r>
          </w:p>
        </w:tc>
        <w:tc>
          <w:tcPr>
            <w:tcW w:w="3082" w:type="dxa"/>
          </w:tcPr>
          <w:p w14:paraId="6BAA4C04"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VIF</w:t>
            </w:r>
          </w:p>
        </w:tc>
      </w:tr>
      <w:tr w:rsidR="00CE7178" w:rsidRPr="00E528EB" w14:paraId="1E268707" w14:textId="77777777" w:rsidTr="00E528EB">
        <w:tc>
          <w:tcPr>
            <w:tcW w:w="4288" w:type="dxa"/>
          </w:tcPr>
          <w:p w14:paraId="667C6F5E"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 xml:space="preserve">Web Content </w:t>
            </w:r>
            <w:proofErr w:type="spellStart"/>
            <w:r w:rsidRPr="00E528EB">
              <w:rPr>
                <w:rFonts w:ascii="Times New Roman" w:hAnsi="Times New Roman" w:cs="Times New Roman"/>
                <w:sz w:val="20"/>
                <w:lang w:val="es-CO" w:eastAsia="ja-JP"/>
              </w:rPr>
              <w:t>Accessibility</w:t>
            </w:r>
            <w:proofErr w:type="spellEnd"/>
            <w:r w:rsidRPr="00E528EB">
              <w:rPr>
                <w:rFonts w:ascii="Times New Roman" w:hAnsi="Times New Roman" w:cs="Times New Roman"/>
                <w:sz w:val="20"/>
                <w:lang w:val="es-CO" w:eastAsia="ja-JP"/>
              </w:rPr>
              <w:t xml:space="preserve"> </w:t>
            </w:r>
            <w:proofErr w:type="spellStart"/>
            <w:r w:rsidRPr="00E528EB">
              <w:rPr>
                <w:rFonts w:ascii="Times New Roman" w:hAnsi="Times New Roman" w:cs="Times New Roman"/>
                <w:sz w:val="20"/>
                <w:lang w:val="es-CO" w:eastAsia="ja-JP"/>
              </w:rPr>
              <w:t>Guidelines</w:t>
            </w:r>
            <w:proofErr w:type="spellEnd"/>
          </w:p>
        </w:tc>
        <w:tc>
          <w:tcPr>
            <w:tcW w:w="3082" w:type="dxa"/>
          </w:tcPr>
          <w:p w14:paraId="4EC95DF6"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WCAG</w:t>
            </w:r>
          </w:p>
        </w:tc>
      </w:tr>
      <w:tr w:rsidR="00CE7178" w:rsidRPr="00E528EB" w14:paraId="54E6A716" w14:textId="77777777" w:rsidTr="00E528EB">
        <w:tc>
          <w:tcPr>
            <w:tcW w:w="4288" w:type="dxa"/>
            <w:tcBorders>
              <w:bottom w:val="single" w:sz="12" w:space="0" w:color="auto"/>
            </w:tcBorders>
          </w:tcPr>
          <w:p w14:paraId="4716D728"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 xml:space="preserve">World Wide Web </w:t>
            </w:r>
            <w:proofErr w:type="spellStart"/>
            <w:r w:rsidRPr="00E528EB">
              <w:rPr>
                <w:rFonts w:ascii="Times New Roman" w:hAnsi="Times New Roman" w:cs="Times New Roman"/>
                <w:sz w:val="20"/>
                <w:lang w:val="es-CO" w:eastAsia="ja-JP"/>
              </w:rPr>
              <w:t>Consortium</w:t>
            </w:r>
            <w:proofErr w:type="spellEnd"/>
          </w:p>
        </w:tc>
        <w:tc>
          <w:tcPr>
            <w:tcW w:w="3082" w:type="dxa"/>
            <w:tcBorders>
              <w:bottom w:val="single" w:sz="12" w:space="0" w:color="auto"/>
            </w:tcBorders>
          </w:tcPr>
          <w:p w14:paraId="5248FB89" w14:textId="77777777" w:rsidR="00CE7178" w:rsidRPr="00E528EB" w:rsidRDefault="00CE7178" w:rsidP="00E528EB">
            <w:pPr>
              <w:spacing w:before="40" w:after="120"/>
              <w:ind w:right="113"/>
              <w:rPr>
                <w:rFonts w:ascii="Times New Roman" w:hAnsi="Times New Roman" w:cs="Times New Roman"/>
                <w:sz w:val="20"/>
                <w:lang w:val="es-CO" w:eastAsia="ja-JP"/>
              </w:rPr>
            </w:pPr>
            <w:r w:rsidRPr="00E528EB">
              <w:rPr>
                <w:rFonts w:ascii="Times New Roman" w:hAnsi="Times New Roman" w:cs="Times New Roman"/>
                <w:sz w:val="20"/>
                <w:lang w:val="es-CO" w:eastAsia="ja-JP"/>
              </w:rPr>
              <w:t>W3C</w:t>
            </w:r>
          </w:p>
        </w:tc>
      </w:tr>
    </w:tbl>
    <w:p w14:paraId="2FA4DB8C" w14:textId="77777777" w:rsidR="00CE7178" w:rsidRPr="00CE7178" w:rsidRDefault="00CE7178" w:rsidP="00CE7178">
      <w:pPr>
        <w:spacing w:line="279" w:lineRule="auto"/>
        <w:contextualSpacing/>
        <w:jc w:val="both"/>
        <w:rPr>
          <w:rFonts w:ascii="Verdana" w:eastAsia="SimSun" w:hAnsi="Verdana" w:cs="Arial"/>
          <w:sz w:val="24"/>
          <w:szCs w:val="24"/>
          <w:lang w:eastAsia="ja-JP"/>
        </w:rPr>
      </w:pPr>
    </w:p>
    <w:p w14:paraId="4C5D3CEC" w14:textId="4D4B65AC" w:rsidR="00381C24" w:rsidRPr="00CE7178" w:rsidRDefault="00CE7178" w:rsidP="00CE7178">
      <w:pPr>
        <w:suppressAutoHyphens/>
        <w:spacing w:before="240"/>
        <w:ind w:left="1134" w:right="1134"/>
        <w:jc w:val="center"/>
        <w:rPr>
          <w:u w:val="single"/>
        </w:rPr>
      </w:pPr>
      <w:r>
        <w:rPr>
          <w:u w:val="single"/>
        </w:rPr>
        <w:tab/>
      </w:r>
      <w:r>
        <w:rPr>
          <w:u w:val="single"/>
        </w:rPr>
        <w:tab/>
      </w:r>
      <w:r>
        <w:rPr>
          <w:u w:val="single"/>
        </w:rPr>
        <w:tab/>
      </w:r>
      <w:r>
        <w:rPr>
          <w:u w:val="single"/>
        </w:rPr>
        <w:tab/>
      </w:r>
    </w:p>
    <w:sectPr w:rsidR="00381C24" w:rsidRPr="00CE7178" w:rsidSect="00E56EE3">
      <w:headerReference w:type="even" r:id="rId11"/>
      <w:headerReference w:type="default" r:id="rId12"/>
      <w:footerReference w:type="even" r:id="rId13"/>
      <w:footerReference w:type="default" r:id="rId14"/>
      <w:headerReference w:type="firs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0C941" w14:textId="77777777" w:rsidR="00D013B5" w:rsidRDefault="00D013B5">
      <w:r>
        <w:separator/>
      </w:r>
    </w:p>
  </w:endnote>
  <w:endnote w:type="continuationSeparator" w:id="0">
    <w:p w14:paraId="27469850" w14:textId="77777777" w:rsidR="00D013B5" w:rsidRDefault="00D01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90438" w14:textId="2CBE9D1E" w:rsidR="001A4396" w:rsidRPr="001A4396" w:rsidRDefault="008A69CB"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71414">
      <w:rPr>
        <w:b/>
        <w:noProof/>
        <w:sz w:val="18"/>
      </w:rPr>
      <w:t>2</w:t>
    </w:r>
    <w:r w:rsidRPr="001A4396">
      <w:rPr>
        <w:b/>
        <w:sz w:val="18"/>
      </w:rPr>
      <w:fldChar w:fldCharType="end"/>
    </w:r>
    <w:r>
      <w:rPr>
        <w:b/>
        <w:sz w:val="18"/>
      </w:rPr>
      <w:tab/>
    </w:r>
    <w:r w:rsidR="00CE7178" w:rsidRPr="00CE7178">
      <w:rPr>
        <w:bCs/>
        <w:sz w:val="18"/>
      </w:rPr>
      <w:t>GE.26-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F591D" w14:textId="2DD09023" w:rsidR="001A4396" w:rsidRPr="001A4396" w:rsidRDefault="00E528EB" w:rsidP="00935A0B">
    <w:pPr>
      <w:pStyle w:val="Footer"/>
      <w:tabs>
        <w:tab w:val="right" w:pos="9638"/>
      </w:tabs>
      <w:spacing w:line="240" w:lineRule="auto"/>
      <w:rPr>
        <w:b/>
        <w:sz w:val="18"/>
      </w:rPr>
    </w:pPr>
    <w:r w:rsidRPr="00CE7178">
      <w:rPr>
        <w:bCs/>
        <w:sz w:val="18"/>
      </w:rPr>
      <w:t>GE.26-</w:t>
    </w:r>
    <w:r w:rsidR="008A69CB">
      <w:tab/>
    </w:r>
    <w:r w:rsidR="008A69CB" w:rsidRPr="001A4396">
      <w:rPr>
        <w:b/>
        <w:sz w:val="18"/>
      </w:rPr>
      <w:fldChar w:fldCharType="begin"/>
    </w:r>
    <w:r w:rsidR="008A69CB" w:rsidRPr="001A4396">
      <w:rPr>
        <w:b/>
        <w:sz w:val="18"/>
      </w:rPr>
      <w:instrText xml:space="preserve"> PAGE  \* MERGEFORMAT </w:instrText>
    </w:r>
    <w:r w:rsidR="008A69CB" w:rsidRPr="001A4396">
      <w:rPr>
        <w:b/>
        <w:sz w:val="18"/>
      </w:rPr>
      <w:fldChar w:fldCharType="separate"/>
    </w:r>
    <w:r w:rsidR="009874BF">
      <w:rPr>
        <w:b/>
        <w:noProof/>
        <w:sz w:val="18"/>
      </w:rPr>
      <w:t>3</w:t>
    </w:r>
    <w:r w:rsidR="008A69CB"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B6031" w14:textId="6F606309" w:rsidR="002D4172" w:rsidRPr="00053EA6" w:rsidRDefault="008A69CB" w:rsidP="00521DC1">
    <w:pPr>
      <w:pStyle w:val="Footer"/>
      <w:rPr>
        <w:noProof/>
        <w:sz w:val="20"/>
        <w:lang w:val="fr-FR" w:eastAsia="fr-FR"/>
      </w:rPr>
    </w:pPr>
    <w:r w:rsidRPr="00053EA6">
      <w:rPr>
        <w:sz w:val="20"/>
      </w:rPr>
      <w:t>GE.</w:t>
    </w:r>
    <w:r w:rsidR="00CE7178">
      <w:rPr>
        <w:noProof/>
        <w:sz w:val="20"/>
        <w:lang w:val="fr-FR" w:eastAsia="fr-FR"/>
      </w:rPr>
      <w:t>26-</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86823" w14:paraId="02312BC7" w14:textId="77777777" w:rsidTr="00303190">
      <w:tc>
        <w:tcPr>
          <w:tcW w:w="1848" w:type="dxa"/>
          <w:vAlign w:val="bottom"/>
          <w:hideMark/>
        </w:tcPr>
        <w:p w14:paraId="6EF5F012" w14:textId="77777777" w:rsidR="002D4172" w:rsidRPr="00754B77" w:rsidRDefault="008A69CB" w:rsidP="002D4172">
          <w:pPr>
            <w:kinsoku w:val="0"/>
            <w:overflowPunct w:val="0"/>
            <w:autoSpaceDE w:val="0"/>
            <w:autoSpaceDN w:val="0"/>
            <w:adjustRightInd w:val="0"/>
            <w:snapToGrid w:val="0"/>
            <w:spacing w:before="120" w:after="120" w:line="240" w:lineRule="auto"/>
            <w:jc w:val="right"/>
            <w:rPr>
              <w:sz w:val="16"/>
              <w:lang w:val="fr-CH"/>
            </w:rPr>
          </w:pPr>
          <w:r w:rsidRPr="002D4172">
            <w:rPr>
              <w:noProof/>
              <w:sz w:val="16"/>
              <w:lang w:eastAsia="zh-CN"/>
            </w:rPr>
            <w:drawing>
              <wp:inline distT="0" distB="0" distL="0" distR="0" wp14:anchorId="7A14334D" wp14:editId="7400F7EC">
                <wp:extent cx="1076400" cy="230400"/>
                <wp:effectExtent l="0" t="0" r="0" b="0"/>
                <wp:docPr id="1907520058"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inline>
            </w:drawing>
          </w:r>
        </w:p>
      </w:tc>
      <w:tc>
        <w:tcPr>
          <w:tcW w:w="1274" w:type="dxa"/>
        </w:tcPr>
        <w:p w14:paraId="6C07CC30" w14:textId="77777777" w:rsidR="002D4172" w:rsidRPr="00754B77" w:rsidRDefault="002D4172" w:rsidP="002D4172">
          <w:pPr>
            <w:kinsoku w:val="0"/>
            <w:overflowPunct w:val="0"/>
            <w:autoSpaceDE w:val="0"/>
            <w:autoSpaceDN w:val="0"/>
            <w:adjustRightInd w:val="0"/>
            <w:snapToGrid w:val="0"/>
            <w:spacing w:line="240" w:lineRule="auto"/>
            <w:jc w:val="right"/>
            <w:rPr>
              <w:sz w:val="16"/>
              <w:lang w:val="fr-CH"/>
            </w:rPr>
          </w:pPr>
        </w:p>
      </w:tc>
    </w:tr>
  </w:tbl>
  <w:p w14:paraId="336918C8" w14:textId="77777777" w:rsidR="00A86F80" w:rsidRPr="002A02C6" w:rsidRDefault="00A86F80" w:rsidP="0052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BE8C0" w14:textId="77777777" w:rsidR="00D013B5" w:rsidRPr="001075E9" w:rsidRDefault="00D013B5" w:rsidP="001075E9">
      <w:pPr>
        <w:tabs>
          <w:tab w:val="right" w:pos="2155"/>
        </w:tabs>
        <w:spacing w:after="80" w:line="240" w:lineRule="auto"/>
        <w:ind w:left="680"/>
        <w:rPr>
          <w:u w:val="single"/>
        </w:rPr>
      </w:pPr>
      <w:r>
        <w:rPr>
          <w:u w:val="single"/>
        </w:rPr>
        <w:tab/>
      </w:r>
    </w:p>
  </w:footnote>
  <w:footnote w:type="continuationSeparator" w:id="0">
    <w:p w14:paraId="5220A939" w14:textId="77777777" w:rsidR="00D013B5" w:rsidRDefault="00D013B5" w:rsidP="00407B78">
      <w:pPr>
        <w:tabs>
          <w:tab w:val="right" w:pos="2155"/>
        </w:tabs>
        <w:spacing w:after="80"/>
        <w:ind w:left="680"/>
        <w:rPr>
          <w:u w:val="single"/>
        </w:rPr>
      </w:pPr>
      <w:r>
        <w:rPr>
          <w:u w:val="single"/>
        </w:rPr>
        <w:tab/>
      </w:r>
    </w:p>
  </w:footnote>
  <w:footnote w:id="1">
    <w:p w14:paraId="643408C0" w14:textId="77777777" w:rsidR="008346E4" w:rsidRPr="0043216B" w:rsidRDefault="008A69CB" w:rsidP="008346E4">
      <w:pPr>
        <w:pStyle w:val="FootnoteText"/>
        <w:rPr>
          <w:sz w:val="20"/>
        </w:rPr>
      </w:pPr>
      <w:r>
        <w:tab/>
      </w:r>
      <w:r w:rsidRPr="0043216B">
        <w:rPr>
          <w:rStyle w:val="FootnoteReference"/>
          <w:sz w:val="20"/>
          <w:vertAlign w:val="baseline"/>
        </w:rPr>
        <w:t>*</w:t>
      </w:r>
      <w:r w:rsidRPr="0043216B">
        <w:rPr>
          <w:rStyle w:val="FootnoteReference"/>
          <w:vertAlign w:val="baseline"/>
        </w:rPr>
        <w:tab/>
      </w:r>
      <w:r w:rsidR="00822D45">
        <w:t>El presente documento se publica sin haber sido objeto de revisión editorial oficial</w:t>
      </w:r>
      <w:r w:rsidRPr="0043216B">
        <w:t>.</w:t>
      </w:r>
    </w:p>
  </w:footnote>
  <w:footnote w:id="2">
    <w:p w14:paraId="62875A8E" w14:textId="77777777" w:rsidR="00CE7178" w:rsidRPr="00626625" w:rsidRDefault="00CE7178" w:rsidP="00CE7178">
      <w:pPr>
        <w:pStyle w:val="FootnoteText"/>
        <w:jc w:val="both"/>
      </w:pPr>
      <w:r w:rsidRPr="24F5259F">
        <w:rPr>
          <w:rStyle w:val="FootnoteReference"/>
        </w:rPr>
        <w:footnoteRef/>
      </w:r>
      <w:r w:rsidRPr="24F5259F">
        <w:t xml:space="preserve"> </w:t>
      </w:r>
      <w:r w:rsidRPr="00CE7178">
        <w:rPr>
          <w:color w:val="000000"/>
        </w:rPr>
        <w:t>El documento presenta respuestas numeradas que se corresponden con la numeración de preguntas de la lista de cuestiones CRPD/C/COL/Q/2-4. El documento contiene un anexo con la lista de abreviaturas.</w:t>
      </w:r>
    </w:p>
  </w:footnote>
  <w:footnote w:id="3">
    <w:p w14:paraId="7DA9EB79" w14:textId="77777777" w:rsidR="00CE7178" w:rsidRDefault="00CE7178" w:rsidP="00CE7178">
      <w:pPr>
        <w:pStyle w:val="FootnoteText"/>
      </w:pPr>
      <w:r w:rsidRPr="31EEB11A">
        <w:rPr>
          <w:rStyle w:val="FootnoteReference"/>
        </w:rPr>
        <w:footnoteRef/>
      </w:r>
      <w:r>
        <w:t xml:space="preserve"> 2026-2035.</w:t>
      </w:r>
    </w:p>
  </w:footnote>
  <w:footnote w:id="4">
    <w:p w14:paraId="7ABB84C1" w14:textId="77777777" w:rsidR="00CE7178" w:rsidRDefault="00CE7178" w:rsidP="00CE7178">
      <w:pPr>
        <w:pStyle w:val="FootnoteText"/>
      </w:pPr>
      <w:r w:rsidRPr="31EEB11A">
        <w:rPr>
          <w:rStyle w:val="FootnoteReference"/>
        </w:rPr>
        <w:footnoteRef/>
      </w:r>
      <w:r>
        <w:t xml:space="preserve"> </w:t>
      </w:r>
      <w:r w:rsidRPr="31EEB11A">
        <w:t>"Colombia, Potencia Mundial de la Vida".</w:t>
      </w:r>
    </w:p>
  </w:footnote>
  <w:footnote w:id="5">
    <w:p w14:paraId="06E0CD70" w14:textId="77777777" w:rsidR="00CE7178" w:rsidRDefault="00CE7178" w:rsidP="00CE7178">
      <w:pPr>
        <w:pStyle w:val="FootnoteText"/>
      </w:pPr>
      <w:r w:rsidRPr="5D799356">
        <w:rPr>
          <w:rStyle w:val="FootnoteReference"/>
        </w:rPr>
        <w:footnoteRef/>
      </w:r>
      <w:r>
        <w:t xml:space="preserve"> CONPES 4198.</w:t>
      </w:r>
    </w:p>
  </w:footnote>
  <w:footnote w:id="6">
    <w:p w14:paraId="7935F5C2" w14:textId="77777777" w:rsidR="00CE7178" w:rsidRPr="00731EDB" w:rsidRDefault="00CE7178" w:rsidP="00CE7178">
      <w:pPr>
        <w:pStyle w:val="FootnoteText"/>
        <w:jc w:val="both"/>
      </w:pPr>
      <w:r>
        <w:rPr>
          <w:rStyle w:val="FootnoteReference"/>
        </w:rPr>
        <w:footnoteRef/>
      </w:r>
      <w:r>
        <w:t xml:space="preserve"> La JEP participa como invitada permanente en el CND y desarrolla acciones de articulación con organizaciones de sociedad civil, para fortalecer la accesibilidad y participación en la administración de justicia.</w:t>
      </w:r>
    </w:p>
  </w:footnote>
  <w:footnote w:id="7">
    <w:p w14:paraId="26221CE6" w14:textId="77777777" w:rsidR="00CE7178" w:rsidRDefault="00CE7178" w:rsidP="00CE7178">
      <w:pPr>
        <w:pStyle w:val="FootnoteText"/>
      </w:pPr>
      <w:r w:rsidRPr="24F5259F">
        <w:rPr>
          <w:rStyle w:val="FootnoteReference"/>
        </w:rPr>
        <w:footnoteRef/>
      </w:r>
      <w:r>
        <w:t xml:space="preserve"> </w:t>
      </w:r>
      <w:r w:rsidRPr="24F5259F">
        <w:t>Sentencias C-458/2015, C-147/2017.</w:t>
      </w:r>
    </w:p>
  </w:footnote>
  <w:footnote w:id="8">
    <w:p w14:paraId="05BB5C21" w14:textId="77777777" w:rsidR="00CE7178" w:rsidRDefault="00CE7178" w:rsidP="00CE7178">
      <w:pPr>
        <w:pStyle w:val="FootnoteText"/>
      </w:pPr>
      <w:r w:rsidRPr="4C85F234">
        <w:rPr>
          <w:rStyle w:val="FootnoteReference"/>
        </w:rPr>
        <w:footnoteRef/>
      </w:r>
      <w:r w:rsidRPr="00E92A00">
        <w:t xml:space="preserve"> </w:t>
      </w:r>
      <w:r w:rsidRPr="4C85F234">
        <w:t>Ley 2562 de 2025.</w:t>
      </w:r>
    </w:p>
  </w:footnote>
  <w:footnote w:id="9">
    <w:p w14:paraId="7FCA16C8" w14:textId="77777777" w:rsidR="00CE7178" w:rsidRDefault="00CE7178" w:rsidP="00CE7178">
      <w:pPr>
        <w:pStyle w:val="FootnoteText"/>
      </w:pPr>
      <w:r w:rsidRPr="1D03590A">
        <w:rPr>
          <w:rStyle w:val="FootnoteReference"/>
        </w:rPr>
        <w:footnoteRef/>
      </w:r>
      <w:r>
        <w:t xml:space="preserve"> De conformidad con la Resolución 2765 de 2025.</w:t>
      </w:r>
    </w:p>
  </w:footnote>
  <w:footnote w:id="10">
    <w:p w14:paraId="06D8EAB9" w14:textId="77777777" w:rsidR="00CE7178" w:rsidRPr="00F66703" w:rsidRDefault="00CE7178" w:rsidP="00CE7178">
      <w:pPr>
        <w:pStyle w:val="FootnoteText"/>
      </w:pPr>
      <w:r>
        <w:rPr>
          <w:rStyle w:val="FootnoteReference"/>
        </w:rPr>
        <w:footnoteRef/>
      </w:r>
      <w:r>
        <w:t xml:space="preserve"> C</w:t>
      </w:r>
      <w:r w:rsidRPr="24F5259F">
        <w:t>on presencia en las 33 regionales y 5.181 unidades activas</w:t>
      </w:r>
      <w:r>
        <w:t>.</w:t>
      </w:r>
    </w:p>
  </w:footnote>
  <w:footnote w:id="11">
    <w:p w14:paraId="4AB17C9E" w14:textId="77777777" w:rsidR="00CE7178" w:rsidRPr="00E92A00" w:rsidRDefault="00CE7178" w:rsidP="00CE7178">
      <w:pPr>
        <w:pStyle w:val="FootnoteText"/>
      </w:pPr>
      <w:r w:rsidRPr="4C85F234">
        <w:rPr>
          <w:rStyle w:val="FootnoteReference"/>
        </w:rPr>
        <w:footnoteRef/>
      </w:r>
      <w:r w:rsidRPr="00E92A00">
        <w:t xml:space="preserve"> Artículo 26. </w:t>
      </w:r>
    </w:p>
  </w:footnote>
  <w:footnote w:id="12">
    <w:p w14:paraId="1606A932" w14:textId="77777777" w:rsidR="00CE7178" w:rsidRPr="00E92A00" w:rsidRDefault="00CE7178" w:rsidP="00CE7178">
      <w:pPr>
        <w:pStyle w:val="FootnoteText"/>
      </w:pPr>
      <w:r w:rsidRPr="4C85F234">
        <w:rPr>
          <w:rStyle w:val="FootnoteReference"/>
        </w:rPr>
        <w:footnoteRef/>
      </w:r>
      <w:r w:rsidRPr="00E92A00">
        <w:t xml:space="preserve"> </w:t>
      </w:r>
      <w:r w:rsidRPr="4C85F234">
        <w:rPr>
          <w:szCs w:val="18"/>
        </w:rPr>
        <w:t>Reclutamiento y utilización de niñas y niños en el conflicto armado.</w:t>
      </w:r>
    </w:p>
  </w:footnote>
  <w:footnote w:id="13">
    <w:p w14:paraId="189596F1" w14:textId="77777777" w:rsidR="00CE7178" w:rsidRPr="00E92A00" w:rsidRDefault="00CE7178" w:rsidP="00CE7178">
      <w:pPr>
        <w:pStyle w:val="FootnoteText"/>
      </w:pPr>
      <w:r w:rsidRPr="4C85F234">
        <w:rPr>
          <w:rStyle w:val="FootnoteReference"/>
        </w:rPr>
        <w:footnoteRef/>
      </w:r>
      <w:r w:rsidRPr="00E92A00">
        <w:t xml:space="preserve"> Red universitaria integrada por 151 facultades de derecho.</w:t>
      </w:r>
    </w:p>
  </w:footnote>
  <w:footnote w:id="14">
    <w:p w14:paraId="3DCC62BC" w14:textId="77777777" w:rsidR="00CE7178" w:rsidRDefault="00CE7178" w:rsidP="00CE7178">
      <w:pPr>
        <w:pStyle w:val="FootnoteText"/>
      </w:pPr>
      <w:r w:rsidRPr="4C85F234">
        <w:rPr>
          <w:rStyle w:val="FootnoteReference"/>
        </w:rPr>
        <w:footnoteRef/>
      </w:r>
      <w:r w:rsidRPr="00E92A00">
        <w:t xml:space="preserve"> </w:t>
      </w:r>
      <w:r w:rsidRPr="4C85F234">
        <w:t>En implementación de la Ley 324 de 1996.</w:t>
      </w:r>
    </w:p>
  </w:footnote>
  <w:footnote w:id="15">
    <w:p w14:paraId="64F48F33" w14:textId="77777777" w:rsidR="00CE7178" w:rsidRDefault="00CE7178" w:rsidP="00CE7178">
      <w:pPr>
        <w:pStyle w:val="FootnoteText"/>
      </w:pPr>
      <w:r w:rsidRPr="31EEB11A">
        <w:rPr>
          <w:rStyle w:val="FootnoteReference"/>
        </w:rPr>
        <w:footnoteRef/>
      </w:r>
      <w:r>
        <w:t xml:space="preserve"> </w:t>
      </w:r>
      <w:r w:rsidRPr="31EEB11A">
        <w:t>“Lineamientos para la incorporación del enfoque diferencial en la gestión del riesgo de desastres con enfoque de interseccionalidad”.</w:t>
      </w:r>
    </w:p>
  </w:footnote>
  <w:footnote w:id="16">
    <w:p w14:paraId="15268D9E" w14:textId="77777777" w:rsidR="00CE7178" w:rsidRDefault="00CE7178" w:rsidP="00CE7178">
      <w:pPr>
        <w:pStyle w:val="FootnoteText"/>
        <w:rPr>
          <w:sz w:val="22"/>
          <w:szCs w:val="22"/>
        </w:rPr>
      </w:pPr>
      <w:r w:rsidRPr="4C85F234">
        <w:rPr>
          <w:rStyle w:val="FootnoteReference"/>
        </w:rPr>
        <w:footnoteRef/>
      </w:r>
      <w:r w:rsidRPr="00E92A00">
        <w:t xml:space="preserve"> </w:t>
      </w:r>
      <w:r w:rsidRPr="4C85F234">
        <w:t>Directivas 005 y 008 de 2020.</w:t>
      </w:r>
    </w:p>
  </w:footnote>
  <w:footnote w:id="17">
    <w:p w14:paraId="0313A412" w14:textId="77777777" w:rsidR="00CE7178" w:rsidRPr="00A85350" w:rsidRDefault="00CE7178" w:rsidP="00CE7178">
      <w:pPr>
        <w:pStyle w:val="FootnoteText"/>
        <w:jc w:val="both"/>
      </w:pPr>
      <w:r>
        <w:rPr>
          <w:rStyle w:val="FootnoteReference"/>
        </w:rPr>
        <w:footnoteRef/>
      </w:r>
      <w:r>
        <w:t xml:space="preserve"> </w:t>
      </w:r>
      <w:r w:rsidRPr="00971684">
        <w:t>Estas acciones incluyen procesos permanentes de sensibilización, gestión del conocimiento y fortalecimiento de capacidades dirigidos a servidoras, servidores, contratistas y actores vinculados a la implementación del Acuerdo Final, orientados a prevenir la discriminación y eliminar estereotipos asociados a la discapacidad.</w:t>
      </w:r>
    </w:p>
  </w:footnote>
  <w:footnote w:id="18">
    <w:p w14:paraId="2389E676" w14:textId="77777777" w:rsidR="00CE7178" w:rsidRDefault="00CE7178" w:rsidP="00CE7178">
      <w:pPr>
        <w:pStyle w:val="FootnoteText"/>
      </w:pPr>
      <w:r w:rsidRPr="1D03590A">
        <w:rPr>
          <w:rStyle w:val="FootnoteReference"/>
        </w:rPr>
        <w:footnoteRef/>
      </w:r>
      <w:r>
        <w:t xml:space="preserve"> Aplicadas en Bogotá, Bucaramanga, Barranquilla, Medellín y Villavicencio</w:t>
      </w:r>
    </w:p>
  </w:footnote>
  <w:footnote w:id="19">
    <w:p w14:paraId="7C5AFEE1" w14:textId="77777777" w:rsidR="00CE7178" w:rsidRDefault="00CE7178" w:rsidP="00CE7178">
      <w:pPr>
        <w:pStyle w:val="FootnoteText"/>
      </w:pPr>
      <w:r w:rsidRPr="24F5259F">
        <w:rPr>
          <w:rStyle w:val="FootnoteReference"/>
        </w:rPr>
        <w:footnoteRef/>
      </w:r>
      <w:r>
        <w:t xml:space="preserve"> Artículo 14.</w:t>
      </w:r>
    </w:p>
  </w:footnote>
  <w:footnote w:id="20">
    <w:p w14:paraId="49F0EF8E" w14:textId="77777777" w:rsidR="00CE7178" w:rsidRDefault="00CE7178" w:rsidP="00CE7178">
      <w:pPr>
        <w:pStyle w:val="FootnoteText"/>
        <w:rPr>
          <w:sz w:val="22"/>
          <w:szCs w:val="22"/>
        </w:rPr>
      </w:pPr>
      <w:r w:rsidRPr="4C85F234">
        <w:rPr>
          <w:rStyle w:val="FootnoteReference"/>
        </w:rPr>
        <w:footnoteRef/>
      </w:r>
      <w:r w:rsidRPr="00E92A00">
        <w:rPr>
          <w:b/>
          <w:bCs/>
        </w:rPr>
        <w:t xml:space="preserve"> </w:t>
      </w:r>
      <w:r w:rsidRPr="4C85F234">
        <w:rPr>
          <w:sz w:val="22"/>
          <w:szCs w:val="22"/>
        </w:rPr>
        <w:t>Circular PCSJC17-12 de 2017.</w:t>
      </w:r>
    </w:p>
  </w:footnote>
  <w:footnote w:id="21">
    <w:p w14:paraId="3B22F121" w14:textId="77777777" w:rsidR="00CE7178" w:rsidRDefault="00CE7178" w:rsidP="00CE7178">
      <w:pPr>
        <w:pStyle w:val="FootnoteText"/>
      </w:pPr>
      <w:r w:rsidRPr="1D03590A">
        <w:rPr>
          <w:rStyle w:val="FootnoteReference"/>
        </w:rPr>
        <w:footnoteRef/>
      </w:r>
      <w:r>
        <w:t xml:space="preserve"> </w:t>
      </w:r>
      <w:r w:rsidRPr="1D03590A">
        <w:t>Bogotá, Guainía, Huila, Norte de Santander, Santander y Vaupés.</w:t>
      </w:r>
    </w:p>
  </w:footnote>
  <w:footnote w:id="22">
    <w:p w14:paraId="468950F6" w14:textId="77777777" w:rsidR="00CE7178" w:rsidRPr="00A85350" w:rsidRDefault="00CE7178" w:rsidP="00CE7178">
      <w:pPr>
        <w:pStyle w:val="FootnoteText"/>
        <w:jc w:val="both"/>
      </w:pPr>
      <w:r>
        <w:rPr>
          <w:rStyle w:val="FootnoteReference"/>
        </w:rPr>
        <w:footnoteRef/>
      </w:r>
      <w:r>
        <w:t xml:space="preserve"> </w:t>
      </w:r>
      <w:r w:rsidRPr="00971684">
        <w:t>La identificación de personas con discapacidad se realiza mediante el cruce de registros administrativos e información disponible en los expedientes judiciales, lo que permite establecer la existencia de la condición de discapacidad, sin que en todos los casos sea posible determinar su origen o relación con los hechos investigados.</w:t>
      </w:r>
    </w:p>
  </w:footnote>
  <w:footnote w:id="23">
    <w:p w14:paraId="1CF3BC45" w14:textId="77777777" w:rsidR="00CE7178" w:rsidRDefault="00CE7178" w:rsidP="00CE7178">
      <w:pPr>
        <w:pStyle w:val="FootnoteText"/>
      </w:pPr>
      <w:r w:rsidRPr="4C85F234">
        <w:rPr>
          <w:rStyle w:val="FootnoteReference"/>
        </w:rPr>
        <w:footnoteRef/>
      </w:r>
      <w:r w:rsidRPr="00E92A00">
        <w:t xml:space="preserve"> E</w:t>
      </w:r>
      <w:r w:rsidRPr="4C85F234">
        <w:t>n cumplimiento de la Ley 2205 de 2022.</w:t>
      </w:r>
    </w:p>
  </w:footnote>
  <w:footnote w:id="24">
    <w:p w14:paraId="4D8A60CF" w14:textId="77777777" w:rsidR="00CE7178" w:rsidRDefault="00CE7178" w:rsidP="00CE7178">
      <w:pPr>
        <w:pStyle w:val="FootnoteText"/>
      </w:pPr>
      <w:r w:rsidRPr="4C85F234">
        <w:rPr>
          <w:rStyle w:val="FootnoteReference"/>
        </w:rPr>
        <w:footnoteRef/>
      </w:r>
      <w:r w:rsidRPr="00E92A00">
        <w:t xml:space="preserve"> </w:t>
      </w:r>
      <w:r w:rsidRPr="4C85F234">
        <w:t>Resolución 01774 de 2016.</w:t>
      </w:r>
    </w:p>
  </w:footnote>
  <w:footnote w:id="25">
    <w:p w14:paraId="50B0B273" w14:textId="77777777" w:rsidR="00CE7178" w:rsidRPr="00E92A00" w:rsidRDefault="00CE7178" w:rsidP="00CE7178">
      <w:pPr>
        <w:pStyle w:val="FootnoteText"/>
        <w:rPr>
          <w:sz w:val="22"/>
          <w:szCs w:val="22"/>
        </w:rPr>
      </w:pPr>
      <w:r w:rsidRPr="4C85F234">
        <w:rPr>
          <w:rStyle w:val="FootnoteReference"/>
        </w:rPr>
        <w:footnoteRef/>
      </w:r>
      <w:r w:rsidRPr="00E92A00">
        <w:t xml:space="preserve"> R</w:t>
      </w:r>
      <w:r w:rsidRPr="4C85F234">
        <w:t>esolución 383 de 2022.</w:t>
      </w:r>
    </w:p>
  </w:footnote>
  <w:footnote w:id="26">
    <w:p w14:paraId="25BACA09" w14:textId="77777777" w:rsidR="00CE7178" w:rsidRPr="00E92A00" w:rsidRDefault="00CE7178" w:rsidP="00CE7178">
      <w:pPr>
        <w:pStyle w:val="FootnoteText"/>
      </w:pPr>
      <w:r w:rsidRPr="4C85F234">
        <w:rPr>
          <w:rStyle w:val="FootnoteReference"/>
        </w:rPr>
        <w:footnoteRef/>
      </w:r>
      <w:r w:rsidRPr="00E92A00">
        <w:t xml:space="preserve"> Artículo 40.</w:t>
      </w:r>
    </w:p>
  </w:footnote>
  <w:footnote w:id="27">
    <w:p w14:paraId="09E57019" w14:textId="77777777" w:rsidR="00CE7178" w:rsidRPr="00B52D15" w:rsidRDefault="00CE7178" w:rsidP="00CE7178">
      <w:pPr>
        <w:pStyle w:val="FootnoteText"/>
      </w:pPr>
      <w:r>
        <w:rPr>
          <w:rStyle w:val="FootnoteReference"/>
        </w:rPr>
        <w:footnoteRef/>
      </w:r>
      <w:r>
        <w:t xml:space="preserve"> 2021.</w:t>
      </w:r>
    </w:p>
  </w:footnote>
  <w:footnote w:id="28">
    <w:p w14:paraId="420A24BB" w14:textId="77777777" w:rsidR="00CE7178" w:rsidRPr="00E92A00" w:rsidRDefault="00CE7178" w:rsidP="00CE7178">
      <w:pPr>
        <w:pStyle w:val="FootnoteText"/>
        <w:rPr>
          <w:sz w:val="22"/>
          <w:szCs w:val="22"/>
        </w:rPr>
      </w:pPr>
      <w:r w:rsidRPr="4C85F234">
        <w:rPr>
          <w:rStyle w:val="FootnoteReference"/>
        </w:rPr>
        <w:footnoteRef/>
      </w:r>
      <w:r w:rsidRPr="00E92A00">
        <w:t xml:space="preserve"> 83 noticias reasignadas y 12 casos previos.</w:t>
      </w:r>
    </w:p>
  </w:footnote>
  <w:footnote w:id="29">
    <w:p w14:paraId="1A2FF5E0" w14:textId="77777777" w:rsidR="00CE7178" w:rsidRDefault="00CE7178" w:rsidP="00CE7178">
      <w:pPr>
        <w:pStyle w:val="FootnoteText"/>
      </w:pPr>
      <w:r w:rsidRPr="24F5259F">
        <w:rPr>
          <w:rStyle w:val="FootnoteReference"/>
        </w:rPr>
        <w:footnoteRef/>
      </w:r>
      <w:r>
        <w:t xml:space="preserve"> L</w:t>
      </w:r>
      <w:r w:rsidRPr="24F5259F">
        <w:t>as dos sentencias relacionadas con el estallido social corresponden a otros delitos.</w:t>
      </w:r>
    </w:p>
  </w:footnote>
  <w:footnote w:id="30">
    <w:p w14:paraId="3CF840FB" w14:textId="77777777" w:rsidR="00CE7178" w:rsidRPr="00B52D15" w:rsidRDefault="00CE7178" w:rsidP="00CE7178">
      <w:pPr>
        <w:pStyle w:val="FootnoteText"/>
      </w:pPr>
      <w:r>
        <w:rPr>
          <w:rStyle w:val="FootnoteReference"/>
        </w:rPr>
        <w:footnoteRef/>
      </w:r>
      <w:r>
        <w:t xml:space="preserve"> </w:t>
      </w:r>
      <w:r w:rsidRPr="00CE7178">
        <w:rPr>
          <w:color w:val="000000"/>
        </w:rPr>
        <w:t>En 27 departamentos y Bogotá.</w:t>
      </w:r>
    </w:p>
  </w:footnote>
  <w:footnote w:id="31">
    <w:p w14:paraId="1AE1B647" w14:textId="77777777" w:rsidR="00CE7178" w:rsidRPr="00E92A00" w:rsidRDefault="00CE7178" w:rsidP="00CE7178">
      <w:pPr>
        <w:pStyle w:val="FootnoteText"/>
      </w:pPr>
      <w:r w:rsidRPr="4C85F234">
        <w:rPr>
          <w:rStyle w:val="FootnoteReference"/>
        </w:rPr>
        <w:footnoteRef/>
      </w:r>
      <w:r w:rsidRPr="00E92A00">
        <w:t xml:space="preserve"> Artículo 339.</w:t>
      </w:r>
    </w:p>
  </w:footnote>
  <w:footnote w:id="32">
    <w:p w14:paraId="601A7425" w14:textId="77777777" w:rsidR="00CE7178" w:rsidRPr="00580C29" w:rsidRDefault="00CE7178" w:rsidP="00CE7178">
      <w:pPr>
        <w:pStyle w:val="FootnoteText"/>
      </w:pPr>
      <w:r>
        <w:rPr>
          <w:rStyle w:val="FootnoteReference"/>
        </w:rPr>
        <w:footnoteRef/>
      </w:r>
      <w:r>
        <w:t xml:space="preserve"> </w:t>
      </w:r>
      <w:r w:rsidRPr="00CE7178">
        <w:rPr>
          <w:color w:val="000000"/>
        </w:rPr>
        <w:t>Está en trámite un lineamiento sobre capacidad legal y ajustes razonables en salud.</w:t>
      </w:r>
    </w:p>
  </w:footnote>
  <w:footnote w:id="33">
    <w:p w14:paraId="71E68BAD" w14:textId="77777777" w:rsidR="00CE7178" w:rsidRPr="00281A6B" w:rsidRDefault="00CE7178" w:rsidP="00CE7178">
      <w:pPr>
        <w:pStyle w:val="FootnoteText"/>
      </w:pPr>
      <w:r>
        <w:rPr>
          <w:rStyle w:val="FootnoteReference"/>
        </w:rPr>
        <w:footnoteRef/>
      </w:r>
      <w:r w:rsidRPr="00281A6B">
        <w:t xml:space="preserve"> </w:t>
      </w:r>
      <w:r>
        <w:t>Conforme al artículo 13 de la Ley 1448 de 2011.</w:t>
      </w:r>
    </w:p>
  </w:footnote>
  <w:footnote w:id="34">
    <w:p w14:paraId="34895CB1" w14:textId="77777777" w:rsidR="00CE7178" w:rsidRDefault="00CE7178" w:rsidP="00CE7178">
      <w:pPr>
        <w:pStyle w:val="FootnoteText"/>
      </w:pPr>
      <w:r w:rsidRPr="1D03590A">
        <w:rPr>
          <w:rStyle w:val="FootnoteReference"/>
        </w:rPr>
        <w:footnoteRef/>
      </w:r>
      <w:r>
        <w:t xml:space="preserve"> Contrato AO-026-2025.</w:t>
      </w:r>
    </w:p>
  </w:footnote>
  <w:footnote w:id="35">
    <w:p w14:paraId="14B5BB0F" w14:textId="77777777" w:rsidR="00CE7178" w:rsidRDefault="00CE7178" w:rsidP="00CE7178">
      <w:pPr>
        <w:pStyle w:val="FootnoteText"/>
      </w:pPr>
      <w:r w:rsidRPr="24F5259F">
        <w:rPr>
          <w:rStyle w:val="FootnoteReference"/>
        </w:rPr>
        <w:footnoteRef/>
      </w:r>
      <w:r>
        <w:t xml:space="preserve"> Artículo 424.</w:t>
      </w:r>
    </w:p>
  </w:footnote>
  <w:footnote w:id="36">
    <w:p w14:paraId="1AD5F03D" w14:textId="77777777" w:rsidR="00CE7178" w:rsidRDefault="00CE7178" w:rsidP="00CE7178">
      <w:pPr>
        <w:pStyle w:val="FootnoteText"/>
      </w:pPr>
      <w:r w:rsidRPr="24F5259F">
        <w:rPr>
          <w:rStyle w:val="FootnoteReference"/>
        </w:rPr>
        <w:footnoteRef/>
      </w:r>
      <w:r>
        <w:t xml:space="preserve"> Artículo 31.</w:t>
      </w:r>
    </w:p>
  </w:footnote>
  <w:footnote w:id="37">
    <w:p w14:paraId="1C6E1A12" w14:textId="77777777" w:rsidR="00CE7178" w:rsidRDefault="00CE7178" w:rsidP="00CE7178">
      <w:pPr>
        <w:pStyle w:val="FootnoteText"/>
      </w:pPr>
      <w:r w:rsidRPr="24F5259F">
        <w:rPr>
          <w:rStyle w:val="FootnoteReference"/>
        </w:rPr>
        <w:footnoteRef/>
      </w:r>
      <w:r>
        <w:t xml:space="preserve"> Artículo 55.</w:t>
      </w:r>
    </w:p>
  </w:footnote>
  <w:footnote w:id="38">
    <w:p w14:paraId="46EAEA13" w14:textId="77777777" w:rsidR="00CE7178" w:rsidRDefault="00CE7178" w:rsidP="00CE7178">
      <w:pPr>
        <w:pStyle w:val="FootnoteText"/>
      </w:pPr>
      <w:r w:rsidRPr="5D799356">
        <w:rPr>
          <w:rStyle w:val="FootnoteReference"/>
        </w:rPr>
        <w:footnoteRef/>
      </w:r>
      <w:r w:rsidRPr="5D799356">
        <w:t xml:space="preserve"> Numeral 1.3.1.4. ”Evitar la discriminación y la estigmatización en la producción de televisión”.</w:t>
      </w:r>
    </w:p>
  </w:footnote>
  <w:footnote w:id="39">
    <w:p w14:paraId="3D22A3F5" w14:textId="77777777" w:rsidR="00CE7178" w:rsidRDefault="00CE7178" w:rsidP="00CE7178">
      <w:pPr>
        <w:pStyle w:val="FootnoteText"/>
      </w:pPr>
      <w:r w:rsidRPr="1D03590A">
        <w:rPr>
          <w:rStyle w:val="FootnoteReference"/>
        </w:rPr>
        <w:footnoteRef/>
      </w:r>
      <w:r>
        <w:t xml:space="preserve"> Conforme a la Ley 715 de 2001</w:t>
      </w:r>
    </w:p>
  </w:footnote>
  <w:footnote w:id="40">
    <w:p w14:paraId="74F8CBA9" w14:textId="77777777" w:rsidR="00CE7178" w:rsidRDefault="00CE7178" w:rsidP="00CE7178">
      <w:pPr>
        <w:pStyle w:val="FootnoteText"/>
        <w:rPr>
          <w:szCs w:val="18"/>
        </w:rPr>
      </w:pPr>
      <w:r w:rsidRPr="4C85F234">
        <w:rPr>
          <w:rStyle w:val="FootnoteReference"/>
          <w:szCs w:val="18"/>
        </w:rPr>
        <w:footnoteRef/>
      </w:r>
      <w:r w:rsidRPr="00E92A00">
        <w:rPr>
          <w:szCs w:val="18"/>
        </w:rPr>
        <w:t xml:space="preserve"> C</w:t>
      </w:r>
      <w:r w:rsidRPr="4C85F234">
        <w:rPr>
          <w:szCs w:val="18"/>
        </w:rPr>
        <w:t>on cortes a abril de 2026 para el RUV, mayo de 2025 para el RLCPD y vigencias 2024-2025 para los RIPS.</w:t>
      </w:r>
    </w:p>
  </w:footnote>
  <w:footnote w:id="41">
    <w:p w14:paraId="07AA148C" w14:textId="77777777" w:rsidR="00CE7178" w:rsidRPr="00E92A00" w:rsidRDefault="00CE7178" w:rsidP="00CE7178">
      <w:pPr>
        <w:pStyle w:val="FootnoteText"/>
      </w:pPr>
      <w:r w:rsidRPr="4C85F234">
        <w:rPr>
          <w:rStyle w:val="FootnoteReference"/>
        </w:rPr>
        <w:footnoteRef/>
      </w:r>
      <w:r w:rsidRPr="00E92A00">
        <w:t xml:space="preserve"> Artículo 8. </w:t>
      </w:r>
    </w:p>
  </w:footnote>
  <w:footnote w:id="42">
    <w:p w14:paraId="22E305F8" w14:textId="77777777" w:rsidR="00CE7178" w:rsidRDefault="00CE7178" w:rsidP="00CE7178">
      <w:pPr>
        <w:pStyle w:val="FootnoteText"/>
        <w:rPr>
          <w:rFonts w:ascii="Verdana" w:eastAsia="Verdana" w:hAnsi="Verdana" w:cs="Verdana"/>
          <w:szCs w:val="18"/>
        </w:rPr>
      </w:pPr>
      <w:r w:rsidRPr="4C85F234">
        <w:rPr>
          <w:rStyle w:val="FootnoteReference"/>
          <w:szCs w:val="18"/>
        </w:rPr>
        <w:footnoteRef/>
      </w:r>
      <w:r w:rsidRPr="00E92A00">
        <w:rPr>
          <w:szCs w:val="18"/>
        </w:rPr>
        <w:t xml:space="preserve"> </w:t>
      </w:r>
      <w:r w:rsidRPr="4C85F234">
        <w:rPr>
          <w:rFonts w:ascii="Verdana" w:eastAsia="Verdana" w:hAnsi="Verdana" w:cs="Verdana"/>
          <w:szCs w:val="18"/>
        </w:rPr>
        <w:t>Decreto 1011 de 2006.</w:t>
      </w:r>
    </w:p>
  </w:footnote>
  <w:footnote w:id="43">
    <w:p w14:paraId="7A68BD07" w14:textId="77777777" w:rsidR="00CE7178" w:rsidRDefault="00CE7178" w:rsidP="00CE7178">
      <w:pPr>
        <w:pStyle w:val="FootnoteText"/>
        <w:rPr>
          <w:rFonts w:ascii="Verdana" w:eastAsia="Verdana" w:hAnsi="Verdana" w:cs="Verdana"/>
          <w:sz w:val="22"/>
          <w:szCs w:val="22"/>
        </w:rPr>
      </w:pPr>
      <w:r w:rsidRPr="4C85F234">
        <w:rPr>
          <w:rStyle w:val="FootnoteReference"/>
        </w:rPr>
        <w:footnoteRef/>
      </w:r>
      <w:r w:rsidRPr="00E92A00">
        <w:t xml:space="preserve"> </w:t>
      </w:r>
      <w:r w:rsidRPr="00E92A00">
        <w:rPr>
          <w:szCs w:val="18"/>
        </w:rPr>
        <w:t>R</w:t>
      </w:r>
      <w:r w:rsidRPr="4C85F234">
        <w:rPr>
          <w:rFonts w:ascii="Verdana" w:eastAsia="Verdana" w:hAnsi="Verdana" w:cs="Verdana"/>
          <w:szCs w:val="18"/>
        </w:rPr>
        <w:t>esolución 3100 de 2019.</w:t>
      </w:r>
    </w:p>
  </w:footnote>
  <w:footnote w:id="44">
    <w:p w14:paraId="1F28AFC1" w14:textId="77777777" w:rsidR="00CE7178" w:rsidRDefault="00CE7178" w:rsidP="00CE7178">
      <w:pPr>
        <w:pStyle w:val="FootnoteText"/>
        <w:rPr>
          <w:rFonts w:ascii="Verdana" w:eastAsia="Verdana" w:hAnsi="Verdana" w:cs="Verdana"/>
          <w:sz w:val="22"/>
          <w:szCs w:val="22"/>
        </w:rPr>
      </w:pPr>
      <w:r w:rsidRPr="4C85F234">
        <w:rPr>
          <w:rStyle w:val="FootnoteReference"/>
        </w:rPr>
        <w:footnoteRef/>
      </w:r>
      <w:r w:rsidRPr="00E92A00">
        <w:t xml:space="preserve"> </w:t>
      </w:r>
      <w:r w:rsidRPr="4C85F234">
        <w:rPr>
          <w:rFonts w:ascii="Verdana" w:eastAsia="Verdana" w:hAnsi="Verdana" w:cs="Verdana"/>
          <w:sz w:val="22"/>
          <w:szCs w:val="22"/>
        </w:rPr>
        <w:t>Resolución 2765 de 2025.</w:t>
      </w:r>
    </w:p>
  </w:footnote>
  <w:footnote w:id="45">
    <w:p w14:paraId="76EB3C7A" w14:textId="77777777" w:rsidR="00CE7178" w:rsidRDefault="00CE7178" w:rsidP="00CE7178">
      <w:pPr>
        <w:pStyle w:val="FootnoteText"/>
        <w:rPr>
          <w:szCs w:val="18"/>
        </w:rPr>
      </w:pPr>
      <w:r w:rsidRPr="4C85F234">
        <w:rPr>
          <w:rStyle w:val="FootnoteReference"/>
          <w:szCs w:val="18"/>
        </w:rPr>
        <w:footnoteRef/>
      </w:r>
      <w:r w:rsidRPr="00E92A00">
        <w:rPr>
          <w:szCs w:val="18"/>
        </w:rPr>
        <w:t xml:space="preserve"> R</w:t>
      </w:r>
      <w:r w:rsidRPr="4C85F234">
        <w:rPr>
          <w:szCs w:val="18"/>
        </w:rPr>
        <w:t>eglamentada por el Decreto 1401 de 2025.</w:t>
      </w:r>
    </w:p>
  </w:footnote>
  <w:footnote w:id="46">
    <w:p w14:paraId="397C0B75" w14:textId="77777777" w:rsidR="00CE7178" w:rsidRPr="00E92A00" w:rsidRDefault="00CE7178" w:rsidP="00CE7178">
      <w:pPr>
        <w:pStyle w:val="FootnoteText"/>
      </w:pPr>
      <w:r w:rsidRPr="4C85F234">
        <w:rPr>
          <w:rStyle w:val="FootnoteReference"/>
        </w:rPr>
        <w:footnoteRef/>
      </w:r>
      <w:r w:rsidRPr="00E92A00">
        <w:t xml:space="preserve"> </w:t>
      </w:r>
      <w:r w:rsidRPr="4C85F234">
        <w:rPr>
          <w:sz w:val="22"/>
          <w:szCs w:val="22"/>
        </w:rPr>
        <w:t>Decreto 684 de 2024.</w:t>
      </w:r>
    </w:p>
  </w:footnote>
  <w:footnote w:id="47">
    <w:p w14:paraId="66D05A26" w14:textId="77777777" w:rsidR="00CE7178" w:rsidRPr="00E92A00" w:rsidRDefault="00CE7178" w:rsidP="00CE7178">
      <w:pPr>
        <w:pStyle w:val="FootnoteText"/>
      </w:pPr>
      <w:r w:rsidRPr="4C85F234">
        <w:rPr>
          <w:rStyle w:val="FootnoteReference"/>
        </w:rPr>
        <w:footnoteRef/>
      </w:r>
      <w:r w:rsidRPr="00E92A00">
        <w:t xml:space="preserve"> </w:t>
      </w:r>
      <w:r w:rsidRPr="00E92A00">
        <w:rPr>
          <w:sz w:val="22"/>
          <w:szCs w:val="22"/>
        </w:rPr>
        <w:t>Resolución 2765 de 2025.</w:t>
      </w:r>
    </w:p>
  </w:footnote>
  <w:footnote w:id="48">
    <w:p w14:paraId="621F4B0E" w14:textId="77777777" w:rsidR="00CE7178" w:rsidRDefault="00CE7178" w:rsidP="00CE7178">
      <w:pPr>
        <w:pStyle w:val="FootnoteText"/>
        <w:rPr>
          <w:szCs w:val="18"/>
        </w:rPr>
      </w:pPr>
      <w:r w:rsidRPr="4C85F234">
        <w:rPr>
          <w:rStyle w:val="FootnoteReference"/>
        </w:rPr>
        <w:footnoteRef/>
      </w:r>
      <w:r w:rsidRPr="00E92A00">
        <w:t xml:space="preserve"> </w:t>
      </w:r>
      <w:r w:rsidRPr="00E92A00">
        <w:rPr>
          <w:szCs w:val="18"/>
        </w:rPr>
        <w:t>D</w:t>
      </w:r>
      <w:r w:rsidRPr="4C85F234">
        <w:rPr>
          <w:szCs w:val="18"/>
        </w:rPr>
        <w:t>esarrollada en el marco de la Ley 1757 de 2015.</w:t>
      </w:r>
    </w:p>
  </w:footnote>
  <w:footnote w:id="49">
    <w:p w14:paraId="658F3D76" w14:textId="77777777" w:rsidR="00CE7178" w:rsidRDefault="00CE7178" w:rsidP="00CE7178">
      <w:pPr>
        <w:pStyle w:val="FootnoteText"/>
      </w:pPr>
      <w:r w:rsidRPr="4C85F234">
        <w:rPr>
          <w:rStyle w:val="FootnoteReference"/>
        </w:rPr>
        <w:footnoteRef/>
      </w:r>
      <w:r w:rsidRPr="00E92A00">
        <w:t xml:space="preserve"> C</w:t>
      </w:r>
      <w:r w:rsidRPr="4C85F234">
        <w:t>onforme al artículo 30 de la Ley 1618 de 2013 y al artículo 33 de la CDPD.</w:t>
      </w:r>
    </w:p>
  </w:footnote>
  <w:footnote w:id="50">
    <w:p w14:paraId="4335CEDA" w14:textId="77777777" w:rsidR="00CE7178" w:rsidRDefault="00CE7178" w:rsidP="00CE7178">
      <w:pPr>
        <w:pStyle w:val="FootnoteText"/>
        <w:jc w:val="both"/>
      </w:pPr>
      <w:r w:rsidRPr="31EEB11A">
        <w:rPr>
          <w:rStyle w:val="FootnoteReference"/>
        </w:rPr>
        <w:footnoteRef/>
      </w:r>
      <w:r>
        <w:t xml:space="preserve"> D</w:t>
      </w:r>
      <w:r w:rsidRPr="00626625">
        <w:rPr>
          <w:szCs w:val="18"/>
        </w:rPr>
        <w:t>ependencia de la Rama Judicial de Colombia encargada de gestionar, organizar y difundir la información jurídica y judicial. Su propósito es facilitar el acceso de servidores judiciales, investigadores, profesionales del derecho y ciudadanía en general a documentación, jurisprudencia, bibliografía jurídica y fuentes del derecho.</w:t>
      </w:r>
    </w:p>
  </w:footnote>
  <w:footnote w:id="51">
    <w:p w14:paraId="024D6C1F" w14:textId="77777777" w:rsidR="00CE7178" w:rsidRDefault="00CE7178" w:rsidP="00CE7178">
      <w:pPr>
        <w:pStyle w:val="FootnoteText"/>
        <w:spacing w:line="300" w:lineRule="auto"/>
        <w:jc w:val="both"/>
      </w:pPr>
      <w:r w:rsidRPr="31EEB11A">
        <w:rPr>
          <w:rStyle w:val="FootnoteReference"/>
        </w:rPr>
        <w:footnoteRef/>
      </w:r>
      <w:r w:rsidRPr="31EEB11A">
        <w:rPr>
          <w:szCs w:val="18"/>
        </w:rPr>
        <w:t xml:space="preserve"> P</w:t>
      </w:r>
      <w:r w:rsidRPr="1D03590A">
        <w:rPr>
          <w:szCs w:val="18"/>
        </w:rPr>
        <w:t>lataforma de información utilizada por la FGN para registrar, administrar y hacer seguimiento a las noticias criminales, denuncias e investigaciones penales en Colombia.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A9AC7" w14:textId="77777777" w:rsidR="001A4396" w:rsidRPr="001A4396" w:rsidRDefault="00053EA6">
    <w:pPr>
      <w:pStyle w:val="Header"/>
    </w:pPr>
    <w:r>
      <w:t>CRPD/C/COL/RQ/2-4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FB799" w14:textId="77777777" w:rsidR="001A4396" w:rsidRPr="00935A0B" w:rsidRDefault="00053EA6" w:rsidP="00935A0B">
    <w:pPr>
      <w:pStyle w:val="Header"/>
      <w:jc w:val="right"/>
      <w:rPr>
        <w:u w:val="double"/>
      </w:rPr>
    </w:pPr>
    <w:r>
      <w:t>CRPD/C/COL/RQ/2-4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CF1B9" w14:textId="77777777" w:rsidR="00A711FB" w:rsidRDefault="00A711FB"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8CF97"/>
    <w:multiLevelType w:val="hybridMultilevel"/>
    <w:tmpl w:val="D6786254"/>
    <w:lvl w:ilvl="0" w:tplc="8CA62A48">
      <w:start w:val="1"/>
      <w:numFmt w:val="lowerLetter"/>
      <w:lvlText w:val="%1)"/>
      <w:lvlJc w:val="left"/>
      <w:pPr>
        <w:ind w:left="720" w:hanging="360"/>
      </w:pPr>
    </w:lvl>
    <w:lvl w:ilvl="1" w:tplc="526C59F6">
      <w:start w:val="1"/>
      <w:numFmt w:val="lowerLetter"/>
      <w:lvlText w:val="%2."/>
      <w:lvlJc w:val="left"/>
      <w:pPr>
        <w:ind w:left="1440" w:hanging="360"/>
      </w:pPr>
    </w:lvl>
    <w:lvl w:ilvl="2" w:tplc="CDB2DCA8">
      <w:start w:val="1"/>
      <w:numFmt w:val="lowerRoman"/>
      <w:lvlText w:val="%3."/>
      <w:lvlJc w:val="right"/>
      <w:pPr>
        <w:ind w:left="2160" w:hanging="180"/>
      </w:pPr>
    </w:lvl>
    <w:lvl w:ilvl="3" w:tplc="C1964F6C">
      <w:start w:val="1"/>
      <w:numFmt w:val="decimal"/>
      <w:lvlText w:val="%4."/>
      <w:lvlJc w:val="left"/>
      <w:pPr>
        <w:ind w:left="2880" w:hanging="360"/>
      </w:pPr>
    </w:lvl>
    <w:lvl w:ilvl="4" w:tplc="6D943E76">
      <w:start w:val="1"/>
      <w:numFmt w:val="lowerLetter"/>
      <w:lvlText w:val="%5."/>
      <w:lvlJc w:val="left"/>
      <w:pPr>
        <w:ind w:left="3600" w:hanging="360"/>
      </w:pPr>
    </w:lvl>
    <w:lvl w:ilvl="5" w:tplc="C5480DE2">
      <w:start w:val="1"/>
      <w:numFmt w:val="lowerRoman"/>
      <w:lvlText w:val="%6."/>
      <w:lvlJc w:val="right"/>
      <w:pPr>
        <w:ind w:left="4320" w:hanging="180"/>
      </w:pPr>
    </w:lvl>
    <w:lvl w:ilvl="6" w:tplc="EE12AEE4">
      <w:start w:val="1"/>
      <w:numFmt w:val="decimal"/>
      <w:lvlText w:val="%7."/>
      <w:lvlJc w:val="left"/>
      <w:pPr>
        <w:ind w:left="5040" w:hanging="360"/>
      </w:pPr>
    </w:lvl>
    <w:lvl w:ilvl="7" w:tplc="03E263D6">
      <w:start w:val="1"/>
      <w:numFmt w:val="lowerLetter"/>
      <w:lvlText w:val="%8."/>
      <w:lvlJc w:val="left"/>
      <w:pPr>
        <w:ind w:left="5760" w:hanging="360"/>
      </w:pPr>
    </w:lvl>
    <w:lvl w:ilvl="8" w:tplc="93DA9B90">
      <w:start w:val="1"/>
      <w:numFmt w:val="lowerRoman"/>
      <w:lvlText w:val="%9."/>
      <w:lvlJc w:val="right"/>
      <w:pPr>
        <w:ind w:left="6480" w:hanging="180"/>
      </w:pPr>
    </w:lvl>
  </w:abstractNum>
  <w:abstractNum w:abstractNumId="11" w15:restartNumberingAfterBreak="0">
    <w:nsid w:val="0D700519"/>
    <w:multiLevelType w:val="hybridMultilevel"/>
    <w:tmpl w:val="36164EFE"/>
    <w:lvl w:ilvl="0" w:tplc="E182B3F6">
      <w:start w:val="1"/>
      <w:numFmt w:val="decimal"/>
      <w:lvlText w:val="%1."/>
      <w:lvlJc w:val="left"/>
      <w:pPr>
        <w:ind w:left="720" w:hanging="360"/>
      </w:pPr>
    </w:lvl>
    <w:lvl w:ilvl="1" w:tplc="812C0B7A">
      <w:start w:val="1"/>
      <w:numFmt w:val="lowerLetter"/>
      <w:lvlText w:val="%2."/>
      <w:lvlJc w:val="left"/>
      <w:pPr>
        <w:ind w:left="1440" w:hanging="360"/>
      </w:pPr>
    </w:lvl>
    <w:lvl w:ilvl="2" w:tplc="B7BAD192">
      <w:start w:val="1"/>
      <w:numFmt w:val="lowerRoman"/>
      <w:lvlText w:val="%3."/>
      <w:lvlJc w:val="right"/>
      <w:pPr>
        <w:ind w:left="2160" w:hanging="180"/>
      </w:pPr>
    </w:lvl>
    <w:lvl w:ilvl="3" w:tplc="54AEFA08">
      <w:start w:val="1"/>
      <w:numFmt w:val="decimal"/>
      <w:lvlText w:val="%4."/>
      <w:lvlJc w:val="left"/>
      <w:pPr>
        <w:ind w:left="2880" w:hanging="360"/>
      </w:pPr>
    </w:lvl>
    <w:lvl w:ilvl="4" w:tplc="8D2C7D66">
      <w:start w:val="1"/>
      <w:numFmt w:val="lowerLetter"/>
      <w:lvlText w:val="%5."/>
      <w:lvlJc w:val="left"/>
      <w:pPr>
        <w:ind w:left="3600" w:hanging="360"/>
      </w:pPr>
    </w:lvl>
    <w:lvl w:ilvl="5" w:tplc="410E43A2">
      <w:start w:val="1"/>
      <w:numFmt w:val="lowerRoman"/>
      <w:lvlText w:val="%6."/>
      <w:lvlJc w:val="right"/>
      <w:pPr>
        <w:ind w:left="4320" w:hanging="180"/>
      </w:pPr>
    </w:lvl>
    <w:lvl w:ilvl="6" w:tplc="2DB6EA8C">
      <w:start w:val="1"/>
      <w:numFmt w:val="decimal"/>
      <w:lvlText w:val="%7."/>
      <w:lvlJc w:val="left"/>
      <w:pPr>
        <w:ind w:left="5040" w:hanging="360"/>
      </w:pPr>
    </w:lvl>
    <w:lvl w:ilvl="7" w:tplc="A9B2B8E2">
      <w:start w:val="1"/>
      <w:numFmt w:val="lowerLetter"/>
      <w:lvlText w:val="%8."/>
      <w:lvlJc w:val="left"/>
      <w:pPr>
        <w:ind w:left="5760" w:hanging="360"/>
      </w:pPr>
    </w:lvl>
    <w:lvl w:ilvl="8" w:tplc="60925B8C">
      <w:start w:val="1"/>
      <w:numFmt w:val="lowerRoman"/>
      <w:lvlText w:val="%9."/>
      <w:lvlJc w:val="right"/>
      <w:pPr>
        <w:ind w:left="6480" w:hanging="180"/>
      </w:pPr>
    </w:lvl>
  </w:abstractNum>
  <w:abstractNum w:abstractNumId="12" w15:restartNumberingAfterBreak="0">
    <w:nsid w:val="0D954887"/>
    <w:multiLevelType w:val="hybridMultilevel"/>
    <w:tmpl w:val="5A48E46A"/>
    <w:lvl w:ilvl="0" w:tplc="EC006B5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C7A872E" w:tentative="1">
      <w:start w:val="1"/>
      <w:numFmt w:val="lowerLetter"/>
      <w:lvlText w:val="%2."/>
      <w:lvlJc w:val="left"/>
      <w:pPr>
        <w:tabs>
          <w:tab w:val="num" w:pos="1440"/>
        </w:tabs>
        <w:ind w:left="1440" w:hanging="360"/>
      </w:pPr>
    </w:lvl>
    <w:lvl w:ilvl="2" w:tplc="865AB9FE" w:tentative="1">
      <w:start w:val="1"/>
      <w:numFmt w:val="lowerRoman"/>
      <w:lvlText w:val="%3."/>
      <w:lvlJc w:val="right"/>
      <w:pPr>
        <w:tabs>
          <w:tab w:val="num" w:pos="2160"/>
        </w:tabs>
        <w:ind w:left="2160" w:hanging="180"/>
      </w:pPr>
    </w:lvl>
    <w:lvl w:ilvl="3" w:tplc="C6B81ED8" w:tentative="1">
      <w:start w:val="1"/>
      <w:numFmt w:val="decimal"/>
      <w:lvlText w:val="%4."/>
      <w:lvlJc w:val="left"/>
      <w:pPr>
        <w:tabs>
          <w:tab w:val="num" w:pos="2880"/>
        </w:tabs>
        <w:ind w:left="2880" w:hanging="360"/>
      </w:pPr>
    </w:lvl>
    <w:lvl w:ilvl="4" w:tplc="C954545E" w:tentative="1">
      <w:start w:val="1"/>
      <w:numFmt w:val="lowerLetter"/>
      <w:lvlText w:val="%5."/>
      <w:lvlJc w:val="left"/>
      <w:pPr>
        <w:tabs>
          <w:tab w:val="num" w:pos="3600"/>
        </w:tabs>
        <w:ind w:left="3600" w:hanging="360"/>
      </w:pPr>
    </w:lvl>
    <w:lvl w:ilvl="5" w:tplc="1646D098" w:tentative="1">
      <w:start w:val="1"/>
      <w:numFmt w:val="lowerRoman"/>
      <w:lvlText w:val="%6."/>
      <w:lvlJc w:val="right"/>
      <w:pPr>
        <w:tabs>
          <w:tab w:val="num" w:pos="4320"/>
        </w:tabs>
        <w:ind w:left="4320" w:hanging="180"/>
      </w:pPr>
    </w:lvl>
    <w:lvl w:ilvl="6" w:tplc="059C9F5A" w:tentative="1">
      <w:start w:val="1"/>
      <w:numFmt w:val="decimal"/>
      <w:lvlText w:val="%7."/>
      <w:lvlJc w:val="left"/>
      <w:pPr>
        <w:tabs>
          <w:tab w:val="num" w:pos="5040"/>
        </w:tabs>
        <w:ind w:left="5040" w:hanging="360"/>
      </w:pPr>
    </w:lvl>
    <w:lvl w:ilvl="7" w:tplc="AC78E952" w:tentative="1">
      <w:start w:val="1"/>
      <w:numFmt w:val="lowerLetter"/>
      <w:lvlText w:val="%8."/>
      <w:lvlJc w:val="left"/>
      <w:pPr>
        <w:tabs>
          <w:tab w:val="num" w:pos="5760"/>
        </w:tabs>
        <w:ind w:left="5760" w:hanging="360"/>
      </w:pPr>
    </w:lvl>
    <w:lvl w:ilvl="8" w:tplc="78FAB23C" w:tentative="1">
      <w:start w:val="1"/>
      <w:numFmt w:val="lowerRoman"/>
      <w:lvlText w:val="%9."/>
      <w:lvlJc w:val="right"/>
      <w:pPr>
        <w:tabs>
          <w:tab w:val="num" w:pos="6480"/>
        </w:tabs>
        <w:ind w:left="6480" w:hanging="180"/>
      </w:pPr>
    </w:lvl>
  </w:abstractNum>
  <w:abstractNum w:abstractNumId="13" w15:restartNumberingAfterBreak="0">
    <w:nsid w:val="0E4396AA"/>
    <w:multiLevelType w:val="hybridMultilevel"/>
    <w:tmpl w:val="CC0C714E"/>
    <w:lvl w:ilvl="0" w:tplc="4D46DD70">
      <w:start w:val="1"/>
      <w:numFmt w:val="lowerLetter"/>
      <w:lvlText w:val="%1)"/>
      <w:lvlJc w:val="left"/>
      <w:pPr>
        <w:ind w:left="720" w:hanging="360"/>
      </w:pPr>
    </w:lvl>
    <w:lvl w:ilvl="1" w:tplc="B4863020">
      <w:start w:val="1"/>
      <w:numFmt w:val="lowerLetter"/>
      <w:lvlText w:val="%2."/>
      <w:lvlJc w:val="left"/>
      <w:pPr>
        <w:ind w:left="1440" w:hanging="360"/>
      </w:pPr>
    </w:lvl>
    <w:lvl w:ilvl="2" w:tplc="CBE46D1C">
      <w:start w:val="1"/>
      <w:numFmt w:val="lowerRoman"/>
      <w:lvlText w:val="%3."/>
      <w:lvlJc w:val="right"/>
      <w:pPr>
        <w:ind w:left="2160" w:hanging="180"/>
      </w:pPr>
    </w:lvl>
    <w:lvl w:ilvl="3" w:tplc="3DDA4EC0">
      <w:start w:val="1"/>
      <w:numFmt w:val="decimal"/>
      <w:lvlText w:val="%4."/>
      <w:lvlJc w:val="left"/>
      <w:pPr>
        <w:ind w:left="2880" w:hanging="360"/>
      </w:pPr>
    </w:lvl>
    <w:lvl w:ilvl="4" w:tplc="A4B8AF9E">
      <w:start w:val="1"/>
      <w:numFmt w:val="lowerLetter"/>
      <w:lvlText w:val="%5."/>
      <w:lvlJc w:val="left"/>
      <w:pPr>
        <w:ind w:left="3600" w:hanging="360"/>
      </w:pPr>
    </w:lvl>
    <w:lvl w:ilvl="5" w:tplc="D610B852">
      <w:start w:val="1"/>
      <w:numFmt w:val="lowerRoman"/>
      <w:lvlText w:val="%6."/>
      <w:lvlJc w:val="right"/>
      <w:pPr>
        <w:ind w:left="4320" w:hanging="180"/>
      </w:pPr>
    </w:lvl>
    <w:lvl w:ilvl="6" w:tplc="A3CAFD88">
      <w:start w:val="1"/>
      <w:numFmt w:val="decimal"/>
      <w:lvlText w:val="%7."/>
      <w:lvlJc w:val="left"/>
      <w:pPr>
        <w:ind w:left="5040" w:hanging="360"/>
      </w:pPr>
    </w:lvl>
    <w:lvl w:ilvl="7" w:tplc="EA6009DA">
      <w:start w:val="1"/>
      <w:numFmt w:val="lowerLetter"/>
      <w:lvlText w:val="%8."/>
      <w:lvlJc w:val="left"/>
      <w:pPr>
        <w:ind w:left="5760" w:hanging="360"/>
      </w:pPr>
    </w:lvl>
    <w:lvl w:ilvl="8" w:tplc="457AA936">
      <w:start w:val="1"/>
      <w:numFmt w:val="lowerRoman"/>
      <w:lvlText w:val="%9."/>
      <w:lvlJc w:val="right"/>
      <w:pPr>
        <w:ind w:left="6480" w:hanging="180"/>
      </w:pPr>
    </w:lvl>
  </w:abstractNum>
  <w:abstractNum w:abstractNumId="14" w15:restartNumberingAfterBreak="0">
    <w:nsid w:val="10B04BF8"/>
    <w:multiLevelType w:val="hybridMultilevel"/>
    <w:tmpl w:val="3B9AE6C6"/>
    <w:lvl w:ilvl="0" w:tplc="D5301BE8">
      <w:start w:val="1"/>
      <w:numFmt w:val="lowerLetter"/>
      <w:lvlText w:val="%1)"/>
      <w:lvlJc w:val="left"/>
      <w:pPr>
        <w:ind w:left="720" w:hanging="360"/>
      </w:pPr>
    </w:lvl>
    <w:lvl w:ilvl="1" w:tplc="D6DA22C6">
      <w:start w:val="1"/>
      <w:numFmt w:val="lowerLetter"/>
      <w:lvlText w:val="%2."/>
      <w:lvlJc w:val="left"/>
      <w:pPr>
        <w:ind w:left="1440" w:hanging="360"/>
      </w:pPr>
    </w:lvl>
    <w:lvl w:ilvl="2" w:tplc="48A2E2AA">
      <w:start w:val="1"/>
      <w:numFmt w:val="lowerRoman"/>
      <w:lvlText w:val="%3."/>
      <w:lvlJc w:val="right"/>
      <w:pPr>
        <w:ind w:left="2160" w:hanging="180"/>
      </w:pPr>
    </w:lvl>
    <w:lvl w:ilvl="3" w:tplc="124A0E56">
      <w:start w:val="1"/>
      <w:numFmt w:val="decimal"/>
      <w:lvlText w:val="%4."/>
      <w:lvlJc w:val="left"/>
      <w:pPr>
        <w:ind w:left="2880" w:hanging="360"/>
      </w:pPr>
    </w:lvl>
    <w:lvl w:ilvl="4" w:tplc="3C0866EA">
      <w:start w:val="1"/>
      <w:numFmt w:val="lowerLetter"/>
      <w:lvlText w:val="%5."/>
      <w:lvlJc w:val="left"/>
      <w:pPr>
        <w:ind w:left="3600" w:hanging="360"/>
      </w:pPr>
    </w:lvl>
    <w:lvl w:ilvl="5" w:tplc="A9662230">
      <w:start w:val="1"/>
      <w:numFmt w:val="lowerRoman"/>
      <w:lvlText w:val="%6."/>
      <w:lvlJc w:val="right"/>
      <w:pPr>
        <w:ind w:left="4320" w:hanging="180"/>
      </w:pPr>
    </w:lvl>
    <w:lvl w:ilvl="6" w:tplc="0122C0E2">
      <w:start w:val="1"/>
      <w:numFmt w:val="decimal"/>
      <w:lvlText w:val="%7."/>
      <w:lvlJc w:val="left"/>
      <w:pPr>
        <w:ind w:left="5040" w:hanging="360"/>
      </w:pPr>
    </w:lvl>
    <w:lvl w:ilvl="7" w:tplc="53148AAA">
      <w:start w:val="1"/>
      <w:numFmt w:val="lowerLetter"/>
      <w:lvlText w:val="%8."/>
      <w:lvlJc w:val="left"/>
      <w:pPr>
        <w:ind w:left="5760" w:hanging="360"/>
      </w:pPr>
    </w:lvl>
    <w:lvl w:ilvl="8" w:tplc="37AC4068">
      <w:start w:val="1"/>
      <w:numFmt w:val="lowerRoman"/>
      <w:lvlText w:val="%9."/>
      <w:lvlJc w:val="right"/>
      <w:pPr>
        <w:ind w:left="6480" w:hanging="180"/>
      </w:pPr>
    </w:lvl>
  </w:abstractNum>
  <w:abstractNum w:abstractNumId="15" w15:restartNumberingAfterBreak="0">
    <w:nsid w:val="1197FB87"/>
    <w:multiLevelType w:val="hybridMultilevel"/>
    <w:tmpl w:val="7736C400"/>
    <w:lvl w:ilvl="0" w:tplc="D5B63A66">
      <w:start w:val="1"/>
      <w:numFmt w:val="lowerLetter"/>
      <w:lvlText w:val="%1)"/>
      <w:lvlJc w:val="left"/>
      <w:pPr>
        <w:ind w:left="720" w:hanging="360"/>
      </w:pPr>
    </w:lvl>
    <w:lvl w:ilvl="1" w:tplc="C39246FC">
      <w:start w:val="1"/>
      <w:numFmt w:val="lowerLetter"/>
      <w:lvlText w:val="%2."/>
      <w:lvlJc w:val="left"/>
      <w:pPr>
        <w:ind w:left="1440" w:hanging="360"/>
      </w:pPr>
    </w:lvl>
    <w:lvl w:ilvl="2" w:tplc="C8CCE5DC">
      <w:start w:val="1"/>
      <w:numFmt w:val="lowerRoman"/>
      <w:lvlText w:val="%3."/>
      <w:lvlJc w:val="right"/>
      <w:pPr>
        <w:ind w:left="2160" w:hanging="180"/>
      </w:pPr>
    </w:lvl>
    <w:lvl w:ilvl="3" w:tplc="CF5EDB14">
      <w:start w:val="1"/>
      <w:numFmt w:val="decimal"/>
      <w:lvlText w:val="%4."/>
      <w:lvlJc w:val="left"/>
      <w:pPr>
        <w:ind w:left="2880" w:hanging="360"/>
      </w:pPr>
    </w:lvl>
    <w:lvl w:ilvl="4" w:tplc="49720B9A">
      <w:start w:val="1"/>
      <w:numFmt w:val="lowerLetter"/>
      <w:lvlText w:val="%5."/>
      <w:lvlJc w:val="left"/>
      <w:pPr>
        <w:ind w:left="3600" w:hanging="360"/>
      </w:pPr>
    </w:lvl>
    <w:lvl w:ilvl="5" w:tplc="86CCEAE6">
      <w:start w:val="1"/>
      <w:numFmt w:val="lowerRoman"/>
      <w:lvlText w:val="%6."/>
      <w:lvlJc w:val="right"/>
      <w:pPr>
        <w:ind w:left="4320" w:hanging="180"/>
      </w:pPr>
    </w:lvl>
    <w:lvl w:ilvl="6" w:tplc="16E8246E">
      <w:start w:val="1"/>
      <w:numFmt w:val="decimal"/>
      <w:lvlText w:val="%7."/>
      <w:lvlJc w:val="left"/>
      <w:pPr>
        <w:ind w:left="5040" w:hanging="360"/>
      </w:pPr>
    </w:lvl>
    <w:lvl w:ilvl="7" w:tplc="D8B08394">
      <w:start w:val="1"/>
      <w:numFmt w:val="lowerLetter"/>
      <w:lvlText w:val="%8."/>
      <w:lvlJc w:val="left"/>
      <w:pPr>
        <w:ind w:left="5760" w:hanging="360"/>
      </w:pPr>
    </w:lvl>
    <w:lvl w:ilvl="8" w:tplc="6032DFC2">
      <w:start w:val="1"/>
      <w:numFmt w:val="lowerRoman"/>
      <w:lvlText w:val="%9."/>
      <w:lvlJc w:val="right"/>
      <w:pPr>
        <w:ind w:left="6480" w:hanging="180"/>
      </w:pPr>
    </w:lvl>
  </w:abstractNum>
  <w:abstractNum w:abstractNumId="16" w15:restartNumberingAfterBreak="0">
    <w:nsid w:val="16567C7F"/>
    <w:multiLevelType w:val="hybridMultilevel"/>
    <w:tmpl w:val="21BEBE6C"/>
    <w:lvl w:ilvl="0" w:tplc="A9CC6AB6">
      <w:start w:val="1"/>
      <w:numFmt w:val="lowerLetter"/>
      <w:lvlText w:val="%1)"/>
      <w:lvlJc w:val="left"/>
      <w:pPr>
        <w:ind w:left="720" w:hanging="360"/>
      </w:pPr>
    </w:lvl>
    <w:lvl w:ilvl="1" w:tplc="430458CE">
      <w:start w:val="1"/>
      <w:numFmt w:val="lowerLetter"/>
      <w:lvlText w:val="%2."/>
      <w:lvlJc w:val="left"/>
      <w:pPr>
        <w:ind w:left="1440" w:hanging="360"/>
      </w:pPr>
    </w:lvl>
    <w:lvl w:ilvl="2" w:tplc="62AE0662">
      <w:start w:val="1"/>
      <w:numFmt w:val="lowerRoman"/>
      <w:lvlText w:val="%3."/>
      <w:lvlJc w:val="right"/>
      <w:pPr>
        <w:ind w:left="2160" w:hanging="180"/>
      </w:pPr>
    </w:lvl>
    <w:lvl w:ilvl="3" w:tplc="3C00426A">
      <w:start w:val="1"/>
      <w:numFmt w:val="decimal"/>
      <w:lvlText w:val="%4."/>
      <w:lvlJc w:val="left"/>
      <w:pPr>
        <w:ind w:left="2880" w:hanging="360"/>
      </w:pPr>
    </w:lvl>
    <w:lvl w:ilvl="4" w:tplc="4AC85762">
      <w:start w:val="1"/>
      <w:numFmt w:val="lowerLetter"/>
      <w:lvlText w:val="%5."/>
      <w:lvlJc w:val="left"/>
      <w:pPr>
        <w:ind w:left="3600" w:hanging="360"/>
      </w:pPr>
    </w:lvl>
    <w:lvl w:ilvl="5" w:tplc="B9AED16C">
      <w:start w:val="1"/>
      <w:numFmt w:val="lowerRoman"/>
      <w:lvlText w:val="%6."/>
      <w:lvlJc w:val="right"/>
      <w:pPr>
        <w:ind w:left="4320" w:hanging="180"/>
      </w:pPr>
    </w:lvl>
    <w:lvl w:ilvl="6" w:tplc="C05E7F46">
      <w:start w:val="1"/>
      <w:numFmt w:val="decimal"/>
      <w:lvlText w:val="%7."/>
      <w:lvlJc w:val="left"/>
      <w:pPr>
        <w:ind w:left="5040" w:hanging="360"/>
      </w:pPr>
    </w:lvl>
    <w:lvl w:ilvl="7" w:tplc="35102284">
      <w:start w:val="1"/>
      <w:numFmt w:val="lowerLetter"/>
      <w:lvlText w:val="%8."/>
      <w:lvlJc w:val="left"/>
      <w:pPr>
        <w:ind w:left="5760" w:hanging="360"/>
      </w:pPr>
    </w:lvl>
    <w:lvl w:ilvl="8" w:tplc="751C3B20">
      <w:start w:val="1"/>
      <w:numFmt w:val="lowerRoman"/>
      <w:lvlText w:val="%9."/>
      <w:lvlJc w:val="right"/>
      <w:pPr>
        <w:ind w:left="6480" w:hanging="180"/>
      </w:pPr>
    </w:lvl>
  </w:abstractNum>
  <w:abstractNum w:abstractNumId="17" w15:restartNumberingAfterBreak="0">
    <w:nsid w:val="1A0A2C80"/>
    <w:multiLevelType w:val="hybridMultilevel"/>
    <w:tmpl w:val="01989A9C"/>
    <w:lvl w:ilvl="0" w:tplc="EF66CC08">
      <w:start w:val="1"/>
      <w:numFmt w:val="lowerLetter"/>
      <w:lvlText w:val="%1)"/>
      <w:lvlJc w:val="left"/>
      <w:pPr>
        <w:ind w:left="720" w:hanging="360"/>
      </w:pPr>
    </w:lvl>
    <w:lvl w:ilvl="1" w:tplc="EDD4A24E">
      <w:start w:val="1"/>
      <w:numFmt w:val="lowerLetter"/>
      <w:lvlText w:val="%2."/>
      <w:lvlJc w:val="left"/>
      <w:pPr>
        <w:ind w:left="1440" w:hanging="360"/>
      </w:pPr>
    </w:lvl>
    <w:lvl w:ilvl="2" w:tplc="F8D254B8">
      <w:start w:val="1"/>
      <w:numFmt w:val="lowerRoman"/>
      <w:lvlText w:val="%3."/>
      <w:lvlJc w:val="right"/>
      <w:pPr>
        <w:ind w:left="2160" w:hanging="180"/>
      </w:pPr>
    </w:lvl>
    <w:lvl w:ilvl="3" w:tplc="6BDA0250">
      <w:start w:val="1"/>
      <w:numFmt w:val="decimal"/>
      <w:lvlText w:val="%4."/>
      <w:lvlJc w:val="left"/>
      <w:pPr>
        <w:ind w:left="2880" w:hanging="360"/>
      </w:pPr>
    </w:lvl>
    <w:lvl w:ilvl="4" w:tplc="F4169328">
      <w:start w:val="1"/>
      <w:numFmt w:val="lowerLetter"/>
      <w:lvlText w:val="%5."/>
      <w:lvlJc w:val="left"/>
      <w:pPr>
        <w:ind w:left="3600" w:hanging="360"/>
      </w:pPr>
    </w:lvl>
    <w:lvl w:ilvl="5" w:tplc="CF9C141E">
      <w:start w:val="1"/>
      <w:numFmt w:val="lowerRoman"/>
      <w:lvlText w:val="%6."/>
      <w:lvlJc w:val="right"/>
      <w:pPr>
        <w:ind w:left="4320" w:hanging="180"/>
      </w:pPr>
    </w:lvl>
    <w:lvl w:ilvl="6" w:tplc="040476D8">
      <w:start w:val="1"/>
      <w:numFmt w:val="decimal"/>
      <w:lvlText w:val="%7."/>
      <w:lvlJc w:val="left"/>
      <w:pPr>
        <w:ind w:left="5040" w:hanging="360"/>
      </w:pPr>
    </w:lvl>
    <w:lvl w:ilvl="7" w:tplc="B05EBDC6">
      <w:start w:val="1"/>
      <w:numFmt w:val="lowerLetter"/>
      <w:lvlText w:val="%8."/>
      <w:lvlJc w:val="left"/>
      <w:pPr>
        <w:ind w:left="5760" w:hanging="360"/>
      </w:pPr>
    </w:lvl>
    <w:lvl w:ilvl="8" w:tplc="D14C0D68">
      <w:start w:val="1"/>
      <w:numFmt w:val="lowerRoman"/>
      <w:lvlText w:val="%9."/>
      <w:lvlJc w:val="right"/>
      <w:pPr>
        <w:ind w:left="6480" w:hanging="180"/>
      </w:pPr>
    </w:lvl>
  </w:abstractNum>
  <w:abstractNum w:abstractNumId="18" w15:restartNumberingAfterBreak="0">
    <w:nsid w:val="25D9374A"/>
    <w:multiLevelType w:val="hybridMultilevel"/>
    <w:tmpl w:val="0F6ABA60"/>
    <w:lvl w:ilvl="0" w:tplc="6BAAF664">
      <w:start w:val="1"/>
      <w:numFmt w:val="lowerLetter"/>
      <w:lvlText w:val="%1)"/>
      <w:lvlJc w:val="left"/>
      <w:pPr>
        <w:ind w:left="720" w:hanging="360"/>
      </w:pPr>
    </w:lvl>
    <w:lvl w:ilvl="1" w:tplc="105CFD2A">
      <w:start w:val="1"/>
      <w:numFmt w:val="lowerLetter"/>
      <w:lvlText w:val="%2."/>
      <w:lvlJc w:val="left"/>
      <w:pPr>
        <w:ind w:left="1440" w:hanging="360"/>
      </w:pPr>
    </w:lvl>
    <w:lvl w:ilvl="2" w:tplc="F38032DC">
      <w:start w:val="1"/>
      <w:numFmt w:val="lowerRoman"/>
      <w:lvlText w:val="%3."/>
      <w:lvlJc w:val="right"/>
      <w:pPr>
        <w:ind w:left="2160" w:hanging="180"/>
      </w:pPr>
    </w:lvl>
    <w:lvl w:ilvl="3" w:tplc="840C66EA">
      <w:start w:val="1"/>
      <w:numFmt w:val="decimal"/>
      <w:lvlText w:val="%4."/>
      <w:lvlJc w:val="left"/>
      <w:pPr>
        <w:ind w:left="2880" w:hanging="360"/>
      </w:pPr>
    </w:lvl>
    <w:lvl w:ilvl="4" w:tplc="831AEA48">
      <w:start w:val="1"/>
      <w:numFmt w:val="lowerLetter"/>
      <w:lvlText w:val="%5."/>
      <w:lvlJc w:val="left"/>
      <w:pPr>
        <w:ind w:left="3600" w:hanging="360"/>
      </w:pPr>
    </w:lvl>
    <w:lvl w:ilvl="5" w:tplc="82B86A50">
      <w:start w:val="1"/>
      <w:numFmt w:val="lowerRoman"/>
      <w:lvlText w:val="%6."/>
      <w:lvlJc w:val="right"/>
      <w:pPr>
        <w:ind w:left="4320" w:hanging="180"/>
      </w:pPr>
    </w:lvl>
    <w:lvl w:ilvl="6" w:tplc="EE7468C4">
      <w:start w:val="1"/>
      <w:numFmt w:val="decimal"/>
      <w:lvlText w:val="%7."/>
      <w:lvlJc w:val="left"/>
      <w:pPr>
        <w:ind w:left="5040" w:hanging="360"/>
      </w:pPr>
    </w:lvl>
    <w:lvl w:ilvl="7" w:tplc="A8508D18">
      <w:start w:val="1"/>
      <w:numFmt w:val="lowerLetter"/>
      <w:lvlText w:val="%8."/>
      <w:lvlJc w:val="left"/>
      <w:pPr>
        <w:ind w:left="5760" w:hanging="360"/>
      </w:pPr>
    </w:lvl>
    <w:lvl w:ilvl="8" w:tplc="66D8092A">
      <w:start w:val="1"/>
      <w:numFmt w:val="lowerRoman"/>
      <w:lvlText w:val="%9."/>
      <w:lvlJc w:val="right"/>
      <w:pPr>
        <w:ind w:left="6480" w:hanging="180"/>
      </w:pPr>
    </w:lvl>
  </w:abstractNum>
  <w:abstractNum w:abstractNumId="19" w15:restartNumberingAfterBreak="0">
    <w:nsid w:val="26859913"/>
    <w:multiLevelType w:val="hybridMultilevel"/>
    <w:tmpl w:val="8678373E"/>
    <w:lvl w:ilvl="0" w:tplc="D7E02838">
      <w:start w:val="1"/>
      <w:numFmt w:val="lowerLetter"/>
      <w:lvlText w:val="%1)"/>
      <w:lvlJc w:val="left"/>
      <w:pPr>
        <w:ind w:left="720" w:hanging="360"/>
      </w:pPr>
    </w:lvl>
    <w:lvl w:ilvl="1" w:tplc="48229778">
      <w:start w:val="1"/>
      <w:numFmt w:val="lowerLetter"/>
      <w:lvlText w:val="%2."/>
      <w:lvlJc w:val="left"/>
      <w:pPr>
        <w:ind w:left="1440" w:hanging="360"/>
      </w:pPr>
    </w:lvl>
    <w:lvl w:ilvl="2" w:tplc="665AF3CA">
      <w:start w:val="1"/>
      <w:numFmt w:val="lowerRoman"/>
      <w:lvlText w:val="%3."/>
      <w:lvlJc w:val="right"/>
      <w:pPr>
        <w:ind w:left="2160" w:hanging="180"/>
      </w:pPr>
    </w:lvl>
    <w:lvl w:ilvl="3" w:tplc="1E0ADD76">
      <w:start w:val="1"/>
      <w:numFmt w:val="decimal"/>
      <w:lvlText w:val="%4."/>
      <w:lvlJc w:val="left"/>
      <w:pPr>
        <w:ind w:left="2880" w:hanging="360"/>
      </w:pPr>
    </w:lvl>
    <w:lvl w:ilvl="4" w:tplc="89AC2194">
      <w:start w:val="1"/>
      <w:numFmt w:val="lowerLetter"/>
      <w:lvlText w:val="%5."/>
      <w:lvlJc w:val="left"/>
      <w:pPr>
        <w:ind w:left="3600" w:hanging="360"/>
      </w:pPr>
    </w:lvl>
    <w:lvl w:ilvl="5" w:tplc="A1C45364">
      <w:start w:val="1"/>
      <w:numFmt w:val="lowerRoman"/>
      <w:lvlText w:val="%6."/>
      <w:lvlJc w:val="right"/>
      <w:pPr>
        <w:ind w:left="4320" w:hanging="180"/>
      </w:pPr>
    </w:lvl>
    <w:lvl w:ilvl="6" w:tplc="A0D0F3F8">
      <w:start w:val="1"/>
      <w:numFmt w:val="decimal"/>
      <w:lvlText w:val="%7."/>
      <w:lvlJc w:val="left"/>
      <w:pPr>
        <w:ind w:left="5040" w:hanging="360"/>
      </w:pPr>
    </w:lvl>
    <w:lvl w:ilvl="7" w:tplc="F3B291AA">
      <w:start w:val="1"/>
      <w:numFmt w:val="lowerLetter"/>
      <w:lvlText w:val="%8."/>
      <w:lvlJc w:val="left"/>
      <w:pPr>
        <w:ind w:left="5760" w:hanging="360"/>
      </w:pPr>
    </w:lvl>
    <w:lvl w:ilvl="8" w:tplc="CC7AEE14">
      <w:start w:val="1"/>
      <w:numFmt w:val="lowerRoman"/>
      <w:lvlText w:val="%9."/>
      <w:lvlJc w:val="right"/>
      <w:pPr>
        <w:ind w:left="6480" w:hanging="180"/>
      </w:pPr>
    </w:lvl>
  </w:abstractNum>
  <w:abstractNum w:abstractNumId="20" w15:restartNumberingAfterBreak="0">
    <w:nsid w:val="2CC4201A"/>
    <w:multiLevelType w:val="hybridMultilevel"/>
    <w:tmpl w:val="357433F4"/>
    <w:lvl w:ilvl="0" w:tplc="A3EC35AA">
      <w:start w:val="1"/>
      <w:numFmt w:val="lowerLetter"/>
      <w:lvlText w:val="%1)"/>
      <w:lvlJc w:val="left"/>
      <w:pPr>
        <w:ind w:left="720" w:hanging="360"/>
      </w:pPr>
    </w:lvl>
    <w:lvl w:ilvl="1" w:tplc="2138ABC6">
      <w:start w:val="1"/>
      <w:numFmt w:val="lowerLetter"/>
      <w:lvlText w:val="%2."/>
      <w:lvlJc w:val="left"/>
      <w:pPr>
        <w:ind w:left="1440" w:hanging="360"/>
      </w:pPr>
    </w:lvl>
    <w:lvl w:ilvl="2" w:tplc="43BCF87E">
      <w:start w:val="1"/>
      <w:numFmt w:val="lowerRoman"/>
      <w:lvlText w:val="%3."/>
      <w:lvlJc w:val="right"/>
      <w:pPr>
        <w:ind w:left="2160" w:hanging="180"/>
      </w:pPr>
    </w:lvl>
    <w:lvl w:ilvl="3" w:tplc="7E2857BC">
      <w:start w:val="1"/>
      <w:numFmt w:val="decimal"/>
      <w:lvlText w:val="%4."/>
      <w:lvlJc w:val="left"/>
      <w:pPr>
        <w:ind w:left="2880" w:hanging="360"/>
      </w:pPr>
    </w:lvl>
    <w:lvl w:ilvl="4" w:tplc="573AC7AA">
      <w:start w:val="1"/>
      <w:numFmt w:val="lowerLetter"/>
      <w:lvlText w:val="%5."/>
      <w:lvlJc w:val="left"/>
      <w:pPr>
        <w:ind w:left="3600" w:hanging="360"/>
      </w:pPr>
    </w:lvl>
    <w:lvl w:ilvl="5" w:tplc="556A2770">
      <w:start w:val="1"/>
      <w:numFmt w:val="lowerRoman"/>
      <w:lvlText w:val="%6."/>
      <w:lvlJc w:val="right"/>
      <w:pPr>
        <w:ind w:left="4320" w:hanging="180"/>
      </w:pPr>
    </w:lvl>
    <w:lvl w:ilvl="6" w:tplc="724C4090">
      <w:start w:val="1"/>
      <w:numFmt w:val="decimal"/>
      <w:lvlText w:val="%7."/>
      <w:lvlJc w:val="left"/>
      <w:pPr>
        <w:ind w:left="5040" w:hanging="360"/>
      </w:pPr>
    </w:lvl>
    <w:lvl w:ilvl="7" w:tplc="2998FFC4">
      <w:start w:val="1"/>
      <w:numFmt w:val="lowerLetter"/>
      <w:lvlText w:val="%8."/>
      <w:lvlJc w:val="left"/>
      <w:pPr>
        <w:ind w:left="5760" w:hanging="360"/>
      </w:pPr>
    </w:lvl>
    <w:lvl w:ilvl="8" w:tplc="A2063FCC">
      <w:start w:val="1"/>
      <w:numFmt w:val="lowerRoman"/>
      <w:lvlText w:val="%9."/>
      <w:lvlJc w:val="right"/>
      <w:pPr>
        <w:ind w:left="6480" w:hanging="180"/>
      </w:pPr>
    </w:lvl>
  </w:abstractNum>
  <w:abstractNum w:abstractNumId="21" w15:restartNumberingAfterBreak="0">
    <w:nsid w:val="2E475BF1"/>
    <w:multiLevelType w:val="hybridMultilevel"/>
    <w:tmpl w:val="0D34FA4C"/>
    <w:lvl w:ilvl="0" w:tplc="B952F422">
      <w:start w:val="1"/>
      <w:numFmt w:val="lowerLetter"/>
      <w:lvlText w:val="%1)"/>
      <w:lvlJc w:val="left"/>
      <w:pPr>
        <w:ind w:left="720" w:hanging="360"/>
      </w:pPr>
    </w:lvl>
    <w:lvl w:ilvl="1" w:tplc="84702468">
      <w:start w:val="1"/>
      <w:numFmt w:val="lowerLetter"/>
      <w:lvlText w:val="%2."/>
      <w:lvlJc w:val="left"/>
      <w:pPr>
        <w:ind w:left="1440" w:hanging="360"/>
      </w:pPr>
    </w:lvl>
    <w:lvl w:ilvl="2" w:tplc="005AB968">
      <w:start w:val="1"/>
      <w:numFmt w:val="lowerRoman"/>
      <w:lvlText w:val="%3."/>
      <w:lvlJc w:val="right"/>
      <w:pPr>
        <w:ind w:left="2160" w:hanging="180"/>
      </w:pPr>
    </w:lvl>
    <w:lvl w:ilvl="3" w:tplc="424A7CA4">
      <w:start w:val="1"/>
      <w:numFmt w:val="decimal"/>
      <w:lvlText w:val="%4."/>
      <w:lvlJc w:val="left"/>
      <w:pPr>
        <w:ind w:left="2880" w:hanging="360"/>
      </w:pPr>
    </w:lvl>
    <w:lvl w:ilvl="4" w:tplc="1360AD2A">
      <w:start w:val="1"/>
      <w:numFmt w:val="lowerLetter"/>
      <w:lvlText w:val="%5."/>
      <w:lvlJc w:val="left"/>
      <w:pPr>
        <w:ind w:left="3600" w:hanging="360"/>
      </w:pPr>
    </w:lvl>
    <w:lvl w:ilvl="5" w:tplc="D0362EA2">
      <w:start w:val="1"/>
      <w:numFmt w:val="lowerRoman"/>
      <w:lvlText w:val="%6."/>
      <w:lvlJc w:val="right"/>
      <w:pPr>
        <w:ind w:left="4320" w:hanging="180"/>
      </w:pPr>
    </w:lvl>
    <w:lvl w:ilvl="6" w:tplc="81D65AEA">
      <w:start w:val="1"/>
      <w:numFmt w:val="decimal"/>
      <w:lvlText w:val="%7."/>
      <w:lvlJc w:val="left"/>
      <w:pPr>
        <w:ind w:left="5040" w:hanging="360"/>
      </w:pPr>
    </w:lvl>
    <w:lvl w:ilvl="7" w:tplc="2ABA883C">
      <w:start w:val="1"/>
      <w:numFmt w:val="lowerLetter"/>
      <w:lvlText w:val="%8."/>
      <w:lvlJc w:val="left"/>
      <w:pPr>
        <w:ind w:left="5760" w:hanging="360"/>
      </w:pPr>
    </w:lvl>
    <w:lvl w:ilvl="8" w:tplc="F036EB5C">
      <w:start w:val="1"/>
      <w:numFmt w:val="lowerRoman"/>
      <w:lvlText w:val="%9."/>
      <w:lvlJc w:val="right"/>
      <w:pPr>
        <w:ind w:left="6480" w:hanging="180"/>
      </w:pPr>
    </w:lvl>
  </w:abstractNum>
  <w:abstractNum w:abstractNumId="22" w15:restartNumberingAfterBreak="0">
    <w:nsid w:val="35AB0BCF"/>
    <w:multiLevelType w:val="hybridMultilevel"/>
    <w:tmpl w:val="5144F646"/>
    <w:lvl w:ilvl="0" w:tplc="667AD806">
      <w:start w:val="1"/>
      <w:numFmt w:val="lowerLetter"/>
      <w:lvlText w:val="%1)"/>
      <w:lvlJc w:val="left"/>
      <w:pPr>
        <w:ind w:left="720" w:hanging="360"/>
      </w:pPr>
    </w:lvl>
    <w:lvl w:ilvl="1" w:tplc="140A0F62">
      <w:start w:val="1"/>
      <w:numFmt w:val="lowerLetter"/>
      <w:lvlText w:val="%2."/>
      <w:lvlJc w:val="left"/>
      <w:pPr>
        <w:ind w:left="1440" w:hanging="360"/>
      </w:pPr>
    </w:lvl>
    <w:lvl w:ilvl="2" w:tplc="82E408B0">
      <w:start w:val="1"/>
      <w:numFmt w:val="lowerRoman"/>
      <w:lvlText w:val="%3."/>
      <w:lvlJc w:val="right"/>
      <w:pPr>
        <w:ind w:left="2160" w:hanging="180"/>
      </w:pPr>
    </w:lvl>
    <w:lvl w:ilvl="3" w:tplc="C2A0E87E">
      <w:start w:val="1"/>
      <w:numFmt w:val="decimal"/>
      <w:lvlText w:val="%4."/>
      <w:lvlJc w:val="left"/>
      <w:pPr>
        <w:ind w:left="2880" w:hanging="360"/>
      </w:pPr>
    </w:lvl>
    <w:lvl w:ilvl="4" w:tplc="D8A2786A">
      <w:start w:val="1"/>
      <w:numFmt w:val="lowerLetter"/>
      <w:lvlText w:val="%5."/>
      <w:lvlJc w:val="left"/>
      <w:pPr>
        <w:ind w:left="3600" w:hanging="360"/>
      </w:pPr>
    </w:lvl>
    <w:lvl w:ilvl="5" w:tplc="DC72C1E4">
      <w:start w:val="1"/>
      <w:numFmt w:val="lowerRoman"/>
      <w:lvlText w:val="%6."/>
      <w:lvlJc w:val="right"/>
      <w:pPr>
        <w:ind w:left="4320" w:hanging="180"/>
      </w:pPr>
    </w:lvl>
    <w:lvl w:ilvl="6" w:tplc="C610C642">
      <w:start w:val="1"/>
      <w:numFmt w:val="decimal"/>
      <w:lvlText w:val="%7."/>
      <w:lvlJc w:val="left"/>
      <w:pPr>
        <w:ind w:left="5040" w:hanging="360"/>
      </w:pPr>
    </w:lvl>
    <w:lvl w:ilvl="7" w:tplc="85EE96BC">
      <w:start w:val="1"/>
      <w:numFmt w:val="lowerLetter"/>
      <w:lvlText w:val="%8."/>
      <w:lvlJc w:val="left"/>
      <w:pPr>
        <w:ind w:left="5760" w:hanging="360"/>
      </w:pPr>
    </w:lvl>
    <w:lvl w:ilvl="8" w:tplc="55A40796">
      <w:start w:val="1"/>
      <w:numFmt w:val="lowerRoman"/>
      <w:lvlText w:val="%9."/>
      <w:lvlJc w:val="right"/>
      <w:pPr>
        <w:ind w:left="6480" w:hanging="180"/>
      </w:pPr>
    </w:lvl>
  </w:abstractNum>
  <w:abstractNum w:abstractNumId="23" w15:restartNumberingAfterBreak="0">
    <w:nsid w:val="36A7743B"/>
    <w:multiLevelType w:val="hybridMultilevel"/>
    <w:tmpl w:val="165289D8"/>
    <w:lvl w:ilvl="0" w:tplc="F0DA9F18">
      <w:start w:val="1"/>
      <w:numFmt w:val="bullet"/>
      <w:pStyle w:val="Bullet2G"/>
      <w:lvlText w:val="•"/>
      <w:lvlJc w:val="left"/>
      <w:pPr>
        <w:tabs>
          <w:tab w:val="num" w:pos="2268"/>
        </w:tabs>
        <w:ind w:left="2268" w:hanging="170"/>
      </w:pPr>
      <w:rPr>
        <w:rFonts w:ascii="Times New Roman" w:hAnsi="Times New Roman" w:cs="Times New Roman" w:hint="default"/>
      </w:rPr>
    </w:lvl>
    <w:lvl w:ilvl="1" w:tplc="F2E02D5C" w:tentative="1">
      <w:start w:val="1"/>
      <w:numFmt w:val="bullet"/>
      <w:lvlText w:val="o"/>
      <w:lvlJc w:val="left"/>
      <w:pPr>
        <w:tabs>
          <w:tab w:val="num" w:pos="1440"/>
        </w:tabs>
        <w:ind w:left="1440" w:hanging="360"/>
      </w:pPr>
      <w:rPr>
        <w:rFonts w:ascii="Courier New" w:hAnsi="Courier New" w:hint="default"/>
      </w:rPr>
    </w:lvl>
    <w:lvl w:ilvl="2" w:tplc="6E7ACBA0" w:tentative="1">
      <w:start w:val="1"/>
      <w:numFmt w:val="bullet"/>
      <w:lvlText w:val=""/>
      <w:lvlJc w:val="left"/>
      <w:pPr>
        <w:tabs>
          <w:tab w:val="num" w:pos="2160"/>
        </w:tabs>
        <w:ind w:left="2160" w:hanging="360"/>
      </w:pPr>
      <w:rPr>
        <w:rFonts w:ascii="Wingdings" w:hAnsi="Wingdings" w:hint="default"/>
      </w:rPr>
    </w:lvl>
    <w:lvl w:ilvl="3" w:tplc="6A4C617C" w:tentative="1">
      <w:start w:val="1"/>
      <w:numFmt w:val="bullet"/>
      <w:lvlText w:val=""/>
      <w:lvlJc w:val="left"/>
      <w:pPr>
        <w:tabs>
          <w:tab w:val="num" w:pos="2880"/>
        </w:tabs>
        <w:ind w:left="2880" w:hanging="360"/>
      </w:pPr>
      <w:rPr>
        <w:rFonts w:ascii="Symbol" w:hAnsi="Symbol" w:hint="default"/>
      </w:rPr>
    </w:lvl>
    <w:lvl w:ilvl="4" w:tplc="635C48BE" w:tentative="1">
      <w:start w:val="1"/>
      <w:numFmt w:val="bullet"/>
      <w:lvlText w:val="o"/>
      <w:lvlJc w:val="left"/>
      <w:pPr>
        <w:tabs>
          <w:tab w:val="num" w:pos="3600"/>
        </w:tabs>
        <w:ind w:left="3600" w:hanging="360"/>
      </w:pPr>
      <w:rPr>
        <w:rFonts w:ascii="Courier New" w:hAnsi="Courier New" w:hint="default"/>
      </w:rPr>
    </w:lvl>
    <w:lvl w:ilvl="5" w:tplc="3864E492" w:tentative="1">
      <w:start w:val="1"/>
      <w:numFmt w:val="bullet"/>
      <w:lvlText w:val=""/>
      <w:lvlJc w:val="left"/>
      <w:pPr>
        <w:tabs>
          <w:tab w:val="num" w:pos="4320"/>
        </w:tabs>
        <w:ind w:left="4320" w:hanging="360"/>
      </w:pPr>
      <w:rPr>
        <w:rFonts w:ascii="Wingdings" w:hAnsi="Wingdings" w:hint="default"/>
      </w:rPr>
    </w:lvl>
    <w:lvl w:ilvl="6" w:tplc="46B048A8" w:tentative="1">
      <w:start w:val="1"/>
      <w:numFmt w:val="bullet"/>
      <w:lvlText w:val=""/>
      <w:lvlJc w:val="left"/>
      <w:pPr>
        <w:tabs>
          <w:tab w:val="num" w:pos="5040"/>
        </w:tabs>
        <w:ind w:left="5040" w:hanging="360"/>
      </w:pPr>
      <w:rPr>
        <w:rFonts w:ascii="Symbol" w:hAnsi="Symbol" w:hint="default"/>
      </w:rPr>
    </w:lvl>
    <w:lvl w:ilvl="7" w:tplc="CCD47490" w:tentative="1">
      <w:start w:val="1"/>
      <w:numFmt w:val="bullet"/>
      <w:lvlText w:val="o"/>
      <w:lvlJc w:val="left"/>
      <w:pPr>
        <w:tabs>
          <w:tab w:val="num" w:pos="5760"/>
        </w:tabs>
        <w:ind w:left="5760" w:hanging="360"/>
      </w:pPr>
      <w:rPr>
        <w:rFonts w:ascii="Courier New" w:hAnsi="Courier New" w:hint="default"/>
      </w:rPr>
    </w:lvl>
    <w:lvl w:ilvl="8" w:tplc="2744DAF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E3BCBF0"/>
    <w:multiLevelType w:val="hybridMultilevel"/>
    <w:tmpl w:val="6D2C88FC"/>
    <w:lvl w:ilvl="0" w:tplc="9B0E05F6">
      <w:start w:val="1"/>
      <w:numFmt w:val="lowerLetter"/>
      <w:lvlText w:val="%1)"/>
      <w:lvlJc w:val="left"/>
      <w:pPr>
        <w:ind w:left="720" w:hanging="360"/>
      </w:pPr>
    </w:lvl>
    <w:lvl w:ilvl="1" w:tplc="2AA67FC8">
      <w:start w:val="1"/>
      <w:numFmt w:val="lowerLetter"/>
      <w:lvlText w:val="%2."/>
      <w:lvlJc w:val="left"/>
      <w:pPr>
        <w:ind w:left="1440" w:hanging="360"/>
      </w:pPr>
    </w:lvl>
    <w:lvl w:ilvl="2" w:tplc="A6FEFF4C">
      <w:start w:val="1"/>
      <w:numFmt w:val="lowerRoman"/>
      <w:lvlText w:val="%3."/>
      <w:lvlJc w:val="right"/>
      <w:pPr>
        <w:ind w:left="2160" w:hanging="180"/>
      </w:pPr>
    </w:lvl>
    <w:lvl w:ilvl="3" w:tplc="D41CF160">
      <w:start w:val="1"/>
      <w:numFmt w:val="decimal"/>
      <w:lvlText w:val="%4."/>
      <w:lvlJc w:val="left"/>
      <w:pPr>
        <w:ind w:left="2880" w:hanging="360"/>
      </w:pPr>
    </w:lvl>
    <w:lvl w:ilvl="4" w:tplc="A6EE75E2">
      <w:start w:val="1"/>
      <w:numFmt w:val="lowerLetter"/>
      <w:lvlText w:val="%5."/>
      <w:lvlJc w:val="left"/>
      <w:pPr>
        <w:ind w:left="3600" w:hanging="360"/>
      </w:pPr>
    </w:lvl>
    <w:lvl w:ilvl="5" w:tplc="FD2C104A">
      <w:start w:val="1"/>
      <w:numFmt w:val="lowerRoman"/>
      <w:lvlText w:val="%6."/>
      <w:lvlJc w:val="right"/>
      <w:pPr>
        <w:ind w:left="4320" w:hanging="180"/>
      </w:pPr>
    </w:lvl>
    <w:lvl w:ilvl="6" w:tplc="2B36434C">
      <w:start w:val="1"/>
      <w:numFmt w:val="decimal"/>
      <w:lvlText w:val="%7."/>
      <w:lvlJc w:val="left"/>
      <w:pPr>
        <w:ind w:left="5040" w:hanging="360"/>
      </w:pPr>
    </w:lvl>
    <w:lvl w:ilvl="7" w:tplc="0DB090B2">
      <w:start w:val="1"/>
      <w:numFmt w:val="lowerLetter"/>
      <w:lvlText w:val="%8."/>
      <w:lvlJc w:val="left"/>
      <w:pPr>
        <w:ind w:left="5760" w:hanging="360"/>
      </w:pPr>
    </w:lvl>
    <w:lvl w:ilvl="8" w:tplc="7948394C">
      <w:start w:val="1"/>
      <w:numFmt w:val="lowerRoman"/>
      <w:lvlText w:val="%9."/>
      <w:lvlJc w:val="right"/>
      <w:pPr>
        <w:ind w:left="6480" w:hanging="180"/>
      </w:pPr>
    </w:lvl>
  </w:abstractNum>
  <w:abstractNum w:abstractNumId="25" w15:restartNumberingAfterBreak="0">
    <w:nsid w:val="42400A1E"/>
    <w:multiLevelType w:val="hybridMultilevel"/>
    <w:tmpl w:val="CDD84EB2"/>
    <w:lvl w:ilvl="0" w:tplc="8C1451F0">
      <w:start w:val="1"/>
      <w:numFmt w:val="lowerLetter"/>
      <w:lvlText w:val="%1)"/>
      <w:lvlJc w:val="left"/>
      <w:pPr>
        <w:ind w:left="720" w:hanging="360"/>
      </w:pPr>
    </w:lvl>
    <w:lvl w:ilvl="1" w:tplc="D5722D74">
      <w:start w:val="1"/>
      <w:numFmt w:val="lowerLetter"/>
      <w:lvlText w:val="%2."/>
      <w:lvlJc w:val="left"/>
      <w:pPr>
        <w:ind w:left="1440" w:hanging="360"/>
      </w:pPr>
    </w:lvl>
    <w:lvl w:ilvl="2" w:tplc="32821A14">
      <w:start w:val="1"/>
      <w:numFmt w:val="lowerRoman"/>
      <w:lvlText w:val="%3."/>
      <w:lvlJc w:val="right"/>
      <w:pPr>
        <w:ind w:left="2160" w:hanging="180"/>
      </w:pPr>
    </w:lvl>
    <w:lvl w:ilvl="3" w:tplc="C316A940">
      <w:start w:val="1"/>
      <w:numFmt w:val="decimal"/>
      <w:lvlText w:val="%4."/>
      <w:lvlJc w:val="left"/>
      <w:pPr>
        <w:ind w:left="2880" w:hanging="360"/>
      </w:pPr>
    </w:lvl>
    <w:lvl w:ilvl="4" w:tplc="73CE4986">
      <w:start w:val="1"/>
      <w:numFmt w:val="lowerLetter"/>
      <w:lvlText w:val="%5."/>
      <w:lvlJc w:val="left"/>
      <w:pPr>
        <w:ind w:left="3600" w:hanging="360"/>
      </w:pPr>
    </w:lvl>
    <w:lvl w:ilvl="5" w:tplc="ED3A597A">
      <w:start w:val="1"/>
      <w:numFmt w:val="lowerRoman"/>
      <w:lvlText w:val="%6."/>
      <w:lvlJc w:val="right"/>
      <w:pPr>
        <w:ind w:left="4320" w:hanging="180"/>
      </w:pPr>
    </w:lvl>
    <w:lvl w:ilvl="6" w:tplc="0952C896">
      <w:start w:val="1"/>
      <w:numFmt w:val="decimal"/>
      <w:lvlText w:val="%7."/>
      <w:lvlJc w:val="left"/>
      <w:pPr>
        <w:ind w:left="5040" w:hanging="360"/>
      </w:pPr>
    </w:lvl>
    <w:lvl w:ilvl="7" w:tplc="9CB68CB0">
      <w:start w:val="1"/>
      <w:numFmt w:val="lowerLetter"/>
      <w:lvlText w:val="%8."/>
      <w:lvlJc w:val="left"/>
      <w:pPr>
        <w:ind w:left="5760" w:hanging="360"/>
      </w:pPr>
    </w:lvl>
    <w:lvl w:ilvl="8" w:tplc="CA387F32">
      <w:start w:val="1"/>
      <w:numFmt w:val="lowerRoman"/>
      <w:lvlText w:val="%9."/>
      <w:lvlJc w:val="right"/>
      <w:pPr>
        <w:ind w:left="6480" w:hanging="180"/>
      </w:pPr>
    </w:lvl>
  </w:abstractNum>
  <w:abstractNum w:abstractNumId="26" w15:restartNumberingAfterBreak="0">
    <w:nsid w:val="4633EF9B"/>
    <w:multiLevelType w:val="hybridMultilevel"/>
    <w:tmpl w:val="DCA43FC2"/>
    <w:lvl w:ilvl="0" w:tplc="74345150">
      <w:start w:val="1"/>
      <w:numFmt w:val="lowerLetter"/>
      <w:lvlText w:val="%1)"/>
      <w:lvlJc w:val="left"/>
      <w:pPr>
        <w:ind w:left="720" w:hanging="360"/>
      </w:pPr>
    </w:lvl>
    <w:lvl w:ilvl="1" w:tplc="DAB86272">
      <w:start w:val="1"/>
      <w:numFmt w:val="lowerLetter"/>
      <w:lvlText w:val="%2."/>
      <w:lvlJc w:val="left"/>
      <w:pPr>
        <w:ind w:left="1440" w:hanging="360"/>
      </w:pPr>
    </w:lvl>
    <w:lvl w:ilvl="2" w:tplc="1B30737C">
      <w:start w:val="1"/>
      <w:numFmt w:val="lowerRoman"/>
      <w:lvlText w:val="%3."/>
      <w:lvlJc w:val="right"/>
      <w:pPr>
        <w:ind w:left="2160" w:hanging="180"/>
      </w:pPr>
    </w:lvl>
    <w:lvl w:ilvl="3" w:tplc="EAAC5F04">
      <w:start w:val="1"/>
      <w:numFmt w:val="decimal"/>
      <w:lvlText w:val="%4."/>
      <w:lvlJc w:val="left"/>
      <w:pPr>
        <w:ind w:left="2880" w:hanging="360"/>
      </w:pPr>
    </w:lvl>
    <w:lvl w:ilvl="4" w:tplc="745C5E60">
      <w:start w:val="1"/>
      <w:numFmt w:val="lowerLetter"/>
      <w:lvlText w:val="%5."/>
      <w:lvlJc w:val="left"/>
      <w:pPr>
        <w:ind w:left="3600" w:hanging="360"/>
      </w:pPr>
    </w:lvl>
    <w:lvl w:ilvl="5" w:tplc="0492C4A4">
      <w:start w:val="1"/>
      <w:numFmt w:val="lowerRoman"/>
      <w:lvlText w:val="%6."/>
      <w:lvlJc w:val="right"/>
      <w:pPr>
        <w:ind w:left="4320" w:hanging="180"/>
      </w:pPr>
    </w:lvl>
    <w:lvl w:ilvl="6" w:tplc="42F4156E">
      <w:start w:val="1"/>
      <w:numFmt w:val="decimal"/>
      <w:lvlText w:val="%7."/>
      <w:lvlJc w:val="left"/>
      <w:pPr>
        <w:ind w:left="5040" w:hanging="360"/>
      </w:pPr>
    </w:lvl>
    <w:lvl w:ilvl="7" w:tplc="97E23DDE">
      <w:start w:val="1"/>
      <w:numFmt w:val="lowerLetter"/>
      <w:lvlText w:val="%8."/>
      <w:lvlJc w:val="left"/>
      <w:pPr>
        <w:ind w:left="5760" w:hanging="360"/>
      </w:pPr>
    </w:lvl>
    <w:lvl w:ilvl="8" w:tplc="EABE21D0">
      <w:start w:val="1"/>
      <w:numFmt w:val="lowerRoman"/>
      <w:lvlText w:val="%9."/>
      <w:lvlJc w:val="right"/>
      <w:pPr>
        <w:ind w:left="6480" w:hanging="180"/>
      </w:pPr>
    </w:lvl>
  </w:abstractNum>
  <w:abstractNum w:abstractNumId="27" w15:restartNumberingAfterBreak="0">
    <w:nsid w:val="4E9E2ADE"/>
    <w:multiLevelType w:val="hybridMultilevel"/>
    <w:tmpl w:val="3A7AAB46"/>
    <w:lvl w:ilvl="0" w:tplc="D20E0F0A">
      <w:start w:val="1"/>
      <w:numFmt w:val="decimal"/>
      <w:lvlText w:val="%1."/>
      <w:lvlJc w:val="left"/>
      <w:pPr>
        <w:ind w:left="720" w:hanging="360"/>
      </w:pPr>
    </w:lvl>
    <w:lvl w:ilvl="1" w:tplc="44AC0496">
      <w:start w:val="1"/>
      <w:numFmt w:val="lowerLetter"/>
      <w:lvlText w:val="%2)"/>
      <w:lvlJc w:val="left"/>
      <w:pPr>
        <w:ind w:left="1440" w:hanging="360"/>
      </w:pPr>
    </w:lvl>
    <w:lvl w:ilvl="2" w:tplc="6CA0998C">
      <w:start w:val="1"/>
      <w:numFmt w:val="lowerRoman"/>
      <w:lvlText w:val="%3)"/>
      <w:lvlJc w:val="right"/>
      <w:pPr>
        <w:ind w:left="2160" w:hanging="180"/>
      </w:pPr>
    </w:lvl>
    <w:lvl w:ilvl="3" w:tplc="15DC0164">
      <w:start w:val="1"/>
      <w:numFmt w:val="decimal"/>
      <w:lvlText w:val="(%4)"/>
      <w:lvlJc w:val="left"/>
      <w:pPr>
        <w:ind w:left="2880" w:hanging="360"/>
      </w:pPr>
    </w:lvl>
    <w:lvl w:ilvl="4" w:tplc="A0BE10D6">
      <w:start w:val="1"/>
      <w:numFmt w:val="lowerLetter"/>
      <w:lvlText w:val="(%5)"/>
      <w:lvlJc w:val="left"/>
      <w:pPr>
        <w:ind w:left="3600" w:hanging="360"/>
      </w:pPr>
    </w:lvl>
    <w:lvl w:ilvl="5" w:tplc="44422920">
      <w:start w:val="1"/>
      <w:numFmt w:val="lowerRoman"/>
      <w:lvlText w:val="(%6)"/>
      <w:lvlJc w:val="right"/>
      <w:pPr>
        <w:ind w:left="4320" w:hanging="180"/>
      </w:pPr>
    </w:lvl>
    <w:lvl w:ilvl="6" w:tplc="3F6ED7A4">
      <w:start w:val="1"/>
      <w:numFmt w:val="decimal"/>
      <w:lvlText w:val="%7."/>
      <w:lvlJc w:val="left"/>
      <w:pPr>
        <w:ind w:left="5040" w:hanging="360"/>
      </w:pPr>
    </w:lvl>
    <w:lvl w:ilvl="7" w:tplc="6DF02D52">
      <w:start w:val="1"/>
      <w:numFmt w:val="lowerLetter"/>
      <w:lvlText w:val="%8."/>
      <w:lvlJc w:val="left"/>
      <w:pPr>
        <w:ind w:left="5760" w:hanging="360"/>
      </w:pPr>
    </w:lvl>
    <w:lvl w:ilvl="8" w:tplc="0B66A860">
      <w:start w:val="1"/>
      <w:numFmt w:val="lowerRoman"/>
      <w:lvlText w:val="%9."/>
      <w:lvlJc w:val="right"/>
      <w:pPr>
        <w:ind w:left="6480" w:hanging="180"/>
      </w:pPr>
    </w:lvl>
  </w:abstractNum>
  <w:abstractNum w:abstractNumId="28"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26FA1D6"/>
    <w:multiLevelType w:val="hybridMultilevel"/>
    <w:tmpl w:val="D05C096C"/>
    <w:lvl w:ilvl="0" w:tplc="F32A29C2">
      <w:start w:val="1"/>
      <w:numFmt w:val="lowerLetter"/>
      <w:lvlText w:val="%1)"/>
      <w:lvlJc w:val="left"/>
      <w:pPr>
        <w:ind w:left="720" w:hanging="360"/>
      </w:pPr>
    </w:lvl>
    <w:lvl w:ilvl="1" w:tplc="46023080">
      <w:start w:val="1"/>
      <w:numFmt w:val="lowerLetter"/>
      <w:lvlText w:val="%2."/>
      <w:lvlJc w:val="left"/>
      <w:pPr>
        <w:ind w:left="1440" w:hanging="360"/>
      </w:pPr>
    </w:lvl>
    <w:lvl w:ilvl="2" w:tplc="E74014E8">
      <w:start w:val="1"/>
      <w:numFmt w:val="lowerRoman"/>
      <w:lvlText w:val="%3."/>
      <w:lvlJc w:val="right"/>
      <w:pPr>
        <w:ind w:left="2160" w:hanging="180"/>
      </w:pPr>
    </w:lvl>
    <w:lvl w:ilvl="3" w:tplc="6ADE65F0">
      <w:start w:val="1"/>
      <w:numFmt w:val="decimal"/>
      <w:lvlText w:val="%4."/>
      <w:lvlJc w:val="left"/>
      <w:pPr>
        <w:ind w:left="2880" w:hanging="360"/>
      </w:pPr>
    </w:lvl>
    <w:lvl w:ilvl="4" w:tplc="2594EE6C">
      <w:start w:val="1"/>
      <w:numFmt w:val="lowerLetter"/>
      <w:lvlText w:val="%5."/>
      <w:lvlJc w:val="left"/>
      <w:pPr>
        <w:ind w:left="3600" w:hanging="360"/>
      </w:pPr>
    </w:lvl>
    <w:lvl w:ilvl="5" w:tplc="5498D048">
      <w:start w:val="1"/>
      <w:numFmt w:val="lowerRoman"/>
      <w:lvlText w:val="%6."/>
      <w:lvlJc w:val="right"/>
      <w:pPr>
        <w:ind w:left="4320" w:hanging="180"/>
      </w:pPr>
    </w:lvl>
    <w:lvl w:ilvl="6" w:tplc="0FE06912">
      <w:start w:val="1"/>
      <w:numFmt w:val="decimal"/>
      <w:lvlText w:val="%7."/>
      <w:lvlJc w:val="left"/>
      <w:pPr>
        <w:ind w:left="5040" w:hanging="360"/>
      </w:pPr>
    </w:lvl>
    <w:lvl w:ilvl="7" w:tplc="384E904A">
      <w:start w:val="1"/>
      <w:numFmt w:val="lowerLetter"/>
      <w:lvlText w:val="%8."/>
      <w:lvlJc w:val="left"/>
      <w:pPr>
        <w:ind w:left="5760" w:hanging="360"/>
      </w:pPr>
    </w:lvl>
    <w:lvl w:ilvl="8" w:tplc="E8A0F770">
      <w:start w:val="1"/>
      <w:numFmt w:val="lowerRoman"/>
      <w:lvlText w:val="%9."/>
      <w:lvlJc w:val="right"/>
      <w:pPr>
        <w:ind w:left="6480" w:hanging="180"/>
      </w:pPr>
    </w:lvl>
  </w:abstractNum>
  <w:abstractNum w:abstractNumId="30" w15:restartNumberingAfterBreak="0">
    <w:nsid w:val="661EF8F1"/>
    <w:multiLevelType w:val="hybridMultilevel"/>
    <w:tmpl w:val="8C38A128"/>
    <w:lvl w:ilvl="0" w:tplc="12CA382E">
      <w:start w:val="1"/>
      <w:numFmt w:val="lowerLetter"/>
      <w:lvlText w:val="%1)"/>
      <w:lvlJc w:val="left"/>
      <w:pPr>
        <w:ind w:left="720" w:hanging="360"/>
      </w:pPr>
    </w:lvl>
    <w:lvl w:ilvl="1" w:tplc="B586625A">
      <w:start w:val="1"/>
      <w:numFmt w:val="lowerLetter"/>
      <w:lvlText w:val="%2."/>
      <w:lvlJc w:val="left"/>
      <w:pPr>
        <w:ind w:left="1440" w:hanging="360"/>
      </w:pPr>
    </w:lvl>
    <w:lvl w:ilvl="2" w:tplc="9AC4C8E0">
      <w:start w:val="1"/>
      <w:numFmt w:val="lowerRoman"/>
      <w:lvlText w:val="%3."/>
      <w:lvlJc w:val="right"/>
      <w:pPr>
        <w:ind w:left="2160" w:hanging="180"/>
      </w:pPr>
    </w:lvl>
    <w:lvl w:ilvl="3" w:tplc="C24A117E">
      <w:start w:val="1"/>
      <w:numFmt w:val="decimal"/>
      <w:lvlText w:val="%4."/>
      <w:lvlJc w:val="left"/>
      <w:pPr>
        <w:ind w:left="2880" w:hanging="360"/>
      </w:pPr>
    </w:lvl>
    <w:lvl w:ilvl="4" w:tplc="6C1AB0C4">
      <w:start w:val="1"/>
      <w:numFmt w:val="lowerLetter"/>
      <w:lvlText w:val="%5."/>
      <w:lvlJc w:val="left"/>
      <w:pPr>
        <w:ind w:left="3600" w:hanging="360"/>
      </w:pPr>
    </w:lvl>
    <w:lvl w:ilvl="5" w:tplc="E5D4A4F0">
      <w:start w:val="1"/>
      <w:numFmt w:val="lowerRoman"/>
      <w:lvlText w:val="%6."/>
      <w:lvlJc w:val="right"/>
      <w:pPr>
        <w:ind w:left="4320" w:hanging="180"/>
      </w:pPr>
    </w:lvl>
    <w:lvl w:ilvl="6" w:tplc="0254A3F4">
      <w:start w:val="1"/>
      <w:numFmt w:val="decimal"/>
      <w:lvlText w:val="%7."/>
      <w:lvlJc w:val="left"/>
      <w:pPr>
        <w:ind w:left="5040" w:hanging="360"/>
      </w:pPr>
    </w:lvl>
    <w:lvl w:ilvl="7" w:tplc="60D8CC7C">
      <w:start w:val="1"/>
      <w:numFmt w:val="lowerLetter"/>
      <w:lvlText w:val="%8."/>
      <w:lvlJc w:val="left"/>
      <w:pPr>
        <w:ind w:left="5760" w:hanging="360"/>
      </w:pPr>
    </w:lvl>
    <w:lvl w:ilvl="8" w:tplc="54CC9A88">
      <w:start w:val="1"/>
      <w:numFmt w:val="lowerRoman"/>
      <w:lvlText w:val="%9."/>
      <w:lvlJc w:val="right"/>
      <w:pPr>
        <w:ind w:left="6480" w:hanging="180"/>
      </w:pPr>
    </w:lvl>
  </w:abstractNum>
  <w:abstractNum w:abstractNumId="31" w15:restartNumberingAfterBreak="0">
    <w:nsid w:val="6AFD3DE4"/>
    <w:multiLevelType w:val="hybridMultilevel"/>
    <w:tmpl w:val="569E52D4"/>
    <w:lvl w:ilvl="0" w:tplc="B44C41FC">
      <w:start w:val="1"/>
      <w:numFmt w:val="bullet"/>
      <w:pStyle w:val="Bullet1G"/>
      <w:lvlText w:val="•"/>
      <w:lvlJc w:val="left"/>
      <w:pPr>
        <w:tabs>
          <w:tab w:val="num" w:pos="1701"/>
        </w:tabs>
        <w:ind w:left="1701" w:hanging="170"/>
      </w:pPr>
      <w:rPr>
        <w:rFonts w:ascii="Times New Roman" w:hAnsi="Times New Roman" w:cs="Times New Roman" w:hint="default"/>
      </w:rPr>
    </w:lvl>
    <w:lvl w:ilvl="1" w:tplc="E60C1EAA" w:tentative="1">
      <w:start w:val="1"/>
      <w:numFmt w:val="bullet"/>
      <w:lvlText w:val="o"/>
      <w:lvlJc w:val="left"/>
      <w:pPr>
        <w:tabs>
          <w:tab w:val="num" w:pos="1440"/>
        </w:tabs>
        <w:ind w:left="1440" w:hanging="360"/>
      </w:pPr>
      <w:rPr>
        <w:rFonts w:ascii="Courier New" w:hAnsi="Courier New" w:hint="default"/>
      </w:rPr>
    </w:lvl>
    <w:lvl w:ilvl="2" w:tplc="A8ECDE62" w:tentative="1">
      <w:start w:val="1"/>
      <w:numFmt w:val="bullet"/>
      <w:lvlText w:val=""/>
      <w:lvlJc w:val="left"/>
      <w:pPr>
        <w:tabs>
          <w:tab w:val="num" w:pos="2160"/>
        </w:tabs>
        <w:ind w:left="2160" w:hanging="360"/>
      </w:pPr>
      <w:rPr>
        <w:rFonts w:ascii="Wingdings" w:hAnsi="Wingdings" w:hint="default"/>
      </w:rPr>
    </w:lvl>
    <w:lvl w:ilvl="3" w:tplc="F9F4AD3E" w:tentative="1">
      <w:start w:val="1"/>
      <w:numFmt w:val="bullet"/>
      <w:lvlText w:val=""/>
      <w:lvlJc w:val="left"/>
      <w:pPr>
        <w:tabs>
          <w:tab w:val="num" w:pos="2880"/>
        </w:tabs>
        <w:ind w:left="2880" w:hanging="360"/>
      </w:pPr>
      <w:rPr>
        <w:rFonts w:ascii="Symbol" w:hAnsi="Symbol" w:hint="default"/>
      </w:rPr>
    </w:lvl>
    <w:lvl w:ilvl="4" w:tplc="BE6CBE9E" w:tentative="1">
      <w:start w:val="1"/>
      <w:numFmt w:val="bullet"/>
      <w:lvlText w:val="o"/>
      <w:lvlJc w:val="left"/>
      <w:pPr>
        <w:tabs>
          <w:tab w:val="num" w:pos="3600"/>
        </w:tabs>
        <w:ind w:left="3600" w:hanging="360"/>
      </w:pPr>
      <w:rPr>
        <w:rFonts w:ascii="Courier New" w:hAnsi="Courier New" w:hint="default"/>
      </w:rPr>
    </w:lvl>
    <w:lvl w:ilvl="5" w:tplc="5890190E" w:tentative="1">
      <w:start w:val="1"/>
      <w:numFmt w:val="bullet"/>
      <w:lvlText w:val=""/>
      <w:lvlJc w:val="left"/>
      <w:pPr>
        <w:tabs>
          <w:tab w:val="num" w:pos="4320"/>
        </w:tabs>
        <w:ind w:left="4320" w:hanging="360"/>
      </w:pPr>
      <w:rPr>
        <w:rFonts w:ascii="Wingdings" w:hAnsi="Wingdings" w:hint="default"/>
      </w:rPr>
    </w:lvl>
    <w:lvl w:ilvl="6" w:tplc="70CCBE7C" w:tentative="1">
      <w:start w:val="1"/>
      <w:numFmt w:val="bullet"/>
      <w:lvlText w:val=""/>
      <w:lvlJc w:val="left"/>
      <w:pPr>
        <w:tabs>
          <w:tab w:val="num" w:pos="5040"/>
        </w:tabs>
        <w:ind w:left="5040" w:hanging="360"/>
      </w:pPr>
      <w:rPr>
        <w:rFonts w:ascii="Symbol" w:hAnsi="Symbol" w:hint="default"/>
      </w:rPr>
    </w:lvl>
    <w:lvl w:ilvl="7" w:tplc="3300F378" w:tentative="1">
      <w:start w:val="1"/>
      <w:numFmt w:val="bullet"/>
      <w:lvlText w:val="o"/>
      <w:lvlJc w:val="left"/>
      <w:pPr>
        <w:tabs>
          <w:tab w:val="num" w:pos="5760"/>
        </w:tabs>
        <w:ind w:left="5760" w:hanging="360"/>
      </w:pPr>
      <w:rPr>
        <w:rFonts w:ascii="Courier New" w:hAnsi="Courier New" w:hint="default"/>
      </w:rPr>
    </w:lvl>
    <w:lvl w:ilvl="8" w:tplc="C92051AE"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FC783A"/>
    <w:multiLevelType w:val="hybridMultilevel"/>
    <w:tmpl w:val="47F2A0DC"/>
    <w:lvl w:ilvl="0" w:tplc="B88C7F24">
      <w:start w:val="1"/>
      <w:numFmt w:val="lowerLetter"/>
      <w:lvlText w:val="%1)"/>
      <w:lvlJc w:val="left"/>
      <w:pPr>
        <w:ind w:left="720" w:hanging="360"/>
      </w:pPr>
    </w:lvl>
    <w:lvl w:ilvl="1" w:tplc="1EB423B6">
      <w:start w:val="1"/>
      <w:numFmt w:val="lowerLetter"/>
      <w:lvlText w:val="%2."/>
      <w:lvlJc w:val="left"/>
      <w:pPr>
        <w:ind w:left="1440" w:hanging="360"/>
      </w:pPr>
    </w:lvl>
    <w:lvl w:ilvl="2" w:tplc="62D87028">
      <w:start w:val="1"/>
      <w:numFmt w:val="lowerRoman"/>
      <w:lvlText w:val="%3."/>
      <w:lvlJc w:val="right"/>
      <w:pPr>
        <w:ind w:left="2160" w:hanging="180"/>
      </w:pPr>
    </w:lvl>
    <w:lvl w:ilvl="3" w:tplc="4238ECCE">
      <w:start w:val="1"/>
      <w:numFmt w:val="decimal"/>
      <w:lvlText w:val="%4."/>
      <w:lvlJc w:val="left"/>
      <w:pPr>
        <w:ind w:left="2880" w:hanging="360"/>
      </w:pPr>
    </w:lvl>
    <w:lvl w:ilvl="4" w:tplc="3E6E4C9A">
      <w:start w:val="1"/>
      <w:numFmt w:val="lowerLetter"/>
      <w:lvlText w:val="%5."/>
      <w:lvlJc w:val="left"/>
      <w:pPr>
        <w:ind w:left="3600" w:hanging="360"/>
      </w:pPr>
    </w:lvl>
    <w:lvl w:ilvl="5" w:tplc="124A0EAC">
      <w:start w:val="1"/>
      <w:numFmt w:val="lowerRoman"/>
      <w:lvlText w:val="%6."/>
      <w:lvlJc w:val="right"/>
      <w:pPr>
        <w:ind w:left="4320" w:hanging="180"/>
      </w:pPr>
    </w:lvl>
    <w:lvl w:ilvl="6" w:tplc="33162E76">
      <w:start w:val="1"/>
      <w:numFmt w:val="decimal"/>
      <w:lvlText w:val="%7."/>
      <w:lvlJc w:val="left"/>
      <w:pPr>
        <w:ind w:left="5040" w:hanging="360"/>
      </w:pPr>
    </w:lvl>
    <w:lvl w:ilvl="7" w:tplc="D5048694">
      <w:start w:val="1"/>
      <w:numFmt w:val="lowerLetter"/>
      <w:lvlText w:val="%8."/>
      <w:lvlJc w:val="left"/>
      <w:pPr>
        <w:ind w:left="5760" w:hanging="360"/>
      </w:pPr>
    </w:lvl>
    <w:lvl w:ilvl="8" w:tplc="7DD610B4">
      <w:start w:val="1"/>
      <w:numFmt w:val="lowerRoman"/>
      <w:lvlText w:val="%9."/>
      <w:lvlJc w:val="right"/>
      <w:pPr>
        <w:ind w:left="6480" w:hanging="180"/>
      </w:pPr>
    </w:lvl>
  </w:abstractNum>
  <w:abstractNum w:abstractNumId="33" w15:restartNumberingAfterBreak="0">
    <w:nsid w:val="7023721A"/>
    <w:multiLevelType w:val="hybridMultilevel"/>
    <w:tmpl w:val="34E24600"/>
    <w:lvl w:ilvl="0" w:tplc="0524ACE2">
      <w:start w:val="1"/>
      <w:numFmt w:val="lowerLetter"/>
      <w:lvlText w:val="%1)"/>
      <w:lvlJc w:val="left"/>
      <w:pPr>
        <w:ind w:left="720" w:hanging="360"/>
      </w:pPr>
    </w:lvl>
    <w:lvl w:ilvl="1" w:tplc="089A7232">
      <w:start w:val="1"/>
      <w:numFmt w:val="lowerLetter"/>
      <w:lvlText w:val="%2."/>
      <w:lvlJc w:val="left"/>
      <w:pPr>
        <w:ind w:left="1440" w:hanging="360"/>
      </w:pPr>
    </w:lvl>
    <w:lvl w:ilvl="2" w:tplc="53A451B0">
      <w:start w:val="1"/>
      <w:numFmt w:val="lowerRoman"/>
      <w:lvlText w:val="%3."/>
      <w:lvlJc w:val="right"/>
      <w:pPr>
        <w:ind w:left="2160" w:hanging="180"/>
      </w:pPr>
    </w:lvl>
    <w:lvl w:ilvl="3" w:tplc="54049552">
      <w:start w:val="1"/>
      <w:numFmt w:val="decimal"/>
      <w:lvlText w:val="%4."/>
      <w:lvlJc w:val="left"/>
      <w:pPr>
        <w:ind w:left="2880" w:hanging="360"/>
      </w:pPr>
    </w:lvl>
    <w:lvl w:ilvl="4" w:tplc="19182F04">
      <w:start w:val="1"/>
      <w:numFmt w:val="lowerLetter"/>
      <w:lvlText w:val="%5."/>
      <w:lvlJc w:val="left"/>
      <w:pPr>
        <w:ind w:left="3600" w:hanging="360"/>
      </w:pPr>
    </w:lvl>
    <w:lvl w:ilvl="5" w:tplc="263E7F5A">
      <w:start w:val="1"/>
      <w:numFmt w:val="lowerRoman"/>
      <w:lvlText w:val="%6."/>
      <w:lvlJc w:val="right"/>
      <w:pPr>
        <w:ind w:left="4320" w:hanging="180"/>
      </w:pPr>
    </w:lvl>
    <w:lvl w:ilvl="6" w:tplc="3EC22C16">
      <w:start w:val="1"/>
      <w:numFmt w:val="decimal"/>
      <w:lvlText w:val="%7."/>
      <w:lvlJc w:val="left"/>
      <w:pPr>
        <w:ind w:left="5040" w:hanging="360"/>
      </w:pPr>
    </w:lvl>
    <w:lvl w:ilvl="7" w:tplc="9BCC779E">
      <w:start w:val="1"/>
      <w:numFmt w:val="lowerLetter"/>
      <w:lvlText w:val="%8."/>
      <w:lvlJc w:val="left"/>
      <w:pPr>
        <w:ind w:left="5760" w:hanging="360"/>
      </w:pPr>
    </w:lvl>
    <w:lvl w:ilvl="8" w:tplc="4B60F09C">
      <w:start w:val="1"/>
      <w:numFmt w:val="lowerRoman"/>
      <w:lvlText w:val="%9."/>
      <w:lvlJc w:val="right"/>
      <w:pPr>
        <w:ind w:left="6480" w:hanging="180"/>
      </w:pPr>
    </w:lvl>
  </w:abstractNum>
  <w:abstractNum w:abstractNumId="3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40E16F2"/>
    <w:multiLevelType w:val="hybridMultilevel"/>
    <w:tmpl w:val="8D0CAF76"/>
    <w:lvl w:ilvl="0" w:tplc="D6D64AE8">
      <w:start w:val="1"/>
      <w:numFmt w:val="lowerLetter"/>
      <w:lvlText w:val="%1)"/>
      <w:lvlJc w:val="left"/>
      <w:pPr>
        <w:ind w:left="720" w:hanging="360"/>
      </w:pPr>
    </w:lvl>
    <w:lvl w:ilvl="1" w:tplc="2332B5CC">
      <w:start w:val="1"/>
      <w:numFmt w:val="lowerLetter"/>
      <w:lvlText w:val="%2."/>
      <w:lvlJc w:val="left"/>
      <w:pPr>
        <w:ind w:left="1440" w:hanging="360"/>
      </w:pPr>
    </w:lvl>
    <w:lvl w:ilvl="2" w:tplc="C3DEABBC">
      <w:start w:val="1"/>
      <w:numFmt w:val="lowerRoman"/>
      <w:lvlText w:val="%3."/>
      <w:lvlJc w:val="right"/>
      <w:pPr>
        <w:ind w:left="2160" w:hanging="180"/>
      </w:pPr>
    </w:lvl>
    <w:lvl w:ilvl="3" w:tplc="BFFA4E86">
      <w:start w:val="1"/>
      <w:numFmt w:val="decimal"/>
      <w:lvlText w:val="%4."/>
      <w:lvlJc w:val="left"/>
      <w:pPr>
        <w:ind w:left="2880" w:hanging="360"/>
      </w:pPr>
    </w:lvl>
    <w:lvl w:ilvl="4" w:tplc="D8F00ADE">
      <w:start w:val="1"/>
      <w:numFmt w:val="lowerLetter"/>
      <w:lvlText w:val="%5."/>
      <w:lvlJc w:val="left"/>
      <w:pPr>
        <w:ind w:left="3600" w:hanging="360"/>
      </w:pPr>
    </w:lvl>
    <w:lvl w:ilvl="5" w:tplc="39666A12">
      <w:start w:val="1"/>
      <w:numFmt w:val="lowerRoman"/>
      <w:lvlText w:val="%6."/>
      <w:lvlJc w:val="right"/>
      <w:pPr>
        <w:ind w:left="4320" w:hanging="180"/>
      </w:pPr>
    </w:lvl>
    <w:lvl w:ilvl="6" w:tplc="C4CA051E">
      <w:start w:val="1"/>
      <w:numFmt w:val="decimal"/>
      <w:lvlText w:val="%7."/>
      <w:lvlJc w:val="left"/>
      <w:pPr>
        <w:ind w:left="5040" w:hanging="360"/>
      </w:pPr>
    </w:lvl>
    <w:lvl w:ilvl="7" w:tplc="938A9BAC">
      <w:start w:val="1"/>
      <w:numFmt w:val="lowerLetter"/>
      <w:lvlText w:val="%8."/>
      <w:lvlJc w:val="left"/>
      <w:pPr>
        <w:ind w:left="5760" w:hanging="360"/>
      </w:pPr>
    </w:lvl>
    <w:lvl w:ilvl="8" w:tplc="A412C88A">
      <w:start w:val="1"/>
      <w:numFmt w:val="lowerRoman"/>
      <w:lvlText w:val="%9."/>
      <w:lvlJc w:val="right"/>
      <w:pPr>
        <w:ind w:left="6480" w:hanging="180"/>
      </w:pPr>
    </w:lvl>
  </w:abstractNum>
  <w:abstractNum w:abstractNumId="36" w15:restartNumberingAfterBreak="0">
    <w:nsid w:val="741D8B0C"/>
    <w:multiLevelType w:val="hybridMultilevel"/>
    <w:tmpl w:val="BDD8B064"/>
    <w:lvl w:ilvl="0" w:tplc="7C30DE34">
      <w:start w:val="1"/>
      <w:numFmt w:val="lowerLetter"/>
      <w:lvlText w:val="%1)"/>
      <w:lvlJc w:val="left"/>
      <w:pPr>
        <w:ind w:left="720" w:hanging="360"/>
      </w:pPr>
    </w:lvl>
    <w:lvl w:ilvl="1" w:tplc="23E67AD2">
      <w:start w:val="1"/>
      <w:numFmt w:val="lowerLetter"/>
      <w:lvlText w:val="%2."/>
      <w:lvlJc w:val="left"/>
      <w:pPr>
        <w:ind w:left="1440" w:hanging="360"/>
      </w:pPr>
    </w:lvl>
    <w:lvl w:ilvl="2" w:tplc="4F26F660">
      <w:start w:val="1"/>
      <w:numFmt w:val="lowerRoman"/>
      <w:lvlText w:val="%3."/>
      <w:lvlJc w:val="right"/>
      <w:pPr>
        <w:ind w:left="2160" w:hanging="180"/>
      </w:pPr>
    </w:lvl>
    <w:lvl w:ilvl="3" w:tplc="64046CF4">
      <w:start w:val="1"/>
      <w:numFmt w:val="decimal"/>
      <w:lvlText w:val="%4."/>
      <w:lvlJc w:val="left"/>
      <w:pPr>
        <w:ind w:left="2880" w:hanging="360"/>
      </w:pPr>
    </w:lvl>
    <w:lvl w:ilvl="4" w:tplc="32507576">
      <w:start w:val="1"/>
      <w:numFmt w:val="lowerLetter"/>
      <w:lvlText w:val="%5."/>
      <w:lvlJc w:val="left"/>
      <w:pPr>
        <w:ind w:left="3600" w:hanging="360"/>
      </w:pPr>
    </w:lvl>
    <w:lvl w:ilvl="5" w:tplc="94700D5C">
      <w:start w:val="1"/>
      <w:numFmt w:val="lowerRoman"/>
      <w:lvlText w:val="%6."/>
      <w:lvlJc w:val="right"/>
      <w:pPr>
        <w:ind w:left="4320" w:hanging="180"/>
      </w:pPr>
    </w:lvl>
    <w:lvl w:ilvl="6" w:tplc="E5CC438E">
      <w:start w:val="1"/>
      <w:numFmt w:val="decimal"/>
      <w:lvlText w:val="%7."/>
      <w:lvlJc w:val="left"/>
      <w:pPr>
        <w:ind w:left="5040" w:hanging="360"/>
      </w:pPr>
    </w:lvl>
    <w:lvl w:ilvl="7" w:tplc="F51A6E0E">
      <w:start w:val="1"/>
      <w:numFmt w:val="lowerLetter"/>
      <w:lvlText w:val="%8."/>
      <w:lvlJc w:val="left"/>
      <w:pPr>
        <w:ind w:left="5760" w:hanging="360"/>
      </w:pPr>
    </w:lvl>
    <w:lvl w:ilvl="8" w:tplc="884AE850">
      <w:start w:val="1"/>
      <w:numFmt w:val="lowerRoman"/>
      <w:lvlText w:val="%9."/>
      <w:lvlJc w:val="right"/>
      <w:pPr>
        <w:ind w:left="6480" w:hanging="180"/>
      </w:pPr>
    </w:lvl>
  </w:abstractNum>
  <w:abstractNum w:abstractNumId="3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7A1E8A5E"/>
    <w:multiLevelType w:val="hybridMultilevel"/>
    <w:tmpl w:val="181EAA66"/>
    <w:lvl w:ilvl="0" w:tplc="AC2A6F28">
      <w:start w:val="1"/>
      <w:numFmt w:val="lowerLetter"/>
      <w:lvlText w:val="%1)"/>
      <w:lvlJc w:val="left"/>
      <w:pPr>
        <w:ind w:left="720" w:hanging="360"/>
      </w:pPr>
    </w:lvl>
    <w:lvl w:ilvl="1" w:tplc="DBA27F0E">
      <w:start w:val="1"/>
      <w:numFmt w:val="lowerLetter"/>
      <w:lvlText w:val="%2."/>
      <w:lvlJc w:val="left"/>
      <w:pPr>
        <w:ind w:left="1440" w:hanging="360"/>
      </w:pPr>
    </w:lvl>
    <w:lvl w:ilvl="2" w:tplc="B512149A">
      <w:start w:val="1"/>
      <w:numFmt w:val="lowerRoman"/>
      <w:lvlText w:val="%3."/>
      <w:lvlJc w:val="right"/>
      <w:pPr>
        <w:ind w:left="2160" w:hanging="180"/>
      </w:pPr>
    </w:lvl>
    <w:lvl w:ilvl="3" w:tplc="B164E64A">
      <w:start w:val="1"/>
      <w:numFmt w:val="decimal"/>
      <w:lvlText w:val="%4."/>
      <w:lvlJc w:val="left"/>
      <w:pPr>
        <w:ind w:left="2880" w:hanging="360"/>
      </w:pPr>
    </w:lvl>
    <w:lvl w:ilvl="4" w:tplc="32E8755C">
      <w:start w:val="1"/>
      <w:numFmt w:val="lowerLetter"/>
      <w:lvlText w:val="%5."/>
      <w:lvlJc w:val="left"/>
      <w:pPr>
        <w:ind w:left="3600" w:hanging="360"/>
      </w:pPr>
    </w:lvl>
    <w:lvl w:ilvl="5" w:tplc="EF008A72">
      <w:start w:val="1"/>
      <w:numFmt w:val="lowerRoman"/>
      <w:lvlText w:val="%6."/>
      <w:lvlJc w:val="right"/>
      <w:pPr>
        <w:ind w:left="4320" w:hanging="180"/>
      </w:pPr>
    </w:lvl>
    <w:lvl w:ilvl="6" w:tplc="E2C2E0F0">
      <w:start w:val="1"/>
      <w:numFmt w:val="decimal"/>
      <w:lvlText w:val="%7."/>
      <w:lvlJc w:val="left"/>
      <w:pPr>
        <w:ind w:left="5040" w:hanging="360"/>
      </w:pPr>
    </w:lvl>
    <w:lvl w:ilvl="7" w:tplc="010683B8">
      <w:start w:val="1"/>
      <w:numFmt w:val="lowerLetter"/>
      <w:lvlText w:val="%8."/>
      <w:lvlJc w:val="left"/>
      <w:pPr>
        <w:ind w:left="5760" w:hanging="360"/>
      </w:pPr>
    </w:lvl>
    <w:lvl w:ilvl="8" w:tplc="AB68367C">
      <w:start w:val="1"/>
      <w:numFmt w:val="lowerRoman"/>
      <w:lvlText w:val="%9."/>
      <w:lvlJc w:val="right"/>
      <w:pPr>
        <w:ind w:left="6480" w:hanging="180"/>
      </w:pPr>
    </w:lvl>
  </w:abstractNum>
  <w:abstractNum w:abstractNumId="39" w15:restartNumberingAfterBreak="0">
    <w:nsid w:val="7D9A806E"/>
    <w:multiLevelType w:val="hybridMultilevel"/>
    <w:tmpl w:val="FB7C6112"/>
    <w:lvl w:ilvl="0" w:tplc="7806E410">
      <w:start w:val="1"/>
      <w:numFmt w:val="lowerLetter"/>
      <w:lvlText w:val="%1)"/>
      <w:lvlJc w:val="left"/>
      <w:pPr>
        <w:ind w:left="720" w:hanging="360"/>
      </w:pPr>
    </w:lvl>
    <w:lvl w:ilvl="1" w:tplc="B6488ED6">
      <w:start w:val="1"/>
      <w:numFmt w:val="lowerLetter"/>
      <w:lvlText w:val="%2."/>
      <w:lvlJc w:val="left"/>
      <w:pPr>
        <w:ind w:left="1440" w:hanging="360"/>
      </w:pPr>
    </w:lvl>
    <w:lvl w:ilvl="2" w:tplc="1A8268CE">
      <w:start w:val="1"/>
      <w:numFmt w:val="lowerRoman"/>
      <w:lvlText w:val="%3."/>
      <w:lvlJc w:val="right"/>
      <w:pPr>
        <w:ind w:left="2160" w:hanging="180"/>
      </w:pPr>
    </w:lvl>
    <w:lvl w:ilvl="3" w:tplc="08C49832">
      <w:start w:val="1"/>
      <w:numFmt w:val="decimal"/>
      <w:lvlText w:val="%4."/>
      <w:lvlJc w:val="left"/>
      <w:pPr>
        <w:ind w:left="2880" w:hanging="360"/>
      </w:pPr>
    </w:lvl>
    <w:lvl w:ilvl="4" w:tplc="29925120">
      <w:start w:val="1"/>
      <w:numFmt w:val="lowerLetter"/>
      <w:lvlText w:val="%5."/>
      <w:lvlJc w:val="left"/>
      <w:pPr>
        <w:ind w:left="3600" w:hanging="360"/>
      </w:pPr>
    </w:lvl>
    <w:lvl w:ilvl="5" w:tplc="CA12CB96">
      <w:start w:val="1"/>
      <w:numFmt w:val="lowerRoman"/>
      <w:lvlText w:val="%6."/>
      <w:lvlJc w:val="right"/>
      <w:pPr>
        <w:ind w:left="4320" w:hanging="180"/>
      </w:pPr>
    </w:lvl>
    <w:lvl w:ilvl="6" w:tplc="E2A6B480">
      <w:start w:val="1"/>
      <w:numFmt w:val="decimal"/>
      <w:lvlText w:val="%7."/>
      <w:lvlJc w:val="left"/>
      <w:pPr>
        <w:ind w:left="5040" w:hanging="360"/>
      </w:pPr>
    </w:lvl>
    <w:lvl w:ilvl="7" w:tplc="04B260EE">
      <w:start w:val="1"/>
      <w:numFmt w:val="lowerLetter"/>
      <w:lvlText w:val="%8."/>
      <w:lvlJc w:val="left"/>
      <w:pPr>
        <w:ind w:left="5760" w:hanging="360"/>
      </w:pPr>
    </w:lvl>
    <w:lvl w:ilvl="8" w:tplc="E9143E98">
      <w:start w:val="1"/>
      <w:numFmt w:val="lowerRoman"/>
      <w:lvlText w:val="%9."/>
      <w:lvlJc w:val="right"/>
      <w:pPr>
        <w:ind w:left="6480" w:hanging="180"/>
      </w:pPr>
    </w:lvl>
  </w:abstractNum>
  <w:num w:numId="1" w16cid:durableId="1492865370">
    <w:abstractNumId w:val="37"/>
  </w:num>
  <w:num w:numId="2" w16cid:durableId="1663923291">
    <w:abstractNumId w:val="34"/>
  </w:num>
  <w:num w:numId="3" w16cid:durableId="274142167">
    <w:abstractNumId w:val="28"/>
  </w:num>
  <w:num w:numId="4" w16cid:durableId="92626633">
    <w:abstractNumId w:val="31"/>
  </w:num>
  <w:num w:numId="5" w16cid:durableId="1528829695">
    <w:abstractNumId w:val="23"/>
  </w:num>
  <w:num w:numId="6" w16cid:durableId="824246697">
    <w:abstractNumId w:val="9"/>
  </w:num>
  <w:num w:numId="7" w16cid:durableId="1032850593">
    <w:abstractNumId w:val="7"/>
  </w:num>
  <w:num w:numId="8" w16cid:durableId="1319263824">
    <w:abstractNumId w:val="6"/>
  </w:num>
  <w:num w:numId="9" w16cid:durableId="236063649">
    <w:abstractNumId w:val="5"/>
  </w:num>
  <w:num w:numId="10" w16cid:durableId="301933368">
    <w:abstractNumId w:val="4"/>
  </w:num>
  <w:num w:numId="11" w16cid:durableId="1389110224">
    <w:abstractNumId w:val="8"/>
  </w:num>
  <w:num w:numId="12" w16cid:durableId="1229339119">
    <w:abstractNumId w:val="3"/>
  </w:num>
  <w:num w:numId="13" w16cid:durableId="839657632">
    <w:abstractNumId w:val="2"/>
  </w:num>
  <w:num w:numId="14" w16cid:durableId="970405231">
    <w:abstractNumId w:val="1"/>
  </w:num>
  <w:num w:numId="15" w16cid:durableId="1018850221">
    <w:abstractNumId w:val="0"/>
  </w:num>
  <w:num w:numId="16" w16cid:durableId="1933079035">
    <w:abstractNumId w:val="12"/>
  </w:num>
  <w:num w:numId="17" w16cid:durableId="1253473842">
    <w:abstractNumId w:val="33"/>
  </w:num>
  <w:num w:numId="18" w16cid:durableId="1506093107">
    <w:abstractNumId w:val="13"/>
  </w:num>
  <w:num w:numId="19" w16cid:durableId="1040862333">
    <w:abstractNumId w:val="15"/>
  </w:num>
  <w:num w:numId="20" w16cid:durableId="1771124190">
    <w:abstractNumId w:val="26"/>
  </w:num>
  <w:num w:numId="21" w16cid:durableId="807477966">
    <w:abstractNumId w:val="24"/>
  </w:num>
  <w:num w:numId="22" w16cid:durableId="251593967">
    <w:abstractNumId w:val="16"/>
  </w:num>
  <w:num w:numId="23" w16cid:durableId="1858809245">
    <w:abstractNumId w:val="25"/>
  </w:num>
  <w:num w:numId="24" w16cid:durableId="658966930">
    <w:abstractNumId w:val="21"/>
  </w:num>
  <w:num w:numId="25" w16cid:durableId="2134245532">
    <w:abstractNumId w:val="29"/>
  </w:num>
  <w:num w:numId="26" w16cid:durableId="305428468">
    <w:abstractNumId w:val="17"/>
  </w:num>
  <w:num w:numId="27" w16cid:durableId="562057462">
    <w:abstractNumId w:val="20"/>
  </w:num>
  <w:num w:numId="28" w16cid:durableId="1203860903">
    <w:abstractNumId w:val="35"/>
  </w:num>
  <w:num w:numId="29" w16cid:durableId="434248056">
    <w:abstractNumId w:val="19"/>
  </w:num>
  <w:num w:numId="30" w16cid:durableId="772365008">
    <w:abstractNumId w:val="38"/>
  </w:num>
  <w:num w:numId="31" w16cid:durableId="2028099933">
    <w:abstractNumId w:val="39"/>
  </w:num>
  <w:num w:numId="32" w16cid:durableId="26109124">
    <w:abstractNumId w:val="22"/>
  </w:num>
  <w:num w:numId="33" w16cid:durableId="548614798">
    <w:abstractNumId w:val="14"/>
  </w:num>
  <w:num w:numId="34" w16cid:durableId="1228952883">
    <w:abstractNumId w:val="32"/>
  </w:num>
  <w:num w:numId="35" w16cid:durableId="716666217">
    <w:abstractNumId w:val="30"/>
  </w:num>
  <w:num w:numId="36" w16cid:durableId="1675188281">
    <w:abstractNumId w:val="36"/>
  </w:num>
  <w:num w:numId="37" w16cid:durableId="1657682358">
    <w:abstractNumId w:val="18"/>
  </w:num>
  <w:num w:numId="38" w16cid:durableId="1239942748">
    <w:abstractNumId w:val="10"/>
  </w:num>
  <w:num w:numId="39" w16cid:durableId="1720279841">
    <w:abstractNumId w:val="11"/>
  </w:num>
  <w:num w:numId="40" w16cid:durableId="1118379423">
    <w:abstractNumId w:val="2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53EA6"/>
    <w:rsid w:val="000551EC"/>
    <w:rsid w:val="000558BD"/>
    <w:rsid w:val="000B57E7"/>
    <w:rsid w:val="000B6373"/>
    <w:rsid w:val="000D3664"/>
    <w:rsid w:val="000E1602"/>
    <w:rsid w:val="000F09DF"/>
    <w:rsid w:val="000F61B2"/>
    <w:rsid w:val="001075E9"/>
    <w:rsid w:val="00180183"/>
    <w:rsid w:val="0018024D"/>
    <w:rsid w:val="0018649F"/>
    <w:rsid w:val="0019429F"/>
    <w:rsid w:val="00196389"/>
    <w:rsid w:val="001A4396"/>
    <w:rsid w:val="001B3EF6"/>
    <w:rsid w:val="001C7A89"/>
    <w:rsid w:val="001E1E75"/>
    <w:rsid w:val="00217D6C"/>
    <w:rsid w:val="00246ABF"/>
    <w:rsid w:val="002A02C6"/>
    <w:rsid w:val="002A2EFC"/>
    <w:rsid w:val="002C0E18"/>
    <w:rsid w:val="002C3864"/>
    <w:rsid w:val="002D4172"/>
    <w:rsid w:val="002D5AAC"/>
    <w:rsid w:val="002D7768"/>
    <w:rsid w:val="002F405F"/>
    <w:rsid w:val="00301299"/>
    <w:rsid w:val="00307FB6"/>
    <w:rsid w:val="00317339"/>
    <w:rsid w:val="00322004"/>
    <w:rsid w:val="003402C2"/>
    <w:rsid w:val="00376E4E"/>
    <w:rsid w:val="00381C24"/>
    <w:rsid w:val="003958D0"/>
    <w:rsid w:val="003A3CE4"/>
    <w:rsid w:val="003B00E5"/>
    <w:rsid w:val="003B4D5D"/>
    <w:rsid w:val="003C43C2"/>
    <w:rsid w:val="003D3526"/>
    <w:rsid w:val="003E0332"/>
    <w:rsid w:val="003E146F"/>
    <w:rsid w:val="003F43D1"/>
    <w:rsid w:val="003F6FF0"/>
    <w:rsid w:val="00407B78"/>
    <w:rsid w:val="00424203"/>
    <w:rsid w:val="0043216B"/>
    <w:rsid w:val="004452DE"/>
    <w:rsid w:val="00454E07"/>
    <w:rsid w:val="00471414"/>
    <w:rsid w:val="004B6CC2"/>
    <w:rsid w:val="004D1828"/>
    <w:rsid w:val="0050108D"/>
    <w:rsid w:val="00513081"/>
    <w:rsid w:val="005172CB"/>
    <w:rsid w:val="00517901"/>
    <w:rsid w:val="00521DC1"/>
    <w:rsid w:val="00526683"/>
    <w:rsid w:val="005709E0"/>
    <w:rsid w:val="00572E19"/>
    <w:rsid w:val="0057653A"/>
    <w:rsid w:val="005961C8"/>
    <w:rsid w:val="005D7914"/>
    <w:rsid w:val="005F0B42"/>
    <w:rsid w:val="00615628"/>
    <w:rsid w:val="00621949"/>
    <w:rsid w:val="006551F6"/>
    <w:rsid w:val="00660281"/>
    <w:rsid w:val="00681A10"/>
    <w:rsid w:val="006C2031"/>
    <w:rsid w:val="006D317E"/>
    <w:rsid w:val="006D461A"/>
    <w:rsid w:val="006F35EE"/>
    <w:rsid w:val="007021FF"/>
    <w:rsid w:val="00712895"/>
    <w:rsid w:val="00754B77"/>
    <w:rsid w:val="00757357"/>
    <w:rsid w:val="007C333F"/>
    <w:rsid w:val="007E072F"/>
    <w:rsid w:val="007E2C6D"/>
    <w:rsid w:val="00805D1C"/>
    <w:rsid w:val="00822D45"/>
    <w:rsid w:val="00825F8D"/>
    <w:rsid w:val="008346E4"/>
    <w:rsid w:val="00834B71"/>
    <w:rsid w:val="008358D4"/>
    <w:rsid w:val="00841CBA"/>
    <w:rsid w:val="0086445C"/>
    <w:rsid w:val="00886823"/>
    <w:rsid w:val="00894693"/>
    <w:rsid w:val="008A08D7"/>
    <w:rsid w:val="008A3C0A"/>
    <w:rsid w:val="008A69CB"/>
    <w:rsid w:val="008B6909"/>
    <w:rsid w:val="009063C3"/>
    <w:rsid w:val="00906890"/>
    <w:rsid w:val="00911BE4"/>
    <w:rsid w:val="00935A0B"/>
    <w:rsid w:val="00951972"/>
    <w:rsid w:val="00953B31"/>
    <w:rsid w:val="009608F3"/>
    <w:rsid w:val="009874BF"/>
    <w:rsid w:val="0099696A"/>
    <w:rsid w:val="00A32382"/>
    <w:rsid w:val="00A44B2D"/>
    <w:rsid w:val="00A56A9C"/>
    <w:rsid w:val="00A711FB"/>
    <w:rsid w:val="00A84021"/>
    <w:rsid w:val="00A86F80"/>
    <w:rsid w:val="00A90C2B"/>
    <w:rsid w:val="00A91137"/>
    <w:rsid w:val="00A917B3"/>
    <w:rsid w:val="00AB4B51"/>
    <w:rsid w:val="00AE5F3B"/>
    <w:rsid w:val="00B10CC7"/>
    <w:rsid w:val="00B539E7"/>
    <w:rsid w:val="00B563EB"/>
    <w:rsid w:val="00B62458"/>
    <w:rsid w:val="00B80A93"/>
    <w:rsid w:val="00BA03BB"/>
    <w:rsid w:val="00BD33EE"/>
    <w:rsid w:val="00BF2E5C"/>
    <w:rsid w:val="00C106D6"/>
    <w:rsid w:val="00C60F0C"/>
    <w:rsid w:val="00C65391"/>
    <w:rsid w:val="00C805C9"/>
    <w:rsid w:val="00C856EC"/>
    <w:rsid w:val="00C92939"/>
    <w:rsid w:val="00CA1679"/>
    <w:rsid w:val="00CB151C"/>
    <w:rsid w:val="00CB242B"/>
    <w:rsid w:val="00CC3501"/>
    <w:rsid w:val="00CE5A1A"/>
    <w:rsid w:val="00CE7178"/>
    <w:rsid w:val="00CF55F6"/>
    <w:rsid w:val="00D013B5"/>
    <w:rsid w:val="00D04407"/>
    <w:rsid w:val="00D23BA4"/>
    <w:rsid w:val="00D33D63"/>
    <w:rsid w:val="00D46FF5"/>
    <w:rsid w:val="00D4778E"/>
    <w:rsid w:val="00D65EF3"/>
    <w:rsid w:val="00D7481B"/>
    <w:rsid w:val="00D82740"/>
    <w:rsid w:val="00D90138"/>
    <w:rsid w:val="00E31CF9"/>
    <w:rsid w:val="00E528EB"/>
    <w:rsid w:val="00E56EE3"/>
    <w:rsid w:val="00E73F76"/>
    <w:rsid w:val="00E86371"/>
    <w:rsid w:val="00EA2C9F"/>
    <w:rsid w:val="00ED0BDA"/>
    <w:rsid w:val="00ED3749"/>
    <w:rsid w:val="00EE7654"/>
    <w:rsid w:val="00EF1360"/>
    <w:rsid w:val="00EF3220"/>
    <w:rsid w:val="00F37BF0"/>
    <w:rsid w:val="00F43810"/>
    <w:rsid w:val="00F63772"/>
    <w:rsid w:val="00F76A49"/>
    <w:rsid w:val="00F9377E"/>
    <w:rsid w:val="00F94155"/>
    <w:rsid w:val="00FA7E8E"/>
    <w:rsid w:val="00FC7DEC"/>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FF661"/>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7481B"/>
    <w:pPr>
      <w:keepNext/>
      <w:outlineLvl w:val="1"/>
    </w:pPr>
    <w:rPr>
      <w:rFonts w:cs="Arial"/>
      <w:bCs/>
      <w:iCs/>
      <w:szCs w:val="28"/>
    </w:rPr>
  </w:style>
  <w:style w:type="paragraph" w:styleId="Heading3">
    <w:name w:val="heading 3"/>
    <w:basedOn w:val="Normal"/>
    <w:next w:val="Normal"/>
    <w:semiHidden/>
    <w:rsid w:val="00D7481B"/>
    <w:pPr>
      <w:keepNext/>
      <w:spacing w:before="240" w:after="60"/>
      <w:outlineLvl w:val="2"/>
    </w:pPr>
    <w:rPr>
      <w:rFonts w:ascii="Arial" w:hAnsi="Arial" w:cs="Arial"/>
      <w:b/>
      <w:bCs/>
      <w:sz w:val="26"/>
      <w:szCs w:val="26"/>
    </w:rPr>
  </w:style>
  <w:style w:type="paragraph" w:styleId="Heading4">
    <w:name w:val="heading 4"/>
    <w:basedOn w:val="Normal"/>
    <w:next w:val="Normal"/>
    <w:semiHidden/>
    <w:rsid w:val="00D7481B"/>
    <w:pPr>
      <w:keepNext/>
      <w:spacing w:before="240" w:after="60"/>
      <w:outlineLvl w:val="3"/>
    </w:pPr>
    <w:rPr>
      <w:b/>
      <w:bCs/>
      <w:sz w:val="28"/>
      <w:szCs w:val="28"/>
    </w:rPr>
  </w:style>
  <w:style w:type="paragraph" w:styleId="Heading5">
    <w:name w:val="heading 5"/>
    <w:basedOn w:val="Normal"/>
    <w:next w:val="Normal"/>
    <w:semiHidden/>
    <w:rsid w:val="00D7481B"/>
    <w:pPr>
      <w:spacing w:before="240" w:after="60"/>
      <w:outlineLvl w:val="4"/>
    </w:pPr>
    <w:rPr>
      <w:b/>
      <w:bCs/>
      <w:i/>
      <w:iCs/>
      <w:sz w:val="26"/>
      <w:szCs w:val="26"/>
    </w:rPr>
  </w:style>
  <w:style w:type="paragraph" w:styleId="Heading6">
    <w:name w:val="heading 6"/>
    <w:basedOn w:val="Normal"/>
    <w:next w:val="Normal"/>
    <w:semiHidden/>
    <w:rsid w:val="00D7481B"/>
    <w:pPr>
      <w:spacing w:before="240" w:after="60"/>
      <w:outlineLvl w:val="5"/>
    </w:pPr>
    <w:rPr>
      <w:b/>
      <w:bCs/>
      <w:sz w:val="22"/>
      <w:szCs w:val="22"/>
    </w:rPr>
  </w:style>
  <w:style w:type="paragraph" w:styleId="Heading7">
    <w:name w:val="heading 7"/>
    <w:basedOn w:val="Normal"/>
    <w:next w:val="Normal"/>
    <w:semiHidden/>
    <w:rsid w:val="00D7481B"/>
    <w:pPr>
      <w:spacing w:before="240" w:after="60"/>
      <w:outlineLvl w:val="6"/>
    </w:pPr>
    <w:rPr>
      <w:sz w:val="24"/>
      <w:szCs w:val="24"/>
    </w:rPr>
  </w:style>
  <w:style w:type="paragraph" w:styleId="Heading8">
    <w:name w:val="heading 8"/>
    <w:basedOn w:val="Normal"/>
    <w:next w:val="Normal"/>
    <w:semiHidden/>
    <w:rsid w:val="00D7481B"/>
    <w:pPr>
      <w:spacing w:before="240" w:after="60"/>
      <w:outlineLvl w:val="7"/>
    </w:pPr>
    <w:rPr>
      <w:i/>
      <w:iCs/>
      <w:sz w:val="24"/>
      <w:szCs w:val="24"/>
    </w:rPr>
  </w:style>
  <w:style w:type="paragraph" w:styleId="Heading9">
    <w:name w:val="heading 9"/>
    <w:basedOn w:val="Normal"/>
    <w:next w:val="Normal"/>
    <w:semiHidden/>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16 Point,4_G,BVI fnr,Footnote,Footnote Refernece,Footnote symbol,Fußnotenzeichen_Raxen,Superscript 6 Point,Texto de nota al pie,ftref"/>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Footnote Text Char Char1,Footnote Text Char Char1 Char Char,Footnote Text Char1,Footnote Text Char1 Char Char1,Footnote Text Char1 Char Char1 Char Char,Geneva 9 Char Char Char Char Char,fn,ft,ft Char Char Char Char Char,single space"/>
    <w:basedOn w:val="Normal"/>
    <w:link w:val="FootnoteTextChar"/>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semiHidden/>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rsid w:val="00D7481B"/>
    <w:rPr>
      <w:color w:val="0000FF"/>
      <w:u w:val="none"/>
    </w:rPr>
  </w:style>
  <w:style w:type="character" w:styleId="FollowedHyperlink">
    <w:name w:val="FollowedHyperlink"/>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1"/>
      </w:numPr>
    </w:pPr>
  </w:style>
  <w:style w:type="paragraph" w:styleId="ListNumber2">
    <w:name w:val="List Number 2"/>
    <w:basedOn w:val="Normal"/>
    <w:semiHidden/>
    <w:rsid w:val="00D7481B"/>
    <w:pPr>
      <w:numPr>
        <w:numId w:val="12"/>
      </w:numPr>
    </w:pPr>
  </w:style>
  <w:style w:type="paragraph" w:styleId="ListNumber3">
    <w:name w:val="List Number 3"/>
    <w:basedOn w:val="Normal"/>
    <w:semiHidden/>
    <w:rsid w:val="00D7481B"/>
    <w:pPr>
      <w:numPr>
        <w:numId w:val="13"/>
      </w:numPr>
    </w:pPr>
  </w:style>
  <w:style w:type="paragraph" w:styleId="ListNumber4">
    <w:name w:val="List Number 4"/>
    <w:basedOn w:val="Normal"/>
    <w:semiHidden/>
    <w:rsid w:val="00D7481B"/>
    <w:pPr>
      <w:numPr>
        <w:numId w:val="14"/>
      </w:numPr>
    </w:pPr>
  </w:style>
  <w:style w:type="paragraph" w:styleId="ListNumber5">
    <w:name w:val="List Number 5"/>
    <w:basedOn w:val="Normal"/>
    <w:semiHidden/>
    <w:rsid w:val="00D7481B"/>
    <w:pPr>
      <w:numPr>
        <w:numId w:val="15"/>
      </w:numPr>
    </w:pPr>
  </w:style>
  <w:style w:type="paragraph" w:styleId="ListBullet">
    <w:name w:val="List Bullet"/>
    <w:basedOn w:val="Normal"/>
    <w:semiHidden/>
    <w:rsid w:val="00D7481B"/>
    <w:pPr>
      <w:numPr>
        <w:numId w:val="6"/>
      </w:numPr>
    </w:pPr>
  </w:style>
  <w:style w:type="paragraph" w:styleId="ListBullet2">
    <w:name w:val="List Bullet 2"/>
    <w:basedOn w:val="Normal"/>
    <w:semiHidden/>
    <w:rsid w:val="00D7481B"/>
    <w:pPr>
      <w:numPr>
        <w:numId w:val="7"/>
      </w:numPr>
    </w:pPr>
  </w:style>
  <w:style w:type="paragraph" w:styleId="ListBullet3">
    <w:name w:val="List Bullet 3"/>
    <w:basedOn w:val="Normal"/>
    <w:semiHidden/>
    <w:rsid w:val="00D7481B"/>
    <w:pPr>
      <w:numPr>
        <w:numId w:val="8"/>
      </w:numPr>
    </w:pPr>
  </w:style>
  <w:style w:type="paragraph" w:styleId="ListBullet4">
    <w:name w:val="List Bullet 4"/>
    <w:basedOn w:val="Normal"/>
    <w:semiHidden/>
    <w:rsid w:val="00D7481B"/>
    <w:pPr>
      <w:numPr>
        <w:numId w:val="9"/>
      </w:numPr>
    </w:pPr>
  </w:style>
  <w:style w:type="paragraph" w:styleId="ListBullet5">
    <w:name w:val="List Bullet 5"/>
    <w:basedOn w:val="Normal"/>
    <w:semiHidden/>
    <w:rsid w:val="00D7481B"/>
    <w:pPr>
      <w:numPr>
        <w:numId w:val="10"/>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semiHidden/>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semiHidden/>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semiHidden/>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
    <w:basedOn w:val="DefaultParagraphFont"/>
    <w:link w:val="Heading1"/>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A03BB"/>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9696A"/>
    <w:rPr>
      <w:rFonts w:eastAsiaTheme="minorEastAsia"/>
      <w:lang w:val="es-ES" w:eastAsia="es-ES"/>
    </w:rPr>
  </w:style>
  <w:style w:type="character" w:customStyle="1" w:styleId="FootnoteTextChar">
    <w:name w:val="Footnote Text Char"/>
    <w:aliases w:val="5_G Char,Footnote Text Char Char1 Char,Footnote Text Char Char1 Char Char Char,Footnote Text Char1 Char,Footnote Text Char1 Char Char1 Char,Footnote Text Char1 Char Char1 Char Char Char,Geneva 9 Char Char Char Char Char Char,fn Char"/>
    <w:link w:val="FootnoteText"/>
    <w:locked/>
    <w:rsid w:val="0019429F"/>
    <w:rPr>
      <w:rFonts w:eastAsiaTheme="minorEastAsia"/>
      <w:sz w:val="18"/>
      <w:lang w:val="es-ES" w:eastAsia="es-ES"/>
    </w:rPr>
  </w:style>
  <w:style w:type="table" w:customStyle="1" w:styleId="TableGrid10">
    <w:name w:val="Table Grid1"/>
    <w:basedOn w:val="TableNormal"/>
    <w:next w:val="TableGrid"/>
    <w:uiPriority w:val="59"/>
    <w:rsid w:val="00CE7178"/>
    <w:rPr>
      <w:rFonts w:ascii="Verdana" w:eastAsia="SimSun" w:hAnsi="Verdana" w:cs="Arial"/>
      <w:sz w:val="24"/>
      <w:szCs w:val="24"/>
      <w:lang w:val="en-US"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2026-07-31T08:43:13+00:00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B8281C-E9C9-43BB-ADD2-721A53A6C5AD}">
  <ds:schemaRefs>
    <ds:schemaRef ds:uri="http://schemas.openxmlformats.org/officeDocument/2006/bibliography"/>
  </ds:schemaRefs>
</ds:datastoreItem>
</file>

<file path=customXml/itemProps2.xml><?xml version="1.0" encoding="utf-8"?>
<ds:datastoreItem xmlns:ds="http://schemas.openxmlformats.org/officeDocument/2006/customXml" ds:itemID="{47D25A6A-2BD1-485A-8598-80E041F3F333}">
  <ds:schemaRefs>
    <ds:schemaRef ds:uri="http://schemas.microsoft.com/office/2006/metadata/properties"/>
    <ds:schemaRef ds:uri="http://schemas.microsoft.com/office/infopath/2007/PartnerControls"/>
    <ds:schemaRef ds:uri="985ec44e-1bab-4c0b-9df0-6ba128686fc9"/>
    <ds:schemaRef ds:uri="c43d6523-f909-4250-bbe1-6bcdc0c7194c"/>
    <ds:schemaRef ds:uri="11a6fe0c-d8de-4390-afb3-d9c7c54181f0"/>
  </ds:schemaRefs>
</ds:datastoreItem>
</file>

<file path=customXml/itemProps3.xml><?xml version="1.0" encoding="utf-8"?>
<ds:datastoreItem xmlns:ds="http://schemas.openxmlformats.org/officeDocument/2006/customXml" ds:itemID="{DB045746-BE08-476C-9874-2BCD81C066FC}">
  <ds:schemaRefs>
    <ds:schemaRef ds:uri="http://schemas.microsoft.com/sharepoint/v3/contenttype/forms"/>
  </ds:schemaRefs>
</ds:datastoreItem>
</file>

<file path=customXml/itemProps4.xml><?xml version="1.0" encoding="utf-8"?>
<ds:datastoreItem xmlns:ds="http://schemas.openxmlformats.org/officeDocument/2006/customXml" ds:itemID="{A0D81231-D521-426C-9E1D-6CDAD20EC0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34</Pages>
  <Words>11209</Words>
  <Characters>63893</Characters>
  <Application>Microsoft Office Word</Application>
  <DocSecurity>0</DocSecurity>
  <Lines>532</Lines>
  <Paragraphs>149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CAT/C/XXX/Y</vt:lpstr>
    </vt:vector>
  </TitlesOfParts>
  <Company>DCM</Company>
  <LinksUpToDate>false</LinksUpToDate>
  <CharactersWithSpaces>74953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CRPD/C/COL/RQ/2-4</dc:title>
  <dc:creator>Gloria</dc:creator>
  <cp:lastModifiedBy>Robert OUKO</cp:lastModifiedBy>
  <cp:revision>3</cp:revision>
  <cp:lastPrinted>2013-10-24T10:25:00Z</cp:lastPrinted>
  <dcterms:created xsi:type="dcterms:W3CDTF">2026-08-04T09:30:00Z</dcterms:created>
  <dcterms:modified xsi:type="dcterms:W3CDTF">2026-08-04T09:30:00Z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0x0101001A3F5FACD05E93499D4EAF05403D4F75</vt:lpwstr>
  </property>
  <property fmtid="{D5CDD505-2E9C-101B-9397-08002B2CF9AE}" pid="8" name="count">
    <vt:lpwstr>de Colombia</vt:lpwstr>
  </property>
  <property fmtid="{D5CDD505-2E9C-101B-9397-08002B2CF9AE}" pid="9" name="countw">
    <vt:lpwstr>Colombia</vt:lpwstr>
  </property>
  <property fmtid="{D5CDD505-2E9C-101B-9397-08002B2CF9AE}" pid="10" name="countwd">
    <vt:lpwstr>Colombia</vt:lpwstr>
  </property>
  <property fmtid="{D5CDD505-2E9C-101B-9397-08002B2CF9AE}" pid="11" name="date">
    <vt:lpwstr>31 de julio de 2026</vt:lpwstr>
  </property>
  <property fmtid="{D5CDD505-2E9C-101B-9397-08002B2CF9AE}" pid="12" name="Date-Generated">
    <vt:filetime>2026-07-31T08:31:30Z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272600</vt:r8>
  </property>
  <property fmtid="{D5CDD505-2E9C-101B-9397-08002B2CF9AE}" pid="23" name="Org">
    <vt:lpwstr>OHCHR</vt:lpwstr>
  </property>
  <property fmtid="{D5CDD505-2E9C-101B-9397-08002B2CF9AE}" pid="24" name="prep">
    <vt:lpwstr>a los informes periódicos segundo a cuarto combinados de Colombia</vt:lpwstr>
  </property>
  <property fmtid="{D5CDD505-2E9C-101B-9397-08002B2CF9AE}" pid="25" name="preps">
    <vt:lpwstr>informes periódicos segundo a cuarto combinados de Colombia</vt:lpwstr>
  </property>
  <property fmtid="{D5CDD505-2E9C-101B-9397-08002B2CF9AE}" pid="26" name="prepw">
    <vt:lpwstr>a los informes periódicos segundo a cuarto combinados</vt:lpwstr>
  </property>
  <property fmtid="{D5CDD505-2E9C-101B-9397-08002B2CF9AE}" pid="27" name="prepwc">
    <vt:lpwstr>Informes periódicos segundo a cuarto combinados </vt:lpwstr>
  </property>
  <property fmtid="{D5CDD505-2E9C-101B-9397-08002B2CF9AE}" pid="28" name="prepws">
    <vt:lpwstr>informes periódicos segundo a cuarto combinados</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C/COL/RQ/2-4</vt:lpwstr>
  </property>
  <property fmtid="{D5CDD505-2E9C-101B-9397-08002B2CF9AE}" pid="34" name="symh">
    <vt:lpwstr>CRPD/C/COL/RQ/2-4</vt:lpwstr>
  </property>
  <property fmtid="{D5CDD505-2E9C-101B-9397-08002B2CF9AE}" pid="35" name="Title">
    <vt:lpwstr>CRPD/C/COL/RQ/2-4</vt:lpwstr>
  </property>
  <property fmtid="{D5CDD505-2E9C-101B-9397-08002B2CF9AE}" pid="36" name="tlang">
    <vt:lpwstr/>
  </property>
  <property fmtid="{D5CDD505-2E9C-101B-9397-08002B2CF9AE}" pid="37" name="virs">
    <vt:lpwstr>Árabe, español, francés y inglés únicamente</vt:lpwstr>
  </property>
</Properties>
</file>