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C901E0" w14:textId="77777777" w:rsidR="00A34D8B" w:rsidRPr="00AB1F89" w:rsidRDefault="00A34D8B" w:rsidP="00A34D8B">
      <w:pPr>
        <w:rPr>
          <w:rFonts w:ascii="Calibri" w:hAnsi="Calibri" w:cs="Calibri"/>
        </w:rPr>
      </w:pPr>
    </w:p>
    <w:p w14:paraId="7A6D8914" w14:textId="77777777" w:rsidR="00A34D8B" w:rsidRPr="00AB1F89" w:rsidRDefault="00A34D8B" w:rsidP="00A34D8B">
      <w:pPr>
        <w:jc w:val="center"/>
        <w:rPr>
          <w:rFonts w:ascii="Calibri" w:hAnsi="Calibri" w:cs="Calibri"/>
          <w:b/>
          <w:bCs/>
          <w:sz w:val="40"/>
          <w:szCs w:val="40"/>
        </w:rPr>
      </w:pPr>
    </w:p>
    <w:p w14:paraId="5730B2DC" w14:textId="77777777" w:rsidR="00A34D8B" w:rsidRPr="00AB1F89" w:rsidRDefault="00A34D8B" w:rsidP="00A34D8B">
      <w:pPr>
        <w:jc w:val="center"/>
        <w:rPr>
          <w:rFonts w:ascii="Calibri" w:hAnsi="Calibri" w:cs="Calibri"/>
          <w:b/>
          <w:bCs/>
          <w:sz w:val="40"/>
          <w:szCs w:val="40"/>
        </w:rPr>
      </w:pPr>
    </w:p>
    <w:p w14:paraId="024A7FA9" w14:textId="77777777" w:rsidR="00A34D8B" w:rsidRPr="00AB1F89" w:rsidRDefault="00A34D8B" w:rsidP="00A34D8B">
      <w:pPr>
        <w:jc w:val="center"/>
        <w:rPr>
          <w:rFonts w:ascii="Calibri" w:hAnsi="Calibri" w:cs="Calibri"/>
          <w:b/>
          <w:bCs/>
          <w:sz w:val="40"/>
          <w:szCs w:val="40"/>
        </w:rPr>
      </w:pPr>
      <w:r w:rsidRPr="00AB1F89">
        <w:rPr>
          <w:rFonts w:ascii="Calibri" w:eastAsia="Arial Unicode MS" w:hAnsi="Calibri" w:cs="Calibri"/>
          <w:noProof/>
          <w:sz w:val="24"/>
          <w:szCs w:val="24"/>
        </w:rPr>
        <w:drawing>
          <wp:inline distT="0" distB="0" distL="0" distR="0" wp14:anchorId="1789CF85" wp14:editId="1CEADBD6">
            <wp:extent cx="2114550" cy="271118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pe 5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26705" cy="2726771"/>
                    </a:xfrm>
                    <a:prstGeom prst="rect">
                      <a:avLst/>
                    </a:prstGeom>
                    <a:noFill/>
                    <a:ln>
                      <a:noFill/>
                    </a:ln>
                  </pic:spPr>
                </pic:pic>
              </a:graphicData>
            </a:graphic>
          </wp:inline>
        </w:drawing>
      </w:r>
    </w:p>
    <w:p w14:paraId="7F1032C9" w14:textId="77777777" w:rsidR="00A34D8B" w:rsidRPr="00AB1F89" w:rsidRDefault="00A34D8B" w:rsidP="00A34D8B">
      <w:pPr>
        <w:jc w:val="center"/>
        <w:rPr>
          <w:rFonts w:ascii="Calibri" w:hAnsi="Calibri" w:cs="Calibri"/>
          <w:b/>
          <w:bCs/>
          <w:sz w:val="40"/>
          <w:szCs w:val="40"/>
        </w:rPr>
      </w:pPr>
    </w:p>
    <w:p w14:paraId="2B79324C" w14:textId="77777777" w:rsidR="00A34D8B" w:rsidRPr="00AB1F89" w:rsidRDefault="00A34D8B" w:rsidP="00A34D8B">
      <w:pPr>
        <w:pStyle w:val="BodyA"/>
        <w:spacing w:line="276" w:lineRule="auto"/>
        <w:jc w:val="center"/>
        <w:rPr>
          <w:rFonts w:eastAsia="Arial Rounded MT Bold"/>
          <w:b/>
          <w:sz w:val="32"/>
          <w:szCs w:val="32"/>
        </w:rPr>
      </w:pPr>
      <w:r w:rsidRPr="00AB1F89">
        <w:rPr>
          <w:rFonts w:eastAsia="Arial Rounded MT Bold"/>
          <w:b/>
          <w:sz w:val="32"/>
          <w:szCs w:val="32"/>
        </w:rPr>
        <w:t>NGO REPORT</w:t>
      </w:r>
    </w:p>
    <w:p w14:paraId="638B5FF4" w14:textId="77777777" w:rsidR="00A34D8B" w:rsidRPr="00AB1F89" w:rsidRDefault="00A34D8B" w:rsidP="00A34D8B">
      <w:pPr>
        <w:pStyle w:val="BodyA"/>
        <w:shd w:val="clear" w:color="auto" w:fill="A8D08D" w:themeFill="accent6" w:themeFillTint="99"/>
        <w:spacing w:line="276" w:lineRule="auto"/>
        <w:jc w:val="center"/>
        <w:rPr>
          <w:rFonts w:eastAsia="Arial Rounded MT Bold"/>
          <w:b/>
          <w:sz w:val="36"/>
          <w:szCs w:val="36"/>
        </w:rPr>
      </w:pPr>
      <w:r w:rsidRPr="00AB1F89">
        <w:rPr>
          <w:rFonts w:eastAsia="Arial Rounded MT Bold"/>
          <w:b/>
          <w:sz w:val="36"/>
          <w:szCs w:val="36"/>
        </w:rPr>
        <w:t>Shakti Community Council Inc. (New Zealand)</w:t>
      </w:r>
    </w:p>
    <w:p w14:paraId="74ED0561" w14:textId="77777777" w:rsidR="00A34D8B" w:rsidRDefault="00A34D8B" w:rsidP="00A34D8B">
      <w:pPr>
        <w:pStyle w:val="BodyA"/>
        <w:spacing w:line="276" w:lineRule="auto"/>
        <w:jc w:val="center"/>
        <w:rPr>
          <w:rFonts w:eastAsia="Arial Rounded MT Bold"/>
          <w:b/>
          <w:sz w:val="32"/>
          <w:szCs w:val="32"/>
        </w:rPr>
      </w:pPr>
      <w:r w:rsidRPr="00AB1F89">
        <w:rPr>
          <w:rFonts w:eastAsia="Arial Rounded MT Bold"/>
          <w:b/>
          <w:sz w:val="32"/>
          <w:szCs w:val="32"/>
        </w:rPr>
        <w:t>STATUS OF MIGRANT &amp; REFUGEE WOMEN IN NEW ZEALAND</w:t>
      </w:r>
    </w:p>
    <w:p w14:paraId="68B9029B" w14:textId="539245F1" w:rsidR="00A34D8B" w:rsidRPr="00AB1F89" w:rsidRDefault="00A34D8B" w:rsidP="00A34D8B">
      <w:pPr>
        <w:pStyle w:val="BodyA"/>
        <w:spacing w:line="276" w:lineRule="auto"/>
        <w:jc w:val="center"/>
        <w:rPr>
          <w:rFonts w:eastAsia="Arial Rounded MT Bold"/>
          <w:b/>
          <w:sz w:val="32"/>
          <w:szCs w:val="32"/>
        </w:rPr>
      </w:pPr>
      <w:r>
        <w:rPr>
          <w:rFonts w:eastAsia="Arial Rounded MT Bold"/>
          <w:b/>
          <w:sz w:val="32"/>
          <w:szCs w:val="32"/>
        </w:rPr>
        <w:t>Including report from Migrant Action Trust</w:t>
      </w:r>
    </w:p>
    <w:p w14:paraId="43F4501A" w14:textId="77777777" w:rsidR="00A34D8B" w:rsidRPr="00AB1F89" w:rsidRDefault="00A34D8B" w:rsidP="00A34D8B">
      <w:pPr>
        <w:pStyle w:val="BodyA"/>
        <w:spacing w:line="276" w:lineRule="auto"/>
        <w:jc w:val="center"/>
        <w:rPr>
          <w:rFonts w:eastAsia="Arial Rounded MT Bold"/>
          <w:b/>
          <w:sz w:val="32"/>
          <w:szCs w:val="32"/>
        </w:rPr>
      </w:pPr>
      <w:r w:rsidRPr="00AB1F89">
        <w:rPr>
          <w:rFonts w:eastAsia="Arial Rounded MT Bold"/>
          <w:b/>
          <w:sz w:val="32"/>
          <w:szCs w:val="32"/>
        </w:rPr>
        <w:t>Submitted to the CEDAW Committee</w:t>
      </w:r>
    </w:p>
    <w:p w14:paraId="0EB1C4A6" w14:textId="77777777" w:rsidR="00A34D8B" w:rsidRPr="00AB1F89" w:rsidRDefault="00A34D8B" w:rsidP="00A34D8B">
      <w:pPr>
        <w:pStyle w:val="BodyA"/>
        <w:spacing w:after="0" w:line="276" w:lineRule="auto"/>
        <w:jc w:val="center"/>
        <w:rPr>
          <w:rFonts w:eastAsia="Arial Rounded MT Bold"/>
          <w:b/>
          <w:sz w:val="32"/>
          <w:szCs w:val="32"/>
        </w:rPr>
      </w:pPr>
      <w:r w:rsidRPr="00AB1F89">
        <w:rPr>
          <w:rFonts w:eastAsia="Arial Rounded MT Bold"/>
          <w:b/>
          <w:sz w:val="32"/>
          <w:szCs w:val="32"/>
        </w:rPr>
        <w:t>June 2024</w:t>
      </w:r>
    </w:p>
    <w:p w14:paraId="54D1C78E" w14:textId="77777777" w:rsidR="00A34D8B" w:rsidRPr="00AB1F89" w:rsidRDefault="00A34D8B" w:rsidP="00A34D8B">
      <w:pPr>
        <w:jc w:val="center"/>
        <w:rPr>
          <w:rFonts w:ascii="Calibri" w:hAnsi="Calibri" w:cs="Calibri"/>
          <w:b/>
          <w:bCs/>
          <w:sz w:val="40"/>
          <w:szCs w:val="40"/>
        </w:rPr>
      </w:pPr>
    </w:p>
    <w:p w14:paraId="0EE175B8" w14:textId="77777777" w:rsidR="00A34D8B" w:rsidRPr="00AB1F89" w:rsidRDefault="00A34D8B" w:rsidP="00A34D8B">
      <w:pPr>
        <w:jc w:val="center"/>
        <w:rPr>
          <w:rFonts w:ascii="Calibri" w:hAnsi="Calibri" w:cs="Calibri"/>
          <w:b/>
          <w:bCs/>
          <w:sz w:val="40"/>
          <w:szCs w:val="40"/>
        </w:rPr>
      </w:pPr>
    </w:p>
    <w:p w14:paraId="7A6DD33B" w14:textId="77777777" w:rsidR="00A34D8B" w:rsidRPr="00AB1F89" w:rsidRDefault="00A34D8B" w:rsidP="00A34D8B">
      <w:pPr>
        <w:rPr>
          <w:rFonts w:ascii="Calibri" w:hAnsi="Calibri" w:cs="Calibri"/>
        </w:rPr>
      </w:pPr>
    </w:p>
    <w:p w14:paraId="624D71E5" w14:textId="77777777" w:rsidR="00A34D8B" w:rsidRDefault="00A34D8B" w:rsidP="00A34D8B">
      <w:pPr>
        <w:rPr>
          <w:rFonts w:ascii="Calibri" w:hAnsi="Calibri" w:cs="Calibri"/>
        </w:rPr>
      </w:pPr>
    </w:p>
    <w:p w14:paraId="359D113C" w14:textId="77777777" w:rsidR="00A34D8B" w:rsidRPr="00AB1F89" w:rsidRDefault="00A34D8B" w:rsidP="00A34D8B">
      <w:pPr>
        <w:rPr>
          <w:rFonts w:ascii="Calibri" w:hAnsi="Calibri" w:cs="Calibri"/>
        </w:rPr>
      </w:pPr>
    </w:p>
    <w:p w14:paraId="50175AF2" w14:textId="77777777" w:rsidR="00A34D8B" w:rsidRDefault="00A34D8B" w:rsidP="00A34D8B">
      <w:pPr>
        <w:rPr>
          <w:rFonts w:ascii="Calibri" w:hAnsi="Calibri" w:cs="Calibri"/>
        </w:rPr>
      </w:pPr>
    </w:p>
    <w:p w14:paraId="2F8D8CD7" w14:textId="77777777" w:rsidR="00AC3FAE" w:rsidRPr="00AB1F89" w:rsidRDefault="00AC3FAE" w:rsidP="00A34D8B">
      <w:pPr>
        <w:rPr>
          <w:rFonts w:ascii="Calibri" w:hAnsi="Calibri" w:cs="Calibri"/>
        </w:rPr>
      </w:pPr>
    </w:p>
    <w:p w14:paraId="0E923435" w14:textId="77777777" w:rsidR="00A34D8B" w:rsidRPr="00AB1F89" w:rsidRDefault="00A34D8B" w:rsidP="00A34D8B">
      <w:pPr>
        <w:spacing w:after="0" w:line="240" w:lineRule="auto"/>
        <w:rPr>
          <w:rFonts w:ascii="Calibri" w:hAnsi="Calibri" w:cs="Calibri"/>
          <w:b/>
          <w:color w:val="0070C0"/>
          <w:sz w:val="24"/>
          <w:szCs w:val="24"/>
        </w:rPr>
      </w:pPr>
    </w:p>
    <w:p w14:paraId="19E99240" w14:textId="77777777" w:rsidR="00A34D8B" w:rsidRPr="00AB1F89" w:rsidRDefault="00A34D8B" w:rsidP="00A34D8B">
      <w:pPr>
        <w:shd w:val="clear" w:color="auto" w:fill="A8D08D" w:themeFill="accent6" w:themeFillTint="99"/>
        <w:spacing w:after="0" w:line="240" w:lineRule="auto"/>
        <w:rPr>
          <w:rFonts w:ascii="Calibri" w:hAnsi="Calibri" w:cs="Calibri"/>
          <w:b/>
          <w:sz w:val="26"/>
          <w:szCs w:val="26"/>
        </w:rPr>
      </w:pPr>
      <w:r w:rsidRPr="00AB1F89">
        <w:rPr>
          <w:rFonts w:ascii="Calibri" w:hAnsi="Calibri" w:cs="Calibri"/>
          <w:b/>
          <w:sz w:val="26"/>
          <w:szCs w:val="26"/>
        </w:rPr>
        <w:t>OVERVIEW</w:t>
      </w:r>
    </w:p>
    <w:p w14:paraId="309C4F2F" w14:textId="77777777" w:rsidR="00A34D8B" w:rsidRPr="00AB1F89" w:rsidRDefault="00A34D8B" w:rsidP="00A34D8B">
      <w:pPr>
        <w:spacing w:after="0" w:line="240" w:lineRule="auto"/>
        <w:rPr>
          <w:rFonts w:ascii="Calibri" w:hAnsi="Calibri" w:cs="Calibri"/>
          <w:sz w:val="20"/>
          <w:szCs w:val="20"/>
        </w:rPr>
      </w:pPr>
    </w:p>
    <w:p w14:paraId="77967ECF" w14:textId="77777777" w:rsidR="00A34D8B" w:rsidRPr="00AB1F89" w:rsidRDefault="00A34D8B" w:rsidP="00A34D8B">
      <w:pPr>
        <w:spacing w:after="0" w:line="240" w:lineRule="auto"/>
        <w:rPr>
          <w:rFonts w:ascii="Calibri" w:hAnsi="Calibri" w:cs="Calibri"/>
          <w:sz w:val="20"/>
          <w:szCs w:val="20"/>
        </w:rPr>
      </w:pPr>
      <w:r w:rsidRPr="00AB1F89">
        <w:rPr>
          <w:rFonts w:ascii="Calibri" w:hAnsi="Calibri" w:cs="Calibri"/>
          <w:sz w:val="20"/>
          <w:szCs w:val="20"/>
        </w:rPr>
        <w:t>Shakti is a 29-year-old culturally specialist woman’s organisation that prides itself on being a feminist, advocacy agency for women’s rights, particularly the rights of minority ethnic (migrant and refugee women and their children) in New Zealand. Shakti operates 5 women’s safehouses (refuges), runs a 24/7 crisis line and offers a range of support services including social work, counselling, safety programmes and empowerment-based self-reliance courses.</w:t>
      </w:r>
    </w:p>
    <w:p w14:paraId="638BC901" w14:textId="77777777" w:rsidR="00A34D8B" w:rsidRPr="00AB1F89" w:rsidRDefault="00A34D8B" w:rsidP="00A34D8B">
      <w:pPr>
        <w:rPr>
          <w:rFonts w:ascii="Calibri" w:hAnsi="Calibri" w:cs="Calibri"/>
          <w:sz w:val="20"/>
          <w:szCs w:val="20"/>
        </w:rPr>
      </w:pPr>
      <w:r w:rsidRPr="00AB1F89">
        <w:rPr>
          <w:rFonts w:ascii="Calibri" w:hAnsi="Calibri" w:cs="Calibri"/>
          <w:sz w:val="20"/>
          <w:szCs w:val="20"/>
        </w:rPr>
        <w:t xml:space="preserve">Shakti is acknowledged by government and non-government agencies for our work and our passionate advocacy in the area of women’s rights and empowerment, social justice, social change and eliminating violence against women and children in New Zealand. We continue to be a consultant body to many initiatives that various governments continue to work on. </w:t>
      </w:r>
    </w:p>
    <w:p w14:paraId="04AB044F" w14:textId="77777777" w:rsidR="00A34D8B" w:rsidRPr="00AB1F89" w:rsidRDefault="00A34D8B" w:rsidP="00A34D8B">
      <w:pPr>
        <w:rPr>
          <w:rFonts w:ascii="Calibri" w:hAnsi="Calibri" w:cs="Calibri"/>
          <w:sz w:val="20"/>
          <w:szCs w:val="20"/>
        </w:rPr>
      </w:pPr>
      <w:r w:rsidRPr="00AB1F89">
        <w:rPr>
          <w:rFonts w:ascii="Calibri" w:hAnsi="Calibri" w:cs="Calibri"/>
          <w:sz w:val="20"/>
          <w:szCs w:val="20"/>
        </w:rPr>
        <w:t>Shakti appreciates the efforts made by the New Zealand government to facilitate and support crisis intervention and community-based services.</w:t>
      </w:r>
    </w:p>
    <w:p w14:paraId="2FD0EF1E" w14:textId="77777777" w:rsidR="00A34D8B" w:rsidRPr="00AB1F89" w:rsidRDefault="00A34D8B" w:rsidP="00A34D8B">
      <w:pPr>
        <w:rPr>
          <w:rFonts w:ascii="Calibri" w:hAnsi="Calibri" w:cs="Calibri"/>
          <w:sz w:val="20"/>
          <w:szCs w:val="20"/>
        </w:rPr>
      </w:pPr>
      <w:r w:rsidRPr="00AB1F89">
        <w:rPr>
          <w:rFonts w:ascii="Calibri" w:hAnsi="Calibri" w:cs="Calibri"/>
          <w:sz w:val="20"/>
          <w:szCs w:val="20"/>
        </w:rPr>
        <w:t xml:space="preserve">In 2022, Shakti released the Best Practice Guidelines for responding to Asian, African and Middle Eastern immigrant women in domestic/family violence in western nations. This was supported by the Ministry of Social Development and well-received by various government departments that invited Shakti to deliver workshops on this subject. The Best Practice Guidelines provide alternate perspectives and worldviews evidenced by minority / immigrant families and advocates for cultural sensitivity and cultural competency in order to increase the efficacy of government and non-government agencies. </w:t>
      </w:r>
    </w:p>
    <w:p w14:paraId="7D721003" w14:textId="77777777" w:rsidR="00A34D8B" w:rsidRPr="00AB1F89" w:rsidRDefault="00A34D8B" w:rsidP="00A34D8B">
      <w:pPr>
        <w:rPr>
          <w:rFonts w:ascii="Calibri" w:hAnsi="Calibri" w:cs="Calibri"/>
          <w:sz w:val="20"/>
          <w:szCs w:val="20"/>
        </w:rPr>
      </w:pPr>
      <w:r w:rsidRPr="00AB1F89">
        <w:rPr>
          <w:rFonts w:ascii="Calibri" w:hAnsi="Calibri" w:cs="Calibri"/>
          <w:sz w:val="20"/>
          <w:szCs w:val="20"/>
        </w:rPr>
        <w:t>The previous government began critical work in reviewing the Family Violence Strategy and published Te Aorerekura which is a National Strategy and Action Plan setting out a new collective pathway for government, tangata whenua (Māori), specialist sectors, and communities including NGOs to work towards the elimination of family violence and sexual violence. However, these measures fall short in effective implementation and sustainable programming in the social services sector. In terms of Workforce Capability within generalist and specialist sectors, there is much to be done and the current government is continuing with such work. The Joint Venture Business Unit or Te Puna Aonui that consists of 10 government departments that engage directly or indirectly with family violence is tasked with completing this work in consultation with NGOs and government. Shakti continues to be a key informant to this process on behalf of migrant and refugee communities.</w:t>
      </w:r>
    </w:p>
    <w:p w14:paraId="1BDD332F" w14:textId="77777777" w:rsidR="00A34D8B" w:rsidRPr="00AB1F89" w:rsidRDefault="00A34D8B" w:rsidP="00A34D8B">
      <w:pPr>
        <w:rPr>
          <w:rFonts w:ascii="Calibri" w:hAnsi="Calibri" w:cs="Calibri"/>
          <w:sz w:val="20"/>
          <w:szCs w:val="20"/>
        </w:rPr>
      </w:pPr>
      <w:r w:rsidRPr="00AB1F89">
        <w:rPr>
          <w:rFonts w:ascii="Calibri" w:hAnsi="Calibri" w:cs="Calibri"/>
          <w:sz w:val="20"/>
          <w:szCs w:val="20"/>
        </w:rPr>
        <w:t>In 2020, the then government improved the funding outcomes for women’s refuges including Shakti. Though the funding boost has been welcomed, the funding continues to fall short as the resources have not increased commensurate with the increase in referrals and or the changing needs of the women and children who seek our services.</w:t>
      </w:r>
    </w:p>
    <w:p w14:paraId="100161BA" w14:textId="77777777" w:rsidR="00A34D8B" w:rsidRPr="00AB1F89" w:rsidRDefault="00A34D8B" w:rsidP="00A34D8B">
      <w:pPr>
        <w:rPr>
          <w:rFonts w:ascii="Calibri" w:hAnsi="Calibri" w:cs="Calibri"/>
          <w:sz w:val="20"/>
          <w:szCs w:val="20"/>
        </w:rPr>
      </w:pPr>
      <w:r w:rsidRPr="00AB1F89">
        <w:rPr>
          <w:rFonts w:ascii="Calibri" w:hAnsi="Calibri" w:cs="Calibri"/>
          <w:sz w:val="20"/>
          <w:szCs w:val="20"/>
        </w:rPr>
        <w:t>Of particular concern is the plight of women victims (and often their children) who are brought into New Zealand for the purpose of marriage and then abused and abandoned or simply abandoned without the kind of evidence that will stand in court. More details will follow in the sections below. Accessibility and equity with regard to critical services that impact on the everyday life of migrant and refugee women including the issues of violence against women is still wanting.  Racism and structural inequality continue to be implicit within the system and provisions to accommodate multicultural societies (people of colour) and their needs still remain by and large unmet.</w:t>
      </w:r>
    </w:p>
    <w:p w14:paraId="200ED345" w14:textId="77777777" w:rsidR="00A34D8B" w:rsidRPr="00AB1F89" w:rsidRDefault="00A34D8B" w:rsidP="00A34D8B">
      <w:pPr>
        <w:rPr>
          <w:rFonts w:ascii="Calibri" w:hAnsi="Calibri" w:cs="Calibri"/>
          <w:sz w:val="20"/>
          <w:szCs w:val="20"/>
        </w:rPr>
      </w:pPr>
      <w:r w:rsidRPr="00AB1F89">
        <w:rPr>
          <w:rFonts w:ascii="Calibri" w:hAnsi="Calibri" w:cs="Calibri"/>
          <w:sz w:val="20"/>
          <w:szCs w:val="20"/>
        </w:rPr>
        <w:t xml:space="preserve">The recent terrorist attack on two mosques in the city of Christchurch killing over 50 individuals including women brought to light several aspects of safety for minority ethnic communities who fall victims to xenophobia, racism and prejudice. Shakti’s work with the survivors of these senseless killings, also revealed the heightened vulnerability of the Muslim women who were then left without their husbands, fathers or brothers. The lack of self-reliance within the women, revealed cultural issues dominated by patriarchal norms, rendering women dependent from one male member to another.    </w:t>
      </w:r>
    </w:p>
    <w:p w14:paraId="73CBC878" w14:textId="77777777" w:rsidR="00A34D8B" w:rsidRPr="00AB1F89" w:rsidRDefault="00A34D8B" w:rsidP="00A34D8B">
      <w:pPr>
        <w:rPr>
          <w:rFonts w:ascii="Calibri" w:hAnsi="Calibri" w:cs="Calibri"/>
          <w:b/>
          <w:sz w:val="20"/>
          <w:szCs w:val="20"/>
        </w:rPr>
      </w:pPr>
      <w:r w:rsidRPr="00AB1F89">
        <w:rPr>
          <w:rFonts w:ascii="Calibri" w:hAnsi="Calibri" w:cs="Calibri"/>
          <w:b/>
          <w:sz w:val="20"/>
          <w:szCs w:val="20"/>
        </w:rPr>
        <w:lastRenderedPageBreak/>
        <w:t>This report explores the main issues currently confronting immigrant/minority women in New Zealand particularly pertaining to Articles 2, 3, 5, 6, 15, 16 of CEDAW. We also strive to offer some recommendations for the Committee to consider.</w:t>
      </w:r>
    </w:p>
    <w:p w14:paraId="6BD68B98" w14:textId="77777777" w:rsidR="00A34D8B" w:rsidRPr="00AB1F89" w:rsidRDefault="00A34D8B" w:rsidP="00A34D8B">
      <w:pPr>
        <w:pStyle w:val="sics-componenthtml-injector"/>
        <w:shd w:val="clear" w:color="auto" w:fill="FFFFFF"/>
        <w:jc w:val="both"/>
        <w:rPr>
          <w:rFonts w:ascii="Calibri" w:eastAsiaTheme="minorHAnsi" w:hAnsi="Calibri" w:cs="Calibri"/>
          <w:sz w:val="22"/>
          <w:szCs w:val="22"/>
          <w:shd w:val="clear" w:color="auto" w:fill="FFFFFF"/>
          <w:lang w:eastAsia="en-US"/>
        </w:rPr>
      </w:pPr>
    </w:p>
    <w:p w14:paraId="20B6248E" w14:textId="77777777" w:rsidR="00A34D8B" w:rsidRPr="00AB1F89" w:rsidRDefault="00A34D8B" w:rsidP="00A34D8B">
      <w:pPr>
        <w:shd w:val="clear" w:color="auto" w:fill="A8D08D" w:themeFill="accent6" w:themeFillTint="99"/>
        <w:spacing w:after="0" w:line="240" w:lineRule="auto"/>
        <w:rPr>
          <w:rFonts w:ascii="Calibri" w:eastAsiaTheme="majorEastAsia" w:hAnsi="Calibri" w:cs="Calibri"/>
          <w:b/>
          <w:sz w:val="26"/>
          <w:szCs w:val="26"/>
        </w:rPr>
      </w:pPr>
      <w:r w:rsidRPr="00AB1F89">
        <w:rPr>
          <w:rFonts w:ascii="Calibri" w:eastAsiaTheme="majorEastAsia" w:hAnsi="Calibri" w:cs="Calibri"/>
          <w:b/>
          <w:sz w:val="26"/>
          <w:szCs w:val="26"/>
        </w:rPr>
        <w:t>1. Statius of Advocacy on Forced Marriage and Laws</w:t>
      </w:r>
    </w:p>
    <w:p w14:paraId="06A52971" w14:textId="77777777" w:rsidR="00A34D8B" w:rsidRPr="00AB1F89" w:rsidRDefault="00A34D8B" w:rsidP="00A34D8B">
      <w:pPr>
        <w:rPr>
          <w:rFonts w:ascii="Calibri" w:hAnsi="Calibri" w:cs="Calibri"/>
          <w:b/>
          <w:sz w:val="20"/>
          <w:szCs w:val="20"/>
        </w:rPr>
      </w:pPr>
    </w:p>
    <w:p w14:paraId="09337CF7" w14:textId="77777777" w:rsidR="00A34D8B" w:rsidRPr="00AB1F89" w:rsidRDefault="00A34D8B" w:rsidP="00A34D8B">
      <w:pPr>
        <w:rPr>
          <w:rFonts w:ascii="Calibri" w:hAnsi="Calibri" w:cs="Calibri"/>
        </w:rPr>
      </w:pPr>
      <w:bookmarkStart w:id="0" w:name="_Toc146379373"/>
      <w:r w:rsidRPr="00AB1F89">
        <w:rPr>
          <w:rFonts w:ascii="Calibri" w:hAnsi="Calibri" w:cs="Calibri"/>
        </w:rPr>
        <w:t>Status of Advocacy on Forced Marriage</w:t>
      </w:r>
      <w:bookmarkEnd w:id="0"/>
      <w:r w:rsidRPr="00AB1F89">
        <w:rPr>
          <w:rFonts w:ascii="Calibri" w:hAnsi="Calibri" w:cs="Calibri"/>
        </w:rPr>
        <w:t xml:space="preserve"> and laws</w:t>
      </w:r>
    </w:p>
    <w:p w14:paraId="174DC9F4" w14:textId="77777777" w:rsidR="00A34D8B" w:rsidRPr="00AB1F89" w:rsidRDefault="00A34D8B" w:rsidP="00A34D8B">
      <w:pPr>
        <w:spacing w:before="100" w:beforeAutospacing="1" w:after="100" w:afterAutospacing="1" w:line="240" w:lineRule="auto"/>
        <w:jc w:val="both"/>
        <w:rPr>
          <w:rFonts w:ascii="Calibri" w:hAnsi="Calibri" w:cs="Calibri"/>
          <w:b/>
          <w:bCs/>
          <w:sz w:val="24"/>
          <w:szCs w:val="24"/>
          <w:shd w:val="clear" w:color="auto" w:fill="FFFFFF"/>
        </w:rPr>
      </w:pPr>
      <w:r w:rsidRPr="00AB1F89">
        <w:rPr>
          <w:rFonts w:ascii="Calibri" w:hAnsi="Calibri" w:cs="Calibri"/>
          <w:b/>
          <w:bCs/>
          <w:sz w:val="24"/>
          <w:szCs w:val="24"/>
          <w:shd w:val="clear" w:color="auto" w:fill="FFFFFF"/>
        </w:rPr>
        <w:t>Background: Gaps in New Zealand response to forced marriage since 2012</w:t>
      </w:r>
    </w:p>
    <w:p w14:paraId="1E494E4A" w14:textId="77777777" w:rsidR="00A34D8B" w:rsidRPr="00AB1F89" w:rsidRDefault="00A34D8B" w:rsidP="00A34D8B">
      <w:pPr>
        <w:spacing w:before="100" w:beforeAutospacing="1" w:after="100" w:afterAutospacing="1" w:line="240" w:lineRule="auto"/>
        <w:jc w:val="both"/>
        <w:rPr>
          <w:rFonts w:ascii="Calibri" w:eastAsia="Times New Roman" w:hAnsi="Calibri" w:cs="Calibri"/>
          <w:lang w:eastAsia="en-NZ"/>
        </w:rPr>
      </w:pPr>
      <w:r w:rsidRPr="00AB1F89">
        <w:rPr>
          <w:rFonts w:ascii="Calibri" w:eastAsia="Times New Roman" w:hAnsi="Calibri" w:cs="Calibri"/>
          <w:lang w:eastAsia="en-NZ"/>
        </w:rPr>
        <w:t xml:space="preserve">Shakti Community Council Inc. (Shakti) has been fore-fronting the issue of forced and under-aged/child marriage in New Zealand since its first attendance at CEDAW in 2012 as part of the New Zealand NGO delegation. </w:t>
      </w:r>
    </w:p>
    <w:p w14:paraId="7D4D2CA5" w14:textId="77777777" w:rsidR="00A34D8B" w:rsidRPr="00AB1F89" w:rsidRDefault="00A34D8B" w:rsidP="00A34D8B">
      <w:pPr>
        <w:spacing w:before="100" w:beforeAutospacing="1" w:after="100" w:afterAutospacing="1" w:line="240" w:lineRule="auto"/>
        <w:jc w:val="both"/>
        <w:rPr>
          <w:rFonts w:ascii="Calibri" w:hAnsi="Calibri" w:cs="Calibri"/>
          <w:shd w:val="clear" w:color="auto" w:fill="FFFFFF"/>
        </w:rPr>
      </w:pPr>
      <w:r w:rsidRPr="00AB1F89">
        <w:rPr>
          <w:rFonts w:ascii="Calibri" w:eastAsia="Times New Roman" w:hAnsi="Calibri" w:cs="Calibri"/>
          <w:lang w:eastAsia="en-NZ"/>
        </w:rPr>
        <w:t>Internationally, forced and child marriage within the context of Asian, African and Middle Eastern diaspora communities in western countries happens for many reasons including for the purposes of visa sponsorship and migration, parents not accepting their daughters dating those whom they do not approve and or dressing in ways considered culturally acceptable, and or to maintain their notion of ‘honour’ by controlling women and their sexuality. In New Zealand, initial p</w:t>
      </w:r>
      <w:r w:rsidRPr="00AB1F89">
        <w:rPr>
          <w:rFonts w:ascii="Calibri" w:hAnsi="Calibri" w:cs="Calibri"/>
          <w:shd w:val="clear" w:color="auto" w:fill="FFFFFF"/>
        </w:rPr>
        <w:t>ublic discourse amongst community groups on forced marriage was split when it was portrayed that the issue was either being exaggerated or “further reinforced post-9/11 bias, prejudice, stigmatism, and bigotry toward Muslims” (FIANZ, 2010). Nonetheless, Shakti continues to advocate for legislative, policy and resource attention to the ongoing issue impacting women, young people and children within the immigrant communities it services.</w:t>
      </w:r>
    </w:p>
    <w:p w14:paraId="14B6A5E3" w14:textId="77777777" w:rsidR="00A34D8B" w:rsidRPr="00AB1F89" w:rsidRDefault="00A34D8B" w:rsidP="00A34D8B">
      <w:pPr>
        <w:spacing w:before="100" w:beforeAutospacing="1" w:after="100" w:afterAutospacing="1" w:line="240" w:lineRule="auto"/>
        <w:jc w:val="both"/>
        <w:rPr>
          <w:rFonts w:ascii="Calibri" w:hAnsi="Calibri" w:cs="Calibri"/>
          <w:shd w:val="clear" w:color="auto" w:fill="FFFFFF"/>
        </w:rPr>
      </w:pPr>
      <w:r w:rsidRPr="00AB1F89">
        <w:rPr>
          <w:rFonts w:ascii="Calibri" w:hAnsi="Calibri" w:cs="Calibri"/>
          <w:shd w:val="clear" w:color="auto" w:fill="FFFFFF"/>
        </w:rPr>
        <w:t xml:space="preserve">In December 2012, the New Zealand Police, Child, Youth &amp; Family Services (now known as Oranga Tamariki-Ministry for Children), Ministry of Social Development and Ministry of Education issued a media release announcing their agencies as co-signatories on “a Multi-Agency Statement for a coordinated inter-agency response to address forced marriage and under-aged/child marriage” (New Zealand Police, 2012). Despite media reports about the Police having guidelines on investigating cases involving forced marriage victims (2015), all the signatory agencies stated having “no records [of forced marriage] in their systems. in the past decade” (Keogh, 2018). These comments were made despite Government-funded and Oranga Tamariki accredited NGO Shakti reporting over 80 cases of forced marriage, many of which involved casework contact with the Police (Fu, in Keogh, 2018). Here, government agencies continue to maintain that they have operating procedures and systems in place should there be a forced marriage incident to deal with (Keogh, 2018), and since there were none reported directly through official authorities, everything was considered status-quo and satisfactory. </w:t>
      </w:r>
    </w:p>
    <w:p w14:paraId="3E06B754" w14:textId="77777777" w:rsidR="00A34D8B" w:rsidRPr="00AB1F89" w:rsidRDefault="00A34D8B" w:rsidP="00A34D8B">
      <w:pPr>
        <w:spacing w:before="100" w:beforeAutospacing="1" w:after="100" w:afterAutospacing="1" w:line="240" w:lineRule="auto"/>
        <w:jc w:val="both"/>
        <w:rPr>
          <w:rFonts w:ascii="Calibri" w:hAnsi="Calibri" w:cs="Calibri"/>
        </w:rPr>
      </w:pPr>
      <w:r w:rsidRPr="00AB1F89">
        <w:rPr>
          <w:rFonts w:ascii="Calibri" w:eastAsia="Times New Roman" w:hAnsi="Calibri" w:cs="Calibri"/>
          <w:lang w:eastAsia="en-NZ"/>
        </w:rPr>
        <w:t xml:space="preserve">In response to the heightened lobbying efforts since New Zealand’s 2017 CEDAW session, there now exists two pieces of key legislation in New Zealand that intend to address the issue of forced and child marriage but do not name these issues specifically: The </w:t>
      </w:r>
      <w:r w:rsidRPr="00AB1F89">
        <w:rPr>
          <w:rFonts w:ascii="Calibri" w:eastAsia="Times New Roman" w:hAnsi="Calibri" w:cs="Calibri"/>
          <w:b/>
          <w:bCs/>
          <w:lang w:eastAsia="en-NZ"/>
        </w:rPr>
        <w:t>Minors (Court Consent to Relationships) Legislation Act 2018 and the Family Violence Act 2018</w:t>
      </w:r>
      <w:r w:rsidRPr="00AB1F89">
        <w:rPr>
          <w:rFonts w:ascii="Calibri" w:eastAsia="Times New Roman" w:hAnsi="Calibri" w:cs="Calibri"/>
          <w:lang w:eastAsia="en-NZ"/>
        </w:rPr>
        <w:t>. On 13 August 2018, after years of sitting in the bill ballot first proposed by National-list Member of Parliament Jackie Blue. New Zealand finally passed legislation extinguishing parental consent as a requirement and instead “[requiring] court consent for 16- and 17-year-olds wanting to enter a legally recognised relationship” (Minors (Court Consent to Relationships) Legislation Act 2018).</w:t>
      </w:r>
      <w:r w:rsidRPr="00AB1F89">
        <w:rPr>
          <w:rFonts w:ascii="Calibri" w:hAnsi="Calibri" w:cs="Calibri"/>
        </w:rPr>
        <w:t xml:space="preserve"> However,</w:t>
      </w:r>
      <w:r w:rsidRPr="00AB1F89">
        <w:rPr>
          <w:rFonts w:ascii="Calibri" w:eastAsia="Times New Roman" w:hAnsi="Calibri" w:cs="Calibri"/>
          <w:lang w:eastAsia="en-NZ"/>
        </w:rPr>
        <w:t xml:space="preserve"> this law is still “</w:t>
      </w:r>
      <w:r w:rsidRPr="00AB1F89">
        <w:rPr>
          <w:rFonts w:ascii="Calibri" w:hAnsi="Calibri" w:cs="Calibri"/>
        </w:rPr>
        <w:t xml:space="preserve">out-of-step with international law" (UNICEF cited in Keogh, 2018) which recommends Governments to lift the </w:t>
      </w:r>
      <w:r w:rsidRPr="00AB1F89">
        <w:rPr>
          <w:rFonts w:ascii="Calibri" w:hAnsi="Calibri" w:cs="Calibri"/>
        </w:rPr>
        <w:lastRenderedPageBreak/>
        <w:t>legal age to marry to 18 years (UNICEF, 2012; Ali in Wade, 2013; Fu in Keogh, 2018; Girls Not Brides, 2020).</w:t>
      </w:r>
    </w:p>
    <w:p w14:paraId="22B3DE65" w14:textId="77777777" w:rsidR="00A34D8B" w:rsidRPr="00AB1F89" w:rsidRDefault="00A34D8B" w:rsidP="00A34D8B">
      <w:pPr>
        <w:spacing w:before="100" w:beforeAutospacing="1" w:after="100" w:afterAutospacing="1" w:line="240" w:lineRule="auto"/>
        <w:jc w:val="both"/>
        <w:rPr>
          <w:rFonts w:ascii="Calibri" w:hAnsi="Calibri" w:cs="Calibri"/>
          <w:shd w:val="clear" w:color="auto" w:fill="FFFFFF"/>
        </w:rPr>
      </w:pPr>
      <w:r w:rsidRPr="00AB1F89">
        <w:rPr>
          <w:rFonts w:ascii="Calibri" w:hAnsi="Calibri" w:cs="Calibri"/>
          <w:shd w:val="clear" w:color="auto" w:fill="FFFFFF"/>
        </w:rPr>
        <w:t xml:space="preserve">In the same year, the </w:t>
      </w:r>
      <w:r w:rsidRPr="00AB1F89">
        <w:rPr>
          <w:rFonts w:ascii="Calibri" w:hAnsi="Calibri" w:cs="Calibri"/>
          <w:b/>
          <w:bCs/>
          <w:shd w:val="clear" w:color="auto" w:fill="FFFFFF"/>
        </w:rPr>
        <w:t>Family Violence Amendment Act 2018</w:t>
      </w:r>
      <w:r w:rsidRPr="00AB1F89">
        <w:rPr>
          <w:rFonts w:ascii="Calibri" w:hAnsi="Calibri" w:cs="Calibri"/>
          <w:shd w:val="clear" w:color="auto" w:fill="FFFFFF"/>
        </w:rPr>
        <w:t xml:space="preserve"> passed the amendment to include ‘coercion into marriage’ as a statutory offence under the Crimes Act 1961. </w:t>
      </w:r>
      <w:r w:rsidRPr="00AB1F89">
        <w:rPr>
          <w:rFonts w:ascii="Calibri" w:eastAsia="Times New Roman" w:hAnsi="Calibri" w:cs="Calibri"/>
          <w:lang w:eastAsia="en-NZ"/>
        </w:rPr>
        <w:t>This criminalisation approach aims to hold parties who coerce anyone of any age to marry without their consent, accountable and punishable under the law.</w:t>
      </w:r>
      <w:r w:rsidRPr="00AB1F89">
        <w:rPr>
          <w:rFonts w:ascii="Calibri" w:hAnsi="Calibri" w:cs="Calibri"/>
          <w:b/>
          <w:bCs/>
          <w:shd w:val="clear" w:color="auto" w:fill="FFFFFF"/>
        </w:rPr>
        <w:t xml:space="preserve"> </w:t>
      </w:r>
      <w:r w:rsidRPr="00AB1F89">
        <w:rPr>
          <w:rFonts w:ascii="Calibri" w:hAnsi="Calibri" w:cs="Calibri"/>
          <w:shd w:val="clear" w:color="auto" w:fill="FFFFFF"/>
        </w:rPr>
        <w:t>Mentions of forced marriage also began to emerge scatteringly in official policy documents on family violence prevention in New Zealand, such as in the Joint Venture on Family Violence &amp; Sexual Violence Te Puna Aonui Draft Action Plan (October 2021, Annex 1) and in academic literature on ethnic communities’ perspectives on family violence. Within the purview of policymakers “at least the issue now has a name” (Balzani, 2011, p205).</w:t>
      </w:r>
    </w:p>
    <w:p w14:paraId="69678A1A" w14:textId="77777777" w:rsidR="00A34D8B" w:rsidRPr="00AB1F89" w:rsidRDefault="00A34D8B" w:rsidP="00A34D8B">
      <w:pPr>
        <w:spacing w:before="100" w:beforeAutospacing="1" w:after="100" w:afterAutospacing="1" w:line="240" w:lineRule="auto"/>
        <w:jc w:val="both"/>
        <w:rPr>
          <w:rFonts w:ascii="Calibri" w:hAnsi="Calibri" w:cs="Calibri"/>
          <w:shd w:val="clear" w:color="auto" w:fill="FFFFFF"/>
        </w:rPr>
      </w:pPr>
      <w:r w:rsidRPr="00AB1F89">
        <w:rPr>
          <w:rFonts w:ascii="Calibri" w:hAnsi="Calibri" w:cs="Calibri"/>
          <w:shd w:val="clear" w:color="auto" w:fill="FFFFFF"/>
        </w:rPr>
        <w:t xml:space="preserve">However, there continues to be doubt as to whether the laws and policies in place work. In April 2019, a case emerged where a person based in Wellington reported to the Police, that they were being forced into a marriage in Fiji (Keogh, 2020). </w:t>
      </w:r>
      <w:r w:rsidRPr="00AB1F89">
        <w:rPr>
          <w:rFonts w:ascii="Calibri" w:hAnsi="Calibri" w:cs="Calibri"/>
          <w:bCs/>
          <w:shd w:val="clear" w:color="auto" w:fill="FFFFFF"/>
        </w:rPr>
        <w:t>At this point, the Family Violence Act 2018 was already amended and ‘coercion into a marriage’ was in effect a statutory offence</w:t>
      </w:r>
      <w:r w:rsidRPr="00AB1F89">
        <w:rPr>
          <w:rFonts w:ascii="Calibri" w:hAnsi="Calibri" w:cs="Calibri"/>
          <w:shd w:val="clear" w:color="auto" w:fill="FFFFFF"/>
        </w:rPr>
        <w:t xml:space="preserve">. Yet the Police responded that they lacked the jurisdiction to act as the alleged victim’s wedding was held in another country despite s207A (2)(b) stipulating that the law applies “even if the marriage or civil union—is not governed by New Zealand law” (Crimes Act 1961). </w:t>
      </w:r>
      <w:r w:rsidRPr="00AB1F89">
        <w:rPr>
          <w:rFonts w:ascii="Calibri" w:hAnsi="Calibri" w:cs="Calibri"/>
          <w:bCs/>
          <w:shd w:val="clear" w:color="auto" w:fill="FFFFFF"/>
        </w:rPr>
        <w:t>It truly begs the question whether the New Zealand Police and indeed the public service system will ever be able to effectively support victims of forced marriage</w:t>
      </w:r>
      <w:r w:rsidRPr="00AB1F89">
        <w:rPr>
          <w:rFonts w:ascii="Calibri" w:hAnsi="Calibri" w:cs="Calibri"/>
          <w:shd w:val="clear" w:color="auto" w:fill="FFFFFF"/>
        </w:rPr>
        <w:t xml:space="preserve"> - if this one victim’s case is the premise of how the current legislation fails to provide enforceability to intervene, why would any other victim of forced marriage approach authorities for help? </w:t>
      </w:r>
    </w:p>
    <w:p w14:paraId="4429F73D" w14:textId="77777777" w:rsidR="00A34D8B" w:rsidRPr="00AB1F89" w:rsidRDefault="00A34D8B" w:rsidP="00A34D8B">
      <w:pPr>
        <w:spacing w:before="100" w:beforeAutospacing="1" w:after="100" w:afterAutospacing="1" w:line="240" w:lineRule="auto"/>
        <w:jc w:val="both"/>
        <w:rPr>
          <w:rFonts w:ascii="Calibri" w:hAnsi="Calibri" w:cs="Calibri"/>
          <w:shd w:val="clear" w:color="auto" w:fill="FFFFFF"/>
        </w:rPr>
      </w:pPr>
      <w:r w:rsidRPr="00AB1F89">
        <w:rPr>
          <w:rFonts w:ascii="Calibri" w:hAnsi="Calibri" w:cs="Calibri"/>
          <w:shd w:val="clear" w:color="auto" w:fill="FFFFFF"/>
        </w:rPr>
        <w:t xml:space="preserve">The dissatisfaction with the New Zealand Government’s approach or lack thereof in addressing forced and child marriage, is long-standing for advocates who persevered through different political party led-Governments over the past decade. Immigrant women-led NGO Shakti has been leading advocacy on this issue “since the early 2000s” (Blue, in Keogh 2018) including leveraging New Zealand-based networks to support their submissions at Parliament including UNICEF, 2012; Pacific Women’s Watch, 2017; BPWNZ,2017; Salvation Army,2017 and Zonta,2019. Shakti reported this issue at CEDAW 2013 &amp; 2018) and expanded epistemic community influence through a Trans-Tasman research partnership with the Australian Federal Government’s Institute of Criminology investigating forced marriage in New Zealand and Australia (Lyneham and Bricknell, 2018, 2017).  </w:t>
      </w:r>
    </w:p>
    <w:p w14:paraId="18FEB94D" w14:textId="77777777" w:rsidR="00A34D8B" w:rsidRPr="00AB1F89" w:rsidRDefault="00A34D8B" w:rsidP="00A34D8B">
      <w:pPr>
        <w:spacing w:before="100" w:beforeAutospacing="1" w:after="100" w:afterAutospacing="1" w:line="240" w:lineRule="auto"/>
        <w:jc w:val="both"/>
        <w:rPr>
          <w:rFonts w:ascii="Calibri" w:hAnsi="Calibri" w:cs="Calibri"/>
          <w:shd w:val="clear" w:color="auto" w:fill="FFFFFF"/>
        </w:rPr>
      </w:pPr>
      <w:r w:rsidRPr="00AB1F89">
        <w:rPr>
          <w:rFonts w:ascii="Calibri" w:hAnsi="Calibri" w:cs="Calibri"/>
          <w:shd w:val="clear" w:color="auto" w:fill="FFFFFF"/>
        </w:rPr>
        <w:t>Nonetheless, New Zealand government initiatives relating to forced marriage since 2012, reflect a fragmented response system that lack mandate to action when cases arise, and a lack of interest to gather the data on forced marriage in New Zealand.</w:t>
      </w:r>
    </w:p>
    <w:p w14:paraId="7F178627" w14:textId="77777777" w:rsidR="00A34D8B" w:rsidRPr="00AB1F89" w:rsidRDefault="00A34D8B" w:rsidP="00A34D8B">
      <w:pPr>
        <w:pStyle w:val="sics-componenthtml-injector"/>
        <w:shd w:val="clear" w:color="auto" w:fill="FFFFFF"/>
        <w:jc w:val="both"/>
        <w:rPr>
          <w:rFonts w:ascii="Calibri" w:eastAsiaTheme="minorHAnsi" w:hAnsi="Calibri" w:cs="Calibri"/>
          <w:b/>
          <w:bCs/>
          <w:sz w:val="22"/>
          <w:szCs w:val="22"/>
          <w:shd w:val="clear" w:color="auto" w:fill="FFFFFF"/>
          <w:lang w:eastAsia="en-US"/>
        </w:rPr>
      </w:pPr>
      <w:r w:rsidRPr="00AB1F89">
        <w:rPr>
          <w:rFonts w:ascii="Calibri" w:eastAsiaTheme="minorHAnsi" w:hAnsi="Calibri" w:cs="Calibri"/>
          <w:b/>
          <w:bCs/>
          <w:sz w:val="22"/>
          <w:szCs w:val="22"/>
          <w:shd w:val="clear" w:color="auto" w:fill="FFFFFF"/>
          <w:lang w:eastAsia="en-US"/>
        </w:rPr>
        <w:t>Shakti Concerns:</w:t>
      </w:r>
    </w:p>
    <w:p w14:paraId="44827570" w14:textId="77777777" w:rsidR="00A34D8B" w:rsidRPr="00AB1F89" w:rsidRDefault="00A34D8B">
      <w:pPr>
        <w:pStyle w:val="sics-componenthtml-injector"/>
        <w:numPr>
          <w:ilvl w:val="0"/>
          <w:numId w:val="3"/>
        </w:numPr>
        <w:shd w:val="clear" w:color="auto" w:fill="FFFFFF"/>
        <w:jc w:val="both"/>
        <w:rPr>
          <w:rFonts w:ascii="Calibri" w:eastAsiaTheme="minorHAnsi" w:hAnsi="Calibri" w:cs="Calibri"/>
          <w:sz w:val="22"/>
          <w:szCs w:val="22"/>
          <w:shd w:val="clear" w:color="auto" w:fill="FFFFFF"/>
          <w:lang w:eastAsia="en-US"/>
        </w:rPr>
      </w:pPr>
      <w:r w:rsidRPr="00AB1F89">
        <w:rPr>
          <w:rFonts w:ascii="Calibri" w:eastAsiaTheme="minorHAnsi" w:hAnsi="Calibri" w:cs="Calibri"/>
          <w:sz w:val="22"/>
          <w:szCs w:val="22"/>
          <w:shd w:val="clear" w:color="auto" w:fill="FFFFFF"/>
          <w:lang w:eastAsia="en-US"/>
        </w:rPr>
        <w:t xml:space="preserve">To date, no government department has invited NGOs including (experienced NGOs like Shakti) to consult in relation to developing policies and or intervention in cases on forced/underage marriage despite agencies like Shakti having a track record on policy advocacy as well as direct intervention in supporting victims in forced and child marriage cases within domestic and transnational contexts. </w:t>
      </w:r>
    </w:p>
    <w:p w14:paraId="5BE0197C" w14:textId="77777777" w:rsidR="00A34D8B" w:rsidRPr="00AB1F89" w:rsidRDefault="00A34D8B">
      <w:pPr>
        <w:pStyle w:val="sics-componenthtml-injector"/>
        <w:numPr>
          <w:ilvl w:val="0"/>
          <w:numId w:val="3"/>
        </w:numPr>
        <w:shd w:val="clear" w:color="auto" w:fill="FFFFFF"/>
        <w:jc w:val="both"/>
        <w:rPr>
          <w:rFonts w:ascii="Calibri" w:eastAsiaTheme="minorHAnsi" w:hAnsi="Calibri" w:cs="Calibri"/>
          <w:sz w:val="22"/>
          <w:szCs w:val="22"/>
          <w:shd w:val="clear" w:color="auto" w:fill="FFFFFF"/>
          <w:lang w:eastAsia="en-US"/>
        </w:rPr>
      </w:pPr>
      <w:r w:rsidRPr="00AB1F89">
        <w:rPr>
          <w:rFonts w:ascii="Calibri" w:eastAsiaTheme="minorHAnsi" w:hAnsi="Calibri" w:cs="Calibri"/>
          <w:sz w:val="22"/>
          <w:szCs w:val="22"/>
          <w:shd w:val="clear" w:color="auto" w:fill="FFFFFF"/>
          <w:lang w:eastAsia="en-US"/>
        </w:rPr>
        <w:t xml:space="preserve">Shakti remains concerned as to the ineffective legislation amendments that do little to protect victims of forced marriage and the New Zealand Government’s approach in minimising the scope and status of forced marriage from a human rights issue on the Status of Women agenda, to a one-of-many emerging subject matters for New Zealand relating to child welfare. </w:t>
      </w:r>
    </w:p>
    <w:p w14:paraId="3F3E950B" w14:textId="77777777" w:rsidR="00A34D8B" w:rsidRPr="00AB1F89" w:rsidRDefault="00A34D8B">
      <w:pPr>
        <w:pStyle w:val="sics-componenthtml-injector"/>
        <w:numPr>
          <w:ilvl w:val="0"/>
          <w:numId w:val="3"/>
        </w:numPr>
        <w:shd w:val="clear" w:color="auto" w:fill="FFFFFF"/>
        <w:jc w:val="both"/>
        <w:rPr>
          <w:rFonts w:ascii="Calibri" w:eastAsiaTheme="minorHAnsi" w:hAnsi="Calibri" w:cs="Calibri"/>
          <w:sz w:val="22"/>
          <w:szCs w:val="22"/>
          <w:shd w:val="clear" w:color="auto" w:fill="FFFFFF"/>
          <w:lang w:eastAsia="en-US"/>
        </w:rPr>
      </w:pPr>
      <w:r w:rsidRPr="00AB1F89">
        <w:rPr>
          <w:rFonts w:ascii="Calibri" w:eastAsiaTheme="minorHAnsi" w:hAnsi="Calibri" w:cs="Calibri"/>
          <w:sz w:val="22"/>
          <w:szCs w:val="22"/>
          <w:shd w:val="clear" w:color="auto" w:fill="FFFFFF"/>
          <w:lang w:eastAsia="en-US"/>
        </w:rPr>
        <w:t xml:space="preserve">This policy development digresses rather than progresses the status of women, as it gradually erases current lived realities, histories and struggles for safety and support of adult women </w:t>
      </w:r>
      <w:r w:rsidRPr="00AB1F89">
        <w:rPr>
          <w:rFonts w:ascii="Calibri" w:eastAsiaTheme="minorHAnsi" w:hAnsi="Calibri" w:cs="Calibri"/>
          <w:sz w:val="22"/>
          <w:szCs w:val="22"/>
          <w:shd w:val="clear" w:color="auto" w:fill="FFFFFF"/>
          <w:lang w:eastAsia="en-US"/>
        </w:rPr>
        <w:lastRenderedPageBreak/>
        <w:t>victim-survivors of forced marriage, and their children, within Aotearoa’s migrant and refugee communities.</w:t>
      </w:r>
    </w:p>
    <w:p w14:paraId="5EE8AF85" w14:textId="77777777" w:rsidR="00A34D8B" w:rsidRPr="00AB1F89" w:rsidRDefault="00A34D8B" w:rsidP="00A34D8B">
      <w:pPr>
        <w:pStyle w:val="sics-componenthtml-injector"/>
        <w:shd w:val="clear" w:color="auto" w:fill="FFFFFF"/>
        <w:jc w:val="both"/>
        <w:rPr>
          <w:rFonts w:ascii="Calibri" w:eastAsiaTheme="majorEastAsia" w:hAnsi="Calibri" w:cs="Calibri"/>
          <w:b/>
          <w:kern w:val="2"/>
          <w:sz w:val="26"/>
          <w:szCs w:val="26"/>
          <w:u w:val="single"/>
          <w:lang w:eastAsia="en-US"/>
          <w14:ligatures w14:val="standardContextual"/>
        </w:rPr>
      </w:pPr>
      <w:r w:rsidRPr="00AB1F89">
        <w:rPr>
          <w:rFonts w:ascii="Calibri" w:eastAsiaTheme="majorEastAsia" w:hAnsi="Calibri" w:cs="Calibri"/>
          <w:b/>
          <w:kern w:val="2"/>
          <w:sz w:val="26"/>
          <w:szCs w:val="26"/>
          <w:u w:val="single"/>
          <w:lang w:eastAsia="en-US"/>
          <w14:ligatures w14:val="standardContextual"/>
        </w:rPr>
        <w:t>Recommendation:</w:t>
      </w:r>
    </w:p>
    <w:p w14:paraId="1FA26A12" w14:textId="77777777" w:rsidR="00A34D8B" w:rsidRPr="00AB1F89" w:rsidRDefault="00A34D8B" w:rsidP="00A34D8B">
      <w:pPr>
        <w:pStyle w:val="sics-componenthtml-injector"/>
        <w:shd w:val="clear" w:color="auto" w:fill="FFFFFF"/>
        <w:jc w:val="both"/>
        <w:rPr>
          <w:rFonts w:ascii="Calibri" w:eastAsiaTheme="minorHAnsi" w:hAnsi="Calibri" w:cs="Calibri"/>
          <w:sz w:val="22"/>
          <w:szCs w:val="22"/>
          <w:shd w:val="clear" w:color="auto" w:fill="FFFFFF"/>
          <w:lang w:eastAsia="en-US"/>
        </w:rPr>
      </w:pPr>
      <w:r w:rsidRPr="00AB1F89">
        <w:rPr>
          <w:rFonts w:ascii="Calibri" w:eastAsiaTheme="minorHAnsi" w:hAnsi="Calibri" w:cs="Calibri"/>
          <w:sz w:val="22"/>
          <w:szCs w:val="22"/>
          <w:shd w:val="clear" w:color="auto" w:fill="FFFFFF"/>
          <w:lang w:eastAsia="en-US"/>
        </w:rPr>
        <w:t>That the New Zealand government reviews the existing legislation on *Minors (Court Consent to Relationships) Legislation Act 2018 and the Family Violence Act 2018 to see if the legislation is fit for purpose and acts more than as a deterrent. Shakti also recommends that the statutes of law filter down to policies with government agencies that engage in the services of children/minors.</w:t>
      </w:r>
    </w:p>
    <w:p w14:paraId="34CBE578" w14:textId="77777777" w:rsidR="00A34D8B" w:rsidRPr="00AB1F89" w:rsidRDefault="00A34D8B" w:rsidP="00A34D8B">
      <w:pPr>
        <w:pStyle w:val="sics-componenthtml-injector"/>
        <w:shd w:val="clear" w:color="auto" w:fill="FFFFFF"/>
        <w:jc w:val="both"/>
        <w:rPr>
          <w:rFonts w:ascii="Calibri" w:eastAsiaTheme="minorHAnsi" w:hAnsi="Calibri" w:cs="Calibri"/>
          <w:sz w:val="22"/>
          <w:szCs w:val="22"/>
          <w:shd w:val="clear" w:color="auto" w:fill="FFFFFF"/>
          <w:lang w:eastAsia="en-US"/>
        </w:rPr>
      </w:pPr>
      <w:r w:rsidRPr="00AB1F89">
        <w:rPr>
          <w:rFonts w:ascii="Calibri" w:eastAsiaTheme="minorHAnsi" w:hAnsi="Calibri" w:cs="Calibri"/>
          <w:sz w:val="22"/>
          <w:szCs w:val="22"/>
          <w:shd w:val="clear" w:color="auto" w:fill="FFFFFF"/>
          <w:lang w:eastAsia="en-US"/>
        </w:rPr>
        <w:t>*Currently it states that you need to get permission from a Family Court judge if:</w:t>
      </w:r>
    </w:p>
    <w:p w14:paraId="0D2EF787" w14:textId="77777777" w:rsidR="00A34D8B" w:rsidRPr="00AB1F89" w:rsidRDefault="00A34D8B">
      <w:pPr>
        <w:pStyle w:val="sics-componenthtml-injector"/>
        <w:numPr>
          <w:ilvl w:val="0"/>
          <w:numId w:val="4"/>
        </w:numPr>
        <w:shd w:val="clear" w:color="auto" w:fill="FFFFFF"/>
        <w:jc w:val="both"/>
        <w:rPr>
          <w:rFonts w:ascii="Calibri" w:eastAsiaTheme="minorHAnsi" w:hAnsi="Calibri" w:cs="Calibri"/>
          <w:sz w:val="22"/>
          <w:szCs w:val="22"/>
          <w:shd w:val="clear" w:color="auto" w:fill="FFFFFF"/>
          <w:lang w:eastAsia="en-US"/>
        </w:rPr>
      </w:pPr>
      <w:r w:rsidRPr="00AB1F89">
        <w:rPr>
          <w:rFonts w:ascii="Calibri" w:eastAsiaTheme="minorHAnsi" w:hAnsi="Calibri" w:cs="Calibri"/>
          <w:sz w:val="22"/>
          <w:szCs w:val="22"/>
          <w:shd w:val="clear" w:color="auto" w:fill="FFFFFF"/>
          <w:lang w:eastAsia="en-US"/>
        </w:rPr>
        <w:t>you want to get married or be in a civil union, or</w:t>
      </w:r>
    </w:p>
    <w:p w14:paraId="5DDA9BBB" w14:textId="77777777" w:rsidR="00A34D8B" w:rsidRPr="00AB1F89" w:rsidRDefault="00A34D8B">
      <w:pPr>
        <w:pStyle w:val="sics-componenthtml-injector"/>
        <w:numPr>
          <w:ilvl w:val="0"/>
          <w:numId w:val="4"/>
        </w:numPr>
        <w:shd w:val="clear" w:color="auto" w:fill="FFFFFF"/>
        <w:jc w:val="both"/>
        <w:rPr>
          <w:rFonts w:ascii="Calibri" w:eastAsiaTheme="minorHAnsi" w:hAnsi="Calibri" w:cs="Calibri"/>
          <w:sz w:val="22"/>
          <w:szCs w:val="22"/>
          <w:shd w:val="clear" w:color="auto" w:fill="FFFFFF"/>
          <w:lang w:eastAsia="en-US"/>
        </w:rPr>
      </w:pPr>
      <w:r w:rsidRPr="00AB1F89">
        <w:rPr>
          <w:rFonts w:ascii="Calibri" w:eastAsiaTheme="minorHAnsi" w:hAnsi="Calibri" w:cs="Calibri"/>
          <w:sz w:val="22"/>
          <w:szCs w:val="22"/>
          <w:shd w:val="clear" w:color="auto" w:fill="FFFFFF"/>
          <w:lang w:eastAsia="en-US"/>
        </w:rPr>
        <w:t>you want to live with another person in a de facto relationship, and have that relationship recognised in law. This means you’ll have the same legal rights as people who are married or in a civil union.</w:t>
      </w:r>
    </w:p>
    <w:p w14:paraId="26953CC9" w14:textId="77777777" w:rsidR="00A34D8B" w:rsidRPr="00AB1F89" w:rsidRDefault="00A34D8B" w:rsidP="00A34D8B">
      <w:pPr>
        <w:pStyle w:val="sics-componenthtml-injector"/>
        <w:shd w:val="clear" w:color="auto" w:fill="FFFFFF"/>
        <w:jc w:val="both"/>
        <w:rPr>
          <w:rFonts w:ascii="Calibri" w:eastAsiaTheme="minorHAnsi" w:hAnsi="Calibri" w:cs="Calibri"/>
          <w:sz w:val="22"/>
          <w:szCs w:val="22"/>
          <w:shd w:val="clear" w:color="auto" w:fill="FFFFFF"/>
          <w:lang w:eastAsia="en-US"/>
        </w:rPr>
      </w:pPr>
      <w:r w:rsidRPr="00AB1F89">
        <w:rPr>
          <w:rFonts w:ascii="Calibri" w:eastAsiaTheme="minorHAnsi" w:hAnsi="Calibri" w:cs="Calibri"/>
          <w:sz w:val="22"/>
          <w:szCs w:val="22"/>
          <w:shd w:val="clear" w:color="auto" w:fill="FFFFFF"/>
          <w:lang w:eastAsia="en-US"/>
        </w:rPr>
        <w:t>A Family Court judge can give their consent if they’re satisfied that:</w:t>
      </w:r>
    </w:p>
    <w:p w14:paraId="4649BB6B" w14:textId="77777777" w:rsidR="00A34D8B" w:rsidRPr="00AB1F89" w:rsidRDefault="00A34D8B">
      <w:pPr>
        <w:pStyle w:val="sics-componenthtml-injector"/>
        <w:numPr>
          <w:ilvl w:val="0"/>
          <w:numId w:val="5"/>
        </w:numPr>
        <w:shd w:val="clear" w:color="auto" w:fill="FFFFFF"/>
        <w:jc w:val="both"/>
        <w:rPr>
          <w:rFonts w:ascii="Calibri" w:eastAsiaTheme="minorHAnsi" w:hAnsi="Calibri" w:cs="Calibri"/>
          <w:sz w:val="22"/>
          <w:szCs w:val="22"/>
          <w:shd w:val="clear" w:color="auto" w:fill="FFFFFF"/>
          <w:lang w:eastAsia="en-US"/>
        </w:rPr>
      </w:pPr>
      <w:r w:rsidRPr="00AB1F89">
        <w:rPr>
          <w:rFonts w:ascii="Calibri" w:eastAsiaTheme="minorHAnsi" w:hAnsi="Calibri" w:cs="Calibri"/>
          <w:sz w:val="22"/>
          <w:szCs w:val="22"/>
          <w:shd w:val="clear" w:color="auto" w:fill="FFFFFF"/>
          <w:lang w:eastAsia="en-US"/>
        </w:rPr>
        <w:t>you’re not being influenced or forced into the relationship by another person</w:t>
      </w:r>
    </w:p>
    <w:p w14:paraId="15A7CDE4" w14:textId="77777777" w:rsidR="00A34D8B" w:rsidRPr="00AB1F89" w:rsidRDefault="00A34D8B">
      <w:pPr>
        <w:pStyle w:val="sics-componenthtml-injector"/>
        <w:numPr>
          <w:ilvl w:val="0"/>
          <w:numId w:val="5"/>
        </w:numPr>
        <w:shd w:val="clear" w:color="auto" w:fill="FFFFFF"/>
        <w:jc w:val="both"/>
        <w:rPr>
          <w:rFonts w:ascii="Calibri" w:eastAsiaTheme="minorHAnsi" w:hAnsi="Calibri" w:cs="Calibri"/>
          <w:sz w:val="22"/>
          <w:szCs w:val="22"/>
          <w:shd w:val="clear" w:color="auto" w:fill="FFFFFF"/>
          <w:lang w:eastAsia="en-US"/>
        </w:rPr>
      </w:pPr>
      <w:r w:rsidRPr="00AB1F89">
        <w:rPr>
          <w:rFonts w:ascii="Calibri" w:eastAsiaTheme="minorHAnsi" w:hAnsi="Calibri" w:cs="Calibri"/>
          <w:sz w:val="22"/>
          <w:szCs w:val="22"/>
          <w:shd w:val="clear" w:color="auto" w:fill="FFFFFF"/>
          <w:lang w:eastAsia="en-US"/>
        </w:rPr>
        <w:t>you understand the consequences and want the judge to give their consent</w:t>
      </w:r>
    </w:p>
    <w:p w14:paraId="61926B62" w14:textId="77777777" w:rsidR="00A34D8B" w:rsidRPr="00AB1F89" w:rsidRDefault="00A34D8B">
      <w:pPr>
        <w:pStyle w:val="sics-componenthtml-injector"/>
        <w:numPr>
          <w:ilvl w:val="0"/>
          <w:numId w:val="5"/>
        </w:numPr>
        <w:shd w:val="clear" w:color="auto" w:fill="FFFFFF"/>
        <w:jc w:val="both"/>
        <w:rPr>
          <w:rFonts w:ascii="Calibri" w:eastAsiaTheme="minorHAnsi" w:hAnsi="Calibri" w:cs="Calibri"/>
          <w:sz w:val="22"/>
          <w:szCs w:val="22"/>
          <w:shd w:val="clear" w:color="auto" w:fill="FFFFFF"/>
          <w:lang w:eastAsia="en-US"/>
        </w:rPr>
      </w:pPr>
      <w:r w:rsidRPr="00AB1F89">
        <w:rPr>
          <w:rFonts w:ascii="Calibri" w:eastAsiaTheme="minorHAnsi" w:hAnsi="Calibri" w:cs="Calibri"/>
          <w:sz w:val="22"/>
          <w:szCs w:val="22"/>
          <w:shd w:val="clear" w:color="auto" w:fill="FFFFFF"/>
          <w:lang w:eastAsia="en-US"/>
        </w:rPr>
        <w:t>it’s in your best interests</w:t>
      </w:r>
    </w:p>
    <w:p w14:paraId="492E7A59" w14:textId="77777777" w:rsidR="00A34D8B" w:rsidRPr="00AB1F89" w:rsidRDefault="00A34D8B" w:rsidP="00A34D8B">
      <w:pPr>
        <w:pStyle w:val="sics-componenthtml-injector"/>
        <w:shd w:val="clear" w:color="auto" w:fill="FFFFFF"/>
        <w:jc w:val="both"/>
        <w:rPr>
          <w:rFonts w:ascii="Calibri" w:eastAsiaTheme="minorHAnsi" w:hAnsi="Calibri" w:cs="Calibri"/>
          <w:sz w:val="22"/>
          <w:szCs w:val="22"/>
          <w:shd w:val="clear" w:color="auto" w:fill="FFFFFF"/>
          <w:lang w:eastAsia="en-US"/>
        </w:rPr>
      </w:pPr>
      <w:r w:rsidRPr="00AB1F89">
        <w:rPr>
          <w:rFonts w:ascii="Calibri" w:eastAsiaTheme="minorHAnsi" w:hAnsi="Calibri" w:cs="Calibri"/>
          <w:sz w:val="22"/>
          <w:szCs w:val="22"/>
          <w:shd w:val="clear" w:color="auto" w:fill="FFFFFF"/>
          <w:lang w:eastAsia="en-US"/>
        </w:rPr>
        <w:t>Shakti believes that such statutes will not prevent forced marriages within migrant and refugee communities. Most girls and young woman in such forced marriage cases will not have agency to represent themselves in front of a judge as the wider notion of keeping the family honour becomes paramount. Further they may not reveal the coercion as they not want to criminalise their parents/guardians.</w:t>
      </w:r>
    </w:p>
    <w:p w14:paraId="171889D1" w14:textId="77777777" w:rsidR="00A34D8B" w:rsidRPr="00AB1F89" w:rsidRDefault="00A34D8B" w:rsidP="00A34D8B">
      <w:pPr>
        <w:pStyle w:val="sics-componenthtml-injector"/>
        <w:shd w:val="clear" w:color="auto" w:fill="FFFFFF"/>
        <w:jc w:val="both"/>
        <w:rPr>
          <w:rFonts w:ascii="Calibri" w:eastAsiaTheme="minorHAnsi" w:hAnsi="Calibri" w:cs="Calibri"/>
          <w:sz w:val="22"/>
          <w:szCs w:val="22"/>
          <w:shd w:val="clear" w:color="auto" w:fill="FFFFFF"/>
          <w:lang w:eastAsia="en-US"/>
        </w:rPr>
      </w:pPr>
    </w:p>
    <w:p w14:paraId="236BD678" w14:textId="77777777" w:rsidR="00A34D8B" w:rsidRPr="00AB1F89" w:rsidRDefault="00A34D8B" w:rsidP="00A34D8B">
      <w:pPr>
        <w:shd w:val="clear" w:color="auto" w:fill="A8D08D" w:themeFill="accent6" w:themeFillTint="99"/>
        <w:spacing w:after="0" w:line="240" w:lineRule="auto"/>
        <w:rPr>
          <w:rFonts w:ascii="Calibri" w:eastAsiaTheme="majorEastAsia" w:hAnsi="Calibri" w:cs="Calibri"/>
          <w:b/>
          <w:sz w:val="26"/>
          <w:szCs w:val="26"/>
        </w:rPr>
      </w:pPr>
      <w:r w:rsidRPr="00AB1F89">
        <w:rPr>
          <w:rFonts w:ascii="Calibri" w:eastAsiaTheme="majorEastAsia" w:hAnsi="Calibri" w:cs="Calibri"/>
          <w:b/>
          <w:sz w:val="26"/>
          <w:szCs w:val="26"/>
        </w:rPr>
        <w:t>2. Violence against women (and children) – Plight of Non-Permanent Resident women victims</w:t>
      </w:r>
    </w:p>
    <w:p w14:paraId="7B0F6E44" w14:textId="77777777" w:rsidR="00A34D8B" w:rsidRPr="00AB1F89" w:rsidRDefault="00A34D8B" w:rsidP="00A34D8B">
      <w:pPr>
        <w:rPr>
          <w:rFonts w:ascii="Calibri" w:hAnsi="Calibri" w:cs="Calibri"/>
        </w:rPr>
      </w:pPr>
    </w:p>
    <w:p w14:paraId="1A061B25" w14:textId="77777777" w:rsidR="00A34D8B" w:rsidRPr="00AB1F89" w:rsidRDefault="00A34D8B" w:rsidP="00A34D8B">
      <w:pPr>
        <w:rPr>
          <w:rFonts w:ascii="Calibri" w:hAnsi="Calibri" w:cs="Calibri"/>
        </w:rPr>
      </w:pPr>
      <w:r w:rsidRPr="00AB1F89">
        <w:rPr>
          <w:rFonts w:ascii="Calibri" w:hAnsi="Calibri" w:cs="Calibri"/>
        </w:rPr>
        <w:t>Shakti would like to highlight that the CEDAW Committee Recommendation (2108) number 45 (Migrant Women) has not resulted in appropriate response from the government.</w:t>
      </w:r>
    </w:p>
    <w:p w14:paraId="774C1867" w14:textId="77777777" w:rsidR="00A34D8B" w:rsidRPr="00AB1F89" w:rsidRDefault="00A34D8B" w:rsidP="00A34D8B">
      <w:pPr>
        <w:rPr>
          <w:rFonts w:ascii="Calibri" w:hAnsi="Calibri" w:cs="Calibri"/>
        </w:rPr>
      </w:pPr>
      <w:r w:rsidRPr="00AB1F89">
        <w:rPr>
          <w:rFonts w:ascii="Calibri" w:hAnsi="Calibri" w:cs="Calibri"/>
        </w:rPr>
        <w:t>New Zealand has one of the highest rates of domestic violence in the OECD. It is estimated that only 33% of family violence cases are reported.  A vast majority of such cases of victimisation happen to women who are sponsored into New Zealand and then abused and or abandoned without legal status to stay in the country.</w:t>
      </w:r>
    </w:p>
    <w:p w14:paraId="3D512FF0" w14:textId="77777777" w:rsidR="00A34D8B" w:rsidRPr="00AB1F89" w:rsidRDefault="00A34D8B" w:rsidP="00A34D8B">
      <w:pPr>
        <w:rPr>
          <w:rFonts w:ascii="Calibri" w:hAnsi="Calibri" w:cs="Calibri"/>
        </w:rPr>
      </w:pPr>
      <w:r w:rsidRPr="00AB1F89">
        <w:rPr>
          <w:rFonts w:ascii="Calibri" w:hAnsi="Calibri" w:cs="Calibri"/>
        </w:rPr>
        <w:t xml:space="preserve">Shakti is currently receiving an increased number of such cases, particularly, from the Indian sub-continent and from the Indo-Fijian diaspora. Such women are generally in the younger age group of 20-28 years, well-educated and in situations where large amounts of Dowry in cash and in assets have been paid in return for marriage and a life in a western country. </w:t>
      </w:r>
    </w:p>
    <w:p w14:paraId="6EA8E23A" w14:textId="77777777" w:rsidR="00A34D8B" w:rsidRPr="00AB1F89" w:rsidRDefault="00A34D8B" w:rsidP="00A34D8B">
      <w:pPr>
        <w:rPr>
          <w:rFonts w:ascii="Calibri" w:hAnsi="Calibri" w:cs="Calibri"/>
        </w:rPr>
      </w:pPr>
      <w:r w:rsidRPr="00AB1F89">
        <w:rPr>
          <w:rFonts w:ascii="Calibri" w:hAnsi="Calibri" w:cs="Calibri"/>
        </w:rPr>
        <w:t xml:space="preserve">New Zealand introduced the `Victims of Family Violence Work Visa’ as a result of Shakti’s vigorous advocacy in this space from the late nineties. The Special Work Visa for domestic violence victims came into effect in the early 2000’s. In the recent past, the visa category was further reviewed an </w:t>
      </w:r>
      <w:r w:rsidRPr="00AB1F89">
        <w:rPr>
          <w:rFonts w:ascii="Calibri" w:hAnsi="Calibri" w:cs="Calibri"/>
        </w:rPr>
        <w:lastRenderedPageBreak/>
        <w:t>expanded. However, the latest initiative, we believe, was not done with extensive consultation with stakeholders as Shakti was not invited to any such consultation, as has been done previously. As a result, there are gaps in the system that victims are falling through. Our organization is at the coalface of receiving and supporting such victims and we would have been able to greatly contribute in the review of the visa category. The burden of responsibility of supporting such victims has fallen on an immigrant women’s agency such as Shakti since mainstream providers and others in this space are reluctant to support them as the government does not fund support services for this category of victims.</w:t>
      </w:r>
    </w:p>
    <w:p w14:paraId="5FFBB551" w14:textId="77777777" w:rsidR="00A34D8B" w:rsidRPr="00AB1F89" w:rsidRDefault="00A34D8B" w:rsidP="00A34D8B">
      <w:pPr>
        <w:rPr>
          <w:rFonts w:ascii="Calibri" w:hAnsi="Calibri" w:cs="Calibri"/>
        </w:rPr>
      </w:pPr>
      <w:r w:rsidRPr="00AB1F89">
        <w:rPr>
          <w:rFonts w:ascii="Calibri" w:hAnsi="Calibri" w:cs="Calibri"/>
        </w:rPr>
        <w:t>Shakti has allocated a refuge (Safehouse) in Auckland specifically for such victims and receive a nominal sum every year for the service, which far outstrips the number of women who seek the services and the expenditure of the organisation in supporting such women and their minor children. Such women and their children stay for over 6 months and up to two years in our limited 5-bedroom safehouse until advocacy for them bear fruit and they gain the necessary visa status to be legal in the country. Our other refuges in Tauranga, Wellington and Christchurch, are also facing high demand from abandoned non-permanent resident women.</w:t>
      </w:r>
    </w:p>
    <w:p w14:paraId="5667D425" w14:textId="77777777" w:rsidR="00A34D8B" w:rsidRPr="00AB1F89" w:rsidRDefault="00A34D8B" w:rsidP="00A34D8B">
      <w:pPr>
        <w:rPr>
          <w:rFonts w:ascii="Calibri" w:hAnsi="Calibri" w:cs="Calibri"/>
        </w:rPr>
      </w:pPr>
      <w:r w:rsidRPr="00AB1F89">
        <w:rPr>
          <w:rFonts w:ascii="Calibri" w:hAnsi="Calibri" w:cs="Calibri"/>
        </w:rPr>
        <w:t>Of late, a significant percentage of such women, at times with their infant children, are abandoned without documented abuse and unable to apply for Protection orders. Such victims face huge challenges in terms of advocating with New Zealand Immigration for a Family Violence Visa. A greater awareness of the family violence visa and the consequences a perpetrator may face if their partner obtains the Family Violence Visa has led to a greater degree of psychological and financial abuse and less physical abuse. Victims may also face sexual abuse; this includes non-consummation of marriage or having to engage in perverse sexual behaviour. Additionally, abusers may simply abandon their partners.  These are the women that fall through the gaps.</w:t>
      </w:r>
    </w:p>
    <w:p w14:paraId="6842629C" w14:textId="77777777" w:rsidR="00A34D8B" w:rsidRPr="00AB1F89" w:rsidRDefault="00A34D8B" w:rsidP="00A34D8B">
      <w:pPr>
        <w:rPr>
          <w:rFonts w:ascii="Calibri" w:hAnsi="Calibri" w:cs="Calibri"/>
        </w:rPr>
      </w:pPr>
      <w:r w:rsidRPr="00AB1F89">
        <w:rPr>
          <w:rFonts w:ascii="Calibri" w:hAnsi="Calibri" w:cs="Calibri"/>
        </w:rPr>
        <w:t xml:space="preserve">New Zealand laws and the Immigration system are inadequate in being able to adequately respond to the new ways that abusers are tormenting their victims in New Zealand. </w:t>
      </w:r>
    </w:p>
    <w:p w14:paraId="55CDEC56" w14:textId="77777777" w:rsidR="00A34D8B" w:rsidRPr="00AB1F89" w:rsidRDefault="00A34D8B" w:rsidP="00A34D8B">
      <w:pPr>
        <w:rPr>
          <w:rFonts w:ascii="Calibri" w:hAnsi="Calibri" w:cs="Calibri"/>
        </w:rPr>
      </w:pPr>
      <w:r w:rsidRPr="00AB1F89">
        <w:rPr>
          <w:rFonts w:ascii="Calibri" w:hAnsi="Calibri" w:cs="Calibri"/>
        </w:rPr>
        <w:t>Shakti and other supporting agencies have begun the process of doing fresh rounds of advocacy with Parliamentarians in this regard.</w:t>
      </w:r>
    </w:p>
    <w:p w14:paraId="57F08E23" w14:textId="77777777" w:rsidR="00A34D8B" w:rsidRPr="00AB1F89" w:rsidRDefault="00A34D8B" w:rsidP="00A34D8B">
      <w:pPr>
        <w:rPr>
          <w:rFonts w:ascii="Calibri" w:hAnsi="Calibri" w:cs="Calibri"/>
          <w:b/>
        </w:rPr>
      </w:pPr>
      <w:r w:rsidRPr="00AB1F89">
        <w:rPr>
          <w:rFonts w:ascii="Calibri" w:hAnsi="Calibri" w:cs="Calibri"/>
          <w:b/>
        </w:rPr>
        <w:t>Below are some international approaches:</w:t>
      </w:r>
    </w:p>
    <w:p w14:paraId="4289A7F6" w14:textId="77777777" w:rsidR="00A34D8B" w:rsidRPr="00AB1F89" w:rsidRDefault="00A34D8B" w:rsidP="00A34D8B">
      <w:pPr>
        <w:spacing w:after="0" w:line="240" w:lineRule="auto"/>
        <w:rPr>
          <w:rFonts w:ascii="Calibri" w:hAnsi="Calibri" w:cs="Calibri"/>
          <w:b/>
          <w:i/>
        </w:rPr>
      </w:pPr>
      <w:r w:rsidRPr="00AB1F89">
        <w:rPr>
          <w:rFonts w:ascii="Calibri" w:hAnsi="Calibri" w:cs="Calibri"/>
          <w:b/>
          <w:i/>
        </w:rPr>
        <w:t xml:space="preserve">Canadian Model </w:t>
      </w:r>
    </w:p>
    <w:p w14:paraId="35FD5AA4" w14:textId="77777777" w:rsidR="00A34D8B" w:rsidRPr="00AB1F89" w:rsidRDefault="00A34D8B" w:rsidP="00A34D8B">
      <w:pPr>
        <w:spacing w:after="0" w:line="240" w:lineRule="auto"/>
        <w:rPr>
          <w:rFonts w:ascii="Calibri" w:hAnsi="Calibri" w:cs="Calibri"/>
        </w:rPr>
      </w:pPr>
      <w:r w:rsidRPr="00AB1F89">
        <w:rPr>
          <w:rFonts w:ascii="Calibri" w:hAnsi="Calibri" w:cs="Calibri"/>
        </w:rPr>
        <w:t xml:space="preserve">The Canadian approach to dealing with victims of domestic violence is similar to New Zealand. It permits a victim of domestic violence to apply for a temporary resident permit (TRP). This allows the victim to remain in Canada for a period of 6 months. This length of time enables them to decide if they want to stay in Canada or go elsewhere. Victims will obtain assistance from the Canadian government through trauma counselling and health-care benefits.  Sponsorship is onerous on the sponsor as it obligates the sponsor to provide the person they are sponsoring with basic needs, such as food, clothing, shelter, dental case, eye care and health needs that aren’t covered by public health services. The sponsor must sign an undertaking, thus making them legally responsible for the person they are sponsoring. This undertaking will not be cancelled even in the circumstances that the person sponsored becomes a citizen, the relationship breaks down (divorce, separation), migration to another province, and/or financial problems arise. </w:t>
      </w:r>
    </w:p>
    <w:p w14:paraId="538B09FD" w14:textId="77777777" w:rsidR="00A34D8B" w:rsidRPr="00AB1F89" w:rsidRDefault="00A34D8B" w:rsidP="00A34D8B">
      <w:pPr>
        <w:spacing w:after="0" w:line="240" w:lineRule="auto"/>
        <w:rPr>
          <w:rFonts w:ascii="Calibri" w:hAnsi="Calibri" w:cs="Calibri"/>
          <w:b/>
          <w:i/>
        </w:rPr>
      </w:pPr>
    </w:p>
    <w:p w14:paraId="180B0288" w14:textId="77777777" w:rsidR="00A34D8B" w:rsidRPr="00AB1F89" w:rsidRDefault="00A34D8B" w:rsidP="00A34D8B">
      <w:pPr>
        <w:spacing w:after="0" w:line="240" w:lineRule="auto"/>
        <w:rPr>
          <w:rFonts w:ascii="Calibri" w:hAnsi="Calibri" w:cs="Calibri"/>
          <w:b/>
          <w:i/>
        </w:rPr>
      </w:pPr>
      <w:r w:rsidRPr="00AB1F89">
        <w:rPr>
          <w:rFonts w:ascii="Calibri" w:hAnsi="Calibri" w:cs="Calibri"/>
          <w:b/>
          <w:i/>
        </w:rPr>
        <w:t xml:space="preserve">Australian Model </w:t>
      </w:r>
    </w:p>
    <w:p w14:paraId="796CEA27" w14:textId="77777777" w:rsidR="00A34D8B" w:rsidRPr="00AB1F89" w:rsidRDefault="00A34D8B" w:rsidP="00A34D8B">
      <w:pPr>
        <w:spacing w:after="0" w:line="240" w:lineRule="auto"/>
        <w:rPr>
          <w:rFonts w:ascii="Calibri" w:hAnsi="Calibri" w:cs="Calibri"/>
        </w:rPr>
      </w:pPr>
      <w:r w:rsidRPr="00AB1F89">
        <w:rPr>
          <w:rFonts w:ascii="Calibri" w:hAnsi="Calibri" w:cs="Calibri"/>
        </w:rPr>
        <w:t xml:space="preserve">The Australian government has a similar structure to New Zealand. Australia permits victims of domestic violence to apply for permanent residency if they face abuse at the hands of a permanent or temporary resident of Australia. However, Australia faces similar issues to New Zealand. Like New Zealand, Australian victims struggle to access these protections due to barriers such as income, </w:t>
      </w:r>
      <w:r w:rsidRPr="00AB1F89">
        <w:rPr>
          <w:rFonts w:ascii="Calibri" w:hAnsi="Calibri" w:cs="Calibri"/>
        </w:rPr>
        <w:lastRenderedPageBreak/>
        <w:t xml:space="preserve">language and cultural stigma.  Further, judicial and non-judicial evidence of the abuse is required. Studies suggest that this level of evidence required is difficult to obtain for many victims as there is a culture of not reporting domestic violence in ethnic communities.  </w:t>
      </w:r>
    </w:p>
    <w:p w14:paraId="625FD6B2" w14:textId="77777777" w:rsidR="00A34D8B" w:rsidRPr="00AB1F89" w:rsidRDefault="00A34D8B" w:rsidP="00A34D8B">
      <w:pPr>
        <w:spacing w:after="0" w:line="240" w:lineRule="auto"/>
        <w:rPr>
          <w:rFonts w:ascii="Calibri" w:hAnsi="Calibri" w:cs="Calibri"/>
          <w:b/>
          <w:i/>
        </w:rPr>
      </w:pPr>
    </w:p>
    <w:p w14:paraId="64250914" w14:textId="77777777" w:rsidR="00A34D8B" w:rsidRDefault="00A34D8B" w:rsidP="00A34D8B">
      <w:pPr>
        <w:spacing w:after="0" w:line="240" w:lineRule="auto"/>
        <w:rPr>
          <w:rFonts w:ascii="Calibri" w:hAnsi="Calibri" w:cs="Calibri"/>
          <w:b/>
          <w:i/>
        </w:rPr>
      </w:pPr>
    </w:p>
    <w:p w14:paraId="11BC66AC" w14:textId="41B55259" w:rsidR="00A34D8B" w:rsidRPr="00AB1F89" w:rsidRDefault="00A34D8B" w:rsidP="00A34D8B">
      <w:pPr>
        <w:spacing w:after="0" w:line="240" w:lineRule="auto"/>
        <w:rPr>
          <w:rFonts w:ascii="Calibri" w:hAnsi="Calibri" w:cs="Calibri"/>
          <w:b/>
          <w:i/>
        </w:rPr>
      </w:pPr>
      <w:r w:rsidRPr="00AB1F89">
        <w:rPr>
          <w:rFonts w:ascii="Calibri" w:hAnsi="Calibri" w:cs="Calibri"/>
          <w:b/>
          <w:i/>
        </w:rPr>
        <w:t xml:space="preserve">United Kingdom Model </w:t>
      </w:r>
    </w:p>
    <w:p w14:paraId="03BB9F91" w14:textId="77777777" w:rsidR="00A34D8B" w:rsidRPr="00AB1F89" w:rsidRDefault="00A34D8B" w:rsidP="00A34D8B">
      <w:pPr>
        <w:spacing w:after="0" w:line="240" w:lineRule="auto"/>
        <w:rPr>
          <w:rFonts w:ascii="Calibri" w:hAnsi="Calibri" w:cs="Calibri"/>
        </w:rPr>
      </w:pPr>
      <w:r w:rsidRPr="00AB1F89">
        <w:rPr>
          <w:rFonts w:ascii="Calibri" w:hAnsi="Calibri" w:cs="Calibri"/>
        </w:rPr>
        <w:t xml:space="preserve">The United Kingdom has acknowledged Transnational Marriage Abandonment (TMA) in their legislation. TMA is defined as “a form of domestic abuse involving controlling and coercive behaviour. It refers to the practice whereby the sponsoring partner or their family members, abandons or strands the visa dependent partner abroad, usually without financial resources, usually with the aim of preventing their return. The inclusion of this in British domestic law is monumental for victims who do not experience physical violence or do not have documentation of the physical violence they experienced at the hands of their abusive partners. </w:t>
      </w:r>
    </w:p>
    <w:p w14:paraId="4FE5314D" w14:textId="77777777" w:rsidR="00A34D8B" w:rsidRPr="00AB1F89" w:rsidRDefault="00A34D8B" w:rsidP="00A34D8B">
      <w:pPr>
        <w:rPr>
          <w:rFonts w:ascii="Calibri" w:hAnsi="Calibri" w:cs="Calibri"/>
        </w:rPr>
      </w:pPr>
      <w:r w:rsidRPr="00AB1F89">
        <w:rPr>
          <w:rFonts w:ascii="Calibri" w:hAnsi="Calibri" w:cs="Calibri"/>
        </w:rPr>
        <w:t xml:space="preserve">Although such cases do occur in New Zealand and the victim is either abandoned in New Zealand or able to enter New Zealand on a visitor visa, Shakti steps in and takes them into our services and advocate for a visa under the humanitarian category if domestic violence cannot be evidenced. The UK definition could be expanded in New Zealand to cover circumstances where husbands bring their wives to New Zealand and abandon them once they are here. </w:t>
      </w:r>
    </w:p>
    <w:p w14:paraId="26A13695" w14:textId="77777777" w:rsidR="00A34D8B" w:rsidRPr="00AB1F89" w:rsidRDefault="00A34D8B" w:rsidP="00A34D8B">
      <w:pPr>
        <w:rPr>
          <w:rFonts w:ascii="Calibri" w:hAnsi="Calibri" w:cs="Calibri"/>
        </w:rPr>
      </w:pPr>
    </w:p>
    <w:p w14:paraId="11B7C348" w14:textId="77777777" w:rsidR="00A34D8B" w:rsidRPr="00AB1F89" w:rsidRDefault="00A34D8B" w:rsidP="00A34D8B">
      <w:pPr>
        <w:shd w:val="clear" w:color="auto" w:fill="FFFFFF"/>
        <w:spacing w:before="83" w:after="0" w:line="288" w:lineRule="atLeast"/>
        <w:textAlignment w:val="baseline"/>
        <w:rPr>
          <w:rFonts w:ascii="Calibri" w:hAnsi="Calibri" w:cs="Calibri"/>
          <w:b/>
          <w:sz w:val="26"/>
          <w:szCs w:val="26"/>
          <w:u w:val="single"/>
        </w:rPr>
      </w:pPr>
      <w:r w:rsidRPr="00AB1F89">
        <w:rPr>
          <w:rFonts w:ascii="Calibri" w:hAnsi="Calibri" w:cs="Calibri"/>
          <w:b/>
          <w:sz w:val="26"/>
          <w:szCs w:val="26"/>
          <w:u w:val="single"/>
        </w:rPr>
        <w:t>Dowry</w:t>
      </w:r>
    </w:p>
    <w:p w14:paraId="51CB49C4" w14:textId="77777777" w:rsidR="00A34D8B" w:rsidRPr="00AB1F89" w:rsidRDefault="00A34D8B" w:rsidP="00A34D8B">
      <w:pPr>
        <w:shd w:val="clear" w:color="auto" w:fill="FFFFFF"/>
        <w:spacing w:before="83" w:after="0" w:line="288" w:lineRule="atLeast"/>
        <w:textAlignment w:val="baseline"/>
        <w:rPr>
          <w:rFonts w:ascii="Calibri" w:hAnsi="Calibri" w:cs="Calibri"/>
        </w:rPr>
      </w:pPr>
      <w:r w:rsidRPr="00AB1F89">
        <w:rPr>
          <w:rFonts w:ascii="Calibri" w:hAnsi="Calibri" w:cs="Calibri"/>
        </w:rPr>
        <w:t>Dowry is rampant and practiced in New Zealand as well as prior to the victim being brought to New Zealand for the purpose of marriage. This practice is by and large prevalent within South Asian immigrant communities.</w:t>
      </w:r>
    </w:p>
    <w:p w14:paraId="7ED9CF46" w14:textId="77777777" w:rsidR="00A34D8B" w:rsidRPr="00AB1F89" w:rsidRDefault="00A34D8B" w:rsidP="00A34D8B">
      <w:pPr>
        <w:shd w:val="clear" w:color="auto" w:fill="FFFFFF"/>
        <w:spacing w:before="83" w:after="0" w:line="288" w:lineRule="atLeast"/>
        <w:textAlignment w:val="baseline"/>
        <w:rPr>
          <w:rFonts w:ascii="Calibri" w:hAnsi="Calibri" w:cs="Calibri"/>
        </w:rPr>
      </w:pPr>
      <w:r w:rsidRPr="00AB1F89">
        <w:rPr>
          <w:rFonts w:ascii="Calibri" w:hAnsi="Calibri" w:cs="Calibri"/>
        </w:rPr>
        <w:t xml:space="preserve">Shakti has been advocating for appropriate legislation to prevent dowry occurrence since the early 2000s. This has manifested in the government adding Dowry as form of family violence in the Family Violence Act 2018. The Act describes Dowry as: </w:t>
      </w:r>
    </w:p>
    <w:p w14:paraId="04F19FED" w14:textId="77777777" w:rsidR="00A34D8B" w:rsidRPr="00AB1F89" w:rsidRDefault="00A34D8B" w:rsidP="00A34D8B">
      <w:pPr>
        <w:shd w:val="clear" w:color="auto" w:fill="FFFFFF"/>
        <w:spacing w:before="83" w:after="0" w:line="288" w:lineRule="atLeast"/>
        <w:textAlignment w:val="baseline"/>
        <w:rPr>
          <w:rFonts w:ascii="Calibri" w:hAnsi="Calibri" w:cs="Calibri"/>
          <w:i/>
        </w:rPr>
      </w:pPr>
      <w:r w:rsidRPr="00AB1F89">
        <w:rPr>
          <w:rFonts w:ascii="Calibri" w:hAnsi="Calibri" w:cs="Calibri"/>
          <w:i/>
        </w:rPr>
        <w:t>Violence against a person may be dowry-related violence (that is, violence that arises solely or in part from concerns about whether, how, or how much any gifts, goods, money, other property, or other benefits are—</w:t>
      </w:r>
    </w:p>
    <w:p w14:paraId="4491055D" w14:textId="77777777" w:rsidR="00A34D8B" w:rsidRPr="00AB1F89" w:rsidRDefault="00A34D8B" w:rsidP="00A34D8B">
      <w:pPr>
        <w:rPr>
          <w:rFonts w:ascii="Calibri" w:hAnsi="Calibri" w:cs="Calibri"/>
        </w:rPr>
      </w:pPr>
      <w:r w:rsidRPr="00AB1F89">
        <w:rPr>
          <w:rFonts w:ascii="Calibri" w:hAnsi="Calibri" w:cs="Calibri"/>
        </w:rPr>
        <w:t>(a)given to or for a party to a marriage or proposed marriage; and</w:t>
      </w:r>
    </w:p>
    <w:p w14:paraId="0A879874" w14:textId="77777777" w:rsidR="00A34D8B" w:rsidRPr="00AB1F89" w:rsidRDefault="00A34D8B" w:rsidP="00A34D8B">
      <w:pPr>
        <w:rPr>
          <w:rFonts w:ascii="Calibri" w:hAnsi="Calibri" w:cs="Calibri"/>
        </w:rPr>
      </w:pPr>
      <w:r w:rsidRPr="00AB1F89">
        <w:rPr>
          <w:rFonts w:ascii="Calibri" w:hAnsi="Calibri" w:cs="Calibri"/>
        </w:rPr>
        <w:t>(b) received by or for the other party to the marriage or proposed marriage).</w:t>
      </w:r>
    </w:p>
    <w:p w14:paraId="0EF0618D" w14:textId="77777777" w:rsidR="00A34D8B" w:rsidRPr="00AB1F89" w:rsidRDefault="00A34D8B" w:rsidP="00A34D8B">
      <w:pPr>
        <w:rPr>
          <w:rFonts w:ascii="Calibri" w:hAnsi="Calibri" w:cs="Calibri"/>
        </w:rPr>
      </w:pPr>
    </w:p>
    <w:p w14:paraId="36DB15AC" w14:textId="77777777" w:rsidR="00A34D8B" w:rsidRPr="00AB1F89" w:rsidRDefault="00A34D8B" w:rsidP="00A34D8B">
      <w:pPr>
        <w:rPr>
          <w:rFonts w:ascii="Calibri" w:hAnsi="Calibri" w:cs="Calibri"/>
        </w:rPr>
      </w:pPr>
      <w:r w:rsidRPr="00AB1F89">
        <w:rPr>
          <w:rFonts w:ascii="Calibri" w:hAnsi="Calibri" w:cs="Calibri"/>
        </w:rPr>
        <w:t xml:space="preserve">However, the law is not adequate to cover aspects where abused women are unable to produce evidence of such abuse as transactions are done in cash and kind and often retained in her name, which is then forcibly appropriated by the husband and his family. The law also does not categorically cover the acceptance of dowry that was paid overseas.   </w:t>
      </w:r>
    </w:p>
    <w:p w14:paraId="0DDB2AD9" w14:textId="77777777" w:rsidR="00A34D8B" w:rsidRPr="00AB1F89" w:rsidRDefault="00A34D8B" w:rsidP="00A34D8B">
      <w:pPr>
        <w:spacing w:after="0" w:line="240" w:lineRule="auto"/>
        <w:rPr>
          <w:rFonts w:ascii="Calibri" w:eastAsiaTheme="majorEastAsia" w:hAnsi="Calibri" w:cs="Calibri"/>
          <w:b/>
          <w:color w:val="1F3864" w:themeColor="accent1" w:themeShade="80"/>
          <w:sz w:val="28"/>
          <w:szCs w:val="28"/>
          <w:u w:val="single"/>
        </w:rPr>
      </w:pPr>
    </w:p>
    <w:p w14:paraId="379E06D8" w14:textId="77777777" w:rsidR="00A34D8B" w:rsidRDefault="00A34D8B" w:rsidP="00A34D8B">
      <w:pPr>
        <w:spacing w:after="0" w:line="240" w:lineRule="auto"/>
        <w:rPr>
          <w:rFonts w:ascii="Calibri" w:eastAsiaTheme="majorEastAsia" w:hAnsi="Calibri" w:cs="Calibri"/>
          <w:b/>
          <w:sz w:val="26"/>
          <w:szCs w:val="26"/>
          <w:u w:val="single"/>
        </w:rPr>
      </w:pPr>
    </w:p>
    <w:p w14:paraId="44795D64" w14:textId="77777777" w:rsidR="00A34D8B" w:rsidRPr="00AB1F89" w:rsidRDefault="00A34D8B" w:rsidP="00A34D8B">
      <w:pPr>
        <w:spacing w:after="0" w:line="240" w:lineRule="auto"/>
        <w:rPr>
          <w:rFonts w:ascii="Calibri" w:eastAsiaTheme="majorEastAsia" w:hAnsi="Calibri" w:cs="Calibri"/>
          <w:b/>
          <w:sz w:val="26"/>
          <w:szCs w:val="26"/>
          <w:u w:val="single"/>
        </w:rPr>
      </w:pPr>
      <w:r w:rsidRPr="00AB1F89">
        <w:rPr>
          <w:rFonts w:ascii="Calibri" w:eastAsiaTheme="majorEastAsia" w:hAnsi="Calibri" w:cs="Calibri"/>
          <w:b/>
          <w:sz w:val="26"/>
          <w:szCs w:val="26"/>
          <w:u w:val="single"/>
        </w:rPr>
        <w:t>Recommendations:</w:t>
      </w:r>
    </w:p>
    <w:p w14:paraId="7F00A5C2" w14:textId="77777777" w:rsidR="00A34D8B" w:rsidRPr="00AB1F89" w:rsidRDefault="00A34D8B" w:rsidP="00A34D8B">
      <w:pPr>
        <w:spacing w:after="0" w:line="240" w:lineRule="auto"/>
        <w:rPr>
          <w:rFonts w:ascii="Calibri" w:hAnsi="Calibri" w:cs="Calibri"/>
        </w:rPr>
      </w:pPr>
      <w:r w:rsidRPr="00AB1F89">
        <w:rPr>
          <w:rFonts w:ascii="Calibri" w:hAnsi="Calibri" w:cs="Calibri"/>
        </w:rPr>
        <w:t xml:space="preserve">Review the current Family Violence Work Visa to introduce a sponsorship condition that all expenses of the abandoned victim and children should be borne by the sponsor until the victim gets permanent residency in New Zealand. Permanently black-list the New Zealand resident partner if they withdraw spousal sponsorship and/or abandon their spouses so that they are unable to engage in the practice again with another woman. </w:t>
      </w:r>
    </w:p>
    <w:p w14:paraId="56E3FAE9" w14:textId="77777777" w:rsidR="00A34D8B" w:rsidRPr="00AB1F89" w:rsidRDefault="00A34D8B">
      <w:pPr>
        <w:pStyle w:val="ListParagraph"/>
        <w:numPr>
          <w:ilvl w:val="0"/>
          <w:numId w:val="2"/>
        </w:numPr>
        <w:spacing w:line="259" w:lineRule="auto"/>
        <w:rPr>
          <w:rFonts w:cs="Calibri"/>
        </w:rPr>
      </w:pPr>
      <w:r w:rsidRPr="00AB1F89">
        <w:rPr>
          <w:rFonts w:cs="Calibri"/>
        </w:rPr>
        <w:lastRenderedPageBreak/>
        <w:t>Ideally, non-resident partners who have entered into a genuine marriage of New Zealand and can evidence marriage registration should be granted Interim Permanent Residency on their arrival into New Zealand. If this is not feasible for the New Zealand government, we recommend reviewing the current immigration laws to allow legally married non-resident victim partners to have a 1-year work visa, irrespective of sponsorship. This will give the partner an opportunity to find a job and look at other visa possibilities, if abused/abandoned by the resident partner. This will also provide children born of these marriages some stability and security.</w:t>
      </w:r>
    </w:p>
    <w:p w14:paraId="031DAB2B" w14:textId="77777777" w:rsidR="00A34D8B" w:rsidRPr="00AB1F89" w:rsidRDefault="00A34D8B">
      <w:pPr>
        <w:pStyle w:val="ListParagraph"/>
        <w:numPr>
          <w:ilvl w:val="0"/>
          <w:numId w:val="2"/>
        </w:numPr>
        <w:spacing w:line="259" w:lineRule="auto"/>
        <w:rPr>
          <w:rFonts w:cs="Calibri"/>
        </w:rPr>
      </w:pPr>
      <w:r w:rsidRPr="00AB1F89">
        <w:rPr>
          <w:rFonts w:cs="Calibri"/>
        </w:rPr>
        <w:t>Dowry and forced/coerced marriage should be flagged within the New Zealand policies and systems including statutory agencies, justice system and country-borders as an abuse recognised under the Family Violence Act 2018 and such victims should qualify to get permanent residency.</w:t>
      </w:r>
    </w:p>
    <w:p w14:paraId="243C4107" w14:textId="77777777" w:rsidR="00A34D8B" w:rsidRPr="00AB1F89" w:rsidRDefault="00A34D8B">
      <w:pPr>
        <w:pStyle w:val="ListParagraph"/>
        <w:numPr>
          <w:ilvl w:val="0"/>
          <w:numId w:val="2"/>
        </w:numPr>
        <w:spacing w:line="259" w:lineRule="auto"/>
        <w:rPr>
          <w:rFonts w:cs="Calibri"/>
        </w:rPr>
      </w:pPr>
      <w:r w:rsidRPr="00AB1F89">
        <w:rPr>
          <w:rFonts w:cs="Calibri"/>
        </w:rPr>
        <w:t>Recognise Dowry as a criminal offence under the Crimes Act.</w:t>
      </w:r>
    </w:p>
    <w:p w14:paraId="36976A0F" w14:textId="77777777" w:rsidR="00A34D8B" w:rsidRPr="00AB1F89" w:rsidRDefault="00A34D8B">
      <w:pPr>
        <w:pStyle w:val="ListParagraph"/>
        <w:numPr>
          <w:ilvl w:val="0"/>
          <w:numId w:val="2"/>
        </w:numPr>
        <w:spacing w:line="259" w:lineRule="auto"/>
        <w:rPr>
          <w:rFonts w:cs="Calibri"/>
        </w:rPr>
      </w:pPr>
      <w:r w:rsidRPr="00AB1F89">
        <w:rPr>
          <w:rFonts w:cs="Calibri"/>
        </w:rPr>
        <w:t>Policies with regard to visitor visas under marriage and access to government support must be reviewed. Explanation: Currently non-resident victims and their children are not eligible for any kind of government financial support, government housing or medical needs. Agencies supporting such victims should not bear the entire responsibility for all expenses of the victim and their children. Currently the 6-month Family Violence Work Visa allows only emergency benefit. However, the 6-month visa renders them ineligible in the private housing market as no landlord is willing to tenant someone who has a visa with short time-frame, does not have a job and has no financial capability. Hence such clients even after getting a Family Violence Work Visa end up staying with Shakti for long periods. This is not sustainable for the organisation and the client.</w:t>
      </w:r>
    </w:p>
    <w:p w14:paraId="69CC9AFC" w14:textId="77777777" w:rsidR="00A34D8B" w:rsidRPr="00AB1F89" w:rsidRDefault="00A34D8B">
      <w:pPr>
        <w:pStyle w:val="ListParagraph"/>
        <w:numPr>
          <w:ilvl w:val="0"/>
          <w:numId w:val="2"/>
        </w:numPr>
        <w:spacing w:line="259" w:lineRule="auto"/>
        <w:rPr>
          <w:rFonts w:cs="Calibri"/>
        </w:rPr>
      </w:pPr>
      <w:r w:rsidRPr="00AB1F89">
        <w:rPr>
          <w:rFonts w:cs="Calibri"/>
        </w:rPr>
        <w:t>Similar to the Canadian model, make it obligatory on the part of the resident partner to take care of all financial needs of the sponsored partner and their children, until the sponsored partner gains permanent residency.</w:t>
      </w:r>
    </w:p>
    <w:p w14:paraId="6962B812" w14:textId="77777777" w:rsidR="00A34D8B" w:rsidRPr="00AB1F89" w:rsidRDefault="00A34D8B" w:rsidP="00A34D8B">
      <w:pPr>
        <w:rPr>
          <w:rFonts w:ascii="Calibri" w:hAnsi="Calibri" w:cs="Calibri"/>
        </w:rPr>
      </w:pPr>
    </w:p>
    <w:p w14:paraId="0B3C746B" w14:textId="77777777" w:rsidR="00A34D8B" w:rsidRPr="00AB1F89" w:rsidRDefault="00A34D8B" w:rsidP="00A34D8B">
      <w:pPr>
        <w:rPr>
          <w:rFonts w:ascii="Calibri" w:hAnsi="Calibri" w:cs="Calibri"/>
        </w:rPr>
      </w:pPr>
    </w:p>
    <w:p w14:paraId="294AD33C" w14:textId="77777777" w:rsidR="00A34D8B" w:rsidRPr="00AB1F89" w:rsidRDefault="00A34D8B">
      <w:pPr>
        <w:pStyle w:val="ListParagraph"/>
        <w:numPr>
          <w:ilvl w:val="0"/>
          <w:numId w:val="6"/>
        </w:numPr>
        <w:shd w:val="clear" w:color="auto" w:fill="A8D08D" w:themeFill="accent6" w:themeFillTint="99"/>
        <w:spacing w:line="259" w:lineRule="auto"/>
        <w:rPr>
          <w:rFonts w:eastAsiaTheme="majorEastAsia" w:cs="Calibri"/>
          <w:b/>
          <w:sz w:val="26"/>
          <w:szCs w:val="26"/>
        </w:rPr>
      </w:pPr>
      <w:r w:rsidRPr="00AB1F89">
        <w:rPr>
          <w:rFonts w:eastAsiaTheme="majorEastAsia" w:cs="Calibri"/>
          <w:b/>
          <w:sz w:val="26"/>
          <w:szCs w:val="26"/>
        </w:rPr>
        <w:t>Access to Justice and improving justice response: Stalking</w:t>
      </w:r>
    </w:p>
    <w:p w14:paraId="36967EA3" w14:textId="77777777" w:rsidR="00A34D8B" w:rsidRPr="00AB1F89" w:rsidRDefault="00A34D8B" w:rsidP="00A34D8B">
      <w:pPr>
        <w:pStyle w:val="Default"/>
        <w:rPr>
          <w:rFonts w:ascii="Calibri" w:hAnsi="Calibri" w:cs="Calibri"/>
          <w:sz w:val="22"/>
          <w:szCs w:val="22"/>
        </w:rPr>
      </w:pPr>
      <w:r w:rsidRPr="00AB1F89">
        <w:rPr>
          <w:rFonts w:ascii="Calibri" w:hAnsi="Calibri" w:cs="Calibri"/>
          <w:sz w:val="22"/>
          <w:szCs w:val="22"/>
        </w:rPr>
        <w:t xml:space="preserve">Stalking in cases of domestic violence and in within various types of relationship dynamics is becoming widely prevalent and increasing in significance in terms of abuse and violence faced by women and young women in New Zealand. </w:t>
      </w:r>
    </w:p>
    <w:p w14:paraId="468504E3" w14:textId="77777777" w:rsidR="00A34D8B" w:rsidRPr="00AB1F89" w:rsidRDefault="00A34D8B" w:rsidP="00A34D8B">
      <w:pPr>
        <w:pStyle w:val="Default"/>
        <w:rPr>
          <w:rFonts w:ascii="Calibri" w:hAnsi="Calibri" w:cs="Calibri"/>
          <w:sz w:val="22"/>
          <w:szCs w:val="22"/>
        </w:rPr>
      </w:pPr>
      <w:r w:rsidRPr="00AB1F89">
        <w:rPr>
          <w:rFonts w:ascii="Calibri" w:hAnsi="Calibri" w:cs="Calibri"/>
          <w:sz w:val="22"/>
          <w:szCs w:val="22"/>
        </w:rPr>
        <w:t>The Auckland Coalition for the Safety of Women and Children** (which Shakti is a part of on behalf of migrant and refugee women) and other agencies in the space of responding to violence against women and children has been leading a campaign since 2022 seeking for changes to legislation with particular regard to Stalking.</w:t>
      </w:r>
    </w:p>
    <w:p w14:paraId="781951DA" w14:textId="77777777" w:rsidR="00A34D8B" w:rsidRPr="00AB1F89" w:rsidRDefault="00A34D8B" w:rsidP="00A34D8B">
      <w:pPr>
        <w:pStyle w:val="Default"/>
        <w:rPr>
          <w:rFonts w:ascii="Calibri" w:hAnsi="Calibri" w:cs="Calibri"/>
          <w:sz w:val="22"/>
          <w:szCs w:val="22"/>
        </w:rPr>
      </w:pPr>
    </w:p>
    <w:p w14:paraId="7E660CC8" w14:textId="77777777" w:rsidR="00A34D8B" w:rsidRPr="00AB1F89" w:rsidRDefault="00A34D8B" w:rsidP="00A34D8B">
      <w:pPr>
        <w:pStyle w:val="Default"/>
        <w:rPr>
          <w:rFonts w:ascii="Calibri" w:hAnsi="Calibri" w:cs="Calibri"/>
          <w:sz w:val="22"/>
          <w:szCs w:val="22"/>
        </w:rPr>
      </w:pPr>
      <w:r w:rsidRPr="00AB1F89">
        <w:rPr>
          <w:rFonts w:ascii="Calibri" w:hAnsi="Calibri" w:cs="Calibri"/>
          <w:sz w:val="22"/>
          <w:szCs w:val="22"/>
        </w:rPr>
        <w:t xml:space="preserve">The Coalition collective submission maintains that there is widespread acceptance that stalking is repetitive and involves a pattern of behaviour on the part of the stalker, or those recruited by the stalker, rather than a single event. A single action might appear trivial, but a pattern of unwanted repetitive, persistent and intrusive behaviour constitutes stalking. </w:t>
      </w:r>
    </w:p>
    <w:p w14:paraId="2C0546C6" w14:textId="77777777" w:rsidR="00A34D8B" w:rsidRPr="00AB1F89" w:rsidRDefault="00A34D8B" w:rsidP="00A34D8B">
      <w:pPr>
        <w:pStyle w:val="Default"/>
        <w:rPr>
          <w:rFonts w:ascii="Calibri" w:hAnsi="Calibri" w:cs="Calibri"/>
          <w:sz w:val="22"/>
          <w:szCs w:val="22"/>
        </w:rPr>
      </w:pPr>
    </w:p>
    <w:p w14:paraId="6178E5FB" w14:textId="77777777" w:rsidR="00A34D8B" w:rsidRPr="00AB1F89" w:rsidRDefault="00A34D8B" w:rsidP="00A34D8B">
      <w:pPr>
        <w:pStyle w:val="Default"/>
        <w:rPr>
          <w:rFonts w:ascii="Calibri" w:hAnsi="Calibri" w:cs="Calibri"/>
          <w:sz w:val="22"/>
          <w:szCs w:val="22"/>
        </w:rPr>
      </w:pPr>
      <w:r w:rsidRPr="00AB1F89">
        <w:rPr>
          <w:rFonts w:ascii="Calibri" w:hAnsi="Calibri" w:cs="Calibri"/>
          <w:sz w:val="22"/>
          <w:szCs w:val="22"/>
        </w:rPr>
        <w:t xml:space="preserve">Stalking involves many actions as has been evidence in New Zealand including: • surveillance (digital, non-digital or aerial); • following (using digital means such as tracking devices and GPS, or non-digital means) ; • threatening (explicitly or implicitly, this can include threats – of many types, including violence and death - against the individual being stalked, and/or those close to the individual, including family members and pets); • phoning (sometimes late at night and repetitively) ; </w:t>
      </w:r>
      <w:r w:rsidRPr="00AB1F89">
        <w:rPr>
          <w:rFonts w:ascii="Calibri" w:hAnsi="Calibri" w:cs="Calibri"/>
          <w:sz w:val="22"/>
          <w:szCs w:val="22"/>
        </w:rPr>
        <w:lastRenderedPageBreak/>
        <w:t>• sending messages (using texts, e-mails, social media, unwanted notes, letters or more unconventional means, such as internet banking deposit reference fields); • leaving unwanted items (varying from turds to flowers or expensive gifts); • obstructing the victim from seeing other people, and/or obstructing and interfering with friends and family members or others connected to the victim; • loitering or standing near known or expected routes; • interfering with property, entering a victim’s/survivor’s property (home or vehicle); • disturbing a person’s sleep, peace and/or privacy; • spreading untruthful and/or damaging narratives (on-line or offline); • doxing; • using litigation and vexatious litigation; • making false allegations to state agencies; • various other forms of cyberbullying including releasing revenge porn; • life sabotage (attempting to destroy the Victim’s/survivor’s life by using a range of stalking actions that impact on the victim’s/survivor’s home, family, work, occupational, and/or social life); • using a victim’s/survivor’s disability to harm ; • proxy stalking: using others to stalk or stalking those close to the victim/survivor including children.</w:t>
      </w:r>
    </w:p>
    <w:p w14:paraId="761BB608" w14:textId="77777777" w:rsidR="00A34D8B" w:rsidRPr="00AB1F89" w:rsidRDefault="00A34D8B" w:rsidP="00A34D8B">
      <w:pPr>
        <w:pStyle w:val="Default"/>
        <w:rPr>
          <w:rFonts w:ascii="Calibri" w:hAnsi="Calibri" w:cs="Calibri"/>
          <w:sz w:val="22"/>
          <w:szCs w:val="22"/>
        </w:rPr>
      </w:pPr>
    </w:p>
    <w:p w14:paraId="202347AB" w14:textId="77777777" w:rsidR="00A34D8B" w:rsidRPr="00AB1F89" w:rsidRDefault="00A34D8B" w:rsidP="00A34D8B">
      <w:pPr>
        <w:pStyle w:val="Default"/>
        <w:rPr>
          <w:rFonts w:ascii="Calibri" w:hAnsi="Calibri" w:cs="Calibri"/>
          <w:sz w:val="22"/>
          <w:szCs w:val="22"/>
        </w:rPr>
      </w:pPr>
      <w:r w:rsidRPr="00AB1F89">
        <w:rPr>
          <w:rFonts w:ascii="Calibri" w:hAnsi="Calibri" w:cs="Calibri"/>
          <w:sz w:val="22"/>
          <w:szCs w:val="22"/>
        </w:rPr>
        <w:t xml:space="preserve">For ethnic and minority women stalking is an often-normalised aspect of coercive control and psychological abuse. Ethno-specific, sensitive approaches in our legislation are required to support and protect women dealing with this type of abuse.  The untimely and tragic death of a 21-year-old law student of Middle Eastern origin in New Zealand in 2022 highlighted how stalking manifested in homicide, even though the victim and perpetrator were not in a relationship. Her family had fled persecution in Afghanistan on account of being a minority community there and had sought refugee status in New Zealand. The 21-year-old was born and brought up in New Zealand and was knifed to death by her stalker in broad daylight. This accentuated the campaign against stalking that is currently on in New Zealand. </w:t>
      </w:r>
    </w:p>
    <w:p w14:paraId="04814138" w14:textId="77777777" w:rsidR="00A34D8B" w:rsidRPr="00AB1F89" w:rsidRDefault="00A34D8B" w:rsidP="00A34D8B">
      <w:pPr>
        <w:pStyle w:val="Default"/>
        <w:rPr>
          <w:rFonts w:ascii="Calibri" w:hAnsi="Calibri" w:cs="Calibri"/>
          <w:sz w:val="22"/>
          <w:szCs w:val="22"/>
        </w:rPr>
      </w:pPr>
    </w:p>
    <w:p w14:paraId="6DAFA981" w14:textId="77777777" w:rsidR="00A34D8B" w:rsidRPr="00AB1F89" w:rsidRDefault="00A34D8B" w:rsidP="00A34D8B">
      <w:pPr>
        <w:pStyle w:val="Default"/>
        <w:rPr>
          <w:rFonts w:ascii="Calibri" w:hAnsi="Calibri" w:cs="Calibri"/>
          <w:sz w:val="22"/>
          <w:szCs w:val="22"/>
        </w:rPr>
      </w:pPr>
      <w:r w:rsidRPr="00AB1F89">
        <w:rPr>
          <w:rFonts w:ascii="Calibri" w:hAnsi="Calibri" w:cs="Calibri"/>
          <w:sz w:val="22"/>
          <w:szCs w:val="22"/>
        </w:rPr>
        <w:t xml:space="preserve">The most dangerous, violent and persistent stalking is conducted by ex-partners of women, with child contact being a high-risk factor, because it enables or enforces (if through a Parenting Order in the Family Court) apparently legitimate contact between the victim and the stalker, which the stalker commonly exploits to stalk more. In this context stalking is a form of coercive control commonly used in post-separation. (All forms of stalking can be used post-separation, but surveillance and other forms of stalking are also common during the relationship.) </w:t>
      </w:r>
    </w:p>
    <w:p w14:paraId="0706A17E" w14:textId="77777777" w:rsidR="00A34D8B" w:rsidRPr="00AB1F89" w:rsidRDefault="00A34D8B" w:rsidP="00A34D8B">
      <w:pPr>
        <w:pStyle w:val="Default"/>
        <w:rPr>
          <w:rFonts w:ascii="Calibri" w:hAnsi="Calibri" w:cs="Calibri"/>
          <w:sz w:val="22"/>
          <w:szCs w:val="22"/>
        </w:rPr>
      </w:pPr>
      <w:r w:rsidRPr="00AB1F89">
        <w:rPr>
          <w:rFonts w:ascii="Calibri" w:hAnsi="Calibri" w:cs="Calibri"/>
          <w:sz w:val="22"/>
          <w:szCs w:val="22"/>
        </w:rPr>
        <w:t xml:space="preserve">Stalking impacts on victims’/survivors’ sense of safety in their own home and when out in the community, and leads to persistent distress, dread and/or debilitating fear or terror. </w:t>
      </w:r>
    </w:p>
    <w:p w14:paraId="246E1A58" w14:textId="77777777" w:rsidR="00A34D8B" w:rsidRPr="00AB1F89" w:rsidRDefault="00A34D8B" w:rsidP="00A34D8B">
      <w:pPr>
        <w:pStyle w:val="Default"/>
        <w:rPr>
          <w:rFonts w:ascii="Calibri" w:hAnsi="Calibri" w:cs="Calibri"/>
          <w:sz w:val="22"/>
          <w:szCs w:val="22"/>
        </w:rPr>
      </w:pPr>
    </w:p>
    <w:p w14:paraId="2EF564F5" w14:textId="77777777" w:rsidR="00A34D8B" w:rsidRPr="00AB1F89" w:rsidRDefault="00A34D8B" w:rsidP="00A34D8B">
      <w:pPr>
        <w:pStyle w:val="Default"/>
        <w:rPr>
          <w:rFonts w:ascii="Calibri" w:hAnsi="Calibri" w:cs="Calibri"/>
          <w:sz w:val="22"/>
          <w:szCs w:val="22"/>
        </w:rPr>
      </w:pPr>
      <w:r w:rsidRPr="00AB1F89">
        <w:rPr>
          <w:rFonts w:ascii="Calibri" w:hAnsi="Calibri" w:cs="Calibri"/>
          <w:sz w:val="22"/>
          <w:szCs w:val="22"/>
        </w:rPr>
        <w:t xml:space="preserve">Minority women who experience stalking can experience threats unique to their situation such as threats to their immigration status, to their residency within New Zealand, to separation from their children through deportation, and to family members in their home countries. Shakti has a significant number of cases where women with temporary and permanent protection orders experience stalking. In one such instance the stalking became so common that the survivor did not see the merit of reporting the breaches to the police. The police stance is that unless some harm is done through the breach or there is evidence of intended harm, they are unable to act. This leaves victims in helpless and hopeless situations and at the mercy of the stalkers. </w:t>
      </w:r>
    </w:p>
    <w:p w14:paraId="172ECD51" w14:textId="77777777" w:rsidR="00A34D8B" w:rsidRPr="00AB1F89" w:rsidRDefault="00A34D8B" w:rsidP="00A34D8B">
      <w:pPr>
        <w:pStyle w:val="Default"/>
        <w:rPr>
          <w:rFonts w:ascii="Calibri" w:hAnsi="Calibri" w:cs="Calibri"/>
          <w:sz w:val="22"/>
          <w:szCs w:val="22"/>
        </w:rPr>
      </w:pPr>
    </w:p>
    <w:p w14:paraId="79876CBF" w14:textId="77777777" w:rsidR="00A34D8B" w:rsidRPr="00AB1F89" w:rsidRDefault="00A34D8B" w:rsidP="00A34D8B">
      <w:pPr>
        <w:pStyle w:val="Default"/>
        <w:rPr>
          <w:rFonts w:ascii="Calibri" w:hAnsi="Calibri" w:cs="Calibri"/>
          <w:sz w:val="22"/>
          <w:szCs w:val="22"/>
        </w:rPr>
      </w:pPr>
    </w:p>
    <w:p w14:paraId="5B63D0CC" w14:textId="77777777" w:rsidR="00A34D8B" w:rsidRPr="00AB1F89" w:rsidRDefault="00A34D8B" w:rsidP="00A34D8B">
      <w:pPr>
        <w:pStyle w:val="Default"/>
        <w:rPr>
          <w:rFonts w:ascii="Calibri" w:eastAsiaTheme="majorEastAsia" w:hAnsi="Calibri" w:cs="Calibri"/>
          <w:b/>
          <w:color w:val="auto"/>
          <w:kern w:val="2"/>
          <w:sz w:val="26"/>
          <w:szCs w:val="26"/>
          <w:u w:val="single"/>
        </w:rPr>
      </w:pPr>
      <w:r w:rsidRPr="00AB1F89">
        <w:rPr>
          <w:rFonts w:ascii="Calibri" w:eastAsiaTheme="majorEastAsia" w:hAnsi="Calibri" w:cs="Calibri"/>
          <w:b/>
          <w:color w:val="auto"/>
          <w:kern w:val="2"/>
          <w:sz w:val="26"/>
          <w:szCs w:val="26"/>
          <w:u w:val="single"/>
        </w:rPr>
        <w:t>Recommendations:</w:t>
      </w:r>
    </w:p>
    <w:p w14:paraId="1F4E143A" w14:textId="77777777" w:rsidR="00A34D8B" w:rsidRPr="00AB1F89" w:rsidRDefault="00A34D8B" w:rsidP="00A34D8B">
      <w:pPr>
        <w:pStyle w:val="Default"/>
        <w:rPr>
          <w:rFonts w:ascii="Calibri" w:hAnsi="Calibri" w:cs="Calibri"/>
          <w:sz w:val="22"/>
          <w:szCs w:val="22"/>
        </w:rPr>
      </w:pPr>
      <w:r w:rsidRPr="00AB1F89">
        <w:rPr>
          <w:rFonts w:ascii="Calibri" w:hAnsi="Calibri" w:cs="Calibri"/>
          <w:sz w:val="22"/>
          <w:szCs w:val="22"/>
        </w:rPr>
        <w:t>1. Stalking must be recognised as a crime rather than a civil dispute and be named as a crime in the Crimes Act 1961.</w:t>
      </w:r>
    </w:p>
    <w:p w14:paraId="116AC10D" w14:textId="77777777" w:rsidR="00A34D8B" w:rsidRPr="00AB1F89" w:rsidRDefault="00A34D8B" w:rsidP="00A34D8B">
      <w:pPr>
        <w:pStyle w:val="Default"/>
        <w:rPr>
          <w:rFonts w:ascii="Calibri" w:hAnsi="Calibri" w:cs="Calibri"/>
          <w:sz w:val="22"/>
          <w:szCs w:val="22"/>
        </w:rPr>
      </w:pPr>
      <w:r w:rsidRPr="00AB1F89">
        <w:rPr>
          <w:rFonts w:ascii="Calibri" w:hAnsi="Calibri" w:cs="Calibri"/>
          <w:sz w:val="22"/>
          <w:szCs w:val="22"/>
        </w:rPr>
        <w:t>2.Ministry of Justice and other agencies of Te Puna Aonui (10+ government departments engaging in response to family violence) adopt a shared understanding of stalking as “unwanted, repetitive and persistent intrusion into a person’s life”.</w:t>
      </w:r>
    </w:p>
    <w:p w14:paraId="477CCA3E" w14:textId="77777777" w:rsidR="00A34D8B" w:rsidRPr="00AB1F89" w:rsidRDefault="00A34D8B" w:rsidP="00A34D8B">
      <w:pPr>
        <w:pStyle w:val="Default"/>
        <w:rPr>
          <w:rFonts w:ascii="Calibri" w:hAnsi="Calibri" w:cs="Calibri"/>
          <w:sz w:val="22"/>
          <w:szCs w:val="22"/>
        </w:rPr>
      </w:pPr>
      <w:r w:rsidRPr="00AB1F89">
        <w:rPr>
          <w:rFonts w:ascii="Calibri" w:hAnsi="Calibri" w:cs="Calibri"/>
          <w:sz w:val="22"/>
          <w:szCs w:val="22"/>
        </w:rPr>
        <w:t>2. Government includes stalking in the Crimes Act 1961 as a separate crime that focuses on the actions of the perpetrator and identifies stalking as a pattern of unwanted, repetitive and persistent intrusive behaviour.</w:t>
      </w:r>
    </w:p>
    <w:p w14:paraId="1967810C" w14:textId="77777777" w:rsidR="00A34D8B" w:rsidRPr="00AB1F89" w:rsidRDefault="00A34D8B" w:rsidP="00A34D8B">
      <w:pPr>
        <w:pStyle w:val="Default"/>
        <w:rPr>
          <w:rFonts w:ascii="Calibri" w:hAnsi="Calibri" w:cs="Calibri"/>
          <w:sz w:val="22"/>
          <w:szCs w:val="22"/>
        </w:rPr>
      </w:pPr>
      <w:r w:rsidRPr="00AB1F89">
        <w:rPr>
          <w:rFonts w:ascii="Calibri" w:hAnsi="Calibri" w:cs="Calibri"/>
          <w:sz w:val="22"/>
          <w:szCs w:val="22"/>
        </w:rPr>
        <w:lastRenderedPageBreak/>
        <w:t>3. Ministry of Justice and New Zealand Police develop guidelines for police, prosecution lawyers and judges, to produce consistent responses to stalking in each of these three sectors.</w:t>
      </w:r>
    </w:p>
    <w:p w14:paraId="32CE58A4" w14:textId="77777777" w:rsidR="00A34D8B" w:rsidRPr="00AB1F89" w:rsidRDefault="00A34D8B" w:rsidP="00A34D8B">
      <w:pPr>
        <w:pStyle w:val="Default"/>
        <w:rPr>
          <w:rFonts w:ascii="Calibri" w:hAnsi="Calibri" w:cs="Calibri"/>
          <w:sz w:val="22"/>
          <w:szCs w:val="22"/>
        </w:rPr>
      </w:pPr>
      <w:r w:rsidRPr="00AB1F89">
        <w:rPr>
          <w:rFonts w:ascii="Calibri" w:hAnsi="Calibri" w:cs="Calibri"/>
          <w:sz w:val="22"/>
          <w:szCs w:val="22"/>
        </w:rPr>
        <w:t>4. Agencies and services adopt a safety-orientated approach that puts victims’ protection at the centre of the response.</w:t>
      </w:r>
    </w:p>
    <w:p w14:paraId="312B56A8" w14:textId="77777777" w:rsidR="00A34D8B" w:rsidRPr="00AB1F89" w:rsidRDefault="00A34D8B" w:rsidP="00A34D8B">
      <w:pPr>
        <w:pStyle w:val="Default"/>
        <w:rPr>
          <w:rFonts w:ascii="Calibri" w:hAnsi="Calibri" w:cs="Calibri"/>
          <w:sz w:val="22"/>
          <w:szCs w:val="22"/>
        </w:rPr>
      </w:pPr>
      <w:r w:rsidRPr="00AB1F89">
        <w:rPr>
          <w:rFonts w:ascii="Calibri" w:hAnsi="Calibri" w:cs="Calibri"/>
          <w:sz w:val="22"/>
          <w:szCs w:val="22"/>
        </w:rPr>
        <w:t>5. Government funding is raised to adequate levels for NGO services for victims of stalking.</w:t>
      </w:r>
    </w:p>
    <w:p w14:paraId="66A84505" w14:textId="77777777" w:rsidR="00A34D8B" w:rsidRPr="00AB1F89" w:rsidRDefault="00A34D8B" w:rsidP="00A34D8B">
      <w:pPr>
        <w:pStyle w:val="Default"/>
        <w:rPr>
          <w:rFonts w:ascii="Calibri" w:hAnsi="Calibri" w:cs="Calibri"/>
          <w:sz w:val="22"/>
          <w:szCs w:val="22"/>
        </w:rPr>
      </w:pPr>
      <w:r w:rsidRPr="00AB1F89">
        <w:rPr>
          <w:rFonts w:ascii="Calibri" w:hAnsi="Calibri" w:cs="Calibri"/>
          <w:sz w:val="22"/>
          <w:szCs w:val="22"/>
        </w:rPr>
        <w:t>6. Government funds a campaign to raise the public’s awareness of stalking.</w:t>
      </w:r>
    </w:p>
    <w:p w14:paraId="606CB06C" w14:textId="77777777" w:rsidR="00A34D8B" w:rsidRPr="00AB1F89" w:rsidRDefault="00A34D8B" w:rsidP="00A34D8B">
      <w:pPr>
        <w:pStyle w:val="Default"/>
        <w:rPr>
          <w:rFonts w:ascii="Calibri" w:hAnsi="Calibri" w:cs="Calibri"/>
          <w:sz w:val="22"/>
          <w:szCs w:val="22"/>
        </w:rPr>
      </w:pPr>
      <w:r w:rsidRPr="00AB1F89">
        <w:rPr>
          <w:rFonts w:ascii="Calibri" w:hAnsi="Calibri" w:cs="Calibri"/>
          <w:sz w:val="22"/>
          <w:szCs w:val="22"/>
        </w:rPr>
        <w:t>7. Government funds research on stalking that will identify continuous improvements to agencies’ actions thereby improving victims’/survivors’ safety.</w:t>
      </w:r>
    </w:p>
    <w:p w14:paraId="44B916BF" w14:textId="77777777" w:rsidR="00A34D8B" w:rsidRPr="00AB1F89" w:rsidRDefault="00A34D8B" w:rsidP="00A34D8B">
      <w:pPr>
        <w:pStyle w:val="Default"/>
        <w:rPr>
          <w:rFonts w:ascii="Calibri" w:hAnsi="Calibri" w:cs="Calibri"/>
          <w:sz w:val="22"/>
          <w:szCs w:val="22"/>
        </w:rPr>
      </w:pPr>
    </w:p>
    <w:p w14:paraId="0BAA6C5D" w14:textId="77777777" w:rsidR="00A34D8B" w:rsidRPr="00AB1F89" w:rsidRDefault="00A34D8B" w:rsidP="00A34D8B">
      <w:pPr>
        <w:pStyle w:val="Default"/>
        <w:rPr>
          <w:rFonts w:ascii="Calibri" w:hAnsi="Calibri" w:cs="Calibri"/>
          <w:sz w:val="22"/>
          <w:szCs w:val="22"/>
        </w:rPr>
      </w:pPr>
    </w:p>
    <w:p w14:paraId="240BF07F" w14:textId="77777777" w:rsidR="00A34D8B" w:rsidRPr="00AB1F89" w:rsidRDefault="00A34D8B" w:rsidP="00A34D8B">
      <w:pPr>
        <w:pStyle w:val="Default"/>
        <w:rPr>
          <w:rFonts w:ascii="Calibri" w:hAnsi="Calibri" w:cs="Calibri"/>
          <w:sz w:val="22"/>
          <w:szCs w:val="22"/>
        </w:rPr>
      </w:pPr>
    </w:p>
    <w:p w14:paraId="79160143" w14:textId="77777777" w:rsidR="00A34D8B" w:rsidRPr="00AB1F89" w:rsidRDefault="00A34D8B" w:rsidP="00A34D8B">
      <w:pPr>
        <w:pStyle w:val="Default"/>
        <w:rPr>
          <w:rFonts w:ascii="Calibri" w:hAnsi="Calibri" w:cs="Calibri"/>
          <w:sz w:val="22"/>
          <w:szCs w:val="22"/>
        </w:rPr>
      </w:pPr>
    </w:p>
    <w:p w14:paraId="5C3B7255" w14:textId="77777777" w:rsidR="00A34D8B" w:rsidRPr="00AB1F89" w:rsidRDefault="00A34D8B" w:rsidP="00A34D8B">
      <w:pPr>
        <w:pStyle w:val="Default"/>
        <w:rPr>
          <w:rFonts w:ascii="Calibri" w:hAnsi="Calibri" w:cs="Calibri"/>
          <w:color w:val="auto"/>
          <w:sz w:val="22"/>
          <w:szCs w:val="22"/>
        </w:rPr>
      </w:pPr>
    </w:p>
    <w:p w14:paraId="6F9DFE9E" w14:textId="77777777" w:rsidR="00A34D8B" w:rsidRPr="00AB1F89" w:rsidRDefault="00A34D8B">
      <w:pPr>
        <w:pStyle w:val="ListParagraph"/>
        <w:numPr>
          <w:ilvl w:val="0"/>
          <w:numId w:val="6"/>
        </w:numPr>
        <w:shd w:val="clear" w:color="auto" w:fill="A8D08D" w:themeFill="accent6" w:themeFillTint="99"/>
        <w:spacing w:after="0"/>
        <w:rPr>
          <w:rFonts w:eastAsiaTheme="majorEastAsia" w:cs="Calibri"/>
          <w:b/>
          <w:sz w:val="26"/>
          <w:szCs w:val="26"/>
        </w:rPr>
      </w:pPr>
      <w:r w:rsidRPr="00AB1F89">
        <w:rPr>
          <w:rFonts w:eastAsiaTheme="majorEastAsia" w:cs="Calibri"/>
          <w:b/>
          <w:sz w:val="26"/>
          <w:szCs w:val="26"/>
        </w:rPr>
        <w:t>Marriage Law Unsettlements for Muslim women in New Zealand -Cultural and Religious Divorce:</w:t>
      </w:r>
    </w:p>
    <w:p w14:paraId="1B3DE824" w14:textId="77777777" w:rsidR="00A34D8B" w:rsidRPr="00AB1F89" w:rsidRDefault="00A34D8B" w:rsidP="00A34D8B">
      <w:pPr>
        <w:spacing w:after="0" w:line="240" w:lineRule="auto"/>
        <w:jc w:val="center"/>
        <w:rPr>
          <w:rFonts w:ascii="Calibri" w:hAnsi="Calibri" w:cs="Calibri"/>
          <w:b/>
          <w:bCs/>
          <w:sz w:val="24"/>
          <w:szCs w:val="24"/>
          <w:u w:val="single"/>
          <w:lang w:val="en-US"/>
        </w:rPr>
      </w:pPr>
    </w:p>
    <w:p w14:paraId="30FF608E" w14:textId="77777777" w:rsidR="00A34D8B" w:rsidRPr="00AB1F89" w:rsidRDefault="00A34D8B" w:rsidP="00A34D8B">
      <w:pPr>
        <w:spacing w:after="0" w:line="240" w:lineRule="auto"/>
        <w:rPr>
          <w:rFonts w:ascii="Calibri" w:hAnsi="Calibri" w:cs="Calibri"/>
          <w:color w:val="000000"/>
        </w:rPr>
      </w:pPr>
      <w:r w:rsidRPr="00AB1F89">
        <w:rPr>
          <w:rFonts w:ascii="Calibri" w:hAnsi="Calibri" w:cs="Calibri"/>
          <w:color w:val="000000"/>
        </w:rPr>
        <w:t>New Zealand law permits the divorce of legally married partners after a 2-year period of separation.</w:t>
      </w:r>
      <w:r w:rsidRPr="00AB1F89">
        <w:rPr>
          <w:rFonts w:ascii="Calibri" w:hAnsi="Calibri" w:cs="Calibri"/>
          <w:color w:val="000000"/>
        </w:rPr>
        <w:footnoteReference w:id="1"/>
      </w:r>
      <w:r w:rsidRPr="00AB1F89">
        <w:rPr>
          <w:rFonts w:ascii="Calibri" w:hAnsi="Calibri" w:cs="Calibri"/>
          <w:color w:val="000000"/>
        </w:rPr>
        <w:t xml:space="preserve">* As long as both parties have not reconciled for over three months during this period, a legal divorce shall be granted. </w:t>
      </w:r>
    </w:p>
    <w:p w14:paraId="5027F942" w14:textId="77777777" w:rsidR="00A34D8B" w:rsidRPr="00AB1F89" w:rsidRDefault="00A34D8B" w:rsidP="00A34D8B">
      <w:pPr>
        <w:spacing w:after="0" w:line="240" w:lineRule="auto"/>
        <w:rPr>
          <w:rFonts w:ascii="Calibri" w:hAnsi="Calibri" w:cs="Calibri"/>
          <w:color w:val="000000"/>
        </w:rPr>
      </w:pPr>
    </w:p>
    <w:p w14:paraId="2892325E" w14:textId="77777777" w:rsidR="00A34D8B" w:rsidRPr="00AB1F89" w:rsidRDefault="00A34D8B" w:rsidP="00A34D8B">
      <w:pPr>
        <w:spacing w:after="0" w:line="240" w:lineRule="auto"/>
        <w:rPr>
          <w:rFonts w:ascii="Calibri" w:hAnsi="Calibri" w:cs="Calibri"/>
          <w:color w:val="000000"/>
        </w:rPr>
      </w:pPr>
      <w:r w:rsidRPr="00AB1F89">
        <w:rPr>
          <w:rFonts w:ascii="Calibri" w:hAnsi="Calibri" w:cs="Calibri"/>
          <w:color w:val="000000"/>
        </w:rPr>
        <w:t xml:space="preserve">In some religions, even when a legal divorce is granted, it does not change the religious standing of the marriage. Issues arise when domestic violence intersects with religion. Shakti and many others who work in the domestic </w:t>
      </w:r>
      <w:r w:rsidRPr="00AB1F89">
        <w:rPr>
          <w:rStyle w:val="FootnoteReference"/>
          <w:rFonts w:ascii="Calibri" w:hAnsi="Calibri" w:cs="Calibri"/>
          <w:color w:val="000000"/>
        </w:rPr>
        <w:footnoteReference w:id="2"/>
      </w:r>
      <w:r w:rsidRPr="00AB1F89">
        <w:rPr>
          <w:rFonts w:ascii="Calibri" w:hAnsi="Calibri" w:cs="Calibri"/>
          <w:color w:val="000000"/>
        </w:rPr>
        <w:t xml:space="preserve">violence prevention space have noticed that where victims are unable to obtain religious divorces, they are still seen as married by their communities. To victims, in the eyes of God they are still married. </w:t>
      </w:r>
      <w:r w:rsidRPr="00AB1F89">
        <w:rPr>
          <w:rFonts w:ascii="Calibri" w:hAnsi="Calibri" w:cs="Calibri"/>
          <w:color w:val="000000"/>
        </w:rPr>
        <w:footnoteReference w:id="3"/>
      </w:r>
      <w:r w:rsidRPr="00AB1F89">
        <w:rPr>
          <w:rFonts w:ascii="Calibri" w:hAnsi="Calibri" w:cs="Calibri"/>
          <w:color w:val="000000"/>
        </w:rPr>
        <w:t xml:space="preserve">* </w:t>
      </w:r>
    </w:p>
    <w:p w14:paraId="0BA30E61" w14:textId="77777777" w:rsidR="00A34D8B" w:rsidRPr="00AB1F89" w:rsidRDefault="00A34D8B" w:rsidP="00A34D8B">
      <w:pPr>
        <w:spacing w:after="0" w:line="240" w:lineRule="auto"/>
        <w:rPr>
          <w:rFonts w:ascii="Calibri" w:hAnsi="Calibri" w:cs="Calibri"/>
          <w:color w:val="000000"/>
        </w:rPr>
      </w:pPr>
      <w:r w:rsidRPr="00AB1F89">
        <w:rPr>
          <w:rFonts w:ascii="Calibri" w:hAnsi="Calibri" w:cs="Calibri"/>
          <w:color w:val="000000"/>
        </w:rPr>
        <w:t>Religious divorces tend not to be granted due to the way the patriarchy has permeated within religions and cultures.</w:t>
      </w:r>
      <w:r w:rsidRPr="00AB1F89">
        <w:rPr>
          <w:rFonts w:ascii="Calibri" w:hAnsi="Calibri" w:cs="Calibri"/>
          <w:color w:val="000000"/>
        </w:rPr>
        <w:footnoteReference w:id="4"/>
      </w:r>
      <w:r w:rsidRPr="00AB1F89">
        <w:rPr>
          <w:rFonts w:ascii="Calibri" w:hAnsi="Calibri" w:cs="Calibri"/>
          <w:color w:val="000000"/>
        </w:rPr>
        <w:t xml:space="preserve">* These three factors work together to trap women in abusive marriages. Thus, putting their lives and the lives of their children in extreme danger. </w:t>
      </w:r>
    </w:p>
    <w:p w14:paraId="096B44A2" w14:textId="77777777" w:rsidR="00A34D8B" w:rsidRPr="00AB1F89" w:rsidRDefault="00A34D8B" w:rsidP="00A34D8B">
      <w:pPr>
        <w:spacing w:after="0" w:line="240" w:lineRule="auto"/>
        <w:rPr>
          <w:rFonts w:ascii="Calibri" w:hAnsi="Calibri" w:cs="Calibri"/>
          <w:color w:val="000000"/>
        </w:rPr>
      </w:pPr>
    </w:p>
    <w:p w14:paraId="7334A076" w14:textId="77777777" w:rsidR="00A34D8B" w:rsidRPr="00AB1F89" w:rsidRDefault="00A34D8B" w:rsidP="00A34D8B">
      <w:pPr>
        <w:spacing w:after="0" w:line="240" w:lineRule="auto"/>
        <w:rPr>
          <w:rFonts w:ascii="Calibri" w:hAnsi="Calibri" w:cs="Calibri"/>
          <w:b/>
          <w:i/>
          <w:color w:val="000000"/>
        </w:rPr>
      </w:pPr>
      <w:r w:rsidRPr="00AB1F89">
        <w:rPr>
          <w:rFonts w:ascii="Calibri" w:hAnsi="Calibri" w:cs="Calibri"/>
          <w:b/>
          <w:i/>
          <w:color w:val="000000"/>
        </w:rPr>
        <w:t>Case study:</w:t>
      </w:r>
    </w:p>
    <w:p w14:paraId="44FCD61D" w14:textId="77777777" w:rsidR="00A34D8B" w:rsidRPr="00AB1F89" w:rsidRDefault="00A34D8B" w:rsidP="00A34D8B">
      <w:pPr>
        <w:spacing w:after="0" w:line="240" w:lineRule="auto"/>
        <w:rPr>
          <w:rFonts w:ascii="Calibri" w:hAnsi="Calibri" w:cs="Calibri"/>
          <w:color w:val="000000"/>
        </w:rPr>
      </w:pPr>
      <w:r w:rsidRPr="00AB1F89">
        <w:rPr>
          <w:rFonts w:ascii="Calibri" w:hAnsi="Calibri" w:cs="Calibri"/>
          <w:color w:val="000000"/>
        </w:rPr>
        <w:t xml:space="preserve">Rafah (33) had a culturally arranged marriage to a man who lived in New Zealand. She came to New Zealand through the sponsorship from her husband. Rafah’s husband was a refugee from the Middle East. Rafah’s family believed that sending her to New Zealand would ensure her safety from the war in their country. They hoped that one day, Rafah would be able to bring them all to New Zealand. </w:t>
      </w:r>
    </w:p>
    <w:p w14:paraId="32AEEB21" w14:textId="77777777" w:rsidR="00A34D8B" w:rsidRPr="00AB1F89" w:rsidRDefault="00A34D8B" w:rsidP="00A34D8B">
      <w:pPr>
        <w:spacing w:after="0" w:line="240" w:lineRule="auto"/>
        <w:rPr>
          <w:rFonts w:ascii="Calibri" w:hAnsi="Calibri" w:cs="Calibri"/>
          <w:color w:val="000000"/>
        </w:rPr>
      </w:pPr>
    </w:p>
    <w:p w14:paraId="7B7F2D99" w14:textId="77777777" w:rsidR="00A34D8B" w:rsidRPr="00AB1F89" w:rsidRDefault="00A34D8B" w:rsidP="00A34D8B">
      <w:pPr>
        <w:spacing w:after="0" w:line="240" w:lineRule="auto"/>
        <w:rPr>
          <w:rFonts w:ascii="Calibri" w:hAnsi="Calibri" w:cs="Calibri"/>
          <w:color w:val="000000"/>
        </w:rPr>
      </w:pPr>
      <w:r w:rsidRPr="00AB1F89">
        <w:rPr>
          <w:rFonts w:ascii="Calibri" w:hAnsi="Calibri" w:cs="Calibri"/>
          <w:color w:val="000000"/>
        </w:rPr>
        <w:t xml:space="preserve">Once Rafah came to New Zealand, she realized her husband was mentally unwell. He was completely reliant on government income support. There were times he would work illegally as a barber and accept informal cash payments for his work. At some point during their marriage, Rafah’s husband started using drugs and became affiliated with a gang. She was not aware of what gang but she knew they were dangerous people. On one occasion, a rival gang came to her home and began shooting outside her home. She took her children and locked herself in the toilet with them. </w:t>
      </w:r>
    </w:p>
    <w:p w14:paraId="590533E7" w14:textId="77777777" w:rsidR="00A34D8B" w:rsidRPr="00AB1F89" w:rsidRDefault="00A34D8B" w:rsidP="00A34D8B">
      <w:pPr>
        <w:spacing w:after="0" w:line="240" w:lineRule="auto"/>
        <w:rPr>
          <w:rFonts w:ascii="Calibri" w:hAnsi="Calibri" w:cs="Calibri"/>
          <w:color w:val="000000"/>
        </w:rPr>
      </w:pPr>
    </w:p>
    <w:p w14:paraId="37A4FF5B" w14:textId="77777777" w:rsidR="00A34D8B" w:rsidRPr="00AB1F89" w:rsidRDefault="00A34D8B" w:rsidP="00A34D8B">
      <w:pPr>
        <w:spacing w:after="0" w:line="240" w:lineRule="auto"/>
        <w:rPr>
          <w:rFonts w:ascii="Calibri" w:hAnsi="Calibri" w:cs="Calibri"/>
          <w:color w:val="000000"/>
        </w:rPr>
      </w:pPr>
      <w:r w:rsidRPr="00AB1F89">
        <w:rPr>
          <w:rFonts w:ascii="Calibri" w:hAnsi="Calibri" w:cs="Calibri"/>
          <w:color w:val="000000"/>
        </w:rPr>
        <w:t xml:space="preserve">Unbeknownst to Rafah, her husband had made her sign divorce papers. This was done with the intention of obtaining more government support. Although divorce papers were signed, Rafah’s husband remained with her for all intents and purposes. In the eyes of their community and religion, they were still husband and wife. </w:t>
      </w:r>
    </w:p>
    <w:p w14:paraId="4FE5291D" w14:textId="77777777" w:rsidR="00A34D8B" w:rsidRPr="00AB1F89" w:rsidRDefault="00A34D8B" w:rsidP="00A34D8B">
      <w:pPr>
        <w:spacing w:after="0" w:line="240" w:lineRule="auto"/>
        <w:rPr>
          <w:rFonts w:ascii="Calibri" w:hAnsi="Calibri" w:cs="Calibri"/>
          <w:color w:val="000000"/>
        </w:rPr>
      </w:pPr>
    </w:p>
    <w:p w14:paraId="25671C52" w14:textId="77777777" w:rsidR="00A34D8B" w:rsidRPr="00AB1F89" w:rsidRDefault="00A34D8B" w:rsidP="00A34D8B">
      <w:pPr>
        <w:spacing w:after="0" w:line="240" w:lineRule="auto"/>
        <w:rPr>
          <w:rFonts w:ascii="Calibri" w:hAnsi="Calibri" w:cs="Calibri"/>
          <w:color w:val="000000"/>
        </w:rPr>
      </w:pPr>
      <w:r w:rsidRPr="00AB1F89">
        <w:rPr>
          <w:rFonts w:ascii="Calibri" w:hAnsi="Calibri" w:cs="Calibri"/>
          <w:color w:val="000000"/>
        </w:rPr>
        <w:t xml:space="preserve">Rafah experienced verbal, sexual, and psychical abuse. Her husband physically and verbal abused their children. Rafah lived with her abusive husband and their children in a small town in New Zealand. Once they moved to Auckland, the abuse came to the attention of the Police. Once the Police became aware of the abuse, Rafah was referred to Shakti services. </w:t>
      </w:r>
    </w:p>
    <w:p w14:paraId="7FB64702" w14:textId="77777777" w:rsidR="00A34D8B" w:rsidRPr="00AB1F89" w:rsidRDefault="00A34D8B" w:rsidP="00A34D8B">
      <w:pPr>
        <w:spacing w:after="0" w:line="240" w:lineRule="auto"/>
        <w:rPr>
          <w:rFonts w:ascii="Calibri" w:hAnsi="Calibri" w:cs="Calibri"/>
          <w:color w:val="000000"/>
        </w:rPr>
      </w:pPr>
    </w:p>
    <w:p w14:paraId="0ECF1409" w14:textId="77777777" w:rsidR="00A34D8B" w:rsidRPr="00AB1F89" w:rsidRDefault="00A34D8B" w:rsidP="00A34D8B">
      <w:pPr>
        <w:spacing w:after="0" w:line="240" w:lineRule="auto"/>
        <w:rPr>
          <w:rFonts w:ascii="Calibri" w:hAnsi="Calibri" w:cs="Calibri"/>
          <w:color w:val="000000"/>
        </w:rPr>
      </w:pPr>
      <w:r w:rsidRPr="00AB1F89">
        <w:rPr>
          <w:rFonts w:ascii="Calibri" w:hAnsi="Calibri" w:cs="Calibri"/>
          <w:color w:val="000000"/>
        </w:rPr>
        <w:t>Rafah applied for a protection order. However, under the New Zealand legal system, Rafah was legally not married to her husband. Therefore, the court could not grant her the protection order as she was not legally entitled to it.</w:t>
      </w:r>
      <w:r w:rsidRPr="00AB1F89">
        <w:rPr>
          <w:rFonts w:ascii="Calibri" w:hAnsi="Calibri" w:cs="Calibri"/>
          <w:color w:val="000000"/>
        </w:rPr>
        <w:footnoteReference w:id="5"/>
      </w:r>
      <w:r w:rsidRPr="00AB1F89">
        <w:rPr>
          <w:rFonts w:ascii="Calibri" w:hAnsi="Calibri" w:cs="Calibri"/>
          <w:color w:val="000000"/>
        </w:rPr>
        <w:t xml:space="preserve">* Under their religion, Rafah and her husband were still married. This meant he could exert a significant level of control over her. He threatened on multiple occasions that he was gang affiliated and would be able to “chop her body to pieces and send it back to her family”. </w:t>
      </w:r>
    </w:p>
    <w:p w14:paraId="39405DEF" w14:textId="77777777" w:rsidR="00A34D8B" w:rsidRPr="00AB1F89" w:rsidRDefault="00A34D8B" w:rsidP="00A34D8B">
      <w:pPr>
        <w:spacing w:after="0" w:line="240" w:lineRule="auto"/>
        <w:rPr>
          <w:rFonts w:ascii="Calibri" w:hAnsi="Calibri" w:cs="Calibri"/>
          <w:color w:val="000000"/>
        </w:rPr>
      </w:pPr>
    </w:p>
    <w:p w14:paraId="75606A4B" w14:textId="77777777" w:rsidR="00A34D8B" w:rsidRPr="00AB1F89" w:rsidRDefault="00A34D8B" w:rsidP="00A34D8B">
      <w:pPr>
        <w:spacing w:after="0" w:line="240" w:lineRule="auto"/>
        <w:rPr>
          <w:rFonts w:ascii="Calibri" w:hAnsi="Calibri" w:cs="Calibri"/>
          <w:color w:val="000000"/>
        </w:rPr>
      </w:pPr>
      <w:r w:rsidRPr="00AB1F89">
        <w:rPr>
          <w:rFonts w:ascii="Calibri" w:hAnsi="Calibri" w:cs="Calibri"/>
          <w:color w:val="000000"/>
        </w:rPr>
        <w:t xml:space="preserve">Rafah tried to get an Islamic divorce. She approached a number of Imams in Auckland but none of them would proceed with her request. Rafah was unable to obtain an Islamic divorce and therefore, in her eyes and in the eyes of the community they were still married. </w:t>
      </w:r>
    </w:p>
    <w:p w14:paraId="0EDAC299" w14:textId="77777777" w:rsidR="00A34D8B" w:rsidRPr="00AB1F89" w:rsidRDefault="00A34D8B" w:rsidP="00A34D8B">
      <w:pPr>
        <w:spacing w:after="0" w:line="240" w:lineRule="auto"/>
        <w:rPr>
          <w:rFonts w:ascii="Calibri" w:hAnsi="Calibri" w:cs="Calibri"/>
          <w:color w:val="000000"/>
        </w:rPr>
      </w:pPr>
    </w:p>
    <w:p w14:paraId="79682B17" w14:textId="77777777" w:rsidR="00A34D8B" w:rsidRPr="00AB1F89" w:rsidRDefault="00A34D8B" w:rsidP="00A34D8B">
      <w:pPr>
        <w:spacing w:after="0" w:line="240" w:lineRule="auto"/>
        <w:rPr>
          <w:rFonts w:ascii="Calibri" w:hAnsi="Calibri" w:cs="Calibri"/>
          <w:color w:val="000000"/>
        </w:rPr>
      </w:pPr>
      <w:r w:rsidRPr="00AB1F89">
        <w:rPr>
          <w:rFonts w:ascii="Calibri" w:hAnsi="Calibri" w:cs="Calibri"/>
          <w:color w:val="000000"/>
        </w:rPr>
        <w:t xml:space="preserve">The New Zealand legal system was unable to protect Rafah. To them, she was legally divorced. To them, she was under no compulsion to remain with her legally considered ex-husband. To them, there was no risk in granting a joint parenting order. The complete lack of cultural understanding left Rafah in a situation where she would be expected to face and parent her children alongside her abuser. </w:t>
      </w:r>
    </w:p>
    <w:p w14:paraId="2C4A0472" w14:textId="77777777" w:rsidR="00A34D8B" w:rsidRPr="00AB1F89" w:rsidRDefault="00A34D8B" w:rsidP="00A34D8B">
      <w:pPr>
        <w:spacing w:after="0" w:line="240" w:lineRule="auto"/>
        <w:rPr>
          <w:rFonts w:ascii="Calibri" w:hAnsi="Calibri" w:cs="Calibri"/>
          <w:color w:val="000000"/>
        </w:rPr>
      </w:pPr>
    </w:p>
    <w:p w14:paraId="2E996341" w14:textId="77777777" w:rsidR="00A34D8B" w:rsidRPr="00AB1F89" w:rsidRDefault="00A34D8B" w:rsidP="00A34D8B">
      <w:pPr>
        <w:spacing w:after="0" w:line="240" w:lineRule="auto"/>
        <w:rPr>
          <w:rFonts w:ascii="Calibri" w:hAnsi="Calibri" w:cs="Calibri"/>
          <w:color w:val="000000"/>
        </w:rPr>
      </w:pPr>
      <w:r w:rsidRPr="00AB1F89">
        <w:rPr>
          <w:rFonts w:ascii="Calibri" w:hAnsi="Calibri" w:cs="Calibri"/>
          <w:color w:val="000000"/>
        </w:rPr>
        <w:t xml:space="preserve">Rafah was heartbroken, the abuse she faced was not acknowledged. Upon moving out of the Shakti Refuge, Rafah was subjected to immense pressure from her community to reconcile with her abuser. Without adequate legal protection and no religious divorce, Rafah acquiesced and returned, with her children, to their abuser.  Shakti believes that the entire system failed Rafah. Shakti had no other recourse or legal instruments to support Rafah and save her and her children from their abuser. </w:t>
      </w:r>
    </w:p>
    <w:p w14:paraId="4D818649" w14:textId="77777777" w:rsidR="00A34D8B" w:rsidRPr="00AB1F89" w:rsidRDefault="00A34D8B" w:rsidP="00A34D8B">
      <w:pPr>
        <w:spacing w:after="0" w:line="240" w:lineRule="auto"/>
        <w:rPr>
          <w:rFonts w:ascii="Calibri" w:hAnsi="Calibri" w:cs="Calibri"/>
          <w:color w:val="000000"/>
        </w:rPr>
      </w:pPr>
    </w:p>
    <w:p w14:paraId="7D0977E8" w14:textId="77777777" w:rsidR="00A34D8B" w:rsidRPr="00AB1F89" w:rsidRDefault="00A34D8B" w:rsidP="00A34D8B">
      <w:pPr>
        <w:spacing w:after="0" w:line="240" w:lineRule="auto"/>
        <w:rPr>
          <w:rFonts w:ascii="Calibri" w:hAnsi="Calibri" w:cs="Calibri"/>
          <w:color w:val="000000"/>
        </w:rPr>
      </w:pPr>
      <w:r w:rsidRPr="00AB1F89">
        <w:rPr>
          <w:rFonts w:ascii="Calibri" w:hAnsi="Calibri" w:cs="Calibri"/>
          <w:color w:val="000000"/>
        </w:rPr>
        <w:t xml:space="preserve">This is only one story of the way religion is weaponized against victims of domestic and family violence. Our women are guilted and shamed by their religious institutions and the community into returning to abusive relationships and the legal system does nothing to protect them. </w:t>
      </w:r>
    </w:p>
    <w:p w14:paraId="6F49F3DE" w14:textId="77777777" w:rsidR="00A34D8B" w:rsidRPr="00AB1F89" w:rsidRDefault="00A34D8B" w:rsidP="00A34D8B">
      <w:pPr>
        <w:spacing w:after="0" w:line="240" w:lineRule="auto"/>
        <w:rPr>
          <w:rFonts w:ascii="Calibri" w:hAnsi="Calibri" w:cs="Calibri"/>
          <w:color w:val="000000"/>
        </w:rPr>
      </w:pPr>
    </w:p>
    <w:p w14:paraId="031D7DC5" w14:textId="77777777" w:rsidR="00A34D8B" w:rsidRDefault="00A34D8B" w:rsidP="00A34D8B">
      <w:pPr>
        <w:spacing w:after="0" w:line="240" w:lineRule="auto"/>
        <w:rPr>
          <w:rFonts w:ascii="Calibri" w:eastAsiaTheme="majorEastAsia" w:hAnsi="Calibri" w:cs="Calibri"/>
          <w:b/>
          <w:sz w:val="26"/>
          <w:szCs w:val="26"/>
          <w:u w:val="single"/>
        </w:rPr>
      </w:pPr>
    </w:p>
    <w:p w14:paraId="1D6E9442" w14:textId="77777777" w:rsidR="00A34D8B" w:rsidRDefault="00A34D8B" w:rsidP="00A34D8B">
      <w:pPr>
        <w:spacing w:after="0" w:line="240" w:lineRule="auto"/>
        <w:rPr>
          <w:rFonts w:ascii="Calibri" w:eastAsiaTheme="majorEastAsia" w:hAnsi="Calibri" w:cs="Calibri"/>
          <w:b/>
          <w:sz w:val="26"/>
          <w:szCs w:val="26"/>
          <w:u w:val="single"/>
        </w:rPr>
      </w:pPr>
    </w:p>
    <w:p w14:paraId="363A6978" w14:textId="77777777" w:rsidR="00A34D8B" w:rsidRPr="00AB1F89" w:rsidRDefault="00A34D8B" w:rsidP="00A34D8B">
      <w:pPr>
        <w:spacing w:after="0" w:line="240" w:lineRule="auto"/>
        <w:rPr>
          <w:rFonts w:ascii="Calibri" w:hAnsi="Calibri" w:cs="Calibri"/>
          <w:b/>
          <w:sz w:val="26"/>
          <w:szCs w:val="26"/>
          <w:u w:val="single"/>
        </w:rPr>
      </w:pPr>
      <w:r w:rsidRPr="00AB1F89">
        <w:rPr>
          <w:rFonts w:ascii="Calibri" w:eastAsiaTheme="majorEastAsia" w:hAnsi="Calibri" w:cs="Calibri"/>
          <w:b/>
          <w:sz w:val="26"/>
          <w:szCs w:val="26"/>
          <w:u w:val="single"/>
        </w:rPr>
        <w:t xml:space="preserve"> Recommendations:</w:t>
      </w:r>
    </w:p>
    <w:p w14:paraId="79ECE1A1" w14:textId="77777777" w:rsidR="00A34D8B" w:rsidRPr="00AB1F89" w:rsidRDefault="00A34D8B">
      <w:pPr>
        <w:pStyle w:val="ListParagraph"/>
        <w:numPr>
          <w:ilvl w:val="0"/>
          <w:numId w:val="7"/>
        </w:numPr>
        <w:spacing w:after="0"/>
        <w:rPr>
          <w:rFonts w:cs="Calibri"/>
          <w:color w:val="000000"/>
        </w:rPr>
      </w:pPr>
      <w:r w:rsidRPr="00AB1F89">
        <w:rPr>
          <w:rFonts w:cs="Calibri"/>
          <w:color w:val="000000"/>
        </w:rPr>
        <w:t xml:space="preserve">In New Zealand, a marriage must be legally registered to be recognized under New Zealand law. However, not all religious marriages have been legally registered. This creates issues when couples are seeking a divorce as both must be granted. Shakti recommends that New Zealand government review the Marriages Act to recognize religious marriages and divorce. By doing so religious and legal divorces are required to adhere to the same standards. All religious leaders, regardless of religion, who have the capacity to grant marriages and divorces, must undergo extensive training to ensure they are aware of New Zealand family law, child abuse, and domestic/family violence. These trainings should be mandatory for religious leaders to practice marriage certification and religious dissolution in New Zealand. In circumstance where women have obtained a legal divorce, that should be sufficient to warrant a religious divorce. A legal divorce should be part of the consideration process when granting religious divorces.  </w:t>
      </w:r>
    </w:p>
    <w:p w14:paraId="35490486" w14:textId="6387E6F6" w:rsidR="00A34D8B" w:rsidRPr="00A34D8B" w:rsidRDefault="00A34D8B">
      <w:pPr>
        <w:numPr>
          <w:ilvl w:val="0"/>
          <w:numId w:val="7"/>
        </w:numPr>
        <w:spacing w:after="0" w:line="240" w:lineRule="auto"/>
        <w:contextualSpacing/>
        <w:rPr>
          <w:rFonts w:ascii="Calibri" w:hAnsi="Calibri" w:cs="Calibri"/>
          <w:color w:val="000000"/>
        </w:rPr>
      </w:pPr>
      <w:r w:rsidRPr="00AB1F89">
        <w:rPr>
          <w:rFonts w:ascii="Calibri" w:hAnsi="Calibri" w:cs="Calibri"/>
          <w:color w:val="000000"/>
        </w:rPr>
        <w:lastRenderedPageBreak/>
        <w:t>Religious, faith and cultural diversity literacy is an area that is lacking across all New Zealand institutional systems, rendering them inequitable for migrant and refugee women to access. While the Human Rights Act protects individuals’ right to associate and practice their faith, legal systems are not equipped to recognise and protect victims of abuse where cultural practices are misused. The judiciary and public service agencies working with victims require extensive training to discern applying statutory measures to protect victims.</w:t>
      </w:r>
    </w:p>
    <w:p w14:paraId="4D3F5F39" w14:textId="77777777" w:rsidR="00A34D8B" w:rsidRPr="00AB1F89" w:rsidRDefault="00A34D8B" w:rsidP="00A34D8B">
      <w:pPr>
        <w:rPr>
          <w:rFonts w:ascii="Calibri" w:hAnsi="Calibri" w:cs="Calibri"/>
          <w:b/>
          <w:bCs/>
          <w:i/>
          <w:sz w:val="20"/>
          <w:szCs w:val="20"/>
          <w:lang w:val="en-AU"/>
        </w:rPr>
      </w:pPr>
    </w:p>
    <w:p w14:paraId="1334DFAF" w14:textId="77777777" w:rsidR="00A34D8B" w:rsidRPr="00AB1F89" w:rsidRDefault="00A34D8B" w:rsidP="00A34D8B">
      <w:pPr>
        <w:rPr>
          <w:rFonts w:ascii="Calibri" w:eastAsiaTheme="minorHAnsi" w:hAnsi="Calibri" w:cs="Calibri"/>
          <w:i/>
          <w:sz w:val="16"/>
          <w:szCs w:val="16"/>
        </w:rPr>
      </w:pPr>
      <w:r w:rsidRPr="00AB1F89">
        <w:rPr>
          <w:rFonts w:ascii="Calibri" w:eastAsiaTheme="majorEastAsia" w:hAnsi="Calibri" w:cs="Calibri"/>
          <w:b/>
          <w:sz w:val="24"/>
          <w:szCs w:val="24"/>
        </w:rPr>
        <w:t>References</w:t>
      </w:r>
    </w:p>
    <w:p w14:paraId="6E75E51C" w14:textId="77777777" w:rsidR="00A34D8B" w:rsidRPr="00AB1F89" w:rsidRDefault="00A34D8B" w:rsidP="00A34D8B">
      <w:pPr>
        <w:spacing w:after="0" w:line="240" w:lineRule="auto"/>
        <w:ind w:hanging="720"/>
        <w:rPr>
          <w:rFonts w:ascii="Calibri" w:hAnsi="Calibri" w:cs="Calibri"/>
          <w:i/>
          <w:sz w:val="20"/>
          <w:szCs w:val="20"/>
          <w:shd w:val="clear" w:color="auto" w:fill="FFFFFF"/>
        </w:rPr>
      </w:pPr>
      <w:r w:rsidRPr="00AB1F89">
        <w:rPr>
          <w:rFonts w:ascii="Calibri" w:hAnsi="Calibri" w:cs="Calibri"/>
          <w:i/>
          <w:sz w:val="20"/>
          <w:szCs w:val="20"/>
        </w:rPr>
        <w:t xml:space="preserve">Balzani, M. (2011) Constructing victims, construing credibility: forced marriage, Pakistani women and the UK asylum process. In Gill, K and Anitha, S. eds. </w:t>
      </w:r>
      <w:r w:rsidRPr="00AB1F89">
        <w:rPr>
          <w:rFonts w:ascii="Calibri" w:hAnsi="Calibri" w:cs="Calibri"/>
          <w:i/>
          <w:iCs/>
          <w:sz w:val="20"/>
          <w:szCs w:val="20"/>
        </w:rPr>
        <w:t>Forced marriage : Introducing a social justice and human rights perspective</w:t>
      </w:r>
      <w:r w:rsidRPr="00AB1F89">
        <w:rPr>
          <w:rFonts w:ascii="Calibri" w:hAnsi="Calibri" w:cs="Calibri"/>
          <w:i/>
          <w:sz w:val="20"/>
          <w:szCs w:val="20"/>
          <w:shd w:val="clear" w:color="auto" w:fill="FFFFFF"/>
        </w:rPr>
        <w:t xml:space="preserve">. Bloomsbury Academic &amp; Professional. </w:t>
      </w:r>
    </w:p>
    <w:p w14:paraId="3BE34747" w14:textId="77777777" w:rsidR="00A34D8B" w:rsidRPr="00AB1F89" w:rsidRDefault="00A34D8B" w:rsidP="00A34D8B">
      <w:pPr>
        <w:spacing w:after="0" w:line="240" w:lineRule="auto"/>
        <w:ind w:hanging="720"/>
        <w:rPr>
          <w:rFonts w:ascii="Calibri" w:hAnsi="Calibri" w:cs="Calibri"/>
        </w:rPr>
      </w:pPr>
      <w:r w:rsidRPr="00AB1F89">
        <w:rPr>
          <w:rFonts w:ascii="Calibri" w:hAnsi="Calibri" w:cs="Calibri"/>
        </w:rPr>
        <w:t xml:space="preserve">FIANZ (2010). The Federation of Islamic Associations of NZ Inc and Television New Zealand Ltd - 2010-065. Broadcasting Standards Authority. </w:t>
      </w:r>
      <w:hyperlink r:id="rId8" w:history="1">
        <w:r w:rsidRPr="00AB1F89">
          <w:rPr>
            <w:rStyle w:val="Hyperlink"/>
            <w:rFonts w:ascii="Calibri" w:hAnsi="Calibri" w:cs="Calibri"/>
          </w:rPr>
          <w:t>https://www.bsa.govt.nz/decisions/all-decisions/the-federation-of-islamic-associations-of-nz-inc-fianz-and-television-new-zealand-ltd-2010-065/</w:t>
        </w:r>
      </w:hyperlink>
    </w:p>
    <w:p w14:paraId="19323C0C" w14:textId="77777777" w:rsidR="00A34D8B" w:rsidRPr="00AB1F89" w:rsidRDefault="00A34D8B" w:rsidP="00A34D8B">
      <w:pPr>
        <w:shd w:val="clear" w:color="auto" w:fill="FFFFFF"/>
        <w:spacing w:after="0" w:line="240" w:lineRule="auto"/>
        <w:ind w:hanging="720"/>
        <w:jc w:val="both"/>
        <w:rPr>
          <w:rFonts w:ascii="Calibri" w:hAnsi="Calibri" w:cs="Calibri"/>
          <w:i/>
          <w:color w:val="000000" w:themeColor="text1"/>
          <w:sz w:val="20"/>
          <w:szCs w:val="20"/>
          <w:lang w:val="en-AU"/>
        </w:rPr>
      </w:pPr>
      <w:r w:rsidRPr="00AB1F89">
        <w:rPr>
          <w:rFonts w:ascii="Calibri" w:hAnsi="Calibri" w:cs="Calibri"/>
          <w:i/>
          <w:color w:val="000000" w:themeColor="text1"/>
          <w:sz w:val="20"/>
          <w:szCs w:val="20"/>
          <w:lang w:val="en-AU"/>
        </w:rPr>
        <w:t>Girls Not Brides (2020). The global partnership to end child marriage (updated version) (July 2020). SDGs and child marriage. https://www.girlsnotbrides.org/documents/893/SDG-and-child-marriage_July-2020-update.pdf.</w:t>
      </w:r>
    </w:p>
    <w:p w14:paraId="37365640" w14:textId="77777777" w:rsidR="00A34D8B" w:rsidRPr="00AB1F89" w:rsidRDefault="00A34D8B" w:rsidP="00A34D8B">
      <w:pPr>
        <w:spacing w:after="0" w:line="240" w:lineRule="auto"/>
        <w:ind w:hanging="720"/>
        <w:rPr>
          <w:rFonts w:ascii="Calibri" w:hAnsi="Calibri" w:cs="Calibri"/>
          <w:i/>
          <w:color w:val="000000" w:themeColor="text1"/>
          <w:sz w:val="20"/>
          <w:szCs w:val="20"/>
        </w:rPr>
      </w:pPr>
      <w:r w:rsidRPr="00AB1F89">
        <w:rPr>
          <w:rFonts w:ascii="Calibri" w:hAnsi="Calibri" w:cs="Calibri"/>
          <w:i/>
          <w:color w:val="000000" w:themeColor="text1"/>
          <w:sz w:val="20"/>
          <w:szCs w:val="20"/>
          <w:lang w:val="en-AU"/>
        </w:rPr>
        <w:t xml:space="preserve">Keogh, B. (2018) </w:t>
      </w:r>
      <w:r w:rsidRPr="00AB1F89">
        <w:rPr>
          <w:rFonts w:ascii="Calibri" w:hAnsi="Calibri" w:cs="Calibri"/>
          <w:i/>
          <w:color w:val="000000" w:themeColor="text1"/>
          <w:sz w:val="20"/>
          <w:szCs w:val="20"/>
        </w:rPr>
        <w:t xml:space="preserve">Only six child marriages approved since law changed to prevent forced marriage. Stuff.co.nz. https://www.stuff.co.nz/national/113861736/only-six-child-marriages-approved-since-law-changed-to-prevent-forced-marriage. </w:t>
      </w:r>
    </w:p>
    <w:p w14:paraId="3A97B070" w14:textId="77777777" w:rsidR="00A34D8B" w:rsidRPr="00AB1F89" w:rsidRDefault="00A34D8B" w:rsidP="00A34D8B">
      <w:pPr>
        <w:spacing w:after="0" w:line="240" w:lineRule="auto"/>
        <w:ind w:hanging="720"/>
        <w:rPr>
          <w:rFonts w:ascii="Calibri" w:hAnsi="Calibri" w:cs="Calibri"/>
          <w:i/>
          <w:color w:val="000000" w:themeColor="text1"/>
          <w:sz w:val="20"/>
          <w:szCs w:val="20"/>
        </w:rPr>
      </w:pPr>
    </w:p>
    <w:p w14:paraId="685894B3" w14:textId="77777777" w:rsidR="00A34D8B" w:rsidRPr="00AB1F89" w:rsidRDefault="00A34D8B" w:rsidP="00A34D8B">
      <w:pPr>
        <w:spacing w:after="0" w:line="240" w:lineRule="auto"/>
        <w:ind w:hanging="720"/>
        <w:rPr>
          <w:rFonts w:ascii="Calibri" w:hAnsi="Calibri" w:cs="Calibri"/>
          <w:i/>
          <w:color w:val="000000" w:themeColor="text1"/>
          <w:sz w:val="20"/>
          <w:szCs w:val="20"/>
        </w:rPr>
      </w:pPr>
      <w:r w:rsidRPr="00AB1F89">
        <w:rPr>
          <w:rFonts w:ascii="Calibri" w:hAnsi="Calibri" w:cs="Calibri"/>
          <w:i/>
          <w:color w:val="000000" w:themeColor="text1"/>
          <w:sz w:val="20"/>
          <w:szCs w:val="20"/>
        </w:rPr>
        <w:t xml:space="preserve">Keogh, B. (2020) Case of 'forced marriage' reported in Wellington hampered by jurisdiction issue | Stuff.co.nz. https://www.stuff.co.nz/national/crime/123486383/case-of-forced-marriage-reported-in-wellington-hampered-by-jurisdiction-issue </w:t>
      </w:r>
    </w:p>
    <w:p w14:paraId="294D72F7" w14:textId="77777777" w:rsidR="00A34D8B" w:rsidRPr="00AB1F89" w:rsidRDefault="00A34D8B" w:rsidP="00A34D8B">
      <w:pPr>
        <w:shd w:val="clear" w:color="auto" w:fill="FFFFFF"/>
        <w:spacing w:after="0" w:line="240" w:lineRule="auto"/>
        <w:ind w:hanging="720"/>
        <w:jc w:val="both"/>
        <w:rPr>
          <w:rFonts w:ascii="Calibri" w:hAnsi="Calibri" w:cs="Calibri"/>
          <w:i/>
          <w:color w:val="000000" w:themeColor="text1"/>
          <w:sz w:val="20"/>
          <w:szCs w:val="20"/>
          <w:shd w:val="clear" w:color="auto" w:fill="FFFFFF"/>
        </w:rPr>
      </w:pPr>
      <w:r w:rsidRPr="00AB1F89">
        <w:rPr>
          <w:rFonts w:ascii="Calibri" w:hAnsi="Calibri" w:cs="Calibri"/>
          <w:i/>
          <w:color w:val="000000" w:themeColor="text1"/>
          <w:sz w:val="20"/>
          <w:szCs w:val="20"/>
          <w:shd w:val="clear" w:color="auto" w:fill="FFFFFF"/>
        </w:rPr>
        <w:t xml:space="preserve">Lyneham, S., &amp; Bricknell, S. (2018). When saying no is not an option: Forced marriage in Australia and New Zealand. Australian Institute of Criminology. </w:t>
      </w:r>
    </w:p>
    <w:p w14:paraId="1B4042B4" w14:textId="77777777" w:rsidR="00A34D8B" w:rsidRPr="00AB1F89" w:rsidRDefault="00A34D8B" w:rsidP="00A34D8B">
      <w:pPr>
        <w:spacing w:after="0" w:line="240" w:lineRule="auto"/>
        <w:ind w:hanging="720"/>
        <w:rPr>
          <w:rFonts w:ascii="Calibri" w:hAnsi="Calibri" w:cs="Calibri"/>
          <w:i/>
          <w:color w:val="000000" w:themeColor="text1"/>
          <w:sz w:val="20"/>
          <w:szCs w:val="20"/>
          <w:lang w:val="en-AU"/>
        </w:rPr>
      </w:pPr>
      <w:r w:rsidRPr="00AB1F89">
        <w:rPr>
          <w:rFonts w:ascii="Calibri" w:hAnsi="Calibri" w:cs="Calibri"/>
          <w:i/>
          <w:color w:val="000000" w:themeColor="text1"/>
          <w:sz w:val="20"/>
          <w:szCs w:val="20"/>
          <w:lang w:val="en-AU"/>
        </w:rPr>
        <w:t>New Zealand Police (20 Dec 2012)</w:t>
      </w:r>
      <w:r w:rsidRPr="00AB1F89">
        <w:rPr>
          <w:rFonts w:ascii="Calibri" w:hAnsi="Calibri" w:cs="Calibri"/>
          <w:i/>
          <w:color w:val="000000" w:themeColor="text1"/>
          <w:sz w:val="20"/>
          <w:szCs w:val="20"/>
        </w:rPr>
        <w:t xml:space="preserve"> Media release: </w:t>
      </w:r>
      <w:r w:rsidRPr="00AB1F89">
        <w:rPr>
          <w:rFonts w:ascii="Calibri" w:hAnsi="Calibri" w:cs="Calibri"/>
          <w:i/>
          <w:color w:val="000000" w:themeColor="text1"/>
          <w:sz w:val="20"/>
          <w:szCs w:val="20"/>
          <w:lang w:val="en-AU"/>
        </w:rPr>
        <w:t xml:space="preserve">Letter of Agreement outlines coordinated response to victims of forced marriage. https://www.police.govt.nz/news/release/33711#:~:text=National%20Manager%20Family%20Violence%20for%20NZ%20Police%20Inspector,that%20victims%20rarely%20come%20forward%20for%20many%20reasons. </w:t>
      </w:r>
    </w:p>
    <w:p w14:paraId="0B4BA61F" w14:textId="77777777" w:rsidR="00A34D8B" w:rsidRPr="00AB1F89" w:rsidRDefault="00A34D8B" w:rsidP="00A34D8B">
      <w:pPr>
        <w:spacing w:after="0" w:line="240" w:lineRule="auto"/>
        <w:ind w:hanging="720"/>
        <w:rPr>
          <w:rFonts w:ascii="Calibri" w:hAnsi="Calibri" w:cs="Calibri"/>
          <w:i/>
          <w:color w:val="000000" w:themeColor="text1"/>
          <w:sz w:val="20"/>
          <w:szCs w:val="20"/>
          <w:lang w:val="en-AU"/>
        </w:rPr>
      </w:pPr>
      <w:r w:rsidRPr="00AB1F89">
        <w:rPr>
          <w:rFonts w:ascii="Calibri" w:hAnsi="Calibri" w:cs="Calibri"/>
          <w:i/>
          <w:color w:val="000000" w:themeColor="text1"/>
          <w:sz w:val="20"/>
          <w:szCs w:val="20"/>
          <w:lang w:val="en-AU"/>
        </w:rPr>
        <w:t>New Zealand Police (2012)</w:t>
      </w:r>
      <w:r w:rsidRPr="00AB1F89">
        <w:rPr>
          <w:rFonts w:ascii="Calibri" w:hAnsi="Calibri" w:cs="Calibri"/>
          <w:i/>
          <w:color w:val="000000" w:themeColor="text1"/>
          <w:sz w:val="20"/>
          <w:szCs w:val="20"/>
        </w:rPr>
        <w:t xml:space="preserve"> MULTI-AGENCY STATEMENT COLLABORATIVE RESPONSE TO POTENTIAL AND ACTUAL FORCED MARRIAGE. </w:t>
      </w:r>
      <w:r w:rsidRPr="00AB1F89">
        <w:rPr>
          <w:rFonts w:ascii="Calibri" w:hAnsi="Calibri" w:cs="Calibri"/>
          <w:i/>
          <w:color w:val="000000" w:themeColor="text1"/>
          <w:sz w:val="20"/>
          <w:szCs w:val="20"/>
          <w:lang w:val="en-AU"/>
        </w:rPr>
        <w:t xml:space="preserve">https://www.police.govt.nz/sites/default/files/resources/multi-agency-response-potential-and-actual-forced-marriage.pdf. </w:t>
      </w:r>
    </w:p>
    <w:p w14:paraId="7030A59C" w14:textId="77777777" w:rsidR="00A34D8B" w:rsidRPr="00AB1F89" w:rsidRDefault="00A34D8B" w:rsidP="00A34D8B">
      <w:pPr>
        <w:spacing w:after="0" w:line="240" w:lineRule="auto"/>
        <w:ind w:hanging="720"/>
        <w:rPr>
          <w:rFonts w:ascii="Calibri" w:hAnsi="Calibri" w:cs="Calibri"/>
          <w:i/>
          <w:color w:val="000000" w:themeColor="text1"/>
          <w:sz w:val="20"/>
          <w:szCs w:val="20"/>
        </w:rPr>
      </w:pPr>
    </w:p>
    <w:p w14:paraId="154E5446" w14:textId="77777777" w:rsidR="00A34D8B" w:rsidRPr="00AB1F89" w:rsidRDefault="00A34D8B" w:rsidP="00A34D8B">
      <w:pPr>
        <w:spacing w:after="0" w:line="240" w:lineRule="auto"/>
        <w:rPr>
          <w:rFonts w:ascii="Calibri" w:hAnsi="Calibri" w:cs="Calibri"/>
          <w:i/>
          <w:color w:val="000000" w:themeColor="text1"/>
          <w:sz w:val="20"/>
          <w:szCs w:val="20"/>
        </w:rPr>
      </w:pPr>
      <w:r w:rsidRPr="00AB1F89">
        <w:rPr>
          <w:rFonts w:ascii="Calibri" w:hAnsi="Calibri" w:cs="Calibri"/>
          <w:i/>
          <w:color w:val="000000" w:themeColor="text1"/>
          <w:sz w:val="20"/>
          <w:szCs w:val="20"/>
        </w:rPr>
        <w:t>*https://www.justice.govt.nz/family/get-consent-to-marry-if-you-are-16-or-17/</w:t>
      </w:r>
    </w:p>
    <w:p w14:paraId="7903CBFB" w14:textId="77777777" w:rsidR="00A34D8B" w:rsidRPr="00AB1F89" w:rsidRDefault="00A34D8B" w:rsidP="00A34D8B">
      <w:pPr>
        <w:spacing w:after="0" w:line="240" w:lineRule="auto"/>
        <w:rPr>
          <w:rFonts w:ascii="Calibri" w:hAnsi="Calibri" w:cs="Calibri"/>
          <w:i/>
          <w:color w:val="000000" w:themeColor="text1"/>
          <w:sz w:val="20"/>
          <w:szCs w:val="20"/>
        </w:rPr>
      </w:pPr>
    </w:p>
    <w:p w14:paraId="21B5521F" w14:textId="77777777" w:rsidR="00A34D8B" w:rsidRPr="00AB1F89" w:rsidRDefault="00A34D8B" w:rsidP="00A34D8B">
      <w:pPr>
        <w:spacing w:after="0" w:line="240" w:lineRule="auto"/>
        <w:rPr>
          <w:rFonts w:ascii="Calibri" w:hAnsi="Calibri" w:cs="Calibri"/>
          <w:i/>
          <w:color w:val="000000" w:themeColor="text1"/>
          <w:sz w:val="20"/>
          <w:szCs w:val="20"/>
        </w:rPr>
      </w:pPr>
      <w:r w:rsidRPr="00AB1F89">
        <w:rPr>
          <w:rFonts w:ascii="Calibri" w:hAnsi="Calibri" w:cs="Calibri"/>
          <w:i/>
          <w:color w:val="000000" w:themeColor="text1"/>
          <w:sz w:val="20"/>
          <w:szCs w:val="20"/>
        </w:rPr>
        <w:t>**Paper on Stalking Law for NZ, Nov 2022, ACSWC, &amp; NCIWR.</w:t>
      </w:r>
    </w:p>
    <w:p w14:paraId="441C4581" w14:textId="77777777" w:rsidR="00A34D8B" w:rsidRPr="00AB1F89" w:rsidRDefault="00A34D8B" w:rsidP="00A34D8B">
      <w:pPr>
        <w:spacing w:after="0" w:line="240" w:lineRule="auto"/>
        <w:rPr>
          <w:rFonts w:ascii="Calibri" w:hAnsi="Calibri" w:cs="Calibri"/>
          <w:i/>
          <w:color w:val="000000" w:themeColor="text1"/>
          <w:sz w:val="20"/>
          <w:szCs w:val="20"/>
        </w:rPr>
      </w:pPr>
    </w:p>
    <w:p w14:paraId="0BA34254" w14:textId="77777777" w:rsidR="00A34D8B" w:rsidRPr="00AB1F89" w:rsidRDefault="00A34D8B" w:rsidP="00A34D8B">
      <w:pPr>
        <w:pStyle w:val="FootnoteText"/>
        <w:rPr>
          <w:rFonts w:ascii="Calibri" w:hAnsi="Calibri" w:cs="Calibri"/>
          <w:i/>
          <w:color w:val="000000" w:themeColor="text1"/>
        </w:rPr>
      </w:pPr>
      <w:r w:rsidRPr="00AB1F89">
        <w:rPr>
          <w:rFonts w:ascii="Calibri" w:hAnsi="Calibri" w:cs="Calibri"/>
          <w:i/>
          <w:color w:val="000000" w:themeColor="text1"/>
        </w:rPr>
        <w:t>*</w:t>
      </w:r>
      <w:r w:rsidRPr="00AB1F89">
        <w:rPr>
          <w:rFonts w:ascii="Calibri" w:hAnsi="Calibri" w:cs="Calibri"/>
          <w:i/>
          <w:color w:val="000000" w:themeColor="text1"/>
        </w:rPr>
        <w:footnoteRef/>
      </w:r>
      <w:r w:rsidRPr="00AB1F89">
        <w:rPr>
          <w:rFonts w:ascii="Calibri" w:hAnsi="Calibri" w:cs="Calibri"/>
          <w:i/>
          <w:color w:val="000000" w:themeColor="text1"/>
        </w:rPr>
        <w:t xml:space="preserve"> Family Proceedings Act 1980, s 39. </w:t>
      </w:r>
    </w:p>
    <w:p w14:paraId="1134498A" w14:textId="77777777" w:rsidR="00A34D8B" w:rsidRPr="00AB1F89" w:rsidRDefault="00A34D8B" w:rsidP="00A34D8B">
      <w:pPr>
        <w:spacing w:after="0" w:line="240" w:lineRule="auto"/>
        <w:rPr>
          <w:rFonts w:ascii="Calibri" w:hAnsi="Calibri" w:cs="Calibri"/>
          <w:i/>
          <w:color w:val="000000" w:themeColor="text1"/>
          <w:sz w:val="20"/>
          <w:szCs w:val="20"/>
        </w:rPr>
      </w:pPr>
      <w:r w:rsidRPr="00AB1F89">
        <w:rPr>
          <w:rFonts w:ascii="Calibri" w:hAnsi="Calibri" w:cs="Calibri"/>
          <w:i/>
          <w:color w:val="000000" w:themeColor="text1"/>
          <w:sz w:val="20"/>
          <w:szCs w:val="20"/>
        </w:rPr>
        <w:t>*2 Gleeson, H. and Baird, J. (2018) Bullied, beaten, trapped: Muslim women denied divorce from abusive men, ABC News. Available at: https://www.abc.net.au/news/2018-04-18/abused-muslim-women-denied-right-to-divorce/9632772.</w:t>
      </w:r>
    </w:p>
    <w:p w14:paraId="1DF5EF61" w14:textId="77777777" w:rsidR="00A34D8B" w:rsidRPr="00AB1F89" w:rsidRDefault="00A34D8B" w:rsidP="00A34D8B">
      <w:pPr>
        <w:pStyle w:val="FootnoteText"/>
        <w:rPr>
          <w:rFonts w:ascii="Calibri" w:hAnsi="Calibri" w:cs="Calibri"/>
          <w:i/>
          <w:color w:val="000000" w:themeColor="text1"/>
        </w:rPr>
      </w:pPr>
      <w:r w:rsidRPr="00AB1F89">
        <w:rPr>
          <w:rFonts w:ascii="Calibri" w:hAnsi="Calibri" w:cs="Calibri"/>
          <w:i/>
          <w:color w:val="000000" w:themeColor="text1"/>
        </w:rPr>
        <w:t>*3 Gleeson, H. and Baird, J. (2018) ‘Now is the time for change’: Calls for an urgent review of the Islamic Divorce Process, ABC News. Available at: https://www.abc.net.au/news/2018-04-19/islamic-divorce-advocates-call-for-urgent-review/9676258.</w:t>
      </w:r>
    </w:p>
    <w:p w14:paraId="7EED1136" w14:textId="77777777" w:rsidR="00A34D8B" w:rsidRPr="00AB1F89" w:rsidRDefault="00A34D8B" w:rsidP="00A34D8B">
      <w:pPr>
        <w:spacing w:after="0" w:line="240" w:lineRule="auto"/>
        <w:contextualSpacing/>
        <w:rPr>
          <w:rFonts w:ascii="Calibri" w:hAnsi="Calibri" w:cs="Calibri"/>
          <w:i/>
          <w:color w:val="000000" w:themeColor="text1"/>
          <w:sz w:val="20"/>
          <w:szCs w:val="20"/>
        </w:rPr>
      </w:pPr>
      <w:r w:rsidRPr="00AB1F89">
        <w:rPr>
          <w:rFonts w:ascii="Calibri" w:hAnsi="Calibri" w:cs="Calibri"/>
          <w:i/>
          <w:color w:val="000000" w:themeColor="text1"/>
          <w:sz w:val="20"/>
          <w:szCs w:val="20"/>
        </w:rPr>
        <w:t>*4New Zealand Ministry of Justice. Protection Orders, Protection Orders | New Zealand Ministry of Justice. Available at: https://www.justice.govt.nz/family/family-violence/court-orders-for-family-violence/protection-orders/.</w:t>
      </w:r>
    </w:p>
    <w:p w14:paraId="67BA2E90" w14:textId="77777777" w:rsidR="00A34D8B" w:rsidRPr="00AB1F89" w:rsidRDefault="00A34D8B" w:rsidP="00A34D8B">
      <w:pPr>
        <w:pStyle w:val="Default"/>
        <w:rPr>
          <w:rFonts w:ascii="Calibri" w:hAnsi="Calibri" w:cs="Calibri"/>
          <w:color w:val="000000" w:themeColor="text1"/>
          <w:sz w:val="16"/>
          <w:szCs w:val="16"/>
        </w:rPr>
      </w:pPr>
    </w:p>
    <w:p w14:paraId="6C994485" w14:textId="77777777" w:rsidR="00A34D8B" w:rsidRPr="00AB1F89" w:rsidRDefault="00A34D8B" w:rsidP="00A34D8B">
      <w:pPr>
        <w:spacing w:before="220" w:after="0" w:line="259" w:lineRule="auto"/>
        <w:jc w:val="both"/>
        <w:rPr>
          <w:rFonts w:ascii="Calibri" w:hAnsi="Calibri" w:cs="Calibri"/>
        </w:rPr>
      </w:pPr>
    </w:p>
    <w:p w14:paraId="333EC6E0" w14:textId="6460DCC9" w:rsidR="00A34D8B" w:rsidRPr="00AB1F89" w:rsidRDefault="00A34D8B" w:rsidP="00A34D8B">
      <w:pPr>
        <w:spacing w:line="259" w:lineRule="auto"/>
        <w:rPr>
          <w:rFonts w:ascii="Calibri" w:hAnsi="Calibri" w:cs="Calibri"/>
        </w:rPr>
      </w:pPr>
    </w:p>
    <w:p w14:paraId="0390DE8C" w14:textId="77777777" w:rsidR="00811124" w:rsidRDefault="00811124" w:rsidP="00A34D8B">
      <w:pPr>
        <w:spacing w:before="220" w:after="0" w:line="259" w:lineRule="auto"/>
        <w:jc w:val="both"/>
        <w:rPr>
          <w:rFonts w:ascii="Calibri" w:hAnsi="Calibri" w:cs="Calibri"/>
          <w:b/>
          <w:bCs/>
          <w:sz w:val="28"/>
          <w:szCs w:val="28"/>
        </w:rPr>
      </w:pPr>
    </w:p>
    <w:p w14:paraId="0A6058D8" w14:textId="5783BC05" w:rsidR="00A34D8B" w:rsidRPr="00AB1F89" w:rsidRDefault="00A34D8B" w:rsidP="00A34D8B">
      <w:pPr>
        <w:spacing w:before="220" w:after="0" w:line="259" w:lineRule="auto"/>
        <w:jc w:val="both"/>
        <w:rPr>
          <w:rFonts w:ascii="Calibri" w:hAnsi="Calibri" w:cs="Calibri"/>
          <w:b/>
          <w:bCs/>
          <w:sz w:val="28"/>
          <w:szCs w:val="28"/>
        </w:rPr>
      </w:pPr>
      <w:r w:rsidRPr="00AB1F89">
        <w:rPr>
          <w:rFonts w:ascii="Calibri" w:hAnsi="Calibri" w:cs="Calibri"/>
          <w:b/>
          <w:bCs/>
          <w:sz w:val="28"/>
          <w:szCs w:val="28"/>
        </w:rPr>
        <w:lastRenderedPageBreak/>
        <w:t xml:space="preserve">Migrant Action Trust </w:t>
      </w:r>
      <w:r w:rsidR="00811124">
        <w:rPr>
          <w:rFonts w:ascii="Calibri" w:hAnsi="Calibri" w:cs="Calibri"/>
          <w:b/>
          <w:bCs/>
          <w:sz w:val="28"/>
          <w:szCs w:val="28"/>
        </w:rPr>
        <w:t>Issues</w:t>
      </w:r>
    </w:p>
    <w:p w14:paraId="2D3D054D" w14:textId="77777777" w:rsidR="00A34D8B" w:rsidRPr="00AB1F89" w:rsidRDefault="00A34D8B" w:rsidP="00A34D8B">
      <w:pPr>
        <w:spacing w:before="220" w:after="0" w:line="259" w:lineRule="auto"/>
        <w:jc w:val="both"/>
        <w:rPr>
          <w:rFonts w:ascii="Calibri" w:hAnsi="Calibri" w:cs="Calibri"/>
        </w:rPr>
      </w:pPr>
      <w:r w:rsidRPr="00AB1F89">
        <w:rPr>
          <w:rFonts w:ascii="Calibri" w:hAnsi="Calibri" w:cs="Calibri"/>
        </w:rPr>
        <w:t>Experiences and Challenges Faced by Migrant and Refugee Women in Aotearoa.</w:t>
      </w:r>
    </w:p>
    <w:p w14:paraId="1901229B" w14:textId="77777777" w:rsidR="00A34D8B" w:rsidRPr="00AB1F89" w:rsidRDefault="00A34D8B" w:rsidP="00A34D8B">
      <w:pPr>
        <w:spacing w:before="220" w:after="0" w:line="259" w:lineRule="auto"/>
        <w:jc w:val="both"/>
        <w:rPr>
          <w:rFonts w:ascii="Calibri" w:hAnsi="Calibri" w:cs="Calibri"/>
        </w:rPr>
      </w:pPr>
      <w:r w:rsidRPr="00AB1F89">
        <w:rPr>
          <w:rFonts w:ascii="Calibri" w:hAnsi="Calibri" w:cs="Calibri"/>
        </w:rPr>
        <w:t>Several events facilitated by Migrant Action Trust were an opportunity for migrant women to share their experiences and challenges as they established a new life in Aotearoa. Participants included new and long-standing migrants and refugees.</w:t>
      </w:r>
    </w:p>
    <w:p w14:paraId="5B9960A9" w14:textId="77777777" w:rsidR="00A34D8B" w:rsidRPr="00AB1F89" w:rsidRDefault="00A34D8B" w:rsidP="00A34D8B">
      <w:pPr>
        <w:spacing w:before="220" w:after="0" w:line="259" w:lineRule="auto"/>
        <w:jc w:val="both"/>
        <w:rPr>
          <w:rFonts w:ascii="Calibri" w:hAnsi="Calibri" w:cs="Calibri"/>
        </w:rPr>
      </w:pPr>
      <w:r w:rsidRPr="00AB1F89">
        <w:rPr>
          <w:rFonts w:ascii="Calibri" w:hAnsi="Calibri" w:cs="Calibri"/>
        </w:rPr>
        <w:t xml:space="preserve">The women told stories of their lives in Aotearoa and difficulties they faced. Below is a summary of the issues raised by the women at these meetings. </w:t>
      </w:r>
    </w:p>
    <w:p w14:paraId="261E10C2" w14:textId="77777777" w:rsidR="00A34D8B" w:rsidRPr="00AB1F89" w:rsidRDefault="00A34D8B" w:rsidP="00A34D8B">
      <w:pPr>
        <w:spacing w:before="220" w:after="0" w:line="259" w:lineRule="auto"/>
        <w:jc w:val="both"/>
        <w:rPr>
          <w:rFonts w:ascii="Calibri" w:hAnsi="Calibri" w:cs="Calibri"/>
        </w:rPr>
      </w:pPr>
      <w:r w:rsidRPr="00AB1F89">
        <w:rPr>
          <w:rFonts w:ascii="Calibri" w:hAnsi="Calibri" w:cs="Calibri"/>
        </w:rPr>
        <w:t>1.</w:t>
      </w:r>
      <w:r w:rsidRPr="00AB1F89">
        <w:rPr>
          <w:rFonts w:ascii="Calibri" w:hAnsi="Calibri" w:cs="Calibri"/>
        </w:rPr>
        <w:tab/>
        <w:t>Domestic Violence often associated with the increased stress and pressure from adapting to the new environment. Partners may use visa requirements to control and prevent women establishing themselves in the new community.</w:t>
      </w:r>
    </w:p>
    <w:p w14:paraId="6A75A263" w14:textId="77777777" w:rsidR="00A34D8B" w:rsidRPr="00AB1F89" w:rsidRDefault="00A34D8B" w:rsidP="00A34D8B">
      <w:pPr>
        <w:spacing w:before="220" w:after="0" w:line="259" w:lineRule="auto"/>
        <w:jc w:val="both"/>
        <w:rPr>
          <w:rFonts w:ascii="Calibri" w:hAnsi="Calibri" w:cs="Calibri"/>
        </w:rPr>
      </w:pPr>
      <w:r w:rsidRPr="00AB1F89">
        <w:rPr>
          <w:rFonts w:ascii="Calibri" w:hAnsi="Calibri" w:cs="Calibri"/>
        </w:rPr>
        <w:t>2.</w:t>
      </w:r>
      <w:r w:rsidRPr="00AB1F89">
        <w:rPr>
          <w:rFonts w:ascii="Calibri" w:hAnsi="Calibri" w:cs="Calibri"/>
        </w:rPr>
        <w:tab/>
        <w:t>Work place discrimination is faced by the women and by their partners adding to family stress. A lack of cultural awareness in the wider community adds to stress. Women reported some companies do not allow the wearing of hijab at work or provide suitable space or time for religious practices.</w:t>
      </w:r>
    </w:p>
    <w:p w14:paraId="3DE3ADD8" w14:textId="77777777" w:rsidR="00A34D8B" w:rsidRPr="00AB1F89" w:rsidRDefault="00A34D8B" w:rsidP="00A34D8B">
      <w:pPr>
        <w:spacing w:before="220" w:after="0" w:line="259" w:lineRule="auto"/>
        <w:jc w:val="both"/>
        <w:rPr>
          <w:rFonts w:ascii="Calibri" w:hAnsi="Calibri" w:cs="Calibri"/>
        </w:rPr>
      </w:pPr>
      <w:r w:rsidRPr="00AB1F89">
        <w:rPr>
          <w:rFonts w:ascii="Calibri" w:hAnsi="Calibri" w:cs="Calibri"/>
        </w:rPr>
        <w:t>3.</w:t>
      </w:r>
      <w:r w:rsidRPr="00AB1F89">
        <w:rPr>
          <w:rFonts w:ascii="Calibri" w:hAnsi="Calibri" w:cs="Calibri"/>
        </w:rPr>
        <w:tab/>
        <w:t xml:space="preserve">Cultural limitations from families may limit women’s ability to gain employment. For example, some families do not approve of the women working night shifts. Not only does this limit employment opportunities but may also lead to discrimination at work. </w:t>
      </w:r>
    </w:p>
    <w:p w14:paraId="6291174D" w14:textId="77777777" w:rsidR="00A34D8B" w:rsidRPr="00AB1F89" w:rsidRDefault="00A34D8B" w:rsidP="00A34D8B">
      <w:pPr>
        <w:spacing w:before="220" w:after="0" w:line="259" w:lineRule="auto"/>
        <w:jc w:val="both"/>
        <w:rPr>
          <w:rFonts w:ascii="Calibri" w:hAnsi="Calibri" w:cs="Calibri"/>
        </w:rPr>
      </w:pPr>
      <w:r w:rsidRPr="00AB1F89">
        <w:rPr>
          <w:rFonts w:ascii="Calibri" w:hAnsi="Calibri" w:cs="Calibri"/>
        </w:rPr>
        <w:t>4.</w:t>
      </w:r>
      <w:r w:rsidRPr="00AB1F89">
        <w:rPr>
          <w:rFonts w:ascii="Calibri" w:hAnsi="Calibri" w:cs="Calibri"/>
        </w:rPr>
        <w:tab/>
        <w:t xml:space="preserve">Cost of living is an issue for all in Aotearoa but an added stress for new migrants. Rising cost of rents see some of the women living in substandard accommodation such as a shed with limited or no heating. Many face considerable housing instability often compounded by language difficulties with officials, resulting in incorrect information recorded and poor decisions made adding to further family stress. </w:t>
      </w:r>
    </w:p>
    <w:p w14:paraId="7337CB06" w14:textId="77777777" w:rsidR="00A34D8B" w:rsidRPr="00AB1F89" w:rsidRDefault="00A34D8B" w:rsidP="00A34D8B">
      <w:pPr>
        <w:spacing w:before="220" w:after="0" w:line="259" w:lineRule="auto"/>
        <w:jc w:val="both"/>
        <w:rPr>
          <w:rFonts w:ascii="Calibri" w:hAnsi="Calibri" w:cs="Calibri"/>
        </w:rPr>
      </w:pPr>
      <w:r w:rsidRPr="00AB1F89">
        <w:rPr>
          <w:rFonts w:ascii="Calibri" w:hAnsi="Calibri" w:cs="Calibri"/>
        </w:rPr>
        <w:t>5.</w:t>
      </w:r>
      <w:r w:rsidRPr="00AB1F89">
        <w:rPr>
          <w:rFonts w:ascii="Calibri" w:hAnsi="Calibri" w:cs="Calibri"/>
        </w:rPr>
        <w:tab/>
        <w:t xml:space="preserve">Cost of transport or lack of a drivers licence limits employment opportunities. Many women find learning to drive a considerable challenge. Migrant Action Trust assists by providing driving lessons but costs of vehicles and fuel are limiting factors for many. Even pubic transport is costly. </w:t>
      </w:r>
    </w:p>
    <w:p w14:paraId="3E748E28" w14:textId="77777777" w:rsidR="00A34D8B" w:rsidRPr="00AB1F89" w:rsidRDefault="00A34D8B" w:rsidP="00A34D8B">
      <w:pPr>
        <w:spacing w:before="220" w:after="0" w:line="259" w:lineRule="auto"/>
        <w:jc w:val="both"/>
        <w:rPr>
          <w:rFonts w:ascii="Calibri" w:hAnsi="Calibri" w:cs="Calibri"/>
        </w:rPr>
      </w:pPr>
      <w:r w:rsidRPr="00AB1F89">
        <w:rPr>
          <w:rFonts w:ascii="Calibri" w:hAnsi="Calibri" w:cs="Calibri"/>
        </w:rPr>
        <w:t>6.</w:t>
      </w:r>
      <w:r w:rsidRPr="00AB1F89">
        <w:rPr>
          <w:rFonts w:ascii="Calibri" w:hAnsi="Calibri" w:cs="Calibri"/>
        </w:rPr>
        <w:tab/>
        <w:t xml:space="preserve">Food costs have increased significantly in recent times adding extra strain for many families and especially for those on lower wages which is the case for many migrants. </w:t>
      </w:r>
    </w:p>
    <w:p w14:paraId="187E5A71" w14:textId="77777777" w:rsidR="00A34D8B" w:rsidRPr="00AB1F89" w:rsidRDefault="00A34D8B" w:rsidP="00A34D8B">
      <w:pPr>
        <w:spacing w:before="220" w:after="0" w:line="259" w:lineRule="auto"/>
        <w:jc w:val="both"/>
        <w:rPr>
          <w:rFonts w:ascii="Calibri" w:hAnsi="Calibri" w:cs="Calibri"/>
        </w:rPr>
      </w:pPr>
      <w:r w:rsidRPr="00AB1F89">
        <w:rPr>
          <w:rFonts w:ascii="Calibri" w:hAnsi="Calibri" w:cs="Calibri"/>
        </w:rPr>
        <w:t>7.</w:t>
      </w:r>
      <w:r w:rsidRPr="00AB1F89">
        <w:rPr>
          <w:rFonts w:ascii="Calibri" w:hAnsi="Calibri" w:cs="Calibri"/>
        </w:rPr>
        <w:tab/>
        <w:t xml:space="preserve">Isolation and lack of friendship and balancing traditional cultural mores with Kiwi culture. This remains a difficulty even after considerable time in Aotearoa and is compounded by difficulties finding regular employment. </w:t>
      </w:r>
    </w:p>
    <w:p w14:paraId="42606696" w14:textId="77777777" w:rsidR="00A34D8B" w:rsidRPr="00AB1F89" w:rsidRDefault="00A34D8B" w:rsidP="00A34D8B">
      <w:pPr>
        <w:spacing w:before="220" w:after="0" w:line="259" w:lineRule="auto"/>
        <w:jc w:val="both"/>
        <w:rPr>
          <w:rFonts w:ascii="Calibri" w:hAnsi="Calibri" w:cs="Calibri"/>
        </w:rPr>
      </w:pPr>
      <w:r w:rsidRPr="00AB1F89">
        <w:rPr>
          <w:rFonts w:ascii="Calibri" w:hAnsi="Calibri" w:cs="Calibri"/>
        </w:rPr>
        <w:t>8.</w:t>
      </w:r>
      <w:r w:rsidRPr="00AB1F89">
        <w:rPr>
          <w:rFonts w:ascii="Calibri" w:hAnsi="Calibri" w:cs="Calibri"/>
        </w:rPr>
        <w:tab/>
        <w:t>Employment opportunities are limited by a demand by employers for “New Zealand Experience”. This hurdle is difficult to overcome even with up to 20years experience in the home country. Many resort to volunteer work to gain the “kiwi experience” forgoing much needed income adding to an already stressful situation.</w:t>
      </w:r>
    </w:p>
    <w:p w14:paraId="074C518D" w14:textId="77777777" w:rsidR="00A34D8B" w:rsidRPr="00AB1F89" w:rsidRDefault="00A34D8B" w:rsidP="00A34D8B">
      <w:pPr>
        <w:spacing w:before="220" w:after="0" w:line="259" w:lineRule="auto"/>
        <w:jc w:val="both"/>
        <w:rPr>
          <w:rFonts w:ascii="Calibri" w:hAnsi="Calibri" w:cs="Calibri"/>
        </w:rPr>
      </w:pPr>
      <w:r w:rsidRPr="00AB1F89">
        <w:rPr>
          <w:rFonts w:ascii="Calibri" w:hAnsi="Calibri" w:cs="Calibri"/>
        </w:rPr>
        <w:t>9.</w:t>
      </w:r>
      <w:r w:rsidRPr="00AB1F89">
        <w:rPr>
          <w:rFonts w:ascii="Calibri" w:hAnsi="Calibri" w:cs="Calibri"/>
        </w:rPr>
        <w:tab/>
        <w:t xml:space="preserve">Housing is a major issue in Aotearoa and especially so for migrants who face significant housing instability. Language barriers make communication with authorities very difficult resulting in incorrect documentation and needs not being addressed. As a result, families may be housed in very poor accommodation. We know of families living in sheds.  </w:t>
      </w:r>
    </w:p>
    <w:p w14:paraId="15E14586" w14:textId="77777777" w:rsidR="00A34D8B" w:rsidRPr="00AB1F89" w:rsidRDefault="00A34D8B" w:rsidP="00A34D8B">
      <w:pPr>
        <w:spacing w:before="220" w:after="0" w:line="259" w:lineRule="auto"/>
        <w:jc w:val="both"/>
        <w:rPr>
          <w:rFonts w:ascii="Calibri" w:hAnsi="Calibri" w:cs="Calibri"/>
        </w:rPr>
      </w:pPr>
      <w:r w:rsidRPr="00AB1F89">
        <w:rPr>
          <w:rFonts w:ascii="Calibri" w:hAnsi="Calibri" w:cs="Calibri"/>
        </w:rPr>
        <w:lastRenderedPageBreak/>
        <w:t>10.</w:t>
      </w:r>
      <w:r w:rsidRPr="00AB1F89">
        <w:rPr>
          <w:rFonts w:ascii="Calibri" w:hAnsi="Calibri" w:cs="Calibri"/>
        </w:rPr>
        <w:tab/>
        <w:t xml:space="preserve">Communication with government agencies is of paramount importance for migrant women. Assistance is sort to access housing, health services, education, family support and other social services. However, there is often a lack of culturally sensitivity or appropriate staff in the government agency resulting in feelings of being disrespected, unworthiness and unsafe. These all add to the stresses experienced when getting established in a new and very different environment.  </w:t>
      </w:r>
    </w:p>
    <w:p w14:paraId="7E34DB1A" w14:textId="77777777" w:rsidR="00A34D8B" w:rsidRPr="00AB1F89" w:rsidRDefault="00A34D8B" w:rsidP="00A34D8B">
      <w:pPr>
        <w:spacing w:before="220" w:after="0" w:line="259" w:lineRule="auto"/>
        <w:jc w:val="both"/>
        <w:rPr>
          <w:rFonts w:ascii="Calibri" w:hAnsi="Calibri" w:cs="Calibri"/>
        </w:rPr>
      </w:pPr>
      <w:r w:rsidRPr="00AB1F89">
        <w:rPr>
          <w:rFonts w:ascii="Calibri" w:hAnsi="Calibri" w:cs="Calibri"/>
        </w:rPr>
        <w:t>11.</w:t>
      </w:r>
      <w:r w:rsidRPr="00AB1F89">
        <w:rPr>
          <w:rFonts w:ascii="Calibri" w:hAnsi="Calibri" w:cs="Calibri"/>
        </w:rPr>
        <w:tab/>
        <w:t xml:space="preserve">Marriage for young women paramount importance for families and this will take priority over education. For many young migrant women educational opportunities are important and most do exceptionally well in their studies. However, family pressures for them to marry and be at home are great. If they do have paid employment cultural requirements may limit their opportunities.    </w:t>
      </w:r>
    </w:p>
    <w:p w14:paraId="4CC661D7" w14:textId="77777777" w:rsidR="00A34D8B" w:rsidRPr="00AB1F89" w:rsidRDefault="00A34D8B" w:rsidP="00A34D8B">
      <w:pPr>
        <w:spacing w:before="220" w:after="0" w:line="259" w:lineRule="auto"/>
        <w:jc w:val="both"/>
        <w:rPr>
          <w:rFonts w:ascii="Calibri" w:hAnsi="Calibri" w:cs="Calibri"/>
        </w:rPr>
      </w:pPr>
      <w:r w:rsidRPr="00AB1F89">
        <w:rPr>
          <w:rFonts w:ascii="Calibri" w:hAnsi="Calibri" w:cs="Calibri"/>
        </w:rPr>
        <w:t>12.</w:t>
      </w:r>
      <w:r w:rsidRPr="00AB1F89">
        <w:rPr>
          <w:rFonts w:ascii="Calibri" w:hAnsi="Calibri" w:cs="Calibri"/>
        </w:rPr>
        <w:tab/>
        <w:t>In the wider community Migrant women face ongoing racism as well as sexism and for older migrant women there are issues of ageism to be faced as well. While there are many community groups working to assist migrant women there is an overall fragmentation and lack of coordination results in limited community capacity to support migrant women in Aotearoa.</w:t>
      </w:r>
    </w:p>
    <w:p w14:paraId="71A4566F" w14:textId="77777777" w:rsidR="00A34D8B" w:rsidRPr="00AB1F89" w:rsidRDefault="00A34D8B" w:rsidP="00A34D8B">
      <w:pPr>
        <w:spacing w:before="220" w:after="0" w:line="259" w:lineRule="auto"/>
        <w:jc w:val="both"/>
        <w:rPr>
          <w:rFonts w:ascii="Calibri" w:hAnsi="Calibri" w:cs="Calibri"/>
        </w:rPr>
      </w:pPr>
      <w:r w:rsidRPr="00AB1F89">
        <w:rPr>
          <w:rFonts w:ascii="Calibri" w:hAnsi="Calibri" w:cs="Calibri"/>
        </w:rPr>
        <w:t xml:space="preserve">Overwhelmingly Domestic violence, Cost of Living and Work place discrimination are the common issues faced by migrant women in Aotearoa. There is an urgent need for robust support systems to address language barriers, provide cultural sensitivity training for service providers, strengthen and ensure fair employment practices and also dedicated trauma counselling to support and improve the lives of migrant and refugee women and their families in Aotearoa. </w:t>
      </w:r>
    </w:p>
    <w:p w14:paraId="4894DEA7" w14:textId="77777777" w:rsidR="00A34D8B" w:rsidRPr="00AB1F89" w:rsidRDefault="00A34D8B" w:rsidP="00A34D8B">
      <w:pPr>
        <w:spacing w:before="220" w:after="0" w:line="259" w:lineRule="auto"/>
        <w:jc w:val="both"/>
        <w:rPr>
          <w:rFonts w:ascii="Calibri" w:hAnsi="Calibri" w:cs="Calibri"/>
        </w:rPr>
      </w:pPr>
    </w:p>
    <w:p w14:paraId="0E5F7127" w14:textId="7BDA41EB" w:rsidR="00A34D8B" w:rsidRPr="00A34D8B" w:rsidRDefault="00A34D8B" w:rsidP="00A34D8B">
      <w:pPr>
        <w:spacing w:line="259" w:lineRule="auto"/>
        <w:rPr>
          <w:rFonts w:ascii="Calibri" w:hAnsi="Calibri" w:cs="Calibri"/>
        </w:rPr>
      </w:pPr>
    </w:p>
    <w:sectPr w:rsidR="00A34D8B" w:rsidRPr="00A34D8B" w:rsidSect="00AC3FAE">
      <w:headerReference w:type="default" r:id="rId9"/>
      <w:footerReference w:type="default" r:id="rId10"/>
      <w:pgSz w:w="11906" w:h="16838"/>
      <w:pgMar w:top="1135" w:right="1440" w:bottom="1440" w:left="1440" w:header="680" w:footer="39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2E1119" w14:textId="77777777" w:rsidR="00260925" w:rsidRDefault="00260925" w:rsidP="00A34D8B">
      <w:pPr>
        <w:spacing w:after="0" w:line="240" w:lineRule="auto"/>
      </w:pPr>
      <w:r>
        <w:separator/>
      </w:r>
    </w:p>
  </w:endnote>
  <w:endnote w:type="continuationSeparator" w:id="0">
    <w:p w14:paraId="115E1B83" w14:textId="77777777" w:rsidR="00260925" w:rsidRDefault="00260925" w:rsidP="00A34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26041871"/>
      <w:docPartObj>
        <w:docPartGallery w:val="Page Numbers (Bottom of Page)"/>
        <w:docPartUnique/>
      </w:docPartObj>
    </w:sdtPr>
    <w:sdtEndPr>
      <w:rPr>
        <w:noProof/>
      </w:rPr>
    </w:sdtEndPr>
    <w:sdtContent>
      <w:p w14:paraId="0FD5A90C" w14:textId="77777777" w:rsidR="00245148"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C2F207" w14:textId="77777777" w:rsidR="00245148" w:rsidRDefault="002451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D285AF" w14:textId="77777777" w:rsidR="00260925" w:rsidRDefault="00260925" w:rsidP="00A34D8B">
      <w:pPr>
        <w:spacing w:after="0" w:line="240" w:lineRule="auto"/>
      </w:pPr>
      <w:r>
        <w:separator/>
      </w:r>
    </w:p>
  </w:footnote>
  <w:footnote w:type="continuationSeparator" w:id="0">
    <w:p w14:paraId="75394797" w14:textId="77777777" w:rsidR="00260925" w:rsidRDefault="00260925" w:rsidP="00A34D8B">
      <w:pPr>
        <w:spacing w:after="0" w:line="240" w:lineRule="auto"/>
      </w:pPr>
      <w:r>
        <w:continuationSeparator/>
      </w:r>
    </w:p>
  </w:footnote>
  <w:footnote w:id="1">
    <w:p w14:paraId="73167D38" w14:textId="77777777" w:rsidR="00A34D8B" w:rsidRPr="003A5FD3" w:rsidRDefault="00A34D8B" w:rsidP="00A34D8B">
      <w:pPr>
        <w:pStyle w:val="FootnoteText"/>
        <w:rPr>
          <w:rFonts w:ascii="Times New Roman" w:hAnsi="Times New Roman"/>
          <w:sz w:val="18"/>
          <w:szCs w:val="18"/>
          <w:lang w:val="en-US"/>
        </w:rPr>
      </w:pPr>
    </w:p>
  </w:footnote>
  <w:footnote w:id="2">
    <w:p w14:paraId="40CEBE56" w14:textId="77777777" w:rsidR="00A34D8B" w:rsidRDefault="00A34D8B" w:rsidP="00A34D8B">
      <w:pPr>
        <w:pStyle w:val="FootnoteText"/>
      </w:pPr>
    </w:p>
  </w:footnote>
  <w:footnote w:id="3">
    <w:p w14:paraId="5668BFC9" w14:textId="77777777" w:rsidR="00A34D8B" w:rsidRPr="005439EC" w:rsidRDefault="00A34D8B" w:rsidP="00A34D8B">
      <w:pPr>
        <w:rPr>
          <w:sz w:val="20"/>
          <w:szCs w:val="20"/>
          <w:lang w:val="en-US"/>
        </w:rPr>
      </w:pPr>
    </w:p>
  </w:footnote>
  <w:footnote w:id="4">
    <w:p w14:paraId="0B9253FF" w14:textId="77777777" w:rsidR="00A34D8B" w:rsidRPr="005A747C" w:rsidRDefault="00A34D8B" w:rsidP="00A34D8B">
      <w:pPr>
        <w:pStyle w:val="FootnoteText"/>
        <w:rPr>
          <w:lang w:val="en-US"/>
        </w:rPr>
      </w:pPr>
    </w:p>
  </w:footnote>
  <w:footnote w:id="5">
    <w:p w14:paraId="07AD062D" w14:textId="77777777" w:rsidR="00A34D8B" w:rsidRPr="002147B8" w:rsidRDefault="00A34D8B" w:rsidP="00A34D8B">
      <w:pPr>
        <w:pStyle w:val="Footnote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A81947" w14:textId="7372FD55" w:rsidR="00245148" w:rsidRDefault="00245148" w:rsidP="00DA74CE">
    <w:pPr>
      <w:spacing w:after="0"/>
      <w:ind w:firstLine="7513"/>
      <w:rPr>
        <w:b/>
        <w:bCs/>
        <w:i/>
        <w:iCs/>
        <w:color w:val="009999"/>
        <w:spacing w:val="10"/>
        <w14:shadow w14:blurRad="63500" w14:dist="50800" w14:dir="13500000" w14:sx="0" w14:sy="0" w14:kx="0" w14:ky="0" w14:algn="none">
          <w14:srgbClr w14:val="000000">
            <w14:alpha w14:val="50000"/>
          </w14:srgbClr>
        </w14:shadow>
        <w14:textOutline w14:w="9525" w14:cap="flat" w14:cmpd="sng" w14:algn="ctr">
          <w14:solidFill>
            <w14:srgbClr w14:val="009999"/>
          </w14:solidFill>
          <w14:prstDash w14:val="solid"/>
          <w14:round/>
        </w14:textOutline>
      </w:rPr>
    </w:pPr>
  </w:p>
  <w:p w14:paraId="74EBB6B2" w14:textId="77777777" w:rsidR="00245148" w:rsidRDefault="00245148">
    <w:pPr>
      <w:pStyle w:val="Header"/>
    </w:pPr>
  </w:p>
  <w:p w14:paraId="11CCC147" w14:textId="77777777" w:rsidR="00245148" w:rsidRDefault="002451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1D5CE1"/>
    <w:multiLevelType w:val="hybridMultilevel"/>
    <w:tmpl w:val="CBA62C68"/>
    <w:lvl w:ilvl="0" w:tplc="42227A82">
      <w:start w:val="1"/>
      <w:numFmt w:val="bullet"/>
      <w:lvlText w:val=""/>
      <w:lvlJc w:val="left"/>
      <w:pPr>
        <w:ind w:left="720" w:hanging="360"/>
      </w:pPr>
      <w:rPr>
        <w:rFonts w:ascii="Symbol" w:hAnsi="Symbol" w:hint="default"/>
        <w:color w:val="auto"/>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15:restartNumberingAfterBreak="0">
    <w:nsid w:val="3CF77D9F"/>
    <w:multiLevelType w:val="hybridMultilevel"/>
    <w:tmpl w:val="07FA606A"/>
    <w:lvl w:ilvl="0" w:tplc="1409000F">
      <w:start w:val="3"/>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 w15:restartNumberingAfterBreak="0">
    <w:nsid w:val="495878A6"/>
    <w:multiLevelType w:val="multilevel"/>
    <w:tmpl w:val="4BBA8C96"/>
    <w:lvl w:ilvl="0">
      <w:start w:val="1"/>
      <w:numFmt w:val="decimal"/>
      <w:pStyle w:val="Paragraph"/>
      <w:lvlText w:val="%1"/>
      <w:lvlJc w:val="left"/>
      <w:pPr>
        <w:tabs>
          <w:tab w:val="num" w:pos="567"/>
        </w:tabs>
        <w:ind w:left="1134" w:hanging="1134"/>
      </w:pPr>
    </w:lvl>
    <w:lvl w:ilvl="1">
      <w:start w:val="1"/>
      <w:numFmt w:val="decimal"/>
      <w:lvlText w:val="%1%2."/>
      <w:lvlJc w:val="left"/>
      <w:pPr>
        <w:tabs>
          <w:tab w:val="num" w:pos="567"/>
        </w:tabs>
        <w:ind w:left="1134" w:hanging="1134"/>
      </w:pPr>
    </w:lvl>
    <w:lvl w:ilvl="2">
      <w:start w:val="1"/>
      <w:numFmt w:val="bullet"/>
      <w:lvlText w:val=""/>
      <w:lvlJc w:val="left"/>
      <w:pPr>
        <w:tabs>
          <w:tab w:val="num" w:pos="624"/>
        </w:tabs>
        <w:ind w:left="1701" w:hanging="1134"/>
      </w:pPr>
      <w:rPr>
        <w:rFonts w:ascii="Symbol" w:hAnsi="Symbol" w:hint="default"/>
      </w:rPr>
    </w:lvl>
    <w:lvl w:ilvl="3">
      <w:start w:val="1"/>
      <w:numFmt w:val="decimal"/>
      <w:lvlText w:val="%1%2.%3.%4."/>
      <w:lvlJc w:val="left"/>
      <w:pPr>
        <w:tabs>
          <w:tab w:val="num" w:pos="567"/>
        </w:tabs>
        <w:ind w:left="1134" w:hanging="1134"/>
      </w:pPr>
    </w:lvl>
    <w:lvl w:ilvl="4">
      <w:start w:val="1"/>
      <w:numFmt w:val="decimal"/>
      <w:lvlText w:val="%1%2.%3.%4.%5."/>
      <w:lvlJc w:val="left"/>
      <w:pPr>
        <w:tabs>
          <w:tab w:val="num" w:pos="567"/>
        </w:tabs>
        <w:ind w:left="1134" w:hanging="1134"/>
      </w:pPr>
    </w:lvl>
    <w:lvl w:ilvl="5">
      <w:start w:val="1"/>
      <w:numFmt w:val="decimal"/>
      <w:lvlText w:val="%1%2.%3.%4.%5.%6."/>
      <w:lvlJc w:val="left"/>
      <w:pPr>
        <w:tabs>
          <w:tab w:val="num" w:pos="567"/>
        </w:tabs>
        <w:ind w:left="1134" w:hanging="1134"/>
      </w:pPr>
    </w:lvl>
    <w:lvl w:ilvl="6">
      <w:start w:val="1"/>
      <w:numFmt w:val="decimal"/>
      <w:lvlText w:val="%1%2.%3.%4.%5.%6.%7."/>
      <w:lvlJc w:val="left"/>
      <w:pPr>
        <w:tabs>
          <w:tab w:val="num" w:pos="567"/>
        </w:tabs>
        <w:ind w:left="1134" w:hanging="1134"/>
      </w:pPr>
    </w:lvl>
    <w:lvl w:ilvl="7">
      <w:start w:val="1"/>
      <w:numFmt w:val="decimal"/>
      <w:lvlText w:val="%1%2.%3.%4.%5.%6.%7.%8."/>
      <w:lvlJc w:val="left"/>
      <w:pPr>
        <w:tabs>
          <w:tab w:val="num" w:pos="567"/>
        </w:tabs>
        <w:ind w:left="1134" w:hanging="1134"/>
      </w:pPr>
    </w:lvl>
    <w:lvl w:ilvl="8">
      <w:start w:val="1"/>
      <w:numFmt w:val="decimal"/>
      <w:lvlText w:val="%1%2.%3.%4.%5.%6.%7.%8.%9."/>
      <w:lvlJc w:val="left"/>
      <w:pPr>
        <w:tabs>
          <w:tab w:val="num" w:pos="567"/>
        </w:tabs>
        <w:ind w:left="1134" w:hanging="1134"/>
      </w:pPr>
    </w:lvl>
  </w:abstractNum>
  <w:abstractNum w:abstractNumId="3" w15:restartNumberingAfterBreak="0">
    <w:nsid w:val="4FAA03FE"/>
    <w:multiLevelType w:val="hybridMultilevel"/>
    <w:tmpl w:val="B2F87670"/>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 w15:restartNumberingAfterBreak="0">
    <w:nsid w:val="585323DF"/>
    <w:multiLevelType w:val="hybridMultilevel"/>
    <w:tmpl w:val="C94C04F8"/>
    <w:lvl w:ilvl="0" w:tplc="42227A82">
      <w:start w:val="1"/>
      <w:numFmt w:val="bullet"/>
      <w:lvlText w:val=""/>
      <w:lvlJc w:val="left"/>
      <w:pPr>
        <w:ind w:left="720" w:hanging="360"/>
      </w:pPr>
      <w:rPr>
        <w:rFonts w:ascii="Symbol" w:hAnsi="Symbol" w:hint="default"/>
        <w:color w:val="auto"/>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5" w15:restartNumberingAfterBreak="0">
    <w:nsid w:val="656A69D8"/>
    <w:multiLevelType w:val="hybridMultilevel"/>
    <w:tmpl w:val="C10EEF86"/>
    <w:lvl w:ilvl="0" w:tplc="42227A82">
      <w:start w:val="1"/>
      <w:numFmt w:val="bullet"/>
      <w:lvlText w:val=""/>
      <w:lvlJc w:val="left"/>
      <w:pPr>
        <w:ind w:left="720" w:hanging="360"/>
      </w:pPr>
      <w:rPr>
        <w:rFonts w:ascii="Symbol" w:hAnsi="Symbol" w:hint="default"/>
        <w:color w:val="auto"/>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6" w15:restartNumberingAfterBreak="0">
    <w:nsid w:val="7C5F163D"/>
    <w:multiLevelType w:val="hybridMultilevel"/>
    <w:tmpl w:val="89ACFF88"/>
    <w:lvl w:ilvl="0" w:tplc="1409000F">
      <w:start w:val="1"/>
      <w:numFmt w:val="decimal"/>
      <w:lvlText w:val="%1."/>
      <w:lvlJc w:val="left"/>
      <w:pPr>
        <w:ind w:left="720" w:hanging="360"/>
      </w:pPr>
      <w:rPr>
        <w:rFonts w:hint="default"/>
        <w:color w:val="1F3864" w:themeColor="accent1" w:themeShade="8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16cid:durableId="395591701">
    <w:abstractNumId w:val="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60389339">
    <w:abstractNumId w:val="3"/>
  </w:num>
  <w:num w:numId="3" w16cid:durableId="2065177108">
    <w:abstractNumId w:val="0"/>
  </w:num>
  <w:num w:numId="4" w16cid:durableId="1947106884">
    <w:abstractNumId w:val="5"/>
  </w:num>
  <w:num w:numId="5" w16cid:durableId="1199247287">
    <w:abstractNumId w:val="4"/>
  </w:num>
  <w:num w:numId="6" w16cid:durableId="1844003175">
    <w:abstractNumId w:val="1"/>
  </w:num>
  <w:num w:numId="7" w16cid:durableId="534469913">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D8B"/>
    <w:rsid w:val="001A5EC9"/>
    <w:rsid w:val="00245148"/>
    <w:rsid w:val="00260925"/>
    <w:rsid w:val="00284C3C"/>
    <w:rsid w:val="00676BC5"/>
    <w:rsid w:val="00811124"/>
    <w:rsid w:val="00A34D8B"/>
    <w:rsid w:val="00AC3FAE"/>
    <w:rsid w:val="00B149FB"/>
    <w:rsid w:val="00D25128"/>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A278E"/>
  <w15:chartTrackingRefBased/>
  <w15:docId w15:val="{A6D2151E-7FF3-4265-80F1-5B72268A0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N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D8B"/>
    <w:pPr>
      <w:spacing w:line="256" w:lineRule="auto"/>
    </w:pPr>
    <w:rPr>
      <w:rFonts w:ascii="Times New Roman" w:eastAsia="Calibri" w:hAnsi="Times New Roman" w:cs="Times New Roman"/>
      <w:kern w:val="0"/>
      <w:lang w:val="en-GB"/>
      <w14:ligatures w14:val="none"/>
    </w:rPr>
  </w:style>
  <w:style w:type="paragraph" w:styleId="Heading1">
    <w:name w:val="heading 1"/>
    <w:basedOn w:val="Normal"/>
    <w:next w:val="Normal"/>
    <w:link w:val="Heading1Char"/>
    <w:uiPriority w:val="9"/>
    <w:qFormat/>
    <w:rsid w:val="00A34D8B"/>
    <w:pPr>
      <w:keepNext/>
      <w:spacing w:before="220" w:after="0" w:line="259" w:lineRule="auto"/>
      <w:jc w:val="both"/>
      <w:outlineLvl w:val="0"/>
    </w:pPr>
    <w:rPr>
      <w:rFonts w:ascii="Calibri" w:eastAsia="Times New Roman" w:hAnsi="Calibri"/>
      <w:b/>
      <w:bCs/>
      <w:kern w:val="32"/>
      <w:sz w:val="24"/>
      <w:szCs w:val="24"/>
    </w:rPr>
  </w:style>
  <w:style w:type="paragraph" w:styleId="Heading2">
    <w:name w:val="heading 2"/>
    <w:basedOn w:val="Normal"/>
    <w:next w:val="Normal"/>
    <w:link w:val="Heading2Char"/>
    <w:uiPriority w:val="9"/>
    <w:unhideWhenUsed/>
    <w:qFormat/>
    <w:rsid w:val="00A34D8B"/>
    <w:pPr>
      <w:keepNext/>
      <w:keepLines/>
      <w:spacing w:before="220" w:after="0" w:line="259" w:lineRule="auto"/>
      <w:outlineLvl w:val="1"/>
    </w:pPr>
    <w:rPr>
      <w:rFonts w:ascii="Calibri" w:eastAsiaTheme="majorEastAsia"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D8B"/>
    <w:rPr>
      <w:rFonts w:ascii="Calibri" w:eastAsia="Times New Roman" w:hAnsi="Calibri" w:cs="Times New Roman"/>
      <w:b/>
      <w:bCs/>
      <w:kern w:val="32"/>
      <w:sz w:val="24"/>
      <w:szCs w:val="24"/>
      <w:lang w:val="en-GB"/>
      <w14:ligatures w14:val="none"/>
    </w:rPr>
  </w:style>
  <w:style w:type="character" w:customStyle="1" w:styleId="Heading2Char">
    <w:name w:val="Heading 2 Char"/>
    <w:basedOn w:val="DefaultParagraphFont"/>
    <w:link w:val="Heading2"/>
    <w:uiPriority w:val="9"/>
    <w:rsid w:val="00A34D8B"/>
    <w:rPr>
      <w:rFonts w:ascii="Calibri" w:eastAsiaTheme="majorEastAsia" w:hAnsi="Calibri" w:cs="Times New Roman"/>
      <w:i/>
      <w:iCs/>
      <w:kern w:val="0"/>
      <w:lang w:val="en-GB"/>
      <w14:ligatures w14:val="none"/>
    </w:rPr>
  </w:style>
  <w:style w:type="paragraph" w:styleId="ListParagraph">
    <w:name w:val="List Paragraph"/>
    <w:aliases w:val="Bullets L1,List Paragraph numbered,List Bullet indent,List Paragraph1,Recommendation,List Paragraph11,TOC style,lp1,Bullet OSM,Proposal Bullet List,Rec para,Dot pt,F5 List Paragraph,No Spacing1,List Paragraph Char Char Char,Indicator Text"/>
    <w:basedOn w:val="Normal"/>
    <w:link w:val="ListParagraphChar"/>
    <w:uiPriority w:val="34"/>
    <w:qFormat/>
    <w:rsid w:val="00A34D8B"/>
    <w:pPr>
      <w:spacing w:line="240" w:lineRule="auto"/>
      <w:ind w:left="720"/>
      <w:contextualSpacing/>
    </w:pPr>
    <w:rPr>
      <w:rFonts w:ascii="Calibri" w:hAnsi="Calibri"/>
    </w:rPr>
  </w:style>
  <w:style w:type="paragraph" w:styleId="FootnoteText">
    <w:name w:val="footnote text"/>
    <w:aliases w:val="5_G,Footnote Text Char1,Footnote Text Char Char,Footnote Text Char2 Char Char,Footnote Text Char1 Char Char Char,Footnote Text Char Char Char Char Char,Footnote Text Char Char1 Char Char Char,EUMC_Lábjegyzetszöveg + 13 pt,Félkövér,Dolt"/>
    <w:basedOn w:val="Normal"/>
    <w:link w:val="FootnoteTextChar"/>
    <w:unhideWhenUsed/>
    <w:qFormat/>
    <w:rsid w:val="00A34D8B"/>
    <w:pPr>
      <w:spacing w:after="0" w:line="240" w:lineRule="auto"/>
    </w:pPr>
    <w:rPr>
      <w:rFonts w:asciiTheme="minorHAnsi" w:hAnsiTheme="minorHAnsi"/>
      <w:sz w:val="20"/>
      <w:szCs w:val="20"/>
    </w:rPr>
  </w:style>
  <w:style w:type="character" w:customStyle="1" w:styleId="FootnoteTextChar">
    <w:name w:val="Footnote Text Char"/>
    <w:aliases w:val="5_G Char,Footnote Text Char1 Char,Footnote Text Char Char Char,Footnote Text Char2 Char Char Char,Footnote Text Char1 Char Char Char Char,Footnote Text Char Char Char Char Char Char,Footnote Text Char Char1 Char Char Char Char"/>
    <w:basedOn w:val="DefaultParagraphFont"/>
    <w:link w:val="FootnoteText"/>
    <w:rsid w:val="00A34D8B"/>
    <w:rPr>
      <w:rFonts w:eastAsia="Calibri" w:cs="Times New Roman"/>
      <w:kern w:val="0"/>
      <w:sz w:val="20"/>
      <w:szCs w:val="20"/>
      <w:lang w:val="en-GB"/>
      <w14:ligatures w14:val="none"/>
    </w:rPr>
  </w:style>
  <w:style w:type="character" w:styleId="FootnoteReference">
    <w:name w:val="footnote reference"/>
    <w:aliases w:val="4_G"/>
    <w:basedOn w:val="DefaultParagraphFont"/>
    <w:unhideWhenUsed/>
    <w:rsid w:val="00A34D8B"/>
    <w:rPr>
      <w:vertAlign w:val="superscript"/>
    </w:rPr>
  </w:style>
  <w:style w:type="character" w:styleId="CommentReference">
    <w:name w:val="annotation reference"/>
    <w:basedOn w:val="DefaultParagraphFont"/>
    <w:uiPriority w:val="99"/>
    <w:semiHidden/>
    <w:unhideWhenUsed/>
    <w:rsid w:val="00A34D8B"/>
    <w:rPr>
      <w:sz w:val="16"/>
      <w:szCs w:val="16"/>
    </w:rPr>
  </w:style>
  <w:style w:type="paragraph" w:styleId="CommentText">
    <w:name w:val="annotation text"/>
    <w:basedOn w:val="Normal"/>
    <w:link w:val="CommentTextChar"/>
    <w:uiPriority w:val="99"/>
    <w:unhideWhenUsed/>
    <w:rsid w:val="00A34D8B"/>
    <w:pPr>
      <w:spacing w:line="240" w:lineRule="auto"/>
    </w:pPr>
    <w:rPr>
      <w:sz w:val="20"/>
      <w:szCs w:val="20"/>
    </w:rPr>
  </w:style>
  <w:style w:type="character" w:customStyle="1" w:styleId="CommentTextChar">
    <w:name w:val="Comment Text Char"/>
    <w:basedOn w:val="DefaultParagraphFont"/>
    <w:link w:val="CommentText"/>
    <w:uiPriority w:val="99"/>
    <w:rsid w:val="00A34D8B"/>
    <w:rPr>
      <w:rFonts w:ascii="Times New Roman" w:eastAsia="Calibri" w:hAnsi="Times New Roman" w:cs="Times New Roman"/>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A34D8B"/>
    <w:rPr>
      <w:b/>
      <w:bCs/>
    </w:rPr>
  </w:style>
  <w:style w:type="character" w:customStyle="1" w:styleId="CommentSubjectChar">
    <w:name w:val="Comment Subject Char"/>
    <w:basedOn w:val="CommentTextChar"/>
    <w:link w:val="CommentSubject"/>
    <w:uiPriority w:val="99"/>
    <w:semiHidden/>
    <w:rsid w:val="00A34D8B"/>
    <w:rPr>
      <w:rFonts w:ascii="Times New Roman" w:eastAsia="Calibri" w:hAnsi="Times New Roman" w:cs="Times New Roman"/>
      <w:b/>
      <w:bCs/>
      <w:kern w:val="0"/>
      <w:sz w:val="20"/>
      <w:szCs w:val="20"/>
      <w:lang w:val="en-GB"/>
      <w14:ligatures w14:val="none"/>
    </w:rPr>
  </w:style>
  <w:style w:type="paragraph" w:styleId="BalloonText">
    <w:name w:val="Balloon Text"/>
    <w:basedOn w:val="Normal"/>
    <w:link w:val="BalloonTextChar"/>
    <w:uiPriority w:val="99"/>
    <w:semiHidden/>
    <w:unhideWhenUsed/>
    <w:rsid w:val="00A34D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4D8B"/>
    <w:rPr>
      <w:rFonts w:ascii="Segoe UI" w:eastAsia="Calibri" w:hAnsi="Segoe UI" w:cs="Segoe UI"/>
      <w:kern w:val="0"/>
      <w:sz w:val="18"/>
      <w:szCs w:val="18"/>
      <w:lang w:val="en-GB"/>
      <w14:ligatures w14:val="none"/>
    </w:rPr>
  </w:style>
  <w:style w:type="paragraph" w:customStyle="1" w:styleId="SingleTxtG">
    <w:name w:val="_ Single Txt_G"/>
    <w:basedOn w:val="Normal"/>
    <w:link w:val="SingleTxtGChar"/>
    <w:rsid w:val="00A34D8B"/>
    <w:pPr>
      <w:suppressAutoHyphens/>
      <w:spacing w:after="120" w:line="240" w:lineRule="atLeast"/>
      <w:ind w:left="1134" w:right="1134"/>
      <w:jc w:val="both"/>
    </w:pPr>
    <w:rPr>
      <w:rFonts w:eastAsia="Times New Roman"/>
      <w:sz w:val="20"/>
      <w:szCs w:val="20"/>
    </w:rPr>
  </w:style>
  <w:style w:type="character" w:customStyle="1" w:styleId="SingleTxtGChar">
    <w:name w:val="_ Single Txt_G Char"/>
    <w:link w:val="SingleTxtG"/>
    <w:rsid w:val="00A34D8B"/>
    <w:rPr>
      <w:rFonts w:ascii="Times New Roman" w:eastAsia="Times New Roman" w:hAnsi="Times New Roman" w:cs="Times New Roman"/>
      <w:kern w:val="0"/>
      <w:sz w:val="20"/>
      <w:szCs w:val="20"/>
      <w:lang w:val="en-GB"/>
      <w14:ligatures w14:val="none"/>
    </w:rPr>
  </w:style>
  <w:style w:type="paragraph" w:customStyle="1" w:styleId="H23G">
    <w:name w:val="_ H_2/3_G"/>
    <w:basedOn w:val="Normal"/>
    <w:next w:val="Normal"/>
    <w:link w:val="H23GChar"/>
    <w:rsid w:val="00A34D8B"/>
    <w:pPr>
      <w:keepNext/>
      <w:keepLines/>
      <w:tabs>
        <w:tab w:val="right" w:pos="851"/>
      </w:tabs>
      <w:suppressAutoHyphens/>
      <w:spacing w:before="240" w:after="120" w:line="240" w:lineRule="exact"/>
      <w:ind w:left="1134" w:right="1134" w:hanging="1134"/>
    </w:pPr>
    <w:rPr>
      <w:rFonts w:eastAsia="Times New Roman"/>
      <w:b/>
      <w:sz w:val="20"/>
      <w:szCs w:val="20"/>
    </w:rPr>
  </w:style>
  <w:style w:type="character" w:customStyle="1" w:styleId="H23GChar">
    <w:name w:val="_ H_2/3_G Char"/>
    <w:link w:val="H23G"/>
    <w:rsid w:val="00A34D8B"/>
    <w:rPr>
      <w:rFonts w:ascii="Times New Roman" w:eastAsia="Times New Roman" w:hAnsi="Times New Roman" w:cs="Times New Roman"/>
      <w:b/>
      <w:kern w:val="0"/>
      <w:sz w:val="20"/>
      <w:szCs w:val="20"/>
      <w:lang w:val="en-GB"/>
      <w14:ligatures w14:val="none"/>
    </w:rPr>
  </w:style>
  <w:style w:type="paragraph" w:customStyle="1" w:styleId="H4G">
    <w:name w:val="_ H_4_G"/>
    <w:basedOn w:val="Normal"/>
    <w:next w:val="Normal"/>
    <w:rsid w:val="00A34D8B"/>
    <w:pPr>
      <w:keepNext/>
      <w:keepLines/>
      <w:tabs>
        <w:tab w:val="right" w:pos="851"/>
      </w:tabs>
      <w:suppressAutoHyphens/>
      <w:spacing w:before="240" w:after="120" w:line="240" w:lineRule="exact"/>
      <w:ind w:left="1134" w:right="1134" w:hanging="1134"/>
    </w:pPr>
    <w:rPr>
      <w:rFonts w:eastAsia="Times New Roman"/>
      <w:i/>
      <w:sz w:val="20"/>
      <w:szCs w:val="20"/>
    </w:rPr>
  </w:style>
  <w:style w:type="character" w:customStyle="1" w:styleId="ListParagraphChar">
    <w:name w:val="List Paragraph Char"/>
    <w:aliases w:val="Bullets L1 Char,List Paragraph numbered Char,List Bullet indent Char,List Paragraph1 Char,Recommendation Char,List Paragraph11 Char,TOC style Char,lp1 Char,Bullet OSM Char,Proposal Bullet List Char,Rec para Char,Dot pt Char"/>
    <w:link w:val="ListParagraph"/>
    <w:uiPriority w:val="34"/>
    <w:qFormat/>
    <w:locked/>
    <w:rsid w:val="00A34D8B"/>
    <w:rPr>
      <w:rFonts w:ascii="Calibri" w:eastAsia="Calibri" w:hAnsi="Calibri" w:cs="Times New Roman"/>
      <w:kern w:val="0"/>
      <w:lang w:val="en-GB"/>
      <w14:ligatures w14:val="none"/>
    </w:rPr>
  </w:style>
  <w:style w:type="paragraph" w:styleId="Header">
    <w:name w:val="header"/>
    <w:basedOn w:val="Normal"/>
    <w:link w:val="HeaderChar"/>
    <w:uiPriority w:val="99"/>
    <w:unhideWhenUsed/>
    <w:rsid w:val="00A34D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4D8B"/>
    <w:rPr>
      <w:rFonts w:ascii="Times New Roman" w:eastAsia="Calibri" w:hAnsi="Times New Roman" w:cs="Times New Roman"/>
      <w:kern w:val="0"/>
      <w:lang w:val="en-GB"/>
      <w14:ligatures w14:val="none"/>
    </w:rPr>
  </w:style>
  <w:style w:type="paragraph" w:styleId="Footer">
    <w:name w:val="footer"/>
    <w:basedOn w:val="Normal"/>
    <w:link w:val="FooterChar"/>
    <w:uiPriority w:val="99"/>
    <w:unhideWhenUsed/>
    <w:rsid w:val="00A34D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4D8B"/>
    <w:rPr>
      <w:rFonts w:ascii="Times New Roman" w:eastAsia="Calibri" w:hAnsi="Times New Roman" w:cs="Times New Roman"/>
      <w:kern w:val="0"/>
      <w:lang w:val="en-GB"/>
      <w14:ligatures w14:val="none"/>
    </w:rPr>
  </w:style>
  <w:style w:type="character" w:styleId="Hyperlink">
    <w:name w:val="Hyperlink"/>
    <w:basedOn w:val="DefaultParagraphFont"/>
    <w:uiPriority w:val="99"/>
    <w:unhideWhenUsed/>
    <w:rsid w:val="00A34D8B"/>
    <w:rPr>
      <w:color w:val="0563C1" w:themeColor="hyperlink"/>
      <w:u w:val="single"/>
    </w:rPr>
  </w:style>
  <w:style w:type="paragraph" w:customStyle="1" w:styleId="Default">
    <w:name w:val="Default"/>
    <w:rsid w:val="00A34D8B"/>
    <w:pPr>
      <w:autoSpaceDE w:val="0"/>
      <w:autoSpaceDN w:val="0"/>
      <w:adjustRightInd w:val="0"/>
      <w:spacing w:after="0" w:line="240" w:lineRule="auto"/>
    </w:pPr>
    <w:rPr>
      <w:rFonts w:ascii="Arial" w:eastAsiaTheme="minorEastAsia" w:hAnsi="Arial" w:cs="Arial"/>
      <w:color w:val="000000"/>
      <w:kern w:val="0"/>
      <w:sz w:val="24"/>
      <w:szCs w:val="24"/>
      <w14:ligatures w14:val="none"/>
    </w:rPr>
  </w:style>
  <w:style w:type="paragraph" w:customStyle="1" w:styleId="paragraph0">
    <w:name w:val="paragraph"/>
    <w:basedOn w:val="Normal"/>
    <w:rsid w:val="00A34D8B"/>
    <w:pPr>
      <w:spacing w:before="100" w:beforeAutospacing="1" w:after="100" w:afterAutospacing="1" w:line="240" w:lineRule="auto"/>
    </w:pPr>
    <w:rPr>
      <w:rFonts w:eastAsiaTheme="minorHAnsi" w:cs="Calibri"/>
      <w:lang w:val="en-NZ" w:eastAsia="en-NZ"/>
    </w:rPr>
  </w:style>
  <w:style w:type="character" w:customStyle="1" w:styleId="normaltextrun">
    <w:name w:val="normaltextrun"/>
    <w:basedOn w:val="DefaultParagraphFont"/>
    <w:rsid w:val="00A34D8B"/>
  </w:style>
  <w:style w:type="character" w:customStyle="1" w:styleId="eop">
    <w:name w:val="eop"/>
    <w:basedOn w:val="DefaultParagraphFont"/>
    <w:rsid w:val="00A34D8B"/>
  </w:style>
  <w:style w:type="paragraph" w:styleId="Revision">
    <w:name w:val="Revision"/>
    <w:hidden/>
    <w:uiPriority w:val="99"/>
    <w:semiHidden/>
    <w:rsid w:val="00A34D8B"/>
    <w:pPr>
      <w:spacing w:after="0" w:line="240" w:lineRule="auto"/>
    </w:pPr>
    <w:rPr>
      <w:rFonts w:ascii="Calibri" w:eastAsia="Calibri" w:hAnsi="Calibri" w:cs="Times New Roman"/>
      <w:kern w:val="0"/>
      <w:lang w:val="en-GB"/>
      <w14:ligatures w14:val="none"/>
    </w:rPr>
  </w:style>
  <w:style w:type="paragraph" w:styleId="NoSpacing">
    <w:name w:val="No Spacing"/>
    <w:link w:val="NoSpacingChar"/>
    <w:uiPriority w:val="1"/>
    <w:qFormat/>
    <w:rsid w:val="00A34D8B"/>
    <w:pPr>
      <w:spacing w:after="0" w:line="240" w:lineRule="auto"/>
    </w:pPr>
    <w:rPr>
      <w:rFonts w:ascii="Times New Roman" w:eastAsia="Calibri" w:hAnsi="Times New Roman" w:cs="Times New Roman"/>
      <w:kern w:val="0"/>
      <w:lang w:val="en-GB"/>
      <w14:ligatures w14:val="none"/>
    </w:rPr>
  </w:style>
  <w:style w:type="paragraph" w:customStyle="1" w:styleId="Paragraph">
    <w:name w:val="Paragraph"/>
    <w:basedOn w:val="Heading2"/>
    <w:rsid w:val="00A34D8B"/>
    <w:pPr>
      <w:keepNext w:val="0"/>
      <w:keepLines w:val="0"/>
      <w:numPr>
        <w:numId w:val="1"/>
      </w:numPr>
      <w:tabs>
        <w:tab w:val="clear" w:pos="567"/>
        <w:tab w:val="num" w:pos="360"/>
      </w:tabs>
      <w:spacing w:before="240" w:line="240" w:lineRule="auto"/>
      <w:ind w:left="0" w:firstLine="0"/>
      <w:outlineLvl w:val="9"/>
    </w:pPr>
    <w:rPr>
      <w:rFonts w:ascii="Arial" w:eastAsia="Times New Roman" w:hAnsi="Arial"/>
      <w:i w:val="0"/>
      <w:iCs w:val="0"/>
      <w:sz w:val="24"/>
      <w:szCs w:val="20"/>
      <w:lang w:val="en-AU" w:eastAsia="en-NZ"/>
    </w:rPr>
  </w:style>
  <w:style w:type="paragraph" w:customStyle="1" w:styleId="NumberedContent">
    <w:name w:val="Numbered Content"/>
    <w:basedOn w:val="Normal"/>
    <w:qFormat/>
    <w:rsid w:val="00A34D8B"/>
    <w:pPr>
      <w:spacing w:after="240" w:line="240" w:lineRule="auto"/>
      <w:jc w:val="both"/>
    </w:pPr>
    <w:rPr>
      <w:rFonts w:ascii="Arial" w:eastAsiaTheme="minorEastAsia" w:hAnsi="Arial" w:cstheme="minorBidi"/>
      <w:sz w:val="24"/>
      <w:lang w:val="en-AU" w:eastAsia="en-GB"/>
    </w:rPr>
  </w:style>
  <w:style w:type="paragraph" w:styleId="EndnoteText">
    <w:name w:val="endnote text"/>
    <w:basedOn w:val="Normal"/>
    <w:link w:val="EndnoteTextChar"/>
    <w:uiPriority w:val="99"/>
    <w:semiHidden/>
    <w:unhideWhenUsed/>
    <w:rsid w:val="00A34D8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D8B"/>
    <w:rPr>
      <w:rFonts w:ascii="Times New Roman" w:eastAsia="Calibri" w:hAnsi="Times New Roman" w:cs="Times New Roman"/>
      <w:kern w:val="0"/>
      <w:sz w:val="20"/>
      <w:szCs w:val="20"/>
      <w:lang w:val="en-GB"/>
      <w14:ligatures w14:val="none"/>
    </w:rPr>
  </w:style>
  <w:style w:type="character" w:styleId="EndnoteReference">
    <w:name w:val="endnote reference"/>
    <w:basedOn w:val="DefaultParagraphFont"/>
    <w:uiPriority w:val="99"/>
    <w:semiHidden/>
    <w:unhideWhenUsed/>
    <w:rsid w:val="00A34D8B"/>
    <w:rPr>
      <w:vertAlign w:val="superscript"/>
    </w:rPr>
  </w:style>
  <w:style w:type="character" w:customStyle="1" w:styleId="NoSpacingChar">
    <w:name w:val="No Spacing Char"/>
    <w:basedOn w:val="DefaultParagraphFont"/>
    <w:link w:val="NoSpacing"/>
    <w:uiPriority w:val="1"/>
    <w:rsid w:val="00A34D8B"/>
    <w:rPr>
      <w:rFonts w:ascii="Times New Roman" w:eastAsia="Calibri" w:hAnsi="Times New Roman" w:cs="Times New Roman"/>
      <w:kern w:val="0"/>
      <w:lang w:val="en-GB"/>
      <w14:ligatures w14:val="none"/>
    </w:rPr>
  </w:style>
  <w:style w:type="character" w:styleId="UnresolvedMention">
    <w:name w:val="Unresolved Mention"/>
    <w:basedOn w:val="DefaultParagraphFont"/>
    <w:uiPriority w:val="99"/>
    <w:semiHidden/>
    <w:unhideWhenUsed/>
    <w:rsid w:val="00A34D8B"/>
    <w:rPr>
      <w:color w:val="605E5C"/>
      <w:shd w:val="clear" w:color="auto" w:fill="E1DFDD"/>
    </w:rPr>
  </w:style>
  <w:style w:type="paragraph" w:styleId="NormalWeb">
    <w:name w:val="Normal (Web)"/>
    <w:basedOn w:val="Normal"/>
    <w:uiPriority w:val="99"/>
    <w:unhideWhenUsed/>
    <w:rsid w:val="00A34D8B"/>
    <w:pPr>
      <w:spacing w:before="100" w:beforeAutospacing="1" w:after="100" w:afterAutospacing="1" w:line="240" w:lineRule="auto"/>
    </w:pPr>
    <w:rPr>
      <w:rFonts w:eastAsia="Times New Roman"/>
      <w:sz w:val="24"/>
      <w:szCs w:val="24"/>
      <w:lang w:val="en-NZ" w:eastAsia="en-NZ"/>
    </w:rPr>
  </w:style>
  <w:style w:type="paragraph" w:styleId="TOCHeading">
    <w:name w:val="TOC Heading"/>
    <w:basedOn w:val="Heading1"/>
    <w:next w:val="Normal"/>
    <w:uiPriority w:val="39"/>
    <w:unhideWhenUsed/>
    <w:qFormat/>
    <w:rsid w:val="00A34D8B"/>
    <w:pPr>
      <w:keepLines/>
      <w:spacing w:before="240"/>
      <w:jc w:val="left"/>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TOC1">
    <w:name w:val="toc 1"/>
    <w:basedOn w:val="Normal"/>
    <w:next w:val="Normal"/>
    <w:autoRedefine/>
    <w:uiPriority w:val="39"/>
    <w:unhideWhenUsed/>
    <w:rsid w:val="00A34D8B"/>
    <w:pPr>
      <w:spacing w:after="100"/>
    </w:pPr>
    <w:rPr>
      <w:rFonts w:ascii="Calibri" w:hAnsi="Calibri"/>
      <w:sz w:val="20"/>
    </w:rPr>
  </w:style>
  <w:style w:type="paragraph" w:styleId="TOC2">
    <w:name w:val="toc 2"/>
    <w:basedOn w:val="Normal"/>
    <w:next w:val="Normal"/>
    <w:autoRedefine/>
    <w:uiPriority w:val="39"/>
    <w:unhideWhenUsed/>
    <w:rsid w:val="00A34D8B"/>
    <w:pPr>
      <w:tabs>
        <w:tab w:val="right" w:leader="dot" w:pos="9016"/>
      </w:tabs>
      <w:spacing w:after="100"/>
      <w:ind w:left="220"/>
    </w:pPr>
    <w:rPr>
      <w:rFonts w:ascii="Calibri" w:hAnsi="Calibri" w:cs="Calibri"/>
      <w:noProof/>
      <w:sz w:val="20"/>
      <w:szCs w:val="20"/>
    </w:rPr>
  </w:style>
  <w:style w:type="character" w:styleId="FollowedHyperlink">
    <w:name w:val="FollowedHyperlink"/>
    <w:basedOn w:val="DefaultParagraphFont"/>
    <w:uiPriority w:val="99"/>
    <w:semiHidden/>
    <w:unhideWhenUsed/>
    <w:rsid w:val="00A34D8B"/>
    <w:rPr>
      <w:color w:val="954F72" w:themeColor="followedHyperlink"/>
      <w:u w:val="single"/>
    </w:rPr>
  </w:style>
  <w:style w:type="table" w:styleId="TableGrid">
    <w:name w:val="Table Grid"/>
    <w:basedOn w:val="TableNormal"/>
    <w:uiPriority w:val="39"/>
    <w:rsid w:val="00A34D8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cs-componenthtml-injector">
    <w:name w:val="sics-component__html-injector"/>
    <w:basedOn w:val="Normal"/>
    <w:rsid w:val="00A34D8B"/>
    <w:pPr>
      <w:spacing w:before="100" w:beforeAutospacing="1" w:after="100" w:afterAutospacing="1" w:line="240" w:lineRule="auto"/>
    </w:pPr>
    <w:rPr>
      <w:rFonts w:eastAsia="Times New Roman"/>
      <w:sz w:val="24"/>
      <w:szCs w:val="24"/>
      <w:lang w:val="en-NZ" w:eastAsia="en-NZ"/>
    </w:rPr>
  </w:style>
  <w:style w:type="paragraph" w:customStyle="1" w:styleId="BodyA">
    <w:name w:val="Body A"/>
    <w:rsid w:val="00A34D8B"/>
    <w:pPr>
      <w:pBdr>
        <w:top w:val="nil"/>
        <w:left w:val="nil"/>
        <w:bottom w:val="nil"/>
        <w:right w:val="nil"/>
        <w:between w:val="nil"/>
        <w:bar w:val="nil"/>
      </w:pBdr>
      <w:spacing w:line="324" w:lineRule="auto"/>
    </w:pPr>
    <w:rPr>
      <w:rFonts w:ascii="Calibri" w:eastAsia="Calibri" w:hAnsi="Calibri" w:cs="Calibri"/>
      <w:color w:val="000000"/>
      <w:kern w:val="0"/>
      <w:sz w:val="21"/>
      <w:szCs w:val="21"/>
      <w:u w:color="000000"/>
      <w:bdr w:val="nil"/>
      <w:lang w:eastAsia="en-NZ"/>
      <w14:ligatures w14:val="none"/>
    </w:rPr>
  </w:style>
  <w:style w:type="paragraph" w:styleId="TOC3">
    <w:name w:val="toc 3"/>
    <w:basedOn w:val="Normal"/>
    <w:next w:val="Normal"/>
    <w:autoRedefine/>
    <w:uiPriority w:val="39"/>
    <w:unhideWhenUsed/>
    <w:rsid w:val="00A34D8B"/>
    <w:pPr>
      <w:spacing w:after="100" w:line="259" w:lineRule="auto"/>
      <w:ind w:left="440"/>
    </w:pPr>
    <w:rPr>
      <w:rFonts w:asciiTheme="minorHAnsi" w:eastAsiaTheme="minorEastAsia" w:hAnsi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sa.govt.nz/decisions/all-decisions/the-federation-of-islamic-associations-of-nz-inc-fianz-and-television-new-zealand-ltd-2010-065/"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6D8444-641D-4352-9557-1E4B054485A4}"/>
</file>

<file path=customXml/itemProps2.xml><?xml version="1.0" encoding="utf-8"?>
<ds:datastoreItem xmlns:ds="http://schemas.openxmlformats.org/officeDocument/2006/customXml" ds:itemID="{AE98EC46-90E9-4D14-9F8D-C76C6DED0669}"/>
</file>

<file path=docProps/app.xml><?xml version="1.0" encoding="utf-8"?>
<Properties xmlns="http://schemas.openxmlformats.org/officeDocument/2006/extended-properties" xmlns:vt="http://schemas.openxmlformats.org/officeDocument/2006/docPropsVTypes">
  <Template>Normal</Template>
  <TotalTime>20</TotalTime>
  <Pages>1</Pages>
  <Words>6528</Words>
  <Characters>37214</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and Chris King</dc:creator>
  <cp:keywords/>
  <dc:description/>
  <cp:lastModifiedBy>David and Chris King</cp:lastModifiedBy>
  <cp:revision>3</cp:revision>
  <dcterms:created xsi:type="dcterms:W3CDTF">2024-09-17T22:00:00Z</dcterms:created>
  <dcterms:modified xsi:type="dcterms:W3CDTF">2024-09-18T04:44:00Z</dcterms:modified>
</cp:coreProperties>
</file>