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72FEE" w14:textId="77777777" w:rsidR="00944FC3" w:rsidRDefault="00944FC3" w:rsidP="00160C8D">
      <w:pPr>
        <w:jc w:val="center"/>
        <w:rPr>
          <w:b/>
          <w:sz w:val="28"/>
          <w:szCs w:val="28"/>
        </w:rPr>
      </w:pPr>
    </w:p>
    <w:p w14:paraId="4BF71218" w14:textId="279A7996" w:rsidR="00944FC3" w:rsidRDefault="00944FC3" w:rsidP="00160C8D">
      <w:pPr>
        <w:jc w:val="center"/>
        <w:rPr>
          <w:b/>
          <w:sz w:val="28"/>
          <w:szCs w:val="28"/>
        </w:rPr>
      </w:pPr>
      <w:r>
        <w:rPr>
          <w:b/>
          <w:sz w:val="28"/>
          <w:szCs w:val="28"/>
        </w:rPr>
        <w:t>Contribuciones al examen del octavo informe periódico de Colombia, ante el Comité de Derechos Humanos de las Naciones Unidas</w:t>
      </w:r>
    </w:p>
    <w:p w14:paraId="043CACFF" w14:textId="5D762D41" w:rsidR="003C5E71" w:rsidRDefault="00944FC3" w:rsidP="00160C8D">
      <w:pPr>
        <w:jc w:val="center"/>
        <w:rPr>
          <w:b/>
          <w:sz w:val="28"/>
          <w:szCs w:val="28"/>
        </w:rPr>
      </w:pPr>
      <w:r>
        <w:rPr>
          <w:b/>
          <w:sz w:val="28"/>
          <w:szCs w:val="28"/>
        </w:rPr>
        <w:t>(138 período de sesiones, Ginebra, junio de 2023)</w:t>
      </w:r>
    </w:p>
    <w:p w14:paraId="02A24E17" w14:textId="77777777" w:rsidR="00944FC3" w:rsidRPr="00700D85" w:rsidRDefault="00944FC3" w:rsidP="00160C8D">
      <w:pPr>
        <w:jc w:val="center"/>
        <w:rPr>
          <w:b/>
          <w:sz w:val="28"/>
          <w:szCs w:val="28"/>
        </w:rPr>
      </w:pPr>
    </w:p>
    <w:p w14:paraId="315A62D3" w14:textId="09C24236" w:rsidR="00FE3716" w:rsidRPr="00500529" w:rsidRDefault="00FF07E5" w:rsidP="00FF07E5">
      <w:pPr>
        <w:jc w:val="right"/>
        <w:rPr>
          <w:b/>
          <w:i/>
          <w:iCs/>
          <w:sz w:val="28"/>
          <w:szCs w:val="28"/>
        </w:rPr>
      </w:pPr>
      <w:r w:rsidRPr="00500529">
        <w:rPr>
          <w:b/>
          <w:i/>
          <w:iCs/>
          <w:sz w:val="28"/>
          <w:szCs w:val="28"/>
        </w:rPr>
        <w:t>Pastor Murillo</w:t>
      </w:r>
    </w:p>
    <w:p w14:paraId="500DD82D" w14:textId="51A79F46" w:rsidR="00500529" w:rsidRPr="00500529" w:rsidRDefault="00500529" w:rsidP="00FF07E5">
      <w:pPr>
        <w:jc w:val="right"/>
        <w:rPr>
          <w:bCs/>
          <w:i/>
          <w:iCs/>
          <w:sz w:val="28"/>
          <w:szCs w:val="28"/>
        </w:rPr>
      </w:pPr>
      <w:r w:rsidRPr="00500529">
        <w:rPr>
          <w:bCs/>
          <w:i/>
          <w:iCs/>
          <w:sz w:val="28"/>
          <w:szCs w:val="28"/>
        </w:rPr>
        <w:t>Miembro experto independiente del Foro Permanente sobre los Afrodescendientes</w:t>
      </w:r>
    </w:p>
    <w:p w14:paraId="6607CB6B" w14:textId="7901CC0B" w:rsidR="00500529" w:rsidRPr="00500529" w:rsidRDefault="00500529" w:rsidP="00FF07E5">
      <w:pPr>
        <w:jc w:val="right"/>
        <w:rPr>
          <w:bCs/>
          <w:i/>
          <w:iCs/>
          <w:sz w:val="28"/>
          <w:szCs w:val="28"/>
        </w:rPr>
      </w:pPr>
      <w:r w:rsidRPr="00500529">
        <w:rPr>
          <w:bCs/>
          <w:i/>
          <w:iCs/>
          <w:sz w:val="28"/>
          <w:szCs w:val="28"/>
        </w:rPr>
        <w:t>Consejero Principal del Observatorio Afrodescendiente Internacional (OAI)</w:t>
      </w:r>
    </w:p>
    <w:p w14:paraId="6FB34AC5" w14:textId="77777777" w:rsidR="00FE3716" w:rsidRPr="00700D85" w:rsidRDefault="00FE3716" w:rsidP="00A6342B">
      <w:pPr>
        <w:jc w:val="both"/>
        <w:rPr>
          <w:bCs/>
          <w:sz w:val="28"/>
          <w:szCs w:val="28"/>
        </w:rPr>
      </w:pPr>
    </w:p>
    <w:p w14:paraId="7A00211F" w14:textId="77777777" w:rsidR="00944FC3" w:rsidRDefault="00944FC3" w:rsidP="00FE3716">
      <w:pPr>
        <w:jc w:val="both"/>
        <w:rPr>
          <w:b/>
          <w:sz w:val="28"/>
          <w:szCs w:val="28"/>
        </w:rPr>
      </w:pPr>
    </w:p>
    <w:p w14:paraId="763CC995" w14:textId="1C36B666" w:rsidR="00FE3716" w:rsidRPr="00FE3716" w:rsidRDefault="00FE3716" w:rsidP="00FE3716">
      <w:pPr>
        <w:jc w:val="both"/>
        <w:rPr>
          <w:bCs/>
          <w:sz w:val="28"/>
          <w:szCs w:val="28"/>
        </w:rPr>
      </w:pPr>
      <w:r w:rsidRPr="00FE3716">
        <w:rPr>
          <w:b/>
          <w:sz w:val="28"/>
          <w:szCs w:val="28"/>
        </w:rPr>
        <w:t>Los Afrodescendientes</w:t>
      </w:r>
      <w:r w:rsidR="009E3DBA">
        <w:rPr>
          <w:rStyle w:val="Refdenotaalpie"/>
          <w:b/>
          <w:sz w:val="28"/>
          <w:szCs w:val="28"/>
        </w:rPr>
        <w:footnoteReference w:id="1"/>
      </w:r>
      <w:r w:rsidRPr="00FE3716">
        <w:rPr>
          <w:b/>
          <w:sz w:val="28"/>
          <w:szCs w:val="28"/>
        </w:rPr>
        <w:t xml:space="preserve"> en</w:t>
      </w:r>
      <w:r w:rsidR="003C5E71" w:rsidRPr="003C5E71">
        <w:rPr>
          <w:b/>
          <w:sz w:val="28"/>
          <w:szCs w:val="28"/>
        </w:rPr>
        <w:t xml:space="preserve"> Colombia</w:t>
      </w:r>
      <w:r w:rsidRPr="00FE3716">
        <w:rPr>
          <w:bCs/>
          <w:sz w:val="28"/>
          <w:szCs w:val="28"/>
        </w:rPr>
        <w:t xml:space="preserve"> </w:t>
      </w:r>
      <w:r w:rsidR="003C5E71">
        <w:rPr>
          <w:bCs/>
          <w:sz w:val="28"/>
          <w:szCs w:val="28"/>
        </w:rPr>
        <w:t xml:space="preserve">se </w:t>
      </w:r>
      <w:r w:rsidR="003C5E71" w:rsidRPr="00FE3716">
        <w:rPr>
          <w:bCs/>
          <w:sz w:val="28"/>
          <w:szCs w:val="28"/>
        </w:rPr>
        <w:t>estima</w:t>
      </w:r>
      <w:r w:rsidR="003C5E71">
        <w:rPr>
          <w:bCs/>
          <w:sz w:val="28"/>
          <w:szCs w:val="28"/>
        </w:rPr>
        <w:t>n</w:t>
      </w:r>
      <w:r w:rsidR="003C5E71" w:rsidRPr="00FE3716">
        <w:rPr>
          <w:bCs/>
          <w:sz w:val="28"/>
          <w:szCs w:val="28"/>
        </w:rPr>
        <w:t xml:space="preserve"> en más de 10 millones de personas. </w:t>
      </w:r>
      <w:r w:rsidR="003C5E71">
        <w:rPr>
          <w:bCs/>
          <w:sz w:val="28"/>
          <w:szCs w:val="28"/>
        </w:rPr>
        <w:t xml:space="preserve">Esto es, alrededor del 20% del total nacional, que los sitúa en el tercer lugar de la población de las Américas, estimada en </w:t>
      </w:r>
      <w:r w:rsidRPr="00FE3716">
        <w:rPr>
          <w:bCs/>
          <w:sz w:val="28"/>
          <w:szCs w:val="28"/>
        </w:rPr>
        <w:t xml:space="preserve">200 </w:t>
      </w:r>
      <w:r w:rsidR="003C5E71" w:rsidRPr="00FE3716">
        <w:rPr>
          <w:bCs/>
          <w:sz w:val="28"/>
          <w:szCs w:val="28"/>
        </w:rPr>
        <w:t>millones, aproximadamente</w:t>
      </w:r>
      <w:r w:rsidRPr="00FE3716">
        <w:rPr>
          <w:bCs/>
          <w:sz w:val="28"/>
          <w:szCs w:val="28"/>
        </w:rPr>
        <w:t xml:space="preserve"> el 30% de la población de la Región y un cuarto del total de América Latina</w:t>
      </w:r>
      <w:r w:rsidR="003C5E71">
        <w:rPr>
          <w:bCs/>
          <w:sz w:val="28"/>
          <w:szCs w:val="28"/>
        </w:rPr>
        <w:t xml:space="preserve">, concentrada </w:t>
      </w:r>
      <w:r w:rsidRPr="00FE3716">
        <w:rPr>
          <w:bCs/>
          <w:sz w:val="28"/>
          <w:szCs w:val="28"/>
        </w:rPr>
        <w:t>mayoritariamente en Brasil y Estados Unidos, con 106 y 45 millones, respectivamente</w:t>
      </w:r>
      <w:r w:rsidR="003C5E71">
        <w:rPr>
          <w:bCs/>
          <w:sz w:val="28"/>
          <w:szCs w:val="28"/>
        </w:rPr>
        <w:t>, aproximadamente.</w:t>
      </w:r>
      <w:r w:rsidRPr="00FE3716">
        <w:rPr>
          <w:bCs/>
          <w:sz w:val="28"/>
          <w:szCs w:val="28"/>
        </w:rPr>
        <w:t xml:space="preserve"> </w:t>
      </w:r>
    </w:p>
    <w:p w14:paraId="150E46AD" w14:textId="77777777" w:rsidR="00FE3716" w:rsidRPr="00FE3716" w:rsidRDefault="00FE3716" w:rsidP="00FE3716">
      <w:pPr>
        <w:jc w:val="both"/>
        <w:rPr>
          <w:bCs/>
          <w:sz w:val="28"/>
          <w:szCs w:val="28"/>
        </w:rPr>
      </w:pPr>
    </w:p>
    <w:p w14:paraId="5FBA23E7" w14:textId="3CFDBC54" w:rsidR="00FE3716" w:rsidRPr="00FE3716" w:rsidRDefault="003C5E71" w:rsidP="00FE3716">
      <w:pPr>
        <w:jc w:val="both"/>
        <w:rPr>
          <w:bCs/>
          <w:sz w:val="28"/>
          <w:szCs w:val="28"/>
        </w:rPr>
      </w:pPr>
      <w:r w:rsidRPr="003C5E71">
        <w:rPr>
          <w:b/>
          <w:sz w:val="28"/>
          <w:szCs w:val="28"/>
        </w:rPr>
        <w:t>Sus activos.</w:t>
      </w:r>
      <w:r>
        <w:rPr>
          <w:bCs/>
          <w:sz w:val="28"/>
          <w:szCs w:val="28"/>
        </w:rPr>
        <w:t xml:space="preserve"> </w:t>
      </w:r>
      <w:r w:rsidR="00FE3716" w:rsidRPr="00FE3716">
        <w:rPr>
          <w:bCs/>
          <w:sz w:val="28"/>
          <w:szCs w:val="28"/>
        </w:rPr>
        <w:t xml:space="preserve">En Colombia, la región del Pacífico concentra el 44% de los 4.365.000 millones que se auto-reconocieron como tales en el censo de 2005. Tras el censo de 2018 el DANE oficializó la cifra de 4,671,160, basado en la Encuesta Nacional de Calidad de Vida de 2019. </w:t>
      </w:r>
    </w:p>
    <w:p w14:paraId="03003295" w14:textId="77777777" w:rsidR="00FE3716" w:rsidRPr="00FE3716" w:rsidRDefault="00FE3716" w:rsidP="00FE3716">
      <w:pPr>
        <w:jc w:val="both"/>
        <w:rPr>
          <w:bCs/>
          <w:sz w:val="28"/>
          <w:szCs w:val="28"/>
        </w:rPr>
      </w:pPr>
    </w:p>
    <w:p w14:paraId="39A1338E" w14:textId="77777777" w:rsidR="00FE3716" w:rsidRPr="00FE3716" w:rsidRDefault="00FE3716" w:rsidP="00FE3716">
      <w:pPr>
        <w:jc w:val="both"/>
        <w:rPr>
          <w:bCs/>
          <w:sz w:val="28"/>
          <w:szCs w:val="28"/>
        </w:rPr>
      </w:pPr>
      <w:r w:rsidRPr="00FE3716">
        <w:rPr>
          <w:bCs/>
          <w:sz w:val="28"/>
          <w:szCs w:val="28"/>
        </w:rPr>
        <w:t xml:space="preserve">Los territorios colectivos afrocolombianos corresponden a cinco millones setecientas sesenta y cuatro mil ciento noventa y ocho hectáreas (5.764.198 Has), esto es, el 4.6% del territorio nacional, en 215 títulos colectivos que benefician a más de 88.503 familias y más de 500.000 de personas al, de los cuales el 72.4% son áreas de reserva forestal, equivalentes a 3.765.694 millones de has que corresponden al 7,38% de los 20’949.694 millones de has de reserva del país. </w:t>
      </w:r>
    </w:p>
    <w:p w14:paraId="7843959E" w14:textId="77777777" w:rsidR="00FE3716" w:rsidRPr="00FE3716" w:rsidRDefault="00FE3716" w:rsidP="00FE3716">
      <w:pPr>
        <w:jc w:val="both"/>
        <w:rPr>
          <w:bCs/>
          <w:sz w:val="28"/>
          <w:szCs w:val="28"/>
        </w:rPr>
      </w:pPr>
    </w:p>
    <w:p w14:paraId="54DD35C5" w14:textId="4BE6B8FA" w:rsidR="00FE3716" w:rsidRPr="00700D85" w:rsidRDefault="00FE3716" w:rsidP="00FE3716">
      <w:pPr>
        <w:jc w:val="both"/>
        <w:rPr>
          <w:bCs/>
          <w:sz w:val="28"/>
          <w:szCs w:val="28"/>
        </w:rPr>
      </w:pPr>
      <w:r w:rsidRPr="00FE3716">
        <w:rPr>
          <w:bCs/>
          <w:sz w:val="28"/>
          <w:szCs w:val="28"/>
        </w:rPr>
        <w:t>En varios territorios ancestrales de comunidades negras hoy se explotan o se encuentran en trance de explotación minerales como el manganeso, el cobre y el molibdeno, además de los grandes yacimientos de oro, de platino y de carbón, entre otros</w:t>
      </w:r>
      <w:r w:rsidR="00944FC3">
        <w:rPr>
          <w:bCs/>
          <w:sz w:val="28"/>
          <w:szCs w:val="28"/>
        </w:rPr>
        <w:t>, lo que explican, en gran medida, que sus habitantes, en su mayoría afrodescendientes e indígenas, sean víctimas desproporcionadas de los rezagos del conflicto armado interno y de la violencia generalizada.</w:t>
      </w:r>
      <w:r w:rsidRPr="00700D85">
        <w:rPr>
          <w:bCs/>
          <w:sz w:val="28"/>
          <w:szCs w:val="28"/>
        </w:rPr>
        <w:t xml:space="preserve"> </w:t>
      </w:r>
    </w:p>
    <w:p w14:paraId="43E87F3C" w14:textId="77777777" w:rsidR="00FE3716" w:rsidRPr="00700D85" w:rsidRDefault="00FE3716" w:rsidP="00FE3716">
      <w:pPr>
        <w:jc w:val="both"/>
        <w:rPr>
          <w:bCs/>
          <w:sz w:val="28"/>
          <w:szCs w:val="28"/>
        </w:rPr>
      </w:pPr>
    </w:p>
    <w:p w14:paraId="0EAB1A5F" w14:textId="6EAE9107" w:rsidR="00FE3716" w:rsidRPr="00700D85" w:rsidRDefault="00FE3716" w:rsidP="00FE3716">
      <w:pPr>
        <w:jc w:val="both"/>
        <w:rPr>
          <w:bCs/>
          <w:sz w:val="28"/>
          <w:szCs w:val="28"/>
        </w:rPr>
      </w:pPr>
      <w:r w:rsidRPr="00FE3716">
        <w:rPr>
          <w:bCs/>
          <w:sz w:val="28"/>
          <w:szCs w:val="28"/>
        </w:rPr>
        <w:t xml:space="preserve">La región del </w:t>
      </w:r>
      <w:r w:rsidRPr="00700D85">
        <w:rPr>
          <w:bCs/>
          <w:sz w:val="28"/>
          <w:szCs w:val="28"/>
        </w:rPr>
        <w:t>Pacífico</w:t>
      </w:r>
      <w:r w:rsidRPr="00FE3716">
        <w:rPr>
          <w:bCs/>
          <w:sz w:val="28"/>
          <w:szCs w:val="28"/>
        </w:rPr>
        <w:t xml:space="preserve"> cuenta con el 34% de la oferta hídrica del país.</w:t>
      </w:r>
      <w:r w:rsidRPr="00700D85">
        <w:rPr>
          <w:bCs/>
          <w:sz w:val="28"/>
          <w:szCs w:val="28"/>
        </w:rPr>
        <w:t xml:space="preserve"> En el Pacífico hay siete cuencas regionales, 39 subcuencas y aporta 10 mil milímetros cúbicos de lluvia al año; hay 1.300 kilómetros de costas; los puertos más importantes del país, y los que se proyectan, así como varios de los corredores viales de expansión para la competitividad, se ubican en territorios afrocolombianos o con gran predominio de dicha población.</w:t>
      </w:r>
    </w:p>
    <w:p w14:paraId="3AF5ED5D" w14:textId="77777777" w:rsidR="00A6342B" w:rsidRPr="00700D85" w:rsidRDefault="00A6342B" w:rsidP="00160C8D">
      <w:pPr>
        <w:jc w:val="both"/>
        <w:rPr>
          <w:bCs/>
          <w:sz w:val="28"/>
          <w:szCs w:val="28"/>
        </w:rPr>
      </w:pPr>
    </w:p>
    <w:p w14:paraId="071BFD6E" w14:textId="3C266043" w:rsidR="00A6342B" w:rsidRPr="00700D85" w:rsidRDefault="00F55A05" w:rsidP="00160C8D">
      <w:pPr>
        <w:jc w:val="both"/>
        <w:rPr>
          <w:bCs/>
          <w:sz w:val="28"/>
          <w:szCs w:val="28"/>
        </w:rPr>
      </w:pPr>
      <w:r>
        <w:rPr>
          <w:b/>
          <w:sz w:val="28"/>
          <w:szCs w:val="28"/>
        </w:rPr>
        <w:t>La coyuntura</w:t>
      </w:r>
      <w:r w:rsidR="00FE3716" w:rsidRPr="00700D85">
        <w:rPr>
          <w:b/>
          <w:sz w:val="28"/>
          <w:szCs w:val="28"/>
        </w:rPr>
        <w:t>.</w:t>
      </w:r>
      <w:r w:rsidR="00FE3716" w:rsidRPr="00700D85">
        <w:rPr>
          <w:bCs/>
          <w:sz w:val="28"/>
          <w:szCs w:val="28"/>
        </w:rPr>
        <w:t xml:space="preserve"> </w:t>
      </w:r>
      <w:r w:rsidR="00160C8D" w:rsidRPr="00700D85">
        <w:rPr>
          <w:bCs/>
          <w:sz w:val="28"/>
          <w:szCs w:val="28"/>
        </w:rPr>
        <w:t xml:space="preserve">El pueblo afrodescendiente en Colombia pasa por su mejor momento político de su historia, tras las elecciones de 2022, en la que cinco afrodescendientes fueron formula de candidatos presidenciales y dos llegaron a la segunda vuelta, que favoreció a la dupla Gustavo Petro – Francia Márquez. Los impactos de dicha elección se reflejan, entre otros ámbitos, en una inédita representación política, que, además de la vicepresidencia, incluye tres Ministerios (Educación, Ciencia y Tecnología y el recientemente creado ministerio de la Igualdad, en cabeza de la vipresidenta Márquez. Así como varios viceministerios, incluido el de Asuntos Multilaterales de la Cancillería, en cabeza de una exponente del pueblo Raizal de San Andrés y alrededor de 8 </w:t>
      </w:r>
      <w:r w:rsidR="00160C8D" w:rsidRPr="00700D85">
        <w:rPr>
          <w:bCs/>
          <w:sz w:val="28"/>
          <w:szCs w:val="28"/>
        </w:rPr>
        <w:lastRenderedPageBreak/>
        <w:t>embajadas</w:t>
      </w:r>
      <w:r w:rsidR="00A6342B" w:rsidRPr="00700D85">
        <w:rPr>
          <w:bCs/>
          <w:sz w:val="28"/>
          <w:szCs w:val="28"/>
        </w:rPr>
        <w:t xml:space="preserve"> (dos en proceso de creación)</w:t>
      </w:r>
      <w:r w:rsidR="00160C8D" w:rsidRPr="00700D85">
        <w:rPr>
          <w:bCs/>
          <w:sz w:val="28"/>
          <w:szCs w:val="28"/>
        </w:rPr>
        <w:t>, incluida la de Colombia ante la Casa Blanca</w:t>
      </w:r>
      <w:r w:rsidR="00A6342B" w:rsidRPr="00700D85">
        <w:rPr>
          <w:bCs/>
          <w:sz w:val="28"/>
          <w:szCs w:val="28"/>
        </w:rPr>
        <w:t>.</w:t>
      </w:r>
    </w:p>
    <w:p w14:paraId="4DB8F83C" w14:textId="77777777" w:rsidR="00A6342B" w:rsidRPr="00700D85" w:rsidRDefault="00A6342B" w:rsidP="00160C8D">
      <w:pPr>
        <w:jc w:val="both"/>
        <w:rPr>
          <w:bCs/>
          <w:sz w:val="28"/>
          <w:szCs w:val="28"/>
        </w:rPr>
      </w:pPr>
    </w:p>
    <w:p w14:paraId="5ABA6211" w14:textId="36FBB257" w:rsidR="00160C8D" w:rsidRPr="00700D85" w:rsidRDefault="00160C8D" w:rsidP="00160C8D">
      <w:pPr>
        <w:jc w:val="both"/>
        <w:rPr>
          <w:bCs/>
          <w:sz w:val="28"/>
          <w:szCs w:val="28"/>
        </w:rPr>
      </w:pPr>
      <w:r w:rsidRPr="00700D85">
        <w:rPr>
          <w:bCs/>
          <w:sz w:val="28"/>
          <w:szCs w:val="28"/>
        </w:rPr>
        <w:t xml:space="preserve">La </w:t>
      </w:r>
      <w:r w:rsidR="00A6342B" w:rsidRPr="00700D85">
        <w:rPr>
          <w:bCs/>
          <w:sz w:val="28"/>
          <w:szCs w:val="28"/>
        </w:rPr>
        <w:t xml:space="preserve">Misión </w:t>
      </w:r>
      <w:r w:rsidRPr="00700D85">
        <w:rPr>
          <w:bCs/>
          <w:sz w:val="28"/>
          <w:szCs w:val="28"/>
        </w:rPr>
        <w:t xml:space="preserve">de Colombia ante las Naciones Unidas en Nueva York se encuentra una líder </w:t>
      </w:r>
      <w:r w:rsidRPr="00F55A05">
        <w:rPr>
          <w:b/>
          <w:sz w:val="28"/>
          <w:szCs w:val="28"/>
        </w:rPr>
        <w:t>indígena,</w:t>
      </w:r>
      <w:r w:rsidRPr="00700D85">
        <w:rPr>
          <w:bCs/>
          <w:sz w:val="28"/>
          <w:szCs w:val="28"/>
        </w:rPr>
        <w:t xml:space="preserve"> quienes también tienen una importante representación, incluida la Unidad de Víctimas </w:t>
      </w:r>
      <w:r w:rsidR="00A6342B" w:rsidRPr="00700D85">
        <w:rPr>
          <w:bCs/>
          <w:sz w:val="28"/>
          <w:szCs w:val="28"/>
        </w:rPr>
        <w:t>e instituciones clave en materia de tierras.</w:t>
      </w:r>
      <w:r w:rsidRPr="00700D85">
        <w:rPr>
          <w:bCs/>
          <w:sz w:val="28"/>
          <w:szCs w:val="28"/>
        </w:rPr>
        <w:t xml:space="preserve"> </w:t>
      </w:r>
      <w:r w:rsidR="0064159C">
        <w:rPr>
          <w:bCs/>
          <w:sz w:val="28"/>
          <w:szCs w:val="28"/>
        </w:rPr>
        <w:t xml:space="preserve">Los pueblos indígenas son beneficiarios de </w:t>
      </w:r>
      <w:r w:rsidR="0064159C" w:rsidRPr="0064159C">
        <w:rPr>
          <w:b/>
          <w:sz w:val="28"/>
          <w:szCs w:val="28"/>
        </w:rPr>
        <w:t>circunscripciones especiales</w:t>
      </w:r>
      <w:r w:rsidR="0064159C">
        <w:rPr>
          <w:bCs/>
          <w:sz w:val="28"/>
          <w:szCs w:val="28"/>
        </w:rPr>
        <w:t xml:space="preserve"> para el Senado (2 curules) y una en Cámara baja. Los Afrodescendientes cuentan con dos curules por Circunscripción Especial en la Cámara baja. En ambos casos, con la opción de constituir partidos políticos propios. </w:t>
      </w:r>
    </w:p>
    <w:p w14:paraId="05CB7BEE" w14:textId="77777777" w:rsidR="00160C8D" w:rsidRPr="00700D85" w:rsidRDefault="00160C8D" w:rsidP="00160C8D">
      <w:pPr>
        <w:jc w:val="both"/>
        <w:rPr>
          <w:bCs/>
          <w:sz w:val="28"/>
          <w:szCs w:val="28"/>
        </w:rPr>
      </w:pPr>
    </w:p>
    <w:p w14:paraId="2F01598A" w14:textId="5F9AB4D4" w:rsidR="00160C8D" w:rsidRPr="00700D85" w:rsidRDefault="003C5E71" w:rsidP="00160C8D">
      <w:pPr>
        <w:jc w:val="both"/>
        <w:rPr>
          <w:bCs/>
          <w:sz w:val="28"/>
          <w:szCs w:val="28"/>
        </w:rPr>
      </w:pPr>
      <w:r w:rsidRPr="003C5E71">
        <w:rPr>
          <w:b/>
          <w:sz w:val="28"/>
          <w:szCs w:val="28"/>
        </w:rPr>
        <w:t>Desafíos.</w:t>
      </w:r>
      <w:r>
        <w:rPr>
          <w:bCs/>
          <w:sz w:val="28"/>
          <w:szCs w:val="28"/>
        </w:rPr>
        <w:t xml:space="preserve"> </w:t>
      </w:r>
      <w:r w:rsidR="00A6342B" w:rsidRPr="00700D85">
        <w:rPr>
          <w:bCs/>
          <w:sz w:val="28"/>
          <w:szCs w:val="28"/>
        </w:rPr>
        <w:t>No obstante, esos y otros avances importantes, l</w:t>
      </w:r>
      <w:r w:rsidR="00160C8D" w:rsidRPr="00700D85">
        <w:rPr>
          <w:bCs/>
          <w:sz w:val="28"/>
          <w:szCs w:val="28"/>
        </w:rPr>
        <w:t>os desafíos</w:t>
      </w:r>
      <w:r w:rsidR="00FF07E5" w:rsidRPr="00700D85">
        <w:rPr>
          <w:bCs/>
          <w:sz w:val="28"/>
          <w:szCs w:val="28"/>
        </w:rPr>
        <w:t xml:space="preserve"> que </w:t>
      </w:r>
      <w:r w:rsidR="00160C8D" w:rsidRPr="00700D85">
        <w:rPr>
          <w:bCs/>
          <w:sz w:val="28"/>
          <w:szCs w:val="28"/>
        </w:rPr>
        <w:t>afronta Colombia</w:t>
      </w:r>
      <w:r w:rsidR="00FF07E5" w:rsidRPr="00700D85">
        <w:rPr>
          <w:bCs/>
          <w:sz w:val="28"/>
          <w:szCs w:val="28"/>
        </w:rPr>
        <w:t xml:space="preserve"> </w:t>
      </w:r>
      <w:r w:rsidR="00160C8D" w:rsidRPr="00700D85">
        <w:rPr>
          <w:bCs/>
          <w:sz w:val="28"/>
          <w:szCs w:val="28"/>
        </w:rPr>
        <w:t xml:space="preserve">para la vigencia de los derechos de los afrodescendientes, </w:t>
      </w:r>
      <w:r w:rsidR="00700D85" w:rsidRPr="00700D85">
        <w:rPr>
          <w:bCs/>
          <w:sz w:val="28"/>
          <w:szCs w:val="28"/>
        </w:rPr>
        <w:t xml:space="preserve">son de enormes proporciones, </w:t>
      </w:r>
      <w:r w:rsidR="00160C8D" w:rsidRPr="00700D85">
        <w:rPr>
          <w:bCs/>
          <w:sz w:val="28"/>
          <w:szCs w:val="28"/>
        </w:rPr>
        <w:t xml:space="preserve">incluido el déficit de ciudadanía, </w:t>
      </w:r>
      <w:r w:rsidR="00A6342B" w:rsidRPr="00700D85">
        <w:rPr>
          <w:bCs/>
          <w:sz w:val="28"/>
          <w:szCs w:val="28"/>
        </w:rPr>
        <w:t xml:space="preserve">y </w:t>
      </w:r>
      <w:r w:rsidR="00160C8D" w:rsidRPr="00700D85">
        <w:rPr>
          <w:bCs/>
          <w:sz w:val="28"/>
          <w:szCs w:val="28"/>
        </w:rPr>
        <w:t>se</w:t>
      </w:r>
      <w:r w:rsidR="00700D85" w:rsidRPr="00700D85">
        <w:rPr>
          <w:bCs/>
          <w:sz w:val="28"/>
          <w:szCs w:val="28"/>
        </w:rPr>
        <w:t xml:space="preserve"> pueden inscribir</w:t>
      </w:r>
      <w:r w:rsidR="00160C8D" w:rsidRPr="00700D85">
        <w:rPr>
          <w:bCs/>
          <w:sz w:val="28"/>
          <w:szCs w:val="28"/>
        </w:rPr>
        <w:t xml:space="preserve"> en dos ámbitos:</w:t>
      </w:r>
    </w:p>
    <w:p w14:paraId="56E201FE" w14:textId="77777777" w:rsidR="00160C8D" w:rsidRPr="00700D85" w:rsidRDefault="00160C8D" w:rsidP="00160C8D">
      <w:pPr>
        <w:jc w:val="both"/>
        <w:rPr>
          <w:bCs/>
          <w:sz w:val="28"/>
          <w:szCs w:val="28"/>
        </w:rPr>
      </w:pPr>
    </w:p>
    <w:p w14:paraId="5F6473B6" w14:textId="414EC8BD" w:rsidR="00160C8D" w:rsidRPr="00700D85" w:rsidRDefault="00700D85" w:rsidP="00160C8D">
      <w:pPr>
        <w:pStyle w:val="Prrafodelista"/>
        <w:numPr>
          <w:ilvl w:val="0"/>
          <w:numId w:val="1"/>
        </w:numPr>
        <w:jc w:val="both"/>
        <w:rPr>
          <w:bCs/>
          <w:sz w:val="28"/>
          <w:szCs w:val="28"/>
        </w:rPr>
      </w:pPr>
      <w:r w:rsidRPr="00700D85">
        <w:rPr>
          <w:bCs/>
          <w:sz w:val="28"/>
          <w:szCs w:val="28"/>
        </w:rPr>
        <w:t>En primer lugar, cabe destacar e</w:t>
      </w:r>
      <w:r w:rsidR="00160C8D" w:rsidRPr="00700D85">
        <w:rPr>
          <w:bCs/>
          <w:sz w:val="28"/>
          <w:szCs w:val="28"/>
        </w:rPr>
        <w:t xml:space="preserve">l </w:t>
      </w:r>
      <w:r w:rsidR="00160C8D" w:rsidRPr="00700D85">
        <w:rPr>
          <w:bCs/>
          <w:i/>
          <w:iCs/>
          <w:sz w:val="28"/>
          <w:szCs w:val="28"/>
        </w:rPr>
        <w:t>racismo sistémico</w:t>
      </w:r>
      <w:r w:rsidR="009E3DBA">
        <w:rPr>
          <w:rStyle w:val="Refdenotaalpie"/>
          <w:bCs/>
          <w:i/>
          <w:iCs/>
          <w:sz w:val="28"/>
          <w:szCs w:val="28"/>
        </w:rPr>
        <w:footnoteReference w:id="2"/>
      </w:r>
      <w:r w:rsidR="00A6342B" w:rsidRPr="00700D85">
        <w:rPr>
          <w:bCs/>
          <w:sz w:val="28"/>
          <w:szCs w:val="28"/>
        </w:rPr>
        <w:t xml:space="preserve">, que se constata con los indicadores que muestran el estrecho vínculo entre </w:t>
      </w:r>
      <w:hyperlink r:id="rId7" w:history="1">
        <w:r w:rsidR="00A6342B" w:rsidRPr="009E3DBA">
          <w:rPr>
            <w:rStyle w:val="Hipervnculo"/>
            <w:bCs/>
            <w:sz w:val="28"/>
            <w:szCs w:val="28"/>
          </w:rPr>
          <w:t>pobreza y racismo</w:t>
        </w:r>
      </w:hyperlink>
      <w:r w:rsidR="00A6342B" w:rsidRPr="00700D85">
        <w:rPr>
          <w:bCs/>
          <w:sz w:val="28"/>
          <w:szCs w:val="28"/>
        </w:rPr>
        <w:t>. Así, por ejemplo, se ha observado que, a iguales características de las personas, ser afrodescendiente implica tener alrededor de un 75% más de posibilidades de estar en condiciones de pobreza que una persona no afrodescendiente y alrededor de 140% más de posibilidades de estar en condición de miseria que una persona no afrodescendiente.</w:t>
      </w:r>
      <w:r w:rsidRPr="00700D85">
        <w:rPr>
          <w:bCs/>
          <w:sz w:val="28"/>
          <w:szCs w:val="28"/>
        </w:rPr>
        <w:t xml:space="preserve"> También se constata una suerte de instrumentalización política del racismo, que ha tenido como blanco principal a la hoy vicepresidenta Francia Márquez, incluso desde la campaña presidencial. En efecto, el Observatorio sobre Racismo y Discriminación Racial</w:t>
      </w:r>
      <w:r w:rsidR="00944FC3">
        <w:rPr>
          <w:bCs/>
          <w:sz w:val="28"/>
          <w:szCs w:val="28"/>
        </w:rPr>
        <w:t xml:space="preserve"> de la Universidad de los Andes</w:t>
      </w:r>
      <w:r w:rsidRPr="00700D85">
        <w:rPr>
          <w:bCs/>
          <w:sz w:val="28"/>
          <w:szCs w:val="28"/>
        </w:rPr>
        <w:t>,</w:t>
      </w:r>
      <w:r w:rsidR="00BA0410">
        <w:rPr>
          <w:bCs/>
          <w:sz w:val="28"/>
          <w:szCs w:val="28"/>
        </w:rPr>
        <w:t xml:space="preserve"> ODR,</w:t>
      </w:r>
      <w:r w:rsidRPr="00700D85">
        <w:rPr>
          <w:bCs/>
          <w:sz w:val="28"/>
          <w:szCs w:val="28"/>
        </w:rPr>
        <w:t xml:space="preserve"> </w:t>
      </w:r>
      <w:r w:rsidRPr="00700D85">
        <w:rPr>
          <w:bCs/>
          <w:sz w:val="28"/>
          <w:szCs w:val="28"/>
        </w:rPr>
        <w:lastRenderedPageBreak/>
        <w:t>desde entonces, ha documentado más de 1100 conductas racistas en contra de la señora Márquez, lo que, no necesariamente, supone una exacerbación del racismo en Colombia. No es casual que se hayan ensañado en ella, desde el momento en que se perfiló como una figura clave en la formula, a la postre ganadora.</w:t>
      </w:r>
      <w:r w:rsidR="00944FC3">
        <w:rPr>
          <w:bCs/>
          <w:sz w:val="28"/>
          <w:szCs w:val="28"/>
        </w:rPr>
        <w:t xml:space="preserve"> Basta con señalar, que</w:t>
      </w:r>
      <w:r w:rsidR="00BA0410">
        <w:rPr>
          <w:bCs/>
          <w:sz w:val="28"/>
          <w:szCs w:val="28"/>
        </w:rPr>
        <w:t xml:space="preserve"> la otra ciudadana afrodescendiente que pasó a la segunda vuelta tan solo registra 13 ataques racistas, documentados por el ODR.</w:t>
      </w:r>
    </w:p>
    <w:p w14:paraId="7E0E32D0" w14:textId="77777777" w:rsidR="00700D85" w:rsidRPr="00700D85" w:rsidRDefault="00700D85" w:rsidP="00700D85">
      <w:pPr>
        <w:pStyle w:val="Prrafodelista"/>
        <w:jc w:val="both"/>
        <w:rPr>
          <w:bCs/>
          <w:sz w:val="28"/>
          <w:szCs w:val="28"/>
        </w:rPr>
      </w:pPr>
    </w:p>
    <w:p w14:paraId="0FE10496" w14:textId="24431246" w:rsidR="00A6342B" w:rsidRDefault="00A6342B" w:rsidP="00160C8D">
      <w:pPr>
        <w:pStyle w:val="Prrafodelista"/>
        <w:numPr>
          <w:ilvl w:val="0"/>
          <w:numId w:val="1"/>
        </w:numPr>
        <w:jc w:val="both"/>
        <w:rPr>
          <w:bCs/>
          <w:sz w:val="28"/>
          <w:szCs w:val="28"/>
        </w:rPr>
      </w:pPr>
      <w:r w:rsidRPr="00700D85">
        <w:rPr>
          <w:bCs/>
          <w:sz w:val="28"/>
          <w:szCs w:val="28"/>
        </w:rPr>
        <w:t xml:space="preserve">Los impactos desproporcionados del conflicto armado interno. </w:t>
      </w:r>
      <w:r w:rsidR="009E3DBA">
        <w:rPr>
          <w:bCs/>
          <w:sz w:val="28"/>
          <w:szCs w:val="28"/>
        </w:rPr>
        <w:t>El</w:t>
      </w:r>
      <w:r w:rsidRPr="00700D85">
        <w:rPr>
          <w:bCs/>
          <w:sz w:val="28"/>
          <w:szCs w:val="28"/>
        </w:rPr>
        <w:t xml:space="preserve"> </w:t>
      </w:r>
      <w:hyperlink r:id="rId8" w:history="1">
        <w:r w:rsidRPr="009E3DBA">
          <w:rPr>
            <w:rStyle w:val="Hipervnculo"/>
            <w:bCs/>
            <w:sz w:val="28"/>
            <w:szCs w:val="28"/>
          </w:rPr>
          <w:t>informe defensor</w:t>
        </w:r>
        <w:r w:rsidR="009E3DBA" w:rsidRPr="009E3DBA">
          <w:rPr>
            <w:rStyle w:val="Hipervnculo"/>
            <w:bCs/>
            <w:sz w:val="28"/>
            <w:szCs w:val="28"/>
          </w:rPr>
          <w:t>ial</w:t>
        </w:r>
        <w:r w:rsidRPr="009E3DBA">
          <w:rPr>
            <w:rStyle w:val="Hipervnculo"/>
            <w:bCs/>
            <w:sz w:val="28"/>
            <w:szCs w:val="28"/>
          </w:rPr>
          <w:t xml:space="preserve"> sobre racismo y discriminación racial </w:t>
        </w:r>
        <w:r w:rsidR="009E3DBA" w:rsidRPr="009E3DBA">
          <w:rPr>
            <w:rStyle w:val="Hipervnculo"/>
            <w:bCs/>
            <w:sz w:val="28"/>
            <w:szCs w:val="28"/>
          </w:rPr>
          <w:t>en Colombia</w:t>
        </w:r>
      </w:hyperlink>
      <w:r w:rsidRPr="00700D85">
        <w:rPr>
          <w:bCs/>
          <w:sz w:val="28"/>
          <w:szCs w:val="28"/>
        </w:rPr>
        <w:t xml:space="preserve"> aporta insumos al respecto. Para una mirada de contexto y más actualizada, se sugiere observar el </w:t>
      </w:r>
      <w:hyperlink r:id="rId9" w:history="1">
        <w:r w:rsidRPr="009E3DBA">
          <w:rPr>
            <w:rStyle w:val="Hipervnculo"/>
            <w:bCs/>
            <w:sz w:val="28"/>
            <w:szCs w:val="28"/>
          </w:rPr>
          <w:t>reciente informe</w:t>
        </w:r>
      </w:hyperlink>
      <w:r w:rsidRPr="00700D85">
        <w:rPr>
          <w:bCs/>
          <w:sz w:val="28"/>
          <w:szCs w:val="28"/>
        </w:rPr>
        <w:t xml:space="preserve"> del Instituto Kroc, que, por acuerdo </w:t>
      </w:r>
      <w:r w:rsidR="009E3DBA">
        <w:rPr>
          <w:bCs/>
          <w:sz w:val="28"/>
          <w:szCs w:val="28"/>
        </w:rPr>
        <w:t>I</w:t>
      </w:r>
      <w:r w:rsidR="009E3DBA" w:rsidRPr="00700D85">
        <w:rPr>
          <w:bCs/>
          <w:sz w:val="28"/>
          <w:szCs w:val="28"/>
        </w:rPr>
        <w:t>nter partes</w:t>
      </w:r>
      <w:r w:rsidRPr="00700D85">
        <w:rPr>
          <w:bCs/>
          <w:sz w:val="28"/>
          <w:szCs w:val="28"/>
        </w:rPr>
        <w:t xml:space="preserve">, hace seguimiento a la implementación de los acuerdos de paz, suscrito en 2016, entre el Gobierno </w:t>
      </w:r>
      <w:r w:rsidR="00FE3716" w:rsidRPr="00700D85">
        <w:rPr>
          <w:bCs/>
          <w:sz w:val="28"/>
          <w:szCs w:val="28"/>
        </w:rPr>
        <w:t>de Colombia</w:t>
      </w:r>
      <w:r w:rsidRPr="00700D85">
        <w:rPr>
          <w:bCs/>
          <w:sz w:val="28"/>
          <w:szCs w:val="28"/>
        </w:rPr>
        <w:t xml:space="preserve"> y las Farc.</w:t>
      </w:r>
    </w:p>
    <w:p w14:paraId="573942FF" w14:textId="77777777" w:rsidR="00285F75" w:rsidRPr="00285F75" w:rsidRDefault="00285F75" w:rsidP="00285F75">
      <w:pPr>
        <w:pStyle w:val="Prrafodelista"/>
        <w:rPr>
          <w:bCs/>
          <w:sz w:val="28"/>
          <w:szCs w:val="28"/>
        </w:rPr>
      </w:pPr>
    </w:p>
    <w:p w14:paraId="202C1BF5" w14:textId="08E703A6" w:rsidR="00285F75" w:rsidRPr="00700D85" w:rsidRDefault="00285F75" w:rsidP="00160C8D">
      <w:pPr>
        <w:pStyle w:val="Prrafodelista"/>
        <w:numPr>
          <w:ilvl w:val="0"/>
          <w:numId w:val="1"/>
        </w:numPr>
        <w:jc w:val="both"/>
        <w:rPr>
          <w:bCs/>
          <w:sz w:val="28"/>
          <w:szCs w:val="28"/>
        </w:rPr>
      </w:pPr>
      <w:r>
        <w:rPr>
          <w:bCs/>
          <w:sz w:val="28"/>
          <w:szCs w:val="28"/>
        </w:rPr>
        <w:t>También cabe observar los impactos desproporcionados, en contra de los afrodescendientes, del uso de herramientas de inteligencia artificial, incluidos, incluso en el ámbito del ciberpatrullaje, la identificación biométrica y el perfilamiento racial.</w:t>
      </w:r>
    </w:p>
    <w:p w14:paraId="66F08B2E" w14:textId="77777777" w:rsidR="00FE3716" w:rsidRPr="00700D85" w:rsidRDefault="00FE3716" w:rsidP="00160C8D">
      <w:pPr>
        <w:jc w:val="center"/>
        <w:rPr>
          <w:bCs/>
          <w:sz w:val="28"/>
          <w:szCs w:val="28"/>
        </w:rPr>
      </w:pPr>
    </w:p>
    <w:p w14:paraId="33C94E09" w14:textId="77777777" w:rsidR="00160C8D" w:rsidRPr="00700D85" w:rsidRDefault="00160C8D" w:rsidP="00160C8D">
      <w:pPr>
        <w:jc w:val="right"/>
        <w:rPr>
          <w:bCs/>
          <w:sz w:val="28"/>
          <w:szCs w:val="28"/>
        </w:rPr>
      </w:pPr>
    </w:p>
    <w:p w14:paraId="775E9BBC" w14:textId="77777777" w:rsidR="003C5E71" w:rsidRDefault="00FE3716" w:rsidP="00160C8D">
      <w:pPr>
        <w:jc w:val="both"/>
        <w:rPr>
          <w:bCs/>
          <w:sz w:val="28"/>
          <w:szCs w:val="28"/>
        </w:rPr>
      </w:pPr>
      <w:r w:rsidRPr="00700D85">
        <w:rPr>
          <w:b/>
          <w:sz w:val="28"/>
          <w:szCs w:val="28"/>
        </w:rPr>
        <w:t>Oportunidad.</w:t>
      </w:r>
      <w:r w:rsidRPr="00700D85">
        <w:rPr>
          <w:bCs/>
          <w:sz w:val="28"/>
          <w:szCs w:val="28"/>
        </w:rPr>
        <w:t xml:space="preserve"> </w:t>
      </w:r>
      <w:r w:rsidR="00700D85">
        <w:rPr>
          <w:bCs/>
          <w:sz w:val="28"/>
          <w:szCs w:val="28"/>
        </w:rPr>
        <w:t>El actual Gobierno ha situado la cuestión de las reparaciones en un lugar central de su agenda política, con respecto a los pueblos indígenas y los afrodescendientes. En lo que respecta a estos últimos, l</w:t>
      </w:r>
      <w:r w:rsidR="00160C8D" w:rsidRPr="00700D85">
        <w:rPr>
          <w:bCs/>
          <w:sz w:val="28"/>
          <w:szCs w:val="28"/>
        </w:rPr>
        <w:t xml:space="preserve">a Ley 2294 del 19 de mayo de 2023 del Plan Nacional de Desarrollo, PND, </w:t>
      </w:r>
      <w:r w:rsidR="00700D85">
        <w:rPr>
          <w:bCs/>
          <w:sz w:val="28"/>
          <w:szCs w:val="28"/>
        </w:rPr>
        <w:t>ofrece una oportunidad excepcional que, ojalá, se</w:t>
      </w:r>
      <w:r w:rsidR="003C5E71">
        <w:rPr>
          <w:bCs/>
          <w:sz w:val="28"/>
          <w:szCs w:val="28"/>
        </w:rPr>
        <w:t xml:space="preserve"> aproveche.</w:t>
      </w:r>
    </w:p>
    <w:p w14:paraId="4900D587" w14:textId="77777777" w:rsidR="003C5E71" w:rsidRDefault="003C5E71" w:rsidP="00160C8D">
      <w:pPr>
        <w:jc w:val="both"/>
        <w:rPr>
          <w:bCs/>
          <w:sz w:val="28"/>
          <w:szCs w:val="28"/>
        </w:rPr>
      </w:pPr>
    </w:p>
    <w:p w14:paraId="4CC386EF" w14:textId="0E5BD06E" w:rsidR="00160C8D" w:rsidRPr="00700D85" w:rsidRDefault="003C5E71" w:rsidP="00160C8D">
      <w:pPr>
        <w:jc w:val="both"/>
        <w:rPr>
          <w:bCs/>
          <w:sz w:val="28"/>
          <w:szCs w:val="28"/>
        </w:rPr>
      </w:pPr>
      <w:r>
        <w:rPr>
          <w:bCs/>
          <w:sz w:val="28"/>
          <w:szCs w:val="28"/>
        </w:rPr>
        <w:t xml:space="preserve">En efecto, la citada Ley </w:t>
      </w:r>
      <w:r w:rsidR="00160C8D" w:rsidRPr="00700D85">
        <w:rPr>
          <w:bCs/>
          <w:sz w:val="28"/>
          <w:szCs w:val="28"/>
        </w:rPr>
        <w:t xml:space="preserve">faculta al Gobierno Nacional, para adoptar una “Política Pública para la Erradicación del Racismo y la Discriminación Racial”, en favor de varios grupos sociales, incluidos los afrodescendientes, entre otros propósitos, se busca combatir las desigualdades estructurales. Para ello le otorga un plazo de un año (artículo 350 de la citada Ley). De otra parte, el artículo 351 de la citada Ley, prevé facultades extraordinarias al Gobierno Nacional para el </w:t>
      </w:r>
      <w:r w:rsidR="00160C8D" w:rsidRPr="00700D85">
        <w:rPr>
          <w:bCs/>
          <w:sz w:val="28"/>
          <w:szCs w:val="28"/>
        </w:rPr>
        <w:lastRenderedPageBreak/>
        <w:t xml:space="preserve">diseño, formulación e implementación de un Plan Integral de Reglamentación de la Ley 70 de 1993, </w:t>
      </w:r>
      <w:r w:rsidR="00160C8D" w:rsidRPr="00700D85">
        <w:rPr>
          <w:bCs/>
          <w:i/>
          <w:iCs/>
          <w:sz w:val="28"/>
          <w:szCs w:val="28"/>
        </w:rPr>
        <w:t>“igualdad de oportunidades y garantías para los pueblos afrodescendientes, negros, raizales y palenqueros”</w:t>
      </w:r>
      <w:r w:rsidR="00160C8D" w:rsidRPr="00700D85">
        <w:rPr>
          <w:bCs/>
          <w:sz w:val="28"/>
          <w:szCs w:val="28"/>
        </w:rPr>
        <w:t>. Las citadas disposiciones deben ser consideradas en armonía y concordancia con el artículo 71 de la citada Ley del PND, que crea el Sistema Nacional de Igualdad y el artículo 72 del mismo Plan que establece el “Fondo para la Superación de Brechas de Desigualdad Poblacional e Inequidad Territorial”.</w:t>
      </w:r>
    </w:p>
    <w:p w14:paraId="041C6C99" w14:textId="77777777" w:rsidR="00160C8D" w:rsidRPr="00700D85" w:rsidRDefault="00160C8D" w:rsidP="00160C8D">
      <w:pPr>
        <w:jc w:val="both"/>
        <w:rPr>
          <w:bCs/>
          <w:sz w:val="28"/>
          <w:szCs w:val="28"/>
        </w:rPr>
      </w:pPr>
    </w:p>
    <w:p w14:paraId="4BE43DF0" w14:textId="2C58E400" w:rsidR="003C5E71" w:rsidRPr="00700D85" w:rsidRDefault="00160C8D" w:rsidP="00160C8D">
      <w:pPr>
        <w:jc w:val="both"/>
        <w:rPr>
          <w:bCs/>
          <w:sz w:val="28"/>
          <w:szCs w:val="28"/>
        </w:rPr>
      </w:pPr>
      <w:r w:rsidRPr="00700D85">
        <w:rPr>
          <w:bCs/>
          <w:sz w:val="28"/>
          <w:szCs w:val="28"/>
        </w:rPr>
        <w:t>También corresponde observar la Ley</w:t>
      </w:r>
      <w:r w:rsidR="009E3DBA">
        <w:rPr>
          <w:bCs/>
          <w:sz w:val="28"/>
          <w:szCs w:val="28"/>
        </w:rPr>
        <w:t xml:space="preserve"> </w:t>
      </w:r>
      <w:r w:rsidRPr="00700D85">
        <w:rPr>
          <w:bCs/>
          <w:sz w:val="28"/>
          <w:szCs w:val="28"/>
        </w:rPr>
        <w:t xml:space="preserve">2281 de 2023, por medio de la cual se crea el Ministerio de la Igualdad, en particular, el artículo 5º, que trata de los sujetos de especial protección constitucional y en el marco del y sus decretos de implementación, 1075 y 1076 del 29 de julio de 2023, relativos a la estructura y a la planta de personal del Ministerio, respectivamente. También reviste especial importancia el Decreto 0820 de mayo de 2023 </w:t>
      </w:r>
      <w:r w:rsidRPr="00700D85">
        <w:rPr>
          <w:sz w:val="28"/>
          <w:szCs w:val="28"/>
          <w:lang w:val="es-CO"/>
        </w:rPr>
        <w:t>“Por medio del cual se crea la Comisión Intersectorial Nacional de Reparación Histórica para superar los efectos del racismo, la discriminación racial y el colonialismo en los pueblos étnicos del país y se dictan disposiciones para su funcionamiento”</w:t>
      </w:r>
      <w:r w:rsidR="003C5E71">
        <w:rPr>
          <w:sz w:val="28"/>
          <w:szCs w:val="28"/>
          <w:lang w:val="es-CO"/>
        </w:rPr>
        <w:t xml:space="preserve">. El Gobierno podría aprovechar tales disposiciones para anotarse una victoria temprana. </w:t>
      </w:r>
    </w:p>
    <w:p w14:paraId="0BB65691" w14:textId="77777777" w:rsidR="003C5E71" w:rsidRDefault="003C5E71" w:rsidP="00160C8D">
      <w:pPr>
        <w:jc w:val="right"/>
        <w:rPr>
          <w:b/>
          <w:sz w:val="28"/>
          <w:szCs w:val="28"/>
        </w:rPr>
      </w:pPr>
    </w:p>
    <w:p w14:paraId="0B8BB345" w14:textId="7357D5EA" w:rsidR="00160C8D" w:rsidRPr="00700D85" w:rsidRDefault="00160C8D" w:rsidP="00160C8D">
      <w:pPr>
        <w:jc w:val="right"/>
        <w:rPr>
          <w:b/>
          <w:sz w:val="28"/>
          <w:szCs w:val="28"/>
        </w:rPr>
      </w:pPr>
      <w:r w:rsidRPr="00700D85">
        <w:rPr>
          <w:b/>
          <w:sz w:val="28"/>
          <w:szCs w:val="28"/>
        </w:rPr>
        <w:t>Julio de 2023</w:t>
      </w:r>
    </w:p>
    <w:p w14:paraId="09691CDC" w14:textId="77777777" w:rsidR="00160C8D" w:rsidRDefault="00160C8D" w:rsidP="00160C8D">
      <w:pPr>
        <w:rPr>
          <w:sz w:val="28"/>
          <w:szCs w:val="28"/>
        </w:rPr>
      </w:pPr>
    </w:p>
    <w:p w14:paraId="1A630EDF" w14:textId="77777777" w:rsidR="00995689" w:rsidRDefault="00995689" w:rsidP="00160C8D">
      <w:pPr>
        <w:rPr>
          <w:sz w:val="28"/>
          <w:szCs w:val="28"/>
          <w:highlight w:val="green"/>
        </w:rPr>
      </w:pPr>
    </w:p>
    <w:p w14:paraId="2084DFA4" w14:textId="77777777" w:rsidR="00160C8D" w:rsidRPr="00700D85" w:rsidRDefault="00160C8D" w:rsidP="00160C8D">
      <w:pPr>
        <w:rPr>
          <w:sz w:val="28"/>
          <w:szCs w:val="28"/>
        </w:rPr>
      </w:pPr>
    </w:p>
    <w:p w14:paraId="63ED4B51" w14:textId="77777777" w:rsidR="00702B15" w:rsidRPr="00700D85" w:rsidRDefault="00702B15">
      <w:pPr>
        <w:rPr>
          <w:sz w:val="28"/>
          <w:szCs w:val="28"/>
        </w:rPr>
      </w:pPr>
    </w:p>
    <w:sectPr w:rsidR="00702B15" w:rsidRPr="00700D85">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E7DD6" w14:textId="77777777" w:rsidR="002E0A02" w:rsidRDefault="002E0A02" w:rsidP="009E3DBA">
      <w:r>
        <w:separator/>
      </w:r>
    </w:p>
  </w:endnote>
  <w:endnote w:type="continuationSeparator" w:id="0">
    <w:p w14:paraId="629CE936" w14:textId="77777777" w:rsidR="002E0A02" w:rsidRDefault="002E0A02" w:rsidP="009E3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8FAA7" w14:textId="1642AF3C" w:rsidR="00500529" w:rsidRDefault="00500529">
    <w:pPr>
      <w:pStyle w:val="Piedepgina"/>
    </w:pPr>
    <w:r>
      <w:rPr>
        <w:noProof/>
      </w:rPr>
      <w:drawing>
        <wp:inline distT="0" distB="0" distL="0" distR="0" wp14:anchorId="17493D9B" wp14:editId="10CB1374">
          <wp:extent cx="5612130" cy="779780"/>
          <wp:effectExtent l="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5612130" cy="77978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0872B" w14:textId="77777777" w:rsidR="002E0A02" w:rsidRDefault="002E0A02" w:rsidP="009E3DBA">
      <w:r>
        <w:separator/>
      </w:r>
    </w:p>
  </w:footnote>
  <w:footnote w:type="continuationSeparator" w:id="0">
    <w:p w14:paraId="67D51054" w14:textId="77777777" w:rsidR="002E0A02" w:rsidRDefault="002E0A02" w:rsidP="009E3DBA">
      <w:r>
        <w:continuationSeparator/>
      </w:r>
    </w:p>
  </w:footnote>
  <w:footnote w:id="1">
    <w:p w14:paraId="01132DD4" w14:textId="77777777" w:rsidR="009E3DBA" w:rsidRDefault="009E3DBA" w:rsidP="009E3DBA">
      <w:pPr>
        <w:pStyle w:val="Textonotapie"/>
        <w:jc w:val="both"/>
      </w:pPr>
      <w:r>
        <w:rPr>
          <w:rStyle w:val="Refdenotaalpie"/>
        </w:rPr>
        <w:footnoteRef/>
      </w:r>
      <w:r>
        <w:t xml:space="preserve"> El concepto de afrodescendientes define a quienes se auto identifican como tales; los hijos de las víctimas de la trata trasatlántica; los descendientes de las migraciones contemporáneas del África y al conjunto de familias de ascendencia africana que poseen una cultura propia, comparten una historia y tienen sus propias tradiciones y costumbre que revelan y conservan conciencia de identidad que las distinguen de otros grupos étnicos. Esta definición es relevante para la aplicación del Convenio 169 de la OIT. </w:t>
      </w:r>
    </w:p>
    <w:p w14:paraId="57D1D2B0" w14:textId="77777777" w:rsidR="009E3DBA" w:rsidRDefault="009E3DBA" w:rsidP="009E3DBA">
      <w:pPr>
        <w:pStyle w:val="Textonotapie"/>
        <w:jc w:val="both"/>
      </w:pPr>
    </w:p>
    <w:p w14:paraId="278C9E61" w14:textId="77777777" w:rsidR="009E3DBA" w:rsidRDefault="009E3DBA" w:rsidP="009E3DBA">
      <w:pPr>
        <w:pStyle w:val="Textonotapie"/>
        <w:jc w:val="both"/>
      </w:pPr>
      <w:r>
        <w:t xml:space="preserve">También se define como “…aquella persona de origen africano que vive en las Américas y en todas las zonas de la diáspora africana por consecuencia de la esclavitud habiéndoseles denegado históricamente el ejercicio de sus derechos fundamentales” (ONU, 2000). </w:t>
      </w:r>
    </w:p>
    <w:p w14:paraId="58A4B884" w14:textId="77777777" w:rsidR="009E3DBA" w:rsidRDefault="009E3DBA" w:rsidP="009E3DBA">
      <w:pPr>
        <w:pStyle w:val="Textonotapie"/>
        <w:jc w:val="both"/>
      </w:pPr>
    </w:p>
    <w:p w14:paraId="585026A5" w14:textId="42479285" w:rsidR="009E3DBA" w:rsidRPr="009E3DBA" w:rsidRDefault="009E3DBA" w:rsidP="009E3DBA">
      <w:pPr>
        <w:pStyle w:val="Textonotapie"/>
        <w:jc w:val="both"/>
      </w:pPr>
      <w:r>
        <w:t>Afrodescendientes denota, además, a todos los grupos identificados como negros mulatos, morenos, zambos, trigueños, niches, prietos, entre otros; algunos hacen parte de los eufemismos recreados en contextos de racismo. Como categoría jurídica-política, el concepto afrodescendiente da estatus de sujeto de derecho internacional. La III Conferencia Mundial contra el Racismo, la Discriminación Racial, la Xenofobia y demás formas conexas de intolerancia, adoptó este término para referirse a la diáspora africana (ONU, 2001).</w:t>
      </w:r>
    </w:p>
  </w:footnote>
  <w:footnote w:id="2">
    <w:p w14:paraId="11BF89C0" w14:textId="2A40B6E3" w:rsidR="009E3DBA" w:rsidRPr="009E3DBA" w:rsidRDefault="009E3DBA" w:rsidP="009E3DBA">
      <w:pPr>
        <w:pStyle w:val="Textonotapie"/>
        <w:jc w:val="both"/>
        <w:rPr>
          <w:lang w:val="en-US"/>
        </w:rPr>
      </w:pPr>
      <w:r>
        <w:rPr>
          <w:rStyle w:val="Refdenotaalpie"/>
        </w:rPr>
        <w:footnoteRef/>
      </w:r>
      <w:r>
        <w:t xml:space="preserve"> </w:t>
      </w:r>
      <w:r w:rsidRPr="009E3DBA">
        <w:t>“Se entiende por racismo sistémico contra los africanos y los afrodescendientes —también en lo que respecta al racismo estructural e institucional— el funcionamiento de un sistema complejo e interrelacionado de leyes, políticas, prácticas y actitudes en las instituciones del Estado, el sector privado y las estructuras sociales que, combinadas, dan lugar a una discriminación, distinción, exclusión, restricción o preferencia, directa o indirecta, intencionada o no, de hecho o de derecho, por motivos de raza, color, ascendencia u origen nacional o étnico. Con frecuencia, el racismo sistémico se manifiesta en forma de estereotipos raciales, prejuicios y sesgos generalizados, y tiene sus raíces en las historias y legados de la esclavitud, la trata transatlántica de esclavos africanos y el colonialismo”. A/HRC/47/53. ONU,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FD819" w14:textId="62573A28" w:rsidR="00500529" w:rsidRDefault="00500529">
    <w:pPr>
      <w:pStyle w:val="Encabezado"/>
    </w:pPr>
    <w:r>
      <w:rPr>
        <w:noProof/>
      </w:rPr>
      <w:drawing>
        <wp:inline distT="0" distB="0" distL="0" distR="0" wp14:anchorId="475EF28A" wp14:editId="121F4FE8">
          <wp:extent cx="5612130" cy="1358265"/>
          <wp:effectExtent l="0" t="0" r="127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612130" cy="13582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9D7A2F"/>
    <w:multiLevelType w:val="hybridMultilevel"/>
    <w:tmpl w:val="6AD625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3EB1DB2"/>
    <w:multiLevelType w:val="hybridMultilevel"/>
    <w:tmpl w:val="242C0B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3830991">
    <w:abstractNumId w:val="1"/>
  </w:num>
  <w:num w:numId="2" w16cid:durableId="988172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C8D"/>
    <w:rsid w:val="00041B26"/>
    <w:rsid w:val="00160C8D"/>
    <w:rsid w:val="00183B35"/>
    <w:rsid w:val="00285F75"/>
    <w:rsid w:val="002E0A02"/>
    <w:rsid w:val="003C5E71"/>
    <w:rsid w:val="00500529"/>
    <w:rsid w:val="00617730"/>
    <w:rsid w:val="0064159C"/>
    <w:rsid w:val="00700D85"/>
    <w:rsid w:val="00702B15"/>
    <w:rsid w:val="00944FC3"/>
    <w:rsid w:val="00995689"/>
    <w:rsid w:val="009E3DBA"/>
    <w:rsid w:val="00A6342B"/>
    <w:rsid w:val="00BA0410"/>
    <w:rsid w:val="00BC57C6"/>
    <w:rsid w:val="00DF0F3C"/>
    <w:rsid w:val="00F55A05"/>
    <w:rsid w:val="00FE3716"/>
    <w:rsid w:val="00FF07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932F5"/>
  <w15:chartTrackingRefBased/>
  <w15:docId w15:val="{8E935772-09C0-4864-85B8-C8C94F587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C8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60C8D"/>
    <w:pPr>
      <w:ind w:left="720"/>
      <w:contextualSpacing/>
    </w:pPr>
  </w:style>
  <w:style w:type="paragraph" w:styleId="Textonotapie">
    <w:name w:val="footnote text"/>
    <w:basedOn w:val="Normal"/>
    <w:link w:val="TextonotapieCar"/>
    <w:uiPriority w:val="99"/>
    <w:semiHidden/>
    <w:unhideWhenUsed/>
    <w:rsid w:val="009E3DBA"/>
    <w:rPr>
      <w:sz w:val="20"/>
      <w:szCs w:val="20"/>
    </w:rPr>
  </w:style>
  <w:style w:type="character" w:customStyle="1" w:styleId="TextonotapieCar">
    <w:name w:val="Texto nota pie Car"/>
    <w:basedOn w:val="Fuentedeprrafopredeter"/>
    <w:link w:val="Textonotapie"/>
    <w:uiPriority w:val="99"/>
    <w:semiHidden/>
    <w:rsid w:val="009E3DBA"/>
    <w:rPr>
      <w:rFonts w:ascii="Times New Roman" w:eastAsia="Times New Roman" w:hAnsi="Times New Roman"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9E3DBA"/>
    <w:rPr>
      <w:vertAlign w:val="superscript"/>
    </w:rPr>
  </w:style>
  <w:style w:type="character" w:styleId="Hipervnculo">
    <w:name w:val="Hyperlink"/>
    <w:basedOn w:val="Fuentedeprrafopredeter"/>
    <w:uiPriority w:val="99"/>
    <w:unhideWhenUsed/>
    <w:rsid w:val="009E3DBA"/>
    <w:rPr>
      <w:color w:val="0563C1" w:themeColor="hyperlink"/>
      <w:u w:val="single"/>
    </w:rPr>
  </w:style>
  <w:style w:type="character" w:styleId="Mencinsinresolver">
    <w:name w:val="Unresolved Mention"/>
    <w:basedOn w:val="Fuentedeprrafopredeter"/>
    <w:uiPriority w:val="99"/>
    <w:semiHidden/>
    <w:unhideWhenUsed/>
    <w:rsid w:val="009E3DBA"/>
    <w:rPr>
      <w:color w:val="605E5C"/>
      <w:shd w:val="clear" w:color="auto" w:fill="E1DFDD"/>
    </w:rPr>
  </w:style>
  <w:style w:type="paragraph" w:styleId="Encabezado">
    <w:name w:val="header"/>
    <w:basedOn w:val="Normal"/>
    <w:link w:val="EncabezadoCar"/>
    <w:uiPriority w:val="99"/>
    <w:unhideWhenUsed/>
    <w:rsid w:val="00500529"/>
    <w:pPr>
      <w:tabs>
        <w:tab w:val="center" w:pos="4419"/>
        <w:tab w:val="right" w:pos="8838"/>
      </w:tabs>
    </w:pPr>
  </w:style>
  <w:style w:type="character" w:customStyle="1" w:styleId="EncabezadoCar">
    <w:name w:val="Encabezado Car"/>
    <w:basedOn w:val="Fuentedeprrafopredeter"/>
    <w:link w:val="Encabezado"/>
    <w:uiPriority w:val="99"/>
    <w:rsid w:val="00500529"/>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unhideWhenUsed/>
    <w:rsid w:val="00500529"/>
    <w:pPr>
      <w:tabs>
        <w:tab w:val="center" w:pos="4419"/>
        <w:tab w:val="right" w:pos="8838"/>
      </w:tabs>
    </w:pPr>
  </w:style>
  <w:style w:type="character" w:customStyle="1" w:styleId="PiedepginaCar">
    <w:name w:val="Pie de página Car"/>
    <w:basedOn w:val="Fuentedeprrafopredeter"/>
    <w:link w:val="Piedepgina"/>
    <w:uiPriority w:val="99"/>
    <w:rsid w:val="00500529"/>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basedOn w:val="Fuentedeprrafopredeter"/>
    <w:uiPriority w:val="99"/>
    <w:semiHidden/>
    <w:unhideWhenUsed/>
    <w:rsid w:val="005005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ARmuXMQGLNRACdunf_fbSVuJfhebm7d8/view?usp=shar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cs.google.com/document/d/1CPzoahledkqsdvDrwG4-DOm0Ct2Y65Mc/edit?usp=sharing&amp;ouid=114755096182533929091&amp;rtpof=true&amp;sd=tru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urate.nd.edu/show/6395w66682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1290</Words>
  <Characters>7096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Pastor Elías Murillo Martínez</dc:creator>
  <cp:keywords/>
  <dc:description/>
  <cp:lastModifiedBy>Pastor Elías Murillo Martínez</cp:lastModifiedBy>
  <cp:revision>4</cp:revision>
  <dcterms:created xsi:type="dcterms:W3CDTF">2023-07-06T16:53:00Z</dcterms:created>
  <dcterms:modified xsi:type="dcterms:W3CDTF">2023-07-06T17:19:00Z</dcterms:modified>
</cp:coreProperties>
</file>