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53EF" w:rsidRDefault="00D54628">
      <w:pPr>
        <w:jc w:val="center"/>
        <w:rPr>
          <w:rFonts w:ascii="Arial" w:eastAsia="Arial" w:hAnsi="Arial" w:cs="Arial"/>
          <w:b/>
        </w:rPr>
      </w:pPr>
      <w:bookmarkStart w:id="0" w:name="_heading=h.gjdgxs" w:colFirst="0" w:colLast="0"/>
      <w:bookmarkEnd w:id="0"/>
      <w:r>
        <w:rPr>
          <w:rFonts w:ascii="Arial" w:eastAsia="Arial" w:hAnsi="Arial" w:cs="Arial"/>
          <w:b/>
        </w:rPr>
        <w:t>ANEXO 4</w:t>
      </w:r>
    </w:p>
    <w:p w:rsidR="002053EF" w:rsidRDefault="00D54628">
      <w:pPr>
        <w:jc w:val="center"/>
        <w:rPr>
          <w:rFonts w:ascii="Arial" w:eastAsia="Arial" w:hAnsi="Arial" w:cs="Arial"/>
          <w:b/>
        </w:rPr>
      </w:pPr>
      <w:r>
        <w:rPr>
          <w:rFonts w:ascii="Arial" w:eastAsia="Arial" w:hAnsi="Arial" w:cs="Arial"/>
          <w:b/>
        </w:rPr>
        <w:t xml:space="preserve">RESUMEN SOBRE LAS CONSULTAS VIRTUALES CON ACTORES SOCIALES Y ACADEMIA </w:t>
      </w:r>
    </w:p>
    <w:p w:rsidR="002053EF" w:rsidRDefault="00D54628">
      <w:pPr>
        <w:jc w:val="both"/>
        <w:rPr>
          <w:rFonts w:ascii="Arial" w:eastAsia="Arial" w:hAnsi="Arial" w:cs="Arial"/>
          <w:b/>
        </w:rPr>
      </w:pPr>
      <w:r>
        <w:rPr>
          <w:rFonts w:ascii="Arial" w:eastAsia="Arial" w:hAnsi="Arial" w:cs="Arial"/>
          <w:b/>
        </w:rPr>
        <w:t>Introducción</w:t>
      </w:r>
    </w:p>
    <w:p w:rsidR="002053EF" w:rsidRDefault="00D54628">
      <w:pPr>
        <w:jc w:val="both"/>
        <w:rPr>
          <w:rFonts w:ascii="Arial" w:eastAsia="Arial" w:hAnsi="Arial" w:cs="Arial"/>
        </w:rPr>
      </w:pPr>
      <w:r>
        <w:rPr>
          <w:rFonts w:ascii="Arial" w:eastAsia="Arial" w:hAnsi="Arial" w:cs="Arial"/>
        </w:rPr>
        <w:t xml:space="preserve">Las organizaciones de la sociedad civil, academia y organismos internacionales han contribuido en el reconocimiento de los derechos de niñas, niños y adolescentes en el país </w:t>
      </w:r>
      <w:bookmarkStart w:id="1" w:name="_GoBack"/>
      <w:bookmarkEnd w:id="1"/>
      <w:r>
        <w:rPr>
          <w:rFonts w:ascii="Arial" w:eastAsia="Arial" w:hAnsi="Arial" w:cs="Arial"/>
        </w:rPr>
        <w:t>y fueron fundamentales en el proceso de creación de la Ley General de los Derechos</w:t>
      </w:r>
      <w:r>
        <w:rPr>
          <w:rFonts w:ascii="Arial" w:eastAsia="Arial" w:hAnsi="Arial" w:cs="Arial"/>
        </w:rPr>
        <w:t xml:space="preserve"> de Niñas, Niños y Adolescentes (LGDNNA).  </w:t>
      </w:r>
    </w:p>
    <w:p w:rsidR="002053EF" w:rsidRDefault="00D54628">
      <w:pPr>
        <w:jc w:val="both"/>
        <w:rPr>
          <w:rFonts w:ascii="Arial" w:eastAsia="Arial" w:hAnsi="Arial" w:cs="Arial"/>
        </w:rPr>
      </w:pPr>
      <w:r>
        <w:rPr>
          <w:rFonts w:ascii="Arial" w:eastAsia="Arial" w:hAnsi="Arial" w:cs="Arial"/>
        </w:rPr>
        <w:t xml:space="preserve">En este sentido, la </w:t>
      </w:r>
      <w:r>
        <w:rPr>
          <w:rFonts w:ascii="Arial" w:eastAsia="Arial" w:hAnsi="Arial" w:cs="Arial"/>
          <w:i/>
        </w:rPr>
        <w:t>Comisión para el Seguimiento de las Recomendaciones del Comité de los Derechos del Niño del SIPINNA</w:t>
      </w:r>
      <w:r>
        <w:rPr>
          <w:rFonts w:ascii="Arial" w:eastAsia="Arial" w:hAnsi="Arial" w:cs="Arial"/>
        </w:rPr>
        <w:t>, resolvió llevar a cabo mecanismos de participación y consulta con el sector social y académ</w:t>
      </w:r>
      <w:r>
        <w:rPr>
          <w:rFonts w:ascii="Arial" w:eastAsia="Arial" w:hAnsi="Arial" w:cs="Arial"/>
        </w:rPr>
        <w:t>ico, con la finalidad de tomar en cuenta sus opiniones respecto al estado que guarda el cumplimiento de dichas obligaciones de carácter internacional, incluyendo los retos que aún enfrenta el Estado mexicano para ello.</w:t>
      </w:r>
    </w:p>
    <w:p w:rsidR="002053EF" w:rsidRDefault="00D54628">
      <w:pPr>
        <w:jc w:val="both"/>
        <w:rPr>
          <w:rFonts w:ascii="Arial" w:eastAsia="Arial" w:hAnsi="Arial" w:cs="Arial"/>
        </w:rPr>
      </w:pPr>
      <w:r>
        <w:rPr>
          <w:rFonts w:ascii="Arial" w:eastAsia="Arial" w:hAnsi="Arial" w:cs="Arial"/>
        </w:rPr>
        <w:t>Dichas consultas se realizaron en jul</w:t>
      </w:r>
      <w:r>
        <w:rPr>
          <w:rFonts w:ascii="Arial" w:eastAsia="Arial" w:hAnsi="Arial" w:cs="Arial"/>
        </w:rPr>
        <w:t>io de 2020, vía remota debido a la pandemia por el virus SARS CoV-2, a partir de la conformación de 4 grupos conformados por sociedad civil</w:t>
      </w:r>
      <w:r>
        <w:rPr>
          <w:rFonts w:ascii="Arial" w:eastAsia="Arial" w:hAnsi="Arial" w:cs="Arial"/>
          <w:vertAlign w:val="superscript"/>
        </w:rPr>
        <w:footnoteReference w:id="1"/>
      </w:r>
      <w:r>
        <w:rPr>
          <w:rFonts w:ascii="Arial" w:eastAsia="Arial" w:hAnsi="Arial" w:cs="Arial"/>
        </w:rPr>
        <w:t>, organismos internacionales</w:t>
      </w:r>
      <w:r>
        <w:rPr>
          <w:rFonts w:ascii="Arial" w:eastAsia="Arial" w:hAnsi="Arial" w:cs="Arial"/>
          <w:vertAlign w:val="superscript"/>
        </w:rPr>
        <w:footnoteReference w:id="2"/>
      </w:r>
      <w:r>
        <w:rPr>
          <w:rFonts w:ascii="Arial" w:eastAsia="Arial" w:hAnsi="Arial" w:cs="Arial"/>
        </w:rPr>
        <w:t xml:space="preserve"> y academia</w:t>
      </w:r>
      <w:r>
        <w:rPr>
          <w:rFonts w:ascii="Arial" w:eastAsia="Arial" w:hAnsi="Arial" w:cs="Arial"/>
          <w:vertAlign w:val="superscript"/>
        </w:rPr>
        <w:footnoteReference w:id="3"/>
      </w:r>
      <w:r>
        <w:rPr>
          <w:rFonts w:ascii="Arial" w:eastAsia="Arial" w:hAnsi="Arial" w:cs="Arial"/>
        </w:rPr>
        <w:t>, así como por el Consejo Consultivo</w:t>
      </w:r>
      <w:r>
        <w:rPr>
          <w:rFonts w:ascii="Arial" w:eastAsia="Arial" w:hAnsi="Arial" w:cs="Arial"/>
          <w:vertAlign w:val="superscript"/>
        </w:rPr>
        <w:footnoteReference w:id="4"/>
      </w:r>
      <w:r>
        <w:rPr>
          <w:rFonts w:ascii="Arial" w:eastAsia="Arial" w:hAnsi="Arial" w:cs="Arial"/>
        </w:rPr>
        <w:t xml:space="preserve"> y las 8 personas representantes d</w:t>
      </w:r>
      <w:r>
        <w:rPr>
          <w:rFonts w:ascii="Arial" w:eastAsia="Arial" w:hAnsi="Arial" w:cs="Arial"/>
        </w:rPr>
        <w:t>e sociedad civil del SIPINNA</w:t>
      </w:r>
      <w:r>
        <w:rPr>
          <w:rFonts w:ascii="Arial" w:eastAsia="Arial" w:hAnsi="Arial" w:cs="Arial"/>
          <w:vertAlign w:val="superscript"/>
        </w:rPr>
        <w:footnoteReference w:id="5"/>
      </w:r>
      <w:r>
        <w:rPr>
          <w:rFonts w:ascii="Arial" w:eastAsia="Arial" w:hAnsi="Arial" w:cs="Arial"/>
        </w:rPr>
        <w:t>, quienes, como fue señalado en el Sexto y Séptimo Informe Combinado de México son personas expertas y reconocidas en la materia.</w:t>
      </w:r>
    </w:p>
    <w:p w:rsidR="002053EF" w:rsidRDefault="00D54628">
      <w:pPr>
        <w:jc w:val="both"/>
        <w:rPr>
          <w:rFonts w:ascii="Arial" w:eastAsia="Arial" w:hAnsi="Arial" w:cs="Arial"/>
          <w:b/>
        </w:rPr>
      </w:pPr>
      <w:r>
        <w:rPr>
          <w:rFonts w:ascii="Arial" w:eastAsia="Arial" w:hAnsi="Arial" w:cs="Arial"/>
          <w:b/>
        </w:rPr>
        <w:lastRenderedPageBreak/>
        <w:t>Metodología</w:t>
      </w:r>
    </w:p>
    <w:p w:rsidR="002053EF" w:rsidRDefault="00D54628">
      <w:pPr>
        <w:jc w:val="both"/>
        <w:rPr>
          <w:rFonts w:ascii="Arial" w:eastAsia="Arial" w:hAnsi="Arial" w:cs="Arial"/>
        </w:rPr>
      </w:pPr>
      <w:r>
        <w:rPr>
          <w:rFonts w:ascii="Arial" w:eastAsia="Arial" w:hAnsi="Arial" w:cs="Arial"/>
        </w:rPr>
        <w:t xml:space="preserve">Las cuatro consultas se realizaron mediante la Plataforma </w:t>
      </w:r>
      <w:proofErr w:type="gramStart"/>
      <w:r>
        <w:rPr>
          <w:rFonts w:ascii="Arial" w:eastAsia="Arial" w:hAnsi="Arial" w:cs="Arial"/>
        </w:rPr>
        <w:t>ZOOM</w:t>
      </w:r>
      <w:proofErr w:type="gramEnd"/>
      <w:r>
        <w:rPr>
          <w:rFonts w:ascii="Arial" w:eastAsia="Arial" w:hAnsi="Arial" w:cs="Arial"/>
        </w:rPr>
        <w:t xml:space="preserve">, en las que se contó </w:t>
      </w:r>
      <w:r>
        <w:rPr>
          <w:rFonts w:ascii="Arial" w:eastAsia="Arial" w:hAnsi="Arial" w:cs="Arial"/>
        </w:rPr>
        <w:t xml:space="preserve">una persona moderadora en cada una de las sesiones. </w:t>
      </w:r>
    </w:p>
    <w:p w:rsidR="002053EF" w:rsidRDefault="00D54628">
      <w:pPr>
        <w:jc w:val="both"/>
        <w:rPr>
          <w:rFonts w:ascii="Arial" w:eastAsia="Arial" w:hAnsi="Arial" w:cs="Arial"/>
        </w:rPr>
      </w:pPr>
      <w:r>
        <w:rPr>
          <w:rFonts w:ascii="Arial" w:eastAsia="Arial" w:hAnsi="Arial" w:cs="Arial"/>
        </w:rPr>
        <w:t>Cada espacio de reflexión fue dividido en tres bloques sobre temáticas específicas relacionadas a la Convención y a las recomendaciones. El Bloque 1 abordó las temáticas relacionadas con las Medidas gene</w:t>
      </w:r>
      <w:r>
        <w:rPr>
          <w:rFonts w:ascii="Arial" w:eastAsia="Arial" w:hAnsi="Arial" w:cs="Arial"/>
        </w:rPr>
        <w:t xml:space="preserve">rales de </w:t>
      </w:r>
      <w:proofErr w:type="gramStart"/>
      <w:r>
        <w:rPr>
          <w:rFonts w:ascii="Arial" w:eastAsia="Arial" w:hAnsi="Arial" w:cs="Arial"/>
        </w:rPr>
        <w:t>aplicación ,</w:t>
      </w:r>
      <w:proofErr w:type="gramEnd"/>
      <w:r>
        <w:rPr>
          <w:rFonts w:ascii="Arial" w:eastAsia="Arial" w:hAnsi="Arial" w:cs="Arial"/>
        </w:rPr>
        <w:t xml:space="preserve"> principios generales y derechos y libertades civiles. El Bloque 2 las Medidas especiales de protección, Violencia contra las niñas y los niños y Discapacidad, salud básica y bienestar. El Bloque 3: Entorno familiar y modalidades alter</w:t>
      </w:r>
      <w:r>
        <w:rPr>
          <w:rFonts w:ascii="Arial" w:eastAsia="Arial" w:hAnsi="Arial" w:cs="Arial"/>
        </w:rPr>
        <w:t>nativas de cuidados y Educación, esparcimiento y actividades culturales.</w:t>
      </w:r>
    </w:p>
    <w:p w:rsidR="002053EF" w:rsidRDefault="00D54628">
      <w:pPr>
        <w:jc w:val="both"/>
        <w:rPr>
          <w:rFonts w:ascii="Arial" w:eastAsia="Arial" w:hAnsi="Arial" w:cs="Arial"/>
        </w:rPr>
      </w:pPr>
      <w:r>
        <w:rPr>
          <w:rFonts w:ascii="Arial" w:eastAsia="Arial" w:hAnsi="Arial" w:cs="Arial"/>
        </w:rPr>
        <w:t>El análisis tuvo como punto de partida preguntas generales enviadas previamente a las y los participantes, con la finalidad de detonar la reflexión. Dichas preguntas fueron las siguie</w:t>
      </w:r>
      <w:r>
        <w:rPr>
          <w:rFonts w:ascii="Arial" w:eastAsia="Arial" w:hAnsi="Arial" w:cs="Arial"/>
        </w:rPr>
        <w:t>ntes:</w:t>
      </w:r>
    </w:p>
    <w:p w:rsidR="002053EF" w:rsidRDefault="00D54628">
      <w:pPr>
        <w:numPr>
          <w:ilvl w:val="0"/>
          <w:numId w:val="1"/>
        </w:numPr>
        <w:spacing w:after="0" w:line="250" w:lineRule="auto"/>
        <w:jc w:val="both"/>
        <w:rPr>
          <w:rFonts w:ascii="Arial" w:eastAsia="Arial" w:hAnsi="Arial" w:cs="Arial"/>
        </w:rPr>
      </w:pPr>
      <w:r>
        <w:rPr>
          <w:rFonts w:ascii="Arial" w:eastAsia="Arial" w:hAnsi="Arial" w:cs="Arial"/>
        </w:rPr>
        <w:t>Desde la perspectiva de los diversos actores sociales en materia de derechos de niñas, niños y adolescentes ¿Cuál es el estado que guarda el cumplimiento de las obligaciones del Estado mexicano respecto a la Convención de los Derechos del Niño y de l</w:t>
      </w:r>
      <w:r>
        <w:rPr>
          <w:rFonts w:ascii="Arial" w:eastAsia="Arial" w:hAnsi="Arial" w:cs="Arial"/>
        </w:rPr>
        <w:t>as recomendaciones emitidas por el Comité de los Derechos del Niño en 2015?</w:t>
      </w:r>
    </w:p>
    <w:p w:rsidR="002053EF" w:rsidRDefault="00D54628">
      <w:pPr>
        <w:numPr>
          <w:ilvl w:val="0"/>
          <w:numId w:val="1"/>
        </w:numPr>
        <w:spacing w:after="0" w:line="250" w:lineRule="auto"/>
        <w:jc w:val="both"/>
        <w:rPr>
          <w:rFonts w:ascii="Arial" w:eastAsia="Arial" w:hAnsi="Arial" w:cs="Arial"/>
        </w:rPr>
      </w:pPr>
      <w:r>
        <w:rPr>
          <w:rFonts w:ascii="Arial" w:eastAsia="Arial" w:hAnsi="Arial" w:cs="Arial"/>
        </w:rPr>
        <w:t>¿Cómo ha sido la colaboración entre los actores sociales (organizaciones de la sociedad civil, academia, sector privado, etc.) y las instituciones del estado mexicano en la promoci</w:t>
      </w:r>
      <w:r>
        <w:rPr>
          <w:rFonts w:ascii="Arial" w:eastAsia="Arial" w:hAnsi="Arial" w:cs="Arial"/>
        </w:rPr>
        <w:t>ón y defensa de los derechos de las niñas, niños y adolescentes?</w:t>
      </w:r>
    </w:p>
    <w:p w:rsidR="002053EF" w:rsidRDefault="00D54628">
      <w:pPr>
        <w:numPr>
          <w:ilvl w:val="0"/>
          <w:numId w:val="1"/>
        </w:numPr>
        <w:spacing w:after="0" w:line="250" w:lineRule="auto"/>
        <w:jc w:val="both"/>
        <w:rPr>
          <w:rFonts w:ascii="Arial" w:eastAsia="Arial" w:hAnsi="Arial" w:cs="Arial"/>
        </w:rPr>
      </w:pPr>
      <w:r>
        <w:rPr>
          <w:rFonts w:ascii="Arial" w:eastAsia="Arial" w:hAnsi="Arial" w:cs="Arial"/>
        </w:rPr>
        <w:t>A cuatro años de la publicación de las últimas recomendaciones emitidas por el Comité de los Derechos del Niño de Naciones ¿Qué avances se observan respecto a la implementación de la Convenci</w:t>
      </w:r>
      <w:r>
        <w:rPr>
          <w:rFonts w:ascii="Arial" w:eastAsia="Arial" w:hAnsi="Arial" w:cs="Arial"/>
        </w:rPr>
        <w:t>ón de los Derechos del Niño y de las recomendaciones del Comité de los Derechos del Niño?</w:t>
      </w:r>
    </w:p>
    <w:p w:rsidR="002053EF" w:rsidRDefault="00D54628">
      <w:pPr>
        <w:numPr>
          <w:ilvl w:val="0"/>
          <w:numId w:val="1"/>
        </w:numPr>
        <w:spacing w:after="0" w:line="250" w:lineRule="auto"/>
        <w:jc w:val="both"/>
        <w:rPr>
          <w:rFonts w:ascii="Arial" w:eastAsia="Arial" w:hAnsi="Arial" w:cs="Arial"/>
        </w:rPr>
      </w:pPr>
      <w:r>
        <w:rPr>
          <w:rFonts w:ascii="Arial" w:eastAsia="Arial" w:hAnsi="Arial" w:cs="Arial"/>
        </w:rPr>
        <w:t>¿Qué desafíos enfrenta el Estado mexicano para su cumplimiento?</w:t>
      </w:r>
    </w:p>
    <w:p w:rsidR="002053EF" w:rsidRDefault="002053EF">
      <w:pPr>
        <w:spacing w:after="0" w:line="250" w:lineRule="auto"/>
        <w:ind w:left="720"/>
        <w:jc w:val="both"/>
        <w:rPr>
          <w:rFonts w:ascii="Arial" w:eastAsia="Arial" w:hAnsi="Arial" w:cs="Arial"/>
          <w:sz w:val="24"/>
          <w:szCs w:val="24"/>
        </w:rPr>
      </w:pPr>
    </w:p>
    <w:p w:rsidR="002053EF" w:rsidRDefault="00D54628">
      <w:pPr>
        <w:jc w:val="both"/>
        <w:rPr>
          <w:rFonts w:ascii="Arial" w:eastAsia="Arial" w:hAnsi="Arial" w:cs="Arial"/>
        </w:rPr>
      </w:pPr>
      <w:r>
        <w:rPr>
          <w:rFonts w:ascii="Arial" w:eastAsia="Arial" w:hAnsi="Arial" w:cs="Arial"/>
          <w:sz w:val="24"/>
          <w:szCs w:val="24"/>
        </w:rPr>
        <w:t>En este sentido, los grupos fueron heterogéneos, toda vez que en todos ellos participaron personas re</w:t>
      </w:r>
      <w:r>
        <w:rPr>
          <w:rFonts w:ascii="Arial" w:eastAsia="Arial" w:hAnsi="Arial" w:cs="Arial"/>
          <w:sz w:val="24"/>
          <w:szCs w:val="24"/>
        </w:rPr>
        <w:t xml:space="preserve">presentantes de organizaciones de la sociedad civil, academia, organismos internacionales y en un caso, un organismo autónomo. </w:t>
      </w:r>
      <w:r>
        <w:rPr>
          <w:rFonts w:ascii="Arial" w:eastAsia="Arial" w:hAnsi="Arial" w:cs="Arial"/>
        </w:rPr>
        <w:t xml:space="preserve">De esta manera se a continuación se enuncia el número de participantes por cada uno de ellos: </w:t>
      </w:r>
    </w:p>
    <w:tbl>
      <w:tblPr>
        <w:tblStyle w:val="a"/>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053EF">
        <w:tc>
          <w:tcPr>
            <w:tcW w:w="4414" w:type="dxa"/>
          </w:tcPr>
          <w:p w:rsidR="002053EF" w:rsidRDefault="00D54628">
            <w:pPr>
              <w:spacing w:line="276" w:lineRule="auto"/>
              <w:jc w:val="center"/>
              <w:rPr>
                <w:rFonts w:ascii="Arial" w:eastAsia="Arial" w:hAnsi="Arial" w:cs="Arial"/>
                <w:b/>
              </w:rPr>
            </w:pPr>
            <w:r>
              <w:rPr>
                <w:rFonts w:ascii="Arial" w:eastAsia="Arial" w:hAnsi="Arial" w:cs="Arial"/>
                <w:b/>
              </w:rPr>
              <w:t>Institución</w:t>
            </w:r>
          </w:p>
        </w:tc>
        <w:tc>
          <w:tcPr>
            <w:tcW w:w="4414" w:type="dxa"/>
          </w:tcPr>
          <w:p w:rsidR="002053EF" w:rsidRDefault="00D54628">
            <w:pPr>
              <w:spacing w:line="276" w:lineRule="auto"/>
              <w:jc w:val="center"/>
              <w:rPr>
                <w:rFonts w:ascii="Arial" w:eastAsia="Arial" w:hAnsi="Arial" w:cs="Arial"/>
                <w:b/>
              </w:rPr>
            </w:pPr>
            <w:r>
              <w:rPr>
                <w:rFonts w:ascii="Arial" w:eastAsia="Arial" w:hAnsi="Arial" w:cs="Arial"/>
                <w:b/>
              </w:rPr>
              <w:t>Número</w:t>
            </w:r>
          </w:p>
        </w:tc>
      </w:tr>
      <w:tr w:rsidR="002053EF">
        <w:tc>
          <w:tcPr>
            <w:tcW w:w="4414" w:type="dxa"/>
          </w:tcPr>
          <w:p w:rsidR="002053EF" w:rsidRDefault="00D54628">
            <w:pPr>
              <w:spacing w:line="276" w:lineRule="auto"/>
              <w:rPr>
                <w:rFonts w:ascii="Arial" w:eastAsia="Arial" w:hAnsi="Arial" w:cs="Arial"/>
              </w:rPr>
            </w:pPr>
            <w:r>
              <w:rPr>
                <w:rFonts w:ascii="Arial" w:eastAsia="Arial" w:hAnsi="Arial" w:cs="Arial"/>
              </w:rPr>
              <w:t>Organizaciones de la sociedad civil</w:t>
            </w:r>
          </w:p>
        </w:tc>
        <w:tc>
          <w:tcPr>
            <w:tcW w:w="4414" w:type="dxa"/>
            <w:vAlign w:val="center"/>
          </w:tcPr>
          <w:p w:rsidR="002053EF" w:rsidRDefault="00D54628">
            <w:pPr>
              <w:spacing w:line="276" w:lineRule="auto"/>
              <w:jc w:val="center"/>
              <w:rPr>
                <w:rFonts w:ascii="Arial" w:eastAsia="Arial" w:hAnsi="Arial" w:cs="Arial"/>
              </w:rPr>
            </w:pPr>
            <w:r>
              <w:rPr>
                <w:rFonts w:ascii="Arial" w:eastAsia="Arial" w:hAnsi="Arial" w:cs="Arial"/>
              </w:rPr>
              <w:t>24</w:t>
            </w:r>
          </w:p>
        </w:tc>
      </w:tr>
      <w:tr w:rsidR="002053EF">
        <w:tc>
          <w:tcPr>
            <w:tcW w:w="4414" w:type="dxa"/>
          </w:tcPr>
          <w:p w:rsidR="002053EF" w:rsidRDefault="00D54628">
            <w:pPr>
              <w:spacing w:line="276" w:lineRule="auto"/>
              <w:rPr>
                <w:rFonts w:ascii="Arial" w:eastAsia="Arial" w:hAnsi="Arial" w:cs="Arial"/>
              </w:rPr>
            </w:pPr>
            <w:r>
              <w:rPr>
                <w:rFonts w:ascii="Arial" w:eastAsia="Arial" w:hAnsi="Arial" w:cs="Arial"/>
              </w:rPr>
              <w:t>Academia</w:t>
            </w:r>
          </w:p>
        </w:tc>
        <w:tc>
          <w:tcPr>
            <w:tcW w:w="4414" w:type="dxa"/>
            <w:vAlign w:val="center"/>
          </w:tcPr>
          <w:p w:rsidR="002053EF" w:rsidRDefault="00D54628">
            <w:pPr>
              <w:spacing w:line="276" w:lineRule="auto"/>
              <w:jc w:val="center"/>
              <w:rPr>
                <w:rFonts w:ascii="Arial" w:eastAsia="Arial" w:hAnsi="Arial" w:cs="Arial"/>
              </w:rPr>
            </w:pPr>
            <w:r>
              <w:rPr>
                <w:rFonts w:ascii="Arial" w:eastAsia="Arial" w:hAnsi="Arial" w:cs="Arial"/>
              </w:rPr>
              <w:t>9</w:t>
            </w:r>
          </w:p>
        </w:tc>
      </w:tr>
      <w:tr w:rsidR="002053EF">
        <w:tc>
          <w:tcPr>
            <w:tcW w:w="4414" w:type="dxa"/>
          </w:tcPr>
          <w:p w:rsidR="002053EF" w:rsidRDefault="00D54628">
            <w:pPr>
              <w:spacing w:line="276" w:lineRule="auto"/>
              <w:rPr>
                <w:rFonts w:ascii="Arial" w:eastAsia="Arial" w:hAnsi="Arial" w:cs="Arial"/>
              </w:rPr>
            </w:pPr>
            <w:r>
              <w:rPr>
                <w:rFonts w:ascii="Arial" w:eastAsia="Arial" w:hAnsi="Arial" w:cs="Arial"/>
              </w:rPr>
              <w:t>Organismos internacionales</w:t>
            </w:r>
          </w:p>
        </w:tc>
        <w:tc>
          <w:tcPr>
            <w:tcW w:w="4414" w:type="dxa"/>
            <w:vAlign w:val="center"/>
          </w:tcPr>
          <w:p w:rsidR="002053EF" w:rsidRDefault="00D54628">
            <w:pPr>
              <w:spacing w:line="276" w:lineRule="auto"/>
              <w:jc w:val="center"/>
              <w:rPr>
                <w:rFonts w:ascii="Arial" w:eastAsia="Arial" w:hAnsi="Arial" w:cs="Arial"/>
              </w:rPr>
            </w:pPr>
            <w:r>
              <w:rPr>
                <w:rFonts w:ascii="Arial" w:eastAsia="Arial" w:hAnsi="Arial" w:cs="Arial"/>
              </w:rPr>
              <w:t>7</w:t>
            </w:r>
          </w:p>
        </w:tc>
      </w:tr>
      <w:tr w:rsidR="002053EF">
        <w:tc>
          <w:tcPr>
            <w:tcW w:w="4414" w:type="dxa"/>
          </w:tcPr>
          <w:p w:rsidR="002053EF" w:rsidRDefault="00D54628">
            <w:pPr>
              <w:spacing w:line="276" w:lineRule="auto"/>
              <w:rPr>
                <w:rFonts w:ascii="Arial" w:eastAsia="Arial" w:hAnsi="Arial" w:cs="Arial"/>
              </w:rPr>
            </w:pPr>
            <w:r>
              <w:rPr>
                <w:rFonts w:ascii="Arial" w:eastAsia="Arial" w:hAnsi="Arial" w:cs="Arial"/>
              </w:rPr>
              <w:t>Organismos públicos autónomos</w:t>
            </w:r>
          </w:p>
        </w:tc>
        <w:tc>
          <w:tcPr>
            <w:tcW w:w="4414" w:type="dxa"/>
            <w:vAlign w:val="center"/>
          </w:tcPr>
          <w:p w:rsidR="002053EF" w:rsidRDefault="00D54628">
            <w:pPr>
              <w:spacing w:line="276" w:lineRule="auto"/>
              <w:jc w:val="center"/>
              <w:rPr>
                <w:rFonts w:ascii="Arial" w:eastAsia="Arial" w:hAnsi="Arial" w:cs="Arial"/>
              </w:rPr>
            </w:pPr>
            <w:r>
              <w:rPr>
                <w:rFonts w:ascii="Arial" w:eastAsia="Arial" w:hAnsi="Arial" w:cs="Arial"/>
              </w:rPr>
              <w:t>1</w:t>
            </w:r>
          </w:p>
        </w:tc>
      </w:tr>
      <w:tr w:rsidR="002053EF">
        <w:trPr>
          <w:trHeight w:val="278"/>
        </w:trPr>
        <w:tc>
          <w:tcPr>
            <w:tcW w:w="4414" w:type="dxa"/>
          </w:tcPr>
          <w:p w:rsidR="002053EF" w:rsidRDefault="00D54628">
            <w:pPr>
              <w:spacing w:line="276" w:lineRule="auto"/>
              <w:rPr>
                <w:rFonts w:ascii="Arial" w:eastAsia="Arial" w:hAnsi="Arial" w:cs="Arial"/>
              </w:rPr>
            </w:pPr>
            <w:r>
              <w:rPr>
                <w:rFonts w:ascii="Arial" w:eastAsia="Arial" w:hAnsi="Arial" w:cs="Arial"/>
              </w:rPr>
              <w:t>Total</w:t>
            </w:r>
          </w:p>
        </w:tc>
        <w:tc>
          <w:tcPr>
            <w:tcW w:w="4414" w:type="dxa"/>
            <w:vAlign w:val="center"/>
          </w:tcPr>
          <w:p w:rsidR="002053EF" w:rsidRDefault="00D54628">
            <w:pPr>
              <w:spacing w:line="276" w:lineRule="auto"/>
              <w:jc w:val="center"/>
              <w:rPr>
                <w:rFonts w:ascii="Arial" w:eastAsia="Arial" w:hAnsi="Arial" w:cs="Arial"/>
              </w:rPr>
            </w:pPr>
            <w:r>
              <w:rPr>
                <w:rFonts w:ascii="Arial" w:eastAsia="Arial" w:hAnsi="Arial" w:cs="Arial"/>
              </w:rPr>
              <w:t>41</w:t>
            </w:r>
          </w:p>
        </w:tc>
      </w:tr>
    </w:tbl>
    <w:p w:rsidR="002053EF" w:rsidRDefault="002053EF">
      <w:pPr>
        <w:jc w:val="both"/>
        <w:rPr>
          <w:rFonts w:ascii="Arial" w:eastAsia="Arial" w:hAnsi="Arial" w:cs="Arial"/>
        </w:rPr>
      </w:pPr>
    </w:p>
    <w:p w:rsidR="002053EF" w:rsidRDefault="00D54628">
      <w:pPr>
        <w:jc w:val="both"/>
        <w:rPr>
          <w:rFonts w:ascii="Arial" w:eastAsia="Arial" w:hAnsi="Arial" w:cs="Arial"/>
          <w:b/>
        </w:rPr>
      </w:pPr>
      <w:r>
        <w:rPr>
          <w:rFonts w:ascii="Arial" w:eastAsia="Arial" w:hAnsi="Arial" w:cs="Arial"/>
          <w:b/>
        </w:rPr>
        <w:t>Resultados</w:t>
      </w:r>
    </w:p>
    <w:p w:rsidR="002053EF" w:rsidRDefault="00D54628">
      <w:pPr>
        <w:jc w:val="both"/>
        <w:rPr>
          <w:rFonts w:ascii="Arial" w:eastAsia="Arial" w:hAnsi="Arial" w:cs="Arial"/>
        </w:rPr>
      </w:pPr>
      <w:r>
        <w:rPr>
          <w:rFonts w:ascii="Arial" w:eastAsia="Arial" w:hAnsi="Arial" w:cs="Arial"/>
        </w:rPr>
        <w:lastRenderedPageBreak/>
        <w:t xml:space="preserve">Es así </w:t>
      </w:r>
      <w:proofErr w:type="gramStart"/>
      <w:r>
        <w:rPr>
          <w:rFonts w:ascii="Arial" w:eastAsia="Arial" w:hAnsi="Arial" w:cs="Arial"/>
        </w:rPr>
        <w:t>que</w:t>
      </w:r>
      <w:proofErr w:type="gramEnd"/>
      <w:r>
        <w:rPr>
          <w:rFonts w:ascii="Arial" w:eastAsia="Arial" w:hAnsi="Arial" w:cs="Arial"/>
        </w:rPr>
        <w:t xml:space="preserve"> derivado del análisis de las reflexiones de los cuatro espacios de consulta, se destacan de manera general los avances y retos identificados:</w:t>
      </w:r>
    </w:p>
    <w:p w:rsidR="002053EF" w:rsidRDefault="00D54628">
      <w:pPr>
        <w:jc w:val="both"/>
        <w:rPr>
          <w:rFonts w:ascii="Arial" w:eastAsia="Arial" w:hAnsi="Arial" w:cs="Arial"/>
          <w:b/>
        </w:rPr>
      </w:pPr>
      <w:r>
        <w:rPr>
          <w:rFonts w:ascii="Arial" w:eastAsia="Arial" w:hAnsi="Arial" w:cs="Arial"/>
          <w:b/>
        </w:rPr>
        <w:t>Avances identificados</w:t>
      </w:r>
    </w:p>
    <w:p w:rsidR="002053EF" w:rsidRDefault="00D54628">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Publicación de la </w:t>
      </w:r>
      <w:r>
        <w:rPr>
          <w:rFonts w:ascii="Arial" w:eastAsia="Arial" w:hAnsi="Arial" w:cs="Arial"/>
          <w:i/>
          <w:color w:val="000000"/>
        </w:rPr>
        <w:t>Ley General de los Derechos de Niñas, Niños y Adolescentes</w:t>
      </w:r>
      <w:r>
        <w:rPr>
          <w:rFonts w:ascii="Arial" w:eastAsia="Arial" w:hAnsi="Arial" w:cs="Arial"/>
          <w:color w:val="000000"/>
        </w:rPr>
        <w:t xml:space="preserve"> (LGDNNA).</w:t>
      </w:r>
    </w:p>
    <w:p w:rsidR="002053EF" w:rsidRDefault="00D54628">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Creación del Sistema Nacional de Protección Integral de Niñas, Niños y Adolescentes (SIPINNA) y Sistemas de Protección locales y municipales.</w:t>
      </w:r>
    </w:p>
    <w:p w:rsidR="002053EF" w:rsidRDefault="00D54628">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Implementación del Programa Nacional de Prote</w:t>
      </w:r>
      <w:r>
        <w:rPr>
          <w:rFonts w:ascii="Arial" w:eastAsia="Arial" w:hAnsi="Arial" w:cs="Arial"/>
          <w:color w:val="000000"/>
        </w:rPr>
        <w:t xml:space="preserve">cción de Niñas, Niños y Adolescentes (PRONAPINNA) y los respectivos programas estatales. </w:t>
      </w:r>
    </w:p>
    <w:p w:rsidR="002053EF" w:rsidRDefault="00D54628">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Reformas a la LGDNNA que prohíben el castigo corporal, la adición de disposiciones en torno al derecho a la alimentación y las medidas especiales de protección a niña</w:t>
      </w:r>
      <w:r>
        <w:rPr>
          <w:rFonts w:ascii="Arial" w:eastAsia="Arial" w:hAnsi="Arial" w:cs="Arial"/>
          <w:color w:val="000000"/>
        </w:rPr>
        <w:t>s, niños y adolescentes institucionalizados.</w:t>
      </w:r>
    </w:p>
    <w:p w:rsidR="002053EF" w:rsidRDefault="00D54628">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Modificaciones a la Ley General de Salud, relativas al etiquetado frontal de advertencia.</w:t>
      </w:r>
    </w:p>
    <w:p w:rsidR="002053EF" w:rsidRDefault="00D54628">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Eliminación de dispensas y excepciones para el matrimonio infantil y adolescente en todo el país. </w:t>
      </w:r>
    </w:p>
    <w:p w:rsidR="002053EF" w:rsidRDefault="00D54628">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Reforma en materia edu</w:t>
      </w:r>
      <w:r>
        <w:rPr>
          <w:rFonts w:ascii="Arial" w:eastAsia="Arial" w:hAnsi="Arial" w:cs="Arial"/>
          <w:color w:val="000000"/>
        </w:rPr>
        <w:t>cativa de 2019, relativa a la educación inicial e inclusiva.</w:t>
      </w:r>
    </w:p>
    <w:p w:rsidR="002053EF" w:rsidRDefault="00D54628">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Establecimiento de la </w:t>
      </w:r>
      <w:r>
        <w:rPr>
          <w:rFonts w:ascii="Arial" w:eastAsia="Arial" w:hAnsi="Arial" w:cs="Arial"/>
          <w:i/>
          <w:color w:val="000000"/>
        </w:rPr>
        <w:t>Comisión de Protección Integral de Niñas, Niños y Adolescentes Migrantes y Solicitantes de la Condición de Refugiado</w:t>
      </w:r>
      <w:r>
        <w:rPr>
          <w:rFonts w:ascii="Arial" w:eastAsia="Arial" w:hAnsi="Arial" w:cs="Arial"/>
          <w:color w:val="000000"/>
        </w:rPr>
        <w:t>, cuyo trabajo articulado permitió la reciente creación d</w:t>
      </w:r>
      <w:r>
        <w:rPr>
          <w:rFonts w:ascii="Arial" w:eastAsia="Arial" w:hAnsi="Arial" w:cs="Arial"/>
          <w:color w:val="000000"/>
        </w:rPr>
        <w:t xml:space="preserve">e la </w:t>
      </w:r>
      <w:r>
        <w:rPr>
          <w:rFonts w:ascii="Arial" w:eastAsia="Arial" w:hAnsi="Arial" w:cs="Arial"/>
          <w:i/>
          <w:color w:val="000000"/>
        </w:rPr>
        <w:t>Ruta de Protección Integral de Derechos de Niñas, Niños y Adolescentes en Situación de Migración.</w:t>
      </w:r>
    </w:p>
    <w:p w:rsidR="002053EF" w:rsidRDefault="00D54628">
      <w:pPr>
        <w:numPr>
          <w:ilvl w:val="0"/>
          <w:numId w:val="3"/>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Implementación de programas de transferencia económica dirigida a NNA con discapacidad.</w:t>
      </w:r>
    </w:p>
    <w:p w:rsidR="002053EF" w:rsidRDefault="002053EF">
      <w:pPr>
        <w:pBdr>
          <w:top w:val="nil"/>
          <w:left w:val="nil"/>
          <w:bottom w:val="nil"/>
          <w:right w:val="nil"/>
          <w:between w:val="nil"/>
        </w:pBdr>
        <w:spacing w:after="0"/>
        <w:ind w:left="720"/>
        <w:jc w:val="both"/>
        <w:rPr>
          <w:rFonts w:ascii="Arial" w:eastAsia="Arial" w:hAnsi="Arial" w:cs="Arial"/>
          <w:color w:val="000000"/>
        </w:rPr>
      </w:pPr>
    </w:p>
    <w:p w:rsidR="002053EF" w:rsidRDefault="00D54628">
      <w:pPr>
        <w:jc w:val="both"/>
        <w:rPr>
          <w:rFonts w:ascii="Arial" w:eastAsia="Arial" w:hAnsi="Arial" w:cs="Arial"/>
          <w:b/>
        </w:rPr>
      </w:pPr>
      <w:r>
        <w:rPr>
          <w:rFonts w:ascii="Arial" w:eastAsia="Arial" w:hAnsi="Arial" w:cs="Arial"/>
          <w:b/>
        </w:rPr>
        <w:t>Desafíos identificados</w:t>
      </w:r>
    </w:p>
    <w:p w:rsidR="002053EF" w:rsidRDefault="00D54628">
      <w:pPr>
        <w:jc w:val="both"/>
        <w:rPr>
          <w:rFonts w:ascii="Arial" w:eastAsia="Arial" w:hAnsi="Arial" w:cs="Arial"/>
        </w:rPr>
      </w:pPr>
      <w:r>
        <w:rPr>
          <w:rFonts w:ascii="Arial" w:eastAsia="Arial" w:hAnsi="Arial" w:cs="Arial"/>
        </w:rPr>
        <w:t>Legislación y políticas públicas: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Armonización normativa y legislativa con los códigos civiles, familiares y penales. De manera específica está pendiente la legislación relativa a los diversos grupos que se encuentran en mayor vulnerabilidad. La despenalización del aborto y la prohibición </w:t>
      </w:r>
      <w:r>
        <w:rPr>
          <w:rFonts w:ascii="Arial" w:eastAsia="Arial" w:hAnsi="Arial" w:cs="Arial"/>
          <w:color w:val="000000"/>
        </w:rPr>
        <w:t xml:space="preserve">de distintas formas de violencia, como la corporal y la sexual. </w:t>
      </w:r>
      <w:r>
        <w:rPr>
          <w:rFonts w:ascii="Arial" w:eastAsia="Arial" w:hAnsi="Arial" w:cs="Arial"/>
        </w:rPr>
        <w:t>Pendiente</w:t>
      </w:r>
      <w:r>
        <w:rPr>
          <w:rFonts w:ascii="Arial" w:eastAsia="Arial" w:hAnsi="Arial" w:cs="Arial"/>
          <w:color w:val="000000"/>
        </w:rPr>
        <w:t xml:space="preserve"> la tipificación del reclutamiento forzado.</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Ratificación del Tercer Protocolo de la Convención sobre los Derechos del Niño de Naciones Unidas.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Dar continuidad a la iniciativa presenta</w:t>
      </w:r>
      <w:r>
        <w:rPr>
          <w:rFonts w:ascii="Arial" w:eastAsia="Arial" w:hAnsi="Arial" w:cs="Arial"/>
          <w:color w:val="000000"/>
        </w:rPr>
        <w:t>da en 2018 que reforma y adiciona diversas disposiciones de las Leyes sobre Refugiados, Protección Complementaria y Asilo Político; y de Migración, con la finalidad de agilizar los trámites para la solicitud de la condición de refugio.</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En materia de adopci</w:t>
      </w:r>
      <w:r>
        <w:rPr>
          <w:rFonts w:ascii="Arial" w:eastAsia="Arial" w:hAnsi="Arial" w:cs="Arial"/>
          <w:color w:val="000000"/>
        </w:rPr>
        <w:t>ón, pugnar por el establecimiento de la adopción simple en los distintos códigos estatales y la creación de una Ley General de Adopciones.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Asignación presupuestal insuficiente para la plena implementación de la LGDNNA y del funcionamiento del SIPINNA, y de</w:t>
      </w:r>
      <w:r>
        <w:rPr>
          <w:rFonts w:ascii="Arial" w:eastAsia="Arial" w:hAnsi="Arial" w:cs="Arial"/>
          <w:color w:val="000000"/>
        </w:rPr>
        <w:t xml:space="preserve"> manera particular de los sistemas de </w:t>
      </w:r>
      <w:r>
        <w:rPr>
          <w:rFonts w:ascii="Arial" w:eastAsia="Arial" w:hAnsi="Arial" w:cs="Arial"/>
          <w:color w:val="000000"/>
        </w:rPr>
        <w:lastRenderedPageBreak/>
        <w:t xml:space="preserve">protección municipales -a los cuales se agrega la falta de voluntad política-, así como a las Procuradurías de Protección de Niñas, Niños y Adolescentes. Esto de igual manera es </w:t>
      </w:r>
      <w:proofErr w:type="gramStart"/>
      <w:r>
        <w:rPr>
          <w:rFonts w:ascii="Arial" w:eastAsia="Arial" w:hAnsi="Arial" w:cs="Arial"/>
          <w:color w:val="000000"/>
        </w:rPr>
        <w:t>aplicable  en</w:t>
      </w:r>
      <w:proofErr w:type="gramEnd"/>
      <w:r>
        <w:rPr>
          <w:rFonts w:ascii="Arial" w:eastAsia="Arial" w:hAnsi="Arial" w:cs="Arial"/>
          <w:color w:val="000000"/>
        </w:rPr>
        <w:t xml:space="preserve"> materia de salud y cuidado</w:t>
      </w:r>
      <w:r>
        <w:rPr>
          <w:rFonts w:ascii="Arial" w:eastAsia="Arial" w:hAnsi="Arial" w:cs="Arial"/>
          <w:color w:val="000000"/>
        </w:rPr>
        <w:t>. Poner especial atención al contexto derivado de la pandemia.</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Creación de un sistema nacional de cuidados y una política nacional de protección de NNA contra la violencia.</w:t>
      </w:r>
    </w:p>
    <w:p w:rsidR="002053EF" w:rsidRDefault="00D54628">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Consolidación plena de los SIPINNAS municipales.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De manera particular brindar una c</w:t>
      </w:r>
      <w:r>
        <w:rPr>
          <w:rFonts w:ascii="Arial" w:eastAsia="Arial" w:hAnsi="Arial" w:cs="Arial"/>
          <w:color w:val="000000"/>
        </w:rPr>
        <w:t>apacitación integral en materia de derechos humanos al personal adscrito a las Procuradurías de Protección de Niñas, Niños y Adolescentes.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Pendiente el efectivo cumplimiento de los programas y políticas públicas existentes relacionados con los derechos de </w:t>
      </w:r>
      <w:r>
        <w:rPr>
          <w:rFonts w:ascii="Arial" w:eastAsia="Arial" w:hAnsi="Arial" w:cs="Arial"/>
          <w:color w:val="000000"/>
        </w:rPr>
        <w:t>este grupo de la población, específicamente los relacionados a la violencia sexual.</w:t>
      </w:r>
    </w:p>
    <w:p w:rsidR="002053EF" w:rsidRDefault="00D54628">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Garantizar el respeto al principio del interés superior de la niñez, en todas sus dimensiones: normativa, cultural y operativa.</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Elaboración de programas y políticas pública</w:t>
      </w:r>
      <w:r>
        <w:rPr>
          <w:rFonts w:ascii="Arial" w:eastAsia="Arial" w:hAnsi="Arial" w:cs="Arial"/>
          <w:color w:val="000000"/>
        </w:rPr>
        <w:t>s que contemplen de manera específica las diversas necesidades de las distintas infancias y adolescencias; es decir que se atiendan las necesidades particulares de los grupos en situación de mayor vulnerabilidad como las discapacidades en su misma diversid</w:t>
      </w:r>
      <w:r>
        <w:rPr>
          <w:rFonts w:ascii="Arial" w:eastAsia="Arial" w:hAnsi="Arial" w:cs="Arial"/>
          <w:color w:val="000000"/>
        </w:rPr>
        <w:t xml:space="preserve">ad, las infancias LGBTTIQ, las y los migrantes –englobando el desplazamiento interno forzado y la migración de retorno-, </w:t>
      </w:r>
      <w:r>
        <w:rPr>
          <w:rFonts w:ascii="Arial" w:eastAsia="Arial" w:hAnsi="Arial" w:cs="Arial"/>
        </w:rPr>
        <w:t>afrodescendientes</w:t>
      </w:r>
      <w:r>
        <w:rPr>
          <w:rFonts w:ascii="Arial" w:eastAsia="Arial" w:hAnsi="Arial" w:cs="Arial"/>
          <w:color w:val="000000"/>
        </w:rPr>
        <w:t>, etcétera. Dichos programas y políticas públicas deberán contemplar la perspectiva de adolescencia.</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Efectiva aplicaci</w:t>
      </w:r>
      <w:r>
        <w:rPr>
          <w:rFonts w:ascii="Arial" w:eastAsia="Arial" w:hAnsi="Arial" w:cs="Arial"/>
          <w:color w:val="000000"/>
        </w:rPr>
        <w:t>ón de las reglas de operación de los programas, en especial las relativas a las transferencias económicas.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Continuidad de los programas implementados en sexenios anteriores como PROSPERA y el relativo a las estancias infantiles.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Preocupación por el debilit</w:t>
      </w:r>
      <w:r>
        <w:rPr>
          <w:rFonts w:ascii="Arial" w:eastAsia="Arial" w:hAnsi="Arial" w:cs="Arial"/>
          <w:color w:val="000000"/>
        </w:rPr>
        <w:t>amiento de programas relativos a la primera infancia.</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Contar con indicadores precisos sobre las políticas públicas y los programas.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Implementación de programas relativos a nutrición infantil y lactancia materna.</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Dar continuidad a los avances sobre el proye</w:t>
      </w:r>
      <w:r>
        <w:rPr>
          <w:rFonts w:ascii="Arial" w:eastAsia="Arial" w:hAnsi="Arial" w:cs="Arial"/>
          <w:color w:val="000000"/>
        </w:rPr>
        <w:t>cto de la norma oficial mexicana, para el fomento, protección y apoyo a la lactancia materna.</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Incorporación de la figura de familias de acogida.</w:t>
      </w:r>
    </w:p>
    <w:p w:rsidR="002053EF" w:rsidRDefault="002053EF">
      <w:pPr>
        <w:pBdr>
          <w:top w:val="nil"/>
          <w:left w:val="nil"/>
          <w:bottom w:val="nil"/>
          <w:right w:val="nil"/>
          <w:between w:val="nil"/>
        </w:pBdr>
        <w:ind w:left="720"/>
        <w:jc w:val="both"/>
        <w:rPr>
          <w:rFonts w:ascii="Arial" w:eastAsia="Arial" w:hAnsi="Arial" w:cs="Arial"/>
          <w:color w:val="000000"/>
        </w:rPr>
      </w:pPr>
    </w:p>
    <w:p w:rsidR="002053EF" w:rsidRDefault="00D54628">
      <w:pPr>
        <w:jc w:val="both"/>
        <w:rPr>
          <w:rFonts w:ascii="Arial" w:eastAsia="Arial" w:hAnsi="Arial" w:cs="Arial"/>
        </w:rPr>
      </w:pPr>
      <w:r>
        <w:rPr>
          <w:rFonts w:ascii="Arial" w:eastAsia="Arial" w:hAnsi="Arial" w:cs="Arial"/>
        </w:rPr>
        <w:t>Datos/estadística:</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Existe un vacío respecto a los datos o cifras que den cuenta de la situación de los derechos de niñas, niños y adolescentes, y de manera particular sobre los centros de asistencia social, así como de la niñez y adolescencia institucionalizada y migrante.</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E</w:t>
      </w:r>
      <w:r>
        <w:rPr>
          <w:rFonts w:ascii="Arial" w:eastAsia="Arial" w:hAnsi="Arial" w:cs="Arial"/>
          <w:color w:val="000000"/>
        </w:rPr>
        <w:t>xisten vacíos e inconsistencias en las cifras relativas a los delitos de desaparición, feminicidio, trata de personas con fines de explotación sexual y homicidios de niñas, niños y adolescentes, entre otros.</w:t>
      </w:r>
    </w:p>
    <w:p w:rsidR="002053EF" w:rsidRDefault="002053EF">
      <w:pPr>
        <w:pBdr>
          <w:top w:val="nil"/>
          <w:left w:val="nil"/>
          <w:bottom w:val="nil"/>
          <w:right w:val="nil"/>
          <w:between w:val="nil"/>
        </w:pBdr>
        <w:spacing w:after="0"/>
        <w:ind w:left="720"/>
        <w:jc w:val="both"/>
        <w:rPr>
          <w:rFonts w:ascii="Arial" w:eastAsia="Arial" w:hAnsi="Arial" w:cs="Arial"/>
          <w:color w:val="000000"/>
        </w:rPr>
      </w:pPr>
    </w:p>
    <w:p w:rsidR="002053EF" w:rsidRDefault="00D54628">
      <w:pPr>
        <w:jc w:val="both"/>
        <w:rPr>
          <w:rFonts w:ascii="Arial" w:eastAsia="Arial" w:hAnsi="Arial" w:cs="Arial"/>
        </w:rPr>
      </w:pPr>
      <w:r>
        <w:rPr>
          <w:rFonts w:ascii="Arial" w:eastAsia="Arial" w:hAnsi="Arial" w:cs="Arial"/>
        </w:rPr>
        <w:lastRenderedPageBreak/>
        <w:t xml:space="preserve">Violencia </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Se encuentra pendiente la tipificaci</w:t>
      </w:r>
      <w:r>
        <w:rPr>
          <w:rFonts w:ascii="Arial" w:eastAsia="Arial" w:hAnsi="Arial" w:cs="Arial"/>
          <w:color w:val="000000"/>
        </w:rPr>
        <w:t>ón del reclutamiento forzado y la revisión de la estrategia del combate al crimen organizado.</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Crear mecanismos de denuncia accesibles a NNA, tomando en cuenta las diversas condiciones y contextos.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Implementar una estrategia de combate a la violencia social</w:t>
      </w:r>
      <w:r>
        <w:rPr>
          <w:rFonts w:ascii="Arial" w:eastAsia="Arial" w:hAnsi="Arial" w:cs="Arial"/>
          <w:color w:val="000000"/>
        </w:rPr>
        <w:t xml:space="preserve"> y la delincuencia integral que contemple el fortalecimiento del tejido social y comunitario, además de revisar la estrategia de combate al crimen organizado, con la finalidad de que sea incorporada la perspectiva niñez y adolescencia. En este mismo sentid</w:t>
      </w:r>
      <w:r>
        <w:rPr>
          <w:rFonts w:ascii="Arial" w:eastAsia="Arial" w:hAnsi="Arial" w:cs="Arial"/>
          <w:color w:val="000000"/>
        </w:rPr>
        <w:t>o, generar una estrategia específica para las violencias en las escuelas.</w:t>
      </w:r>
    </w:p>
    <w:p w:rsidR="002053EF" w:rsidRDefault="002053EF">
      <w:pPr>
        <w:jc w:val="both"/>
        <w:rPr>
          <w:rFonts w:ascii="Arial" w:eastAsia="Arial" w:hAnsi="Arial" w:cs="Arial"/>
        </w:rPr>
      </w:pPr>
    </w:p>
    <w:p w:rsidR="002053EF" w:rsidRDefault="00D54628">
      <w:pPr>
        <w:jc w:val="both"/>
        <w:rPr>
          <w:rFonts w:ascii="Arial" w:eastAsia="Arial" w:hAnsi="Arial" w:cs="Arial"/>
        </w:rPr>
      </w:pPr>
      <w:r>
        <w:rPr>
          <w:rFonts w:ascii="Arial" w:eastAsia="Arial" w:hAnsi="Arial" w:cs="Arial"/>
        </w:rPr>
        <w:t>Grupos en situación de mayor vulnerabilidad:</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Persiste la institucionalización forzada de poblaciones de NNA que viven en situación de calle, lo que se contrapone con su derecho a vivir en familia.</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Persiste la detención administrativa de NNA migrantes y la separación de sus familias.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Atender a través </w:t>
      </w:r>
      <w:r>
        <w:rPr>
          <w:rFonts w:ascii="Arial" w:eastAsia="Arial" w:hAnsi="Arial" w:cs="Arial"/>
          <w:color w:val="000000"/>
        </w:rPr>
        <w:t xml:space="preserve">de programas la detección temprana de las discapacidades. </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Crear espacios de esparcimiento y recreación para NNA, que sean accesibles para las discapacidades.</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Pendientes relativos al desplazamiento interno forzado.</w:t>
      </w:r>
    </w:p>
    <w:p w:rsidR="002053EF" w:rsidRDefault="002053EF">
      <w:pPr>
        <w:jc w:val="both"/>
        <w:rPr>
          <w:rFonts w:ascii="Arial" w:eastAsia="Arial" w:hAnsi="Arial" w:cs="Arial"/>
        </w:rPr>
      </w:pPr>
    </w:p>
    <w:p w:rsidR="002053EF" w:rsidRDefault="00D54628">
      <w:pPr>
        <w:jc w:val="both"/>
        <w:rPr>
          <w:rFonts w:ascii="Arial" w:eastAsia="Arial" w:hAnsi="Arial" w:cs="Arial"/>
        </w:rPr>
      </w:pPr>
      <w:r>
        <w:rPr>
          <w:rFonts w:ascii="Arial" w:eastAsia="Arial" w:hAnsi="Arial" w:cs="Arial"/>
        </w:rPr>
        <w:t>Educación:</w:t>
      </w:r>
    </w:p>
    <w:p w:rsidR="002053EF" w:rsidRDefault="00D54628">
      <w:pPr>
        <w:numPr>
          <w:ilvl w:val="0"/>
          <w:numId w:val="5"/>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Implementar modelos educativo</w:t>
      </w:r>
      <w:r>
        <w:rPr>
          <w:rFonts w:ascii="Arial" w:eastAsia="Arial" w:hAnsi="Arial" w:cs="Arial"/>
          <w:color w:val="000000"/>
        </w:rPr>
        <w:t>s incluyentes e interculturales.</w:t>
      </w:r>
    </w:p>
    <w:p w:rsidR="002053EF" w:rsidRDefault="00D54628">
      <w:pPr>
        <w:numPr>
          <w:ilvl w:val="0"/>
          <w:numId w:val="5"/>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Cobertura universal en los distintos niveles de educación, misma que debe de contemplar los diversos contextos y condiciones, como lo es para el caso de NNA indígena o en situación de pobreza, tomando en cuenta que forman p</w:t>
      </w:r>
      <w:r>
        <w:rPr>
          <w:rFonts w:ascii="Arial" w:eastAsia="Arial" w:hAnsi="Arial" w:cs="Arial"/>
          <w:color w:val="000000"/>
        </w:rPr>
        <w:t>arte de los grupos con mayor rezago.</w:t>
      </w:r>
    </w:p>
    <w:p w:rsidR="002053EF" w:rsidRDefault="00D54628">
      <w:pPr>
        <w:numPr>
          <w:ilvl w:val="0"/>
          <w:numId w:val="5"/>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Respecto a la educación inicial es necesario aumentar la cobertura de los servicios relativos a la primera infancia, así como diversificarlos a través de la focalización y especialización.</w:t>
      </w:r>
    </w:p>
    <w:p w:rsidR="002053EF" w:rsidRDefault="00D54628">
      <w:pPr>
        <w:numPr>
          <w:ilvl w:val="0"/>
          <w:numId w:val="5"/>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Pendiente garantizar el acceso</w:t>
      </w:r>
      <w:r>
        <w:rPr>
          <w:rFonts w:ascii="Arial" w:eastAsia="Arial" w:hAnsi="Arial" w:cs="Arial"/>
          <w:color w:val="000000"/>
        </w:rPr>
        <w:t xml:space="preserve"> a la educación de NNA migrantes.</w:t>
      </w:r>
    </w:p>
    <w:p w:rsidR="002053EF" w:rsidRDefault="00D54628">
      <w:pPr>
        <w:numPr>
          <w:ilvl w:val="0"/>
          <w:numId w:val="5"/>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Implementación de un programa de educación sexual integral.</w:t>
      </w:r>
    </w:p>
    <w:p w:rsidR="002053EF" w:rsidRDefault="002053EF">
      <w:pPr>
        <w:jc w:val="both"/>
        <w:rPr>
          <w:rFonts w:ascii="Arial" w:eastAsia="Arial" w:hAnsi="Arial" w:cs="Arial"/>
        </w:rPr>
      </w:pPr>
    </w:p>
    <w:p w:rsidR="002053EF" w:rsidRDefault="00D54628">
      <w:pPr>
        <w:jc w:val="both"/>
        <w:rPr>
          <w:rFonts w:ascii="Arial" w:eastAsia="Arial" w:hAnsi="Arial" w:cs="Arial"/>
        </w:rPr>
      </w:pPr>
      <w:r>
        <w:rPr>
          <w:rFonts w:ascii="Arial" w:eastAsia="Arial" w:hAnsi="Arial" w:cs="Arial"/>
        </w:rPr>
        <w:t>Salud:</w:t>
      </w:r>
    </w:p>
    <w:p w:rsidR="002053EF" w:rsidRDefault="00D54628">
      <w:pPr>
        <w:numPr>
          <w:ilvl w:val="0"/>
          <w:numId w:val="5"/>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Pendiente la universalización del acceso a los servicios de salud, pues se estima que cerca de 5.6 millones de NNA se encuentran sin acceso a la atención médica. En este mismo sentido, garantizar su acceso a NNA migrantes.</w:t>
      </w:r>
    </w:p>
    <w:p w:rsidR="002053EF" w:rsidRDefault="00D54628">
      <w:pPr>
        <w:numPr>
          <w:ilvl w:val="0"/>
          <w:numId w:val="5"/>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Garantizar de manera universal lo</w:t>
      </w:r>
      <w:r>
        <w:rPr>
          <w:rFonts w:ascii="Arial" w:eastAsia="Arial" w:hAnsi="Arial" w:cs="Arial"/>
          <w:color w:val="000000"/>
        </w:rPr>
        <w:t>s esquemas de vacunación.</w:t>
      </w:r>
    </w:p>
    <w:p w:rsidR="002053EF" w:rsidRDefault="002053EF">
      <w:pPr>
        <w:jc w:val="both"/>
        <w:rPr>
          <w:rFonts w:ascii="Arial" w:eastAsia="Arial" w:hAnsi="Arial" w:cs="Arial"/>
        </w:rPr>
      </w:pPr>
    </w:p>
    <w:p w:rsidR="002053EF" w:rsidRDefault="00D54628">
      <w:pPr>
        <w:jc w:val="both"/>
        <w:rPr>
          <w:rFonts w:ascii="Arial" w:eastAsia="Arial" w:hAnsi="Arial" w:cs="Arial"/>
        </w:rPr>
      </w:pPr>
      <w:r>
        <w:rPr>
          <w:rFonts w:ascii="Arial" w:eastAsia="Arial" w:hAnsi="Arial" w:cs="Arial"/>
        </w:rPr>
        <w:lastRenderedPageBreak/>
        <w:t>Registros de nacimiento:</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Redoblar esfuerzos para asegurar el registro universal de nacimientos, lo que implica contemplar a los diversos grupos que se encuentran en situación de mayor vulnerabilidad como lo son las y los migrante</w:t>
      </w:r>
      <w:r>
        <w:rPr>
          <w:rFonts w:ascii="Arial" w:eastAsia="Arial" w:hAnsi="Arial" w:cs="Arial"/>
          <w:color w:val="000000"/>
        </w:rPr>
        <w:t>s y poblaciones que viven en calle.</w:t>
      </w:r>
    </w:p>
    <w:p w:rsidR="002053EF" w:rsidRDefault="002053EF">
      <w:pPr>
        <w:jc w:val="both"/>
        <w:rPr>
          <w:rFonts w:ascii="Arial" w:eastAsia="Arial" w:hAnsi="Arial" w:cs="Arial"/>
          <w:b/>
        </w:rPr>
      </w:pPr>
    </w:p>
    <w:p w:rsidR="002053EF" w:rsidRDefault="00D54628">
      <w:pPr>
        <w:jc w:val="both"/>
        <w:rPr>
          <w:rFonts w:ascii="Arial" w:eastAsia="Arial" w:hAnsi="Arial" w:cs="Arial"/>
        </w:rPr>
      </w:pPr>
      <w:r>
        <w:rPr>
          <w:rFonts w:ascii="Arial" w:eastAsia="Arial" w:hAnsi="Arial" w:cs="Arial"/>
        </w:rPr>
        <w:t>Cambio cultural:</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Continúan las visiones </w:t>
      </w:r>
      <w:proofErr w:type="spellStart"/>
      <w:r>
        <w:rPr>
          <w:rFonts w:ascii="Arial" w:eastAsia="Arial" w:hAnsi="Arial" w:cs="Arial"/>
          <w:color w:val="000000"/>
        </w:rPr>
        <w:t>adultocentristas</w:t>
      </w:r>
      <w:proofErr w:type="spellEnd"/>
      <w:r>
        <w:rPr>
          <w:rFonts w:ascii="Arial" w:eastAsia="Arial" w:hAnsi="Arial" w:cs="Arial"/>
          <w:color w:val="000000"/>
        </w:rPr>
        <w:t xml:space="preserve"> y patriarcales en la sociedad, pero también en las prácticas del Estado, lo que merma el pleno ejercicio de los derechos de este grupo de la población.</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El persona</w:t>
      </w:r>
      <w:r>
        <w:rPr>
          <w:rFonts w:ascii="Arial" w:eastAsia="Arial" w:hAnsi="Arial" w:cs="Arial"/>
          <w:color w:val="000000"/>
        </w:rPr>
        <w:t>l encargado de atender y proteger los derechos de niñas, niños y adolescentes carecen de sensibilización, capacitación y formación en materia de derechos humanos, lo que, en casos específicos de violencia, dificulta su derecho al acceso a la justicia.</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Sens</w:t>
      </w:r>
      <w:r>
        <w:rPr>
          <w:rFonts w:ascii="Arial" w:eastAsia="Arial" w:hAnsi="Arial" w:cs="Arial"/>
          <w:color w:val="000000"/>
        </w:rPr>
        <w:t>ibilización de la población en general en torno a la LGDNNA y del SIPINNA.</w:t>
      </w:r>
    </w:p>
    <w:p w:rsidR="002053EF" w:rsidRDefault="002053EF">
      <w:pPr>
        <w:pBdr>
          <w:top w:val="nil"/>
          <w:left w:val="nil"/>
          <w:bottom w:val="nil"/>
          <w:right w:val="nil"/>
          <w:between w:val="nil"/>
        </w:pBdr>
        <w:spacing w:after="0"/>
        <w:ind w:left="720"/>
        <w:jc w:val="both"/>
        <w:rPr>
          <w:rFonts w:ascii="Arial" w:eastAsia="Arial" w:hAnsi="Arial" w:cs="Arial"/>
          <w:color w:val="000000"/>
        </w:rPr>
      </w:pPr>
    </w:p>
    <w:p w:rsidR="002053EF" w:rsidRDefault="00D54628">
      <w:pPr>
        <w:jc w:val="both"/>
        <w:rPr>
          <w:rFonts w:ascii="Arial" w:eastAsia="Arial" w:hAnsi="Arial" w:cs="Arial"/>
        </w:rPr>
      </w:pPr>
      <w:r>
        <w:rPr>
          <w:rFonts w:ascii="Arial" w:eastAsia="Arial" w:hAnsi="Arial" w:cs="Arial"/>
        </w:rPr>
        <w:t>Participación:</w:t>
      </w:r>
    </w:p>
    <w:p w:rsidR="002053EF" w:rsidRDefault="00D54628">
      <w:pPr>
        <w:numPr>
          <w:ilvl w:val="0"/>
          <w:numId w:val="4"/>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Implementación de espacios de participación para que NNA sean escuchados y tomados en cuenta, dentro de los diversos sectores.</w:t>
      </w:r>
    </w:p>
    <w:p w:rsidR="002053EF" w:rsidRDefault="002053EF">
      <w:pPr>
        <w:pBdr>
          <w:top w:val="nil"/>
          <w:left w:val="nil"/>
          <w:bottom w:val="nil"/>
          <w:right w:val="nil"/>
          <w:between w:val="nil"/>
        </w:pBdr>
        <w:spacing w:after="0"/>
        <w:ind w:left="720"/>
        <w:jc w:val="both"/>
        <w:rPr>
          <w:rFonts w:ascii="Arial" w:eastAsia="Arial" w:hAnsi="Arial" w:cs="Arial"/>
          <w:color w:val="000000"/>
        </w:rPr>
      </w:pPr>
    </w:p>
    <w:p w:rsidR="002053EF" w:rsidRDefault="00D54628">
      <w:pPr>
        <w:jc w:val="both"/>
        <w:rPr>
          <w:rFonts w:ascii="Arial" w:eastAsia="Arial" w:hAnsi="Arial" w:cs="Arial"/>
        </w:rPr>
      </w:pPr>
      <w:r>
        <w:rPr>
          <w:rFonts w:ascii="Arial" w:eastAsia="Arial" w:hAnsi="Arial" w:cs="Arial"/>
        </w:rPr>
        <w:t>Vinculación con sociedad civil:</w:t>
      </w:r>
    </w:p>
    <w:p w:rsidR="002053EF" w:rsidRDefault="00D54628">
      <w:pPr>
        <w:numPr>
          <w:ilvl w:val="0"/>
          <w:numId w:val="2"/>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El Estado debe de reconocer el rol de las organizaciones de la sociedad civil en la atención de </w:t>
      </w:r>
      <w:r>
        <w:rPr>
          <w:rFonts w:ascii="Arial" w:eastAsia="Arial" w:hAnsi="Arial" w:cs="Arial"/>
          <w:color w:val="000000"/>
        </w:rPr>
        <w:t xml:space="preserve">NNA víctimas de violaciones derechos humanos. </w:t>
      </w:r>
    </w:p>
    <w:p w:rsidR="002053EF" w:rsidRDefault="002053EF">
      <w:pPr>
        <w:jc w:val="both"/>
        <w:rPr>
          <w:rFonts w:ascii="Arial" w:eastAsia="Arial" w:hAnsi="Arial" w:cs="Arial"/>
        </w:rPr>
      </w:pPr>
    </w:p>
    <w:p w:rsidR="002053EF" w:rsidRDefault="002053EF">
      <w:pPr>
        <w:ind w:left="360"/>
        <w:jc w:val="both"/>
        <w:rPr>
          <w:rFonts w:ascii="Arial" w:eastAsia="Arial" w:hAnsi="Arial" w:cs="Arial"/>
        </w:rPr>
      </w:pPr>
    </w:p>
    <w:sectPr w:rsidR="002053EF">
      <w:headerReference w:type="default" r:id="rId8"/>
      <w:footerReference w:type="even" r:id="rId9"/>
      <w:footerReference w:type="default" r:id="rId10"/>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4628" w:rsidRDefault="00D54628">
      <w:pPr>
        <w:spacing w:after="0" w:line="240" w:lineRule="auto"/>
      </w:pPr>
      <w:r>
        <w:separator/>
      </w:r>
    </w:p>
  </w:endnote>
  <w:endnote w:type="continuationSeparator" w:id="0">
    <w:p w:rsidR="00D54628" w:rsidRDefault="00D54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53EF" w:rsidRDefault="00D54628">
    <w:pPr>
      <w:pBdr>
        <w:top w:val="nil"/>
        <w:left w:val="nil"/>
        <w:bottom w:val="nil"/>
        <w:right w:val="nil"/>
        <w:between w:val="nil"/>
      </w:pBdr>
      <w:tabs>
        <w:tab w:val="center" w:pos="4419"/>
        <w:tab w:val="right" w:pos="8838"/>
      </w:tabs>
      <w:spacing w:after="0" w:line="240" w:lineRule="auto"/>
      <w:jc w:val="center"/>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end"/>
    </w:r>
  </w:p>
  <w:p w:rsidR="002053EF" w:rsidRDefault="002053EF">
    <w:pPr>
      <w:pBdr>
        <w:top w:val="nil"/>
        <w:left w:val="nil"/>
        <w:bottom w:val="nil"/>
        <w:right w:val="nil"/>
        <w:between w:val="nil"/>
      </w:pBdr>
      <w:tabs>
        <w:tab w:val="center" w:pos="4419"/>
        <w:tab w:val="right" w:pos="8838"/>
      </w:tabs>
      <w:spacing w:after="0" w:line="240" w:lineRule="auto"/>
      <w:rPr>
        <w:rFonts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53EF" w:rsidRDefault="00D54628">
    <w:pPr>
      <w:pBdr>
        <w:top w:val="nil"/>
        <w:left w:val="nil"/>
        <w:bottom w:val="nil"/>
        <w:right w:val="nil"/>
        <w:between w:val="nil"/>
      </w:pBdr>
      <w:tabs>
        <w:tab w:val="center" w:pos="4419"/>
        <w:tab w:val="right" w:pos="8838"/>
      </w:tabs>
      <w:spacing w:after="0" w:line="240" w:lineRule="auto"/>
      <w:jc w:val="center"/>
      <w:rPr>
        <w:rFonts w:cs="Calibri"/>
        <w:color w:val="000000"/>
      </w:rPr>
    </w:pPr>
    <w:r>
      <w:rPr>
        <w:rFonts w:cs="Calibri"/>
        <w:color w:val="000000"/>
      </w:rPr>
      <w:fldChar w:fldCharType="begin"/>
    </w:r>
    <w:r>
      <w:rPr>
        <w:rFonts w:cs="Calibri"/>
        <w:color w:val="000000"/>
      </w:rPr>
      <w:instrText>PAGE</w:instrText>
    </w:r>
    <w:r w:rsidR="00671827">
      <w:rPr>
        <w:rFonts w:cs="Calibri"/>
        <w:color w:val="000000"/>
      </w:rPr>
      <w:fldChar w:fldCharType="separate"/>
    </w:r>
    <w:r w:rsidR="00671827">
      <w:rPr>
        <w:rFonts w:cs="Calibri"/>
        <w:noProof/>
        <w:color w:val="000000"/>
      </w:rPr>
      <w:t>1</w:t>
    </w:r>
    <w:r>
      <w:rPr>
        <w:rFonts w:cs="Calibri"/>
        <w:color w:val="000000"/>
      </w:rPr>
      <w:fldChar w:fldCharType="end"/>
    </w:r>
  </w:p>
  <w:p w:rsidR="002053EF" w:rsidRDefault="002053EF">
    <w:pPr>
      <w:pBdr>
        <w:top w:val="nil"/>
        <w:left w:val="nil"/>
        <w:bottom w:val="nil"/>
        <w:right w:val="nil"/>
        <w:between w:val="nil"/>
      </w:pBdr>
      <w:tabs>
        <w:tab w:val="center" w:pos="4419"/>
        <w:tab w:val="right" w:pos="8838"/>
      </w:tabs>
      <w:spacing w:after="0" w:line="240" w:lineRule="auto"/>
      <w:jc w:val="right"/>
      <w:rPr>
        <w:rFonts w:cs="Calibri"/>
        <w:color w:val="000000"/>
      </w:rPr>
    </w:pPr>
  </w:p>
  <w:p w:rsidR="002053EF" w:rsidRDefault="002053EF">
    <w:pPr>
      <w:pBdr>
        <w:top w:val="nil"/>
        <w:left w:val="nil"/>
        <w:bottom w:val="nil"/>
        <w:right w:val="nil"/>
        <w:between w:val="nil"/>
      </w:pBdr>
      <w:tabs>
        <w:tab w:val="center" w:pos="4419"/>
        <w:tab w:val="right" w:pos="8838"/>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4628" w:rsidRDefault="00D54628">
      <w:pPr>
        <w:spacing w:after="0" w:line="240" w:lineRule="auto"/>
      </w:pPr>
      <w:r>
        <w:separator/>
      </w:r>
    </w:p>
  </w:footnote>
  <w:footnote w:type="continuationSeparator" w:id="0">
    <w:p w:rsidR="00D54628" w:rsidRDefault="00D54628">
      <w:pPr>
        <w:spacing w:after="0" w:line="240" w:lineRule="auto"/>
      </w:pPr>
      <w:r>
        <w:continuationSeparator/>
      </w:r>
    </w:p>
  </w:footnote>
  <w:footnote w:id="1">
    <w:p w:rsidR="002053EF" w:rsidRDefault="00D54628">
      <w:pPr>
        <w:spacing w:after="0" w:line="240" w:lineRule="auto"/>
        <w:jc w:val="both"/>
        <w:rPr>
          <w:rFonts w:ascii="Arial" w:eastAsia="Arial" w:hAnsi="Arial" w:cs="Arial"/>
          <w:sz w:val="24"/>
          <w:szCs w:val="24"/>
        </w:rPr>
      </w:pPr>
      <w:r>
        <w:rPr>
          <w:rStyle w:val="Refdenotaalpie"/>
        </w:rPr>
        <w:footnoteRef/>
      </w:r>
      <w:r>
        <w:rPr>
          <w:sz w:val="20"/>
          <w:szCs w:val="20"/>
        </w:rPr>
        <w:t xml:space="preserve"> Las OSC participantes fueron: Fundación Mexicana para la Planeación Familiar, A.C., Instituto para las Mujeres en la Migración, A.C., RADIX </w:t>
      </w:r>
      <w:proofErr w:type="spellStart"/>
      <w:r>
        <w:rPr>
          <w:sz w:val="20"/>
          <w:szCs w:val="20"/>
        </w:rPr>
        <w:t>Education</w:t>
      </w:r>
      <w:proofErr w:type="spellEnd"/>
      <w:r>
        <w:rPr>
          <w:sz w:val="20"/>
          <w:szCs w:val="20"/>
        </w:rPr>
        <w:t>, ADIVAC, A.C., Instituto Poblano de Derecho Familiar, A.C., Aldeas Infantiles SOS México, El Caracol, A.C</w:t>
      </w:r>
      <w:r>
        <w:rPr>
          <w:sz w:val="20"/>
          <w:szCs w:val="20"/>
        </w:rPr>
        <w:t>., CHILDFUND México, REDIM, Confederación Mexicana de Organizaciones en favor de la Persona con Discapacidad Intelectual (CONFE), COAMEX, Afectividad y Sexualidad, A.C. (GUARDIANES), Asociación de Scouts de México, A.C., Fundación Casa Alianza, I.A.P., Fun</w:t>
      </w:r>
      <w:r>
        <w:rPr>
          <w:sz w:val="20"/>
          <w:szCs w:val="20"/>
        </w:rPr>
        <w:t xml:space="preserve">dación Quinta Carmelita, I.A.P., </w:t>
      </w:r>
      <w:proofErr w:type="spellStart"/>
      <w:r>
        <w:rPr>
          <w:sz w:val="20"/>
          <w:szCs w:val="20"/>
        </w:rPr>
        <w:t>Tech</w:t>
      </w:r>
      <w:proofErr w:type="spellEnd"/>
      <w:r>
        <w:rPr>
          <w:sz w:val="20"/>
          <w:szCs w:val="20"/>
        </w:rPr>
        <w:t xml:space="preserve"> </w:t>
      </w:r>
      <w:proofErr w:type="spellStart"/>
      <w:r>
        <w:rPr>
          <w:sz w:val="20"/>
          <w:szCs w:val="20"/>
        </w:rPr>
        <w:t>Palewi</w:t>
      </w:r>
      <w:proofErr w:type="spellEnd"/>
      <w:r>
        <w:rPr>
          <w:sz w:val="20"/>
          <w:szCs w:val="20"/>
        </w:rPr>
        <w:t>, A.C.</w:t>
      </w:r>
    </w:p>
  </w:footnote>
  <w:footnote w:id="2">
    <w:p w:rsidR="002053EF" w:rsidRDefault="00D54628">
      <w:pPr>
        <w:spacing w:after="0" w:line="240" w:lineRule="auto"/>
        <w:rPr>
          <w:sz w:val="20"/>
          <w:szCs w:val="20"/>
        </w:rPr>
      </w:pPr>
      <w:r>
        <w:rPr>
          <w:rStyle w:val="Refdenotaalpie"/>
        </w:rPr>
        <w:footnoteRef/>
      </w:r>
      <w:r>
        <w:rPr>
          <w:sz w:val="20"/>
          <w:szCs w:val="20"/>
        </w:rPr>
        <w:t xml:space="preserve"> Los organismos internacionales participantes fueron: OACNUDH, Banco Mundial, OEI, ACNUR, ONU Mujeres, UNICEF y OIM.</w:t>
      </w:r>
    </w:p>
  </w:footnote>
  <w:footnote w:id="3">
    <w:p w:rsidR="002053EF" w:rsidRDefault="00D54628">
      <w:pPr>
        <w:spacing w:after="0" w:line="240" w:lineRule="auto"/>
        <w:jc w:val="both"/>
        <w:rPr>
          <w:sz w:val="20"/>
          <w:szCs w:val="20"/>
        </w:rPr>
      </w:pPr>
      <w:r>
        <w:rPr>
          <w:rStyle w:val="Refdenotaalpie"/>
        </w:rPr>
        <w:footnoteRef/>
      </w:r>
      <w:r>
        <w:rPr>
          <w:sz w:val="20"/>
          <w:szCs w:val="20"/>
        </w:rPr>
        <w:t xml:space="preserve"> Las universidades participantes fueron: Universidad Veracruzana, El Colegio de </w:t>
      </w:r>
      <w:proofErr w:type="gramStart"/>
      <w:r>
        <w:rPr>
          <w:sz w:val="20"/>
          <w:szCs w:val="20"/>
        </w:rPr>
        <w:t>Sonora,  Benemérita</w:t>
      </w:r>
      <w:proofErr w:type="gramEnd"/>
      <w:r>
        <w:rPr>
          <w:sz w:val="20"/>
          <w:szCs w:val="20"/>
        </w:rPr>
        <w:t xml:space="preserve"> Universidad Autónoma de Puebla, Instituto de Investigaciones Antropológicas, UNAM, Universidad Autónoma </w:t>
      </w:r>
      <w:r>
        <w:rPr>
          <w:sz w:val="20"/>
          <w:szCs w:val="20"/>
        </w:rPr>
        <w:t>del Estado de Morelos, Universidad Autónoma de Chiapas y el Instituto de Estudios Superiores de la CDMX, Rosario Castellanos.</w:t>
      </w:r>
    </w:p>
  </w:footnote>
  <w:footnote w:id="4">
    <w:p w:rsidR="002053EF" w:rsidRDefault="00D54628">
      <w:pPr>
        <w:spacing w:after="0" w:line="240" w:lineRule="auto"/>
        <w:jc w:val="both"/>
        <w:rPr>
          <w:sz w:val="20"/>
          <w:szCs w:val="20"/>
        </w:rPr>
      </w:pPr>
      <w:r>
        <w:rPr>
          <w:rStyle w:val="Refdenotaalpie"/>
        </w:rPr>
        <w:footnoteRef/>
      </w:r>
      <w:r>
        <w:rPr>
          <w:sz w:val="20"/>
          <w:szCs w:val="20"/>
        </w:rPr>
        <w:t xml:space="preserve"> Las personas que forman parte del Consejo Consultivo del SIPINNA y que participaron fueron: Lic. Laura Alvarado Castellanos, Fundación </w:t>
      </w:r>
      <w:proofErr w:type="gramStart"/>
      <w:r>
        <w:rPr>
          <w:sz w:val="20"/>
          <w:szCs w:val="20"/>
        </w:rPr>
        <w:t>Pr</w:t>
      </w:r>
      <w:r>
        <w:rPr>
          <w:sz w:val="20"/>
          <w:szCs w:val="20"/>
        </w:rPr>
        <w:t>o Niños</w:t>
      </w:r>
      <w:proofErr w:type="gramEnd"/>
      <w:r>
        <w:rPr>
          <w:sz w:val="20"/>
          <w:szCs w:val="20"/>
        </w:rPr>
        <w:t xml:space="preserve"> de la Calle, I.A.P., Angélica García, en representación de Un Kilo de Ayuda, Dra. Mónica González </w:t>
      </w:r>
      <w:proofErr w:type="spellStart"/>
      <w:r>
        <w:rPr>
          <w:sz w:val="20"/>
          <w:szCs w:val="20"/>
        </w:rPr>
        <w:t>Contró</w:t>
      </w:r>
      <w:proofErr w:type="spellEnd"/>
      <w:r>
        <w:rPr>
          <w:sz w:val="20"/>
          <w:szCs w:val="20"/>
        </w:rPr>
        <w:t xml:space="preserve">, Ex abogada General de la UNAM, Mariana </w:t>
      </w:r>
      <w:proofErr w:type="spellStart"/>
      <w:r>
        <w:rPr>
          <w:sz w:val="20"/>
          <w:szCs w:val="20"/>
        </w:rPr>
        <w:t>Pría</w:t>
      </w:r>
      <w:proofErr w:type="spellEnd"/>
      <w:r>
        <w:rPr>
          <w:sz w:val="20"/>
          <w:szCs w:val="20"/>
        </w:rPr>
        <w:t xml:space="preserve">, </w:t>
      </w:r>
      <w:proofErr w:type="spellStart"/>
      <w:r>
        <w:rPr>
          <w:sz w:val="20"/>
          <w:szCs w:val="20"/>
        </w:rPr>
        <w:t>Save</w:t>
      </w:r>
      <w:proofErr w:type="spellEnd"/>
      <w:r>
        <w:rPr>
          <w:sz w:val="20"/>
          <w:szCs w:val="20"/>
        </w:rPr>
        <w:t xml:space="preserve"> </w:t>
      </w:r>
      <w:proofErr w:type="spellStart"/>
      <w:r>
        <w:rPr>
          <w:sz w:val="20"/>
          <w:szCs w:val="20"/>
        </w:rPr>
        <w:t>The</w:t>
      </w:r>
      <w:proofErr w:type="spellEnd"/>
      <w:r>
        <w:rPr>
          <w:sz w:val="20"/>
          <w:szCs w:val="20"/>
        </w:rPr>
        <w:t xml:space="preserve"> </w:t>
      </w:r>
      <w:proofErr w:type="spellStart"/>
      <w:r>
        <w:rPr>
          <w:sz w:val="20"/>
          <w:szCs w:val="20"/>
        </w:rPr>
        <w:t>Children</w:t>
      </w:r>
      <w:proofErr w:type="spellEnd"/>
      <w:r>
        <w:rPr>
          <w:sz w:val="20"/>
          <w:szCs w:val="20"/>
        </w:rPr>
        <w:t xml:space="preserve"> México, </w:t>
      </w:r>
      <w:proofErr w:type="spellStart"/>
      <w:r>
        <w:rPr>
          <w:sz w:val="20"/>
          <w:szCs w:val="20"/>
        </w:rPr>
        <w:t>Nashieli</w:t>
      </w:r>
      <w:proofErr w:type="spellEnd"/>
      <w:r>
        <w:rPr>
          <w:sz w:val="20"/>
          <w:szCs w:val="20"/>
        </w:rPr>
        <w:t xml:space="preserve"> Ramírez, Presidenta de la Comisión de Derechos Humanos de la C</w:t>
      </w:r>
      <w:r>
        <w:rPr>
          <w:sz w:val="20"/>
          <w:szCs w:val="20"/>
        </w:rPr>
        <w:t>iudad de México y Andrea Márquez, Directora de Agenda de los Derechos de Niñas Niños y Adolescentes.</w:t>
      </w:r>
    </w:p>
  </w:footnote>
  <w:footnote w:id="5">
    <w:p w:rsidR="002053EF" w:rsidRDefault="00D54628">
      <w:pPr>
        <w:spacing w:after="0" w:line="240" w:lineRule="auto"/>
        <w:jc w:val="both"/>
        <w:rPr>
          <w:sz w:val="20"/>
          <w:szCs w:val="20"/>
        </w:rPr>
      </w:pPr>
      <w:r>
        <w:rPr>
          <w:rStyle w:val="Refdenotaalpie"/>
        </w:rPr>
        <w:footnoteRef/>
      </w:r>
      <w:r>
        <w:rPr>
          <w:sz w:val="20"/>
          <w:szCs w:val="20"/>
        </w:rPr>
        <w:t xml:space="preserve"> Las ocho personas representantes de sociedad civil participantes fueron: Aránzazu Alonso, Un Kilo de Ayuda, A.C., Isabel </w:t>
      </w:r>
      <w:proofErr w:type="spellStart"/>
      <w:r>
        <w:rPr>
          <w:sz w:val="20"/>
          <w:szCs w:val="20"/>
        </w:rPr>
        <w:t>Crowely</w:t>
      </w:r>
      <w:proofErr w:type="spellEnd"/>
      <w:r>
        <w:rPr>
          <w:sz w:val="20"/>
          <w:szCs w:val="20"/>
        </w:rPr>
        <w:t xml:space="preserve">, Fundación </w:t>
      </w:r>
      <w:proofErr w:type="spellStart"/>
      <w:r>
        <w:rPr>
          <w:sz w:val="20"/>
          <w:szCs w:val="20"/>
        </w:rPr>
        <w:t>Juconi</w:t>
      </w:r>
      <w:proofErr w:type="spellEnd"/>
      <w:r>
        <w:rPr>
          <w:sz w:val="20"/>
          <w:szCs w:val="20"/>
        </w:rPr>
        <w:t xml:space="preserve"> A.C., </w:t>
      </w:r>
      <w:r>
        <w:rPr>
          <w:sz w:val="20"/>
          <w:szCs w:val="20"/>
        </w:rPr>
        <w:t xml:space="preserve">Juan Martín Pérez García, Red por los Derechos de la Infancia en México (REDIM), Hna. Consuelo Gloria Morales Elizondo, Ciudadanos en Apoyo a los Derechos Humanos A.C., Mtra. </w:t>
      </w:r>
      <w:proofErr w:type="spellStart"/>
      <w:r>
        <w:rPr>
          <w:sz w:val="20"/>
          <w:szCs w:val="20"/>
        </w:rPr>
        <w:t>Nelia</w:t>
      </w:r>
      <w:proofErr w:type="spellEnd"/>
      <w:r>
        <w:rPr>
          <w:sz w:val="20"/>
          <w:szCs w:val="20"/>
        </w:rPr>
        <w:t xml:space="preserve"> Mercedes Bojórquez Maza, Inclusión Ciudadana, A.C. y el Mtro. David Calderó</w:t>
      </w:r>
      <w:r>
        <w:rPr>
          <w:sz w:val="20"/>
          <w:szCs w:val="20"/>
        </w:rPr>
        <w:t>n Martín del Campo, Mexicanos Primero, A.C.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53EF" w:rsidRPr="00671827" w:rsidRDefault="00671827" w:rsidP="00671827">
    <w:pPr>
      <w:pBdr>
        <w:top w:val="nil"/>
        <w:left w:val="nil"/>
        <w:bottom w:val="nil"/>
        <w:right w:val="nil"/>
        <w:between w:val="nil"/>
      </w:pBdr>
      <w:tabs>
        <w:tab w:val="center" w:pos="4419"/>
        <w:tab w:val="right" w:pos="8838"/>
      </w:tabs>
      <w:spacing w:after="0" w:line="240" w:lineRule="auto"/>
      <w:jc w:val="right"/>
      <w:rPr>
        <w:rFonts w:ascii="Arial" w:hAnsi="Arial" w:cs="Arial"/>
        <w:i/>
        <w:iCs/>
        <w:color w:val="000000"/>
      </w:rPr>
    </w:pPr>
    <w:r w:rsidRPr="00671827">
      <w:rPr>
        <w:rFonts w:ascii="Arial" w:hAnsi="Arial" w:cs="Arial"/>
        <w:i/>
        <w:iCs/>
        <w:color w:val="000000"/>
      </w:rPr>
      <w:t>Sexto y Séptimo Informes Combinados de México respecto del Cumplimiento de la Convención sobre los Derechos del Niño de Naciones Unidas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E935B2"/>
    <w:multiLevelType w:val="multilevel"/>
    <w:tmpl w:val="341C61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0AA21A0"/>
    <w:multiLevelType w:val="multilevel"/>
    <w:tmpl w:val="5986C6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CD062CD"/>
    <w:multiLevelType w:val="multilevel"/>
    <w:tmpl w:val="46C8F7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EE5487D"/>
    <w:multiLevelType w:val="multilevel"/>
    <w:tmpl w:val="5BF2C8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EC22823"/>
    <w:multiLevelType w:val="multilevel"/>
    <w:tmpl w:val="0C347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3EF"/>
    <w:rsid w:val="002053EF"/>
    <w:rsid w:val="00671827"/>
    <w:rsid w:val="00D5462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7C2604-78B5-4834-A65E-057CEBA02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71D"/>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F847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8471D"/>
  </w:style>
  <w:style w:type="paragraph" w:styleId="Piedepgina">
    <w:name w:val="footer"/>
    <w:basedOn w:val="Normal"/>
    <w:link w:val="PiedepginaCar"/>
    <w:uiPriority w:val="99"/>
    <w:unhideWhenUsed/>
    <w:rsid w:val="00F847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8471D"/>
  </w:style>
  <w:style w:type="paragraph" w:styleId="Prrafodelista">
    <w:name w:val="List Paragraph"/>
    <w:aliases w:val="Dot pt,No Spacing1,List Paragraph Char Char Char,Indicator Text,List Paragraph1,Numbered Para 1,Colorful List - Accent 11,Bullet 1,F5 List Paragraph,Bullet Points,viñetas,lp1,List Paragraph2,MAIN CONTENT,Normal numbered,3,Footnote,DH1"/>
    <w:basedOn w:val="Normal"/>
    <w:link w:val="PrrafodelistaCar"/>
    <w:uiPriority w:val="34"/>
    <w:qFormat/>
    <w:rsid w:val="00F8471D"/>
    <w:pPr>
      <w:ind w:left="720"/>
      <w:contextualSpacing/>
    </w:pPr>
  </w:style>
  <w:style w:type="paragraph" w:styleId="Sinespaciado">
    <w:name w:val="No Spacing"/>
    <w:aliases w:val="SARA"/>
    <w:uiPriority w:val="1"/>
    <w:qFormat/>
    <w:rsid w:val="00F8471D"/>
    <w:pPr>
      <w:spacing w:after="0" w:line="240" w:lineRule="auto"/>
    </w:pPr>
    <w:rPr>
      <w:rFonts w:cs="Times New Roman"/>
    </w:rPr>
  </w:style>
  <w:style w:type="paragraph" w:styleId="Textocomentario">
    <w:name w:val="annotation text"/>
    <w:basedOn w:val="Normal"/>
    <w:link w:val="TextocomentarioCar"/>
    <w:uiPriority w:val="99"/>
    <w:unhideWhenUsed/>
    <w:rsid w:val="00F8471D"/>
    <w:pPr>
      <w:spacing w:line="240" w:lineRule="auto"/>
    </w:pPr>
    <w:rPr>
      <w:sz w:val="20"/>
      <w:szCs w:val="20"/>
    </w:rPr>
  </w:style>
  <w:style w:type="character" w:customStyle="1" w:styleId="TextocomentarioCar">
    <w:name w:val="Texto comentario Car"/>
    <w:basedOn w:val="Fuentedeprrafopredeter"/>
    <w:link w:val="Textocomentario"/>
    <w:uiPriority w:val="99"/>
    <w:rsid w:val="00F8471D"/>
    <w:rPr>
      <w:rFonts w:ascii="Calibri" w:eastAsia="Calibri" w:hAnsi="Calibri" w:cs="Times New Roman"/>
      <w:sz w:val="20"/>
      <w:szCs w:val="20"/>
    </w:r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viñetas Car,lp1 Car,3 Car"/>
    <w:link w:val="Prrafodelista"/>
    <w:uiPriority w:val="34"/>
    <w:qFormat/>
    <w:locked/>
    <w:rsid w:val="00F8471D"/>
    <w:rPr>
      <w:rFonts w:ascii="Calibri" w:eastAsia="Calibri" w:hAnsi="Calibri" w:cs="Times New Roman"/>
    </w:rPr>
  </w:style>
  <w:style w:type="table" w:styleId="Tablaconcuadrcula">
    <w:name w:val="Table Grid"/>
    <w:basedOn w:val="Tablanormal"/>
    <w:uiPriority w:val="39"/>
    <w:rsid w:val="00F8471D"/>
    <w:pPr>
      <w:spacing w:after="0" w:line="240" w:lineRule="auto"/>
      <w:ind w:left="714"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4_G"/>
    <w:uiPriority w:val="99"/>
    <w:rsid w:val="00F8471D"/>
    <w:rPr>
      <w:rFonts w:ascii="Times New Roman" w:hAnsi="Times New Roman"/>
      <w:noProof w:val="0"/>
      <w:sz w:val="27"/>
      <w:vertAlign w:val="superscript"/>
      <w:lang w:val="en-US"/>
    </w:rPr>
  </w:style>
  <w:style w:type="paragraph" w:styleId="Textonotapie">
    <w:name w:val="footnote text"/>
    <w:aliases w:val="5_G,single space,ft,Footnote Text Char1,Footnote Text Char Char,Footnote Text Char1 Char Char,Footnote Text Char Char Char Char,Footnote Text Char,Footnote Text Char1 Char,Footnote Text Char Char Char,nota,pie,independiente,Letrero,margen"/>
    <w:basedOn w:val="Normal"/>
    <w:link w:val="TextonotapieCar"/>
    <w:uiPriority w:val="99"/>
    <w:rsid w:val="00F8471D"/>
    <w:pPr>
      <w:widowControl w:val="0"/>
      <w:tabs>
        <w:tab w:val="left" w:pos="-720"/>
      </w:tabs>
      <w:suppressAutoHyphens/>
      <w:spacing w:after="0" w:line="240" w:lineRule="auto"/>
      <w:jc w:val="both"/>
    </w:pPr>
    <w:rPr>
      <w:rFonts w:ascii="Times New Roman" w:eastAsia="Times New Roman" w:hAnsi="Times New Roman"/>
      <w:snapToGrid w:val="0"/>
      <w:spacing w:val="-2"/>
      <w:sz w:val="20"/>
      <w:szCs w:val="20"/>
      <w:lang w:val="en-GB"/>
    </w:rPr>
  </w:style>
  <w:style w:type="character" w:customStyle="1" w:styleId="TextonotapieCar">
    <w:name w:val="Texto nota pie Car"/>
    <w:aliases w:val="5_G Car,single space Car,ft Car,Footnote Text Char1 Car,Footnote Text Char Char Car,Footnote Text Char1 Char Char Car,Footnote Text Char Char Char Char Car,Footnote Text Char Car,Footnote Text Char1 Char Car,nota Car,pie Car"/>
    <w:basedOn w:val="Fuentedeprrafopredeter"/>
    <w:link w:val="Textonotapie"/>
    <w:uiPriority w:val="99"/>
    <w:rsid w:val="00F8471D"/>
    <w:rPr>
      <w:rFonts w:ascii="Times New Roman" w:eastAsia="Times New Roman" w:hAnsi="Times New Roman" w:cs="Times New Roman"/>
      <w:snapToGrid w:val="0"/>
      <w:spacing w:val="-2"/>
      <w:sz w:val="20"/>
      <w:szCs w:val="20"/>
      <w:lang w:val="en-GB"/>
    </w:rPr>
  </w:style>
  <w:style w:type="paragraph" w:styleId="Textodeglobo">
    <w:name w:val="Balloon Text"/>
    <w:basedOn w:val="Normal"/>
    <w:link w:val="TextodegloboCar"/>
    <w:uiPriority w:val="99"/>
    <w:semiHidden/>
    <w:unhideWhenUsed/>
    <w:rsid w:val="00D77E8D"/>
    <w:pPr>
      <w:spacing w:after="0" w:line="240" w:lineRule="auto"/>
    </w:pPr>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D77E8D"/>
    <w:rPr>
      <w:rFonts w:ascii="Times New Roman" w:eastAsia="Calibri" w:hAnsi="Times New Roman" w:cs="Times New Roman"/>
      <w:sz w:val="18"/>
      <w:szCs w:val="18"/>
    </w:rPr>
  </w:style>
  <w:style w:type="paragraph" w:styleId="Revisin">
    <w:name w:val="Revision"/>
    <w:hidden/>
    <w:uiPriority w:val="99"/>
    <w:semiHidden/>
    <w:rsid w:val="00012AC0"/>
    <w:pPr>
      <w:spacing w:after="0" w:line="240" w:lineRule="auto"/>
    </w:pPr>
    <w:rPr>
      <w:rFonts w:cs="Times New Roman"/>
    </w:rPr>
  </w:style>
  <w:style w:type="paragraph" w:customStyle="1" w:styleId="p1">
    <w:name w:val="p1"/>
    <w:basedOn w:val="Normal"/>
    <w:rsid w:val="007F6184"/>
    <w:pPr>
      <w:spacing w:after="0" w:line="240" w:lineRule="auto"/>
    </w:pPr>
    <w:rPr>
      <w:rFonts w:ascii="Helvetica" w:eastAsiaTheme="minorHAnsi" w:hAnsi="Helvetica"/>
      <w:sz w:val="18"/>
      <w:szCs w:val="18"/>
      <w:lang w:val="es-ES_tradnl" w:eastAsia="es-ES_tradnl"/>
    </w:rPr>
  </w:style>
  <w:style w:type="character" w:styleId="Nmerodepgina">
    <w:name w:val="page number"/>
    <w:basedOn w:val="Fuentedeprrafopredeter"/>
    <w:uiPriority w:val="99"/>
    <w:semiHidden/>
    <w:unhideWhenUsed/>
    <w:rsid w:val="005C46D4"/>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pPr>
      <w:spacing w:after="0" w:line="240" w:lineRule="auto"/>
      <w:ind w:left="714" w:hanging="357"/>
      <w:jc w:val="both"/>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QnWSO+UMXBXaHgVg9T7IBmmog==">AMUW2mWr4+tlh951EsjAGXmwFCxHmXqqOrYhPA0VmiTNXSG83YkX53OcnnddDZZJGgQpkMrnxnkRInCRvZfaqHC0xIWXK27wj3+ubFBp08cHhNXblmMbKaIWpbQ0TDGmt5BhsoslgrEwXJ2vtTyX7PZWB/Y6gp0R1jiUK7/GcU9fka+V17Xb3o37eQR7bGFAWEf0T9ZWMX1JsvNlFRqWto75iS+dlz29000NLkr2mUZXFDmibajgGoDppeeABpN8E9qK+wYb3LDpIJ5cT0BQjrcufswmO1ymZa17LPpxEjtBVtPj9r8iSJNW+Z7NFV4MYtyQqyJhf35KaqnTojWswXC08NCcG+8aeP9KjjGAXWCO9PUoJGzvi840QOWIw86T/4F3v3xnspGW9zQQxuuqJVb6Jh9Z4hNR+lkS+aZsFiA11F8QY4Ymm4PcyE4OErhCHAPV2UeEsDPRe37O/jMFumUcvBBYloHpGskdFY3o/O1T1ljpXg1JGUNBNiI77p/5B9nfoZweepC/GbWzvEJ1o4TDDzGuQFSFvWxnsjolqn8/eUWkq71lCaW/WUWF44smb5DJsgoGYA2d5qVbyvVRyx/vha3QJ0ueLMExJtb8E/zxW1DjW14PYNQ7Kiv9Ot/lC620+oKku9Ce6kNHlUWsm28p3UQqaVq1/SOgXqvu+yThf85kCIMC23iAjNUDyS+Q+owvjao+0emuzF8IckMwPKzrJiyyv9m7GCsMlmw3OQGjZ9CLWzjgfQzVG7JlsWs1edNJK0CO9pOQnKqe/i1DlXVW2umfHV53utQrmEL8mzjSbEFuvKGnrYrFaN0Md59DsI/ubi5Abbxu8eJtT6sPaiS6ukKOUQYt0CKmt00JxQwJ1IE29YbK4ZBEhPS/8epc31JHfIZdv4HT/dvyxIieeYXj9w+ccec6PtSn0leYnxYkn21yDgc1zY3xtWwc1UcVeCwG04TjvPCwWVsvJPWGxINjXhcPakHGvolgRwfxtG4vt87XQKb9gHn4ev6f33Ts0XBHkpId86MEXYgcIFLCc+T/MP+1349tXmCZ8o9rNKYbse9XhDqmy/DJKVtemsmLVJcITYLFmG4ish/3PWHoFqNWoqN0P/xdS1Hu4r34pIvdeUMtwE+pua8MpqLwHIH6Ny7e5nHeOICNTdquEYiNlbEnBXMGVvAON/xwsZhaDyXqgxkdFEIYrUe59/7aMpFg+6I8ckfp20ktMeu3VHaKPpnlN+SvBiBfyFtKmVqg84Q0P5tNEe0fMVTxZMnj/3sVKKGIfXFIm0QAhJb0e2ibIuqHL0tDpM5hgWcvXkfuMMLePPQlXM+4pN32HDQCbtaUbdvUoPkPs13RfXqJWigXOI2iFVNGsj+gRC1AucNgY8zoIBzeJyGGtVcv0uZP91dSGxa9Sk9GrFOd0UMurovwUSbv/aUixh3RMnBAdgrK3BmmNyzwWMz1i5isI57Q4WrT2nX0BxuA1p4bXvhIoftgWSiMqIteEfn4V/KYieOGTA0sEP17gdq2G52t17iijPO2MShUxifzQMIgUg0TVqU8P7WZEja7vuSWq3HjDkt1pijISoDC/zZKvE8DuoHPHFUW78tqulV3FDOhJb3Pmat+fPxDWW0y6d0vUsV64zfWUxMYNpzvn+T7eKerHyhlO0FIWMLLnh/nJ7KxV5vov4gG5JZbPbT7hiUVyu3PgkhXRGaPCV/8pAhOO3HpXHeQ9+sry8nihcXHr4WF+HcWQMXQmVdr8FqImYWmHD1S6noPZOYxL4F/wvwT3heTXV9uDj7p3766YsOrfluqCu+e1seQsS4G2EhmdpU4Z/ExHfWtuX9C1JHBbVRzzTH6lUAMuELhJLXZuL9Gc/CEHn89/YsD7+MHbei3eKG1NXxyFOShbZ5XhH80GQ4+Q4n34VvEGaCJMtXbT2hmJI792MiOflOQfqF4xoD8eNf+Ut/CkvBP/1AMpT5Bh5D/38/ZFjju+Guckvkhg9jgQ8CA6mUHrtvqlLhozxvReGsHPDEHGO9bji4PCTJ745j2jZ+aCccy3xTMFS9oal+tvjttmDD0bs3eOTtE4QszK5fQpuj1VqoeHNc+oPXyb+bZwU6y01Wy463fBRxwUF5i7U0ShflFrD4jx4DRQx/fh0+LkdCX6H9aSPl5rP1vuUMRTa2VBGaduQhzQmpN3AMd0OkwfTs9rl6w9fzbLPejuFfyTaXV2SEvLGz1mAesB7ktcZJztpwNao7Wp2MdHwc/APV6edwMZnztOtc2RH5c9O23HhYw3QCC/h5Xy84LemliA/HPF3uRxoXSz1aJAVA/ev3nc+I2JIUJgTVFOoov3BtMFpXMcnbiMP77DQWvKDnUIRQrUksBsQ4ARXUSgI0g8GFmaJmW0/sKDmbxYsh1uP6aKS5gIv/zUubHDczxd4n2kxNcV/IwN7Xhao7fQmpr3HKDdvRpbMHdff3GuJpQDMT0fMsYxEStBImCJZZDe1+rdxdIex9eehyyMjqBTEWMc4aogmNbUkBPs7/5BfU68ej/I+O5VARHe+5JMZj1l2V9w5KAtIsA4RSLzI52qjhxD+0Q/0M5HTQvDbJw/JxRqMr7X0WQdEsumle7yunFVj2i0aui1pLIipG8SRpdh5THh1u8hjpDuDaJIWFoZdUjzfLUb4w34qj+dMyzJxchUY4l89q2w/Xb3o0G9TfdNq7Nqx4gIODgHe4T2jGBYL/oGKfgMGZVGsWwNxHFGvQeXNZxMlxrx2Xg+Kp8DQgFRWyb5sfXVEoFTSY9H5ALBas+bNuZr6Fv8RsWI5gIKrZG186/n9zjcroTTSnzshIni+XftZ92ju4GYAET9gSc6jmuoomoYPztH1mk6XIe2p6/QHh/LwvZko8z7jLR63J6kgzEp17wPUKGot8eS44DYprsPGBt0JztOmRLhHaOTm71Usu5ad4tHKlEY0c46cs6LYTc7HOLSiSag4P8pckut5dXxY++AR34KIH9niBzSaWmiIvUbVyUT7S2ANCPvHFuJQPT7baYXmZLV3foUXLpb0dm0PSScTo23E399TjuaT4CxntwRcSwBBDkGgTuJvMHHvN2bgwqDc9O7+2WgIVYfwbXMZ0Ne0MEISIx+VS1x71QzVIMVq9VQaikKvGvg0pTyMTZyrEqMD2/TzwGMecgbqwWa9bQn10Dpjgd+npPL4OqcrIIUknq+WZebTB1lzxw3cOVTEGslD3N5fnbZZ14fIHSmMOGmmpfFbo6qMDN2uAPiN6CiHfW2dC79X/jYFZKJ33E5KvdVeqqifaCpgrNALp4WPdb0Jm8U3hcKp3NcH0RjUbqEO0amTwwb9/PNBDmArKUMKxaP1qzLIwXaGHIzmNxgiwYNTkKgJaVoG/3Tysz2qAqmu0T4E9aiD+iWDZ/JoMz/xnt0Axlkf5Hxj5xyyfDUBGsdZeMmikmIaOX2eq11UnpMM5WLIiNtrMpXk77P9nSRZUyVogrBcPCw0+1qN70jBGWutXbosdgGwo0qln/CRJee/D1FT8nOc6xHhQ8I/F5z8w503mZ8FOc4wbspJ9e8ERcmkmO6fPGuao4lM3yOVYg6g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A76AB5-8C08-49A2-89CD-16927CF2267D}"/>
</file>

<file path=customXml/itemProps3.xml><?xml version="1.0" encoding="utf-8"?>
<ds:datastoreItem xmlns:ds="http://schemas.openxmlformats.org/officeDocument/2006/customXml" ds:itemID="{DD301997-7FE4-454A-BAF7-C78BF7C088D5}"/>
</file>

<file path=customXml/itemProps4.xml><?xml version="1.0" encoding="utf-8"?>
<ds:datastoreItem xmlns:ds="http://schemas.openxmlformats.org/officeDocument/2006/customXml" ds:itemID="{1FD46854-92BA-4682-86FB-DE301C9E7DBA}"/>
</file>

<file path=docProps/app.xml><?xml version="1.0" encoding="utf-8"?>
<Properties xmlns="http://schemas.openxmlformats.org/officeDocument/2006/extended-properties" xmlns:vt="http://schemas.openxmlformats.org/officeDocument/2006/docPropsVTypes">
  <Template>Normal</Template>
  <TotalTime>0</TotalTime>
  <Pages>6</Pages>
  <Words>1835</Words>
  <Characters>10096</Characters>
  <Application>Microsoft Office Word</Application>
  <DocSecurity>0</DocSecurity>
  <Lines>84</Lines>
  <Paragraphs>23</Paragraphs>
  <ScaleCrop>false</ScaleCrop>
  <Company/>
  <LinksUpToDate>false</LinksUpToDate>
  <CharactersWithSpaces>11908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Mendoza Arroyo Fatima</dc:creator>
  <cp:lastModifiedBy>FATIMA MENDOZA ARROYO</cp:lastModifiedBy>
  <cp:revision>2</cp:revision>
  <dcterms:created xsi:type="dcterms:W3CDTF">2020-11-24T19:20:00Z</dcterms:created>
  <dcterms:modified xsi:type="dcterms:W3CDTF">2020-12-17T20:02:00Z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