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5.xml" ContentType="application/vnd.openxmlformats-officedocument.wordprocessingml.footer+xml"/>
  <Override PartName="/word/footer4.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rsidP="00E01DA1">
      <w:pPr>
        <w:jc w:val="center"/>
        <w:rPr>
          <w:b/>
          <w:sz w:val="28"/>
          <w:szCs w:val="28"/>
          <w:lang w:val="en-US"/>
        </w:rPr>
      </w:pPr>
      <w:r w:rsidRPr="003C4D9E">
        <w:rPr>
          <w:b/>
          <w:sz w:val="28"/>
          <w:szCs w:val="28"/>
          <w:lang w:val="en-US"/>
        </w:rPr>
        <w:t xml:space="preserve">REPORT FROM THE OMBUDSMAN INSTITUTION </w:t>
      </w:r>
    </w:p>
    <w:p w:rsidR="001E0DA8" w:rsidRPr="003C4D9E" w:rsidRDefault="001E0DA8" w:rsidP="00E01DA1">
      <w:pPr>
        <w:rPr>
          <w:lang w:val="en-US"/>
        </w:rPr>
      </w:pPr>
    </w:p>
    <w:p w:rsidR="001E0DA8" w:rsidRPr="003C4D9E" w:rsidRDefault="001E0DA8" w:rsidP="00E01DA1">
      <w:pPr>
        <w:jc w:val="center"/>
        <w:rPr>
          <w:b/>
          <w:sz w:val="28"/>
          <w:szCs w:val="28"/>
          <w:lang w:val="en-US"/>
        </w:rPr>
      </w:pPr>
      <w:r w:rsidRPr="003C4D9E">
        <w:rPr>
          <w:b/>
          <w:sz w:val="28"/>
          <w:szCs w:val="28"/>
          <w:lang w:val="en-US"/>
        </w:rPr>
        <w:t>SPAIN</w:t>
      </w:r>
    </w:p>
    <w:p w:rsidR="001E0DA8" w:rsidRPr="003C4D9E" w:rsidRDefault="001E0DA8" w:rsidP="00E01DA1">
      <w:pPr>
        <w:jc w:val="center"/>
        <w:rPr>
          <w:b/>
          <w:sz w:val="28"/>
          <w:szCs w:val="28"/>
          <w:lang w:val="en-US"/>
        </w:rPr>
      </w:pPr>
    </w:p>
    <w:p w:rsidR="001E0DA8" w:rsidRPr="003C4D9E" w:rsidRDefault="001E0DA8" w:rsidP="00E01DA1">
      <w:pPr>
        <w:jc w:val="center"/>
        <w:rPr>
          <w:b/>
          <w:lang w:val="en-US"/>
        </w:rPr>
      </w:pPr>
      <w:r w:rsidRPr="003C4D9E">
        <w:rPr>
          <w:b/>
          <w:sz w:val="28"/>
          <w:szCs w:val="28"/>
          <w:lang w:val="en-US"/>
        </w:rPr>
        <w:t>5TH AND 6TH REPORTS ON THE APPLICATION OF THE CONVENTION ON THE RIGHTS OF THE CHILD AND ITS OPTIONAL PROTOCOLS</w:t>
      </w:r>
    </w:p>
    <w:p w:rsidR="001E0DA8" w:rsidRPr="003C4D9E" w:rsidRDefault="001E0DA8" w:rsidP="00F440E2">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bookmarkStart w:id="0" w:name="_GoBack"/>
      <w:bookmarkEnd w:id="0"/>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rsidP="00E01DA1">
      <w:pPr>
        <w:jc w:val="right"/>
        <w:rPr>
          <w:b/>
          <w:lang w:val="en-US"/>
        </w:rPr>
      </w:pPr>
      <w:r w:rsidRPr="003C4D9E">
        <w:rPr>
          <w:b/>
          <w:lang w:val="en-US"/>
        </w:rPr>
        <w:t>OMBUDSMAN INSTITU</w:t>
      </w:r>
      <w:r>
        <w:rPr>
          <w:b/>
          <w:lang w:val="en-US"/>
        </w:rPr>
        <w:t>T</w:t>
      </w:r>
      <w:r w:rsidRPr="003C4D9E">
        <w:rPr>
          <w:b/>
          <w:lang w:val="en-US"/>
        </w:rPr>
        <w:t>ION- SPAIN</w:t>
      </w:r>
    </w:p>
    <w:p w:rsidR="001E0DA8" w:rsidRPr="003C4D9E" w:rsidRDefault="001E0DA8" w:rsidP="00E01DA1">
      <w:pPr>
        <w:jc w:val="right"/>
        <w:rPr>
          <w:b/>
          <w:lang w:val="en-US"/>
        </w:rPr>
      </w:pPr>
      <w:r w:rsidRPr="003C4D9E">
        <w:rPr>
          <w:b/>
          <w:lang w:val="en-US"/>
        </w:rPr>
        <w:t>(NHRI)</w:t>
      </w:r>
    </w:p>
    <w:p w:rsidR="001E0DA8" w:rsidRPr="003C4D9E" w:rsidRDefault="001E0DA8" w:rsidP="00E01DA1">
      <w:pPr>
        <w:jc w:val="right"/>
        <w:rPr>
          <w:lang w:val="en-US"/>
        </w:rPr>
      </w:pPr>
    </w:p>
    <w:p w:rsidR="001E0DA8" w:rsidRPr="003C4D9E" w:rsidRDefault="001E0DA8" w:rsidP="00E01DA1">
      <w:pPr>
        <w:rPr>
          <w:lang w:val="en-US"/>
        </w:rPr>
      </w:pPr>
    </w:p>
    <w:p w:rsidR="001E0DA8" w:rsidRPr="003C4D9E" w:rsidRDefault="001E0DA8" w:rsidP="00F440E2">
      <w:pPr>
        <w:jc w:val="right"/>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Pr="003C4D9E" w:rsidRDefault="001E0DA8">
      <w:pPr>
        <w:rPr>
          <w:lang w:val="en-US"/>
        </w:rPr>
      </w:pPr>
    </w:p>
    <w:p w:rsidR="001E0DA8" w:rsidRDefault="001E0DA8">
      <w:pPr>
        <w:rPr>
          <w:lang w:val="en-US"/>
        </w:rPr>
      </w:pPr>
      <w:r w:rsidRPr="00C13706">
        <w:rPr>
          <w:b/>
          <w:lang w:val="en-US"/>
        </w:rPr>
        <w:t>NHRI</w:t>
      </w:r>
      <w:r w:rsidRPr="003C4D9E">
        <w:rPr>
          <w:lang w:val="en-US"/>
        </w:rPr>
        <w:t>: OMBUDSMAN INSTITUTION</w:t>
      </w:r>
    </w:p>
    <w:p w:rsidR="001E0DA8" w:rsidRPr="003C4D9E" w:rsidRDefault="001E0DA8">
      <w:pPr>
        <w:rPr>
          <w:lang w:val="en-US"/>
        </w:rPr>
      </w:pPr>
    </w:p>
    <w:p w:rsidR="001E0DA8" w:rsidRPr="005636DB" w:rsidRDefault="001E0DA8" w:rsidP="005636DB">
      <w:pPr>
        <w:jc w:val="both"/>
      </w:pPr>
      <w:r w:rsidRPr="00C13706">
        <w:rPr>
          <w:b/>
        </w:rPr>
        <w:t>Title in Spanish</w:t>
      </w:r>
      <w:r w:rsidRPr="005636DB">
        <w:t>: INFORME DEL DEFENSOR DEL PUEBLO</w:t>
      </w:r>
      <w:r>
        <w:t xml:space="preserve">. </w:t>
      </w:r>
      <w:r w:rsidRPr="005636DB">
        <w:t>ESPAÑA V Y VI INFORME SOBRE LA APLICACIÓN DE LA CONVENCIÓN SOBRE LOS DERECHOS DEL NIÑO Y SUS PROTOCOLOS FACULTATIVOS</w:t>
      </w:r>
    </w:p>
    <w:p w:rsidR="001E0DA8" w:rsidRPr="005636DB" w:rsidRDefault="001E0DA8" w:rsidP="001A6268"/>
    <w:p w:rsidR="001E0DA8" w:rsidRPr="005636DB" w:rsidRDefault="001E0DA8"/>
    <w:p w:rsidR="001E0DA8" w:rsidRPr="005636DB" w:rsidRDefault="001E0DA8"/>
    <w:p w:rsidR="001E0DA8" w:rsidRPr="005636DB" w:rsidRDefault="001E0DA8"/>
    <w:p w:rsidR="001E0DA8" w:rsidRPr="005636DB" w:rsidRDefault="001E0DA8">
      <w:r w:rsidRPr="005636DB">
        <w:t>Contact details:</w:t>
      </w:r>
    </w:p>
    <w:p w:rsidR="001E0DA8" w:rsidRPr="00876738" w:rsidRDefault="001E0DA8">
      <w:r w:rsidRPr="00876738">
        <w:t>Paseo de Eduardo Dato, 31:</w:t>
      </w:r>
    </w:p>
    <w:p w:rsidR="001E0DA8" w:rsidRPr="00876738" w:rsidRDefault="001E0DA8">
      <w:r w:rsidRPr="00876738">
        <w:t>28010 Madrid</w:t>
      </w:r>
    </w:p>
    <w:p w:rsidR="001E0DA8" w:rsidRPr="00876738" w:rsidRDefault="001E0DA8">
      <w:r w:rsidRPr="00876738">
        <w:t>Tel.:</w:t>
      </w:r>
      <w:r w:rsidRPr="00876738">
        <w:tab/>
        <w:t>91.432.70.00</w:t>
      </w:r>
    </w:p>
    <w:p w:rsidR="001E0DA8" w:rsidRPr="00876738" w:rsidRDefault="001E0DA8">
      <w:r w:rsidRPr="00876738">
        <w:t>Fax:</w:t>
      </w:r>
      <w:r w:rsidRPr="00876738">
        <w:tab/>
        <w:t>91.308.28.06</w:t>
      </w:r>
    </w:p>
    <w:p w:rsidR="001E0DA8" w:rsidRPr="00876738" w:rsidRDefault="001E0DA8">
      <w:hyperlink r:id="rId7" w:history="1">
        <w:r w:rsidRPr="00876738">
          <w:rPr>
            <w:rStyle w:val="Hyperlink"/>
          </w:rPr>
          <w:t>registro@defensordelpueblo.es</w:t>
        </w:r>
      </w:hyperlink>
      <w:r w:rsidRPr="00876738">
        <w:t xml:space="preserve"> </w:t>
      </w:r>
    </w:p>
    <w:p w:rsidR="001E0DA8" w:rsidRPr="005636DB" w:rsidRDefault="001E0DA8">
      <w:pPr>
        <w:rPr>
          <w:lang w:val="en-GB"/>
        </w:rPr>
      </w:pPr>
      <w:hyperlink r:id="rId8" w:history="1">
        <w:r w:rsidRPr="005636DB">
          <w:rPr>
            <w:rStyle w:val="Hyperlink"/>
            <w:lang w:val="en-GB"/>
          </w:rPr>
          <w:t>www.defensordelpueblo.es</w:t>
        </w:r>
      </w:hyperlink>
      <w:r w:rsidRPr="005636DB">
        <w:rPr>
          <w:lang w:val="en-GB"/>
        </w:rPr>
        <w:t xml:space="preserve"> </w:t>
      </w:r>
    </w:p>
    <w:p w:rsidR="001E0DA8" w:rsidRPr="005636DB" w:rsidRDefault="001E0DA8">
      <w:pPr>
        <w:rPr>
          <w:lang w:val="en-GB"/>
        </w:rPr>
      </w:pPr>
    </w:p>
    <w:p w:rsidR="001E0DA8" w:rsidRPr="005636DB" w:rsidRDefault="001E0DA8">
      <w:pPr>
        <w:rPr>
          <w:lang w:val="en-GB"/>
        </w:rPr>
      </w:pPr>
    </w:p>
    <w:p w:rsidR="001E0DA8" w:rsidRPr="005636DB" w:rsidRDefault="001E0DA8">
      <w:pPr>
        <w:rPr>
          <w:lang w:val="en-GB"/>
        </w:rPr>
      </w:pPr>
    </w:p>
    <w:p w:rsidR="001E0DA8" w:rsidRPr="003C4D9E" w:rsidRDefault="001E0DA8">
      <w:pPr>
        <w:rPr>
          <w:lang w:val="en-US"/>
        </w:rPr>
      </w:pPr>
      <w:r w:rsidRPr="003C4D9E">
        <w:rPr>
          <w:lang w:val="en-US"/>
        </w:rPr>
        <w:t>Madrid, February 2017</w:t>
      </w:r>
    </w:p>
    <w:p w:rsidR="001E0DA8" w:rsidRPr="003C4D9E" w:rsidRDefault="001E0DA8" w:rsidP="00B0124A">
      <w:pPr>
        <w:rPr>
          <w:lang w:val="en-US"/>
        </w:rPr>
        <w:sectPr w:rsidR="001E0DA8" w:rsidRPr="003C4D9E" w:rsidSect="00371CB2">
          <w:headerReference w:type="even" r:id="rId9"/>
          <w:headerReference w:type="default" r:id="rId10"/>
          <w:footerReference w:type="even" r:id="rId11"/>
          <w:footerReference w:type="default" r:id="rId12"/>
          <w:footerReference w:type="first" r:id="rId13"/>
          <w:pgSz w:w="11907" w:h="16840" w:code="9"/>
          <w:pgMar w:top="2835" w:right="1701" w:bottom="2552" w:left="1701" w:header="1701" w:footer="1985" w:gutter="567"/>
          <w:pgNumType w:start="1"/>
          <w:cols w:space="708"/>
          <w:titlePg/>
          <w:docGrid w:linePitch="360"/>
        </w:sectPr>
      </w:pPr>
      <w:r w:rsidRPr="003C4D9E">
        <w:rPr>
          <w:lang w:val="en-US"/>
        </w:rPr>
        <w:t xml:space="preserve">Number of words: </w:t>
      </w:r>
      <w:r w:rsidRPr="003C4D9E">
        <w:rPr>
          <w:b/>
          <w:lang w:val="en-US"/>
        </w:rPr>
        <w:t>19,</w:t>
      </w:r>
      <w:r>
        <w:rPr>
          <w:b/>
          <w:lang w:val="en-US"/>
        </w:rPr>
        <w:t>764</w:t>
      </w:r>
    </w:p>
    <w:p w:rsidR="001E0DA8" w:rsidRPr="003C4D9E" w:rsidRDefault="001E0DA8" w:rsidP="00E7759E">
      <w:pPr>
        <w:pStyle w:val="TOC1"/>
        <w:tabs>
          <w:tab w:val="left" w:pos="1000"/>
          <w:tab w:val="right" w:leader="dot" w:pos="7928"/>
        </w:tabs>
        <w:jc w:val="center"/>
        <w:rPr>
          <w:b/>
          <w:lang w:val="en-US"/>
        </w:rPr>
      </w:pPr>
      <w:r w:rsidRPr="003C4D9E">
        <w:rPr>
          <w:b/>
          <w:lang w:val="en-US"/>
        </w:rPr>
        <w:t>INDEX</w:t>
      </w:r>
    </w:p>
    <w:p w:rsidR="001E0DA8" w:rsidRPr="003C4D9E" w:rsidRDefault="001E0DA8" w:rsidP="00E7759E">
      <w:pPr>
        <w:rPr>
          <w:lang w:val="en-US"/>
        </w:rPr>
      </w:pPr>
    </w:p>
    <w:p w:rsidR="001E0DA8" w:rsidRDefault="001E0DA8">
      <w:pPr>
        <w:pStyle w:val="TOC1"/>
        <w:tabs>
          <w:tab w:val="left" w:pos="1000"/>
          <w:tab w:val="right" w:leader="dot" w:pos="7928"/>
        </w:tabs>
        <w:rPr>
          <w:noProof/>
        </w:rPr>
      </w:pPr>
      <w:r w:rsidRPr="003C4D9E">
        <w:rPr>
          <w:b/>
          <w:lang w:val="en-US"/>
        </w:rPr>
        <w:fldChar w:fldCharType="begin"/>
      </w:r>
      <w:r w:rsidRPr="003C4D9E">
        <w:rPr>
          <w:b/>
          <w:lang w:val="en-US"/>
        </w:rPr>
        <w:instrText xml:space="preserve"> TOC \o "1-3" \h \z \t "1;1;2;2;3;3" </w:instrText>
      </w:r>
      <w:r w:rsidRPr="003C4D9E">
        <w:rPr>
          <w:b/>
          <w:lang w:val="en-US"/>
        </w:rPr>
        <w:fldChar w:fldCharType="separate"/>
      </w:r>
      <w:hyperlink w:anchor="_Toc475979913" w:history="1">
        <w:r w:rsidRPr="00437700">
          <w:rPr>
            <w:rStyle w:val="Hyperlink"/>
            <w:bCs/>
            <w:noProof/>
            <w:lang w:val="en-US"/>
          </w:rPr>
          <w:t>1</w:t>
        </w:r>
        <w:r>
          <w:rPr>
            <w:noProof/>
          </w:rPr>
          <w:tab/>
        </w:r>
        <w:r w:rsidRPr="00437700">
          <w:rPr>
            <w:rStyle w:val="Hyperlink"/>
            <w:noProof/>
            <w:lang w:val="en-US"/>
          </w:rPr>
          <w:t>APPLICABLE GENERAL MEASURES</w:t>
        </w:r>
        <w:r>
          <w:rPr>
            <w:noProof/>
            <w:webHidden/>
          </w:rPr>
          <w:tab/>
        </w:r>
        <w:r>
          <w:rPr>
            <w:noProof/>
            <w:webHidden/>
          </w:rPr>
          <w:fldChar w:fldCharType="begin"/>
        </w:r>
        <w:r>
          <w:rPr>
            <w:noProof/>
            <w:webHidden/>
          </w:rPr>
          <w:instrText xml:space="preserve"> PAGEREF _Toc475979913 \h </w:instrText>
        </w:r>
        <w:r>
          <w:rPr>
            <w:noProof/>
          </w:rPr>
        </w:r>
        <w:r>
          <w:rPr>
            <w:noProof/>
            <w:webHidden/>
          </w:rPr>
          <w:fldChar w:fldCharType="separate"/>
        </w:r>
        <w:r>
          <w:rPr>
            <w:noProof/>
            <w:webHidden/>
          </w:rPr>
          <w:t>1</w:t>
        </w:r>
        <w:r>
          <w:rPr>
            <w:noProof/>
            <w:webHidden/>
          </w:rPr>
          <w:fldChar w:fldCharType="end"/>
        </w:r>
      </w:hyperlink>
    </w:p>
    <w:p w:rsidR="001E0DA8" w:rsidRDefault="001E0DA8">
      <w:pPr>
        <w:pStyle w:val="TOC2"/>
        <w:rPr>
          <w:noProof/>
        </w:rPr>
      </w:pPr>
      <w:hyperlink w:anchor="_Toc475979914" w:history="1">
        <w:r w:rsidRPr="00437700">
          <w:rPr>
            <w:rStyle w:val="Hyperlink"/>
            <w:noProof/>
            <w:lang w:val="en-US"/>
          </w:rPr>
          <w:t>1.1</w:t>
        </w:r>
        <w:r>
          <w:rPr>
            <w:noProof/>
          </w:rPr>
          <w:tab/>
        </w:r>
        <w:r w:rsidRPr="00437700">
          <w:rPr>
            <w:rStyle w:val="Hyperlink"/>
            <w:noProof/>
            <w:lang w:val="en-US"/>
          </w:rPr>
          <w:t>Measures adopted for the full harmonization of legislation and</w:t>
        </w:r>
        <w:r>
          <w:rPr>
            <w:rStyle w:val="Hyperlink"/>
            <w:noProof/>
            <w:lang w:val="en-US"/>
          </w:rPr>
          <w:t xml:space="preserve">   </w:t>
        </w:r>
        <w:r w:rsidRPr="00437700">
          <w:rPr>
            <w:rStyle w:val="Hyperlink"/>
            <w:noProof/>
            <w:lang w:val="en-US"/>
          </w:rPr>
          <w:t xml:space="preserve"> national practices with the provisions of the Convention and its</w:t>
        </w:r>
        <w:r>
          <w:rPr>
            <w:rStyle w:val="Hyperlink"/>
            <w:noProof/>
            <w:lang w:val="en-US"/>
          </w:rPr>
          <w:t xml:space="preserve"> </w:t>
        </w:r>
        <w:r w:rsidRPr="00437700">
          <w:rPr>
            <w:rStyle w:val="Hyperlink"/>
            <w:noProof/>
            <w:lang w:val="en-US"/>
          </w:rPr>
          <w:t xml:space="preserve"> optional Protocols</w:t>
        </w:r>
        <w:r>
          <w:rPr>
            <w:noProof/>
            <w:webHidden/>
          </w:rPr>
          <w:tab/>
        </w:r>
        <w:r>
          <w:rPr>
            <w:noProof/>
            <w:webHidden/>
          </w:rPr>
          <w:fldChar w:fldCharType="begin"/>
        </w:r>
        <w:r>
          <w:rPr>
            <w:noProof/>
            <w:webHidden/>
          </w:rPr>
          <w:instrText xml:space="preserve"> PAGEREF _Toc475979914 \h </w:instrText>
        </w:r>
        <w:r>
          <w:rPr>
            <w:noProof/>
          </w:rPr>
        </w:r>
        <w:r>
          <w:rPr>
            <w:noProof/>
            <w:webHidden/>
          </w:rPr>
          <w:fldChar w:fldCharType="separate"/>
        </w:r>
        <w:r>
          <w:rPr>
            <w:noProof/>
            <w:webHidden/>
          </w:rPr>
          <w:t>1</w:t>
        </w:r>
        <w:r>
          <w:rPr>
            <w:noProof/>
            <w:webHidden/>
          </w:rPr>
          <w:fldChar w:fldCharType="end"/>
        </w:r>
      </w:hyperlink>
    </w:p>
    <w:p w:rsidR="001E0DA8" w:rsidRDefault="001E0DA8">
      <w:pPr>
        <w:pStyle w:val="TOC2"/>
        <w:rPr>
          <w:noProof/>
        </w:rPr>
      </w:pPr>
      <w:hyperlink w:anchor="_Toc475979915" w:history="1">
        <w:r w:rsidRPr="00437700">
          <w:rPr>
            <w:rStyle w:val="Hyperlink"/>
            <w:noProof/>
            <w:lang w:val="en-US"/>
          </w:rPr>
          <w:t>1.2</w:t>
        </w:r>
        <w:r>
          <w:rPr>
            <w:noProof/>
          </w:rPr>
          <w:tab/>
        </w:r>
        <w:r w:rsidRPr="00437700">
          <w:rPr>
            <w:rStyle w:val="Hyperlink"/>
            <w:noProof/>
            <w:lang w:val="en-US"/>
          </w:rPr>
          <w:t>ALLOCATION of resources</w:t>
        </w:r>
        <w:r>
          <w:rPr>
            <w:noProof/>
            <w:webHidden/>
          </w:rPr>
          <w:tab/>
        </w:r>
        <w:r>
          <w:rPr>
            <w:noProof/>
            <w:webHidden/>
          </w:rPr>
          <w:fldChar w:fldCharType="begin"/>
        </w:r>
        <w:r>
          <w:rPr>
            <w:noProof/>
            <w:webHidden/>
          </w:rPr>
          <w:instrText xml:space="preserve"> PAGEREF _Toc475979915 \h </w:instrText>
        </w:r>
        <w:r>
          <w:rPr>
            <w:noProof/>
          </w:rPr>
        </w:r>
        <w:r>
          <w:rPr>
            <w:noProof/>
            <w:webHidden/>
          </w:rPr>
          <w:fldChar w:fldCharType="separate"/>
        </w:r>
        <w:r>
          <w:rPr>
            <w:noProof/>
            <w:webHidden/>
          </w:rPr>
          <w:t>2</w:t>
        </w:r>
        <w:r>
          <w:rPr>
            <w:noProof/>
            <w:webHidden/>
          </w:rPr>
          <w:fldChar w:fldCharType="end"/>
        </w:r>
      </w:hyperlink>
    </w:p>
    <w:p w:rsidR="001E0DA8" w:rsidRDefault="001E0DA8">
      <w:pPr>
        <w:pStyle w:val="TOC2"/>
        <w:rPr>
          <w:noProof/>
        </w:rPr>
      </w:pPr>
      <w:hyperlink w:anchor="_Toc475979916" w:history="1">
        <w:r w:rsidRPr="00437700">
          <w:rPr>
            <w:rStyle w:val="Hyperlink"/>
            <w:noProof/>
            <w:lang w:val="en-US"/>
          </w:rPr>
          <w:t>1.3</w:t>
        </w:r>
        <w:r>
          <w:rPr>
            <w:noProof/>
          </w:rPr>
          <w:tab/>
        </w:r>
        <w:r w:rsidRPr="00437700">
          <w:rPr>
            <w:rStyle w:val="Hyperlink"/>
            <w:noProof/>
            <w:lang w:val="en-US"/>
          </w:rPr>
          <w:t>Data collection</w:t>
        </w:r>
        <w:r>
          <w:rPr>
            <w:noProof/>
            <w:webHidden/>
          </w:rPr>
          <w:tab/>
        </w:r>
        <w:r>
          <w:rPr>
            <w:noProof/>
            <w:webHidden/>
          </w:rPr>
          <w:fldChar w:fldCharType="begin"/>
        </w:r>
        <w:r>
          <w:rPr>
            <w:noProof/>
            <w:webHidden/>
          </w:rPr>
          <w:instrText xml:space="preserve"> PAGEREF _Toc475979916 \h </w:instrText>
        </w:r>
        <w:r>
          <w:rPr>
            <w:noProof/>
          </w:rPr>
        </w:r>
        <w:r>
          <w:rPr>
            <w:noProof/>
            <w:webHidden/>
          </w:rPr>
          <w:fldChar w:fldCharType="separate"/>
        </w:r>
        <w:r>
          <w:rPr>
            <w:noProof/>
            <w:webHidden/>
          </w:rPr>
          <w:t>2</w:t>
        </w:r>
        <w:r>
          <w:rPr>
            <w:noProof/>
            <w:webHidden/>
          </w:rPr>
          <w:fldChar w:fldCharType="end"/>
        </w:r>
      </w:hyperlink>
    </w:p>
    <w:p w:rsidR="001E0DA8" w:rsidRDefault="001E0DA8">
      <w:pPr>
        <w:pStyle w:val="TOC2"/>
        <w:rPr>
          <w:noProof/>
        </w:rPr>
      </w:pPr>
      <w:hyperlink w:anchor="_Toc475979917" w:history="1">
        <w:r w:rsidRPr="00437700">
          <w:rPr>
            <w:rStyle w:val="Hyperlink"/>
            <w:noProof/>
            <w:lang w:val="en-US"/>
          </w:rPr>
          <w:t>1.4</w:t>
        </w:r>
        <w:r>
          <w:rPr>
            <w:noProof/>
          </w:rPr>
          <w:tab/>
        </w:r>
        <w:r w:rsidRPr="00437700">
          <w:rPr>
            <w:rStyle w:val="Hyperlink"/>
            <w:noProof/>
            <w:lang w:val="en-US"/>
          </w:rPr>
          <w:t>Dissemination and awareness-raising</w:t>
        </w:r>
        <w:r>
          <w:rPr>
            <w:noProof/>
            <w:webHidden/>
          </w:rPr>
          <w:tab/>
        </w:r>
        <w:r>
          <w:rPr>
            <w:noProof/>
            <w:webHidden/>
          </w:rPr>
          <w:fldChar w:fldCharType="begin"/>
        </w:r>
        <w:r>
          <w:rPr>
            <w:noProof/>
            <w:webHidden/>
          </w:rPr>
          <w:instrText xml:space="preserve"> PAGEREF _Toc475979917 \h </w:instrText>
        </w:r>
        <w:r>
          <w:rPr>
            <w:noProof/>
          </w:rPr>
        </w:r>
        <w:r>
          <w:rPr>
            <w:noProof/>
            <w:webHidden/>
          </w:rPr>
          <w:fldChar w:fldCharType="separate"/>
        </w:r>
        <w:r>
          <w:rPr>
            <w:noProof/>
            <w:webHidden/>
          </w:rPr>
          <w:t>3</w:t>
        </w:r>
        <w:r>
          <w:rPr>
            <w:noProof/>
            <w:webHidden/>
          </w:rPr>
          <w:fldChar w:fldCharType="end"/>
        </w:r>
      </w:hyperlink>
    </w:p>
    <w:p w:rsidR="001E0DA8" w:rsidRDefault="001E0DA8">
      <w:pPr>
        <w:pStyle w:val="TOC2"/>
        <w:rPr>
          <w:noProof/>
        </w:rPr>
      </w:pPr>
      <w:hyperlink w:anchor="_Toc475979918" w:history="1">
        <w:r w:rsidRPr="00437700">
          <w:rPr>
            <w:rStyle w:val="Hyperlink"/>
            <w:noProof/>
            <w:lang w:val="en-US"/>
          </w:rPr>
          <w:t>1.5</w:t>
        </w:r>
        <w:r>
          <w:rPr>
            <w:noProof/>
          </w:rPr>
          <w:tab/>
        </w:r>
        <w:r w:rsidRPr="00437700">
          <w:rPr>
            <w:rStyle w:val="Hyperlink"/>
            <w:noProof/>
            <w:lang w:val="en-US"/>
          </w:rPr>
          <w:t>The Ombudsman Institution: National HUMAN RIGHTS Institute</w:t>
        </w:r>
        <w:r>
          <w:rPr>
            <w:noProof/>
            <w:webHidden/>
          </w:rPr>
          <w:tab/>
        </w:r>
        <w:r>
          <w:rPr>
            <w:noProof/>
            <w:webHidden/>
          </w:rPr>
          <w:fldChar w:fldCharType="begin"/>
        </w:r>
        <w:r>
          <w:rPr>
            <w:noProof/>
            <w:webHidden/>
          </w:rPr>
          <w:instrText xml:space="preserve"> PAGEREF _Toc475979918 \h </w:instrText>
        </w:r>
        <w:r>
          <w:rPr>
            <w:noProof/>
          </w:rPr>
        </w:r>
        <w:r>
          <w:rPr>
            <w:noProof/>
            <w:webHidden/>
          </w:rPr>
          <w:fldChar w:fldCharType="separate"/>
        </w:r>
        <w:r>
          <w:rPr>
            <w:noProof/>
            <w:webHidden/>
          </w:rPr>
          <w:t>4</w:t>
        </w:r>
        <w:r>
          <w:rPr>
            <w:noProof/>
            <w:webHidden/>
          </w:rPr>
          <w:fldChar w:fldCharType="end"/>
        </w:r>
      </w:hyperlink>
    </w:p>
    <w:p w:rsidR="001E0DA8" w:rsidRDefault="001E0DA8">
      <w:pPr>
        <w:pStyle w:val="TOC1"/>
        <w:tabs>
          <w:tab w:val="left" w:pos="1000"/>
          <w:tab w:val="right" w:leader="dot" w:pos="7928"/>
        </w:tabs>
        <w:rPr>
          <w:noProof/>
        </w:rPr>
      </w:pPr>
      <w:hyperlink w:anchor="_Toc475979919" w:history="1">
        <w:r w:rsidRPr="00437700">
          <w:rPr>
            <w:rStyle w:val="Hyperlink"/>
            <w:bCs/>
            <w:noProof/>
            <w:lang w:val="en-US"/>
          </w:rPr>
          <w:t>2</w:t>
        </w:r>
        <w:r>
          <w:rPr>
            <w:noProof/>
          </w:rPr>
          <w:tab/>
        </w:r>
        <w:r w:rsidRPr="00437700">
          <w:rPr>
            <w:rStyle w:val="Hyperlink"/>
            <w:noProof/>
            <w:lang w:val="en-US"/>
          </w:rPr>
          <w:t>GENERAL PRINCIPLES</w:t>
        </w:r>
        <w:r>
          <w:rPr>
            <w:noProof/>
            <w:webHidden/>
          </w:rPr>
          <w:tab/>
        </w:r>
        <w:r>
          <w:rPr>
            <w:noProof/>
            <w:webHidden/>
          </w:rPr>
          <w:fldChar w:fldCharType="begin"/>
        </w:r>
        <w:r>
          <w:rPr>
            <w:noProof/>
            <w:webHidden/>
          </w:rPr>
          <w:instrText xml:space="preserve"> PAGEREF _Toc475979919 \h </w:instrText>
        </w:r>
        <w:r>
          <w:rPr>
            <w:noProof/>
          </w:rPr>
        </w:r>
        <w:r>
          <w:rPr>
            <w:noProof/>
            <w:webHidden/>
          </w:rPr>
          <w:fldChar w:fldCharType="separate"/>
        </w:r>
        <w:r>
          <w:rPr>
            <w:noProof/>
            <w:webHidden/>
          </w:rPr>
          <w:t>5</w:t>
        </w:r>
        <w:r>
          <w:rPr>
            <w:noProof/>
            <w:webHidden/>
          </w:rPr>
          <w:fldChar w:fldCharType="end"/>
        </w:r>
      </w:hyperlink>
    </w:p>
    <w:p w:rsidR="001E0DA8" w:rsidRDefault="001E0DA8">
      <w:pPr>
        <w:pStyle w:val="TOC2"/>
        <w:rPr>
          <w:noProof/>
        </w:rPr>
      </w:pPr>
      <w:hyperlink w:anchor="_Toc475979920" w:history="1">
        <w:r w:rsidRPr="00437700">
          <w:rPr>
            <w:rStyle w:val="Hyperlink"/>
            <w:noProof/>
            <w:lang w:val="en-US"/>
          </w:rPr>
          <w:t>2.1</w:t>
        </w:r>
        <w:r>
          <w:rPr>
            <w:noProof/>
          </w:rPr>
          <w:tab/>
        </w:r>
        <w:r w:rsidRPr="00437700">
          <w:rPr>
            <w:rStyle w:val="Hyperlink"/>
            <w:noProof/>
            <w:lang w:val="en-US"/>
          </w:rPr>
          <w:t>Non-discrimination</w:t>
        </w:r>
        <w:r>
          <w:rPr>
            <w:noProof/>
            <w:webHidden/>
          </w:rPr>
          <w:tab/>
        </w:r>
        <w:r>
          <w:rPr>
            <w:noProof/>
            <w:webHidden/>
          </w:rPr>
          <w:fldChar w:fldCharType="begin"/>
        </w:r>
        <w:r>
          <w:rPr>
            <w:noProof/>
            <w:webHidden/>
          </w:rPr>
          <w:instrText xml:space="preserve"> PAGEREF _Toc475979920 \h </w:instrText>
        </w:r>
        <w:r>
          <w:rPr>
            <w:noProof/>
          </w:rPr>
        </w:r>
        <w:r>
          <w:rPr>
            <w:noProof/>
            <w:webHidden/>
          </w:rPr>
          <w:fldChar w:fldCharType="separate"/>
        </w:r>
        <w:r>
          <w:rPr>
            <w:noProof/>
            <w:webHidden/>
          </w:rPr>
          <w:t>5</w:t>
        </w:r>
        <w:r>
          <w:rPr>
            <w:noProof/>
            <w:webHidden/>
          </w:rPr>
          <w:fldChar w:fldCharType="end"/>
        </w:r>
      </w:hyperlink>
    </w:p>
    <w:p w:rsidR="001E0DA8" w:rsidRDefault="001E0DA8">
      <w:pPr>
        <w:pStyle w:val="TOC2"/>
        <w:rPr>
          <w:noProof/>
        </w:rPr>
      </w:pPr>
      <w:hyperlink w:anchor="_Toc475979921" w:history="1">
        <w:r w:rsidRPr="00437700">
          <w:rPr>
            <w:rStyle w:val="Hyperlink"/>
            <w:noProof/>
            <w:lang w:val="en-US"/>
          </w:rPr>
          <w:t>2.2</w:t>
        </w:r>
        <w:r>
          <w:rPr>
            <w:noProof/>
          </w:rPr>
          <w:tab/>
        </w:r>
        <w:r w:rsidRPr="00437700">
          <w:rPr>
            <w:rStyle w:val="Hyperlink"/>
            <w:noProof/>
            <w:lang w:val="en-US"/>
          </w:rPr>
          <w:t>Respect for children's VIEWS</w:t>
        </w:r>
        <w:r>
          <w:rPr>
            <w:noProof/>
            <w:webHidden/>
          </w:rPr>
          <w:tab/>
        </w:r>
        <w:r>
          <w:rPr>
            <w:noProof/>
            <w:webHidden/>
          </w:rPr>
          <w:fldChar w:fldCharType="begin"/>
        </w:r>
        <w:r>
          <w:rPr>
            <w:noProof/>
            <w:webHidden/>
          </w:rPr>
          <w:instrText xml:space="preserve"> PAGEREF _Toc475979921 \h </w:instrText>
        </w:r>
        <w:r>
          <w:rPr>
            <w:noProof/>
          </w:rPr>
        </w:r>
        <w:r>
          <w:rPr>
            <w:noProof/>
            <w:webHidden/>
          </w:rPr>
          <w:fldChar w:fldCharType="separate"/>
        </w:r>
        <w:r>
          <w:rPr>
            <w:noProof/>
            <w:webHidden/>
          </w:rPr>
          <w:t>8</w:t>
        </w:r>
        <w:r>
          <w:rPr>
            <w:noProof/>
            <w:webHidden/>
          </w:rPr>
          <w:fldChar w:fldCharType="end"/>
        </w:r>
      </w:hyperlink>
    </w:p>
    <w:p w:rsidR="001E0DA8" w:rsidRDefault="001E0DA8">
      <w:pPr>
        <w:pStyle w:val="TOC1"/>
        <w:tabs>
          <w:tab w:val="left" w:pos="1000"/>
          <w:tab w:val="right" w:leader="dot" w:pos="7928"/>
        </w:tabs>
        <w:rPr>
          <w:noProof/>
        </w:rPr>
      </w:pPr>
      <w:hyperlink w:anchor="_Toc475979922" w:history="1">
        <w:r w:rsidRPr="00437700">
          <w:rPr>
            <w:rStyle w:val="Hyperlink"/>
            <w:bCs/>
            <w:noProof/>
            <w:lang w:val="en-US"/>
          </w:rPr>
          <w:t>3</w:t>
        </w:r>
        <w:r>
          <w:rPr>
            <w:noProof/>
          </w:rPr>
          <w:tab/>
        </w:r>
        <w:r w:rsidRPr="00437700">
          <w:rPr>
            <w:rStyle w:val="Hyperlink"/>
            <w:noProof/>
            <w:lang w:val="en-US"/>
          </w:rPr>
          <w:t>RIGHTS AND CIVIL LIBERTIES</w:t>
        </w:r>
        <w:r>
          <w:rPr>
            <w:noProof/>
            <w:webHidden/>
          </w:rPr>
          <w:tab/>
        </w:r>
        <w:r>
          <w:rPr>
            <w:noProof/>
            <w:webHidden/>
          </w:rPr>
          <w:fldChar w:fldCharType="begin"/>
        </w:r>
        <w:r>
          <w:rPr>
            <w:noProof/>
            <w:webHidden/>
          </w:rPr>
          <w:instrText xml:space="preserve"> PAGEREF _Toc475979922 \h </w:instrText>
        </w:r>
        <w:r>
          <w:rPr>
            <w:noProof/>
          </w:rPr>
        </w:r>
        <w:r>
          <w:rPr>
            <w:noProof/>
            <w:webHidden/>
          </w:rPr>
          <w:fldChar w:fldCharType="separate"/>
        </w:r>
        <w:r>
          <w:rPr>
            <w:noProof/>
            <w:webHidden/>
          </w:rPr>
          <w:t>16</w:t>
        </w:r>
        <w:r>
          <w:rPr>
            <w:noProof/>
            <w:webHidden/>
          </w:rPr>
          <w:fldChar w:fldCharType="end"/>
        </w:r>
      </w:hyperlink>
    </w:p>
    <w:p w:rsidR="001E0DA8" w:rsidRDefault="001E0DA8">
      <w:pPr>
        <w:pStyle w:val="TOC2"/>
        <w:rPr>
          <w:noProof/>
        </w:rPr>
      </w:pPr>
      <w:hyperlink w:anchor="_Toc475979923" w:history="1">
        <w:r w:rsidRPr="00437700">
          <w:rPr>
            <w:rStyle w:val="Hyperlink"/>
            <w:noProof/>
            <w:lang w:val="en-US"/>
          </w:rPr>
          <w:t>3.1</w:t>
        </w:r>
        <w:r>
          <w:rPr>
            <w:noProof/>
          </w:rPr>
          <w:tab/>
        </w:r>
        <w:r w:rsidRPr="00437700">
          <w:rPr>
            <w:rStyle w:val="Hyperlink"/>
            <w:noProof/>
            <w:lang w:val="en-US"/>
          </w:rPr>
          <w:t xml:space="preserve">Access to appropriate information from various sources and </w:t>
        </w:r>
        <w:r>
          <w:rPr>
            <w:rStyle w:val="Hyperlink"/>
            <w:noProof/>
            <w:lang w:val="en-US"/>
          </w:rPr>
          <w:t xml:space="preserve">     </w:t>
        </w:r>
        <w:r w:rsidRPr="00437700">
          <w:rPr>
            <w:rStyle w:val="Hyperlink"/>
            <w:noProof/>
            <w:lang w:val="en-US"/>
          </w:rPr>
          <w:t>protection against all harmful material</w:t>
        </w:r>
        <w:r>
          <w:rPr>
            <w:noProof/>
            <w:webHidden/>
          </w:rPr>
          <w:tab/>
        </w:r>
        <w:r>
          <w:rPr>
            <w:noProof/>
            <w:webHidden/>
          </w:rPr>
          <w:fldChar w:fldCharType="begin"/>
        </w:r>
        <w:r>
          <w:rPr>
            <w:noProof/>
            <w:webHidden/>
          </w:rPr>
          <w:instrText xml:space="preserve"> PAGEREF _Toc475979923 \h </w:instrText>
        </w:r>
        <w:r>
          <w:rPr>
            <w:noProof/>
          </w:rPr>
        </w:r>
        <w:r>
          <w:rPr>
            <w:noProof/>
            <w:webHidden/>
          </w:rPr>
          <w:fldChar w:fldCharType="separate"/>
        </w:r>
        <w:r>
          <w:rPr>
            <w:noProof/>
            <w:webHidden/>
          </w:rPr>
          <w:t>16</w:t>
        </w:r>
        <w:r>
          <w:rPr>
            <w:noProof/>
            <w:webHidden/>
          </w:rPr>
          <w:fldChar w:fldCharType="end"/>
        </w:r>
      </w:hyperlink>
    </w:p>
    <w:p w:rsidR="001E0DA8" w:rsidRDefault="001E0DA8">
      <w:pPr>
        <w:pStyle w:val="TOC3"/>
        <w:rPr>
          <w:noProof/>
        </w:rPr>
      </w:pPr>
      <w:hyperlink w:anchor="_Toc475979924" w:history="1">
        <w:r w:rsidRPr="00437700">
          <w:rPr>
            <w:rStyle w:val="Hyperlink"/>
            <w:noProof/>
            <w:lang w:val="en-US"/>
          </w:rPr>
          <w:t>3.1.1</w:t>
        </w:r>
        <w:r>
          <w:rPr>
            <w:noProof/>
          </w:rPr>
          <w:tab/>
        </w:r>
        <w:r w:rsidRPr="00437700">
          <w:rPr>
            <w:rStyle w:val="Hyperlink"/>
            <w:noProof/>
            <w:lang w:val="en-US"/>
          </w:rPr>
          <w:t>Audiovisual content</w:t>
        </w:r>
        <w:r>
          <w:rPr>
            <w:noProof/>
            <w:webHidden/>
          </w:rPr>
          <w:tab/>
        </w:r>
        <w:r>
          <w:rPr>
            <w:noProof/>
            <w:webHidden/>
          </w:rPr>
          <w:fldChar w:fldCharType="begin"/>
        </w:r>
        <w:r>
          <w:rPr>
            <w:noProof/>
            <w:webHidden/>
          </w:rPr>
          <w:instrText xml:space="preserve"> PAGEREF _Toc475979924 \h </w:instrText>
        </w:r>
        <w:r>
          <w:rPr>
            <w:noProof/>
          </w:rPr>
        </w:r>
        <w:r>
          <w:rPr>
            <w:noProof/>
            <w:webHidden/>
          </w:rPr>
          <w:fldChar w:fldCharType="separate"/>
        </w:r>
        <w:r>
          <w:rPr>
            <w:noProof/>
            <w:webHidden/>
          </w:rPr>
          <w:t>16</w:t>
        </w:r>
        <w:r>
          <w:rPr>
            <w:noProof/>
            <w:webHidden/>
          </w:rPr>
          <w:fldChar w:fldCharType="end"/>
        </w:r>
      </w:hyperlink>
    </w:p>
    <w:p w:rsidR="001E0DA8" w:rsidRDefault="001E0DA8">
      <w:pPr>
        <w:pStyle w:val="TOC3"/>
        <w:rPr>
          <w:noProof/>
        </w:rPr>
      </w:pPr>
      <w:hyperlink w:anchor="_Toc475979925" w:history="1">
        <w:r w:rsidRPr="00437700">
          <w:rPr>
            <w:rStyle w:val="Hyperlink"/>
            <w:noProof/>
            <w:lang w:val="en-US"/>
          </w:rPr>
          <w:t>3.1.2</w:t>
        </w:r>
        <w:r>
          <w:rPr>
            <w:noProof/>
          </w:rPr>
          <w:tab/>
        </w:r>
        <w:r w:rsidRPr="00437700">
          <w:rPr>
            <w:rStyle w:val="Hyperlink"/>
            <w:noProof/>
            <w:lang w:val="en-US"/>
          </w:rPr>
          <w:t>Security and digital literacy</w:t>
        </w:r>
        <w:r>
          <w:rPr>
            <w:noProof/>
            <w:webHidden/>
          </w:rPr>
          <w:tab/>
        </w:r>
        <w:r>
          <w:rPr>
            <w:noProof/>
            <w:webHidden/>
          </w:rPr>
          <w:fldChar w:fldCharType="begin"/>
        </w:r>
        <w:r>
          <w:rPr>
            <w:noProof/>
            <w:webHidden/>
          </w:rPr>
          <w:instrText xml:space="preserve"> PAGEREF _Toc475979925 \h </w:instrText>
        </w:r>
        <w:r>
          <w:rPr>
            <w:noProof/>
          </w:rPr>
        </w:r>
        <w:r>
          <w:rPr>
            <w:noProof/>
            <w:webHidden/>
          </w:rPr>
          <w:fldChar w:fldCharType="separate"/>
        </w:r>
        <w:r>
          <w:rPr>
            <w:noProof/>
            <w:webHidden/>
          </w:rPr>
          <w:t>17</w:t>
        </w:r>
        <w:r>
          <w:rPr>
            <w:noProof/>
            <w:webHidden/>
          </w:rPr>
          <w:fldChar w:fldCharType="end"/>
        </w:r>
      </w:hyperlink>
    </w:p>
    <w:p w:rsidR="001E0DA8" w:rsidRDefault="001E0DA8" w:rsidP="00475851">
      <w:pPr>
        <w:pStyle w:val="TOC1"/>
        <w:tabs>
          <w:tab w:val="left" w:pos="1000"/>
          <w:tab w:val="right" w:leader="dot" w:pos="7928"/>
        </w:tabs>
        <w:ind w:left="1000" w:hanging="1000"/>
        <w:rPr>
          <w:noProof/>
        </w:rPr>
      </w:pPr>
      <w:hyperlink w:anchor="_Toc475979926" w:history="1">
        <w:r w:rsidRPr="00437700">
          <w:rPr>
            <w:rStyle w:val="Hyperlink"/>
            <w:bCs/>
            <w:noProof/>
            <w:lang w:val="en-US"/>
          </w:rPr>
          <w:t>4</w:t>
        </w:r>
        <w:r>
          <w:rPr>
            <w:noProof/>
          </w:rPr>
          <w:tab/>
        </w:r>
        <w:r w:rsidRPr="00437700">
          <w:rPr>
            <w:rStyle w:val="Hyperlink"/>
            <w:noProof/>
            <w:lang w:val="en-US"/>
          </w:rPr>
          <w:t xml:space="preserve">FAMILY ENVIRONMENT AND ALTERNATIVE METHODS </w:t>
        </w:r>
        <w:r>
          <w:rPr>
            <w:rStyle w:val="Hyperlink"/>
            <w:noProof/>
            <w:lang w:val="en-US"/>
          </w:rPr>
          <w:t xml:space="preserve">        </w:t>
        </w:r>
        <w:r w:rsidRPr="00437700">
          <w:rPr>
            <w:rStyle w:val="Hyperlink"/>
            <w:noProof/>
            <w:lang w:val="en-US"/>
          </w:rPr>
          <w:t>OF CARE</w:t>
        </w:r>
        <w:r>
          <w:rPr>
            <w:noProof/>
            <w:webHidden/>
          </w:rPr>
          <w:tab/>
        </w:r>
        <w:r>
          <w:rPr>
            <w:noProof/>
            <w:webHidden/>
          </w:rPr>
          <w:fldChar w:fldCharType="begin"/>
        </w:r>
        <w:r>
          <w:rPr>
            <w:noProof/>
            <w:webHidden/>
          </w:rPr>
          <w:instrText xml:space="preserve"> PAGEREF _Toc475979926 \h </w:instrText>
        </w:r>
        <w:r>
          <w:rPr>
            <w:noProof/>
          </w:rPr>
        </w:r>
        <w:r>
          <w:rPr>
            <w:noProof/>
            <w:webHidden/>
          </w:rPr>
          <w:fldChar w:fldCharType="separate"/>
        </w:r>
        <w:r>
          <w:rPr>
            <w:noProof/>
            <w:webHidden/>
          </w:rPr>
          <w:t>17</w:t>
        </w:r>
        <w:r>
          <w:rPr>
            <w:noProof/>
            <w:webHidden/>
          </w:rPr>
          <w:fldChar w:fldCharType="end"/>
        </w:r>
      </w:hyperlink>
    </w:p>
    <w:p w:rsidR="001E0DA8" w:rsidRDefault="001E0DA8">
      <w:pPr>
        <w:pStyle w:val="TOC2"/>
        <w:rPr>
          <w:noProof/>
        </w:rPr>
      </w:pPr>
      <w:hyperlink w:anchor="_Toc475979927" w:history="1">
        <w:r w:rsidRPr="00437700">
          <w:rPr>
            <w:rStyle w:val="Hyperlink"/>
            <w:noProof/>
            <w:lang w:val="en-US"/>
          </w:rPr>
          <w:t>4.1</w:t>
        </w:r>
        <w:r>
          <w:rPr>
            <w:noProof/>
          </w:rPr>
          <w:tab/>
        </w:r>
        <w:r w:rsidRPr="00437700">
          <w:rPr>
            <w:rStyle w:val="Hyperlink"/>
            <w:noProof/>
            <w:lang w:val="en-US"/>
          </w:rPr>
          <w:t>Family environment</w:t>
        </w:r>
        <w:r>
          <w:rPr>
            <w:noProof/>
            <w:webHidden/>
          </w:rPr>
          <w:tab/>
        </w:r>
        <w:r>
          <w:rPr>
            <w:noProof/>
            <w:webHidden/>
          </w:rPr>
          <w:fldChar w:fldCharType="begin"/>
        </w:r>
        <w:r>
          <w:rPr>
            <w:noProof/>
            <w:webHidden/>
          </w:rPr>
          <w:instrText xml:space="preserve"> PAGEREF _Toc475979927 \h </w:instrText>
        </w:r>
        <w:r>
          <w:rPr>
            <w:noProof/>
          </w:rPr>
        </w:r>
        <w:r>
          <w:rPr>
            <w:noProof/>
            <w:webHidden/>
          </w:rPr>
          <w:fldChar w:fldCharType="separate"/>
        </w:r>
        <w:r>
          <w:rPr>
            <w:noProof/>
            <w:webHidden/>
          </w:rPr>
          <w:t>17</w:t>
        </w:r>
        <w:r>
          <w:rPr>
            <w:noProof/>
            <w:webHidden/>
          </w:rPr>
          <w:fldChar w:fldCharType="end"/>
        </w:r>
      </w:hyperlink>
    </w:p>
    <w:p w:rsidR="001E0DA8" w:rsidRDefault="001E0DA8">
      <w:pPr>
        <w:pStyle w:val="TOC2"/>
        <w:rPr>
          <w:noProof/>
        </w:rPr>
      </w:pPr>
      <w:hyperlink w:anchor="_Toc475979928" w:history="1">
        <w:r w:rsidRPr="00437700">
          <w:rPr>
            <w:rStyle w:val="Hyperlink"/>
            <w:noProof/>
            <w:lang w:val="en-US"/>
          </w:rPr>
          <w:t>4.2</w:t>
        </w:r>
        <w:r>
          <w:rPr>
            <w:noProof/>
          </w:rPr>
          <w:tab/>
        </w:r>
        <w:r w:rsidRPr="00437700">
          <w:rPr>
            <w:rStyle w:val="Hyperlink"/>
            <w:noProof/>
            <w:lang w:val="en-US"/>
          </w:rPr>
          <w:t>Alternative methods of care</w:t>
        </w:r>
        <w:r>
          <w:rPr>
            <w:noProof/>
            <w:webHidden/>
          </w:rPr>
          <w:tab/>
        </w:r>
        <w:r>
          <w:rPr>
            <w:noProof/>
            <w:webHidden/>
          </w:rPr>
          <w:fldChar w:fldCharType="begin"/>
        </w:r>
        <w:r>
          <w:rPr>
            <w:noProof/>
            <w:webHidden/>
          </w:rPr>
          <w:instrText xml:space="preserve"> PAGEREF _Toc475979928 \h </w:instrText>
        </w:r>
        <w:r>
          <w:rPr>
            <w:noProof/>
          </w:rPr>
        </w:r>
        <w:r>
          <w:rPr>
            <w:noProof/>
            <w:webHidden/>
          </w:rPr>
          <w:fldChar w:fldCharType="separate"/>
        </w:r>
        <w:r>
          <w:rPr>
            <w:noProof/>
            <w:webHidden/>
          </w:rPr>
          <w:t>18</w:t>
        </w:r>
        <w:r>
          <w:rPr>
            <w:noProof/>
            <w:webHidden/>
          </w:rPr>
          <w:fldChar w:fldCharType="end"/>
        </w:r>
      </w:hyperlink>
    </w:p>
    <w:p w:rsidR="001E0DA8" w:rsidRDefault="001E0DA8">
      <w:pPr>
        <w:pStyle w:val="TOC2"/>
        <w:rPr>
          <w:noProof/>
        </w:rPr>
      </w:pPr>
      <w:hyperlink w:anchor="_Toc475979929" w:history="1">
        <w:r w:rsidRPr="00437700">
          <w:rPr>
            <w:rStyle w:val="Hyperlink"/>
            <w:noProof/>
            <w:lang w:val="en-US"/>
          </w:rPr>
          <w:t>4.3</w:t>
        </w:r>
        <w:r>
          <w:rPr>
            <w:noProof/>
          </w:rPr>
          <w:tab/>
        </w:r>
        <w:r w:rsidRPr="00437700">
          <w:rPr>
            <w:rStyle w:val="Hyperlink"/>
            <w:noProof/>
            <w:lang w:val="en-US"/>
          </w:rPr>
          <w:t>Adoption</w:t>
        </w:r>
        <w:r>
          <w:rPr>
            <w:noProof/>
            <w:webHidden/>
          </w:rPr>
          <w:tab/>
        </w:r>
        <w:r>
          <w:rPr>
            <w:noProof/>
            <w:webHidden/>
          </w:rPr>
          <w:fldChar w:fldCharType="begin"/>
        </w:r>
        <w:r>
          <w:rPr>
            <w:noProof/>
            <w:webHidden/>
          </w:rPr>
          <w:instrText xml:space="preserve"> PAGEREF _Toc475979929 \h </w:instrText>
        </w:r>
        <w:r>
          <w:rPr>
            <w:noProof/>
          </w:rPr>
        </w:r>
        <w:r>
          <w:rPr>
            <w:noProof/>
            <w:webHidden/>
          </w:rPr>
          <w:fldChar w:fldCharType="separate"/>
        </w:r>
        <w:r>
          <w:rPr>
            <w:noProof/>
            <w:webHidden/>
          </w:rPr>
          <w:t>21</w:t>
        </w:r>
        <w:r>
          <w:rPr>
            <w:noProof/>
            <w:webHidden/>
          </w:rPr>
          <w:fldChar w:fldCharType="end"/>
        </w:r>
      </w:hyperlink>
    </w:p>
    <w:p w:rsidR="001E0DA8" w:rsidRDefault="001E0DA8">
      <w:pPr>
        <w:pStyle w:val="TOC2"/>
        <w:rPr>
          <w:noProof/>
        </w:rPr>
      </w:pPr>
      <w:hyperlink w:anchor="_Toc475979930" w:history="1">
        <w:r w:rsidRPr="00437700">
          <w:rPr>
            <w:rStyle w:val="Hyperlink"/>
            <w:noProof/>
            <w:lang w:val="en-US"/>
          </w:rPr>
          <w:t>4.4</w:t>
        </w:r>
        <w:r>
          <w:rPr>
            <w:noProof/>
          </w:rPr>
          <w:tab/>
        </w:r>
        <w:r w:rsidRPr="00437700">
          <w:rPr>
            <w:rStyle w:val="Hyperlink"/>
            <w:noProof/>
            <w:lang w:val="en-US"/>
          </w:rPr>
          <w:t>Children and adolescents with behavioral problems</w:t>
        </w:r>
        <w:r>
          <w:rPr>
            <w:noProof/>
            <w:webHidden/>
          </w:rPr>
          <w:tab/>
        </w:r>
        <w:r>
          <w:rPr>
            <w:noProof/>
            <w:webHidden/>
          </w:rPr>
          <w:fldChar w:fldCharType="begin"/>
        </w:r>
        <w:r>
          <w:rPr>
            <w:noProof/>
            <w:webHidden/>
          </w:rPr>
          <w:instrText xml:space="preserve"> PAGEREF _Toc475979930 \h </w:instrText>
        </w:r>
        <w:r>
          <w:rPr>
            <w:noProof/>
          </w:rPr>
        </w:r>
        <w:r>
          <w:rPr>
            <w:noProof/>
            <w:webHidden/>
          </w:rPr>
          <w:fldChar w:fldCharType="separate"/>
        </w:r>
        <w:r>
          <w:rPr>
            <w:noProof/>
            <w:webHidden/>
          </w:rPr>
          <w:t>22</w:t>
        </w:r>
        <w:r>
          <w:rPr>
            <w:noProof/>
            <w:webHidden/>
          </w:rPr>
          <w:fldChar w:fldCharType="end"/>
        </w:r>
      </w:hyperlink>
    </w:p>
    <w:p w:rsidR="001E0DA8" w:rsidRDefault="001E0DA8">
      <w:pPr>
        <w:pStyle w:val="TOC1"/>
        <w:tabs>
          <w:tab w:val="left" w:pos="1000"/>
          <w:tab w:val="right" w:leader="dot" w:pos="7928"/>
        </w:tabs>
        <w:rPr>
          <w:noProof/>
        </w:rPr>
      </w:pPr>
      <w:hyperlink w:anchor="_Toc475979931" w:history="1">
        <w:r w:rsidRPr="00437700">
          <w:rPr>
            <w:rStyle w:val="Hyperlink"/>
            <w:bCs/>
            <w:noProof/>
            <w:lang w:val="en-US"/>
          </w:rPr>
          <w:t>5</w:t>
        </w:r>
        <w:r>
          <w:rPr>
            <w:noProof/>
          </w:rPr>
          <w:tab/>
        </w:r>
        <w:r w:rsidRPr="00437700">
          <w:rPr>
            <w:rStyle w:val="Hyperlink"/>
            <w:noProof/>
            <w:lang w:val="en-US"/>
          </w:rPr>
          <w:t>DISABILITY, BASIC HEALTH AND WELFARE</w:t>
        </w:r>
        <w:r>
          <w:rPr>
            <w:noProof/>
            <w:webHidden/>
          </w:rPr>
          <w:tab/>
        </w:r>
        <w:r>
          <w:rPr>
            <w:noProof/>
            <w:webHidden/>
          </w:rPr>
          <w:fldChar w:fldCharType="begin"/>
        </w:r>
        <w:r>
          <w:rPr>
            <w:noProof/>
            <w:webHidden/>
          </w:rPr>
          <w:instrText xml:space="preserve"> PAGEREF _Toc475979931 \h </w:instrText>
        </w:r>
        <w:r>
          <w:rPr>
            <w:noProof/>
          </w:rPr>
        </w:r>
        <w:r>
          <w:rPr>
            <w:noProof/>
            <w:webHidden/>
          </w:rPr>
          <w:fldChar w:fldCharType="separate"/>
        </w:r>
        <w:r>
          <w:rPr>
            <w:noProof/>
            <w:webHidden/>
          </w:rPr>
          <w:t>23</w:t>
        </w:r>
        <w:r>
          <w:rPr>
            <w:noProof/>
            <w:webHidden/>
          </w:rPr>
          <w:fldChar w:fldCharType="end"/>
        </w:r>
      </w:hyperlink>
    </w:p>
    <w:p w:rsidR="001E0DA8" w:rsidRDefault="001E0DA8">
      <w:pPr>
        <w:pStyle w:val="TOC2"/>
        <w:rPr>
          <w:noProof/>
        </w:rPr>
      </w:pPr>
      <w:hyperlink w:anchor="_Toc475979932" w:history="1">
        <w:r w:rsidRPr="00437700">
          <w:rPr>
            <w:rStyle w:val="Hyperlink"/>
            <w:noProof/>
            <w:lang w:val="en-US"/>
          </w:rPr>
          <w:t>5.1</w:t>
        </w:r>
        <w:r>
          <w:rPr>
            <w:noProof/>
          </w:rPr>
          <w:tab/>
        </w:r>
        <w:r w:rsidRPr="00437700">
          <w:rPr>
            <w:rStyle w:val="Hyperlink"/>
            <w:noProof/>
            <w:lang w:val="en-US"/>
          </w:rPr>
          <w:t>Children and adolescents with disabilities</w:t>
        </w:r>
        <w:r>
          <w:rPr>
            <w:noProof/>
            <w:webHidden/>
          </w:rPr>
          <w:tab/>
        </w:r>
        <w:r>
          <w:rPr>
            <w:noProof/>
            <w:webHidden/>
          </w:rPr>
          <w:fldChar w:fldCharType="begin"/>
        </w:r>
        <w:r>
          <w:rPr>
            <w:noProof/>
            <w:webHidden/>
          </w:rPr>
          <w:instrText xml:space="preserve"> PAGEREF _Toc475979932 \h </w:instrText>
        </w:r>
        <w:r>
          <w:rPr>
            <w:noProof/>
          </w:rPr>
        </w:r>
        <w:r>
          <w:rPr>
            <w:noProof/>
            <w:webHidden/>
          </w:rPr>
          <w:fldChar w:fldCharType="separate"/>
        </w:r>
        <w:r>
          <w:rPr>
            <w:noProof/>
            <w:webHidden/>
          </w:rPr>
          <w:t>23</w:t>
        </w:r>
        <w:r>
          <w:rPr>
            <w:noProof/>
            <w:webHidden/>
          </w:rPr>
          <w:fldChar w:fldCharType="end"/>
        </w:r>
      </w:hyperlink>
    </w:p>
    <w:p w:rsidR="001E0DA8" w:rsidRDefault="001E0DA8">
      <w:pPr>
        <w:pStyle w:val="TOC2"/>
        <w:rPr>
          <w:noProof/>
        </w:rPr>
      </w:pPr>
      <w:hyperlink w:anchor="_Toc475979933" w:history="1">
        <w:r w:rsidRPr="00437700">
          <w:rPr>
            <w:rStyle w:val="Hyperlink"/>
            <w:noProof/>
            <w:lang w:val="en-US"/>
          </w:rPr>
          <w:t>5.2</w:t>
        </w:r>
        <w:r>
          <w:rPr>
            <w:noProof/>
          </w:rPr>
          <w:tab/>
        </w:r>
        <w:r w:rsidRPr="00437700">
          <w:rPr>
            <w:rStyle w:val="Hyperlink"/>
            <w:noProof/>
            <w:lang w:val="en-US"/>
          </w:rPr>
          <w:t>Health and health services</w:t>
        </w:r>
        <w:r>
          <w:rPr>
            <w:noProof/>
            <w:webHidden/>
          </w:rPr>
          <w:tab/>
        </w:r>
        <w:r>
          <w:rPr>
            <w:noProof/>
            <w:webHidden/>
          </w:rPr>
          <w:fldChar w:fldCharType="begin"/>
        </w:r>
        <w:r>
          <w:rPr>
            <w:noProof/>
            <w:webHidden/>
          </w:rPr>
          <w:instrText xml:space="preserve"> PAGEREF _Toc475979933 \h </w:instrText>
        </w:r>
        <w:r>
          <w:rPr>
            <w:noProof/>
          </w:rPr>
        </w:r>
        <w:r>
          <w:rPr>
            <w:noProof/>
            <w:webHidden/>
          </w:rPr>
          <w:fldChar w:fldCharType="separate"/>
        </w:r>
        <w:r>
          <w:rPr>
            <w:noProof/>
            <w:webHidden/>
          </w:rPr>
          <w:t>25</w:t>
        </w:r>
        <w:r>
          <w:rPr>
            <w:noProof/>
            <w:webHidden/>
          </w:rPr>
          <w:fldChar w:fldCharType="end"/>
        </w:r>
      </w:hyperlink>
    </w:p>
    <w:p w:rsidR="001E0DA8" w:rsidRDefault="001E0DA8">
      <w:pPr>
        <w:pStyle w:val="TOC2"/>
        <w:rPr>
          <w:noProof/>
        </w:rPr>
      </w:pPr>
      <w:hyperlink w:anchor="_Toc475979934" w:history="1">
        <w:r w:rsidRPr="00437700">
          <w:rPr>
            <w:rStyle w:val="Hyperlink"/>
            <w:noProof/>
            <w:lang w:val="en-US"/>
          </w:rPr>
          <w:t>5.3</w:t>
        </w:r>
        <w:r>
          <w:rPr>
            <w:noProof/>
          </w:rPr>
          <w:tab/>
        </w:r>
        <w:r w:rsidRPr="00437700">
          <w:rPr>
            <w:rStyle w:val="Hyperlink"/>
            <w:noProof/>
            <w:lang w:val="en-US"/>
          </w:rPr>
          <w:t>Welfare and standard of living</w:t>
        </w:r>
        <w:r>
          <w:rPr>
            <w:noProof/>
            <w:webHidden/>
          </w:rPr>
          <w:tab/>
        </w:r>
        <w:r>
          <w:rPr>
            <w:noProof/>
            <w:webHidden/>
          </w:rPr>
          <w:fldChar w:fldCharType="begin"/>
        </w:r>
        <w:r>
          <w:rPr>
            <w:noProof/>
            <w:webHidden/>
          </w:rPr>
          <w:instrText xml:space="preserve"> PAGEREF _Toc475979934 \h </w:instrText>
        </w:r>
        <w:r>
          <w:rPr>
            <w:noProof/>
          </w:rPr>
        </w:r>
        <w:r>
          <w:rPr>
            <w:noProof/>
            <w:webHidden/>
          </w:rPr>
          <w:fldChar w:fldCharType="separate"/>
        </w:r>
        <w:r>
          <w:rPr>
            <w:noProof/>
            <w:webHidden/>
          </w:rPr>
          <w:t>26</w:t>
        </w:r>
        <w:r>
          <w:rPr>
            <w:noProof/>
            <w:webHidden/>
          </w:rPr>
          <w:fldChar w:fldCharType="end"/>
        </w:r>
      </w:hyperlink>
    </w:p>
    <w:p w:rsidR="001E0DA8" w:rsidRDefault="001E0DA8">
      <w:pPr>
        <w:pStyle w:val="TOC3"/>
        <w:rPr>
          <w:noProof/>
        </w:rPr>
      </w:pPr>
      <w:hyperlink w:anchor="_Toc475979935" w:history="1">
        <w:r w:rsidRPr="00437700">
          <w:rPr>
            <w:rStyle w:val="Hyperlink"/>
            <w:noProof/>
            <w:lang w:val="en-US"/>
          </w:rPr>
          <w:t>5.3.1</w:t>
        </w:r>
        <w:r>
          <w:rPr>
            <w:noProof/>
          </w:rPr>
          <w:tab/>
        </w:r>
        <w:r w:rsidRPr="00437700">
          <w:rPr>
            <w:rStyle w:val="Hyperlink"/>
            <w:noProof/>
            <w:lang w:val="en-US"/>
          </w:rPr>
          <w:t>The fight against child poverty</w:t>
        </w:r>
        <w:r>
          <w:rPr>
            <w:noProof/>
            <w:webHidden/>
          </w:rPr>
          <w:tab/>
        </w:r>
        <w:r>
          <w:rPr>
            <w:noProof/>
            <w:webHidden/>
          </w:rPr>
          <w:fldChar w:fldCharType="begin"/>
        </w:r>
        <w:r>
          <w:rPr>
            <w:noProof/>
            <w:webHidden/>
          </w:rPr>
          <w:instrText xml:space="preserve"> PAGEREF _Toc475979935 \h </w:instrText>
        </w:r>
        <w:r>
          <w:rPr>
            <w:noProof/>
          </w:rPr>
        </w:r>
        <w:r>
          <w:rPr>
            <w:noProof/>
            <w:webHidden/>
          </w:rPr>
          <w:fldChar w:fldCharType="separate"/>
        </w:r>
        <w:r>
          <w:rPr>
            <w:noProof/>
            <w:webHidden/>
          </w:rPr>
          <w:t>26</w:t>
        </w:r>
        <w:r>
          <w:rPr>
            <w:noProof/>
            <w:webHidden/>
          </w:rPr>
          <w:fldChar w:fldCharType="end"/>
        </w:r>
      </w:hyperlink>
    </w:p>
    <w:p w:rsidR="001E0DA8" w:rsidRDefault="001E0DA8">
      <w:pPr>
        <w:pStyle w:val="TOC3"/>
        <w:rPr>
          <w:noProof/>
        </w:rPr>
      </w:pPr>
      <w:hyperlink w:anchor="_Toc475979936" w:history="1">
        <w:r w:rsidRPr="00437700">
          <w:rPr>
            <w:rStyle w:val="Hyperlink"/>
            <w:noProof/>
            <w:lang w:val="en-US"/>
          </w:rPr>
          <w:t>5.3.2</w:t>
        </w:r>
        <w:r>
          <w:rPr>
            <w:noProof/>
          </w:rPr>
          <w:tab/>
        </w:r>
        <w:r w:rsidRPr="00437700">
          <w:rPr>
            <w:rStyle w:val="Hyperlink"/>
            <w:noProof/>
            <w:lang w:val="en-US"/>
          </w:rPr>
          <w:t>Housing</w:t>
        </w:r>
        <w:r>
          <w:rPr>
            <w:noProof/>
            <w:webHidden/>
          </w:rPr>
          <w:tab/>
        </w:r>
        <w:r>
          <w:rPr>
            <w:noProof/>
            <w:webHidden/>
          </w:rPr>
          <w:fldChar w:fldCharType="begin"/>
        </w:r>
        <w:r>
          <w:rPr>
            <w:noProof/>
            <w:webHidden/>
          </w:rPr>
          <w:instrText xml:space="preserve"> PAGEREF _Toc475979936 \h </w:instrText>
        </w:r>
        <w:r>
          <w:rPr>
            <w:noProof/>
          </w:rPr>
        </w:r>
        <w:r>
          <w:rPr>
            <w:noProof/>
            <w:webHidden/>
          </w:rPr>
          <w:fldChar w:fldCharType="separate"/>
        </w:r>
        <w:r>
          <w:rPr>
            <w:noProof/>
            <w:webHidden/>
          </w:rPr>
          <w:t>28</w:t>
        </w:r>
        <w:r>
          <w:rPr>
            <w:noProof/>
            <w:webHidden/>
          </w:rPr>
          <w:fldChar w:fldCharType="end"/>
        </w:r>
      </w:hyperlink>
    </w:p>
    <w:p w:rsidR="001E0DA8" w:rsidRDefault="001E0DA8">
      <w:pPr>
        <w:pStyle w:val="TOC3"/>
        <w:rPr>
          <w:noProof/>
        </w:rPr>
      </w:pPr>
      <w:hyperlink w:anchor="_Toc475979937" w:history="1">
        <w:r w:rsidRPr="00437700">
          <w:rPr>
            <w:rStyle w:val="Hyperlink"/>
            <w:noProof/>
            <w:lang w:val="en-US"/>
          </w:rPr>
          <w:t>5.3.3</w:t>
        </w:r>
        <w:r>
          <w:rPr>
            <w:noProof/>
          </w:rPr>
          <w:tab/>
        </w:r>
        <w:r w:rsidRPr="00437700">
          <w:rPr>
            <w:rStyle w:val="Hyperlink"/>
            <w:noProof/>
            <w:lang w:val="en-US"/>
          </w:rPr>
          <w:t>Energy poverty</w:t>
        </w:r>
        <w:r>
          <w:rPr>
            <w:noProof/>
            <w:webHidden/>
          </w:rPr>
          <w:tab/>
        </w:r>
        <w:r>
          <w:rPr>
            <w:noProof/>
            <w:webHidden/>
          </w:rPr>
          <w:fldChar w:fldCharType="begin"/>
        </w:r>
        <w:r>
          <w:rPr>
            <w:noProof/>
            <w:webHidden/>
          </w:rPr>
          <w:instrText xml:space="preserve"> PAGEREF _Toc475979937 \h </w:instrText>
        </w:r>
        <w:r>
          <w:rPr>
            <w:noProof/>
          </w:rPr>
        </w:r>
        <w:r>
          <w:rPr>
            <w:noProof/>
            <w:webHidden/>
          </w:rPr>
          <w:fldChar w:fldCharType="separate"/>
        </w:r>
        <w:r>
          <w:rPr>
            <w:noProof/>
            <w:webHidden/>
          </w:rPr>
          <w:t>31</w:t>
        </w:r>
        <w:r>
          <w:rPr>
            <w:noProof/>
            <w:webHidden/>
          </w:rPr>
          <w:fldChar w:fldCharType="end"/>
        </w:r>
      </w:hyperlink>
    </w:p>
    <w:p w:rsidR="001E0DA8" w:rsidRDefault="001E0DA8">
      <w:pPr>
        <w:pStyle w:val="TOC1"/>
        <w:tabs>
          <w:tab w:val="left" w:pos="1000"/>
          <w:tab w:val="right" w:leader="dot" w:pos="7928"/>
        </w:tabs>
        <w:rPr>
          <w:noProof/>
        </w:rPr>
      </w:pPr>
      <w:hyperlink w:anchor="_Toc475979938" w:history="1">
        <w:r w:rsidRPr="00437700">
          <w:rPr>
            <w:rStyle w:val="Hyperlink"/>
            <w:bCs/>
            <w:noProof/>
            <w:lang w:val="en-US"/>
          </w:rPr>
          <w:t>6</w:t>
        </w:r>
        <w:r>
          <w:rPr>
            <w:noProof/>
          </w:rPr>
          <w:tab/>
        </w:r>
        <w:r w:rsidRPr="00437700">
          <w:rPr>
            <w:rStyle w:val="Hyperlink"/>
            <w:noProof/>
            <w:lang w:val="en-US"/>
          </w:rPr>
          <w:t>education, recreation and cultural activities</w:t>
        </w:r>
        <w:r>
          <w:rPr>
            <w:noProof/>
            <w:webHidden/>
          </w:rPr>
          <w:tab/>
        </w:r>
        <w:r>
          <w:rPr>
            <w:noProof/>
            <w:webHidden/>
          </w:rPr>
          <w:fldChar w:fldCharType="begin"/>
        </w:r>
        <w:r>
          <w:rPr>
            <w:noProof/>
            <w:webHidden/>
          </w:rPr>
          <w:instrText xml:space="preserve"> PAGEREF _Toc475979938 \h </w:instrText>
        </w:r>
        <w:r>
          <w:rPr>
            <w:noProof/>
          </w:rPr>
        </w:r>
        <w:r>
          <w:rPr>
            <w:noProof/>
            <w:webHidden/>
          </w:rPr>
          <w:fldChar w:fldCharType="separate"/>
        </w:r>
        <w:r>
          <w:rPr>
            <w:noProof/>
            <w:webHidden/>
          </w:rPr>
          <w:t>32</w:t>
        </w:r>
        <w:r>
          <w:rPr>
            <w:noProof/>
            <w:webHidden/>
          </w:rPr>
          <w:fldChar w:fldCharType="end"/>
        </w:r>
      </w:hyperlink>
    </w:p>
    <w:p w:rsidR="001E0DA8" w:rsidRDefault="001E0DA8">
      <w:pPr>
        <w:pStyle w:val="TOC2"/>
        <w:rPr>
          <w:noProof/>
        </w:rPr>
      </w:pPr>
      <w:hyperlink w:anchor="_Toc475979939" w:history="1">
        <w:r w:rsidRPr="00437700">
          <w:rPr>
            <w:rStyle w:val="Hyperlink"/>
            <w:noProof/>
            <w:lang w:val="en-US"/>
          </w:rPr>
          <w:t>6.1</w:t>
        </w:r>
        <w:r>
          <w:rPr>
            <w:noProof/>
          </w:rPr>
          <w:tab/>
        </w:r>
        <w:r w:rsidRPr="00437700">
          <w:rPr>
            <w:rStyle w:val="Hyperlink"/>
            <w:noProof/>
            <w:lang w:val="en-US"/>
          </w:rPr>
          <w:t>Education</w:t>
        </w:r>
        <w:r>
          <w:rPr>
            <w:noProof/>
            <w:webHidden/>
          </w:rPr>
          <w:tab/>
        </w:r>
        <w:r>
          <w:rPr>
            <w:noProof/>
            <w:webHidden/>
          </w:rPr>
          <w:fldChar w:fldCharType="begin"/>
        </w:r>
        <w:r>
          <w:rPr>
            <w:noProof/>
            <w:webHidden/>
          </w:rPr>
          <w:instrText xml:space="preserve"> PAGEREF _Toc475979939 \h </w:instrText>
        </w:r>
        <w:r>
          <w:rPr>
            <w:noProof/>
          </w:rPr>
        </w:r>
        <w:r>
          <w:rPr>
            <w:noProof/>
            <w:webHidden/>
          </w:rPr>
          <w:fldChar w:fldCharType="separate"/>
        </w:r>
        <w:r>
          <w:rPr>
            <w:noProof/>
            <w:webHidden/>
          </w:rPr>
          <w:t>32</w:t>
        </w:r>
        <w:r>
          <w:rPr>
            <w:noProof/>
            <w:webHidden/>
          </w:rPr>
          <w:fldChar w:fldCharType="end"/>
        </w:r>
      </w:hyperlink>
    </w:p>
    <w:p w:rsidR="001E0DA8" w:rsidRDefault="001E0DA8" w:rsidP="00CC70BB">
      <w:pPr>
        <w:pStyle w:val="TOC3"/>
        <w:ind w:left="1000" w:hanging="520"/>
        <w:rPr>
          <w:noProof/>
        </w:rPr>
      </w:pPr>
      <w:hyperlink w:anchor="_Toc475979940" w:history="1">
        <w:r w:rsidRPr="00437700">
          <w:rPr>
            <w:rStyle w:val="Hyperlink"/>
            <w:noProof/>
            <w:lang w:val="en-US"/>
          </w:rPr>
          <w:t>6.1.1</w:t>
        </w:r>
        <w:r>
          <w:rPr>
            <w:noProof/>
          </w:rPr>
          <w:tab/>
        </w:r>
        <w:r w:rsidRPr="00437700">
          <w:rPr>
            <w:rStyle w:val="Hyperlink"/>
            <w:noProof/>
            <w:lang w:val="en-US"/>
          </w:rPr>
          <w:t xml:space="preserve">Free education and its inherent costs and benefits. Assistance for </w:t>
        </w:r>
        <w:r>
          <w:rPr>
            <w:rStyle w:val="Hyperlink"/>
            <w:noProof/>
            <w:lang w:val="en-US"/>
          </w:rPr>
          <w:t xml:space="preserve">   </w:t>
        </w:r>
        <w:r w:rsidRPr="00437700">
          <w:rPr>
            <w:rStyle w:val="Hyperlink"/>
            <w:noProof/>
            <w:lang w:val="en-US"/>
          </w:rPr>
          <w:t>textbooks and school material</w:t>
        </w:r>
        <w:r>
          <w:rPr>
            <w:noProof/>
            <w:webHidden/>
          </w:rPr>
          <w:tab/>
        </w:r>
        <w:r>
          <w:rPr>
            <w:noProof/>
            <w:webHidden/>
          </w:rPr>
          <w:fldChar w:fldCharType="begin"/>
        </w:r>
        <w:r>
          <w:rPr>
            <w:noProof/>
            <w:webHidden/>
          </w:rPr>
          <w:instrText xml:space="preserve"> PAGEREF _Toc475979940 \h </w:instrText>
        </w:r>
        <w:r>
          <w:rPr>
            <w:noProof/>
          </w:rPr>
        </w:r>
        <w:r>
          <w:rPr>
            <w:noProof/>
            <w:webHidden/>
          </w:rPr>
          <w:fldChar w:fldCharType="separate"/>
        </w:r>
        <w:r>
          <w:rPr>
            <w:noProof/>
            <w:webHidden/>
          </w:rPr>
          <w:t>32</w:t>
        </w:r>
        <w:r>
          <w:rPr>
            <w:noProof/>
            <w:webHidden/>
          </w:rPr>
          <w:fldChar w:fldCharType="end"/>
        </w:r>
      </w:hyperlink>
    </w:p>
    <w:p w:rsidR="001E0DA8" w:rsidRDefault="001E0DA8">
      <w:pPr>
        <w:pStyle w:val="TOC3"/>
        <w:rPr>
          <w:noProof/>
        </w:rPr>
      </w:pPr>
      <w:hyperlink w:anchor="_Toc475979941" w:history="1">
        <w:r w:rsidRPr="00437700">
          <w:rPr>
            <w:rStyle w:val="Hyperlink"/>
            <w:noProof/>
            <w:lang w:val="en-US"/>
          </w:rPr>
          <w:t>6.1.2</w:t>
        </w:r>
        <w:r>
          <w:rPr>
            <w:noProof/>
          </w:rPr>
          <w:tab/>
        </w:r>
        <w:r w:rsidRPr="00437700">
          <w:rPr>
            <w:rStyle w:val="Hyperlink"/>
            <w:noProof/>
            <w:lang w:val="en-US"/>
          </w:rPr>
          <w:t>Scholarships and assistance for post-compulsory education</w:t>
        </w:r>
        <w:r>
          <w:rPr>
            <w:noProof/>
            <w:webHidden/>
          </w:rPr>
          <w:tab/>
        </w:r>
        <w:r>
          <w:rPr>
            <w:noProof/>
            <w:webHidden/>
          </w:rPr>
          <w:fldChar w:fldCharType="begin"/>
        </w:r>
        <w:r>
          <w:rPr>
            <w:noProof/>
            <w:webHidden/>
          </w:rPr>
          <w:instrText xml:space="preserve"> PAGEREF _Toc475979941 \h </w:instrText>
        </w:r>
        <w:r>
          <w:rPr>
            <w:noProof/>
          </w:rPr>
        </w:r>
        <w:r>
          <w:rPr>
            <w:noProof/>
            <w:webHidden/>
          </w:rPr>
          <w:fldChar w:fldCharType="separate"/>
        </w:r>
        <w:r>
          <w:rPr>
            <w:noProof/>
            <w:webHidden/>
          </w:rPr>
          <w:t>34</w:t>
        </w:r>
        <w:r>
          <w:rPr>
            <w:noProof/>
            <w:webHidden/>
          </w:rPr>
          <w:fldChar w:fldCharType="end"/>
        </w:r>
      </w:hyperlink>
    </w:p>
    <w:p w:rsidR="001E0DA8" w:rsidRDefault="001E0DA8">
      <w:pPr>
        <w:pStyle w:val="TOC3"/>
        <w:rPr>
          <w:noProof/>
        </w:rPr>
      </w:pPr>
      <w:hyperlink w:anchor="_Toc475979942" w:history="1">
        <w:r w:rsidRPr="00437700">
          <w:rPr>
            <w:rStyle w:val="Hyperlink"/>
            <w:noProof/>
            <w:lang w:val="en-US"/>
          </w:rPr>
          <w:t>6.1.3</w:t>
        </w:r>
        <w:r>
          <w:rPr>
            <w:noProof/>
          </w:rPr>
          <w:tab/>
        </w:r>
        <w:r w:rsidRPr="00437700">
          <w:rPr>
            <w:rStyle w:val="Hyperlink"/>
            <w:noProof/>
            <w:lang w:val="en-US"/>
          </w:rPr>
          <w:t>Inclusive education</w:t>
        </w:r>
        <w:r>
          <w:rPr>
            <w:noProof/>
            <w:webHidden/>
          </w:rPr>
          <w:tab/>
        </w:r>
        <w:r>
          <w:rPr>
            <w:noProof/>
            <w:webHidden/>
          </w:rPr>
          <w:fldChar w:fldCharType="begin"/>
        </w:r>
        <w:r>
          <w:rPr>
            <w:noProof/>
            <w:webHidden/>
          </w:rPr>
          <w:instrText xml:space="preserve"> PAGEREF _Toc475979942 \h </w:instrText>
        </w:r>
        <w:r>
          <w:rPr>
            <w:noProof/>
          </w:rPr>
        </w:r>
        <w:r>
          <w:rPr>
            <w:noProof/>
            <w:webHidden/>
          </w:rPr>
          <w:fldChar w:fldCharType="separate"/>
        </w:r>
        <w:r>
          <w:rPr>
            <w:noProof/>
            <w:webHidden/>
          </w:rPr>
          <w:t>35</w:t>
        </w:r>
        <w:r>
          <w:rPr>
            <w:noProof/>
            <w:webHidden/>
          </w:rPr>
          <w:fldChar w:fldCharType="end"/>
        </w:r>
      </w:hyperlink>
    </w:p>
    <w:p w:rsidR="001E0DA8" w:rsidRDefault="001E0DA8">
      <w:pPr>
        <w:pStyle w:val="TOC3"/>
        <w:rPr>
          <w:noProof/>
        </w:rPr>
      </w:pPr>
      <w:hyperlink w:anchor="_Toc475979943" w:history="1">
        <w:r w:rsidRPr="00437700">
          <w:rPr>
            <w:rStyle w:val="Hyperlink"/>
            <w:noProof/>
            <w:lang w:val="en-US"/>
          </w:rPr>
          <w:t>6.1.4</w:t>
        </w:r>
        <w:r>
          <w:rPr>
            <w:noProof/>
          </w:rPr>
          <w:tab/>
        </w:r>
        <w:r w:rsidRPr="00437700">
          <w:rPr>
            <w:rStyle w:val="Hyperlink"/>
            <w:noProof/>
            <w:lang w:val="en-US"/>
          </w:rPr>
          <w:t>School bullying</w:t>
        </w:r>
        <w:r>
          <w:rPr>
            <w:noProof/>
            <w:webHidden/>
          </w:rPr>
          <w:tab/>
        </w:r>
        <w:r>
          <w:rPr>
            <w:noProof/>
            <w:webHidden/>
          </w:rPr>
          <w:fldChar w:fldCharType="begin"/>
        </w:r>
        <w:r>
          <w:rPr>
            <w:noProof/>
            <w:webHidden/>
          </w:rPr>
          <w:instrText xml:space="preserve"> PAGEREF _Toc475979943 \h </w:instrText>
        </w:r>
        <w:r>
          <w:rPr>
            <w:noProof/>
          </w:rPr>
        </w:r>
        <w:r>
          <w:rPr>
            <w:noProof/>
            <w:webHidden/>
          </w:rPr>
          <w:fldChar w:fldCharType="separate"/>
        </w:r>
        <w:r>
          <w:rPr>
            <w:noProof/>
            <w:webHidden/>
          </w:rPr>
          <w:t>39</w:t>
        </w:r>
        <w:r>
          <w:rPr>
            <w:noProof/>
            <w:webHidden/>
          </w:rPr>
          <w:fldChar w:fldCharType="end"/>
        </w:r>
      </w:hyperlink>
    </w:p>
    <w:p w:rsidR="001E0DA8" w:rsidRDefault="001E0DA8">
      <w:pPr>
        <w:pStyle w:val="TOC1"/>
        <w:tabs>
          <w:tab w:val="left" w:pos="1000"/>
          <w:tab w:val="right" w:leader="dot" w:pos="7928"/>
        </w:tabs>
        <w:rPr>
          <w:noProof/>
        </w:rPr>
      </w:pPr>
      <w:hyperlink w:anchor="_Toc475979944" w:history="1">
        <w:r w:rsidRPr="00437700">
          <w:rPr>
            <w:rStyle w:val="Hyperlink"/>
            <w:bCs/>
            <w:noProof/>
            <w:lang w:val="en-US"/>
          </w:rPr>
          <w:t>7</w:t>
        </w:r>
        <w:r>
          <w:rPr>
            <w:noProof/>
          </w:rPr>
          <w:tab/>
        </w:r>
        <w:r w:rsidRPr="00437700">
          <w:rPr>
            <w:rStyle w:val="Hyperlink"/>
            <w:noProof/>
            <w:lang w:val="en-US"/>
          </w:rPr>
          <w:t>SPECIAL PROtection MEASURES</w:t>
        </w:r>
        <w:r>
          <w:rPr>
            <w:noProof/>
            <w:webHidden/>
          </w:rPr>
          <w:tab/>
        </w:r>
        <w:r>
          <w:rPr>
            <w:noProof/>
            <w:webHidden/>
          </w:rPr>
          <w:fldChar w:fldCharType="begin"/>
        </w:r>
        <w:r>
          <w:rPr>
            <w:noProof/>
            <w:webHidden/>
          </w:rPr>
          <w:instrText xml:space="preserve"> PAGEREF _Toc475979944 \h </w:instrText>
        </w:r>
        <w:r>
          <w:rPr>
            <w:noProof/>
          </w:rPr>
        </w:r>
        <w:r>
          <w:rPr>
            <w:noProof/>
            <w:webHidden/>
          </w:rPr>
          <w:fldChar w:fldCharType="separate"/>
        </w:r>
        <w:r>
          <w:rPr>
            <w:noProof/>
            <w:webHidden/>
          </w:rPr>
          <w:t>40</w:t>
        </w:r>
        <w:r>
          <w:rPr>
            <w:noProof/>
            <w:webHidden/>
          </w:rPr>
          <w:fldChar w:fldCharType="end"/>
        </w:r>
      </w:hyperlink>
    </w:p>
    <w:p w:rsidR="001E0DA8" w:rsidRDefault="001E0DA8">
      <w:pPr>
        <w:pStyle w:val="TOC2"/>
        <w:rPr>
          <w:noProof/>
        </w:rPr>
      </w:pPr>
      <w:hyperlink w:anchor="_Toc475979945" w:history="1">
        <w:r w:rsidRPr="00437700">
          <w:rPr>
            <w:rStyle w:val="Hyperlink"/>
            <w:noProof/>
            <w:lang w:val="en-US"/>
          </w:rPr>
          <w:t>7.1</w:t>
        </w:r>
        <w:r>
          <w:rPr>
            <w:noProof/>
          </w:rPr>
          <w:tab/>
        </w:r>
        <w:r w:rsidRPr="00437700">
          <w:rPr>
            <w:rStyle w:val="Hyperlink"/>
            <w:noProof/>
            <w:lang w:val="en-US"/>
          </w:rPr>
          <w:t>Refugee or asylum-seeking children</w:t>
        </w:r>
        <w:r>
          <w:rPr>
            <w:noProof/>
            <w:webHidden/>
          </w:rPr>
          <w:tab/>
        </w:r>
        <w:r>
          <w:rPr>
            <w:noProof/>
            <w:webHidden/>
          </w:rPr>
          <w:fldChar w:fldCharType="begin"/>
        </w:r>
        <w:r>
          <w:rPr>
            <w:noProof/>
            <w:webHidden/>
          </w:rPr>
          <w:instrText xml:space="preserve"> PAGEREF _Toc475979945 \h </w:instrText>
        </w:r>
        <w:r>
          <w:rPr>
            <w:noProof/>
          </w:rPr>
        </w:r>
        <w:r>
          <w:rPr>
            <w:noProof/>
            <w:webHidden/>
          </w:rPr>
          <w:fldChar w:fldCharType="separate"/>
        </w:r>
        <w:r>
          <w:rPr>
            <w:noProof/>
            <w:webHidden/>
          </w:rPr>
          <w:t>40</w:t>
        </w:r>
        <w:r>
          <w:rPr>
            <w:noProof/>
            <w:webHidden/>
          </w:rPr>
          <w:fldChar w:fldCharType="end"/>
        </w:r>
      </w:hyperlink>
    </w:p>
    <w:p w:rsidR="001E0DA8" w:rsidRDefault="001E0DA8" w:rsidP="003C1D36">
      <w:pPr>
        <w:pStyle w:val="TOC3"/>
        <w:ind w:left="1000" w:hanging="520"/>
        <w:rPr>
          <w:noProof/>
        </w:rPr>
      </w:pPr>
      <w:hyperlink w:anchor="_Toc475979946" w:history="1">
        <w:r w:rsidRPr="00437700">
          <w:rPr>
            <w:rStyle w:val="Hyperlink"/>
            <w:noProof/>
            <w:lang w:val="en-US"/>
          </w:rPr>
          <w:t>7.1.1</w:t>
        </w:r>
        <w:r>
          <w:rPr>
            <w:noProof/>
          </w:rPr>
          <w:tab/>
        </w:r>
        <w:r w:rsidRPr="00437700">
          <w:rPr>
            <w:rStyle w:val="Hyperlink"/>
            <w:noProof/>
            <w:lang w:val="en-US"/>
          </w:rPr>
          <w:t>Differentiated treatment of international applications for protection</w:t>
        </w:r>
        <w:r>
          <w:rPr>
            <w:rStyle w:val="Hyperlink"/>
            <w:noProof/>
            <w:lang w:val="en-US"/>
          </w:rPr>
          <w:t xml:space="preserve">      </w:t>
        </w:r>
        <w:r w:rsidRPr="00437700">
          <w:rPr>
            <w:rStyle w:val="Hyperlink"/>
            <w:noProof/>
            <w:lang w:val="en-US"/>
          </w:rPr>
          <w:t xml:space="preserve"> of minors</w:t>
        </w:r>
        <w:r>
          <w:rPr>
            <w:noProof/>
            <w:webHidden/>
          </w:rPr>
          <w:tab/>
        </w:r>
        <w:r>
          <w:rPr>
            <w:noProof/>
            <w:webHidden/>
          </w:rPr>
          <w:fldChar w:fldCharType="begin"/>
        </w:r>
        <w:r>
          <w:rPr>
            <w:noProof/>
            <w:webHidden/>
          </w:rPr>
          <w:instrText xml:space="preserve"> PAGEREF _Toc475979946 \h </w:instrText>
        </w:r>
        <w:r>
          <w:rPr>
            <w:noProof/>
          </w:rPr>
        </w:r>
        <w:r>
          <w:rPr>
            <w:noProof/>
            <w:webHidden/>
          </w:rPr>
          <w:fldChar w:fldCharType="separate"/>
        </w:r>
        <w:r>
          <w:rPr>
            <w:noProof/>
            <w:webHidden/>
          </w:rPr>
          <w:t>41</w:t>
        </w:r>
        <w:r>
          <w:rPr>
            <w:noProof/>
            <w:webHidden/>
          </w:rPr>
          <w:fldChar w:fldCharType="end"/>
        </w:r>
      </w:hyperlink>
    </w:p>
    <w:p w:rsidR="001E0DA8" w:rsidRDefault="001E0DA8" w:rsidP="007E6FD9">
      <w:pPr>
        <w:pStyle w:val="TOC3"/>
        <w:ind w:left="1000" w:hanging="520"/>
        <w:rPr>
          <w:noProof/>
        </w:rPr>
      </w:pPr>
      <w:hyperlink w:anchor="_Toc475979947" w:history="1">
        <w:r w:rsidRPr="00437700">
          <w:rPr>
            <w:rStyle w:val="Hyperlink"/>
            <w:noProof/>
            <w:lang w:val="en-US"/>
          </w:rPr>
          <w:t>7.1.2</w:t>
        </w:r>
        <w:r>
          <w:rPr>
            <w:noProof/>
          </w:rPr>
          <w:tab/>
        </w:r>
        <w:r w:rsidRPr="00437700">
          <w:rPr>
            <w:rStyle w:val="Hyperlink"/>
            <w:noProof/>
            <w:lang w:val="en-US"/>
          </w:rPr>
          <w:t>Problems affecting accompanied and unaccompanied foreign minors seeking international protection at the Beni Enzar (Melilla) border checkpoint.</w:t>
        </w:r>
        <w:r>
          <w:rPr>
            <w:noProof/>
            <w:webHidden/>
          </w:rPr>
          <w:tab/>
        </w:r>
        <w:r>
          <w:rPr>
            <w:noProof/>
            <w:webHidden/>
          </w:rPr>
          <w:fldChar w:fldCharType="begin"/>
        </w:r>
        <w:r>
          <w:rPr>
            <w:noProof/>
            <w:webHidden/>
          </w:rPr>
          <w:instrText xml:space="preserve"> PAGEREF _Toc475979947 \h </w:instrText>
        </w:r>
        <w:r>
          <w:rPr>
            <w:noProof/>
          </w:rPr>
        </w:r>
        <w:r>
          <w:rPr>
            <w:noProof/>
            <w:webHidden/>
          </w:rPr>
          <w:fldChar w:fldCharType="separate"/>
        </w:r>
        <w:r>
          <w:rPr>
            <w:noProof/>
            <w:webHidden/>
          </w:rPr>
          <w:t>41</w:t>
        </w:r>
        <w:r>
          <w:rPr>
            <w:noProof/>
            <w:webHidden/>
          </w:rPr>
          <w:fldChar w:fldCharType="end"/>
        </w:r>
      </w:hyperlink>
    </w:p>
    <w:p w:rsidR="001E0DA8" w:rsidRDefault="001E0DA8">
      <w:pPr>
        <w:pStyle w:val="TOC3"/>
        <w:rPr>
          <w:noProof/>
        </w:rPr>
      </w:pPr>
      <w:hyperlink w:anchor="_Toc475979948" w:history="1">
        <w:r w:rsidRPr="00437700">
          <w:rPr>
            <w:rStyle w:val="Hyperlink"/>
            <w:noProof/>
            <w:lang w:val="en-US"/>
          </w:rPr>
          <w:t>7.1.3</w:t>
        </w:r>
        <w:r>
          <w:rPr>
            <w:noProof/>
          </w:rPr>
          <w:tab/>
        </w:r>
        <w:r w:rsidRPr="00437700">
          <w:rPr>
            <w:rStyle w:val="Hyperlink"/>
            <w:noProof/>
            <w:lang w:val="en-US"/>
          </w:rPr>
          <w:t>Return of children at Ceuta or Melilla borders</w:t>
        </w:r>
        <w:r>
          <w:rPr>
            <w:noProof/>
            <w:webHidden/>
          </w:rPr>
          <w:tab/>
        </w:r>
        <w:r>
          <w:rPr>
            <w:noProof/>
            <w:webHidden/>
          </w:rPr>
          <w:fldChar w:fldCharType="begin"/>
        </w:r>
        <w:r>
          <w:rPr>
            <w:noProof/>
            <w:webHidden/>
          </w:rPr>
          <w:instrText xml:space="preserve"> PAGEREF _Toc475979948 \h </w:instrText>
        </w:r>
        <w:r>
          <w:rPr>
            <w:noProof/>
          </w:rPr>
        </w:r>
        <w:r>
          <w:rPr>
            <w:noProof/>
            <w:webHidden/>
          </w:rPr>
          <w:fldChar w:fldCharType="separate"/>
        </w:r>
        <w:r>
          <w:rPr>
            <w:noProof/>
            <w:webHidden/>
          </w:rPr>
          <w:t>42</w:t>
        </w:r>
        <w:r>
          <w:rPr>
            <w:noProof/>
            <w:webHidden/>
          </w:rPr>
          <w:fldChar w:fldCharType="end"/>
        </w:r>
      </w:hyperlink>
    </w:p>
    <w:p w:rsidR="001E0DA8" w:rsidRDefault="001E0DA8">
      <w:pPr>
        <w:pStyle w:val="TOC2"/>
        <w:rPr>
          <w:noProof/>
        </w:rPr>
      </w:pPr>
      <w:hyperlink w:anchor="_Toc475979949" w:history="1">
        <w:r w:rsidRPr="00437700">
          <w:rPr>
            <w:rStyle w:val="Hyperlink"/>
            <w:noProof/>
            <w:lang w:val="en-US"/>
          </w:rPr>
          <w:t>7.2</w:t>
        </w:r>
        <w:r>
          <w:rPr>
            <w:noProof/>
          </w:rPr>
          <w:tab/>
        </w:r>
        <w:r w:rsidRPr="00437700">
          <w:rPr>
            <w:rStyle w:val="Hyperlink"/>
            <w:noProof/>
            <w:lang w:val="en-US"/>
          </w:rPr>
          <w:t>Unaccompanied foreign children</w:t>
        </w:r>
        <w:r>
          <w:rPr>
            <w:noProof/>
            <w:webHidden/>
          </w:rPr>
          <w:tab/>
        </w:r>
        <w:r>
          <w:rPr>
            <w:noProof/>
            <w:webHidden/>
          </w:rPr>
          <w:fldChar w:fldCharType="begin"/>
        </w:r>
        <w:r>
          <w:rPr>
            <w:noProof/>
            <w:webHidden/>
          </w:rPr>
          <w:instrText xml:space="preserve"> PAGEREF _Toc475979949 \h </w:instrText>
        </w:r>
        <w:r>
          <w:rPr>
            <w:noProof/>
          </w:rPr>
        </w:r>
        <w:r>
          <w:rPr>
            <w:noProof/>
            <w:webHidden/>
          </w:rPr>
          <w:fldChar w:fldCharType="separate"/>
        </w:r>
        <w:r>
          <w:rPr>
            <w:noProof/>
            <w:webHidden/>
          </w:rPr>
          <w:t>43</w:t>
        </w:r>
        <w:r>
          <w:rPr>
            <w:noProof/>
            <w:webHidden/>
          </w:rPr>
          <w:fldChar w:fldCharType="end"/>
        </w:r>
      </w:hyperlink>
    </w:p>
    <w:p w:rsidR="001E0DA8" w:rsidRDefault="001E0DA8">
      <w:pPr>
        <w:pStyle w:val="TOC3"/>
        <w:rPr>
          <w:noProof/>
        </w:rPr>
      </w:pPr>
      <w:hyperlink w:anchor="_Toc475979950" w:history="1">
        <w:r w:rsidRPr="00437700">
          <w:rPr>
            <w:rStyle w:val="Hyperlink"/>
            <w:noProof/>
            <w:lang w:val="en-US"/>
          </w:rPr>
          <w:t>7.2.1</w:t>
        </w:r>
        <w:r>
          <w:rPr>
            <w:noProof/>
          </w:rPr>
          <w:tab/>
        </w:r>
        <w:r w:rsidRPr="00437700">
          <w:rPr>
            <w:rStyle w:val="Hyperlink"/>
            <w:noProof/>
            <w:lang w:val="en-US"/>
          </w:rPr>
          <w:t>Age Assessment</w:t>
        </w:r>
        <w:r>
          <w:rPr>
            <w:noProof/>
            <w:webHidden/>
          </w:rPr>
          <w:tab/>
        </w:r>
        <w:r>
          <w:rPr>
            <w:noProof/>
            <w:webHidden/>
          </w:rPr>
          <w:fldChar w:fldCharType="begin"/>
        </w:r>
        <w:r>
          <w:rPr>
            <w:noProof/>
            <w:webHidden/>
          </w:rPr>
          <w:instrText xml:space="preserve"> PAGEREF _Toc475979950 \h </w:instrText>
        </w:r>
        <w:r>
          <w:rPr>
            <w:noProof/>
          </w:rPr>
        </w:r>
        <w:r>
          <w:rPr>
            <w:noProof/>
            <w:webHidden/>
          </w:rPr>
          <w:fldChar w:fldCharType="separate"/>
        </w:r>
        <w:r>
          <w:rPr>
            <w:noProof/>
            <w:webHidden/>
          </w:rPr>
          <w:t>43</w:t>
        </w:r>
        <w:r>
          <w:rPr>
            <w:noProof/>
            <w:webHidden/>
          </w:rPr>
          <w:fldChar w:fldCharType="end"/>
        </w:r>
      </w:hyperlink>
    </w:p>
    <w:p w:rsidR="001E0DA8" w:rsidRDefault="001E0DA8">
      <w:pPr>
        <w:pStyle w:val="TOC3"/>
        <w:rPr>
          <w:noProof/>
        </w:rPr>
      </w:pPr>
      <w:hyperlink w:anchor="_Toc475979951" w:history="1">
        <w:r w:rsidRPr="00437700">
          <w:rPr>
            <w:rStyle w:val="Hyperlink"/>
            <w:noProof/>
            <w:lang w:val="en-US"/>
          </w:rPr>
          <w:t>7.2.2</w:t>
        </w:r>
        <w:r>
          <w:rPr>
            <w:noProof/>
          </w:rPr>
          <w:tab/>
        </w:r>
        <w:r w:rsidRPr="00437700">
          <w:rPr>
            <w:rStyle w:val="Hyperlink"/>
            <w:noProof/>
            <w:lang w:val="en-US"/>
          </w:rPr>
          <w:t>Registration of unaccompanied foreign minors</w:t>
        </w:r>
        <w:r>
          <w:rPr>
            <w:noProof/>
            <w:webHidden/>
          </w:rPr>
          <w:tab/>
        </w:r>
        <w:r>
          <w:rPr>
            <w:noProof/>
            <w:webHidden/>
          </w:rPr>
          <w:fldChar w:fldCharType="begin"/>
        </w:r>
        <w:r>
          <w:rPr>
            <w:noProof/>
            <w:webHidden/>
          </w:rPr>
          <w:instrText xml:space="preserve"> PAGEREF _Toc475979951 \h </w:instrText>
        </w:r>
        <w:r>
          <w:rPr>
            <w:noProof/>
          </w:rPr>
        </w:r>
        <w:r>
          <w:rPr>
            <w:noProof/>
            <w:webHidden/>
          </w:rPr>
          <w:fldChar w:fldCharType="separate"/>
        </w:r>
        <w:r>
          <w:rPr>
            <w:noProof/>
            <w:webHidden/>
          </w:rPr>
          <w:t>45</w:t>
        </w:r>
        <w:r>
          <w:rPr>
            <w:noProof/>
            <w:webHidden/>
          </w:rPr>
          <w:fldChar w:fldCharType="end"/>
        </w:r>
      </w:hyperlink>
    </w:p>
    <w:p w:rsidR="001E0DA8" w:rsidRDefault="001E0DA8">
      <w:pPr>
        <w:pStyle w:val="TOC3"/>
        <w:rPr>
          <w:noProof/>
        </w:rPr>
      </w:pPr>
      <w:hyperlink w:anchor="_Toc475979952" w:history="1">
        <w:r w:rsidRPr="00437700">
          <w:rPr>
            <w:rStyle w:val="Hyperlink"/>
            <w:noProof/>
            <w:lang w:val="en-US"/>
          </w:rPr>
          <w:t>7.2.3</w:t>
        </w:r>
        <w:r>
          <w:rPr>
            <w:noProof/>
          </w:rPr>
          <w:tab/>
        </w:r>
        <w:r w:rsidRPr="00437700">
          <w:rPr>
            <w:rStyle w:val="Hyperlink"/>
            <w:noProof/>
            <w:lang w:val="en-US"/>
          </w:rPr>
          <w:t>New version of Civil Code Article 172</w:t>
        </w:r>
        <w:r>
          <w:rPr>
            <w:noProof/>
            <w:webHidden/>
          </w:rPr>
          <w:tab/>
        </w:r>
        <w:r>
          <w:rPr>
            <w:noProof/>
            <w:webHidden/>
          </w:rPr>
          <w:fldChar w:fldCharType="begin"/>
        </w:r>
        <w:r>
          <w:rPr>
            <w:noProof/>
            <w:webHidden/>
          </w:rPr>
          <w:instrText xml:space="preserve"> PAGEREF _Toc475979952 \h </w:instrText>
        </w:r>
        <w:r>
          <w:rPr>
            <w:noProof/>
          </w:rPr>
        </w:r>
        <w:r>
          <w:rPr>
            <w:noProof/>
            <w:webHidden/>
          </w:rPr>
          <w:fldChar w:fldCharType="separate"/>
        </w:r>
        <w:r>
          <w:rPr>
            <w:noProof/>
            <w:webHidden/>
          </w:rPr>
          <w:t>45</w:t>
        </w:r>
        <w:r>
          <w:rPr>
            <w:noProof/>
            <w:webHidden/>
          </w:rPr>
          <w:fldChar w:fldCharType="end"/>
        </w:r>
      </w:hyperlink>
    </w:p>
    <w:p w:rsidR="001E0DA8" w:rsidRDefault="001E0DA8">
      <w:pPr>
        <w:pStyle w:val="TOC3"/>
        <w:rPr>
          <w:noProof/>
        </w:rPr>
      </w:pPr>
      <w:hyperlink w:anchor="_Toc475979953" w:history="1">
        <w:r w:rsidRPr="00437700">
          <w:rPr>
            <w:rStyle w:val="Hyperlink"/>
            <w:noProof/>
            <w:lang w:val="en-US"/>
          </w:rPr>
          <w:t>7.2.4</w:t>
        </w:r>
        <w:r>
          <w:rPr>
            <w:noProof/>
          </w:rPr>
          <w:tab/>
        </w:r>
        <w:r w:rsidRPr="00437700">
          <w:rPr>
            <w:rStyle w:val="Hyperlink"/>
            <w:noProof/>
            <w:lang w:val="en-US"/>
          </w:rPr>
          <w:t>Centers</w:t>
        </w:r>
        <w:r>
          <w:rPr>
            <w:noProof/>
            <w:webHidden/>
          </w:rPr>
          <w:tab/>
        </w:r>
        <w:r>
          <w:rPr>
            <w:noProof/>
            <w:webHidden/>
          </w:rPr>
          <w:fldChar w:fldCharType="begin"/>
        </w:r>
        <w:r>
          <w:rPr>
            <w:noProof/>
            <w:webHidden/>
          </w:rPr>
          <w:instrText xml:space="preserve"> PAGEREF _Toc475979953 \h </w:instrText>
        </w:r>
        <w:r>
          <w:rPr>
            <w:noProof/>
          </w:rPr>
        </w:r>
        <w:r>
          <w:rPr>
            <w:noProof/>
            <w:webHidden/>
          </w:rPr>
          <w:fldChar w:fldCharType="separate"/>
        </w:r>
        <w:r>
          <w:rPr>
            <w:noProof/>
            <w:webHidden/>
          </w:rPr>
          <w:t>46</w:t>
        </w:r>
        <w:r>
          <w:rPr>
            <w:noProof/>
            <w:webHidden/>
          </w:rPr>
          <w:fldChar w:fldCharType="end"/>
        </w:r>
      </w:hyperlink>
    </w:p>
    <w:p w:rsidR="001E0DA8" w:rsidRDefault="001E0DA8">
      <w:pPr>
        <w:pStyle w:val="TOC2"/>
        <w:rPr>
          <w:noProof/>
        </w:rPr>
      </w:pPr>
      <w:hyperlink w:anchor="_Toc475979954" w:history="1">
        <w:r w:rsidRPr="00437700">
          <w:rPr>
            <w:rStyle w:val="Hyperlink"/>
            <w:noProof/>
            <w:lang w:val="en-US"/>
          </w:rPr>
          <w:t>7.3</w:t>
        </w:r>
        <w:r>
          <w:rPr>
            <w:noProof/>
          </w:rPr>
          <w:tab/>
        </w:r>
        <w:r w:rsidRPr="00437700">
          <w:rPr>
            <w:rStyle w:val="Hyperlink"/>
            <w:noProof/>
            <w:lang w:val="en-US"/>
          </w:rPr>
          <w:t>Children deprived of liberty and measures for guaranteeing arrest, detention or imprisonment of a child as last resort only and for shortest possible time; legal assiStance and other assistance adapted for children</w:t>
        </w:r>
        <w:r>
          <w:rPr>
            <w:noProof/>
            <w:webHidden/>
          </w:rPr>
          <w:tab/>
        </w:r>
        <w:r>
          <w:rPr>
            <w:noProof/>
            <w:webHidden/>
          </w:rPr>
          <w:fldChar w:fldCharType="begin"/>
        </w:r>
        <w:r>
          <w:rPr>
            <w:noProof/>
            <w:webHidden/>
          </w:rPr>
          <w:instrText xml:space="preserve"> PAGEREF _Toc475979954 \h </w:instrText>
        </w:r>
        <w:r>
          <w:rPr>
            <w:noProof/>
          </w:rPr>
        </w:r>
        <w:r>
          <w:rPr>
            <w:noProof/>
            <w:webHidden/>
          </w:rPr>
          <w:fldChar w:fldCharType="separate"/>
        </w:r>
        <w:r>
          <w:rPr>
            <w:noProof/>
            <w:webHidden/>
          </w:rPr>
          <w:t>47</w:t>
        </w:r>
        <w:r>
          <w:rPr>
            <w:noProof/>
            <w:webHidden/>
          </w:rPr>
          <w:fldChar w:fldCharType="end"/>
        </w:r>
      </w:hyperlink>
    </w:p>
    <w:p w:rsidR="001E0DA8" w:rsidRDefault="001E0DA8">
      <w:pPr>
        <w:pStyle w:val="TOC1"/>
        <w:tabs>
          <w:tab w:val="left" w:pos="1000"/>
          <w:tab w:val="right" w:leader="dot" w:pos="7928"/>
        </w:tabs>
        <w:rPr>
          <w:noProof/>
        </w:rPr>
      </w:pPr>
      <w:hyperlink w:anchor="_Toc475979955" w:history="1">
        <w:r w:rsidRPr="00437700">
          <w:rPr>
            <w:rStyle w:val="Hyperlink"/>
            <w:bCs/>
            <w:noProof/>
            <w:lang w:val="en-US"/>
          </w:rPr>
          <w:t>8</w:t>
        </w:r>
        <w:r>
          <w:rPr>
            <w:noProof/>
          </w:rPr>
          <w:tab/>
        </w:r>
        <w:r w:rsidRPr="00437700">
          <w:rPr>
            <w:rStyle w:val="Hyperlink"/>
            <w:noProof/>
            <w:lang w:val="en-US"/>
          </w:rPr>
          <w:t>ANNEX: DOCUMENTATION AND LEGISLATION USED</w:t>
        </w:r>
        <w:r>
          <w:rPr>
            <w:noProof/>
            <w:webHidden/>
          </w:rPr>
          <w:tab/>
        </w:r>
        <w:r>
          <w:rPr>
            <w:noProof/>
            <w:webHidden/>
          </w:rPr>
          <w:fldChar w:fldCharType="begin"/>
        </w:r>
        <w:r>
          <w:rPr>
            <w:noProof/>
            <w:webHidden/>
          </w:rPr>
          <w:instrText xml:space="preserve"> PAGEREF _Toc475979955 \h </w:instrText>
        </w:r>
        <w:r>
          <w:rPr>
            <w:noProof/>
          </w:rPr>
        </w:r>
        <w:r>
          <w:rPr>
            <w:noProof/>
            <w:webHidden/>
          </w:rPr>
          <w:fldChar w:fldCharType="separate"/>
        </w:r>
        <w:r>
          <w:rPr>
            <w:noProof/>
            <w:webHidden/>
          </w:rPr>
          <w:t>55</w:t>
        </w:r>
        <w:r>
          <w:rPr>
            <w:noProof/>
            <w:webHidden/>
          </w:rPr>
          <w:fldChar w:fldCharType="end"/>
        </w:r>
      </w:hyperlink>
    </w:p>
    <w:p w:rsidR="001E0DA8" w:rsidRDefault="001E0DA8">
      <w:pPr>
        <w:pStyle w:val="TOC1"/>
        <w:tabs>
          <w:tab w:val="right" w:leader="dot" w:pos="7928"/>
        </w:tabs>
        <w:rPr>
          <w:noProof/>
        </w:rPr>
      </w:pPr>
    </w:p>
    <w:p w:rsidR="001E0DA8" w:rsidRDefault="001E0DA8">
      <w:pPr>
        <w:pStyle w:val="TOC1"/>
        <w:tabs>
          <w:tab w:val="right" w:leader="dot" w:pos="7928"/>
        </w:tabs>
        <w:rPr>
          <w:noProof/>
        </w:rPr>
      </w:pPr>
    </w:p>
    <w:p w:rsidR="001E0DA8" w:rsidRDefault="001E0DA8">
      <w:pPr>
        <w:pStyle w:val="TOC3"/>
        <w:rPr>
          <w:noProof/>
        </w:rPr>
      </w:pPr>
    </w:p>
    <w:p w:rsidR="001E0DA8" w:rsidRDefault="001E0DA8">
      <w:pPr>
        <w:pStyle w:val="TOC3"/>
        <w:rPr>
          <w:noProof/>
        </w:rPr>
      </w:pPr>
    </w:p>
    <w:p w:rsidR="001E0DA8" w:rsidRDefault="001E0DA8">
      <w:pPr>
        <w:pStyle w:val="TOC1"/>
        <w:tabs>
          <w:tab w:val="right" w:leader="dot" w:pos="7928"/>
        </w:tabs>
        <w:rPr>
          <w:noProof/>
        </w:rPr>
      </w:pPr>
    </w:p>
    <w:p w:rsidR="001E0DA8" w:rsidRPr="003C4D9E" w:rsidRDefault="001E0DA8" w:rsidP="008C050E">
      <w:pPr>
        <w:jc w:val="center"/>
        <w:rPr>
          <w:b/>
          <w:lang w:val="en-US"/>
        </w:rPr>
      </w:pPr>
      <w:r w:rsidRPr="003C4D9E">
        <w:rPr>
          <w:b/>
          <w:lang w:val="en-US"/>
        </w:rPr>
        <w:fldChar w:fldCharType="end"/>
      </w:r>
    </w:p>
    <w:p w:rsidR="001E0DA8" w:rsidRDefault="001E0DA8" w:rsidP="008C050E">
      <w:pPr>
        <w:jc w:val="center"/>
        <w:rPr>
          <w:b/>
          <w:lang w:val="en-US"/>
        </w:rPr>
      </w:pPr>
    </w:p>
    <w:p w:rsidR="001E0DA8" w:rsidRDefault="001E0DA8" w:rsidP="003A3655">
      <w:pPr>
        <w:jc w:val="right"/>
        <w:rPr>
          <w:lang w:val="en-US"/>
        </w:rPr>
      </w:pPr>
    </w:p>
    <w:p w:rsidR="001E0DA8" w:rsidRDefault="001E0DA8" w:rsidP="003A3655">
      <w:pPr>
        <w:rPr>
          <w:lang w:val="en-US"/>
        </w:rPr>
      </w:pPr>
    </w:p>
    <w:p w:rsidR="001E0DA8" w:rsidRPr="003A3655" w:rsidRDefault="001E0DA8" w:rsidP="003A3655">
      <w:pPr>
        <w:rPr>
          <w:lang w:val="en-US"/>
        </w:rPr>
        <w:sectPr w:rsidR="001E0DA8" w:rsidRPr="003A3655" w:rsidSect="00371CB2">
          <w:pgSz w:w="11907" w:h="16840" w:code="9"/>
          <w:pgMar w:top="2835" w:right="1701" w:bottom="2552" w:left="1701" w:header="1701" w:footer="1985" w:gutter="567"/>
          <w:pgNumType w:start="1"/>
          <w:cols w:space="708"/>
          <w:titlePg/>
          <w:docGrid w:linePitch="360"/>
        </w:sectPr>
      </w:pPr>
    </w:p>
    <w:p w:rsidR="001E0DA8" w:rsidRPr="003C4D9E" w:rsidRDefault="001E0DA8" w:rsidP="00E01DA1">
      <w:pPr>
        <w:jc w:val="center"/>
        <w:rPr>
          <w:b/>
          <w:lang w:val="en-US"/>
        </w:rPr>
      </w:pPr>
      <w:r w:rsidRPr="003C4D9E">
        <w:rPr>
          <w:b/>
          <w:lang w:val="en-US"/>
        </w:rPr>
        <w:t xml:space="preserve">REPORT FROM OMBUDSMAN INSTITUTION </w:t>
      </w:r>
    </w:p>
    <w:p w:rsidR="001E0DA8" w:rsidRPr="003C4D9E" w:rsidRDefault="001E0DA8" w:rsidP="00E01DA1">
      <w:pPr>
        <w:jc w:val="both"/>
        <w:rPr>
          <w:lang w:val="en-US"/>
        </w:rPr>
      </w:pPr>
    </w:p>
    <w:p w:rsidR="001E0DA8" w:rsidRPr="003C4D9E" w:rsidRDefault="001E0DA8" w:rsidP="00E01DA1">
      <w:pPr>
        <w:jc w:val="center"/>
        <w:rPr>
          <w:b/>
          <w:lang w:val="en-US"/>
        </w:rPr>
      </w:pPr>
      <w:r w:rsidRPr="003C4D9E">
        <w:rPr>
          <w:b/>
          <w:lang w:val="en-US"/>
        </w:rPr>
        <w:t>SPAIN</w:t>
      </w:r>
    </w:p>
    <w:p w:rsidR="001E0DA8" w:rsidRPr="003C4D9E" w:rsidRDefault="001E0DA8" w:rsidP="00E01DA1">
      <w:pPr>
        <w:jc w:val="center"/>
        <w:rPr>
          <w:b/>
          <w:lang w:val="en-US"/>
        </w:rPr>
      </w:pPr>
    </w:p>
    <w:p w:rsidR="001E0DA8" w:rsidRPr="003C4D9E" w:rsidRDefault="001E0DA8" w:rsidP="00E01DA1">
      <w:pPr>
        <w:jc w:val="center"/>
        <w:rPr>
          <w:b/>
          <w:lang w:val="en-US"/>
        </w:rPr>
      </w:pPr>
      <w:r w:rsidRPr="003C4D9E">
        <w:rPr>
          <w:b/>
          <w:lang w:val="en-US"/>
        </w:rPr>
        <w:t>5TH AND 6TH REPORTS ON THE APPLICATION OF THE CONVENTION ON THE RIGHTS OF THE CHILD AND ITS OPTIONAL PROTOCOLS</w:t>
      </w:r>
    </w:p>
    <w:p w:rsidR="001E0DA8" w:rsidRPr="003C4D9E" w:rsidRDefault="001E0DA8" w:rsidP="00E01DA1">
      <w:pPr>
        <w:jc w:val="both"/>
        <w:rPr>
          <w:lang w:val="en-US"/>
        </w:rPr>
      </w:pPr>
    </w:p>
    <w:p w:rsidR="001E0DA8" w:rsidRPr="003C4D9E" w:rsidRDefault="001E0DA8" w:rsidP="00E01DA1">
      <w:pPr>
        <w:jc w:val="both"/>
        <w:rPr>
          <w:lang w:val="en-US"/>
        </w:rPr>
      </w:pPr>
    </w:p>
    <w:p w:rsidR="001E0DA8" w:rsidRPr="003C4D9E" w:rsidRDefault="001E0DA8" w:rsidP="00E01DA1">
      <w:pPr>
        <w:jc w:val="both"/>
        <w:rPr>
          <w:lang w:val="en-US"/>
        </w:rPr>
      </w:pPr>
    </w:p>
    <w:p w:rsidR="001E0DA8" w:rsidRPr="003C4D9E" w:rsidRDefault="001E0DA8" w:rsidP="00E01DA1">
      <w:pPr>
        <w:pStyle w:val="1"/>
        <w:numPr>
          <w:ilvl w:val="0"/>
          <w:numId w:val="12"/>
        </w:numPr>
        <w:tabs>
          <w:tab w:val="clear" w:pos="624"/>
        </w:tabs>
        <w:rPr>
          <w:rFonts w:ascii="Times New Roman" w:hAnsi="Times New Roman"/>
          <w:sz w:val="24"/>
          <w:lang w:val="en-US"/>
        </w:rPr>
      </w:pPr>
      <w:bookmarkStart w:id="1" w:name="_Toc474402389"/>
      <w:bookmarkStart w:id="2" w:name="_Toc349128791"/>
      <w:bookmarkStart w:id="3" w:name="_Toc475979913"/>
      <w:r w:rsidRPr="003C4D9E">
        <w:rPr>
          <w:rFonts w:ascii="Times New Roman" w:hAnsi="Times New Roman"/>
          <w:sz w:val="24"/>
          <w:lang w:val="en-US"/>
        </w:rPr>
        <w:t>APPLICABLE GENERAL MEASURES</w:t>
      </w:r>
      <w:bookmarkEnd w:id="1"/>
      <w:bookmarkEnd w:id="2"/>
      <w:bookmarkEnd w:id="3"/>
    </w:p>
    <w:p w:rsidR="001E0DA8" w:rsidRPr="003C4D9E" w:rsidRDefault="001E0DA8" w:rsidP="00E01DA1">
      <w:pPr>
        <w:jc w:val="both"/>
        <w:rPr>
          <w:lang w:val="en-US"/>
        </w:rPr>
      </w:pPr>
    </w:p>
    <w:p w:rsidR="001E0DA8" w:rsidRPr="003C4D9E" w:rsidRDefault="001E0DA8" w:rsidP="00E01DA1">
      <w:pPr>
        <w:pStyle w:val="2"/>
        <w:numPr>
          <w:ilvl w:val="1"/>
          <w:numId w:val="12"/>
        </w:numPr>
        <w:tabs>
          <w:tab w:val="clear" w:pos="624"/>
          <w:tab w:val="clear" w:pos="710"/>
          <w:tab w:val="num" w:pos="500"/>
        </w:tabs>
        <w:ind w:left="500" w:hanging="500"/>
        <w:jc w:val="both"/>
        <w:rPr>
          <w:rFonts w:ascii="Times New Roman" w:hAnsi="Times New Roman"/>
          <w:sz w:val="24"/>
          <w:lang w:val="en-US"/>
        </w:rPr>
      </w:pPr>
      <w:bookmarkStart w:id="4" w:name="_Toc349128792"/>
      <w:bookmarkStart w:id="5" w:name="_Toc475979914"/>
      <w:r w:rsidRPr="003C4D9E">
        <w:rPr>
          <w:rFonts w:ascii="Times New Roman" w:hAnsi="Times New Roman"/>
          <w:sz w:val="24"/>
          <w:lang w:val="en-US"/>
        </w:rPr>
        <w:t>Measures adopted for the full harmonization of legislation and national practices with the provisions of the Convention and its optional Protocols</w:t>
      </w:r>
      <w:bookmarkEnd w:id="4"/>
      <w:bookmarkEnd w:id="5"/>
    </w:p>
    <w:p w:rsidR="001E0DA8" w:rsidRPr="003C4D9E" w:rsidRDefault="001E0DA8" w:rsidP="00E01DA1">
      <w:pPr>
        <w:jc w:val="both"/>
        <w:rPr>
          <w:b/>
          <w:lang w:val="en-US"/>
        </w:rPr>
      </w:pPr>
    </w:p>
    <w:p w:rsidR="001E0DA8" w:rsidRPr="003C4D9E" w:rsidRDefault="001E0DA8" w:rsidP="00E01DA1">
      <w:pPr>
        <w:jc w:val="both"/>
        <w:rPr>
          <w:lang w:val="en-US"/>
        </w:rPr>
      </w:pPr>
      <w:r w:rsidRPr="003C4D9E">
        <w:rPr>
          <w:lang w:val="en-US"/>
        </w:rPr>
        <w:t xml:space="preserve">In July 2015, Organic Law 8/2015 of 22 July and Law 26/2015 of 28 July were enacted, modifying the child and adolescent protection system.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These are highly complex and ambitious texts which affect the rights of children and adolescents and which strive to respond to the needs and challenges for protecting children from different perspectives. Organic Law 8/2015 affects 5 legal texts, while the ordinary law modifies 15 regulations. Substantial reforms have been made to </w:t>
      </w:r>
      <w:r w:rsidRPr="003C4D9E">
        <w:rPr>
          <w:i/>
          <w:lang w:val="en-US"/>
        </w:rPr>
        <w:t>Ley Orgánica 1/1996, de 15 de enero, de Protección Jurídica del Menor</w:t>
      </w:r>
      <w:r w:rsidRPr="003C4D9E">
        <w:rPr>
          <w:lang w:val="en-US"/>
        </w:rPr>
        <w:t xml:space="preserve"> [Organic Law 1/1996 of 15 January, on the Legal Protection of Minors]. The reforms include various aspects of proposals and recommendations from the Ombudsman Institution.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As a result of its reform, Organic Law 1/1996 of 15 January, on the Legal Protection of Minors dedicates an extensive article to the best interests of children, which is considered a subjective right, principle of interpretation and rule of procedure, in accordance with General Comment No.14 of the United Nations Committee on the Rights of the Child. This is undoubtedly a step in the right direction.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reforms also constitute an improvement in the recognition and guarantee of the rights of children to express their views and that these be taken into account. However, certain aspects of this right remain insufficiently regulated. Respect for children’s views and their adaptation to Article 12 of the Convention on the Rights of the Child and General Comment No. 12 are analyzed in Section 2 of this report under heading 2.1 </w:t>
      </w:r>
      <w:r w:rsidRPr="003C4D9E">
        <w:rPr>
          <w:i/>
          <w:lang w:val="en-US"/>
        </w:rPr>
        <w:t>Respect for children's views</w:t>
      </w:r>
      <w:r w:rsidRPr="003C4D9E">
        <w:rPr>
          <w:lang w:val="en-US"/>
        </w:rPr>
        <w:t xml:space="preserve">.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Ombudsman Institution's observations on the most relevant elements of these regulatory reforms and their adaptation to the Convention on the Rights of the Child are analyzed in various sections of this report. </w:t>
      </w:r>
    </w:p>
    <w:p w:rsidR="001E0DA8" w:rsidRPr="003C4D9E" w:rsidRDefault="001E0DA8" w:rsidP="00E01DA1">
      <w:pPr>
        <w:jc w:val="both"/>
        <w:rPr>
          <w:lang w:val="en-US"/>
        </w:rPr>
      </w:pPr>
    </w:p>
    <w:p w:rsidR="001E0DA8" w:rsidRPr="003C4D9E" w:rsidRDefault="001E0DA8" w:rsidP="00E01DA1">
      <w:pPr>
        <w:pStyle w:val="2"/>
        <w:numPr>
          <w:ilvl w:val="1"/>
          <w:numId w:val="12"/>
        </w:numPr>
        <w:tabs>
          <w:tab w:val="clear" w:pos="624"/>
          <w:tab w:val="clear" w:pos="710"/>
          <w:tab w:val="num" w:pos="500"/>
        </w:tabs>
        <w:ind w:hanging="710"/>
        <w:rPr>
          <w:rFonts w:ascii="Times New Roman" w:hAnsi="Times New Roman"/>
          <w:sz w:val="24"/>
          <w:lang w:val="en-US"/>
        </w:rPr>
      </w:pPr>
      <w:bookmarkStart w:id="6" w:name="_Toc349128793"/>
      <w:bookmarkStart w:id="7" w:name="_Toc475979915"/>
      <w:r w:rsidRPr="003C4D9E">
        <w:rPr>
          <w:rFonts w:ascii="Times New Roman" w:hAnsi="Times New Roman"/>
          <w:sz w:val="24"/>
          <w:lang w:val="en-US"/>
        </w:rPr>
        <w:t>ALLOCATION of resources</w:t>
      </w:r>
      <w:bookmarkEnd w:id="6"/>
      <w:bookmarkEnd w:id="7"/>
      <w:r w:rsidRPr="003C4D9E">
        <w:rPr>
          <w:rFonts w:ascii="Times New Roman" w:hAnsi="Times New Roman"/>
          <w:sz w:val="24"/>
          <w:lang w:val="en-US"/>
        </w:rPr>
        <w:t xml:space="preserve"> </w:t>
      </w:r>
    </w:p>
    <w:p w:rsidR="001E0DA8" w:rsidRPr="003C4D9E" w:rsidRDefault="001E0DA8" w:rsidP="00E01DA1">
      <w:pPr>
        <w:pStyle w:val="Default"/>
        <w:jc w:val="both"/>
        <w:rPr>
          <w:lang w:val="en-US"/>
        </w:rPr>
      </w:pPr>
    </w:p>
    <w:p w:rsidR="001E0DA8" w:rsidRPr="003C4D9E" w:rsidRDefault="001E0DA8" w:rsidP="00E01DA1">
      <w:pPr>
        <w:overflowPunct w:val="0"/>
        <w:autoSpaceDE w:val="0"/>
        <w:autoSpaceDN w:val="0"/>
        <w:adjustRightInd w:val="0"/>
        <w:jc w:val="both"/>
        <w:textAlignment w:val="baseline"/>
        <w:rPr>
          <w:lang w:val="en-US"/>
        </w:rPr>
      </w:pPr>
      <w:r w:rsidRPr="003C4D9E">
        <w:rPr>
          <w:lang w:val="en-US"/>
        </w:rPr>
        <w:t>Public investment in social protection of families and children in Spain accounts for 1.3% of GDP. Expenditure on children and families accounts for 5.3% of total expenditure on social protection (2015 data)</w:t>
      </w:r>
      <w:r w:rsidRPr="003C4D9E">
        <w:rPr>
          <w:rStyle w:val="FootnoteReference"/>
          <w:lang w:val="en-US"/>
        </w:rPr>
        <w:footnoteReference w:id="1"/>
      </w:r>
      <w:r w:rsidRPr="003C4D9E">
        <w:rPr>
          <w:lang w:val="en-US"/>
        </w:rPr>
        <w:t>.</w:t>
      </w:r>
    </w:p>
    <w:p w:rsidR="001E0DA8" w:rsidRPr="003C4D9E" w:rsidRDefault="001E0DA8" w:rsidP="00E01DA1">
      <w:pPr>
        <w:overflowPunct w:val="0"/>
        <w:autoSpaceDE w:val="0"/>
        <w:autoSpaceDN w:val="0"/>
        <w:adjustRightInd w:val="0"/>
        <w:jc w:val="both"/>
        <w:textAlignment w:val="baseline"/>
        <w:rPr>
          <w:lang w:val="en-US"/>
        </w:rPr>
      </w:pPr>
      <w:r w:rsidRPr="003C4D9E">
        <w:rPr>
          <w:lang w:val="en-US"/>
        </w:rPr>
        <w:t xml:space="preserve"> </w:t>
      </w:r>
    </w:p>
    <w:p w:rsidR="001E0DA8" w:rsidRPr="003C4D9E" w:rsidRDefault="001E0DA8" w:rsidP="00E01DA1">
      <w:pPr>
        <w:jc w:val="both"/>
        <w:rPr>
          <w:lang w:val="en-US"/>
        </w:rPr>
      </w:pPr>
      <w:r w:rsidRPr="003C4D9E">
        <w:rPr>
          <w:lang w:val="en-US"/>
        </w:rPr>
        <w:t>Through various channels, the Ombudsman Institution has sought to strengthen the response to the recommendation outlined in Paragraph 16 of the final Comments addressed to Spain by the Committee on the Rights of the Child</w:t>
      </w:r>
      <w:r w:rsidRPr="003C4D9E">
        <w:rPr>
          <w:rStyle w:val="FootnoteReference"/>
          <w:lang w:val="en-US"/>
        </w:rPr>
        <w:footnoteReference w:id="2"/>
      </w:r>
      <w:r w:rsidRPr="003C4D9E">
        <w:rPr>
          <w:lang w:val="en-US"/>
        </w:rPr>
        <w:t xml:space="preserve"> in 2010. A specific example was the recommendation addressed to Spain’s autonomous communities in 2015 for the publication of the percentage of food assistance programs for at-risk minors provided by European funds and the percentage of those that are self-funded. The aim was to measure each administration's direct economic effort in this issue.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responses received reflect the difficulties in obtaining consistent data in this regard, due in large part to the rigidity of the budgetary structure itself. Progress must be made in improving transparency surrounding the use and function of resources assigned to children and adolescents, which in turn allows for a more systematic evaluation of the objectives fulfilled.  </w:t>
      </w:r>
    </w:p>
    <w:p w:rsidR="001E0DA8" w:rsidRPr="003C4D9E" w:rsidRDefault="001E0DA8" w:rsidP="00E01DA1">
      <w:pPr>
        <w:jc w:val="both"/>
        <w:rPr>
          <w:lang w:val="en-US"/>
        </w:rPr>
      </w:pPr>
    </w:p>
    <w:p w:rsidR="001E0DA8" w:rsidRPr="003C4D9E" w:rsidRDefault="001E0DA8" w:rsidP="00E01DA1">
      <w:pPr>
        <w:pStyle w:val="2"/>
        <w:numPr>
          <w:ilvl w:val="1"/>
          <w:numId w:val="12"/>
        </w:numPr>
        <w:tabs>
          <w:tab w:val="clear" w:pos="624"/>
          <w:tab w:val="clear" w:pos="710"/>
          <w:tab w:val="num" w:pos="500"/>
        </w:tabs>
        <w:ind w:hanging="710"/>
        <w:rPr>
          <w:rFonts w:ascii="Times New Roman" w:hAnsi="Times New Roman"/>
          <w:sz w:val="24"/>
          <w:lang w:val="en-US"/>
        </w:rPr>
      </w:pPr>
      <w:bookmarkStart w:id="8" w:name="_Toc349128794"/>
      <w:bookmarkStart w:id="9" w:name="_Toc475979916"/>
      <w:r w:rsidRPr="003C4D9E">
        <w:rPr>
          <w:rFonts w:ascii="Times New Roman" w:hAnsi="Times New Roman"/>
          <w:sz w:val="24"/>
          <w:lang w:val="en-US"/>
        </w:rPr>
        <w:t>Data collection</w:t>
      </w:r>
      <w:bookmarkEnd w:id="8"/>
      <w:bookmarkEnd w:id="9"/>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Ombudsman Institution has made </w:t>
      </w:r>
      <w:r>
        <w:rPr>
          <w:b/>
          <w:lang w:val="en-US"/>
        </w:rPr>
        <w:t>R</w:t>
      </w:r>
      <w:r w:rsidRPr="003C4D9E">
        <w:rPr>
          <w:b/>
          <w:lang w:val="en-US"/>
        </w:rPr>
        <w:t>ecommendations</w:t>
      </w:r>
      <w:r w:rsidRPr="003C4D9E">
        <w:rPr>
          <w:lang w:val="en-US"/>
        </w:rPr>
        <w:t xml:space="preserve"> in this sense to various public bodies. The Ombudsman Institution, for example, has insisted on the need to improve the statistical data held with respect to foreign minors in general and unaccompanied foreign minors, victims of human trafficking and applicants for international protection in particular. </w:t>
      </w:r>
    </w:p>
    <w:p w:rsidR="001E0DA8" w:rsidRPr="003C4D9E" w:rsidRDefault="001E0DA8" w:rsidP="00E01DA1">
      <w:pPr>
        <w:jc w:val="both"/>
        <w:rPr>
          <w:bCs/>
          <w:lang w:val="en-US"/>
        </w:rPr>
      </w:pPr>
    </w:p>
    <w:p w:rsidR="001E0DA8" w:rsidRPr="003C4D9E" w:rsidRDefault="001E0DA8" w:rsidP="00E01DA1">
      <w:pPr>
        <w:pStyle w:val="2"/>
        <w:numPr>
          <w:ilvl w:val="1"/>
          <w:numId w:val="12"/>
        </w:numPr>
        <w:tabs>
          <w:tab w:val="clear" w:pos="624"/>
          <w:tab w:val="clear" w:pos="710"/>
          <w:tab w:val="num" w:pos="500"/>
        </w:tabs>
        <w:ind w:hanging="710"/>
        <w:rPr>
          <w:rFonts w:ascii="Times New Roman" w:hAnsi="Times New Roman"/>
          <w:sz w:val="24"/>
          <w:lang w:val="en-US"/>
        </w:rPr>
      </w:pPr>
      <w:bookmarkStart w:id="10" w:name="_Toc349128795"/>
      <w:bookmarkStart w:id="11" w:name="_Toc475979917"/>
      <w:r w:rsidRPr="003C4D9E">
        <w:rPr>
          <w:rFonts w:ascii="Times New Roman" w:hAnsi="Times New Roman"/>
          <w:sz w:val="24"/>
          <w:lang w:val="en-US"/>
        </w:rPr>
        <w:t>Dissemination and awareness-raising</w:t>
      </w:r>
      <w:bookmarkEnd w:id="10"/>
      <w:bookmarkEnd w:id="11"/>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It is desirable that training on child and adolescent rights be ongoing and up-to-date for all legal professionals and for individuals working with minors, such as teachers, doctors, members of psychosocial teams, specialists and civil servants in protection systems, and so forth. Moreover, it is important that children and adolescents are aware of the fundamental rights to which they are entitled, as well as the guarantees contained in the same, at the same time as they understand that others also have rights.</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While the training received by judges is extensive and covers all jurisdictions and the topics most relevant to each of these, further training for judges is required with respect to children's rights, and in particular the right of a child to be listened to in legal proceedings</w:t>
      </w:r>
      <w:r w:rsidRPr="003C4D9E">
        <w:rPr>
          <w:b/>
          <w:lang w:val="en-US"/>
        </w:rPr>
        <w:t xml:space="preserve">. </w:t>
      </w:r>
      <w:r w:rsidRPr="003C4D9E">
        <w:rPr>
          <w:lang w:val="en-US"/>
        </w:rPr>
        <w:t xml:space="preserve">The Ombudsman Institution has therefore </w:t>
      </w:r>
      <w:r w:rsidRPr="003C4D9E">
        <w:rPr>
          <w:b/>
          <w:lang w:val="en-US"/>
        </w:rPr>
        <w:t>recommended</w:t>
      </w:r>
      <w:r w:rsidRPr="003C4D9E">
        <w:rPr>
          <w:lang w:val="en-US"/>
        </w:rPr>
        <w:t xml:space="preserve"> that the </w:t>
      </w:r>
      <w:r w:rsidRPr="003C4D9E">
        <w:rPr>
          <w:i/>
          <w:lang w:val="en-US"/>
        </w:rPr>
        <w:t>Consejo General del Poder Judicial</w:t>
      </w:r>
      <w:r w:rsidRPr="003C4D9E">
        <w:rPr>
          <w:lang w:val="en-US"/>
        </w:rPr>
        <w:t xml:space="preserve"> [General Council of the Judiciary] assess the opportunity for including this subject in training plans for the </w:t>
      </w:r>
      <w:r w:rsidRPr="003C4D9E">
        <w:rPr>
          <w:i/>
          <w:lang w:val="en-US"/>
        </w:rPr>
        <w:t>Escuela Judicial</w:t>
      </w:r>
      <w:r w:rsidRPr="003C4D9E">
        <w:rPr>
          <w:lang w:val="en-US"/>
        </w:rPr>
        <w:t xml:space="preserve"> [Judicial College] and also in the initial </w:t>
      </w:r>
      <w:r w:rsidRPr="003C4D9E">
        <w:rPr>
          <w:i/>
          <w:lang w:val="en-US"/>
        </w:rPr>
        <w:t>Plan Docente de Formación</w:t>
      </w:r>
      <w:r w:rsidRPr="003C4D9E">
        <w:rPr>
          <w:lang w:val="en-US"/>
        </w:rPr>
        <w:t xml:space="preserve"> [Instructor Training Plan] for judges. The </w:t>
      </w:r>
      <w:r>
        <w:rPr>
          <w:b/>
          <w:lang w:val="en-US"/>
        </w:rPr>
        <w:t>R</w:t>
      </w:r>
      <w:r w:rsidRPr="003C4D9E">
        <w:rPr>
          <w:b/>
          <w:lang w:val="en-US"/>
        </w:rPr>
        <w:t>ecommendation</w:t>
      </w:r>
      <w:r w:rsidRPr="003C4D9E">
        <w:rPr>
          <w:lang w:val="en-US"/>
        </w:rPr>
        <w:t xml:space="preserve"> has been accepted.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Ombudsman Institution has likewise made </w:t>
      </w:r>
      <w:r>
        <w:rPr>
          <w:b/>
          <w:lang w:val="en-US"/>
        </w:rPr>
        <w:t>R</w:t>
      </w:r>
      <w:r w:rsidRPr="003C4D9E">
        <w:rPr>
          <w:b/>
          <w:lang w:val="en-US"/>
        </w:rPr>
        <w:t>ecommendations</w:t>
      </w:r>
      <w:r w:rsidRPr="003C4D9E">
        <w:rPr>
          <w:lang w:val="en-US"/>
        </w:rPr>
        <w:t xml:space="preserve"> to the</w:t>
      </w:r>
      <w:r>
        <w:rPr>
          <w:lang w:val="en-US"/>
        </w:rPr>
        <w:t xml:space="preserve"> </w:t>
      </w:r>
      <w:r w:rsidRPr="00876738">
        <w:rPr>
          <w:i/>
          <w:lang w:val="en-GB"/>
        </w:rPr>
        <w:t>Consejo General del Poder Judicial</w:t>
      </w:r>
      <w:r w:rsidRPr="002F04CA">
        <w:rPr>
          <w:i/>
          <w:lang w:val="en-US"/>
        </w:rPr>
        <w:t xml:space="preserve"> </w:t>
      </w:r>
      <w:r w:rsidRPr="000E0D3F">
        <w:rPr>
          <w:lang w:val="en-US"/>
        </w:rPr>
        <w:t>[G</w:t>
      </w:r>
      <w:r w:rsidRPr="003C4D9E">
        <w:rPr>
          <w:lang w:val="en-US"/>
        </w:rPr>
        <w:t>eneral Council of the Judiciary</w:t>
      </w:r>
      <w:r>
        <w:rPr>
          <w:lang w:val="en-US"/>
        </w:rPr>
        <w:t>]</w:t>
      </w:r>
      <w:r w:rsidRPr="003C4D9E">
        <w:rPr>
          <w:lang w:val="en-US"/>
        </w:rPr>
        <w:t xml:space="preserve">, the </w:t>
      </w:r>
      <w:r w:rsidRPr="003C4D9E">
        <w:rPr>
          <w:i/>
          <w:lang w:val="en-US"/>
        </w:rPr>
        <w:t>Fiscalía General del Estado</w:t>
      </w:r>
      <w:r w:rsidRPr="003C4D9E">
        <w:rPr>
          <w:lang w:val="en-US"/>
        </w:rPr>
        <w:t xml:space="preserve"> [Office of the Attorney General], </w:t>
      </w:r>
      <w:r w:rsidRPr="003C4D9E">
        <w:rPr>
          <w:i/>
          <w:lang w:val="en-US"/>
        </w:rPr>
        <w:t>Ministerio de Justicia</w:t>
      </w:r>
      <w:r w:rsidRPr="003C4D9E">
        <w:rPr>
          <w:lang w:val="en-US"/>
        </w:rPr>
        <w:t xml:space="preserve"> [Ministry of Justice], </w:t>
      </w:r>
      <w:r w:rsidRPr="003C4D9E">
        <w:rPr>
          <w:i/>
          <w:lang w:val="en-US"/>
        </w:rPr>
        <w:t>Direcciones Generales de la Policía</w:t>
      </w:r>
      <w:r w:rsidRPr="003C4D9E">
        <w:rPr>
          <w:lang w:val="en-US"/>
        </w:rPr>
        <w:t xml:space="preserve"> [Directorates General of the Police], </w:t>
      </w:r>
      <w:r w:rsidRPr="003C4D9E">
        <w:rPr>
          <w:i/>
          <w:lang w:val="en-US"/>
        </w:rPr>
        <w:t>Guardia Civil</w:t>
      </w:r>
      <w:r w:rsidRPr="003C4D9E">
        <w:rPr>
          <w:lang w:val="en-US"/>
        </w:rPr>
        <w:t xml:space="preserve"> [Civil Guard], </w:t>
      </w:r>
      <w:r w:rsidRPr="003C4D9E">
        <w:rPr>
          <w:i/>
          <w:lang w:val="en-US"/>
        </w:rPr>
        <w:t>Mossos d’Esquadra</w:t>
      </w:r>
      <w:r w:rsidRPr="003C4D9E">
        <w:rPr>
          <w:lang w:val="en-US"/>
        </w:rPr>
        <w:t xml:space="preserve"> [Catalan Autonomous Police Force</w:t>
      </w:r>
      <w:r>
        <w:rPr>
          <w:lang w:val="en-US"/>
        </w:rPr>
        <w:t>]</w:t>
      </w:r>
      <w:r w:rsidRPr="003C4D9E">
        <w:rPr>
          <w:lang w:val="en-US"/>
        </w:rPr>
        <w:t xml:space="preserve">, </w:t>
      </w:r>
      <w:r w:rsidRPr="003C4D9E">
        <w:rPr>
          <w:i/>
          <w:lang w:val="en-US"/>
        </w:rPr>
        <w:t>Ertzaintza</w:t>
      </w:r>
      <w:r>
        <w:rPr>
          <w:lang w:val="en-US"/>
        </w:rPr>
        <w:t xml:space="preserve"> [</w:t>
      </w:r>
      <w:r w:rsidRPr="003C4D9E">
        <w:rPr>
          <w:lang w:val="en-US"/>
        </w:rPr>
        <w:t>Basque Autonomous Police Force</w:t>
      </w:r>
      <w:r>
        <w:rPr>
          <w:lang w:val="en-US"/>
        </w:rPr>
        <w:t>]</w:t>
      </w:r>
      <w:r w:rsidRPr="003C4D9E">
        <w:rPr>
          <w:lang w:val="en-US"/>
        </w:rPr>
        <w:t xml:space="preserve">, </w:t>
      </w:r>
      <w:r w:rsidRPr="003C4D9E">
        <w:rPr>
          <w:i/>
          <w:lang w:val="en-US"/>
        </w:rPr>
        <w:t>Policía Foral de Navarra</w:t>
      </w:r>
      <w:r w:rsidRPr="003C4D9E">
        <w:rPr>
          <w:lang w:val="en-US"/>
        </w:rPr>
        <w:t xml:space="preserve"> [Regional Navarra Police Force] autonomous community departments with competence in staffing issues for the </w:t>
      </w:r>
      <w:r w:rsidRPr="003C4D9E">
        <w:rPr>
          <w:i/>
          <w:lang w:val="en-US"/>
        </w:rPr>
        <w:t>Administración de Justicia</w:t>
      </w:r>
      <w:r w:rsidRPr="003C4D9E">
        <w:rPr>
          <w:lang w:val="en-US"/>
        </w:rPr>
        <w:t xml:space="preserve"> [Justice Administration], </w:t>
      </w:r>
      <w:r w:rsidRPr="003C4D9E">
        <w:rPr>
          <w:i/>
          <w:lang w:val="en-US"/>
        </w:rPr>
        <w:t>Consejo General de la Abogacía Española</w:t>
      </w:r>
      <w:r w:rsidRPr="003C4D9E">
        <w:rPr>
          <w:lang w:val="en-US"/>
        </w:rPr>
        <w:t xml:space="preserve"> [General Council of the Spanish Legal Profession] and </w:t>
      </w:r>
      <w:r w:rsidRPr="003C4D9E">
        <w:rPr>
          <w:i/>
          <w:lang w:val="en-US"/>
        </w:rPr>
        <w:t>Consejo General de Procuradores de España</w:t>
      </w:r>
      <w:r w:rsidRPr="003C4D9E">
        <w:rPr>
          <w:lang w:val="en-US"/>
        </w:rPr>
        <w:t xml:space="preserve"> [General Council of Spanish Attorneys] for the provision of training programs for the new </w:t>
      </w:r>
      <w:r w:rsidRPr="003C4D9E">
        <w:rPr>
          <w:i/>
          <w:lang w:val="en-US"/>
        </w:rPr>
        <w:t>Estatuto de la Víctima del Delito</w:t>
      </w:r>
      <w:r w:rsidRPr="003C4D9E">
        <w:rPr>
          <w:lang w:val="en-US"/>
        </w:rPr>
        <w:t xml:space="preserve"> [Statute on Crime Victims] with special attention to minor victims, taking into consideration the new laws, the method for taking statements, encouragement of resolutions and any other aspects fostering the correct hearing of minors in criminal proceedings, all in accordance with that provided for in Article 30 of the aforementioned Statute. </w:t>
      </w:r>
    </w:p>
    <w:p w:rsidR="001E0DA8" w:rsidRPr="003C4D9E" w:rsidRDefault="001E0DA8" w:rsidP="00E01DA1">
      <w:pPr>
        <w:jc w:val="both"/>
        <w:rPr>
          <w:lang w:val="en-US"/>
        </w:rPr>
      </w:pPr>
      <w:r w:rsidRPr="003C4D9E">
        <w:rPr>
          <w:lang w:val="en-US"/>
        </w:rPr>
        <w:t xml:space="preserve"> </w:t>
      </w:r>
    </w:p>
    <w:p w:rsidR="001E0DA8" w:rsidRPr="003C4D9E" w:rsidRDefault="001E0DA8" w:rsidP="00E01DA1">
      <w:pPr>
        <w:jc w:val="both"/>
        <w:rPr>
          <w:lang w:val="en-US"/>
        </w:rPr>
      </w:pPr>
      <w:r w:rsidRPr="003C4D9E">
        <w:rPr>
          <w:lang w:val="en-US"/>
        </w:rPr>
        <w:t xml:space="preserve">Since 2014, the Ombudsman Institution website has featured areas dedicated to the child and adolescent rights and to the institutional work carried out for their guarantee. Content is presented in two formats: some content addressed to the general public and other content specially created for minors.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The latter includes material concerning the Convention on the Rights of the Child adapted to various age ranges and created in collaboration with Save the Children. A brochure on the international protection of foreign minors, created with the United Nations High Commissioner for Refugees (abbreviated as ACNUR in Spanish) and Save the Children, is also featured. These materials may be easily downloaded from the website</w:t>
      </w:r>
      <w:r w:rsidRPr="003C4D9E">
        <w:rPr>
          <w:rStyle w:val="FootnoteReference"/>
          <w:lang w:val="en-US"/>
        </w:rPr>
        <w:footnoteReference w:id="3"/>
      </w:r>
      <w:r w:rsidRPr="003C4D9E">
        <w:rPr>
          <w:lang w:val="en-US"/>
        </w:rPr>
        <w:t>.</w:t>
      </w:r>
    </w:p>
    <w:p w:rsidR="001E0DA8" w:rsidRPr="003C4D9E" w:rsidRDefault="001E0DA8" w:rsidP="00E01DA1">
      <w:pPr>
        <w:jc w:val="both"/>
        <w:rPr>
          <w:lang w:val="en-US"/>
        </w:rPr>
      </w:pPr>
      <w:r w:rsidRPr="003C4D9E">
        <w:rPr>
          <w:lang w:val="en-US"/>
        </w:rPr>
        <w:t xml:space="preserve"> </w:t>
      </w:r>
    </w:p>
    <w:p w:rsidR="001E0DA8" w:rsidRPr="003C4D9E" w:rsidRDefault="001E0DA8" w:rsidP="00E01DA1">
      <w:pPr>
        <w:jc w:val="both"/>
        <w:rPr>
          <w:lang w:val="en-US"/>
        </w:rPr>
      </w:pPr>
      <w:r w:rsidRPr="003C4D9E">
        <w:rPr>
          <w:lang w:val="en-US"/>
        </w:rPr>
        <w:t>With the aim of achieving maximum circulation and dissemination among students and teachers, the Ombudsman Institution sent an informative email to 18,104 schools (public, semi-private and private, pre-school, primary, secondary, vocational and special education). This material was also printed in Castilian (16,000 copies), Catalan (8,000 copies), Galician (4,000 copies) and Basque (4,000 copies) and sent out to schools. 8,000 copies of the brochure on international protection of minors were also printed and 4,000 posters were sent to border checkpoints, refugee shelters, the United Nations High Commissioner for Refugees and NGOs working with refugees.</w:t>
      </w:r>
    </w:p>
    <w:p w:rsidR="001E0DA8" w:rsidRPr="003C4D9E" w:rsidRDefault="001E0DA8" w:rsidP="00E01DA1">
      <w:pPr>
        <w:jc w:val="both"/>
        <w:rPr>
          <w:lang w:val="en-US"/>
        </w:rPr>
      </w:pPr>
    </w:p>
    <w:p w:rsidR="001E0DA8" w:rsidRPr="003C4D9E" w:rsidRDefault="001E0DA8" w:rsidP="00E01DA1">
      <w:pPr>
        <w:pStyle w:val="2"/>
        <w:numPr>
          <w:ilvl w:val="1"/>
          <w:numId w:val="12"/>
        </w:numPr>
        <w:tabs>
          <w:tab w:val="clear" w:pos="624"/>
          <w:tab w:val="clear" w:pos="710"/>
          <w:tab w:val="num" w:pos="500"/>
        </w:tabs>
        <w:ind w:left="500" w:hanging="500"/>
        <w:rPr>
          <w:rFonts w:ascii="Times New Roman" w:hAnsi="Times New Roman"/>
          <w:sz w:val="24"/>
          <w:lang w:val="en-US"/>
        </w:rPr>
      </w:pPr>
      <w:bookmarkStart w:id="12" w:name="_Toc475979918"/>
      <w:bookmarkStart w:id="13" w:name="_Toc349128796"/>
      <w:r w:rsidRPr="003C4D9E">
        <w:rPr>
          <w:rFonts w:ascii="Times New Roman" w:hAnsi="Times New Roman"/>
          <w:sz w:val="24"/>
          <w:lang w:val="en-US"/>
        </w:rPr>
        <w:t>The Ombudsman Institution: National HUMAN RIGHTS Institute</w:t>
      </w:r>
      <w:bookmarkEnd w:id="12"/>
      <w:r w:rsidRPr="003C4D9E">
        <w:rPr>
          <w:rFonts w:ascii="Times New Roman" w:hAnsi="Times New Roman"/>
          <w:sz w:val="24"/>
          <w:lang w:val="en-US"/>
        </w:rPr>
        <w:t xml:space="preserve"> </w:t>
      </w:r>
      <w:bookmarkEnd w:id="13"/>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The Ombudsman Institution is Spain's National Human Rights Institution (hereinafter, NHRI). In the year 2000, the Ombudsman Institution received "A" status accreditation as Spain's NHRI by the International Coordinating Committee for National Human Rights Institutions for the Promotion and Protection of Human Rights' Sub-Committee on Accreditation</w:t>
      </w:r>
      <w:r>
        <w:rPr>
          <w:lang w:val="en-US"/>
        </w:rPr>
        <w:t xml:space="preserve"> (GANHRI)</w:t>
      </w:r>
      <w:r w:rsidRPr="003C4D9E">
        <w:rPr>
          <w:lang w:val="en-US"/>
        </w:rPr>
        <w:t>. This same status was maintained in subsequent accreditations in October 2007 and November 2012.</w:t>
      </w:r>
    </w:p>
    <w:p w:rsidR="001E0DA8" w:rsidRPr="003C4D9E" w:rsidRDefault="001E0DA8" w:rsidP="00E01DA1">
      <w:pPr>
        <w:jc w:val="both"/>
        <w:rPr>
          <w:lang w:val="en-US"/>
        </w:rPr>
      </w:pPr>
    </w:p>
    <w:p w:rsidR="001E0DA8" w:rsidRPr="003C4D9E" w:rsidRDefault="001E0DA8" w:rsidP="00E01DA1">
      <w:pPr>
        <w:spacing w:after="240"/>
        <w:jc w:val="both"/>
        <w:rPr>
          <w:lang w:val="en-US"/>
        </w:rPr>
      </w:pPr>
      <w:r w:rsidRPr="003C4D9E">
        <w:rPr>
          <w:lang w:val="en-US"/>
        </w:rPr>
        <w:t>In keeping with paragraphs 6 and 7 of General Comment No. 2 of the Committee on the Rights of the Child</w:t>
      </w:r>
      <w:r w:rsidRPr="003C4D9E">
        <w:rPr>
          <w:rStyle w:val="FootnoteReference"/>
          <w:lang w:val="en-US"/>
        </w:rPr>
        <w:footnoteReference w:id="4"/>
      </w:r>
      <w:r w:rsidRPr="003C4D9E">
        <w:rPr>
          <w:lang w:val="en-US"/>
        </w:rPr>
        <w:t xml:space="preserve">, in seeking the greatest possible efficiency for the promotion and protection of human rights for all, including children and adolescents, the Ombudsman Institution is an NHRI with a broad mandate whose principal activities include those dedicated to children’s rights and a specialized structure for the coordination of matters concerning children's rights. </w:t>
      </w:r>
    </w:p>
    <w:p w:rsidR="001E0DA8" w:rsidRPr="003C4D9E" w:rsidRDefault="001E0DA8" w:rsidP="00E01DA1">
      <w:pPr>
        <w:spacing w:after="240"/>
        <w:jc w:val="both"/>
        <w:rPr>
          <w:lang w:val="en-US"/>
        </w:rPr>
      </w:pPr>
      <w:r w:rsidRPr="003C4D9E">
        <w:rPr>
          <w:lang w:val="en-US"/>
        </w:rPr>
        <w:t xml:space="preserve">The Ombudsman Institution's constitutional mandate is a broad mandate, one of whose main functions is that of overseeing compliance with the Convention on the Rights of the Child, its optional protocols and other international human rights treaties which, due to their ratification by Spain form part of its internal legal system and serve as interpretative guidelines for the constitutional regulations concerning fundamental rights (Articles 54, 96 and 10.2 of the Spanish Constitution). The Ombudsman Institution's mandate thus includes the promotion and protection of the human rights of children and adolescents, which form part of its principal activities, in accordance with General Comment No. 2 of the Committee on the Rights of the Child. </w:t>
      </w:r>
    </w:p>
    <w:p w:rsidR="001E0DA8" w:rsidRPr="003C4D9E" w:rsidRDefault="001E0DA8" w:rsidP="00E01DA1">
      <w:pPr>
        <w:jc w:val="both"/>
        <w:rPr>
          <w:lang w:val="en-US"/>
        </w:rPr>
      </w:pPr>
      <w:r w:rsidRPr="003C4D9E">
        <w:rPr>
          <w:lang w:val="en-US"/>
        </w:rPr>
        <w:t xml:space="preserve">In accordance with Article 10 of </w:t>
      </w:r>
      <w:r w:rsidRPr="003C4D9E">
        <w:rPr>
          <w:i/>
          <w:lang w:val="en-US"/>
        </w:rPr>
        <w:t>Ley Orgánica 3/1981, del Defensor del Pueblo</w:t>
      </w:r>
      <w:r w:rsidRPr="003C4D9E">
        <w:rPr>
          <w:lang w:val="en-US"/>
        </w:rPr>
        <w:t xml:space="preserve"> [Organic Law 3/1981 on the Ombudsman Institution] and Article 10.2 c) of </w:t>
      </w:r>
      <w:r w:rsidRPr="003C4D9E">
        <w:rPr>
          <w:i/>
          <w:lang w:val="en-US"/>
        </w:rPr>
        <w:t>Ley Orgánica 1/1996, de Protección Jurídica del Menor</w:t>
      </w:r>
      <w:r w:rsidRPr="003C4D9E">
        <w:rPr>
          <w:lang w:val="en-US"/>
        </w:rPr>
        <w:t xml:space="preserve"> [Organic Law 1/1996 on the Legal Protection of the Minor] children and adolescents may submit complaints to the Ombudsman Institution in the defense and guarantee of their rights, without restriction whatsoever and without needing complementary capacity.</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For this purpose, Article 10.2 c) of Organic Law 1/1996, on the Legal Protection of the Minor stipulates that a Deputy Ombudsman take permanent charge of minor-related matters. In fulfillment of this mandate, in its meeting of 28 August 2012, the </w:t>
      </w:r>
      <w:r w:rsidRPr="003C4D9E">
        <w:rPr>
          <w:i/>
          <w:lang w:val="en-US"/>
        </w:rPr>
        <w:t>Junta de Coordinación y Régimen Interior</w:t>
      </w:r>
      <w:r w:rsidRPr="003C4D9E">
        <w:rPr>
          <w:lang w:val="en-US"/>
        </w:rPr>
        <w:t xml:space="preserve"> [Board of Coordination and Internal Regulations] agreed to the designation of the Office of the </w:t>
      </w:r>
      <w:r w:rsidRPr="003C4D9E">
        <w:rPr>
          <w:i/>
          <w:lang w:val="en-US"/>
        </w:rPr>
        <w:t>Adjuntía Segunda</w:t>
      </w:r>
      <w:r w:rsidRPr="003C4D9E">
        <w:rPr>
          <w:lang w:val="en-US"/>
        </w:rPr>
        <w:t xml:space="preserve"> [Second Deputy] as the coordinating office for minor-related issues.</w:t>
      </w:r>
    </w:p>
    <w:p w:rsidR="001E0DA8" w:rsidRPr="003C4D9E" w:rsidRDefault="001E0DA8" w:rsidP="00E01DA1">
      <w:pPr>
        <w:jc w:val="both"/>
        <w:rPr>
          <w:lang w:val="en-US"/>
        </w:rPr>
      </w:pPr>
    </w:p>
    <w:p w:rsidR="001E0DA8" w:rsidRPr="003C4D9E" w:rsidRDefault="001E0DA8" w:rsidP="00E01DA1">
      <w:pPr>
        <w:jc w:val="both"/>
        <w:rPr>
          <w:lang w:val="en-US"/>
        </w:rPr>
      </w:pPr>
    </w:p>
    <w:p w:rsidR="001E0DA8" w:rsidRPr="003C4D9E" w:rsidRDefault="001E0DA8" w:rsidP="00E01DA1">
      <w:pPr>
        <w:pStyle w:val="1"/>
        <w:numPr>
          <w:ilvl w:val="0"/>
          <w:numId w:val="12"/>
        </w:numPr>
        <w:jc w:val="both"/>
        <w:rPr>
          <w:rFonts w:ascii="Times New Roman" w:hAnsi="Times New Roman"/>
          <w:sz w:val="24"/>
          <w:lang w:val="en-US"/>
        </w:rPr>
      </w:pPr>
      <w:bookmarkStart w:id="14" w:name="_Toc349128797"/>
      <w:bookmarkStart w:id="15" w:name="_Toc475979919"/>
      <w:r w:rsidRPr="003C4D9E">
        <w:rPr>
          <w:rFonts w:ascii="Times New Roman" w:hAnsi="Times New Roman"/>
          <w:sz w:val="24"/>
          <w:lang w:val="en-US"/>
        </w:rPr>
        <w:t>GENERAL PRINCIPLES</w:t>
      </w:r>
      <w:bookmarkEnd w:id="14"/>
      <w:bookmarkEnd w:id="15"/>
    </w:p>
    <w:p w:rsidR="001E0DA8" w:rsidRPr="003C4D9E" w:rsidRDefault="001E0DA8" w:rsidP="00E01DA1">
      <w:pPr>
        <w:jc w:val="both"/>
        <w:rPr>
          <w:b/>
          <w:lang w:val="en-US"/>
        </w:rPr>
      </w:pPr>
    </w:p>
    <w:p w:rsidR="001E0DA8" w:rsidRPr="003C4D9E" w:rsidRDefault="001E0DA8" w:rsidP="00E01DA1">
      <w:pPr>
        <w:pStyle w:val="2"/>
        <w:numPr>
          <w:ilvl w:val="1"/>
          <w:numId w:val="12"/>
        </w:numPr>
        <w:tabs>
          <w:tab w:val="clear" w:pos="624"/>
          <w:tab w:val="clear" w:pos="710"/>
          <w:tab w:val="num" w:pos="500"/>
        </w:tabs>
        <w:ind w:hanging="710"/>
        <w:rPr>
          <w:rFonts w:ascii="Times New Roman" w:hAnsi="Times New Roman"/>
          <w:sz w:val="24"/>
          <w:lang w:val="en-US"/>
        </w:rPr>
      </w:pPr>
      <w:bookmarkStart w:id="16" w:name="_Toc349128798"/>
      <w:bookmarkStart w:id="17" w:name="_Toc475979920"/>
      <w:r w:rsidRPr="003C4D9E">
        <w:rPr>
          <w:rFonts w:ascii="Times New Roman" w:hAnsi="Times New Roman"/>
          <w:sz w:val="24"/>
          <w:lang w:val="en-US"/>
        </w:rPr>
        <w:t>Non-discrimination</w:t>
      </w:r>
      <w:bookmarkEnd w:id="16"/>
      <w:bookmarkEnd w:id="17"/>
    </w:p>
    <w:p w:rsidR="001E0DA8" w:rsidRPr="003C4D9E" w:rsidRDefault="001E0DA8" w:rsidP="00E01DA1">
      <w:pPr>
        <w:jc w:val="both"/>
        <w:rPr>
          <w:b/>
          <w:lang w:val="en-US"/>
        </w:rPr>
      </w:pPr>
    </w:p>
    <w:p w:rsidR="001E0DA8" w:rsidRDefault="001E0DA8" w:rsidP="00E01DA1">
      <w:pPr>
        <w:jc w:val="both"/>
        <w:rPr>
          <w:lang w:val="en-US"/>
        </w:rPr>
      </w:pPr>
      <w:r w:rsidRPr="003C4D9E">
        <w:rPr>
          <w:lang w:val="en-US"/>
        </w:rPr>
        <w:t xml:space="preserve">In keeping with the </w:t>
      </w:r>
      <w:r>
        <w:rPr>
          <w:b/>
          <w:lang w:val="en-US"/>
        </w:rPr>
        <w:t>R</w:t>
      </w:r>
      <w:r w:rsidRPr="003C4D9E">
        <w:rPr>
          <w:b/>
          <w:lang w:val="en-US"/>
        </w:rPr>
        <w:t>ecommendations</w:t>
      </w:r>
      <w:r w:rsidRPr="003C4D9E">
        <w:rPr>
          <w:lang w:val="en-US"/>
        </w:rPr>
        <w:t xml:space="preserve"> made to Spain in 2010 by the Committee on the Rights of the Child, the Ombudsman Institution will continue to monitor the status of children and adolescents of Roma origin, unaccompanied foreigners, children of foreigners in unusual circumstances and those suffering from disabilities</w:t>
      </w:r>
      <w:r w:rsidRPr="003C4D9E">
        <w:rPr>
          <w:rStyle w:val="FootnoteReference"/>
          <w:lang w:val="en-US"/>
        </w:rPr>
        <w:footnoteReference w:id="5"/>
      </w:r>
      <w:r w:rsidRPr="003C4D9E">
        <w:rPr>
          <w:lang w:val="en-US"/>
        </w:rPr>
        <w:t xml:space="preserve">. </w:t>
      </w:r>
    </w:p>
    <w:p w:rsidR="001E0DA8" w:rsidRPr="003C4D9E" w:rsidRDefault="001E0DA8" w:rsidP="00E01DA1">
      <w:pPr>
        <w:jc w:val="both"/>
        <w:rPr>
          <w:lang w:val="en-US"/>
        </w:rPr>
      </w:pPr>
    </w:p>
    <w:p w:rsidR="001E0DA8" w:rsidRPr="003C4D9E" w:rsidRDefault="001E0DA8" w:rsidP="00E01DA1">
      <w:pPr>
        <w:jc w:val="both"/>
        <w:rPr>
          <w:b/>
          <w:i/>
          <w:lang w:val="en-US"/>
        </w:rPr>
      </w:pPr>
      <w:r w:rsidRPr="003C4D9E">
        <w:rPr>
          <w:i/>
          <w:lang w:val="en-US"/>
        </w:rPr>
        <w:t>Children and adolescents of Roma origin</w:t>
      </w:r>
    </w:p>
    <w:p w:rsidR="001E0DA8" w:rsidRPr="003C4D9E" w:rsidRDefault="001E0DA8" w:rsidP="00E01DA1">
      <w:pPr>
        <w:autoSpaceDE w:val="0"/>
        <w:autoSpaceDN w:val="0"/>
        <w:adjustRightInd w:val="0"/>
        <w:jc w:val="both"/>
        <w:rPr>
          <w:lang w:val="en-US"/>
        </w:rPr>
      </w:pPr>
    </w:p>
    <w:p w:rsidR="001E0DA8" w:rsidRPr="003C4D9E" w:rsidRDefault="001E0DA8" w:rsidP="00E01DA1">
      <w:pPr>
        <w:autoSpaceDE w:val="0"/>
        <w:autoSpaceDN w:val="0"/>
        <w:adjustRightInd w:val="0"/>
        <w:jc w:val="both"/>
        <w:rPr>
          <w:lang w:val="en-US"/>
        </w:rPr>
      </w:pPr>
      <w:r w:rsidRPr="003C4D9E">
        <w:rPr>
          <w:lang w:val="en-US"/>
        </w:rPr>
        <w:t xml:space="preserve">The Ombudsman Institution is concerned about the concentration of Roma students in certain centers of education. In this regard, it should be noted that Resolution CM/Res CMN (2013) 4 on the implementation of the Framework Convention for the Protection of National Minorities by Spain of the Council of Europe’s Committee of Ministers, adopted on 10 July 2013, placed immediate priority on the investigation   into the causes behind the concentration of Roma students in schools located in disadvantaged areas and with lower academic performance.  </w:t>
      </w:r>
    </w:p>
    <w:p w:rsidR="001E0DA8" w:rsidRPr="003C4D9E" w:rsidRDefault="001E0DA8" w:rsidP="00E01DA1">
      <w:pPr>
        <w:autoSpaceDE w:val="0"/>
        <w:autoSpaceDN w:val="0"/>
        <w:adjustRightInd w:val="0"/>
        <w:jc w:val="both"/>
        <w:rPr>
          <w:lang w:val="en-US"/>
        </w:rPr>
      </w:pPr>
    </w:p>
    <w:p w:rsidR="001E0DA8" w:rsidRPr="003C4D9E" w:rsidRDefault="001E0DA8" w:rsidP="00E01DA1">
      <w:pPr>
        <w:autoSpaceDE w:val="0"/>
        <w:autoSpaceDN w:val="0"/>
        <w:adjustRightInd w:val="0"/>
        <w:jc w:val="both"/>
        <w:rPr>
          <w:lang w:val="en-US"/>
        </w:rPr>
      </w:pPr>
      <w:r w:rsidRPr="003C4D9E">
        <w:rPr>
          <w:lang w:val="en-US"/>
        </w:rPr>
        <w:t xml:space="preserve">In 2014, the </w:t>
      </w:r>
      <w:r w:rsidRPr="003C4D9E">
        <w:rPr>
          <w:i/>
          <w:lang w:val="en-US"/>
        </w:rPr>
        <w:t>Secretaría de Estado de Servicios Sociales e Igualdad</w:t>
      </w:r>
      <w:r w:rsidRPr="003C4D9E">
        <w:rPr>
          <w:lang w:val="en-US"/>
        </w:rPr>
        <w:t xml:space="preserve"> [Office of the Secretary of State for Social Services and Equality] of the </w:t>
      </w:r>
      <w:r w:rsidRPr="003C4D9E">
        <w:rPr>
          <w:i/>
          <w:lang w:val="en-US"/>
        </w:rPr>
        <w:t>Ministerio de Sanidad, Servicios Sociales e Igualdad</w:t>
      </w:r>
      <w:r w:rsidRPr="003C4D9E">
        <w:rPr>
          <w:lang w:val="en-US"/>
        </w:rPr>
        <w:t xml:space="preserve"> [Ministry of Health, Social Services and Equality] informed the Ombudsman Institution about the initiation of a study seeking to understand the possible segregation of Roma students. In 2015 the Office informed this institution about the need for cooperation from the autonomous communities and that twelve autonomous communities had submitted information to the State Council for the </w:t>
      </w:r>
      <w:r w:rsidRPr="003C4D9E">
        <w:rPr>
          <w:i/>
          <w:lang w:val="en-US"/>
        </w:rPr>
        <w:t>Grupo de Trabajo de Educación del Consejo Estatal del Pueblo Gitano</w:t>
      </w:r>
      <w:r w:rsidRPr="003C4D9E">
        <w:rPr>
          <w:lang w:val="en-US"/>
        </w:rPr>
        <w:t xml:space="preserve"> [Roma Nation Working Group for Education] and to the Ministry of Health, Social Services and Equality for the analysis of a study proposal. The Ombudsman Institution has yet to receive this information and has further </w:t>
      </w:r>
      <w:r w:rsidRPr="003C4D9E">
        <w:rPr>
          <w:b/>
          <w:lang w:val="en-US"/>
        </w:rPr>
        <w:t>requested</w:t>
      </w:r>
      <w:r w:rsidRPr="003C4D9E">
        <w:rPr>
          <w:lang w:val="en-US"/>
        </w:rPr>
        <w:t xml:space="preserve"> an evaluation of the measures and best practices adopted for the avoidance of possible segregation of Roma students.</w:t>
      </w:r>
    </w:p>
    <w:p w:rsidR="001E0DA8" w:rsidRDefault="001E0DA8" w:rsidP="000E0D3F">
      <w:pPr>
        <w:jc w:val="both"/>
        <w:rPr>
          <w:lang w:val="en-US"/>
        </w:rPr>
      </w:pPr>
    </w:p>
    <w:p w:rsidR="001E0DA8" w:rsidRPr="005717C3" w:rsidRDefault="001E0DA8" w:rsidP="000E0D3F">
      <w:pPr>
        <w:jc w:val="both"/>
        <w:rPr>
          <w:rFonts w:ascii="Times" w:hAnsi="Times"/>
          <w:sz w:val="20"/>
          <w:szCs w:val="20"/>
          <w:lang w:val="en-US"/>
        </w:rPr>
      </w:pPr>
      <w:r w:rsidRPr="003C4D9E">
        <w:rPr>
          <w:lang w:val="en-US"/>
        </w:rPr>
        <w:t>With respect to early school leaving and ac</w:t>
      </w:r>
      <w:r>
        <w:rPr>
          <w:lang w:val="en-US"/>
        </w:rPr>
        <w:t xml:space="preserve">ademic failure, the 2013 report </w:t>
      </w:r>
      <w:r w:rsidRPr="003C4D9E">
        <w:rPr>
          <w:lang w:val="en-US"/>
        </w:rPr>
        <w:t xml:space="preserve">entitled, </w:t>
      </w:r>
      <w:r w:rsidRPr="003C4D9E">
        <w:rPr>
          <w:i/>
          <w:lang w:val="en-US"/>
        </w:rPr>
        <w:t>El Alumnado Gitano en Secundaria</w:t>
      </w:r>
      <w:r>
        <w:rPr>
          <w:i/>
          <w:lang w:val="en-US"/>
        </w:rPr>
        <w:t xml:space="preserve">. </w:t>
      </w:r>
      <w:r w:rsidRPr="00876738">
        <w:rPr>
          <w:i/>
        </w:rPr>
        <w:t>Un estudio comparado sobre el absentismo y el abandono escolar en la comunidad gitana</w:t>
      </w:r>
      <w:r w:rsidRPr="00876738">
        <w:t xml:space="preserve"> [</w:t>
      </w:r>
      <w:r w:rsidRPr="00876738">
        <w:rPr>
          <w:i/>
        </w:rPr>
        <w:t xml:space="preserve">The Roma Student. </w:t>
      </w:r>
      <w:r>
        <w:rPr>
          <w:i/>
          <w:lang w:val="en-US"/>
        </w:rPr>
        <w:t xml:space="preserve">A </w:t>
      </w:r>
      <w:r w:rsidRPr="003C4D9E">
        <w:rPr>
          <w:i/>
          <w:lang w:val="en-US"/>
        </w:rPr>
        <w:t xml:space="preserve">comparative study on absenteeism and </w:t>
      </w:r>
      <w:r>
        <w:rPr>
          <w:i/>
          <w:lang w:val="en-US"/>
        </w:rPr>
        <w:t xml:space="preserve">school abandonment in the gypsy </w:t>
      </w:r>
      <w:r w:rsidRPr="003C4D9E">
        <w:rPr>
          <w:i/>
          <w:lang w:val="en-US"/>
        </w:rPr>
        <w:t>community]</w:t>
      </w:r>
      <w:r w:rsidRPr="003C4D9E">
        <w:rPr>
          <w:lang w:val="en-US"/>
        </w:rPr>
        <w:t xml:space="preserve"> prepared by the </w:t>
      </w:r>
      <w:r w:rsidRPr="003C4D9E">
        <w:rPr>
          <w:i/>
          <w:lang w:val="en-US"/>
        </w:rPr>
        <w:t>Fundación Secretariado Gitan</w:t>
      </w:r>
      <w:r w:rsidRPr="005717C3">
        <w:rPr>
          <w:i/>
          <w:lang w:val="en-US"/>
        </w:rPr>
        <w:t>o</w:t>
      </w:r>
      <w:r w:rsidRPr="005717C3">
        <w:rPr>
          <w:lang w:val="en-US"/>
        </w:rPr>
        <w:t xml:space="preserve"> [</w:t>
      </w:r>
      <w:r>
        <w:rPr>
          <w:lang w:val="en-US"/>
        </w:rPr>
        <w:t xml:space="preserve">Roma Secretariat </w:t>
      </w:r>
      <w:r w:rsidRPr="005717C3">
        <w:rPr>
          <w:lang w:val="en-US"/>
        </w:rPr>
        <w:t>Foundation] in</w:t>
      </w:r>
      <w:r w:rsidRPr="003C4D9E">
        <w:rPr>
          <w:lang w:val="en-US"/>
        </w:rPr>
        <w:t xml:space="preserve"> collaboration with the </w:t>
      </w:r>
      <w:r w:rsidRPr="003C4D9E">
        <w:rPr>
          <w:i/>
          <w:lang w:val="en-US"/>
        </w:rPr>
        <w:t>Ministerio de Educación, Cultura y Deporte</w:t>
      </w:r>
      <w:r>
        <w:rPr>
          <w:lang w:val="en-US"/>
        </w:rPr>
        <w:t xml:space="preserve"> </w:t>
      </w:r>
      <w:r w:rsidRPr="003C4D9E">
        <w:rPr>
          <w:lang w:val="en-US"/>
        </w:rPr>
        <w:t xml:space="preserve">[Ministry of Education, Culture and Sports] </w:t>
      </w:r>
      <w:r>
        <w:rPr>
          <w:i/>
          <w:lang w:val="en-US"/>
        </w:rPr>
        <w:t xml:space="preserve">Centro Nacional de Innovación e </w:t>
      </w:r>
      <w:r w:rsidRPr="003C4D9E">
        <w:rPr>
          <w:i/>
          <w:lang w:val="en-US"/>
        </w:rPr>
        <w:t>Investigación Educativa</w:t>
      </w:r>
      <w:r w:rsidRPr="003C4D9E">
        <w:rPr>
          <w:lang w:val="en-US"/>
        </w:rPr>
        <w:t xml:space="preserve"> [National Center</w:t>
      </w:r>
      <w:r>
        <w:rPr>
          <w:lang w:val="en-US"/>
        </w:rPr>
        <w:t xml:space="preserve"> for Innovation and Educational </w:t>
      </w:r>
      <w:r w:rsidRPr="003C4D9E">
        <w:rPr>
          <w:lang w:val="en-US"/>
        </w:rPr>
        <w:t>Research], Ministry of Health, Social Se</w:t>
      </w:r>
      <w:r>
        <w:rPr>
          <w:lang w:val="en-US"/>
        </w:rPr>
        <w:t xml:space="preserve">rvices and Equality and UNICEF, </w:t>
      </w:r>
      <w:r w:rsidRPr="003C4D9E">
        <w:rPr>
          <w:lang w:val="en-US"/>
        </w:rPr>
        <w:t>highlights the following, among other data:</w:t>
      </w:r>
    </w:p>
    <w:p w:rsidR="001E0DA8" w:rsidRPr="003C4D9E" w:rsidRDefault="001E0DA8" w:rsidP="00E01DA1">
      <w:pPr>
        <w:autoSpaceDE w:val="0"/>
        <w:autoSpaceDN w:val="0"/>
        <w:adjustRightInd w:val="0"/>
        <w:jc w:val="both"/>
        <w:rPr>
          <w:lang w:val="en-US"/>
        </w:rPr>
      </w:pPr>
    </w:p>
    <w:p w:rsidR="001E0DA8" w:rsidRPr="003C4D9E" w:rsidRDefault="001E0DA8" w:rsidP="00E01DA1">
      <w:pPr>
        <w:numPr>
          <w:ilvl w:val="0"/>
          <w:numId w:val="21"/>
        </w:numPr>
        <w:autoSpaceDE w:val="0"/>
        <w:autoSpaceDN w:val="0"/>
        <w:adjustRightInd w:val="0"/>
        <w:jc w:val="both"/>
        <w:rPr>
          <w:lang w:val="en-US"/>
        </w:rPr>
      </w:pPr>
      <w:r w:rsidRPr="003C4D9E">
        <w:rPr>
          <w:lang w:val="en-US"/>
        </w:rPr>
        <w:t xml:space="preserve">With respect to graduation from Compulsory Secondary Education (abbreviated as ESO in Spanish), the gross graduation rate stands at 56.4% for the Roma population whilst reaching 74.1% for the general population. In post-compulsory education, the Roma population is very scarce, especially at the senior high school level, with 49.8% of the general population 16 years of age enrolled as opposed to just 3.4% of the Roma population. </w:t>
      </w:r>
    </w:p>
    <w:p w:rsidR="001E0DA8" w:rsidRPr="003C4D9E" w:rsidRDefault="001E0DA8" w:rsidP="00E01DA1">
      <w:pPr>
        <w:autoSpaceDE w:val="0"/>
        <w:autoSpaceDN w:val="0"/>
        <w:adjustRightInd w:val="0"/>
        <w:ind w:left="360"/>
        <w:jc w:val="both"/>
        <w:rPr>
          <w:lang w:val="en-US"/>
        </w:rPr>
      </w:pPr>
    </w:p>
    <w:p w:rsidR="001E0DA8" w:rsidRPr="003C4D9E" w:rsidRDefault="001E0DA8" w:rsidP="00E01DA1">
      <w:pPr>
        <w:numPr>
          <w:ilvl w:val="0"/>
          <w:numId w:val="21"/>
        </w:numPr>
        <w:autoSpaceDE w:val="0"/>
        <w:autoSpaceDN w:val="0"/>
        <w:adjustRightInd w:val="0"/>
        <w:jc w:val="both"/>
        <w:rPr>
          <w:lang w:val="en-US"/>
        </w:rPr>
      </w:pPr>
      <w:r w:rsidRPr="003C4D9E">
        <w:rPr>
          <w:lang w:val="en-US"/>
        </w:rPr>
        <w:t xml:space="preserve">The aptitude rates for Roma boys and girls enrolled in Compulsory Secondary Education are lower than those of the general population. This gap is especially wide at 14 years, with a 41.5 percentage point difference. </w:t>
      </w:r>
    </w:p>
    <w:p w:rsidR="001E0DA8" w:rsidRPr="003C4D9E" w:rsidRDefault="001E0DA8" w:rsidP="00E01DA1">
      <w:pPr>
        <w:autoSpaceDE w:val="0"/>
        <w:autoSpaceDN w:val="0"/>
        <w:adjustRightInd w:val="0"/>
        <w:jc w:val="both"/>
        <w:rPr>
          <w:lang w:val="en-US"/>
        </w:rPr>
      </w:pPr>
    </w:p>
    <w:p w:rsidR="001E0DA8" w:rsidRPr="003C4D9E" w:rsidRDefault="001E0DA8" w:rsidP="00E01DA1">
      <w:pPr>
        <w:numPr>
          <w:ilvl w:val="0"/>
          <w:numId w:val="21"/>
        </w:numPr>
        <w:autoSpaceDE w:val="0"/>
        <w:autoSpaceDN w:val="0"/>
        <w:adjustRightInd w:val="0"/>
        <w:jc w:val="both"/>
        <w:rPr>
          <w:lang w:val="en-US"/>
        </w:rPr>
      </w:pPr>
      <w:r w:rsidRPr="003C4D9E">
        <w:rPr>
          <w:lang w:val="en-US"/>
        </w:rPr>
        <w:t>The high rate of repetition for the Roma population, which in 2nd year Compulsory Secondary Education reaches the widest gap with that of the general population, with 29 percentage points, confirms the fact that academic performance in the Roma population is significantly worse than in the general population. A direct reference must be made to the high percentages of absenteeism, which in Compulsory Secondary Education is particularly common among the Roma population</w:t>
      </w:r>
      <w:r w:rsidRPr="003C4D9E">
        <w:rPr>
          <w:rStyle w:val="FootnoteReference"/>
          <w:lang w:val="en-US"/>
        </w:rPr>
        <w:footnoteReference w:id="6"/>
      </w:r>
      <w:r w:rsidRPr="003C4D9E">
        <w:rPr>
          <w:lang w:val="en-US"/>
        </w:rPr>
        <w:t>,</w:t>
      </w:r>
    </w:p>
    <w:p w:rsidR="001E0DA8" w:rsidRPr="003C4D9E" w:rsidRDefault="001E0DA8" w:rsidP="00E01DA1">
      <w:pPr>
        <w:autoSpaceDE w:val="0"/>
        <w:autoSpaceDN w:val="0"/>
        <w:adjustRightInd w:val="0"/>
        <w:jc w:val="both"/>
        <w:rPr>
          <w:lang w:val="en-US"/>
        </w:rPr>
      </w:pPr>
    </w:p>
    <w:p w:rsidR="001E0DA8" w:rsidRPr="003C4D9E" w:rsidRDefault="001E0DA8" w:rsidP="00E01DA1">
      <w:pPr>
        <w:jc w:val="both"/>
        <w:rPr>
          <w:lang w:val="en-US"/>
        </w:rPr>
      </w:pPr>
      <w:r w:rsidRPr="003C4D9E">
        <w:rPr>
          <w:lang w:val="en-US"/>
        </w:rPr>
        <w:t xml:space="preserve">For this reason, and in fulfillment of the objectives set out in the </w:t>
      </w:r>
      <w:r w:rsidRPr="003C4D9E">
        <w:rPr>
          <w:i/>
          <w:lang w:val="en-US"/>
        </w:rPr>
        <w:t>Estrategia Nacional Española para la Inclusión Social de la Población Gitana 2012-2020</w:t>
      </w:r>
      <w:r w:rsidRPr="003C4D9E">
        <w:rPr>
          <w:lang w:val="en-US"/>
        </w:rPr>
        <w:t xml:space="preserve"> [National Roma Integratio</w:t>
      </w:r>
      <w:r>
        <w:rPr>
          <w:lang w:val="en-US"/>
        </w:rPr>
        <w:t>n Strategy in Spain 2012</w:t>
      </w:r>
      <w:r w:rsidRPr="003C4D9E">
        <w:rPr>
          <w:lang w:val="en-US"/>
        </w:rPr>
        <w:t xml:space="preserve">-2020] the </w:t>
      </w:r>
      <w:r w:rsidRPr="003C4D9E">
        <w:rPr>
          <w:i/>
          <w:lang w:val="en-US"/>
        </w:rPr>
        <w:t>Secretaría de Estado de Educación, Formación Profesional y Universidades</w:t>
      </w:r>
      <w:r w:rsidRPr="003C4D9E">
        <w:rPr>
          <w:lang w:val="en-US"/>
        </w:rPr>
        <w:t xml:space="preserve"> [Secretary of State for Education, Vocational Training and Universities] has reported on the availability of various programs: academic support due to socio-environmental deficiencies; academic and social integration through artistic activities; reduction in the impact of factors leading to school leaving without the corresponding qualifications; thematic conferences and seminars for sharing best practices; reinforcement, orientation and support programs for preventing absenteeism and early leaving and with particular focus on young and pre-adolescent girls leaving school for gender reasons; methods of quality academic orientation and tutoring for the transition between primary and secondary education and between the latter and post-compulsory education. These programs involve various figures in the educational process, including Roma students, their families and teaching staff. </w:t>
      </w:r>
    </w:p>
    <w:p w:rsidR="001E0DA8" w:rsidRPr="003C4D9E" w:rsidRDefault="001E0DA8" w:rsidP="00E01DA1">
      <w:pPr>
        <w:jc w:val="both"/>
        <w:rPr>
          <w:lang w:val="en-US"/>
        </w:rPr>
      </w:pPr>
    </w:p>
    <w:p w:rsidR="001E0DA8" w:rsidRPr="003C4D9E" w:rsidRDefault="001E0DA8" w:rsidP="00E01DA1">
      <w:pPr>
        <w:autoSpaceDE w:val="0"/>
        <w:autoSpaceDN w:val="0"/>
        <w:adjustRightInd w:val="0"/>
        <w:jc w:val="both"/>
        <w:rPr>
          <w:lang w:val="en-US"/>
        </w:rPr>
      </w:pPr>
      <w:r w:rsidRPr="003C4D9E">
        <w:rPr>
          <w:lang w:val="en-US"/>
        </w:rPr>
        <w:t xml:space="preserve">The Ombudsman Institution has </w:t>
      </w:r>
      <w:r w:rsidRPr="003C4D9E">
        <w:rPr>
          <w:b/>
          <w:lang w:val="en-US"/>
        </w:rPr>
        <w:t>requested</w:t>
      </w:r>
      <w:r w:rsidRPr="003C4D9E">
        <w:rPr>
          <w:lang w:val="en-US"/>
        </w:rPr>
        <w:t xml:space="preserve"> that the Secretary of State for Education, Vocational Training and Universities </w:t>
      </w:r>
      <w:r w:rsidRPr="003C4D9E">
        <w:rPr>
          <w:b/>
          <w:lang w:val="en-US"/>
        </w:rPr>
        <w:t>report</w:t>
      </w:r>
      <w:r w:rsidRPr="003C4D9E">
        <w:rPr>
          <w:lang w:val="en-US"/>
        </w:rPr>
        <w:t xml:space="preserve"> on the early detection of difficulties leading to absenteeism and school leaving among Roma youths, the implementation of prevention programs, the impact that orientation, reinforcement and academic support programs for students and their families have on the Roma population, as well as best practices and success stories identified in orientation, reinforcement and academic support programs for students and their families in the Roma population. </w:t>
      </w:r>
    </w:p>
    <w:p w:rsidR="001E0DA8" w:rsidRPr="003C4D9E" w:rsidRDefault="001E0DA8" w:rsidP="00E01DA1">
      <w:pPr>
        <w:jc w:val="both"/>
        <w:rPr>
          <w:lang w:val="en-US"/>
        </w:rPr>
      </w:pPr>
      <w:r w:rsidRPr="003C4D9E">
        <w:rPr>
          <w:lang w:val="en-US"/>
        </w:rPr>
        <w:tab/>
        <w:t xml:space="preserve"> </w:t>
      </w:r>
    </w:p>
    <w:p w:rsidR="001E0DA8" w:rsidRPr="003C4D9E" w:rsidRDefault="001E0DA8" w:rsidP="00E01DA1">
      <w:pPr>
        <w:jc w:val="both"/>
        <w:rPr>
          <w:i/>
          <w:lang w:val="en-US"/>
        </w:rPr>
      </w:pPr>
      <w:r w:rsidRPr="003C4D9E">
        <w:rPr>
          <w:i/>
          <w:lang w:val="en-US"/>
        </w:rPr>
        <w:t xml:space="preserve">Foreign children and families in Spain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In order to prevent discrimination of foreign children and adolescents in Spain, the new legislation for the protection of children, reformed in 2015, recognizes their right to education, healthcare and services, and to basic social benefits under the same conditions as those provided to Spaniards. In the event that [foreign children and adolescents] require guardianship the law stipulates that the State must provide documentation confirming their status and permission for residency with the greatest possible urgency. This </w:t>
      </w:r>
      <w:r w:rsidRPr="00005F50">
        <w:rPr>
          <w:lang w:val="en-US"/>
        </w:rPr>
        <w:t xml:space="preserve">issue is discussed in greater depth in Section 7 of this report, under the heading </w:t>
      </w:r>
      <w:r w:rsidRPr="00005F50">
        <w:rPr>
          <w:i/>
          <w:lang w:val="en-US"/>
        </w:rPr>
        <w:t>Special protection measures. Asylum-seeking children and unaccompanied foreign children</w:t>
      </w:r>
      <w:r w:rsidRPr="00005F50">
        <w:rPr>
          <w:lang w:val="en-US"/>
        </w:rPr>
        <w:t>.</w:t>
      </w:r>
      <w:r w:rsidRPr="003C4D9E">
        <w:rPr>
          <w:lang w:val="en-US"/>
        </w:rPr>
        <w:t xml:space="preserve"> </w:t>
      </w:r>
    </w:p>
    <w:p w:rsidR="001E0DA8" w:rsidRPr="003C4D9E" w:rsidRDefault="001E0DA8" w:rsidP="00E01DA1">
      <w:pPr>
        <w:jc w:val="both"/>
        <w:rPr>
          <w:lang w:val="en-US"/>
        </w:rPr>
      </w:pPr>
    </w:p>
    <w:p w:rsidR="001E0DA8" w:rsidRPr="003C4D9E" w:rsidRDefault="001E0DA8" w:rsidP="00E01DA1">
      <w:pPr>
        <w:jc w:val="both"/>
        <w:rPr>
          <w:b/>
          <w:i/>
          <w:lang w:val="en-US"/>
        </w:rPr>
      </w:pPr>
      <w:r w:rsidRPr="003C4D9E">
        <w:rPr>
          <w:i/>
          <w:lang w:val="en-US"/>
        </w:rPr>
        <w:t>Children and adolescents with disabilities</w:t>
      </w:r>
    </w:p>
    <w:p w:rsidR="001E0DA8" w:rsidRPr="003C4D9E" w:rsidRDefault="001E0DA8" w:rsidP="00E01DA1">
      <w:pPr>
        <w:jc w:val="both"/>
        <w:rPr>
          <w:i/>
          <w:lang w:val="en-US"/>
        </w:rPr>
      </w:pPr>
    </w:p>
    <w:p w:rsidR="001E0DA8" w:rsidRPr="003C4D9E" w:rsidRDefault="001E0DA8" w:rsidP="00E01DA1">
      <w:pPr>
        <w:jc w:val="both"/>
        <w:rPr>
          <w:lang w:val="en-US"/>
        </w:rPr>
      </w:pPr>
      <w:r w:rsidRPr="003C4D9E">
        <w:rPr>
          <w:lang w:val="en-US"/>
        </w:rPr>
        <w:t xml:space="preserve">The status of children with disabilities is </w:t>
      </w:r>
      <w:r w:rsidRPr="00005F50">
        <w:rPr>
          <w:lang w:val="en-US"/>
        </w:rPr>
        <w:t xml:space="preserve">addressed in Section 5 of this report under the heading </w:t>
      </w:r>
      <w:r w:rsidRPr="00005F50">
        <w:rPr>
          <w:i/>
          <w:lang w:val="en-US"/>
        </w:rPr>
        <w:t>Disability, basic health and welfare</w:t>
      </w:r>
      <w:r w:rsidRPr="00005F50">
        <w:rPr>
          <w:lang w:val="en-US"/>
        </w:rPr>
        <w:t>, while Section 6.1.4 deals with the issue of school bullying due to sexual orientation.</w:t>
      </w:r>
      <w:r w:rsidRPr="003C4D9E">
        <w:rPr>
          <w:lang w:val="en-US"/>
        </w:rPr>
        <w:t xml:space="preserve"> </w:t>
      </w:r>
    </w:p>
    <w:p w:rsidR="001E0DA8" w:rsidRPr="003C4D9E" w:rsidRDefault="001E0DA8" w:rsidP="00E01DA1">
      <w:pPr>
        <w:jc w:val="both"/>
        <w:rPr>
          <w:lang w:val="en-US"/>
        </w:rPr>
      </w:pPr>
    </w:p>
    <w:p w:rsidR="001E0DA8" w:rsidRPr="003C4D9E" w:rsidRDefault="001E0DA8" w:rsidP="00E01DA1">
      <w:pPr>
        <w:pStyle w:val="2"/>
        <w:numPr>
          <w:ilvl w:val="1"/>
          <w:numId w:val="12"/>
        </w:numPr>
        <w:tabs>
          <w:tab w:val="clear" w:pos="624"/>
          <w:tab w:val="clear" w:pos="710"/>
          <w:tab w:val="left" w:pos="500"/>
        </w:tabs>
        <w:ind w:hanging="710"/>
        <w:rPr>
          <w:rFonts w:ascii="Times New Roman" w:hAnsi="Times New Roman"/>
          <w:sz w:val="24"/>
          <w:lang w:val="en-US"/>
        </w:rPr>
      </w:pPr>
      <w:bookmarkStart w:id="18" w:name="_Toc349128799"/>
      <w:bookmarkStart w:id="19" w:name="_Toc475979921"/>
      <w:r w:rsidRPr="003C4D9E">
        <w:rPr>
          <w:rFonts w:ascii="Times New Roman" w:hAnsi="Times New Roman"/>
          <w:sz w:val="24"/>
          <w:lang w:val="en-US"/>
        </w:rPr>
        <w:t xml:space="preserve">Respect for children's </w:t>
      </w:r>
      <w:bookmarkEnd w:id="18"/>
      <w:r w:rsidRPr="003C4D9E">
        <w:rPr>
          <w:rFonts w:ascii="Times New Roman" w:hAnsi="Times New Roman"/>
          <w:sz w:val="24"/>
          <w:lang w:val="en-US"/>
        </w:rPr>
        <w:t>VIEWS</w:t>
      </w:r>
      <w:bookmarkEnd w:id="19"/>
      <w:r w:rsidRPr="003C4D9E">
        <w:rPr>
          <w:rFonts w:ascii="Times New Roman" w:hAnsi="Times New Roman"/>
          <w:sz w:val="24"/>
          <w:lang w:val="en-US"/>
        </w:rPr>
        <w:t xml:space="preserve"> </w:t>
      </w:r>
    </w:p>
    <w:p w:rsidR="001E0DA8" w:rsidRPr="003C4D9E" w:rsidRDefault="001E0DA8" w:rsidP="00E01DA1">
      <w:pPr>
        <w:jc w:val="both"/>
        <w:rPr>
          <w:lang w:val="en-US"/>
        </w:rPr>
      </w:pPr>
    </w:p>
    <w:p w:rsidR="001E0DA8" w:rsidRPr="003C4D9E" w:rsidRDefault="001E0DA8" w:rsidP="00E01DA1">
      <w:pPr>
        <w:jc w:val="both"/>
        <w:rPr>
          <w:b/>
          <w:lang w:val="en-US"/>
        </w:rPr>
      </w:pPr>
      <w:r w:rsidRPr="003C4D9E">
        <w:rPr>
          <w:lang w:val="en-US"/>
        </w:rPr>
        <w:t xml:space="preserve">The Ombudsman Institution has written two </w:t>
      </w:r>
      <w:r>
        <w:rPr>
          <w:lang w:val="en-US"/>
        </w:rPr>
        <w:t>reports</w:t>
      </w:r>
      <w:r w:rsidRPr="003C4D9E">
        <w:rPr>
          <w:lang w:val="en-US"/>
        </w:rPr>
        <w:t xml:space="preserve"> on Spain's fulfillment of Article 12 of the Convention on the Rights of the Child: </w:t>
      </w:r>
      <w:r w:rsidRPr="003C4D9E">
        <w:rPr>
          <w:i/>
          <w:lang w:val="en-US"/>
        </w:rPr>
        <w:t>La escucha y el interés superior del menor: Revisión judicial de medidas de protección y procesos de familia [</w:t>
      </w:r>
      <w:r>
        <w:rPr>
          <w:i/>
          <w:lang w:val="en-US"/>
        </w:rPr>
        <w:t>The process of hearing and the best interest of the child: Judicial</w:t>
      </w:r>
      <w:r w:rsidRPr="003C4D9E">
        <w:rPr>
          <w:i/>
          <w:lang w:val="en-US"/>
        </w:rPr>
        <w:t xml:space="preserve"> review </w:t>
      </w:r>
      <w:r>
        <w:rPr>
          <w:i/>
          <w:lang w:val="en-US"/>
        </w:rPr>
        <w:t xml:space="preserve">of </w:t>
      </w:r>
      <w:r w:rsidRPr="003C4D9E">
        <w:rPr>
          <w:i/>
          <w:lang w:val="en-US"/>
        </w:rPr>
        <w:t>family processes</w:t>
      </w:r>
      <w:r>
        <w:rPr>
          <w:i/>
          <w:lang w:val="en-US"/>
        </w:rPr>
        <w:t xml:space="preserve"> and protection measures</w:t>
      </w:r>
      <w:r w:rsidRPr="003C4D9E">
        <w:rPr>
          <w:i/>
          <w:lang w:val="en-US"/>
        </w:rPr>
        <w:t>]</w:t>
      </w:r>
      <w:r>
        <w:rPr>
          <w:i/>
          <w:lang w:val="en-US"/>
        </w:rPr>
        <w:t xml:space="preserve"> </w:t>
      </w:r>
      <w:r w:rsidRPr="00876738">
        <w:rPr>
          <w:lang w:val="en-US"/>
        </w:rPr>
        <w:t>(2014)</w:t>
      </w:r>
      <w:r w:rsidRPr="00876738">
        <w:rPr>
          <w:rStyle w:val="FootnoteReference"/>
          <w:lang w:val="en-US"/>
        </w:rPr>
        <w:footnoteReference w:id="7"/>
      </w:r>
      <w:r>
        <w:rPr>
          <w:lang w:val="en-US"/>
        </w:rPr>
        <w:t xml:space="preserve"> </w:t>
      </w:r>
      <w:r w:rsidRPr="00876738">
        <w:rPr>
          <w:lang w:val="en-US"/>
        </w:rPr>
        <w:t>and</w:t>
      </w:r>
      <w:r w:rsidRPr="003C4D9E">
        <w:rPr>
          <w:i/>
          <w:lang w:val="en-US"/>
        </w:rPr>
        <w:t xml:space="preserve"> La escucha del menor, víctima o testigo [Listening to minors, victims or witnesses]</w:t>
      </w:r>
      <w:r w:rsidRPr="003C4D9E">
        <w:rPr>
          <w:rFonts w:ascii="Arial" w:hAnsi="Arial" w:cs="Arial"/>
          <w:b/>
          <w:bCs/>
          <w:i/>
          <w:iCs/>
          <w:color w:val="000000"/>
          <w:lang w:val="en-US" w:eastAsia="es-ES_tradnl"/>
        </w:rPr>
        <w:t xml:space="preserve"> </w:t>
      </w:r>
      <w:r w:rsidRPr="00876738">
        <w:rPr>
          <w:lang w:val="en-US"/>
        </w:rPr>
        <w:t>(2015)</w:t>
      </w:r>
      <w:r w:rsidRPr="00876738">
        <w:rPr>
          <w:rStyle w:val="FootnoteReference"/>
          <w:lang w:val="en-US"/>
        </w:rPr>
        <w:footnoteReference w:id="8"/>
      </w:r>
      <w:r w:rsidRPr="00876738">
        <w:rPr>
          <w:lang w:val="en-US"/>
        </w:rPr>
        <w:t xml:space="preserve">.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Both studies fall within the Ombudsman Institution's responsibilities as an NHRI, champion and guarantor of the rights of Boys, Girls and Adolescents (abbreviated as NNA in Spanish) and aim to reinforce the recommendation put forth to Spain in 2010 by the Committee on the Rights of the Child, to intensify its efforts in the full application of Article 12 of the Convention and to promote the due respect for the views of children of any age to be heard in administrative and legal proceedings</w:t>
      </w:r>
      <w:r w:rsidRPr="003C4D9E">
        <w:rPr>
          <w:rStyle w:val="FootnoteReference"/>
          <w:lang w:val="en-US"/>
        </w:rPr>
        <w:footnoteReference w:id="9"/>
      </w:r>
      <w:r w:rsidRPr="003C4D9E">
        <w:rPr>
          <w:lang w:val="en-US"/>
        </w:rPr>
        <w:t>.</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Ombudsman Institution </w:t>
      </w:r>
      <w:r>
        <w:rPr>
          <w:lang w:val="en-US"/>
        </w:rPr>
        <w:t>report</w:t>
      </w:r>
      <w:r w:rsidRPr="003C4D9E">
        <w:rPr>
          <w:lang w:val="en-US"/>
        </w:rPr>
        <w:t xml:space="preserve"> </w:t>
      </w:r>
      <w:r>
        <w:rPr>
          <w:i/>
          <w:lang w:val="en-US"/>
        </w:rPr>
        <w:t>The process of hearing and the best interest of the child: Judicial</w:t>
      </w:r>
      <w:r w:rsidRPr="003C4D9E">
        <w:rPr>
          <w:i/>
          <w:lang w:val="en-US"/>
        </w:rPr>
        <w:t xml:space="preserve"> review </w:t>
      </w:r>
      <w:r>
        <w:rPr>
          <w:i/>
          <w:lang w:val="en-US"/>
        </w:rPr>
        <w:t xml:space="preserve">of </w:t>
      </w:r>
      <w:r w:rsidRPr="003C4D9E">
        <w:rPr>
          <w:i/>
          <w:lang w:val="en-US"/>
        </w:rPr>
        <w:t>family processes</w:t>
      </w:r>
      <w:r>
        <w:rPr>
          <w:i/>
          <w:lang w:val="en-US"/>
        </w:rPr>
        <w:t xml:space="preserve"> and protection measures</w:t>
      </w:r>
      <w:r w:rsidRPr="003C4D9E">
        <w:rPr>
          <w:i/>
          <w:lang w:val="en-US"/>
        </w:rPr>
        <w:t xml:space="preserve"> </w:t>
      </w:r>
      <w:r w:rsidRPr="003C4D9E">
        <w:rPr>
          <w:lang w:val="en-US"/>
        </w:rPr>
        <w:t xml:space="preserve">was presented in May 2014 at the time of preparation of the legislative reforms for minor-related issues, which would give rise one year later to Organic Law 8/2015 of 22 July and Law 26/2015 of 28 July.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response to the </w:t>
      </w:r>
      <w:r>
        <w:rPr>
          <w:b/>
          <w:lang w:val="en-US"/>
        </w:rPr>
        <w:t>R</w:t>
      </w:r>
      <w:r w:rsidRPr="003C4D9E">
        <w:rPr>
          <w:b/>
          <w:lang w:val="en-US"/>
        </w:rPr>
        <w:t>ecommendations</w:t>
      </w:r>
      <w:r w:rsidRPr="003C4D9E">
        <w:rPr>
          <w:lang w:val="en-US"/>
        </w:rPr>
        <w:t xml:space="preserve"> contained in the Ombudsman Institution </w:t>
      </w:r>
      <w:r>
        <w:rPr>
          <w:lang w:val="en-US"/>
        </w:rPr>
        <w:t>report</w:t>
      </w:r>
      <w:r w:rsidRPr="003C4D9E">
        <w:rPr>
          <w:lang w:val="en-US"/>
        </w:rPr>
        <w:t xml:space="preserve"> has been favorable. Therefore the reforms have wisely replaced “the right to be heard” with “the right to be listened to”, transcending mere procedural formality and calling for essential consideration of minor's views on decisions which are taken. Moreover, the exercise of this right by minors themselves is guaranteed, provided they are sufficiently mature and with such maturity evaluated according to "their capacity for understanding and assessing the issue at hand in each case." The principles that must guide proceedings in hearings involving minors have likewise been included in the legal system, in particular those concerning the confidentiality of proceedings, the way in which they are to be carried out, the environment in which they are to take place, the relevance that should be granted to minors' views or their capacity to approach questions considered pertinent.  In general terms, it might be said that the right of children to express their views and that these be taken into account has been reinforced in the civil jurisdictional space despite the fact that there is room for improvement, as shown in the detailed technical analysis provided further on in this section.</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For its part, the </w:t>
      </w:r>
      <w:r>
        <w:rPr>
          <w:lang w:val="en-US"/>
        </w:rPr>
        <w:t>report</w:t>
      </w:r>
      <w:r w:rsidRPr="003C4D9E">
        <w:rPr>
          <w:lang w:val="en-US"/>
        </w:rPr>
        <w:t xml:space="preserve"> </w:t>
      </w:r>
      <w:r>
        <w:rPr>
          <w:i/>
          <w:lang w:val="en-US"/>
        </w:rPr>
        <w:t xml:space="preserve">The process of hearing </w:t>
      </w:r>
      <w:r w:rsidRPr="003C4D9E">
        <w:rPr>
          <w:i/>
          <w:lang w:val="en-US"/>
        </w:rPr>
        <w:t xml:space="preserve">to minors, victims or witnesses </w:t>
      </w:r>
      <w:r w:rsidRPr="003C4D9E">
        <w:rPr>
          <w:lang w:val="en-US"/>
        </w:rPr>
        <w:t xml:space="preserve">was presented in May 2015 immediately after the publication of Law 4/2015 of 27 April, on the Statute on Crime Victims. For the preparation of the </w:t>
      </w:r>
      <w:r>
        <w:rPr>
          <w:lang w:val="en-US"/>
        </w:rPr>
        <w:t>report</w:t>
      </w:r>
      <w:r w:rsidRPr="003C4D9E">
        <w:rPr>
          <w:lang w:val="en-US"/>
        </w:rPr>
        <w:t xml:space="preserve"> and for the first time jointly, all of the police forces with competence in judiciary policing at both national and autonomous community level met with the Ombudsman Institution to debate the question of minor care in criminal proceedings. The progress made by our country has been confirmed in this area, particularly as regards legislative modernization and police sensitivity and specialization in dealing with minor victims or witnesses. The provisions of Article 39 of the Convention can be regarded as included both in our system and in practice, with the majority of the Ombudsman Institution’s </w:t>
      </w:r>
      <w:r>
        <w:rPr>
          <w:b/>
          <w:lang w:val="en-US"/>
        </w:rPr>
        <w:t>R</w:t>
      </w:r>
      <w:r w:rsidRPr="003C4D9E">
        <w:rPr>
          <w:b/>
          <w:lang w:val="en-US"/>
        </w:rPr>
        <w:t>ecommendations</w:t>
      </w:r>
      <w:r w:rsidRPr="003C4D9E">
        <w:rPr>
          <w:lang w:val="en-US"/>
        </w:rPr>
        <w:t xml:space="preserve"> having been accepted. Certain recommendations which have not been followed are mentioned further below.</w:t>
      </w:r>
    </w:p>
    <w:p w:rsidR="001E0DA8" w:rsidRPr="003C4D9E" w:rsidRDefault="001E0DA8" w:rsidP="00E01DA1">
      <w:pPr>
        <w:jc w:val="both"/>
        <w:rPr>
          <w:lang w:val="en-US"/>
        </w:rPr>
      </w:pPr>
    </w:p>
    <w:p w:rsidR="001E0DA8" w:rsidRPr="00CA6A6A" w:rsidRDefault="001E0DA8" w:rsidP="00E01DA1">
      <w:pPr>
        <w:jc w:val="both"/>
        <w:rPr>
          <w:b/>
          <w:i/>
          <w:lang w:val="en-US"/>
        </w:rPr>
      </w:pPr>
      <w:r w:rsidRPr="00CA6A6A">
        <w:rPr>
          <w:b/>
          <w:i/>
          <w:lang w:val="en-US"/>
        </w:rPr>
        <w:t>The process of hearing and the best interest of the child: Judicial review of family processes and protection measures</w:t>
      </w:r>
    </w:p>
    <w:p w:rsidR="001E0DA8" w:rsidRPr="00CA6A6A" w:rsidRDefault="001E0DA8" w:rsidP="00E01DA1">
      <w:pPr>
        <w:jc w:val="both"/>
        <w:rPr>
          <w:b/>
          <w:lang w:val="en-US"/>
        </w:rPr>
      </w:pPr>
    </w:p>
    <w:p w:rsidR="001E0DA8" w:rsidRPr="003C4D9E" w:rsidRDefault="001E0DA8" w:rsidP="00E01DA1">
      <w:pPr>
        <w:jc w:val="both"/>
        <w:rPr>
          <w:lang w:val="en-US"/>
        </w:rPr>
      </w:pPr>
      <w:r>
        <w:rPr>
          <w:i/>
          <w:lang w:val="en-US"/>
        </w:rPr>
        <w:t>The process of hearing and the best interest of the child: Judicial</w:t>
      </w:r>
      <w:r w:rsidRPr="003C4D9E">
        <w:rPr>
          <w:i/>
          <w:lang w:val="en-US"/>
        </w:rPr>
        <w:t xml:space="preserve"> review </w:t>
      </w:r>
      <w:r>
        <w:rPr>
          <w:i/>
          <w:lang w:val="en-US"/>
        </w:rPr>
        <w:t xml:space="preserve">of </w:t>
      </w:r>
      <w:r w:rsidRPr="003C4D9E">
        <w:rPr>
          <w:i/>
          <w:lang w:val="en-US"/>
        </w:rPr>
        <w:t>family processes</w:t>
      </w:r>
      <w:r>
        <w:rPr>
          <w:i/>
          <w:lang w:val="en-US"/>
        </w:rPr>
        <w:t xml:space="preserve"> and protection measures</w:t>
      </w:r>
      <w:r w:rsidRPr="003C4D9E">
        <w:rPr>
          <w:lang w:val="en-US"/>
        </w:rPr>
        <w:t xml:space="preserve"> is a </w:t>
      </w:r>
      <w:r>
        <w:rPr>
          <w:lang w:val="en-US"/>
        </w:rPr>
        <w:t>report</w:t>
      </w:r>
      <w:r w:rsidRPr="003C4D9E">
        <w:rPr>
          <w:lang w:val="en-US"/>
        </w:rPr>
        <w:t xml:space="preserve"> focused on the right of children to express their views and that these be duly taken into account in family legal proceedings and in proceedings for the review of protection measures.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w:t>
      </w:r>
      <w:r>
        <w:rPr>
          <w:lang w:val="en-US"/>
        </w:rPr>
        <w:t>report</w:t>
      </w:r>
      <w:r w:rsidRPr="003C4D9E">
        <w:rPr>
          <w:lang w:val="en-US"/>
        </w:rPr>
        <w:t xml:space="preserve"> stems from the doctrine contained in General Comments 12 and 14 of the Committee on the Rights of the Child concerning Articles 3 and 12 of the Convention</w:t>
      </w:r>
      <w:r w:rsidRPr="003C4D9E">
        <w:rPr>
          <w:rStyle w:val="FootnoteReference"/>
          <w:lang w:val="en-US"/>
        </w:rPr>
        <w:footnoteReference w:id="10"/>
      </w:r>
      <w:r w:rsidRPr="003C4D9E">
        <w:rPr>
          <w:lang w:val="en-US"/>
        </w:rPr>
        <w:t xml:space="preserve">, in the light of which it conducts an in-depth analysis of both Spanish legislation and Spanish legal practice in order to identify any omissions and antinomies.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w:t>
      </w:r>
      <w:r>
        <w:rPr>
          <w:lang w:val="en-US"/>
        </w:rPr>
        <w:t>report</w:t>
      </w:r>
      <w:r w:rsidRPr="003C4D9E">
        <w:rPr>
          <w:lang w:val="en-US"/>
        </w:rPr>
        <w:t xml:space="preserve"> contains 18</w:t>
      </w:r>
      <w:r>
        <w:rPr>
          <w:b/>
          <w:lang w:val="en-US"/>
        </w:rPr>
        <w:t xml:space="preserve"> C</w:t>
      </w:r>
      <w:r w:rsidRPr="003C4D9E">
        <w:rPr>
          <w:b/>
          <w:lang w:val="en-US"/>
        </w:rPr>
        <w:t>onclusions</w:t>
      </w:r>
      <w:r w:rsidRPr="003C4D9E">
        <w:rPr>
          <w:lang w:val="en-US"/>
        </w:rPr>
        <w:t xml:space="preserve"> and 17 </w:t>
      </w:r>
      <w:r>
        <w:rPr>
          <w:b/>
          <w:lang w:val="en-US"/>
        </w:rPr>
        <w:t>R</w:t>
      </w:r>
      <w:r w:rsidRPr="003C4D9E">
        <w:rPr>
          <w:b/>
          <w:lang w:val="en-US"/>
        </w:rPr>
        <w:t>ecommendations</w:t>
      </w:r>
      <w:r w:rsidRPr="003C4D9E">
        <w:rPr>
          <w:lang w:val="en-US"/>
        </w:rPr>
        <w:t xml:space="preserve"> (12 for the </w:t>
      </w:r>
      <w:r w:rsidRPr="003C4D9E">
        <w:rPr>
          <w:i/>
          <w:lang w:val="en-US"/>
        </w:rPr>
        <w:t>Secretaría de Estado de Justicia</w:t>
      </w:r>
      <w:r w:rsidRPr="003C4D9E">
        <w:rPr>
          <w:lang w:val="en-US"/>
        </w:rPr>
        <w:t xml:space="preserve"> [Secretary of State for Justice] and 5 for the Secretary of State for Social Services and Equality). Among the conclusions drawn, the following are worth mentioning:</w:t>
      </w:r>
    </w:p>
    <w:p w:rsidR="001E0DA8" w:rsidRPr="003C4D9E" w:rsidRDefault="001E0DA8" w:rsidP="00E01DA1">
      <w:pPr>
        <w:jc w:val="both"/>
        <w:rPr>
          <w:lang w:val="en-US"/>
        </w:rPr>
      </w:pPr>
    </w:p>
    <w:p w:rsidR="001E0DA8" w:rsidRPr="003C4D9E" w:rsidRDefault="001E0DA8" w:rsidP="00E01DA1">
      <w:pPr>
        <w:numPr>
          <w:ilvl w:val="0"/>
          <w:numId w:val="22"/>
        </w:numPr>
        <w:jc w:val="both"/>
        <w:rPr>
          <w:lang w:val="en-US"/>
        </w:rPr>
      </w:pPr>
      <w:r w:rsidRPr="003C4D9E">
        <w:rPr>
          <w:lang w:val="en-US"/>
        </w:rPr>
        <w:t xml:space="preserve">The right of children to be listened to, set out in Article 12 of the Convention, is the result of the union of two successive rights: the right to express their views and the right to have their views taken into account, in accordance with their age and level of maturity. This right is more demanding than the "right to be heard" found in Spanish procedural tradition, since it is no longer enough to merely hear the views expressed by children but rather makes necessary the primordial consideration of these views in decision-making processes and justification of the decision to deviate from the views expressed by children. </w:t>
      </w:r>
    </w:p>
    <w:p w:rsidR="001E0DA8" w:rsidRPr="003C4D9E" w:rsidRDefault="001E0DA8" w:rsidP="00E01DA1">
      <w:pPr>
        <w:ind w:firstLine="68"/>
        <w:jc w:val="both"/>
        <w:rPr>
          <w:lang w:val="en-US"/>
        </w:rPr>
      </w:pPr>
    </w:p>
    <w:p w:rsidR="001E0DA8" w:rsidRPr="003C4D9E" w:rsidRDefault="001E0DA8" w:rsidP="00E01DA1">
      <w:pPr>
        <w:numPr>
          <w:ilvl w:val="0"/>
          <w:numId w:val="22"/>
        </w:numPr>
        <w:jc w:val="both"/>
        <w:rPr>
          <w:lang w:val="en-US"/>
        </w:rPr>
      </w:pPr>
      <w:r w:rsidRPr="003C4D9E">
        <w:rPr>
          <w:lang w:val="en-US"/>
        </w:rPr>
        <w:t xml:space="preserve">Any children who are able to form their own views without the interference of any discrimination whatsoever are entitled to the right to be listened to. Minors must always be listened to, except where they renounce this right or where lack of capacity to form their own views is determined. </w:t>
      </w:r>
    </w:p>
    <w:p w:rsidR="001E0DA8" w:rsidRPr="003C4D9E" w:rsidRDefault="001E0DA8" w:rsidP="00E01DA1">
      <w:pPr>
        <w:jc w:val="both"/>
        <w:rPr>
          <w:lang w:val="en-US"/>
        </w:rPr>
      </w:pPr>
    </w:p>
    <w:p w:rsidR="001E0DA8" w:rsidRPr="003C4D9E" w:rsidRDefault="001E0DA8" w:rsidP="00E01DA1">
      <w:pPr>
        <w:numPr>
          <w:ilvl w:val="0"/>
          <w:numId w:val="22"/>
        </w:numPr>
        <w:jc w:val="both"/>
        <w:rPr>
          <w:lang w:val="en-US"/>
        </w:rPr>
      </w:pPr>
      <w:r w:rsidRPr="003C4D9E">
        <w:rPr>
          <w:lang w:val="en-US"/>
        </w:rPr>
        <w:t>Moreover, the right must stem from the presumption that all children are capable of forming their own views. The automatic application of age criteria for the act of listening is inadmissible. Moreover, the presumption that a child has his or own renders it obligatory to provide justification for a decision not to listen to a child.</w:t>
      </w:r>
    </w:p>
    <w:p w:rsidR="001E0DA8" w:rsidRPr="003C4D9E" w:rsidRDefault="001E0DA8" w:rsidP="00E01DA1">
      <w:pPr>
        <w:jc w:val="both"/>
        <w:rPr>
          <w:lang w:val="en-US"/>
        </w:rPr>
      </w:pPr>
    </w:p>
    <w:p w:rsidR="001E0DA8" w:rsidRPr="003C4D9E" w:rsidRDefault="001E0DA8" w:rsidP="00E01DA1">
      <w:pPr>
        <w:numPr>
          <w:ilvl w:val="0"/>
          <w:numId w:val="22"/>
        </w:numPr>
        <w:overflowPunct w:val="0"/>
        <w:autoSpaceDE w:val="0"/>
        <w:autoSpaceDN w:val="0"/>
        <w:adjustRightInd w:val="0"/>
        <w:spacing w:after="240"/>
        <w:jc w:val="both"/>
        <w:textAlignment w:val="baseline"/>
        <w:rPr>
          <w:color w:val="800080"/>
          <w:lang w:val="en-US"/>
        </w:rPr>
      </w:pPr>
      <w:r w:rsidRPr="003C4D9E">
        <w:rPr>
          <w:lang w:val="en-US"/>
        </w:rPr>
        <w:t xml:space="preserve">The capacity to form one's own view must be presumed for all ages and must be evaluated on a case-by-case basis. Just as age must not predetermine the capacity to form one's own views, so it must not predetermine the importance of children's views. Children's levels of understanding are not uniformly linked to their biological age. Maturity, understood as the capacity of a child to express his or her views reasonably and independently, must therefore be assessed in each case. Where children are able to form their own views reasonably and independently, which must be presumed, the party responsible for making decisions must take these views into account as a prominent factor in resolving the issue at hand. </w:t>
      </w:r>
    </w:p>
    <w:p w:rsidR="001E0DA8" w:rsidRPr="003C4D9E" w:rsidRDefault="001E0DA8" w:rsidP="00E01DA1">
      <w:pPr>
        <w:jc w:val="both"/>
        <w:rPr>
          <w:lang w:val="en-US"/>
        </w:rPr>
      </w:pPr>
      <w:r w:rsidRPr="003C4D9E">
        <w:rPr>
          <w:lang w:val="en-US"/>
        </w:rPr>
        <w:t xml:space="preserve">In accordance with these conclusions, the Ombudsman Institution has </w:t>
      </w:r>
      <w:r w:rsidRPr="003C4D9E">
        <w:rPr>
          <w:b/>
          <w:lang w:val="en-US"/>
        </w:rPr>
        <w:t>recommended</w:t>
      </w:r>
      <w:r w:rsidRPr="003C4D9E">
        <w:rPr>
          <w:lang w:val="en-US"/>
        </w:rPr>
        <w:t xml:space="preserve"> that listening to minors be established as their right, not subject to criteria of necessity or opportunity, which means that children must always be heard and what they say must be taken into consideration; that age criteria regarding a child’s right to be listened to should be eliminated and replaced by a presumption of a minor’s capacity to forming his or her own views; and that a lack of capacity to form one's own views must be supported by a technical report from the psychosocial team assigned to the court, which must bear in mind the approach with regard to the Convention and the Committee on the Rights of the Child.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In analyzing the reforms introduced by Organic Law 8/2015 and Law 26/2015 the Ombudsman Institution concludes that various aspects of its </w:t>
      </w:r>
      <w:r>
        <w:rPr>
          <w:b/>
          <w:lang w:val="en-US"/>
        </w:rPr>
        <w:t>R</w:t>
      </w:r>
      <w:r w:rsidRPr="003C4D9E">
        <w:rPr>
          <w:b/>
          <w:lang w:val="en-US"/>
        </w:rPr>
        <w:t>ecommendations</w:t>
      </w:r>
      <w:r w:rsidRPr="003C4D9E">
        <w:rPr>
          <w:lang w:val="en-US"/>
        </w:rPr>
        <w:t xml:space="preserve"> have been adopted, meriting a favorable assessment. Nevertheless, continued progress in certain areas would be desirable, for the following reasons:</w:t>
      </w:r>
    </w:p>
    <w:p w:rsidR="001E0DA8" w:rsidRPr="003C4D9E" w:rsidRDefault="001E0DA8" w:rsidP="00E01DA1">
      <w:pPr>
        <w:jc w:val="both"/>
        <w:rPr>
          <w:lang w:val="en-US"/>
        </w:rPr>
      </w:pPr>
    </w:p>
    <w:p w:rsidR="001E0DA8" w:rsidRPr="003C4D9E" w:rsidRDefault="001E0DA8" w:rsidP="00E01DA1">
      <w:pPr>
        <w:numPr>
          <w:ilvl w:val="0"/>
          <w:numId w:val="45"/>
        </w:numPr>
        <w:jc w:val="both"/>
        <w:rPr>
          <w:lang w:val="en-US"/>
        </w:rPr>
      </w:pPr>
      <w:r w:rsidRPr="003C4D9E">
        <w:rPr>
          <w:lang w:val="en-US"/>
        </w:rPr>
        <w:t xml:space="preserve">“The right to be heard” has been wisely replaced by “the right to be listened to”, whose satisfaction transcends mere procedural formality and requires that minors' views are essential to the decisions taken. </w:t>
      </w:r>
    </w:p>
    <w:p w:rsidR="001E0DA8" w:rsidRPr="003C4D9E" w:rsidRDefault="001E0DA8" w:rsidP="00E01DA1">
      <w:pPr>
        <w:jc w:val="both"/>
        <w:rPr>
          <w:lang w:val="en-US"/>
        </w:rPr>
      </w:pPr>
    </w:p>
    <w:p w:rsidR="001E0DA8" w:rsidRPr="003C4D9E" w:rsidRDefault="001E0DA8" w:rsidP="00E01DA1">
      <w:pPr>
        <w:numPr>
          <w:ilvl w:val="0"/>
          <w:numId w:val="45"/>
        </w:numPr>
        <w:jc w:val="both"/>
        <w:rPr>
          <w:lang w:val="en-US"/>
        </w:rPr>
      </w:pPr>
      <w:r w:rsidRPr="003C4D9E">
        <w:rPr>
          <w:lang w:val="en-US"/>
        </w:rPr>
        <w:t xml:space="preserve">Article 9 of </w:t>
      </w:r>
      <w:r w:rsidRPr="003C4D9E">
        <w:rPr>
          <w:i/>
          <w:lang w:val="en-US"/>
        </w:rPr>
        <w:t>Ley Orgánica de Protección Jurídica del Menor</w:t>
      </w:r>
      <w:r w:rsidRPr="003C4D9E">
        <w:rPr>
          <w:lang w:val="en-US"/>
        </w:rPr>
        <w:t xml:space="preserve"> [Organic Law on the Legal Protection of Minors] now guarantees the exercising of this right by minors themselves, provided they possess sufficient maturity, evaluated in accordance with "their capacity to understand and assess the issue at hand in each case". This concept therefore adapts to international standards, as it is the equivalent of being "capable of forming one's own view", in spite of the fact that the use of this latter term would have been more accurate.</w:t>
      </w:r>
    </w:p>
    <w:p w:rsidR="001E0DA8" w:rsidRPr="003C4D9E" w:rsidRDefault="001E0DA8" w:rsidP="00E01DA1">
      <w:pPr>
        <w:jc w:val="both"/>
        <w:rPr>
          <w:lang w:val="en-US"/>
        </w:rPr>
      </w:pPr>
    </w:p>
    <w:p w:rsidR="001E0DA8" w:rsidRPr="003C4D9E" w:rsidRDefault="001E0DA8" w:rsidP="00E01DA1">
      <w:pPr>
        <w:numPr>
          <w:ilvl w:val="0"/>
          <w:numId w:val="45"/>
        </w:numPr>
        <w:jc w:val="both"/>
        <w:rPr>
          <w:lang w:val="en-US"/>
        </w:rPr>
      </w:pPr>
      <w:r w:rsidRPr="003C4D9E">
        <w:rPr>
          <w:lang w:val="en-US"/>
        </w:rPr>
        <w:t xml:space="preserve">The legal formula for Article 9 of the Organic Law on the Legal Protection of Minors does not guarantee that minors must always be listened to, except where they renounce this right or the lack of capacity to form their own views is determined. Likewise, the law does not establish a stronger obligation to provide justification for any administrative and legal decisions deviating from the views expressed by minors or which do not take [these views] into account. </w:t>
      </w:r>
    </w:p>
    <w:p w:rsidR="001E0DA8" w:rsidRPr="003C4D9E" w:rsidRDefault="001E0DA8" w:rsidP="00E01DA1">
      <w:pPr>
        <w:jc w:val="both"/>
        <w:rPr>
          <w:lang w:val="en-US"/>
        </w:rPr>
      </w:pPr>
    </w:p>
    <w:p w:rsidR="001E0DA8" w:rsidRPr="003C4D9E" w:rsidRDefault="001E0DA8" w:rsidP="00E01DA1">
      <w:pPr>
        <w:numPr>
          <w:ilvl w:val="0"/>
          <w:numId w:val="45"/>
        </w:numPr>
        <w:autoSpaceDE w:val="0"/>
        <w:autoSpaceDN w:val="0"/>
        <w:adjustRightInd w:val="0"/>
        <w:jc w:val="both"/>
        <w:rPr>
          <w:lang w:val="en-US"/>
        </w:rPr>
      </w:pPr>
      <w:r w:rsidRPr="003C4D9E">
        <w:rPr>
          <w:lang w:val="en-US"/>
        </w:rPr>
        <w:t xml:space="preserve">As they were not modified in the 2015 legislative reform, civil and procedural rules concerning marital separations and divorces are still in force which consider listening not as a right held by a minor but rather as an authority exercised by the Judge solely when deemed legally necessary or when requested by parties in the proceedings, the </w:t>
      </w:r>
      <w:r w:rsidRPr="003C4D9E">
        <w:rPr>
          <w:i/>
          <w:lang w:val="en-US"/>
        </w:rPr>
        <w:t>Ministerio Fiscal</w:t>
      </w:r>
      <w:r w:rsidRPr="003C4D9E">
        <w:rPr>
          <w:lang w:val="en-US"/>
        </w:rPr>
        <w:t xml:space="preserve"> [Public Prosecutor’s Office] members of the judicial technical team or by minors themselves (Article 92.6 of the </w:t>
      </w:r>
      <w:r w:rsidRPr="003C4D9E">
        <w:rPr>
          <w:i/>
          <w:lang w:val="en-US"/>
        </w:rPr>
        <w:t>Código Civil</w:t>
      </w:r>
      <w:r w:rsidRPr="003C4D9E">
        <w:rPr>
          <w:lang w:val="en-US"/>
        </w:rPr>
        <w:t xml:space="preserve"> [Civil Code] and Articles 770 to 777 of the </w:t>
      </w:r>
      <w:r w:rsidRPr="003C4D9E">
        <w:rPr>
          <w:i/>
          <w:lang w:val="en-US"/>
        </w:rPr>
        <w:t xml:space="preserve">Ley de Enjuiciamiento Civil </w:t>
      </w:r>
      <w:r>
        <w:rPr>
          <w:lang w:val="en-US"/>
        </w:rPr>
        <w:t>[Civil</w:t>
      </w:r>
      <w:r w:rsidRPr="003C4D9E">
        <w:rPr>
          <w:lang w:val="en-US"/>
        </w:rPr>
        <w:t xml:space="preserve"> Procedure Law]). It is therefore possible that a child not be listened to, such an exclusion not needing to be based on the lack of capacity to form one's own views.</w:t>
      </w:r>
    </w:p>
    <w:p w:rsidR="001E0DA8" w:rsidRPr="003C4D9E" w:rsidRDefault="001E0DA8" w:rsidP="00E01DA1">
      <w:pPr>
        <w:jc w:val="both"/>
        <w:rPr>
          <w:lang w:val="en-US"/>
        </w:rPr>
      </w:pPr>
    </w:p>
    <w:p w:rsidR="001E0DA8" w:rsidRPr="003C4D9E" w:rsidRDefault="001E0DA8" w:rsidP="00E01DA1">
      <w:pPr>
        <w:numPr>
          <w:ilvl w:val="0"/>
          <w:numId w:val="45"/>
        </w:numPr>
        <w:autoSpaceDE w:val="0"/>
        <w:autoSpaceDN w:val="0"/>
        <w:adjustRightInd w:val="0"/>
        <w:jc w:val="both"/>
        <w:rPr>
          <w:lang w:val="en-US"/>
        </w:rPr>
      </w:pPr>
      <w:r w:rsidRPr="003C4D9E">
        <w:rPr>
          <w:lang w:val="en-US"/>
        </w:rPr>
        <w:t xml:space="preserve">Age thresholds continue to be referenced, through precepts contained in the Organic Law on the Legal Protection of Minors, in the Civil Code and in the Criminal Procedure Law. The obligation that children over 12 years of age are always listened to, as well as children under this age where sufficiently mature, now included in Article 9 of the Organic Law on the Legal Protection of Minors is a better formulation than that existing prior to the reform, yet it would have been preferable to legislate without establishing ages over which one is considered capable of forming one's own views, so as not to create a tendency to regard minors under these ages as lacking in capacity. </w:t>
      </w:r>
    </w:p>
    <w:p w:rsidR="001E0DA8" w:rsidRPr="003C4D9E" w:rsidRDefault="001E0DA8" w:rsidP="00E01DA1">
      <w:pPr>
        <w:jc w:val="both"/>
        <w:rPr>
          <w:lang w:val="en-US"/>
        </w:rPr>
      </w:pPr>
    </w:p>
    <w:p w:rsidR="001E0DA8" w:rsidRPr="003C4D9E" w:rsidRDefault="001E0DA8" w:rsidP="00E01DA1">
      <w:pPr>
        <w:numPr>
          <w:ilvl w:val="0"/>
          <w:numId w:val="45"/>
        </w:numPr>
        <w:jc w:val="both"/>
        <w:rPr>
          <w:lang w:val="en-US"/>
        </w:rPr>
      </w:pPr>
      <w:r w:rsidRPr="003C4D9E">
        <w:rPr>
          <w:lang w:val="en-US"/>
        </w:rPr>
        <w:t>Spanish legislation does not provide for the presumption of a minor’s capacity to form his or her own views, nor does it expressly establish either the duty to justify a decision not to listen directly to minors if such capacity is not perceived or the duty to explicitly state the reasons supporting a deviation from their views. The obligation to give minors</w:t>
      </w:r>
      <w:r>
        <w:rPr>
          <w:lang w:val="en-US"/>
        </w:rPr>
        <w:t>’</w:t>
      </w:r>
      <w:r w:rsidRPr="003C4D9E">
        <w:rPr>
          <w:lang w:val="en-US"/>
        </w:rPr>
        <w:t xml:space="preserve"> opinions the weight they deserve in accordance with their age and maturity is neither clearly nor consistently contemplated.  </w:t>
      </w:r>
    </w:p>
    <w:p w:rsidR="001E0DA8" w:rsidRPr="003C4D9E" w:rsidRDefault="001E0DA8" w:rsidP="00E01DA1">
      <w:pPr>
        <w:jc w:val="both"/>
        <w:rPr>
          <w:lang w:val="en-US"/>
        </w:rPr>
      </w:pPr>
    </w:p>
    <w:p w:rsidR="001E0DA8" w:rsidRPr="003C4D9E" w:rsidRDefault="001E0DA8" w:rsidP="00E01DA1">
      <w:pPr>
        <w:numPr>
          <w:ilvl w:val="0"/>
          <w:numId w:val="45"/>
        </w:numPr>
        <w:jc w:val="both"/>
        <w:rPr>
          <w:lang w:val="en-US"/>
        </w:rPr>
      </w:pPr>
      <w:r w:rsidRPr="003C4D9E">
        <w:rPr>
          <w:lang w:val="en-US"/>
        </w:rPr>
        <w:t>Moreover, the reformed Law allows for minors to exercise their rights through legal representatives and not on their own account "when it does not suit their interest</w:t>
      </w:r>
      <w:r>
        <w:rPr>
          <w:lang w:val="en-US"/>
        </w:rPr>
        <w:t>."</w:t>
      </w:r>
      <w:r w:rsidRPr="003C4D9E">
        <w:rPr>
          <w:lang w:val="en-US"/>
        </w:rPr>
        <w:t xml:space="preserve"> It is not understandable how having minors' opinions listened to could not be in their interest. Children's right to be listened to and their greater interests are closely linked. The best interests of children will not be as such if they are not listened to and if their views are not duly considered. General Comment No. 12 concludes that Articles 3 and 12 of the Convention contain complementary general principles: the correct application of Article 3 is not possible if the provisions of Article 12 are not respected, in the same way that Article 3 reinforces the functionality of Article 12 in facilitating the essential role held by children in all decisions affecting their lives</w:t>
      </w:r>
      <w:r w:rsidRPr="003C4D9E">
        <w:rPr>
          <w:rStyle w:val="FootnoteReference"/>
          <w:lang w:val="en-US"/>
        </w:rPr>
        <w:footnoteReference w:id="11"/>
      </w:r>
      <w:r w:rsidRPr="003C4D9E">
        <w:rPr>
          <w:lang w:val="en-US"/>
        </w:rPr>
        <w:t xml:space="preserve">. In accordance with the Convention, the Committee and Article 2 as reformed in the Law on legal protection for minors, a child's best interests will not be considered as such where a child has not previously </w:t>
      </w:r>
      <w:r>
        <w:rPr>
          <w:lang w:val="en-US"/>
        </w:rPr>
        <w:t xml:space="preserve">been </w:t>
      </w:r>
      <w:r w:rsidRPr="003C4D9E">
        <w:rPr>
          <w:lang w:val="en-US"/>
        </w:rPr>
        <w:t xml:space="preserve">listened to.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Ombudsman Institution has also </w:t>
      </w:r>
      <w:r w:rsidRPr="003C4D9E">
        <w:rPr>
          <w:b/>
          <w:lang w:val="en-US"/>
        </w:rPr>
        <w:t>recommended</w:t>
      </w:r>
      <w:r w:rsidRPr="003C4D9E">
        <w:rPr>
          <w:lang w:val="en-US"/>
        </w:rPr>
        <w:t xml:space="preserve"> the introduction of the benefit of free legal assistance in favor of those minors who, regardless of their parents or guardians, wish to have their views considered in proceedings in which questions affecting them are aired, as well as general access for all minors subject to protection measures to free legal assistance from the moment they are declared to be defenseless. The rules grant greater prominence to children and adolescents in recognizing their legitimacy in opposing the resolutions affecting them and their right to be informed as befits their age and assisted by a lawyer where necessary for the effective exercise of their rights. Another positive finding is that the right to free legal assistance is recognized in Article 2, albeit limited to cases which are legally provided for.</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designation of legal defense in family proceedings where the </w:t>
      </w:r>
      <w:r>
        <w:rPr>
          <w:lang w:val="en-US"/>
        </w:rPr>
        <w:t xml:space="preserve">Prosecutor </w:t>
      </w:r>
      <w:r w:rsidRPr="003C4D9E">
        <w:rPr>
          <w:lang w:val="en-US"/>
        </w:rPr>
        <w:t xml:space="preserve">and the minor disagree over what is most appropriate for the minor's best interest represents a key component. This </w:t>
      </w:r>
      <w:r>
        <w:rPr>
          <w:b/>
          <w:lang w:val="en-US"/>
        </w:rPr>
        <w:t>R</w:t>
      </w:r>
      <w:r w:rsidRPr="003C4D9E">
        <w:rPr>
          <w:b/>
          <w:lang w:val="en-US"/>
        </w:rPr>
        <w:t>ecommendation</w:t>
      </w:r>
      <w:r w:rsidRPr="003C4D9E">
        <w:rPr>
          <w:lang w:val="en-US"/>
        </w:rPr>
        <w:t xml:space="preserve"> has been partially accepted, since provisions for such designation have been included in the system. However, in order to give full meaning to this measure it would be necessary to carry out reforms of procedural laws, such that this participation may be effectively established.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Lastly, the Ombudsman Institution notes the rejection of the </w:t>
      </w:r>
      <w:r>
        <w:rPr>
          <w:b/>
          <w:lang w:val="en-US"/>
        </w:rPr>
        <w:t>R</w:t>
      </w:r>
      <w:r w:rsidRPr="003C4D9E">
        <w:rPr>
          <w:b/>
          <w:lang w:val="en-US"/>
        </w:rPr>
        <w:t>ecommendation</w:t>
      </w:r>
      <w:r w:rsidRPr="003C4D9E">
        <w:rPr>
          <w:lang w:val="en-US"/>
        </w:rPr>
        <w:t xml:space="preserve"> for increased availability of specialized family judges. Another </w:t>
      </w:r>
      <w:r>
        <w:rPr>
          <w:b/>
          <w:lang w:val="en-US"/>
        </w:rPr>
        <w:t>R</w:t>
      </w:r>
      <w:r w:rsidRPr="003C4D9E">
        <w:rPr>
          <w:b/>
          <w:lang w:val="en-US"/>
        </w:rPr>
        <w:t>ecommendation</w:t>
      </w:r>
      <w:r w:rsidRPr="003C4D9E">
        <w:rPr>
          <w:lang w:val="en-US"/>
        </w:rPr>
        <w:t xml:space="preserve"> that was not accepted was for an increase in the number of Prosecutors specialized in civil law for minors that aimed to bring about closer monitoring of the administrative cases for the protection of minors on the part of Prosecutors.</w:t>
      </w:r>
    </w:p>
    <w:p w:rsidR="001E0DA8" w:rsidRPr="003C4D9E" w:rsidRDefault="001E0DA8" w:rsidP="00E01DA1">
      <w:pPr>
        <w:jc w:val="both"/>
        <w:rPr>
          <w:lang w:val="en-US"/>
        </w:rPr>
      </w:pPr>
    </w:p>
    <w:p w:rsidR="001E0DA8" w:rsidRPr="00CA6A6A" w:rsidRDefault="001E0DA8" w:rsidP="00E01DA1">
      <w:pPr>
        <w:jc w:val="both"/>
        <w:rPr>
          <w:b/>
          <w:i/>
          <w:lang w:val="en-US"/>
        </w:rPr>
      </w:pPr>
      <w:r w:rsidRPr="00CA6A6A">
        <w:rPr>
          <w:b/>
          <w:i/>
          <w:lang w:val="en-US"/>
        </w:rPr>
        <w:t>The process of hearing to minors, victims or witnesses</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aforementioned </w:t>
      </w:r>
      <w:r>
        <w:rPr>
          <w:lang w:val="en-US"/>
        </w:rPr>
        <w:t>report</w:t>
      </w:r>
      <w:r w:rsidRPr="003C4D9E">
        <w:rPr>
          <w:lang w:val="en-US"/>
        </w:rPr>
        <w:t xml:space="preserve"> was completed in May 2015 with another entitled </w:t>
      </w:r>
      <w:r w:rsidRPr="003C4D9E">
        <w:rPr>
          <w:i/>
          <w:lang w:val="en-US"/>
        </w:rPr>
        <w:t>Listening to minors, victims or witnesses</w:t>
      </w:r>
      <w:r w:rsidRPr="003C4D9E">
        <w:rPr>
          <w:lang w:val="en-US"/>
        </w:rPr>
        <w:t xml:space="preserve"> which, in addition to Article 12, is related to Article 39 of the Convention (minor victims of crime).</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This </w:t>
      </w:r>
      <w:r>
        <w:rPr>
          <w:lang w:val="en-US"/>
        </w:rPr>
        <w:t>report</w:t>
      </w:r>
      <w:r w:rsidRPr="003C4D9E">
        <w:rPr>
          <w:lang w:val="en-US"/>
        </w:rPr>
        <w:t xml:space="preserve"> concludes that Spanish legislation, with the publication of Law 4/2015 of 27 April on the Statute on Crime Victims, is substantially adapted to fundamental international and European parameters as far as listening to minor victims or witnesses is concerned.</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Four fundamental ideas concerning listening to child victims or witnesses must be mentioned: that may minors may freely express themselves, that they be in possession of the information allowing them to do so, that hearings proceed in an amicable environment and that what minors say be taken into consideration.</w:t>
      </w:r>
    </w:p>
    <w:p w:rsidR="001E0DA8" w:rsidRPr="003C4D9E" w:rsidRDefault="001E0DA8" w:rsidP="00E01DA1">
      <w:pPr>
        <w:jc w:val="both"/>
        <w:rPr>
          <w:lang w:val="en-US"/>
        </w:rPr>
      </w:pPr>
    </w:p>
    <w:p w:rsidR="001E0DA8" w:rsidRPr="00876738" w:rsidRDefault="001E0DA8" w:rsidP="00E01DA1">
      <w:pPr>
        <w:pStyle w:val="NormalInforme"/>
        <w:jc w:val="both"/>
        <w:rPr>
          <w:rFonts w:ascii="Times New Roman" w:hAnsi="Times New Roman"/>
          <w:sz w:val="24"/>
          <w:szCs w:val="24"/>
          <w:lang w:val="en-US"/>
        </w:rPr>
      </w:pPr>
      <w:r w:rsidRPr="00876738">
        <w:rPr>
          <w:rFonts w:ascii="Times New Roman" w:hAnsi="Times New Roman"/>
          <w:sz w:val="24"/>
          <w:szCs w:val="24"/>
          <w:lang w:val="en-US"/>
        </w:rPr>
        <w:t xml:space="preserve">Although the </w:t>
      </w:r>
      <w:r w:rsidRPr="00876738">
        <w:rPr>
          <w:rFonts w:ascii="Times New Roman" w:hAnsi="Times New Roman"/>
          <w:b/>
          <w:sz w:val="24"/>
          <w:szCs w:val="24"/>
          <w:lang w:val="en-US"/>
        </w:rPr>
        <w:t>Recommendations</w:t>
      </w:r>
      <w:r w:rsidRPr="00876738">
        <w:rPr>
          <w:rFonts w:ascii="Times New Roman" w:hAnsi="Times New Roman"/>
          <w:sz w:val="24"/>
          <w:szCs w:val="24"/>
          <w:lang w:val="en-US"/>
        </w:rPr>
        <w:t xml:space="preserve"> put forth by the Ombudsman Institution have been largely accepted, either totally or partially, it is worth noting those that were rejected:</w:t>
      </w:r>
    </w:p>
    <w:p w:rsidR="001E0DA8" w:rsidRPr="00876738" w:rsidRDefault="001E0DA8" w:rsidP="00E01DA1">
      <w:pPr>
        <w:pStyle w:val="NormalInforme"/>
        <w:rPr>
          <w:rFonts w:ascii="Times New Roman" w:hAnsi="Times New Roman"/>
          <w:sz w:val="24"/>
          <w:szCs w:val="24"/>
          <w:lang w:val="en-US"/>
        </w:rPr>
      </w:pPr>
    </w:p>
    <w:p w:rsidR="001E0DA8" w:rsidRPr="00876738" w:rsidRDefault="001E0DA8" w:rsidP="00E01DA1">
      <w:pPr>
        <w:pStyle w:val="NormalInforme"/>
        <w:numPr>
          <w:ilvl w:val="0"/>
          <w:numId w:val="30"/>
        </w:numPr>
        <w:overflowPunct w:val="0"/>
        <w:autoSpaceDE w:val="0"/>
        <w:autoSpaceDN w:val="0"/>
        <w:adjustRightInd w:val="0"/>
        <w:jc w:val="both"/>
        <w:rPr>
          <w:rFonts w:ascii="Times New Roman" w:hAnsi="Times New Roman"/>
          <w:sz w:val="24"/>
          <w:szCs w:val="24"/>
          <w:lang w:val="en-US"/>
        </w:rPr>
      </w:pPr>
      <w:r w:rsidRPr="00876738">
        <w:rPr>
          <w:rFonts w:ascii="Times New Roman" w:hAnsi="Times New Roman"/>
          <w:sz w:val="24"/>
          <w:szCs w:val="24"/>
          <w:lang w:val="en-US"/>
        </w:rPr>
        <w:t xml:space="preserve"> The </w:t>
      </w:r>
      <w:r w:rsidRPr="00876738">
        <w:rPr>
          <w:rFonts w:ascii="Times New Roman" w:hAnsi="Times New Roman"/>
          <w:i/>
          <w:sz w:val="24"/>
          <w:szCs w:val="24"/>
          <w:lang w:val="en-US"/>
        </w:rPr>
        <w:t>Dirección General de la Policía</w:t>
      </w:r>
      <w:r w:rsidRPr="00876738">
        <w:rPr>
          <w:rFonts w:ascii="Times New Roman" w:hAnsi="Times New Roman"/>
          <w:sz w:val="24"/>
          <w:szCs w:val="24"/>
          <w:lang w:val="en-US"/>
        </w:rPr>
        <w:t xml:space="preserve"> [Directorate General of the Police] has not accepted the </w:t>
      </w:r>
      <w:r w:rsidRPr="00876738">
        <w:rPr>
          <w:rFonts w:ascii="Times New Roman" w:hAnsi="Times New Roman"/>
          <w:b/>
          <w:sz w:val="24"/>
          <w:szCs w:val="24"/>
          <w:lang w:val="en-US"/>
        </w:rPr>
        <w:t>Recommendation</w:t>
      </w:r>
      <w:r w:rsidRPr="00876738">
        <w:rPr>
          <w:rFonts w:ascii="Times New Roman" w:hAnsi="Times New Roman"/>
          <w:sz w:val="24"/>
          <w:szCs w:val="24"/>
          <w:lang w:val="en-US"/>
        </w:rPr>
        <w:t xml:space="preserve"> that strict preservation of minors' privacy be guaranteed in police investigations of crimes committed against minors; specifically, that neither minors’ personal details nor their identity papers appear in their files, using a type of code or key for this purpose, without prejudice to the transfer of the said details in a sealed envelope to the judicial authority at the opportune moment in the proceedings. </w:t>
      </w:r>
    </w:p>
    <w:p w:rsidR="001E0DA8" w:rsidRPr="00876738" w:rsidRDefault="001E0DA8" w:rsidP="00E01DA1">
      <w:pPr>
        <w:pStyle w:val="NormalInforme"/>
        <w:overflowPunct w:val="0"/>
        <w:autoSpaceDE w:val="0"/>
        <w:autoSpaceDN w:val="0"/>
        <w:adjustRightInd w:val="0"/>
        <w:ind w:left="720"/>
        <w:jc w:val="both"/>
        <w:rPr>
          <w:rFonts w:ascii="Times New Roman" w:hAnsi="Times New Roman"/>
          <w:sz w:val="24"/>
          <w:szCs w:val="24"/>
          <w:lang w:val="en-US"/>
        </w:rPr>
      </w:pPr>
    </w:p>
    <w:p w:rsidR="001E0DA8" w:rsidRPr="00876738" w:rsidRDefault="001E0DA8" w:rsidP="00E01DA1">
      <w:pPr>
        <w:pStyle w:val="NormalInforme"/>
        <w:numPr>
          <w:ilvl w:val="0"/>
          <w:numId w:val="30"/>
        </w:numPr>
        <w:overflowPunct w:val="0"/>
        <w:autoSpaceDE w:val="0"/>
        <w:autoSpaceDN w:val="0"/>
        <w:adjustRightInd w:val="0"/>
        <w:jc w:val="both"/>
        <w:rPr>
          <w:rFonts w:ascii="Times New Roman" w:hAnsi="Times New Roman"/>
          <w:sz w:val="24"/>
          <w:szCs w:val="24"/>
          <w:lang w:val="en-US"/>
        </w:rPr>
      </w:pPr>
      <w:r w:rsidRPr="00876738">
        <w:rPr>
          <w:rFonts w:ascii="Times New Roman" w:hAnsi="Times New Roman"/>
          <w:sz w:val="24"/>
          <w:szCs w:val="24"/>
          <w:lang w:val="en-US"/>
        </w:rPr>
        <w:t xml:space="preserve"> The Directorate General has, moreover, declined to accept the </w:t>
      </w:r>
      <w:r w:rsidRPr="00876738">
        <w:rPr>
          <w:rFonts w:ascii="Times New Roman" w:hAnsi="Times New Roman"/>
          <w:b/>
          <w:sz w:val="24"/>
          <w:szCs w:val="24"/>
          <w:lang w:val="en-US"/>
        </w:rPr>
        <w:t>Recommendation</w:t>
      </w:r>
      <w:r w:rsidRPr="00876738">
        <w:rPr>
          <w:rFonts w:ascii="Times New Roman" w:hAnsi="Times New Roman"/>
          <w:sz w:val="24"/>
          <w:szCs w:val="24"/>
          <w:lang w:val="en-US"/>
        </w:rPr>
        <w:t xml:space="preserve"> that, even if not serving to pre-establish evidence when not in contradiction, statements made at police stations by minor victims of crime be recorded, at least by audio, in order to protect a minor’s testimony which at the time of recording is not contaminated by subsequent interventions or false memories.</w:t>
      </w:r>
    </w:p>
    <w:p w:rsidR="001E0DA8" w:rsidRPr="00876738" w:rsidRDefault="001E0DA8" w:rsidP="00E01DA1">
      <w:pPr>
        <w:pStyle w:val="NormalInforme"/>
        <w:overflowPunct w:val="0"/>
        <w:autoSpaceDE w:val="0"/>
        <w:autoSpaceDN w:val="0"/>
        <w:adjustRightInd w:val="0"/>
        <w:jc w:val="both"/>
        <w:rPr>
          <w:rFonts w:ascii="Times New Roman" w:hAnsi="Times New Roman"/>
          <w:sz w:val="24"/>
          <w:szCs w:val="24"/>
          <w:lang w:val="en-US"/>
        </w:rPr>
      </w:pPr>
    </w:p>
    <w:p w:rsidR="001E0DA8" w:rsidRPr="00876738" w:rsidRDefault="001E0DA8" w:rsidP="00E01DA1">
      <w:pPr>
        <w:pStyle w:val="NormalInforme"/>
        <w:numPr>
          <w:ilvl w:val="0"/>
          <w:numId w:val="30"/>
        </w:numPr>
        <w:overflowPunct w:val="0"/>
        <w:autoSpaceDE w:val="0"/>
        <w:autoSpaceDN w:val="0"/>
        <w:adjustRightInd w:val="0"/>
        <w:jc w:val="both"/>
        <w:rPr>
          <w:rFonts w:ascii="Times New Roman" w:hAnsi="Times New Roman"/>
          <w:sz w:val="24"/>
          <w:szCs w:val="24"/>
          <w:lang w:val="en-US"/>
        </w:rPr>
      </w:pPr>
      <w:r w:rsidRPr="00876738">
        <w:rPr>
          <w:rFonts w:ascii="Times New Roman" w:hAnsi="Times New Roman"/>
          <w:sz w:val="24"/>
          <w:szCs w:val="24"/>
          <w:lang w:val="en-US"/>
        </w:rPr>
        <w:t xml:space="preserve"> The </w:t>
      </w:r>
      <w:r w:rsidRPr="00876738">
        <w:rPr>
          <w:rFonts w:ascii="Times New Roman" w:hAnsi="Times New Roman"/>
          <w:i/>
          <w:sz w:val="24"/>
          <w:szCs w:val="24"/>
          <w:lang w:val="en-US"/>
        </w:rPr>
        <w:t>Comisión de Coordinación de la Policía Judicial</w:t>
      </w:r>
      <w:r w:rsidRPr="00876738">
        <w:rPr>
          <w:rFonts w:ascii="Times New Roman" w:hAnsi="Times New Roman"/>
          <w:sz w:val="24"/>
          <w:szCs w:val="24"/>
          <w:lang w:val="en-US"/>
        </w:rPr>
        <w:t xml:space="preserve"> [Judicial Police Coordinating Commission] has not accepted the </w:t>
      </w:r>
      <w:r w:rsidRPr="00876738">
        <w:rPr>
          <w:rFonts w:ascii="Times New Roman" w:hAnsi="Times New Roman"/>
          <w:b/>
          <w:sz w:val="24"/>
          <w:szCs w:val="24"/>
          <w:lang w:val="en-US"/>
        </w:rPr>
        <w:t>Recommendation</w:t>
      </w:r>
      <w:r w:rsidRPr="00876738">
        <w:rPr>
          <w:rFonts w:ascii="Times New Roman" w:hAnsi="Times New Roman"/>
          <w:sz w:val="24"/>
          <w:szCs w:val="24"/>
          <w:lang w:val="en-US"/>
        </w:rPr>
        <w:t xml:space="preserve"> for promoting the creation of a protocol among the institutions it represents at state level for listening to minor victims and witnesses in criminal proceedings and police statement and pre-establishment of valid evidence throughout the entire national territory, for the purpose of unifying established guidelines for the various protocols currently in existence.</w:t>
      </w:r>
    </w:p>
    <w:p w:rsidR="001E0DA8" w:rsidRPr="00876738" w:rsidRDefault="001E0DA8" w:rsidP="00E01DA1">
      <w:pPr>
        <w:pStyle w:val="NormalInforme"/>
        <w:rPr>
          <w:rFonts w:ascii="Times New Roman" w:hAnsi="Times New Roman"/>
          <w:sz w:val="24"/>
          <w:szCs w:val="24"/>
          <w:lang w:val="en-US"/>
        </w:rPr>
      </w:pPr>
    </w:p>
    <w:p w:rsidR="001E0DA8" w:rsidRPr="00876738" w:rsidRDefault="001E0DA8" w:rsidP="00E01DA1">
      <w:pPr>
        <w:pStyle w:val="NormalInforme"/>
        <w:numPr>
          <w:ilvl w:val="0"/>
          <w:numId w:val="30"/>
        </w:numPr>
        <w:overflowPunct w:val="0"/>
        <w:autoSpaceDE w:val="0"/>
        <w:autoSpaceDN w:val="0"/>
        <w:adjustRightInd w:val="0"/>
        <w:jc w:val="both"/>
        <w:rPr>
          <w:rFonts w:ascii="Times New Roman" w:hAnsi="Times New Roman"/>
          <w:sz w:val="24"/>
          <w:szCs w:val="24"/>
          <w:lang w:val="en-US"/>
        </w:rPr>
      </w:pPr>
      <w:r w:rsidRPr="00876738">
        <w:rPr>
          <w:rFonts w:ascii="Times New Roman" w:hAnsi="Times New Roman"/>
          <w:sz w:val="24"/>
          <w:szCs w:val="24"/>
          <w:lang w:val="en-US"/>
        </w:rPr>
        <w:t xml:space="preserve"> The Autonomous Communities of Aragon, Galicia, Madrid and Valencia have not accepted the </w:t>
      </w:r>
      <w:r w:rsidRPr="00876738">
        <w:rPr>
          <w:rFonts w:ascii="Times New Roman" w:hAnsi="Times New Roman"/>
          <w:b/>
          <w:sz w:val="24"/>
          <w:szCs w:val="24"/>
          <w:lang w:val="en-US"/>
        </w:rPr>
        <w:t>Recommendation</w:t>
      </w:r>
      <w:r w:rsidRPr="00876738">
        <w:rPr>
          <w:rFonts w:ascii="Times New Roman" w:hAnsi="Times New Roman"/>
          <w:sz w:val="24"/>
          <w:szCs w:val="24"/>
          <w:lang w:val="en-US"/>
        </w:rPr>
        <w:t xml:space="preserve"> for adopting necessary measures for members of psychosocial teams to work in duty shifts, as is the case with the rest of the court personnel, all in defense of the best interests of minor victims or witnesses in criminal proceedings.</w:t>
      </w:r>
    </w:p>
    <w:p w:rsidR="001E0DA8" w:rsidRPr="00876738" w:rsidRDefault="001E0DA8" w:rsidP="00E01DA1">
      <w:pPr>
        <w:pStyle w:val="NormalInforme"/>
        <w:rPr>
          <w:rFonts w:ascii="Times New Roman" w:hAnsi="Times New Roman"/>
          <w:sz w:val="24"/>
          <w:szCs w:val="24"/>
          <w:lang w:val="en-US"/>
        </w:rPr>
      </w:pPr>
    </w:p>
    <w:p w:rsidR="001E0DA8" w:rsidRPr="00876738" w:rsidRDefault="001E0DA8" w:rsidP="00E01DA1">
      <w:pPr>
        <w:pStyle w:val="NormalInforme"/>
        <w:numPr>
          <w:ilvl w:val="0"/>
          <w:numId w:val="30"/>
        </w:numPr>
        <w:overflowPunct w:val="0"/>
        <w:autoSpaceDE w:val="0"/>
        <w:autoSpaceDN w:val="0"/>
        <w:adjustRightInd w:val="0"/>
        <w:jc w:val="both"/>
        <w:rPr>
          <w:rFonts w:ascii="Times New Roman" w:hAnsi="Times New Roman"/>
          <w:sz w:val="24"/>
          <w:szCs w:val="24"/>
          <w:lang w:val="en-US"/>
        </w:rPr>
      </w:pPr>
      <w:r w:rsidRPr="00876738">
        <w:rPr>
          <w:rFonts w:ascii="Times New Roman" w:hAnsi="Times New Roman"/>
          <w:sz w:val="24"/>
          <w:szCs w:val="24"/>
          <w:lang w:val="en-US"/>
        </w:rPr>
        <w:t xml:space="preserve"> The Autonomous Community of Madrid has not accepted the </w:t>
      </w:r>
      <w:r w:rsidRPr="00876738">
        <w:rPr>
          <w:rFonts w:ascii="Times New Roman" w:hAnsi="Times New Roman"/>
          <w:b/>
          <w:sz w:val="24"/>
          <w:szCs w:val="24"/>
          <w:lang w:val="en-US"/>
        </w:rPr>
        <w:t>Recommendation</w:t>
      </w:r>
      <w:r w:rsidRPr="00876738">
        <w:rPr>
          <w:rFonts w:ascii="Times New Roman" w:hAnsi="Times New Roman"/>
          <w:sz w:val="24"/>
          <w:szCs w:val="24"/>
          <w:lang w:val="en-US"/>
        </w:rPr>
        <w:t xml:space="preserve"> for promoting the inclusion of the necessary items for the full satisfaction of the rights of minor crime victims as established in the Statute on Crime Victims (Law 4/2105) in the draft </w:t>
      </w:r>
      <w:r w:rsidRPr="00876738">
        <w:rPr>
          <w:rFonts w:ascii="Times New Roman" w:hAnsi="Times New Roman"/>
          <w:i/>
          <w:sz w:val="24"/>
          <w:szCs w:val="24"/>
          <w:lang w:val="en-US"/>
        </w:rPr>
        <w:t>Ley de Presupuestos</w:t>
      </w:r>
      <w:r w:rsidRPr="00876738">
        <w:rPr>
          <w:rFonts w:ascii="Times New Roman" w:hAnsi="Times New Roman"/>
          <w:sz w:val="24"/>
          <w:szCs w:val="24"/>
          <w:lang w:val="en-US"/>
        </w:rPr>
        <w:t xml:space="preserve"> [Budget law] for 2016 corresponding to the territorial scope of their competence. </w:t>
      </w:r>
    </w:p>
    <w:p w:rsidR="001E0DA8" w:rsidRPr="003C4D9E" w:rsidRDefault="001E0DA8" w:rsidP="00E01DA1">
      <w:pPr>
        <w:jc w:val="both"/>
        <w:rPr>
          <w:lang w:val="en-US"/>
        </w:rPr>
      </w:pPr>
    </w:p>
    <w:p w:rsidR="001E0DA8" w:rsidRDefault="001E0DA8" w:rsidP="00E01DA1">
      <w:pPr>
        <w:jc w:val="both"/>
        <w:rPr>
          <w:lang w:val="en-US"/>
        </w:rPr>
      </w:pPr>
    </w:p>
    <w:p w:rsidR="001E0DA8" w:rsidRDefault="001E0DA8" w:rsidP="00E01DA1">
      <w:pPr>
        <w:jc w:val="both"/>
        <w:rPr>
          <w:lang w:val="en-US"/>
        </w:rPr>
      </w:pPr>
    </w:p>
    <w:p w:rsidR="001E0DA8" w:rsidRDefault="001E0DA8" w:rsidP="00E01DA1">
      <w:pPr>
        <w:jc w:val="both"/>
        <w:rPr>
          <w:lang w:val="en-US"/>
        </w:rPr>
      </w:pPr>
    </w:p>
    <w:p w:rsidR="001E0DA8" w:rsidRDefault="001E0DA8" w:rsidP="00E01DA1">
      <w:pPr>
        <w:jc w:val="both"/>
        <w:rPr>
          <w:lang w:val="en-US"/>
        </w:rPr>
      </w:pPr>
    </w:p>
    <w:p w:rsidR="001E0DA8" w:rsidRPr="003C4D9E" w:rsidRDefault="001E0DA8" w:rsidP="00E01DA1">
      <w:pPr>
        <w:jc w:val="both"/>
        <w:rPr>
          <w:lang w:val="en-US"/>
        </w:rPr>
      </w:pPr>
    </w:p>
    <w:p w:rsidR="001E0DA8" w:rsidRPr="003C4D9E" w:rsidRDefault="001E0DA8" w:rsidP="00E01DA1">
      <w:pPr>
        <w:pStyle w:val="1"/>
        <w:numPr>
          <w:ilvl w:val="0"/>
          <w:numId w:val="12"/>
        </w:numPr>
        <w:rPr>
          <w:rFonts w:ascii="Times New Roman" w:hAnsi="Times New Roman"/>
          <w:sz w:val="24"/>
          <w:lang w:val="en-US"/>
        </w:rPr>
      </w:pPr>
      <w:bookmarkStart w:id="20" w:name="_Toc349128800"/>
      <w:bookmarkStart w:id="21" w:name="_Toc475979922"/>
      <w:r w:rsidRPr="003C4D9E">
        <w:rPr>
          <w:rFonts w:ascii="Times New Roman" w:hAnsi="Times New Roman"/>
          <w:sz w:val="24"/>
          <w:lang w:val="en-US"/>
        </w:rPr>
        <w:t>RIGHTS AND CIVIL LIBERTIES</w:t>
      </w:r>
      <w:bookmarkEnd w:id="20"/>
      <w:bookmarkEnd w:id="21"/>
      <w:r w:rsidRPr="003C4D9E">
        <w:rPr>
          <w:rFonts w:ascii="Times New Roman" w:hAnsi="Times New Roman"/>
          <w:sz w:val="24"/>
          <w:lang w:val="en-US"/>
        </w:rPr>
        <w:t xml:space="preserve"> </w:t>
      </w:r>
    </w:p>
    <w:p w:rsidR="001E0DA8" w:rsidRPr="003C4D9E" w:rsidRDefault="001E0DA8" w:rsidP="00E01DA1">
      <w:pPr>
        <w:jc w:val="both"/>
        <w:rPr>
          <w:b/>
          <w:lang w:val="en-US"/>
        </w:rPr>
      </w:pPr>
    </w:p>
    <w:p w:rsidR="001E0DA8" w:rsidRPr="003C4D9E" w:rsidRDefault="001E0DA8" w:rsidP="00E01DA1">
      <w:pPr>
        <w:pStyle w:val="2"/>
        <w:numPr>
          <w:ilvl w:val="1"/>
          <w:numId w:val="12"/>
        </w:numPr>
        <w:tabs>
          <w:tab w:val="clear" w:pos="624"/>
          <w:tab w:val="clear" w:pos="710"/>
          <w:tab w:val="left" w:pos="500"/>
        </w:tabs>
        <w:ind w:left="600" w:hanging="600"/>
        <w:jc w:val="both"/>
        <w:rPr>
          <w:rFonts w:ascii="Times New Roman" w:hAnsi="Times New Roman"/>
          <w:sz w:val="24"/>
          <w:lang w:val="en-US"/>
        </w:rPr>
      </w:pPr>
      <w:r w:rsidRPr="003C4D9E">
        <w:rPr>
          <w:rFonts w:ascii="Times New Roman" w:hAnsi="Times New Roman"/>
          <w:sz w:val="24"/>
          <w:lang w:val="en-US"/>
        </w:rPr>
        <w:t xml:space="preserve"> </w:t>
      </w:r>
      <w:bookmarkStart w:id="22" w:name="_Toc349128801"/>
      <w:bookmarkStart w:id="23" w:name="_Toc475979923"/>
      <w:r w:rsidRPr="003C4D9E">
        <w:rPr>
          <w:rFonts w:ascii="Times New Roman" w:hAnsi="Times New Roman"/>
          <w:sz w:val="24"/>
          <w:lang w:val="en-US"/>
        </w:rPr>
        <w:t>Access to appropriate information from various sources and protection against all harmful material</w:t>
      </w:r>
      <w:bookmarkEnd w:id="22"/>
      <w:bookmarkEnd w:id="23"/>
      <w:r w:rsidRPr="003C4D9E">
        <w:rPr>
          <w:rFonts w:ascii="Times New Roman" w:hAnsi="Times New Roman"/>
          <w:sz w:val="24"/>
          <w:lang w:val="en-US"/>
        </w:rPr>
        <w:t xml:space="preserve">  </w:t>
      </w:r>
    </w:p>
    <w:p w:rsidR="001E0DA8" w:rsidRPr="003C4D9E" w:rsidRDefault="001E0DA8" w:rsidP="00E01DA1">
      <w:pPr>
        <w:jc w:val="both"/>
        <w:rPr>
          <w:b/>
          <w:lang w:val="en-US"/>
        </w:rPr>
      </w:pPr>
    </w:p>
    <w:p w:rsidR="001E0DA8" w:rsidRPr="003C4D9E" w:rsidRDefault="001E0DA8" w:rsidP="00E01DA1">
      <w:pPr>
        <w:pStyle w:val="3"/>
        <w:numPr>
          <w:ilvl w:val="2"/>
          <w:numId w:val="12"/>
        </w:numPr>
        <w:ind w:hanging="2624"/>
        <w:rPr>
          <w:rFonts w:ascii="Times New Roman" w:hAnsi="Times New Roman"/>
          <w:lang w:val="en-US"/>
        </w:rPr>
      </w:pPr>
      <w:bookmarkStart w:id="24" w:name="_Toc349128802"/>
      <w:bookmarkStart w:id="25" w:name="_Toc475979924"/>
      <w:r w:rsidRPr="003C4D9E">
        <w:rPr>
          <w:rFonts w:ascii="Times New Roman" w:hAnsi="Times New Roman"/>
          <w:lang w:val="en-US"/>
        </w:rPr>
        <w:t>Audiovisual content</w:t>
      </w:r>
      <w:bookmarkEnd w:id="24"/>
      <w:bookmarkEnd w:id="25"/>
      <w:r w:rsidRPr="003C4D9E">
        <w:rPr>
          <w:rFonts w:ascii="Times New Roman" w:hAnsi="Times New Roman"/>
          <w:lang w:val="en-US"/>
        </w:rPr>
        <w:t xml:space="preserve"> </w:t>
      </w:r>
    </w:p>
    <w:p w:rsidR="001E0DA8" w:rsidRPr="003C4D9E" w:rsidRDefault="001E0DA8" w:rsidP="00E01DA1">
      <w:pPr>
        <w:jc w:val="both"/>
        <w:rPr>
          <w:lang w:val="en-US"/>
        </w:rPr>
      </w:pPr>
      <w:r w:rsidRPr="003C4D9E">
        <w:rPr>
          <w:lang w:val="en-US"/>
        </w:rPr>
        <w:tab/>
      </w:r>
    </w:p>
    <w:p w:rsidR="001E0DA8" w:rsidRPr="003C4D9E" w:rsidRDefault="001E0DA8" w:rsidP="00E01DA1">
      <w:pPr>
        <w:jc w:val="both"/>
        <w:rPr>
          <w:lang w:val="en-US"/>
        </w:rPr>
      </w:pPr>
      <w:r w:rsidRPr="003C4D9E">
        <w:rPr>
          <w:lang w:val="en-US"/>
        </w:rPr>
        <w:t xml:space="preserve">Through its annual reports submitted to the Spanish Parliament, the Ombudsman Institution has been calling for several years for the creation of an audiovisual authority independent from the Executive which, among other possible functions, is entrusted with the task of guaranteeing the effectiveness of protection measures for young people and children in audiovisual media.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w:t>
      </w:r>
      <w:r w:rsidRPr="003C4D9E">
        <w:rPr>
          <w:i/>
          <w:lang w:val="en-US"/>
        </w:rPr>
        <w:t>Ley 7/2010, de 31 de marzo, General de la Comunicación Audiovisual</w:t>
      </w:r>
      <w:r w:rsidRPr="003C4D9E">
        <w:rPr>
          <w:lang w:val="en-US"/>
        </w:rPr>
        <w:t xml:space="preserve"> [Law 7/2010 of 31 March, General Law on Audiovisual Communication] foresaw the creation of the </w:t>
      </w:r>
      <w:r w:rsidRPr="003C4D9E">
        <w:rPr>
          <w:i/>
          <w:lang w:val="en-US"/>
        </w:rPr>
        <w:t>Consejo Estatal de Medios Audiovisuales</w:t>
      </w:r>
      <w:r w:rsidRPr="003C4D9E">
        <w:rPr>
          <w:lang w:val="en-US"/>
        </w:rPr>
        <w:t xml:space="preserve"> [State Council on Audiovisual Media] as a regulatory and supervisory organ for the sector and which would exercise its authority under the principle of independence from political and economic powers. This Council would have the authority to impose sanctions and its principal responsibilities would include guaranteeing transparency and pluralism as well as and independence and impartiality of public media and fulfillment of its function as a public service.</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State Council on Audiovisual Media was not formed and after the passing of </w:t>
      </w:r>
      <w:r w:rsidRPr="003C4D9E">
        <w:rPr>
          <w:i/>
          <w:lang w:val="en-US"/>
        </w:rPr>
        <w:t>Ley 3/2013, de 4 de junio, de creación de la</w:t>
      </w:r>
      <w:r w:rsidRPr="003C4D9E">
        <w:rPr>
          <w:lang w:val="en-US"/>
        </w:rPr>
        <w:t xml:space="preserve"> </w:t>
      </w:r>
      <w:r w:rsidRPr="003C4D9E">
        <w:rPr>
          <w:i/>
          <w:lang w:val="en-US"/>
        </w:rPr>
        <w:t>Comisión Nacional de los Mercados y la Competencia</w:t>
      </w:r>
      <w:r w:rsidRPr="003C4D9E">
        <w:rPr>
          <w:lang w:val="en-US"/>
        </w:rPr>
        <w:t xml:space="preserve"> [Law 3/2013 of 4 June for the creation of the National Commission of Markets and Competition] those functions initially assigned to the State Council on Audiovisual Media were assigned to this new body, along with those previously carried out by other regulatory bodies.</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Ombudsman Institution again reaffirms the benefit of recovering the </w:t>
      </w:r>
      <w:r w:rsidRPr="003C4D9E">
        <w:rPr>
          <w:i/>
          <w:lang w:val="en-US"/>
        </w:rPr>
        <w:t>non nata</w:t>
      </w:r>
      <w:r w:rsidRPr="003C4D9E">
        <w:rPr>
          <w:lang w:val="en-US"/>
        </w:rPr>
        <w:t xml:space="preserve"> figure of the State Council on Audiovisual Media in keeping with the existing figures in the majority of European countries, in order to avoid interventionism in state bodies as regards audiovisual material and in the face of any corporatism with the potential to affect agreements among audiovisual service providers.  Concerning this last point, it does not appear that the </w:t>
      </w:r>
      <w:r w:rsidRPr="003C4D9E">
        <w:rPr>
          <w:i/>
          <w:lang w:val="en-US"/>
        </w:rPr>
        <w:t>Código de Autorregulación</w:t>
      </w:r>
      <w:r w:rsidRPr="003C4D9E">
        <w:rPr>
          <w:lang w:val="en-US"/>
        </w:rPr>
        <w:t xml:space="preserve"> [Code of Self-regulation] currently in force guarantees the effectiveness of the rights of young people and minors as regards audiovisual content.</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position of the Ombudsman Institution in this respect was reflected in various </w:t>
      </w:r>
      <w:r>
        <w:rPr>
          <w:b/>
          <w:lang w:val="en-US"/>
        </w:rPr>
        <w:t>Re</w:t>
      </w:r>
      <w:r w:rsidRPr="003C4D9E">
        <w:rPr>
          <w:b/>
          <w:lang w:val="en-US"/>
        </w:rPr>
        <w:t>commendations</w:t>
      </w:r>
      <w:r w:rsidRPr="003C4D9E">
        <w:rPr>
          <w:lang w:val="en-US"/>
        </w:rPr>
        <w:t xml:space="preserve"> included in the report submitted to the Spanish Parliament concerning the protection of minors' rights with respect to television and internet and whose main line of argument centered on the creation and implementation of the State Council on Audiovisual Media which in the end was not formed, its functions and competences being diluted in the National Commission on Markets and Competition.</w:t>
      </w:r>
    </w:p>
    <w:p w:rsidR="001E0DA8" w:rsidRPr="003C4D9E" w:rsidRDefault="001E0DA8" w:rsidP="00E01DA1">
      <w:pPr>
        <w:jc w:val="both"/>
        <w:rPr>
          <w:lang w:val="en-US"/>
        </w:rPr>
      </w:pPr>
    </w:p>
    <w:p w:rsidR="001E0DA8" w:rsidRPr="003C4D9E" w:rsidRDefault="001E0DA8" w:rsidP="00E01DA1">
      <w:pPr>
        <w:pStyle w:val="3"/>
        <w:numPr>
          <w:ilvl w:val="2"/>
          <w:numId w:val="12"/>
        </w:numPr>
        <w:tabs>
          <w:tab w:val="clear" w:pos="624"/>
          <w:tab w:val="clear" w:pos="2624"/>
          <w:tab w:val="left" w:pos="500"/>
        </w:tabs>
        <w:ind w:hanging="2624"/>
        <w:rPr>
          <w:rFonts w:ascii="Times New Roman" w:hAnsi="Times New Roman"/>
          <w:lang w:val="en-US"/>
        </w:rPr>
      </w:pPr>
      <w:bookmarkStart w:id="26" w:name="_Toc349128803"/>
      <w:bookmarkStart w:id="27" w:name="_Toc475979925"/>
      <w:r w:rsidRPr="003C4D9E">
        <w:rPr>
          <w:rFonts w:ascii="Times New Roman" w:hAnsi="Times New Roman"/>
          <w:lang w:val="en-US"/>
        </w:rPr>
        <w:t>Security and digital literacy</w:t>
      </w:r>
      <w:bookmarkEnd w:id="26"/>
      <w:bookmarkEnd w:id="27"/>
    </w:p>
    <w:p w:rsidR="001E0DA8" w:rsidRPr="003C4D9E" w:rsidRDefault="001E0DA8" w:rsidP="00E01DA1">
      <w:pPr>
        <w:pStyle w:val="Default"/>
        <w:jc w:val="both"/>
        <w:rPr>
          <w:bCs/>
          <w:lang w:val="en-US"/>
        </w:rPr>
      </w:pPr>
    </w:p>
    <w:p w:rsidR="001E0DA8" w:rsidRPr="003C4D9E" w:rsidRDefault="001E0DA8" w:rsidP="00E01DA1">
      <w:pPr>
        <w:pStyle w:val="Default"/>
        <w:jc w:val="both"/>
        <w:rPr>
          <w:bCs/>
          <w:lang w:val="en-US"/>
        </w:rPr>
      </w:pPr>
      <w:r w:rsidRPr="003C4D9E">
        <w:rPr>
          <w:bCs/>
          <w:lang w:val="en-US"/>
        </w:rPr>
        <w:t xml:space="preserve">Legislation imposing age limits on minors’ access to social networks is not currently in existence. Some of the more popular social networks have set a user age limit, in spite of it being common practice for minors to lie about their age in order to participate and access networks. Social networks do not require the provision of an identity document, nor are ages effectively verified. The system is subject to self-regulation by sector businesses. </w:t>
      </w:r>
    </w:p>
    <w:p w:rsidR="001E0DA8" w:rsidRPr="003C4D9E" w:rsidRDefault="001E0DA8" w:rsidP="00E01DA1">
      <w:pPr>
        <w:pStyle w:val="Default"/>
        <w:jc w:val="both"/>
        <w:rPr>
          <w:bCs/>
          <w:lang w:val="en-US"/>
        </w:rPr>
      </w:pPr>
    </w:p>
    <w:p w:rsidR="001E0DA8" w:rsidRPr="003C4D9E" w:rsidRDefault="001E0DA8" w:rsidP="00CD409E">
      <w:pPr>
        <w:pStyle w:val="Default"/>
        <w:jc w:val="both"/>
        <w:rPr>
          <w:bCs/>
          <w:lang w:val="en-US"/>
        </w:rPr>
      </w:pPr>
      <w:r w:rsidRPr="003C4D9E">
        <w:rPr>
          <w:bCs/>
          <w:lang w:val="en-US"/>
        </w:rPr>
        <w:t>Understanding on the part of children and adolescents and their awareness with respect to the importance of their personal data and the consequences of its being shared must be improved, as well as the risks of incorrect Internet use.</w:t>
      </w:r>
    </w:p>
    <w:p w:rsidR="001E0DA8" w:rsidRPr="003C4D9E" w:rsidRDefault="001E0DA8" w:rsidP="00E01DA1">
      <w:pPr>
        <w:jc w:val="both"/>
        <w:rPr>
          <w:lang w:val="en-US"/>
        </w:rPr>
      </w:pPr>
    </w:p>
    <w:p w:rsidR="001E0DA8" w:rsidRPr="003C4D9E" w:rsidRDefault="001E0DA8" w:rsidP="00E01DA1">
      <w:pPr>
        <w:jc w:val="both"/>
        <w:rPr>
          <w:lang w:val="en-US"/>
        </w:rPr>
      </w:pPr>
    </w:p>
    <w:p w:rsidR="001E0DA8" w:rsidRPr="003C4D9E" w:rsidRDefault="001E0DA8" w:rsidP="00E01DA1">
      <w:pPr>
        <w:pStyle w:val="1"/>
        <w:numPr>
          <w:ilvl w:val="0"/>
          <w:numId w:val="12"/>
        </w:numPr>
        <w:jc w:val="both"/>
        <w:rPr>
          <w:rFonts w:ascii="Times New Roman" w:hAnsi="Times New Roman"/>
          <w:sz w:val="24"/>
          <w:lang w:val="en-US"/>
        </w:rPr>
      </w:pPr>
      <w:bookmarkStart w:id="28" w:name="_Toc349128804"/>
      <w:bookmarkStart w:id="29" w:name="_Toc475979926"/>
      <w:r w:rsidRPr="003C4D9E">
        <w:rPr>
          <w:rFonts w:ascii="Times New Roman" w:hAnsi="Times New Roman"/>
          <w:sz w:val="24"/>
          <w:lang w:val="en-US"/>
        </w:rPr>
        <w:t>FAMILY ENVIRONMENT AND ALTERNATIVE METHODS OF CARE</w:t>
      </w:r>
      <w:bookmarkEnd w:id="28"/>
      <w:bookmarkEnd w:id="29"/>
    </w:p>
    <w:p w:rsidR="001E0DA8" w:rsidRPr="003C4D9E" w:rsidRDefault="001E0DA8" w:rsidP="00E01DA1">
      <w:pPr>
        <w:ind w:left="180"/>
        <w:jc w:val="both"/>
        <w:rPr>
          <w:b/>
          <w:lang w:val="en-US"/>
        </w:rPr>
      </w:pPr>
    </w:p>
    <w:p w:rsidR="001E0DA8" w:rsidRPr="003C4D9E" w:rsidRDefault="001E0DA8" w:rsidP="00E01DA1">
      <w:pPr>
        <w:pStyle w:val="2"/>
        <w:numPr>
          <w:ilvl w:val="1"/>
          <w:numId w:val="12"/>
        </w:numPr>
        <w:tabs>
          <w:tab w:val="clear" w:pos="624"/>
          <w:tab w:val="left" w:pos="500"/>
        </w:tabs>
        <w:ind w:hanging="710"/>
        <w:rPr>
          <w:rFonts w:ascii="Times New Roman" w:hAnsi="Times New Roman"/>
          <w:sz w:val="24"/>
          <w:lang w:val="en-US"/>
        </w:rPr>
      </w:pPr>
      <w:bookmarkStart w:id="30" w:name="_Toc349128805"/>
      <w:bookmarkStart w:id="31" w:name="_Toc475979927"/>
      <w:r w:rsidRPr="003C4D9E">
        <w:rPr>
          <w:rFonts w:ascii="Times New Roman" w:hAnsi="Times New Roman"/>
          <w:sz w:val="24"/>
          <w:lang w:val="en-US"/>
        </w:rPr>
        <w:t>Family environment</w:t>
      </w:r>
      <w:bookmarkEnd w:id="30"/>
      <w:bookmarkEnd w:id="31"/>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Reforms to </w:t>
      </w:r>
      <w:r w:rsidRPr="003C4D9E">
        <w:rPr>
          <w:i/>
          <w:lang w:val="en-US"/>
        </w:rPr>
        <w:t>Ley 40/2003, de 18 de noviembre, de protección a las familias numerosas</w:t>
      </w:r>
      <w:r w:rsidRPr="003C4D9E">
        <w:rPr>
          <w:lang w:val="en-US"/>
        </w:rPr>
        <w:t xml:space="preserve"> [Law 40/2003 of 18 November on protection for large families] have been experiencing delays for a considerable amount of time. Although progress has been noted, such as the extension of the designation of a large family until the youngest child reaches the age at which this right is lost, a number of modifications for strengthening the protection of at-risk families remain unaddressed (for example, single-parent families, families having a spouse with a disability and two dependent children, or the inclusion under the large family designation of both parents even in the absence of a conjugal relationship). The final fifth ruling of Law 26/2015 is limited to entrusting the government with the remittal of a draft reform of Law 40/2003 to the Spanish Parliament, for the purpose of guaranteeing equal opportunity and access to public assets and services, as well as contributing to the redistribution of family income and wealth, without setting a specific time frame.</w:t>
      </w:r>
    </w:p>
    <w:p w:rsidR="001E0DA8" w:rsidRPr="003C4D9E" w:rsidRDefault="001E0DA8" w:rsidP="00E01DA1">
      <w:pPr>
        <w:jc w:val="both"/>
        <w:rPr>
          <w:lang w:val="en-US"/>
        </w:rPr>
      </w:pPr>
    </w:p>
    <w:p w:rsidR="001E0DA8" w:rsidRDefault="001E0DA8" w:rsidP="00E01DA1">
      <w:pPr>
        <w:jc w:val="both"/>
        <w:rPr>
          <w:lang w:val="en-US"/>
        </w:rPr>
      </w:pPr>
      <w:r w:rsidRPr="003C4D9E">
        <w:rPr>
          <w:lang w:val="en-US"/>
        </w:rPr>
        <w:t>Among the modifications most frequently cited in complaints are the redefinition of conditions under which the family unit and its members may qualify for the large family designation, with inclusion of single-parent families with two dependent children, inclusion of both parents even in the absence of a conjugal relationship, as well as special treatment for separated or divorced families with shared custody or families having one spouse with a disability and two dependent children.</w:t>
      </w:r>
    </w:p>
    <w:p w:rsidR="001E0DA8" w:rsidRDefault="001E0DA8" w:rsidP="00E01DA1">
      <w:pPr>
        <w:jc w:val="both"/>
        <w:rPr>
          <w:lang w:val="en-US"/>
        </w:rPr>
      </w:pPr>
    </w:p>
    <w:p w:rsidR="001E0DA8" w:rsidRPr="003C4D9E" w:rsidRDefault="001E0DA8" w:rsidP="00E01DA1">
      <w:pPr>
        <w:pStyle w:val="2"/>
        <w:numPr>
          <w:ilvl w:val="1"/>
          <w:numId w:val="12"/>
        </w:numPr>
        <w:tabs>
          <w:tab w:val="clear" w:pos="624"/>
          <w:tab w:val="clear" w:pos="710"/>
          <w:tab w:val="left" w:pos="500"/>
        </w:tabs>
        <w:ind w:hanging="710"/>
        <w:rPr>
          <w:rFonts w:ascii="Times New Roman" w:hAnsi="Times New Roman"/>
          <w:sz w:val="24"/>
          <w:lang w:val="en-US"/>
        </w:rPr>
      </w:pPr>
      <w:bookmarkStart w:id="32" w:name="_Toc349128806"/>
      <w:bookmarkStart w:id="33" w:name="_Toc475979928"/>
      <w:r w:rsidRPr="003C4D9E">
        <w:rPr>
          <w:rFonts w:ascii="Times New Roman" w:hAnsi="Times New Roman"/>
          <w:sz w:val="24"/>
          <w:lang w:val="en-US"/>
        </w:rPr>
        <w:t>Alternative methods of care</w:t>
      </w:r>
      <w:bookmarkEnd w:id="32"/>
      <w:bookmarkEnd w:id="33"/>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The reforms introduced in this area contain positive elements called for by the Ombudsman Institution. It has therefore been clearly established that parents' poverty status may not be taken into account when evaluating a case of neglect. In addition, separation of minors from their parents due to disability either of minors or their parents is also prevented. Risk status is developed in greater detail, calling for express administrative resolution of this situation, which to date has been highly imprecise. Likewise, the provision that programs and resources be made available to public entities for the protection of minors for the purpose of supporting and orienting minors within the protection system reaching legal age has been introduced.</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guiding principle behind Law 26/2025, governing administrative intervention in the protection of minors, is the maintenance of children in their original families; where this is not possible the Law regulates the preference of family foster care over residential foster care for children under 6 years of age and, exceptionally, residential foster care for children under 3 years of age.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This provision, which responds to a </w:t>
      </w:r>
      <w:r>
        <w:rPr>
          <w:b/>
          <w:lang w:val="en-US"/>
        </w:rPr>
        <w:t>R</w:t>
      </w:r>
      <w:r w:rsidRPr="003C4D9E">
        <w:rPr>
          <w:b/>
          <w:lang w:val="en-US"/>
        </w:rPr>
        <w:t>ecommendation</w:t>
      </w:r>
      <w:r w:rsidRPr="003C4D9E">
        <w:rPr>
          <w:lang w:val="en-US"/>
        </w:rPr>
        <w:t xml:space="preserve"> put forth by the Ombudsman Institution in 2013, marks a decisive commitment for minors separated from their families to be cared for by another family rather than in a center. Its implementation requires a profound change in administrative intervention, the promotion of foster care, as well as awareness raising, training and monitoring of families volunteering to care for boys or girls.</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The Ombudsman Institution is concerned about the high number of children still remaining in residential foster care. The total number of residential foster care cases as of 31 December 2015 was 13,596 (13,563 in 2014). The total number of family foster care cases as of this same date was 20,172 (19,119 in 2014).  These figures likewise indicate that, throughout the year, new cases opened in the protection system for residential foster care prevailed over those opened for family foster care (11,030 over 4,217 in 2015). Residential foster care is therefore of higher prevalence as an initial measure, in part giving way to family foster care in the medium or long term</w:t>
      </w:r>
      <w:r w:rsidRPr="003C4D9E">
        <w:rPr>
          <w:rStyle w:val="FootnoteReference"/>
          <w:lang w:val="en-US"/>
        </w:rPr>
        <w:footnoteReference w:id="12"/>
      </w:r>
      <w:r w:rsidRPr="003C4D9E">
        <w:rPr>
          <w:lang w:val="en-US"/>
        </w:rPr>
        <w:t xml:space="preserve">. </w:t>
      </w:r>
    </w:p>
    <w:p w:rsidR="001E0DA8" w:rsidRDefault="001E0DA8" w:rsidP="00E01DA1">
      <w:pPr>
        <w:jc w:val="both"/>
        <w:rPr>
          <w:lang w:val="en-US"/>
        </w:rPr>
      </w:pPr>
    </w:p>
    <w:p w:rsidR="001E0DA8" w:rsidRPr="003C4D9E" w:rsidRDefault="001E0DA8" w:rsidP="00E01DA1">
      <w:pPr>
        <w:jc w:val="both"/>
        <w:rPr>
          <w:lang w:val="en-US"/>
        </w:rPr>
      </w:pPr>
      <w:r w:rsidRPr="003C4D9E">
        <w:rPr>
          <w:lang w:val="en-US"/>
        </w:rPr>
        <w:t xml:space="preserve">Moreover, published statistics clearly show that in recent years significant reductions in residential foster care in favor of family foster care have not taken place. Various studies as well as the media echo the lack of progress produced in this area and the high number of children and adolescents spending too much time in residential centers. For this reason, the Ombudsman Institution deems it necessary to implement additional measures which provide incentives for family foster care and adoption.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The Ombudsman Institution has requested information from all autonomous communities and from the Ministry of Health, Social Services and Equality concerning those programs designed to promote family foster care and adoption of these children, the difficulties encountered and the evaluation thereof, as well as the human and material resources available for the promotion of family foster care for minors and the discharge of children from residential centers. An understanding of the assistance available for foster families, as opposed to that which is applicable to large families, non-relative foster families or professional foster families, is highly relevant when it comes to evaluating the system. Of similar relevance is an understanding of the current offering of emergency foster care, its anticipated duration, the assistance received by families in such cases, as well as the problems and benefits.</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An increase in the number of families qualified to provide professional foster care thus appears necessary, especially for cases of children and adolescents in situations of particular vulnerability or with special needs.</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The law defines the general criteria for evaluating foster care suitability. However, as is the case with adopting families, the development of such evaluations and the procedure to be followed corresponds to public bodies. It is necessary for the competent administrations to improve coordination in order to standardize procedures and provide the system with greater security and agility.</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In this regard, the Ombudsman Institution has warned of the need for the Administrations to pay utmost attention to the progressive adaptation of children</w:t>
      </w:r>
      <w:r>
        <w:rPr>
          <w:lang w:val="en-US"/>
        </w:rPr>
        <w:t xml:space="preserve">  -</w:t>
      </w:r>
      <w:r w:rsidRPr="003C4D9E">
        <w:rPr>
          <w:lang w:val="en-US"/>
        </w:rPr>
        <w:t>frequently babies- to their new environment and to the exch</w:t>
      </w:r>
      <w:r>
        <w:rPr>
          <w:lang w:val="en-US"/>
        </w:rPr>
        <w:t>ange of experiences among caregivers</w:t>
      </w:r>
      <w:r w:rsidRPr="003C4D9E">
        <w:rPr>
          <w:lang w:val="en-US"/>
        </w:rPr>
        <w:t xml:space="preserve"> when changing from a temporary family foster care home to more stable measures such as adoption over a prolonged period of time. The lack of consolidated guidelines in this respect has been noted.</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As a consequence of their reform, Articles 160 and 161 of the Civil Code attribute responsibility for establishing, regulating or suspending visits and communication of minors with parents and immediate family to the state protective body.  Suspension has such a transcendental effect on rights that, in the opinion of the Ombudsman Institution, it must be ratified by a judge, without prejudice to the immediate measures which may be implemented in the minor’s interest. In spite of the said ratification not being foreseen in the legislation, it is a positive step that the minor is expressly established as a legitimate subject of argument before a judge.</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The reform of regulations protecting children and adolescents has included the provision in Article 172 of the Civil Code that the guardianship of minors by a public body cease 6 months after a minor has left a center of protection, without a placement having been found. This legal provision presents potential problems for the protection of children themselves, as well as for general legal safety. Although the Ombudsman Institution highlighted these questions at the time, the law was eventually passed exactly as planned.</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On certain occasions the administration's actions have proven inefficient as regards the full guarantee of the welfare of minors under its care. This was demonstrated in the case of five siblings whose parents failed to collaborate in any way with the public body in question and even enabled sexual abuse crimes to be committed against two of their daughters. From the information provided, it has been deduced that, in spite of multiple resources having been allocated since this serious lack of protection became known in 2006, the children escaped numerous times, leading to repetition of the aforementioned behavior.  In cases of such complexity, the mere suspension of parental visits has proven to be insufficient, such that it would be necessary to revise the protocols for action in these high-risk cases.</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In concluding this section, it is necessary to mention that the legal system for the protection of minors is based on a number of administrative bodies with highly comprehensive powers. Regulatory reform has strengthened administrative action in protection cases. In keeping with this, time frames for legal opposition to administrative resolutions imposing protective measures have been reduced (from 3 to 2 months). Moreover, since the reform, sentences going against decisions made by administrations as regards protection may not be the object of provisional execution where appeal is made. Given the average times for the resolution of legal proceedings, this may render decisions made by the Public Administration unassailable in practical terms, since provincial courts are obliged to safeguard the best interests of minors and in many cases they need to take the time which has elapsed and the impact that a new change will have on a minor's development into account.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For this reason, the Ombudsman Institution has </w:t>
      </w:r>
      <w:r w:rsidRPr="003C4D9E">
        <w:rPr>
          <w:b/>
          <w:lang w:val="en-US"/>
        </w:rPr>
        <w:t>recommended</w:t>
      </w:r>
      <w:r w:rsidRPr="003C4D9E">
        <w:rPr>
          <w:lang w:val="en-US"/>
        </w:rPr>
        <w:t xml:space="preserve"> a review of the procedural model for opposing administrative measures for protection, with a view to significantly reducing judicial resolution times and, where this is not considered possible without weakening either parties' rights, the variation of the said model towards a system of review and obligatory legal ratification of administrative decisions.  </w:t>
      </w:r>
    </w:p>
    <w:p w:rsidR="001E0DA8" w:rsidRPr="003C4D9E" w:rsidRDefault="001E0DA8" w:rsidP="00E01DA1">
      <w:pPr>
        <w:jc w:val="both"/>
        <w:rPr>
          <w:lang w:val="en-US"/>
        </w:rPr>
      </w:pPr>
    </w:p>
    <w:p w:rsidR="001E0DA8" w:rsidRPr="003C4D9E" w:rsidRDefault="001E0DA8" w:rsidP="00E01DA1">
      <w:pPr>
        <w:pStyle w:val="2"/>
        <w:numPr>
          <w:ilvl w:val="1"/>
          <w:numId w:val="12"/>
        </w:numPr>
        <w:tabs>
          <w:tab w:val="clear" w:pos="624"/>
          <w:tab w:val="clear" w:pos="710"/>
          <w:tab w:val="left" w:pos="500"/>
        </w:tabs>
        <w:ind w:hanging="710"/>
        <w:rPr>
          <w:rFonts w:ascii="Times New Roman" w:hAnsi="Times New Roman"/>
          <w:sz w:val="24"/>
          <w:lang w:val="en-US"/>
        </w:rPr>
      </w:pPr>
      <w:bookmarkStart w:id="34" w:name="_Toc349128807"/>
      <w:bookmarkStart w:id="35" w:name="_Toc475979929"/>
      <w:r w:rsidRPr="003C4D9E">
        <w:rPr>
          <w:rFonts w:ascii="Times New Roman" w:hAnsi="Times New Roman"/>
          <w:sz w:val="24"/>
          <w:lang w:val="en-US"/>
        </w:rPr>
        <w:t>Adoption</w:t>
      </w:r>
      <w:bookmarkEnd w:id="34"/>
      <w:bookmarkEnd w:id="35"/>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reforms introduced through Law 26/2015 in the </w:t>
      </w:r>
      <w:r w:rsidRPr="003C4D9E">
        <w:rPr>
          <w:i/>
          <w:lang w:val="en-US"/>
        </w:rPr>
        <w:t>Ley de Adopción Internacional</w:t>
      </w:r>
      <w:r w:rsidRPr="003C4D9E">
        <w:rPr>
          <w:lang w:val="en-US"/>
        </w:rPr>
        <w:t xml:space="preserve"> [Law on International Adoption] merit favorable consideration. Nevertheless, strengthening measures to achieve maximum coordination and collaboration among the public administrations remains necessary, especially as regards the standardization of procedures, time frames and costs.</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In recent years the Ombudsman Institution has received a significant number of complaints concerning the monitoring of minors, families and their environment as required by the countries of origin of minors adopted outside of Spain. Monitoring requirements vary according to the country of origin, to which variation from the responsible Spanish authority can be added. Such monitoring has given rise to reports of poor practices, the high cost of monitoring and the lack of guarantees with respect to data protected by </w:t>
      </w:r>
      <w:r>
        <w:rPr>
          <w:lang w:val="en-US"/>
        </w:rPr>
        <w:t>law —</w:t>
      </w:r>
      <w:r w:rsidRPr="003C4D9E">
        <w:rPr>
          <w:lang w:val="en-US"/>
        </w:rPr>
        <w:t>photos of minors, their families and friends; statements of income and assets; and</w:t>
      </w:r>
      <w:r>
        <w:rPr>
          <w:lang w:val="en-US"/>
        </w:rPr>
        <w:t xml:space="preserve"> medical reports, among others</w:t>
      </w:r>
      <w:r w:rsidRPr="003C4D9E">
        <w:rPr>
          <w:lang w:val="en-US"/>
        </w:rPr>
        <w:t xml:space="preserve">— since the interested parties lack certainty as to how the data is managed, who it is shared with or what use is made of such data in recipient countries.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In coordination meetings among autonomous communities a commitment was obtained from the Office of the Secretary of State for Social Services and Equality for the undertaking of a possible standardization of procedures, time frames and costs, although the issue would also require consensus to be reached with the countries of origin imposing the monitoring requirement.</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It would be desirable to </w:t>
      </w:r>
      <w:r>
        <w:rPr>
          <w:lang w:val="en-US"/>
        </w:rPr>
        <w:t>report</w:t>
      </w:r>
      <w:r w:rsidRPr="003C4D9E">
        <w:rPr>
          <w:lang w:val="en-US"/>
        </w:rPr>
        <w:t xml:space="preserve"> the possibility of </w:t>
      </w:r>
      <w:r>
        <w:rPr>
          <w:lang w:val="en-US"/>
        </w:rPr>
        <w:t xml:space="preserve">setting up </w:t>
      </w:r>
      <w:r w:rsidRPr="003C4D9E">
        <w:rPr>
          <w:lang w:val="en-US"/>
        </w:rPr>
        <w:t xml:space="preserve">single adoption registry for the entire </w:t>
      </w:r>
      <w:r>
        <w:rPr>
          <w:lang w:val="en-US"/>
        </w:rPr>
        <w:t>national territory of Spain</w:t>
      </w:r>
      <w:r w:rsidRPr="003C4D9E">
        <w:rPr>
          <w:lang w:val="en-US"/>
        </w:rPr>
        <w:t>, which would allow for greater agility and efficiency.</w:t>
      </w:r>
    </w:p>
    <w:p w:rsidR="001E0DA8" w:rsidRPr="003C4D9E" w:rsidRDefault="001E0DA8" w:rsidP="00E01DA1">
      <w:pPr>
        <w:jc w:val="both"/>
        <w:rPr>
          <w:lang w:val="en-US"/>
        </w:rPr>
      </w:pPr>
    </w:p>
    <w:p w:rsidR="001E0DA8" w:rsidRPr="003C4D9E" w:rsidRDefault="001E0DA8" w:rsidP="00E01DA1">
      <w:pPr>
        <w:pStyle w:val="2"/>
        <w:numPr>
          <w:ilvl w:val="1"/>
          <w:numId w:val="12"/>
        </w:numPr>
        <w:tabs>
          <w:tab w:val="clear" w:pos="624"/>
          <w:tab w:val="clear" w:pos="710"/>
          <w:tab w:val="left" w:pos="500"/>
        </w:tabs>
        <w:ind w:hanging="710"/>
        <w:rPr>
          <w:rFonts w:ascii="Times New Roman" w:hAnsi="Times New Roman"/>
          <w:sz w:val="24"/>
          <w:lang w:val="en-US"/>
        </w:rPr>
      </w:pPr>
      <w:bookmarkStart w:id="36" w:name="_Toc349128808"/>
      <w:bookmarkStart w:id="37" w:name="_Toc475979930"/>
      <w:r w:rsidRPr="003C4D9E">
        <w:rPr>
          <w:rFonts w:ascii="Times New Roman" w:hAnsi="Times New Roman"/>
          <w:sz w:val="24"/>
          <w:lang w:val="en-US"/>
        </w:rPr>
        <w:t>Children and adolescents with behavioral problems</w:t>
      </w:r>
      <w:bookmarkEnd w:id="36"/>
      <w:bookmarkEnd w:id="37"/>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In 2009, the Ombudsman Institution prepared a </w:t>
      </w:r>
      <w:r>
        <w:rPr>
          <w:lang w:val="en-US"/>
        </w:rPr>
        <w:t>report</w:t>
      </w:r>
      <w:r w:rsidRPr="003C4D9E">
        <w:rPr>
          <w:lang w:val="en-US"/>
        </w:rPr>
        <w:t xml:space="preserve"> entitled </w:t>
      </w:r>
      <w:r w:rsidRPr="003C4D9E">
        <w:rPr>
          <w:i/>
          <w:lang w:val="en-US"/>
        </w:rPr>
        <w:t>Centros de protección de menores con trastorno de conducta y en situación de dificultad social [Protection centers for minors with behavioral disorders and in a state of social difficulty]</w:t>
      </w:r>
      <w:r w:rsidRPr="003C4D9E">
        <w:rPr>
          <w:rStyle w:val="FootnoteReference"/>
          <w:lang w:val="en-US"/>
        </w:rPr>
        <w:footnoteReference w:id="13"/>
      </w:r>
      <w:r w:rsidRPr="003C4D9E">
        <w:rPr>
          <w:i/>
          <w:lang w:val="en-US"/>
        </w:rPr>
        <w:t xml:space="preserve">, </w:t>
      </w:r>
      <w:r w:rsidRPr="003C4D9E">
        <w:rPr>
          <w:lang w:val="en-US"/>
        </w:rPr>
        <w:t xml:space="preserve">which confirmed deprivation of liberty and limitation of fundamental rights for minors admitted to this type of center. The report confirmed the absence of a legal framework of sufficient standing and cover for the entire national territory which guaranteed the rights of minors in these centers.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In its preamble, the new Organic Law 8/2015 alludes to the Ombudsman Institution's report as the principal reference, establishes this legal framework and includes several of the </w:t>
      </w:r>
      <w:r>
        <w:rPr>
          <w:b/>
          <w:lang w:val="en-US"/>
        </w:rPr>
        <w:t>R</w:t>
      </w:r>
      <w:r w:rsidRPr="003C4D9E">
        <w:rPr>
          <w:b/>
          <w:lang w:val="en-US"/>
        </w:rPr>
        <w:t>ecommendations</w:t>
      </w:r>
      <w:r w:rsidRPr="003C4D9E">
        <w:rPr>
          <w:lang w:val="en-US"/>
        </w:rPr>
        <w:t xml:space="preserve"> made by this Institution. The legislator has likewise taken into account some of the observations made by the Ombudsman Institution in its visits to these centers and for the purpose of the draft bill of the legal text.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new law defines these centers as specific resources designed to provide minors with a more highly structured socio-educational and psychotherapeutical context, which on no account may be conceived as instruments of social defense against conflictive minors.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The legal definition provided by the law of the factual premise for admission to these centers (Article 25.1 Organic Law 1/1996, introduced by Organic Law 8/2015) should be the object of greater legal precision. The remainder of the regulation is likewise imprecise as regards the deprivation of liberty, especially in determining the maximum duration time and weakened control both of situations of containment and sanctions.</w:t>
      </w:r>
    </w:p>
    <w:p w:rsidR="001E0DA8" w:rsidRDefault="001E0DA8" w:rsidP="00E01DA1">
      <w:pPr>
        <w:jc w:val="both"/>
        <w:rPr>
          <w:lang w:val="en-US"/>
        </w:rPr>
      </w:pPr>
    </w:p>
    <w:p w:rsidR="001E0DA8" w:rsidRPr="003C4D9E" w:rsidRDefault="001E0DA8" w:rsidP="00E01DA1">
      <w:pPr>
        <w:jc w:val="both"/>
        <w:rPr>
          <w:lang w:val="en-US"/>
        </w:rPr>
      </w:pPr>
    </w:p>
    <w:p w:rsidR="001E0DA8" w:rsidRPr="003C4D9E" w:rsidRDefault="001E0DA8" w:rsidP="00E01DA1">
      <w:pPr>
        <w:pStyle w:val="1"/>
        <w:numPr>
          <w:ilvl w:val="0"/>
          <w:numId w:val="12"/>
        </w:numPr>
        <w:tabs>
          <w:tab w:val="clear" w:pos="624"/>
        </w:tabs>
        <w:rPr>
          <w:rFonts w:ascii="Times New Roman" w:hAnsi="Times New Roman"/>
          <w:sz w:val="24"/>
          <w:lang w:val="en-US"/>
        </w:rPr>
      </w:pPr>
      <w:r w:rsidRPr="003C4D9E">
        <w:rPr>
          <w:rFonts w:ascii="Times New Roman" w:hAnsi="Times New Roman"/>
          <w:sz w:val="24"/>
          <w:lang w:val="en-US"/>
        </w:rPr>
        <w:t xml:space="preserve"> </w:t>
      </w:r>
      <w:bookmarkStart w:id="38" w:name="_Toc349128809"/>
      <w:bookmarkStart w:id="39" w:name="_Toc475979931"/>
      <w:r w:rsidRPr="003C4D9E">
        <w:rPr>
          <w:rFonts w:ascii="Times New Roman" w:hAnsi="Times New Roman"/>
          <w:sz w:val="24"/>
          <w:lang w:val="en-US"/>
        </w:rPr>
        <w:t>DISABILITY, BASIC HEALTH AND WELFARE</w:t>
      </w:r>
      <w:bookmarkEnd w:id="38"/>
      <w:bookmarkEnd w:id="39"/>
    </w:p>
    <w:p w:rsidR="001E0DA8" w:rsidRPr="003C4D9E" w:rsidRDefault="001E0DA8" w:rsidP="00E01DA1">
      <w:pPr>
        <w:jc w:val="both"/>
        <w:rPr>
          <w:b/>
          <w:lang w:val="en-US"/>
        </w:rPr>
      </w:pPr>
    </w:p>
    <w:p w:rsidR="001E0DA8" w:rsidRPr="003C4D9E" w:rsidRDefault="001E0DA8" w:rsidP="00E01DA1">
      <w:pPr>
        <w:pStyle w:val="2"/>
        <w:numPr>
          <w:ilvl w:val="1"/>
          <w:numId w:val="12"/>
        </w:numPr>
        <w:tabs>
          <w:tab w:val="clear" w:pos="624"/>
          <w:tab w:val="clear" w:pos="710"/>
          <w:tab w:val="num" w:pos="600"/>
        </w:tabs>
        <w:ind w:hanging="710"/>
        <w:rPr>
          <w:rFonts w:ascii="Times New Roman" w:hAnsi="Times New Roman"/>
          <w:sz w:val="24"/>
          <w:lang w:val="en-US"/>
        </w:rPr>
      </w:pPr>
      <w:bookmarkStart w:id="40" w:name="_Toc349128810"/>
      <w:bookmarkStart w:id="41" w:name="_Toc475979932"/>
      <w:r w:rsidRPr="003C4D9E">
        <w:rPr>
          <w:rFonts w:ascii="Times New Roman" w:hAnsi="Times New Roman"/>
          <w:sz w:val="24"/>
          <w:lang w:val="en-US"/>
        </w:rPr>
        <w:t>Children and adolescents with disabilities</w:t>
      </w:r>
      <w:bookmarkEnd w:id="40"/>
      <w:bookmarkEnd w:id="41"/>
    </w:p>
    <w:p w:rsidR="001E0DA8" w:rsidRPr="003C4D9E" w:rsidRDefault="001E0DA8" w:rsidP="00E01DA1">
      <w:pPr>
        <w:jc w:val="both"/>
        <w:rPr>
          <w:b/>
          <w:lang w:val="en-US"/>
        </w:rPr>
      </w:pPr>
    </w:p>
    <w:p w:rsidR="001E0DA8" w:rsidRPr="003C4D9E" w:rsidRDefault="001E0DA8" w:rsidP="00E01DA1">
      <w:pPr>
        <w:jc w:val="both"/>
        <w:rPr>
          <w:lang w:val="en-US"/>
        </w:rPr>
      </w:pPr>
      <w:r w:rsidRPr="003C4D9E">
        <w:rPr>
          <w:lang w:val="en-US"/>
        </w:rPr>
        <w:t xml:space="preserve">Early care is considered an indispensible measure for an integrated approach and the prevention of disabilities, such that it must be granted at the soonest possible instance, as indicated in Article 13 of the </w:t>
      </w:r>
      <w:r w:rsidRPr="003C4D9E">
        <w:rPr>
          <w:i/>
          <w:lang w:val="en-US"/>
        </w:rPr>
        <w:t>Texto refundido de la Ley General de derechos de las personas con discapacidad y de su inclusión social</w:t>
      </w:r>
      <w:r w:rsidRPr="003C4D9E">
        <w:rPr>
          <w:lang w:val="en-US"/>
        </w:rPr>
        <w:t xml:space="preserve"> [Consolidated Version of the General Law on the rights of people with disabilities and on their social inclusion]. The lack or insufficiency of effective resources </w:t>
      </w:r>
      <w:r w:rsidRPr="003C4D9E">
        <w:rPr>
          <w:b/>
          <w:lang w:val="en-US"/>
        </w:rPr>
        <w:t xml:space="preserve">has prompted the </w:t>
      </w:r>
      <w:r>
        <w:rPr>
          <w:b/>
          <w:lang w:val="en-US"/>
        </w:rPr>
        <w:t xml:space="preserve">attention of </w:t>
      </w:r>
      <w:r w:rsidRPr="003C4D9E">
        <w:rPr>
          <w:b/>
          <w:lang w:val="en-US"/>
        </w:rPr>
        <w:t>Ombudsman Institution</w:t>
      </w:r>
      <w:r w:rsidRPr="003C4D9E">
        <w:rPr>
          <w:lang w:val="en-US"/>
        </w:rPr>
        <w:t xml:space="preserve"> in recent years.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The work carried out by various autonomous communities to increase services has been observed. In this sense, for example, the Community of Madrid indicated that 287 new early care spots were created between 2014 and 2015, although 1,572 children are still on waiting lists for centers of this type</w:t>
      </w:r>
      <w:r>
        <w:rPr>
          <w:lang w:val="en-US"/>
        </w:rPr>
        <w:t xml:space="preserve">. </w:t>
      </w:r>
      <w:r w:rsidRPr="003C4D9E">
        <w:rPr>
          <w:lang w:val="en-US"/>
        </w:rPr>
        <w:t xml:space="preserve"> </w:t>
      </w:r>
      <w:r>
        <w:rPr>
          <w:lang w:val="en-US"/>
        </w:rPr>
        <w:t>T</w:t>
      </w:r>
      <w:r w:rsidRPr="003C4D9E">
        <w:rPr>
          <w:lang w:val="en-US"/>
        </w:rPr>
        <w:t xml:space="preserve">he Community of Madrid </w:t>
      </w:r>
      <w:r>
        <w:rPr>
          <w:lang w:val="en-US"/>
        </w:rPr>
        <w:t>can not</w:t>
      </w:r>
      <w:r w:rsidRPr="003C4D9E">
        <w:rPr>
          <w:lang w:val="en-US"/>
        </w:rPr>
        <w:t xml:space="preserve"> to establish an</w:t>
      </w:r>
      <w:r>
        <w:rPr>
          <w:lang w:val="en-US"/>
        </w:rPr>
        <w:t xml:space="preserve"> </w:t>
      </w:r>
      <w:r w:rsidRPr="003C4D9E">
        <w:rPr>
          <w:lang w:val="en-US"/>
        </w:rPr>
        <w:t xml:space="preserve">average wait time </w:t>
      </w:r>
      <w:r>
        <w:rPr>
          <w:lang w:val="en-US"/>
        </w:rPr>
        <w:t>because</w:t>
      </w:r>
      <w:r w:rsidRPr="003C4D9E">
        <w:rPr>
          <w:lang w:val="en-US"/>
        </w:rPr>
        <w:t xml:space="preserve"> this depends in large part on each child's pathology and situation. The impact of this situation on the prospects for improvement for these children and their families, especially those with fewer resources, compels the Ombudsman Institution to continue its search for possible measures for strengthening, optimization and greater transparency in accessing these resources.</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As regards the attention given to situations of dependency, the Institution is holding open an investigation on the application of the scale of evaluation for these situations to children and the particular demands that such an evaluation poses with respect to minors. Furthermore, the Institution advocates an extension of the Scale of Specific Evaluation (abbreviated as EVE in Spanish) currently applied up to three years of age in evaluation processes, to include the three-to-six-year age range. </w:t>
      </w:r>
    </w:p>
    <w:p w:rsidR="001E0DA8" w:rsidRPr="003C4D9E" w:rsidRDefault="001E0DA8" w:rsidP="00E01DA1">
      <w:pPr>
        <w:jc w:val="both"/>
        <w:rPr>
          <w:lang w:val="en-US"/>
        </w:rPr>
      </w:pPr>
    </w:p>
    <w:p w:rsidR="001E0DA8" w:rsidRDefault="001E0DA8" w:rsidP="00E01DA1">
      <w:pPr>
        <w:jc w:val="both"/>
        <w:rPr>
          <w:lang w:val="en-US"/>
        </w:rPr>
      </w:pPr>
      <w:r w:rsidRPr="003C4D9E">
        <w:rPr>
          <w:lang w:val="en-US"/>
        </w:rPr>
        <w:t xml:space="preserve">Regarding the scale for determining the degree of disability, diverse criteria for its application have been noted, for example in the case of minors with neoplasia. The Institute for the Elderly and Social Services (abbreviated as IMSERSO in Spanish) for the Ministry of Health, Social Services and Equality indicated that it had received several requests for the unification of guidelines concerning Chapter 11 of Royal Decree 1971/1999 which regulates the procedure for the recognition and classification of degree of disability, such that a meeting is anticipated for the Plenary Session of the </w:t>
      </w:r>
      <w:r w:rsidRPr="003C4D9E">
        <w:rPr>
          <w:i/>
          <w:lang w:val="en-US"/>
        </w:rPr>
        <w:t>Comisión Nacional de Valoración del Grado de Discapacidad</w:t>
      </w:r>
      <w:r w:rsidRPr="003C4D9E">
        <w:rPr>
          <w:lang w:val="en-US"/>
        </w:rPr>
        <w:t xml:space="preserve"> [National Commission for the Evaluation of the Degree of Disability] for the coordination of guidelines this issue.</w:t>
      </w:r>
    </w:p>
    <w:p w:rsidR="001E0DA8" w:rsidRPr="003C4D9E" w:rsidRDefault="001E0DA8" w:rsidP="00E01DA1">
      <w:pPr>
        <w:jc w:val="both"/>
        <w:rPr>
          <w:lang w:val="en-US"/>
        </w:rPr>
      </w:pPr>
    </w:p>
    <w:p w:rsidR="001E0DA8" w:rsidRPr="003C4D9E" w:rsidRDefault="001E0DA8" w:rsidP="00E01DA1">
      <w:pPr>
        <w:pStyle w:val="Default"/>
        <w:jc w:val="both"/>
        <w:rPr>
          <w:bCs/>
          <w:lang w:val="en-US"/>
        </w:rPr>
      </w:pPr>
      <w:r w:rsidRPr="003C4D9E">
        <w:rPr>
          <w:bCs/>
          <w:lang w:val="en-US"/>
        </w:rPr>
        <w:t>As regards the rights of children and adolescents with disabilities, the Ombudsman Institution must also mention th</w:t>
      </w:r>
      <w:r>
        <w:rPr>
          <w:bCs/>
          <w:lang w:val="en-US"/>
        </w:rPr>
        <w:t xml:space="preserve">at </w:t>
      </w:r>
      <w:r w:rsidRPr="003C4D9E">
        <w:rPr>
          <w:bCs/>
          <w:i/>
          <w:lang w:val="en-US"/>
        </w:rPr>
        <w:t>II Plan Nacional de Accesibilidad</w:t>
      </w:r>
      <w:r w:rsidRPr="003C4D9E">
        <w:rPr>
          <w:bCs/>
          <w:lang w:val="en-US"/>
        </w:rPr>
        <w:t xml:space="preserve"> [2nd National Plan of Access]</w:t>
      </w:r>
      <w:r>
        <w:rPr>
          <w:bCs/>
          <w:lang w:val="en-US"/>
        </w:rPr>
        <w:t xml:space="preserve"> has not yet been approved</w:t>
      </w:r>
      <w:r w:rsidRPr="003C4D9E">
        <w:rPr>
          <w:bCs/>
          <w:lang w:val="en-US"/>
        </w:rPr>
        <w:t xml:space="preserve">. </w:t>
      </w:r>
    </w:p>
    <w:p w:rsidR="001E0DA8" w:rsidRPr="003C4D9E" w:rsidRDefault="001E0DA8" w:rsidP="00E01DA1">
      <w:pPr>
        <w:pStyle w:val="Default"/>
        <w:jc w:val="both"/>
        <w:rPr>
          <w:bCs/>
          <w:lang w:val="en-US"/>
        </w:rPr>
      </w:pPr>
    </w:p>
    <w:p w:rsidR="001E0DA8" w:rsidRPr="003C4D9E" w:rsidRDefault="001E0DA8" w:rsidP="00E01DA1">
      <w:pPr>
        <w:pStyle w:val="Default"/>
        <w:jc w:val="both"/>
        <w:rPr>
          <w:bCs/>
          <w:lang w:val="en-US"/>
        </w:rPr>
      </w:pPr>
      <w:r w:rsidRPr="003C4D9E">
        <w:rPr>
          <w:bCs/>
          <w:lang w:val="en-US"/>
        </w:rPr>
        <w:t xml:space="preserve">It should be recalled that the Committee on the Rights of the Child expressed gratitude for and highlighted the passing of the </w:t>
      </w:r>
      <w:r w:rsidRPr="003C4D9E">
        <w:rPr>
          <w:bCs/>
          <w:i/>
          <w:lang w:val="en-US"/>
        </w:rPr>
        <w:t>I Plan Nacional de Accesibilidad</w:t>
      </w:r>
      <w:r w:rsidRPr="003C4D9E">
        <w:rPr>
          <w:bCs/>
          <w:lang w:val="en-US"/>
        </w:rPr>
        <w:t xml:space="preserve"> [1st National Plan of Access] 2004-2012 among the measures adopted by Spain in favor of people with disabilities and that the </w:t>
      </w:r>
      <w:r w:rsidRPr="003C4D9E">
        <w:rPr>
          <w:lang w:val="en-US"/>
        </w:rPr>
        <w:t xml:space="preserve">Consolidated Version of the General Law on the rights of people with disabilities and on their social inclusion </w:t>
      </w:r>
      <w:r w:rsidRPr="003C4D9E">
        <w:rPr>
          <w:bCs/>
          <w:lang w:val="en-US"/>
        </w:rPr>
        <w:t xml:space="preserve">established that the </w:t>
      </w:r>
      <w:r w:rsidRPr="003C4D9E">
        <w:rPr>
          <w:bCs/>
          <w:i/>
          <w:lang w:val="en-US"/>
        </w:rPr>
        <w:t>Administración General del Estado</w:t>
      </w:r>
      <w:r w:rsidRPr="003C4D9E">
        <w:rPr>
          <w:bCs/>
          <w:lang w:val="en-US"/>
        </w:rPr>
        <w:t xml:space="preserve"> [General State Administration] will promote the creation, development and execution of plans and programs focused on access and non-discrimination, in collaboration with other public administrations and with organizations representing individuals with </w:t>
      </w:r>
      <w:r>
        <w:rPr>
          <w:bCs/>
          <w:lang w:val="en-US"/>
        </w:rPr>
        <w:t>disabilities and their families.</w:t>
      </w:r>
    </w:p>
    <w:p w:rsidR="001E0DA8" w:rsidRPr="003C4D9E" w:rsidRDefault="001E0DA8" w:rsidP="00E01DA1">
      <w:pPr>
        <w:pStyle w:val="Default"/>
        <w:jc w:val="both"/>
        <w:rPr>
          <w:bCs/>
          <w:lang w:val="en-US"/>
        </w:rPr>
      </w:pPr>
    </w:p>
    <w:p w:rsidR="001E0DA8" w:rsidRPr="003C4D9E" w:rsidRDefault="001E0DA8" w:rsidP="00E01DA1">
      <w:pPr>
        <w:pStyle w:val="Default"/>
        <w:jc w:val="both"/>
        <w:rPr>
          <w:bCs/>
          <w:lang w:val="en-US"/>
        </w:rPr>
      </w:pPr>
      <w:r w:rsidRPr="003C4D9E">
        <w:rPr>
          <w:bCs/>
          <w:lang w:val="en-US"/>
        </w:rPr>
        <w:t xml:space="preserve">Within one year of the aforementioned law having entered into force, the government, was due to approve a national plan of access for a period of nine years. The time frame granted by the Consolidated Version expired on 30 November 2014 and, to date, the 2nd National Plan of Access has not been approved. </w:t>
      </w:r>
    </w:p>
    <w:p w:rsidR="001E0DA8" w:rsidRPr="003C4D9E" w:rsidRDefault="001E0DA8" w:rsidP="00E01DA1">
      <w:pPr>
        <w:pStyle w:val="Default"/>
        <w:jc w:val="both"/>
        <w:rPr>
          <w:bCs/>
          <w:lang w:val="en-US"/>
        </w:rPr>
      </w:pPr>
    </w:p>
    <w:p w:rsidR="001E0DA8" w:rsidRPr="003C4D9E" w:rsidRDefault="001E0DA8" w:rsidP="00E01DA1">
      <w:pPr>
        <w:pStyle w:val="Default"/>
        <w:jc w:val="both"/>
        <w:rPr>
          <w:lang w:val="en-US"/>
        </w:rPr>
      </w:pPr>
      <w:r w:rsidRPr="003C4D9E">
        <w:rPr>
          <w:lang w:val="en-US"/>
        </w:rPr>
        <w:t xml:space="preserve">The Ombudsman Institution has therefore </w:t>
      </w:r>
      <w:r w:rsidRPr="003C4D9E">
        <w:rPr>
          <w:b/>
          <w:lang w:val="en-US"/>
        </w:rPr>
        <w:t>initiated ex officio investigations</w:t>
      </w:r>
      <w:r w:rsidRPr="003C4D9E">
        <w:rPr>
          <w:lang w:val="en-US"/>
        </w:rPr>
        <w:t xml:space="preserve"> and, although the Ministry occasionally provides updates as to progress being made in the proceedings, it acknowledges that it is not making rapid progress.</w:t>
      </w:r>
    </w:p>
    <w:p w:rsidR="001E0DA8" w:rsidRPr="003C4D9E" w:rsidRDefault="001E0DA8" w:rsidP="00E01DA1">
      <w:pPr>
        <w:pStyle w:val="Default"/>
        <w:jc w:val="both"/>
        <w:rPr>
          <w:bCs/>
          <w:lang w:val="en-US"/>
        </w:rPr>
      </w:pPr>
    </w:p>
    <w:p w:rsidR="001E0DA8" w:rsidRPr="003C4D9E" w:rsidRDefault="001E0DA8" w:rsidP="00E01DA1">
      <w:pPr>
        <w:pStyle w:val="Default"/>
        <w:jc w:val="both"/>
        <w:rPr>
          <w:bCs/>
          <w:lang w:val="en-US"/>
        </w:rPr>
      </w:pPr>
      <w:r w:rsidRPr="003C4D9E">
        <w:rPr>
          <w:bCs/>
          <w:lang w:val="en-US"/>
        </w:rPr>
        <w:t xml:space="preserve">This delay not only constitutes a failure to comply with the mandate contained in the Consolidated Version of the General Law on the rights of people with disabilities and on their social inclusion, but rather, in the opinion of the Ombudsman Institution, precious time is being lost for the implementation of strategies favoring universal access, the elimination of obstacles and the limitation of environmental conditions preventing full participation of children and adults with disabilities.  </w:t>
      </w:r>
    </w:p>
    <w:p w:rsidR="001E0DA8" w:rsidRPr="003C4D9E" w:rsidRDefault="001E0DA8" w:rsidP="00E01DA1">
      <w:pPr>
        <w:pStyle w:val="Default"/>
        <w:jc w:val="both"/>
        <w:rPr>
          <w:bCs/>
          <w:lang w:val="en-US"/>
        </w:rPr>
      </w:pPr>
    </w:p>
    <w:p w:rsidR="001E0DA8" w:rsidRPr="003C4D9E" w:rsidRDefault="001E0DA8" w:rsidP="00E01DA1">
      <w:pPr>
        <w:pStyle w:val="Default"/>
        <w:jc w:val="both"/>
        <w:rPr>
          <w:bCs/>
          <w:lang w:val="en-US"/>
        </w:rPr>
      </w:pPr>
      <w:r w:rsidRPr="003C4D9E">
        <w:rPr>
          <w:bCs/>
          <w:lang w:val="en-US"/>
        </w:rPr>
        <w:t xml:space="preserve">Finally, the right to inclusive education is discussed </w:t>
      </w:r>
      <w:r w:rsidRPr="007B6C99">
        <w:rPr>
          <w:bCs/>
          <w:lang w:val="en-US"/>
        </w:rPr>
        <w:t xml:space="preserve">in Section 6.1.3 of this report with respect to </w:t>
      </w:r>
      <w:r w:rsidRPr="007B6C99">
        <w:rPr>
          <w:bCs/>
          <w:i/>
          <w:lang w:val="en-US"/>
        </w:rPr>
        <w:t>Education, recreation and cultural activities.</w:t>
      </w:r>
    </w:p>
    <w:p w:rsidR="001E0DA8" w:rsidRPr="003C4D9E" w:rsidRDefault="001E0DA8" w:rsidP="00E01DA1">
      <w:pPr>
        <w:pStyle w:val="Default"/>
        <w:jc w:val="both"/>
        <w:rPr>
          <w:b/>
          <w:bCs/>
          <w:lang w:val="en-US"/>
        </w:rPr>
      </w:pPr>
    </w:p>
    <w:p w:rsidR="001E0DA8" w:rsidRPr="003C4D9E" w:rsidRDefault="001E0DA8" w:rsidP="00E01DA1">
      <w:pPr>
        <w:pStyle w:val="2"/>
        <w:numPr>
          <w:ilvl w:val="1"/>
          <w:numId w:val="12"/>
        </w:numPr>
        <w:tabs>
          <w:tab w:val="clear" w:pos="624"/>
          <w:tab w:val="clear" w:pos="710"/>
          <w:tab w:val="left" w:pos="500"/>
        </w:tabs>
        <w:ind w:hanging="710"/>
        <w:rPr>
          <w:rFonts w:ascii="Times New Roman" w:hAnsi="Times New Roman"/>
          <w:sz w:val="24"/>
          <w:lang w:val="en-US"/>
        </w:rPr>
      </w:pPr>
      <w:bookmarkStart w:id="42" w:name="_Toc349128811"/>
      <w:bookmarkStart w:id="43" w:name="_Toc475979933"/>
      <w:r w:rsidRPr="003C4D9E">
        <w:rPr>
          <w:rFonts w:ascii="Times New Roman" w:hAnsi="Times New Roman"/>
          <w:sz w:val="24"/>
          <w:lang w:val="en-US"/>
        </w:rPr>
        <w:t>Health and health services</w:t>
      </w:r>
      <w:bookmarkEnd w:id="42"/>
      <w:bookmarkEnd w:id="43"/>
    </w:p>
    <w:p w:rsidR="001E0DA8" w:rsidRPr="003C4D9E" w:rsidRDefault="001E0DA8" w:rsidP="00E01DA1">
      <w:pPr>
        <w:jc w:val="both"/>
        <w:rPr>
          <w:b/>
          <w:lang w:val="en-US"/>
        </w:rPr>
      </w:pPr>
    </w:p>
    <w:p w:rsidR="001E0DA8" w:rsidRPr="003C4D9E" w:rsidRDefault="001E0DA8" w:rsidP="00E01DA1">
      <w:pPr>
        <w:jc w:val="both"/>
        <w:rPr>
          <w:lang w:val="en-US"/>
        </w:rPr>
      </w:pPr>
      <w:r w:rsidRPr="003C4D9E">
        <w:rPr>
          <w:lang w:val="en-US"/>
        </w:rPr>
        <w:t xml:space="preserve">Complaints are frequently lodged concerning the care of minors in locations different to those of their habitual residence (resistance to providing care by a different health service or to performing emergency transfers between two autonomous territories).  Problems were also identified in access for </w:t>
      </w:r>
      <w:r>
        <w:rPr>
          <w:lang w:val="en-US"/>
        </w:rPr>
        <w:t>divorced/separated</w:t>
      </w:r>
      <w:r w:rsidRPr="003C4D9E">
        <w:rPr>
          <w:lang w:val="en-US"/>
        </w:rPr>
        <w:t xml:space="preserve"> parents</w:t>
      </w:r>
      <w:r>
        <w:rPr>
          <w:lang w:val="en-US"/>
        </w:rPr>
        <w:t xml:space="preserve"> </w:t>
      </w:r>
      <w:r w:rsidRPr="003C4D9E">
        <w:rPr>
          <w:lang w:val="en-US"/>
        </w:rPr>
        <w:t xml:space="preserve">with shared custody of young children to documents (healthcare cards) required for accessing health services when not accompanied by their children. This issue may be resolved through the issuance of duplicate documents made available to each parent so as to avoid bureaucratic problems.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Complaints concerning lack of pediatric cover at health centers in certain areas are also received and processed.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Although infrequent, complaints are also received concerning delays in the performing of surgical interventions or diagnostic testing. It should be noted, however, that the health administrations have generally shown awareness of rescheduling these activities and of reducing time frames when approached by the Ombudsman Institution with the problem.</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In the joint </w:t>
      </w:r>
      <w:r>
        <w:rPr>
          <w:lang w:val="en-US"/>
        </w:rPr>
        <w:t>report</w:t>
      </w:r>
      <w:r w:rsidRPr="003C4D9E">
        <w:rPr>
          <w:lang w:val="en-US"/>
        </w:rPr>
        <w:t xml:space="preserve"> carried out by the Spanish ombudsmen entitled </w:t>
      </w:r>
      <w:r w:rsidRPr="003C4D9E">
        <w:rPr>
          <w:i/>
          <w:lang w:val="en-US"/>
        </w:rPr>
        <w:t>Las urgencias hospitalarias en el Sistema Nacional de Salud: derechos y garantías de los pacientes</w:t>
      </w:r>
      <w:r w:rsidRPr="003C4D9E">
        <w:rPr>
          <w:lang w:val="en-US"/>
        </w:rPr>
        <w:t xml:space="preserve"> [</w:t>
      </w:r>
      <w:r w:rsidRPr="003C4D9E">
        <w:rPr>
          <w:i/>
          <w:lang w:val="en-US"/>
        </w:rPr>
        <w:t xml:space="preserve">Hospital emergencies </w:t>
      </w:r>
      <w:r>
        <w:rPr>
          <w:i/>
          <w:lang w:val="en-US"/>
        </w:rPr>
        <w:t>in the National Health System: P</w:t>
      </w:r>
      <w:r w:rsidRPr="003C4D9E">
        <w:rPr>
          <w:i/>
          <w:lang w:val="en-US"/>
        </w:rPr>
        <w:t>atients' rights and guarantees]</w:t>
      </w:r>
      <w:r w:rsidRPr="003C4D9E">
        <w:rPr>
          <w:rStyle w:val="FootnoteReference"/>
          <w:i/>
          <w:lang w:val="en-US"/>
        </w:rPr>
        <w:footnoteReference w:id="14"/>
      </w:r>
      <w:r w:rsidRPr="003C4D9E">
        <w:rPr>
          <w:lang w:val="en-US"/>
        </w:rPr>
        <w:t xml:space="preserve"> the particular situation of children and adolescents requiring access to emergency hospital services was addressed, including specific </w:t>
      </w:r>
      <w:r w:rsidRPr="003C4D9E">
        <w:rPr>
          <w:b/>
          <w:lang w:val="en-US"/>
        </w:rPr>
        <w:t>conclusions and recommendations</w:t>
      </w:r>
      <w:r w:rsidRPr="003C4D9E">
        <w:rPr>
          <w:lang w:val="en-US"/>
        </w:rPr>
        <w:t xml:space="preserve"> impacting on the need to refine triage methods with information not strictly care-related; provide non-pediatric emergency services with personnel trained in care provision for children and adolescents; ensure insofar as it is possible accompaniment for young minors by an adult </w:t>
      </w:r>
      <w:r>
        <w:rPr>
          <w:lang w:val="en-US"/>
        </w:rPr>
        <w:t>and</w:t>
      </w:r>
      <w:r w:rsidRPr="003C4D9E">
        <w:rPr>
          <w:lang w:val="en-US"/>
        </w:rPr>
        <w:t xml:space="preserve"> the availability of areas reserved for receiving and caring for minors.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Several autonomous departments have responded to these recommendations, reporting on the adoption of measures to improve service to children in keeping with the indications provided by this institution. These are positive steps that will hopefully be fully carried out in the future.</w:t>
      </w:r>
    </w:p>
    <w:p w:rsidR="001E0DA8" w:rsidRDefault="001E0DA8" w:rsidP="00E01DA1">
      <w:pPr>
        <w:jc w:val="both"/>
        <w:rPr>
          <w:lang w:val="en-US"/>
        </w:rPr>
      </w:pPr>
    </w:p>
    <w:p w:rsidR="001E0DA8" w:rsidRPr="003C4D9E" w:rsidRDefault="001E0DA8" w:rsidP="00E01DA1">
      <w:pPr>
        <w:jc w:val="both"/>
        <w:rPr>
          <w:lang w:val="en-US"/>
        </w:rPr>
      </w:pPr>
      <w:r w:rsidRPr="003C4D9E">
        <w:rPr>
          <w:lang w:val="en-US"/>
        </w:rPr>
        <w:t xml:space="preserve">As regards the mental health of children and adolescents, excessive care response times have been noted on occasion, especially regarding suspected serious conditions or suicidal thoughts.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Several complaints have been received concerning the difficulties that have arisen at times for parents accompanying young children to doctor's appointments or diagnostic testing, although a growing awareness in the care environment has been noted in this regard. </w:t>
      </w:r>
    </w:p>
    <w:p w:rsidR="001E0DA8" w:rsidRDefault="001E0DA8" w:rsidP="00E01DA1">
      <w:pPr>
        <w:jc w:val="both"/>
        <w:rPr>
          <w:lang w:val="en-US"/>
        </w:rPr>
      </w:pPr>
    </w:p>
    <w:p w:rsidR="001E0DA8" w:rsidRPr="003C4D9E" w:rsidRDefault="001E0DA8" w:rsidP="00E01DA1">
      <w:pPr>
        <w:jc w:val="both"/>
        <w:rPr>
          <w:lang w:val="en-US"/>
        </w:rPr>
      </w:pPr>
      <w:r w:rsidRPr="003C4D9E">
        <w:rPr>
          <w:lang w:val="en-US"/>
        </w:rPr>
        <w:t xml:space="preserve">As regards public pharmaceutical services, </w:t>
      </w:r>
      <w:r>
        <w:rPr>
          <w:lang w:val="en-US"/>
        </w:rPr>
        <w:t xml:space="preserve">Ombudsman </w:t>
      </w:r>
      <w:r w:rsidRPr="003C4D9E">
        <w:rPr>
          <w:lang w:val="en-US"/>
        </w:rPr>
        <w:t xml:space="preserve">investigations have been carried out concerning deficiencies in service or access to innovative medicine for rare illnesses, especially neurodegenerative conditions appearing at a young age or at birth.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Certain discrepancies are also found in calendars for the administration of vaccines in the various autonomous communities, in particular chicken pox, pneumococcal disease (included in the common calendar as of January 2015), meningitis B and rotavirus. </w:t>
      </w:r>
    </w:p>
    <w:p w:rsidR="001E0DA8" w:rsidRPr="003C4D9E" w:rsidRDefault="001E0DA8" w:rsidP="00E01DA1">
      <w:pPr>
        <w:jc w:val="both"/>
        <w:rPr>
          <w:lang w:val="en-US"/>
        </w:rPr>
      </w:pPr>
    </w:p>
    <w:p w:rsidR="001E0DA8" w:rsidRPr="003C4D9E" w:rsidRDefault="001E0DA8" w:rsidP="00E01DA1">
      <w:pPr>
        <w:pStyle w:val="2"/>
        <w:numPr>
          <w:ilvl w:val="1"/>
          <w:numId w:val="12"/>
        </w:numPr>
        <w:tabs>
          <w:tab w:val="clear" w:pos="624"/>
          <w:tab w:val="clear" w:pos="710"/>
          <w:tab w:val="left" w:pos="500"/>
        </w:tabs>
        <w:ind w:hanging="710"/>
        <w:rPr>
          <w:rFonts w:ascii="Times New Roman" w:hAnsi="Times New Roman"/>
          <w:sz w:val="24"/>
          <w:lang w:val="en-US"/>
        </w:rPr>
      </w:pPr>
      <w:bookmarkStart w:id="44" w:name="_Toc349128812"/>
      <w:bookmarkStart w:id="45" w:name="_Toc475979934"/>
      <w:r w:rsidRPr="003C4D9E">
        <w:rPr>
          <w:rFonts w:ascii="Times New Roman" w:hAnsi="Times New Roman"/>
          <w:sz w:val="24"/>
          <w:lang w:val="en-US"/>
        </w:rPr>
        <w:t>Welfare and standard of living</w:t>
      </w:r>
      <w:bookmarkEnd w:id="44"/>
      <w:bookmarkEnd w:id="45"/>
    </w:p>
    <w:p w:rsidR="001E0DA8" w:rsidRPr="003C4D9E" w:rsidRDefault="001E0DA8" w:rsidP="00E01DA1">
      <w:pPr>
        <w:jc w:val="both"/>
        <w:rPr>
          <w:lang w:val="en-US"/>
        </w:rPr>
      </w:pPr>
    </w:p>
    <w:p w:rsidR="001E0DA8" w:rsidRPr="003C4D9E" w:rsidRDefault="001E0DA8" w:rsidP="00E01DA1">
      <w:pPr>
        <w:pStyle w:val="3"/>
        <w:numPr>
          <w:ilvl w:val="2"/>
          <w:numId w:val="12"/>
        </w:numPr>
        <w:tabs>
          <w:tab w:val="clear" w:pos="624"/>
          <w:tab w:val="left" w:pos="500"/>
        </w:tabs>
        <w:ind w:hanging="2624"/>
        <w:rPr>
          <w:rFonts w:ascii="Times New Roman" w:hAnsi="Times New Roman"/>
          <w:lang w:val="en-US"/>
        </w:rPr>
      </w:pPr>
      <w:bookmarkStart w:id="46" w:name="_Toc349128813"/>
      <w:bookmarkStart w:id="47" w:name="_Toc475979935"/>
      <w:r w:rsidRPr="003C4D9E">
        <w:rPr>
          <w:rFonts w:ascii="Times New Roman" w:hAnsi="Times New Roman"/>
          <w:lang w:val="en-US"/>
        </w:rPr>
        <w:t>The fight against child poverty</w:t>
      </w:r>
      <w:bookmarkEnd w:id="46"/>
      <w:bookmarkEnd w:id="47"/>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According to EUROSTAT data, the percentage of children in 2015 under 18 years of age at risk of poverty and social exclusion was 29% for children under 6 years old, 33.6% from 6 to 11 years old and 41.5% between 12 and 17 years old</w:t>
      </w:r>
      <w:r w:rsidRPr="003C4D9E">
        <w:rPr>
          <w:rStyle w:val="FootnoteReference"/>
          <w:lang w:val="en-US"/>
        </w:rPr>
        <w:footnoteReference w:id="15"/>
      </w:r>
      <w:r w:rsidRPr="003C4D9E">
        <w:rPr>
          <w:lang w:val="en-US"/>
        </w:rPr>
        <w:t>.</w:t>
      </w:r>
    </w:p>
    <w:p w:rsidR="001E0DA8" w:rsidRPr="003C4D9E" w:rsidRDefault="001E0DA8" w:rsidP="00E01DA1">
      <w:pPr>
        <w:jc w:val="both"/>
        <w:rPr>
          <w:lang w:val="en-US"/>
        </w:rPr>
      </w:pPr>
    </w:p>
    <w:p w:rsidR="001E0DA8" w:rsidRPr="003C4D9E" w:rsidRDefault="001E0DA8" w:rsidP="00E01DA1">
      <w:pPr>
        <w:jc w:val="both"/>
        <w:rPr>
          <w:lang w:val="en-US"/>
        </w:rPr>
      </w:pPr>
      <w:r w:rsidRPr="00F3453C">
        <w:rPr>
          <w:lang w:val="en-US"/>
        </w:rPr>
        <w:t xml:space="preserve">According to the </w:t>
      </w:r>
      <w:r w:rsidRPr="00F3453C">
        <w:rPr>
          <w:i/>
          <w:lang w:val="en-US"/>
        </w:rPr>
        <w:t>Fundación Foessa</w:t>
      </w:r>
      <w:r w:rsidRPr="00F3453C">
        <w:rPr>
          <w:lang w:val="en-US"/>
        </w:rPr>
        <w:t xml:space="preserve"> [Promotion of Social Studies and Applied Sociology Foundation</w:t>
      </w:r>
      <w:r>
        <w:rPr>
          <w:lang w:val="en-US"/>
        </w:rPr>
        <w:t>, abbrevi</w:t>
      </w:r>
      <w:r w:rsidRPr="00F3453C">
        <w:rPr>
          <w:lang w:val="en-US"/>
        </w:rPr>
        <w:t xml:space="preserve">ated as </w:t>
      </w:r>
      <w:r w:rsidRPr="00F3453C">
        <w:rPr>
          <w:i/>
          <w:lang w:val="en-US"/>
        </w:rPr>
        <w:t>FOESSA</w:t>
      </w:r>
      <w:r w:rsidRPr="00F3453C">
        <w:rPr>
          <w:lang w:val="en-US"/>
        </w:rPr>
        <w:t xml:space="preserve"> in Spanish] 30.1% of children in Spain under 16</w:t>
      </w:r>
      <w:r>
        <w:rPr>
          <w:lang w:val="en-US"/>
        </w:rPr>
        <w:t xml:space="preserve"> years old liv</w:t>
      </w:r>
      <w:r w:rsidRPr="003C4D9E">
        <w:rPr>
          <w:lang w:val="en-US"/>
        </w:rPr>
        <w:t xml:space="preserve">e in relative poverty (income under 60% of the equivalent average rate, after social transfers). 15.5% of children under 16 years of age live in </w:t>
      </w:r>
      <w:r>
        <w:rPr>
          <w:lang w:val="en-US"/>
        </w:rPr>
        <w:t>severe</w:t>
      </w:r>
      <w:r w:rsidRPr="003C4D9E">
        <w:rPr>
          <w:lang w:val="en-US"/>
        </w:rPr>
        <w:t xml:space="preserve"> poverty (income less than 40% of the equivalent average income)</w:t>
      </w:r>
      <w:r w:rsidRPr="003C4D9E">
        <w:rPr>
          <w:rStyle w:val="FootnoteReference"/>
          <w:lang w:val="en-US"/>
        </w:rPr>
        <w:footnoteReference w:id="16"/>
      </w:r>
      <w:r w:rsidRPr="003C4D9E">
        <w:rPr>
          <w:lang w:val="en-US"/>
        </w:rPr>
        <w:t>.</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Public investment in social protection for families and children accounts for 1.3% of GDP. Expenditure on children and families accounts for 5.3% of the total expenditure on social protection</w:t>
      </w:r>
      <w:r w:rsidRPr="003C4D9E">
        <w:rPr>
          <w:rStyle w:val="FootnoteReference"/>
          <w:lang w:val="en-US"/>
        </w:rPr>
        <w:footnoteReference w:id="17"/>
      </w:r>
      <w:r w:rsidRPr="003C4D9E">
        <w:rPr>
          <w:lang w:val="en-US"/>
        </w:rPr>
        <w:t>.</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modification of the tax regime for family income does not affect families with limited resources since they are not obligated to submit personal tax returns.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In Spain, the system of cover for socially at-risk families is built on a dual system:  the so-called "minimum guaranteed income" (abbreviated as RMI in Spanish), regulated and managed by the autonomous communities; and the benefits, principally care-based, provided for by the Social Security framework.</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financial crisis which has dominated the greater part of the period under analysis has posed a tough challenge for this system, revealing its limitations especially as regards amount and duration of assistance provided.   </w:t>
      </w:r>
    </w:p>
    <w:p w:rsidR="001E0DA8" w:rsidRPr="003C4D9E" w:rsidRDefault="001E0DA8" w:rsidP="00E01DA1">
      <w:pPr>
        <w:jc w:val="both"/>
        <w:rPr>
          <w:b/>
          <w:lang w:val="en-US"/>
        </w:rPr>
      </w:pPr>
    </w:p>
    <w:p w:rsidR="001E0DA8" w:rsidRPr="003C4D9E" w:rsidRDefault="001E0DA8" w:rsidP="00E01DA1">
      <w:pPr>
        <w:jc w:val="both"/>
        <w:rPr>
          <w:lang w:val="en-US"/>
        </w:rPr>
      </w:pPr>
      <w:r w:rsidRPr="003C4D9E">
        <w:rPr>
          <w:lang w:val="en-US"/>
        </w:rPr>
        <w:t xml:space="preserve">Specifically as regards Minimum Guaranteed Income, the principal cause for complaint has been the delay in processing times. The growth of requests linked to the economic crisis has contributed to processing times in various communities in some cases greater than a year, hindering the sense and function of the benefits themselves. The institution has put forth resolutions aimed at three objectives: simplifying procedures to improve agility, increasing staff dedicated to processing, and adaptation of the budget to the actual volume of requests.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Towards the end of the period under analysis improvements have been seen in the response times for several of the communities with a larger number of applicants.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Ombudsman Institution has also issued </w:t>
      </w:r>
      <w:r>
        <w:rPr>
          <w:b/>
          <w:lang w:val="en-US"/>
        </w:rPr>
        <w:t>R</w:t>
      </w:r>
      <w:r w:rsidRPr="003C4D9E">
        <w:rPr>
          <w:b/>
          <w:lang w:val="en-US"/>
        </w:rPr>
        <w:t>ecommendations</w:t>
      </w:r>
      <w:r w:rsidRPr="003C4D9E">
        <w:rPr>
          <w:lang w:val="en-US"/>
        </w:rPr>
        <w:t xml:space="preserve"> for municipalities with larger populations to prioritize social reports for access to benefits and support resources</w:t>
      </w:r>
      <w:r>
        <w:rPr>
          <w:lang w:val="en-US"/>
        </w:rPr>
        <w:t xml:space="preserve"> in cases of families </w:t>
      </w:r>
      <w:r w:rsidRPr="003C4D9E">
        <w:rPr>
          <w:lang w:val="en-US"/>
        </w:rPr>
        <w:t>with underage children</w:t>
      </w:r>
      <w:r>
        <w:rPr>
          <w:lang w:val="en-US"/>
        </w:rPr>
        <w:t>.</w:t>
      </w:r>
      <w:r w:rsidRPr="003C4D9E">
        <w:rPr>
          <w:lang w:val="en-US"/>
        </w:rPr>
        <w:t xml:space="preserve"> The responses show that these guidelines are informally applied, although this Institution must insist that it be included in these administrations’ procedural rules as a practical manifestation of the principle of caring for minors' best interests.  </w:t>
      </w:r>
    </w:p>
    <w:p w:rsidR="001E0DA8" w:rsidRPr="003C4D9E" w:rsidRDefault="001E0DA8" w:rsidP="00E01DA1">
      <w:pPr>
        <w:jc w:val="both"/>
        <w:rPr>
          <w:b/>
          <w:lang w:val="en-US"/>
        </w:rPr>
      </w:pPr>
    </w:p>
    <w:p w:rsidR="001E0DA8" w:rsidRPr="003C4D9E" w:rsidRDefault="001E0DA8" w:rsidP="00E01DA1">
      <w:pPr>
        <w:jc w:val="both"/>
        <w:rPr>
          <w:lang w:val="en-US"/>
        </w:rPr>
      </w:pPr>
      <w:r w:rsidRPr="003C4D9E">
        <w:rPr>
          <w:lang w:val="en-US"/>
        </w:rPr>
        <w:t xml:space="preserve">The Ombudsman Institution has had a considerable </w:t>
      </w:r>
      <w:r>
        <w:rPr>
          <w:lang w:val="en-US"/>
        </w:rPr>
        <w:t>attention to</w:t>
      </w:r>
      <w:r w:rsidRPr="003C4D9E">
        <w:rPr>
          <w:lang w:val="en-US"/>
        </w:rPr>
        <w:t xml:space="preserve"> the nutritional guarantees for children and adolescents. Having identified family poverty cases which were contributing to poor diets in certain minors, the Ombudsman Institution began to issue </w:t>
      </w:r>
      <w:r>
        <w:rPr>
          <w:b/>
          <w:lang w:val="en-US"/>
        </w:rPr>
        <w:t>R</w:t>
      </w:r>
      <w:r w:rsidRPr="003C4D9E">
        <w:rPr>
          <w:b/>
          <w:lang w:val="en-US"/>
        </w:rPr>
        <w:t>ecommendations</w:t>
      </w:r>
      <w:r w:rsidRPr="003C4D9E">
        <w:rPr>
          <w:lang w:val="en-US"/>
        </w:rPr>
        <w:t xml:space="preserve"> (first to the state authorities and autonomous communities and then to 62 municipalities with populations greater than 100,000 residents) for the implementation of extraordinary measures to put a stop to the problem. This provision responds to the aforementioned perception of the systems of Minimum Guaranteed Income, as poorly agile and insufficient for their potential beneficiaries. Moreover, their function in meeting the nutritional needs of minors is not guaranteed.</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opening of school dining rooms over the summer was proposed as an initial step, a </w:t>
      </w:r>
      <w:r>
        <w:rPr>
          <w:b/>
          <w:lang w:val="en-US"/>
        </w:rPr>
        <w:t>R</w:t>
      </w:r>
      <w:r w:rsidRPr="003C4D9E">
        <w:rPr>
          <w:b/>
          <w:lang w:val="en-US"/>
        </w:rPr>
        <w:t>ecommendation</w:t>
      </w:r>
      <w:r w:rsidRPr="003C4D9E">
        <w:rPr>
          <w:lang w:val="en-US"/>
        </w:rPr>
        <w:t xml:space="preserve"> that was rounded out with others concerning the establishment of food guarantee plans with particular cover for all periods outside the academic calendar. The Ombudsman Institution is aiming for a direct and final</w:t>
      </w:r>
      <w:r>
        <w:rPr>
          <w:lang w:val="en-US"/>
        </w:rPr>
        <w:t>ist help</w:t>
      </w:r>
      <w:r w:rsidRPr="003C4D9E">
        <w:rPr>
          <w:lang w:val="en-US"/>
        </w:rPr>
        <w:t xml:space="preserve"> which is furthermore able to revert the situation of poor nutrition and avoid that this conditions a child's adult life. It therefore chose to first of all </w:t>
      </w:r>
      <w:r w:rsidRPr="003C4D9E">
        <w:rPr>
          <w:b/>
          <w:lang w:val="en-US"/>
        </w:rPr>
        <w:t>recommend</w:t>
      </w:r>
      <w:r w:rsidRPr="003C4D9E">
        <w:rPr>
          <w:lang w:val="en-US"/>
        </w:rPr>
        <w:t xml:space="preserve"> the maintenance of school dining rooms</w:t>
      </w:r>
      <w:r>
        <w:rPr>
          <w:lang w:val="en-US"/>
        </w:rPr>
        <w:t>/canteens</w:t>
      </w:r>
      <w:r w:rsidRPr="003C4D9E">
        <w:rPr>
          <w:lang w:val="en-US"/>
        </w:rPr>
        <w:t xml:space="preserve"> outside the academic calendar, as an initial phase involving neither large expenditures nor prior planning, at the same time as it served to change the approach to the problem. Subsequent </w:t>
      </w:r>
      <w:r>
        <w:rPr>
          <w:b/>
          <w:lang w:val="en-US"/>
        </w:rPr>
        <w:t>R</w:t>
      </w:r>
      <w:r w:rsidRPr="003C4D9E">
        <w:rPr>
          <w:b/>
          <w:lang w:val="en-US"/>
        </w:rPr>
        <w:t>ecommendations</w:t>
      </w:r>
      <w:r w:rsidRPr="003C4D9E">
        <w:rPr>
          <w:lang w:val="en-US"/>
        </w:rPr>
        <w:t xml:space="preserve"> were directed at establishing a general program involving all administrations.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While not all administrations open their school dining rooms in the summer or other non-academic periods, there is a generalized availability of programs or plans for dealing with at-risk cases. Nevertheless, in the majority of cases these programs do not adopt a vision of integrated guarantee focused on children, which is precisely where this Institution's </w:t>
      </w:r>
      <w:r>
        <w:rPr>
          <w:b/>
          <w:lang w:val="en-US"/>
        </w:rPr>
        <w:t>R</w:t>
      </w:r>
      <w:r w:rsidRPr="003C4D9E">
        <w:rPr>
          <w:b/>
          <w:lang w:val="en-US"/>
        </w:rPr>
        <w:t>ecommendations</w:t>
      </w:r>
      <w:r w:rsidRPr="003C4D9E">
        <w:rPr>
          <w:lang w:val="en-US"/>
        </w:rPr>
        <w:t xml:space="preserve"> aim to have an impact. </w:t>
      </w:r>
    </w:p>
    <w:p w:rsidR="001E0DA8" w:rsidRPr="003C4D9E" w:rsidRDefault="001E0DA8" w:rsidP="00E01DA1">
      <w:pPr>
        <w:jc w:val="both"/>
        <w:rPr>
          <w:lang w:val="en-US"/>
        </w:rPr>
      </w:pPr>
    </w:p>
    <w:p w:rsidR="001E0DA8" w:rsidRPr="003C4D9E" w:rsidRDefault="001E0DA8" w:rsidP="00E01DA1">
      <w:pPr>
        <w:pStyle w:val="3"/>
        <w:numPr>
          <w:ilvl w:val="2"/>
          <w:numId w:val="12"/>
        </w:numPr>
        <w:tabs>
          <w:tab w:val="clear" w:pos="624"/>
          <w:tab w:val="left" w:pos="600"/>
        </w:tabs>
        <w:ind w:hanging="2624"/>
        <w:rPr>
          <w:rFonts w:ascii="Times New Roman" w:hAnsi="Times New Roman"/>
          <w:lang w:val="en-US"/>
        </w:rPr>
      </w:pPr>
      <w:bookmarkStart w:id="48" w:name="_Toc349128814"/>
      <w:bookmarkStart w:id="49" w:name="_Toc475979936"/>
      <w:r w:rsidRPr="003C4D9E">
        <w:rPr>
          <w:rFonts w:ascii="Times New Roman" w:hAnsi="Times New Roman"/>
          <w:lang w:val="en-US"/>
        </w:rPr>
        <w:t>Housing</w:t>
      </w:r>
      <w:bookmarkEnd w:id="48"/>
      <w:bookmarkEnd w:id="49"/>
      <w:r w:rsidRPr="003C4D9E">
        <w:rPr>
          <w:rFonts w:ascii="Times New Roman" w:hAnsi="Times New Roman"/>
          <w:lang w:val="en-US"/>
        </w:rPr>
        <w:t xml:space="preserve"> </w:t>
      </w:r>
    </w:p>
    <w:p w:rsidR="001E0DA8" w:rsidRPr="003C4D9E" w:rsidRDefault="001E0DA8" w:rsidP="00E01DA1">
      <w:pPr>
        <w:jc w:val="both"/>
        <w:rPr>
          <w:lang w:val="en-US"/>
        </w:rPr>
      </w:pPr>
    </w:p>
    <w:p w:rsidR="001E0DA8" w:rsidRPr="003C4D9E" w:rsidRDefault="001E0DA8" w:rsidP="00E01DA1">
      <w:pPr>
        <w:pStyle w:val="Default"/>
        <w:jc w:val="both"/>
        <w:rPr>
          <w:bCs/>
          <w:lang w:val="en-US"/>
        </w:rPr>
      </w:pPr>
      <w:r w:rsidRPr="003C4D9E">
        <w:rPr>
          <w:bCs/>
          <w:lang w:val="en-US"/>
        </w:rPr>
        <w:t xml:space="preserve">Despite the legislative reforms on foreclosures, evictions of those who cannot meet the mortgage payments that guarantee of their habitual residence continues to be a problem that on occasion affects minors. </w:t>
      </w:r>
    </w:p>
    <w:p w:rsidR="001E0DA8" w:rsidRPr="003C4D9E" w:rsidRDefault="001E0DA8" w:rsidP="00E01DA1">
      <w:pPr>
        <w:pStyle w:val="Default"/>
        <w:jc w:val="both"/>
        <w:rPr>
          <w:bCs/>
          <w:lang w:val="en-US"/>
        </w:rPr>
      </w:pPr>
    </w:p>
    <w:p w:rsidR="001E0DA8" w:rsidRPr="003C4D9E" w:rsidRDefault="001E0DA8" w:rsidP="00E01DA1">
      <w:pPr>
        <w:jc w:val="both"/>
        <w:rPr>
          <w:lang w:val="en-US"/>
        </w:rPr>
      </w:pPr>
      <w:r w:rsidRPr="003C4D9E">
        <w:rPr>
          <w:i/>
          <w:lang w:val="en-US"/>
        </w:rPr>
        <w:t>Ley 25/2015, de 28 de julio, de mecanismo de segunda oportunidad, reducción de la carga financiera y otras medidas de orden social</w:t>
      </w:r>
      <w:r w:rsidRPr="003C4D9E">
        <w:rPr>
          <w:lang w:val="en-US"/>
        </w:rPr>
        <w:t xml:space="preserve"> [Law 25/2015 of 28 July on the procedure for a second chance easing of the financial burden and other measures of social order] amended Law 1/2013 of 14 May on measures reinforcing the protection of mortgage debtors, debt restructuring and rents. These laws have suspended the eviction of foreclosure cases over four years for cases of particular vulnerability.</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This measure has allowed for a lapse in evictions yet, due to its transitory nature, the procedures for foreclosure will be resumed in 2017 and there may be cases in which families have not been able to overcome their financial situation. </w:t>
      </w:r>
    </w:p>
    <w:p w:rsidR="001E0DA8" w:rsidRDefault="001E0DA8" w:rsidP="00E01DA1">
      <w:pPr>
        <w:jc w:val="both"/>
        <w:rPr>
          <w:lang w:val="en-US"/>
        </w:rPr>
      </w:pPr>
    </w:p>
    <w:p w:rsidR="001E0DA8" w:rsidRPr="003C4D9E" w:rsidRDefault="001E0DA8" w:rsidP="00E01DA1">
      <w:pPr>
        <w:jc w:val="both"/>
        <w:rPr>
          <w:lang w:val="en-US"/>
        </w:rPr>
      </w:pPr>
      <w:r w:rsidRPr="003C4D9E">
        <w:rPr>
          <w:lang w:val="en-US"/>
        </w:rPr>
        <w:t xml:space="preserve">The application of the </w:t>
      </w:r>
      <w:r w:rsidRPr="003C4D9E">
        <w:rPr>
          <w:i/>
          <w:lang w:val="en-US"/>
        </w:rPr>
        <w:t>Código de Buenas Prácticas</w:t>
      </w:r>
      <w:r w:rsidRPr="003C4D9E">
        <w:rPr>
          <w:lang w:val="en-US"/>
        </w:rPr>
        <w:t xml:space="preserve"> [Best Practices Code] passed by Royal Decree-Law 6/2012 of 9 March has been irregular and, on occasion, financial institutions have denied mortgage debtors of their rights therein included, the Bank of Spain failing to exercise its sanctioning responsibilities.</w:t>
      </w:r>
    </w:p>
    <w:p w:rsidR="001E0DA8" w:rsidRPr="003C4D9E" w:rsidRDefault="001E0DA8" w:rsidP="00E01DA1">
      <w:pPr>
        <w:jc w:val="both"/>
        <w:rPr>
          <w:lang w:val="en-US"/>
        </w:rPr>
      </w:pPr>
    </w:p>
    <w:p w:rsidR="001E0DA8" w:rsidRPr="003C4D9E" w:rsidRDefault="001E0DA8" w:rsidP="00E01DA1">
      <w:pPr>
        <w:overflowPunct w:val="0"/>
        <w:autoSpaceDE w:val="0"/>
        <w:autoSpaceDN w:val="0"/>
        <w:adjustRightInd w:val="0"/>
        <w:jc w:val="both"/>
        <w:textAlignment w:val="baseline"/>
        <w:rPr>
          <w:lang w:val="en-US"/>
        </w:rPr>
      </w:pPr>
      <w:r w:rsidRPr="003C4D9E">
        <w:rPr>
          <w:lang w:val="en-US"/>
        </w:rPr>
        <w:t xml:space="preserve">The Ombudsman Institution has focused its attention on the problem through two </w:t>
      </w:r>
      <w:r>
        <w:rPr>
          <w:lang w:val="en-US"/>
        </w:rPr>
        <w:t>reports</w:t>
      </w:r>
      <w:r w:rsidRPr="003C4D9E">
        <w:rPr>
          <w:lang w:val="en-US"/>
        </w:rPr>
        <w:t xml:space="preserve"> dedicated to empty protected housing</w:t>
      </w:r>
      <w:r w:rsidRPr="003C4D9E">
        <w:rPr>
          <w:rStyle w:val="FootnoteReference"/>
          <w:lang w:val="en-US"/>
        </w:rPr>
        <w:footnoteReference w:id="18"/>
      </w:r>
      <w:r w:rsidRPr="003C4D9E">
        <w:rPr>
          <w:lang w:val="en-US"/>
        </w:rPr>
        <w:t xml:space="preserve"> and to the situation faced by debtors at risk of losing their homes due to an inability to meet their mortgage debts</w:t>
      </w:r>
      <w:r w:rsidRPr="003C4D9E">
        <w:rPr>
          <w:rStyle w:val="FootnoteReference"/>
          <w:lang w:val="en-US"/>
        </w:rPr>
        <w:footnoteReference w:id="19"/>
      </w:r>
      <w:r w:rsidRPr="003C4D9E">
        <w:rPr>
          <w:lang w:val="en-US"/>
        </w:rPr>
        <w:t>.</w:t>
      </w:r>
    </w:p>
    <w:p w:rsidR="001E0DA8" w:rsidRPr="003C4D9E" w:rsidRDefault="001E0DA8" w:rsidP="00E01DA1">
      <w:pPr>
        <w:overflowPunct w:val="0"/>
        <w:autoSpaceDE w:val="0"/>
        <w:autoSpaceDN w:val="0"/>
        <w:adjustRightInd w:val="0"/>
        <w:jc w:val="both"/>
        <w:textAlignment w:val="baseline"/>
        <w:rPr>
          <w:lang w:val="en-US"/>
        </w:rPr>
      </w:pPr>
    </w:p>
    <w:p w:rsidR="001E0DA8" w:rsidRPr="003C4D9E" w:rsidRDefault="001E0DA8" w:rsidP="00E01DA1">
      <w:pPr>
        <w:pStyle w:val="Default"/>
        <w:jc w:val="both"/>
        <w:rPr>
          <w:bCs/>
          <w:color w:val="auto"/>
          <w:lang w:val="en-US"/>
        </w:rPr>
      </w:pPr>
      <w:r w:rsidRPr="003C4D9E">
        <w:rPr>
          <w:color w:val="auto"/>
          <w:lang w:val="en-US"/>
        </w:rPr>
        <w:t xml:space="preserve">Faced with a persisting crisis, the various administrations have implemented measures such as the assistance in facilitating access to rented housing or the provision of housing in response to situations of vulnerability. The stock of social housing is not always felt to be sufficient and municipal social services can often only offer an immediate emergency housing solution, and not a solution for the medium to long term. </w:t>
      </w:r>
    </w:p>
    <w:p w:rsidR="001E0DA8" w:rsidRPr="003C4D9E" w:rsidRDefault="001E0DA8" w:rsidP="00E01DA1">
      <w:pPr>
        <w:pStyle w:val="Default"/>
        <w:jc w:val="both"/>
        <w:rPr>
          <w:bCs/>
          <w:lang w:val="en-US"/>
        </w:rPr>
      </w:pPr>
    </w:p>
    <w:p w:rsidR="001E0DA8" w:rsidRPr="003C4D9E" w:rsidRDefault="001E0DA8" w:rsidP="00E01DA1">
      <w:pPr>
        <w:overflowPunct w:val="0"/>
        <w:autoSpaceDE w:val="0"/>
        <w:autoSpaceDN w:val="0"/>
        <w:adjustRightInd w:val="0"/>
        <w:jc w:val="both"/>
        <w:textAlignment w:val="baseline"/>
        <w:rPr>
          <w:bCs/>
          <w:lang w:val="en-US"/>
        </w:rPr>
      </w:pPr>
      <w:r w:rsidRPr="003C4D9E">
        <w:rPr>
          <w:lang w:val="en-US"/>
        </w:rPr>
        <w:t xml:space="preserve">The creation of a </w:t>
      </w:r>
      <w:r w:rsidRPr="003C4D9E">
        <w:rPr>
          <w:i/>
          <w:lang w:val="en-US"/>
        </w:rPr>
        <w:t>Fondo Social de Vivienda</w:t>
      </w:r>
      <w:r w:rsidRPr="003C4D9E">
        <w:rPr>
          <w:lang w:val="en-US"/>
        </w:rPr>
        <w:t xml:space="preserve"> [Social Housing Fund] has not been enough to bring about a significant decline in the number of evictions. The Ombudsman Institution </w:t>
      </w:r>
      <w:r w:rsidRPr="003C4D9E">
        <w:rPr>
          <w:b/>
          <w:lang w:val="en-US"/>
        </w:rPr>
        <w:t>suggested</w:t>
      </w:r>
      <w:r w:rsidRPr="003C4D9E">
        <w:rPr>
          <w:lang w:val="en-US"/>
        </w:rPr>
        <w:t xml:space="preserve"> that the </w:t>
      </w:r>
      <w:r w:rsidRPr="003C4D9E">
        <w:rPr>
          <w:i/>
          <w:lang w:val="en-US"/>
        </w:rPr>
        <w:t>Ministerio de Economía y Competitividad</w:t>
      </w:r>
      <w:r w:rsidRPr="003C4D9E">
        <w:rPr>
          <w:lang w:val="en-US"/>
        </w:rPr>
        <w:t xml:space="preserve"> [Ministry of Economy and Competition] modify the original agreement the Fund, such that the Society of Assets for Restructuring the Banking Sector (abbreviated as SAREB in Spanish) might contribute real estate to the Social Housing Fund. The Ministry rejected the </w:t>
      </w:r>
      <w:r>
        <w:rPr>
          <w:b/>
          <w:bCs/>
          <w:lang w:val="en-US"/>
        </w:rPr>
        <w:t>S</w:t>
      </w:r>
      <w:r w:rsidRPr="003C4D9E">
        <w:rPr>
          <w:b/>
          <w:bCs/>
          <w:lang w:val="en-US"/>
        </w:rPr>
        <w:t>uggestion</w:t>
      </w:r>
      <w:r w:rsidRPr="003C4D9E">
        <w:rPr>
          <w:bCs/>
          <w:lang w:val="en-US"/>
        </w:rPr>
        <w:t>, claiming that the aforementioned society was an instrument of economic policy and not of housing policy.</w:t>
      </w:r>
    </w:p>
    <w:p w:rsidR="001E0DA8" w:rsidRPr="003C4D9E" w:rsidRDefault="001E0DA8" w:rsidP="00E01DA1">
      <w:pPr>
        <w:pStyle w:val="Default"/>
        <w:jc w:val="both"/>
        <w:rPr>
          <w:bCs/>
          <w:lang w:val="en-US"/>
        </w:rPr>
      </w:pPr>
    </w:p>
    <w:p w:rsidR="001E0DA8" w:rsidRPr="003C4D9E" w:rsidRDefault="001E0DA8" w:rsidP="00E01DA1">
      <w:pPr>
        <w:overflowPunct w:val="0"/>
        <w:autoSpaceDE w:val="0"/>
        <w:autoSpaceDN w:val="0"/>
        <w:adjustRightInd w:val="0"/>
        <w:jc w:val="both"/>
        <w:textAlignment w:val="baseline"/>
        <w:rPr>
          <w:lang w:val="en-US"/>
        </w:rPr>
      </w:pPr>
      <w:r w:rsidRPr="003C4D9E">
        <w:rPr>
          <w:bCs/>
          <w:lang w:val="en-US"/>
        </w:rPr>
        <w:t xml:space="preserve">Moreover, </w:t>
      </w:r>
      <w:r>
        <w:rPr>
          <w:bCs/>
          <w:lang w:val="en-US"/>
        </w:rPr>
        <w:t>there are</w:t>
      </w:r>
      <w:r w:rsidRPr="003C4D9E">
        <w:rPr>
          <w:bCs/>
          <w:lang w:val="en-US"/>
        </w:rPr>
        <w:t xml:space="preserve"> problems facing minors in cases of illegal habitation of sub-standard housing that still exists in some parts of Spain. One example is the so-called "</w:t>
      </w:r>
      <w:r w:rsidRPr="003C4D9E">
        <w:rPr>
          <w:bCs/>
          <w:i/>
          <w:lang w:val="en-US"/>
        </w:rPr>
        <w:t>El Gallinero</w:t>
      </w:r>
      <w:r w:rsidRPr="003C4D9E">
        <w:rPr>
          <w:bCs/>
          <w:lang w:val="en-US"/>
        </w:rPr>
        <w:t>" [Henhouse] in the municipality of Madrid, an illegal settlement with over four hundred people, the majority of whom are minors. All are Romanian nationals and ethnic Roma. The settlement lacks drinking water as well as sewage or hygienic-sanitary systems of any kind.</w:t>
      </w:r>
    </w:p>
    <w:p w:rsidR="001E0DA8" w:rsidRPr="003C4D9E" w:rsidRDefault="001E0DA8" w:rsidP="00E01DA1">
      <w:pPr>
        <w:pStyle w:val="Default"/>
        <w:jc w:val="both"/>
        <w:rPr>
          <w:bCs/>
          <w:color w:val="auto"/>
          <w:lang w:val="en-US"/>
        </w:rPr>
      </w:pPr>
    </w:p>
    <w:p w:rsidR="001E0DA8" w:rsidRPr="003C4D9E" w:rsidRDefault="001E0DA8" w:rsidP="00E01DA1">
      <w:pPr>
        <w:pStyle w:val="Default"/>
        <w:jc w:val="both"/>
        <w:rPr>
          <w:bCs/>
          <w:color w:val="auto"/>
          <w:lang w:val="en-US"/>
        </w:rPr>
      </w:pPr>
      <w:r w:rsidRPr="003C4D9E">
        <w:rPr>
          <w:bCs/>
          <w:color w:val="auto"/>
          <w:lang w:val="en-US"/>
        </w:rPr>
        <w:t xml:space="preserve">Another example are the sub-standard housing settlements used by foreigners seeking work in the intensive farming activities carried out under plastic cover in municipalities of Huelva, including minors in some cases. The Ombudsman Institution has </w:t>
      </w:r>
      <w:r>
        <w:rPr>
          <w:bCs/>
          <w:color w:val="auto"/>
          <w:lang w:val="en-US"/>
        </w:rPr>
        <w:t>r</w:t>
      </w:r>
      <w:r w:rsidRPr="003C4D9E">
        <w:rPr>
          <w:b/>
          <w:bCs/>
          <w:color w:val="auto"/>
          <w:lang w:val="en-US"/>
        </w:rPr>
        <w:t>ecommend</w:t>
      </w:r>
      <w:r>
        <w:rPr>
          <w:b/>
          <w:bCs/>
          <w:color w:val="auto"/>
          <w:lang w:val="en-US"/>
        </w:rPr>
        <w:t>ed</w:t>
      </w:r>
      <w:r w:rsidRPr="003C4D9E">
        <w:rPr>
          <w:bCs/>
          <w:color w:val="auto"/>
          <w:lang w:val="en-US"/>
        </w:rPr>
        <w:t xml:space="preserve"> to the relevant city councils, autonomous administration and government sub-delegation for the coordination of competences and, in collaboration with social representatives, the provision of housing, healthcare and social services for the people living in the settlements, guaranteeing their rights as workers and identifying possible at-risk cases of minors residing there.</w:t>
      </w:r>
    </w:p>
    <w:p w:rsidR="001E0DA8" w:rsidRDefault="001E0DA8" w:rsidP="00E01DA1">
      <w:pPr>
        <w:pStyle w:val="Default"/>
        <w:jc w:val="both"/>
        <w:rPr>
          <w:bCs/>
          <w:color w:val="auto"/>
          <w:lang w:val="en-US"/>
        </w:rPr>
      </w:pPr>
    </w:p>
    <w:p w:rsidR="001E0DA8" w:rsidRPr="003C4D9E" w:rsidRDefault="001E0DA8" w:rsidP="00E01DA1">
      <w:pPr>
        <w:pStyle w:val="Default"/>
        <w:jc w:val="both"/>
        <w:rPr>
          <w:bCs/>
          <w:color w:val="auto"/>
          <w:lang w:val="en-US"/>
        </w:rPr>
      </w:pPr>
    </w:p>
    <w:p w:rsidR="001E0DA8" w:rsidRPr="003C4D9E" w:rsidRDefault="001E0DA8" w:rsidP="00E01DA1">
      <w:pPr>
        <w:pStyle w:val="3"/>
        <w:numPr>
          <w:ilvl w:val="2"/>
          <w:numId w:val="12"/>
        </w:numPr>
        <w:tabs>
          <w:tab w:val="clear" w:pos="624"/>
          <w:tab w:val="left" w:pos="500"/>
        </w:tabs>
        <w:ind w:hanging="2624"/>
        <w:rPr>
          <w:rFonts w:ascii="Times New Roman" w:hAnsi="Times New Roman"/>
          <w:color w:val="auto"/>
          <w:lang w:val="en-US"/>
        </w:rPr>
      </w:pPr>
      <w:bookmarkStart w:id="50" w:name="_Toc349128815"/>
      <w:bookmarkStart w:id="51" w:name="_Toc475979937"/>
      <w:r w:rsidRPr="003C4D9E">
        <w:rPr>
          <w:rFonts w:ascii="Times New Roman" w:hAnsi="Times New Roman"/>
          <w:lang w:val="en-US"/>
        </w:rPr>
        <w:t>Energy poverty</w:t>
      </w:r>
      <w:bookmarkEnd w:id="50"/>
      <w:bookmarkEnd w:id="51"/>
      <w:r w:rsidRPr="003C4D9E">
        <w:rPr>
          <w:rFonts w:ascii="Times New Roman" w:hAnsi="Times New Roman"/>
          <w:lang w:val="en-US"/>
        </w:rPr>
        <w:t xml:space="preserve">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Electric energy is an essential service for a decent standard of living and is a basic condition for the exercising of other fundamental rights. The financial crisis, along with the increase in the cost of electricity and the power held by companies, is giving rise to a situation of energy poverty for a section of society that includes many minors.   </w:t>
      </w:r>
    </w:p>
    <w:p w:rsidR="001E0DA8" w:rsidRPr="003C4D9E" w:rsidRDefault="001E0DA8" w:rsidP="00E01DA1">
      <w:pPr>
        <w:rPr>
          <w:lang w:val="en-US"/>
        </w:rPr>
      </w:pPr>
    </w:p>
    <w:p w:rsidR="001E0DA8" w:rsidRPr="003C4D9E" w:rsidRDefault="001E0DA8" w:rsidP="00E01DA1">
      <w:pPr>
        <w:jc w:val="both"/>
        <w:rPr>
          <w:lang w:val="en-US"/>
        </w:rPr>
      </w:pPr>
      <w:r w:rsidRPr="003C4D9E">
        <w:rPr>
          <w:lang w:val="en-US"/>
        </w:rPr>
        <w:t xml:space="preserve">Article 45 of </w:t>
      </w:r>
      <w:r w:rsidRPr="003C4D9E">
        <w:rPr>
          <w:i/>
          <w:lang w:val="en-US"/>
        </w:rPr>
        <w:t>Ley 24/2013, de 26 de diciembre, del Sector Eléctrico</w:t>
      </w:r>
      <w:r w:rsidRPr="003C4D9E">
        <w:rPr>
          <w:lang w:val="en-US"/>
        </w:rPr>
        <w:t xml:space="preserve"> [Law 24/2013 of 26 December on the Energy Sector] foresees the availability of a </w:t>
      </w:r>
      <w:r w:rsidRPr="003C4D9E">
        <w:rPr>
          <w:i/>
          <w:lang w:val="en-US"/>
        </w:rPr>
        <w:t>bono social</w:t>
      </w:r>
      <w:r w:rsidRPr="003C4D9E">
        <w:rPr>
          <w:lang w:val="en-US"/>
        </w:rPr>
        <w:t xml:space="preserve"> [social discount] for vulnerable consumers yet has deferred establishment of the social characteristics, consumption and purchasing power required by individuals to be eligible for such a discount to regulation at a later date. The Ombudsman Institution has </w:t>
      </w:r>
      <w:r w:rsidRPr="003C4D9E">
        <w:rPr>
          <w:b/>
          <w:lang w:val="en-US"/>
        </w:rPr>
        <w:t>recommended</w:t>
      </w:r>
      <w:r w:rsidRPr="003C4D9E">
        <w:rPr>
          <w:lang w:val="en-US"/>
        </w:rPr>
        <w:t xml:space="preserve"> that the </w:t>
      </w:r>
      <w:r w:rsidRPr="003C4D9E">
        <w:rPr>
          <w:i/>
          <w:lang w:val="en-US"/>
        </w:rPr>
        <w:t>Secretaría de Estado de Energía</w:t>
      </w:r>
      <w:r w:rsidRPr="003C4D9E">
        <w:rPr>
          <w:lang w:val="en-US"/>
        </w:rPr>
        <w:t xml:space="preserve"> [Secretary of State for Energy] define the concept of a vulnerable consumer. Establishment of a system with more protective guarantees against the cutting of supply due to non-payment is also being pursued, as well as a system of mediation to facilitate agreement for the payment of debts under manageable conditions and without risk of service interruption. Recent modifications to financing for the social discount have also been necessary, the Supreme Court, in Sentence 2279/2016, having declared the previous system to be inapplicable.</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A parliamentary </w:t>
      </w:r>
      <w:r>
        <w:rPr>
          <w:lang w:val="en-US"/>
        </w:rPr>
        <w:t xml:space="preserve">agreement </w:t>
      </w:r>
      <w:r w:rsidRPr="003C4D9E">
        <w:rPr>
          <w:lang w:val="en-US"/>
        </w:rPr>
        <w:t xml:space="preserve">was also recently reached on modifying the Energy Sector Law, with express inclusion of a prohibition on interrupting electric energy services for families designated as "vulnerable" by social services, and on the definition of this designation itself. The </w:t>
      </w:r>
      <w:r w:rsidRPr="003C4D9E">
        <w:rPr>
          <w:i/>
          <w:lang w:val="en-US"/>
        </w:rPr>
        <w:t>Ministerio de Energía</w:t>
      </w:r>
      <w:r w:rsidRPr="003C4D9E">
        <w:rPr>
          <w:lang w:val="en-US"/>
        </w:rPr>
        <w:t xml:space="preserve"> [Ministry of Energy] has committed to providing this regulation soon.</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It must also be noted that, despite the fact that electricity is a basic need, the supplying of energy is charged the general rate of 21% for Value Added Tax (abbreviated as IVA in Spanish) with other goods and services indispensable for a decent standard of living charged a reduced rate for the same tax. Moreover, owing to the application of </w:t>
      </w:r>
      <w:r w:rsidRPr="003C4D9E">
        <w:rPr>
          <w:i/>
          <w:lang w:val="en-US"/>
        </w:rPr>
        <w:t>Ley 38/1992, de 28 de diciembre, de Impuestos Especiales</w:t>
      </w:r>
      <w:r w:rsidRPr="003C4D9E">
        <w:rPr>
          <w:lang w:val="en-US"/>
        </w:rPr>
        <w:t xml:space="preserve"> [Law 38/1992 of 28 December on Special Taxes] and </w:t>
      </w:r>
      <w:r w:rsidRPr="003C4D9E">
        <w:rPr>
          <w:i/>
          <w:lang w:val="en-US"/>
        </w:rPr>
        <w:t>Ley 37/1992, de 28 de diciembre, del Impuesto sobre el Valor Añadido</w:t>
      </w:r>
      <w:r w:rsidRPr="003C4D9E">
        <w:rPr>
          <w:lang w:val="en-US"/>
        </w:rPr>
        <w:t xml:space="preserve"> [Law 37/1992 of 28 December on Value Added Tax] the supply of electric energy carries a surtax due to its being subject both to electricity tax and to Value Added Tax, </w:t>
      </w:r>
      <w:r>
        <w:rPr>
          <w:lang w:val="en-US"/>
        </w:rPr>
        <w:t xml:space="preserve">doubtlessly </w:t>
      </w:r>
      <w:r w:rsidRPr="003C4D9E">
        <w:rPr>
          <w:lang w:val="en-US"/>
        </w:rPr>
        <w:t>increasing the price.</w:t>
      </w:r>
    </w:p>
    <w:p w:rsidR="001E0DA8" w:rsidRDefault="001E0DA8" w:rsidP="00E01DA1">
      <w:pPr>
        <w:jc w:val="both"/>
        <w:rPr>
          <w:lang w:val="en-US"/>
        </w:rPr>
      </w:pPr>
    </w:p>
    <w:p w:rsidR="001E0DA8" w:rsidRDefault="001E0DA8" w:rsidP="00E01DA1">
      <w:pPr>
        <w:jc w:val="both"/>
        <w:rPr>
          <w:lang w:val="en-US"/>
        </w:rPr>
      </w:pPr>
    </w:p>
    <w:p w:rsidR="001E0DA8" w:rsidRDefault="001E0DA8" w:rsidP="00E01DA1">
      <w:pPr>
        <w:jc w:val="both"/>
        <w:rPr>
          <w:lang w:val="en-US"/>
        </w:rPr>
      </w:pPr>
    </w:p>
    <w:p w:rsidR="001E0DA8" w:rsidRDefault="001E0DA8" w:rsidP="00E01DA1">
      <w:pPr>
        <w:jc w:val="both"/>
        <w:rPr>
          <w:lang w:val="en-US"/>
        </w:rPr>
      </w:pPr>
    </w:p>
    <w:p w:rsidR="001E0DA8" w:rsidRDefault="001E0DA8" w:rsidP="00E01DA1">
      <w:pPr>
        <w:jc w:val="both"/>
        <w:rPr>
          <w:lang w:val="en-US"/>
        </w:rPr>
      </w:pPr>
    </w:p>
    <w:p w:rsidR="001E0DA8" w:rsidRPr="003C4D9E" w:rsidRDefault="001E0DA8" w:rsidP="00E01DA1">
      <w:pPr>
        <w:jc w:val="both"/>
        <w:rPr>
          <w:lang w:val="en-US"/>
        </w:rPr>
      </w:pPr>
    </w:p>
    <w:p w:rsidR="001E0DA8" w:rsidRDefault="001E0DA8" w:rsidP="00E01DA1">
      <w:pPr>
        <w:jc w:val="both"/>
        <w:rPr>
          <w:lang w:val="en-US"/>
        </w:rPr>
      </w:pPr>
    </w:p>
    <w:p w:rsidR="001E0DA8" w:rsidRPr="003C4D9E" w:rsidRDefault="001E0DA8" w:rsidP="00E01DA1">
      <w:pPr>
        <w:jc w:val="both"/>
        <w:rPr>
          <w:lang w:val="en-US"/>
        </w:rPr>
      </w:pPr>
    </w:p>
    <w:p w:rsidR="001E0DA8" w:rsidRPr="003C4D9E" w:rsidRDefault="001E0DA8" w:rsidP="00E01DA1">
      <w:pPr>
        <w:pStyle w:val="1"/>
        <w:numPr>
          <w:ilvl w:val="0"/>
          <w:numId w:val="12"/>
        </w:numPr>
        <w:tabs>
          <w:tab w:val="clear" w:pos="624"/>
        </w:tabs>
        <w:rPr>
          <w:rFonts w:ascii="Times New Roman" w:hAnsi="Times New Roman"/>
          <w:sz w:val="24"/>
          <w:lang w:val="en-US"/>
        </w:rPr>
      </w:pPr>
      <w:bookmarkStart w:id="52" w:name="_Toc475979938"/>
      <w:r w:rsidRPr="003C4D9E">
        <w:rPr>
          <w:rFonts w:ascii="Times New Roman" w:hAnsi="Times New Roman"/>
          <w:sz w:val="24"/>
          <w:lang w:val="en-US"/>
        </w:rPr>
        <w:t>education, recreation and cultural activities</w:t>
      </w:r>
      <w:bookmarkEnd w:id="52"/>
    </w:p>
    <w:p w:rsidR="001E0DA8" w:rsidRPr="003C4D9E" w:rsidRDefault="001E0DA8" w:rsidP="00E01DA1">
      <w:pPr>
        <w:tabs>
          <w:tab w:val="left" w:pos="720"/>
        </w:tabs>
        <w:jc w:val="both"/>
        <w:rPr>
          <w:lang w:val="en-US"/>
        </w:rPr>
      </w:pPr>
    </w:p>
    <w:p w:rsidR="001E0DA8" w:rsidRPr="003C4D9E" w:rsidRDefault="001E0DA8" w:rsidP="00E01DA1">
      <w:pPr>
        <w:pStyle w:val="2"/>
        <w:numPr>
          <w:ilvl w:val="1"/>
          <w:numId w:val="12"/>
        </w:numPr>
        <w:tabs>
          <w:tab w:val="clear" w:pos="624"/>
          <w:tab w:val="clear" w:pos="710"/>
          <w:tab w:val="left" w:pos="500"/>
        </w:tabs>
        <w:ind w:hanging="710"/>
        <w:rPr>
          <w:rFonts w:ascii="Times New Roman" w:hAnsi="Times New Roman"/>
          <w:sz w:val="24"/>
          <w:lang w:val="en-US"/>
        </w:rPr>
      </w:pPr>
      <w:bookmarkStart w:id="53" w:name="_Toc349128817"/>
      <w:bookmarkStart w:id="54" w:name="_Toc475979939"/>
      <w:r w:rsidRPr="003C4D9E">
        <w:rPr>
          <w:rFonts w:ascii="Times New Roman" w:hAnsi="Times New Roman"/>
          <w:sz w:val="24"/>
          <w:lang w:val="en-US"/>
        </w:rPr>
        <w:t>Education</w:t>
      </w:r>
      <w:bookmarkEnd w:id="53"/>
      <w:bookmarkEnd w:id="54"/>
      <w:r w:rsidRPr="003C4D9E">
        <w:rPr>
          <w:rFonts w:ascii="Times New Roman" w:hAnsi="Times New Roman"/>
          <w:sz w:val="24"/>
          <w:lang w:val="en-US"/>
        </w:rPr>
        <w:t xml:space="preserve"> </w:t>
      </w:r>
    </w:p>
    <w:p w:rsidR="001E0DA8" w:rsidRPr="003C4D9E" w:rsidRDefault="001E0DA8" w:rsidP="00E01DA1">
      <w:pPr>
        <w:tabs>
          <w:tab w:val="left" w:pos="720"/>
        </w:tabs>
        <w:jc w:val="both"/>
        <w:rPr>
          <w:b/>
          <w:lang w:val="en-US"/>
        </w:rPr>
      </w:pPr>
    </w:p>
    <w:p w:rsidR="001E0DA8" w:rsidRPr="003C4D9E" w:rsidRDefault="001E0DA8" w:rsidP="00E01DA1">
      <w:pPr>
        <w:tabs>
          <w:tab w:val="left" w:pos="720"/>
        </w:tabs>
        <w:jc w:val="both"/>
        <w:rPr>
          <w:lang w:val="en-US"/>
        </w:rPr>
      </w:pPr>
      <w:r w:rsidRPr="003C4D9E">
        <w:rPr>
          <w:lang w:val="en-US"/>
        </w:rPr>
        <w:t xml:space="preserve">Education is a guaranteed right in Spain, yet certain aspects of educational provisions and services need attention and, in some case, reform, such that this right may be fully effective. </w:t>
      </w:r>
    </w:p>
    <w:p w:rsidR="001E0DA8" w:rsidRPr="003C4D9E" w:rsidRDefault="001E0DA8" w:rsidP="00E01DA1">
      <w:pPr>
        <w:tabs>
          <w:tab w:val="left" w:pos="720"/>
        </w:tabs>
        <w:jc w:val="both"/>
        <w:rPr>
          <w:lang w:val="en-US"/>
        </w:rPr>
      </w:pPr>
    </w:p>
    <w:p w:rsidR="001E0DA8" w:rsidRPr="003C4D9E" w:rsidRDefault="001E0DA8" w:rsidP="00E01DA1">
      <w:pPr>
        <w:tabs>
          <w:tab w:val="left" w:pos="720"/>
        </w:tabs>
        <w:jc w:val="both"/>
        <w:rPr>
          <w:lang w:val="en-US"/>
        </w:rPr>
      </w:pPr>
      <w:r w:rsidRPr="003C4D9E">
        <w:rPr>
          <w:lang w:val="en-US"/>
        </w:rPr>
        <w:t>This entails an increase in the offer of school places at certain stages, especially preschool, the coordination of urban development with provisions for new schools, as well as attention paid to the conservation and renovation of existing schools and the removal of temporary facilities. It would be desirable to extend free education to other educational stages, and that free education at compulsory stages did not only refer to schooling itself but also to textbooks and other material necessary for the pursuit of one’s studies. It is also necessary to go deeper into the inclusive nature of the educational system, meeting the support needs for each student in all cases and adapting the organizational structure of schools, material means and teaching to this end.</w:t>
      </w:r>
    </w:p>
    <w:p w:rsidR="001E0DA8" w:rsidRPr="003C4D9E" w:rsidRDefault="001E0DA8" w:rsidP="00E01DA1">
      <w:pPr>
        <w:tabs>
          <w:tab w:val="left" w:pos="720"/>
        </w:tabs>
        <w:jc w:val="both"/>
        <w:rPr>
          <w:lang w:val="en-US"/>
        </w:rPr>
      </w:pPr>
    </w:p>
    <w:p w:rsidR="001E0DA8" w:rsidRPr="003C4D9E" w:rsidRDefault="001E0DA8" w:rsidP="00E01DA1">
      <w:pPr>
        <w:tabs>
          <w:tab w:val="left" w:pos="720"/>
        </w:tabs>
        <w:jc w:val="both"/>
        <w:rPr>
          <w:lang w:val="en-US"/>
        </w:rPr>
      </w:pPr>
      <w:r w:rsidRPr="003C4D9E">
        <w:rPr>
          <w:lang w:val="en-US"/>
        </w:rPr>
        <w:t xml:space="preserve">Generally speaking, the Ombudsman Institution can only reiterate what it has already stated on numerous occasions with respect to the need for our country to reach a broad agreement on the basic and structural characteristics of the educational system. Educational changes are progressively implemented over several years and require considerable effort. Adaptation and training of teachers, outfitting of facilities, renewal of teaching and learning materials, initiation of new training and learning processes and the financial resources that all of these involve all provide sufficient reasons for affirming that such stability is highly desirable, and even more so since the outcomes of an educational system may not be evaluated until a certain amount time has transpired after implementation. </w:t>
      </w:r>
    </w:p>
    <w:p w:rsidR="001E0DA8" w:rsidRPr="003C4D9E" w:rsidRDefault="001E0DA8" w:rsidP="00E01DA1">
      <w:pPr>
        <w:tabs>
          <w:tab w:val="left" w:pos="720"/>
        </w:tabs>
        <w:jc w:val="both"/>
        <w:rPr>
          <w:lang w:val="en-US"/>
        </w:rPr>
      </w:pPr>
    </w:p>
    <w:p w:rsidR="001E0DA8" w:rsidRPr="003C4D9E" w:rsidRDefault="001E0DA8" w:rsidP="00E01DA1">
      <w:pPr>
        <w:pStyle w:val="3"/>
        <w:numPr>
          <w:ilvl w:val="2"/>
          <w:numId w:val="12"/>
        </w:numPr>
        <w:tabs>
          <w:tab w:val="clear" w:pos="624"/>
          <w:tab w:val="clear" w:pos="2624"/>
          <w:tab w:val="left" w:pos="500"/>
          <w:tab w:val="num" w:pos="600"/>
        </w:tabs>
        <w:ind w:left="600" w:hanging="600"/>
        <w:rPr>
          <w:rFonts w:ascii="Times New Roman" w:hAnsi="Times New Roman"/>
          <w:lang w:val="en-US"/>
        </w:rPr>
      </w:pPr>
      <w:r w:rsidRPr="003C4D9E">
        <w:rPr>
          <w:lang w:val="en-US"/>
        </w:rPr>
        <w:t xml:space="preserve"> </w:t>
      </w:r>
      <w:bookmarkStart w:id="55" w:name="_Toc349128818"/>
      <w:r>
        <w:rPr>
          <w:lang w:val="en-US"/>
        </w:rPr>
        <w:t xml:space="preserve"> </w:t>
      </w:r>
      <w:bookmarkStart w:id="56" w:name="_Toc475979940"/>
      <w:r w:rsidRPr="003C4D9E">
        <w:rPr>
          <w:rFonts w:ascii="Times New Roman" w:hAnsi="Times New Roman"/>
          <w:lang w:val="en-US"/>
        </w:rPr>
        <w:t>Free education and its inherent costs and benefits. Assistance for textbooks and school material</w:t>
      </w:r>
      <w:bookmarkEnd w:id="55"/>
      <w:bookmarkEnd w:id="56"/>
      <w:r w:rsidRPr="003C4D9E">
        <w:rPr>
          <w:rFonts w:ascii="Times New Roman" w:hAnsi="Times New Roman"/>
          <w:lang w:val="en-US"/>
        </w:rPr>
        <w:t xml:space="preserve"> </w:t>
      </w:r>
    </w:p>
    <w:p w:rsidR="001E0DA8" w:rsidRPr="003C4D9E" w:rsidRDefault="001E0DA8" w:rsidP="00E01DA1">
      <w:pPr>
        <w:tabs>
          <w:tab w:val="left" w:pos="720"/>
        </w:tabs>
        <w:jc w:val="both"/>
        <w:rPr>
          <w:lang w:val="en-US"/>
        </w:rPr>
      </w:pPr>
    </w:p>
    <w:p w:rsidR="001E0DA8" w:rsidRPr="003C4D9E" w:rsidRDefault="001E0DA8" w:rsidP="00E01DA1">
      <w:pPr>
        <w:tabs>
          <w:tab w:val="left" w:pos="720"/>
        </w:tabs>
        <w:jc w:val="both"/>
        <w:rPr>
          <w:lang w:val="en-US"/>
        </w:rPr>
      </w:pPr>
      <w:r w:rsidRPr="003C4D9E">
        <w:rPr>
          <w:lang w:val="en-US"/>
        </w:rPr>
        <w:t>The Constitution proclaims that basic education is compulsory and free (Article 27.4 of the Spanish Constitution, abbreviated as CE in Spanish). However, school attendance for compulsory education requires that families undertake a number of financial costs that extend beyond obtaining a free place either in a public school or a school supported with public funding. The constitutional mandate for compulsory free education is therefore not fulfilled in its own ends.</w:t>
      </w:r>
    </w:p>
    <w:p w:rsidR="001E0DA8" w:rsidRPr="003C4D9E" w:rsidRDefault="001E0DA8" w:rsidP="00E01DA1">
      <w:pPr>
        <w:tabs>
          <w:tab w:val="left" w:pos="720"/>
        </w:tabs>
        <w:jc w:val="both"/>
        <w:rPr>
          <w:lang w:val="en-US"/>
        </w:rPr>
      </w:pPr>
    </w:p>
    <w:p w:rsidR="001E0DA8" w:rsidRPr="003C4D9E" w:rsidRDefault="001E0DA8" w:rsidP="00E01DA1">
      <w:pPr>
        <w:tabs>
          <w:tab w:val="left" w:pos="720"/>
        </w:tabs>
        <w:jc w:val="both"/>
        <w:rPr>
          <w:lang w:val="en-US"/>
        </w:rPr>
      </w:pPr>
      <w:r w:rsidRPr="003C4D9E">
        <w:rPr>
          <w:lang w:val="en-US"/>
        </w:rPr>
        <w:t>The issue has greater relevance at such a time of financial crisis as that which has been suffered for years and which has placed many families in a situation in which it is difficult to cope with the inherent costs of compulsory education for their children. In this regard, protecting equal opportunities for children affected by the effects of the crisis has to do with safeguarding the rights reflected in the Convention on the Rights of the Child, to the extent that there may be irreversible consequences in terms of their abilities, development and behavior.</w:t>
      </w:r>
    </w:p>
    <w:p w:rsidR="001E0DA8" w:rsidRPr="003C4D9E" w:rsidRDefault="001E0DA8" w:rsidP="00E01DA1">
      <w:pPr>
        <w:tabs>
          <w:tab w:val="left" w:pos="720"/>
        </w:tabs>
        <w:jc w:val="both"/>
        <w:rPr>
          <w:lang w:val="en-US"/>
        </w:rPr>
      </w:pPr>
    </w:p>
    <w:p w:rsidR="001E0DA8" w:rsidRPr="003C4D9E" w:rsidRDefault="001E0DA8" w:rsidP="00E01DA1">
      <w:pPr>
        <w:tabs>
          <w:tab w:val="left" w:pos="720"/>
        </w:tabs>
        <w:jc w:val="both"/>
        <w:rPr>
          <w:lang w:val="en-US"/>
        </w:rPr>
      </w:pPr>
      <w:r w:rsidRPr="003C4D9E">
        <w:rPr>
          <w:lang w:val="en-US"/>
        </w:rPr>
        <w:t xml:space="preserve">One expense to be undertaken by families at the beginning of each school year is that involved in obtaining textbooks and other material indispensible for pursuing the pertinent studies. This was the topic of a </w:t>
      </w:r>
      <w:r>
        <w:rPr>
          <w:lang w:val="en-US"/>
        </w:rPr>
        <w:t>report</w:t>
      </w:r>
      <w:r w:rsidRPr="003C4D9E">
        <w:rPr>
          <w:lang w:val="en-US"/>
        </w:rPr>
        <w:t xml:space="preserve"> carried out by the Institution in 2013 entitled </w:t>
      </w:r>
      <w:r w:rsidRPr="003C4D9E">
        <w:rPr>
          <w:i/>
          <w:lang w:val="en-US"/>
        </w:rPr>
        <w:t xml:space="preserve">Gratuidad de los libros de texto: programas, ayudas, préstamos y </w:t>
      </w:r>
      <w:r w:rsidRPr="005C5DE1">
        <w:rPr>
          <w:i/>
          <w:lang w:val="en-US"/>
        </w:rPr>
        <w:t>reutilización [Free</w:t>
      </w:r>
      <w:r w:rsidRPr="003C4D9E">
        <w:rPr>
          <w:i/>
          <w:lang w:val="en-US"/>
        </w:rPr>
        <w:t xml:space="preserve"> textbooks: programs, assistance, loans and reuse]</w:t>
      </w:r>
      <w:r w:rsidRPr="003C4D9E">
        <w:rPr>
          <w:rStyle w:val="FootnoteReference"/>
          <w:lang w:val="en-US"/>
        </w:rPr>
        <w:footnoteReference w:id="20"/>
      </w:r>
      <w:r w:rsidRPr="003C4D9E">
        <w:rPr>
          <w:lang w:val="en-US"/>
        </w:rPr>
        <w:t>.</w:t>
      </w:r>
    </w:p>
    <w:p w:rsidR="001E0DA8" w:rsidRPr="003C4D9E" w:rsidRDefault="001E0DA8" w:rsidP="00E01DA1">
      <w:pPr>
        <w:tabs>
          <w:tab w:val="left" w:pos="720"/>
        </w:tabs>
        <w:jc w:val="both"/>
        <w:rPr>
          <w:lang w:val="en-US"/>
        </w:rPr>
      </w:pPr>
    </w:p>
    <w:p w:rsidR="001E0DA8" w:rsidRPr="003C4D9E" w:rsidRDefault="001E0DA8" w:rsidP="00E01DA1">
      <w:pPr>
        <w:tabs>
          <w:tab w:val="left" w:pos="720"/>
        </w:tabs>
        <w:jc w:val="both"/>
        <w:rPr>
          <w:lang w:val="en-US"/>
        </w:rPr>
      </w:pPr>
      <w:r w:rsidRPr="003C4D9E">
        <w:rPr>
          <w:lang w:val="en-US"/>
        </w:rPr>
        <w:t xml:space="preserve">This </w:t>
      </w:r>
      <w:r>
        <w:rPr>
          <w:lang w:val="en-US"/>
        </w:rPr>
        <w:t>report</w:t>
      </w:r>
      <w:r w:rsidRPr="003C4D9E">
        <w:rPr>
          <w:lang w:val="en-US"/>
        </w:rPr>
        <w:t xml:space="preserve"> examined the state of affairs </w:t>
      </w:r>
      <w:r>
        <w:rPr>
          <w:lang w:val="en-US"/>
        </w:rPr>
        <w:t>from the 2008</w:t>
      </w:r>
      <w:r>
        <w:rPr>
          <w:lang w:val="en-US"/>
        </w:rPr>
        <w:noBreakHyphen/>
        <w:t>2009 school year.</w:t>
      </w:r>
      <w:r w:rsidRPr="003C4D9E">
        <w:rPr>
          <w:lang w:val="en-US"/>
        </w:rPr>
        <w:t xml:space="preserve"> It was concluded that the partial objective of free textbooks had suffered an important setback, both in the amount of the general funds allocated for this purpose and in the percentage of beneficiaries of the same with respect to total school population. The vast differences among different educational administrations was also noted, in terms of the general objective of free education and the partial objective of the aforementioned free textbooks and other school material, as well as a lack of common guidelines and objectives including those concerning the obligations arising from the constitutional proclamation on free compulsory education and the ideal way to achieve it. </w:t>
      </w:r>
    </w:p>
    <w:p w:rsidR="001E0DA8" w:rsidRPr="003C4D9E" w:rsidRDefault="001E0DA8" w:rsidP="00E01DA1">
      <w:pPr>
        <w:tabs>
          <w:tab w:val="left" w:pos="720"/>
        </w:tabs>
        <w:jc w:val="both"/>
        <w:rPr>
          <w:lang w:val="en-US"/>
        </w:rPr>
      </w:pPr>
    </w:p>
    <w:p w:rsidR="001E0DA8" w:rsidRPr="003C4D9E" w:rsidRDefault="001E0DA8" w:rsidP="00E01DA1">
      <w:pPr>
        <w:jc w:val="both"/>
        <w:rPr>
          <w:lang w:val="en-US"/>
        </w:rPr>
      </w:pPr>
      <w:r w:rsidRPr="003C4D9E">
        <w:rPr>
          <w:lang w:val="en-US"/>
        </w:rPr>
        <w:t xml:space="preserve">Several </w:t>
      </w:r>
      <w:r>
        <w:rPr>
          <w:b/>
          <w:lang w:val="en-US"/>
        </w:rPr>
        <w:t>R</w:t>
      </w:r>
      <w:r w:rsidRPr="003C4D9E">
        <w:rPr>
          <w:b/>
          <w:lang w:val="en-US"/>
        </w:rPr>
        <w:t>ecommendations</w:t>
      </w:r>
      <w:r w:rsidRPr="003C4D9E">
        <w:rPr>
          <w:lang w:val="en-US"/>
        </w:rPr>
        <w:t xml:space="preserve"> were put forth which, with various formulas and varying degrees of intensity, have been adopted by the different educational administrations. </w:t>
      </w:r>
      <w:r w:rsidRPr="003C4D9E">
        <w:rPr>
          <w:b/>
          <w:lang w:val="en-US"/>
        </w:rPr>
        <w:t>Recommendations</w:t>
      </w:r>
      <w:r w:rsidRPr="003C4D9E">
        <w:rPr>
          <w:lang w:val="en-US"/>
        </w:rPr>
        <w:t xml:space="preserve"> were made for coordinated courses of action to establish minimum common objectives and guarantee a level of support for free textbooks comparable throughout Spain so as to ensure equality for students in compulsory education. </w:t>
      </w:r>
      <w:r w:rsidRPr="003C4D9E">
        <w:rPr>
          <w:b/>
          <w:lang w:val="en-US"/>
        </w:rPr>
        <w:t>Recommendations</w:t>
      </w:r>
      <w:r w:rsidRPr="003C4D9E">
        <w:rPr>
          <w:lang w:val="en-US"/>
        </w:rPr>
        <w:t xml:space="preserve"> were also made for the priority implementation of systems for textbook lending and reuse in view of the greater efficiency and lower cost of this model with respect to other means of assistance for textbook acquisition, complemented by the maintenance and promotion of school libraries equipped with additional educational material as well as material corresponding to key subjects and most frequently consulted by students.  All of this in a stable educational environment, necessary yet to date unachieved, especially as regards programs and curricular design that facilitates and favors textbook reuse.</w:t>
      </w:r>
    </w:p>
    <w:p w:rsidR="001E0DA8" w:rsidRPr="003C4D9E" w:rsidRDefault="001E0DA8" w:rsidP="00E01DA1">
      <w:pPr>
        <w:tabs>
          <w:tab w:val="left" w:pos="720"/>
        </w:tabs>
        <w:jc w:val="both"/>
        <w:rPr>
          <w:lang w:val="en-US"/>
        </w:rPr>
      </w:pPr>
    </w:p>
    <w:p w:rsidR="001E0DA8" w:rsidRPr="003C4D9E" w:rsidRDefault="001E0DA8" w:rsidP="00E01DA1">
      <w:pPr>
        <w:pStyle w:val="3"/>
        <w:numPr>
          <w:ilvl w:val="2"/>
          <w:numId w:val="12"/>
        </w:numPr>
        <w:tabs>
          <w:tab w:val="clear" w:pos="624"/>
          <w:tab w:val="left" w:pos="500"/>
        </w:tabs>
        <w:ind w:hanging="2624"/>
        <w:rPr>
          <w:rFonts w:ascii="Times New Roman" w:hAnsi="Times New Roman"/>
          <w:lang w:val="en-US"/>
        </w:rPr>
      </w:pPr>
      <w:bookmarkStart w:id="57" w:name="_Toc349128819"/>
      <w:bookmarkStart w:id="58" w:name="_Toc475979941"/>
      <w:r w:rsidRPr="003C4D9E">
        <w:rPr>
          <w:rFonts w:ascii="Times New Roman" w:hAnsi="Times New Roman"/>
          <w:lang w:val="en-US"/>
        </w:rPr>
        <w:t>Scholarships and assistance for post-compulsory education</w:t>
      </w:r>
      <w:bookmarkEnd w:id="57"/>
      <w:bookmarkEnd w:id="58"/>
      <w:r w:rsidRPr="003C4D9E">
        <w:rPr>
          <w:rFonts w:ascii="Times New Roman" w:hAnsi="Times New Roman"/>
          <w:lang w:val="en-US"/>
        </w:rPr>
        <w:t xml:space="preserve"> </w:t>
      </w:r>
    </w:p>
    <w:p w:rsidR="001E0DA8" w:rsidRPr="003C4D9E" w:rsidRDefault="001E0DA8" w:rsidP="00E01DA1">
      <w:pPr>
        <w:tabs>
          <w:tab w:val="left" w:pos="720"/>
        </w:tabs>
        <w:jc w:val="both"/>
        <w:rPr>
          <w:lang w:val="en-US"/>
        </w:rPr>
      </w:pPr>
    </w:p>
    <w:p w:rsidR="001E0DA8" w:rsidRPr="003C4D9E" w:rsidRDefault="001E0DA8" w:rsidP="00E01DA1">
      <w:pPr>
        <w:tabs>
          <w:tab w:val="left" w:pos="720"/>
        </w:tabs>
        <w:jc w:val="both"/>
        <w:rPr>
          <w:lang w:val="en-US"/>
        </w:rPr>
      </w:pPr>
      <w:r w:rsidRPr="003C4D9E">
        <w:rPr>
          <w:lang w:val="en-US"/>
        </w:rPr>
        <w:t>The general posting of scholarships includes post-compulsory education, some of which may be pursued by minors between 16 and 18 years of age, such as the high school diploma and basic vocational training.</w:t>
      </w:r>
    </w:p>
    <w:p w:rsidR="001E0DA8" w:rsidRPr="003C4D9E" w:rsidRDefault="001E0DA8" w:rsidP="00E01DA1">
      <w:pPr>
        <w:tabs>
          <w:tab w:val="left" w:pos="720"/>
        </w:tabs>
        <w:jc w:val="both"/>
        <w:rPr>
          <w:lang w:val="en-US"/>
        </w:rPr>
      </w:pPr>
    </w:p>
    <w:p w:rsidR="001E0DA8" w:rsidRPr="003C4D9E" w:rsidRDefault="001E0DA8" w:rsidP="00E01DA1">
      <w:pPr>
        <w:tabs>
          <w:tab w:val="left" w:pos="720"/>
        </w:tabs>
        <w:jc w:val="both"/>
        <w:rPr>
          <w:lang w:val="en-US"/>
        </w:rPr>
      </w:pPr>
      <w:r w:rsidRPr="003C4D9E">
        <w:rPr>
          <w:lang w:val="en-US"/>
        </w:rPr>
        <w:t>In recent years and as a consequence of the financial crisis and the obligations arising from fiscal consolidation, the educational authorities on which these depend have substantially increased the cost of public school enrollment, such that the cost of education has risen, making it more difficult for students and families to cope and running counter to the very purpose of a scholarship and assistance system, which is essentially to promote equality in the right to education.</w:t>
      </w:r>
    </w:p>
    <w:p w:rsidR="001E0DA8" w:rsidRPr="003C4D9E" w:rsidRDefault="001E0DA8" w:rsidP="00E01DA1">
      <w:pPr>
        <w:tabs>
          <w:tab w:val="left" w:pos="720"/>
        </w:tabs>
        <w:jc w:val="both"/>
        <w:rPr>
          <w:lang w:val="en-US"/>
        </w:rPr>
      </w:pPr>
    </w:p>
    <w:p w:rsidR="001E0DA8" w:rsidRPr="003C4D9E" w:rsidRDefault="001E0DA8" w:rsidP="00E01DA1">
      <w:pPr>
        <w:tabs>
          <w:tab w:val="left" w:pos="720"/>
        </w:tabs>
        <w:jc w:val="both"/>
        <w:rPr>
          <w:lang w:val="en-US"/>
        </w:rPr>
      </w:pPr>
      <w:r w:rsidRPr="003C4D9E">
        <w:rPr>
          <w:lang w:val="en-US"/>
        </w:rPr>
        <w:t>As regards academic requirements, the latest annual announcements for scholarships and academic aid call for a higher level of performance in order to be eligible for this assistance, which varies according to the studies pursued and which is justified as an incentive for improving the academic success rate. However, the toughening of academic requirements implies an additional barrier for students requiring a scholarship to continue their studies and who have demonstrated sufficient academic capacity to do so.</w:t>
      </w:r>
    </w:p>
    <w:p w:rsidR="001E0DA8" w:rsidRPr="003C4D9E" w:rsidRDefault="001E0DA8" w:rsidP="00E01DA1">
      <w:pPr>
        <w:tabs>
          <w:tab w:val="left" w:pos="720"/>
        </w:tabs>
        <w:jc w:val="both"/>
        <w:rPr>
          <w:lang w:val="en-US"/>
        </w:rPr>
      </w:pPr>
    </w:p>
    <w:p w:rsidR="001E0DA8" w:rsidRPr="003C4D9E" w:rsidRDefault="001E0DA8" w:rsidP="00E01DA1">
      <w:pPr>
        <w:tabs>
          <w:tab w:val="left" w:pos="720"/>
        </w:tabs>
        <w:jc w:val="both"/>
        <w:rPr>
          <w:lang w:val="en-US"/>
        </w:rPr>
      </w:pPr>
      <w:r w:rsidRPr="003C4D9E">
        <w:rPr>
          <w:lang w:val="en-US"/>
        </w:rPr>
        <w:t>The 2013</w:t>
      </w:r>
      <w:r w:rsidRPr="003C4D9E">
        <w:rPr>
          <w:lang w:val="en-US"/>
        </w:rPr>
        <w:noBreakHyphen/>
        <w:t>2014 academic year saw the implementation of a new scholarship management system for applications, awarding and payment that divides the amount of assistance into a fixed amount and a variable amount. Calculation of the latter amount requires, among other parameters, the total number of beneficiaries, something that is not obtained until all applications have been processed.</w:t>
      </w:r>
    </w:p>
    <w:p w:rsidR="001E0DA8" w:rsidRPr="003C4D9E" w:rsidRDefault="001E0DA8" w:rsidP="00E01DA1">
      <w:pPr>
        <w:tabs>
          <w:tab w:val="left" w:pos="720"/>
        </w:tabs>
        <w:jc w:val="both"/>
        <w:rPr>
          <w:lang w:val="en-US"/>
        </w:rPr>
      </w:pPr>
    </w:p>
    <w:p w:rsidR="001E0DA8" w:rsidRPr="003C4D9E" w:rsidRDefault="001E0DA8" w:rsidP="00E01DA1">
      <w:pPr>
        <w:tabs>
          <w:tab w:val="left" w:pos="720"/>
        </w:tabs>
        <w:jc w:val="both"/>
        <w:rPr>
          <w:lang w:val="en-US"/>
        </w:rPr>
      </w:pPr>
      <w:r w:rsidRPr="003C4D9E">
        <w:rPr>
          <w:lang w:val="en-US"/>
        </w:rPr>
        <w:t xml:space="preserve">Anyone applying for a scholarship and meeting the requirements must have the relevant resources at the beginning of the school year, and not towards its end or after it has ended. The standard payment of the first, fixed amount for scholarships tends to begin in December and end in March, when the variable amount for scholarships begin to be paid. The process is completed in May, that is to say, practically a month from the end of the school year. </w:t>
      </w:r>
    </w:p>
    <w:p w:rsidR="001E0DA8" w:rsidRPr="003C4D9E" w:rsidRDefault="001E0DA8" w:rsidP="00E01DA1">
      <w:pPr>
        <w:tabs>
          <w:tab w:val="left" w:pos="720"/>
        </w:tabs>
        <w:jc w:val="both"/>
        <w:rPr>
          <w:lang w:val="en-US"/>
        </w:rPr>
      </w:pPr>
    </w:p>
    <w:p w:rsidR="001E0DA8" w:rsidRPr="003C4D9E" w:rsidRDefault="001E0DA8" w:rsidP="00E01DA1">
      <w:pPr>
        <w:pStyle w:val="3"/>
        <w:numPr>
          <w:ilvl w:val="2"/>
          <w:numId w:val="12"/>
        </w:numPr>
        <w:tabs>
          <w:tab w:val="clear" w:pos="624"/>
          <w:tab w:val="left" w:pos="600"/>
        </w:tabs>
        <w:ind w:hanging="2624"/>
        <w:rPr>
          <w:rFonts w:ascii="Times New Roman" w:hAnsi="Times New Roman"/>
          <w:lang w:val="en-US"/>
        </w:rPr>
      </w:pPr>
      <w:bookmarkStart w:id="59" w:name="_Toc349128820"/>
      <w:bookmarkStart w:id="60" w:name="_Toc475979942"/>
      <w:r w:rsidRPr="003C4D9E">
        <w:rPr>
          <w:rFonts w:ascii="Times New Roman" w:hAnsi="Times New Roman"/>
          <w:lang w:val="en-US"/>
        </w:rPr>
        <w:t>Inclusive education</w:t>
      </w:r>
      <w:bookmarkEnd w:id="59"/>
      <w:bookmarkEnd w:id="60"/>
    </w:p>
    <w:p w:rsidR="001E0DA8" w:rsidRPr="003C4D9E" w:rsidRDefault="001E0DA8" w:rsidP="00E01DA1">
      <w:pPr>
        <w:tabs>
          <w:tab w:val="left" w:pos="720"/>
        </w:tabs>
        <w:jc w:val="both"/>
        <w:rPr>
          <w:b/>
          <w:lang w:val="en-US"/>
        </w:rPr>
      </w:pPr>
    </w:p>
    <w:p w:rsidR="001E0DA8" w:rsidRPr="003C4D9E" w:rsidRDefault="001E0DA8" w:rsidP="00E01DA1">
      <w:pPr>
        <w:jc w:val="both"/>
        <w:rPr>
          <w:lang w:val="en-US"/>
        </w:rPr>
      </w:pPr>
      <w:r w:rsidRPr="003C4D9E">
        <w:rPr>
          <w:lang w:val="en-US"/>
        </w:rPr>
        <w:t xml:space="preserve">Successive </w:t>
      </w:r>
      <w:r>
        <w:rPr>
          <w:lang w:val="en-US"/>
        </w:rPr>
        <w:t>Ombudsman A</w:t>
      </w:r>
      <w:r w:rsidRPr="003C4D9E">
        <w:rPr>
          <w:lang w:val="en-US"/>
        </w:rPr>
        <w:t xml:space="preserve">nnual </w:t>
      </w:r>
      <w:r>
        <w:rPr>
          <w:lang w:val="en-US"/>
        </w:rPr>
        <w:t>R</w:t>
      </w:r>
      <w:r w:rsidRPr="003C4D9E">
        <w:rPr>
          <w:lang w:val="en-US"/>
        </w:rPr>
        <w:t>eports have referred to the work that still must be undertaken for the implementation in our country of an inclusive education system, defined by several international legal documents as the most appropriate system in terms of respect for students' educational rights.</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The Convention on the Rights of Persons with Disabilities of 2006 (ratified by Spai</w:t>
      </w:r>
      <w:r>
        <w:rPr>
          <w:lang w:val="en-US"/>
        </w:rPr>
        <w:t xml:space="preserve">n </w:t>
      </w:r>
      <w:r w:rsidRPr="003C4D9E">
        <w:rPr>
          <w:lang w:val="en-US"/>
        </w:rPr>
        <w:t>at the end of 2007) proclaims that students with disabilities have t</w:t>
      </w:r>
      <w:r>
        <w:rPr>
          <w:lang w:val="en-US"/>
        </w:rPr>
        <w:t xml:space="preserve">he right to inclusive education. The students have </w:t>
      </w:r>
      <w:r w:rsidRPr="003C4D9E">
        <w:rPr>
          <w:lang w:val="en-US"/>
        </w:rPr>
        <w:t>the right for reasonable adjustments to be made for access to ordinary schools and the right for personalized and effective means of support promoting their maximum academic and social development (Article 24).</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Inclusive education is based on the idea of "schools for all". Schools that include everyone, celebrate differences and respond to each individual’s needs. It is not education systems that have the right to certain types of children, but rather children and adolescents, each with his or her circumstances, who have the right to education</w:t>
      </w:r>
      <w:r w:rsidRPr="003C4D9E">
        <w:rPr>
          <w:rStyle w:val="FootnoteReference"/>
          <w:lang w:val="en-US"/>
        </w:rPr>
        <w:footnoteReference w:id="21"/>
      </w:r>
      <w:r w:rsidRPr="003C4D9E">
        <w:rPr>
          <w:lang w:val="en-US"/>
        </w:rPr>
        <w:t>.</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Convention outlines the obligations undertaken by its States parties to ensure an inclusive education system. The States must guarantee that people with disabilities are not excluded from the general education system due to disability, and that reasonable adjustments are made according to individual needs. Children cannot be excluded from free compulsory primary or secondary education due to disability; they have the right to access free, quality, inclusive education under the same conditions as everyone else and in the community in which they reside [Article 24.2 a), b) and c) of the Convention]. </w:t>
      </w:r>
    </w:p>
    <w:p w:rsidR="001E0DA8" w:rsidRPr="003C4D9E" w:rsidRDefault="001E0DA8" w:rsidP="00E01DA1">
      <w:pPr>
        <w:jc w:val="both"/>
        <w:rPr>
          <w:lang w:val="en-US"/>
        </w:rPr>
      </w:pPr>
    </w:p>
    <w:p w:rsidR="001E0DA8" w:rsidRDefault="001E0DA8" w:rsidP="00E01DA1">
      <w:pPr>
        <w:jc w:val="both"/>
        <w:rPr>
          <w:lang w:val="en-US"/>
        </w:rPr>
      </w:pPr>
      <w:r w:rsidRPr="003C4D9E">
        <w:rPr>
          <w:lang w:val="en-US"/>
        </w:rPr>
        <w:t>The formal</w:t>
      </w:r>
      <w:r w:rsidRPr="003C4D9E">
        <w:rPr>
          <w:rStyle w:val="FootnoteReference"/>
          <w:lang w:val="en-US"/>
        </w:rPr>
        <w:footnoteReference w:id="22"/>
      </w:r>
      <w:r w:rsidRPr="003C4D9E">
        <w:rPr>
          <w:lang w:val="en-US"/>
        </w:rPr>
        <w:t xml:space="preserve"> inclusion and acceptance of these provisions in our legal system coexists with a different educational reality. Decisions are made by educational administrations on the sidelines of the Convention.</w:t>
      </w:r>
    </w:p>
    <w:p w:rsidR="001E0DA8" w:rsidRPr="003C4D9E" w:rsidRDefault="001E0DA8" w:rsidP="00E01DA1">
      <w:pPr>
        <w:jc w:val="both"/>
        <w:rPr>
          <w:lang w:val="en-US"/>
        </w:rPr>
      </w:pPr>
      <w:r w:rsidRPr="003C4D9E">
        <w:rPr>
          <w:lang w:val="en-US"/>
        </w:rPr>
        <w:t xml:space="preserve"> </w:t>
      </w:r>
    </w:p>
    <w:p w:rsidR="001E0DA8" w:rsidRPr="003C4D9E" w:rsidRDefault="001E0DA8" w:rsidP="00E01DA1">
      <w:pPr>
        <w:jc w:val="both"/>
        <w:rPr>
          <w:lang w:val="en-US"/>
        </w:rPr>
      </w:pPr>
      <w:r w:rsidRPr="003C4D9E">
        <w:rPr>
          <w:lang w:val="en-US"/>
        </w:rPr>
        <w:t>The Ombudsman considers that the obligations derived from Article 24 of the Convention on the Rights of Persons with Disabilities of 2006 render it incumbent upon educational administrations to take positive action to make the necessary resources (reasonable adjustments and personalized means of support) available to schools and students, not limiting themselves to a forced diversion of a student to another ordinary school where these resources are available or to a special center of education. This obligation extends to extracurricular activities scheduled by schools and to complementary services such as transport and the school dining room.</w:t>
      </w:r>
    </w:p>
    <w:p w:rsidR="001E0DA8" w:rsidRPr="003C4D9E" w:rsidRDefault="001E0DA8" w:rsidP="00E01DA1">
      <w:pPr>
        <w:jc w:val="both"/>
        <w:rPr>
          <w:lang w:val="en-US"/>
        </w:rPr>
      </w:pPr>
    </w:p>
    <w:p w:rsidR="001E0DA8" w:rsidRPr="003C4D9E" w:rsidRDefault="001E0DA8" w:rsidP="00E01DA1">
      <w:pPr>
        <w:jc w:val="both"/>
        <w:rPr>
          <w:lang w:val="en-US"/>
        </w:rPr>
      </w:pPr>
      <w:r>
        <w:rPr>
          <w:lang w:val="en-US"/>
        </w:rPr>
        <w:t xml:space="preserve">The insufficient </w:t>
      </w:r>
      <w:r w:rsidRPr="003C4D9E">
        <w:rPr>
          <w:lang w:val="en-US"/>
        </w:rPr>
        <w:t>resources for certain schools does not constitute sufficient basis for denying admission to students with disabilities. In order for such denial to be considered respectful of the right to an inclusive education, educational administrations must previously determine the adjustments required in that specific case (provision of material and personal resources; organizational and operational modifications, curricular adaptations) these being able to be refused solely in the event that they are not found to be reasonable in accordance with the Convention.</w:t>
      </w:r>
    </w:p>
    <w:p w:rsidR="001E0DA8" w:rsidRPr="003C4D9E" w:rsidRDefault="001E0DA8" w:rsidP="00E01DA1">
      <w:pPr>
        <w:ind w:firstLine="708"/>
        <w:rPr>
          <w:lang w:val="en-US"/>
        </w:rPr>
      </w:pPr>
      <w:r w:rsidRPr="003C4D9E">
        <w:rPr>
          <w:lang w:val="en-US"/>
        </w:rPr>
        <w:t xml:space="preserve"> </w:t>
      </w:r>
    </w:p>
    <w:p w:rsidR="001E0DA8" w:rsidRPr="003C4D9E" w:rsidRDefault="001E0DA8" w:rsidP="00E01DA1">
      <w:pPr>
        <w:jc w:val="both"/>
        <w:rPr>
          <w:lang w:val="en-US"/>
        </w:rPr>
      </w:pPr>
      <w:r w:rsidRPr="003C4D9E">
        <w:rPr>
          <w:lang w:val="en-US"/>
        </w:rPr>
        <w:t xml:space="preserve">Those modifications and adaptations which are necessary and appropriate and which do not impose a disproportionate or undue burden where required for a particular case must be considered reasonable and required, so as to guarantee that people with disabilities may enjoy or exercise, under the same conditions as everyone else, all human rights and fundamental liberties (Article 2 of the Convention on the Rights of Persons with Disabilities).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w:t>
      </w:r>
      <w:r>
        <w:rPr>
          <w:lang w:val="en-US"/>
        </w:rPr>
        <w:t xml:space="preserve">criteria </w:t>
      </w:r>
      <w:r w:rsidRPr="003C4D9E">
        <w:rPr>
          <w:lang w:val="en-US"/>
        </w:rPr>
        <w:t xml:space="preserve">for implementing adjustments must stem from the individual needs of the student and not only from organizational guidelines such as the presence in a school of a predetermined number of students with special educational needs. </w:t>
      </w:r>
    </w:p>
    <w:p w:rsidR="001E0DA8" w:rsidRPr="003C4D9E" w:rsidRDefault="001E0DA8" w:rsidP="00E01DA1">
      <w:pPr>
        <w:jc w:val="both"/>
        <w:rPr>
          <w:lang w:val="en-US"/>
        </w:rPr>
      </w:pPr>
    </w:p>
    <w:p w:rsidR="001E0DA8" w:rsidRPr="003C4D9E" w:rsidRDefault="001E0DA8" w:rsidP="00E01DA1">
      <w:pPr>
        <w:jc w:val="both"/>
        <w:rPr>
          <w:lang w:val="en-US"/>
        </w:rPr>
      </w:pPr>
      <w:r w:rsidRPr="00C854D2">
        <w:rPr>
          <w:lang w:val="en-US"/>
        </w:rPr>
        <w:t>In the event that an educational administration does not consider the inclusive schooling of a student to be viable, the basis for this must be expressly explained and the reasons made known, out of respect for fundamental rights and legal</w:t>
      </w:r>
      <w:r w:rsidRPr="003C4D9E">
        <w:rPr>
          <w:lang w:val="en-US"/>
        </w:rPr>
        <w:t xml:space="preserve"> assets affected.</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Moreover, the decision to oblige that a student with a disability attend a special education center or ordinary school far from the community in which he or she resides and against the wishes of his or her parents or guardians runs counter to the Convention on the Rights of Persons with Disabilities, which obliges States parties to ensure that people with disabilities can access free, inclusive, quality primary and secondary education under the same conditions as others and in the community in which they reside (Article 24.2 b).</w:t>
      </w:r>
    </w:p>
    <w:p w:rsidR="001E0DA8" w:rsidRPr="003C4D9E" w:rsidRDefault="001E0DA8" w:rsidP="00E01DA1">
      <w:pPr>
        <w:ind w:firstLine="708"/>
        <w:rPr>
          <w:lang w:val="en-US"/>
        </w:rPr>
      </w:pPr>
    </w:p>
    <w:p w:rsidR="001E0DA8" w:rsidRPr="003C4D9E" w:rsidRDefault="001E0DA8" w:rsidP="00E01DA1">
      <w:pPr>
        <w:jc w:val="both"/>
        <w:rPr>
          <w:lang w:val="en-US"/>
        </w:rPr>
      </w:pPr>
      <w:r w:rsidRPr="003C4D9E">
        <w:rPr>
          <w:lang w:val="en-US"/>
        </w:rPr>
        <w:t xml:space="preserve">However, decisions taken for students to attend schools different from those that have been chosen without having analysis or evaluation of reasonable adjustments or at schools far from a student’s place of residence take place with some frequency. In response, the Ombudsman Institution </w:t>
      </w:r>
      <w:r w:rsidRPr="003C4D9E">
        <w:rPr>
          <w:b/>
          <w:lang w:val="en-US"/>
        </w:rPr>
        <w:t>suggests</w:t>
      </w:r>
      <w:r w:rsidRPr="003C4D9E">
        <w:rPr>
          <w:lang w:val="en-US"/>
        </w:rPr>
        <w:t xml:space="preserve"> that autonomous educational administrations legally declare the agreement on schooling to be invalid, retracing the steps in the corresponding procedure back to the moment at which the reasonable adjustments and personalized means of support required by the student to achieve his or her maximum academic development would have been determined, evaluate these under the terms of the Convention on the Rights of Persons with Disabilities and adopt the appropriate resolution. Where schooling at an ordinary school is rejected the reasons for this must be stated in the corresponding resolution.</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Instances of student segregation in the </w:t>
      </w:r>
      <w:r>
        <w:rPr>
          <w:lang w:val="en-US"/>
        </w:rPr>
        <w:t xml:space="preserve">school </w:t>
      </w:r>
      <w:r w:rsidRPr="003C4D9E">
        <w:rPr>
          <w:lang w:val="en-US"/>
        </w:rPr>
        <w:t xml:space="preserve">dining room or denial of participation or access to extracurricular activities or transport services have also arisen. The Ombudsman Institution has also </w:t>
      </w:r>
      <w:r w:rsidRPr="003C4D9E">
        <w:rPr>
          <w:b/>
          <w:lang w:val="en-US"/>
        </w:rPr>
        <w:t>suggested</w:t>
      </w:r>
      <w:r w:rsidRPr="003C4D9E">
        <w:rPr>
          <w:lang w:val="en-US"/>
        </w:rPr>
        <w:t xml:space="preserve"> that these decisions be reviewed and modified.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training of teachers, professors and directors, and </w:t>
      </w:r>
      <w:r>
        <w:rPr>
          <w:lang w:val="en-US"/>
        </w:rPr>
        <w:t xml:space="preserve">the </w:t>
      </w:r>
      <w:r w:rsidRPr="003C4D9E">
        <w:rPr>
          <w:lang w:val="en-US"/>
        </w:rPr>
        <w:t xml:space="preserve">availability of specialized professionals and awareness within the school community, </w:t>
      </w:r>
      <w:r>
        <w:rPr>
          <w:lang w:val="en-US"/>
        </w:rPr>
        <w:t>is</w:t>
      </w:r>
      <w:r w:rsidRPr="003C4D9E">
        <w:rPr>
          <w:lang w:val="en-US"/>
        </w:rPr>
        <w:t xml:space="preserve"> </w:t>
      </w:r>
      <w:r>
        <w:rPr>
          <w:lang w:val="en-US"/>
        </w:rPr>
        <w:t>not</w:t>
      </w:r>
      <w:r w:rsidRPr="003C4D9E">
        <w:rPr>
          <w:lang w:val="en-US"/>
        </w:rPr>
        <w:t xml:space="preserve"> </w:t>
      </w:r>
      <w:r>
        <w:rPr>
          <w:lang w:val="en-US"/>
        </w:rPr>
        <w:t xml:space="preserve">sufficient </w:t>
      </w:r>
      <w:r w:rsidRPr="003C4D9E">
        <w:rPr>
          <w:lang w:val="en-US"/>
        </w:rPr>
        <w:t xml:space="preserve">in the Spanish school system. The parties involved often have the desire to adopt the model of inclusive education yet do not know how to go about it.  </w:t>
      </w:r>
    </w:p>
    <w:p w:rsidR="001E0DA8" w:rsidRPr="003C4D9E" w:rsidRDefault="001E0DA8" w:rsidP="00E01DA1">
      <w:pPr>
        <w:ind w:firstLine="708"/>
        <w:rPr>
          <w:lang w:val="en-US"/>
        </w:rPr>
      </w:pPr>
    </w:p>
    <w:p w:rsidR="001E0DA8" w:rsidRPr="003C4D9E" w:rsidRDefault="001E0DA8" w:rsidP="00E01DA1">
      <w:pPr>
        <w:rPr>
          <w:lang w:val="en-US"/>
        </w:rPr>
      </w:pPr>
      <w:r w:rsidRPr="003C4D9E">
        <w:rPr>
          <w:lang w:val="en-US"/>
        </w:rPr>
        <w:t xml:space="preserve">The Ombudsman Institution has </w:t>
      </w:r>
      <w:r w:rsidRPr="003C4D9E">
        <w:rPr>
          <w:b/>
          <w:lang w:val="en-US"/>
        </w:rPr>
        <w:t>recommended</w:t>
      </w:r>
      <w:r w:rsidRPr="003C4D9E">
        <w:rPr>
          <w:lang w:val="en-US"/>
        </w:rPr>
        <w:t xml:space="preserve"> that educational administrations:</w:t>
      </w:r>
    </w:p>
    <w:p w:rsidR="001E0DA8" w:rsidRPr="003C4D9E" w:rsidRDefault="001E0DA8" w:rsidP="00E01DA1">
      <w:pPr>
        <w:ind w:firstLine="708"/>
        <w:rPr>
          <w:lang w:val="en-US"/>
        </w:rPr>
      </w:pPr>
    </w:p>
    <w:p w:rsidR="001E0DA8" w:rsidRPr="003C4D9E" w:rsidRDefault="001E0DA8" w:rsidP="00E01DA1">
      <w:pPr>
        <w:numPr>
          <w:ilvl w:val="0"/>
          <w:numId w:val="26"/>
        </w:numPr>
        <w:overflowPunct w:val="0"/>
        <w:autoSpaceDE w:val="0"/>
        <w:autoSpaceDN w:val="0"/>
        <w:adjustRightInd w:val="0"/>
        <w:spacing w:after="120"/>
        <w:jc w:val="both"/>
        <w:textAlignment w:val="baseline"/>
        <w:rPr>
          <w:lang w:val="en-US"/>
        </w:rPr>
      </w:pPr>
      <w:r w:rsidRPr="003C4D9E">
        <w:rPr>
          <w:lang w:val="en-US"/>
        </w:rPr>
        <w:t>Respect the exceptional nature of the decisions to oblige school attendance at specific centers of education for students with disabilities, as well as the general nature of their right to attend ordinary schools.</w:t>
      </w:r>
    </w:p>
    <w:p w:rsidR="001E0DA8" w:rsidRPr="003C4D9E" w:rsidRDefault="001E0DA8" w:rsidP="00E01DA1">
      <w:pPr>
        <w:numPr>
          <w:ilvl w:val="0"/>
          <w:numId w:val="26"/>
        </w:numPr>
        <w:overflowPunct w:val="0"/>
        <w:autoSpaceDE w:val="0"/>
        <w:autoSpaceDN w:val="0"/>
        <w:adjustRightInd w:val="0"/>
        <w:spacing w:after="120"/>
        <w:jc w:val="both"/>
        <w:textAlignment w:val="baseline"/>
        <w:rPr>
          <w:lang w:val="en-US"/>
        </w:rPr>
      </w:pPr>
      <w:r w:rsidRPr="003C4D9E">
        <w:rPr>
          <w:lang w:val="en-US"/>
        </w:rPr>
        <w:t>Provide ordinary schools with all of the human and material means necessary for the education of students with special educational needs and adapt structures and designs such that schooling takes place under equal conditions.</w:t>
      </w:r>
    </w:p>
    <w:p w:rsidR="001E0DA8" w:rsidRPr="003C4D9E" w:rsidRDefault="001E0DA8" w:rsidP="00E01DA1">
      <w:pPr>
        <w:numPr>
          <w:ilvl w:val="0"/>
          <w:numId w:val="26"/>
        </w:numPr>
        <w:overflowPunct w:val="0"/>
        <w:autoSpaceDE w:val="0"/>
        <w:autoSpaceDN w:val="0"/>
        <w:adjustRightInd w:val="0"/>
        <w:spacing w:after="120"/>
        <w:jc w:val="both"/>
        <w:textAlignment w:val="baseline"/>
        <w:rPr>
          <w:lang w:val="en-US"/>
        </w:rPr>
      </w:pPr>
      <w:r w:rsidRPr="003C4D9E">
        <w:rPr>
          <w:lang w:val="en-US"/>
        </w:rPr>
        <w:t>Provide parents or guardians, and students themselves where possible, with an active, full and direct participation in the schooling decisions adopted, particularly where these involve redirection to centers of special or specific education, and furthermore create agile and efficient mechanisms for complaint or recourse in cases where parents or guardians voice their disagreement with the decisions adopted by public administrations.</w:t>
      </w:r>
    </w:p>
    <w:p w:rsidR="001E0DA8" w:rsidRPr="003C4D9E" w:rsidRDefault="001E0DA8" w:rsidP="00E01DA1">
      <w:pPr>
        <w:numPr>
          <w:ilvl w:val="0"/>
          <w:numId w:val="26"/>
        </w:numPr>
        <w:overflowPunct w:val="0"/>
        <w:autoSpaceDE w:val="0"/>
        <w:autoSpaceDN w:val="0"/>
        <w:adjustRightInd w:val="0"/>
        <w:spacing w:after="120"/>
        <w:jc w:val="both"/>
        <w:textAlignment w:val="baseline"/>
        <w:rPr>
          <w:lang w:val="en-US"/>
        </w:rPr>
      </w:pPr>
      <w:r w:rsidRPr="003C4D9E">
        <w:rPr>
          <w:lang w:val="en-US"/>
        </w:rPr>
        <w:t>Provide justification for decisions made on schooling for students with disabilities, with express mention made not only of the arguments justifying the adopted resolution from the point of view of the specific needs of the affected student, but also of the essential adaptations, necessary means for their fulfillment and, where applicable, the reasons justifying the impossibility of putting these into practice at ordinary schools.</w:t>
      </w:r>
    </w:p>
    <w:p w:rsidR="001E0DA8" w:rsidRPr="003C4D9E" w:rsidRDefault="001E0DA8" w:rsidP="00E01DA1">
      <w:pPr>
        <w:numPr>
          <w:ilvl w:val="0"/>
          <w:numId w:val="26"/>
        </w:numPr>
        <w:overflowPunct w:val="0"/>
        <w:autoSpaceDE w:val="0"/>
        <w:autoSpaceDN w:val="0"/>
        <w:adjustRightInd w:val="0"/>
        <w:spacing w:after="120"/>
        <w:jc w:val="both"/>
        <w:textAlignment w:val="baseline"/>
        <w:rPr>
          <w:lang w:val="en-US"/>
        </w:rPr>
      </w:pPr>
      <w:r w:rsidRPr="003C4D9E">
        <w:rPr>
          <w:lang w:val="en-US"/>
        </w:rPr>
        <w:t>Resort to mixed schooling formulas where attendance is not considered viable at ordinary schools, either through special classrooms added to ordinary schools or through shared partial schooling at specific and ordinary centers of education.</w:t>
      </w:r>
    </w:p>
    <w:p w:rsidR="001E0DA8" w:rsidRPr="003C4D9E" w:rsidRDefault="001E0DA8" w:rsidP="00E01DA1">
      <w:pPr>
        <w:numPr>
          <w:ilvl w:val="0"/>
          <w:numId w:val="26"/>
        </w:numPr>
        <w:jc w:val="both"/>
        <w:rPr>
          <w:lang w:val="en-US"/>
        </w:rPr>
      </w:pPr>
      <w:r w:rsidRPr="003C4D9E">
        <w:rPr>
          <w:lang w:val="en-US"/>
        </w:rPr>
        <w:t xml:space="preserve">Adopt measures maintained over time to ensure implementation of the inclusive model advocated by the Convention, especially as regards innovation.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The educational administrations have unanimously accepted these recommendations, noting their commitment to the inclusive nature of our school system and to the regulatory and organizational measures adopted by each administration to make this effective. The positive reception of these recommendations contrasts, however, with the content of the complaints received, based on which it is fair to conclude that actions are not always taken with a view to the goal of an inclusive school system and that adjustments are conditioned by budgetary resources.</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In the light of this, the Ombudsman Institution calls for the legal establishment of the rights of students and their parents or guardians stemming from declared inclusivity, the resulting obligations for public authorities and the express creation of pertinent channels for complaint, in order to make these rights effective and guarantee fulfillment of obligations.</w:t>
      </w:r>
    </w:p>
    <w:p w:rsidR="001E0DA8" w:rsidRDefault="001E0DA8" w:rsidP="00E01DA1">
      <w:pPr>
        <w:jc w:val="both"/>
        <w:rPr>
          <w:lang w:val="en-US"/>
        </w:rPr>
      </w:pPr>
    </w:p>
    <w:p w:rsidR="001E0DA8" w:rsidRPr="003C4D9E" w:rsidRDefault="001E0DA8" w:rsidP="00E01DA1">
      <w:pPr>
        <w:jc w:val="both"/>
        <w:rPr>
          <w:lang w:val="en-US"/>
        </w:rPr>
      </w:pPr>
    </w:p>
    <w:p w:rsidR="001E0DA8" w:rsidRPr="003C4D9E" w:rsidRDefault="001E0DA8" w:rsidP="00E01DA1">
      <w:pPr>
        <w:pStyle w:val="3"/>
        <w:numPr>
          <w:ilvl w:val="2"/>
          <w:numId w:val="12"/>
        </w:numPr>
        <w:tabs>
          <w:tab w:val="clear" w:pos="624"/>
          <w:tab w:val="left" w:pos="500"/>
        </w:tabs>
        <w:ind w:hanging="2624"/>
        <w:rPr>
          <w:rFonts w:ascii="Times New Roman" w:hAnsi="Times New Roman"/>
          <w:lang w:val="en-US"/>
        </w:rPr>
      </w:pPr>
      <w:bookmarkStart w:id="61" w:name="_Toc349128821"/>
      <w:bookmarkStart w:id="62" w:name="_Toc475979943"/>
      <w:r w:rsidRPr="003C4D9E">
        <w:rPr>
          <w:rFonts w:ascii="Times New Roman" w:hAnsi="Times New Roman"/>
          <w:lang w:val="en-US"/>
        </w:rPr>
        <w:t>School bullying</w:t>
      </w:r>
      <w:bookmarkEnd w:id="61"/>
      <w:bookmarkEnd w:id="62"/>
      <w:r w:rsidRPr="003C4D9E">
        <w:rPr>
          <w:rFonts w:ascii="Times New Roman" w:hAnsi="Times New Roman"/>
          <w:lang w:val="en-US"/>
        </w:rPr>
        <w:t xml:space="preserve">  </w:t>
      </w:r>
    </w:p>
    <w:p w:rsidR="001E0DA8" w:rsidRPr="003C4D9E" w:rsidRDefault="001E0DA8" w:rsidP="00E01DA1">
      <w:pPr>
        <w:jc w:val="both"/>
        <w:rPr>
          <w:b/>
          <w:lang w:val="en-US"/>
        </w:rPr>
      </w:pPr>
    </w:p>
    <w:p w:rsidR="001E0DA8" w:rsidRPr="003C4D9E" w:rsidRDefault="001E0DA8" w:rsidP="00E01DA1">
      <w:pPr>
        <w:jc w:val="both"/>
        <w:rPr>
          <w:b/>
          <w:lang w:val="en-US"/>
        </w:rPr>
      </w:pPr>
      <w:r w:rsidRPr="003C4D9E">
        <w:rPr>
          <w:lang w:val="en-US"/>
        </w:rPr>
        <w:t>The data offered by educational administrations are much lower than what has been conclude from reports prepared by the Ombudsman Institution</w:t>
      </w:r>
      <w:r w:rsidRPr="003C4D9E">
        <w:rPr>
          <w:rStyle w:val="FootnoteReference"/>
          <w:lang w:val="en-US"/>
        </w:rPr>
        <w:footnoteReference w:id="23"/>
      </w:r>
      <w:r w:rsidRPr="003C4D9E">
        <w:rPr>
          <w:lang w:val="en-US"/>
        </w:rPr>
        <w:t xml:space="preserve"> or recently prepared by Save the Children an</w:t>
      </w:r>
      <w:r>
        <w:rPr>
          <w:lang w:val="en-US"/>
        </w:rPr>
        <w:t>d the Foundation for Helping</w:t>
      </w:r>
      <w:r w:rsidRPr="003C4D9E">
        <w:rPr>
          <w:lang w:val="en-US"/>
        </w:rPr>
        <w:t xml:space="preserve"> At-Risk Children and Adolescents (abbreviated as ANAR in Spanish)</w:t>
      </w:r>
      <w:r w:rsidRPr="003C4D9E">
        <w:rPr>
          <w:rStyle w:val="FootnoteReference"/>
          <w:lang w:val="en-US"/>
        </w:rPr>
        <w:footnoteReference w:id="24"/>
      </w:r>
      <w:r w:rsidRPr="003C4D9E">
        <w:rPr>
          <w:color w:val="800080"/>
          <w:lang w:val="en-US"/>
        </w:rPr>
        <w:t xml:space="preserve">. </w:t>
      </w:r>
      <w:r w:rsidRPr="003C4D9E">
        <w:rPr>
          <w:lang w:val="en-US"/>
        </w:rPr>
        <w:t xml:space="preserve">This difference points to a very limited level of detection of bullying cases which is particularly negative for a preventive and early approach to the problem.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It would be desirable to improve the available data through the harmonization of guidelines for its collection and the setting up of a state registry for school bullying cases and other episodes of classroom violence.</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School bullying requires a preventive approach, early detection mechanisms and protocols for intervention. All schools have a plan for coexistence but these are regulatory in nature, with few educational guidelines or strategies for prevention and avoidance (mediators, big brothers, role of teachers and school staff in detection and prevention).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In 2015, the Ministry of Health, Social Services and Equality prepared a </w:t>
      </w:r>
      <w:r>
        <w:rPr>
          <w:lang w:val="en-US"/>
        </w:rPr>
        <w:t>report</w:t>
      </w:r>
      <w:r w:rsidRPr="003C4D9E">
        <w:rPr>
          <w:lang w:val="en-US"/>
        </w:rPr>
        <w:t xml:space="preserve"> on school bullying because of sexual orientation entitled</w:t>
      </w:r>
      <w:r w:rsidRPr="0097307E">
        <w:rPr>
          <w:i/>
          <w:lang w:val="en-US"/>
        </w:rPr>
        <w:t xml:space="preserve"> </w:t>
      </w:r>
      <w:r w:rsidRPr="003C4D9E">
        <w:rPr>
          <w:i/>
          <w:lang w:val="en-US"/>
        </w:rPr>
        <w:t>Abrazar la Diversidad: propuestas para una educación libre de acoso homofóbico y transfóbico</w:t>
      </w:r>
      <w:r w:rsidRPr="003C4D9E">
        <w:rPr>
          <w:lang w:val="en-US"/>
        </w:rPr>
        <w:t xml:space="preserve"> </w:t>
      </w:r>
      <w:r>
        <w:rPr>
          <w:lang w:val="en-US"/>
        </w:rPr>
        <w:t xml:space="preserve"> [</w:t>
      </w:r>
      <w:r w:rsidRPr="003C4D9E">
        <w:rPr>
          <w:i/>
          <w:lang w:val="en-US"/>
        </w:rPr>
        <w:t>Embrace Diversity: proposals for an education free of homophobic and transphobic bullying</w:t>
      </w:r>
      <w:r>
        <w:rPr>
          <w:i/>
          <w:lang w:val="en-US"/>
        </w:rPr>
        <w:t>]</w:t>
      </w:r>
      <w:r w:rsidRPr="003C4D9E">
        <w:rPr>
          <w:rStyle w:val="FootnoteReference"/>
          <w:i/>
          <w:lang w:val="en-US"/>
        </w:rPr>
        <w:footnoteReference w:id="25"/>
      </w:r>
      <w:r w:rsidRPr="003C4D9E">
        <w:rPr>
          <w:lang w:val="en-US"/>
        </w:rPr>
        <w:t xml:space="preserve">. The Ombudsman Institution has requested information from educational administrations concerning activities planned for making the study's recommendations and proposals a reality. </w:t>
      </w:r>
    </w:p>
    <w:p w:rsidR="001E0DA8" w:rsidRPr="003C4D9E" w:rsidRDefault="001E0DA8" w:rsidP="00E01DA1">
      <w:pPr>
        <w:jc w:val="both"/>
        <w:rPr>
          <w:lang w:val="en-US"/>
        </w:rPr>
      </w:pPr>
    </w:p>
    <w:p w:rsidR="001E0DA8" w:rsidRPr="003C4D9E" w:rsidRDefault="001E0DA8" w:rsidP="00E01DA1">
      <w:pPr>
        <w:jc w:val="both"/>
        <w:rPr>
          <w:lang w:val="en-US"/>
        </w:rPr>
      </w:pPr>
    </w:p>
    <w:p w:rsidR="001E0DA8" w:rsidRPr="003C4D9E" w:rsidRDefault="001E0DA8" w:rsidP="00E01DA1">
      <w:pPr>
        <w:pStyle w:val="1"/>
        <w:numPr>
          <w:ilvl w:val="0"/>
          <w:numId w:val="12"/>
        </w:numPr>
        <w:rPr>
          <w:rFonts w:ascii="Times New Roman" w:hAnsi="Times New Roman"/>
          <w:sz w:val="24"/>
          <w:lang w:val="en-US"/>
        </w:rPr>
      </w:pPr>
      <w:bookmarkStart w:id="63" w:name="_Toc349128822"/>
      <w:bookmarkStart w:id="64" w:name="_Toc475979944"/>
      <w:r>
        <w:rPr>
          <w:rFonts w:ascii="Times New Roman" w:hAnsi="Times New Roman"/>
          <w:sz w:val="24"/>
          <w:lang w:val="en-US"/>
        </w:rPr>
        <w:t>SPECIAL PROtection</w:t>
      </w:r>
      <w:r w:rsidRPr="003C4D9E">
        <w:rPr>
          <w:rFonts w:ascii="Times New Roman" w:hAnsi="Times New Roman"/>
          <w:sz w:val="24"/>
          <w:lang w:val="en-US"/>
        </w:rPr>
        <w:t xml:space="preserve"> MEASURES</w:t>
      </w:r>
      <w:bookmarkEnd w:id="63"/>
      <w:bookmarkEnd w:id="64"/>
    </w:p>
    <w:p w:rsidR="001E0DA8" w:rsidRPr="003C4D9E" w:rsidRDefault="001E0DA8" w:rsidP="00E01DA1">
      <w:pPr>
        <w:tabs>
          <w:tab w:val="left" w:pos="1372"/>
        </w:tabs>
        <w:jc w:val="both"/>
        <w:rPr>
          <w:bCs/>
          <w:lang w:val="en-US"/>
        </w:rPr>
      </w:pPr>
    </w:p>
    <w:p w:rsidR="001E0DA8" w:rsidRPr="003C4D9E" w:rsidRDefault="001E0DA8" w:rsidP="00E01DA1">
      <w:pPr>
        <w:pStyle w:val="2"/>
        <w:numPr>
          <w:ilvl w:val="1"/>
          <w:numId w:val="12"/>
        </w:numPr>
        <w:ind w:left="0" w:firstLine="0"/>
        <w:rPr>
          <w:rFonts w:ascii="Times New Roman" w:hAnsi="Times New Roman"/>
          <w:sz w:val="24"/>
          <w:lang w:val="en-US"/>
        </w:rPr>
      </w:pPr>
      <w:bookmarkStart w:id="65" w:name="_Toc349128823"/>
      <w:bookmarkStart w:id="66" w:name="_Toc475979945"/>
      <w:r w:rsidRPr="003C4D9E">
        <w:rPr>
          <w:rFonts w:ascii="Times New Roman" w:hAnsi="Times New Roman"/>
          <w:sz w:val="24"/>
          <w:lang w:val="en-US"/>
        </w:rPr>
        <w:t>Refugee or asylum-seeking children</w:t>
      </w:r>
      <w:bookmarkEnd w:id="65"/>
      <w:bookmarkEnd w:id="66"/>
      <w:r w:rsidRPr="003C4D9E">
        <w:rPr>
          <w:rFonts w:ascii="Times New Roman" w:hAnsi="Times New Roman"/>
          <w:sz w:val="24"/>
          <w:lang w:val="en-US"/>
        </w:rPr>
        <w:tab/>
      </w:r>
    </w:p>
    <w:p w:rsidR="001E0DA8" w:rsidRPr="003C4D9E" w:rsidRDefault="001E0DA8" w:rsidP="00E01DA1">
      <w:pPr>
        <w:jc w:val="both"/>
        <w:rPr>
          <w:lang w:val="en-US"/>
        </w:rPr>
      </w:pPr>
    </w:p>
    <w:p w:rsidR="001E0DA8" w:rsidRPr="003C4D9E" w:rsidRDefault="001E0DA8" w:rsidP="00E01DA1">
      <w:pPr>
        <w:tabs>
          <w:tab w:val="left" w:pos="624"/>
        </w:tabs>
        <w:autoSpaceDE w:val="0"/>
        <w:autoSpaceDN w:val="0"/>
        <w:adjustRightInd w:val="0"/>
        <w:jc w:val="both"/>
        <w:rPr>
          <w:lang w:val="en-US"/>
        </w:rPr>
      </w:pPr>
      <w:r w:rsidRPr="003C4D9E">
        <w:rPr>
          <w:lang w:val="en-US"/>
        </w:rPr>
        <w:t xml:space="preserve">It is worth summarizing the number of accompanied minors submitting applications for international protection: a total of 3,728 in 2015, of which 1,777 were girls and 1,951 were boys. </w:t>
      </w:r>
    </w:p>
    <w:p w:rsidR="001E0DA8" w:rsidRPr="003C4D9E" w:rsidRDefault="001E0DA8" w:rsidP="00E01DA1">
      <w:pPr>
        <w:tabs>
          <w:tab w:val="left" w:pos="624"/>
        </w:tabs>
        <w:autoSpaceDE w:val="0"/>
        <w:autoSpaceDN w:val="0"/>
        <w:adjustRightInd w:val="0"/>
        <w:jc w:val="both"/>
        <w:rPr>
          <w:lang w:val="en-US"/>
        </w:rPr>
      </w:pPr>
    </w:p>
    <w:p w:rsidR="001E0DA8" w:rsidRPr="003C4D9E" w:rsidRDefault="001E0DA8" w:rsidP="00E01DA1">
      <w:pPr>
        <w:tabs>
          <w:tab w:val="left" w:pos="624"/>
        </w:tabs>
        <w:autoSpaceDE w:val="0"/>
        <w:autoSpaceDN w:val="0"/>
        <w:adjustRightInd w:val="0"/>
        <w:jc w:val="both"/>
        <w:rPr>
          <w:lang w:val="en-US"/>
        </w:rPr>
      </w:pPr>
      <w:r w:rsidRPr="003C4D9E">
        <w:rPr>
          <w:lang w:val="en-US"/>
        </w:rPr>
        <w:t>The low number of applications for international protection submitted by unaccompanied minors in Spain is striking. The number of applications for international protection submitted by unaccompanied foreign minors in Spain in 2014 was 17, with a total of 25 requests in 2015</w:t>
      </w:r>
      <w:r w:rsidRPr="003C4D9E">
        <w:rPr>
          <w:rStyle w:val="FootnoteReference"/>
          <w:lang w:val="en-US"/>
        </w:rPr>
        <w:footnoteReference w:id="26"/>
      </w:r>
      <w:r w:rsidRPr="003C4D9E">
        <w:rPr>
          <w:lang w:val="en-US"/>
        </w:rPr>
        <w:t xml:space="preserve">. </w:t>
      </w:r>
    </w:p>
    <w:p w:rsidR="001E0DA8" w:rsidRPr="003C4D9E" w:rsidRDefault="001E0DA8" w:rsidP="00E01DA1">
      <w:pPr>
        <w:tabs>
          <w:tab w:val="left" w:pos="624"/>
        </w:tabs>
        <w:autoSpaceDE w:val="0"/>
        <w:autoSpaceDN w:val="0"/>
        <w:adjustRightInd w:val="0"/>
        <w:jc w:val="both"/>
        <w:rPr>
          <w:i/>
          <w:iCs/>
          <w:lang w:val="en-US"/>
        </w:rPr>
      </w:pPr>
    </w:p>
    <w:p w:rsidR="001E0DA8" w:rsidRPr="003C4D9E" w:rsidRDefault="001E0DA8" w:rsidP="00E01DA1">
      <w:pPr>
        <w:pStyle w:val="3"/>
        <w:numPr>
          <w:ilvl w:val="2"/>
          <w:numId w:val="12"/>
        </w:numPr>
        <w:tabs>
          <w:tab w:val="clear" w:pos="624"/>
          <w:tab w:val="clear" w:pos="2624"/>
          <w:tab w:val="left" w:pos="600"/>
        </w:tabs>
        <w:ind w:left="700" w:hanging="700"/>
        <w:rPr>
          <w:rFonts w:ascii="Times New Roman" w:hAnsi="Times New Roman"/>
          <w:lang w:val="en-US"/>
        </w:rPr>
      </w:pPr>
      <w:bookmarkStart w:id="67" w:name="_Toc349128824"/>
      <w:bookmarkStart w:id="68" w:name="_Toc475979946"/>
      <w:r w:rsidRPr="003C4D9E">
        <w:rPr>
          <w:rFonts w:ascii="Times New Roman" w:hAnsi="Times New Roman"/>
          <w:lang w:val="en-US"/>
        </w:rPr>
        <w:t>Differentiated treatment of international applications for protection of minors</w:t>
      </w:r>
      <w:bookmarkEnd w:id="67"/>
      <w:bookmarkEnd w:id="68"/>
    </w:p>
    <w:p w:rsidR="001E0DA8" w:rsidRPr="003C4D9E" w:rsidRDefault="001E0DA8" w:rsidP="00E01DA1">
      <w:pPr>
        <w:tabs>
          <w:tab w:val="left" w:pos="624"/>
        </w:tabs>
        <w:autoSpaceDE w:val="0"/>
        <w:autoSpaceDN w:val="0"/>
        <w:adjustRightInd w:val="0"/>
        <w:jc w:val="both"/>
        <w:rPr>
          <w:lang w:val="en-US"/>
        </w:rPr>
      </w:pPr>
    </w:p>
    <w:p w:rsidR="001E0DA8" w:rsidRPr="003C4D9E" w:rsidRDefault="001E0DA8" w:rsidP="00E01DA1">
      <w:pPr>
        <w:tabs>
          <w:tab w:val="left" w:pos="624"/>
        </w:tabs>
        <w:autoSpaceDE w:val="0"/>
        <w:autoSpaceDN w:val="0"/>
        <w:adjustRightInd w:val="0"/>
        <w:jc w:val="both"/>
        <w:rPr>
          <w:lang w:val="en-US"/>
        </w:rPr>
      </w:pPr>
      <w:r w:rsidRPr="003C4D9E">
        <w:rPr>
          <w:lang w:val="en-US"/>
        </w:rPr>
        <w:t xml:space="preserve">Article 24 of Directive 2013/32/EU (2013/32/UE in Spanish) is dedicated to applicants for international protection requiring special procedural guarantees, noting that member States will ensure these are provided with adequate support. </w:t>
      </w:r>
    </w:p>
    <w:p w:rsidR="001E0DA8" w:rsidRPr="003C4D9E" w:rsidRDefault="001E0DA8" w:rsidP="00E01DA1">
      <w:pPr>
        <w:tabs>
          <w:tab w:val="left" w:pos="624"/>
        </w:tabs>
        <w:autoSpaceDE w:val="0"/>
        <w:autoSpaceDN w:val="0"/>
        <w:adjustRightInd w:val="0"/>
        <w:jc w:val="both"/>
        <w:rPr>
          <w:lang w:val="en-US"/>
        </w:rPr>
      </w:pPr>
    </w:p>
    <w:p w:rsidR="001E0DA8" w:rsidRPr="003C4D9E" w:rsidRDefault="001E0DA8" w:rsidP="00DB3C5D">
      <w:pPr>
        <w:tabs>
          <w:tab w:val="left" w:pos="624"/>
        </w:tabs>
        <w:autoSpaceDE w:val="0"/>
        <w:autoSpaceDN w:val="0"/>
        <w:adjustRightInd w:val="0"/>
        <w:jc w:val="both"/>
        <w:rPr>
          <w:lang w:val="en-US"/>
        </w:rPr>
      </w:pPr>
      <w:r w:rsidRPr="003C4D9E">
        <w:rPr>
          <w:lang w:val="en-US"/>
        </w:rPr>
        <w:t xml:space="preserve">In section V of </w:t>
      </w:r>
      <w:r w:rsidRPr="003C4D9E">
        <w:rPr>
          <w:i/>
          <w:lang w:val="en-US"/>
        </w:rPr>
        <w:t>Ley 12/2009 de asilo</w:t>
      </w:r>
      <w:r w:rsidRPr="003C4D9E">
        <w:rPr>
          <w:lang w:val="en-US"/>
        </w:rPr>
        <w:t xml:space="preserve"> [Law 12/2009 on asylum] under the heading “</w:t>
      </w:r>
      <w:r w:rsidRPr="003C4D9E">
        <w:rPr>
          <w:i/>
          <w:lang w:val="en-US"/>
        </w:rPr>
        <w:t>De los menores y otras personas vulnerables</w:t>
      </w:r>
      <w:r w:rsidRPr="003C4D9E">
        <w:rPr>
          <w:lang w:val="en-US"/>
        </w:rPr>
        <w:t xml:space="preserve"> [On minors and other vulnerable individuals]" a procedure is established for the distinctive treatment given to these requests for the purpose of providing them with greater guarantees and, in the case of minors, in order to allow for the a clearer establishment of their best interests. </w:t>
      </w:r>
    </w:p>
    <w:p w:rsidR="001E0DA8" w:rsidRPr="003C4D9E" w:rsidRDefault="001E0DA8" w:rsidP="00E01DA1">
      <w:pPr>
        <w:tabs>
          <w:tab w:val="left" w:pos="624"/>
        </w:tabs>
        <w:autoSpaceDE w:val="0"/>
        <w:autoSpaceDN w:val="0"/>
        <w:adjustRightInd w:val="0"/>
        <w:jc w:val="both"/>
        <w:rPr>
          <w:lang w:val="en-US"/>
        </w:rPr>
      </w:pPr>
    </w:p>
    <w:p w:rsidR="001E0DA8" w:rsidRPr="003C4D9E" w:rsidRDefault="001E0DA8" w:rsidP="00E01DA1">
      <w:pPr>
        <w:tabs>
          <w:tab w:val="left" w:pos="624"/>
        </w:tabs>
        <w:autoSpaceDE w:val="0"/>
        <w:autoSpaceDN w:val="0"/>
        <w:adjustRightInd w:val="0"/>
        <w:jc w:val="both"/>
        <w:rPr>
          <w:lang w:val="en-US"/>
        </w:rPr>
      </w:pPr>
      <w:r w:rsidRPr="003C4D9E">
        <w:rPr>
          <w:lang w:val="en-US"/>
        </w:rPr>
        <w:t xml:space="preserve">However, it is the Administration that determines the point in the procedure assessing applicant vulnerability at which differentiated treatment is needed. In the Ombudsman Institution's view, it is only possible to determine a minor's situation where he or she is listened to using the appropriate methodology, with the corresponding evaluation taking not only statements into account but also non-verbal expressions and level of maturity. </w:t>
      </w:r>
    </w:p>
    <w:p w:rsidR="001E0DA8" w:rsidRPr="003C4D9E" w:rsidRDefault="001E0DA8" w:rsidP="00E01DA1">
      <w:pPr>
        <w:tabs>
          <w:tab w:val="left" w:pos="624"/>
        </w:tabs>
        <w:autoSpaceDE w:val="0"/>
        <w:autoSpaceDN w:val="0"/>
        <w:adjustRightInd w:val="0"/>
        <w:jc w:val="both"/>
        <w:rPr>
          <w:lang w:val="en-US"/>
        </w:rPr>
      </w:pPr>
    </w:p>
    <w:p w:rsidR="001E0DA8" w:rsidRPr="003C4D9E" w:rsidRDefault="001E0DA8" w:rsidP="00E01DA1">
      <w:pPr>
        <w:tabs>
          <w:tab w:val="left" w:pos="624"/>
        </w:tabs>
        <w:autoSpaceDE w:val="0"/>
        <w:autoSpaceDN w:val="0"/>
        <w:adjustRightInd w:val="0"/>
        <w:jc w:val="both"/>
        <w:rPr>
          <w:lang w:val="en-US"/>
        </w:rPr>
      </w:pPr>
      <w:r w:rsidRPr="003C4D9E">
        <w:rPr>
          <w:lang w:val="en-US"/>
        </w:rPr>
        <w:t xml:space="preserve">For this reason, the Ombudsman Institution has </w:t>
      </w:r>
      <w:r w:rsidRPr="003C4D9E">
        <w:rPr>
          <w:b/>
          <w:lang w:val="en-US"/>
        </w:rPr>
        <w:t>recommended</w:t>
      </w:r>
      <w:r w:rsidRPr="003C4D9E">
        <w:rPr>
          <w:lang w:val="en-US"/>
        </w:rPr>
        <w:t xml:space="preserve"> that differentiated treatment be for all applications for international minor protection, taking into account the nature of the institution for international protection and the recipients cited in Article 46 of the </w:t>
      </w:r>
      <w:r w:rsidRPr="003C4D9E">
        <w:rPr>
          <w:i/>
          <w:lang w:val="en-US"/>
        </w:rPr>
        <w:t>Ley de asilo</w:t>
      </w:r>
      <w:r w:rsidRPr="003C4D9E">
        <w:rPr>
          <w:lang w:val="en-US"/>
        </w:rPr>
        <w:t xml:space="preserve"> [Law on Asylum]. </w:t>
      </w:r>
      <w:r w:rsidRPr="003C4D9E">
        <w:rPr>
          <w:b/>
          <w:lang w:val="en-US"/>
        </w:rPr>
        <w:t>Recommendations</w:t>
      </w:r>
      <w:r w:rsidRPr="003C4D9E">
        <w:rPr>
          <w:lang w:val="en-US"/>
        </w:rPr>
        <w:t xml:space="preserve"> have also been made that the right of minors to submit independent asylum applications be included in the </w:t>
      </w:r>
      <w:r w:rsidRPr="003C4D9E">
        <w:rPr>
          <w:i/>
          <w:lang w:val="en-US"/>
        </w:rPr>
        <w:t>Reglamento de Asilo</w:t>
      </w:r>
      <w:r w:rsidRPr="003C4D9E">
        <w:rPr>
          <w:lang w:val="en-US"/>
        </w:rPr>
        <w:t xml:space="preserve"> [By-law on Asylum]. </w:t>
      </w:r>
    </w:p>
    <w:p w:rsidR="001E0DA8" w:rsidRPr="003C4D9E" w:rsidRDefault="001E0DA8" w:rsidP="00E01DA1">
      <w:pPr>
        <w:tabs>
          <w:tab w:val="left" w:pos="624"/>
        </w:tabs>
        <w:autoSpaceDE w:val="0"/>
        <w:autoSpaceDN w:val="0"/>
        <w:adjustRightInd w:val="0"/>
        <w:jc w:val="both"/>
        <w:rPr>
          <w:lang w:val="en-US"/>
        </w:rPr>
      </w:pPr>
    </w:p>
    <w:p w:rsidR="001E0DA8" w:rsidRPr="003C4D9E" w:rsidRDefault="001E0DA8" w:rsidP="00E01DA1">
      <w:pPr>
        <w:tabs>
          <w:tab w:val="left" w:pos="624"/>
        </w:tabs>
        <w:autoSpaceDE w:val="0"/>
        <w:autoSpaceDN w:val="0"/>
        <w:adjustRightInd w:val="0"/>
        <w:jc w:val="both"/>
        <w:rPr>
          <w:lang w:val="en-US"/>
        </w:rPr>
      </w:pPr>
      <w:r w:rsidRPr="003C4D9E">
        <w:rPr>
          <w:lang w:val="en-US"/>
        </w:rPr>
        <w:t>The Administration h</w:t>
      </w:r>
      <w:r>
        <w:rPr>
          <w:lang w:val="en-US"/>
        </w:rPr>
        <w:t>as accepted the recommendation but</w:t>
      </w:r>
      <w:r w:rsidRPr="003C4D9E">
        <w:rPr>
          <w:lang w:val="en-US"/>
        </w:rPr>
        <w:t xml:space="preserve"> regulatory developments have not yet taken place.</w:t>
      </w:r>
    </w:p>
    <w:p w:rsidR="001E0DA8" w:rsidRPr="003C4D9E" w:rsidRDefault="001E0DA8" w:rsidP="00E01DA1">
      <w:pPr>
        <w:tabs>
          <w:tab w:val="left" w:pos="624"/>
        </w:tabs>
        <w:autoSpaceDE w:val="0"/>
        <w:autoSpaceDN w:val="0"/>
        <w:adjustRightInd w:val="0"/>
        <w:jc w:val="both"/>
        <w:rPr>
          <w:lang w:val="en-US"/>
        </w:rPr>
      </w:pPr>
    </w:p>
    <w:p w:rsidR="001E0DA8" w:rsidRPr="003C4D9E" w:rsidRDefault="001E0DA8" w:rsidP="00E01DA1">
      <w:pPr>
        <w:pStyle w:val="3"/>
        <w:numPr>
          <w:ilvl w:val="2"/>
          <w:numId w:val="12"/>
        </w:numPr>
        <w:tabs>
          <w:tab w:val="clear" w:pos="624"/>
          <w:tab w:val="clear" w:pos="2624"/>
        </w:tabs>
        <w:ind w:left="600" w:hanging="700"/>
        <w:jc w:val="both"/>
        <w:rPr>
          <w:rFonts w:ascii="Times New Roman" w:hAnsi="Times New Roman"/>
          <w:lang w:val="en-US"/>
        </w:rPr>
      </w:pPr>
      <w:bookmarkStart w:id="69" w:name="_Toc349128825"/>
      <w:bookmarkStart w:id="70" w:name="_Toc475979947"/>
      <w:r w:rsidRPr="003C4D9E">
        <w:rPr>
          <w:rFonts w:ascii="Times New Roman" w:hAnsi="Times New Roman"/>
          <w:lang w:val="en-US"/>
        </w:rPr>
        <w:t>Problems affecting accompanied and unaccompanied foreign minors seeking international protection at the Beni Enzar (Melilla) border checkpoint.</w:t>
      </w:r>
      <w:bookmarkEnd w:id="69"/>
      <w:bookmarkEnd w:id="70"/>
    </w:p>
    <w:p w:rsidR="001E0DA8" w:rsidRPr="003C4D9E" w:rsidRDefault="001E0DA8" w:rsidP="00E01DA1">
      <w:pPr>
        <w:tabs>
          <w:tab w:val="left" w:pos="624"/>
        </w:tabs>
        <w:autoSpaceDE w:val="0"/>
        <w:autoSpaceDN w:val="0"/>
        <w:adjustRightInd w:val="0"/>
        <w:jc w:val="both"/>
        <w:rPr>
          <w:i/>
          <w:lang w:val="en-US"/>
        </w:rPr>
      </w:pPr>
    </w:p>
    <w:p w:rsidR="001E0DA8" w:rsidRPr="003C4D9E" w:rsidRDefault="001E0DA8" w:rsidP="00E01DA1">
      <w:pPr>
        <w:tabs>
          <w:tab w:val="left" w:pos="624"/>
        </w:tabs>
        <w:autoSpaceDE w:val="0"/>
        <w:autoSpaceDN w:val="0"/>
        <w:adjustRightInd w:val="0"/>
        <w:jc w:val="both"/>
        <w:rPr>
          <w:lang w:val="en-US"/>
        </w:rPr>
      </w:pPr>
      <w:r w:rsidRPr="003C4D9E">
        <w:rPr>
          <w:lang w:val="en-US"/>
        </w:rPr>
        <w:t xml:space="preserve">The Ombudsman Institution notes with concern the large number of families with children and the increasing number of unaccompanied minors at the aforementioned Beni Enzar (Melilla) border checkpoint seeking asylum, as well as the inadequate condition of the holding facilities set up pending formalization of applications. </w:t>
      </w:r>
    </w:p>
    <w:p w:rsidR="001E0DA8" w:rsidRPr="003C4D9E" w:rsidRDefault="001E0DA8" w:rsidP="00E01DA1">
      <w:pPr>
        <w:tabs>
          <w:tab w:val="left" w:pos="624"/>
        </w:tabs>
        <w:autoSpaceDE w:val="0"/>
        <w:autoSpaceDN w:val="0"/>
        <w:adjustRightInd w:val="0"/>
        <w:jc w:val="both"/>
        <w:rPr>
          <w:lang w:val="en-US"/>
        </w:rPr>
      </w:pPr>
    </w:p>
    <w:p w:rsidR="001E0DA8" w:rsidRPr="003C4D9E" w:rsidRDefault="001E0DA8" w:rsidP="00E01DA1">
      <w:pPr>
        <w:tabs>
          <w:tab w:val="left" w:pos="624"/>
        </w:tabs>
        <w:autoSpaceDE w:val="0"/>
        <w:autoSpaceDN w:val="0"/>
        <w:adjustRightInd w:val="0"/>
        <w:jc w:val="both"/>
        <w:rPr>
          <w:lang w:val="en-US"/>
        </w:rPr>
      </w:pPr>
      <w:r w:rsidRPr="003C4D9E">
        <w:rPr>
          <w:lang w:val="en-US"/>
        </w:rPr>
        <w:t xml:space="preserve">The Ombudsman Institution submitted </w:t>
      </w:r>
      <w:r>
        <w:rPr>
          <w:b/>
          <w:lang w:val="en-US"/>
        </w:rPr>
        <w:t>R</w:t>
      </w:r>
      <w:r w:rsidRPr="003C4D9E">
        <w:rPr>
          <w:b/>
          <w:lang w:val="en-US"/>
        </w:rPr>
        <w:t>ecommendations</w:t>
      </w:r>
      <w:r w:rsidRPr="003C4D9E">
        <w:rPr>
          <w:lang w:val="en-US"/>
        </w:rPr>
        <w:t xml:space="preserve"> to the </w:t>
      </w:r>
      <w:r w:rsidRPr="003C4D9E">
        <w:rPr>
          <w:i/>
          <w:lang w:val="en-US"/>
        </w:rPr>
        <w:t>Secretaría General de Inmigración y Emigración</w:t>
      </w:r>
      <w:r w:rsidRPr="003C4D9E">
        <w:rPr>
          <w:lang w:val="en-US"/>
        </w:rPr>
        <w:t xml:space="preserve"> [Office of the Secretary General for Immigration and Migration] for a humanitarian organization supporting police work from the beginning. However, the Secretary General did not deem this necessary, considering that the service provided by the Temporary Accommodation Center for Immigrants (abbreviated as CETI in Spanish) was sufficient.  </w:t>
      </w:r>
    </w:p>
    <w:p w:rsidR="001E0DA8" w:rsidRPr="003C4D9E" w:rsidRDefault="001E0DA8" w:rsidP="00E01DA1">
      <w:pPr>
        <w:tabs>
          <w:tab w:val="left" w:pos="624"/>
        </w:tabs>
        <w:autoSpaceDE w:val="0"/>
        <w:autoSpaceDN w:val="0"/>
        <w:adjustRightInd w:val="0"/>
        <w:jc w:val="both"/>
        <w:rPr>
          <w:lang w:val="en-US"/>
        </w:rPr>
      </w:pPr>
    </w:p>
    <w:p w:rsidR="001E0DA8" w:rsidRPr="003C4D9E" w:rsidRDefault="001E0DA8" w:rsidP="00E01DA1">
      <w:pPr>
        <w:tabs>
          <w:tab w:val="left" w:pos="624"/>
        </w:tabs>
        <w:autoSpaceDE w:val="0"/>
        <w:autoSpaceDN w:val="0"/>
        <w:adjustRightInd w:val="0"/>
        <w:jc w:val="both"/>
        <w:rPr>
          <w:lang w:val="en-US"/>
        </w:rPr>
      </w:pPr>
      <w:r w:rsidRPr="003C4D9E">
        <w:rPr>
          <w:lang w:val="en-US"/>
        </w:rPr>
        <w:t xml:space="preserve">A new visit to the outbuildings was made by the Ombudsman Institution, which confirmed a large number of women and minors and inadequate circumstances for the formalization of applications. In some cases, minors were left alone while a parent formalized the application, while in other cases they did not want to be separated and the applicant was obliged to hold the interview in the presence of the minor, even though the statement provided was not suitable for the minor to hear.  </w:t>
      </w:r>
    </w:p>
    <w:p w:rsidR="001E0DA8" w:rsidRPr="003C4D9E" w:rsidRDefault="001E0DA8" w:rsidP="00E01DA1">
      <w:pPr>
        <w:tabs>
          <w:tab w:val="left" w:pos="624"/>
        </w:tabs>
        <w:autoSpaceDE w:val="0"/>
        <w:autoSpaceDN w:val="0"/>
        <w:adjustRightInd w:val="0"/>
        <w:jc w:val="both"/>
        <w:rPr>
          <w:lang w:val="en-US"/>
        </w:rPr>
      </w:pPr>
    </w:p>
    <w:p w:rsidR="001E0DA8" w:rsidRPr="003C4D9E" w:rsidRDefault="001E0DA8" w:rsidP="00E01DA1">
      <w:pPr>
        <w:tabs>
          <w:tab w:val="left" w:pos="624"/>
        </w:tabs>
        <w:autoSpaceDE w:val="0"/>
        <w:autoSpaceDN w:val="0"/>
        <w:adjustRightInd w:val="0"/>
        <w:jc w:val="both"/>
        <w:rPr>
          <w:lang w:val="en-US"/>
        </w:rPr>
      </w:pPr>
      <w:r w:rsidRPr="003C4D9E">
        <w:rPr>
          <w:lang w:val="en-US"/>
        </w:rPr>
        <w:t xml:space="preserve">A </w:t>
      </w:r>
      <w:r>
        <w:rPr>
          <w:b/>
          <w:lang w:val="en-US"/>
        </w:rPr>
        <w:t>Re</w:t>
      </w:r>
      <w:r w:rsidRPr="003C4D9E">
        <w:rPr>
          <w:b/>
          <w:lang w:val="en-US"/>
        </w:rPr>
        <w:t>commendation</w:t>
      </w:r>
      <w:r w:rsidRPr="003C4D9E">
        <w:rPr>
          <w:lang w:val="en-US"/>
        </w:rPr>
        <w:t xml:space="preserve"> made to the Office of the Secretary General for Immigration and Migration for a social assistance service for asylum applicants at the border checkpoint was rejected. It has again been reiterated by the Ombudsman Institution, as this type of assistance has been provided for years at airport border outbuildings.</w:t>
      </w:r>
    </w:p>
    <w:p w:rsidR="001E0DA8" w:rsidRPr="003C4D9E" w:rsidRDefault="001E0DA8" w:rsidP="00E01DA1">
      <w:pPr>
        <w:jc w:val="both"/>
        <w:rPr>
          <w:b/>
          <w:i/>
          <w:lang w:val="en-US"/>
        </w:rPr>
      </w:pPr>
    </w:p>
    <w:p w:rsidR="001E0DA8" w:rsidRPr="003C4D9E" w:rsidRDefault="001E0DA8" w:rsidP="00E01DA1">
      <w:pPr>
        <w:pStyle w:val="3"/>
        <w:numPr>
          <w:ilvl w:val="2"/>
          <w:numId w:val="12"/>
        </w:numPr>
        <w:tabs>
          <w:tab w:val="clear" w:pos="624"/>
          <w:tab w:val="left" w:pos="500"/>
        </w:tabs>
        <w:ind w:hanging="2624"/>
        <w:rPr>
          <w:rFonts w:ascii="Times New Roman" w:hAnsi="Times New Roman"/>
          <w:lang w:val="en-US"/>
        </w:rPr>
      </w:pPr>
      <w:bookmarkStart w:id="71" w:name="_Toc349128826"/>
      <w:bookmarkStart w:id="72" w:name="_Toc475979948"/>
      <w:r w:rsidRPr="003C4D9E">
        <w:rPr>
          <w:rFonts w:ascii="Times New Roman" w:hAnsi="Times New Roman"/>
          <w:lang w:val="en-US"/>
        </w:rPr>
        <w:t>Return of children at Ceuta or Melilla borders</w:t>
      </w:r>
      <w:bookmarkEnd w:id="71"/>
      <w:bookmarkEnd w:id="72"/>
    </w:p>
    <w:p w:rsidR="001E0DA8" w:rsidRPr="003C4D9E" w:rsidRDefault="001E0DA8" w:rsidP="00E01DA1">
      <w:pPr>
        <w:jc w:val="both"/>
        <w:rPr>
          <w:i/>
          <w:lang w:val="en-US"/>
        </w:rPr>
      </w:pPr>
    </w:p>
    <w:p w:rsidR="001E0DA8" w:rsidRPr="003C4D9E" w:rsidRDefault="001E0DA8" w:rsidP="00E01DA1">
      <w:pPr>
        <w:jc w:val="both"/>
        <w:rPr>
          <w:lang w:val="en-US"/>
        </w:rPr>
      </w:pPr>
      <w:r w:rsidRPr="003C4D9E">
        <w:rPr>
          <w:lang w:val="en-US"/>
        </w:rPr>
        <w:t>Foreigners identified at the border for the territorial demarcation of Ceuta or Melilla whilst trying to overcome the barriers and make an illegal crossing may be turned back so as to prevent illegal entry into Spain (</w:t>
      </w:r>
      <w:r w:rsidRPr="003C4D9E">
        <w:rPr>
          <w:i/>
          <w:lang w:val="en-US"/>
        </w:rPr>
        <w:t>Disposición Adicional Décima de la Ley Orgánica 4/2000, de 11 de enero, sobre derechos y libertades de los extranjeros en España y su integración social</w:t>
      </w:r>
      <w:r w:rsidRPr="003C4D9E">
        <w:rPr>
          <w:lang w:val="en-US"/>
        </w:rPr>
        <w:t xml:space="preserve"> [Tenth Additional Ruling of Organic Law 4/2000 of 11 January on the rights and liberties of foreigners in Spain and their social integration] introduced by </w:t>
      </w:r>
      <w:r w:rsidRPr="003C4D9E">
        <w:rPr>
          <w:i/>
          <w:lang w:val="en-US"/>
        </w:rPr>
        <w:t>Ley 4/2015, de 30 de marzo, de protección de la seguridad ciudadana</w:t>
      </w:r>
      <w:r w:rsidRPr="003C4D9E">
        <w:rPr>
          <w:lang w:val="en-US"/>
        </w:rPr>
        <w:t xml:space="preserve"> [Law 4/2015 of 30 March on the protection of citizen safety]).</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The </w:t>
      </w:r>
      <w:r w:rsidRPr="003C4D9E">
        <w:rPr>
          <w:i/>
          <w:lang w:val="en-US"/>
        </w:rPr>
        <w:t>non-refoulement</w:t>
      </w:r>
      <w:r w:rsidRPr="003C4D9E">
        <w:rPr>
          <w:lang w:val="en-US"/>
        </w:rPr>
        <w:t xml:space="preserve"> principle of International Law prevents a state from delivering an individual to another state where serious risks to his or her life or physical integrity exists. Delivery of an individual to a </w:t>
      </w:r>
      <w:r>
        <w:rPr>
          <w:lang w:val="en-US"/>
        </w:rPr>
        <w:t>state which may in turn deliver</w:t>
      </w:r>
      <w:r w:rsidRPr="003C4D9E">
        <w:rPr>
          <w:lang w:val="en-US"/>
        </w:rPr>
        <w:t xml:space="preserve"> him or her to a third state where this risk exists is also prohibited (Article 33 of the United Nations Convention Relating to the Status of Refugees and Article 3 of the European Convention on Human Rights).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Collective expulsions or returns do not allow for a state to study each individual's particular situation or evaluate the risk of serious damage. This type of expulsion is therefore prohibited under numerous international treaties, among others in Article 4 of Protocol 4 of the European Convention on Human Rights and fundamental freedoms and in Article 19.1 of the European Union Charter of Fundamental Rights. </w:t>
      </w:r>
    </w:p>
    <w:p w:rsidR="001E0DA8" w:rsidRPr="003C4D9E" w:rsidRDefault="001E0DA8" w:rsidP="00E01DA1">
      <w:pPr>
        <w:jc w:val="both"/>
        <w:rPr>
          <w:lang w:val="en-US"/>
        </w:rPr>
      </w:pPr>
    </w:p>
    <w:p w:rsidR="001E0DA8" w:rsidRPr="003C4D9E" w:rsidRDefault="001E0DA8" w:rsidP="006120C9">
      <w:pPr>
        <w:jc w:val="both"/>
        <w:rPr>
          <w:lang w:val="en-US"/>
        </w:rPr>
      </w:pPr>
      <w:r w:rsidRPr="003C4D9E">
        <w:rPr>
          <w:lang w:val="en-US"/>
        </w:rPr>
        <w:t>These types of returns affecting individuals who are particularly vulnerable, among which minors are found, give the Ombudsman Institution cause for concern. In accordance with Directive 2013/32/EU of the European Parliament and the Council, of 26 June 2013, on common procedures for granting and withdrawing international</w:t>
      </w:r>
      <w:r w:rsidRPr="003C4D9E">
        <w:rPr>
          <w:bCs/>
          <w:lang w:val="en-US"/>
        </w:rPr>
        <w:t xml:space="preserve"> protection, member states must make an effort to identify those applicants requiring special procedural guarantees because of their age, among other factors.  </w:t>
      </w:r>
    </w:p>
    <w:p w:rsidR="001E0DA8" w:rsidRPr="003C4D9E" w:rsidRDefault="001E0DA8" w:rsidP="00E01DA1">
      <w:pPr>
        <w:jc w:val="both"/>
        <w:rPr>
          <w:lang w:val="en-US"/>
        </w:rPr>
      </w:pPr>
    </w:p>
    <w:p w:rsidR="001E0DA8" w:rsidRPr="003C4D9E" w:rsidRDefault="001E0DA8" w:rsidP="00E01DA1">
      <w:pPr>
        <w:jc w:val="both"/>
        <w:rPr>
          <w:lang w:val="en-US"/>
        </w:rPr>
      </w:pPr>
      <w:r w:rsidRPr="003C4D9E">
        <w:rPr>
          <w:lang w:val="en-US"/>
        </w:rPr>
        <w:t xml:space="preserve">For all of these reasons, the Ombudsman Institution made </w:t>
      </w:r>
      <w:r>
        <w:rPr>
          <w:b/>
          <w:lang w:val="en-US"/>
        </w:rPr>
        <w:t>R</w:t>
      </w:r>
      <w:r w:rsidRPr="003C4D9E">
        <w:rPr>
          <w:b/>
          <w:lang w:val="en-US"/>
        </w:rPr>
        <w:t>ecommendations</w:t>
      </w:r>
      <w:r w:rsidRPr="003C4D9E">
        <w:rPr>
          <w:lang w:val="en-US"/>
        </w:rPr>
        <w:t xml:space="preserve"> to the </w:t>
      </w:r>
      <w:r w:rsidRPr="003C4D9E">
        <w:rPr>
          <w:i/>
          <w:lang w:val="en-US"/>
        </w:rPr>
        <w:t>Ministerio del Interior</w:t>
      </w:r>
      <w:r w:rsidRPr="003C4D9E">
        <w:rPr>
          <w:lang w:val="en-US"/>
        </w:rPr>
        <w:t xml:space="preserve"> [Ministry of the Interior] that the procedure contemplate the necessity of dictating an administrative resolution, providing legal assistance, interpretation services and indicating the resources available for appeal, all in accordance with Constitutional Court Sentence 17/2013 of 31 January. The Institution has also </w:t>
      </w:r>
      <w:r w:rsidRPr="003C4D9E">
        <w:rPr>
          <w:b/>
          <w:lang w:val="en-US"/>
        </w:rPr>
        <w:t>recommended</w:t>
      </w:r>
      <w:r w:rsidRPr="003C4D9E">
        <w:rPr>
          <w:lang w:val="en-US"/>
        </w:rPr>
        <w:t xml:space="preserve"> that the Ministry of the Interior make provisions for the procedure to include written documentation confirming that foreigners have been provided with information on international protection; that their needs for international protection have been verified by means of a suitable means of identification and referral; that they are not minors; and that there are no contributing indications of their being victims of human trafficking. These recommendations have not been accepted. </w:t>
      </w:r>
    </w:p>
    <w:p w:rsidR="001E0DA8" w:rsidRPr="003C4D9E" w:rsidRDefault="001E0DA8" w:rsidP="00E01DA1">
      <w:pPr>
        <w:jc w:val="both"/>
        <w:rPr>
          <w:lang w:val="en-US"/>
        </w:rPr>
      </w:pPr>
    </w:p>
    <w:p w:rsidR="001E0DA8" w:rsidRPr="003C4D9E" w:rsidRDefault="001E0DA8" w:rsidP="00E01DA1">
      <w:pPr>
        <w:pStyle w:val="2"/>
        <w:numPr>
          <w:ilvl w:val="1"/>
          <w:numId w:val="12"/>
        </w:numPr>
        <w:tabs>
          <w:tab w:val="clear" w:pos="624"/>
          <w:tab w:val="left" w:pos="500"/>
        </w:tabs>
        <w:ind w:hanging="710"/>
        <w:rPr>
          <w:rFonts w:ascii="Times New Roman" w:hAnsi="Times New Roman"/>
          <w:sz w:val="24"/>
          <w:lang w:val="en-US"/>
        </w:rPr>
      </w:pPr>
      <w:bookmarkStart w:id="73" w:name="_Toc349128827"/>
      <w:bookmarkStart w:id="74" w:name="_Toc475979949"/>
      <w:r w:rsidRPr="003C4D9E">
        <w:rPr>
          <w:rFonts w:ascii="Times New Roman" w:hAnsi="Times New Roman"/>
          <w:sz w:val="24"/>
          <w:lang w:val="en-US"/>
        </w:rPr>
        <w:t>Unaccompanied foreign children</w:t>
      </w:r>
      <w:bookmarkEnd w:id="73"/>
      <w:bookmarkEnd w:id="74"/>
      <w:r w:rsidRPr="003C4D9E">
        <w:rPr>
          <w:rFonts w:ascii="Times New Roman" w:hAnsi="Times New Roman"/>
          <w:sz w:val="24"/>
          <w:lang w:val="en-US"/>
        </w:rPr>
        <w:t xml:space="preserve"> </w:t>
      </w:r>
    </w:p>
    <w:p w:rsidR="001E0DA8" w:rsidRPr="003C4D9E" w:rsidRDefault="001E0DA8" w:rsidP="00E01DA1">
      <w:pPr>
        <w:tabs>
          <w:tab w:val="left" w:pos="600"/>
        </w:tabs>
        <w:autoSpaceDE w:val="0"/>
        <w:autoSpaceDN w:val="0"/>
        <w:adjustRightInd w:val="0"/>
        <w:jc w:val="both"/>
        <w:rPr>
          <w:lang w:val="en-US"/>
        </w:rPr>
      </w:pPr>
    </w:p>
    <w:p w:rsidR="001E0DA8" w:rsidRPr="003C4D9E" w:rsidRDefault="001E0DA8" w:rsidP="00E01DA1">
      <w:pPr>
        <w:pStyle w:val="3"/>
        <w:numPr>
          <w:ilvl w:val="2"/>
          <w:numId w:val="12"/>
        </w:numPr>
        <w:tabs>
          <w:tab w:val="clear" w:pos="624"/>
          <w:tab w:val="left" w:pos="500"/>
        </w:tabs>
        <w:ind w:hanging="2624"/>
        <w:rPr>
          <w:rFonts w:ascii="Times New Roman" w:hAnsi="Times New Roman"/>
          <w:lang w:val="en-US"/>
        </w:rPr>
      </w:pPr>
      <w:bookmarkStart w:id="75" w:name="_Toc349128828"/>
      <w:bookmarkStart w:id="76" w:name="_Toc475979950"/>
      <w:r>
        <w:rPr>
          <w:rFonts w:ascii="Times New Roman" w:hAnsi="Times New Roman"/>
          <w:lang w:val="en-US"/>
        </w:rPr>
        <w:t>A</w:t>
      </w:r>
      <w:r w:rsidRPr="003C4D9E">
        <w:rPr>
          <w:rFonts w:ascii="Times New Roman" w:hAnsi="Times New Roman"/>
          <w:lang w:val="en-US"/>
        </w:rPr>
        <w:t>ge</w:t>
      </w:r>
      <w:bookmarkEnd w:id="75"/>
      <w:r>
        <w:rPr>
          <w:rFonts w:ascii="Times New Roman" w:hAnsi="Times New Roman"/>
          <w:lang w:val="en-US"/>
        </w:rPr>
        <w:t xml:space="preserve"> Assessment</w:t>
      </w:r>
      <w:bookmarkEnd w:id="76"/>
    </w:p>
    <w:p w:rsidR="001E0DA8" w:rsidRPr="003C4D9E" w:rsidRDefault="001E0DA8" w:rsidP="00E01DA1">
      <w:pPr>
        <w:tabs>
          <w:tab w:val="left" w:pos="600"/>
        </w:tabs>
        <w:autoSpaceDE w:val="0"/>
        <w:autoSpaceDN w:val="0"/>
        <w:adjustRightInd w:val="0"/>
        <w:jc w:val="both"/>
        <w:rPr>
          <w:lang w:val="en-US"/>
        </w:rPr>
      </w:pPr>
    </w:p>
    <w:p w:rsidR="001E0DA8" w:rsidRPr="003C4D9E" w:rsidRDefault="001E0DA8" w:rsidP="00E01DA1">
      <w:pPr>
        <w:tabs>
          <w:tab w:val="left" w:pos="600"/>
        </w:tabs>
        <w:autoSpaceDE w:val="0"/>
        <w:autoSpaceDN w:val="0"/>
        <w:adjustRightInd w:val="0"/>
        <w:jc w:val="both"/>
        <w:rPr>
          <w:lang w:val="en-US"/>
        </w:rPr>
      </w:pPr>
      <w:r w:rsidRPr="003C4D9E">
        <w:rPr>
          <w:lang w:val="en-US"/>
        </w:rPr>
        <w:t xml:space="preserve">The </w:t>
      </w:r>
      <w:r w:rsidRPr="003C4D9E">
        <w:rPr>
          <w:i/>
          <w:lang w:val="en-US"/>
        </w:rPr>
        <w:t>Protocolo Marco de Menores Extranjeros No Acompañados</w:t>
      </w:r>
      <w:r w:rsidRPr="003C4D9E">
        <w:rPr>
          <w:lang w:val="en-US"/>
        </w:rPr>
        <w:t xml:space="preserve"> [Framework Protocol for Unaccompanied Foreign Children] establishes the possibility of initiating procedures for age</w:t>
      </w:r>
      <w:r>
        <w:rPr>
          <w:lang w:val="en-US"/>
        </w:rPr>
        <w:t xml:space="preserve"> assessment</w:t>
      </w:r>
      <w:r w:rsidRPr="003C4D9E">
        <w:rPr>
          <w:lang w:val="en-US"/>
        </w:rPr>
        <w:t xml:space="preserve"> of foreign documented minors in certain cases. This and other questions surrounding the aforementioned protocol are pending legal pronouncement in the appeal brought before the Supreme Court's </w:t>
      </w:r>
      <w:r w:rsidRPr="003C4D9E">
        <w:rPr>
          <w:i/>
          <w:lang w:val="en-US"/>
        </w:rPr>
        <w:t>Sala de lo Contencioso-Administrativo</w:t>
      </w:r>
      <w:r w:rsidRPr="003C4D9E">
        <w:rPr>
          <w:lang w:val="en-US"/>
        </w:rPr>
        <w:t xml:space="preserve"> [Chamber for Administrative Disputes] in October 2016.</w:t>
      </w:r>
    </w:p>
    <w:p w:rsidR="001E0DA8" w:rsidRPr="003C4D9E" w:rsidRDefault="001E0DA8" w:rsidP="00E01DA1">
      <w:pPr>
        <w:tabs>
          <w:tab w:val="left" w:pos="600"/>
        </w:tabs>
        <w:autoSpaceDE w:val="0"/>
        <w:autoSpaceDN w:val="0"/>
        <w:adjustRightInd w:val="0"/>
        <w:jc w:val="both"/>
        <w:rPr>
          <w:lang w:val="en-US"/>
        </w:rPr>
      </w:pPr>
    </w:p>
    <w:p w:rsidR="001E0DA8" w:rsidRPr="003C4D9E" w:rsidRDefault="001E0DA8" w:rsidP="00E01DA1">
      <w:pPr>
        <w:tabs>
          <w:tab w:val="left" w:pos="600"/>
        </w:tabs>
        <w:autoSpaceDE w:val="0"/>
        <w:autoSpaceDN w:val="0"/>
        <w:adjustRightInd w:val="0"/>
        <w:jc w:val="both"/>
        <w:rPr>
          <w:lang w:val="en-US"/>
        </w:rPr>
      </w:pPr>
      <w:r w:rsidRPr="00876738">
        <w:t xml:space="preserve">In its </w:t>
      </w:r>
      <w:r>
        <w:t>report</w:t>
      </w:r>
      <w:r w:rsidRPr="00876738">
        <w:t xml:space="preserve"> </w:t>
      </w:r>
      <w:r w:rsidRPr="00876738">
        <w:rPr>
          <w:i/>
        </w:rPr>
        <w:t>¿Menores o adultos?: Procedimientos para la determinación de la edad</w:t>
      </w:r>
      <w:r w:rsidRPr="00876738">
        <w:t xml:space="preserve"> </w:t>
      </w:r>
      <w:r w:rsidRPr="00876738">
        <w:rPr>
          <w:i/>
        </w:rPr>
        <w:t>[</w:t>
      </w:r>
      <w:r w:rsidRPr="00876738">
        <w:rPr>
          <w:i/>
          <w:iCs/>
        </w:rPr>
        <w:t xml:space="preserve">Minors or adults? </w:t>
      </w:r>
      <w:r w:rsidRPr="003C4D9E">
        <w:rPr>
          <w:i/>
          <w:iCs/>
          <w:lang w:val="en-US"/>
        </w:rPr>
        <w:t>Procedures for age</w:t>
      </w:r>
      <w:r>
        <w:rPr>
          <w:i/>
          <w:iCs/>
          <w:lang w:val="en-US"/>
        </w:rPr>
        <w:t xml:space="preserve"> assessment</w:t>
      </w:r>
      <w:r w:rsidRPr="003C4D9E">
        <w:rPr>
          <w:i/>
          <w:iCs/>
          <w:lang w:val="en-US"/>
        </w:rPr>
        <w:t>]</w:t>
      </w:r>
      <w:r w:rsidRPr="003C4D9E">
        <w:rPr>
          <w:lang w:val="en-US"/>
        </w:rPr>
        <w:t xml:space="preserve"> the Ombudsman Institution considers that subjecting these minors to such procedures is inappropriate, according to </w:t>
      </w:r>
      <w:r>
        <w:rPr>
          <w:lang w:val="en-US"/>
        </w:rPr>
        <w:t xml:space="preserve">the </w:t>
      </w:r>
      <w:r w:rsidRPr="003C4D9E">
        <w:rPr>
          <w:lang w:val="en-US"/>
        </w:rPr>
        <w:t xml:space="preserve">established in Article 35.3 of Organic Law 4/2000 of 11 January, which regulates foreigners' rights, liberties and social integration. </w:t>
      </w:r>
    </w:p>
    <w:p w:rsidR="001E0DA8" w:rsidRPr="003C4D9E" w:rsidRDefault="001E0DA8" w:rsidP="00E01DA1">
      <w:pPr>
        <w:tabs>
          <w:tab w:val="left" w:pos="600"/>
        </w:tabs>
        <w:autoSpaceDE w:val="0"/>
        <w:autoSpaceDN w:val="0"/>
        <w:adjustRightInd w:val="0"/>
        <w:jc w:val="both"/>
        <w:rPr>
          <w:lang w:val="en-US"/>
        </w:rPr>
      </w:pPr>
    </w:p>
    <w:p w:rsidR="001E0DA8" w:rsidRPr="003C4D9E" w:rsidRDefault="001E0DA8" w:rsidP="00E01DA1">
      <w:pPr>
        <w:tabs>
          <w:tab w:val="left" w:pos="600"/>
        </w:tabs>
        <w:autoSpaceDE w:val="0"/>
        <w:autoSpaceDN w:val="0"/>
        <w:adjustRightInd w:val="0"/>
        <w:jc w:val="both"/>
        <w:rPr>
          <w:lang w:val="en-US"/>
        </w:rPr>
      </w:pPr>
      <w:r w:rsidRPr="003C4D9E">
        <w:rPr>
          <w:lang w:val="en-US"/>
        </w:rPr>
        <w:t xml:space="preserve">In its Sentence of 29 September 2014, the Plenary Session of the Supreme Court's </w:t>
      </w:r>
      <w:r w:rsidRPr="003C4D9E">
        <w:rPr>
          <w:i/>
          <w:lang w:val="en-US"/>
        </w:rPr>
        <w:t>Sala de lo Civil</w:t>
      </w:r>
      <w:r w:rsidRPr="003C4D9E">
        <w:rPr>
          <w:lang w:val="en-US"/>
        </w:rPr>
        <w:t xml:space="preserve"> [Civil Chamber] pronounced in this same spirit, establishing as jurisprudential doctrine that immigrants whose passports or identity documents can be used to determine minor age status may not be considered undocumented foreigners nor may they be subject to complementary testing to determine their age, since it is not appropriate to question age without reasonable justification as to why such testing is carried out when a valid passport is available.</w:t>
      </w:r>
    </w:p>
    <w:p w:rsidR="001E0DA8" w:rsidRPr="003C4D9E" w:rsidRDefault="001E0DA8" w:rsidP="00E01DA1">
      <w:pPr>
        <w:tabs>
          <w:tab w:val="left" w:pos="600"/>
        </w:tabs>
        <w:autoSpaceDE w:val="0"/>
        <w:autoSpaceDN w:val="0"/>
        <w:adjustRightInd w:val="0"/>
        <w:jc w:val="both"/>
        <w:rPr>
          <w:lang w:val="en-US"/>
        </w:rPr>
      </w:pPr>
    </w:p>
    <w:p w:rsidR="001E0DA8" w:rsidRPr="003C4D9E" w:rsidRDefault="001E0DA8" w:rsidP="00E01DA1">
      <w:pPr>
        <w:tabs>
          <w:tab w:val="left" w:pos="600"/>
        </w:tabs>
        <w:autoSpaceDE w:val="0"/>
        <w:autoSpaceDN w:val="0"/>
        <w:adjustRightInd w:val="0"/>
        <w:jc w:val="both"/>
        <w:rPr>
          <w:lang w:val="en-US"/>
        </w:rPr>
      </w:pPr>
      <w:r w:rsidRPr="003C4D9E">
        <w:rPr>
          <w:lang w:val="en-US"/>
        </w:rPr>
        <w:t>The Supreme Court’s Civil Chamber continues to pass sentences with the same jurisprudential doctrine. The latest is Sentence 720/2016 of 1 December, which establishes that individuals in possession of a passport issued by the authorities of their country of origin accrediting their minor age status do not have undocumented status.</w:t>
      </w:r>
    </w:p>
    <w:p w:rsidR="001E0DA8" w:rsidRPr="003C4D9E" w:rsidRDefault="001E0DA8" w:rsidP="00E01DA1">
      <w:pPr>
        <w:tabs>
          <w:tab w:val="left" w:pos="600"/>
        </w:tabs>
        <w:autoSpaceDE w:val="0"/>
        <w:autoSpaceDN w:val="0"/>
        <w:adjustRightInd w:val="0"/>
        <w:jc w:val="both"/>
        <w:rPr>
          <w:lang w:val="en-US"/>
        </w:rPr>
      </w:pPr>
    </w:p>
    <w:p w:rsidR="001E0DA8" w:rsidRPr="003C4D9E" w:rsidRDefault="001E0DA8" w:rsidP="00E01DA1">
      <w:pPr>
        <w:tabs>
          <w:tab w:val="left" w:pos="600"/>
        </w:tabs>
        <w:autoSpaceDE w:val="0"/>
        <w:autoSpaceDN w:val="0"/>
        <w:adjustRightInd w:val="0"/>
        <w:jc w:val="both"/>
        <w:rPr>
          <w:lang w:val="en-US"/>
        </w:rPr>
      </w:pPr>
      <w:r w:rsidRPr="003C4D9E">
        <w:rPr>
          <w:lang w:val="en-US"/>
        </w:rPr>
        <w:t>In spite of this jurisprudential doctrine, the number of complaints received concerning t</w:t>
      </w:r>
      <w:r>
        <w:rPr>
          <w:lang w:val="en-US"/>
        </w:rPr>
        <w:t>he initiation of age assessment</w:t>
      </w:r>
      <w:r w:rsidRPr="003C4D9E">
        <w:rPr>
          <w:lang w:val="en-US"/>
        </w:rPr>
        <w:t xml:space="preserve"> procedures for minors with passports or other age-accrediting documentation has increased. The United Nations High Commissioner for Refugees has also warned of the vulnerable situation in which these individuals may find themselves. It must be considered that the status of minor for an unaccompanied foreigner leads to very different treatment, since minors are directed to centers for the protection of minors, instead of being taken to shelter facilities. </w:t>
      </w:r>
      <w:r w:rsidRPr="003C4D9E">
        <w:rPr>
          <w:b/>
          <w:bCs/>
          <w:lang w:val="en-US"/>
        </w:rPr>
        <w:t xml:space="preserve"> </w:t>
      </w:r>
    </w:p>
    <w:p w:rsidR="001E0DA8" w:rsidRPr="003C4D9E" w:rsidRDefault="001E0DA8" w:rsidP="00E01DA1">
      <w:pPr>
        <w:tabs>
          <w:tab w:val="left" w:pos="600"/>
        </w:tabs>
        <w:autoSpaceDE w:val="0"/>
        <w:autoSpaceDN w:val="0"/>
        <w:adjustRightInd w:val="0"/>
        <w:jc w:val="both"/>
        <w:rPr>
          <w:lang w:val="en-US"/>
        </w:rPr>
      </w:pPr>
    </w:p>
    <w:p w:rsidR="001E0DA8" w:rsidRPr="003C4D9E" w:rsidRDefault="001E0DA8" w:rsidP="00E01DA1">
      <w:pPr>
        <w:tabs>
          <w:tab w:val="left" w:pos="600"/>
        </w:tabs>
        <w:autoSpaceDE w:val="0"/>
        <w:autoSpaceDN w:val="0"/>
        <w:adjustRightInd w:val="0"/>
        <w:jc w:val="both"/>
        <w:rPr>
          <w:lang w:val="en-US"/>
        </w:rPr>
      </w:pPr>
      <w:r w:rsidRPr="003C4D9E">
        <w:rPr>
          <w:lang w:val="en-US"/>
        </w:rPr>
        <w:t>The Office of the Attorney General considers that the new wording of Article 12.4 of the Organic Law on the Legal Protection of Minors, in its wording provided by Law 26/2015, grants the Public Prosecutor's Office the power to conduct a proportionality assessment to determine the reliability of a passport or identity document.</w:t>
      </w:r>
    </w:p>
    <w:p w:rsidR="001E0DA8" w:rsidRPr="003C4D9E" w:rsidRDefault="001E0DA8" w:rsidP="00E01DA1">
      <w:pPr>
        <w:tabs>
          <w:tab w:val="left" w:pos="600"/>
        </w:tabs>
        <w:autoSpaceDE w:val="0"/>
        <w:autoSpaceDN w:val="0"/>
        <w:adjustRightInd w:val="0"/>
        <w:jc w:val="both"/>
        <w:rPr>
          <w:lang w:val="en-US"/>
        </w:rPr>
      </w:pPr>
    </w:p>
    <w:p w:rsidR="001E0DA8" w:rsidRPr="003C4D9E" w:rsidRDefault="001E0DA8" w:rsidP="006818F6">
      <w:pPr>
        <w:tabs>
          <w:tab w:val="left" w:pos="600"/>
        </w:tabs>
        <w:autoSpaceDE w:val="0"/>
        <w:autoSpaceDN w:val="0"/>
        <w:adjustRightInd w:val="0"/>
        <w:jc w:val="both"/>
        <w:rPr>
          <w:lang w:val="en-US"/>
        </w:rPr>
      </w:pPr>
      <w:r w:rsidRPr="003C4D9E">
        <w:rPr>
          <w:lang w:val="en-US"/>
        </w:rPr>
        <w:t xml:space="preserve">Problems also arise on occasion concerning notification of rulings on age, the failure to dictate these or the delay in doing so, as well as irregularities in the performance and repetition of radiological testing on applicants. It may also be the case that only x-rays of the hand are performed on applicants without other complementary testing such as dental or clavicle x-rays, etcetera. Moreover, radiology reports at times do not include the age brackets in which examinees should be included, nor do they provide information on possible errors in estimation; and on occasion there is no evidence of intervention by a medical examiner. The </w:t>
      </w:r>
      <w:r w:rsidRPr="003C4D9E">
        <w:rPr>
          <w:bCs/>
          <w:lang w:val="en-US"/>
        </w:rPr>
        <w:t>Ombudsman Institution</w:t>
      </w:r>
      <w:r w:rsidRPr="003C4D9E">
        <w:rPr>
          <w:lang w:val="en-US"/>
        </w:rPr>
        <w:t xml:space="preserve"> is also concerned by the fact the various radiology reports have produced highly disparate results, given that testing results must be reproducible even when they are carried out at different hospitals. </w:t>
      </w:r>
    </w:p>
    <w:p w:rsidR="001E0DA8" w:rsidRPr="003C4D9E" w:rsidRDefault="001E0DA8" w:rsidP="006818F6">
      <w:pPr>
        <w:tabs>
          <w:tab w:val="left" w:pos="600"/>
        </w:tabs>
        <w:autoSpaceDE w:val="0"/>
        <w:autoSpaceDN w:val="0"/>
        <w:adjustRightInd w:val="0"/>
        <w:jc w:val="both"/>
        <w:rPr>
          <w:lang w:val="en-US"/>
        </w:rPr>
      </w:pPr>
    </w:p>
    <w:p w:rsidR="001E0DA8" w:rsidRPr="003C4D9E" w:rsidRDefault="001E0DA8" w:rsidP="00731EF1">
      <w:pPr>
        <w:pStyle w:val="3"/>
        <w:tabs>
          <w:tab w:val="clear" w:pos="624"/>
          <w:tab w:val="left" w:pos="500"/>
        </w:tabs>
        <w:ind w:hanging="2624"/>
        <w:rPr>
          <w:rFonts w:ascii="Times New Roman" w:hAnsi="Times New Roman"/>
          <w:lang w:val="en-US"/>
        </w:rPr>
      </w:pPr>
      <w:bookmarkStart w:id="77" w:name="_Toc475979951"/>
      <w:bookmarkStart w:id="78" w:name="_Toc474914292"/>
      <w:r w:rsidRPr="003C4D9E">
        <w:rPr>
          <w:rFonts w:ascii="Times New Roman" w:hAnsi="Times New Roman"/>
          <w:lang w:val="en-US"/>
        </w:rPr>
        <w:t>Registration of unaccompanied foreign minors</w:t>
      </w:r>
      <w:bookmarkEnd w:id="77"/>
      <w:r w:rsidRPr="003C4D9E">
        <w:rPr>
          <w:rFonts w:ascii="Times New Roman" w:hAnsi="Times New Roman"/>
          <w:lang w:val="en-US"/>
        </w:rPr>
        <w:t xml:space="preserve"> </w:t>
      </w:r>
      <w:bookmarkEnd w:id="78"/>
    </w:p>
    <w:p w:rsidR="001E0DA8" w:rsidRPr="003C4D9E" w:rsidRDefault="001E0DA8" w:rsidP="006818F6">
      <w:pPr>
        <w:tabs>
          <w:tab w:val="left" w:pos="600"/>
        </w:tabs>
        <w:autoSpaceDE w:val="0"/>
        <w:autoSpaceDN w:val="0"/>
        <w:adjustRightInd w:val="0"/>
        <w:jc w:val="both"/>
        <w:rPr>
          <w:i/>
          <w:lang w:val="en-US"/>
        </w:rPr>
      </w:pPr>
      <w:r w:rsidRPr="003C4D9E">
        <w:rPr>
          <w:i/>
          <w:lang w:val="en-US"/>
        </w:rPr>
        <w:t xml:space="preserve"> </w:t>
      </w:r>
    </w:p>
    <w:p w:rsidR="001E0DA8" w:rsidRPr="003C4D9E" w:rsidRDefault="001E0DA8" w:rsidP="006818F6">
      <w:pPr>
        <w:tabs>
          <w:tab w:val="left" w:pos="600"/>
        </w:tabs>
        <w:autoSpaceDE w:val="0"/>
        <w:autoSpaceDN w:val="0"/>
        <w:adjustRightInd w:val="0"/>
        <w:jc w:val="both"/>
        <w:rPr>
          <w:lang w:val="en-US"/>
        </w:rPr>
      </w:pPr>
      <w:r w:rsidRPr="003C4D9E">
        <w:rPr>
          <w:lang w:val="en-US"/>
        </w:rPr>
        <w:t xml:space="preserve">The Ombudsman Institution considers that immediate registration of data for unaccompanied foreign minors, after having been picked up by the </w:t>
      </w:r>
      <w:r w:rsidRPr="003C4D9E">
        <w:rPr>
          <w:i/>
          <w:lang w:val="en-US"/>
        </w:rPr>
        <w:t>Cuerpos y Fuerzas de Seguridad del Estado</w:t>
      </w:r>
      <w:r w:rsidRPr="003C4D9E">
        <w:rPr>
          <w:lang w:val="en-US"/>
        </w:rPr>
        <w:t xml:space="preserve"> [State Security Forces] is a fundamental tool both for the effective protection of minors and for their location in the event of absence from their assigned protection center. Significant progress has been noted in the efficiency of the </w:t>
      </w:r>
      <w:r w:rsidRPr="003C4D9E">
        <w:rPr>
          <w:i/>
          <w:lang w:val="en-US"/>
        </w:rPr>
        <w:t>Registro Central de Menores Extranjeros No Acompañados</w:t>
      </w:r>
      <w:r w:rsidRPr="003C4D9E">
        <w:rPr>
          <w:lang w:val="en-US"/>
        </w:rPr>
        <w:t xml:space="preserve"> [Central Registry of Unaccompanied Foreign Minors] and in the acceleration of the consultation process. Yet despite such progress, cases continue to be identified in which a lack of coordination among child protection agencies and police units responsible for the Registry has delayed the registration process, causing duplications in identification and complicating access to up-to-date information concerning minors.</w:t>
      </w:r>
    </w:p>
    <w:p w:rsidR="001E0DA8" w:rsidRPr="003C4D9E" w:rsidRDefault="001E0DA8" w:rsidP="006818F6">
      <w:pPr>
        <w:tabs>
          <w:tab w:val="left" w:pos="600"/>
        </w:tabs>
        <w:autoSpaceDE w:val="0"/>
        <w:autoSpaceDN w:val="0"/>
        <w:adjustRightInd w:val="0"/>
        <w:jc w:val="both"/>
        <w:rPr>
          <w:lang w:val="en-US"/>
        </w:rPr>
      </w:pPr>
    </w:p>
    <w:p w:rsidR="001E0DA8" w:rsidRPr="003C4D9E" w:rsidRDefault="001E0DA8" w:rsidP="006818F6">
      <w:pPr>
        <w:tabs>
          <w:tab w:val="left" w:pos="600"/>
        </w:tabs>
        <w:autoSpaceDE w:val="0"/>
        <w:autoSpaceDN w:val="0"/>
        <w:adjustRightInd w:val="0"/>
        <w:jc w:val="both"/>
        <w:rPr>
          <w:lang w:val="en-US"/>
        </w:rPr>
      </w:pPr>
      <w:r w:rsidRPr="003C4D9E">
        <w:rPr>
          <w:lang w:val="en-US"/>
        </w:rPr>
        <w:t xml:space="preserve">The Ombudsman Institution has initiated ex officio investigations with child protection agencies in various autonomous communities, as well as with the </w:t>
      </w:r>
      <w:r w:rsidRPr="003C4D9E">
        <w:rPr>
          <w:i/>
          <w:lang w:val="en-US"/>
        </w:rPr>
        <w:t>Diputaciones Forales Vascas</w:t>
      </w:r>
      <w:r w:rsidRPr="003C4D9E">
        <w:rPr>
          <w:lang w:val="en-US"/>
        </w:rPr>
        <w:t xml:space="preserve"> [Basque Provincial Councils], </w:t>
      </w:r>
      <w:r w:rsidRPr="003C4D9E">
        <w:rPr>
          <w:i/>
          <w:lang w:val="en-US"/>
        </w:rPr>
        <w:t>Ciudades Autónomas de Ceuta y Melilla</w:t>
      </w:r>
      <w:r w:rsidRPr="003C4D9E">
        <w:rPr>
          <w:lang w:val="en-US"/>
        </w:rPr>
        <w:t xml:space="preserve"> [Autonomous Cities of Ceuta and Melilla] and with the </w:t>
      </w:r>
      <w:r w:rsidRPr="003C4D9E">
        <w:rPr>
          <w:i/>
          <w:lang w:val="en-US"/>
        </w:rPr>
        <w:t>Comisaría General de Extranjería y Fronteras</w:t>
      </w:r>
      <w:r w:rsidRPr="003C4D9E">
        <w:rPr>
          <w:lang w:val="en-US"/>
        </w:rPr>
        <w:t xml:space="preserve"> [Central Department of Immigration and Borders] in order to gain an understanding of the current situation of these minors in the entire national territory and to identify, where necessary, any procedures requiring improvement. The Institution is currently analyzing the data collected and is pending receipt of all data requested so as to prepare the necessary recommendations for improving the functioning of this tool. </w:t>
      </w:r>
    </w:p>
    <w:p w:rsidR="001E0DA8" w:rsidRPr="003C4D9E" w:rsidRDefault="001E0DA8" w:rsidP="006818F6">
      <w:pPr>
        <w:tabs>
          <w:tab w:val="left" w:pos="600"/>
        </w:tabs>
        <w:autoSpaceDE w:val="0"/>
        <w:autoSpaceDN w:val="0"/>
        <w:adjustRightInd w:val="0"/>
        <w:jc w:val="both"/>
        <w:rPr>
          <w:lang w:val="en-US"/>
        </w:rPr>
      </w:pPr>
    </w:p>
    <w:p w:rsidR="001E0DA8" w:rsidRPr="003C4D9E" w:rsidRDefault="001E0DA8" w:rsidP="00AC2320">
      <w:pPr>
        <w:pStyle w:val="3"/>
        <w:tabs>
          <w:tab w:val="clear" w:pos="624"/>
          <w:tab w:val="left" w:pos="500"/>
        </w:tabs>
        <w:ind w:hanging="2624"/>
        <w:rPr>
          <w:rFonts w:ascii="Times New Roman" w:hAnsi="Times New Roman"/>
          <w:lang w:val="en-US"/>
        </w:rPr>
      </w:pPr>
      <w:bookmarkStart w:id="79" w:name="_Toc474914293"/>
      <w:bookmarkStart w:id="80" w:name="_Toc475979952"/>
      <w:r w:rsidRPr="003C4D9E">
        <w:rPr>
          <w:rFonts w:ascii="Times New Roman" w:hAnsi="Times New Roman"/>
          <w:lang w:val="en-US"/>
        </w:rPr>
        <w:t>New version of Civil Code</w:t>
      </w:r>
      <w:bookmarkEnd w:id="79"/>
      <w:r w:rsidRPr="003C4D9E">
        <w:rPr>
          <w:rFonts w:ascii="Times New Roman" w:hAnsi="Times New Roman"/>
          <w:lang w:val="en-US"/>
        </w:rPr>
        <w:t xml:space="preserve"> Article 172</w:t>
      </w:r>
      <w:bookmarkEnd w:id="80"/>
    </w:p>
    <w:p w:rsidR="001E0DA8" w:rsidRPr="003C4D9E" w:rsidRDefault="001E0DA8" w:rsidP="006818F6">
      <w:pPr>
        <w:tabs>
          <w:tab w:val="left" w:pos="600"/>
        </w:tabs>
        <w:autoSpaceDE w:val="0"/>
        <w:autoSpaceDN w:val="0"/>
        <w:adjustRightInd w:val="0"/>
        <w:jc w:val="both"/>
        <w:rPr>
          <w:i/>
          <w:lang w:val="en-US"/>
        </w:rPr>
      </w:pPr>
    </w:p>
    <w:p w:rsidR="001E0DA8" w:rsidRPr="003C4D9E" w:rsidRDefault="001E0DA8" w:rsidP="006818F6">
      <w:pPr>
        <w:tabs>
          <w:tab w:val="left" w:pos="600"/>
        </w:tabs>
        <w:autoSpaceDE w:val="0"/>
        <w:autoSpaceDN w:val="0"/>
        <w:adjustRightInd w:val="0"/>
        <w:jc w:val="both"/>
        <w:rPr>
          <w:lang w:val="en-US"/>
        </w:rPr>
      </w:pPr>
      <w:r w:rsidRPr="003C4D9E">
        <w:rPr>
          <w:lang w:val="en-US"/>
        </w:rPr>
        <w:t xml:space="preserve">Further to the reforms introduced by </w:t>
      </w:r>
      <w:r w:rsidRPr="003C4D9E">
        <w:rPr>
          <w:i/>
          <w:lang w:val="en-US"/>
        </w:rPr>
        <w:t>Ley 26/2015, de 28 de julio, de modificación del sistema de protección a la infancia y a la adolescencia</w:t>
      </w:r>
      <w:r w:rsidRPr="003C4D9E">
        <w:rPr>
          <w:lang w:val="en-US"/>
        </w:rPr>
        <w:t xml:space="preserve"> [Law 26/2015 of 28 July on the modification of the child and adolescent protection system] the new version of Civil Code Article 172 has provided legal cover for certain activities considered irregular by the Ombudsman Institution prior to the said legal modification.   </w:t>
      </w:r>
    </w:p>
    <w:p w:rsidR="001E0DA8" w:rsidRPr="003C4D9E" w:rsidRDefault="001E0DA8" w:rsidP="006818F6">
      <w:pPr>
        <w:tabs>
          <w:tab w:val="left" w:pos="600"/>
        </w:tabs>
        <w:autoSpaceDE w:val="0"/>
        <w:autoSpaceDN w:val="0"/>
        <w:adjustRightInd w:val="0"/>
        <w:jc w:val="both"/>
        <w:rPr>
          <w:lang w:val="en-US"/>
        </w:rPr>
      </w:pPr>
    </w:p>
    <w:p w:rsidR="001E0DA8" w:rsidRPr="003C4D9E" w:rsidRDefault="001E0DA8" w:rsidP="006818F6">
      <w:pPr>
        <w:tabs>
          <w:tab w:val="left" w:pos="600"/>
        </w:tabs>
        <w:autoSpaceDE w:val="0"/>
        <w:autoSpaceDN w:val="0"/>
        <w:adjustRightInd w:val="0"/>
        <w:jc w:val="both"/>
        <w:rPr>
          <w:lang w:val="en-US"/>
        </w:rPr>
      </w:pPr>
      <w:r w:rsidRPr="003C4D9E">
        <w:rPr>
          <w:lang w:val="en-US"/>
        </w:rPr>
        <w:t>In this respect, Section 5 establishes that protection agencies may cease to provide guardianship for minors who have been abandoned or who are under provisional custody where evidence is provided confirming that the causes for guardianship no longer exist, in addition to their being able to terminate guardianship due to provisions contained in Articles 276 and 277.1 of the Civil Code, when it can be reliably confirmed that a minor has relocated to another country at his or own free will or is located in another autonomous community which has assumed guardianship and where it is therefore not considered necessary to adopt protection measures in accordance with the minor's situation; or where six months have elapsed from the date of the minor's having left the center of protection.</w:t>
      </w:r>
    </w:p>
    <w:p w:rsidR="001E0DA8" w:rsidRPr="003C4D9E" w:rsidRDefault="001E0DA8" w:rsidP="006818F6">
      <w:pPr>
        <w:tabs>
          <w:tab w:val="left" w:pos="600"/>
        </w:tabs>
        <w:autoSpaceDE w:val="0"/>
        <w:autoSpaceDN w:val="0"/>
        <w:adjustRightInd w:val="0"/>
        <w:jc w:val="both"/>
        <w:rPr>
          <w:lang w:val="en-US"/>
        </w:rPr>
      </w:pPr>
    </w:p>
    <w:p w:rsidR="001E0DA8" w:rsidRPr="003C4D9E" w:rsidRDefault="001E0DA8" w:rsidP="006818F6">
      <w:pPr>
        <w:tabs>
          <w:tab w:val="left" w:pos="600"/>
        </w:tabs>
        <w:autoSpaceDE w:val="0"/>
        <w:autoSpaceDN w:val="0"/>
        <w:adjustRightInd w:val="0"/>
        <w:jc w:val="both"/>
        <w:rPr>
          <w:lang w:val="en-US"/>
        </w:rPr>
      </w:pPr>
      <w:r w:rsidRPr="003C4D9E">
        <w:rPr>
          <w:lang w:val="en-US"/>
        </w:rPr>
        <w:t xml:space="preserve">Likewise, delays continue to occur, in some cases lasting many months, as regards the assumption of guardianship on the part of state protection agencies who, moreover, delay residence applications for minor wards without providing justification.   </w:t>
      </w:r>
    </w:p>
    <w:p w:rsidR="001E0DA8" w:rsidRPr="003C4D9E" w:rsidRDefault="001E0DA8" w:rsidP="006818F6">
      <w:pPr>
        <w:tabs>
          <w:tab w:val="left" w:pos="600"/>
        </w:tabs>
        <w:autoSpaceDE w:val="0"/>
        <w:autoSpaceDN w:val="0"/>
        <w:adjustRightInd w:val="0"/>
        <w:jc w:val="both"/>
        <w:rPr>
          <w:lang w:val="en-US"/>
        </w:rPr>
      </w:pPr>
    </w:p>
    <w:p w:rsidR="001E0DA8" w:rsidRPr="003C4D9E" w:rsidRDefault="001E0DA8" w:rsidP="00E275D7">
      <w:pPr>
        <w:tabs>
          <w:tab w:val="left" w:pos="600"/>
        </w:tabs>
        <w:autoSpaceDE w:val="0"/>
        <w:autoSpaceDN w:val="0"/>
        <w:adjustRightInd w:val="0"/>
        <w:jc w:val="both"/>
        <w:rPr>
          <w:lang w:val="en-US"/>
        </w:rPr>
      </w:pPr>
      <w:r w:rsidRPr="003C4D9E">
        <w:rPr>
          <w:lang w:val="en-US"/>
        </w:rPr>
        <w:t>Section 4 of Article 172 introduces the possibility of assuming provisional guardianship of minors for the shortest time possible whilst proceedings are carried out for identification and confirmation of abandonment. The Ombudsman Institution is of the opinion that, once it has been confirmed that a minor is in a state of abandonment, the minor services corresponding to the territory in which he or she has been located assume legal guardianship; as foreseen in the aforementioned Article 172.4, provisional custody is reserved for those cases in which it is necessary to initiate proceedings for identification and confirmation of abandonment, which should be carried out as soon as possible. All necessary measures of protection must be adopted for the duration of provisional custody, including the processing of residence in the case of unaccompanied foreign minors.</w:t>
      </w:r>
    </w:p>
    <w:p w:rsidR="001E0DA8" w:rsidRPr="003C4D9E" w:rsidRDefault="001E0DA8" w:rsidP="006818F6">
      <w:pPr>
        <w:jc w:val="both"/>
        <w:rPr>
          <w:i/>
          <w:lang w:val="en-US"/>
        </w:rPr>
      </w:pPr>
    </w:p>
    <w:p w:rsidR="001E0DA8" w:rsidRPr="003C4D9E" w:rsidRDefault="001E0DA8" w:rsidP="00AC2320">
      <w:pPr>
        <w:pStyle w:val="3"/>
        <w:tabs>
          <w:tab w:val="clear" w:pos="624"/>
          <w:tab w:val="left" w:pos="500"/>
        </w:tabs>
        <w:ind w:hanging="2624"/>
        <w:rPr>
          <w:rFonts w:ascii="Times New Roman" w:hAnsi="Times New Roman"/>
          <w:lang w:val="en-US"/>
        </w:rPr>
      </w:pPr>
      <w:bookmarkStart w:id="81" w:name="_Toc474914294"/>
      <w:bookmarkStart w:id="82" w:name="_Toc475979953"/>
      <w:r w:rsidRPr="003C4D9E">
        <w:rPr>
          <w:rFonts w:ascii="Times New Roman" w:hAnsi="Times New Roman"/>
          <w:lang w:val="en-US"/>
        </w:rPr>
        <w:t>Centers</w:t>
      </w:r>
      <w:bookmarkEnd w:id="81"/>
      <w:bookmarkEnd w:id="82"/>
    </w:p>
    <w:p w:rsidR="001E0DA8" w:rsidRPr="003C4D9E" w:rsidRDefault="001E0DA8" w:rsidP="006818F6">
      <w:pPr>
        <w:jc w:val="both"/>
        <w:rPr>
          <w:i/>
          <w:lang w:val="en-US"/>
        </w:rPr>
      </w:pPr>
    </w:p>
    <w:p w:rsidR="001E0DA8" w:rsidRPr="003C4D9E" w:rsidRDefault="001E0DA8" w:rsidP="006818F6">
      <w:pPr>
        <w:jc w:val="both"/>
        <w:rPr>
          <w:lang w:val="en-US"/>
        </w:rPr>
      </w:pPr>
      <w:r w:rsidRPr="003C4D9E">
        <w:rPr>
          <w:lang w:val="en-US"/>
        </w:rPr>
        <w:t>The conditions mentioned by the Committee on the Rights of the Child in its 2010 final Comments for Spain have seen notable improvement. In the case of Ceuta, there are new facilities which have already been inspected by the Ombudsman Institution. This Institution remains concerned about the situation at the La Purisima center for minors due to a level of occupancy far exceeding the maxim</w:t>
      </w:r>
      <w:r>
        <w:rPr>
          <w:lang w:val="en-US"/>
        </w:rPr>
        <w:t>um; the delay in initiating age assessment</w:t>
      </w:r>
      <w:r w:rsidRPr="003C4D9E">
        <w:rPr>
          <w:lang w:val="en-US"/>
        </w:rPr>
        <w:t xml:space="preserve"> procedures for minors in the case of undocumented minors; the need to improve showers and bathrooms, as well as the adoption of measures for solving the foul odor emanating from the sewage system; the requirement that caregivers and educators not have criminal records; the promotion of projects for young people nearing legal age; the implementation of social intervention programs for minors spending the night on the street in the Ciudadela area for the purpose of redirecting them to the center; the difficulties identified in regular school attendance for minors in terms of segregation from other students and lack of academic qualifications, among other issues</w:t>
      </w:r>
      <w:r w:rsidRPr="003C4D9E">
        <w:rPr>
          <w:rStyle w:val="FootnoteReference"/>
          <w:lang w:val="en-US"/>
        </w:rPr>
        <w:footnoteReference w:id="27"/>
      </w:r>
      <w:r w:rsidRPr="003C4D9E">
        <w:rPr>
          <w:lang w:val="en-US"/>
        </w:rPr>
        <w:t>.</w:t>
      </w:r>
    </w:p>
    <w:p w:rsidR="001E0DA8" w:rsidRPr="003C4D9E" w:rsidRDefault="001E0DA8" w:rsidP="008C050E">
      <w:pPr>
        <w:pStyle w:val="NormalInforme"/>
        <w:rPr>
          <w:rFonts w:ascii="Times New Roman" w:hAnsi="Times New Roman"/>
          <w:b/>
          <w:lang w:val="en-US"/>
        </w:rPr>
      </w:pPr>
    </w:p>
    <w:p w:rsidR="001E0DA8" w:rsidRPr="003C4D9E" w:rsidRDefault="001E0DA8" w:rsidP="00E275D7">
      <w:pPr>
        <w:pStyle w:val="2"/>
        <w:tabs>
          <w:tab w:val="clear" w:pos="624"/>
          <w:tab w:val="clear" w:pos="710"/>
          <w:tab w:val="num" w:pos="500"/>
        </w:tabs>
        <w:ind w:left="500" w:hanging="500"/>
        <w:jc w:val="both"/>
        <w:rPr>
          <w:rFonts w:ascii="Times New Roman" w:hAnsi="Times New Roman"/>
          <w:sz w:val="24"/>
          <w:lang w:val="en-US"/>
        </w:rPr>
      </w:pPr>
      <w:bookmarkStart w:id="83" w:name="_Toc474914295"/>
      <w:bookmarkStart w:id="84" w:name="_Toc475979954"/>
      <w:r w:rsidRPr="003C4D9E">
        <w:rPr>
          <w:rFonts w:ascii="Times New Roman" w:hAnsi="Times New Roman"/>
          <w:sz w:val="24"/>
          <w:lang w:val="en-US"/>
        </w:rPr>
        <w:t>Children deprived of liberty and measures for guaranteeing arrest, detention or imprisonment of a child as last resort only and for shortest possible time; legal assiStance and other assistance adapted for children</w:t>
      </w:r>
      <w:bookmarkEnd w:id="83"/>
      <w:bookmarkEnd w:id="84"/>
    </w:p>
    <w:p w:rsidR="001E0DA8" w:rsidRPr="003C4D9E" w:rsidRDefault="001E0DA8" w:rsidP="008C050E">
      <w:pPr>
        <w:pStyle w:val="NormalInforme"/>
        <w:rPr>
          <w:rFonts w:ascii="Times New Roman" w:hAnsi="Times New Roman"/>
          <w:lang w:val="en-US"/>
        </w:rPr>
      </w:pPr>
    </w:p>
    <w:p w:rsidR="001E0DA8" w:rsidRPr="00876738" w:rsidRDefault="001E0DA8" w:rsidP="001B6808">
      <w:pPr>
        <w:pStyle w:val="NormalInforme"/>
        <w:jc w:val="both"/>
        <w:rPr>
          <w:rFonts w:ascii="Times New Roman" w:hAnsi="Times New Roman"/>
          <w:sz w:val="24"/>
          <w:szCs w:val="24"/>
          <w:lang w:val="en-US"/>
        </w:rPr>
      </w:pPr>
      <w:r w:rsidRPr="00876738">
        <w:rPr>
          <w:rFonts w:ascii="Times New Roman" w:hAnsi="Times New Roman"/>
          <w:sz w:val="24"/>
          <w:szCs w:val="24"/>
          <w:lang w:val="en-US"/>
        </w:rPr>
        <w:t>The Ombudsman Institution is also a National Preventive Mechanism (abbreviated as MNP in Spanish) against Torture as per the Optional Protocol to the United Nations Convention against Torture. In this capacity it conducts visits to places of deprivation of liberty where adolescents over fourteen and under eighteen years of age are serving sentences for actions classified as crimes and legally punishable by detention.</w:t>
      </w:r>
    </w:p>
    <w:p w:rsidR="001E0DA8" w:rsidRPr="00876738" w:rsidRDefault="001E0DA8" w:rsidP="001B6808">
      <w:pPr>
        <w:pStyle w:val="NormalInforme"/>
        <w:jc w:val="both"/>
        <w:rPr>
          <w:rFonts w:ascii="Times New Roman" w:hAnsi="Times New Roman"/>
          <w:b/>
          <w:sz w:val="24"/>
          <w:szCs w:val="24"/>
          <w:lang w:val="en-US"/>
        </w:rPr>
      </w:pPr>
    </w:p>
    <w:p w:rsidR="001E0DA8" w:rsidRPr="00876738" w:rsidRDefault="001E0DA8" w:rsidP="001B6808">
      <w:pPr>
        <w:pStyle w:val="NormalInforme"/>
        <w:jc w:val="both"/>
        <w:rPr>
          <w:rFonts w:ascii="Times New Roman" w:hAnsi="Times New Roman"/>
          <w:sz w:val="24"/>
          <w:szCs w:val="24"/>
          <w:lang w:val="en-US"/>
        </w:rPr>
      </w:pPr>
      <w:r w:rsidRPr="00876738">
        <w:rPr>
          <w:rFonts w:ascii="Times New Roman" w:hAnsi="Times New Roman"/>
          <w:sz w:val="24"/>
          <w:szCs w:val="24"/>
          <w:lang w:val="en-US"/>
        </w:rPr>
        <w:t xml:space="preserve">Detention sentences for minors committing actions classified as crimes are served at specific centers, completely different from prisons as regards concept, facilities and lifestyle. In its role as a National Preventive Mechanism for Torture, the Ombudsman Institution has set standards that these centers must meet and has issued </w:t>
      </w:r>
      <w:r w:rsidRPr="00876738">
        <w:rPr>
          <w:rFonts w:ascii="Times New Roman" w:hAnsi="Times New Roman"/>
          <w:b/>
          <w:sz w:val="24"/>
          <w:szCs w:val="24"/>
          <w:lang w:val="en-US"/>
        </w:rPr>
        <w:t>Recommendations</w:t>
      </w:r>
      <w:r w:rsidRPr="00876738">
        <w:rPr>
          <w:rFonts w:ascii="Times New Roman" w:hAnsi="Times New Roman"/>
          <w:sz w:val="24"/>
          <w:szCs w:val="24"/>
          <w:lang w:val="en-US"/>
        </w:rPr>
        <w:t xml:space="preserve">, many of which have been followed. </w:t>
      </w:r>
    </w:p>
    <w:p w:rsidR="001E0DA8" w:rsidRPr="00876738" w:rsidRDefault="001E0DA8" w:rsidP="001B6808">
      <w:pPr>
        <w:pStyle w:val="NormalInforme"/>
        <w:jc w:val="both"/>
        <w:rPr>
          <w:rFonts w:ascii="Times New Roman" w:hAnsi="Times New Roman"/>
          <w:sz w:val="24"/>
          <w:szCs w:val="24"/>
          <w:lang w:val="en-US"/>
        </w:rPr>
      </w:pPr>
    </w:p>
    <w:p w:rsidR="001E0DA8" w:rsidRPr="00876738" w:rsidRDefault="001E0DA8" w:rsidP="00136B82">
      <w:pPr>
        <w:pStyle w:val="NormalInforme"/>
        <w:jc w:val="both"/>
        <w:rPr>
          <w:rFonts w:ascii="Times New Roman" w:hAnsi="Times New Roman"/>
          <w:sz w:val="24"/>
          <w:szCs w:val="24"/>
          <w:lang w:val="en-US"/>
        </w:rPr>
      </w:pPr>
      <w:r w:rsidRPr="00876738">
        <w:rPr>
          <w:rFonts w:ascii="Times New Roman" w:hAnsi="Times New Roman"/>
          <w:sz w:val="24"/>
          <w:szCs w:val="24"/>
          <w:lang w:val="en-US"/>
        </w:rPr>
        <w:t>Among other relevant aspects, compulsory education is guaranteed, with regulated educational and vocational programs, as well as academic support. All centers have occupational and professional training workshops, although not all qualifications awarded are recognized. Minor inmates have access to sufficient sports and leisure activities.</w:t>
      </w:r>
    </w:p>
    <w:p w:rsidR="001E0DA8" w:rsidRPr="00876738" w:rsidRDefault="001E0DA8" w:rsidP="00136B82">
      <w:pPr>
        <w:pStyle w:val="NormalInforme"/>
        <w:jc w:val="both"/>
        <w:rPr>
          <w:rFonts w:ascii="Times New Roman" w:hAnsi="Times New Roman"/>
          <w:sz w:val="24"/>
          <w:szCs w:val="24"/>
          <w:lang w:val="en-US"/>
        </w:rPr>
      </w:pPr>
    </w:p>
    <w:p w:rsidR="001E0DA8" w:rsidRPr="00876738" w:rsidRDefault="001E0DA8" w:rsidP="00136B82">
      <w:pPr>
        <w:pStyle w:val="NormalInforme"/>
        <w:jc w:val="both"/>
        <w:rPr>
          <w:rFonts w:ascii="Times New Roman" w:hAnsi="Times New Roman"/>
          <w:sz w:val="24"/>
          <w:szCs w:val="24"/>
          <w:lang w:val="en-US"/>
        </w:rPr>
      </w:pPr>
      <w:r w:rsidRPr="00876738">
        <w:rPr>
          <w:rFonts w:ascii="Times New Roman" w:hAnsi="Times New Roman"/>
          <w:sz w:val="24"/>
          <w:szCs w:val="24"/>
          <w:lang w:val="en-US"/>
        </w:rPr>
        <w:t>Minors at these centers generally receive appropriate and sufficient medical care, as well as psychiatric care and psychological services. All centers have a Protocol for Suicide Prevention which is subject to periodic evaluation for effectiveness and with which all personnel at the center are familiar.</w:t>
      </w:r>
    </w:p>
    <w:p w:rsidR="001E0DA8" w:rsidRPr="00876738" w:rsidRDefault="001E0DA8" w:rsidP="00136B82">
      <w:pPr>
        <w:pStyle w:val="NormalInforme"/>
        <w:jc w:val="both"/>
        <w:rPr>
          <w:rFonts w:ascii="Times New Roman" w:hAnsi="Times New Roman"/>
          <w:sz w:val="24"/>
          <w:szCs w:val="24"/>
          <w:lang w:val="en-US"/>
        </w:rPr>
      </w:pPr>
    </w:p>
    <w:p w:rsidR="001E0DA8" w:rsidRPr="00876738" w:rsidRDefault="001E0DA8" w:rsidP="00136B82">
      <w:pPr>
        <w:pStyle w:val="NormalInforme"/>
        <w:jc w:val="both"/>
        <w:rPr>
          <w:rFonts w:ascii="Times New Roman" w:hAnsi="Times New Roman"/>
          <w:sz w:val="24"/>
          <w:szCs w:val="24"/>
          <w:lang w:val="en-US"/>
        </w:rPr>
      </w:pPr>
      <w:r w:rsidRPr="00876738">
        <w:rPr>
          <w:rFonts w:ascii="Times New Roman" w:hAnsi="Times New Roman"/>
          <w:sz w:val="24"/>
          <w:szCs w:val="24"/>
          <w:lang w:val="en-US"/>
        </w:rPr>
        <w:t>The disciplinary regime for minors is designed to guarantee their dignity while under no circumstances depriving them of their right to compulsory education, communication and visits or restricting or denying them of contact with the outside world as a disciplinary measure, as established by the European Committee for the Prevention of Torture and Inhuman or Degrading Treatment or Punishment (CPT) in paragraph 34 of its 9th General Report</w:t>
      </w:r>
      <w:r w:rsidRPr="00876738">
        <w:rPr>
          <w:rStyle w:val="FootnoteReference"/>
          <w:rFonts w:ascii="Times New Roman" w:hAnsi="Times New Roman"/>
          <w:sz w:val="24"/>
          <w:szCs w:val="24"/>
          <w:lang w:val="en-US"/>
        </w:rPr>
        <w:footnoteReference w:id="28"/>
      </w:r>
      <w:r w:rsidRPr="00876738">
        <w:rPr>
          <w:rFonts w:ascii="Times New Roman" w:hAnsi="Times New Roman"/>
          <w:sz w:val="24"/>
          <w:szCs w:val="24"/>
          <w:lang w:val="en-US"/>
        </w:rPr>
        <w:t xml:space="preserve">. The disciplinary file includes the minor's signature or, where applicable, a note indicating that the minor has refused to sign. All centers keep a register of disciplinary cases processed at the same. There are also protocols in place for recording which include the obligation to extract and save images and audio which might reflect any incident involving a minor deprived of liberty. </w:t>
      </w:r>
    </w:p>
    <w:p w:rsidR="001E0DA8" w:rsidRPr="00876738" w:rsidRDefault="001E0DA8" w:rsidP="00136B82">
      <w:pPr>
        <w:pStyle w:val="NormalInforme"/>
        <w:jc w:val="both"/>
        <w:rPr>
          <w:rFonts w:ascii="Times New Roman" w:hAnsi="Times New Roman"/>
          <w:sz w:val="24"/>
          <w:szCs w:val="24"/>
          <w:lang w:val="en-US"/>
        </w:rPr>
      </w:pPr>
    </w:p>
    <w:p w:rsidR="001E0DA8" w:rsidRPr="00876738" w:rsidRDefault="001E0DA8" w:rsidP="00FB0C1F">
      <w:pPr>
        <w:pStyle w:val="NormalInforme"/>
        <w:jc w:val="both"/>
        <w:rPr>
          <w:rFonts w:ascii="Times New Roman" w:hAnsi="Times New Roman"/>
          <w:sz w:val="24"/>
          <w:szCs w:val="24"/>
          <w:lang w:val="en-US"/>
        </w:rPr>
      </w:pPr>
      <w:r w:rsidRPr="00876738">
        <w:rPr>
          <w:rFonts w:ascii="Times New Roman" w:hAnsi="Times New Roman"/>
          <w:sz w:val="24"/>
          <w:szCs w:val="24"/>
          <w:lang w:val="en-US"/>
        </w:rPr>
        <w:t xml:space="preserve">Without prejudice to the above, the following provides an outline of the </w:t>
      </w:r>
      <w:r w:rsidRPr="00876738">
        <w:rPr>
          <w:rFonts w:ascii="Times New Roman" w:hAnsi="Times New Roman"/>
          <w:b/>
          <w:sz w:val="24"/>
          <w:szCs w:val="24"/>
          <w:lang w:val="en-US"/>
        </w:rPr>
        <w:t>guidelines provided by the Ombudsman Institution for youth detention centers whose level of compliance is subject to improvement:</w:t>
      </w:r>
    </w:p>
    <w:p w:rsidR="001E0DA8" w:rsidRPr="003C4D9E" w:rsidRDefault="001E0DA8" w:rsidP="00FB0C1F">
      <w:pPr>
        <w:tabs>
          <w:tab w:val="left" w:pos="-720"/>
        </w:tabs>
        <w:suppressAutoHyphens/>
        <w:jc w:val="both"/>
        <w:rPr>
          <w:b/>
          <w:lang w:val="en-US"/>
        </w:rPr>
      </w:pPr>
      <w:r w:rsidRPr="003C4D9E">
        <w:rPr>
          <w:b/>
          <w:lang w:val="en-US"/>
        </w:rPr>
        <w:tab/>
      </w:r>
    </w:p>
    <w:p w:rsidR="001E0DA8" w:rsidRPr="003C4D9E" w:rsidRDefault="001E0DA8" w:rsidP="00FB0C1F">
      <w:pPr>
        <w:numPr>
          <w:ilvl w:val="0"/>
          <w:numId w:val="43"/>
        </w:numPr>
        <w:tabs>
          <w:tab w:val="left" w:pos="-720"/>
        </w:tabs>
        <w:suppressAutoHyphens/>
        <w:jc w:val="both"/>
        <w:rPr>
          <w:lang w:val="en-US"/>
        </w:rPr>
      </w:pPr>
      <w:r w:rsidRPr="003C4D9E">
        <w:rPr>
          <w:lang w:val="en-US"/>
        </w:rPr>
        <w:t xml:space="preserve">Sentences must be carried out at specific centers close to offenders' places of residence where they may participate in therapeutic programs, during their detention, such as outpatient treatment for drug dependency or psychological treatment for psychological or perception-related abnormalities or disorders. </w:t>
      </w:r>
    </w:p>
    <w:p w:rsidR="001E0DA8" w:rsidRPr="003C4D9E" w:rsidRDefault="001E0DA8" w:rsidP="00FB0C1F">
      <w:pPr>
        <w:tabs>
          <w:tab w:val="left" w:pos="-720"/>
        </w:tabs>
        <w:suppressAutoHyphens/>
        <w:jc w:val="both"/>
        <w:rPr>
          <w:lang w:val="en-US"/>
        </w:rPr>
      </w:pPr>
    </w:p>
    <w:p w:rsidR="001E0DA8" w:rsidRPr="003C4D9E" w:rsidRDefault="001E0DA8" w:rsidP="00FB0C1F">
      <w:pPr>
        <w:tabs>
          <w:tab w:val="left" w:pos="-720"/>
        </w:tabs>
        <w:suppressAutoHyphens/>
        <w:ind w:left="984"/>
        <w:jc w:val="both"/>
        <w:rPr>
          <w:lang w:val="en-US"/>
        </w:rPr>
      </w:pPr>
      <w:r w:rsidRPr="003C4D9E">
        <w:rPr>
          <w:lang w:val="en-US"/>
        </w:rPr>
        <w:t>Certain autonomous communities adhere to the principle of proximity between a center and a minor's place of residence. Such is the case with Andalusia, with at least one center per province. The same does not occur in other autonomous communities such as Castile and Leon, with only one center in Valladolid. Compliance with these guidelines is therefore uneven.</w:t>
      </w:r>
    </w:p>
    <w:p w:rsidR="001E0DA8" w:rsidRPr="003C4D9E" w:rsidRDefault="001E0DA8" w:rsidP="00FB0C1F">
      <w:pPr>
        <w:tabs>
          <w:tab w:val="left" w:pos="-720"/>
        </w:tabs>
        <w:suppressAutoHyphens/>
        <w:jc w:val="both"/>
        <w:rPr>
          <w:b/>
          <w:lang w:val="en-US"/>
        </w:rPr>
      </w:pPr>
    </w:p>
    <w:p w:rsidR="001E0DA8" w:rsidRPr="003C4D9E" w:rsidRDefault="001E0DA8" w:rsidP="00FB0C1F">
      <w:pPr>
        <w:numPr>
          <w:ilvl w:val="0"/>
          <w:numId w:val="43"/>
        </w:numPr>
        <w:tabs>
          <w:tab w:val="left" w:pos="-720"/>
        </w:tabs>
        <w:suppressAutoHyphens/>
        <w:jc w:val="both"/>
        <w:rPr>
          <w:lang w:val="en-US"/>
        </w:rPr>
      </w:pPr>
      <w:r w:rsidRPr="003C4D9E">
        <w:rPr>
          <w:lang w:val="en-US"/>
        </w:rPr>
        <w:t xml:space="preserve">It is considered indispensible that minors are able to submit written complaints and requests to a center's management, legal authorities, Ombudsman Institution or other similar institutions using standard forms and sealed envelopes for the preservation of confidentiality, keeping a copy for themselves as proof and date of delivery. </w:t>
      </w:r>
    </w:p>
    <w:p w:rsidR="001E0DA8" w:rsidRPr="003C4D9E" w:rsidRDefault="001E0DA8" w:rsidP="00FB0C1F">
      <w:pPr>
        <w:tabs>
          <w:tab w:val="left" w:pos="-720"/>
        </w:tabs>
        <w:suppressAutoHyphens/>
        <w:jc w:val="both"/>
        <w:rPr>
          <w:lang w:val="en-US"/>
        </w:rPr>
      </w:pPr>
    </w:p>
    <w:p w:rsidR="001E0DA8" w:rsidRPr="003C4D9E" w:rsidRDefault="001E0DA8" w:rsidP="00FB0C1F">
      <w:pPr>
        <w:tabs>
          <w:tab w:val="left" w:pos="-720"/>
        </w:tabs>
        <w:suppressAutoHyphens/>
        <w:ind w:left="984"/>
        <w:jc w:val="both"/>
        <w:rPr>
          <w:lang w:val="en-US"/>
        </w:rPr>
      </w:pPr>
      <w:r w:rsidRPr="003C4D9E">
        <w:rPr>
          <w:lang w:val="en-US"/>
        </w:rPr>
        <w:t>The guidelines for minors submitting complaints and contacting the authorities in confidentiality have been met. However, there is a generalized absence of detailed, computer-based complaint registers and, moreover, the practice of providing minors with a stamped and dated copy is not followed except in the Autonomous Community of Madrid.</w:t>
      </w:r>
    </w:p>
    <w:p w:rsidR="001E0DA8" w:rsidRPr="003C4D9E" w:rsidRDefault="001E0DA8" w:rsidP="00FB0C1F">
      <w:pPr>
        <w:tabs>
          <w:tab w:val="left" w:pos="-720"/>
        </w:tabs>
        <w:suppressAutoHyphens/>
        <w:jc w:val="both"/>
        <w:rPr>
          <w:lang w:val="en-US"/>
        </w:rPr>
      </w:pPr>
    </w:p>
    <w:p w:rsidR="001E0DA8" w:rsidRPr="003C4D9E" w:rsidRDefault="001E0DA8" w:rsidP="00FB0C1F">
      <w:pPr>
        <w:numPr>
          <w:ilvl w:val="0"/>
          <w:numId w:val="43"/>
        </w:numPr>
        <w:tabs>
          <w:tab w:val="left" w:pos="-720"/>
        </w:tabs>
        <w:suppressAutoHyphens/>
        <w:jc w:val="both"/>
        <w:rPr>
          <w:lang w:val="en-US"/>
        </w:rPr>
      </w:pPr>
      <w:r w:rsidRPr="003C4D9E">
        <w:rPr>
          <w:lang w:val="en-US"/>
        </w:rPr>
        <w:t xml:space="preserve">All centers must provide minors with written information concerning the possibility of filing a </w:t>
      </w:r>
      <w:r w:rsidRPr="003C4D9E">
        <w:rPr>
          <w:i/>
          <w:lang w:val="en-US"/>
        </w:rPr>
        <w:t>habeas corpus</w:t>
      </w:r>
      <w:r w:rsidRPr="003C4D9E">
        <w:rPr>
          <w:b/>
          <w:lang w:val="en-US"/>
        </w:rPr>
        <w:t xml:space="preserve"> </w:t>
      </w:r>
      <w:r w:rsidRPr="003C4D9E">
        <w:rPr>
          <w:lang w:val="en-US"/>
        </w:rPr>
        <w:t xml:space="preserve">petition to ensure that their detention meets legal requirements and respects their fundamental rights. </w:t>
      </w:r>
    </w:p>
    <w:p w:rsidR="001E0DA8" w:rsidRPr="003C4D9E" w:rsidRDefault="001E0DA8" w:rsidP="00FB0C1F">
      <w:pPr>
        <w:tabs>
          <w:tab w:val="left" w:pos="-720"/>
        </w:tabs>
        <w:suppressAutoHyphens/>
        <w:jc w:val="both"/>
        <w:rPr>
          <w:lang w:val="en-US"/>
        </w:rPr>
      </w:pPr>
    </w:p>
    <w:p w:rsidR="001E0DA8" w:rsidRPr="003C4D9E" w:rsidRDefault="001E0DA8" w:rsidP="00FB0C1F">
      <w:pPr>
        <w:tabs>
          <w:tab w:val="left" w:pos="-720"/>
        </w:tabs>
        <w:suppressAutoHyphens/>
        <w:ind w:left="984"/>
        <w:jc w:val="both"/>
        <w:rPr>
          <w:lang w:val="en-US"/>
        </w:rPr>
      </w:pPr>
      <w:r w:rsidRPr="003C4D9E">
        <w:rPr>
          <w:lang w:val="en-US"/>
        </w:rPr>
        <w:t xml:space="preserve">This information is gradually being included along with that which is provided to minors at the time of admission. </w:t>
      </w:r>
    </w:p>
    <w:p w:rsidR="001E0DA8" w:rsidRPr="003C4D9E" w:rsidRDefault="001E0DA8" w:rsidP="00FB0C1F">
      <w:pPr>
        <w:tabs>
          <w:tab w:val="left" w:pos="-720"/>
        </w:tabs>
        <w:suppressAutoHyphens/>
        <w:ind w:left="720"/>
        <w:jc w:val="both"/>
        <w:rPr>
          <w:lang w:val="en-US"/>
        </w:rPr>
      </w:pPr>
    </w:p>
    <w:p w:rsidR="001E0DA8" w:rsidRPr="003C4D9E" w:rsidRDefault="001E0DA8" w:rsidP="00FB0C1F">
      <w:pPr>
        <w:numPr>
          <w:ilvl w:val="0"/>
          <w:numId w:val="43"/>
        </w:numPr>
        <w:tabs>
          <w:tab w:val="left" w:pos="-720"/>
        </w:tabs>
        <w:suppressAutoHyphens/>
        <w:jc w:val="both"/>
        <w:rPr>
          <w:lang w:val="en-US"/>
        </w:rPr>
      </w:pPr>
      <w:r w:rsidRPr="003C4D9E">
        <w:rPr>
          <w:lang w:val="en-US"/>
        </w:rPr>
        <w:t xml:space="preserve">At the time of admission all centers must provide a file containing information on rights, obligations and rules for coexistence, disciplinary system, and so forth, adapted to inmates with respect to their terminology and language; where possible, minors should be encouraged and given ample opportunity to read this information. </w:t>
      </w:r>
    </w:p>
    <w:p w:rsidR="001E0DA8" w:rsidRPr="003C4D9E" w:rsidRDefault="001E0DA8" w:rsidP="00FB0C1F">
      <w:pPr>
        <w:tabs>
          <w:tab w:val="left" w:pos="-720"/>
        </w:tabs>
        <w:suppressAutoHyphens/>
        <w:jc w:val="both"/>
        <w:rPr>
          <w:lang w:val="en-US"/>
        </w:rPr>
      </w:pPr>
    </w:p>
    <w:p w:rsidR="001E0DA8" w:rsidRPr="003C4D9E" w:rsidRDefault="001E0DA8" w:rsidP="00FB0C1F">
      <w:pPr>
        <w:tabs>
          <w:tab w:val="left" w:pos="-720"/>
        </w:tabs>
        <w:suppressAutoHyphens/>
        <w:ind w:left="984"/>
        <w:jc w:val="both"/>
        <w:rPr>
          <w:lang w:val="en-US"/>
        </w:rPr>
      </w:pPr>
      <w:r w:rsidRPr="003C4D9E">
        <w:rPr>
          <w:lang w:val="en-US"/>
        </w:rPr>
        <w:t>After receiving the file, it is kept at the observation center, detention center or shelter (the first place of residence for minors on being admitted) yet minors are not permitted to take it with them and keep it for the entire duration of their stay at the center. The language used must be clear and comprehensible to minors.</w:t>
      </w:r>
    </w:p>
    <w:p w:rsidR="001E0DA8" w:rsidRPr="003C4D9E" w:rsidRDefault="001E0DA8" w:rsidP="00FB0C1F">
      <w:pPr>
        <w:tabs>
          <w:tab w:val="left" w:pos="-720"/>
        </w:tabs>
        <w:suppressAutoHyphens/>
        <w:jc w:val="both"/>
        <w:rPr>
          <w:lang w:val="en-US"/>
        </w:rPr>
      </w:pPr>
    </w:p>
    <w:p w:rsidR="001E0DA8" w:rsidRPr="003C4D9E" w:rsidRDefault="001E0DA8" w:rsidP="004B043E">
      <w:pPr>
        <w:numPr>
          <w:ilvl w:val="0"/>
          <w:numId w:val="43"/>
        </w:numPr>
        <w:tabs>
          <w:tab w:val="left" w:pos="-720"/>
        </w:tabs>
        <w:suppressAutoHyphens/>
        <w:jc w:val="both"/>
        <w:rPr>
          <w:lang w:val="en-US"/>
        </w:rPr>
      </w:pPr>
      <w:r w:rsidRPr="003C4D9E">
        <w:rPr>
          <w:lang w:val="en-US"/>
        </w:rPr>
        <w:t>It has generally been noted that legal aid lawyers do not visit minors during the time they are serving out their sentences. Telephone communication between minors and their lawyers is guaranteed at all centers.</w:t>
      </w:r>
    </w:p>
    <w:p w:rsidR="001E0DA8" w:rsidRPr="003C4D9E" w:rsidRDefault="001E0DA8" w:rsidP="00FB0C1F">
      <w:pPr>
        <w:tabs>
          <w:tab w:val="left" w:pos="-720"/>
        </w:tabs>
        <w:suppressAutoHyphens/>
        <w:jc w:val="both"/>
        <w:rPr>
          <w:b/>
          <w:lang w:val="en-US"/>
        </w:rPr>
      </w:pPr>
    </w:p>
    <w:p w:rsidR="001E0DA8" w:rsidRPr="003C4D9E" w:rsidRDefault="001E0DA8" w:rsidP="00FB0C1F">
      <w:pPr>
        <w:numPr>
          <w:ilvl w:val="0"/>
          <w:numId w:val="43"/>
        </w:numPr>
        <w:tabs>
          <w:tab w:val="left" w:pos="-720"/>
        </w:tabs>
        <w:suppressAutoHyphens/>
        <w:jc w:val="both"/>
        <w:rPr>
          <w:lang w:val="en-US"/>
        </w:rPr>
      </w:pPr>
      <w:r w:rsidRPr="003C4D9E">
        <w:rPr>
          <w:lang w:val="en-US"/>
        </w:rPr>
        <w:t xml:space="preserve">It is essential that the processing of disciplinary cases is perfectly documented and compliant with requirements; that the possibility of a reduction in sentence due to good behavior on the part of the minor is included in writing; and that communication is maintained with the corresponding court and district attorney, as well as with the minor inmate's lawyers. </w:t>
      </w:r>
    </w:p>
    <w:p w:rsidR="001E0DA8" w:rsidRPr="003C4D9E" w:rsidRDefault="001E0DA8" w:rsidP="00FB0C1F">
      <w:pPr>
        <w:tabs>
          <w:tab w:val="left" w:pos="-720"/>
        </w:tabs>
        <w:suppressAutoHyphens/>
        <w:jc w:val="both"/>
        <w:rPr>
          <w:lang w:val="en-US"/>
        </w:rPr>
      </w:pPr>
    </w:p>
    <w:p w:rsidR="001E0DA8" w:rsidRPr="003C4D9E" w:rsidRDefault="001E0DA8" w:rsidP="00FB0C1F">
      <w:pPr>
        <w:tabs>
          <w:tab w:val="left" w:pos="-720"/>
        </w:tabs>
        <w:suppressAutoHyphens/>
        <w:ind w:left="984"/>
        <w:jc w:val="both"/>
        <w:rPr>
          <w:lang w:val="en-US"/>
        </w:rPr>
      </w:pPr>
      <w:r w:rsidRPr="003C4D9E">
        <w:rPr>
          <w:lang w:val="en-US"/>
        </w:rPr>
        <w:t>Processing has proven to be diligent and correctly documented from the opening of a case to its resolution. Nevertheless, in certain cases a lack of immediacy has been observed between the committing of a crime and the opening of a case, and between the sentence and its being served, these delays causing minors to disassociate punishment from reprehensible conduct.</w:t>
      </w:r>
    </w:p>
    <w:p w:rsidR="001E0DA8" w:rsidRPr="003C4D9E" w:rsidRDefault="001E0DA8" w:rsidP="00FB0C1F">
      <w:pPr>
        <w:tabs>
          <w:tab w:val="left" w:pos="-720"/>
        </w:tabs>
        <w:suppressAutoHyphens/>
        <w:jc w:val="both"/>
        <w:rPr>
          <w:b/>
          <w:lang w:val="en-US"/>
        </w:rPr>
      </w:pPr>
    </w:p>
    <w:p w:rsidR="001E0DA8" w:rsidRPr="003C4D9E" w:rsidRDefault="001E0DA8" w:rsidP="00FB0C1F">
      <w:pPr>
        <w:numPr>
          <w:ilvl w:val="0"/>
          <w:numId w:val="43"/>
        </w:numPr>
        <w:tabs>
          <w:tab w:val="left" w:pos="-720"/>
        </w:tabs>
        <w:suppressAutoHyphens/>
        <w:jc w:val="both"/>
        <w:rPr>
          <w:lang w:val="en-US"/>
        </w:rPr>
      </w:pPr>
      <w:r w:rsidRPr="003C4D9E">
        <w:rPr>
          <w:lang w:val="en-US"/>
        </w:rPr>
        <w:t>The punishment of solitary confinement must be applied for therapeutic and safety reasons and for the protection of the minor and other individuals. It must be proportionate to the infraction committed, last for the shortest possible time, be supervised by the center's management and involve daily medical and psychological monitoring, with reports provided on the minor's physical and mental state as well as the suitability of suspending, modifying or maintaining the punishment imposed.</w:t>
      </w:r>
    </w:p>
    <w:p w:rsidR="001E0DA8" w:rsidRPr="003C4D9E" w:rsidRDefault="001E0DA8" w:rsidP="00FB0C1F">
      <w:pPr>
        <w:tabs>
          <w:tab w:val="left" w:pos="-720"/>
        </w:tabs>
        <w:suppressAutoHyphens/>
        <w:jc w:val="both"/>
        <w:rPr>
          <w:lang w:val="en-US"/>
        </w:rPr>
      </w:pPr>
    </w:p>
    <w:p w:rsidR="001E0DA8" w:rsidRPr="003C4D9E" w:rsidRDefault="001E0DA8" w:rsidP="00FB0C1F">
      <w:pPr>
        <w:tabs>
          <w:tab w:val="left" w:pos="-720"/>
        </w:tabs>
        <w:suppressAutoHyphens/>
        <w:ind w:left="984"/>
        <w:jc w:val="both"/>
        <w:rPr>
          <w:lang w:val="en-US"/>
        </w:rPr>
      </w:pPr>
      <w:r w:rsidRPr="003C4D9E">
        <w:rPr>
          <w:lang w:val="en-US"/>
        </w:rPr>
        <w:t>Administration of this type of punishment must be carried out in a minor’s own room or, where applicable, a room having similar features to those of any other room, any rooms not meeting these minimum conditions being discarded.</w:t>
      </w:r>
    </w:p>
    <w:p w:rsidR="001E0DA8" w:rsidRPr="003C4D9E" w:rsidRDefault="001E0DA8" w:rsidP="00FB0C1F">
      <w:pPr>
        <w:tabs>
          <w:tab w:val="left" w:pos="-720"/>
        </w:tabs>
        <w:suppressAutoHyphens/>
        <w:jc w:val="both"/>
        <w:rPr>
          <w:lang w:val="en-US"/>
        </w:rPr>
      </w:pPr>
    </w:p>
    <w:p w:rsidR="001E0DA8" w:rsidRPr="003C4D9E" w:rsidRDefault="001E0DA8" w:rsidP="00FB0C1F">
      <w:pPr>
        <w:tabs>
          <w:tab w:val="left" w:pos="-720"/>
        </w:tabs>
        <w:suppressAutoHyphens/>
        <w:ind w:left="984"/>
        <w:jc w:val="both"/>
        <w:rPr>
          <w:lang w:val="en-US"/>
        </w:rPr>
      </w:pPr>
      <w:r w:rsidRPr="003C4D9E">
        <w:rPr>
          <w:lang w:val="en-US"/>
        </w:rPr>
        <w:t>Likewise</w:t>
      </w:r>
      <w:r w:rsidRPr="00F043AD">
        <w:rPr>
          <w:lang w:val="en-US"/>
        </w:rPr>
        <w:t>,</w:t>
      </w:r>
      <w:r w:rsidRPr="003C4D9E">
        <w:rPr>
          <w:b/>
          <w:lang w:val="en-US"/>
        </w:rPr>
        <w:t xml:space="preserve"> </w:t>
      </w:r>
      <w:r w:rsidRPr="003C4D9E">
        <w:rPr>
          <w:lang w:val="en-US"/>
        </w:rPr>
        <w:t>while serving out their sentence minors will spend a minimum of two hours outside and must attend compulsory school, training or vocational classes. They can also receive visits as foreseen in their individual educational plans.</w:t>
      </w:r>
    </w:p>
    <w:p w:rsidR="001E0DA8" w:rsidRPr="003C4D9E" w:rsidRDefault="001E0DA8" w:rsidP="00FB0C1F">
      <w:pPr>
        <w:tabs>
          <w:tab w:val="left" w:pos="-720"/>
        </w:tabs>
        <w:suppressAutoHyphens/>
        <w:jc w:val="both"/>
        <w:rPr>
          <w:lang w:val="en-US"/>
        </w:rPr>
      </w:pPr>
    </w:p>
    <w:p w:rsidR="001E0DA8" w:rsidRPr="003C4D9E" w:rsidRDefault="001E0DA8" w:rsidP="00FB0C1F">
      <w:pPr>
        <w:tabs>
          <w:tab w:val="left" w:pos="-720"/>
        </w:tabs>
        <w:suppressAutoHyphens/>
        <w:ind w:left="984"/>
        <w:jc w:val="both"/>
        <w:rPr>
          <w:lang w:val="en-US"/>
        </w:rPr>
      </w:pPr>
      <w:r w:rsidRPr="003C4D9E">
        <w:rPr>
          <w:lang w:val="en-US"/>
        </w:rPr>
        <w:t>On occasions when the director agrees to lift a solitary confinement punishment before the end of its term, the director must record this circumstance in the disciplinary file.</w:t>
      </w:r>
    </w:p>
    <w:p w:rsidR="001E0DA8" w:rsidRPr="003C4D9E" w:rsidRDefault="001E0DA8" w:rsidP="00FB0C1F">
      <w:pPr>
        <w:tabs>
          <w:tab w:val="left" w:pos="-720"/>
        </w:tabs>
        <w:suppressAutoHyphens/>
        <w:jc w:val="both"/>
        <w:rPr>
          <w:lang w:val="en-US"/>
        </w:rPr>
      </w:pPr>
    </w:p>
    <w:p w:rsidR="001E0DA8" w:rsidRPr="003C4D9E" w:rsidRDefault="001E0DA8" w:rsidP="00FB0C1F">
      <w:pPr>
        <w:tabs>
          <w:tab w:val="left" w:pos="-720"/>
        </w:tabs>
        <w:suppressAutoHyphens/>
        <w:ind w:left="984"/>
        <w:jc w:val="both"/>
        <w:rPr>
          <w:lang w:val="en-US"/>
        </w:rPr>
      </w:pPr>
      <w:r w:rsidRPr="003C4D9E">
        <w:rPr>
          <w:lang w:val="en-US"/>
        </w:rPr>
        <w:t xml:space="preserve">The use of alternative punishments to solitary confinement must be prioritized, such as denial of weekend or recreational excursions or denial of participation in recreational activities. </w:t>
      </w:r>
    </w:p>
    <w:p w:rsidR="001E0DA8" w:rsidRPr="003C4D9E" w:rsidRDefault="001E0DA8" w:rsidP="00FB0C1F">
      <w:pPr>
        <w:tabs>
          <w:tab w:val="left" w:pos="-720"/>
        </w:tabs>
        <w:suppressAutoHyphens/>
        <w:jc w:val="both"/>
        <w:rPr>
          <w:lang w:val="en-US"/>
        </w:rPr>
      </w:pPr>
    </w:p>
    <w:p w:rsidR="001E0DA8" w:rsidRPr="003C4D9E" w:rsidRDefault="001E0DA8" w:rsidP="00FB0C1F">
      <w:pPr>
        <w:tabs>
          <w:tab w:val="left" w:pos="-720"/>
        </w:tabs>
        <w:suppressAutoHyphens/>
        <w:ind w:left="984"/>
        <w:jc w:val="both"/>
        <w:rPr>
          <w:lang w:val="en-US"/>
        </w:rPr>
      </w:pPr>
      <w:r w:rsidRPr="003C4D9E">
        <w:rPr>
          <w:lang w:val="en-US"/>
        </w:rPr>
        <w:t xml:space="preserve">There are centers where a lack of reporting and monitoring documentation on minors in solitary confinement has been detected, as well as the absence of a protocol for daily medical or psychological visits. Cases have also been identified in which </w:t>
      </w:r>
      <w:r w:rsidRPr="00911EF7">
        <w:rPr>
          <w:lang w:val="en-US"/>
        </w:rPr>
        <w:t>the starting and finishing times for these activities was not correctly documented or the time at which the doctor's visit and examination of the minor by the doctor took place.  Solitary confinement rooms not having the same characteristics as ordinary rooms have been observed</w:t>
      </w:r>
      <w:r w:rsidRPr="003C4D9E">
        <w:rPr>
          <w:lang w:val="en-US"/>
        </w:rPr>
        <w:t>, ceasing to function as such when requested by the Ombudsman Institution. In general, but not always, the two hours of outdoor time are complied with.</w:t>
      </w:r>
    </w:p>
    <w:p w:rsidR="001E0DA8" w:rsidRPr="003C4D9E" w:rsidRDefault="001E0DA8" w:rsidP="00FB0C1F">
      <w:pPr>
        <w:tabs>
          <w:tab w:val="left" w:pos="-720"/>
        </w:tabs>
        <w:suppressAutoHyphens/>
        <w:jc w:val="both"/>
        <w:rPr>
          <w:lang w:val="en-US"/>
        </w:rPr>
      </w:pPr>
    </w:p>
    <w:p w:rsidR="001E0DA8" w:rsidRPr="003C4D9E" w:rsidRDefault="001E0DA8" w:rsidP="00FB0C1F">
      <w:pPr>
        <w:tabs>
          <w:tab w:val="left" w:pos="-720"/>
        </w:tabs>
        <w:suppressAutoHyphens/>
        <w:ind w:left="984"/>
        <w:jc w:val="both"/>
        <w:rPr>
          <w:lang w:val="en-US"/>
        </w:rPr>
      </w:pPr>
      <w:r w:rsidRPr="003C4D9E">
        <w:rPr>
          <w:lang w:val="en-US"/>
        </w:rPr>
        <w:t xml:space="preserve">All centers should have protocols for the use of restraint, such as physical or pharmacological restraint, mechanical restraint and provisional isolation. These protocols must provide a detailed explanation of the procedure to be followed by staff in such cases, the places where restraints should be applied and, where necessary, the intensification of measures for monitoring and supervision of isolated minors. Minors are required to undergo a medical examination and must be accompanied during their time in isolation and as long as their crisis state persists, especially when mechanically immobilized, such a situation requiring permanent supervision, preferably by medical staff. </w:t>
      </w:r>
    </w:p>
    <w:p w:rsidR="001E0DA8" w:rsidRPr="003C4D9E" w:rsidRDefault="001E0DA8" w:rsidP="00FB0C1F">
      <w:pPr>
        <w:tabs>
          <w:tab w:val="left" w:pos="-720"/>
        </w:tabs>
        <w:suppressAutoHyphens/>
        <w:jc w:val="both"/>
        <w:rPr>
          <w:lang w:val="en-US"/>
        </w:rPr>
      </w:pPr>
    </w:p>
    <w:p w:rsidR="001E0DA8" w:rsidRPr="003C4D9E" w:rsidRDefault="001E0DA8" w:rsidP="00A87122">
      <w:pPr>
        <w:tabs>
          <w:tab w:val="left" w:pos="-720"/>
        </w:tabs>
        <w:suppressAutoHyphens/>
        <w:ind w:left="984"/>
        <w:jc w:val="both"/>
        <w:rPr>
          <w:lang w:val="en-US"/>
        </w:rPr>
      </w:pPr>
      <w:r w:rsidRPr="003C4D9E">
        <w:rPr>
          <w:lang w:val="en-US"/>
        </w:rPr>
        <w:t xml:space="preserve">It is therefore essential that centers are in possession of a specific registry of restraint measures where all means of restraint used are recorded - whether these be mechanical, personal or pharmacological restraint, solitary confinement or provisional isolation; the duration of use and the reasons for use, and that this is communicated in their entirety to the </w:t>
      </w:r>
      <w:r w:rsidRPr="003C4D9E">
        <w:rPr>
          <w:i/>
          <w:lang w:val="en-US"/>
        </w:rPr>
        <w:t>Juez y Fiscalía de Menores</w:t>
      </w:r>
      <w:r w:rsidRPr="003C4D9E">
        <w:rPr>
          <w:lang w:val="en-US"/>
        </w:rPr>
        <w:t xml:space="preserve"> [Judge and Public Prosecutor for Minors], regardless of the names used internally for these means of restraint.</w:t>
      </w:r>
    </w:p>
    <w:p w:rsidR="001E0DA8" w:rsidRPr="003C4D9E" w:rsidRDefault="001E0DA8" w:rsidP="00FB0C1F">
      <w:pPr>
        <w:tabs>
          <w:tab w:val="left" w:pos="-720"/>
        </w:tabs>
        <w:suppressAutoHyphens/>
        <w:jc w:val="both"/>
        <w:rPr>
          <w:lang w:val="en-US"/>
        </w:rPr>
      </w:pPr>
    </w:p>
    <w:p w:rsidR="001E0DA8" w:rsidRPr="003C4D9E" w:rsidRDefault="001E0DA8" w:rsidP="004B043E">
      <w:pPr>
        <w:tabs>
          <w:tab w:val="left" w:pos="-720"/>
        </w:tabs>
        <w:suppressAutoHyphens/>
        <w:ind w:left="984"/>
        <w:jc w:val="both"/>
        <w:rPr>
          <w:lang w:val="en-US"/>
        </w:rPr>
      </w:pPr>
      <w:r w:rsidRPr="003C4D9E">
        <w:rPr>
          <w:lang w:val="en-US"/>
        </w:rPr>
        <w:t xml:space="preserve">Certain centers are in possession of these protocols, others are not; the aforementioned registers exist. </w:t>
      </w:r>
    </w:p>
    <w:p w:rsidR="001E0DA8" w:rsidRPr="003C4D9E" w:rsidRDefault="001E0DA8" w:rsidP="004B043E">
      <w:pPr>
        <w:tabs>
          <w:tab w:val="left" w:pos="-720"/>
        </w:tabs>
        <w:suppressAutoHyphens/>
        <w:jc w:val="both"/>
        <w:rPr>
          <w:b/>
          <w:lang w:val="en-US"/>
        </w:rPr>
      </w:pPr>
    </w:p>
    <w:p w:rsidR="001E0DA8" w:rsidRPr="003C4D9E" w:rsidRDefault="001E0DA8" w:rsidP="004B043E">
      <w:pPr>
        <w:numPr>
          <w:ilvl w:val="0"/>
          <w:numId w:val="43"/>
        </w:numPr>
        <w:tabs>
          <w:tab w:val="left" w:pos="-720"/>
        </w:tabs>
        <w:suppressAutoHyphens/>
        <w:jc w:val="both"/>
        <w:rPr>
          <w:lang w:val="en-US"/>
        </w:rPr>
      </w:pPr>
      <w:r w:rsidRPr="003C4D9E">
        <w:rPr>
          <w:lang w:val="en-US"/>
        </w:rPr>
        <w:t>At all centers the implementation of a staged or progressive program is fundamental, where minors progress from one stage to another depending on behavior and fulfillment of objectives, strategies and pathways proposed for each minor and adapted to their educational needs for the duration of the sentence (</w:t>
      </w:r>
      <w:r w:rsidRPr="003C4D9E">
        <w:rPr>
          <w:i/>
          <w:lang w:val="en-US"/>
        </w:rPr>
        <w:t>Programa Individualizado de Ejecución de Medida de Internamiento</w:t>
      </w:r>
      <w:r w:rsidRPr="003C4D9E">
        <w:rPr>
          <w:lang w:val="en-US"/>
        </w:rPr>
        <w:t xml:space="preserve"> [Individualized Program for Sentence Fulfillment]).  </w:t>
      </w:r>
    </w:p>
    <w:p w:rsidR="001E0DA8" w:rsidRPr="003C4D9E" w:rsidRDefault="001E0DA8" w:rsidP="004B043E">
      <w:pPr>
        <w:tabs>
          <w:tab w:val="left" w:pos="-720"/>
        </w:tabs>
        <w:suppressAutoHyphens/>
        <w:ind w:left="624"/>
        <w:jc w:val="both"/>
        <w:rPr>
          <w:lang w:val="en-US"/>
        </w:rPr>
      </w:pPr>
    </w:p>
    <w:p w:rsidR="001E0DA8" w:rsidRPr="003C4D9E" w:rsidRDefault="001E0DA8" w:rsidP="004B043E">
      <w:pPr>
        <w:tabs>
          <w:tab w:val="left" w:pos="-720"/>
        </w:tabs>
        <w:suppressAutoHyphens/>
        <w:ind w:left="984"/>
        <w:jc w:val="both"/>
        <w:rPr>
          <w:lang w:val="en-US"/>
        </w:rPr>
      </w:pPr>
      <w:r w:rsidRPr="003C4D9E">
        <w:rPr>
          <w:lang w:val="en-US"/>
        </w:rPr>
        <w:t>In this context, it would be advisable that progress or regression, as the case may be, is properly defined with the appropriate guarantees so as to prevent arbitrary decisions on the part of personnel. All centers have phased or progressive educational programs wherein regression is also contemplated. The legal and regulatory lack of guidelines for cases of regression is cause for criticism as it signifies the impossibility of appealing decisions and the insufficient guarantees for minors who may find themselves facing long-term restrictive regimes which are pseudo-disciplinary in practice but with no guarantee of being so.</w:t>
      </w:r>
    </w:p>
    <w:p w:rsidR="001E0DA8" w:rsidRPr="003C4D9E" w:rsidRDefault="001E0DA8" w:rsidP="004B043E">
      <w:pPr>
        <w:tabs>
          <w:tab w:val="left" w:pos="-720"/>
        </w:tabs>
        <w:suppressAutoHyphens/>
        <w:ind w:left="624"/>
        <w:jc w:val="both"/>
        <w:rPr>
          <w:i/>
          <w:lang w:val="en-US"/>
        </w:rPr>
      </w:pPr>
    </w:p>
    <w:p w:rsidR="001E0DA8" w:rsidRPr="00F64E48" w:rsidRDefault="001E0DA8" w:rsidP="00F64E48">
      <w:pPr>
        <w:numPr>
          <w:ilvl w:val="0"/>
          <w:numId w:val="43"/>
        </w:numPr>
        <w:tabs>
          <w:tab w:val="left" w:pos="-720"/>
        </w:tabs>
        <w:suppressAutoHyphens/>
        <w:jc w:val="both"/>
        <w:rPr>
          <w:i/>
          <w:lang w:val="en-US"/>
        </w:rPr>
      </w:pPr>
      <w:r w:rsidRPr="00024D15">
        <w:rPr>
          <w:lang w:val="en-US"/>
        </w:rPr>
        <w:t>P</w:t>
      </w:r>
      <w:r w:rsidRPr="003C4D9E">
        <w:rPr>
          <w:lang w:val="en-US"/>
        </w:rPr>
        <w:t>ersonal searches or those performed on minors' clothing, belongings or rooms must conform to legal and regulatory requirements.  For the purpose of preventing any activities which may infringe on the right to personal privacy, the need for systematic searches of clothing, belongings and rooms must be evaluated</w:t>
      </w:r>
      <w:r>
        <w:rPr>
          <w:lang w:val="en-US"/>
        </w:rPr>
        <w:t>.</w:t>
      </w:r>
    </w:p>
    <w:p w:rsidR="001E0DA8" w:rsidRPr="003C4D9E" w:rsidRDefault="001E0DA8" w:rsidP="00F64E48">
      <w:pPr>
        <w:tabs>
          <w:tab w:val="left" w:pos="-720"/>
        </w:tabs>
        <w:suppressAutoHyphens/>
        <w:ind w:left="984"/>
        <w:jc w:val="both"/>
        <w:rPr>
          <w:i/>
          <w:lang w:val="en-US"/>
        </w:rPr>
      </w:pPr>
    </w:p>
    <w:p w:rsidR="001E0DA8" w:rsidRPr="003C4D9E" w:rsidRDefault="001E0DA8" w:rsidP="00FB0C1F">
      <w:pPr>
        <w:numPr>
          <w:ilvl w:val="0"/>
          <w:numId w:val="43"/>
        </w:numPr>
        <w:tabs>
          <w:tab w:val="left" w:pos="-720"/>
        </w:tabs>
        <w:suppressAutoHyphens/>
        <w:jc w:val="both"/>
        <w:rPr>
          <w:lang w:val="en-US"/>
        </w:rPr>
      </w:pPr>
      <w:r w:rsidRPr="003C4D9E">
        <w:rPr>
          <w:lang w:val="en-US"/>
        </w:rPr>
        <w:t>The importance of video monitoring at these centers must be emphasized, covering all common spaces such as dining rooms, workshops, and so forth, as well as all rooms used for provisional isolation and mechanical restraint, since this allows for supervision of how these methods of restraint are being used and for how long they are used.</w:t>
      </w:r>
    </w:p>
    <w:p w:rsidR="001E0DA8" w:rsidRPr="003C4D9E" w:rsidRDefault="001E0DA8" w:rsidP="00FB0C1F">
      <w:pPr>
        <w:tabs>
          <w:tab w:val="left" w:pos="-720"/>
        </w:tabs>
        <w:suppressAutoHyphens/>
        <w:jc w:val="both"/>
        <w:rPr>
          <w:lang w:val="en-US"/>
        </w:rPr>
      </w:pPr>
    </w:p>
    <w:p w:rsidR="001E0DA8" w:rsidRPr="003C4D9E" w:rsidRDefault="001E0DA8" w:rsidP="00FB0C1F">
      <w:pPr>
        <w:tabs>
          <w:tab w:val="left" w:pos="-720"/>
        </w:tabs>
        <w:suppressAutoHyphens/>
        <w:ind w:left="984"/>
        <w:jc w:val="both"/>
        <w:rPr>
          <w:lang w:val="en-US"/>
        </w:rPr>
      </w:pPr>
      <w:r w:rsidRPr="003C4D9E">
        <w:rPr>
          <w:lang w:val="en-US"/>
        </w:rPr>
        <w:t xml:space="preserve">In this context, such coverage must not include the interiors of minors' rooms and family visiting rooms, such that the right to personal and family privacy is guaranteed.  </w:t>
      </w:r>
    </w:p>
    <w:p w:rsidR="001E0DA8" w:rsidRPr="003C4D9E" w:rsidRDefault="001E0DA8" w:rsidP="00FB0C1F">
      <w:pPr>
        <w:tabs>
          <w:tab w:val="left" w:pos="-720"/>
        </w:tabs>
        <w:suppressAutoHyphens/>
        <w:jc w:val="both"/>
        <w:rPr>
          <w:lang w:val="en-US"/>
        </w:rPr>
      </w:pPr>
    </w:p>
    <w:p w:rsidR="001E0DA8" w:rsidRPr="003C4D9E" w:rsidRDefault="001E0DA8" w:rsidP="00FB0C1F">
      <w:pPr>
        <w:tabs>
          <w:tab w:val="left" w:pos="-720"/>
        </w:tabs>
        <w:suppressAutoHyphens/>
        <w:ind w:left="984"/>
        <w:jc w:val="both"/>
        <w:rPr>
          <w:lang w:val="en-US"/>
        </w:rPr>
      </w:pPr>
      <w:r w:rsidRPr="003C4D9E">
        <w:rPr>
          <w:lang w:val="en-US"/>
        </w:rPr>
        <w:t>Disparity abounds: from centers having only perimeter surveillance to others whose systems cover all common areas as well as the inside of solitary confinement rooms and audiovisual recording.</w:t>
      </w:r>
    </w:p>
    <w:p w:rsidR="001E0DA8" w:rsidRPr="003C4D9E" w:rsidRDefault="001E0DA8" w:rsidP="00FB0C1F">
      <w:pPr>
        <w:jc w:val="both"/>
        <w:rPr>
          <w:lang w:val="en-US"/>
        </w:rPr>
      </w:pPr>
    </w:p>
    <w:p w:rsidR="001E0DA8" w:rsidRPr="003C4D9E" w:rsidRDefault="001E0DA8" w:rsidP="00900C4D">
      <w:pPr>
        <w:numPr>
          <w:ilvl w:val="0"/>
          <w:numId w:val="43"/>
        </w:numPr>
        <w:jc w:val="both"/>
        <w:rPr>
          <w:lang w:val="en-US"/>
        </w:rPr>
      </w:pPr>
      <w:r w:rsidRPr="003C4D9E">
        <w:rPr>
          <w:lang w:val="en-US"/>
        </w:rPr>
        <w:t xml:space="preserve">As regards healthcare, there is particular concern that when minors are admitted to a center they do not always undergo a medical examination within the legal time frame of 24 hours, especially on weekends.  </w:t>
      </w:r>
    </w:p>
    <w:p w:rsidR="001E0DA8" w:rsidRPr="003C4D9E" w:rsidRDefault="001E0DA8" w:rsidP="00FB0C1F">
      <w:pPr>
        <w:jc w:val="both"/>
        <w:rPr>
          <w:lang w:val="en-US"/>
        </w:rPr>
      </w:pPr>
    </w:p>
    <w:p w:rsidR="001E0DA8" w:rsidRPr="003C4D9E" w:rsidRDefault="001E0DA8" w:rsidP="00FB0C1F">
      <w:pPr>
        <w:numPr>
          <w:ilvl w:val="0"/>
          <w:numId w:val="43"/>
        </w:numPr>
        <w:jc w:val="both"/>
        <w:rPr>
          <w:lang w:val="en-US"/>
        </w:rPr>
      </w:pPr>
      <w:r w:rsidRPr="003C4D9E">
        <w:rPr>
          <w:lang w:val="en-US"/>
        </w:rPr>
        <w:t>Guarantees must be in place for medical assistance to be provided whilst preserving minors' privacy and, where applicable, for minors to receive appropriate information with respect to the treatment they will be given, such that they may provide informed consent to the same, without being obliged to take medicine or be punished for failing to do so.</w:t>
      </w:r>
    </w:p>
    <w:p w:rsidR="001E0DA8" w:rsidRPr="003C4D9E" w:rsidRDefault="001E0DA8" w:rsidP="00FB0C1F">
      <w:pPr>
        <w:jc w:val="both"/>
        <w:rPr>
          <w:lang w:val="en-US"/>
        </w:rPr>
      </w:pPr>
    </w:p>
    <w:p w:rsidR="001E0DA8" w:rsidRPr="003C4D9E" w:rsidRDefault="001E0DA8" w:rsidP="00FB0C1F">
      <w:pPr>
        <w:ind w:left="984"/>
        <w:jc w:val="both"/>
        <w:rPr>
          <w:lang w:val="en-US"/>
        </w:rPr>
      </w:pPr>
      <w:r w:rsidRPr="003C4D9E">
        <w:rPr>
          <w:lang w:val="en-US"/>
        </w:rPr>
        <w:t xml:space="preserve">The use of forms would likewise be advisable, on which inmates could sign their refusal to take medication under their own responsibility. </w:t>
      </w:r>
    </w:p>
    <w:p w:rsidR="001E0DA8" w:rsidRPr="003C4D9E" w:rsidRDefault="001E0DA8" w:rsidP="00FB0C1F">
      <w:pPr>
        <w:jc w:val="both"/>
        <w:rPr>
          <w:lang w:val="en-US"/>
        </w:rPr>
      </w:pPr>
    </w:p>
    <w:p w:rsidR="001E0DA8" w:rsidRPr="003C4D9E" w:rsidRDefault="001E0DA8" w:rsidP="00FB0C1F">
      <w:pPr>
        <w:ind w:left="984"/>
        <w:jc w:val="both"/>
        <w:rPr>
          <w:lang w:val="en-US"/>
        </w:rPr>
      </w:pPr>
      <w:r w:rsidRPr="003C4D9E">
        <w:rPr>
          <w:lang w:val="en-US"/>
        </w:rPr>
        <w:t xml:space="preserve">In </w:t>
      </w:r>
      <w:r>
        <w:rPr>
          <w:lang w:val="en-US"/>
        </w:rPr>
        <w:t>several</w:t>
      </w:r>
      <w:r w:rsidRPr="003C4D9E">
        <w:rPr>
          <w:lang w:val="en-US"/>
        </w:rPr>
        <w:t xml:space="preserve"> case</w:t>
      </w:r>
      <w:r>
        <w:rPr>
          <w:lang w:val="en-US"/>
        </w:rPr>
        <w:t>s</w:t>
      </w:r>
      <w:r w:rsidRPr="003C4D9E">
        <w:rPr>
          <w:lang w:val="en-US"/>
        </w:rPr>
        <w:t xml:space="preserve"> it was discovered that a medical examination had been performed in the presence of a social worker at the center, without the minor having been asked. Informed consent for 14 and 15 year olds is provided by their legal representative. From 16 years of age, minors may refuse to give consent; in such case a judge is notified, without prejudice to assistance being provided in the event of life-threatening emergency. </w:t>
      </w:r>
    </w:p>
    <w:p w:rsidR="001E0DA8" w:rsidRPr="003C4D9E" w:rsidRDefault="001E0DA8" w:rsidP="00FB0C1F">
      <w:pPr>
        <w:jc w:val="both"/>
        <w:rPr>
          <w:lang w:val="en-US"/>
        </w:rPr>
      </w:pPr>
    </w:p>
    <w:p w:rsidR="001E0DA8" w:rsidRPr="003C4D9E" w:rsidRDefault="001E0DA8" w:rsidP="00FB0C1F">
      <w:pPr>
        <w:numPr>
          <w:ilvl w:val="0"/>
          <w:numId w:val="43"/>
        </w:numPr>
        <w:jc w:val="both"/>
        <w:rPr>
          <w:i/>
          <w:lang w:val="en-US"/>
        </w:rPr>
      </w:pPr>
      <w:r w:rsidRPr="003C4D9E">
        <w:rPr>
          <w:lang w:val="en-US"/>
        </w:rPr>
        <w:t>There is concern over therapeutic detention measures for minors.  Centers have units of this type, which must provide specialized educational services or specific treatment for minors suffering from psychiatric disorders, dependence on alcohol, drugs or psychotropic substances, or serious reality disorders.</w:t>
      </w:r>
    </w:p>
    <w:p w:rsidR="001E0DA8" w:rsidRPr="003C4D9E" w:rsidRDefault="001E0DA8" w:rsidP="00FB0C1F">
      <w:pPr>
        <w:jc w:val="both"/>
        <w:rPr>
          <w:lang w:val="en-US"/>
        </w:rPr>
      </w:pPr>
    </w:p>
    <w:p w:rsidR="001E0DA8" w:rsidRPr="003C4D9E" w:rsidRDefault="001E0DA8" w:rsidP="00FB0C1F">
      <w:pPr>
        <w:numPr>
          <w:ilvl w:val="0"/>
          <w:numId w:val="43"/>
        </w:numPr>
        <w:jc w:val="both"/>
        <w:rPr>
          <w:lang w:val="en-US"/>
        </w:rPr>
      </w:pPr>
      <w:r w:rsidRPr="003C4D9E">
        <w:rPr>
          <w:bCs/>
          <w:lang w:val="en-US"/>
        </w:rPr>
        <w:t xml:space="preserve">Injury report forms must be used in accordance with the Ombudsman Institution's </w:t>
      </w:r>
      <w:r>
        <w:rPr>
          <w:b/>
          <w:bCs/>
          <w:lang w:val="en-US"/>
        </w:rPr>
        <w:t>R</w:t>
      </w:r>
      <w:r w:rsidRPr="003C4D9E">
        <w:rPr>
          <w:b/>
          <w:bCs/>
          <w:lang w:val="en-US"/>
        </w:rPr>
        <w:t>ecommendations</w:t>
      </w:r>
      <w:r w:rsidRPr="003C4D9E">
        <w:rPr>
          <w:bCs/>
          <w:lang w:val="en-US"/>
        </w:rPr>
        <w:t xml:space="preserve"> as </w:t>
      </w:r>
      <w:r w:rsidRPr="003C4D9E">
        <w:rPr>
          <w:lang w:val="en-US"/>
        </w:rPr>
        <w:t xml:space="preserve">included in the NPM </w:t>
      </w:r>
      <w:r>
        <w:rPr>
          <w:lang w:val="en-US"/>
        </w:rPr>
        <w:t>S</w:t>
      </w:r>
      <w:r w:rsidRPr="003C4D9E">
        <w:rPr>
          <w:lang w:val="en-US"/>
        </w:rPr>
        <w:t xml:space="preserve">tudy </w:t>
      </w:r>
      <w:r w:rsidRPr="003C4D9E">
        <w:rPr>
          <w:i/>
          <w:lang w:val="en-US"/>
        </w:rPr>
        <w:t xml:space="preserve">Los partes de lesiones de las personas privadas de libertad </w:t>
      </w:r>
      <w:r>
        <w:rPr>
          <w:i/>
          <w:lang w:val="en-US"/>
        </w:rPr>
        <w:t>[Injury reports</w:t>
      </w:r>
      <w:r w:rsidRPr="003C4D9E">
        <w:rPr>
          <w:i/>
          <w:lang w:val="en-US"/>
        </w:rPr>
        <w:t xml:space="preserve"> for persons deprived of liberty]</w:t>
      </w:r>
      <w:r w:rsidRPr="003C4D9E">
        <w:rPr>
          <w:rStyle w:val="FootnoteReference"/>
          <w:i/>
          <w:lang w:val="en-US"/>
        </w:rPr>
        <w:footnoteReference w:id="29"/>
      </w:r>
      <w:r w:rsidRPr="003C4D9E">
        <w:rPr>
          <w:i/>
          <w:lang w:val="en-US"/>
        </w:rPr>
        <w:t xml:space="preserve">. </w:t>
      </w:r>
      <w:r w:rsidRPr="003C4D9E">
        <w:rPr>
          <w:lang w:val="en-US"/>
        </w:rPr>
        <w:t xml:space="preserve">Moreover, when a person who has been injured as a result of an aggression is treated by medical services, these forms must be filled out and sent to the legal authorities as indicated in the Study.  </w:t>
      </w:r>
    </w:p>
    <w:p w:rsidR="001E0DA8" w:rsidRPr="003C4D9E" w:rsidRDefault="001E0DA8" w:rsidP="00FB0C1F">
      <w:pPr>
        <w:jc w:val="both"/>
        <w:rPr>
          <w:lang w:val="en-US"/>
        </w:rPr>
      </w:pPr>
    </w:p>
    <w:p w:rsidR="001E0DA8" w:rsidRPr="003C4D9E" w:rsidRDefault="001E0DA8" w:rsidP="00FB0C1F">
      <w:pPr>
        <w:ind w:left="984"/>
        <w:jc w:val="both"/>
        <w:rPr>
          <w:i/>
          <w:lang w:val="en-US"/>
        </w:rPr>
      </w:pPr>
      <w:r w:rsidRPr="003C4D9E">
        <w:rPr>
          <w:lang w:val="en-US"/>
        </w:rPr>
        <w:t>The injury report form has not been adapted to that requested by the Ombudsman Institution. Many doctors submit the injury report to the center director instead of directly to the legal authorities</w:t>
      </w:r>
      <w:r w:rsidRPr="003C4D9E">
        <w:rPr>
          <w:i/>
          <w:lang w:val="en-US"/>
        </w:rPr>
        <w:t xml:space="preserve">. </w:t>
      </w:r>
    </w:p>
    <w:p w:rsidR="001E0DA8" w:rsidRPr="003C4D9E" w:rsidRDefault="001E0DA8" w:rsidP="00FB0C1F">
      <w:pPr>
        <w:jc w:val="both"/>
        <w:rPr>
          <w:lang w:val="en-US"/>
        </w:rPr>
      </w:pPr>
    </w:p>
    <w:p w:rsidR="001E0DA8" w:rsidRPr="003C4D9E" w:rsidRDefault="001E0DA8" w:rsidP="00D64F5D">
      <w:pPr>
        <w:numPr>
          <w:ilvl w:val="0"/>
          <w:numId w:val="43"/>
        </w:numPr>
        <w:jc w:val="both"/>
        <w:rPr>
          <w:bCs/>
          <w:lang w:val="en-US"/>
        </w:rPr>
      </w:pPr>
      <w:r w:rsidRPr="003C4D9E">
        <w:rPr>
          <w:bCs/>
          <w:lang w:val="en-US"/>
        </w:rPr>
        <w:t>The role of a tutor for minor inmates is also considered necessary, as well as the availability of a sufficient number of tutors. Centers generally have tutors, yet sometimes the tutor assigned to each minor is rotated among the center's social workers, which is not desirable</w:t>
      </w:r>
      <w:r w:rsidRPr="003C4D9E">
        <w:rPr>
          <w:bCs/>
          <w:i/>
          <w:lang w:val="en-US"/>
        </w:rPr>
        <w:t>.</w:t>
      </w:r>
    </w:p>
    <w:p w:rsidR="001E0DA8" w:rsidRPr="003C4D9E" w:rsidRDefault="001E0DA8" w:rsidP="00FB0C1F">
      <w:pPr>
        <w:jc w:val="both"/>
        <w:rPr>
          <w:lang w:val="en-US"/>
        </w:rPr>
      </w:pPr>
    </w:p>
    <w:p w:rsidR="001E0DA8" w:rsidRPr="003C4D9E" w:rsidRDefault="001E0DA8" w:rsidP="00FB0C1F">
      <w:pPr>
        <w:numPr>
          <w:ilvl w:val="0"/>
          <w:numId w:val="43"/>
        </w:numPr>
        <w:jc w:val="both"/>
        <w:rPr>
          <w:bCs/>
          <w:lang w:val="en-US"/>
        </w:rPr>
      </w:pPr>
      <w:r w:rsidRPr="003C4D9E">
        <w:rPr>
          <w:bCs/>
          <w:lang w:val="en-US"/>
        </w:rPr>
        <w:t>Residential resources must be made available, facilitating the task of reintegration once minors over 18 years old leave centers and are unable to return to their homes. These resources generally do not exist</w:t>
      </w:r>
      <w:r w:rsidRPr="003C4D9E">
        <w:rPr>
          <w:bCs/>
          <w:i/>
          <w:lang w:val="en-US"/>
        </w:rPr>
        <w:t>.</w:t>
      </w:r>
    </w:p>
    <w:p w:rsidR="001E0DA8" w:rsidRPr="003C4D9E" w:rsidRDefault="001E0DA8" w:rsidP="00FB0C1F">
      <w:pPr>
        <w:jc w:val="both"/>
        <w:rPr>
          <w:bCs/>
          <w:lang w:val="en-US"/>
        </w:rPr>
      </w:pPr>
    </w:p>
    <w:p w:rsidR="001E0DA8" w:rsidRPr="003C4D9E" w:rsidRDefault="001E0DA8" w:rsidP="00FB0C1F">
      <w:pPr>
        <w:numPr>
          <w:ilvl w:val="0"/>
          <w:numId w:val="43"/>
        </w:numPr>
        <w:jc w:val="both"/>
        <w:rPr>
          <w:lang w:val="en-US"/>
        </w:rPr>
      </w:pPr>
      <w:r w:rsidRPr="003C4D9E">
        <w:rPr>
          <w:bCs/>
          <w:lang w:val="en-US"/>
        </w:rPr>
        <w:t>All centers should have a centralized system for the mechanical opening of bedroom doors, as well as intercoms or illuminated systems of ring calls inside the same, so that minors are able to communicate with staff in the event of a situation requiring their immediate assistance. The availability of these installations varies widely according to each center.</w:t>
      </w:r>
    </w:p>
    <w:p w:rsidR="001E0DA8" w:rsidRPr="003C4D9E" w:rsidRDefault="001E0DA8" w:rsidP="00FB0C1F">
      <w:pPr>
        <w:jc w:val="both"/>
        <w:rPr>
          <w:lang w:val="en-US"/>
        </w:rPr>
      </w:pPr>
    </w:p>
    <w:p w:rsidR="001E0DA8" w:rsidRPr="003C4D9E" w:rsidRDefault="001E0DA8" w:rsidP="00FB0C1F">
      <w:pPr>
        <w:numPr>
          <w:ilvl w:val="0"/>
          <w:numId w:val="43"/>
        </w:numPr>
        <w:jc w:val="both"/>
        <w:rPr>
          <w:bCs/>
          <w:lang w:val="en-US"/>
        </w:rPr>
      </w:pPr>
      <w:r w:rsidRPr="003C4D9E">
        <w:rPr>
          <w:bCs/>
          <w:lang w:val="en-US"/>
        </w:rPr>
        <w:t xml:space="preserve">Existing fire protection measures should be improved, with all establishments equipped with smoke detectors (including inside bedrooms), alarm switches, extinguishers, emergency exit doors and an emergency exit plan. </w:t>
      </w:r>
    </w:p>
    <w:p w:rsidR="001E0DA8" w:rsidRPr="003C4D9E" w:rsidRDefault="001E0DA8" w:rsidP="00FB0C1F">
      <w:pPr>
        <w:jc w:val="both"/>
        <w:rPr>
          <w:bCs/>
          <w:lang w:val="en-US"/>
        </w:rPr>
      </w:pPr>
    </w:p>
    <w:p w:rsidR="001E0DA8" w:rsidRPr="003C4D9E" w:rsidRDefault="001E0DA8" w:rsidP="00FB0C1F">
      <w:pPr>
        <w:ind w:left="984"/>
        <w:jc w:val="both"/>
        <w:rPr>
          <w:bCs/>
          <w:lang w:val="en-US"/>
        </w:rPr>
      </w:pPr>
      <w:r w:rsidRPr="003C4D9E">
        <w:rPr>
          <w:bCs/>
          <w:lang w:val="en-US"/>
        </w:rPr>
        <w:t>This is complied with at all centers, yet not all have smoke detectors in all bedrooms.</w:t>
      </w:r>
    </w:p>
    <w:p w:rsidR="001E0DA8" w:rsidRPr="003C4D9E" w:rsidRDefault="001E0DA8" w:rsidP="00FB0C1F">
      <w:pPr>
        <w:ind w:left="984"/>
        <w:jc w:val="both"/>
        <w:rPr>
          <w:bCs/>
          <w:lang w:val="en-US"/>
        </w:rPr>
      </w:pPr>
    </w:p>
    <w:p w:rsidR="001E0DA8" w:rsidRPr="003C4D9E" w:rsidRDefault="001E0DA8" w:rsidP="00AB3F7D">
      <w:pPr>
        <w:pStyle w:val="1"/>
        <w:rPr>
          <w:rFonts w:ascii="Times New Roman" w:hAnsi="Times New Roman"/>
          <w:sz w:val="24"/>
          <w:lang w:val="en-US"/>
        </w:rPr>
      </w:pPr>
      <w:r w:rsidRPr="003C4D9E">
        <w:rPr>
          <w:lang w:val="en-US"/>
        </w:rPr>
        <w:br w:type="page"/>
      </w:r>
      <w:bookmarkStart w:id="85" w:name="_Toc474914296"/>
      <w:bookmarkStart w:id="86" w:name="_Toc475979955"/>
      <w:r w:rsidRPr="003C4D9E">
        <w:rPr>
          <w:rFonts w:ascii="Times New Roman" w:hAnsi="Times New Roman"/>
          <w:sz w:val="24"/>
          <w:lang w:val="en-US"/>
        </w:rPr>
        <w:t>ANNEX: DOCUMENTATION AND LEGISLATION USED</w:t>
      </w:r>
      <w:bookmarkEnd w:id="85"/>
      <w:bookmarkEnd w:id="86"/>
    </w:p>
    <w:p w:rsidR="001E0DA8" w:rsidRPr="003C4D9E" w:rsidRDefault="001E0DA8" w:rsidP="005A0348">
      <w:pPr>
        <w:pStyle w:val="1"/>
        <w:numPr>
          <w:ilvl w:val="0"/>
          <w:numId w:val="0"/>
        </w:numPr>
        <w:rPr>
          <w:rFonts w:ascii="Times New Roman" w:hAnsi="Times New Roman"/>
          <w:sz w:val="24"/>
          <w:lang w:val="en-US"/>
        </w:rPr>
      </w:pPr>
    </w:p>
    <w:p w:rsidR="001E0DA8" w:rsidRPr="003C4D9E" w:rsidRDefault="001E0DA8" w:rsidP="005A0348">
      <w:pPr>
        <w:pStyle w:val="1"/>
        <w:numPr>
          <w:ilvl w:val="0"/>
          <w:numId w:val="0"/>
        </w:numPr>
        <w:rPr>
          <w:rFonts w:ascii="Times New Roman" w:hAnsi="Times New Roman"/>
          <w:sz w:val="24"/>
          <w:lang w:val="en-US"/>
        </w:rPr>
      </w:pPr>
      <w:bookmarkStart w:id="87" w:name="_Toc349454433"/>
      <w:bookmarkStart w:id="88" w:name="_Toc475958626"/>
      <w:bookmarkStart w:id="89" w:name="_Toc475965645"/>
      <w:bookmarkStart w:id="90" w:name="_Toc475979956"/>
      <w:bookmarkStart w:id="91" w:name="_Toc474499370"/>
      <w:bookmarkStart w:id="92" w:name="_Toc474885609"/>
      <w:bookmarkStart w:id="93" w:name="_Toc474914297"/>
      <w:r w:rsidRPr="003C4D9E">
        <w:rPr>
          <w:rFonts w:ascii="Times New Roman" w:hAnsi="Times New Roman"/>
          <w:sz w:val="24"/>
          <w:lang w:val="en-US"/>
        </w:rPr>
        <w:t>Legislation</w:t>
      </w:r>
      <w:bookmarkEnd w:id="87"/>
      <w:bookmarkEnd w:id="88"/>
      <w:bookmarkEnd w:id="89"/>
      <w:bookmarkEnd w:id="90"/>
      <w:r w:rsidRPr="003C4D9E">
        <w:rPr>
          <w:rFonts w:ascii="Times New Roman" w:hAnsi="Times New Roman"/>
          <w:sz w:val="24"/>
          <w:lang w:val="en-US"/>
        </w:rPr>
        <w:t xml:space="preserve"> </w:t>
      </w:r>
      <w:bookmarkEnd w:id="91"/>
      <w:bookmarkEnd w:id="92"/>
      <w:bookmarkEnd w:id="93"/>
    </w:p>
    <w:p w:rsidR="001E0DA8" w:rsidRPr="003C4D9E" w:rsidRDefault="001E0DA8" w:rsidP="005A0348">
      <w:pPr>
        <w:pStyle w:val="EndnoteText"/>
        <w:rPr>
          <w:rFonts w:ascii="Times New Roman" w:hAnsi="Times New Roman"/>
          <w:sz w:val="24"/>
          <w:szCs w:val="24"/>
          <w:lang w:val="en-US"/>
        </w:rPr>
      </w:pPr>
    </w:p>
    <w:p w:rsidR="001E0DA8" w:rsidRPr="003C4D9E" w:rsidRDefault="001E0DA8" w:rsidP="005A0348">
      <w:pPr>
        <w:pStyle w:val="EndnoteText"/>
        <w:rPr>
          <w:rFonts w:ascii="Times New Roman" w:hAnsi="Times New Roman"/>
          <w:sz w:val="24"/>
          <w:szCs w:val="24"/>
          <w:lang w:val="en-US"/>
        </w:rPr>
      </w:pPr>
      <w:r w:rsidRPr="003C4D9E">
        <w:rPr>
          <w:rFonts w:ascii="Times New Roman" w:hAnsi="Times New Roman"/>
          <w:sz w:val="24"/>
          <w:szCs w:val="24"/>
          <w:lang w:val="en-US"/>
        </w:rPr>
        <w:t xml:space="preserve">-  Constitución española </w:t>
      </w:r>
      <w:r>
        <w:rPr>
          <w:rFonts w:ascii="Times New Roman" w:hAnsi="Times New Roman"/>
          <w:sz w:val="24"/>
          <w:szCs w:val="24"/>
          <w:lang w:val="en-US"/>
        </w:rPr>
        <w:t>[Spanish Constitution]</w:t>
      </w:r>
    </w:p>
    <w:p w:rsidR="001E0DA8" w:rsidRPr="003C4D9E" w:rsidRDefault="001E0DA8" w:rsidP="005A0348">
      <w:pPr>
        <w:pStyle w:val="EndnoteText"/>
        <w:rPr>
          <w:rFonts w:ascii="Times New Roman" w:hAnsi="Times New Roman"/>
          <w:sz w:val="24"/>
          <w:szCs w:val="24"/>
          <w:lang w:val="en-US"/>
        </w:rPr>
      </w:pPr>
      <w:hyperlink r:id="rId14" w:history="1">
        <w:r w:rsidRPr="003C4D9E">
          <w:rPr>
            <w:rStyle w:val="Hyperlink"/>
            <w:rFonts w:ascii="Times New Roman" w:hAnsi="Times New Roman"/>
            <w:sz w:val="24"/>
            <w:szCs w:val="24"/>
            <w:lang w:val="en-US"/>
          </w:rPr>
          <w:t>https://www.boe.es/diario_boe/txt.php?id=BOE-A-1978-31229</w:t>
        </w:r>
      </w:hyperlink>
    </w:p>
    <w:p w:rsidR="001E0DA8" w:rsidRPr="003C4D9E" w:rsidRDefault="001E0DA8" w:rsidP="005A0348">
      <w:pPr>
        <w:pStyle w:val="EndnoteText"/>
        <w:rPr>
          <w:rFonts w:ascii="Times New Roman" w:hAnsi="Times New Roman"/>
          <w:sz w:val="24"/>
          <w:szCs w:val="24"/>
          <w:lang w:val="en-US"/>
        </w:rPr>
      </w:pPr>
    </w:p>
    <w:p w:rsidR="001E0DA8" w:rsidRPr="00876738" w:rsidRDefault="001E0DA8" w:rsidP="005C5DE1">
      <w:pPr>
        <w:pStyle w:val="EndnoteText"/>
        <w:jc w:val="both"/>
        <w:rPr>
          <w:lang w:val="es-ES"/>
        </w:rPr>
      </w:pPr>
      <w:r w:rsidRPr="00876738">
        <w:rPr>
          <w:rFonts w:ascii="Times New Roman" w:hAnsi="Times New Roman"/>
          <w:sz w:val="24"/>
          <w:szCs w:val="24"/>
          <w:lang w:val="es-ES"/>
        </w:rPr>
        <w:t>- Ley Orgánica 3/1981, de 6 de abril, del Defensor del Pueblo [Organic Law 3/1981 on the</w:t>
      </w:r>
      <w:r w:rsidRPr="00876738">
        <w:rPr>
          <w:lang w:val="es-ES"/>
        </w:rPr>
        <w:t xml:space="preserve"> </w:t>
      </w:r>
      <w:r w:rsidRPr="00876738">
        <w:rPr>
          <w:rFonts w:ascii="Times New Roman" w:hAnsi="Times New Roman"/>
          <w:sz w:val="24"/>
          <w:szCs w:val="24"/>
          <w:lang w:val="es-ES"/>
        </w:rPr>
        <w:t>Ombudsman Institution]</w:t>
      </w:r>
      <w:r w:rsidRPr="00876738">
        <w:rPr>
          <w:lang w:val="es-ES"/>
        </w:rPr>
        <w:t xml:space="preserve"> </w:t>
      </w:r>
    </w:p>
    <w:p w:rsidR="001E0DA8" w:rsidRPr="00876738" w:rsidRDefault="001E0DA8" w:rsidP="005C5DE1">
      <w:pPr>
        <w:pStyle w:val="EndnoteText"/>
        <w:jc w:val="both"/>
        <w:rPr>
          <w:rFonts w:ascii="Times New Roman" w:hAnsi="Times New Roman"/>
          <w:sz w:val="24"/>
          <w:szCs w:val="24"/>
          <w:lang w:val="es-ES"/>
        </w:rPr>
      </w:pPr>
      <w:hyperlink r:id="rId15" w:history="1">
        <w:r w:rsidRPr="00876738">
          <w:rPr>
            <w:rStyle w:val="Hyperlink"/>
            <w:rFonts w:ascii="Times New Roman" w:hAnsi="Times New Roman"/>
            <w:sz w:val="24"/>
            <w:szCs w:val="24"/>
            <w:lang w:val="es-ES"/>
          </w:rPr>
          <w:t>https://www.boe.es/buscar/doc.php?id=BOE-A-1981-10325</w:t>
        </w:r>
      </w:hyperlink>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Ley Orgánica 8/2015, de 22 de julio, de modificación del sistema de protección a la infancia y a la adolescencia [Organic Law 8/2015 of 22 July on the modification of the child and adolescent protection system]</w:t>
      </w:r>
    </w:p>
    <w:p w:rsidR="001E0DA8" w:rsidRPr="00876738" w:rsidRDefault="001E0DA8" w:rsidP="005C5DE1">
      <w:pPr>
        <w:pStyle w:val="EndnoteText"/>
        <w:jc w:val="both"/>
        <w:rPr>
          <w:rFonts w:ascii="Times New Roman" w:hAnsi="Times New Roman"/>
          <w:sz w:val="24"/>
          <w:szCs w:val="24"/>
          <w:lang w:val="es-ES"/>
        </w:rPr>
      </w:pPr>
      <w:hyperlink r:id="rId16" w:history="1">
        <w:r w:rsidRPr="00876738">
          <w:rPr>
            <w:rStyle w:val="Hyperlink"/>
            <w:rFonts w:ascii="Times New Roman" w:hAnsi="Times New Roman"/>
            <w:sz w:val="24"/>
            <w:szCs w:val="24"/>
            <w:lang w:val="es-ES"/>
          </w:rPr>
          <w:t>https://www.boe.es/diario_boe/txt.php?id=BOE-A-2015-8222</w:t>
        </w:r>
      </w:hyperlink>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Ley 26/2015, de 28 de julio, de modificación del sistema de protección a la infancia y a la adolescencia [Law 26/2015 of 28 July on the modification of the child and adolescent protection system]</w:t>
      </w:r>
    </w:p>
    <w:p w:rsidR="001E0DA8" w:rsidRPr="00876738" w:rsidRDefault="001E0DA8" w:rsidP="005C5DE1">
      <w:pPr>
        <w:pStyle w:val="EndnoteText"/>
        <w:jc w:val="both"/>
        <w:rPr>
          <w:rFonts w:ascii="Times New Roman" w:hAnsi="Times New Roman"/>
          <w:sz w:val="24"/>
          <w:szCs w:val="24"/>
          <w:lang w:val="es-ES"/>
        </w:rPr>
      </w:pPr>
      <w:hyperlink r:id="rId17" w:history="1">
        <w:r w:rsidRPr="00876738">
          <w:rPr>
            <w:rStyle w:val="Hyperlink"/>
            <w:rFonts w:ascii="Times New Roman" w:hAnsi="Times New Roman"/>
            <w:sz w:val="24"/>
            <w:szCs w:val="24"/>
            <w:lang w:val="es-ES"/>
          </w:rPr>
          <w:t>https://www.boe.es/diario_boe/txt.php?id=BOE-A-2015-8470</w:t>
        </w:r>
      </w:hyperlink>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Texto consolidado de la Ley Orgánica 1/1996, de 15 de enero, </w:t>
      </w:r>
      <w:r w:rsidRPr="00876738">
        <w:rPr>
          <w:rFonts w:ascii="Times New Roman" w:hAnsi="Times New Roman"/>
          <w:color w:val="000000"/>
          <w:sz w:val="24"/>
          <w:szCs w:val="24"/>
          <w:shd w:val="clear" w:color="auto" w:fill="F8F8F8"/>
          <w:lang w:val="es-ES"/>
        </w:rPr>
        <w:t xml:space="preserve">de Protección Jurídica del Menor, de modificación parcial del Código Civil y de la Ley de Enjuiciamiento </w:t>
      </w:r>
      <w:r w:rsidRPr="00876738">
        <w:rPr>
          <w:rFonts w:ascii="Times New Roman" w:hAnsi="Times New Roman"/>
          <w:sz w:val="24"/>
          <w:szCs w:val="24"/>
          <w:lang w:val="es-ES"/>
        </w:rPr>
        <w:t>Civil [Consolidated version of Organic Law 1/1996 of 15 January, on the Legal Protection of Minors, partial modification of the Civil Code and the Law of Civil Procedure]</w:t>
      </w:r>
    </w:p>
    <w:p w:rsidR="001E0DA8" w:rsidRPr="00876738" w:rsidRDefault="001E0DA8" w:rsidP="005A0348">
      <w:pPr>
        <w:pStyle w:val="EndnoteText"/>
        <w:rPr>
          <w:rFonts w:ascii="Times New Roman" w:hAnsi="Times New Roman"/>
          <w:sz w:val="24"/>
          <w:szCs w:val="24"/>
          <w:lang w:val="es-ES"/>
        </w:rPr>
      </w:pPr>
      <w:hyperlink r:id="rId18" w:history="1">
        <w:r w:rsidRPr="00876738">
          <w:rPr>
            <w:rStyle w:val="Hyperlink"/>
            <w:rFonts w:ascii="Times New Roman" w:hAnsi="Times New Roman"/>
            <w:sz w:val="24"/>
            <w:szCs w:val="24"/>
            <w:lang w:val="es-ES"/>
          </w:rPr>
          <w:t>https://www.boe.es/buscar/act.php?id=BOE-A-1996-1069</w:t>
        </w:r>
      </w:hyperlink>
    </w:p>
    <w:p w:rsidR="001E0DA8" w:rsidRPr="00876738" w:rsidRDefault="001E0DA8" w:rsidP="005A0348">
      <w:pPr>
        <w:pStyle w:val="EndnoteText"/>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Ley 4/2015, de 27 de abril, del Estatuto de la víctima del delito [Law 4/2015 of 27 April on</w:t>
      </w:r>
      <w:r w:rsidRPr="00876738">
        <w:rPr>
          <w:lang w:val="es-ES"/>
        </w:rPr>
        <w:t xml:space="preserve"> </w:t>
      </w:r>
      <w:r w:rsidRPr="00876738">
        <w:rPr>
          <w:rFonts w:ascii="Times New Roman" w:hAnsi="Times New Roman"/>
          <w:sz w:val="24"/>
          <w:szCs w:val="24"/>
          <w:lang w:val="es-ES"/>
        </w:rPr>
        <w:t>the Statute on Crime Victims]</w:t>
      </w:r>
    </w:p>
    <w:p w:rsidR="001E0DA8" w:rsidRPr="00876738" w:rsidRDefault="001E0DA8" w:rsidP="005C5DE1">
      <w:pPr>
        <w:pStyle w:val="EndnoteText"/>
        <w:jc w:val="both"/>
        <w:rPr>
          <w:rFonts w:ascii="Times New Roman" w:hAnsi="Times New Roman"/>
          <w:sz w:val="24"/>
          <w:szCs w:val="24"/>
          <w:lang w:val="es-ES"/>
        </w:rPr>
      </w:pPr>
      <w:hyperlink r:id="rId19" w:history="1">
        <w:r w:rsidRPr="00876738">
          <w:rPr>
            <w:rStyle w:val="Hyperlink"/>
            <w:rFonts w:ascii="Times New Roman" w:hAnsi="Times New Roman"/>
            <w:sz w:val="24"/>
            <w:szCs w:val="24"/>
            <w:lang w:val="es-ES"/>
          </w:rPr>
          <w:t>https://www.boe.es/diario_boe/txt.php?id=BOE-A-2015-4606</w:t>
        </w:r>
      </w:hyperlink>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Ley 7/2010, de 31 de marzo, General de la Comunicación Audiovisual [Law 7/2010 of 31 March, General Law on Audiovisual Communication]</w:t>
      </w:r>
    </w:p>
    <w:p w:rsidR="001E0DA8" w:rsidRPr="00876738" w:rsidRDefault="001E0DA8" w:rsidP="005C5DE1">
      <w:pPr>
        <w:pStyle w:val="EndnoteText"/>
        <w:jc w:val="both"/>
        <w:rPr>
          <w:rFonts w:ascii="Times New Roman" w:hAnsi="Times New Roman"/>
          <w:sz w:val="24"/>
          <w:szCs w:val="24"/>
          <w:lang w:val="es-ES"/>
        </w:rPr>
      </w:pPr>
      <w:r w:rsidRPr="00876738">
        <w:rPr>
          <w:lang w:val="es-ES"/>
        </w:rPr>
        <w:t xml:space="preserve"> </w:t>
      </w:r>
      <w:hyperlink r:id="rId20" w:history="1">
        <w:r w:rsidRPr="00876738">
          <w:rPr>
            <w:rStyle w:val="Hyperlink"/>
            <w:rFonts w:ascii="Times New Roman" w:hAnsi="Times New Roman"/>
            <w:sz w:val="24"/>
            <w:szCs w:val="24"/>
            <w:lang w:val="es-ES"/>
          </w:rPr>
          <w:t>https://www.boe.es/buscar/act.php?id=BOE-A-2010-5292</w:t>
        </w:r>
      </w:hyperlink>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Ley 3/2013, de 4 de junio, de creación de la Comisión Nacional de los Mercados y la Competencia [Law 3/2013 of 4 June for the creation of the National Commission of Markets and Competition] </w:t>
      </w:r>
    </w:p>
    <w:p w:rsidR="001E0DA8" w:rsidRPr="00876738" w:rsidRDefault="001E0DA8" w:rsidP="005C5DE1">
      <w:pPr>
        <w:pStyle w:val="EndnoteText"/>
        <w:jc w:val="both"/>
        <w:rPr>
          <w:rFonts w:ascii="Times New Roman" w:hAnsi="Times New Roman"/>
          <w:sz w:val="24"/>
          <w:szCs w:val="24"/>
          <w:lang w:val="es-ES"/>
        </w:rPr>
      </w:pPr>
      <w:hyperlink r:id="rId21" w:history="1">
        <w:r w:rsidRPr="00876738">
          <w:rPr>
            <w:rStyle w:val="Hyperlink"/>
            <w:rFonts w:ascii="Times New Roman" w:hAnsi="Times New Roman"/>
            <w:sz w:val="24"/>
            <w:szCs w:val="24"/>
            <w:lang w:val="es-ES"/>
          </w:rPr>
          <w:t>https://www.boe.es/diario_boe/txt.php?id=BOE-A-2013-5940</w:t>
        </w:r>
      </w:hyperlink>
    </w:p>
    <w:p w:rsidR="001E0DA8" w:rsidRPr="00876738" w:rsidRDefault="001E0DA8" w:rsidP="005A0348">
      <w:pPr>
        <w:pStyle w:val="EndnoteText"/>
        <w:rPr>
          <w:rFonts w:ascii="Times New Roman" w:hAnsi="Times New Roman"/>
          <w:sz w:val="24"/>
          <w:szCs w:val="24"/>
          <w:lang w:val="es-ES"/>
        </w:rPr>
      </w:pPr>
    </w:p>
    <w:p w:rsidR="001E0DA8" w:rsidRPr="00876738" w:rsidRDefault="001E0DA8" w:rsidP="005A0348">
      <w:pPr>
        <w:pStyle w:val="EndnoteText"/>
        <w:rPr>
          <w:color w:val="0000FF"/>
          <w:lang w:val="es-ES"/>
        </w:rPr>
      </w:pPr>
      <w:r w:rsidRPr="00876738">
        <w:rPr>
          <w:rFonts w:ascii="Times New Roman" w:hAnsi="Times New Roman"/>
          <w:sz w:val="24"/>
          <w:szCs w:val="24"/>
          <w:lang w:val="es-ES"/>
        </w:rPr>
        <w:t>-  Ley 40/2003, de 18 de noviembre, de protección a las familias numerosas [Law 40/2003 of 18 November on protection for large families]</w:t>
      </w:r>
      <w:r w:rsidRPr="00876738">
        <w:rPr>
          <w:lang w:val="es-ES"/>
        </w:rPr>
        <w:t xml:space="preserve"> </w:t>
      </w:r>
      <w:hyperlink r:id="rId22" w:history="1">
        <w:r w:rsidRPr="00876738">
          <w:rPr>
            <w:rStyle w:val="Hyperlink"/>
            <w:rFonts w:ascii="Times New Roman" w:hAnsi="Times New Roman"/>
            <w:sz w:val="24"/>
            <w:szCs w:val="24"/>
            <w:lang w:val="es-ES"/>
          </w:rPr>
          <w:t>http://www.boe.es/buscar/doc.php?id=BOE-A-2003-21052</w:t>
        </w:r>
      </w:hyperlink>
    </w:p>
    <w:p w:rsidR="001E0DA8" w:rsidRPr="00876738" w:rsidRDefault="001E0DA8" w:rsidP="005A0348">
      <w:pPr>
        <w:pStyle w:val="EndnoteText"/>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Texto Refundido de la Ley General de derechos de las personas con discapacidad y de su inclusión social, aprobado por el Real Decreto Legislativo 1/2013, de 29 de noviembre [Consolidated Version of the General Law on rights for persons with disabilities and their social inclusion, approved by Royal Decree 1/2013 of 29 November]</w:t>
      </w:r>
    </w:p>
    <w:p w:rsidR="001E0DA8" w:rsidRPr="00876738" w:rsidRDefault="001E0DA8" w:rsidP="005C5DE1">
      <w:pPr>
        <w:pStyle w:val="EndnoteText"/>
        <w:jc w:val="both"/>
        <w:rPr>
          <w:rFonts w:ascii="Times New Roman" w:hAnsi="Times New Roman"/>
          <w:sz w:val="24"/>
          <w:szCs w:val="24"/>
          <w:lang w:val="es-ES"/>
        </w:rPr>
      </w:pPr>
      <w:hyperlink r:id="rId23" w:history="1">
        <w:r w:rsidRPr="00876738">
          <w:rPr>
            <w:rStyle w:val="Hyperlink"/>
            <w:rFonts w:ascii="Times New Roman" w:hAnsi="Times New Roman"/>
            <w:sz w:val="24"/>
            <w:szCs w:val="24"/>
            <w:lang w:val="es-ES"/>
          </w:rPr>
          <w:t>https://www.boe.es/diario_boe/txt.php?id=BOE-A-2013-12632</w:t>
        </w:r>
      </w:hyperlink>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Ley 25/2015, de 28 de julio, de mecanismo de segunda oportunidad, reducción de la carga financiera y otras medidas de orden social [Law 25/2015 of 28 July on the procedure for a second chance easing of the financial burden and other measures of social order]</w:t>
      </w:r>
    </w:p>
    <w:p w:rsidR="001E0DA8" w:rsidRPr="00876738" w:rsidRDefault="001E0DA8" w:rsidP="005C5DE1">
      <w:pPr>
        <w:pStyle w:val="EndnoteText"/>
        <w:jc w:val="both"/>
        <w:rPr>
          <w:color w:val="0000FF"/>
          <w:lang w:val="es-ES"/>
        </w:rPr>
      </w:pPr>
      <w:r w:rsidRPr="00876738">
        <w:rPr>
          <w:lang w:val="es-ES"/>
        </w:rPr>
        <w:t xml:space="preserve"> </w:t>
      </w:r>
      <w:hyperlink r:id="rId24" w:history="1">
        <w:r w:rsidRPr="00876738">
          <w:rPr>
            <w:rStyle w:val="Hyperlink"/>
            <w:rFonts w:ascii="Times New Roman" w:hAnsi="Times New Roman"/>
            <w:sz w:val="24"/>
            <w:szCs w:val="24"/>
            <w:lang w:val="es-ES"/>
          </w:rPr>
          <w:t>https://www.boe.es/buscar/act.php?id=BOE-A-2015-8469</w:t>
        </w:r>
      </w:hyperlink>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Ley 1/2013, de 14 de mayo, de medidas para reforzar la protección a los deudores hipotecarios [Law 1/2013, of 14 May, on measures to strengthen protection of mortgage debtors]</w:t>
      </w:r>
    </w:p>
    <w:p w:rsidR="001E0DA8" w:rsidRPr="00876738" w:rsidRDefault="001E0DA8" w:rsidP="005C5DE1">
      <w:pPr>
        <w:pStyle w:val="EndnoteText"/>
        <w:jc w:val="both"/>
        <w:rPr>
          <w:rFonts w:ascii="Times New Roman" w:hAnsi="Times New Roman"/>
          <w:sz w:val="24"/>
          <w:szCs w:val="24"/>
          <w:lang w:val="es-ES"/>
        </w:rPr>
      </w:pPr>
      <w:hyperlink r:id="rId25" w:history="1">
        <w:r w:rsidRPr="00876738">
          <w:rPr>
            <w:rStyle w:val="Hyperlink"/>
            <w:rFonts w:ascii="Times New Roman" w:hAnsi="Times New Roman"/>
            <w:sz w:val="24"/>
            <w:szCs w:val="24"/>
            <w:lang w:val="es-ES"/>
          </w:rPr>
          <w:t>https://www.boe.es/buscar/act.php?id=BOE-A-2013-5073</w:t>
        </w:r>
      </w:hyperlink>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Real Decreto-ley 6/2012, de 9 de marzo, de medidas urgentes de protección de deudores hipotecarios sin recursos [Royal Decree-law 6/2012, of 9 March, on urgent measures of protection of mortgage debtors without resources]</w:t>
      </w:r>
    </w:p>
    <w:p w:rsidR="001E0DA8" w:rsidRPr="00876738" w:rsidRDefault="001E0DA8" w:rsidP="005C5DE1">
      <w:pPr>
        <w:pStyle w:val="EndnoteText"/>
        <w:jc w:val="both"/>
        <w:rPr>
          <w:rFonts w:ascii="Times New Roman" w:hAnsi="Times New Roman"/>
          <w:sz w:val="24"/>
          <w:szCs w:val="24"/>
          <w:lang w:val="es-ES"/>
        </w:rPr>
      </w:pPr>
      <w:hyperlink r:id="rId26" w:history="1">
        <w:r w:rsidRPr="00876738">
          <w:rPr>
            <w:rStyle w:val="Hyperlink"/>
            <w:rFonts w:ascii="Times New Roman" w:hAnsi="Times New Roman"/>
            <w:sz w:val="24"/>
            <w:szCs w:val="24"/>
            <w:lang w:val="es-ES"/>
          </w:rPr>
          <w:t>https://www.boe.es/buscar/act.php?id=BOE-A-2012-3394</w:t>
        </w:r>
      </w:hyperlink>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Real Decreto-ley 27/2012, de 15 de noviembre, de medidas urgentes para reforzar la protección de los deudores hipotecarios [Royal Decree-law 27/2012, of 15 November, on urgent measures to strengthen protection of mortgage debtors]</w:t>
      </w:r>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Ley 24/2013, de 26 de diciembre, del Sector Eléctrico [Law 24/2013, of 26 December, on the Electricity Industry]</w:t>
      </w: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w:t>
      </w:r>
      <w:hyperlink r:id="rId27" w:history="1">
        <w:r w:rsidRPr="00876738">
          <w:rPr>
            <w:rStyle w:val="Hyperlink"/>
            <w:rFonts w:ascii="Times New Roman" w:hAnsi="Times New Roman"/>
            <w:sz w:val="24"/>
            <w:szCs w:val="24"/>
            <w:lang w:val="es-ES"/>
          </w:rPr>
          <w:t>https://www.boe.es/diario_boe/txt.php?id=BOE-A-2013-13645</w:t>
        </w:r>
      </w:hyperlink>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Ley 38/1992, de 28 de diciembre, de Impuestos Especiales [Law 38/1992, of 28 December, on Special Taxes]</w:t>
      </w: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w:t>
      </w:r>
      <w:hyperlink r:id="rId28" w:history="1">
        <w:r w:rsidRPr="00876738">
          <w:rPr>
            <w:rStyle w:val="Hyperlink"/>
            <w:rFonts w:ascii="Times New Roman" w:hAnsi="Times New Roman"/>
            <w:sz w:val="24"/>
            <w:szCs w:val="24"/>
            <w:lang w:val="es-ES"/>
          </w:rPr>
          <w:t>https://www.boe.es/diario_boe/txt.php?id=BOE-A-1992-28741</w:t>
        </w:r>
      </w:hyperlink>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Ley 37/1992, de 28 de diciembre, del Impuesto sobre el Valor Añadido [Law 37/1992, of 28 December, on Value Added Tax]</w:t>
      </w: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w:t>
      </w:r>
      <w:hyperlink r:id="rId29" w:history="1">
        <w:r w:rsidRPr="00876738">
          <w:rPr>
            <w:rStyle w:val="Hyperlink"/>
            <w:rFonts w:ascii="Times New Roman" w:hAnsi="Times New Roman"/>
            <w:sz w:val="24"/>
            <w:szCs w:val="24"/>
            <w:lang w:val="es-ES"/>
          </w:rPr>
          <w:t>https://www.boe.es/buscar/act.php?id=BOE-A-1992-28740</w:t>
        </w:r>
      </w:hyperlink>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Ley Orgánica 2/2006, de 3 de mayo, de Educación [Organic Law 2/2006, of 3 May, on Education]  </w:t>
      </w:r>
    </w:p>
    <w:p w:rsidR="001E0DA8" w:rsidRPr="006211B9" w:rsidRDefault="001E0DA8" w:rsidP="005C5DE1">
      <w:pPr>
        <w:pStyle w:val="EndnoteText"/>
        <w:jc w:val="both"/>
        <w:rPr>
          <w:rStyle w:val="Hyperlink"/>
        </w:rPr>
      </w:pPr>
      <w:hyperlink r:id="rId30" w:history="1">
        <w:r w:rsidRPr="00876738">
          <w:rPr>
            <w:rStyle w:val="Hyperlink"/>
            <w:rFonts w:ascii="Times New Roman" w:hAnsi="Times New Roman"/>
            <w:sz w:val="24"/>
            <w:szCs w:val="24"/>
            <w:lang w:val="es-ES"/>
          </w:rPr>
          <w:t>https://www.boe.es/buscar/act.php?id=BOE-A-2006-7899</w:t>
        </w:r>
      </w:hyperlink>
    </w:p>
    <w:p w:rsidR="001E0DA8" w:rsidRPr="00876738" w:rsidRDefault="001E0DA8" w:rsidP="005C5DE1">
      <w:pPr>
        <w:pStyle w:val="EndnoteText"/>
        <w:jc w:val="both"/>
        <w:rPr>
          <w:rFonts w:ascii="Times New Roman" w:hAnsi="Times New Roman"/>
          <w:color w:val="000000"/>
          <w:sz w:val="24"/>
          <w:szCs w:val="24"/>
          <w:shd w:val="clear" w:color="auto" w:fill="F8F8F8"/>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Ley Orgánica 8/2013, de 9 de diciembre, para la mejora de la calidad educativa [Organic Law 8/2013, of 9 December, for improving quality of education] </w:t>
      </w:r>
    </w:p>
    <w:p w:rsidR="001E0DA8" w:rsidRPr="00876738" w:rsidRDefault="001E0DA8" w:rsidP="005C5DE1">
      <w:pPr>
        <w:pStyle w:val="EndnoteText"/>
        <w:jc w:val="both"/>
        <w:rPr>
          <w:lang w:val="es-ES"/>
        </w:rPr>
      </w:pPr>
      <w:hyperlink r:id="rId31" w:history="1">
        <w:r w:rsidRPr="006211B9">
          <w:rPr>
            <w:rStyle w:val="Hyperlink"/>
            <w:rFonts w:ascii="Times New Roman" w:hAnsi="Times New Roman"/>
            <w:sz w:val="24"/>
            <w:szCs w:val="24"/>
          </w:rPr>
          <w:t>https://www.boe.es/diario_boe/txt.php?id=BOE-A-2013-12886</w:t>
        </w:r>
      </w:hyperlink>
    </w:p>
    <w:p w:rsidR="001E0DA8" w:rsidRPr="00876738" w:rsidRDefault="001E0DA8" w:rsidP="005C5DE1">
      <w:pPr>
        <w:pStyle w:val="EndnoteText"/>
        <w:jc w:val="both"/>
        <w:rPr>
          <w:rFonts w:ascii="Times New Roman" w:hAnsi="Times New Roman"/>
          <w:color w:val="000000"/>
          <w:sz w:val="24"/>
          <w:szCs w:val="24"/>
          <w:shd w:val="clear" w:color="auto" w:fill="F8F8F8"/>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Ley Orgánica 4/2000, de 11 de enero sobre derechos y libertades de los extranjeros en España y su integración social [Organic Law 4/2000, of 11 January, on rights and freedoms of foreigners in Spain and their social integration]</w:t>
      </w:r>
    </w:p>
    <w:p w:rsidR="001E0DA8" w:rsidRPr="00876738" w:rsidRDefault="001E0DA8" w:rsidP="005C5DE1">
      <w:pPr>
        <w:pStyle w:val="EndnoteText"/>
        <w:jc w:val="both"/>
        <w:rPr>
          <w:rFonts w:ascii="Times New Roman" w:hAnsi="Times New Roman"/>
          <w:sz w:val="24"/>
          <w:szCs w:val="24"/>
          <w:lang w:val="es-ES"/>
        </w:rPr>
      </w:pPr>
      <w:hyperlink r:id="rId32" w:history="1">
        <w:r w:rsidRPr="00876738">
          <w:rPr>
            <w:rStyle w:val="Hyperlink"/>
            <w:rFonts w:ascii="Times New Roman" w:hAnsi="Times New Roman"/>
            <w:sz w:val="24"/>
            <w:szCs w:val="24"/>
            <w:lang w:val="es-ES"/>
          </w:rPr>
          <w:t>https://www.boe.es/buscar/act.php?id=BOE-A-2000-544</w:t>
        </w:r>
      </w:hyperlink>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Ley 12/2009, de 30 de octubre, reguladora del derecho de asilo y de la protección subsidiaria, [Law 12/2009, of 30 October, regulating the right to asylum and subsidiary protection] </w:t>
      </w:r>
    </w:p>
    <w:p w:rsidR="001E0DA8" w:rsidRPr="00876738" w:rsidRDefault="001E0DA8" w:rsidP="005C5DE1">
      <w:pPr>
        <w:pStyle w:val="EndnoteText"/>
        <w:jc w:val="both"/>
        <w:rPr>
          <w:rFonts w:ascii="Times New Roman" w:hAnsi="Times New Roman"/>
          <w:sz w:val="24"/>
          <w:szCs w:val="24"/>
          <w:lang w:val="es-ES"/>
        </w:rPr>
      </w:pPr>
      <w:hyperlink r:id="rId33" w:history="1">
        <w:r w:rsidRPr="00876738">
          <w:rPr>
            <w:rStyle w:val="Hyperlink"/>
            <w:rFonts w:ascii="Times New Roman" w:hAnsi="Times New Roman"/>
            <w:sz w:val="24"/>
            <w:szCs w:val="24"/>
            <w:lang w:val="es-ES"/>
          </w:rPr>
          <w:t>https://www.boe.es/buscar/act.php?id=BOE-A-2009-17242</w:t>
        </w:r>
      </w:hyperlink>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Ley 4/2015, de 30 de marzo, de protección de la seguridad ciudadana [Law 4/2015, of 30 March, on the protection of citizen safety]</w:t>
      </w:r>
    </w:p>
    <w:p w:rsidR="001E0DA8" w:rsidRPr="00876738" w:rsidRDefault="001E0DA8" w:rsidP="005C5DE1">
      <w:pPr>
        <w:pStyle w:val="EndnoteText"/>
        <w:jc w:val="both"/>
        <w:rPr>
          <w:rFonts w:ascii="Times New Roman" w:hAnsi="Times New Roman"/>
          <w:sz w:val="24"/>
          <w:szCs w:val="24"/>
          <w:lang w:val="es-ES"/>
        </w:rPr>
      </w:pPr>
      <w:hyperlink r:id="rId34" w:history="1">
        <w:r w:rsidRPr="00876738">
          <w:rPr>
            <w:rStyle w:val="Hyperlink"/>
            <w:rFonts w:ascii="Times New Roman" w:hAnsi="Times New Roman"/>
            <w:sz w:val="24"/>
            <w:szCs w:val="24"/>
            <w:lang w:val="es-ES"/>
          </w:rPr>
          <w:t>https://www.boe.es/diario_boe/txt.php?id=BOE-A-2015-3442</w:t>
        </w:r>
      </w:hyperlink>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1"/>
        <w:numPr>
          <w:ilvl w:val="0"/>
          <w:numId w:val="0"/>
        </w:numPr>
        <w:jc w:val="both"/>
        <w:rPr>
          <w:rFonts w:ascii="Times New Roman" w:hAnsi="Times New Roman"/>
          <w:sz w:val="24"/>
          <w:lang w:val="es-ES"/>
        </w:rPr>
      </w:pPr>
      <w:bookmarkStart w:id="94" w:name="_Toc349454434"/>
      <w:bookmarkStart w:id="95" w:name="_Toc475958627"/>
      <w:bookmarkStart w:id="96" w:name="_Toc475965646"/>
      <w:bookmarkStart w:id="97" w:name="_Toc475979957"/>
      <w:bookmarkStart w:id="98" w:name="_Toc474493773"/>
      <w:bookmarkStart w:id="99" w:name="_Toc474499371"/>
      <w:bookmarkStart w:id="100" w:name="_Toc474885610"/>
      <w:bookmarkStart w:id="101" w:name="_Toc474914298"/>
      <w:r w:rsidRPr="00876738">
        <w:rPr>
          <w:rFonts w:ascii="Times New Roman" w:hAnsi="Times New Roman"/>
          <w:sz w:val="24"/>
          <w:lang w:val="es-ES"/>
        </w:rPr>
        <w:t>reports and documents</w:t>
      </w:r>
      <w:bookmarkEnd w:id="94"/>
      <w:bookmarkEnd w:id="95"/>
      <w:bookmarkEnd w:id="96"/>
      <w:bookmarkEnd w:id="97"/>
      <w:r w:rsidRPr="00876738">
        <w:rPr>
          <w:rFonts w:ascii="Times New Roman" w:hAnsi="Times New Roman"/>
          <w:sz w:val="24"/>
          <w:lang w:val="es-ES"/>
        </w:rPr>
        <w:t xml:space="preserve"> </w:t>
      </w:r>
      <w:bookmarkEnd w:id="98"/>
      <w:bookmarkEnd w:id="99"/>
      <w:bookmarkEnd w:id="100"/>
      <w:bookmarkEnd w:id="101"/>
    </w:p>
    <w:p w:rsidR="001E0DA8" w:rsidRPr="00876738" w:rsidRDefault="001E0DA8" w:rsidP="005C5DE1">
      <w:pPr>
        <w:pStyle w:val="EndnoteText"/>
        <w:jc w:val="both"/>
        <w:rPr>
          <w:rFonts w:ascii="Times New Roman" w:hAnsi="Times New Roman"/>
          <w:sz w:val="24"/>
          <w:szCs w:val="24"/>
          <w:lang w:val="es-ES"/>
        </w:rPr>
      </w:pPr>
    </w:p>
    <w:p w:rsidR="001E0DA8" w:rsidRPr="00876738" w:rsidRDefault="001E0DA8" w:rsidP="005C5DE1">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DEFENSOR DEL PUEBLO, </w:t>
      </w:r>
      <w:r w:rsidRPr="00876738">
        <w:rPr>
          <w:rFonts w:ascii="Times New Roman" w:hAnsi="Times New Roman"/>
          <w:i/>
          <w:sz w:val="24"/>
          <w:szCs w:val="24"/>
          <w:lang w:val="es-ES"/>
        </w:rPr>
        <w:t xml:space="preserve">La escucha y el interés superior del menor: Revisión judicial de medidas de protección y procesos de familia [The process of hearing and the best interest of the child: Judicial review of family processes and  protection measures], </w:t>
      </w:r>
      <w:r w:rsidRPr="00876738">
        <w:rPr>
          <w:rFonts w:ascii="Times New Roman" w:hAnsi="Times New Roman"/>
          <w:sz w:val="24"/>
          <w:szCs w:val="24"/>
          <w:lang w:val="es-ES"/>
        </w:rPr>
        <w:t>Madrid, 2014, at</w:t>
      </w:r>
    </w:p>
    <w:p w:rsidR="001E0DA8" w:rsidRPr="00876738" w:rsidRDefault="001E0DA8" w:rsidP="005C5DE1">
      <w:pPr>
        <w:pStyle w:val="EndnoteText"/>
        <w:jc w:val="both"/>
        <w:rPr>
          <w:rFonts w:ascii="Times New Roman" w:hAnsi="Times New Roman"/>
          <w:sz w:val="24"/>
          <w:szCs w:val="24"/>
          <w:lang w:val="es-ES"/>
        </w:rPr>
      </w:pPr>
      <w:hyperlink r:id="rId35" w:history="1">
        <w:r w:rsidRPr="00876738">
          <w:rPr>
            <w:rStyle w:val="Hyperlink"/>
            <w:rFonts w:ascii="Times New Roman" w:hAnsi="Times New Roman"/>
            <w:sz w:val="24"/>
            <w:szCs w:val="24"/>
            <w:lang w:val="es-ES"/>
          </w:rPr>
          <w:t>https://www.defensordelpueblo.es/wp-content/uploads/2015/05/2014-05-Estudio-sobre-la-escucha-y-el-interes-superior-del-menor.pdf</w:t>
        </w:r>
      </w:hyperlink>
      <w:r w:rsidRPr="00876738">
        <w:rPr>
          <w:rFonts w:ascii="Times New Roman" w:hAnsi="Times New Roman"/>
          <w:sz w:val="24"/>
          <w:szCs w:val="24"/>
          <w:lang w:val="es-ES"/>
        </w:rPr>
        <w:t xml:space="preserve"> </w:t>
      </w:r>
    </w:p>
    <w:p w:rsidR="001E0DA8" w:rsidRPr="00876738" w:rsidRDefault="001E0DA8" w:rsidP="005C5DE1">
      <w:pPr>
        <w:pStyle w:val="EndnoteText"/>
        <w:jc w:val="both"/>
        <w:rPr>
          <w:rFonts w:ascii="Times New Roman" w:hAnsi="Times New Roman"/>
          <w:sz w:val="24"/>
          <w:szCs w:val="24"/>
          <w:lang w:val="es-ES"/>
        </w:rPr>
      </w:pPr>
    </w:p>
    <w:p w:rsidR="001E0DA8" w:rsidRPr="005636DB" w:rsidRDefault="001E0DA8" w:rsidP="005C5DE1">
      <w:pPr>
        <w:pStyle w:val="EndnoteText"/>
        <w:jc w:val="both"/>
        <w:rPr>
          <w:rFonts w:ascii="Times New Roman" w:hAnsi="Times New Roman"/>
          <w:b/>
          <w:i/>
          <w:sz w:val="24"/>
          <w:szCs w:val="24"/>
          <w:lang w:val="en-US"/>
        </w:rPr>
      </w:pPr>
      <w:r w:rsidRPr="003C4D9E">
        <w:rPr>
          <w:rFonts w:ascii="Times New Roman" w:hAnsi="Times New Roman"/>
          <w:sz w:val="24"/>
          <w:szCs w:val="24"/>
          <w:lang w:val="en-US"/>
        </w:rPr>
        <w:t xml:space="preserve">Available in Castilian and English. </w:t>
      </w:r>
      <w:r w:rsidRPr="005636DB">
        <w:rPr>
          <w:rFonts w:ascii="Times New Roman" w:hAnsi="Times New Roman"/>
          <w:sz w:val="24"/>
          <w:szCs w:val="24"/>
          <w:lang w:val="en-US"/>
        </w:rPr>
        <w:t>Annex attached.</w:t>
      </w:r>
      <w:r w:rsidRPr="005636DB">
        <w:rPr>
          <w:rFonts w:ascii="Times New Roman" w:hAnsi="Times New Roman"/>
          <w:b/>
          <w:i/>
          <w:sz w:val="24"/>
          <w:szCs w:val="24"/>
          <w:lang w:val="en-US"/>
        </w:rPr>
        <w:t xml:space="preserve"> </w:t>
      </w:r>
    </w:p>
    <w:p w:rsidR="001E0DA8" w:rsidRPr="005636DB" w:rsidRDefault="001E0DA8" w:rsidP="005C5DE1">
      <w:pPr>
        <w:pStyle w:val="EndnoteText"/>
        <w:jc w:val="both"/>
        <w:rPr>
          <w:rFonts w:ascii="Times New Roman" w:hAnsi="Times New Roman"/>
          <w:b/>
          <w:i/>
          <w:sz w:val="24"/>
          <w:szCs w:val="24"/>
          <w:lang w:val="en-US"/>
        </w:rPr>
      </w:pPr>
    </w:p>
    <w:p w:rsidR="001E0DA8" w:rsidRPr="005636DB" w:rsidRDefault="001E0DA8" w:rsidP="005C5DE1">
      <w:pPr>
        <w:pStyle w:val="EndnoteText"/>
        <w:jc w:val="both"/>
        <w:rPr>
          <w:rFonts w:ascii="Times New Roman" w:hAnsi="Times New Roman"/>
          <w:sz w:val="24"/>
          <w:szCs w:val="24"/>
          <w:lang w:val="en-US"/>
        </w:rPr>
      </w:pPr>
      <w:r w:rsidRPr="005636DB">
        <w:rPr>
          <w:rFonts w:ascii="Times New Roman" w:hAnsi="Times New Roman"/>
          <w:sz w:val="24"/>
          <w:szCs w:val="24"/>
          <w:lang w:val="en-US"/>
        </w:rPr>
        <w:t xml:space="preserve">- DEFENSOR DEL PUEBLO, </w:t>
      </w:r>
      <w:r w:rsidRPr="005636DB">
        <w:rPr>
          <w:rFonts w:ascii="Times New Roman" w:hAnsi="Times New Roman"/>
          <w:i/>
          <w:sz w:val="24"/>
          <w:szCs w:val="24"/>
          <w:lang w:val="en-US"/>
        </w:rPr>
        <w:t>La escucha del menor, víctima o testigo [Listening to minors, victims or witnesses],</w:t>
      </w:r>
      <w:r w:rsidRPr="005636DB">
        <w:rPr>
          <w:rFonts w:ascii="Times New Roman" w:hAnsi="Times New Roman"/>
          <w:sz w:val="24"/>
          <w:szCs w:val="24"/>
          <w:lang w:val="en-US"/>
        </w:rPr>
        <w:t xml:space="preserve"> at </w:t>
      </w:r>
    </w:p>
    <w:p w:rsidR="001E0DA8" w:rsidRPr="005636DB" w:rsidRDefault="001E0DA8" w:rsidP="005C5DE1">
      <w:pPr>
        <w:pStyle w:val="EndnoteText"/>
        <w:jc w:val="both"/>
        <w:rPr>
          <w:rFonts w:ascii="Times New Roman" w:hAnsi="Times New Roman"/>
          <w:sz w:val="24"/>
          <w:szCs w:val="24"/>
          <w:lang w:val="en-US"/>
        </w:rPr>
      </w:pPr>
      <w:hyperlink r:id="rId36" w:history="1">
        <w:r w:rsidRPr="005636DB">
          <w:rPr>
            <w:rStyle w:val="Hyperlink"/>
            <w:rFonts w:ascii="Times New Roman" w:hAnsi="Times New Roman"/>
            <w:sz w:val="24"/>
            <w:szCs w:val="24"/>
            <w:lang w:val="en-US"/>
          </w:rPr>
          <w:t>https://www.defensordelpueblo.es/wp-content/uploads/2015/05/Ver-estudio.pdf</w:t>
        </w:r>
      </w:hyperlink>
    </w:p>
    <w:p w:rsidR="001E0DA8" w:rsidRPr="005636DB" w:rsidRDefault="001E0DA8" w:rsidP="00E21A68">
      <w:pPr>
        <w:jc w:val="both"/>
        <w:rPr>
          <w:lang w:val="en-US"/>
        </w:rPr>
      </w:pPr>
    </w:p>
    <w:p w:rsidR="001E0DA8" w:rsidRPr="00876738" w:rsidRDefault="001E0DA8" w:rsidP="00E21A68">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FUNDACIÓN SECRETARIADO GITANO, </w:t>
      </w:r>
      <w:r w:rsidRPr="00876738">
        <w:rPr>
          <w:rFonts w:ascii="Times New Roman" w:hAnsi="Times New Roman"/>
          <w:i/>
          <w:sz w:val="24"/>
          <w:szCs w:val="24"/>
          <w:lang w:val="es-ES"/>
        </w:rPr>
        <w:t xml:space="preserve">El Alumnado Gitano en Secundaria. Un estudio comparado sobre el absentismo y el abandono escolar en la comunidad gitana, [A comparative study on absenteeism and school leaving in the Roma community], </w:t>
      </w:r>
      <w:r w:rsidRPr="00876738">
        <w:rPr>
          <w:rFonts w:ascii="Times New Roman" w:hAnsi="Times New Roman"/>
          <w:sz w:val="24"/>
          <w:szCs w:val="24"/>
          <w:lang w:val="es-ES"/>
        </w:rPr>
        <w:t>Madrid, 2013, pp. 109, 111, 113, 124, available at</w:t>
      </w:r>
    </w:p>
    <w:p w:rsidR="001E0DA8" w:rsidRPr="00876738" w:rsidRDefault="001E0DA8" w:rsidP="00E21A68">
      <w:pPr>
        <w:pStyle w:val="EndnoteText"/>
        <w:jc w:val="both"/>
        <w:rPr>
          <w:rFonts w:ascii="Times New Roman" w:hAnsi="Times New Roman"/>
          <w:sz w:val="24"/>
          <w:szCs w:val="24"/>
          <w:lang w:val="es-ES"/>
        </w:rPr>
      </w:pPr>
      <w:hyperlink r:id="rId37" w:history="1">
        <w:r w:rsidRPr="00876738">
          <w:rPr>
            <w:rStyle w:val="Hyperlink"/>
            <w:rFonts w:ascii="Times New Roman" w:hAnsi="Times New Roman"/>
            <w:sz w:val="24"/>
            <w:szCs w:val="24"/>
            <w:lang w:val="es-ES"/>
          </w:rPr>
          <w:t>https://www.gitanos.org/upload/92/20/EstudioSecundaria.pdf</w:t>
        </w:r>
      </w:hyperlink>
    </w:p>
    <w:p w:rsidR="001E0DA8" w:rsidRPr="00876738" w:rsidRDefault="001E0DA8" w:rsidP="00E21A68">
      <w:pPr>
        <w:pStyle w:val="EndnoteText"/>
        <w:jc w:val="both"/>
        <w:rPr>
          <w:rFonts w:ascii="Times New Roman" w:hAnsi="Times New Roman"/>
          <w:sz w:val="24"/>
          <w:szCs w:val="24"/>
          <w:lang w:val="es-ES"/>
        </w:rPr>
      </w:pPr>
    </w:p>
    <w:p w:rsidR="001E0DA8" w:rsidRPr="00876738" w:rsidRDefault="001E0DA8" w:rsidP="00E21A68">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DEFENSOR DEL PUEBLO, </w:t>
      </w:r>
      <w:r w:rsidRPr="00876738">
        <w:rPr>
          <w:rFonts w:ascii="Times New Roman" w:hAnsi="Times New Roman"/>
          <w:i/>
          <w:sz w:val="24"/>
          <w:szCs w:val="24"/>
          <w:lang w:val="es-ES"/>
        </w:rPr>
        <w:t>Centros de protección de menores con trastornos de conducta y en situación de dificultad social [Protection centers for minors with behavior disorders and in difficult social conditions]</w:t>
      </w:r>
      <w:r w:rsidRPr="00876738">
        <w:rPr>
          <w:rFonts w:ascii="Times New Roman" w:hAnsi="Times New Roman"/>
          <w:sz w:val="24"/>
          <w:szCs w:val="24"/>
          <w:lang w:val="es-ES"/>
        </w:rPr>
        <w:t>, Madrid, 2009, at</w:t>
      </w:r>
    </w:p>
    <w:p w:rsidR="001E0DA8" w:rsidRPr="00876738" w:rsidRDefault="001E0DA8" w:rsidP="00E21A68">
      <w:pPr>
        <w:pStyle w:val="EndnoteText"/>
        <w:jc w:val="both"/>
        <w:rPr>
          <w:rFonts w:ascii="Times New Roman" w:hAnsi="Times New Roman"/>
          <w:sz w:val="24"/>
          <w:szCs w:val="24"/>
          <w:lang w:val="es-ES"/>
        </w:rPr>
      </w:pPr>
      <w:hyperlink r:id="rId38" w:history="1">
        <w:r w:rsidRPr="00876738">
          <w:rPr>
            <w:rStyle w:val="Hyperlink"/>
            <w:rFonts w:ascii="Times New Roman" w:hAnsi="Times New Roman"/>
            <w:sz w:val="24"/>
            <w:szCs w:val="24"/>
            <w:lang w:val="es-ES"/>
          </w:rPr>
          <w:t>https://www.defensordelpueblo.es/wp-content/uploads/2015/05/2009-01-Centros-de-protecci%C3%B3n-de-menores-con-trastornos-de-conducta-y-en-situaci%C3%B3n-de-dificultad-social.pdf</w:t>
        </w:r>
      </w:hyperlink>
      <w:r w:rsidRPr="00876738">
        <w:rPr>
          <w:rFonts w:ascii="Times New Roman" w:hAnsi="Times New Roman"/>
          <w:sz w:val="24"/>
          <w:szCs w:val="24"/>
          <w:lang w:val="es-ES"/>
        </w:rPr>
        <w:t>.</w:t>
      </w:r>
    </w:p>
    <w:p w:rsidR="001E0DA8" w:rsidRPr="00876738" w:rsidRDefault="001E0DA8" w:rsidP="00E21A68">
      <w:pPr>
        <w:pStyle w:val="EndnoteText"/>
        <w:jc w:val="both"/>
        <w:rPr>
          <w:rFonts w:ascii="Times New Roman" w:hAnsi="Times New Roman"/>
          <w:sz w:val="24"/>
          <w:szCs w:val="24"/>
          <w:lang w:val="es-ES"/>
        </w:rPr>
      </w:pPr>
    </w:p>
    <w:p w:rsidR="001E0DA8" w:rsidRPr="00876738" w:rsidRDefault="001E0DA8" w:rsidP="00E21A68">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DEFENSOR DEL PUEBLO, </w:t>
      </w:r>
      <w:r w:rsidRPr="00876738">
        <w:rPr>
          <w:rFonts w:ascii="Times New Roman" w:hAnsi="Times New Roman"/>
          <w:i/>
          <w:sz w:val="24"/>
          <w:szCs w:val="24"/>
          <w:lang w:val="es-ES"/>
        </w:rPr>
        <w:t xml:space="preserve">La urgencias hospitalarias en el Sistema Nacional de Salud: derechos y garantías de los pacientes [Hospital emergencies in the National Health System: patient rights and guarantees], </w:t>
      </w:r>
      <w:r w:rsidRPr="00876738">
        <w:rPr>
          <w:rFonts w:ascii="Times New Roman" w:hAnsi="Times New Roman"/>
          <w:sz w:val="24"/>
          <w:szCs w:val="24"/>
          <w:lang w:val="es-ES"/>
        </w:rPr>
        <w:t>Madrid, 2015, at</w:t>
      </w:r>
    </w:p>
    <w:p w:rsidR="001E0DA8" w:rsidRPr="00876738" w:rsidRDefault="001E0DA8" w:rsidP="00E21A68">
      <w:pPr>
        <w:pStyle w:val="EndnoteText"/>
        <w:jc w:val="both"/>
        <w:rPr>
          <w:rFonts w:ascii="Times New Roman" w:hAnsi="Times New Roman"/>
          <w:sz w:val="24"/>
          <w:szCs w:val="24"/>
          <w:lang w:val="es-ES"/>
        </w:rPr>
      </w:pPr>
      <w:hyperlink r:id="rId39" w:history="1">
        <w:r w:rsidRPr="00876738">
          <w:rPr>
            <w:rStyle w:val="Hyperlink"/>
            <w:rFonts w:ascii="Times New Roman" w:hAnsi="Times New Roman"/>
            <w:sz w:val="24"/>
            <w:szCs w:val="24"/>
            <w:lang w:val="es-ES"/>
          </w:rPr>
          <w:t>https://www.defensordelpueblo.es/wp-content/uploads/2015/05/2015-Las-urgencias-hospitalarias-en-el-Sistema-Nacional-de-Salud-derechos-y-garant%C3%ADas-de-los-paciente-ESP.pdf</w:t>
        </w:r>
      </w:hyperlink>
    </w:p>
    <w:p w:rsidR="001E0DA8" w:rsidRPr="00876738" w:rsidRDefault="001E0DA8" w:rsidP="00E21A68">
      <w:pPr>
        <w:pStyle w:val="EndnoteText"/>
        <w:jc w:val="both"/>
        <w:rPr>
          <w:rFonts w:ascii="Times New Roman" w:hAnsi="Times New Roman"/>
          <w:sz w:val="24"/>
          <w:szCs w:val="24"/>
          <w:lang w:val="es-ES"/>
        </w:rPr>
      </w:pPr>
    </w:p>
    <w:p w:rsidR="001E0DA8" w:rsidRPr="00876738" w:rsidRDefault="001E0DA8" w:rsidP="00E21A68">
      <w:pPr>
        <w:pStyle w:val="EndnoteText"/>
        <w:jc w:val="both"/>
        <w:rPr>
          <w:rFonts w:ascii="Times New Roman" w:hAnsi="Times New Roman"/>
          <w:sz w:val="24"/>
          <w:szCs w:val="24"/>
          <w:lang w:val="es-ES"/>
        </w:rPr>
      </w:pPr>
      <w:r w:rsidRPr="00876738">
        <w:rPr>
          <w:rFonts w:ascii="Times New Roman" w:hAnsi="Times New Roman"/>
          <w:sz w:val="24"/>
          <w:szCs w:val="24"/>
          <w:lang w:val="es-ES"/>
        </w:rPr>
        <w:t>- UNICEF, La infancia en datos [Childhood in figures] at</w:t>
      </w:r>
    </w:p>
    <w:p w:rsidR="001E0DA8" w:rsidRPr="00876738" w:rsidRDefault="001E0DA8" w:rsidP="00E21A68">
      <w:pPr>
        <w:pStyle w:val="EndnoteText"/>
        <w:jc w:val="both"/>
        <w:rPr>
          <w:rFonts w:ascii="Times New Roman" w:hAnsi="Times New Roman"/>
          <w:sz w:val="24"/>
          <w:szCs w:val="24"/>
          <w:lang w:val="es-ES"/>
        </w:rPr>
      </w:pPr>
      <w:hyperlink r:id="rId40" w:history="1">
        <w:r w:rsidRPr="00876738">
          <w:rPr>
            <w:rStyle w:val="Hyperlink"/>
            <w:rFonts w:ascii="Times New Roman" w:hAnsi="Times New Roman"/>
            <w:sz w:val="24"/>
            <w:szCs w:val="24"/>
            <w:lang w:val="es-ES"/>
          </w:rPr>
          <w:t>http://www.infanciaendatos.es/datos-graficos</w:t>
        </w:r>
      </w:hyperlink>
      <w:r w:rsidRPr="00876738">
        <w:rPr>
          <w:rFonts w:ascii="Times New Roman" w:hAnsi="Times New Roman"/>
          <w:sz w:val="24"/>
          <w:szCs w:val="24"/>
          <w:lang w:val="es-ES"/>
        </w:rPr>
        <w:t xml:space="preserve">. </w:t>
      </w:r>
    </w:p>
    <w:p w:rsidR="001E0DA8" w:rsidRPr="00876738" w:rsidRDefault="001E0DA8" w:rsidP="00E21A68">
      <w:pPr>
        <w:pStyle w:val="EndnoteText"/>
        <w:jc w:val="both"/>
        <w:rPr>
          <w:rFonts w:ascii="Times New Roman" w:hAnsi="Times New Roman"/>
          <w:sz w:val="24"/>
          <w:szCs w:val="24"/>
          <w:lang w:val="es-ES"/>
        </w:rPr>
      </w:pPr>
    </w:p>
    <w:p w:rsidR="001E0DA8" w:rsidRPr="00876738" w:rsidRDefault="001E0DA8" w:rsidP="00E21A68">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FUNDACIÓN FOESSA, </w:t>
      </w:r>
      <w:r w:rsidRPr="00876738">
        <w:rPr>
          <w:rFonts w:ascii="Times New Roman" w:hAnsi="Times New Roman"/>
          <w:i/>
          <w:sz w:val="24"/>
          <w:szCs w:val="24"/>
          <w:lang w:val="es-ES"/>
        </w:rPr>
        <w:t>La transmisión generacional e la pobreza: factores y propuestas para la intervención [Generational transmission and poverty: factors and proposals for intervention]</w:t>
      </w:r>
      <w:r w:rsidRPr="00876738">
        <w:rPr>
          <w:rFonts w:ascii="Times New Roman" w:hAnsi="Times New Roman"/>
          <w:sz w:val="24"/>
          <w:szCs w:val="24"/>
          <w:lang w:val="es-ES"/>
        </w:rPr>
        <w:t>, Madrid, 2016, available at</w:t>
      </w:r>
    </w:p>
    <w:p w:rsidR="001E0DA8" w:rsidRPr="00876738" w:rsidRDefault="001E0DA8" w:rsidP="00E21A68">
      <w:pPr>
        <w:pStyle w:val="EndnoteText"/>
        <w:jc w:val="both"/>
        <w:rPr>
          <w:rFonts w:ascii="Times New Roman" w:hAnsi="Times New Roman"/>
          <w:sz w:val="24"/>
          <w:szCs w:val="24"/>
          <w:lang w:val="es-ES"/>
        </w:rPr>
      </w:pPr>
      <w:hyperlink r:id="rId41" w:history="1">
        <w:r w:rsidRPr="00876738">
          <w:rPr>
            <w:rStyle w:val="Hyperlink"/>
            <w:rFonts w:ascii="Times New Roman" w:hAnsi="Times New Roman"/>
            <w:sz w:val="24"/>
            <w:szCs w:val="24"/>
            <w:lang w:val="es-ES"/>
          </w:rPr>
          <w:t>http://www.caritas.es/imagesrepository/CapitulosPublicaciones/5250/transmisi%C3%B3n%20intergeneracional%20pobreza.pdf</w:t>
        </w:r>
      </w:hyperlink>
      <w:r w:rsidRPr="00876738">
        <w:rPr>
          <w:rFonts w:ascii="Times New Roman" w:hAnsi="Times New Roman"/>
          <w:sz w:val="24"/>
          <w:szCs w:val="24"/>
          <w:lang w:val="es-ES"/>
        </w:rPr>
        <w:t xml:space="preserve"> </w:t>
      </w:r>
    </w:p>
    <w:p w:rsidR="001E0DA8" w:rsidRPr="00876738" w:rsidRDefault="001E0DA8" w:rsidP="0012628A">
      <w:pPr>
        <w:pStyle w:val="FootnoteText"/>
      </w:pPr>
    </w:p>
    <w:p w:rsidR="001E0DA8" w:rsidRPr="00876738" w:rsidRDefault="001E0DA8" w:rsidP="0012628A">
      <w:pPr>
        <w:pStyle w:val="FootnoteText"/>
        <w:rPr>
          <w:sz w:val="24"/>
          <w:szCs w:val="24"/>
        </w:rPr>
      </w:pPr>
      <w:r w:rsidRPr="00876738">
        <w:rPr>
          <w:sz w:val="24"/>
          <w:szCs w:val="24"/>
        </w:rPr>
        <w:t xml:space="preserve">- DEFENSOR DEL PUEBLO, </w:t>
      </w:r>
      <w:r w:rsidRPr="00876738">
        <w:rPr>
          <w:i/>
          <w:sz w:val="24"/>
          <w:szCs w:val="24"/>
        </w:rPr>
        <w:t>Viviendas protegidas vacías</w:t>
      </w:r>
      <w:r w:rsidRPr="00876738">
        <w:rPr>
          <w:sz w:val="24"/>
          <w:szCs w:val="24"/>
        </w:rPr>
        <w:t xml:space="preserve"> [Empty protected housing], Madrid, 2013, at</w:t>
      </w:r>
    </w:p>
    <w:p w:rsidR="001E0DA8" w:rsidRPr="00876738" w:rsidRDefault="001E0DA8" w:rsidP="0012628A">
      <w:pPr>
        <w:pStyle w:val="FootnoteText"/>
        <w:rPr>
          <w:sz w:val="24"/>
          <w:szCs w:val="24"/>
        </w:rPr>
      </w:pPr>
      <w:hyperlink r:id="rId42" w:history="1">
        <w:r w:rsidRPr="00876738">
          <w:rPr>
            <w:rStyle w:val="Hyperlink"/>
            <w:sz w:val="24"/>
            <w:szCs w:val="24"/>
          </w:rPr>
          <w:t>https://www.defensordelpueblo.es/wp-content/uploads/2015/05/2013-03-Estudio-Viviendas-Protegidas-Vac%C3%ADas.pdf</w:t>
        </w:r>
      </w:hyperlink>
    </w:p>
    <w:p w:rsidR="001E0DA8" w:rsidRPr="00876738" w:rsidRDefault="001E0DA8" w:rsidP="0012628A">
      <w:pPr>
        <w:pStyle w:val="FootnoteText"/>
      </w:pPr>
      <w:r w:rsidRPr="00876738">
        <w:t xml:space="preserve">  </w:t>
      </w:r>
    </w:p>
    <w:p w:rsidR="001E0DA8" w:rsidRPr="00876738" w:rsidRDefault="001E0DA8" w:rsidP="0012628A">
      <w:pPr>
        <w:pStyle w:val="FootnoteText"/>
        <w:rPr>
          <w:sz w:val="24"/>
          <w:szCs w:val="24"/>
        </w:rPr>
      </w:pPr>
      <w:r w:rsidRPr="00876738">
        <w:rPr>
          <w:sz w:val="24"/>
          <w:szCs w:val="24"/>
        </w:rPr>
        <w:t xml:space="preserve">- DEFENSOR DEL PUEBLO, </w:t>
      </w:r>
      <w:r w:rsidRPr="00876738">
        <w:rPr>
          <w:i/>
          <w:sz w:val="24"/>
          <w:szCs w:val="24"/>
        </w:rPr>
        <w:t>Crisis económica y deudores hipotecarios: actuaciones y propuestas del Defensor del Pueblo</w:t>
      </w:r>
      <w:r w:rsidRPr="00876738">
        <w:rPr>
          <w:sz w:val="24"/>
          <w:szCs w:val="24"/>
        </w:rPr>
        <w:t xml:space="preserve"> </w:t>
      </w:r>
      <w:r w:rsidRPr="00377564">
        <w:rPr>
          <w:i/>
          <w:sz w:val="24"/>
          <w:szCs w:val="24"/>
        </w:rPr>
        <w:t>[Financial crisis and mortgage debtors: actions and proposals from the Ombudsman Institution],</w:t>
      </w:r>
      <w:r w:rsidRPr="00876738">
        <w:rPr>
          <w:sz w:val="24"/>
          <w:szCs w:val="24"/>
        </w:rPr>
        <w:t xml:space="preserve"> Madrid, 2012, at</w:t>
      </w:r>
    </w:p>
    <w:p w:rsidR="001E0DA8" w:rsidRPr="00876738" w:rsidRDefault="001E0DA8" w:rsidP="005A0348">
      <w:pPr>
        <w:pStyle w:val="EndnoteText"/>
        <w:rPr>
          <w:rFonts w:ascii="Times New Roman" w:hAnsi="Times New Roman"/>
          <w:sz w:val="24"/>
          <w:szCs w:val="24"/>
          <w:lang w:val="es-ES"/>
        </w:rPr>
      </w:pPr>
      <w:hyperlink r:id="rId43" w:history="1">
        <w:r w:rsidRPr="00876738">
          <w:rPr>
            <w:rStyle w:val="Hyperlink"/>
            <w:rFonts w:ascii="Times New Roman" w:hAnsi="Times New Roman"/>
            <w:sz w:val="24"/>
            <w:szCs w:val="24"/>
            <w:lang w:val="es-ES"/>
          </w:rPr>
          <w:t>https://www.defensordelpueblo.es/wp-content/uploads/2015/05/2012-01-Crisis-econ%C3%B3mica-y-deudores-hipotecarios-actuaciones-y-propuestas-del-Defensor-del-Pueblo.pdf</w:t>
        </w:r>
      </w:hyperlink>
    </w:p>
    <w:p w:rsidR="001E0DA8" w:rsidRPr="00876738" w:rsidRDefault="001E0DA8" w:rsidP="005A0348">
      <w:pPr>
        <w:pStyle w:val="EndnoteText"/>
        <w:rPr>
          <w:rFonts w:ascii="Times New Roman" w:hAnsi="Times New Roman"/>
          <w:sz w:val="24"/>
          <w:szCs w:val="24"/>
          <w:lang w:val="es-ES"/>
        </w:rPr>
      </w:pPr>
    </w:p>
    <w:p w:rsidR="001E0DA8" w:rsidRPr="00876738" w:rsidRDefault="001E0DA8" w:rsidP="00E21A68">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DEFENSOR DEL PUEBLO, </w:t>
      </w:r>
      <w:r w:rsidRPr="00876738">
        <w:rPr>
          <w:rFonts w:ascii="Times New Roman" w:hAnsi="Times New Roman"/>
          <w:i/>
          <w:sz w:val="24"/>
          <w:szCs w:val="24"/>
          <w:lang w:val="es-ES"/>
        </w:rPr>
        <w:t xml:space="preserve">Estudio sobre crisis económica e insolvencia personal: actuaciones y propuestas del Defensor del Pueblo </w:t>
      </w:r>
      <w:r w:rsidRPr="00377564">
        <w:rPr>
          <w:rFonts w:ascii="Times New Roman" w:hAnsi="Times New Roman"/>
          <w:i/>
          <w:sz w:val="24"/>
          <w:szCs w:val="24"/>
          <w:lang w:val="es-ES"/>
        </w:rPr>
        <w:t xml:space="preserve">[Study on the financial crisis and personal bankruptcy], </w:t>
      </w:r>
      <w:r w:rsidRPr="00876738">
        <w:rPr>
          <w:rFonts w:ascii="Times New Roman" w:hAnsi="Times New Roman"/>
          <w:sz w:val="24"/>
          <w:szCs w:val="24"/>
          <w:lang w:val="es-ES"/>
        </w:rPr>
        <w:t>Madrid, 2013, at</w:t>
      </w:r>
    </w:p>
    <w:p w:rsidR="001E0DA8" w:rsidRPr="00876738" w:rsidRDefault="001E0DA8" w:rsidP="005A0348">
      <w:pPr>
        <w:pStyle w:val="EndnoteText"/>
        <w:rPr>
          <w:rFonts w:ascii="Times New Roman" w:hAnsi="Times New Roman"/>
          <w:sz w:val="24"/>
          <w:szCs w:val="24"/>
          <w:lang w:val="es-ES"/>
        </w:rPr>
      </w:pPr>
      <w:hyperlink r:id="rId44" w:history="1">
        <w:r w:rsidRPr="00876738">
          <w:rPr>
            <w:rStyle w:val="Hyperlink"/>
            <w:rFonts w:ascii="Times New Roman" w:hAnsi="Times New Roman"/>
            <w:sz w:val="24"/>
            <w:szCs w:val="24"/>
            <w:lang w:val="es-ES"/>
          </w:rPr>
          <w:t>https://www.defensordelpueblo.es/wp-content/uploads/2015/05/2013-11-Crisis_economica_e_insolvencia_personal.pdf</w:t>
        </w:r>
      </w:hyperlink>
    </w:p>
    <w:p w:rsidR="001E0DA8" w:rsidRPr="00876738" w:rsidRDefault="001E0DA8" w:rsidP="005A0348">
      <w:pPr>
        <w:pStyle w:val="Heading3"/>
        <w:shd w:val="clear" w:color="auto" w:fill="FFFFFF"/>
        <w:jc w:val="both"/>
        <w:rPr>
          <w:rFonts w:ascii="Times New Roman" w:hAnsi="Times New Roman" w:cs="Times New Roman"/>
          <w:szCs w:val="24"/>
        </w:rPr>
      </w:pPr>
    </w:p>
    <w:p w:rsidR="001E0DA8" w:rsidRPr="00876738" w:rsidRDefault="001E0DA8" w:rsidP="005A0348">
      <w:pPr>
        <w:pStyle w:val="Heading3"/>
        <w:shd w:val="clear" w:color="auto" w:fill="FFFFFF"/>
        <w:jc w:val="both"/>
        <w:rPr>
          <w:rStyle w:val="Strong"/>
          <w:rFonts w:ascii="Times New Roman" w:hAnsi="Times New Roman"/>
          <w:b w:val="0"/>
          <w:szCs w:val="24"/>
        </w:rPr>
      </w:pPr>
      <w:bookmarkStart w:id="102" w:name="_Toc474493774"/>
      <w:bookmarkStart w:id="103" w:name="_Toc474499372"/>
      <w:bookmarkStart w:id="104" w:name="_Toc474885611"/>
      <w:bookmarkStart w:id="105" w:name="_Toc474914299"/>
      <w:bookmarkStart w:id="106" w:name="_Toc349454435"/>
      <w:bookmarkStart w:id="107" w:name="_Toc475958628"/>
      <w:bookmarkStart w:id="108" w:name="_Toc475965647"/>
      <w:bookmarkStart w:id="109" w:name="_Toc475979958"/>
      <w:r w:rsidRPr="00876738">
        <w:rPr>
          <w:rFonts w:ascii="Times New Roman" w:hAnsi="Times New Roman" w:cs="Times New Roman"/>
          <w:szCs w:val="24"/>
        </w:rPr>
        <w:t>- DEFENSOR DEL PUEBLO,</w:t>
      </w:r>
      <w:r w:rsidRPr="00876738">
        <w:rPr>
          <w:rStyle w:val="Strong"/>
          <w:rFonts w:ascii="Times New Roman" w:hAnsi="Times New Roman"/>
          <w:b w:val="0"/>
          <w:szCs w:val="24"/>
        </w:rPr>
        <w:t xml:space="preserve"> </w:t>
      </w:r>
      <w:r w:rsidRPr="00876738">
        <w:rPr>
          <w:rStyle w:val="Strong"/>
          <w:rFonts w:ascii="Times New Roman" w:hAnsi="Times New Roman"/>
          <w:b w:val="0"/>
          <w:i/>
          <w:szCs w:val="24"/>
        </w:rPr>
        <w:t xml:space="preserve">Estudio sobre gratuidad de los libros de texto: programas, ayudas, préstamos y reutilización </w:t>
      </w:r>
      <w:r w:rsidRPr="00377564">
        <w:rPr>
          <w:rStyle w:val="Strong"/>
          <w:rFonts w:ascii="Times New Roman" w:hAnsi="Times New Roman"/>
          <w:b w:val="0"/>
          <w:i/>
          <w:szCs w:val="24"/>
        </w:rPr>
        <w:t xml:space="preserve">[Study on free textbooks: programs, assistance, lending and reuse], </w:t>
      </w:r>
      <w:r w:rsidRPr="00876738">
        <w:rPr>
          <w:rStyle w:val="Strong"/>
          <w:rFonts w:ascii="Times New Roman" w:hAnsi="Times New Roman"/>
          <w:b w:val="0"/>
          <w:szCs w:val="24"/>
        </w:rPr>
        <w:t>Madrid, 2013, at</w:t>
      </w:r>
      <w:bookmarkEnd w:id="102"/>
      <w:bookmarkEnd w:id="103"/>
      <w:bookmarkEnd w:id="104"/>
      <w:bookmarkEnd w:id="105"/>
      <w:bookmarkEnd w:id="106"/>
      <w:bookmarkEnd w:id="107"/>
      <w:bookmarkEnd w:id="108"/>
      <w:bookmarkEnd w:id="109"/>
    </w:p>
    <w:p w:rsidR="001E0DA8" w:rsidRPr="00876738" w:rsidRDefault="001E0DA8" w:rsidP="005A0348">
      <w:pPr>
        <w:pStyle w:val="Heading3"/>
        <w:shd w:val="clear" w:color="auto" w:fill="FFFFFF"/>
        <w:jc w:val="both"/>
        <w:rPr>
          <w:rStyle w:val="Strong"/>
          <w:rFonts w:ascii="Times New Roman" w:hAnsi="Times New Roman"/>
          <w:b w:val="0"/>
          <w:szCs w:val="24"/>
        </w:rPr>
      </w:pPr>
      <w:hyperlink r:id="rId45" w:history="1">
        <w:bookmarkStart w:id="110" w:name="_Toc474493775"/>
        <w:bookmarkStart w:id="111" w:name="_Toc474499373"/>
        <w:bookmarkStart w:id="112" w:name="_Toc474885612"/>
        <w:bookmarkStart w:id="113" w:name="_Toc474914300"/>
        <w:bookmarkStart w:id="114" w:name="_Toc349454436"/>
        <w:bookmarkStart w:id="115" w:name="_Toc475958629"/>
        <w:bookmarkStart w:id="116" w:name="_Toc475965648"/>
        <w:bookmarkStart w:id="117" w:name="_Toc475979959"/>
        <w:r w:rsidRPr="00876738">
          <w:rPr>
            <w:rStyle w:val="Hyperlink"/>
            <w:rFonts w:ascii="Times New Roman" w:hAnsi="Times New Roman"/>
            <w:szCs w:val="24"/>
          </w:rPr>
          <w:t>https://www.defensordelpueblo.es/informe-monografico/estudio-sobre-gratuidad-de-los-libros-de-texto-programas-ayudas-prestamos-y-reutilizacion-noviembre-2013/</w:t>
        </w:r>
        <w:bookmarkEnd w:id="110"/>
        <w:bookmarkEnd w:id="111"/>
        <w:bookmarkEnd w:id="112"/>
        <w:bookmarkEnd w:id="113"/>
        <w:bookmarkEnd w:id="114"/>
        <w:bookmarkEnd w:id="115"/>
        <w:bookmarkEnd w:id="116"/>
        <w:bookmarkEnd w:id="117"/>
      </w:hyperlink>
    </w:p>
    <w:p w:rsidR="001E0DA8" w:rsidRPr="00876738" w:rsidRDefault="001E0DA8" w:rsidP="005A0348">
      <w:pPr>
        <w:pStyle w:val="Heading3"/>
        <w:shd w:val="clear" w:color="auto" w:fill="FFFFFF"/>
        <w:jc w:val="both"/>
        <w:rPr>
          <w:rStyle w:val="Strong"/>
          <w:rFonts w:ascii="Times New Roman" w:hAnsi="Times New Roman"/>
          <w:b w:val="0"/>
          <w:bCs w:val="0"/>
          <w:szCs w:val="24"/>
        </w:rPr>
      </w:pPr>
    </w:p>
    <w:p w:rsidR="001E0DA8" w:rsidRPr="00876738" w:rsidRDefault="001E0DA8" w:rsidP="00E21A68">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ALTO COMISIONADO DE LAS NACIONES UNIDAS PARA LOS DERECHOS HUMANOS, </w:t>
      </w:r>
      <w:r w:rsidRPr="00876738">
        <w:rPr>
          <w:rFonts w:ascii="Times New Roman" w:hAnsi="Times New Roman"/>
          <w:i/>
          <w:sz w:val="24"/>
          <w:szCs w:val="24"/>
          <w:lang w:val="es-ES"/>
        </w:rPr>
        <w:t xml:space="preserve">Estudio temático sobre el derecho de las personas con discapacidad a la educación </w:t>
      </w:r>
      <w:r w:rsidRPr="00377564">
        <w:rPr>
          <w:rFonts w:ascii="Times New Roman" w:hAnsi="Times New Roman"/>
          <w:i/>
          <w:sz w:val="24"/>
          <w:szCs w:val="24"/>
          <w:lang w:val="es-ES"/>
        </w:rPr>
        <w:t>[Thematic study on the right of persons with disabilities to education]</w:t>
      </w:r>
      <w:r w:rsidRPr="00876738">
        <w:rPr>
          <w:rFonts w:ascii="Times New Roman" w:hAnsi="Times New Roman"/>
          <w:sz w:val="24"/>
          <w:szCs w:val="24"/>
          <w:lang w:val="es-ES"/>
        </w:rPr>
        <w:t xml:space="preserve"> 18 December 2013, A/HRC/25/29, § 5.</w:t>
      </w:r>
    </w:p>
    <w:p w:rsidR="001E0DA8" w:rsidRPr="00876738" w:rsidRDefault="001E0DA8" w:rsidP="00E21A68">
      <w:pPr>
        <w:pStyle w:val="EndnoteText"/>
        <w:jc w:val="both"/>
        <w:rPr>
          <w:rFonts w:ascii="Times New Roman" w:hAnsi="Times New Roman"/>
          <w:sz w:val="24"/>
          <w:szCs w:val="24"/>
          <w:lang w:val="es-ES"/>
        </w:rPr>
      </w:pPr>
    </w:p>
    <w:p w:rsidR="001E0DA8" w:rsidRPr="00876738" w:rsidRDefault="001E0DA8" w:rsidP="00E21A68">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DEFENSOR DEL PUEBLO, </w:t>
      </w:r>
      <w:r w:rsidRPr="00876738">
        <w:rPr>
          <w:rFonts w:ascii="Times New Roman" w:hAnsi="Times New Roman"/>
          <w:i/>
          <w:sz w:val="24"/>
          <w:szCs w:val="24"/>
          <w:lang w:val="es-ES"/>
        </w:rPr>
        <w:t xml:space="preserve">Violencia escolar: el maltrato entre iguales en la educación secundaria obligatoria </w:t>
      </w:r>
      <w:r w:rsidRPr="00377564">
        <w:rPr>
          <w:rFonts w:ascii="Times New Roman" w:hAnsi="Times New Roman"/>
          <w:i/>
          <w:sz w:val="24"/>
          <w:szCs w:val="24"/>
          <w:lang w:val="es-ES"/>
        </w:rPr>
        <w:t>[School violence: bullying among peers in compulsory secondary education],</w:t>
      </w:r>
      <w:r w:rsidRPr="00876738">
        <w:rPr>
          <w:rFonts w:ascii="Times New Roman" w:hAnsi="Times New Roman"/>
          <w:sz w:val="24"/>
          <w:szCs w:val="24"/>
          <w:lang w:val="es-ES"/>
        </w:rPr>
        <w:t xml:space="preserve"> Madrid, 2000, at</w:t>
      </w:r>
    </w:p>
    <w:p w:rsidR="001E0DA8" w:rsidRPr="00876738" w:rsidRDefault="001E0DA8" w:rsidP="00E21A68">
      <w:pPr>
        <w:pStyle w:val="EndnoteText"/>
        <w:jc w:val="both"/>
        <w:rPr>
          <w:rFonts w:ascii="Times New Roman" w:hAnsi="Times New Roman"/>
          <w:sz w:val="24"/>
          <w:szCs w:val="24"/>
          <w:lang w:val="es-ES"/>
        </w:rPr>
      </w:pPr>
      <w:hyperlink r:id="rId46" w:history="1">
        <w:r w:rsidRPr="00876738">
          <w:rPr>
            <w:rStyle w:val="Hyperlink"/>
            <w:rFonts w:ascii="Times New Roman" w:hAnsi="Times New Roman"/>
            <w:i/>
            <w:sz w:val="24"/>
            <w:szCs w:val="24"/>
            <w:lang w:val="es-ES"/>
          </w:rPr>
          <w:t>https://www.defensordelpueblo.es/wp-content/uploads/2015/05/2000-01-Violencia-escolar-el-maltrato-entre-iguales-en-la-educaci%C3%B3n-secundaria-obligatoria.pdf</w:t>
        </w:r>
      </w:hyperlink>
    </w:p>
    <w:p w:rsidR="001E0DA8" w:rsidRPr="00876738" w:rsidRDefault="001E0DA8" w:rsidP="00E21A68">
      <w:pPr>
        <w:pStyle w:val="EndnoteText"/>
        <w:jc w:val="both"/>
        <w:rPr>
          <w:rFonts w:ascii="Times New Roman" w:hAnsi="Times New Roman"/>
          <w:sz w:val="24"/>
          <w:szCs w:val="24"/>
          <w:lang w:val="es-ES"/>
        </w:rPr>
      </w:pPr>
    </w:p>
    <w:p w:rsidR="001E0DA8" w:rsidRPr="003C4D9E" w:rsidRDefault="001E0DA8" w:rsidP="00E21A68">
      <w:pPr>
        <w:pStyle w:val="EndnoteText"/>
        <w:jc w:val="both"/>
        <w:rPr>
          <w:rFonts w:ascii="Times New Roman" w:hAnsi="Times New Roman"/>
          <w:sz w:val="24"/>
          <w:szCs w:val="24"/>
          <w:lang w:val="en-US"/>
        </w:rPr>
      </w:pPr>
      <w:r w:rsidRPr="00876738">
        <w:rPr>
          <w:rFonts w:ascii="Times New Roman" w:hAnsi="Times New Roman"/>
          <w:sz w:val="24"/>
          <w:szCs w:val="24"/>
          <w:lang w:val="es-ES"/>
        </w:rPr>
        <w:t xml:space="preserve">- DEFENSOR DEL PUEBLO, </w:t>
      </w:r>
      <w:r w:rsidRPr="00876738">
        <w:rPr>
          <w:rFonts w:ascii="Times New Roman" w:hAnsi="Times New Roman"/>
          <w:i/>
          <w:sz w:val="24"/>
          <w:szCs w:val="24"/>
          <w:lang w:val="es-ES"/>
        </w:rPr>
        <w:t xml:space="preserve">Violencia escolar: el maltrato entre iguales en la educación secundaria obligatoria 1999-2006. </w:t>
      </w:r>
      <w:r w:rsidRPr="003C4D9E">
        <w:rPr>
          <w:rFonts w:ascii="Times New Roman" w:hAnsi="Times New Roman"/>
          <w:i/>
          <w:sz w:val="24"/>
          <w:szCs w:val="24"/>
          <w:lang w:val="en-US"/>
        </w:rPr>
        <w:t>Nuevo estudio y ac</w:t>
      </w:r>
      <w:r>
        <w:rPr>
          <w:rFonts w:ascii="Times New Roman" w:hAnsi="Times New Roman"/>
          <w:i/>
          <w:sz w:val="24"/>
          <w:szCs w:val="24"/>
          <w:lang w:val="en-US"/>
        </w:rPr>
        <w:t xml:space="preserve">tualización del informe 2000 </w:t>
      </w:r>
      <w:r w:rsidRPr="00377564">
        <w:rPr>
          <w:rFonts w:ascii="Times New Roman" w:hAnsi="Times New Roman"/>
          <w:i/>
          <w:sz w:val="24"/>
          <w:szCs w:val="24"/>
          <w:lang w:val="en-US"/>
        </w:rPr>
        <w:t xml:space="preserve">[School violence: bullying among peers in compulsory secondary education 1999-2006. New study and 2000 report update], </w:t>
      </w:r>
      <w:r w:rsidRPr="003C4D9E">
        <w:rPr>
          <w:rFonts w:ascii="Times New Roman" w:hAnsi="Times New Roman"/>
          <w:sz w:val="24"/>
          <w:szCs w:val="24"/>
          <w:lang w:val="en-US"/>
        </w:rPr>
        <w:t>Madrid</w:t>
      </w:r>
      <w:r>
        <w:rPr>
          <w:rFonts w:ascii="Times New Roman" w:hAnsi="Times New Roman"/>
          <w:sz w:val="24"/>
          <w:szCs w:val="24"/>
          <w:lang w:val="en-US"/>
        </w:rPr>
        <w:t>,</w:t>
      </w:r>
      <w:r w:rsidRPr="003C4D9E">
        <w:rPr>
          <w:rFonts w:ascii="Times New Roman" w:hAnsi="Times New Roman"/>
          <w:sz w:val="24"/>
          <w:szCs w:val="24"/>
          <w:lang w:val="en-US"/>
        </w:rPr>
        <w:t xml:space="preserve"> 2007, at</w:t>
      </w:r>
    </w:p>
    <w:p w:rsidR="001E0DA8" w:rsidRPr="003C4D9E" w:rsidRDefault="001E0DA8" w:rsidP="00E21A68">
      <w:pPr>
        <w:pStyle w:val="EndnoteText"/>
        <w:jc w:val="both"/>
        <w:rPr>
          <w:rFonts w:ascii="Times New Roman" w:hAnsi="Times New Roman"/>
          <w:sz w:val="24"/>
          <w:szCs w:val="24"/>
          <w:lang w:val="en-US"/>
        </w:rPr>
      </w:pPr>
      <w:hyperlink r:id="rId47" w:history="1">
        <w:r w:rsidRPr="003C4D9E">
          <w:rPr>
            <w:rStyle w:val="Hyperlink"/>
            <w:rFonts w:ascii="Times New Roman" w:hAnsi="Times New Roman"/>
            <w:sz w:val="24"/>
            <w:szCs w:val="24"/>
            <w:lang w:val="en-US"/>
          </w:rPr>
          <w:t>https://www.defensordelpueblo.es/wp-content/uploads/2015/05/2007-01-Violencia-escolar-el-maltrato-entre-iguales-en-la-Educaci%C3%B3n-Secundaria-Obligatoria-1999-2006.pdf</w:t>
        </w:r>
      </w:hyperlink>
    </w:p>
    <w:p w:rsidR="001E0DA8" w:rsidRPr="003C4D9E" w:rsidRDefault="001E0DA8" w:rsidP="00E21A68">
      <w:pPr>
        <w:pStyle w:val="EndnoteText"/>
        <w:jc w:val="both"/>
        <w:rPr>
          <w:rFonts w:ascii="Times New Roman" w:hAnsi="Times New Roman"/>
          <w:sz w:val="24"/>
          <w:szCs w:val="24"/>
          <w:lang w:val="en-US"/>
        </w:rPr>
      </w:pPr>
    </w:p>
    <w:p w:rsidR="001E0DA8" w:rsidRPr="00876738" w:rsidRDefault="001E0DA8" w:rsidP="00E21A68">
      <w:pPr>
        <w:jc w:val="both"/>
      </w:pPr>
      <w:r w:rsidRPr="00876738">
        <w:rPr>
          <w:i/>
        </w:rPr>
        <w:t xml:space="preserve">- Estudio estatal sobre la convivencia escolar en la educación secundaria obligatoria </w:t>
      </w:r>
      <w:r w:rsidRPr="00377564">
        <w:rPr>
          <w:i/>
        </w:rPr>
        <w:t>[State study on school coexistence in compulsory secondary education],</w:t>
      </w:r>
      <w:r w:rsidRPr="00876738">
        <w:t xml:space="preserve"> Madrid, 2010</w:t>
      </w:r>
      <w:r w:rsidRPr="00876738">
        <w:rPr>
          <w:i/>
        </w:rPr>
        <w:t xml:space="preserve">, </w:t>
      </w:r>
      <w:r w:rsidRPr="00876738">
        <w:t>at</w:t>
      </w:r>
    </w:p>
    <w:p w:rsidR="001E0DA8" w:rsidRPr="00876738" w:rsidRDefault="001E0DA8" w:rsidP="00E21A68">
      <w:pPr>
        <w:jc w:val="both"/>
        <w:rPr>
          <w:i/>
        </w:rPr>
      </w:pPr>
      <w:hyperlink r:id="rId48" w:history="1">
        <w:r w:rsidRPr="00876738">
          <w:rPr>
            <w:rStyle w:val="Hyperlink"/>
            <w:i/>
          </w:rPr>
          <w:t>https://sede.educacion.gob.es/publiventa/estudio-estatal-sobre-la-convivencia-escolar-en-la-educacion-secundaria-obligatoria/educacion-secundaria-socializacion/13567</w:t>
        </w:r>
      </w:hyperlink>
    </w:p>
    <w:p w:rsidR="001E0DA8" w:rsidRPr="00876738" w:rsidRDefault="001E0DA8" w:rsidP="00E21A68">
      <w:pPr>
        <w:jc w:val="both"/>
        <w:rPr>
          <w:i/>
        </w:rPr>
      </w:pPr>
    </w:p>
    <w:p w:rsidR="001E0DA8" w:rsidRPr="003713CF" w:rsidRDefault="001E0DA8" w:rsidP="00E21A68">
      <w:pPr>
        <w:jc w:val="both"/>
        <w:rPr>
          <w:lang w:val="en-US"/>
        </w:rPr>
      </w:pPr>
      <w:r>
        <w:rPr>
          <w:lang w:val="en-US"/>
        </w:rPr>
        <w:t>-</w:t>
      </w:r>
      <w:r w:rsidRPr="003C4D9E">
        <w:rPr>
          <w:lang w:val="en-US"/>
        </w:rPr>
        <w:t xml:space="preserve"> SAVE THE CHILDREN, </w:t>
      </w:r>
      <w:r w:rsidRPr="003C4D9E">
        <w:rPr>
          <w:i/>
          <w:lang w:val="en-US"/>
        </w:rPr>
        <w:t>Yo a eso no juego</w:t>
      </w:r>
      <w:r w:rsidRPr="00377564">
        <w:rPr>
          <w:i/>
          <w:lang w:val="en-US"/>
        </w:rPr>
        <w:t xml:space="preserve"> [I don't play that game],</w:t>
      </w:r>
      <w:r w:rsidRPr="003713CF">
        <w:rPr>
          <w:lang w:val="en-US"/>
        </w:rPr>
        <w:t xml:space="preserve"> Madrid, 2016, at</w:t>
      </w:r>
    </w:p>
    <w:p w:rsidR="001E0DA8" w:rsidRPr="00876738" w:rsidRDefault="001E0DA8" w:rsidP="00E21A68">
      <w:pPr>
        <w:jc w:val="both"/>
        <w:rPr>
          <w:lang w:val="en-US"/>
        </w:rPr>
      </w:pPr>
      <w:hyperlink r:id="rId49" w:history="1">
        <w:r w:rsidRPr="003C4D9E">
          <w:rPr>
            <w:rStyle w:val="Hyperlink"/>
            <w:lang w:val="en-US"/>
          </w:rPr>
          <w:t>https://www.savethechildren.es/sites/default/files/imce/docs/yo_a_eso_no_juego.pdf</w:t>
        </w:r>
      </w:hyperlink>
    </w:p>
    <w:p w:rsidR="001E0DA8" w:rsidRPr="003C4D9E" w:rsidRDefault="001E0DA8" w:rsidP="00E21A68">
      <w:pPr>
        <w:jc w:val="both"/>
        <w:rPr>
          <w:rStyle w:val="apple-converted-space"/>
          <w:lang w:val="en-US"/>
        </w:rPr>
      </w:pPr>
    </w:p>
    <w:p w:rsidR="001E0DA8" w:rsidRPr="003C4D9E" w:rsidRDefault="001E0DA8" w:rsidP="00E21A68">
      <w:pPr>
        <w:pStyle w:val="EndnoteText"/>
        <w:jc w:val="both"/>
        <w:rPr>
          <w:rFonts w:ascii="Times New Roman" w:hAnsi="Times New Roman"/>
          <w:sz w:val="24"/>
          <w:szCs w:val="24"/>
          <w:lang w:val="en-US"/>
        </w:rPr>
      </w:pPr>
      <w:r>
        <w:rPr>
          <w:rFonts w:ascii="Times New Roman" w:hAnsi="Times New Roman"/>
          <w:sz w:val="24"/>
          <w:szCs w:val="24"/>
          <w:lang w:val="en-US"/>
        </w:rPr>
        <w:t xml:space="preserve">- </w:t>
      </w:r>
      <w:r w:rsidRPr="003C4D9E">
        <w:rPr>
          <w:rFonts w:ascii="Times New Roman" w:hAnsi="Times New Roman"/>
          <w:sz w:val="24"/>
          <w:szCs w:val="24"/>
          <w:lang w:val="en-US"/>
        </w:rPr>
        <w:t>FUNDACIÓN ANAR Y FUNDACIÓN MUTUA MADRILEÑA</w:t>
      </w:r>
      <w:r w:rsidRPr="003C4D9E">
        <w:rPr>
          <w:rFonts w:ascii="Times New Roman" w:hAnsi="Times New Roman"/>
          <w:i/>
          <w:sz w:val="24"/>
          <w:szCs w:val="24"/>
          <w:lang w:val="en-US"/>
        </w:rPr>
        <w:t>, Acoso escolar: I Estudio sobre el ‘bullying’</w:t>
      </w:r>
      <w:r w:rsidRPr="003C4D9E">
        <w:rPr>
          <w:rFonts w:ascii="Times New Roman" w:hAnsi="Times New Roman"/>
          <w:sz w:val="24"/>
          <w:szCs w:val="24"/>
          <w:lang w:val="en-US"/>
        </w:rPr>
        <w:t xml:space="preserve"> </w:t>
      </w:r>
      <w:r w:rsidRPr="003C4D9E">
        <w:rPr>
          <w:rFonts w:ascii="Times New Roman" w:hAnsi="Times New Roman"/>
          <w:i/>
          <w:sz w:val="24"/>
          <w:szCs w:val="24"/>
          <w:lang w:val="en-US"/>
        </w:rPr>
        <w:t xml:space="preserve">según los afectados </w:t>
      </w:r>
      <w:r w:rsidRPr="00377564">
        <w:rPr>
          <w:rFonts w:ascii="Times New Roman" w:hAnsi="Times New Roman"/>
          <w:i/>
          <w:sz w:val="24"/>
          <w:szCs w:val="24"/>
          <w:lang w:val="en-US"/>
        </w:rPr>
        <w:t xml:space="preserve">[School bullying: 1st Study on bullying according to those affected], </w:t>
      </w:r>
      <w:r w:rsidRPr="003C4D9E">
        <w:rPr>
          <w:rFonts w:ascii="Times New Roman" w:hAnsi="Times New Roman"/>
          <w:sz w:val="24"/>
          <w:szCs w:val="24"/>
          <w:lang w:val="en-US"/>
        </w:rPr>
        <w:t>Madrid</w:t>
      </w:r>
      <w:r>
        <w:rPr>
          <w:rFonts w:ascii="Times New Roman" w:hAnsi="Times New Roman"/>
          <w:sz w:val="24"/>
          <w:szCs w:val="24"/>
          <w:lang w:val="en-US"/>
        </w:rPr>
        <w:t>,</w:t>
      </w:r>
      <w:r w:rsidRPr="003C4D9E">
        <w:rPr>
          <w:rFonts w:ascii="Times New Roman" w:hAnsi="Times New Roman"/>
          <w:sz w:val="24"/>
          <w:szCs w:val="24"/>
          <w:lang w:val="en-US"/>
        </w:rPr>
        <w:t xml:space="preserve"> 2016, at</w:t>
      </w:r>
    </w:p>
    <w:p w:rsidR="001E0DA8" w:rsidRPr="003C4D9E" w:rsidRDefault="001E0DA8" w:rsidP="00E21A68">
      <w:pPr>
        <w:pStyle w:val="EndnoteText"/>
        <w:jc w:val="both"/>
        <w:rPr>
          <w:rFonts w:ascii="Times New Roman" w:hAnsi="Times New Roman"/>
          <w:sz w:val="24"/>
          <w:szCs w:val="24"/>
          <w:lang w:val="en-US"/>
        </w:rPr>
      </w:pPr>
      <w:hyperlink r:id="rId50" w:history="1">
        <w:r w:rsidRPr="003C4D9E">
          <w:rPr>
            <w:rStyle w:val="Hyperlink"/>
            <w:rFonts w:ascii="Times New Roman" w:hAnsi="Times New Roman"/>
            <w:sz w:val="24"/>
            <w:szCs w:val="24"/>
            <w:lang w:val="en-US"/>
          </w:rPr>
          <w:t>http://www.anar.org/wp-content/uploads/2016/04/Estudio-Bullying-Seg%C3%BAn-los-Afectados-Abril-2016.pdf</w:t>
        </w:r>
      </w:hyperlink>
    </w:p>
    <w:p w:rsidR="001E0DA8" w:rsidRPr="003C4D9E" w:rsidRDefault="001E0DA8" w:rsidP="00E21A68">
      <w:pPr>
        <w:pStyle w:val="EndnoteText"/>
        <w:jc w:val="both"/>
        <w:rPr>
          <w:rFonts w:ascii="Times New Roman" w:hAnsi="Times New Roman"/>
          <w:sz w:val="24"/>
          <w:szCs w:val="24"/>
          <w:lang w:val="en-US"/>
        </w:rPr>
      </w:pPr>
    </w:p>
    <w:p w:rsidR="001E0DA8" w:rsidRPr="00876738" w:rsidRDefault="001E0DA8" w:rsidP="00E21A68">
      <w:pPr>
        <w:pStyle w:val="EndnoteText"/>
        <w:jc w:val="both"/>
        <w:rPr>
          <w:rFonts w:ascii="Times New Roman" w:hAnsi="Times New Roman"/>
          <w:i/>
          <w:sz w:val="24"/>
          <w:szCs w:val="24"/>
          <w:lang w:val="es-ES"/>
        </w:rPr>
      </w:pPr>
      <w:r w:rsidRPr="00876738">
        <w:rPr>
          <w:rFonts w:ascii="Times New Roman" w:hAnsi="Times New Roman"/>
          <w:sz w:val="24"/>
          <w:szCs w:val="24"/>
          <w:lang w:val="es-ES"/>
        </w:rPr>
        <w:t xml:space="preserve">- INSTITUTO DE LA MUJER Y PARA LA IGUALDAD DE OPORTUNIDADES, </w:t>
      </w:r>
      <w:r w:rsidRPr="00876738">
        <w:rPr>
          <w:rFonts w:ascii="Times New Roman" w:hAnsi="Times New Roman"/>
          <w:i/>
          <w:sz w:val="24"/>
          <w:szCs w:val="24"/>
          <w:lang w:val="es-ES"/>
        </w:rPr>
        <w:t>Abrazar la Diversidad: propuestas para una educación libre de acoso homofóbico y transfóbico</w:t>
      </w:r>
      <w:r w:rsidRPr="00377564">
        <w:rPr>
          <w:rFonts w:ascii="Times New Roman" w:hAnsi="Times New Roman"/>
          <w:i/>
          <w:sz w:val="24"/>
          <w:szCs w:val="24"/>
          <w:lang w:val="es-ES"/>
        </w:rPr>
        <w:t xml:space="preserve"> [Embracing Diversity: proposals for an education free of homophobic and transphobic bullying], </w:t>
      </w:r>
      <w:r w:rsidRPr="00876738">
        <w:rPr>
          <w:rFonts w:ascii="Times New Roman" w:hAnsi="Times New Roman"/>
          <w:sz w:val="24"/>
          <w:szCs w:val="24"/>
          <w:lang w:val="es-ES"/>
        </w:rPr>
        <w:t>Madrid, 2015, pp. 35-75</w:t>
      </w:r>
      <w:r w:rsidRPr="00876738">
        <w:rPr>
          <w:rFonts w:ascii="Times New Roman" w:hAnsi="Times New Roman"/>
          <w:i/>
          <w:sz w:val="24"/>
          <w:szCs w:val="24"/>
          <w:lang w:val="es-ES"/>
        </w:rPr>
        <w:t xml:space="preserve">, at </w:t>
      </w:r>
    </w:p>
    <w:p w:rsidR="001E0DA8" w:rsidRPr="00876738" w:rsidRDefault="001E0DA8" w:rsidP="003713CF">
      <w:pPr>
        <w:pStyle w:val="FootnoteText"/>
      </w:pPr>
      <w:hyperlink r:id="rId51" w:history="1">
        <w:r w:rsidRPr="00876738">
          <w:rPr>
            <w:rStyle w:val="Hyperlink"/>
          </w:rPr>
          <w:t xml:space="preserve">athttp://www.inmujer.gob.es/actualidad/NovedadesNuevas/docs/2015/Abrazar_la_diversidad.pdf </w:t>
        </w:r>
      </w:hyperlink>
    </w:p>
    <w:p w:rsidR="001E0DA8" w:rsidRPr="00876738" w:rsidRDefault="001E0DA8" w:rsidP="00E21A68">
      <w:pPr>
        <w:pStyle w:val="EndnoteText"/>
        <w:jc w:val="both"/>
        <w:rPr>
          <w:rFonts w:ascii="Times New Roman" w:hAnsi="Times New Roman"/>
          <w:sz w:val="24"/>
          <w:szCs w:val="24"/>
          <w:lang w:val="es-ES"/>
        </w:rPr>
      </w:pPr>
      <w:hyperlink r:id="rId52" w:history="1"/>
    </w:p>
    <w:p w:rsidR="001E0DA8" w:rsidRPr="00876738" w:rsidRDefault="001E0DA8" w:rsidP="00E21A68">
      <w:pPr>
        <w:pStyle w:val="EndnoteText"/>
        <w:jc w:val="both"/>
        <w:rPr>
          <w:rFonts w:ascii="Times New Roman" w:hAnsi="Times New Roman"/>
          <w:sz w:val="24"/>
          <w:szCs w:val="24"/>
          <w:lang w:val="es-ES"/>
        </w:rPr>
      </w:pPr>
    </w:p>
    <w:p w:rsidR="001E0DA8" w:rsidRPr="00876738" w:rsidRDefault="001E0DA8" w:rsidP="00E21A68">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DEFENSOR DEL PUEBLO, </w:t>
      </w:r>
      <w:r w:rsidRPr="00876738">
        <w:rPr>
          <w:rFonts w:ascii="Times New Roman" w:hAnsi="Times New Roman"/>
          <w:i/>
          <w:sz w:val="24"/>
          <w:szCs w:val="24"/>
          <w:lang w:val="es-ES"/>
        </w:rPr>
        <w:t xml:space="preserve">Seguridad y Accesibilidad en las Áreas de juego infantil </w:t>
      </w:r>
      <w:r w:rsidRPr="00377564">
        <w:rPr>
          <w:rFonts w:ascii="Times New Roman" w:hAnsi="Times New Roman"/>
          <w:i/>
          <w:sz w:val="24"/>
          <w:szCs w:val="24"/>
          <w:lang w:val="es-ES"/>
        </w:rPr>
        <w:t>[Safety and Accessibility in children's play Areas],</w:t>
      </w:r>
      <w:r w:rsidRPr="00876738">
        <w:rPr>
          <w:rFonts w:ascii="Times New Roman" w:hAnsi="Times New Roman"/>
          <w:i/>
          <w:sz w:val="24"/>
          <w:szCs w:val="24"/>
          <w:lang w:val="es-ES"/>
        </w:rPr>
        <w:t xml:space="preserve"> </w:t>
      </w:r>
      <w:r w:rsidRPr="00876738">
        <w:rPr>
          <w:rFonts w:ascii="Times New Roman" w:hAnsi="Times New Roman"/>
          <w:sz w:val="24"/>
          <w:szCs w:val="24"/>
          <w:lang w:val="es-ES"/>
        </w:rPr>
        <w:t>Madrid, 2015, at</w:t>
      </w:r>
    </w:p>
    <w:p w:rsidR="001E0DA8" w:rsidRPr="00876738" w:rsidRDefault="001E0DA8" w:rsidP="00E21A68">
      <w:pPr>
        <w:pStyle w:val="EndnoteText"/>
        <w:jc w:val="both"/>
        <w:rPr>
          <w:rFonts w:ascii="Times New Roman" w:hAnsi="Times New Roman"/>
          <w:sz w:val="24"/>
          <w:szCs w:val="24"/>
          <w:lang w:val="es-ES"/>
        </w:rPr>
      </w:pPr>
      <w:hyperlink r:id="rId53" w:history="1">
        <w:r w:rsidRPr="00876738">
          <w:rPr>
            <w:rStyle w:val="Hyperlink"/>
            <w:rFonts w:ascii="Times New Roman" w:hAnsi="Times New Roman"/>
            <w:bCs/>
            <w:sz w:val="24"/>
            <w:szCs w:val="24"/>
            <w:lang w:val="es-ES"/>
          </w:rPr>
          <w:t>https://www.defensordelpueblo.es/wp-content/uploads/2015/09/Areas_juego_infantil1.pdf</w:t>
        </w:r>
      </w:hyperlink>
    </w:p>
    <w:p w:rsidR="001E0DA8" w:rsidRPr="00876738" w:rsidRDefault="001E0DA8" w:rsidP="00E21A68">
      <w:pPr>
        <w:pStyle w:val="EndnoteText"/>
        <w:jc w:val="both"/>
        <w:rPr>
          <w:rFonts w:ascii="Times New Roman" w:hAnsi="Times New Roman"/>
          <w:sz w:val="24"/>
          <w:szCs w:val="24"/>
          <w:lang w:val="es-ES"/>
        </w:rPr>
      </w:pPr>
    </w:p>
    <w:p w:rsidR="001E0DA8" w:rsidRPr="00377564" w:rsidRDefault="001E0DA8" w:rsidP="00E21A68">
      <w:pPr>
        <w:pStyle w:val="EndnoteText"/>
        <w:jc w:val="both"/>
        <w:rPr>
          <w:rFonts w:ascii="Times New Roman" w:hAnsi="Times New Roman"/>
          <w:i/>
          <w:sz w:val="24"/>
          <w:szCs w:val="24"/>
          <w:lang w:val="es-ES"/>
        </w:rPr>
      </w:pPr>
      <w:r w:rsidRPr="00876738">
        <w:rPr>
          <w:rFonts w:ascii="Times New Roman" w:hAnsi="Times New Roman"/>
          <w:sz w:val="24"/>
          <w:szCs w:val="24"/>
          <w:lang w:val="es-ES"/>
        </w:rPr>
        <w:t xml:space="preserve">- DEFENSOR DEL PUEBLO, </w:t>
      </w:r>
      <w:r w:rsidRPr="00876738">
        <w:rPr>
          <w:rFonts w:ascii="Times New Roman" w:hAnsi="Times New Roman"/>
          <w:i/>
          <w:sz w:val="24"/>
          <w:szCs w:val="24"/>
          <w:lang w:val="es-ES"/>
        </w:rPr>
        <w:t>Informe Anual 2016</w:t>
      </w:r>
      <w:r w:rsidRPr="00377564">
        <w:rPr>
          <w:rFonts w:ascii="Times New Roman" w:hAnsi="Times New Roman"/>
          <w:i/>
          <w:sz w:val="24"/>
          <w:szCs w:val="24"/>
          <w:lang w:val="es-ES"/>
        </w:rPr>
        <w:t xml:space="preserve"> </w:t>
      </w:r>
      <w:r>
        <w:rPr>
          <w:rFonts w:ascii="Times New Roman" w:hAnsi="Times New Roman"/>
          <w:i/>
          <w:sz w:val="24"/>
          <w:szCs w:val="24"/>
          <w:lang w:val="es-ES"/>
        </w:rPr>
        <w:t>[2016</w:t>
      </w:r>
      <w:r w:rsidRPr="00377564">
        <w:rPr>
          <w:rFonts w:ascii="Times New Roman" w:hAnsi="Times New Roman"/>
          <w:i/>
          <w:sz w:val="24"/>
          <w:szCs w:val="24"/>
          <w:lang w:val="es-ES"/>
        </w:rPr>
        <w:t xml:space="preserve"> Annual Report] </w:t>
      </w:r>
    </w:p>
    <w:p w:rsidR="001E0DA8" w:rsidRPr="00876738" w:rsidRDefault="001E0DA8" w:rsidP="00E21A68">
      <w:pPr>
        <w:pStyle w:val="EndnoteText"/>
        <w:jc w:val="both"/>
        <w:rPr>
          <w:rFonts w:ascii="Times New Roman" w:hAnsi="Times New Roman"/>
          <w:sz w:val="24"/>
          <w:szCs w:val="24"/>
          <w:lang w:val="es-ES"/>
        </w:rPr>
      </w:pPr>
    </w:p>
    <w:p w:rsidR="001E0DA8" w:rsidRPr="00876738" w:rsidRDefault="001E0DA8" w:rsidP="00E21A68">
      <w:pPr>
        <w:jc w:val="both"/>
      </w:pPr>
      <w:r w:rsidRPr="00876738">
        <w:t xml:space="preserve">- DEFENSOR DEL PUEBLO, </w:t>
      </w:r>
      <w:r w:rsidRPr="00876738">
        <w:rPr>
          <w:i/>
        </w:rPr>
        <w:t>Informe Anual 2015</w:t>
      </w:r>
      <w:r w:rsidRPr="00377564">
        <w:rPr>
          <w:i/>
        </w:rPr>
        <w:t xml:space="preserve"> [2015 Annual Report] </w:t>
      </w:r>
    </w:p>
    <w:p w:rsidR="001E0DA8" w:rsidRPr="00876738" w:rsidRDefault="001E0DA8" w:rsidP="00E21A68">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w:t>
      </w:r>
      <w:hyperlink r:id="rId54" w:history="1">
        <w:r w:rsidRPr="00876738">
          <w:rPr>
            <w:rStyle w:val="Hyperlink"/>
            <w:rFonts w:ascii="Times New Roman" w:hAnsi="Times New Roman"/>
            <w:sz w:val="24"/>
            <w:szCs w:val="24"/>
            <w:lang w:val="es-ES"/>
          </w:rPr>
          <w:t>https://www.defensordelpueblo.es/wp-content/uploads/2016/02/Informe2015.pdf</w:t>
        </w:r>
      </w:hyperlink>
      <w:r w:rsidRPr="00876738">
        <w:rPr>
          <w:rFonts w:ascii="Times New Roman" w:hAnsi="Times New Roman"/>
          <w:sz w:val="24"/>
          <w:szCs w:val="24"/>
          <w:lang w:val="es-ES"/>
        </w:rPr>
        <w:t xml:space="preserve"> </w:t>
      </w:r>
    </w:p>
    <w:p w:rsidR="001E0DA8" w:rsidRPr="00876738" w:rsidRDefault="001E0DA8" w:rsidP="00E21A68">
      <w:pPr>
        <w:pStyle w:val="EndnoteText"/>
        <w:jc w:val="both"/>
        <w:rPr>
          <w:rFonts w:ascii="Times New Roman" w:hAnsi="Times New Roman"/>
          <w:sz w:val="24"/>
          <w:szCs w:val="24"/>
          <w:lang w:val="es-ES"/>
        </w:rPr>
      </w:pPr>
    </w:p>
    <w:p w:rsidR="001E0DA8" w:rsidRPr="00876738" w:rsidRDefault="001E0DA8" w:rsidP="00E21A68">
      <w:pPr>
        <w:pStyle w:val="EndnoteText"/>
        <w:jc w:val="both"/>
        <w:rPr>
          <w:rFonts w:ascii="Times New Roman" w:hAnsi="Times New Roman"/>
          <w:sz w:val="24"/>
          <w:szCs w:val="24"/>
          <w:lang w:val="es-ES"/>
        </w:rPr>
      </w:pPr>
      <w:r w:rsidRPr="00876738">
        <w:rPr>
          <w:rFonts w:ascii="Times New Roman" w:hAnsi="Times New Roman"/>
          <w:sz w:val="24"/>
          <w:szCs w:val="24"/>
          <w:lang w:val="es-ES"/>
        </w:rPr>
        <w:t xml:space="preserve">- DEFENSOR DEL PUEBLO/MNP, </w:t>
      </w:r>
      <w:r w:rsidRPr="00876738">
        <w:rPr>
          <w:rFonts w:ascii="Times New Roman" w:hAnsi="Times New Roman"/>
          <w:i/>
          <w:sz w:val="24"/>
          <w:szCs w:val="24"/>
          <w:lang w:val="es-ES"/>
        </w:rPr>
        <w:t xml:space="preserve">Los partes de lesiones de las personas privadas de libertad </w:t>
      </w:r>
      <w:r w:rsidRPr="00876738">
        <w:rPr>
          <w:rFonts w:ascii="Times New Roman" w:hAnsi="Times New Roman"/>
          <w:sz w:val="24"/>
          <w:szCs w:val="24"/>
          <w:lang w:val="es-ES"/>
        </w:rPr>
        <w:t>[</w:t>
      </w:r>
      <w:r w:rsidRPr="00377564">
        <w:rPr>
          <w:rFonts w:ascii="Times New Roman" w:hAnsi="Times New Roman"/>
          <w:i/>
          <w:sz w:val="24"/>
          <w:szCs w:val="24"/>
          <w:lang w:val="es-ES"/>
        </w:rPr>
        <w:t xml:space="preserve">Injury reports for persons deprived of liberty], </w:t>
      </w:r>
      <w:r w:rsidRPr="00876738">
        <w:rPr>
          <w:rFonts w:ascii="Times New Roman" w:hAnsi="Times New Roman"/>
          <w:sz w:val="24"/>
          <w:szCs w:val="24"/>
          <w:lang w:val="es-ES"/>
        </w:rPr>
        <w:t>Madrid, 2014</w:t>
      </w:r>
      <w:r w:rsidRPr="00876738">
        <w:rPr>
          <w:rFonts w:ascii="Times New Roman" w:hAnsi="Times New Roman"/>
          <w:i/>
          <w:sz w:val="24"/>
          <w:szCs w:val="24"/>
          <w:lang w:val="es-ES"/>
        </w:rPr>
        <w:t xml:space="preserve"> </w:t>
      </w:r>
      <w:r w:rsidRPr="00876738">
        <w:rPr>
          <w:rFonts w:ascii="Times New Roman" w:hAnsi="Times New Roman"/>
          <w:sz w:val="24"/>
          <w:szCs w:val="24"/>
          <w:lang w:val="es-ES"/>
        </w:rPr>
        <w:t>at</w:t>
      </w:r>
    </w:p>
    <w:p w:rsidR="001E0DA8" w:rsidRPr="00876738" w:rsidRDefault="001E0DA8" w:rsidP="00E21A68">
      <w:pPr>
        <w:pStyle w:val="EndnoteText"/>
        <w:jc w:val="both"/>
        <w:rPr>
          <w:rFonts w:ascii="Times New Roman" w:hAnsi="Times New Roman"/>
          <w:sz w:val="24"/>
          <w:szCs w:val="24"/>
          <w:lang w:val="es-ES"/>
        </w:rPr>
      </w:pPr>
      <w:hyperlink r:id="rId55" w:history="1">
        <w:r w:rsidRPr="00876738">
          <w:rPr>
            <w:rStyle w:val="Hyperlink"/>
            <w:rFonts w:ascii="Times New Roman" w:hAnsi="Times New Roman"/>
            <w:sz w:val="24"/>
            <w:szCs w:val="24"/>
            <w:lang w:val="es-ES"/>
          </w:rPr>
          <w:t>https://www.defensordelpueblo.es/informe-monografico/estudio-sobre-los-partes-de-lesiones-de-las-personas-privadas-de-libertad-junio-2014/</w:t>
        </w:r>
      </w:hyperlink>
    </w:p>
    <w:p w:rsidR="001E0DA8" w:rsidRPr="00876738" w:rsidRDefault="001E0DA8" w:rsidP="00E21A68">
      <w:pPr>
        <w:pStyle w:val="1"/>
        <w:numPr>
          <w:ilvl w:val="0"/>
          <w:numId w:val="0"/>
        </w:numPr>
        <w:jc w:val="both"/>
        <w:rPr>
          <w:rFonts w:ascii="Times New Roman" w:hAnsi="Times New Roman"/>
          <w:sz w:val="24"/>
          <w:lang w:val="es-ES"/>
        </w:rPr>
      </w:pPr>
    </w:p>
    <w:p w:rsidR="001E0DA8" w:rsidRPr="003C4D9E" w:rsidRDefault="001E0DA8" w:rsidP="00E21A68">
      <w:pPr>
        <w:pStyle w:val="1"/>
        <w:numPr>
          <w:ilvl w:val="0"/>
          <w:numId w:val="0"/>
        </w:numPr>
        <w:jc w:val="both"/>
        <w:rPr>
          <w:rFonts w:ascii="Times New Roman" w:hAnsi="Times New Roman"/>
          <w:sz w:val="24"/>
          <w:lang w:val="en-US"/>
        </w:rPr>
      </w:pPr>
      <w:bookmarkStart w:id="118" w:name="_Toc474493776"/>
      <w:bookmarkStart w:id="119" w:name="_Toc474499374"/>
      <w:bookmarkStart w:id="120" w:name="_Toc474885613"/>
      <w:bookmarkStart w:id="121" w:name="_Toc474914301"/>
      <w:bookmarkStart w:id="122" w:name="_Toc349454437"/>
      <w:bookmarkStart w:id="123" w:name="_Toc475958630"/>
      <w:bookmarkStart w:id="124" w:name="_Toc475965649"/>
      <w:bookmarkStart w:id="125" w:name="_Toc475979960"/>
      <w:r w:rsidRPr="003C4D9E">
        <w:rPr>
          <w:rFonts w:ascii="Times New Roman" w:hAnsi="Times New Roman"/>
          <w:sz w:val="24"/>
          <w:lang w:val="en-US"/>
        </w:rPr>
        <w:t>TREATIES, DOCUMENTS AND RESOLUTIONS OF INTERNATIONAL BODIES</w:t>
      </w:r>
      <w:bookmarkEnd w:id="118"/>
      <w:bookmarkEnd w:id="119"/>
      <w:bookmarkEnd w:id="120"/>
      <w:bookmarkEnd w:id="121"/>
      <w:bookmarkEnd w:id="122"/>
      <w:bookmarkEnd w:id="123"/>
      <w:bookmarkEnd w:id="124"/>
      <w:bookmarkEnd w:id="125"/>
      <w:r w:rsidRPr="003C4D9E">
        <w:rPr>
          <w:rFonts w:ascii="Times New Roman" w:hAnsi="Times New Roman"/>
          <w:sz w:val="24"/>
          <w:lang w:val="en-US"/>
        </w:rPr>
        <w:t xml:space="preserve"> </w:t>
      </w:r>
    </w:p>
    <w:p w:rsidR="001E0DA8" w:rsidRPr="003C4D9E" w:rsidRDefault="001E0DA8" w:rsidP="00E21A68">
      <w:pPr>
        <w:pStyle w:val="EndnoteText"/>
        <w:jc w:val="both"/>
        <w:rPr>
          <w:rFonts w:ascii="Times New Roman" w:hAnsi="Times New Roman"/>
          <w:sz w:val="24"/>
          <w:szCs w:val="24"/>
          <w:lang w:val="en-US"/>
        </w:rPr>
      </w:pPr>
    </w:p>
    <w:p w:rsidR="001E0DA8" w:rsidRPr="003C4D9E" w:rsidRDefault="001E0DA8" w:rsidP="00E21A68">
      <w:pPr>
        <w:pStyle w:val="EndnoteText"/>
        <w:jc w:val="both"/>
        <w:rPr>
          <w:rFonts w:ascii="Times New Roman" w:hAnsi="Times New Roman"/>
          <w:sz w:val="24"/>
          <w:szCs w:val="24"/>
          <w:lang w:val="en-US"/>
        </w:rPr>
      </w:pPr>
      <w:r w:rsidRPr="003C4D9E">
        <w:rPr>
          <w:rFonts w:ascii="Times New Roman" w:hAnsi="Times New Roman"/>
          <w:sz w:val="24"/>
          <w:szCs w:val="24"/>
          <w:lang w:val="en-US"/>
        </w:rPr>
        <w:t xml:space="preserve">- Convention on the Rights of the Child, 1989. </w:t>
      </w:r>
    </w:p>
    <w:p w:rsidR="001E0DA8" w:rsidRPr="003C4D9E" w:rsidRDefault="001E0DA8" w:rsidP="00E21A68">
      <w:pPr>
        <w:pStyle w:val="EndnoteText"/>
        <w:jc w:val="both"/>
        <w:rPr>
          <w:rFonts w:ascii="Times New Roman" w:hAnsi="Times New Roman"/>
          <w:sz w:val="24"/>
          <w:szCs w:val="24"/>
          <w:lang w:val="en-US"/>
        </w:rPr>
      </w:pPr>
    </w:p>
    <w:p w:rsidR="001E0DA8" w:rsidRPr="003C4D9E" w:rsidRDefault="001E0DA8" w:rsidP="00E21A68">
      <w:pPr>
        <w:pStyle w:val="EndnoteText"/>
        <w:jc w:val="both"/>
        <w:rPr>
          <w:rFonts w:ascii="Times New Roman" w:hAnsi="Times New Roman"/>
          <w:sz w:val="24"/>
          <w:szCs w:val="24"/>
          <w:lang w:val="en-US"/>
        </w:rPr>
      </w:pPr>
      <w:r>
        <w:rPr>
          <w:rFonts w:ascii="Times New Roman" w:hAnsi="Times New Roman"/>
          <w:sz w:val="24"/>
          <w:szCs w:val="24"/>
          <w:lang w:val="en-US"/>
        </w:rPr>
        <w:t>-</w:t>
      </w:r>
      <w:r w:rsidRPr="003C4D9E">
        <w:rPr>
          <w:rFonts w:ascii="Times New Roman" w:hAnsi="Times New Roman"/>
          <w:sz w:val="24"/>
          <w:szCs w:val="24"/>
          <w:lang w:val="en-US"/>
        </w:rPr>
        <w:t xml:space="preserve"> Convention on the Rights of Persons with Disabilities, 2006. </w:t>
      </w:r>
    </w:p>
    <w:p w:rsidR="001E0DA8" w:rsidRPr="003C4D9E" w:rsidRDefault="001E0DA8" w:rsidP="00E21A68">
      <w:pPr>
        <w:pStyle w:val="EndnoteText"/>
        <w:jc w:val="both"/>
        <w:rPr>
          <w:rFonts w:ascii="Times New Roman" w:hAnsi="Times New Roman"/>
          <w:sz w:val="24"/>
          <w:szCs w:val="24"/>
          <w:lang w:val="en-US"/>
        </w:rPr>
      </w:pPr>
      <w:r w:rsidRPr="003C4D9E">
        <w:rPr>
          <w:rFonts w:ascii="Times New Roman" w:hAnsi="Times New Roman"/>
          <w:sz w:val="24"/>
          <w:szCs w:val="24"/>
          <w:lang w:val="en-US"/>
        </w:rPr>
        <w:t xml:space="preserve"> </w:t>
      </w:r>
    </w:p>
    <w:p w:rsidR="001E0DA8" w:rsidRPr="003C4D9E" w:rsidRDefault="001E0DA8" w:rsidP="00E21A68">
      <w:pPr>
        <w:pStyle w:val="EndnoteText"/>
        <w:jc w:val="both"/>
        <w:rPr>
          <w:rFonts w:ascii="Times New Roman" w:hAnsi="Times New Roman"/>
          <w:sz w:val="24"/>
          <w:szCs w:val="24"/>
          <w:lang w:val="en-US"/>
        </w:rPr>
      </w:pPr>
      <w:r w:rsidRPr="003C4D9E">
        <w:rPr>
          <w:rFonts w:ascii="Times New Roman" w:hAnsi="Times New Roman"/>
          <w:sz w:val="24"/>
          <w:szCs w:val="24"/>
          <w:lang w:val="en-US"/>
        </w:rPr>
        <w:t xml:space="preserve">- COMMITTEE ON THE RIGHTS OF THE CHILD, General Comment nº 2, CRC/GC/2002/2. </w:t>
      </w:r>
    </w:p>
    <w:p w:rsidR="001E0DA8" w:rsidRPr="003C4D9E" w:rsidRDefault="001E0DA8" w:rsidP="00E21A68">
      <w:pPr>
        <w:pStyle w:val="EndnoteText"/>
        <w:jc w:val="both"/>
        <w:rPr>
          <w:rFonts w:ascii="Times New Roman" w:hAnsi="Times New Roman"/>
          <w:sz w:val="24"/>
          <w:szCs w:val="24"/>
          <w:lang w:val="en-US"/>
        </w:rPr>
      </w:pPr>
    </w:p>
    <w:p w:rsidR="001E0DA8" w:rsidRPr="003C4D9E" w:rsidRDefault="001E0DA8" w:rsidP="00E21A68">
      <w:pPr>
        <w:pStyle w:val="EndnoteText"/>
        <w:jc w:val="both"/>
        <w:rPr>
          <w:rFonts w:ascii="Times New Roman" w:hAnsi="Times New Roman"/>
          <w:sz w:val="24"/>
          <w:szCs w:val="24"/>
          <w:lang w:val="en-US"/>
        </w:rPr>
      </w:pPr>
      <w:r>
        <w:rPr>
          <w:rFonts w:ascii="Times New Roman" w:hAnsi="Times New Roman"/>
          <w:sz w:val="24"/>
          <w:szCs w:val="24"/>
          <w:lang w:val="en-US"/>
        </w:rPr>
        <w:t>-</w:t>
      </w:r>
      <w:r w:rsidRPr="003C4D9E">
        <w:rPr>
          <w:rFonts w:ascii="Times New Roman" w:hAnsi="Times New Roman"/>
          <w:sz w:val="24"/>
          <w:szCs w:val="24"/>
          <w:lang w:val="en-US"/>
        </w:rPr>
        <w:t xml:space="preserve"> COMMITTEE ON THE RIGHTS OF THE CHILD, General Comment nº 12, CRC/C/GC/2009.  </w:t>
      </w:r>
    </w:p>
    <w:p w:rsidR="001E0DA8" w:rsidRPr="003C4D9E" w:rsidRDefault="001E0DA8" w:rsidP="00E21A68">
      <w:pPr>
        <w:pStyle w:val="EndnoteText"/>
        <w:jc w:val="both"/>
        <w:rPr>
          <w:rFonts w:ascii="Times New Roman" w:hAnsi="Times New Roman"/>
          <w:sz w:val="24"/>
          <w:szCs w:val="24"/>
          <w:lang w:val="en-US"/>
        </w:rPr>
      </w:pPr>
    </w:p>
    <w:p w:rsidR="001E0DA8" w:rsidRPr="003C4D9E" w:rsidRDefault="001E0DA8" w:rsidP="00E21A68">
      <w:pPr>
        <w:pStyle w:val="EndnoteText"/>
        <w:jc w:val="both"/>
        <w:rPr>
          <w:rFonts w:ascii="Times New Roman" w:hAnsi="Times New Roman"/>
          <w:sz w:val="24"/>
          <w:szCs w:val="24"/>
          <w:lang w:val="en-US"/>
        </w:rPr>
      </w:pPr>
      <w:r>
        <w:rPr>
          <w:rFonts w:ascii="Times New Roman" w:hAnsi="Times New Roman"/>
          <w:sz w:val="24"/>
          <w:szCs w:val="24"/>
          <w:lang w:val="en-US"/>
        </w:rPr>
        <w:t>-</w:t>
      </w:r>
      <w:r w:rsidRPr="003C4D9E">
        <w:rPr>
          <w:rFonts w:ascii="Times New Roman" w:hAnsi="Times New Roman"/>
          <w:sz w:val="24"/>
          <w:szCs w:val="24"/>
          <w:lang w:val="en-US"/>
        </w:rPr>
        <w:t xml:space="preserve"> COMMITTEE ON THE RIGHTS OF THE CHILD, General Comment nº 14, CRC/C/GC/2013.</w:t>
      </w:r>
    </w:p>
    <w:p w:rsidR="001E0DA8" w:rsidRPr="003C4D9E" w:rsidRDefault="001E0DA8" w:rsidP="00E21A68">
      <w:pPr>
        <w:pStyle w:val="EndnoteText"/>
        <w:jc w:val="both"/>
        <w:rPr>
          <w:rFonts w:ascii="Times New Roman" w:hAnsi="Times New Roman"/>
          <w:sz w:val="24"/>
          <w:szCs w:val="24"/>
          <w:lang w:val="en-US"/>
        </w:rPr>
      </w:pPr>
    </w:p>
    <w:p w:rsidR="001E0DA8" w:rsidRPr="003C4D9E" w:rsidRDefault="001E0DA8" w:rsidP="00E21A68">
      <w:pPr>
        <w:pStyle w:val="EndnoteText"/>
        <w:jc w:val="both"/>
        <w:rPr>
          <w:rFonts w:ascii="Times New Roman" w:hAnsi="Times New Roman"/>
          <w:sz w:val="24"/>
          <w:szCs w:val="24"/>
          <w:lang w:val="en-US"/>
        </w:rPr>
      </w:pPr>
      <w:r>
        <w:rPr>
          <w:rFonts w:ascii="Times New Roman" w:hAnsi="Times New Roman"/>
          <w:sz w:val="24"/>
          <w:szCs w:val="24"/>
          <w:lang w:val="en-US"/>
        </w:rPr>
        <w:t>-</w:t>
      </w:r>
      <w:r w:rsidRPr="003C4D9E">
        <w:rPr>
          <w:rFonts w:ascii="Times New Roman" w:hAnsi="Times New Roman"/>
          <w:sz w:val="24"/>
          <w:szCs w:val="24"/>
          <w:lang w:val="en-US"/>
        </w:rPr>
        <w:t xml:space="preserve"> COMMITTEE ON THE RIGHTS OF THE CHILD, Final Comments 2010 Spanish Report, CRC/C/ESP/CO/3-4.</w:t>
      </w:r>
    </w:p>
    <w:p w:rsidR="001E0DA8" w:rsidRPr="003C4D9E" w:rsidRDefault="001E0DA8" w:rsidP="00E21A68">
      <w:pPr>
        <w:pStyle w:val="EndnoteText"/>
        <w:jc w:val="both"/>
        <w:rPr>
          <w:rFonts w:ascii="Times New Roman" w:hAnsi="Times New Roman"/>
          <w:sz w:val="24"/>
          <w:szCs w:val="24"/>
          <w:lang w:val="en-US"/>
        </w:rPr>
      </w:pPr>
    </w:p>
    <w:p w:rsidR="001E0DA8" w:rsidRPr="003C4D9E" w:rsidRDefault="001E0DA8" w:rsidP="00E21A68">
      <w:pPr>
        <w:jc w:val="both"/>
        <w:rPr>
          <w:b/>
          <w:lang w:val="en-US"/>
        </w:rPr>
      </w:pPr>
      <w:r w:rsidRPr="003C4D9E">
        <w:rPr>
          <w:lang w:val="en-US"/>
        </w:rPr>
        <w:t xml:space="preserve">- Resolution 1992/54 of the Commission on Human Rights of 3 March 1992, E/CN.4/RES/1992/54/Annex, and Resolution 48/134 of the General Assembly of 20 December 1993 on Principles related to the statute of national institutions for the promotion and protection of human rights, A/RES/48/134/Annex </w:t>
      </w:r>
    </w:p>
    <w:sectPr w:rsidR="001E0DA8" w:rsidRPr="003C4D9E" w:rsidSect="00371CB2">
      <w:footerReference w:type="even" r:id="rId56"/>
      <w:footerReference w:type="first" r:id="rId57"/>
      <w:pgSz w:w="11907" w:h="16840" w:code="9"/>
      <w:pgMar w:top="2835" w:right="1701" w:bottom="2552" w:left="1701" w:header="1701" w:footer="1985" w:gutter="56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DA8" w:rsidRDefault="001E0DA8">
      <w:r>
        <w:separator/>
      </w:r>
    </w:p>
  </w:endnote>
  <w:endnote w:type="continuationSeparator" w:id="0">
    <w:p w:rsidR="001E0DA8" w:rsidRDefault="001E0D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ce Script MT">
    <w:altName w:val="Zapfino"/>
    <w:panose1 w:val="030303020206070C0B05"/>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A8" w:rsidRDefault="001E0DA8" w:rsidP="00371CB2">
    <w:pPr>
      <w:pStyle w:val="Footer"/>
      <w:ind w:right="360" w:firstLine="360"/>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A8" w:rsidRDefault="001E0DA8" w:rsidP="00DB5679">
    <w:pPr>
      <w:pStyle w:val="Footer"/>
      <w:framePr w:wrap="around" w:vAnchor="text" w:hAnchor="margin" w:xAlign="outside"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61</w:t>
    </w:r>
    <w:r>
      <w:rPr>
        <w:rStyle w:val="PageNumber"/>
        <w:rFonts w:cs="Arial"/>
      </w:rPr>
      <w:fldChar w:fldCharType="end"/>
    </w:r>
  </w:p>
  <w:p w:rsidR="001E0DA8" w:rsidRDefault="001E0DA8" w:rsidP="00371CB2">
    <w:pPr>
      <w:pStyle w:val="Footer"/>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A8" w:rsidRDefault="001E0DA8" w:rsidP="00371CB2">
    <w:pPr>
      <w:pStyle w:val="Footer"/>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A8" w:rsidRDefault="001E0DA8" w:rsidP="00DB5679">
    <w:pPr>
      <w:pStyle w:val="Footer"/>
      <w:framePr w:wrap="around" w:vAnchor="text" w:hAnchor="margin" w:xAlign="outside"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60</w:t>
    </w:r>
    <w:r>
      <w:rPr>
        <w:rStyle w:val="PageNumber"/>
        <w:rFonts w:cs="Arial"/>
      </w:rPr>
      <w:fldChar w:fldCharType="end"/>
    </w:r>
  </w:p>
  <w:p w:rsidR="001E0DA8" w:rsidRDefault="001E0DA8" w:rsidP="00371CB2">
    <w:pPr>
      <w:pStyle w:val="Footer"/>
      <w:ind w:right="360" w:firstLine="360"/>
      <w:jc w:val="righ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A8" w:rsidRDefault="001E0DA8" w:rsidP="00DB5679">
    <w:pPr>
      <w:pStyle w:val="Footer"/>
      <w:framePr w:wrap="around" w:vAnchor="text" w:hAnchor="margin" w:xAlign="outside"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1</w:t>
    </w:r>
    <w:r>
      <w:rPr>
        <w:rStyle w:val="PageNumber"/>
        <w:rFonts w:cs="Arial"/>
      </w:rPr>
      <w:fldChar w:fldCharType="end"/>
    </w:r>
  </w:p>
  <w:p w:rsidR="001E0DA8" w:rsidRDefault="001E0DA8" w:rsidP="00371CB2">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DA8" w:rsidRDefault="001E0DA8" w:rsidP="003A132C">
      <w:r>
        <w:separator/>
      </w:r>
    </w:p>
  </w:footnote>
  <w:footnote w:type="continuationSeparator" w:id="0">
    <w:p w:rsidR="001E0DA8" w:rsidRDefault="001E0DA8">
      <w:r>
        <w:continuationSeparator/>
      </w:r>
    </w:p>
  </w:footnote>
  <w:footnote w:id="1">
    <w:p w:rsidR="001E0DA8" w:rsidRPr="00876738" w:rsidRDefault="001E0DA8" w:rsidP="0012628A">
      <w:pPr>
        <w:pStyle w:val="FootnoteText"/>
      </w:pPr>
      <w:r w:rsidRPr="00FE57D4">
        <w:rPr>
          <w:rStyle w:val="FootnoteReference"/>
          <w:lang w:val="en-US"/>
        </w:rPr>
        <w:footnoteRef/>
      </w:r>
      <w:r w:rsidRPr="00FE57D4">
        <w:rPr>
          <w:lang w:val="en-US"/>
        </w:rPr>
        <w:t xml:space="preserve"> The EU-27 average for public investment in social protection for families and children   accounts for 2.2% of GDP. The EU-27 average for spending on children and families accounts for 7.5%. </w:t>
      </w:r>
      <w:r w:rsidRPr="00876738">
        <w:rPr>
          <w:i/>
        </w:rPr>
        <w:t>Vid</w:t>
      </w:r>
      <w:r w:rsidRPr="00876738">
        <w:t xml:space="preserve">. FUNDACIÓN FOESSA, </w:t>
      </w:r>
      <w:r w:rsidRPr="00876738">
        <w:rPr>
          <w:i/>
        </w:rPr>
        <w:t>La transmisión generacional de la pobreza: factores y propuestas para la intervención [General transmission of poverty: factors and proposals for intervention],</w:t>
      </w:r>
      <w:r w:rsidRPr="00876738">
        <w:t xml:space="preserve"> Madrid 2016, pp.80 and 81, at</w:t>
      </w:r>
      <w:r>
        <w:t>:</w:t>
      </w:r>
      <w:r w:rsidRPr="00876738">
        <w:t xml:space="preserve">  </w:t>
      </w:r>
    </w:p>
    <w:p w:rsidR="001E0DA8" w:rsidRDefault="001E0DA8" w:rsidP="0012628A">
      <w:pPr>
        <w:pStyle w:val="FootnoteText"/>
      </w:pPr>
      <w:hyperlink r:id="rId1" w:history="1">
        <w:r w:rsidRPr="00877D37">
          <w:rPr>
            <w:rStyle w:val="Hyperlink"/>
          </w:rPr>
          <w:t>h</w:t>
        </w:r>
        <w:r>
          <w:rPr>
            <w:rStyle w:val="Hyperlink"/>
          </w:rPr>
          <w:t>ll</w:t>
        </w:r>
        <w:r w:rsidRPr="00877D37">
          <w:rPr>
            <w:rStyle w:val="Hyperlink"/>
          </w:rPr>
          <w:t>ttp://www.caritas.es/imagesrepository/CapitulosPublicaciones/5250/transmisi%C3%B3n%20intergeneracional%20pobreza.pdf</w:t>
        </w:r>
      </w:hyperlink>
    </w:p>
    <w:p w:rsidR="001E0DA8" w:rsidRDefault="001E0DA8" w:rsidP="0012628A">
      <w:pPr>
        <w:pStyle w:val="FootnoteText"/>
      </w:pPr>
    </w:p>
  </w:footnote>
  <w:footnote w:id="2">
    <w:p w:rsidR="001E0DA8" w:rsidRDefault="001E0DA8" w:rsidP="0012628A">
      <w:pPr>
        <w:pStyle w:val="FootnoteText"/>
      </w:pPr>
      <w:r w:rsidRPr="005E2C76">
        <w:rPr>
          <w:rStyle w:val="FootnoteReference"/>
        </w:rPr>
        <w:footnoteRef/>
      </w:r>
      <w:r w:rsidRPr="005E2C76">
        <w:rPr>
          <w:lang w:val="en-US"/>
        </w:rPr>
        <w:t xml:space="preserve">  </w:t>
      </w:r>
      <w:r w:rsidRPr="005E2C76">
        <w:rPr>
          <w:i/>
          <w:lang w:val="en-US"/>
        </w:rPr>
        <w:t>Vid.</w:t>
      </w:r>
      <w:r w:rsidRPr="005E2C76">
        <w:rPr>
          <w:lang w:val="en-US"/>
        </w:rPr>
        <w:t xml:space="preserve"> CRC/C/ESP/CO/3-4, § 16.</w:t>
      </w:r>
    </w:p>
  </w:footnote>
  <w:footnote w:id="3">
    <w:p w:rsidR="001E0DA8" w:rsidRPr="00876738" w:rsidRDefault="001E0DA8" w:rsidP="0012628A">
      <w:pPr>
        <w:jc w:val="both"/>
        <w:rPr>
          <w:rStyle w:val="Hyperlink"/>
          <w:sz w:val="22"/>
          <w:szCs w:val="22"/>
          <w:lang w:val="en-GB"/>
        </w:rPr>
      </w:pPr>
      <w:r>
        <w:rPr>
          <w:rStyle w:val="FootnoteReference"/>
          <w:sz w:val="22"/>
          <w:szCs w:val="22"/>
        </w:rPr>
        <w:footnoteRef/>
      </w:r>
      <w:r w:rsidRPr="00876738">
        <w:rPr>
          <w:sz w:val="22"/>
          <w:szCs w:val="22"/>
          <w:lang w:val="en-GB"/>
        </w:rPr>
        <w:t xml:space="preserve"> Content in the area addressed to minors may be viewed at</w:t>
      </w:r>
      <w:r>
        <w:rPr>
          <w:sz w:val="22"/>
          <w:szCs w:val="22"/>
          <w:lang w:val="en-GB"/>
        </w:rPr>
        <w:t>:</w:t>
      </w:r>
      <w:r w:rsidRPr="00876738">
        <w:rPr>
          <w:sz w:val="22"/>
          <w:szCs w:val="22"/>
          <w:lang w:val="en-GB"/>
        </w:rPr>
        <w:t xml:space="preserve"> </w:t>
      </w:r>
      <w:hyperlink r:id="rId2" w:history="1">
        <w:r w:rsidRPr="00876738">
          <w:rPr>
            <w:rStyle w:val="Hyperlink"/>
            <w:sz w:val="22"/>
            <w:szCs w:val="22"/>
            <w:lang w:val="en-GB"/>
          </w:rPr>
          <w:t>https://infancia.defensordelpueblo.es/inicio.html</w:t>
        </w:r>
      </w:hyperlink>
      <w:r w:rsidRPr="00876738">
        <w:rPr>
          <w:sz w:val="22"/>
          <w:szCs w:val="22"/>
          <w:lang w:val="en-GB"/>
        </w:rPr>
        <w:t xml:space="preserve">. Content addressed to the general public at: </w:t>
      </w:r>
      <w:hyperlink r:id="rId3" w:history="1">
        <w:r w:rsidRPr="00876738">
          <w:rPr>
            <w:rStyle w:val="Hyperlink"/>
            <w:sz w:val="22"/>
            <w:szCs w:val="22"/>
            <w:lang w:val="en-GB"/>
          </w:rPr>
          <w:t>https://www.defensordelpueblo.es/grupo-social/menores/</w:t>
        </w:r>
      </w:hyperlink>
    </w:p>
    <w:p w:rsidR="001E0DA8" w:rsidRDefault="001E0DA8" w:rsidP="0012628A">
      <w:pPr>
        <w:jc w:val="both"/>
      </w:pPr>
    </w:p>
  </w:footnote>
  <w:footnote w:id="4">
    <w:p w:rsidR="001E0DA8" w:rsidRDefault="001E0DA8" w:rsidP="0012628A">
      <w:pPr>
        <w:pStyle w:val="FootnoteText"/>
      </w:pPr>
      <w:r w:rsidRPr="0012628A">
        <w:rPr>
          <w:rStyle w:val="FootnoteReference"/>
        </w:rPr>
        <w:footnoteRef/>
      </w:r>
      <w:r w:rsidRPr="00876738">
        <w:rPr>
          <w:lang w:val="en-GB"/>
        </w:rPr>
        <w:t xml:space="preserve"> </w:t>
      </w:r>
      <w:r w:rsidRPr="00876738">
        <w:rPr>
          <w:i/>
          <w:lang w:val="en-GB"/>
        </w:rPr>
        <w:t>Vid.</w:t>
      </w:r>
      <w:r w:rsidRPr="00876738">
        <w:rPr>
          <w:lang w:val="en-GB"/>
        </w:rPr>
        <w:t xml:space="preserve"> CRC/GC/2002/2 §§ 6 and 7.</w:t>
      </w:r>
    </w:p>
  </w:footnote>
  <w:footnote w:id="5">
    <w:p w:rsidR="001E0DA8" w:rsidRDefault="001E0DA8" w:rsidP="0012628A">
      <w:pPr>
        <w:pStyle w:val="FootnoteText"/>
      </w:pPr>
      <w:r>
        <w:rPr>
          <w:rStyle w:val="FootnoteReference"/>
        </w:rPr>
        <w:footnoteRef/>
      </w:r>
      <w:r w:rsidRPr="00876738">
        <w:rPr>
          <w:lang w:val="en-GB"/>
        </w:rPr>
        <w:t xml:space="preserve">  </w:t>
      </w:r>
      <w:r w:rsidRPr="00876738">
        <w:rPr>
          <w:i/>
          <w:lang w:val="en-GB"/>
        </w:rPr>
        <w:t>Vid.</w:t>
      </w:r>
      <w:r w:rsidRPr="00876738">
        <w:rPr>
          <w:lang w:val="en-GB"/>
        </w:rPr>
        <w:t xml:space="preserve"> CRC/GC/2002/2 §§  25 and 26.</w:t>
      </w:r>
    </w:p>
  </w:footnote>
  <w:footnote w:id="6">
    <w:p w:rsidR="001E0DA8" w:rsidRPr="00876738" w:rsidRDefault="001E0DA8" w:rsidP="0012628A">
      <w:pPr>
        <w:pStyle w:val="FootnoteText"/>
        <w:rPr>
          <w:lang w:val="en-GB"/>
        </w:rPr>
      </w:pPr>
      <w:r>
        <w:rPr>
          <w:rStyle w:val="FootnoteReference"/>
        </w:rPr>
        <w:footnoteRef/>
      </w:r>
      <w:r>
        <w:t xml:space="preserve"> </w:t>
      </w:r>
      <w:r>
        <w:rPr>
          <w:i/>
        </w:rPr>
        <w:t>Vid.</w:t>
      </w:r>
      <w:r>
        <w:t xml:space="preserve"> FUNDACIÓN SECRETARIADO GITANO, </w:t>
      </w:r>
      <w:r>
        <w:rPr>
          <w:i/>
        </w:rPr>
        <w:t xml:space="preserve">El Alumnado Gitano en Secundaria [Roma Students in Secondary School. </w:t>
      </w:r>
      <w:r w:rsidRPr="00876738">
        <w:rPr>
          <w:i/>
          <w:lang w:val="en-GB"/>
        </w:rPr>
        <w:t xml:space="preserve">A comparative study on absenteeism and school leaving in the Roma community] </w:t>
      </w:r>
      <w:r w:rsidRPr="00876738">
        <w:rPr>
          <w:lang w:val="en-GB"/>
        </w:rPr>
        <w:t>Madrid 2013, pp. 109, 111, 113, 124, at</w:t>
      </w:r>
      <w:r>
        <w:rPr>
          <w:lang w:val="en-GB"/>
        </w:rPr>
        <w:t>:</w:t>
      </w:r>
      <w:r w:rsidRPr="00876738">
        <w:rPr>
          <w:lang w:val="en-GB"/>
        </w:rPr>
        <w:t xml:space="preserve"> </w:t>
      </w:r>
      <w:hyperlink r:id="rId4" w:history="1">
        <w:r w:rsidRPr="00876738">
          <w:rPr>
            <w:rStyle w:val="Hyperlink"/>
            <w:lang w:val="en-GB"/>
          </w:rPr>
          <w:t>https://www.gitanos.org/upload/92/20/EstudioSecundaria.pdf</w:t>
        </w:r>
      </w:hyperlink>
    </w:p>
    <w:p w:rsidR="001E0DA8" w:rsidRDefault="001E0DA8" w:rsidP="0012628A">
      <w:pPr>
        <w:pStyle w:val="FootnoteText"/>
      </w:pPr>
    </w:p>
  </w:footnote>
  <w:footnote w:id="7">
    <w:p w:rsidR="001E0DA8" w:rsidRPr="00876738" w:rsidRDefault="001E0DA8" w:rsidP="00AB2026">
      <w:pPr>
        <w:pStyle w:val="FootnoteText"/>
        <w:rPr>
          <w:i/>
          <w:lang w:val="en-GB"/>
        </w:rPr>
      </w:pPr>
      <w:r w:rsidRPr="00854EE1">
        <w:rPr>
          <w:rStyle w:val="FootnoteReference"/>
        </w:rPr>
        <w:footnoteRef/>
      </w:r>
      <w:r w:rsidRPr="00854EE1">
        <w:rPr>
          <w:i/>
        </w:rPr>
        <w:t>Vid</w:t>
      </w:r>
      <w:r w:rsidRPr="00854EE1">
        <w:t xml:space="preserve">. DEFENSOR DEL PUEBLO, </w:t>
      </w:r>
      <w:r w:rsidRPr="00854EE1">
        <w:rPr>
          <w:i/>
        </w:rPr>
        <w:t xml:space="preserve"> La escucha y el interés superior del menor. </w:t>
      </w:r>
      <w:r w:rsidRPr="003E174B">
        <w:rPr>
          <w:i/>
          <w:lang w:val="en-GB"/>
        </w:rPr>
        <w:t xml:space="preserve">Revisión judicial de medidas de protección y procesos de familia [The process of hearing and the best interests of the child. </w:t>
      </w:r>
      <w:r>
        <w:rPr>
          <w:i/>
          <w:lang w:val="en-GB"/>
        </w:rPr>
        <w:t>Judicial review of family process and protection measures,</w:t>
      </w:r>
      <w:r w:rsidRPr="00876738">
        <w:rPr>
          <w:i/>
          <w:lang w:val="en-GB"/>
        </w:rPr>
        <w:t xml:space="preserve"> </w:t>
      </w:r>
      <w:r w:rsidRPr="00797847">
        <w:rPr>
          <w:lang w:val="en-GB"/>
        </w:rPr>
        <w:t xml:space="preserve">Madrid, 2014, at: </w:t>
      </w:r>
      <w:hyperlink r:id="rId5" w:history="1">
        <w:r w:rsidRPr="00797847">
          <w:rPr>
            <w:rStyle w:val="Hyperlink"/>
            <w:lang w:val="en-GB"/>
          </w:rPr>
          <w:t>https://www.defensordelpueblo.es/wp-content/uploads/2015/05/2014-05-Estudio-sobre-la-escucha-y-el-interes-superior-del-menor.pdf</w:t>
        </w:r>
      </w:hyperlink>
    </w:p>
    <w:p w:rsidR="001E0DA8" w:rsidRDefault="001E0DA8" w:rsidP="00AB2026">
      <w:pPr>
        <w:pStyle w:val="FootnoteText"/>
      </w:pPr>
    </w:p>
  </w:footnote>
  <w:footnote w:id="8">
    <w:p w:rsidR="001E0DA8" w:rsidRPr="00797847" w:rsidRDefault="001E0DA8" w:rsidP="0012628A">
      <w:pPr>
        <w:pStyle w:val="FootnoteText"/>
        <w:rPr>
          <w:rStyle w:val="Hyperlink"/>
        </w:rPr>
      </w:pPr>
      <w:r w:rsidRPr="00854EE1">
        <w:rPr>
          <w:rStyle w:val="FootnoteReference"/>
        </w:rPr>
        <w:footnoteRef/>
      </w:r>
      <w:r w:rsidRPr="00797847">
        <w:t xml:space="preserve"> </w:t>
      </w:r>
      <w:r w:rsidRPr="00797847">
        <w:rPr>
          <w:i/>
        </w:rPr>
        <w:t xml:space="preserve">Vid. </w:t>
      </w:r>
      <w:r w:rsidRPr="00797847">
        <w:t xml:space="preserve">DEFENSOR DEL PUEBLO, La escucha del menor, víctima o testigo [Listening to minors, victims or witnesses], at: </w:t>
      </w:r>
      <w:hyperlink r:id="rId6" w:history="1">
        <w:r w:rsidRPr="00797847">
          <w:rPr>
            <w:rStyle w:val="Hyperlink"/>
          </w:rPr>
          <w:t>https://www.defensordelpueblo.es/wp-content/uploads/2015/05/Ver-estudio.pdf</w:t>
        </w:r>
      </w:hyperlink>
    </w:p>
    <w:p w:rsidR="001E0DA8" w:rsidRDefault="001E0DA8" w:rsidP="0012628A">
      <w:pPr>
        <w:pStyle w:val="FootnoteText"/>
      </w:pPr>
    </w:p>
  </w:footnote>
  <w:footnote w:id="9">
    <w:p w:rsidR="001E0DA8" w:rsidRPr="00854EE1" w:rsidRDefault="001E0DA8" w:rsidP="0012628A">
      <w:pPr>
        <w:pStyle w:val="FootnoteText"/>
        <w:rPr>
          <w:lang w:val="en-US"/>
        </w:rPr>
      </w:pPr>
      <w:r w:rsidRPr="00854EE1">
        <w:rPr>
          <w:rStyle w:val="FootnoteReference"/>
        </w:rPr>
        <w:footnoteRef/>
      </w:r>
      <w:r w:rsidRPr="00854EE1">
        <w:rPr>
          <w:lang w:val="en-US"/>
        </w:rPr>
        <w:t xml:space="preserve"> </w:t>
      </w:r>
      <w:r w:rsidRPr="00854EE1">
        <w:rPr>
          <w:i/>
          <w:lang w:val="en-US"/>
        </w:rPr>
        <w:t>Vid.</w:t>
      </w:r>
      <w:r w:rsidRPr="00854EE1">
        <w:rPr>
          <w:lang w:val="en-US"/>
        </w:rPr>
        <w:t xml:space="preserve"> CRC/C/ESP/CO/3-4, § 30.</w:t>
      </w:r>
    </w:p>
    <w:p w:rsidR="001E0DA8" w:rsidRDefault="001E0DA8" w:rsidP="0012628A">
      <w:pPr>
        <w:pStyle w:val="FootnoteText"/>
      </w:pPr>
    </w:p>
  </w:footnote>
  <w:footnote w:id="10">
    <w:p w:rsidR="001E0DA8" w:rsidRDefault="001E0DA8" w:rsidP="0012628A">
      <w:pPr>
        <w:pStyle w:val="FootnoteText"/>
      </w:pPr>
      <w:r>
        <w:rPr>
          <w:rStyle w:val="FootnoteReference"/>
        </w:rPr>
        <w:footnoteRef/>
      </w:r>
      <w:r w:rsidRPr="00876738">
        <w:rPr>
          <w:lang w:val="en-GB"/>
        </w:rPr>
        <w:t xml:space="preserve"> </w:t>
      </w:r>
      <w:r w:rsidRPr="00876738">
        <w:rPr>
          <w:i/>
          <w:lang w:val="en-GB"/>
        </w:rPr>
        <w:t>Vid</w:t>
      </w:r>
      <w:r w:rsidRPr="00876738">
        <w:rPr>
          <w:lang w:val="en-GB"/>
        </w:rPr>
        <w:t>. CRC/C/GC/2009 and CRC/C/GC/2013.</w:t>
      </w:r>
    </w:p>
  </w:footnote>
  <w:footnote w:id="11">
    <w:p w:rsidR="001E0DA8" w:rsidRDefault="001E0DA8" w:rsidP="0012628A">
      <w:pPr>
        <w:pStyle w:val="FootnoteText"/>
      </w:pPr>
      <w:r w:rsidRPr="00854EE1">
        <w:rPr>
          <w:rStyle w:val="FootnoteReference"/>
        </w:rPr>
        <w:footnoteRef/>
      </w:r>
      <w:r w:rsidRPr="00876738">
        <w:rPr>
          <w:lang w:val="en-GB"/>
        </w:rPr>
        <w:t xml:space="preserve"> </w:t>
      </w:r>
      <w:r w:rsidRPr="00876738">
        <w:rPr>
          <w:i/>
          <w:lang w:val="en-GB"/>
        </w:rPr>
        <w:t>Vid.</w:t>
      </w:r>
      <w:r w:rsidRPr="00876738">
        <w:rPr>
          <w:lang w:val="en-GB"/>
        </w:rPr>
        <w:t xml:space="preserve"> CRC/C/GC/2009, §§ 70, 71, 72, 73 and 74. </w:t>
      </w:r>
      <w:r w:rsidRPr="00876738">
        <w:rPr>
          <w:i/>
          <w:lang w:val="en-GB"/>
        </w:rPr>
        <w:t>Vid</w:t>
      </w:r>
      <w:r w:rsidRPr="00876738">
        <w:rPr>
          <w:lang w:val="en-GB"/>
        </w:rPr>
        <w:t xml:space="preserve">. also General Comment nº 14 of the Commission on the Rights of the Child, on the right of the child to have his or her best interests taken as a primary consideration, CRC/C/GC/2013, §§ 43 to 45, 80 and ff.  </w:t>
      </w:r>
    </w:p>
  </w:footnote>
  <w:footnote w:id="12">
    <w:p w:rsidR="001E0DA8" w:rsidRPr="00AF0CAB" w:rsidRDefault="001E0DA8" w:rsidP="004E30B9">
      <w:pPr>
        <w:rPr>
          <w:sz w:val="22"/>
          <w:szCs w:val="22"/>
        </w:rPr>
      </w:pPr>
      <w:r>
        <w:rPr>
          <w:rStyle w:val="FootnoteReference"/>
        </w:rPr>
        <w:footnoteRef/>
      </w:r>
      <w:r>
        <w:t xml:space="preserve"> </w:t>
      </w:r>
      <w:r w:rsidRPr="00AF0CAB">
        <w:rPr>
          <w:i/>
          <w:sz w:val="22"/>
          <w:szCs w:val="22"/>
        </w:rPr>
        <w:t>Vid.</w:t>
      </w:r>
      <w:r w:rsidRPr="00AF0CAB">
        <w:rPr>
          <w:sz w:val="22"/>
          <w:szCs w:val="22"/>
        </w:rPr>
        <w:t xml:space="preserve"> MINISTERIO DE SANIDAD, SERVICIOS SOCIALES E IGUALDAD, </w:t>
      </w:r>
      <w:r w:rsidRPr="00AF0CAB">
        <w:rPr>
          <w:i/>
          <w:sz w:val="22"/>
          <w:szCs w:val="22"/>
        </w:rPr>
        <w:t>Boletín de datos estadísticos de medidas de protección a la Infancia [Bulletin of statistical data on Child measures of protection],</w:t>
      </w:r>
      <w:r w:rsidRPr="00AF0CAB">
        <w:rPr>
          <w:sz w:val="22"/>
          <w:szCs w:val="22"/>
        </w:rPr>
        <w:t xml:space="preserve"> Bulletin number 18, 2015 Data</w:t>
      </w:r>
      <w:r>
        <w:rPr>
          <w:sz w:val="22"/>
          <w:szCs w:val="22"/>
        </w:rPr>
        <w:t xml:space="preserve">, Madrid 2017, pp. 24 to 40, at: </w:t>
      </w:r>
      <w:hyperlink r:id="rId7" w:history="1">
        <w:r w:rsidRPr="00AF0CAB">
          <w:rPr>
            <w:rStyle w:val="Hyperlink"/>
            <w:sz w:val="22"/>
            <w:szCs w:val="22"/>
          </w:rPr>
          <w:t>http://www.observatoriodelainfancia.msssi.gob.es/productos/pdf/Boletinproteccion18provisionalcorrecto.pdf</w:t>
        </w:r>
      </w:hyperlink>
    </w:p>
    <w:p w:rsidR="001E0DA8" w:rsidRPr="00AF0CAB" w:rsidRDefault="001E0DA8" w:rsidP="00E01DA1">
      <w:pPr>
        <w:rPr>
          <w:sz w:val="22"/>
          <w:szCs w:val="22"/>
        </w:rPr>
      </w:pPr>
    </w:p>
    <w:p w:rsidR="001E0DA8" w:rsidRDefault="001E0DA8" w:rsidP="00E01DA1"/>
  </w:footnote>
  <w:footnote w:id="13">
    <w:p w:rsidR="001E0DA8" w:rsidRDefault="001E0DA8" w:rsidP="009B37A4">
      <w:pPr>
        <w:pStyle w:val="FootnoteText"/>
      </w:pPr>
      <w:r>
        <w:rPr>
          <w:rStyle w:val="FootnoteReference"/>
        </w:rPr>
        <w:footnoteRef/>
      </w:r>
      <w:r>
        <w:t xml:space="preserve"> Vid. DEFENSOR DEL PUEBLO, </w:t>
      </w:r>
      <w:r w:rsidRPr="001A6268">
        <w:rPr>
          <w:i/>
        </w:rPr>
        <w:t>Centros de protección de menores con trastornos de conducta y en situación de dificultad social [Centers of protection for minors with behavioral disorders and in difficult social conditions],</w:t>
      </w:r>
      <w:r>
        <w:t xml:space="preserve"> Madrid, 2009, at:</w:t>
      </w:r>
    </w:p>
    <w:p w:rsidR="001E0DA8" w:rsidRDefault="001E0DA8" w:rsidP="009B37A4">
      <w:pPr>
        <w:pStyle w:val="FootnoteText"/>
      </w:pPr>
      <w:hyperlink r:id="rId8" w:history="1">
        <w:r>
          <w:rPr>
            <w:rStyle w:val="Hyperlink"/>
          </w:rPr>
          <w:t>https://www.defensordelpueblo.es/wp-content/uploads/2015/05/2009-01-Centros-de-protecci%C3%B3n-de-menores-con-trastornos-de-conducta-y-en-situaci%C3%B3n-de-dificultad-social.pdf</w:t>
        </w:r>
      </w:hyperlink>
      <w:r>
        <w:t>.</w:t>
      </w:r>
    </w:p>
  </w:footnote>
  <w:footnote w:id="14">
    <w:p w:rsidR="001E0DA8" w:rsidRDefault="001E0DA8" w:rsidP="0089463A">
      <w:pPr>
        <w:pStyle w:val="FootnoteText"/>
      </w:pPr>
      <w:r>
        <w:rPr>
          <w:rStyle w:val="FootnoteReference"/>
        </w:rPr>
        <w:footnoteRef/>
      </w:r>
      <w:r>
        <w:t xml:space="preserve"> </w:t>
      </w:r>
      <w:r w:rsidRPr="00797847">
        <w:rPr>
          <w:i/>
        </w:rPr>
        <w:t>Vid.</w:t>
      </w:r>
      <w:r w:rsidRPr="00523759">
        <w:t xml:space="preserve"> DEFENSOR DEL PUEBLO, </w:t>
      </w:r>
      <w:r w:rsidRPr="00876738">
        <w:rPr>
          <w:i/>
        </w:rPr>
        <w:t xml:space="preserve">La urgencias hospitalarias en el Sistema Nacional de Salud: derechos y garantías de los pacientes [Hospital emergencies in the National Health System: Patient rights and guarantees], </w:t>
      </w:r>
      <w:r w:rsidRPr="00876738">
        <w:t>Madrid, 2015, at</w:t>
      </w:r>
      <w:r>
        <w:t>:</w:t>
      </w:r>
    </w:p>
    <w:p w:rsidR="001E0DA8" w:rsidRDefault="001E0DA8" w:rsidP="0089463A">
      <w:pPr>
        <w:pStyle w:val="FootnoteText"/>
      </w:pPr>
      <w:hyperlink r:id="rId9" w:history="1">
        <w:r>
          <w:rPr>
            <w:rStyle w:val="Hyperlink"/>
          </w:rPr>
          <w:t>https://www.defensordelpueblo.es/wp-content/uploads/2015/05/2015-Las-urgencias-hospitalarias-en-el-Sistema-Nacional-de-Salud-derechos-y-garant%C3%ADas-de-los-paciente-ESP.pdf</w:t>
        </w:r>
      </w:hyperlink>
    </w:p>
    <w:p w:rsidR="001E0DA8" w:rsidRDefault="001E0DA8" w:rsidP="0089463A">
      <w:pPr>
        <w:pStyle w:val="FootnoteText"/>
      </w:pPr>
    </w:p>
  </w:footnote>
  <w:footnote w:id="15">
    <w:p w:rsidR="001E0DA8" w:rsidRDefault="001E0DA8" w:rsidP="0012628A">
      <w:pPr>
        <w:pStyle w:val="FootnoteText"/>
      </w:pPr>
      <w:r>
        <w:rPr>
          <w:rStyle w:val="FootnoteReference"/>
        </w:rPr>
        <w:footnoteRef/>
      </w:r>
      <w:r w:rsidRPr="005636DB">
        <w:t xml:space="preserve"> </w:t>
      </w:r>
      <w:r w:rsidRPr="005636DB">
        <w:rPr>
          <w:i/>
        </w:rPr>
        <w:t>Vid.</w:t>
      </w:r>
      <w:r w:rsidRPr="005636DB">
        <w:t xml:space="preserve"> UNICEF</w:t>
      </w:r>
      <w:r w:rsidRPr="005636DB">
        <w:rPr>
          <w:i/>
        </w:rPr>
        <w:t>, La infancia en datos</w:t>
      </w:r>
      <w:r w:rsidRPr="005636DB">
        <w:t xml:space="preserve"> [Childhood in figures] at</w:t>
      </w:r>
      <w:r>
        <w:t>:</w:t>
      </w:r>
      <w:r w:rsidRPr="005636DB">
        <w:t xml:space="preserve"> </w:t>
      </w:r>
      <w:hyperlink r:id="rId10" w:history="1">
        <w:r w:rsidRPr="005636DB">
          <w:rPr>
            <w:rStyle w:val="Hyperlink"/>
          </w:rPr>
          <w:t>http://www.infanciaendatos.es/datos-graficos</w:t>
        </w:r>
      </w:hyperlink>
      <w:r w:rsidRPr="005636DB">
        <w:t xml:space="preserve">. </w:t>
      </w:r>
      <w:r w:rsidRPr="00876738">
        <w:rPr>
          <w:lang w:val="en-GB"/>
        </w:rPr>
        <w:t>The statistics and data on this website are significant and of great usefulness for understanding the situation of children and adolescents in Spain.</w:t>
      </w:r>
    </w:p>
  </w:footnote>
  <w:footnote w:id="16">
    <w:p w:rsidR="001E0DA8" w:rsidRDefault="001E0DA8" w:rsidP="0012628A">
      <w:pPr>
        <w:pStyle w:val="FootnoteText"/>
        <w:rPr>
          <w:lang w:val="en-US"/>
        </w:rPr>
      </w:pPr>
      <w:r w:rsidRPr="00876738">
        <w:rPr>
          <w:rStyle w:val="FootnoteReference"/>
          <w:lang w:val="en-GB"/>
        </w:rPr>
        <w:t>16</w:t>
      </w:r>
      <w:r w:rsidRPr="00876738">
        <w:rPr>
          <w:lang w:val="en-GB"/>
        </w:rPr>
        <w:t xml:space="preserve"> </w:t>
      </w:r>
      <w:r>
        <w:rPr>
          <w:lang w:val="en-US"/>
        </w:rPr>
        <w:t>The EU-27 relative poverty rate is 20.8%. That of extreme poverty in the EU-27 is 7.8%.</w:t>
      </w:r>
    </w:p>
    <w:p w:rsidR="001E0DA8" w:rsidRDefault="001E0DA8" w:rsidP="0012628A">
      <w:pPr>
        <w:pStyle w:val="FootnoteText"/>
      </w:pPr>
    </w:p>
  </w:footnote>
  <w:footnote w:id="17">
    <w:p w:rsidR="001E0DA8" w:rsidRDefault="001E0DA8" w:rsidP="00F3453C">
      <w:pPr>
        <w:pStyle w:val="FootnoteText"/>
        <w:jc w:val="left"/>
      </w:pPr>
      <w:r w:rsidRPr="00876738">
        <w:rPr>
          <w:rStyle w:val="FootnoteReference"/>
          <w:lang w:val="en-GB"/>
        </w:rPr>
        <w:t>17</w:t>
      </w:r>
      <w:r w:rsidRPr="00876738">
        <w:rPr>
          <w:lang w:val="en-GB"/>
        </w:rPr>
        <w:t xml:space="preserve">  The EU-27 average is 2.2% and 7.5% respectively. </w:t>
      </w:r>
      <w:r w:rsidRPr="00876738">
        <w:rPr>
          <w:i/>
          <w:lang w:val="en-GB"/>
        </w:rPr>
        <w:t xml:space="preserve"> </w:t>
      </w:r>
      <w:r w:rsidRPr="00C46257">
        <w:rPr>
          <w:i/>
        </w:rPr>
        <w:t>Vid.</w:t>
      </w:r>
      <w:r>
        <w:t xml:space="preserve"> </w:t>
      </w:r>
      <w:r w:rsidRPr="009011DF">
        <w:t xml:space="preserve">FUNDACIÓN FOESSA, </w:t>
      </w:r>
      <w:r w:rsidRPr="009011DF">
        <w:rPr>
          <w:i/>
        </w:rPr>
        <w:t>La transmisión generacional e la pobreza: factores y propuestas para la intervención [Generational transmission and poverty: factors and proposals for intervention]</w:t>
      </w:r>
      <w:r w:rsidRPr="009011DF">
        <w:t>, Madrid 2016, pp. 42, 43, 51 and 52, at</w:t>
      </w:r>
      <w:r>
        <w:t>:</w:t>
      </w:r>
      <w:r w:rsidRPr="009011DF">
        <w:t xml:space="preserve"> </w:t>
      </w:r>
      <w:hyperlink r:id="rId11" w:history="1">
        <w:r w:rsidRPr="00877D37">
          <w:rPr>
            <w:rStyle w:val="Hyperlink"/>
          </w:rPr>
          <w:t>http://www.caritas.es/imagesrepository/CapitulosPublicaciones/5250/transmisi%C3%B3n%20intergeneracional%20pobreza.pdf</w:t>
        </w:r>
      </w:hyperlink>
      <w:r>
        <w:t>.</w:t>
      </w:r>
    </w:p>
  </w:footnote>
  <w:footnote w:id="18">
    <w:p w:rsidR="001E0DA8" w:rsidRPr="00876738" w:rsidRDefault="001E0DA8" w:rsidP="004A0017">
      <w:pPr>
        <w:pStyle w:val="FootnoteText"/>
        <w:rPr>
          <w:lang w:val="en-GB"/>
        </w:rPr>
      </w:pPr>
      <w:r w:rsidRPr="00876738">
        <w:rPr>
          <w:rStyle w:val="FootnoteReference"/>
          <w:lang w:val="en-GB"/>
        </w:rPr>
        <w:t>18</w:t>
      </w:r>
      <w:r w:rsidRPr="00876738">
        <w:rPr>
          <w:lang w:val="en-GB"/>
        </w:rPr>
        <w:t xml:space="preserve"> </w:t>
      </w:r>
      <w:r w:rsidRPr="00DD5132">
        <w:rPr>
          <w:i/>
          <w:lang w:val="en-US"/>
        </w:rPr>
        <w:t>Vid</w:t>
      </w:r>
      <w:r w:rsidRPr="00DD5132">
        <w:rPr>
          <w:lang w:val="en-US"/>
        </w:rPr>
        <w:t xml:space="preserve">. DEFENSOR DEL PUEBLO </w:t>
      </w:r>
      <w:r w:rsidRPr="00DD5132">
        <w:rPr>
          <w:i/>
          <w:lang w:val="en-US"/>
        </w:rPr>
        <w:t>Viviendas protegidas vacías [Empty protected housing]</w:t>
      </w:r>
      <w:r>
        <w:rPr>
          <w:lang w:val="en-US"/>
        </w:rPr>
        <w:t xml:space="preserve">, Madrid, 2013, </w:t>
      </w:r>
      <w:r w:rsidRPr="00DD5132">
        <w:rPr>
          <w:lang w:val="en-US"/>
        </w:rPr>
        <w:t>The study placed particular emphasis on the need to optimize available housing stock since over 10,000 public housing dwellings were estimated to be empty yet habitable condition and whilst demand for this housing has not stopped growing. The report encouraged greater focus on a change in concept from owned homes to models based on renting yet with affordable rents (approximately 30% of a family's income) which, in practice, did not represent an obstacle to more precarious financial situations. A summary of the status of the issue is provided in the 2015 annual report. A</w:t>
      </w:r>
      <w:r>
        <w:rPr>
          <w:lang w:val="en-US"/>
        </w:rPr>
        <w:t xml:space="preserve">vailable </w:t>
      </w:r>
      <w:r w:rsidRPr="00DD5132">
        <w:rPr>
          <w:lang w:val="en-US"/>
        </w:rPr>
        <w:t>at</w:t>
      </w:r>
      <w:r w:rsidRPr="00876738">
        <w:rPr>
          <w:lang w:val="en-GB"/>
        </w:rPr>
        <w:t xml:space="preserve"> </w:t>
      </w:r>
      <w:hyperlink r:id="rId12" w:history="1">
        <w:r w:rsidRPr="00876738">
          <w:rPr>
            <w:rStyle w:val="Hyperlink"/>
            <w:lang w:val="en-GB"/>
          </w:rPr>
          <w:t>https://www.defensordelpueblo.es/wp-content/uploads/2015/05/2013-03-Estudio-Viviendas-Protegidas-Vac%C3%ADas.pdf</w:t>
        </w:r>
      </w:hyperlink>
      <w:r w:rsidRPr="00876738">
        <w:rPr>
          <w:lang w:val="en-GB"/>
        </w:rPr>
        <w:t>.</w:t>
      </w:r>
    </w:p>
    <w:p w:rsidR="001E0DA8" w:rsidRDefault="001E0DA8" w:rsidP="004A0017">
      <w:pPr>
        <w:pStyle w:val="FootnoteText"/>
      </w:pPr>
      <w:r w:rsidRPr="00876738">
        <w:rPr>
          <w:lang w:val="en-GB"/>
        </w:rPr>
        <w:t xml:space="preserve">  </w:t>
      </w:r>
    </w:p>
  </w:footnote>
  <w:footnote w:id="19">
    <w:p w:rsidR="001E0DA8" w:rsidRPr="00876738" w:rsidRDefault="001E0DA8" w:rsidP="004A0017">
      <w:pPr>
        <w:pStyle w:val="FootnoteText"/>
        <w:rPr>
          <w:lang w:val="en-GB"/>
        </w:rPr>
      </w:pPr>
      <w:r w:rsidRPr="003919E8">
        <w:rPr>
          <w:rStyle w:val="FootnoteReference"/>
        </w:rPr>
        <w:footnoteRef/>
      </w:r>
      <w:r w:rsidRPr="003919E8">
        <w:t xml:space="preserve"> </w:t>
      </w:r>
      <w:r w:rsidRPr="003919E8">
        <w:rPr>
          <w:i/>
        </w:rPr>
        <w:t>Vid.</w:t>
      </w:r>
      <w:r w:rsidRPr="003919E8">
        <w:t xml:space="preserve"> </w:t>
      </w:r>
      <w:r w:rsidRPr="00876738">
        <w:t xml:space="preserve">DEFENSOR DEL PUEBLO, </w:t>
      </w:r>
      <w:r w:rsidRPr="00876738">
        <w:rPr>
          <w:i/>
        </w:rPr>
        <w:t>Crisis económica y deudores hipotecarios: actuaciones y propuestas del Defensor del Pueblo [Financial crisis and mortgage debtors: actions and proposals from the Ombudsman Institution],</w:t>
      </w:r>
      <w:r w:rsidRPr="00876738">
        <w:t xml:space="preserve"> Madrid, 2012. </w:t>
      </w:r>
      <w:r w:rsidRPr="00DD5132">
        <w:rPr>
          <w:lang w:val="en-US"/>
        </w:rPr>
        <w:t xml:space="preserve">Update made on 9 April 2013. According to data from the Bank of Spain referenced by the study, 90% of family debt is due to mortgage financing of real estate assets. The report points out the need to offer special protection for habitual residences and for business premises at which habitual activities are carried out and defends dation in payment as an option for certain cases, although not in general due to the adverse effects that this might have for access to the credit market for economically weaker collectives. Available at </w:t>
      </w:r>
      <w:hyperlink r:id="rId13" w:history="1">
        <w:r w:rsidRPr="00DD5132">
          <w:rPr>
            <w:rStyle w:val="Hyperlink"/>
            <w:lang w:val="en-US"/>
          </w:rPr>
          <w:t>https://www.defensordelpueblo.es/wp-content/uploads/2015/05/2012-01-Crisis-econ%C3%B3mica-y-deudores-hipotecarios-actuaciones-y-propuestas-del-Defensor-del-Pueblo.pdf</w:t>
        </w:r>
      </w:hyperlink>
    </w:p>
    <w:p w:rsidR="001E0DA8" w:rsidRPr="00876738" w:rsidRDefault="001E0DA8" w:rsidP="0012628A">
      <w:pPr>
        <w:pStyle w:val="FootnoteText"/>
        <w:rPr>
          <w:lang w:val="en-GB"/>
        </w:rPr>
      </w:pPr>
    </w:p>
    <w:p w:rsidR="001E0DA8" w:rsidRDefault="001E0DA8" w:rsidP="0012628A">
      <w:pPr>
        <w:pStyle w:val="FootnoteText"/>
      </w:pPr>
      <w:r w:rsidRPr="00876738">
        <w:rPr>
          <w:lang w:val="en-GB"/>
        </w:rPr>
        <w:t xml:space="preserve">  </w:t>
      </w:r>
    </w:p>
  </w:footnote>
  <w:footnote w:id="20">
    <w:p w:rsidR="001E0DA8" w:rsidRDefault="001E0DA8" w:rsidP="007922C6">
      <w:pPr>
        <w:pStyle w:val="Heading3"/>
        <w:shd w:val="clear" w:color="auto" w:fill="FFFFFF"/>
        <w:jc w:val="both"/>
        <w:rPr>
          <w:rStyle w:val="Strong"/>
          <w:rFonts w:ascii="Times New Roman" w:hAnsi="Times New Roman"/>
          <w:b w:val="0"/>
          <w:sz w:val="22"/>
          <w:szCs w:val="22"/>
        </w:rPr>
      </w:pPr>
      <w:r w:rsidRPr="00350840">
        <w:rPr>
          <w:rStyle w:val="FootnoteReference"/>
          <w:rFonts w:cs="Arial"/>
          <w:sz w:val="22"/>
          <w:szCs w:val="22"/>
        </w:rPr>
        <w:footnoteRef/>
      </w:r>
      <w:r w:rsidRPr="00350840">
        <w:rPr>
          <w:rFonts w:ascii="Times New Roman" w:hAnsi="Times New Roman" w:cs="Times New Roman"/>
          <w:sz w:val="22"/>
          <w:szCs w:val="22"/>
        </w:rPr>
        <w:t xml:space="preserve"> </w:t>
      </w:r>
      <w:r w:rsidRPr="00DF54B8">
        <w:rPr>
          <w:rFonts w:ascii="Times New Roman" w:hAnsi="Times New Roman" w:cs="Times New Roman"/>
          <w:i/>
          <w:sz w:val="22"/>
          <w:szCs w:val="22"/>
        </w:rPr>
        <w:t>Vid.</w:t>
      </w:r>
      <w:r>
        <w:rPr>
          <w:rFonts w:ascii="Times New Roman" w:hAnsi="Times New Roman" w:cs="Times New Roman"/>
          <w:sz w:val="22"/>
          <w:szCs w:val="22"/>
        </w:rPr>
        <w:t xml:space="preserve"> DEFENSOR DEL PUEBLO, </w:t>
      </w:r>
      <w:r w:rsidRPr="00DF54B8">
        <w:rPr>
          <w:rStyle w:val="Strong"/>
          <w:rFonts w:ascii="Times New Roman" w:hAnsi="Times New Roman"/>
          <w:b w:val="0"/>
          <w:i/>
          <w:sz w:val="22"/>
          <w:szCs w:val="22"/>
        </w:rPr>
        <w:t>Estudio sobre gratuidad de los libros de texto: programas, ayudas, préstamos y reutilización [Study on free textbooks: programs, assistance, lending and reuse], Madrid 2013, at</w:t>
      </w:r>
      <w:r>
        <w:rPr>
          <w:rStyle w:val="Strong"/>
          <w:rFonts w:ascii="Times New Roman" w:hAnsi="Times New Roman"/>
          <w:b w:val="0"/>
          <w:i/>
          <w:sz w:val="22"/>
          <w:szCs w:val="22"/>
        </w:rPr>
        <w:t>:</w:t>
      </w:r>
    </w:p>
    <w:p w:rsidR="001E0DA8" w:rsidRPr="00350840" w:rsidRDefault="001E0DA8" w:rsidP="007922C6">
      <w:pPr>
        <w:pStyle w:val="Heading3"/>
        <w:shd w:val="clear" w:color="auto" w:fill="FFFFFF"/>
        <w:jc w:val="both"/>
        <w:rPr>
          <w:rStyle w:val="Strong"/>
          <w:rFonts w:ascii="Times New Roman" w:hAnsi="Times New Roman"/>
          <w:b w:val="0"/>
        </w:rPr>
      </w:pPr>
      <w:hyperlink r:id="rId14" w:history="1">
        <w:r w:rsidRPr="00350840">
          <w:rPr>
            <w:rStyle w:val="Hyperlink"/>
            <w:rFonts w:ascii="Times New Roman" w:hAnsi="Times New Roman"/>
            <w:sz w:val="22"/>
            <w:szCs w:val="22"/>
          </w:rPr>
          <w:t>https://www.defensordelpueblo.es/informe-monografico/estudio-sobre-gratuidad-de-los-libros-de-texto-programas-ayudas-prestamos-y-reutilizacion-noviembre-2013/</w:t>
        </w:r>
      </w:hyperlink>
    </w:p>
    <w:p w:rsidR="001E0DA8" w:rsidRDefault="001E0DA8" w:rsidP="007922C6">
      <w:pPr>
        <w:pStyle w:val="Heading3"/>
        <w:shd w:val="clear" w:color="auto" w:fill="FFFFFF"/>
        <w:jc w:val="both"/>
      </w:pPr>
    </w:p>
  </w:footnote>
  <w:footnote w:id="21">
    <w:p w:rsidR="001E0DA8" w:rsidRDefault="001E0DA8" w:rsidP="0012628A">
      <w:pPr>
        <w:pStyle w:val="FootnoteText"/>
      </w:pPr>
      <w:r>
        <w:rPr>
          <w:rStyle w:val="FootnoteReference"/>
        </w:rPr>
        <w:footnoteRef/>
      </w:r>
      <w:r>
        <w:t xml:space="preserve"> </w:t>
      </w:r>
      <w:r w:rsidRPr="00DF54B8">
        <w:rPr>
          <w:i/>
        </w:rPr>
        <w:t>Vid.</w:t>
      </w:r>
      <w:r>
        <w:rPr>
          <w:i/>
        </w:rPr>
        <w:t xml:space="preserve"> </w:t>
      </w:r>
      <w:r>
        <w:t>ALTO COMISIONADO DE LAS NACIONES UNIDAS PARA LOS DERECHOS HUMANOS, Estudio temático sobre el derecho de las personas con discapacidad a la educación [Thematic study on the right of persons with disabilities to education] 18 December 2013, A/HRC/25/29, § 5.</w:t>
      </w:r>
    </w:p>
    <w:p w:rsidR="001E0DA8" w:rsidRDefault="001E0DA8" w:rsidP="0012628A">
      <w:pPr>
        <w:pStyle w:val="FootnoteText"/>
      </w:pPr>
    </w:p>
  </w:footnote>
  <w:footnote w:id="22">
    <w:p w:rsidR="001E0DA8" w:rsidRDefault="001E0DA8" w:rsidP="00B03CFA">
      <w:pPr>
        <w:pStyle w:val="FootnoteText"/>
      </w:pPr>
      <w:r>
        <w:rPr>
          <w:rStyle w:val="FootnoteReference"/>
        </w:rPr>
        <w:footnoteRef/>
      </w:r>
      <w:r>
        <w:t xml:space="preserve"> </w:t>
      </w:r>
      <w:r w:rsidRPr="00E11AC7">
        <w:rPr>
          <w:i/>
        </w:rPr>
        <w:t>Vid.</w:t>
      </w:r>
      <w:r>
        <w:t xml:space="preserve"> Articles 72 and 74 of La Ley Orgánica 2/2006 of 3 de mayo, de Educación [Organic Law 2/2006 of 3 May on Education], and articles 18 and 20 of the Texto Refundido de la Ley General de derechos de las personas con discapacidad y de su inclusión social [Consolidated Version of the General Law on rights for persons with disabilities and their social inclusion].</w:t>
      </w:r>
    </w:p>
    <w:p w:rsidR="001E0DA8" w:rsidRDefault="001E0DA8" w:rsidP="00B03CFA">
      <w:pPr>
        <w:pStyle w:val="FootnoteText"/>
      </w:pPr>
    </w:p>
  </w:footnote>
  <w:footnote w:id="23">
    <w:p w:rsidR="001E0DA8" w:rsidRPr="00876738" w:rsidRDefault="001E0DA8" w:rsidP="00862802">
      <w:pPr>
        <w:pStyle w:val="FootnoteText"/>
        <w:rPr>
          <w:lang w:val="en-GB"/>
        </w:rPr>
      </w:pPr>
      <w:r>
        <w:rPr>
          <w:rStyle w:val="FootnoteReference"/>
        </w:rPr>
        <w:footnoteRef/>
      </w:r>
      <w:r>
        <w:t xml:space="preserve"> </w:t>
      </w:r>
      <w:r w:rsidRPr="00410674">
        <w:rPr>
          <w:i/>
        </w:rPr>
        <w:t>Vid.</w:t>
      </w:r>
      <w:r w:rsidRPr="00DF54B8">
        <w:t xml:space="preserve"> DEFENSOR DEL PUEBLO, </w:t>
      </w:r>
      <w:r w:rsidRPr="001A6268">
        <w:rPr>
          <w:i/>
        </w:rPr>
        <w:t>Violencia escolar: el maltrato entre iguales en la educación secundaria obligatoria 1999-2006  Nuevo estudio y a</w:t>
      </w:r>
      <w:r>
        <w:rPr>
          <w:i/>
        </w:rPr>
        <w:t xml:space="preserve">ctualización del informe 2000 </w:t>
      </w:r>
      <w:r w:rsidRPr="001A6268">
        <w:rPr>
          <w:i/>
        </w:rPr>
        <w:t xml:space="preserve">[School violence: bullying among peers in compulsory secondary education 1999-2006. </w:t>
      </w:r>
      <w:r w:rsidRPr="00876738">
        <w:rPr>
          <w:i/>
          <w:lang w:val="en-GB"/>
        </w:rPr>
        <w:t xml:space="preserve">New study and 2000 report update], </w:t>
      </w:r>
      <w:r w:rsidRPr="00876738">
        <w:rPr>
          <w:lang w:val="en-GB"/>
        </w:rPr>
        <w:t>Madrid 2007, at</w:t>
      </w:r>
      <w:r>
        <w:rPr>
          <w:lang w:val="en-GB"/>
        </w:rPr>
        <w:t>:</w:t>
      </w:r>
    </w:p>
    <w:p w:rsidR="001E0DA8" w:rsidRPr="00876738" w:rsidRDefault="001E0DA8" w:rsidP="00862802">
      <w:pPr>
        <w:pStyle w:val="FootnoteText"/>
        <w:rPr>
          <w:lang w:val="en-GB"/>
        </w:rPr>
      </w:pPr>
      <w:hyperlink r:id="rId15" w:history="1">
        <w:r w:rsidRPr="00876738">
          <w:rPr>
            <w:rStyle w:val="Hyperlink"/>
            <w:lang w:val="en-GB"/>
          </w:rPr>
          <w:t>https://www.defensordelpueblo.es/wp-content/uploads/2015/05/2007-01-Violencia-escolar-el-maltrato-entre-iguales-en-la-Educaci%C3%B3n-Secundaria-Obligatoria-1999-2006.pdf</w:t>
        </w:r>
      </w:hyperlink>
    </w:p>
    <w:p w:rsidR="001E0DA8" w:rsidRPr="00410674" w:rsidRDefault="001E0DA8" w:rsidP="00862802">
      <w:pPr>
        <w:pStyle w:val="FootnoteText"/>
        <w:rPr>
          <w:b/>
          <w:i/>
          <w:lang w:val="en-GB"/>
        </w:rPr>
      </w:pPr>
    </w:p>
    <w:p w:rsidR="001E0DA8" w:rsidRDefault="001E0DA8" w:rsidP="00862802">
      <w:pPr>
        <w:pStyle w:val="FootnoteText"/>
      </w:pPr>
      <w:r w:rsidRPr="00410674">
        <w:rPr>
          <w:i/>
        </w:rPr>
        <w:t>Vid.</w:t>
      </w:r>
      <w:r w:rsidRPr="00DF54B8">
        <w:t xml:space="preserve"> likewise DEFENSOR DEL PUEBLO, </w:t>
      </w:r>
      <w:r w:rsidRPr="001A6268">
        <w:rPr>
          <w:i/>
        </w:rPr>
        <w:t xml:space="preserve">Violencia escolar: el maltrato entre iguales en la educación secundaria obligatoria [School violence: bullying among peers in compulsory secondary education], </w:t>
      </w:r>
      <w:r>
        <w:t xml:space="preserve">Madrid 2000, at:  </w:t>
      </w:r>
    </w:p>
    <w:p w:rsidR="001E0DA8" w:rsidRDefault="001E0DA8" w:rsidP="00862802">
      <w:pPr>
        <w:pStyle w:val="FootnoteText"/>
      </w:pPr>
      <w:hyperlink r:id="rId16" w:history="1">
        <w:r>
          <w:rPr>
            <w:rStyle w:val="Hyperlink"/>
            <w:i/>
          </w:rPr>
          <w:t>https://www.defensordelpueblo.es/wp-content/uploads/2015/05/2000-01-Violencia-escolar-el-maltrato-entre-iguales-en-la-educaci%C3%B3n-secundaria-obligatoria.pdf</w:t>
        </w:r>
      </w:hyperlink>
    </w:p>
    <w:p w:rsidR="001E0DA8" w:rsidRDefault="001E0DA8" w:rsidP="00862802">
      <w:pPr>
        <w:pStyle w:val="FootnoteText"/>
      </w:pPr>
    </w:p>
  </w:footnote>
  <w:footnote w:id="24">
    <w:p w:rsidR="001E0DA8" w:rsidRPr="00876738" w:rsidRDefault="001E0DA8" w:rsidP="005C5DE1">
      <w:pPr>
        <w:jc w:val="both"/>
        <w:rPr>
          <w:sz w:val="22"/>
          <w:szCs w:val="22"/>
          <w:lang w:val="en-GB"/>
        </w:rPr>
      </w:pPr>
      <w:r>
        <w:rPr>
          <w:rStyle w:val="FootnoteReference"/>
          <w:sz w:val="22"/>
          <w:szCs w:val="22"/>
        </w:rPr>
        <w:footnoteRef/>
      </w:r>
      <w:r w:rsidRPr="00876738">
        <w:rPr>
          <w:sz w:val="22"/>
          <w:szCs w:val="22"/>
          <w:lang w:val="en-GB"/>
        </w:rPr>
        <w:t xml:space="preserve"> Ministerio de Educación (Ministry of Education) cites figures of 4% of secondary school students affected in Spain in its </w:t>
      </w:r>
      <w:r w:rsidRPr="00876738">
        <w:rPr>
          <w:i/>
          <w:sz w:val="22"/>
          <w:szCs w:val="22"/>
          <w:lang w:val="en-GB"/>
        </w:rPr>
        <w:t>Estudio estatal sobre la convivencia escolar en la educación secundaria obligatoria [State study on school coexistence in compulsory secondary education]</w:t>
      </w:r>
      <w:r w:rsidRPr="00876738">
        <w:rPr>
          <w:sz w:val="22"/>
          <w:szCs w:val="22"/>
          <w:lang w:val="en-GB"/>
        </w:rPr>
        <w:t>, Madrid 2010</w:t>
      </w:r>
      <w:r w:rsidRPr="00876738">
        <w:rPr>
          <w:i/>
          <w:sz w:val="22"/>
          <w:szCs w:val="22"/>
          <w:lang w:val="en-GB"/>
        </w:rPr>
        <w:t xml:space="preserve">, </w:t>
      </w:r>
      <w:r w:rsidRPr="00876738">
        <w:rPr>
          <w:sz w:val="22"/>
          <w:szCs w:val="22"/>
          <w:lang w:val="en-GB"/>
        </w:rPr>
        <w:t>at</w:t>
      </w:r>
      <w:r>
        <w:rPr>
          <w:sz w:val="22"/>
          <w:szCs w:val="22"/>
          <w:lang w:val="en-GB"/>
        </w:rPr>
        <w:t>:</w:t>
      </w:r>
    </w:p>
    <w:p w:rsidR="001E0DA8" w:rsidRPr="00876738" w:rsidRDefault="001E0DA8" w:rsidP="005C5DE1">
      <w:pPr>
        <w:jc w:val="both"/>
        <w:rPr>
          <w:i/>
          <w:sz w:val="22"/>
          <w:szCs w:val="22"/>
          <w:lang w:val="en-GB"/>
        </w:rPr>
      </w:pPr>
      <w:hyperlink r:id="rId17" w:history="1">
        <w:r w:rsidRPr="00876738">
          <w:rPr>
            <w:rStyle w:val="Hyperlink"/>
            <w:i/>
            <w:sz w:val="22"/>
            <w:szCs w:val="22"/>
            <w:lang w:val="en-GB"/>
          </w:rPr>
          <w:t>https://sede.educacion.gob.es/publiventa/estudio-estatal-sobre-la-convivencia-escolar-en-la-educacion-secundaria-obligatoria/educacion-secundaria-socializacion/13567</w:t>
        </w:r>
      </w:hyperlink>
    </w:p>
    <w:p w:rsidR="001E0DA8" w:rsidRPr="00876738" w:rsidRDefault="001E0DA8" w:rsidP="005C5DE1">
      <w:pPr>
        <w:jc w:val="both"/>
        <w:rPr>
          <w:i/>
          <w:sz w:val="22"/>
          <w:szCs w:val="22"/>
          <w:lang w:val="en-GB"/>
        </w:rPr>
      </w:pPr>
    </w:p>
    <w:p w:rsidR="001E0DA8" w:rsidRPr="00876738" w:rsidRDefault="001E0DA8" w:rsidP="005C5DE1">
      <w:pPr>
        <w:jc w:val="both"/>
        <w:rPr>
          <w:sz w:val="22"/>
          <w:szCs w:val="22"/>
          <w:lang w:val="en-GB"/>
        </w:rPr>
      </w:pPr>
      <w:r w:rsidRPr="00876738">
        <w:rPr>
          <w:sz w:val="22"/>
          <w:szCs w:val="22"/>
          <w:lang w:val="en-GB"/>
        </w:rPr>
        <w:t>More recent studies on non-g:overnmental associations cite a higher percentage:</w:t>
      </w:r>
      <w:r w:rsidRPr="00876738">
        <w:rPr>
          <w:rStyle w:val="apple-converted-space"/>
          <w:sz w:val="22"/>
          <w:szCs w:val="22"/>
          <w:lang w:val="en-GB"/>
        </w:rPr>
        <w:t> </w:t>
      </w:r>
      <w:hyperlink r:id="rId18" w:tgtFrame="_blank" w:history="1">
        <w:r w:rsidRPr="00876738">
          <w:rPr>
            <w:rStyle w:val="Hyperlink"/>
            <w:color w:val="auto"/>
            <w:sz w:val="22"/>
            <w:szCs w:val="22"/>
            <w:u w:val="none"/>
            <w:lang w:val="en-GB"/>
          </w:rPr>
          <w:t>one in 10 children claims to have suffered</w:t>
        </w:r>
      </w:hyperlink>
      <w:r w:rsidRPr="00876738">
        <w:rPr>
          <w:sz w:val="22"/>
          <w:szCs w:val="22"/>
          <w:lang w:val="en-GB"/>
        </w:rPr>
        <w:t xml:space="preserve">, according to the SAVE THE CHILDREN report, </w:t>
      </w:r>
      <w:r w:rsidRPr="00876738">
        <w:rPr>
          <w:i/>
          <w:sz w:val="22"/>
          <w:szCs w:val="22"/>
          <w:lang w:val="en-GB"/>
        </w:rPr>
        <w:t>Yo a eso no juego [I don't play that game]</w:t>
      </w:r>
      <w:r w:rsidRPr="00876738">
        <w:rPr>
          <w:sz w:val="22"/>
          <w:szCs w:val="22"/>
          <w:lang w:val="en-GB"/>
        </w:rPr>
        <w:t>, Madrid 2016, at</w:t>
      </w:r>
      <w:r>
        <w:rPr>
          <w:sz w:val="22"/>
          <w:szCs w:val="22"/>
          <w:lang w:val="en-GB"/>
        </w:rPr>
        <w:t>:</w:t>
      </w:r>
    </w:p>
    <w:p w:rsidR="001E0DA8" w:rsidRPr="00876738" w:rsidRDefault="001E0DA8" w:rsidP="005C5DE1">
      <w:pPr>
        <w:jc w:val="both"/>
        <w:rPr>
          <w:sz w:val="22"/>
          <w:szCs w:val="22"/>
          <w:lang w:val="en-GB"/>
        </w:rPr>
      </w:pPr>
      <w:hyperlink r:id="rId19" w:history="1">
        <w:r w:rsidRPr="00876738">
          <w:rPr>
            <w:rStyle w:val="Hyperlink"/>
            <w:sz w:val="22"/>
            <w:szCs w:val="22"/>
            <w:lang w:val="en-GB"/>
          </w:rPr>
          <w:t>https://www.savethechildren.es/sites/default/files/imce/docs/yo_a_eso_no_juego.pdf</w:t>
        </w:r>
      </w:hyperlink>
    </w:p>
    <w:p w:rsidR="001E0DA8" w:rsidRPr="00876738" w:rsidRDefault="001E0DA8" w:rsidP="005C5DE1">
      <w:pPr>
        <w:jc w:val="both"/>
        <w:rPr>
          <w:rStyle w:val="apple-converted-space"/>
          <w:lang w:val="en-GB"/>
        </w:rPr>
      </w:pPr>
    </w:p>
    <w:p w:rsidR="001E0DA8" w:rsidRDefault="001E0DA8" w:rsidP="00B52729">
      <w:pPr>
        <w:pStyle w:val="FootnoteText"/>
        <w:rPr>
          <w:lang w:val="en-GB"/>
        </w:rPr>
      </w:pPr>
      <w:r w:rsidRPr="00876738">
        <w:rPr>
          <w:lang w:val="en-GB"/>
        </w:rPr>
        <w:t>FUNDACIÓN ANAR  Y FUNDACIÓN MUTUA MADRILEÑA</w:t>
      </w:r>
      <w:r w:rsidRPr="00876738">
        <w:rPr>
          <w:i/>
          <w:lang w:val="en-GB"/>
        </w:rPr>
        <w:t>, Acoso escolar: I Estudio sobre el ‘bullying’</w:t>
      </w:r>
      <w:r w:rsidRPr="00876738">
        <w:rPr>
          <w:lang w:val="en-GB"/>
        </w:rPr>
        <w:t xml:space="preserve"> </w:t>
      </w:r>
      <w:r w:rsidRPr="00876738">
        <w:rPr>
          <w:i/>
          <w:lang w:val="en-GB"/>
        </w:rPr>
        <w:t>según los afectados</w:t>
      </w:r>
      <w:r w:rsidRPr="00876738">
        <w:rPr>
          <w:lang w:val="en-GB"/>
        </w:rPr>
        <w:t xml:space="preserve"> [School bullying: 1st Study on bullying according to those affected], Madrid 2016, at</w:t>
      </w:r>
      <w:r>
        <w:rPr>
          <w:lang w:val="en-GB"/>
        </w:rPr>
        <w:t xml:space="preserve">: </w:t>
      </w:r>
    </w:p>
    <w:p w:rsidR="001E0DA8" w:rsidRPr="00876738" w:rsidRDefault="001E0DA8" w:rsidP="00B52729">
      <w:pPr>
        <w:pStyle w:val="FootnoteText"/>
        <w:rPr>
          <w:lang w:val="en-GB"/>
        </w:rPr>
      </w:pPr>
      <w:hyperlink r:id="rId20" w:history="1">
        <w:r w:rsidRPr="00876738">
          <w:rPr>
            <w:rStyle w:val="Hyperlink"/>
            <w:lang w:val="en-GB"/>
          </w:rPr>
          <w:t>http://www.anar.org/wp-content/uploads/2016/04/Estudio-Bullying-Seg%C3%BAn-los-Afectados-Abril-2016.pdf</w:t>
        </w:r>
      </w:hyperlink>
    </w:p>
    <w:p w:rsidR="001E0DA8" w:rsidRDefault="001E0DA8" w:rsidP="00B52729">
      <w:pPr>
        <w:pStyle w:val="FootnoteText"/>
      </w:pPr>
    </w:p>
  </w:footnote>
  <w:footnote w:id="25">
    <w:p w:rsidR="001E0DA8" w:rsidRPr="00876738" w:rsidRDefault="001E0DA8" w:rsidP="00720655">
      <w:pPr>
        <w:pStyle w:val="FootnoteText"/>
      </w:pPr>
      <w:r>
        <w:rPr>
          <w:rStyle w:val="FootnoteReference"/>
        </w:rPr>
        <w:footnoteRef/>
      </w:r>
      <w:r>
        <w:t xml:space="preserve"> </w:t>
      </w:r>
      <w:r>
        <w:rPr>
          <w:i/>
        </w:rPr>
        <w:t>Vid</w:t>
      </w:r>
      <w:r>
        <w:t xml:space="preserve">. INSTITUTO DE LA MUJER Y PARA LA IGUALDAD DE OPORTUNIDADES, </w:t>
      </w:r>
      <w:r>
        <w:rPr>
          <w:i/>
        </w:rPr>
        <w:t>Abrazar la Diversidad: propuestas para una educación libre de acoso homofóbico y transfóbico [</w:t>
      </w:r>
      <w:r w:rsidRPr="00876738">
        <w:rPr>
          <w:i/>
        </w:rPr>
        <w:t>Embracing Diversity: proposals for an education free of homophobic and transphobic bullying],</w:t>
      </w:r>
      <w:r w:rsidRPr="00876738">
        <w:t xml:space="preserve"> Madrid 2015, pp. 35-75</w:t>
      </w:r>
      <w:r>
        <w:t>, at:</w:t>
      </w:r>
      <w:hyperlink r:id="rId21" w:history="1">
        <w:r w:rsidRPr="0084773C">
          <w:rPr>
            <w:rStyle w:val="Hyperlink"/>
          </w:rPr>
          <w:t xml:space="preserve">, http://www.inmujer.gob.es/actualidad/NovedadesNuevas/docs/2015/Abrazar_la_diversidad.pdf </w:t>
        </w:r>
      </w:hyperlink>
    </w:p>
    <w:p w:rsidR="001E0DA8" w:rsidRDefault="001E0DA8" w:rsidP="00720655">
      <w:pPr>
        <w:pStyle w:val="FootnoteText"/>
      </w:pPr>
    </w:p>
  </w:footnote>
  <w:footnote w:id="26">
    <w:p w:rsidR="001E0DA8" w:rsidRDefault="001E0DA8" w:rsidP="0012628A">
      <w:pPr>
        <w:pStyle w:val="FootnoteText"/>
      </w:pPr>
      <w:r w:rsidRPr="0097307E">
        <w:rPr>
          <w:rStyle w:val="FootnoteReference"/>
          <w:lang w:val="en-US"/>
        </w:rPr>
        <w:footnoteRef/>
      </w:r>
      <w:r w:rsidRPr="00876738">
        <w:t xml:space="preserve"> </w:t>
      </w:r>
      <w:r w:rsidRPr="00876738">
        <w:rPr>
          <w:i/>
        </w:rPr>
        <w:t>Vid</w:t>
      </w:r>
      <w:r w:rsidRPr="00876738">
        <w:t xml:space="preserve">. DEFENSOR DEL PUEBLO, </w:t>
      </w:r>
      <w:r w:rsidRPr="00876738">
        <w:rPr>
          <w:i/>
        </w:rPr>
        <w:t>Informe Anual 2016 [2016 Annual Report</w:t>
      </w:r>
      <w:r>
        <w:rPr>
          <w:i/>
        </w:rPr>
        <w:t>].</w:t>
      </w:r>
    </w:p>
  </w:footnote>
  <w:footnote w:id="27">
    <w:p w:rsidR="001E0DA8" w:rsidRDefault="001E0DA8" w:rsidP="000A23D8">
      <w:pPr>
        <w:jc w:val="both"/>
        <w:rPr>
          <w:sz w:val="22"/>
          <w:szCs w:val="22"/>
        </w:rPr>
      </w:pPr>
      <w:r>
        <w:rPr>
          <w:rStyle w:val="FootnoteReference"/>
        </w:rPr>
        <w:footnoteRef/>
      </w:r>
      <w:r>
        <w:t xml:space="preserve"> </w:t>
      </w:r>
      <w:r>
        <w:rPr>
          <w:i/>
        </w:rPr>
        <w:t>Vid.</w:t>
      </w:r>
      <w:r>
        <w:t xml:space="preserve"> </w:t>
      </w:r>
      <w:r>
        <w:rPr>
          <w:sz w:val="22"/>
          <w:szCs w:val="22"/>
        </w:rPr>
        <w:t xml:space="preserve">DEFENSOR DEL PUEBLO, </w:t>
      </w:r>
      <w:r>
        <w:rPr>
          <w:i/>
          <w:sz w:val="22"/>
          <w:szCs w:val="22"/>
        </w:rPr>
        <w:t>Informe Anual 2015 [2015 Annual Report]</w:t>
      </w:r>
      <w:r>
        <w:rPr>
          <w:sz w:val="22"/>
          <w:szCs w:val="22"/>
        </w:rPr>
        <w:t>, pp. 269-270, at:</w:t>
      </w:r>
    </w:p>
    <w:p w:rsidR="001E0DA8" w:rsidRDefault="001E0DA8" w:rsidP="000A23D8">
      <w:pPr>
        <w:jc w:val="both"/>
      </w:pPr>
      <w:r>
        <w:rPr>
          <w:sz w:val="22"/>
          <w:szCs w:val="22"/>
        </w:rPr>
        <w:t xml:space="preserve"> </w:t>
      </w:r>
      <w:hyperlink r:id="rId22" w:history="1">
        <w:r>
          <w:rPr>
            <w:rStyle w:val="Hyperlink"/>
          </w:rPr>
          <w:t>https://www.defensordelpueblo.es/wp-content/uploads/2016/02/Informe2015.pdf</w:t>
        </w:r>
      </w:hyperlink>
      <w:r>
        <w:t xml:space="preserve"> </w:t>
      </w:r>
    </w:p>
  </w:footnote>
  <w:footnote w:id="28">
    <w:p w:rsidR="001E0DA8" w:rsidRDefault="001E0DA8" w:rsidP="0012628A">
      <w:pPr>
        <w:pStyle w:val="FootnoteText"/>
      </w:pPr>
      <w:r>
        <w:rPr>
          <w:rStyle w:val="FootnoteReference"/>
        </w:rPr>
        <w:footnoteRef/>
      </w:r>
      <w:r>
        <w:t xml:space="preserve"> </w:t>
      </w:r>
      <w:r w:rsidRPr="00117EF2">
        <w:rPr>
          <w:i/>
        </w:rPr>
        <w:t>Vid</w:t>
      </w:r>
      <w:r>
        <w:t>. CPT/Inf (99) 12.</w:t>
      </w:r>
    </w:p>
  </w:footnote>
  <w:footnote w:id="29">
    <w:p w:rsidR="001E0DA8" w:rsidRDefault="001E0DA8" w:rsidP="0012628A">
      <w:pPr>
        <w:pStyle w:val="FootnoteText"/>
      </w:pPr>
      <w:r>
        <w:rPr>
          <w:rStyle w:val="FootnoteReference"/>
        </w:rPr>
        <w:footnoteRef/>
      </w:r>
      <w:r>
        <w:t xml:space="preserve"> </w:t>
      </w:r>
      <w:r w:rsidRPr="00410674">
        <w:rPr>
          <w:i/>
        </w:rPr>
        <w:t>Vid.</w:t>
      </w:r>
      <w:r w:rsidRPr="00930B29">
        <w:t xml:space="preserve"> DEFENSOR DEL PUEBLO/MNP, </w:t>
      </w:r>
      <w:r w:rsidRPr="001A6268">
        <w:rPr>
          <w:i/>
        </w:rPr>
        <w:t xml:space="preserve">Los partes de lesiones de las personas privadas de libertad, </w:t>
      </w:r>
      <w:r>
        <w:t>Madrid 2014 [Injury reports for persons deprived of liberty], at:</w:t>
      </w:r>
    </w:p>
    <w:p w:rsidR="001E0DA8" w:rsidRDefault="001E0DA8" w:rsidP="0012628A">
      <w:pPr>
        <w:pStyle w:val="FootnoteText"/>
        <w:rPr>
          <w:i/>
        </w:rPr>
      </w:pPr>
      <w:hyperlink r:id="rId23" w:history="1">
        <w:r>
          <w:rPr>
            <w:rStyle w:val="Hyperlink"/>
          </w:rPr>
          <w:t>https://www.defensordelpueblo.es/informe-monografico/estudio-sobre-los-partes-de-lesiones-de-las-personas-privadas-de-libertad-junio-2014/</w:t>
        </w:r>
      </w:hyperlink>
    </w:p>
    <w:p w:rsidR="001E0DA8" w:rsidRDefault="001E0DA8" w:rsidP="0012628A">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A8" w:rsidRPr="00B854C2" w:rsidRDefault="001E0DA8" w:rsidP="00B854C2">
    <w:pPr>
      <w:pStyle w:val="EncabezadoPar"/>
    </w:pPr>
    <w: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A8" w:rsidRDefault="001E0DA8" w:rsidP="00E94B00">
    <w:pPr>
      <w:pStyle w:val="EncabezadoImpar"/>
    </w:pPr>
  </w:p>
  <w:p w:rsidR="001E0DA8" w:rsidRPr="00E94B00" w:rsidRDefault="001E0DA8" w:rsidP="00E94B00">
    <w:pPr>
      <w:pStyle w:val="EncabezadoImpa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53D1A"/>
    <w:multiLevelType w:val="multilevel"/>
    <w:tmpl w:val="608A100C"/>
    <w:lvl w:ilvl="0">
      <w:start w:val="1"/>
      <w:numFmt w:val="none"/>
      <w:lvlText w:val="10."/>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0B2825B5"/>
    <w:multiLevelType w:val="hybridMultilevel"/>
    <w:tmpl w:val="B1CC7DE8"/>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2">
    <w:nsid w:val="0BB37839"/>
    <w:multiLevelType w:val="multilevel"/>
    <w:tmpl w:val="758858DA"/>
    <w:lvl w:ilvl="0">
      <w:start w:val="1"/>
      <w:numFmt w:val="decimal"/>
      <w:lvlText w:val="%1."/>
      <w:lvlJc w:val="left"/>
      <w:pPr>
        <w:tabs>
          <w:tab w:val="num" w:pos="720"/>
        </w:tabs>
        <w:ind w:left="720" w:hanging="360"/>
      </w:pPr>
      <w:rPr>
        <w:rFonts w:cs="Times New Roman"/>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D202C35"/>
    <w:multiLevelType w:val="multilevel"/>
    <w:tmpl w:val="98520B3A"/>
    <w:lvl w:ilvl="0">
      <w:start w:val="1"/>
      <w:numFmt w:val="decimal"/>
      <w:lvlText w:val="%1."/>
      <w:lvlJc w:val="left"/>
      <w:pPr>
        <w:tabs>
          <w:tab w:val="num" w:pos="720"/>
        </w:tabs>
        <w:ind w:left="720" w:hanging="360"/>
      </w:pPr>
      <w:rPr>
        <w:rFonts w:cs="Times New Roman"/>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nsid w:val="0E2439C6"/>
    <w:multiLevelType w:val="hybridMultilevel"/>
    <w:tmpl w:val="89E474C2"/>
    <w:lvl w:ilvl="0" w:tplc="B5D40C76">
      <w:start w:val="13"/>
      <w:numFmt w:val="decimal"/>
      <w:lvlText w:val="%1."/>
      <w:lvlJc w:val="left"/>
      <w:pPr>
        <w:tabs>
          <w:tab w:val="num" w:pos="984"/>
        </w:tabs>
        <w:ind w:left="984" w:hanging="360"/>
      </w:pPr>
      <w:rPr>
        <w:rFonts w:cs="Times New Roman" w:hint="default"/>
        <w:i w:val="0"/>
        <w:color w:val="auto"/>
      </w:rPr>
    </w:lvl>
    <w:lvl w:ilvl="1" w:tplc="0C0A0019" w:tentative="1">
      <w:start w:val="1"/>
      <w:numFmt w:val="lowerLetter"/>
      <w:lvlText w:val="%2."/>
      <w:lvlJc w:val="left"/>
      <w:pPr>
        <w:tabs>
          <w:tab w:val="num" w:pos="1704"/>
        </w:tabs>
        <w:ind w:left="1704" w:hanging="360"/>
      </w:pPr>
      <w:rPr>
        <w:rFonts w:cs="Times New Roman"/>
      </w:rPr>
    </w:lvl>
    <w:lvl w:ilvl="2" w:tplc="0C0A001B" w:tentative="1">
      <w:start w:val="1"/>
      <w:numFmt w:val="lowerRoman"/>
      <w:lvlText w:val="%3."/>
      <w:lvlJc w:val="right"/>
      <w:pPr>
        <w:tabs>
          <w:tab w:val="num" w:pos="2424"/>
        </w:tabs>
        <w:ind w:left="2424" w:hanging="180"/>
      </w:pPr>
      <w:rPr>
        <w:rFonts w:cs="Times New Roman"/>
      </w:rPr>
    </w:lvl>
    <w:lvl w:ilvl="3" w:tplc="0C0A000F" w:tentative="1">
      <w:start w:val="1"/>
      <w:numFmt w:val="decimal"/>
      <w:lvlText w:val="%4."/>
      <w:lvlJc w:val="left"/>
      <w:pPr>
        <w:tabs>
          <w:tab w:val="num" w:pos="3144"/>
        </w:tabs>
        <w:ind w:left="3144" w:hanging="360"/>
      </w:pPr>
      <w:rPr>
        <w:rFonts w:cs="Times New Roman"/>
      </w:rPr>
    </w:lvl>
    <w:lvl w:ilvl="4" w:tplc="0C0A0019" w:tentative="1">
      <w:start w:val="1"/>
      <w:numFmt w:val="lowerLetter"/>
      <w:lvlText w:val="%5."/>
      <w:lvlJc w:val="left"/>
      <w:pPr>
        <w:tabs>
          <w:tab w:val="num" w:pos="3864"/>
        </w:tabs>
        <w:ind w:left="3864" w:hanging="360"/>
      </w:pPr>
      <w:rPr>
        <w:rFonts w:cs="Times New Roman"/>
      </w:rPr>
    </w:lvl>
    <w:lvl w:ilvl="5" w:tplc="0C0A001B" w:tentative="1">
      <w:start w:val="1"/>
      <w:numFmt w:val="lowerRoman"/>
      <w:lvlText w:val="%6."/>
      <w:lvlJc w:val="right"/>
      <w:pPr>
        <w:tabs>
          <w:tab w:val="num" w:pos="4584"/>
        </w:tabs>
        <w:ind w:left="4584" w:hanging="180"/>
      </w:pPr>
      <w:rPr>
        <w:rFonts w:cs="Times New Roman"/>
      </w:rPr>
    </w:lvl>
    <w:lvl w:ilvl="6" w:tplc="0C0A000F" w:tentative="1">
      <w:start w:val="1"/>
      <w:numFmt w:val="decimal"/>
      <w:lvlText w:val="%7."/>
      <w:lvlJc w:val="left"/>
      <w:pPr>
        <w:tabs>
          <w:tab w:val="num" w:pos="5304"/>
        </w:tabs>
        <w:ind w:left="5304" w:hanging="360"/>
      </w:pPr>
      <w:rPr>
        <w:rFonts w:cs="Times New Roman"/>
      </w:rPr>
    </w:lvl>
    <w:lvl w:ilvl="7" w:tplc="0C0A0019" w:tentative="1">
      <w:start w:val="1"/>
      <w:numFmt w:val="lowerLetter"/>
      <w:lvlText w:val="%8."/>
      <w:lvlJc w:val="left"/>
      <w:pPr>
        <w:tabs>
          <w:tab w:val="num" w:pos="6024"/>
        </w:tabs>
        <w:ind w:left="6024" w:hanging="360"/>
      </w:pPr>
      <w:rPr>
        <w:rFonts w:cs="Times New Roman"/>
      </w:rPr>
    </w:lvl>
    <w:lvl w:ilvl="8" w:tplc="0C0A001B" w:tentative="1">
      <w:start w:val="1"/>
      <w:numFmt w:val="lowerRoman"/>
      <w:lvlText w:val="%9."/>
      <w:lvlJc w:val="right"/>
      <w:pPr>
        <w:tabs>
          <w:tab w:val="num" w:pos="6744"/>
        </w:tabs>
        <w:ind w:left="6744" w:hanging="180"/>
      </w:pPr>
      <w:rPr>
        <w:rFonts w:cs="Times New Roman"/>
      </w:rPr>
    </w:lvl>
  </w:abstractNum>
  <w:abstractNum w:abstractNumId="5">
    <w:nsid w:val="1487447E"/>
    <w:multiLevelType w:val="multilevel"/>
    <w:tmpl w:val="70D2C066"/>
    <w:lvl w:ilvl="0">
      <w:start w:val="1"/>
      <w:numFmt w:val="decimal"/>
      <w:pStyle w:val="1"/>
      <w:lvlText w:val="%1"/>
      <w:lvlJc w:val="left"/>
      <w:pPr>
        <w:tabs>
          <w:tab w:val="num" w:pos="510"/>
        </w:tabs>
        <w:ind w:left="510" w:hanging="510"/>
      </w:pPr>
      <w:rPr>
        <w:rFonts w:ascii="Times New Roman" w:hAnsi="Times New Roman" w:cs="Times New Roman" w:hint="default"/>
        <w:b/>
        <w:bCs/>
        <w:i w:val="0"/>
        <w:iCs w:val="0"/>
        <w:color w:val="0099CC"/>
        <w:sz w:val="24"/>
        <w:szCs w:val="24"/>
      </w:rPr>
    </w:lvl>
    <w:lvl w:ilvl="1">
      <w:start w:val="1"/>
      <w:numFmt w:val="decimal"/>
      <w:pStyle w:val="2"/>
      <w:lvlText w:val="%1.%2"/>
      <w:lvlJc w:val="left"/>
      <w:pPr>
        <w:tabs>
          <w:tab w:val="num" w:pos="710"/>
        </w:tabs>
        <w:ind w:left="710" w:hanging="510"/>
      </w:pPr>
      <w:rPr>
        <w:rFonts w:ascii="Times New Roman" w:hAnsi="Times New Roman" w:cs="Times New Roman" w:hint="default"/>
        <w:b w:val="0"/>
        <w:bCs w:val="0"/>
        <w:i w:val="0"/>
        <w:iCs w:val="0"/>
        <w:color w:val="0099CC"/>
        <w:sz w:val="22"/>
        <w:szCs w:val="22"/>
      </w:rPr>
    </w:lvl>
    <w:lvl w:ilvl="2">
      <w:start w:val="1"/>
      <w:numFmt w:val="decimal"/>
      <w:pStyle w:val="3"/>
      <w:lvlText w:val="%1.%2.%3"/>
      <w:lvlJc w:val="left"/>
      <w:pPr>
        <w:tabs>
          <w:tab w:val="num" w:pos="2624"/>
        </w:tabs>
        <w:ind w:left="2624" w:hanging="624"/>
      </w:pPr>
      <w:rPr>
        <w:rFonts w:ascii="Times New Roman" w:hAnsi="Times New Roman" w:cs="Times New Roman" w:hint="default"/>
        <w:b w:val="0"/>
        <w:bCs w:val="0"/>
        <w:i w:val="0"/>
        <w:iCs w:val="0"/>
        <w:color w:val="0099CC"/>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
    <w:nsid w:val="158B3437"/>
    <w:multiLevelType w:val="multilevel"/>
    <w:tmpl w:val="87007802"/>
    <w:lvl w:ilvl="0">
      <w:start w:val="1"/>
      <w:numFmt w:val="decimal"/>
      <w:lvlText w:val="%1."/>
      <w:lvlJc w:val="left"/>
      <w:pPr>
        <w:tabs>
          <w:tab w:val="num" w:pos="644"/>
        </w:tabs>
        <w:ind w:left="644" w:hanging="360"/>
      </w:pPr>
      <w:rPr>
        <w:rFonts w:cs="Times New Roman" w:hint="default"/>
        <w:b w:val="0"/>
        <w:bCs/>
        <w:i w:val="0"/>
        <w:iCs w:val="0"/>
        <w:color w:val="auto"/>
        <w:sz w:val="22"/>
        <w:szCs w:val="22"/>
      </w:rPr>
    </w:lvl>
    <w:lvl w:ilvl="1">
      <w:start w:val="1"/>
      <w:numFmt w:val="decimal"/>
      <w:lvlText w:val="2.%2."/>
      <w:lvlJc w:val="left"/>
      <w:pPr>
        <w:tabs>
          <w:tab w:val="num" w:pos="1076"/>
        </w:tabs>
        <w:ind w:left="1076" w:hanging="432"/>
      </w:pPr>
      <w:rPr>
        <w:rFonts w:cs="Times New Roman" w:hint="default"/>
        <w:b w:val="0"/>
        <w:bCs w:val="0"/>
        <w:i w:val="0"/>
        <w:iCs w:val="0"/>
        <w:color w:val="4F8B2B"/>
        <w:sz w:val="22"/>
        <w:szCs w:val="22"/>
      </w:rPr>
    </w:lvl>
    <w:lvl w:ilvl="2">
      <w:start w:val="1"/>
      <w:numFmt w:val="decimal"/>
      <w:lvlText w:val="%1.2"/>
      <w:lvlJc w:val="left"/>
      <w:pPr>
        <w:tabs>
          <w:tab w:val="num" w:pos="1724"/>
        </w:tabs>
        <w:ind w:left="1508" w:hanging="504"/>
      </w:pPr>
      <w:rPr>
        <w:rFonts w:cs="Times New Roman" w:hint="default"/>
        <w:b w:val="0"/>
        <w:bCs w:val="0"/>
        <w:i w:val="0"/>
        <w:iCs w:val="0"/>
        <w:color w:val="4F8B2B"/>
        <w:sz w:val="22"/>
        <w:szCs w:val="22"/>
      </w:rPr>
    </w:lvl>
    <w:lvl w:ilvl="3">
      <w:start w:val="1"/>
      <w:numFmt w:val="decimal"/>
      <w:lvlText w:val="%1.%2.%3.%4."/>
      <w:lvlJc w:val="left"/>
      <w:pPr>
        <w:tabs>
          <w:tab w:val="num" w:pos="2444"/>
        </w:tabs>
        <w:ind w:left="2012" w:hanging="648"/>
      </w:pPr>
      <w:rPr>
        <w:rFonts w:cs="Times New Roman" w:hint="default"/>
      </w:rPr>
    </w:lvl>
    <w:lvl w:ilvl="4">
      <w:start w:val="1"/>
      <w:numFmt w:val="decimal"/>
      <w:lvlText w:val="%1.%2.%3.%4.%5."/>
      <w:lvlJc w:val="left"/>
      <w:pPr>
        <w:tabs>
          <w:tab w:val="num" w:pos="2804"/>
        </w:tabs>
        <w:ind w:left="2516" w:hanging="792"/>
      </w:pPr>
      <w:rPr>
        <w:rFonts w:cs="Times New Roman" w:hint="default"/>
      </w:rPr>
    </w:lvl>
    <w:lvl w:ilvl="5">
      <w:start w:val="1"/>
      <w:numFmt w:val="decimal"/>
      <w:lvlText w:val="%1.%2.%3.%4.%5.%6."/>
      <w:lvlJc w:val="left"/>
      <w:pPr>
        <w:tabs>
          <w:tab w:val="num" w:pos="3524"/>
        </w:tabs>
        <w:ind w:left="3020" w:hanging="936"/>
      </w:pPr>
      <w:rPr>
        <w:rFonts w:cs="Times New Roman" w:hint="default"/>
      </w:rPr>
    </w:lvl>
    <w:lvl w:ilvl="6">
      <w:start w:val="1"/>
      <w:numFmt w:val="decimal"/>
      <w:lvlText w:val="%1.%2.%3.%4.%5.%6.%7."/>
      <w:lvlJc w:val="left"/>
      <w:pPr>
        <w:tabs>
          <w:tab w:val="num" w:pos="3884"/>
        </w:tabs>
        <w:ind w:left="3524" w:hanging="1080"/>
      </w:pPr>
      <w:rPr>
        <w:rFonts w:cs="Times New Roman" w:hint="default"/>
      </w:rPr>
    </w:lvl>
    <w:lvl w:ilvl="7">
      <w:start w:val="1"/>
      <w:numFmt w:val="decimal"/>
      <w:lvlText w:val="%1.%2.%3.%4.%5.%6.%7.%8."/>
      <w:lvlJc w:val="left"/>
      <w:pPr>
        <w:tabs>
          <w:tab w:val="num" w:pos="4604"/>
        </w:tabs>
        <w:ind w:left="4028" w:hanging="1224"/>
      </w:pPr>
      <w:rPr>
        <w:rFonts w:cs="Times New Roman" w:hint="default"/>
      </w:rPr>
    </w:lvl>
    <w:lvl w:ilvl="8">
      <w:start w:val="1"/>
      <w:numFmt w:val="decimal"/>
      <w:lvlText w:val="%1.%2.%3.%4.%5.%6.%7.%8.%9."/>
      <w:lvlJc w:val="left"/>
      <w:pPr>
        <w:tabs>
          <w:tab w:val="num" w:pos="5324"/>
        </w:tabs>
        <w:ind w:left="4604" w:hanging="1440"/>
      </w:pPr>
      <w:rPr>
        <w:rFonts w:cs="Times New Roman" w:hint="default"/>
      </w:rPr>
    </w:lvl>
  </w:abstractNum>
  <w:abstractNum w:abstractNumId="7">
    <w:nsid w:val="16E87690"/>
    <w:multiLevelType w:val="multilevel"/>
    <w:tmpl w:val="8220A77A"/>
    <w:lvl w:ilvl="0">
      <w:start w:val="1"/>
      <w:numFmt w:val="decimal"/>
      <w:lvlText w:val="%1"/>
      <w:lvlJc w:val="left"/>
      <w:pPr>
        <w:tabs>
          <w:tab w:val="num" w:pos="510"/>
        </w:tabs>
        <w:ind w:left="510" w:hanging="510"/>
      </w:pPr>
      <w:rPr>
        <w:rFonts w:ascii="Arial" w:hAnsi="Arial" w:cs="Arial" w:hint="default"/>
        <w:b/>
        <w:bCs/>
        <w:i w:val="0"/>
        <w:iCs w:val="0"/>
        <w:color w:val="0099CC"/>
        <w:sz w:val="22"/>
        <w:szCs w:val="22"/>
      </w:rPr>
    </w:lvl>
    <w:lvl w:ilvl="1">
      <w:start w:val="1"/>
      <w:numFmt w:val="decimal"/>
      <w:lvlText w:val="%1.%2"/>
      <w:lvlJc w:val="left"/>
      <w:pPr>
        <w:tabs>
          <w:tab w:val="num" w:pos="510"/>
        </w:tabs>
        <w:ind w:left="510" w:hanging="510"/>
      </w:pPr>
      <w:rPr>
        <w:rFonts w:ascii="Arial" w:hAnsi="Arial" w:cs="Arial" w:hint="default"/>
        <w:b w:val="0"/>
        <w:bCs w:val="0"/>
        <w:i w:val="0"/>
        <w:iCs w:val="0"/>
        <w:color w:val="4F8B2B"/>
        <w:sz w:val="22"/>
        <w:szCs w:val="22"/>
      </w:rPr>
    </w:lvl>
    <w:lvl w:ilvl="2">
      <w:start w:val="1"/>
      <w:numFmt w:val="decimal"/>
      <w:lvlText w:val="%1.%2.%3"/>
      <w:lvlJc w:val="left"/>
      <w:pPr>
        <w:tabs>
          <w:tab w:val="num" w:pos="624"/>
        </w:tabs>
        <w:ind w:left="624" w:hanging="624"/>
      </w:pPr>
      <w:rPr>
        <w:rFonts w:ascii="Arial" w:hAnsi="Arial" w:cs="Arial" w:hint="default"/>
        <w:b w:val="0"/>
        <w:bCs w:val="0"/>
        <w:i w:val="0"/>
        <w:iCs w:val="0"/>
        <w:color w:val="4F8B2B"/>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8">
    <w:nsid w:val="170F5AEB"/>
    <w:multiLevelType w:val="multilevel"/>
    <w:tmpl w:val="54B62560"/>
    <w:lvl w:ilvl="0">
      <w:start w:val="1"/>
      <w:numFmt w:val="decimal"/>
      <w:lvlText w:val="%1"/>
      <w:lvlJc w:val="left"/>
      <w:pPr>
        <w:tabs>
          <w:tab w:val="num" w:pos="510"/>
        </w:tabs>
        <w:ind w:left="510" w:hanging="510"/>
      </w:pPr>
      <w:rPr>
        <w:rFonts w:ascii="Arial" w:hAnsi="Arial" w:cs="Arial" w:hint="default"/>
        <w:b w:val="0"/>
        <w:bCs/>
        <w:i w:val="0"/>
        <w:iCs w:val="0"/>
        <w:color w:val="auto"/>
        <w:sz w:val="22"/>
        <w:szCs w:val="22"/>
      </w:rPr>
    </w:lvl>
    <w:lvl w:ilvl="1">
      <w:start w:val="1"/>
      <w:numFmt w:val="decimal"/>
      <w:lvlText w:val="%1.%2"/>
      <w:lvlJc w:val="left"/>
      <w:pPr>
        <w:tabs>
          <w:tab w:val="num" w:pos="510"/>
        </w:tabs>
        <w:ind w:left="510" w:hanging="510"/>
      </w:pPr>
      <w:rPr>
        <w:rFonts w:ascii="Arial" w:hAnsi="Arial" w:cs="Arial" w:hint="default"/>
        <w:b w:val="0"/>
        <w:bCs w:val="0"/>
        <w:i w:val="0"/>
        <w:iCs w:val="0"/>
        <w:color w:val="4F8B2B"/>
        <w:sz w:val="22"/>
        <w:szCs w:val="22"/>
      </w:rPr>
    </w:lvl>
    <w:lvl w:ilvl="2">
      <w:start w:val="1"/>
      <w:numFmt w:val="decimal"/>
      <w:lvlText w:val="%1.%2.%3"/>
      <w:lvlJc w:val="left"/>
      <w:pPr>
        <w:tabs>
          <w:tab w:val="num" w:pos="624"/>
        </w:tabs>
        <w:ind w:left="624" w:hanging="624"/>
      </w:pPr>
      <w:rPr>
        <w:rFonts w:ascii="Arial" w:hAnsi="Arial" w:cs="Arial" w:hint="default"/>
        <w:b w:val="0"/>
        <w:bCs w:val="0"/>
        <w:i w:val="0"/>
        <w:iCs w:val="0"/>
        <w:color w:val="4F8B2B"/>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9">
    <w:nsid w:val="1A0E3A24"/>
    <w:multiLevelType w:val="hybridMultilevel"/>
    <w:tmpl w:val="F5988976"/>
    <w:lvl w:ilvl="0" w:tplc="DD268B72">
      <w:start w:val="4"/>
      <w:numFmt w:val="upperRoman"/>
      <w:lvlText w:val="%1."/>
      <w:lvlJc w:val="left"/>
      <w:pPr>
        <w:tabs>
          <w:tab w:val="num" w:pos="900"/>
        </w:tabs>
        <w:ind w:left="900" w:hanging="72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0">
    <w:nsid w:val="1DFB561F"/>
    <w:multiLevelType w:val="multilevel"/>
    <w:tmpl w:val="8F567B94"/>
    <w:lvl w:ilvl="0">
      <w:start w:val="1"/>
      <w:numFmt w:val="decimal"/>
      <w:lvlText w:val="%1"/>
      <w:lvlJc w:val="left"/>
      <w:pPr>
        <w:tabs>
          <w:tab w:val="num" w:pos="510"/>
        </w:tabs>
        <w:ind w:left="510" w:hanging="510"/>
      </w:pPr>
      <w:rPr>
        <w:rFonts w:ascii="Arial" w:hAnsi="Arial" w:cs="Arial" w:hint="default"/>
        <w:b/>
        <w:bCs/>
        <w:i w:val="0"/>
        <w:iCs w:val="0"/>
        <w:color w:val="auto"/>
        <w:sz w:val="22"/>
        <w:szCs w:val="22"/>
      </w:rPr>
    </w:lvl>
    <w:lvl w:ilvl="1">
      <w:start w:val="1"/>
      <w:numFmt w:val="decimal"/>
      <w:lvlText w:val="%1.%2"/>
      <w:lvlJc w:val="left"/>
      <w:pPr>
        <w:tabs>
          <w:tab w:val="num" w:pos="510"/>
        </w:tabs>
        <w:ind w:left="510" w:hanging="510"/>
      </w:pPr>
      <w:rPr>
        <w:rFonts w:ascii="Arial" w:hAnsi="Arial" w:cs="Arial" w:hint="default"/>
        <w:b w:val="0"/>
        <w:bCs w:val="0"/>
        <w:i w:val="0"/>
        <w:iCs w:val="0"/>
        <w:color w:val="4F8B2B"/>
        <w:sz w:val="22"/>
        <w:szCs w:val="22"/>
      </w:rPr>
    </w:lvl>
    <w:lvl w:ilvl="2">
      <w:start w:val="1"/>
      <w:numFmt w:val="decimal"/>
      <w:lvlText w:val="%1.%2.%3"/>
      <w:lvlJc w:val="left"/>
      <w:pPr>
        <w:tabs>
          <w:tab w:val="num" w:pos="624"/>
        </w:tabs>
        <w:ind w:left="624" w:hanging="624"/>
      </w:pPr>
      <w:rPr>
        <w:rFonts w:ascii="Arial" w:hAnsi="Arial" w:cs="Arial" w:hint="default"/>
        <w:b w:val="0"/>
        <w:bCs w:val="0"/>
        <w:i w:val="0"/>
        <w:iCs w:val="0"/>
        <w:color w:val="4F8B2B"/>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nsid w:val="24923AEC"/>
    <w:multiLevelType w:val="multilevel"/>
    <w:tmpl w:val="41F242C6"/>
    <w:lvl w:ilvl="0">
      <w:start w:val="1"/>
      <w:numFmt w:val="decimal"/>
      <w:lvlText w:val="%1"/>
      <w:lvlJc w:val="left"/>
      <w:pPr>
        <w:tabs>
          <w:tab w:val="num" w:pos="510"/>
        </w:tabs>
        <w:ind w:left="510" w:hanging="510"/>
      </w:pPr>
      <w:rPr>
        <w:rFonts w:ascii="Arial" w:hAnsi="Arial" w:cs="Arial" w:hint="default"/>
        <w:b/>
        <w:bCs/>
        <w:i w:val="0"/>
        <w:iCs w:val="0"/>
        <w:color w:val="0099CC"/>
        <w:sz w:val="22"/>
        <w:szCs w:val="22"/>
      </w:rPr>
    </w:lvl>
    <w:lvl w:ilvl="1">
      <w:start w:val="1"/>
      <w:numFmt w:val="decimal"/>
      <w:lvlText w:val="%1.%2"/>
      <w:lvlJc w:val="left"/>
      <w:pPr>
        <w:tabs>
          <w:tab w:val="num" w:pos="510"/>
        </w:tabs>
        <w:ind w:left="510" w:hanging="510"/>
      </w:pPr>
      <w:rPr>
        <w:rFonts w:ascii="Arial" w:hAnsi="Arial" w:cs="Arial" w:hint="default"/>
        <w:b w:val="0"/>
        <w:bCs w:val="0"/>
        <w:i w:val="0"/>
        <w:iCs w:val="0"/>
        <w:color w:val="0099CC"/>
        <w:sz w:val="22"/>
        <w:szCs w:val="22"/>
      </w:rPr>
    </w:lvl>
    <w:lvl w:ilvl="2">
      <w:start w:val="1"/>
      <w:numFmt w:val="decimal"/>
      <w:lvlText w:val="%1.%2.%3"/>
      <w:lvlJc w:val="left"/>
      <w:pPr>
        <w:tabs>
          <w:tab w:val="num" w:pos="624"/>
        </w:tabs>
        <w:ind w:left="624" w:hanging="624"/>
      </w:pPr>
      <w:rPr>
        <w:rFonts w:ascii="Arial" w:hAnsi="Arial" w:cs="Arial" w:hint="default"/>
        <w:b w:val="0"/>
        <w:bCs w:val="0"/>
        <w:i w:val="0"/>
        <w:iCs w:val="0"/>
        <w:color w:val="4F8B2B"/>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nsid w:val="277D10AD"/>
    <w:multiLevelType w:val="multilevel"/>
    <w:tmpl w:val="F5A8EAF2"/>
    <w:lvl w:ilvl="0">
      <w:start w:val="1"/>
      <w:numFmt w:val="decimal"/>
      <w:lvlText w:val="%1"/>
      <w:lvlJc w:val="left"/>
      <w:pPr>
        <w:tabs>
          <w:tab w:val="num" w:pos="510"/>
        </w:tabs>
        <w:ind w:left="510" w:hanging="510"/>
      </w:pPr>
      <w:rPr>
        <w:rFonts w:ascii="Arial" w:hAnsi="Arial" w:cs="Arial" w:hint="default"/>
        <w:b/>
        <w:bCs/>
        <w:i w:val="0"/>
        <w:iCs w:val="0"/>
        <w:color w:val="0099CC"/>
        <w:sz w:val="22"/>
        <w:szCs w:val="22"/>
      </w:rPr>
    </w:lvl>
    <w:lvl w:ilvl="1">
      <w:start w:val="1"/>
      <w:numFmt w:val="decimal"/>
      <w:lvlText w:val="%1.%2"/>
      <w:lvlJc w:val="left"/>
      <w:pPr>
        <w:tabs>
          <w:tab w:val="num" w:pos="510"/>
        </w:tabs>
        <w:ind w:left="510" w:hanging="510"/>
      </w:pPr>
      <w:rPr>
        <w:rFonts w:ascii="Arial" w:hAnsi="Arial" w:cs="Arial" w:hint="default"/>
        <w:b w:val="0"/>
        <w:bCs w:val="0"/>
        <w:i w:val="0"/>
        <w:iCs w:val="0"/>
        <w:color w:val="0099CC"/>
        <w:sz w:val="22"/>
        <w:szCs w:val="22"/>
      </w:rPr>
    </w:lvl>
    <w:lvl w:ilvl="2">
      <w:start w:val="1"/>
      <w:numFmt w:val="decimal"/>
      <w:lvlText w:val="%1.%2.%3"/>
      <w:lvlJc w:val="left"/>
      <w:pPr>
        <w:tabs>
          <w:tab w:val="num" w:pos="624"/>
        </w:tabs>
        <w:ind w:left="624" w:hanging="624"/>
      </w:pPr>
      <w:rPr>
        <w:rFonts w:ascii="Arial" w:hAnsi="Arial" w:cs="Arial" w:hint="default"/>
        <w:b w:val="0"/>
        <w:bCs w:val="0"/>
        <w:i w:val="0"/>
        <w:iCs w:val="0"/>
        <w:color w:val="0099CC"/>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nsid w:val="278979AA"/>
    <w:multiLevelType w:val="hybridMultilevel"/>
    <w:tmpl w:val="758858DA"/>
    <w:lvl w:ilvl="0" w:tplc="10C4759E">
      <w:start w:val="1"/>
      <w:numFmt w:val="decimal"/>
      <w:lvlText w:val="%1."/>
      <w:lvlJc w:val="left"/>
      <w:pPr>
        <w:tabs>
          <w:tab w:val="num" w:pos="720"/>
        </w:tabs>
        <w:ind w:left="720" w:hanging="360"/>
      </w:pPr>
      <w:rPr>
        <w:rFonts w:cs="Times New Roman"/>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nsid w:val="28F754EC"/>
    <w:multiLevelType w:val="hybridMultilevel"/>
    <w:tmpl w:val="409ADB3A"/>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nsid w:val="29EC0947"/>
    <w:multiLevelType w:val="multilevel"/>
    <w:tmpl w:val="8D3A7346"/>
    <w:lvl w:ilvl="0">
      <w:start w:val="1"/>
      <w:numFmt w:val="decimal"/>
      <w:lvlText w:val="%1"/>
      <w:lvlJc w:val="left"/>
      <w:pPr>
        <w:tabs>
          <w:tab w:val="num" w:pos="510"/>
        </w:tabs>
        <w:ind w:left="510" w:hanging="510"/>
      </w:pPr>
      <w:rPr>
        <w:rFonts w:ascii="Arial" w:hAnsi="Arial" w:cs="Arial" w:hint="default"/>
        <w:b/>
        <w:bCs/>
        <w:i w:val="0"/>
        <w:iCs w:val="0"/>
        <w:color w:val="0099CC"/>
        <w:sz w:val="22"/>
        <w:szCs w:val="22"/>
      </w:rPr>
    </w:lvl>
    <w:lvl w:ilvl="1">
      <w:start w:val="1"/>
      <w:numFmt w:val="decimal"/>
      <w:lvlText w:val="%1.%2"/>
      <w:lvlJc w:val="left"/>
      <w:pPr>
        <w:tabs>
          <w:tab w:val="num" w:pos="510"/>
        </w:tabs>
        <w:ind w:left="510" w:hanging="510"/>
      </w:pPr>
      <w:rPr>
        <w:rFonts w:ascii="Arial" w:hAnsi="Arial" w:cs="Arial" w:hint="default"/>
        <w:b w:val="0"/>
        <w:bCs w:val="0"/>
        <w:i w:val="0"/>
        <w:iCs w:val="0"/>
        <w:color w:val="4F8B2B"/>
        <w:sz w:val="22"/>
        <w:szCs w:val="22"/>
      </w:rPr>
    </w:lvl>
    <w:lvl w:ilvl="2">
      <w:start w:val="1"/>
      <w:numFmt w:val="decimal"/>
      <w:lvlText w:val="%1.%2.%3"/>
      <w:lvlJc w:val="left"/>
      <w:pPr>
        <w:tabs>
          <w:tab w:val="num" w:pos="624"/>
        </w:tabs>
        <w:ind w:left="624" w:hanging="624"/>
      </w:pPr>
      <w:rPr>
        <w:rFonts w:ascii="Arial" w:hAnsi="Arial" w:cs="Arial" w:hint="default"/>
        <w:b w:val="0"/>
        <w:bCs w:val="0"/>
        <w:i w:val="0"/>
        <w:iCs w:val="0"/>
        <w:color w:val="4F8B2B"/>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6">
    <w:nsid w:val="2B174821"/>
    <w:multiLevelType w:val="hybridMultilevel"/>
    <w:tmpl w:val="9D46FB9E"/>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17">
    <w:nsid w:val="378A76E3"/>
    <w:multiLevelType w:val="multilevel"/>
    <w:tmpl w:val="7B28210E"/>
    <w:lvl w:ilvl="0">
      <w:start w:val="1"/>
      <w:numFmt w:val="decimal"/>
      <w:lvlText w:val="%1"/>
      <w:lvlJc w:val="left"/>
      <w:pPr>
        <w:tabs>
          <w:tab w:val="num" w:pos="510"/>
        </w:tabs>
        <w:ind w:left="510" w:hanging="510"/>
      </w:pPr>
      <w:rPr>
        <w:rFonts w:ascii="Arial" w:hAnsi="Arial" w:cs="Arial" w:hint="default"/>
        <w:b/>
        <w:bCs/>
        <w:i w:val="0"/>
        <w:iCs w:val="0"/>
        <w:color w:val="4F8B2B"/>
        <w:sz w:val="22"/>
        <w:szCs w:val="22"/>
      </w:rPr>
    </w:lvl>
    <w:lvl w:ilvl="1">
      <w:start w:val="1"/>
      <w:numFmt w:val="decimal"/>
      <w:lvlText w:val="%1.%2"/>
      <w:lvlJc w:val="left"/>
      <w:pPr>
        <w:tabs>
          <w:tab w:val="num" w:pos="510"/>
        </w:tabs>
        <w:ind w:left="510" w:hanging="510"/>
      </w:pPr>
      <w:rPr>
        <w:rFonts w:ascii="Arial" w:hAnsi="Arial" w:cs="Arial" w:hint="default"/>
        <w:b w:val="0"/>
        <w:bCs w:val="0"/>
        <w:i w:val="0"/>
        <w:iCs w:val="0"/>
        <w:color w:val="4F8B2B"/>
        <w:sz w:val="22"/>
        <w:szCs w:val="22"/>
      </w:rPr>
    </w:lvl>
    <w:lvl w:ilvl="2">
      <w:start w:val="1"/>
      <w:numFmt w:val="decimal"/>
      <w:lvlText w:val="%1.%2.%3"/>
      <w:lvlJc w:val="left"/>
      <w:pPr>
        <w:tabs>
          <w:tab w:val="num" w:pos="624"/>
        </w:tabs>
        <w:ind w:left="624" w:hanging="624"/>
      </w:pPr>
      <w:rPr>
        <w:rFonts w:ascii="Arial" w:hAnsi="Arial" w:cs="Arial" w:hint="default"/>
        <w:b w:val="0"/>
        <w:bCs w:val="0"/>
        <w:i w:val="0"/>
        <w:iCs w:val="0"/>
        <w:color w:val="4F8B2B"/>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8">
    <w:nsid w:val="38A023F7"/>
    <w:multiLevelType w:val="hybridMultilevel"/>
    <w:tmpl w:val="CC18563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A2C6D5D"/>
    <w:multiLevelType w:val="multilevel"/>
    <w:tmpl w:val="0C0A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3B2709A1"/>
    <w:multiLevelType w:val="hybridMultilevel"/>
    <w:tmpl w:val="A9FCA486"/>
    <w:lvl w:ilvl="0" w:tplc="CB285DA6">
      <w:start w:val="1"/>
      <w:numFmt w:val="none"/>
      <w:lvlText w:val="11."/>
      <w:lvlJc w:val="left"/>
      <w:pPr>
        <w:tabs>
          <w:tab w:val="num" w:pos="720"/>
        </w:tabs>
        <w:ind w:left="720" w:hanging="360"/>
      </w:pPr>
      <w:rPr>
        <w:rFonts w:cs="Times New Roman"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21">
    <w:nsid w:val="3DB46CF2"/>
    <w:multiLevelType w:val="hybridMultilevel"/>
    <w:tmpl w:val="F3884006"/>
    <w:lvl w:ilvl="0" w:tplc="147C5742">
      <w:start w:val="1"/>
      <w:numFmt w:val="bullet"/>
      <w:pStyle w:val="Vietas"/>
      <w:lvlText w:val="-"/>
      <w:lvlJc w:val="left"/>
      <w:pPr>
        <w:tabs>
          <w:tab w:val="num" w:pos="624"/>
        </w:tabs>
        <w:ind w:left="624" w:hanging="340"/>
      </w:pPr>
      <w:rPr>
        <w:rFonts w:ascii="Arial" w:hAnsi="Arial" w:hint="default"/>
        <w:b w:val="0"/>
        <w:i w:val="0"/>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427B2E71"/>
    <w:multiLevelType w:val="hybridMultilevel"/>
    <w:tmpl w:val="EB7C87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42BF6A62"/>
    <w:multiLevelType w:val="hybridMultilevel"/>
    <w:tmpl w:val="024C6BF8"/>
    <w:lvl w:ilvl="0" w:tplc="10C4759E">
      <w:start w:val="1"/>
      <w:numFmt w:val="decimal"/>
      <w:lvlText w:val="%1."/>
      <w:lvlJc w:val="left"/>
      <w:pPr>
        <w:tabs>
          <w:tab w:val="num" w:pos="720"/>
        </w:tabs>
        <w:ind w:left="720" w:hanging="360"/>
      </w:pPr>
      <w:rPr>
        <w:rFonts w:cs="Times New Roman"/>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nsid w:val="49743A2C"/>
    <w:multiLevelType w:val="multilevel"/>
    <w:tmpl w:val="98520B3A"/>
    <w:lvl w:ilvl="0">
      <w:start w:val="1"/>
      <w:numFmt w:val="decimal"/>
      <w:lvlText w:val="%1."/>
      <w:lvlJc w:val="left"/>
      <w:pPr>
        <w:tabs>
          <w:tab w:val="num" w:pos="720"/>
        </w:tabs>
        <w:ind w:left="720" w:hanging="360"/>
      </w:pPr>
      <w:rPr>
        <w:rFonts w:cs="Times New Roman"/>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C703A3A"/>
    <w:multiLevelType w:val="hybridMultilevel"/>
    <w:tmpl w:val="1A8CE90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501F7FBD"/>
    <w:multiLevelType w:val="hybridMultilevel"/>
    <w:tmpl w:val="9624738C"/>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7">
    <w:nsid w:val="506274CE"/>
    <w:multiLevelType w:val="multilevel"/>
    <w:tmpl w:val="C8C27912"/>
    <w:lvl w:ilvl="0">
      <w:start w:val="1"/>
      <w:numFmt w:val="decimal"/>
      <w:pStyle w:val="Numeracion"/>
      <w:lvlText w:val="%1."/>
      <w:lvlJc w:val="left"/>
      <w:pPr>
        <w:tabs>
          <w:tab w:val="num" w:pos="644"/>
        </w:tabs>
        <w:ind w:left="644" w:hanging="360"/>
      </w:pPr>
      <w:rPr>
        <w:rFonts w:cs="Times New Roman" w:hint="default"/>
        <w:b w:val="0"/>
        <w:bCs/>
        <w:i w:val="0"/>
        <w:iCs w:val="0"/>
        <w:color w:val="auto"/>
        <w:sz w:val="22"/>
        <w:szCs w:val="22"/>
      </w:rPr>
    </w:lvl>
    <w:lvl w:ilvl="1">
      <w:start w:val="1"/>
      <w:numFmt w:val="decimal"/>
      <w:lvlText w:val="2.%2."/>
      <w:lvlJc w:val="left"/>
      <w:pPr>
        <w:tabs>
          <w:tab w:val="num" w:pos="1076"/>
        </w:tabs>
        <w:ind w:left="1076" w:hanging="432"/>
      </w:pPr>
      <w:rPr>
        <w:rFonts w:cs="Times New Roman" w:hint="default"/>
        <w:b w:val="0"/>
        <w:bCs w:val="0"/>
        <w:i w:val="0"/>
        <w:iCs w:val="0"/>
        <w:color w:val="4F8B2B"/>
        <w:sz w:val="22"/>
        <w:szCs w:val="22"/>
      </w:rPr>
    </w:lvl>
    <w:lvl w:ilvl="2">
      <w:start w:val="1"/>
      <w:numFmt w:val="decimal"/>
      <w:lvlText w:val="%1.2"/>
      <w:lvlJc w:val="left"/>
      <w:pPr>
        <w:tabs>
          <w:tab w:val="num" w:pos="1724"/>
        </w:tabs>
        <w:ind w:left="1508" w:hanging="504"/>
      </w:pPr>
      <w:rPr>
        <w:rFonts w:cs="Times New Roman" w:hint="default"/>
        <w:b w:val="0"/>
        <w:bCs w:val="0"/>
        <w:i w:val="0"/>
        <w:iCs w:val="0"/>
        <w:color w:val="4F8B2B"/>
        <w:sz w:val="22"/>
        <w:szCs w:val="22"/>
      </w:rPr>
    </w:lvl>
    <w:lvl w:ilvl="3">
      <w:start w:val="1"/>
      <w:numFmt w:val="decimal"/>
      <w:lvlText w:val="%1.%2.%3.%4."/>
      <w:lvlJc w:val="left"/>
      <w:pPr>
        <w:tabs>
          <w:tab w:val="num" w:pos="2444"/>
        </w:tabs>
        <w:ind w:left="2012" w:hanging="648"/>
      </w:pPr>
      <w:rPr>
        <w:rFonts w:cs="Times New Roman" w:hint="default"/>
      </w:rPr>
    </w:lvl>
    <w:lvl w:ilvl="4">
      <w:start w:val="1"/>
      <w:numFmt w:val="decimal"/>
      <w:lvlText w:val="%1.%2.%3.%4.%5."/>
      <w:lvlJc w:val="left"/>
      <w:pPr>
        <w:tabs>
          <w:tab w:val="num" w:pos="2804"/>
        </w:tabs>
        <w:ind w:left="2516" w:hanging="792"/>
      </w:pPr>
      <w:rPr>
        <w:rFonts w:cs="Times New Roman" w:hint="default"/>
      </w:rPr>
    </w:lvl>
    <w:lvl w:ilvl="5">
      <w:start w:val="1"/>
      <w:numFmt w:val="decimal"/>
      <w:lvlText w:val="%1.%2.%3.%4.%5.%6."/>
      <w:lvlJc w:val="left"/>
      <w:pPr>
        <w:tabs>
          <w:tab w:val="num" w:pos="3524"/>
        </w:tabs>
        <w:ind w:left="3020" w:hanging="936"/>
      </w:pPr>
      <w:rPr>
        <w:rFonts w:cs="Times New Roman" w:hint="default"/>
      </w:rPr>
    </w:lvl>
    <w:lvl w:ilvl="6">
      <w:start w:val="1"/>
      <w:numFmt w:val="decimal"/>
      <w:lvlText w:val="%1.%2.%3.%4.%5.%6.%7."/>
      <w:lvlJc w:val="left"/>
      <w:pPr>
        <w:tabs>
          <w:tab w:val="num" w:pos="3884"/>
        </w:tabs>
        <w:ind w:left="3524" w:hanging="1080"/>
      </w:pPr>
      <w:rPr>
        <w:rFonts w:cs="Times New Roman" w:hint="default"/>
      </w:rPr>
    </w:lvl>
    <w:lvl w:ilvl="7">
      <w:start w:val="1"/>
      <w:numFmt w:val="decimal"/>
      <w:lvlText w:val="%1.%2.%3.%4.%5.%6.%7.%8."/>
      <w:lvlJc w:val="left"/>
      <w:pPr>
        <w:tabs>
          <w:tab w:val="num" w:pos="4604"/>
        </w:tabs>
        <w:ind w:left="4028" w:hanging="1224"/>
      </w:pPr>
      <w:rPr>
        <w:rFonts w:cs="Times New Roman" w:hint="default"/>
      </w:rPr>
    </w:lvl>
    <w:lvl w:ilvl="8">
      <w:start w:val="1"/>
      <w:numFmt w:val="decimal"/>
      <w:lvlText w:val="%1.%2.%3.%4.%5.%6.%7.%8.%9."/>
      <w:lvlJc w:val="left"/>
      <w:pPr>
        <w:tabs>
          <w:tab w:val="num" w:pos="5324"/>
        </w:tabs>
        <w:ind w:left="4604" w:hanging="1440"/>
      </w:pPr>
      <w:rPr>
        <w:rFonts w:cs="Times New Roman" w:hint="default"/>
      </w:rPr>
    </w:lvl>
  </w:abstractNum>
  <w:abstractNum w:abstractNumId="28">
    <w:nsid w:val="53D67847"/>
    <w:multiLevelType w:val="hybridMultilevel"/>
    <w:tmpl w:val="D5B2BDDA"/>
    <w:lvl w:ilvl="0" w:tplc="64489FA4">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5277730"/>
    <w:multiLevelType w:val="multilevel"/>
    <w:tmpl w:val="52D6580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
    <w:nsid w:val="58266023"/>
    <w:multiLevelType w:val="hybridMultilevel"/>
    <w:tmpl w:val="9F8685A2"/>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1">
    <w:nsid w:val="61386287"/>
    <w:multiLevelType w:val="hybridMultilevel"/>
    <w:tmpl w:val="A5E6F9D2"/>
    <w:lvl w:ilvl="0" w:tplc="0C0A000F">
      <w:start w:val="1"/>
      <w:numFmt w:val="decimal"/>
      <w:lvlText w:val="%1."/>
      <w:lvlJc w:val="left"/>
      <w:pPr>
        <w:tabs>
          <w:tab w:val="num" w:pos="1080"/>
        </w:tabs>
        <w:ind w:left="1080" w:hanging="360"/>
      </w:pPr>
      <w:rPr>
        <w:rFonts w:cs="Times New Roman"/>
      </w:rPr>
    </w:lvl>
    <w:lvl w:ilvl="1" w:tplc="0C0A0001">
      <w:start w:val="1"/>
      <w:numFmt w:val="bullet"/>
      <w:lvlText w:val=""/>
      <w:lvlJc w:val="left"/>
      <w:pPr>
        <w:tabs>
          <w:tab w:val="num" w:pos="1800"/>
        </w:tabs>
        <w:ind w:left="1800" w:hanging="360"/>
      </w:pPr>
      <w:rPr>
        <w:rFonts w:ascii="Symbol" w:hAnsi="Symbol" w:hint="default"/>
      </w:rPr>
    </w:lvl>
    <w:lvl w:ilvl="2" w:tplc="0C0A001B" w:tentative="1">
      <w:start w:val="1"/>
      <w:numFmt w:val="lowerRoman"/>
      <w:lvlText w:val="%3."/>
      <w:lvlJc w:val="right"/>
      <w:pPr>
        <w:tabs>
          <w:tab w:val="num" w:pos="2520"/>
        </w:tabs>
        <w:ind w:left="2520" w:hanging="180"/>
      </w:pPr>
      <w:rPr>
        <w:rFonts w:cs="Times New Roman"/>
      </w:rPr>
    </w:lvl>
    <w:lvl w:ilvl="3" w:tplc="0C0A000F" w:tentative="1">
      <w:start w:val="1"/>
      <w:numFmt w:val="decimal"/>
      <w:lvlText w:val="%4."/>
      <w:lvlJc w:val="left"/>
      <w:pPr>
        <w:tabs>
          <w:tab w:val="num" w:pos="3240"/>
        </w:tabs>
        <w:ind w:left="3240" w:hanging="360"/>
      </w:pPr>
      <w:rPr>
        <w:rFonts w:cs="Times New Roman"/>
      </w:rPr>
    </w:lvl>
    <w:lvl w:ilvl="4" w:tplc="0C0A0019" w:tentative="1">
      <w:start w:val="1"/>
      <w:numFmt w:val="lowerLetter"/>
      <w:lvlText w:val="%5."/>
      <w:lvlJc w:val="left"/>
      <w:pPr>
        <w:tabs>
          <w:tab w:val="num" w:pos="3960"/>
        </w:tabs>
        <w:ind w:left="3960" w:hanging="360"/>
      </w:pPr>
      <w:rPr>
        <w:rFonts w:cs="Times New Roman"/>
      </w:rPr>
    </w:lvl>
    <w:lvl w:ilvl="5" w:tplc="0C0A001B" w:tentative="1">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abstractNum w:abstractNumId="32">
    <w:nsid w:val="62E25267"/>
    <w:multiLevelType w:val="multilevel"/>
    <w:tmpl w:val="A0F2039C"/>
    <w:lvl w:ilvl="0">
      <w:start w:val="1"/>
      <w:numFmt w:val="bullet"/>
      <w:lvlText w:val="-"/>
      <w:lvlJc w:val="left"/>
      <w:pPr>
        <w:tabs>
          <w:tab w:val="num" w:pos="510"/>
        </w:tabs>
        <w:ind w:left="510" w:hanging="226"/>
      </w:pPr>
      <w:rPr>
        <w:rFonts w:ascii="Arial" w:hAnsi="Arial" w:hint="default"/>
        <w:b w:val="0"/>
        <w:i w:val="0"/>
        <w:sz w:val="2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62FC3C3C"/>
    <w:multiLevelType w:val="hybridMultilevel"/>
    <w:tmpl w:val="2D707EE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34">
    <w:nsid w:val="683B5CB0"/>
    <w:multiLevelType w:val="hybridMultilevel"/>
    <w:tmpl w:val="130879A0"/>
    <w:lvl w:ilvl="0" w:tplc="7EAE5066">
      <w:start w:val="1"/>
      <w:numFmt w:val="decimal"/>
      <w:lvlText w:val="%1."/>
      <w:lvlJc w:val="left"/>
      <w:pPr>
        <w:tabs>
          <w:tab w:val="num" w:pos="984"/>
        </w:tabs>
        <w:ind w:left="984" w:hanging="360"/>
      </w:pPr>
      <w:rPr>
        <w:rFonts w:cs="Times New Roman"/>
        <w:i w:val="0"/>
        <w:strike w:val="0"/>
        <w:color w:val="auto"/>
      </w:rPr>
    </w:lvl>
    <w:lvl w:ilvl="1" w:tplc="0C0A0019">
      <w:start w:val="1"/>
      <w:numFmt w:val="lowerLetter"/>
      <w:lvlText w:val="%2."/>
      <w:lvlJc w:val="left"/>
      <w:pPr>
        <w:tabs>
          <w:tab w:val="num" w:pos="1704"/>
        </w:tabs>
        <w:ind w:left="1704" w:hanging="360"/>
      </w:pPr>
      <w:rPr>
        <w:rFonts w:cs="Times New Roman"/>
      </w:rPr>
    </w:lvl>
    <w:lvl w:ilvl="2" w:tplc="0C0A001B" w:tentative="1">
      <w:start w:val="1"/>
      <w:numFmt w:val="lowerRoman"/>
      <w:lvlText w:val="%3."/>
      <w:lvlJc w:val="right"/>
      <w:pPr>
        <w:tabs>
          <w:tab w:val="num" w:pos="2424"/>
        </w:tabs>
        <w:ind w:left="2424" w:hanging="180"/>
      </w:pPr>
      <w:rPr>
        <w:rFonts w:cs="Times New Roman"/>
      </w:rPr>
    </w:lvl>
    <w:lvl w:ilvl="3" w:tplc="0C0A000F" w:tentative="1">
      <w:start w:val="1"/>
      <w:numFmt w:val="decimal"/>
      <w:lvlText w:val="%4."/>
      <w:lvlJc w:val="left"/>
      <w:pPr>
        <w:tabs>
          <w:tab w:val="num" w:pos="3144"/>
        </w:tabs>
        <w:ind w:left="3144" w:hanging="360"/>
      </w:pPr>
      <w:rPr>
        <w:rFonts w:cs="Times New Roman"/>
      </w:rPr>
    </w:lvl>
    <w:lvl w:ilvl="4" w:tplc="0C0A0019" w:tentative="1">
      <w:start w:val="1"/>
      <w:numFmt w:val="lowerLetter"/>
      <w:lvlText w:val="%5."/>
      <w:lvlJc w:val="left"/>
      <w:pPr>
        <w:tabs>
          <w:tab w:val="num" w:pos="3864"/>
        </w:tabs>
        <w:ind w:left="3864" w:hanging="360"/>
      </w:pPr>
      <w:rPr>
        <w:rFonts w:cs="Times New Roman"/>
      </w:rPr>
    </w:lvl>
    <w:lvl w:ilvl="5" w:tplc="0C0A001B" w:tentative="1">
      <w:start w:val="1"/>
      <w:numFmt w:val="lowerRoman"/>
      <w:lvlText w:val="%6."/>
      <w:lvlJc w:val="right"/>
      <w:pPr>
        <w:tabs>
          <w:tab w:val="num" w:pos="4584"/>
        </w:tabs>
        <w:ind w:left="4584" w:hanging="180"/>
      </w:pPr>
      <w:rPr>
        <w:rFonts w:cs="Times New Roman"/>
      </w:rPr>
    </w:lvl>
    <w:lvl w:ilvl="6" w:tplc="0C0A000F" w:tentative="1">
      <w:start w:val="1"/>
      <w:numFmt w:val="decimal"/>
      <w:lvlText w:val="%7."/>
      <w:lvlJc w:val="left"/>
      <w:pPr>
        <w:tabs>
          <w:tab w:val="num" w:pos="5304"/>
        </w:tabs>
        <w:ind w:left="5304" w:hanging="360"/>
      </w:pPr>
      <w:rPr>
        <w:rFonts w:cs="Times New Roman"/>
      </w:rPr>
    </w:lvl>
    <w:lvl w:ilvl="7" w:tplc="0C0A0019" w:tentative="1">
      <w:start w:val="1"/>
      <w:numFmt w:val="lowerLetter"/>
      <w:lvlText w:val="%8."/>
      <w:lvlJc w:val="left"/>
      <w:pPr>
        <w:tabs>
          <w:tab w:val="num" w:pos="6024"/>
        </w:tabs>
        <w:ind w:left="6024" w:hanging="360"/>
      </w:pPr>
      <w:rPr>
        <w:rFonts w:cs="Times New Roman"/>
      </w:rPr>
    </w:lvl>
    <w:lvl w:ilvl="8" w:tplc="0C0A001B" w:tentative="1">
      <w:start w:val="1"/>
      <w:numFmt w:val="lowerRoman"/>
      <w:lvlText w:val="%9."/>
      <w:lvlJc w:val="right"/>
      <w:pPr>
        <w:tabs>
          <w:tab w:val="num" w:pos="6744"/>
        </w:tabs>
        <w:ind w:left="6744" w:hanging="180"/>
      </w:pPr>
      <w:rPr>
        <w:rFonts w:cs="Times New Roman"/>
      </w:rPr>
    </w:lvl>
  </w:abstractNum>
  <w:abstractNum w:abstractNumId="35">
    <w:nsid w:val="68BB18D8"/>
    <w:multiLevelType w:val="multilevel"/>
    <w:tmpl w:val="FF6217E0"/>
    <w:lvl w:ilvl="0">
      <w:start w:val="1"/>
      <w:numFmt w:val="decimal"/>
      <w:lvlText w:val="%1"/>
      <w:lvlJc w:val="left"/>
      <w:pPr>
        <w:tabs>
          <w:tab w:val="num" w:pos="510"/>
        </w:tabs>
        <w:ind w:left="510" w:hanging="510"/>
      </w:pPr>
      <w:rPr>
        <w:rFonts w:ascii="Arial" w:hAnsi="Arial" w:cs="Arial" w:hint="default"/>
        <w:b/>
        <w:bCs/>
        <w:i w:val="0"/>
        <w:iCs w:val="0"/>
        <w:color w:val="4F8B2B"/>
        <w:sz w:val="22"/>
        <w:szCs w:val="22"/>
      </w:rPr>
    </w:lvl>
    <w:lvl w:ilvl="1">
      <w:start w:val="1"/>
      <w:numFmt w:val="decimal"/>
      <w:lvlText w:val="%1.%2"/>
      <w:lvlJc w:val="left"/>
      <w:pPr>
        <w:tabs>
          <w:tab w:val="num" w:pos="510"/>
        </w:tabs>
        <w:ind w:left="510" w:hanging="510"/>
      </w:pPr>
      <w:rPr>
        <w:rFonts w:ascii="Arial" w:hAnsi="Arial" w:cs="Arial" w:hint="default"/>
        <w:b w:val="0"/>
        <w:bCs w:val="0"/>
        <w:i w:val="0"/>
        <w:iCs w:val="0"/>
        <w:color w:val="4F8B2B"/>
        <w:sz w:val="22"/>
        <w:szCs w:val="22"/>
      </w:rPr>
    </w:lvl>
    <w:lvl w:ilvl="2">
      <w:start w:val="1"/>
      <w:numFmt w:val="decimal"/>
      <w:lvlText w:val="%1.%2.%3"/>
      <w:lvlJc w:val="left"/>
      <w:pPr>
        <w:tabs>
          <w:tab w:val="num" w:pos="624"/>
        </w:tabs>
        <w:ind w:left="624" w:hanging="624"/>
      </w:pPr>
      <w:rPr>
        <w:rFonts w:ascii="Arial" w:hAnsi="Arial" w:cs="Arial" w:hint="default"/>
        <w:b w:val="0"/>
        <w:bCs w:val="0"/>
        <w:i w:val="0"/>
        <w:iCs w:val="0"/>
        <w:color w:val="4F8B2B"/>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76421E0A"/>
    <w:multiLevelType w:val="multilevel"/>
    <w:tmpl w:val="409ADB3A"/>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7">
    <w:nsid w:val="7E0D08D2"/>
    <w:multiLevelType w:val="hybridMultilevel"/>
    <w:tmpl w:val="2912DDF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7F9F3E87"/>
    <w:multiLevelType w:val="hybridMultilevel"/>
    <w:tmpl w:val="EDA217C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num w:numId="1">
    <w:abstractNumId w:val="21"/>
  </w:num>
  <w:num w:numId="2">
    <w:abstractNumId w:val="12"/>
  </w:num>
  <w:num w:numId="3">
    <w:abstractNumId w:val="12"/>
  </w:num>
  <w:num w:numId="4">
    <w:abstractNumId w:val="12"/>
  </w:num>
  <w:num w:numId="5">
    <w:abstractNumId w:val="27"/>
  </w:num>
  <w:num w:numId="6">
    <w:abstractNumId w:val="32"/>
  </w:num>
  <w:num w:numId="7">
    <w:abstractNumId w:val="35"/>
  </w:num>
  <w:num w:numId="8">
    <w:abstractNumId w:val="17"/>
  </w:num>
  <w:num w:numId="9">
    <w:abstractNumId w:val="7"/>
  </w:num>
  <w:num w:numId="10">
    <w:abstractNumId w:val="15"/>
  </w:num>
  <w:num w:numId="11">
    <w:abstractNumId w:val="11"/>
  </w:num>
  <w:num w:numId="12">
    <w:abstractNumId w:val="5"/>
  </w:num>
  <w:num w:numId="13">
    <w:abstractNumId w:val="19"/>
  </w:num>
  <w:num w:numId="14">
    <w:abstractNumId w:val="10"/>
  </w:num>
  <w:num w:numId="15">
    <w:abstractNumId w:val="5"/>
  </w:num>
  <w:num w:numId="16">
    <w:abstractNumId w:val="5"/>
  </w:num>
  <w:num w:numId="17">
    <w:abstractNumId w:val="5"/>
  </w:num>
  <w:num w:numId="18">
    <w:abstractNumId w:val="5"/>
  </w:num>
  <w:num w:numId="19">
    <w:abstractNumId w:val="8"/>
  </w:num>
  <w:num w:numId="20">
    <w:abstractNumId w:val="6"/>
  </w:num>
  <w:num w:numId="2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9"/>
  </w:num>
  <w:num w:numId="29">
    <w:abstractNumId w:val="25"/>
  </w:num>
  <w:num w:numId="30">
    <w:abstractNumId w:val="22"/>
  </w:num>
  <w:num w:numId="31">
    <w:abstractNumId w:val="23"/>
  </w:num>
  <w:num w:numId="32">
    <w:abstractNumId w:val="18"/>
  </w:num>
  <w:num w:numId="33">
    <w:abstractNumId w:val="26"/>
  </w:num>
  <w:num w:numId="34">
    <w:abstractNumId w:val="14"/>
  </w:num>
  <w:num w:numId="35">
    <w:abstractNumId w:val="30"/>
  </w:num>
  <w:num w:numId="36">
    <w:abstractNumId w:val="24"/>
  </w:num>
  <w:num w:numId="37">
    <w:abstractNumId w:val="3"/>
  </w:num>
  <w:num w:numId="38">
    <w:abstractNumId w:val="13"/>
  </w:num>
  <w:num w:numId="39">
    <w:abstractNumId w:val="2"/>
  </w:num>
  <w:num w:numId="40">
    <w:abstractNumId w:val="36"/>
  </w:num>
  <w:num w:numId="41">
    <w:abstractNumId w:val="29"/>
  </w:num>
  <w:num w:numId="42">
    <w:abstractNumId w:val="0"/>
  </w:num>
  <w:num w:numId="43">
    <w:abstractNumId w:val="34"/>
  </w:num>
  <w:num w:numId="44">
    <w:abstractNumId w:val="4"/>
  </w:num>
  <w:num w:numId="45">
    <w:abstractNumId w:val="31"/>
  </w:num>
  <w:num w:numId="46">
    <w:abstractNumId w:val="37"/>
  </w:num>
  <w:num w:numId="47">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stylePaneFormatFilter w:val="3F01"/>
  <w:defaultTabStop w:val="624"/>
  <w:hyphenationZone w:val="425"/>
  <w:evenAndOddHeaders/>
  <w:drawingGridHorizontalSpacing w:val="10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050E"/>
    <w:rsid w:val="00000434"/>
    <w:rsid w:val="00000FF2"/>
    <w:rsid w:val="0000318A"/>
    <w:rsid w:val="00003801"/>
    <w:rsid w:val="00005F50"/>
    <w:rsid w:val="00011130"/>
    <w:rsid w:val="00012C1E"/>
    <w:rsid w:val="00014FF0"/>
    <w:rsid w:val="000167FE"/>
    <w:rsid w:val="00022C8D"/>
    <w:rsid w:val="00023E17"/>
    <w:rsid w:val="00024D15"/>
    <w:rsid w:val="000318BD"/>
    <w:rsid w:val="00035F48"/>
    <w:rsid w:val="00036321"/>
    <w:rsid w:val="000368AB"/>
    <w:rsid w:val="00036DF4"/>
    <w:rsid w:val="00042DDA"/>
    <w:rsid w:val="000526D6"/>
    <w:rsid w:val="00055340"/>
    <w:rsid w:val="000603AD"/>
    <w:rsid w:val="00063382"/>
    <w:rsid w:val="00064E5A"/>
    <w:rsid w:val="00065743"/>
    <w:rsid w:val="00066472"/>
    <w:rsid w:val="00076DF8"/>
    <w:rsid w:val="00083CC6"/>
    <w:rsid w:val="00083D9B"/>
    <w:rsid w:val="00092040"/>
    <w:rsid w:val="00092464"/>
    <w:rsid w:val="00092FC8"/>
    <w:rsid w:val="00093E1F"/>
    <w:rsid w:val="00094AEA"/>
    <w:rsid w:val="000A13F9"/>
    <w:rsid w:val="000A1B1F"/>
    <w:rsid w:val="000A23D8"/>
    <w:rsid w:val="000A3275"/>
    <w:rsid w:val="000A543F"/>
    <w:rsid w:val="000A72D9"/>
    <w:rsid w:val="000B53B3"/>
    <w:rsid w:val="000B60E7"/>
    <w:rsid w:val="000B77B4"/>
    <w:rsid w:val="000C022E"/>
    <w:rsid w:val="000C09D9"/>
    <w:rsid w:val="000C266A"/>
    <w:rsid w:val="000C5659"/>
    <w:rsid w:val="000C5859"/>
    <w:rsid w:val="000C6FCC"/>
    <w:rsid w:val="000D0715"/>
    <w:rsid w:val="000D09C7"/>
    <w:rsid w:val="000D2AA3"/>
    <w:rsid w:val="000E0D3F"/>
    <w:rsid w:val="000E1942"/>
    <w:rsid w:val="000E3736"/>
    <w:rsid w:val="000E3CFD"/>
    <w:rsid w:val="000E681A"/>
    <w:rsid w:val="000F78E8"/>
    <w:rsid w:val="001043A0"/>
    <w:rsid w:val="001079DB"/>
    <w:rsid w:val="00111E55"/>
    <w:rsid w:val="0011305F"/>
    <w:rsid w:val="00116C44"/>
    <w:rsid w:val="00117EF2"/>
    <w:rsid w:val="00120D7C"/>
    <w:rsid w:val="0012262C"/>
    <w:rsid w:val="0012615F"/>
    <w:rsid w:val="0012628A"/>
    <w:rsid w:val="0012782A"/>
    <w:rsid w:val="001314D4"/>
    <w:rsid w:val="00131E8C"/>
    <w:rsid w:val="00136B82"/>
    <w:rsid w:val="00141261"/>
    <w:rsid w:val="00142E82"/>
    <w:rsid w:val="0015391B"/>
    <w:rsid w:val="00164BF1"/>
    <w:rsid w:val="00170653"/>
    <w:rsid w:val="0017109E"/>
    <w:rsid w:val="00174D6A"/>
    <w:rsid w:val="00174DA8"/>
    <w:rsid w:val="00175259"/>
    <w:rsid w:val="001808FA"/>
    <w:rsid w:val="001845A9"/>
    <w:rsid w:val="00184F7D"/>
    <w:rsid w:val="00187024"/>
    <w:rsid w:val="00187398"/>
    <w:rsid w:val="00190074"/>
    <w:rsid w:val="001903B7"/>
    <w:rsid w:val="0019221C"/>
    <w:rsid w:val="00193281"/>
    <w:rsid w:val="00193D2B"/>
    <w:rsid w:val="001A069A"/>
    <w:rsid w:val="001A5ED9"/>
    <w:rsid w:val="001A5F6F"/>
    <w:rsid w:val="001A6268"/>
    <w:rsid w:val="001A67F6"/>
    <w:rsid w:val="001B0CB7"/>
    <w:rsid w:val="001B0D91"/>
    <w:rsid w:val="001B1336"/>
    <w:rsid w:val="001B14DC"/>
    <w:rsid w:val="001B15F4"/>
    <w:rsid w:val="001B6808"/>
    <w:rsid w:val="001B7118"/>
    <w:rsid w:val="001C2178"/>
    <w:rsid w:val="001D0253"/>
    <w:rsid w:val="001E0DA8"/>
    <w:rsid w:val="001E140A"/>
    <w:rsid w:val="001E165C"/>
    <w:rsid w:val="001E7FAC"/>
    <w:rsid w:val="001F0F7F"/>
    <w:rsid w:val="002006C9"/>
    <w:rsid w:val="00204528"/>
    <w:rsid w:val="002065C7"/>
    <w:rsid w:val="00206744"/>
    <w:rsid w:val="0021020F"/>
    <w:rsid w:val="0021404D"/>
    <w:rsid w:val="00214DC9"/>
    <w:rsid w:val="002177C9"/>
    <w:rsid w:val="002223E2"/>
    <w:rsid w:val="0022712F"/>
    <w:rsid w:val="0022713E"/>
    <w:rsid w:val="00227F0F"/>
    <w:rsid w:val="00230473"/>
    <w:rsid w:val="0023262A"/>
    <w:rsid w:val="00233179"/>
    <w:rsid w:val="00240288"/>
    <w:rsid w:val="002410F3"/>
    <w:rsid w:val="0024482B"/>
    <w:rsid w:val="0024542F"/>
    <w:rsid w:val="002454EB"/>
    <w:rsid w:val="00250917"/>
    <w:rsid w:val="00250CC9"/>
    <w:rsid w:val="002515C9"/>
    <w:rsid w:val="0026012C"/>
    <w:rsid w:val="00262419"/>
    <w:rsid w:val="00262B33"/>
    <w:rsid w:val="0026446F"/>
    <w:rsid w:val="002677C4"/>
    <w:rsid w:val="00267D95"/>
    <w:rsid w:val="00275058"/>
    <w:rsid w:val="00284D5E"/>
    <w:rsid w:val="00292DF8"/>
    <w:rsid w:val="00295EA7"/>
    <w:rsid w:val="002A149E"/>
    <w:rsid w:val="002A2ED8"/>
    <w:rsid w:val="002A343D"/>
    <w:rsid w:val="002A3AEC"/>
    <w:rsid w:val="002A6F9E"/>
    <w:rsid w:val="002A7EC1"/>
    <w:rsid w:val="002B1986"/>
    <w:rsid w:val="002B576E"/>
    <w:rsid w:val="002B6AEB"/>
    <w:rsid w:val="002C2815"/>
    <w:rsid w:val="002C2BD2"/>
    <w:rsid w:val="002C364E"/>
    <w:rsid w:val="002C48EE"/>
    <w:rsid w:val="002C65C2"/>
    <w:rsid w:val="002C78D9"/>
    <w:rsid w:val="002C7E98"/>
    <w:rsid w:val="002D155A"/>
    <w:rsid w:val="002D2A17"/>
    <w:rsid w:val="002D4BA6"/>
    <w:rsid w:val="002D612A"/>
    <w:rsid w:val="002E1B03"/>
    <w:rsid w:val="002E5FD3"/>
    <w:rsid w:val="002E690F"/>
    <w:rsid w:val="002E6F9C"/>
    <w:rsid w:val="002F04CA"/>
    <w:rsid w:val="002F0DDF"/>
    <w:rsid w:val="002F183C"/>
    <w:rsid w:val="002F24EC"/>
    <w:rsid w:val="002F3083"/>
    <w:rsid w:val="002F31D1"/>
    <w:rsid w:val="002F3F46"/>
    <w:rsid w:val="002F5AE8"/>
    <w:rsid w:val="00307E62"/>
    <w:rsid w:val="0031043D"/>
    <w:rsid w:val="00312529"/>
    <w:rsid w:val="00317715"/>
    <w:rsid w:val="0032182B"/>
    <w:rsid w:val="00323D13"/>
    <w:rsid w:val="00323DB7"/>
    <w:rsid w:val="003332CE"/>
    <w:rsid w:val="00343B5B"/>
    <w:rsid w:val="00350840"/>
    <w:rsid w:val="0035650B"/>
    <w:rsid w:val="00356EDE"/>
    <w:rsid w:val="00361652"/>
    <w:rsid w:val="00363C5B"/>
    <w:rsid w:val="00364A1F"/>
    <w:rsid w:val="00364FC6"/>
    <w:rsid w:val="00365E1E"/>
    <w:rsid w:val="0037031C"/>
    <w:rsid w:val="003713CF"/>
    <w:rsid w:val="00371CB2"/>
    <w:rsid w:val="00371E8D"/>
    <w:rsid w:val="00372C9E"/>
    <w:rsid w:val="00375CF3"/>
    <w:rsid w:val="00376E16"/>
    <w:rsid w:val="00377564"/>
    <w:rsid w:val="003874F2"/>
    <w:rsid w:val="003919E8"/>
    <w:rsid w:val="00392DEB"/>
    <w:rsid w:val="00392F0E"/>
    <w:rsid w:val="00397ECF"/>
    <w:rsid w:val="003A132C"/>
    <w:rsid w:val="003A3655"/>
    <w:rsid w:val="003A3D3A"/>
    <w:rsid w:val="003A4EE3"/>
    <w:rsid w:val="003A56DD"/>
    <w:rsid w:val="003B12BB"/>
    <w:rsid w:val="003B23BF"/>
    <w:rsid w:val="003B23F1"/>
    <w:rsid w:val="003B454B"/>
    <w:rsid w:val="003B66EA"/>
    <w:rsid w:val="003B7764"/>
    <w:rsid w:val="003C0010"/>
    <w:rsid w:val="003C1D36"/>
    <w:rsid w:val="003C3362"/>
    <w:rsid w:val="003C4D9E"/>
    <w:rsid w:val="003C4DFB"/>
    <w:rsid w:val="003D03B2"/>
    <w:rsid w:val="003D2EEB"/>
    <w:rsid w:val="003D4F19"/>
    <w:rsid w:val="003D5E08"/>
    <w:rsid w:val="003E14EF"/>
    <w:rsid w:val="003E174B"/>
    <w:rsid w:val="003E2E43"/>
    <w:rsid w:val="003E6FEF"/>
    <w:rsid w:val="003F081C"/>
    <w:rsid w:val="003F1E6A"/>
    <w:rsid w:val="003F35CD"/>
    <w:rsid w:val="003F4216"/>
    <w:rsid w:val="00401DBF"/>
    <w:rsid w:val="0040387A"/>
    <w:rsid w:val="00403D3B"/>
    <w:rsid w:val="00407E34"/>
    <w:rsid w:val="00410674"/>
    <w:rsid w:val="0041144B"/>
    <w:rsid w:val="0041185B"/>
    <w:rsid w:val="00412C0C"/>
    <w:rsid w:val="004140E0"/>
    <w:rsid w:val="0041536D"/>
    <w:rsid w:val="0041653E"/>
    <w:rsid w:val="00426115"/>
    <w:rsid w:val="0043456B"/>
    <w:rsid w:val="00435A69"/>
    <w:rsid w:val="00437700"/>
    <w:rsid w:val="00440B23"/>
    <w:rsid w:val="00441B37"/>
    <w:rsid w:val="004471D1"/>
    <w:rsid w:val="004479A4"/>
    <w:rsid w:val="00451C15"/>
    <w:rsid w:val="0045313E"/>
    <w:rsid w:val="00460284"/>
    <w:rsid w:val="00460ADA"/>
    <w:rsid w:val="00465D46"/>
    <w:rsid w:val="004662E2"/>
    <w:rsid w:val="004675B4"/>
    <w:rsid w:val="00474C26"/>
    <w:rsid w:val="00475851"/>
    <w:rsid w:val="00482275"/>
    <w:rsid w:val="004837E1"/>
    <w:rsid w:val="00497569"/>
    <w:rsid w:val="004A0017"/>
    <w:rsid w:val="004A10A5"/>
    <w:rsid w:val="004A37E9"/>
    <w:rsid w:val="004A5CD0"/>
    <w:rsid w:val="004A627A"/>
    <w:rsid w:val="004B043E"/>
    <w:rsid w:val="004B3E5F"/>
    <w:rsid w:val="004B5196"/>
    <w:rsid w:val="004B558E"/>
    <w:rsid w:val="004B5A34"/>
    <w:rsid w:val="004C12AC"/>
    <w:rsid w:val="004C4A2D"/>
    <w:rsid w:val="004C6B45"/>
    <w:rsid w:val="004C708E"/>
    <w:rsid w:val="004D0C11"/>
    <w:rsid w:val="004D1705"/>
    <w:rsid w:val="004D23B3"/>
    <w:rsid w:val="004D37A7"/>
    <w:rsid w:val="004D7CB7"/>
    <w:rsid w:val="004E14F2"/>
    <w:rsid w:val="004E217D"/>
    <w:rsid w:val="004E30B9"/>
    <w:rsid w:val="004E4E65"/>
    <w:rsid w:val="004E5258"/>
    <w:rsid w:val="004E6381"/>
    <w:rsid w:val="004F07A6"/>
    <w:rsid w:val="004F43A6"/>
    <w:rsid w:val="004F6F79"/>
    <w:rsid w:val="005009F9"/>
    <w:rsid w:val="00502812"/>
    <w:rsid w:val="00503045"/>
    <w:rsid w:val="00503A03"/>
    <w:rsid w:val="00503E48"/>
    <w:rsid w:val="00505D39"/>
    <w:rsid w:val="00505F3E"/>
    <w:rsid w:val="0051310C"/>
    <w:rsid w:val="005132B5"/>
    <w:rsid w:val="00513FB1"/>
    <w:rsid w:val="00522AE4"/>
    <w:rsid w:val="00523759"/>
    <w:rsid w:val="00524788"/>
    <w:rsid w:val="00524948"/>
    <w:rsid w:val="00531652"/>
    <w:rsid w:val="0053725C"/>
    <w:rsid w:val="00542E64"/>
    <w:rsid w:val="00543A98"/>
    <w:rsid w:val="005445E3"/>
    <w:rsid w:val="005461E7"/>
    <w:rsid w:val="00547845"/>
    <w:rsid w:val="005502E8"/>
    <w:rsid w:val="00552A63"/>
    <w:rsid w:val="00556798"/>
    <w:rsid w:val="00562079"/>
    <w:rsid w:val="005636DB"/>
    <w:rsid w:val="00564992"/>
    <w:rsid w:val="005657FD"/>
    <w:rsid w:val="00571281"/>
    <w:rsid w:val="005717C3"/>
    <w:rsid w:val="00574198"/>
    <w:rsid w:val="00575456"/>
    <w:rsid w:val="0057551B"/>
    <w:rsid w:val="00587F87"/>
    <w:rsid w:val="0059291B"/>
    <w:rsid w:val="00595B57"/>
    <w:rsid w:val="005A0348"/>
    <w:rsid w:val="005A1310"/>
    <w:rsid w:val="005A3647"/>
    <w:rsid w:val="005A3CC3"/>
    <w:rsid w:val="005A5BC1"/>
    <w:rsid w:val="005A5BD1"/>
    <w:rsid w:val="005B70AE"/>
    <w:rsid w:val="005C1B61"/>
    <w:rsid w:val="005C1C19"/>
    <w:rsid w:val="005C4CDC"/>
    <w:rsid w:val="005C533D"/>
    <w:rsid w:val="005C5DE1"/>
    <w:rsid w:val="005D202E"/>
    <w:rsid w:val="005D2AAE"/>
    <w:rsid w:val="005D39D1"/>
    <w:rsid w:val="005E09B6"/>
    <w:rsid w:val="005E2C76"/>
    <w:rsid w:val="005E4BE1"/>
    <w:rsid w:val="005E58E3"/>
    <w:rsid w:val="005E6374"/>
    <w:rsid w:val="005F06CD"/>
    <w:rsid w:val="005F129B"/>
    <w:rsid w:val="005F2084"/>
    <w:rsid w:val="005F7C6E"/>
    <w:rsid w:val="006015D6"/>
    <w:rsid w:val="00601A4A"/>
    <w:rsid w:val="00602B1B"/>
    <w:rsid w:val="0060553F"/>
    <w:rsid w:val="00606CB8"/>
    <w:rsid w:val="0061178F"/>
    <w:rsid w:val="006120C9"/>
    <w:rsid w:val="00613046"/>
    <w:rsid w:val="00615A90"/>
    <w:rsid w:val="006161DF"/>
    <w:rsid w:val="006201E3"/>
    <w:rsid w:val="006211B9"/>
    <w:rsid w:val="00622544"/>
    <w:rsid w:val="006229E6"/>
    <w:rsid w:val="00624D6B"/>
    <w:rsid w:val="00632683"/>
    <w:rsid w:val="006342D0"/>
    <w:rsid w:val="00641718"/>
    <w:rsid w:val="006432D8"/>
    <w:rsid w:val="00643595"/>
    <w:rsid w:val="006453BC"/>
    <w:rsid w:val="00645E50"/>
    <w:rsid w:val="00652102"/>
    <w:rsid w:val="00652BDD"/>
    <w:rsid w:val="00652C36"/>
    <w:rsid w:val="00656506"/>
    <w:rsid w:val="00656ACB"/>
    <w:rsid w:val="00657211"/>
    <w:rsid w:val="00663C22"/>
    <w:rsid w:val="00664A02"/>
    <w:rsid w:val="00665A62"/>
    <w:rsid w:val="00670332"/>
    <w:rsid w:val="00670B06"/>
    <w:rsid w:val="006711AA"/>
    <w:rsid w:val="0067124F"/>
    <w:rsid w:val="0067275C"/>
    <w:rsid w:val="0067650C"/>
    <w:rsid w:val="006818F6"/>
    <w:rsid w:val="0068277A"/>
    <w:rsid w:val="00683667"/>
    <w:rsid w:val="00683D64"/>
    <w:rsid w:val="006840F5"/>
    <w:rsid w:val="00691339"/>
    <w:rsid w:val="00691D60"/>
    <w:rsid w:val="00695F37"/>
    <w:rsid w:val="00697C99"/>
    <w:rsid w:val="006A30C7"/>
    <w:rsid w:val="006A3FD4"/>
    <w:rsid w:val="006A4B43"/>
    <w:rsid w:val="006B2899"/>
    <w:rsid w:val="006B6920"/>
    <w:rsid w:val="006B758E"/>
    <w:rsid w:val="006C065D"/>
    <w:rsid w:val="006C16BE"/>
    <w:rsid w:val="006C182A"/>
    <w:rsid w:val="006C6991"/>
    <w:rsid w:val="006D09A8"/>
    <w:rsid w:val="006D198A"/>
    <w:rsid w:val="006D5336"/>
    <w:rsid w:val="006E28B2"/>
    <w:rsid w:val="006E507D"/>
    <w:rsid w:val="006E7D60"/>
    <w:rsid w:val="006F743E"/>
    <w:rsid w:val="00703A3D"/>
    <w:rsid w:val="0070405F"/>
    <w:rsid w:val="007050A6"/>
    <w:rsid w:val="007111DD"/>
    <w:rsid w:val="007120BE"/>
    <w:rsid w:val="0071217D"/>
    <w:rsid w:val="00714396"/>
    <w:rsid w:val="00720655"/>
    <w:rsid w:val="00720A6F"/>
    <w:rsid w:val="00720BB7"/>
    <w:rsid w:val="00726BA0"/>
    <w:rsid w:val="00731EF1"/>
    <w:rsid w:val="00736976"/>
    <w:rsid w:val="00741DE7"/>
    <w:rsid w:val="00742605"/>
    <w:rsid w:val="00746BE7"/>
    <w:rsid w:val="00760461"/>
    <w:rsid w:val="007613E8"/>
    <w:rsid w:val="007656F0"/>
    <w:rsid w:val="00771CB2"/>
    <w:rsid w:val="00775752"/>
    <w:rsid w:val="00775CE5"/>
    <w:rsid w:val="00777ED5"/>
    <w:rsid w:val="00781F8C"/>
    <w:rsid w:val="00782755"/>
    <w:rsid w:val="0078309D"/>
    <w:rsid w:val="00784057"/>
    <w:rsid w:val="00785246"/>
    <w:rsid w:val="007854E4"/>
    <w:rsid w:val="00787BE4"/>
    <w:rsid w:val="00787E0F"/>
    <w:rsid w:val="00790589"/>
    <w:rsid w:val="007922C6"/>
    <w:rsid w:val="0079288C"/>
    <w:rsid w:val="00793063"/>
    <w:rsid w:val="00794261"/>
    <w:rsid w:val="00794E3E"/>
    <w:rsid w:val="00795159"/>
    <w:rsid w:val="00795652"/>
    <w:rsid w:val="00797847"/>
    <w:rsid w:val="007A1507"/>
    <w:rsid w:val="007A3F00"/>
    <w:rsid w:val="007A785C"/>
    <w:rsid w:val="007B5A7C"/>
    <w:rsid w:val="007B6C99"/>
    <w:rsid w:val="007C0367"/>
    <w:rsid w:val="007C1C81"/>
    <w:rsid w:val="007C1D2E"/>
    <w:rsid w:val="007D0B14"/>
    <w:rsid w:val="007D2348"/>
    <w:rsid w:val="007D42F5"/>
    <w:rsid w:val="007D477E"/>
    <w:rsid w:val="007D5626"/>
    <w:rsid w:val="007D6032"/>
    <w:rsid w:val="007D716B"/>
    <w:rsid w:val="007E04A9"/>
    <w:rsid w:val="007E131D"/>
    <w:rsid w:val="007E2B8D"/>
    <w:rsid w:val="007E5E34"/>
    <w:rsid w:val="007E6A25"/>
    <w:rsid w:val="007E6FD9"/>
    <w:rsid w:val="007F2537"/>
    <w:rsid w:val="007F359E"/>
    <w:rsid w:val="007F361F"/>
    <w:rsid w:val="007F3FE4"/>
    <w:rsid w:val="007F76A3"/>
    <w:rsid w:val="008014A6"/>
    <w:rsid w:val="0080398C"/>
    <w:rsid w:val="00805416"/>
    <w:rsid w:val="00811AFE"/>
    <w:rsid w:val="00814204"/>
    <w:rsid w:val="00814A16"/>
    <w:rsid w:val="0082253D"/>
    <w:rsid w:val="008248EF"/>
    <w:rsid w:val="008252F8"/>
    <w:rsid w:val="00830C79"/>
    <w:rsid w:val="00845706"/>
    <w:rsid w:val="00846B4C"/>
    <w:rsid w:val="0084773C"/>
    <w:rsid w:val="00851CBF"/>
    <w:rsid w:val="0085220D"/>
    <w:rsid w:val="00853182"/>
    <w:rsid w:val="0085386E"/>
    <w:rsid w:val="00853B8D"/>
    <w:rsid w:val="00854EE1"/>
    <w:rsid w:val="00857B23"/>
    <w:rsid w:val="00860C3B"/>
    <w:rsid w:val="008626AA"/>
    <w:rsid w:val="00862802"/>
    <w:rsid w:val="008673C3"/>
    <w:rsid w:val="00870D5E"/>
    <w:rsid w:val="00872A0A"/>
    <w:rsid w:val="00872FB6"/>
    <w:rsid w:val="00876738"/>
    <w:rsid w:val="00877D37"/>
    <w:rsid w:val="00877DD7"/>
    <w:rsid w:val="00877F8E"/>
    <w:rsid w:val="00877FB5"/>
    <w:rsid w:val="008833BF"/>
    <w:rsid w:val="00884887"/>
    <w:rsid w:val="00891765"/>
    <w:rsid w:val="008940FC"/>
    <w:rsid w:val="0089463A"/>
    <w:rsid w:val="00896DDF"/>
    <w:rsid w:val="00897DE7"/>
    <w:rsid w:val="008A1620"/>
    <w:rsid w:val="008A2052"/>
    <w:rsid w:val="008A30DE"/>
    <w:rsid w:val="008A3317"/>
    <w:rsid w:val="008A3AEA"/>
    <w:rsid w:val="008A4999"/>
    <w:rsid w:val="008A6C50"/>
    <w:rsid w:val="008A6FEB"/>
    <w:rsid w:val="008A7185"/>
    <w:rsid w:val="008B2247"/>
    <w:rsid w:val="008B23C9"/>
    <w:rsid w:val="008B3BDD"/>
    <w:rsid w:val="008B3D2E"/>
    <w:rsid w:val="008C0417"/>
    <w:rsid w:val="008C0432"/>
    <w:rsid w:val="008C050E"/>
    <w:rsid w:val="008C18F0"/>
    <w:rsid w:val="008C2613"/>
    <w:rsid w:val="008C356F"/>
    <w:rsid w:val="008C6A27"/>
    <w:rsid w:val="008C76A4"/>
    <w:rsid w:val="008D2800"/>
    <w:rsid w:val="008D34E2"/>
    <w:rsid w:val="008D6AC0"/>
    <w:rsid w:val="008E75E1"/>
    <w:rsid w:val="008F155C"/>
    <w:rsid w:val="008F2923"/>
    <w:rsid w:val="008F3A3B"/>
    <w:rsid w:val="008F6F9A"/>
    <w:rsid w:val="00900C4D"/>
    <w:rsid w:val="00901029"/>
    <w:rsid w:val="009011DF"/>
    <w:rsid w:val="00911A0D"/>
    <w:rsid w:val="00911EF7"/>
    <w:rsid w:val="00913A0D"/>
    <w:rsid w:val="00913AAB"/>
    <w:rsid w:val="00914FCE"/>
    <w:rsid w:val="009157BA"/>
    <w:rsid w:val="00917524"/>
    <w:rsid w:val="00921E07"/>
    <w:rsid w:val="00926452"/>
    <w:rsid w:val="00927621"/>
    <w:rsid w:val="00930B29"/>
    <w:rsid w:val="00936440"/>
    <w:rsid w:val="00940302"/>
    <w:rsid w:val="00942DB6"/>
    <w:rsid w:val="0094343E"/>
    <w:rsid w:val="00944DD2"/>
    <w:rsid w:val="00944F24"/>
    <w:rsid w:val="009459F2"/>
    <w:rsid w:val="009567A6"/>
    <w:rsid w:val="0096156F"/>
    <w:rsid w:val="00962A31"/>
    <w:rsid w:val="009642A6"/>
    <w:rsid w:val="00966CDF"/>
    <w:rsid w:val="0097307E"/>
    <w:rsid w:val="00976855"/>
    <w:rsid w:val="009811CC"/>
    <w:rsid w:val="00983056"/>
    <w:rsid w:val="009903C8"/>
    <w:rsid w:val="00991375"/>
    <w:rsid w:val="00995D96"/>
    <w:rsid w:val="0099662E"/>
    <w:rsid w:val="00997148"/>
    <w:rsid w:val="0099758C"/>
    <w:rsid w:val="009A09A6"/>
    <w:rsid w:val="009A155A"/>
    <w:rsid w:val="009A1931"/>
    <w:rsid w:val="009A3F84"/>
    <w:rsid w:val="009A6EFB"/>
    <w:rsid w:val="009B2208"/>
    <w:rsid w:val="009B277C"/>
    <w:rsid w:val="009B37A4"/>
    <w:rsid w:val="009B3A15"/>
    <w:rsid w:val="009C1C0C"/>
    <w:rsid w:val="009C34DB"/>
    <w:rsid w:val="009C4ABE"/>
    <w:rsid w:val="009C695D"/>
    <w:rsid w:val="009C6EBD"/>
    <w:rsid w:val="009C7302"/>
    <w:rsid w:val="009D1EC3"/>
    <w:rsid w:val="009D2FEC"/>
    <w:rsid w:val="009D4512"/>
    <w:rsid w:val="009E0D24"/>
    <w:rsid w:val="009E633B"/>
    <w:rsid w:val="009F0043"/>
    <w:rsid w:val="009F0DFD"/>
    <w:rsid w:val="009F1F86"/>
    <w:rsid w:val="009F2560"/>
    <w:rsid w:val="009F2E9F"/>
    <w:rsid w:val="00A01FA2"/>
    <w:rsid w:val="00A07055"/>
    <w:rsid w:val="00A2105B"/>
    <w:rsid w:val="00A22F5D"/>
    <w:rsid w:val="00A2498B"/>
    <w:rsid w:val="00A258F8"/>
    <w:rsid w:val="00A323AE"/>
    <w:rsid w:val="00A3362E"/>
    <w:rsid w:val="00A33A25"/>
    <w:rsid w:val="00A35A2E"/>
    <w:rsid w:val="00A367CA"/>
    <w:rsid w:val="00A42E55"/>
    <w:rsid w:val="00A43D77"/>
    <w:rsid w:val="00A479F0"/>
    <w:rsid w:val="00A53E27"/>
    <w:rsid w:val="00A6368B"/>
    <w:rsid w:val="00A71A2E"/>
    <w:rsid w:val="00A73515"/>
    <w:rsid w:val="00A73BEE"/>
    <w:rsid w:val="00A8265B"/>
    <w:rsid w:val="00A85A3C"/>
    <w:rsid w:val="00A87122"/>
    <w:rsid w:val="00A920C7"/>
    <w:rsid w:val="00A92378"/>
    <w:rsid w:val="00A96514"/>
    <w:rsid w:val="00AA6348"/>
    <w:rsid w:val="00AB113A"/>
    <w:rsid w:val="00AB2026"/>
    <w:rsid w:val="00AB31B6"/>
    <w:rsid w:val="00AB3F7D"/>
    <w:rsid w:val="00AB5A34"/>
    <w:rsid w:val="00AC0B99"/>
    <w:rsid w:val="00AC2320"/>
    <w:rsid w:val="00AC2EF8"/>
    <w:rsid w:val="00AC50D5"/>
    <w:rsid w:val="00AD1782"/>
    <w:rsid w:val="00AD18EF"/>
    <w:rsid w:val="00AD73CD"/>
    <w:rsid w:val="00AE360E"/>
    <w:rsid w:val="00AF0CAB"/>
    <w:rsid w:val="00AF482E"/>
    <w:rsid w:val="00B0124A"/>
    <w:rsid w:val="00B01BB7"/>
    <w:rsid w:val="00B0336E"/>
    <w:rsid w:val="00B03CFA"/>
    <w:rsid w:val="00B0484B"/>
    <w:rsid w:val="00B05947"/>
    <w:rsid w:val="00B05F26"/>
    <w:rsid w:val="00B066EF"/>
    <w:rsid w:val="00B135F6"/>
    <w:rsid w:val="00B1431F"/>
    <w:rsid w:val="00B151E4"/>
    <w:rsid w:val="00B17616"/>
    <w:rsid w:val="00B20AD8"/>
    <w:rsid w:val="00B21648"/>
    <w:rsid w:val="00B21861"/>
    <w:rsid w:val="00B228B0"/>
    <w:rsid w:val="00B24DFF"/>
    <w:rsid w:val="00B30D59"/>
    <w:rsid w:val="00B325E0"/>
    <w:rsid w:val="00B3603F"/>
    <w:rsid w:val="00B36447"/>
    <w:rsid w:val="00B373B5"/>
    <w:rsid w:val="00B377C5"/>
    <w:rsid w:val="00B377FA"/>
    <w:rsid w:val="00B40374"/>
    <w:rsid w:val="00B4156D"/>
    <w:rsid w:val="00B42E54"/>
    <w:rsid w:val="00B42FFF"/>
    <w:rsid w:val="00B46F51"/>
    <w:rsid w:val="00B51BEA"/>
    <w:rsid w:val="00B52729"/>
    <w:rsid w:val="00B547DB"/>
    <w:rsid w:val="00B54B70"/>
    <w:rsid w:val="00B63D41"/>
    <w:rsid w:val="00B66BB2"/>
    <w:rsid w:val="00B71687"/>
    <w:rsid w:val="00B71E24"/>
    <w:rsid w:val="00B745A3"/>
    <w:rsid w:val="00B75660"/>
    <w:rsid w:val="00B75A98"/>
    <w:rsid w:val="00B76F50"/>
    <w:rsid w:val="00B77CB2"/>
    <w:rsid w:val="00B77E56"/>
    <w:rsid w:val="00B810A7"/>
    <w:rsid w:val="00B82CAB"/>
    <w:rsid w:val="00B835D0"/>
    <w:rsid w:val="00B854C2"/>
    <w:rsid w:val="00B90B91"/>
    <w:rsid w:val="00B95079"/>
    <w:rsid w:val="00B96607"/>
    <w:rsid w:val="00B97DC8"/>
    <w:rsid w:val="00BA4D7F"/>
    <w:rsid w:val="00BA5554"/>
    <w:rsid w:val="00BB3FEF"/>
    <w:rsid w:val="00BB4134"/>
    <w:rsid w:val="00BB4823"/>
    <w:rsid w:val="00BB4C12"/>
    <w:rsid w:val="00BB56F9"/>
    <w:rsid w:val="00BB6954"/>
    <w:rsid w:val="00BB7315"/>
    <w:rsid w:val="00BC15E7"/>
    <w:rsid w:val="00BC3702"/>
    <w:rsid w:val="00BC77FC"/>
    <w:rsid w:val="00BC7E42"/>
    <w:rsid w:val="00BD3F8A"/>
    <w:rsid w:val="00BD43E0"/>
    <w:rsid w:val="00BD534E"/>
    <w:rsid w:val="00BD63BD"/>
    <w:rsid w:val="00BD7408"/>
    <w:rsid w:val="00BE0B12"/>
    <w:rsid w:val="00BE19EE"/>
    <w:rsid w:val="00BE474B"/>
    <w:rsid w:val="00BF24B3"/>
    <w:rsid w:val="00BF27EA"/>
    <w:rsid w:val="00BF75C2"/>
    <w:rsid w:val="00BF797D"/>
    <w:rsid w:val="00C000E7"/>
    <w:rsid w:val="00C05BD2"/>
    <w:rsid w:val="00C06462"/>
    <w:rsid w:val="00C07D10"/>
    <w:rsid w:val="00C13706"/>
    <w:rsid w:val="00C14B84"/>
    <w:rsid w:val="00C16A96"/>
    <w:rsid w:val="00C202FC"/>
    <w:rsid w:val="00C21BDE"/>
    <w:rsid w:val="00C25818"/>
    <w:rsid w:val="00C314CD"/>
    <w:rsid w:val="00C31B7B"/>
    <w:rsid w:val="00C31D88"/>
    <w:rsid w:val="00C327A0"/>
    <w:rsid w:val="00C35522"/>
    <w:rsid w:val="00C375A0"/>
    <w:rsid w:val="00C41CFC"/>
    <w:rsid w:val="00C46257"/>
    <w:rsid w:val="00C51393"/>
    <w:rsid w:val="00C5207C"/>
    <w:rsid w:val="00C52734"/>
    <w:rsid w:val="00C52AEE"/>
    <w:rsid w:val="00C56251"/>
    <w:rsid w:val="00C57FD1"/>
    <w:rsid w:val="00C71194"/>
    <w:rsid w:val="00C73C21"/>
    <w:rsid w:val="00C7498B"/>
    <w:rsid w:val="00C75D07"/>
    <w:rsid w:val="00C767F6"/>
    <w:rsid w:val="00C8063A"/>
    <w:rsid w:val="00C854D2"/>
    <w:rsid w:val="00C90159"/>
    <w:rsid w:val="00C91337"/>
    <w:rsid w:val="00C916A0"/>
    <w:rsid w:val="00CA4DFA"/>
    <w:rsid w:val="00CA6A6A"/>
    <w:rsid w:val="00CB17BC"/>
    <w:rsid w:val="00CB3965"/>
    <w:rsid w:val="00CB7783"/>
    <w:rsid w:val="00CC0500"/>
    <w:rsid w:val="00CC1B5F"/>
    <w:rsid w:val="00CC4ACD"/>
    <w:rsid w:val="00CC5821"/>
    <w:rsid w:val="00CC70BB"/>
    <w:rsid w:val="00CC79C9"/>
    <w:rsid w:val="00CD0E10"/>
    <w:rsid w:val="00CD2761"/>
    <w:rsid w:val="00CD2874"/>
    <w:rsid w:val="00CD3CFB"/>
    <w:rsid w:val="00CD409E"/>
    <w:rsid w:val="00CD4319"/>
    <w:rsid w:val="00CD7337"/>
    <w:rsid w:val="00CE749F"/>
    <w:rsid w:val="00CE7993"/>
    <w:rsid w:val="00CF09B6"/>
    <w:rsid w:val="00CF1604"/>
    <w:rsid w:val="00CF67B8"/>
    <w:rsid w:val="00CF752D"/>
    <w:rsid w:val="00CF758B"/>
    <w:rsid w:val="00D01503"/>
    <w:rsid w:val="00D01CBE"/>
    <w:rsid w:val="00D029B3"/>
    <w:rsid w:val="00D056F8"/>
    <w:rsid w:val="00D10A90"/>
    <w:rsid w:val="00D13B74"/>
    <w:rsid w:val="00D1499F"/>
    <w:rsid w:val="00D14F2A"/>
    <w:rsid w:val="00D17551"/>
    <w:rsid w:val="00D20C50"/>
    <w:rsid w:val="00D21634"/>
    <w:rsid w:val="00D226D5"/>
    <w:rsid w:val="00D274C2"/>
    <w:rsid w:val="00D30671"/>
    <w:rsid w:val="00D31508"/>
    <w:rsid w:val="00D31CBF"/>
    <w:rsid w:val="00D3234E"/>
    <w:rsid w:val="00D34900"/>
    <w:rsid w:val="00D37539"/>
    <w:rsid w:val="00D378F8"/>
    <w:rsid w:val="00D40B99"/>
    <w:rsid w:val="00D47073"/>
    <w:rsid w:val="00D50D23"/>
    <w:rsid w:val="00D5204C"/>
    <w:rsid w:val="00D52D86"/>
    <w:rsid w:val="00D55653"/>
    <w:rsid w:val="00D61037"/>
    <w:rsid w:val="00D61EA5"/>
    <w:rsid w:val="00D623B7"/>
    <w:rsid w:val="00D62562"/>
    <w:rsid w:val="00D64F5D"/>
    <w:rsid w:val="00D67021"/>
    <w:rsid w:val="00D67BB5"/>
    <w:rsid w:val="00D8172F"/>
    <w:rsid w:val="00D8173E"/>
    <w:rsid w:val="00D84149"/>
    <w:rsid w:val="00D9068F"/>
    <w:rsid w:val="00D90D80"/>
    <w:rsid w:val="00DA079E"/>
    <w:rsid w:val="00DA789A"/>
    <w:rsid w:val="00DB055C"/>
    <w:rsid w:val="00DB3C5D"/>
    <w:rsid w:val="00DB5679"/>
    <w:rsid w:val="00DB616B"/>
    <w:rsid w:val="00DB7530"/>
    <w:rsid w:val="00DC1AFA"/>
    <w:rsid w:val="00DC349F"/>
    <w:rsid w:val="00DC42E3"/>
    <w:rsid w:val="00DD3275"/>
    <w:rsid w:val="00DD5132"/>
    <w:rsid w:val="00DD6EB9"/>
    <w:rsid w:val="00DE182F"/>
    <w:rsid w:val="00DE3CE4"/>
    <w:rsid w:val="00DE3F77"/>
    <w:rsid w:val="00DE4A9E"/>
    <w:rsid w:val="00DE54C8"/>
    <w:rsid w:val="00DE6FF3"/>
    <w:rsid w:val="00DF355E"/>
    <w:rsid w:val="00DF391F"/>
    <w:rsid w:val="00DF54B8"/>
    <w:rsid w:val="00DF57A5"/>
    <w:rsid w:val="00DF7736"/>
    <w:rsid w:val="00E01DA1"/>
    <w:rsid w:val="00E02623"/>
    <w:rsid w:val="00E02770"/>
    <w:rsid w:val="00E03E79"/>
    <w:rsid w:val="00E04AC8"/>
    <w:rsid w:val="00E055EF"/>
    <w:rsid w:val="00E07606"/>
    <w:rsid w:val="00E10083"/>
    <w:rsid w:val="00E10FCF"/>
    <w:rsid w:val="00E115AB"/>
    <w:rsid w:val="00E11AC7"/>
    <w:rsid w:val="00E142FA"/>
    <w:rsid w:val="00E14470"/>
    <w:rsid w:val="00E21A68"/>
    <w:rsid w:val="00E225D2"/>
    <w:rsid w:val="00E254A6"/>
    <w:rsid w:val="00E275D7"/>
    <w:rsid w:val="00E324EA"/>
    <w:rsid w:val="00E36E78"/>
    <w:rsid w:val="00E4557C"/>
    <w:rsid w:val="00E477FF"/>
    <w:rsid w:val="00E51DAE"/>
    <w:rsid w:val="00E55FFB"/>
    <w:rsid w:val="00E5751C"/>
    <w:rsid w:val="00E62675"/>
    <w:rsid w:val="00E635A2"/>
    <w:rsid w:val="00E63EB1"/>
    <w:rsid w:val="00E66C82"/>
    <w:rsid w:val="00E67B39"/>
    <w:rsid w:val="00E67CE5"/>
    <w:rsid w:val="00E70CE8"/>
    <w:rsid w:val="00E73E73"/>
    <w:rsid w:val="00E762AD"/>
    <w:rsid w:val="00E7759E"/>
    <w:rsid w:val="00E86259"/>
    <w:rsid w:val="00E871C1"/>
    <w:rsid w:val="00E94B00"/>
    <w:rsid w:val="00E94C2A"/>
    <w:rsid w:val="00EA1715"/>
    <w:rsid w:val="00EA7F2E"/>
    <w:rsid w:val="00EC0F72"/>
    <w:rsid w:val="00EC1129"/>
    <w:rsid w:val="00EC250D"/>
    <w:rsid w:val="00EC3C6B"/>
    <w:rsid w:val="00ED0A5D"/>
    <w:rsid w:val="00ED442D"/>
    <w:rsid w:val="00ED4823"/>
    <w:rsid w:val="00EE5EC9"/>
    <w:rsid w:val="00EE6D35"/>
    <w:rsid w:val="00EE77E4"/>
    <w:rsid w:val="00EF32B1"/>
    <w:rsid w:val="00F00B3F"/>
    <w:rsid w:val="00F043AD"/>
    <w:rsid w:val="00F05526"/>
    <w:rsid w:val="00F1662E"/>
    <w:rsid w:val="00F16685"/>
    <w:rsid w:val="00F17DE3"/>
    <w:rsid w:val="00F21FFF"/>
    <w:rsid w:val="00F254FB"/>
    <w:rsid w:val="00F340AB"/>
    <w:rsid w:val="00F3453C"/>
    <w:rsid w:val="00F35F6E"/>
    <w:rsid w:val="00F43CC1"/>
    <w:rsid w:val="00F440E2"/>
    <w:rsid w:val="00F446E4"/>
    <w:rsid w:val="00F45E1A"/>
    <w:rsid w:val="00F46122"/>
    <w:rsid w:val="00F46B29"/>
    <w:rsid w:val="00F46BDB"/>
    <w:rsid w:val="00F53CC4"/>
    <w:rsid w:val="00F556B6"/>
    <w:rsid w:val="00F61433"/>
    <w:rsid w:val="00F6291B"/>
    <w:rsid w:val="00F62C54"/>
    <w:rsid w:val="00F63913"/>
    <w:rsid w:val="00F64AF5"/>
    <w:rsid w:val="00F64E48"/>
    <w:rsid w:val="00F654E2"/>
    <w:rsid w:val="00F65646"/>
    <w:rsid w:val="00F66A76"/>
    <w:rsid w:val="00F67FBD"/>
    <w:rsid w:val="00F70F8C"/>
    <w:rsid w:val="00F71AB3"/>
    <w:rsid w:val="00F76DD8"/>
    <w:rsid w:val="00F773BB"/>
    <w:rsid w:val="00F77CC1"/>
    <w:rsid w:val="00F800E1"/>
    <w:rsid w:val="00F83A46"/>
    <w:rsid w:val="00F83E41"/>
    <w:rsid w:val="00F862AE"/>
    <w:rsid w:val="00F862C8"/>
    <w:rsid w:val="00F86BF6"/>
    <w:rsid w:val="00F8782D"/>
    <w:rsid w:val="00F87E6E"/>
    <w:rsid w:val="00F97460"/>
    <w:rsid w:val="00F97F0A"/>
    <w:rsid w:val="00F97F8D"/>
    <w:rsid w:val="00FA756A"/>
    <w:rsid w:val="00FB0C1F"/>
    <w:rsid w:val="00FB0D5D"/>
    <w:rsid w:val="00FB172C"/>
    <w:rsid w:val="00FC2C00"/>
    <w:rsid w:val="00FD0210"/>
    <w:rsid w:val="00FD08C2"/>
    <w:rsid w:val="00FD16B6"/>
    <w:rsid w:val="00FD58F2"/>
    <w:rsid w:val="00FD5B29"/>
    <w:rsid w:val="00FD680B"/>
    <w:rsid w:val="00FD7817"/>
    <w:rsid w:val="00FE2AAE"/>
    <w:rsid w:val="00FE2C4F"/>
    <w:rsid w:val="00FE3A51"/>
    <w:rsid w:val="00FE57D4"/>
    <w:rsid w:val="00FF3996"/>
    <w:rsid w:val="00FF5FB5"/>
    <w:rsid w:val="00FF7D2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annotation subject"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50E"/>
    <w:rPr>
      <w:sz w:val="24"/>
      <w:szCs w:val="24"/>
    </w:rPr>
  </w:style>
  <w:style w:type="paragraph" w:styleId="Heading1">
    <w:name w:val="heading 1"/>
    <w:basedOn w:val="Normal"/>
    <w:next w:val="Normal"/>
    <w:link w:val="Heading1Char"/>
    <w:uiPriority w:val="99"/>
    <w:qFormat/>
    <w:rsid w:val="00D67021"/>
    <w:pPr>
      <w:keepNext/>
      <w:spacing w:before="240" w:after="60"/>
      <w:outlineLvl w:val="0"/>
    </w:pPr>
    <w:rPr>
      <w:rFonts w:cs="Arial"/>
      <w:b/>
      <w:bCs/>
      <w:color w:val="0099CC"/>
      <w:kern w:val="32"/>
      <w:szCs w:val="32"/>
    </w:rPr>
  </w:style>
  <w:style w:type="paragraph" w:styleId="Heading2">
    <w:name w:val="heading 2"/>
    <w:basedOn w:val="Normal"/>
    <w:next w:val="Normal"/>
    <w:link w:val="Heading2Char"/>
    <w:uiPriority w:val="99"/>
    <w:qFormat/>
    <w:rsid w:val="00D67021"/>
    <w:pPr>
      <w:keepNext/>
      <w:spacing w:before="240" w:after="60"/>
      <w:outlineLvl w:val="1"/>
    </w:pPr>
    <w:rPr>
      <w:rFonts w:cs="Arial"/>
      <w:bCs/>
      <w:iCs/>
      <w:color w:val="0099CC"/>
      <w:szCs w:val="28"/>
    </w:rPr>
  </w:style>
  <w:style w:type="paragraph" w:styleId="Heading3">
    <w:name w:val="heading 3"/>
    <w:basedOn w:val="Normal"/>
    <w:next w:val="Normal"/>
    <w:link w:val="Heading3Char"/>
    <w:uiPriority w:val="99"/>
    <w:qFormat/>
    <w:rsid w:val="00D67021"/>
    <w:pPr>
      <w:keepNext/>
      <w:outlineLvl w:val="2"/>
    </w:pPr>
    <w:rPr>
      <w:rFonts w:ascii="Arial" w:hAnsi="Arial" w:cs="Arial"/>
      <w:bCs/>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01DA1"/>
    <w:rPr>
      <w:rFonts w:cs="Arial"/>
      <w:b/>
      <w:bCs/>
      <w:color w:val="0099CC"/>
      <w:kern w:val="32"/>
      <w:sz w:val="32"/>
      <w:szCs w:val="32"/>
      <w:lang w:val="es-ES" w:eastAsia="es-ES"/>
    </w:rPr>
  </w:style>
  <w:style w:type="character" w:customStyle="1" w:styleId="Heading2Char">
    <w:name w:val="Heading 2 Char"/>
    <w:basedOn w:val="DefaultParagraphFont"/>
    <w:link w:val="Heading2"/>
    <w:uiPriority w:val="99"/>
    <w:locked/>
    <w:rsid w:val="00E01DA1"/>
    <w:rPr>
      <w:rFonts w:cs="Arial"/>
      <w:bCs/>
      <w:iCs/>
      <w:color w:val="0099CC"/>
      <w:sz w:val="28"/>
      <w:szCs w:val="28"/>
      <w:lang w:val="es-ES" w:eastAsia="es-ES"/>
    </w:rPr>
  </w:style>
  <w:style w:type="character" w:customStyle="1" w:styleId="Heading3Char">
    <w:name w:val="Heading 3 Char"/>
    <w:basedOn w:val="DefaultParagraphFont"/>
    <w:link w:val="Heading3"/>
    <w:uiPriority w:val="99"/>
    <w:locked/>
    <w:rsid w:val="00E01DA1"/>
    <w:rPr>
      <w:rFonts w:ascii="Arial" w:hAnsi="Arial" w:cs="Arial"/>
      <w:bCs/>
      <w:sz w:val="26"/>
      <w:szCs w:val="26"/>
      <w:lang w:val="es-ES" w:eastAsia="es-ES"/>
    </w:rPr>
  </w:style>
  <w:style w:type="paragraph" w:styleId="BalloonText">
    <w:name w:val="Balloon Text"/>
    <w:basedOn w:val="Normal"/>
    <w:link w:val="BalloonTextChar"/>
    <w:uiPriority w:val="99"/>
    <w:semiHidden/>
    <w:rsid w:val="00854EE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01DA1"/>
    <w:rPr>
      <w:rFonts w:ascii="Tahoma" w:hAnsi="Tahoma" w:cs="Tahoma"/>
      <w:sz w:val="16"/>
      <w:szCs w:val="16"/>
      <w:lang w:val="es-ES" w:eastAsia="es-ES"/>
    </w:rPr>
  </w:style>
  <w:style w:type="paragraph" w:customStyle="1" w:styleId="NormalInforme">
    <w:name w:val="NormalInforme"/>
    <w:basedOn w:val="Normal"/>
    <w:link w:val="NormalInformeCar"/>
    <w:uiPriority w:val="99"/>
    <w:rsid w:val="004471D1"/>
    <w:pPr>
      <w:tabs>
        <w:tab w:val="left" w:pos="624"/>
      </w:tabs>
    </w:pPr>
    <w:rPr>
      <w:rFonts w:ascii="Arial" w:hAnsi="Arial"/>
      <w:sz w:val="20"/>
      <w:szCs w:val="20"/>
      <w:lang w:val="es-ES_tradnl"/>
    </w:rPr>
  </w:style>
  <w:style w:type="paragraph" w:customStyle="1" w:styleId="Vietas">
    <w:name w:val=".Viñetas."/>
    <w:basedOn w:val="NormalInforme"/>
    <w:uiPriority w:val="99"/>
    <w:rsid w:val="00F16685"/>
    <w:pPr>
      <w:numPr>
        <w:numId w:val="1"/>
      </w:numPr>
    </w:pPr>
  </w:style>
  <w:style w:type="paragraph" w:customStyle="1" w:styleId="1">
    <w:name w:val="1"/>
    <w:basedOn w:val="NormalInforme"/>
    <w:uiPriority w:val="99"/>
    <w:rsid w:val="00F16685"/>
    <w:pPr>
      <w:numPr>
        <w:numId w:val="18"/>
      </w:numPr>
    </w:pPr>
    <w:rPr>
      <w:b/>
      <w:caps/>
      <w:color w:val="0099CC"/>
    </w:rPr>
  </w:style>
  <w:style w:type="paragraph" w:customStyle="1" w:styleId="2">
    <w:name w:val="2"/>
    <w:basedOn w:val="NormalInforme"/>
    <w:uiPriority w:val="99"/>
    <w:rsid w:val="00F16685"/>
    <w:pPr>
      <w:numPr>
        <w:ilvl w:val="1"/>
        <w:numId w:val="18"/>
      </w:numPr>
    </w:pPr>
    <w:rPr>
      <w:caps/>
      <w:color w:val="0099CC"/>
    </w:rPr>
  </w:style>
  <w:style w:type="paragraph" w:customStyle="1" w:styleId="3">
    <w:name w:val="3"/>
    <w:basedOn w:val="NormalInforme"/>
    <w:link w:val="3Car"/>
    <w:uiPriority w:val="99"/>
    <w:rsid w:val="00F16685"/>
    <w:pPr>
      <w:numPr>
        <w:ilvl w:val="2"/>
        <w:numId w:val="18"/>
      </w:numPr>
    </w:pPr>
    <w:rPr>
      <w:color w:val="0099CC"/>
      <w:sz w:val="24"/>
      <w:lang w:val="es-ES"/>
    </w:rPr>
  </w:style>
  <w:style w:type="paragraph" w:customStyle="1" w:styleId="4-sinnumerar">
    <w:name w:val="4 - sin numerar"/>
    <w:basedOn w:val="NormalInforme"/>
    <w:uiPriority w:val="99"/>
    <w:rsid w:val="00F16685"/>
    <w:rPr>
      <w:b/>
      <w:i/>
    </w:rPr>
  </w:style>
  <w:style w:type="paragraph" w:customStyle="1" w:styleId="EncabezadoImpar">
    <w:name w:val="EncabezadoImpar"/>
    <w:basedOn w:val="Normal"/>
    <w:uiPriority w:val="99"/>
    <w:rsid w:val="00497569"/>
    <w:pPr>
      <w:jc w:val="right"/>
    </w:pPr>
    <w:rPr>
      <w:rFonts w:cs="Arial"/>
      <w:iCs/>
      <w:color w:val="0099CC"/>
      <w:sz w:val="16"/>
      <w:szCs w:val="16"/>
    </w:rPr>
  </w:style>
  <w:style w:type="paragraph" w:customStyle="1" w:styleId="EncabezadoPar">
    <w:name w:val="EncabezadoPar"/>
    <w:basedOn w:val="EncabezadoImpar"/>
    <w:uiPriority w:val="99"/>
    <w:rsid w:val="00F63913"/>
    <w:pPr>
      <w:jc w:val="left"/>
    </w:pPr>
  </w:style>
  <w:style w:type="paragraph" w:styleId="Caption">
    <w:name w:val="caption"/>
    <w:basedOn w:val="Normal"/>
    <w:next w:val="Normal"/>
    <w:uiPriority w:val="99"/>
    <w:qFormat/>
    <w:rsid w:val="00B854C2"/>
    <w:pPr>
      <w:jc w:val="center"/>
    </w:pPr>
    <w:rPr>
      <w:rFonts w:ascii="Palace Script MT" w:hAnsi="Palace Script MT"/>
      <w:sz w:val="48"/>
    </w:rPr>
  </w:style>
  <w:style w:type="character" w:styleId="Hyperlink">
    <w:name w:val="Hyperlink"/>
    <w:basedOn w:val="DefaultParagraphFont"/>
    <w:uiPriority w:val="99"/>
    <w:rsid w:val="00B854C2"/>
    <w:rPr>
      <w:rFonts w:cs="Times New Roman"/>
      <w:color w:val="0000FF"/>
      <w:u w:val="single"/>
    </w:rPr>
  </w:style>
  <w:style w:type="character" w:styleId="FollowedHyperlink">
    <w:name w:val="FollowedHyperlink"/>
    <w:basedOn w:val="DefaultParagraphFont"/>
    <w:uiPriority w:val="99"/>
    <w:rsid w:val="00B854C2"/>
    <w:rPr>
      <w:rFonts w:cs="Times New Roman"/>
      <w:color w:val="800080"/>
      <w:u w:val="single"/>
    </w:rPr>
  </w:style>
  <w:style w:type="paragraph" w:customStyle="1" w:styleId="Numeracion">
    <w:name w:val="Numeracion"/>
    <w:basedOn w:val="NormalInforme"/>
    <w:uiPriority w:val="99"/>
    <w:rsid w:val="003332CE"/>
    <w:pPr>
      <w:numPr>
        <w:numId w:val="5"/>
      </w:numPr>
    </w:pPr>
  </w:style>
  <w:style w:type="paragraph" w:styleId="Header">
    <w:name w:val="header"/>
    <w:basedOn w:val="Normal"/>
    <w:link w:val="HeaderChar"/>
    <w:uiPriority w:val="99"/>
    <w:rsid w:val="002D155A"/>
    <w:pPr>
      <w:tabs>
        <w:tab w:val="center" w:pos="4252"/>
        <w:tab w:val="right" w:pos="8504"/>
      </w:tabs>
    </w:pPr>
  </w:style>
  <w:style w:type="character" w:customStyle="1" w:styleId="HeaderChar">
    <w:name w:val="Header Char"/>
    <w:basedOn w:val="DefaultParagraphFont"/>
    <w:link w:val="Header"/>
    <w:uiPriority w:val="99"/>
    <w:locked/>
    <w:rsid w:val="00E01DA1"/>
    <w:rPr>
      <w:rFonts w:cs="Times New Roman"/>
      <w:sz w:val="24"/>
      <w:szCs w:val="24"/>
      <w:lang w:val="es-ES" w:eastAsia="es-ES"/>
    </w:rPr>
  </w:style>
  <w:style w:type="paragraph" w:styleId="Footer">
    <w:name w:val="footer"/>
    <w:basedOn w:val="Normal"/>
    <w:link w:val="FooterChar"/>
    <w:uiPriority w:val="99"/>
    <w:rsid w:val="00497569"/>
    <w:pPr>
      <w:tabs>
        <w:tab w:val="center" w:pos="4252"/>
        <w:tab w:val="right" w:pos="8504"/>
      </w:tabs>
      <w:ind w:right="357"/>
    </w:pPr>
    <w:rPr>
      <w:rFonts w:cs="Arial"/>
      <w:color w:val="0099CC"/>
      <w:sz w:val="20"/>
    </w:rPr>
  </w:style>
  <w:style w:type="character" w:customStyle="1" w:styleId="FooterChar">
    <w:name w:val="Footer Char"/>
    <w:basedOn w:val="DefaultParagraphFont"/>
    <w:link w:val="Footer"/>
    <w:uiPriority w:val="99"/>
    <w:locked/>
    <w:rsid w:val="00E01DA1"/>
    <w:rPr>
      <w:rFonts w:cs="Arial"/>
      <w:color w:val="0099CC"/>
      <w:sz w:val="24"/>
      <w:szCs w:val="24"/>
      <w:lang w:val="es-ES" w:eastAsia="es-ES"/>
    </w:rPr>
  </w:style>
  <w:style w:type="paragraph" w:customStyle="1" w:styleId="Portadillas">
    <w:name w:val="Portadillas"/>
    <w:basedOn w:val="NormalInforme"/>
    <w:uiPriority w:val="99"/>
    <w:rsid w:val="00497569"/>
    <w:pPr>
      <w:spacing w:line="288" w:lineRule="auto"/>
      <w:jc w:val="right"/>
    </w:pPr>
    <w:rPr>
      <w:color w:val="0099CC"/>
      <w:sz w:val="40"/>
    </w:rPr>
  </w:style>
  <w:style w:type="character" w:styleId="EndnoteReference">
    <w:name w:val="endnote reference"/>
    <w:basedOn w:val="DefaultParagraphFont"/>
    <w:uiPriority w:val="99"/>
    <w:semiHidden/>
    <w:rsid w:val="00B854C2"/>
    <w:rPr>
      <w:rFonts w:cs="Times New Roman"/>
      <w:color w:val="3366FF"/>
      <w:vertAlign w:val="superscript"/>
    </w:rPr>
  </w:style>
  <w:style w:type="character" w:styleId="FootnoteReference">
    <w:name w:val="footnote reference"/>
    <w:basedOn w:val="DefaultParagraphFont"/>
    <w:uiPriority w:val="99"/>
    <w:semiHidden/>
    <w:rsid w:val="00B854C2"/>
    <w:rPr>
      <w:rFonts w:cs="Times New Roman"/>
      <w:vertAlign w:val="superscript"/>
    </w:rPr>
  </w:style>
  <w:style w:type="paragraph" w:styleId="CommentText">
    <w:name w:val="annotation text"/>
    <w:basedOn w:val="Normal"/>
    <w:link w:val="CommentTextChar1"/>
    <w:uiPriority w:val="99"/>
    <w:semiHidden/>
    <w:rsid w:val="00B854C2"/>
    <w:rPr>
      <w:sz w:val="20"/>
    </w:rPr>
  </w:style>
  <w:style w:type="character" w:customStyle="1" w:styleId="CommentTextChar">
    <w:name w:val="Comment Text Char"/>
    <w:basedOn w:val="DefaultParagraphFont"/>
    <w:link w:val="CommentText"/>
    <w:uiPriority w:val="99"/>
    <w:semiHidden/>
    <w:locked/>
    <w:rsid w:val="00E01DA1"/>
    <w:rPr>
      <w:rFonts w:ascii="Times New Roman" w:hAnsi="Times New Roman" w:cs="Times New Roman"/>
      <w:sz w:val="20"/>
      <w:lang w:val="es-ES" w:eastAsia="es-ES"/>
    </w:rPr>
  </w:style>
  <w:style w:type="paragraph" w:styleId="EndnoteText">
    <w:name w:val="endnote text"/>
    <w:basedOn w:val="Normal"/>
    <w:link w:val="EndnoteTextChar"/>
    <w:uiPriority w:val="99"/>
    <w:semiHidden/>
    <w:rsid w:val="00B854C2"/>
    <w:rPr>
      <w:rFonts w:ascii="Century Gothic" w:hAnsi="Century Gothic"/>
      <w:sz w:val="12"/>
      <w:szCs w:val="20"/>
      <w:lang w:val="es-ES_tradnl"/>
    </w:rPr>
  </w:style>
  <w:style w:type="character" w:customStyle="1" w:styleId="EndnoteTextChar">
    <w:name w:val="Endnote Text Char"/>
    <w:basedOn w:val="DefaultParagraphFont"/>
    <w:link w:val="EndnoteText"/>
    <w:uiPriority w:val="99"/>
    <w:semiHidden/>
    <w:locked/>
    <w:rsid w:val="00E01DA1"/>
    <w:rPr>
      <w:rFonts w:ascii="Century Gothic" w:hAnsi="Century Gothic" w:cs="Times New Roman"/>
      <w:sz w:val="12"/>
      <w:lang w:val="es-ES_tradnl" w:eastAsia="es-ES" w:bidi="ar-SA"/>
    </w:rPr>
  </w:style>
  <w:style w:type="paragraph" w:styleId="FootnoteText">
    <w:name w:val="footnote text"/>
    <w:basedOn w:val="Normal"/>
    <w:link w:val="FootnoteTextChar"/>
    <w:autoRedefine/>
    <w:uiPriority w:val="99"/>
    <w:semiHidden/>
    <w:rsid w:val="0012628A"/>
    <w:pPr>
      <w:jc w:val="both"/>
    </w:pPr>
    <w:rPr>
      <w:sz w:val="22"/>
      <w:szCs w:val="22"/>
    </w:rPr>
  </w:style>
  <w:style w:type="character" w:customStyle="1" w:styleId="FootnoteTextChar">
    <w:name w:val="Footnote Text Char"/>
    <w:basedOn w:val="DefaultParagraphFont"/>
    <w:link w:val="FootnoteText"/>
    <w:uiPriority w:val="99"/>
    <w:semiHidden/>
    <w:locked/>
    <w:rsid w:val="0012628A"/>
    <w:rPr>
      <w:rFonts w:cs="Times New Roman"/>
      <w:sz w:val="22"/>
      <w:lang w:val="es-ES" w:eastAsia="es-ES"/>
    </w:rPr>
  </w:style>
  <w:style w:type="paragraph" w:customStyle="1" w:styleId="Default">
    <w:name w:val="Default"/>
    <w:uiPriority w:val="99"/>
    <w:rsid w:val="008C050E"/>
    <w:pPr>
      <w:autoSpaceDE w:val="0"/>
      <w:autoSpaceDN w:val="0"/>
      <w:adjustRightInd w:val="0"/>
    </w:pPr>
    <w:rPr>
      <w:color w:val="000000"/>
      <w:sz w:val="24"/>
      <w:szCs w:val="24"/>
    </w:rPr>
  </w:style>
  <w:style w:type="character" w:customStyle="1" w:styleId="NormalInformeCar">
    <w:name w:val="NormalInforme Car"/>
    <w:link w:val="NormalInforme"/>
    <w:uiPriority w:val="99"/>
    <w:locked/>
    <w:rsid w:val="008C050E"/>
    <w:rPr>
      <w:rFonts w:ascii="Arial" w:hAnsi="Arial"/>
      <w:lang w:val="es-ES_tradnl" w:eastAsia="es-ES"/>
    </w:rPr>
  </w:style>
  <w:style w:type="character" w:styleId="CommentReference">
    <w:name w:val="annotation reference"/>
    <w:basedOn w:val="DefaultParagraphFont"/>
    <w:uiPriority w:val="99"/>
    <w:semiHidden/>
    <w:rsid w:val="008C050E"/>
    <w:rPr>
      <w:rFonts w:cs="Times New Roman"/>
      <w:sz w:val="16"/>
    </w:rPr>
  </w:style>
  <w:style w:type="character" w:customStyle="1" w:styleId="apple-converted-space">
    <w:name w:val="apple-converted-space"/>
    <w:basedOn w:val="DefaultParagraphFont"/>
    <w:uiPriority w:val="99"/>
    <w:rsid w:val="008C050E"/>
    <w:rPr>
      <w:rFonts w:cs="Times New Roman"/>
    </w:rPr>
  </w:style>
  <w:style w:type="table" w:styleId="TableGrid">
    <w:name w:val="Table Grid"/>
    <w:basedOn w:val="TableNormal"/>
    <w:uiPriority w:val="99"/>
    <w:rsid w:val="008C050E"/>
    <w:pPr>
      <w:spacing w:line="240" w:lineRule="atLeast"/>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99"/>
    <w:qFormat/>
    <w:rsid w:val="008C050E"/>
    <w:rPr>
      <w:rFonts w:cs="Times New Roman"/>
      <w:b/>
    </w:rPr>
  </w:style>
  <w:style w:type="character" w:customStyle="1" w:styleId="3Car">
    <w:name w:val="3 Car"/>
    <w:link w:val="3"/>
    <w:uiPriority w:val="99"/>
    <w:locked/>
    <w:rsid w:val="002D2A17"/>
    <w:rPr>
      <w:rFonts w:ascii="Arial" w:hAnsi="Arial"/>
      <w:color w:val="0099CC"/>
      <w:sz w:val="24"/>
      <w:lang w:val="es-ES" w:eastAsia="es-ES"/>
    </w:rPr>
  </w:style>
  <w:style w:type="paragraph" w:styleId="TOC1">
    <w:name w:val="toc 1"/>
    <w:basedOn w:val="Normal"/>
    <w:next w:val="Normal"/>
    <w:autoRedefine/>
    <w:uiPriority w:val="99"/>
    <w:rsid w:val="006818F6"/>
  </w:style>
  <w:style w:type="paragraph" w:styleId="TOC2">
    <w:name w:val="toc 2"/>
    <w:basedOn w:val="Normal"/>
    <w:next w:val="Normal"/>
    <w:autoRedefine/>
    <w:uiPriority w:val="99"/>
    <w:rsid w:val="004837E1"/>
    <w:pPr>
      <w:tabs>
        <w:tab w:val="left" w:pos="960"/>
        <w:tab w:val="right" w:leader="dot" w:pos="7928"/>
      </w:tabs>
      <w:ind w:left="1000" w:hanging="760"/>
    </w:pPr>
  </w:style>
  <w:style w:type="paragraph" w:styleId="TOC3">
    <w:name w:val="toc 3"/>
    <w:basedOn w:val="Normal"/>
    <w:next w:val="Normal"/>
    <w:autoRedefine/>
    <w:uiPriority w:val="99"/>
    <w:rsid w:val="004837E1"/>
    <w:pPr>
      <w:tabs>
        <w:tab w:val="left" w:pos="1000"/>
        <w:tab w:val="right" w:leader="dot" w:pos="7928"/>
      </w:tabs>
      <w:ind w:left="480"/>
    </w:pPr>
  </w:style>
  <w:style w:type="character" w:styleId="PageNumber">
    <w:name w:val="page number"/>
    <w:basedOn w:val="DefaultParagraphFont"/>
    <w:uiPriority w:val="99"/>
    <w:rsid w:val="00371CB2"/>
    <w:rPr>
      <w:rFonts w:cs="Times New Roman"/>
    </w:rPr>
  </w:style>
  <w:style w:type="paragraph" w:styleId="CommentSubject">
    <w:name w:val="annotation subject"/>
    <w:basedOn w:val="CommentText"/>
    <w:next w:val="CommentText"/>
    <w:link w:val="CommentSubjectChar"/>
    <w:uiPriority w:val="99"/>
    <w:rsid w:val="00E01DA1"/>
    <w:rPr>
      <w:b/>
      <w:bCs/>
      <w:szCs w:val="20"/>
    </w:rPr>
  </w:style>
  <w:style w:type="character" w:customStyle="1" w:styleId="CommentSubjectChar">
    <w:name w:val="Comment Subject Char"/>
    <w:basedOn w:val="CommentTextChar1"/>
    <w:link w:val="CommentSubject"/>
    <w:uiPriority w:val="99"/>
    <w:locked/>
    <w:rsid w:val="00E01DA1"/>
    <w:rPr>
      <w:b/>
      <w:bCs/>
    </w:rPr>
  </w:style>
  <w:style w:type="character" w:customStyle="1" w:styleId="CommentTextChar1">
    <w:name w:val="Comment Text Char1"/>
    <w:basedOn w:val="DefaultParagraphFont"/>
    <w:link w:val="CommentText"/>
    <w:uiPriority w:val="99"/>
    <w:semiHidden/>
    <w:locked/>
    <w:rsid w:val="00E01DA1"/>
    <w:rPr>
      <w:rFonts w:cs="Times New Roman"/>
      <w:sz w:val="24"/>
      <w:szCs w:val="24"/>
      <w:lang w:val="es-ES" w:eastAsia="es-ES"/>
    </w:rPr>
  </w:style>
  <w:style w:type="character" w:customStyle="1" w:styleId="il">
    <w:name w:val="il"/>
    <w:basedOn w:val="DefaultParagraphFont"/>
    <w:uiPriority w:val="99"/>
    <w:rsid w:val="00E01DA1"/>
    <w:rPr>
      <w:rFonts w:cs="Times New Roman"/>
    </w:rPr>
  </w:style>
</w:styles>
</file>

<file path=word/webSettings.xml><?xml version="1.0" encoding="utf-8"?>
<w:webSettings xmlns:r="http://schemas.openxmlformats.org/officeDocument/2006/relationships" xmlns:w="http://schemas.openxmlformats.org/wordprocessingml/2006/main">
  <w:divs>
    <w:div w:id="766923837">
      <w:marLeft w:val="0"/>
      <w:marRight w:val="0"/>
      <w:marTop w:val="0"/>
      <w:marBottom w:val="0"/>
      <w:divBdr>
        <w:top w:val="none" w:sz="0" w:space="0" w:color="auto"/>
        <w:left w:val="none" w:sz="0" w:space="0" w:color="auto"/>
        <w:bottom w:val="none" w:sz="0" w:space="0" w:color="auto"/>
        <w:right w:val="none" w:sz="0" w:space="0" w:color="auto"/>
      </w:divBdr>
    </w:div>
    <w:div w:id="766923838">
      <w:marLeft w:val="0"/>
      <w:marRight w:val="0"/>
      <w:marTop w:val="0"/>
      <w:marBottom w:val="0"/>
      <w:divBdr>
        <w:top w:val="none" w:sz="0" w:space="0" w:color="auto"/>
        <w:left w:val="none" w:sz="0" w:space="0" w:color="auto"/>
        <w:bottom w:val="none" w:sz="0" w:space="0" w:color="auto"/>
        <w:right w:val="none" w:sz="0" w:space="0" w:color="auto"/>
      </w:divBdr>
    </w:div>
    <w:div w:id="766923839">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boe.es/buscar/act.php?id=BOE-A-1996-1069" TargetMode="External"/><Relationship Id="rId26" Type="http://schemas.openxmlformats.org/officeDocument/2006/relationships/hyperlink" Target="https://www.boe.es/buscar/act.php?id=BOE-A-2012-3394" TargetMode="External"/><Relationship Id="rId39" Type="http://schemas.openxmlformats.org/officeDocument/2006/relationships/hyperlink" Target="https://www.defensordelpueblo.es/wp-content/uploads/2015/05/2015-Las-urgencias-hospitalarias-en-el-Sistema-Nacional-de-Salud-derechos-y-garant%C3%ADas-de-los-paciente-ESP.pdf" TargetMode="External"/><Relationship Id="rId21" Type="http://schemas.openxmlformats.org/officeDocument/2006/relationships/hyperlink" Target="https://www.boe.es/diario_boe/txt.php?id=BOE-A-2013-5940" TargetMode="External"/><Relationship Id="rId34" Type="http://schemas.openxmlformats.org/officeDocument/2006/relationships/hyperlink" Target="https://www.boe.es/diario_boe/txt.php?id=BOE-A-2015-3442" TargetMode="External"/><Relationship Id="rId42" Type="http://schemas.openxmlformats.org/officeDocument/2006/relationships/hyperlink" Target="https://www.defensordelpueblo.es/wp-content/uploads/2015/05/2013-03-Estudio-Viviendas-Protegidas-Vac%C3%ADas.pdf" TargetMode="External"/><Relationship Id="rId47" Type="http://schemas.openxmlformats.org/officeDocument/2006/relationships/hyperlink" Target="https://www.defensordelpueblo.es/wp-content/uploads/2015/05/2007-01-Violencia-escolar-el-maltrato-entre-iguales-en-la-Educaci%C3%B3n-Secundaria-Obligatoria-1999-2006.pdf" TargetMode="External"/><Relationship Id="rId50" Type="http://schemas.openxmlformats.org/officeDocument/2006/relationships/hyperlink" Target="http://www.anar.org/wp-content/uploads/2016/04/Estudio-Bullying-Seg%C3%BAn-los-Afectados-Abril-2016.pdf" TargetMode="External"/><Relationship Id="rId55" Type="http://schemas.openxmlformats.org/officeDocument/2006/relationships/hyperlink" Target="https://www.defensordelpueblo.es/informe-monografico/estudio-sobre-los-partes-de-lesiones-de-las-personas-privadas-de-libertad-junio-2014/" TargetMode="External"/><Relationship Id="rId7" Type="http://schemas.openxmlformats.org/officeDocument/2006/relationships/hyperlink" Target="mailto:registro@defensordelpueblo.es" TargetMode="External"/><Relationship Id="rId2" Type="http://schemas.openxmlformats.org/officeDocument/2006/relationships/styles" Target="styles.xml"/><Relationship Id="rId16" Type="http://schemas.openxmlformats.org/officeDocument/2006/relationships/hyperlink" Target="https://www.boe.es/diario_boe/txt.php?id=BOE-A-2015-8222" TargetMode="External"/><Relationship Id="rId29" Type="http://schemas.openxmlformats.org/officeDocument/2006/relationships/hyperlink" Target="https://www.boe.es/buscar/act.php?id=BOE-A-1992-28740" TargetMode="External"/><Relationship Id="rId11" Type="http://schemas.openxmlformats.org/officeDocument/2006/relationships/footer" Target="footer1.xml"/><Relationship Id="rId24" Type="http://schemas.openxmlformats.org/officeDocument/2006/relationships/hyperlink" Target="https://www.boe.es/buscar/act.php?id=BOE-A-2015-8469" TargetMode="External"/><Relationship Id="rId32" Type="http://schemas.openxmlformats.org/officeDocument/2006/relationships/hyperlink" Target="https://www.boe.es/buscar/act.php?id=BOE-A-2000-544" TargetMode="External"/><Relationship Id="rId37" Type="http://schemas.openxmlformats.org/officeDocument/2006/relationships/hyperlink" Target="https://www.gitanos.org/upload/92/20/EstudioSecundaria.pdf" TargetMode="External"/><Relationship Id="rId40" Type="http://schemas.openxmlformats.org/officeDocument/2006/relationships/hyperlink" Target="http://www.infanciaendatos.es/datos-graficos" TargetMode="External"/><Relationship Id="rId45" Type="http://schemas.openxmlformats.org/officeDocument/2006/relationships/hyperlink" Target="https://www.defensordelpueblo.es/informe-monografico/estudio-sobre-gratuidad-de-los-libros-de-texto-programas-ayudas-prestamos-y-reutilizacion-noviembre-2013/" TargetMode="External"/><Relationship Id="rId53" Type="http://schemas.openxmlformats.org/officeDocument/2006/relationships/hyperlink" Target="https://www.defensordelpueblo.es/wp-content/uploads/2015/09/Areas_juego_infantil1.pdf" TargetMode="External"/><Relationship Id="rId58"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customXml" Target="../customXml/item2.xml"/><Relationship Id="rId19" Type="http://schemas.openxmlformats.org/officeDocument/2006/relationships/hyperlink" Target="https://www.boe.es/diario_boe/txt.php?id=BOE-A-2015-4606" TargetMode="External"/><Relationship Id="rId14" Type="http://schemas.openxmlformats.org/officeDocument/2006/relationships/hyperlink" Target="https://www.boe.es/diario_boe/txt.php?id=BOE-A-1978-31229" TargetMode="External"/><Relationship Id="rId22" Type="http://schemas.openxmlformats.org/officeDocument/2006/relationships/hyperlink" Target="http://www.boe.es/buscar/doc.php?id=BOE-A-2003-21052" TargetMode="External"/><Relationship Id="rId27" Type="http://schemas.openxmlformats.org/officeDocument/2006/relationships/hyperlink" Target="https://www.boe.es/diario_boe/txt.php?id=BOE-A-2013-13645" TargetMode="External"/><Relationship Id="rId30" Type="http://schemas.openxmlformats.org/officeDocument/2006/relationships/hyperlink" Target="https://www.boe.es/buscar/act.php?id=BOE-A-2006-7899" TargetMode="External"/><Relationship Id="rId35" Type="http://schemas.openxmlformats.org/officeDocument/2006/relationships/hyperlink" Target="https://www.defensordelpueblo.es/wp-content/uploads/2015/05/2014-05-Estudio-sobre-la-escucha-y-el-interes-superior-del-menor.pdf" TargetMode="External"/><Relationship Id="rId43" Type="http://schemas.openxmlformats.org/officeDocument/2006/relationships/hyperlink" Target="https://www.defensordelpueblo.es/wp-content/uploads/2015/05/2012-01-Crisis-econ%C3%B3mica-y-deudores-hipotecarios-actuaciones-y-propuestas-del-Defensor-del-Pueblo.pdf" TargetMode="External"/><Relationship Id="rId48" Type="http://schemas.openxmlformats.org/officeDocument/2006/relationships/hyperlink" Target="https://sede.educacion.gob.es/publiventa/estudio-estatal-sobre-la-convivencia-escolar-en-la-educacion-secundaria-obligatoria/educacion-secundaria-socializacion/13567" TargetMode="External"/><Relationship Id="rId56" Type="http://schemas.openxmlformats.org/officeDocument/2006/relationships/footer" Target="footer4.xml"/><Relationship Id="rId8" Type="http://schemas.openxmlformats.org/officeDocument/2006/relationships/hyperlink" Target="http://www.defensordelpueblo.es" TargetMode="External"/><Relationship Id="rId51" Type="http://schemas.openxmlformats.org/officeDocument/2006/relationships/hyperlink" Target="http://www.inmujer.gob.es/actualidad/NovedadesNuevas/docs/2015/Abrazar_la_diversidad.pdf%20" TargetMode="Externa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www.boe.es/diario_boe/txt.php?id=BOE-A-2015-8470" TargetMode="External"/><Relationship Id="rId25" Type="http://schemas.openxmlformats.org/officeDocument/2006/relationships/hyperlink" Target="https://www.boe.es/buscar/act.php?id=BOE-A-2013-5073" TargetMode="External"/><Relationship Id="rId33" Type="http://schemas.openxmlformats.org/officeDocument/2006/relationships/hyperlink" Target="https://www.boe.es/buscar/act.php?id=BOE-A-2009-17242" TargetMode="External"/><Relationship Id="rId38" Type="http://schemas.openxmlformats.org/officeDocument/2006/relationships/hyperlink" Target="https://www.defensordelpueblo.es/wp-content/uploads/2015/05/2009-01-Centros-de-protecci%C3%B3n-de-menores-con-trastornos-de-conducta-y-en-situaci%C3%B3n-de-dificultad-social.pdf" TargetMode="External"/><Relationship Id="rId46" Type="http://schemas.openxmlformats.org/officeDocument/2006/relationships/hyperlink" Target="https://www.defensordelpueblo.es/wp-content/uploads/2015/05/2000-01-Violencia-escolar-el-maltrato-entre-iguales-en-la-educaci%C3%B3n-secundaria-obligatoria.pdf" TargetMode="External"/><Relationship Id="rId59" Type="http://schemas.openxmlformats.org/officeDocument/2006/relationships/theme" Target="theme/theme1.xml"/><Relationship Id="rId20" Type="http://schemas.openxmlformats.org/officeDocument/2006/relationships/hyperlink" Target="https://www.boe.es/buscar/act.php?id=BOE-A-2010-5292" TargetMode="External"/><Relationship Id="rId41" Type="http://schemas.openxmlformats.org/officeDocument/2006/relationships/hyperlink" Target="http://www.caritas.es/imagesrepository/CapitulosPublicaciones/5250/transmisi%C3%B3n%20intergeneracional%20pobreza.pdf" TargetMode="External"/><Relationship Id="rId54" Type="http://schemas.openxmlformats.org/officeDocument/2006/relationships/hyperlink" Target="https://www.defensordelpueblo.es/wp-content/uploads/2016/02/Informe2015.pdf" TargetMode="External"/><Relationship Id="rId62"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oe.es/buscar/doc.php?id=BOE-A-1981-10325" TargetMode="External"/><Relationship Id="rId23" Type="http://schemas.openxmlformats.org/officeDocument/2006/relationships/hyperlink" Target="https://www.boe.es/diario_boe/txt.php?id=BOE-A-2013-12632" TargetMode="External"/><Relationship Id="rId28" Type="http://schemas.openxmlformats.org/officeDocument/2006/relationships/hyperlink" Target="https://www.boe.es/diario_boe/txt.php?id=BOE-A-1992-28741" TargetMode="External"/><Relationship Id="rId36" Type="http://schemas.openxmlformats.org/officeDocument/2006/relationships/hyperlink" Target="https://www.defensordelpueblo.es/wp-content/uploads/2015/05/Ver-estudio.pdf" TargetMode="External"/><Relationship Id="rId49" Type="http://schemas.openxmlformats.org/officeDocument/2006/relationships/hyperlink" Target="https://www.savethechildren.es/sites/default/files/imce/docs/yo_a_eso_no_juego.pdf" TargetMode="External"/><Relationship Id="rId57" Type="http://schemas.openxmlformats.org/officeDocument/2006/relationships/footer" Target="footer5.xml"/><Relationship Id="rId10" Type="http://schemas.openxmlformats.org/officeDocument/2006/relationships/header" Target="header2.xml"/><Relationship Id="rId31" Type="http://schemas.openxmlformats.org/officeDocument/2006/relationships/hyperlink" Target="https://www.boe.es/diario_boe/txt.php?id=BOE-A-2013-12886" TargetMode="External"/><Relationship Id="rId44" Type="http://schemas.openxmlformats.org/officeDocument/2006/relationships/hyperlink" Target="https://www.defensordelpueblo.es/wp-content/uploads/2015/05/2013-11-Crisis_economica_e_insolvencia_personal.pdf" TargetMode="External"/><Relationship Id="rId52" Type="http://schemas.openxmlformats.org/officeDocument/2006/relationships/hyperlink" Target="http://www.inmujer.gob.es/actualidad/NovedadesNuevas/docs/2015/Abrazar_la_diversidad.pdf%20Pp.%2035-75" TargetMode="External"/><Relationship Id="rId6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defensordelpueblo.es/wp-content/uploads/2015/05/2009-01-Centros-de-protecci%C3%B3n-de-menores-con-trastornos-de-conducta-y-en-situaci%C3%B3n-de-dificultad-social.pdf" TargetMode="External"/><Relationship Id="rId13" Type="http://schemas.openxmlformats.org/officeDocument/2006/relationships/hyperlink" Target="https://www.defensordelpueblo.es/wp-content/uploads/2015/05/2012-01-Crisis-econ%C3%B3mica-y-deudores-hipotecarios-actuaciones-y-propuestas-del-Defensor-del-Pueblo.pdf" TargetMode="External"/><Relationship Id="rId18" Type="http://schemas.openxmlformats.org/officeDocument/2006/relationships/hyperlink" Target="http://politica.elpais.com/politica/2016/02/18/actualidad/1455799539_145548.html" TargetMode="External"/><Relationship Id="rId3" Type="http://schemas.openxmlformats.org/officeDocument/2006/relationships/hyperlink" Target="https://www.defensordelpueblo.es/grupo-social/menores/" TargetMode="External"/><Relationship Id="rId21" Type="http://schemas.openxmlformats.org/officeDocument/2006/relationships/hyperlink" Target=",%20http://www.inmujer.gob.es/actualidad/NovedadesNuevas/docs/2015/Abrazar_la_diversidad.pdf%20" TargetMode="External"/><Relationship Id="rId7" Type="http://schemas.openxmlformats.org/officeDocument/2006/relationships/hyperlink" Target="http://www.observatoriodelainfancia.msssi.gob.es/productos/pdf/Boletinproteccion18provisionalcorrecto.pdf" TargetMode="External"/><Relationship Id="rId12" Type="http://schemas.openxmlformats.org/officeDocument/2006/relationships/hyperlink" Target="https://www.defensordelpueblo.es/wp-content/uploads/2015/05/2013-03-Estudio-Viviendas-Protegidas-Vac%C3%ADas.pdf" TargetMode="External"/><Relationship Id="rId17" Type="http://schemas.openxmlformats.org/officeDocument/2006/relationships/hyperlink" Target="https://sede.educacion.gob.es/publiventa/estudio-estatal-sobre-la-convivencia-escolar-en-la-educacion-secundaria-obligatoria/educacion-secundaria-socializacion/13567" TargetMode="External"/><Relationship Id="rId2" Type="http://schemas.openxmlformats.org/officeDocument/2006/relationships/hyperlink" Target="https://infancia.defensordelpueblo.es/inicio.html" TargetMode="External"/><Relationship Id="rId16" Type="http://schemas.openxmlformats.org/officeDocument/2006/relationships/hyperlink" Target="https://www.defensordelpueblo.es/wp-content/uploads/2015/05/2000-01-Violencia-escolar-el-maltrato-entre-iguales-en-la-educaci%C3%B3n-secundaria-obligatoria.pdf" TargetMode="External"/><Relationship Id="rId20" Type="http://schemas.openxmlformats.org/officeDocument/2006/relationships/hyperlink" Target="http://www.anar.org/wp-content/uploads/2016/04/Estudio-Bullying-Seg%C3%BAn-los-Afectados-Abril-2016.pdf" TargetMode="External"/><Relationship Id="rId1" Type="http://schemas.openxmlformats.org/officeDocument/2006/relationships/hyperlink" Target="http://www.caritas.es/imagesrepository/CapitulosPublicaciones/5250/transmisi%C3%B3n%20intergeneracional%20pobreza.pdf" TargetMode="External"/><Relationship Id="rId6" Type="http://schemas.openxmlformats.org/officeDocument/2006/relationships/hyperlink" Target="https://www.defensordelpueblo.es/wp-content/uploads/2015/05/Ver-estudio.pdf" TargetMode="External"/><Relationship Id="rId11" Type="http://schemas.openxmlformats.org/officeDocument/2006/relationships/hyperlink" Target="http://www.caritas.es/imagesrepository/CapitulosPublicaciones/5250/transmisi%C3%B3n%20intergeneracional%20pobreza.pdf" TargetMode="External"/><Relationship Id="rId5" Type="http://schemas.openxmlformats.org/officeDocument/2006/relationships/hyperlink" Target="https://www.defensordelpueblo.es/wp-content/uploads/2015/05/2014-05-Estudio-sobre-la-escucha-y-el-interes-superior-del-menor.pdf" TargetMode="External"/><Relationship Id="rId15" Type="http://schemas.openxmlformats.org/officeDocument/2006/relationships/hyperlink" Target="https://www.defensordelpueblo.es/wp-content/uploads/2015/05/2007-01-Violencia-escolar-el-maltrato-entre-iguales-en-la-Educaci%C3%B3n-Secundaria-Obligatoria-1999-2006.pdf" TargetMode="External"/><Relationship Id="rId23" Type="http://schemas.openxmlformats.org/officeDocument/2006/relationships/hyperlink" Target="https://www.defensordelpueblo.es/informe-monografico/estudio-sobre-los-partes-de-lesiones-de-las-personas-privadas-de-libertad-junio-2014/" TargetMode="External"/><Relationship Id="rId10" Type="http://schemas.openxmlformats.org/officeDocument/2006/relationships/hyperlink" Target="http://www.infanciaendatos.es/datos-graficos" TargetMode="External"/><Relationship Id="rId19" Type="http://schemas.openxmlformats.org/officeDocument/2006/relationships/hyperlink" Target="https://www.savethechildren.es/sites/default/files/imce/docs/yo_a_eso_no_juego.pdf" TargetMode="External"/><Relationship Id="rId4" Type="http://schemas.openxmlformats.org/officeDocument/2006/relationships/hyperlink" Target="https://www.gitanos.org/upload/92/20/EstudioSecundaria.pdf" TargetMode="External"/><Relationship Id="rId9" Type="http://schemas.openxmlformats.org/officeDocument/2006/relationships/hyperlink" Target="https://www.defensordelpueblo.es/wp-content/uploads/2015/05/2015-Las-urgencias-hospitalarias-en-el-Sistema-Nacional-de-Salud-derechos-y-garant%C3%ADas-de-los-paciente-ESP.pdf" TargetMode="External"/><Relationship Id="rId14" Type="http://schemas.openxmlformats.org/officeDocument/2006/relationships/hyperlink" Target="https://www.defensordelpueblo.es/informe-monografico/estudio-sobre-gratuidad-de-los-libros-de-texto-programas-ayudas-prestamos-y-reutilizacion-noviembre-2013/" TargetMode="External"/><Relationship Id="rId22" Type="http://schemas.openxmlformats.org/officeDocument/2006/relationships/hyperlink" Target="https://www.defensordelpueblo.es/wp-content/uploads/2016/02/Informe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2799A2-07E1-47B2-BEBA-6E802624A257}"/>
</file>

<file path=customXml/itemProps2.xml><?xml version="1.0" encoding="utf-8"?>
<ds:datastoreItem xmlns:ds="http://schemas.openxmlformats.org/officeDocument/2006/customXml" ds:itemID="{E6F0D3F1-88BD-4B75-B6CC-61D5FA9AB7DF}"/>
</file>

<file path=customXml/itemProps3.xml><?xml version="1.0" encoding="utf-8"?>
<ds:datastoreItem xmlns:ds="http://schemas.openxmlformats.org/officeDocument/2006/customXml" ds:itemID="{03B8CA22-C5F8-484A-AC32-3C5FE2F92038}"/>
</file>

<file path=docProps/app.xml><?xml version="1.0" encoding="utf-8"?>
<Properties xmlns="http://schemas.openxmlformats.org/officeDocument/2006/extended-properties" xmlns:vt="http://schemas.openxmlformats.org/officeDocument/2006/docPropsVTypes">
  <Template>Normal_Wordconv.dotm</Template>
  <TotalTime>3</TotalTime>
  <Pages>65</Pages>
  <Words>21478</Words>
  <Characters>-32766</Characters>
  <Application>Microsoft Office Outlook</Application>
  <DocSecurity>0</DocSecurity>
  <Lines>0</Lines>
  <Paragraphs>0</Paragraphs>
  <ScaleCrop>false</ScaleCrop>
  <Company>Defensor del Pueblo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MEDIDAS GENERALES DE APLICACIÓN</dc:title>
  <dc:subject/>
  <dc:creator>mlgarcia</dc:creator>
  <cp:keywords/>
  <dc:description/>
  <cp:lastModifiedBy>Defensor del Pueblo</cp:lastModifiedBy>
  <cp:revision>8</cp:revision>
  <cp:lastPrinted>2017-02-27T13:00:00Z</cp:lastPrinted>
  <dcterms:created xsi:type="dcterms:W3CDTF">2017-02-27T16:30:00Z</dcterms:created>
  <dcterms:modified xsi:type="dcterms:W3CDTF">2017-02-27T16:41:00Z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