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EE7295" w14:textId="34366FAB" w:rsidR="00C56BDD" w:rsidRPr="00C61678" w:rsidRDefault="00942DC8" w:rsidP="008C7657">
      <w:pPr>
        <w:spacing w:after="240"/>
        <w:jc w:val="right"/>
        <w:rPr>
          <w:rFonts w:cstheme="minorHAnsi"/>
          <w:sz w:val="20"/>
          <w:szCs w:val="20"/>
          <w:lang w:val="es-CO"/>
        </w:rPr>
      </w:pPr>
      <w:bookmarkStart w:id="0" w:name="_GoBack"/>
      <w:bookmarkEnd w:id="0"/>
      <w:r w:rsidRPr="00C61678">
        <w:rPr>
          <w:rFonts w:cstheme="minorHAnsi"/>
          <w:sz w:val="20"/>
          <w:szCs w:val="20"/>
          <w:lang w:val="es-CO"/>
        </w:rPr>
        <w:t>Bogotá</w:t>
      </w:r>
      <w:r w:rsidR="00E46561" w:rsidRPr="00C61678">
        <w:rPr>
          <w:rFonts w:cstheme="minorHAnsi"/>
          <w:sz w:val="20"/>
          <w:szCs w:val="20"/>
          <w:lang w:val="es-ES"/>
        </w:rPr>
        <w:t>, Ciudad de Guatemala</w:t>
      </w:r>
      <w:r w:rsidR="004063EE" w:rsidRPr="00C61678">
        <w:rPr>
          <w:rFonts w:cstheme="minorHAnsi"/>
          <w:sz w:val="20"/>
          <w:szCs w:val="20"/>
          <w:lang w:val="es-CO"/>
        </w:rPr>
        <w:t xml:space="preserve">, </w:t>
      </w:r>
      <w:r w:rsidR="00E46561" w:rsidRPr="00C61678">
        <w:rPr>
          <w:rFonts w:cstheme="minorHAnsi"/>
          <w:sz w:val="20"/>
          <w:szCs w:val="20"/>
          <w:lang w:val="es-CO"/>
        </w:rPr>
        <w:t xml:space="preserve">10 </w:t>
      </w:r>
      <w:r w:rsidR="004063EE" w:rsidRPr="00C61678">
        <w:rPr>
          <w:rFonts w:cstheme="minorHAnsi"/>
          <w:sz w:val="20"/>
          <w:szCs w:val="20"/>
          <w:lang w:val="es-CO"/>
        </w:rPr>
        <w:t>de agosto de 2020</w:t>
      </w:r>
    </w:p>
    <w:p w14:paraId="43AE95CC" w14:textId="19EA7182" w:rsidR="004063EE" w:rsidRPr="00C61678" w:rsidRDefault="00E67A85" w:rsidP="008C7657">
      <w:pPr>
        <w:spacing w:after="0"/>
        <w:rPr>
          <w:rFonts w:cstheme="minorHAnsi"/>
          <w:b/>
          <w:sz w:val="20"/>
          <w:szCs w:val="20"/>
          <w:lang w:val="es-CO"/>
        </w:rPr>
      </w:pPr>
      <w:r w:rsidRPr="00C61678">
        <w:rPr>
          <w:rFonts w:cstheme="minorHAnsi"/>
          <w:b/>
          <w:sz w:val="20"/>
          <w:szCs w:val="20"/>
          <w:lang w:val="es-CO"/>
        </w:rPr>
        <w:t>Secretarí</w:t>
      </w:r>
      <w:r w:rsidR="004063EE" w:rsidRPr="00C61678">
        <w:rPr>
          <w:rFonts w:cstheme="minorHAnsi"/>
          <w:b/>
          <w:sz w:val="20"/>
          <w:szCs w:val="20"/>
          <w:lang w:val="es-CO"/>
        </w:rPr>
        <w:t>a del Comité de Derechos Económicos, Sociales y Culturales</w:t>
      </w:r>
    </w:p>
    <w:p w14:paraId="1BB57A85" w14:textId="77777777" w:rsidR="004063EE" w:rsidRPr="00C61678" w:rsidRDefault="004063EE" w:rsidP="008C7657">
      <w:pPr>
        <w:spacing w:after="0"/>
        <w:rPr>
          <w:rFonts w:cstheme="minorHAnsi"/>
          <w:sz w:val="20"/>
          <w:szCs w:val="20"/>
          <w:lang w:val="es-CO"/>
        </w:rPr>
      </w:pPr>
      <w:r w:rsidRPr="00C61678">
        <w:rPr>
          <w:rFonts w:cstheme="minorHAnsi"/>
          <w:sz w:val="20"/>
          <w:szCs w:val="20"/>
          <w:lang w:val="es-CO"/>
        </w:rPr>
        <w:t>Oficina del Alto Comisionado para los Derechos Humanos de las Naciones Unidas</w:t>
      </w:r>
    </w:p>
    <w:p w14:paraId="1C29F7C4" w14:textId="77777777" w:rsidR="004063EE" w:rsidRPr="00C61678" w:rsidRDefault="004063EE" w:rsidP="008C7657">
      <w:pPr>
        <w:spacing w:after="0"/>
        <w:rPr>
          <w:rFonts w:cstheme="minorHAnsi"/>
          <w:sz w:val="20"/>
          <w:szCs w:val="20"/>
          <w:lang w:val="fr-CA"/>
        </w:rPr>
      </w:pPr>
      <w:r w:rsidRPr="00C61678">
        <w:rPr>
          <w:rFonts w:cstheme="minorHAnsi"/>
          <w:sz w:val="20"/>
          <w:szCs w:val="20"/>
          <w:lang w:val="fr-CA"/>
        </w:rPr>
        <w:t>Palais Wilson</w:t>
      </w:r>
    </w:p>
    <w:p w14:paraId="1112DD91" w14:textId="77777777" w:rsidR="004063EE" w:rsidRPr="00C61678" w:rsidRDefault="004063EE" w:rsidP="008C7657">
      <w:pPr>
        <w:spacing w:after="0"/>
        <w:rPr>
          <w:rFonts w:cstheme="minorHAnsi"/>
          <w:sz w:val="20"/>
          <w:szCs w:val="20"/>
          <w:lang w:val="fr-CA"/>
        </w:rPr>
      </w:pPr>
      <w:r w:rsidRPr="00C61678">
        <w:rPr>
          <w:rFonts w:cstheme="minorHAnsi"/>
          <w:sz w:val="20"/>
          <w:szCs w:val="20"/>
          <w:lang w:val="fr-CA"/>
        </w:rPr>
        <w:t>52, rue des Pâquis</w:t>
      </w:r>
    </w:p>
    <w:p w14:paraId="1BCAC278" w14:textId="77777777" w:rsidR="004063EE" w:rsidRPr="00C61678" w:rsidRDefault="004063EE" w:rsidP="008C7657">
      <w:pPr>
        <w:spacing w:after="360"/>
        <w:rPr>
          <w:rFonts w:cstheme="minorHAnsi"/>
          <w:sz w:val="20"/>
          <w:szCs w:val="20"/>
          <w:lang w:val="fr-CA"/>
        </w:rPr>
      </w:pPr>
      <w:r w:rsidRPr="00C61678">
        <w:rPr>
          <w:rFonts w:cstheme="minorHAnsi"/>
          <w:sz w:val="20"/>
          <w:szCs w:val="20"/>
          <w:lang w:val="fr-CA"/>
        </w:rPr>
        <w:t>CH-1211 Ginebra 10, Suiza</w:t>
      </w:r>
    </w:p>
    <w:p w14:paraId="4C933150" w14:textId="42C5A931" w:rsidR="004063EE" w:rsidRPr="00C61678" w:rsidRDefault="000E105C" w:rsidP="00942DC8">
      <w:pPr>
        <w:spacing w:after="360"/>
        <w:ind w:left="3402"/>
        <w:jc w:val="both"/>
        <w:rPr>
          <w:rFonts w:cstheme="minorHAnsi"/>
          <w:b/>
          <w:sz w:val="20"/>
          <w:szCs w:val="20"/>
          <w:lang w:val="es-CO"/>
        </w:rPr>
      </w:pPr>
      <w:r w:rsidRPr="00C61678">
        <w:rPr>
          <w:rFonts w:cstheme="minorHAnsi"/>
          <w:b/>
          <w:sz w:val="20"/>
          <w:szCs w:val="20"/>
          <w:lang w:val="es-CO"/>
        </w:rPr>
        <w:t>Re: Información</w:t>
      </w:r>
      <w:r w:rsidR="00D2421B" w:rsidRPr="00C61678">
        <w:rPr>
          <w:rFonts w:cstheme="minorHAnsi"/>
          <w:b/>
          <w:sz w:val="20"/>
          <w:szCs w:val="20"/>
          <w:lang w:val="es-CO"/>
        </w:rPr>
        <w:t xml:space="preserve"> independiente</w:t>
      </w:r>
      <w:r w:rsidRPr="00C61678">
        <w:rPr>
          <w:rFonts w:cstheme="minorHAnsi"/>
          <w:b/>
          <w:sz w:val="20"/>
          <w:szCs w:val="20"/>
          <w:lang w:val="es-CO"/>
        </w:rPr>
        <w:t xml:space="preserve"> sobre Guatemala</w:t>
      </w:r>
      <w:r w:rsidR="00D2421B" w:rsidRPr="00C61678">
        <w:rPr>
          <w:rFonts w:cstheme="minorHAnsi"/>
          <w:b/>
          <w:sz w:val="20"/>
          <w:szCs w:val="20"/>
          <w:lang w:val="es-CO"/>
        </w:rPr>
        <w:t xml:space="preserve"> para el </w:t>
      </w:r>
      <w:r w:rsidR="00D2421B" w:rsidRPr="00C61678">
        <w:rPr>
          <w:rFonts w:ascii="Times New Roman" w:eastAsia="Times New Roman" w:hAnsi="Times New Roman" w:cs="Times New Roman"/>
          <w:b/>
          <w:bCs/>
          <w:snapToGrid w:val="0"/>
          <w:sz w:val="20"/>
          <w:szCs w:val="20"/>
          <w:lang w:val="es-ES_tradnl"/>
        </w:rPr>
        <w:t>grupo de trabajo anterior</w:t>
      </w:r>
      <w:r w:rsidRPr="00C61678">
        <w:rPr>
          <w:rFonts w:cstheme="minorHAnsi"/>
          <w:b/>
          <w:sz w:val="20"/>
          <w:szCs w:val="20"/>
          <w:lang w:val="es-CO"/>
        </w:rPr>
        <w:t xml:space="preserve"> </w:t>
      </w:r>
      <w:r w:rsidR="00D2421B" w:rsidRPr="00C61678">
        <w:rPr>
          <w:rFonts w:cstheme="minorHAnsi"/>
          <w:b/>
          <w:sz w:val="20"/>
          <w:szCs w:val="20"/>
          <w:lang w:val="es-CO"/>
        </w:rPr>
        <w:t>a</w:t>
      </w:r>
      <w:r w:rsidR="005C0F6E" w:rsidRPr="00C61678">
        <w:rPr>
          <w:rFonts w:cstheme="minorHAnsi"/>
          <w:b/>
          <w:sz w:val="20"/>
          <w:szCs w:val="20"/>
          <w:lang w:val="es-CO"/>
        </w:rPr>
        <w:t xml:space="preserve">l </w:t>
      </w:r>
      <w:r w:rsidRPr="00C61678">
        <w:rPr>
          <w:rFonts w:cstheme="minorHAnsi"/>
          <w:b/>
          <w:sz w:val="20"/>
          <w:szCs w:val="20"/>
          <w:lang w:val="es-CO"/>
        </w:rPr>
        <w:t>67</w:t>
      </w:r>
      <w:r w:rsidR="005C0F6E" w:rsidRPr="00C61678">
        <w:rPr>
          <w:rFonts w:cstheme="minorHAnsi"/>
          <w:b/>
          <w:sz w:val="20"/>
          <w:szCs w:val="20"/>
          <w:lang w:val="es-CO"/>
        </w:rPr>
        <w:t>º período de sesiones del Comité de Derechos Económicos, Sociales y Culturales</w:t>
      </w:r>
    </w:p>
    <w:p w14:paraId="45D79AFC" w14:textId="71D591F9" w:rsidR="000E105C" w:rsidRPr="00C61678" w:rsidRDefault="000E105C" w:rsidP="00425A9A">
      <w:pPr>
        <w:pStyle w:val="Encabezado1"/>
        <w:rPr>
          <w:rFonts w:asciiTheme="minorHAnsi" w:hAnsiTheme="minorHAnsi" w:cstheme="minorHAnsi"/>
          <w:sz w:val="20"/>
          <w:szCs w:val="20"/>
        </w:rPr>
      </w:pPr>
      <w:r w:rsidRPr="00C61678">
        <w:rPr>
          <w:rFonts w:asciiTheme="minorHAnsi" w:hAnsiTheme="minorHAnsi" w:cstheme="minorHAnsi"/>
          <w:sz w:val="20"/>
          <w:szCs w:val="20"/>
        </w:rPr>
        <w:t>Distinguidos</w:t>
      </w:r>
      <w:r w:rsidR="00234A2E" w:rsidRPr="00C61678">
        <w:rPr>
          <w:rFonts w:eastAsia="Times New Roman" w:cs="Times New Roman"/>
          <w:snapToGrid w:val="0"/>
          <w:sz w:val="20"/>
          <w:szCs w:val="20"/>
        </w:rPr>
        <w:t>/as</w:t>
      </w:r>
      <w:r w:rsidRPr="00C61678">
        <w:rPr>
          <w:rFonts w:asciiTheme="minorHAnsi" w:hAnsiTheme="minorHAnsi" w:cstheme="minorHAnsi"/>
          <w:sz w:val="20"/>
          <w:szCs w:val="20"/>
        </w:rPr>
        <w:t xml:space="preserve"> Miembros del Comité de Derechos Económicos, Sociales y Culturales (el "</w:t>
      </w:r>
      <w:r w:rsidRPr="00C61678">
        <w:rPr>
          <w:rFonts w:asciiTheme="minorHAnsi" w:hAnsiTheme="minorHAnsi" w:cstheme="minorHAnsi"/>
          <w:b/>
          <w:bCs/>
          <w:sz w:val="20"/>
          <w:szCs w:val="20"/>
          <w:u w:val="single"/>
        </w:rPr>
        <w:t>Comité</w:t>
      </w:r>
      <w:r w:rsidRPr="00C61678">
        <w:rPr>
          <w:rFonts w:asciiTheme="minorHAnsi" w:hAnsiTheme="minorHAnsi" w:cstheme="minorHAnsi"/>
          <w:sz w:val="20"/>
          <w:szCs w:val="20"/>
        </w:rPr>
        <w:t>"):</w:t>
      </w:r>
    </w:p>
    <w:p w14:paraId="7B6195FA" w14:textId="3EE3F956" w:rsidR="00F81886" w:rsidRPr="00C61678" w:rsidRDefault="00BC6B06" w:rsidP="00BC6B06">
      <w:pPr>
        <w:pStyle w:val="TextoCarta"/>
        <w:rPr>
          <w:rFonts w:cstheme="minorHAnsi"/>
          <w:sz w:val="20"/>
          <w:szCs w:val="20"/>
        </w:rPr>
      </w:pPr>
      <w:r w:rsidRPr="00C61678">
        <w:rPr>
          <w:rFonts w:cstheme="minorHAnsi"/>
          <w:sz w:val="20"/>
          <w:szCs w:val="20"/>
        </w:rPr>
        <w:t xml:space="preserve">El </w:t>
      </w:r>
      <w:r w:rsidRPr="00C61678">
        <w:rPr>
          <w:rFonts w:cstheme="minorHAnsi"/>
          <w:b/>
          <w:bCs/>
          <w:sz w:val="20"/>
          <w:szCs w:val="20"/>
        </w:rPr>
        <w:t>Centro de Derechos Reproductivos</w:t>
      </w:r>
      <w:r w:rsidRPr="00C61678">
        <w:rPr>
          <w:rFonts w:cstheme="minorHAnsi"/>
          <w:sz w:val="20"/>
          <w:szCs w:val="20"/>
        </w:rPr>
        <w:t xml:space="preserve"> (el "</w:t>
      </w:r>
      <w:r w:rsidRPr="00C61678">
        <w:rPr>
          <w:rFonts w:cstheme="minorHAnsi"/>
          <w:b/>
          <w:bCs/>
          <w:sz w:val="20"/>
          <w:szCs w:val="20"/>
          <w:u w:val="single"/>
        </w:rPr>
        <w:t>Centro</w:t>
      </w:r>
      <w:r w:rsidRPr="00C61678">
        <w:rPr>
          <w:rFonts w:cstheme="minorHAnsi"/>
          <w:sz w:val="20"/>
          <w:szCs w:val="20"/>
        </w:rPr>
        <w:t xml:space="preserve">") es una organización </w:t>
      </w:r>
      <w:r w:rsidR="00234A2E" w:rsidRPr="00C61678">
        <w:rPr>
          <w:rFonts w:cstheme="minorHAnsi"/>
          <w:sz w:val="20"/>
          <w:szCs w:val="20"/>
        </w:rPr>
        <w:t>global</w:t>
      </w:r>
      <w:r w:rsidR="00A12342" w:rsidRPr="00C61678">
        <w:rPr>
          <w:rFonts w:cstheme="minorHAnsi"/>
          <w:sz w:val="20"/>
          <w:szCs w:val="20"/>
        </w:rPr>
        <w:t xml:space="preserve"> </w:t>
      </w:r>
      <w:r w:rsidRPr="00C61678">
        <w:rPr>
          <w:rFonts w:cstheme="minorHAnsi"/>
          <w:sz w:val="20"/>
          <w:szCs w:val="20"/>
        </w:rPr>
        <w:t xml:space="preserve">no gubernamental </w:t>
      </w:r>
      <w:r w:rsidR="006F7542" w:rsidRPr="00C61678">
        <w:rPr>
          <w:rFonts w:cstheme="minorHAnsi"/>
          <w:sz w:val="20"/>
          <w:szCs w:val="20"/>
        </w:rPr>
        <w:t>que trabaja</w:t>
      </w:r>
      <w:r w:rsidR="00A12342" w:rsidRPr="00C61678">
        <w:rPr>
          <w:rFonts w:cstheme="minorHAnsi"/>
          <w:sz w:val="20"/>
          <w:szCs w:val="20"/>
        </w:rPr>
        <w:t xml:space="preserve"> para promover la autonomía reproductiva como un derecho fundamental que todos los gobiernos están legalmente obligados a proteger, respetar y garantizar</w:t>
      </w:r>
      <w:r w:rsidRPr="00C61678">
        <w:rPr>
          <w:rFonts w:cstheme="minorHAnsi"/>
          <w:sz w:val="20"/>
          <w:szCs w:val="20"/>
        </w:rPr>
        <w:t xml:space="preserve">. </w:t>
      </w:r>
      <w:r w:rsidR="007E73EC" w:rsidRPr="00C61678">
        <w:rPr>
          <w:rFonts w:cstheme="minorHAnsi"/>
          <w:b/>
          <w:bCs/>
          <w:sz w:val="20"/>
          <w:szCs w:val="20"/>
        </w:rPr>
        <w:t>Mujeres Transformando el Mundo</w:t>
      </w:r>
      <w:r w:rsidR="007E73EC" w:rsidRPr="00C61678">
        <w:rPr>
          <w:rFonts w:cstheme="minorHAnsi"/>
          <w:sz w:val="20"/>
          <w:szCs w:val="20"/>
        </w:rPr>
        <w:t xml:space="preserve"> </w:t>
      </w:r>
      <w:r w:rsidR="00F32354" w:rsidRPr="00C61678">
        <w:rPr>
          <w:rFonts w:cstheme="minorHAnsi"/>
          <w:sz w:val="20"/>
          <w:szCs w:val="20"/>
        </w:rPr>
        <w:t>(“</w:t>
      </w:r>
      <w:r w:rsidR="00F32354" w:rsidRPr="00C61678">
        <w:rPr>
          <w:rFonts w:cstheme="minorHAnsi"/>
          <w:b/>
          <w:bCs/>
          <w:sz w:val="20"/>
          <w:szCs w:val="20"/>
          <w:u w:val="single"/>
        </w:rPr>
        <w:t>MTM</w:t>
      </w:r>
      <w:r w:rsidR="00F32354" w:rsidRPr="00C61678">
        <w:rPr>
          <w:rFonts w:cstheme="minorHAnsi"/>
          <w:b/>
          <w:bCs/>
          <w:sz w:val="20"/>
          <w:szCs w:val="20"/>
        </w:rPr>
        <w:t>”</w:t>
      </w:r>
      <w:r w:rsidR="00F32354" w:rsidRPr="00C61678">
        <w:rPr>
          <w:rFonts w:cstheme="minorHAnsi"/>
          <w:sz w:val="20"/>
          <w:szCs w:val="20"/>
        </w:rPr>
        <w:t xml:space="preserve">) </w:t>
      </w:r>
      <w:r w:rsidR="007E73EC" w:rsidRPr="00C61678">
        <w:rPr>
          <w:rFonts w:cstheme="minorHAnsi"/>
          <w:sz w:val="20"/>
          <w:szCs w:val="20"/>
        </w:rPr>
        <w:t>es una organización no gubernamental multidisciplinaria feminista que realiza litigio estratégico con enfoque de género para reducir toda forma de violencia, especialmente violencia sexual y discriminación</w:t>
      </w:r>
      <w:r w:rsidR="00F32354" w:rsidRPr="00C61678">
        <w:rPr>
          <w:rFonts w:cstheme="minorHAnsi"/>
          <w:sz w:val="20"/>
          <w:szCs w:val="20"/>
        </w:rPr>
        <w:t>.</w:t>
      </w:r>
      <w:r w:rsidR="003213A6" w:rsidRPr="00C61678">
        <w:rPr>
          <w:rFonts w:cstheme="minorHAnsi"/>
          <w:sz w:val="20"/>
          <w:szCs w:val="20"/>
        </w:rPr>
        <w:t xml:space="preserve"> </w:t>
      </w:r>
      <w:r w:rsidR="00E46561" w:rsidRPr="00C61678">
        <w:rPr>
          <w:rFonts w:cstheme="minorHAnsi"/>
          <w:sz w:val="20"/>
          <w:szCs w:val="20"/>
        </w:rPr>
        <w:t>E</w:t>
      </w:r>
      <w:r w:rsidR="003213A6" w:rsidRPr="00C61678">
        <w:rPr>
          <w:rFonts w:cstheme="minorHAnsi"/>
          <w:sz w:val="20"/>
          <w:szCs w:val="20"/>
        </w:rPr>
        <w:t>n el marco de la elaboración de la lista de cuestiones para el Estado guatemalteco, que será considerado durante el 67° período de sesiones</w:t>
      </w:r>
      <w:r w:rsidR="00DA187D" w:rsidRPr="00C61678">
        <w:rPr>
          <w:rFonts w:cstheme="minorHAnsi"/>
          <w:sz w:val="20"/>
          <w:szCs w:val="20"/>
        </w:rPr>
        <w:t xml:space="preserve"> del Comité</w:t>
      </w:r>
      <w:r w:rsidR="003213A6" w:rsidRPr="00C61678">
        <w:rPr>
          <w:rFonts w:cstheme="minorHAnsi"/>
          <w:sz w:val="20"/>
          <w:szCs w:val="20"/>
        </w:rPr>
        <w:t>,</w:t>
      </w:r>
      <w:r w:rsidR="00E46561" w:rsidRPr="00C61678">
        <w:rPr>
          <w:rFonts w:cstheme="minorHAnsi"/>
          <w:sz w:val="20"/>
          <w:szCs w:val="20"/>
        </w:rPr>
        <w:t xml:space="preserve"> el Centro y MTM</w:t>
      </w:r>
      <w:r w:rsidR="003213A6" w:rsidRPr="00C61678">
        <w:rPr>
          <w:rFonts w:cstheme="minorHAnsi"/>
          <w:sz w:val="20"/>
          <w:szCs w:val="20"/>
        </w:rPr>
        <w:t xml:space="preserve"> presentamos esta comunicación para contribuir al trabajo del Comité aportando información independiente respecto a las obligaciones de Guatemala de garantizar </w:t>
      </w:r>
      <w:r w:rsidR="00DA187D" w:rsidRPr="00C61678">
        <w:rPr>
          <w:rFonts w:cstheme="minorHAnsi"/>
          <w:sz w:val="20"/>
          <w:szCs w:val="20"/>
        </w:rPr>
        <w:t xml:space="preserve">los </w:t>
      </w:r>
      <w:r w:rsidR="003213A6" w:rsidRPr="00C61678">
        <w:rPr>
          <w:rFonts w:cstheme="minorHAnsi"/>
          <w:sz w:val="20"/>
          <w:szCs w:val="20"/>
        </w:rPr>
        <w:t xml:space="preserve">derechos de las mujeres y niñas, protegidos </w:t>
      </w:r>
      <w:r w:rsidR="00C44E5E" w:rsidRPr="00C61678">
        <w:rPr>
          <w:rFonts w:cstheme="minorHAnsi"/>
          <w:sz w:val="20"/>
          <w:szCs w:val="20"/>
        </w:rPr>
        <w:t>bajo el Pacto Internacional de Derechos Económicos, Sociales y Culturales ("</w:t>
      </w:r>
      <w:r w:rsidR="00C44E5E" w:rsidRPr="00C61678">
        <w:rPr>
          <w:rFonts w:cstheme="minorHAnsi"/>
          <w:sz w:val="20"/>
          <w:szCs w:val="20"/>
          <w:u w:val="single"/>
        </w:rPr>
        <w:t>PIDESC</w:t>
      </w:r>
      <w:r w:rsidR="00C44E5E" w:rsidRPr="00C61678">
        <w:rPr>
          <w:rFonts w:cstheme="minorHAnsi"/>
          <w:sz w:val="20"/>
          <w:szCs w:val="20"/>
        </w:rPr>
        <w:t>").</w:t>
      </w:r>
      <w:r w:rsidR="00F81886" w:rsidRPr="00C61678">
        <w:rPr>
          <w:rStyle w:val="EndnoteReference"/>
          <w:rFonts w:asciiTheme="minorHAnsi" w:hAnsiTheme="minorHAnsi" w:cstheme="minorHAnsi"/>
          <w:sz w:val="20"/>
          <w:szCs w:val="20"/>
        </w:rPr>
        <w:endnoteReference w:id="2"/>
      </w:r>
    </w:p>
    <w:p w14:paraId="3F55282B" w14:textId="4487B2CC" w:rsidR="00F81886" w:rsidRPr="00C61678" w:rsidRDefault="00F81886" w:rsidP="00AB22E3">
      <w:pPr>
        <w:pStyle w:val="TextoCarta"/>
        <w:rPr>
          <w:rFonts w:cstheme="minorHAnsi"/>
          <w:sz w:val="20"/>
          <w:szCs w:val="20"/>
        </w:rPr>
      </w:pPr>
      <w:r w:rsidRPr="00C61678">
        <w:rPr>
          <w:rFonts w:cstheme="minorHAnsi"/>
          <w:sz w:val="20"/>
          <w:szCs w:val="20"/>
        </w:rPr>
        <w:t xml:space="preserve">Esta carta está dividida en </w:t>
      </w:r>
      <w:r w:rsidR="008364D0">
        <w:rPr>
          <w:rFonts w:cstheme="minorHAnsi"/>
          <w:sz w:val="20"/>
          <w:szCs w:val="20"/>
        </w:rPr>
        <w:t>seis</w:t>
      </w:r>
      <w:r w:rsidRPr="00C61678">
        <w:rPr>
          <w:rFonts w:cstheme="minorHAnsi"/>
          <w:sz w:val="20"/>
          <w:szCs w:val="20"/>
        </w:rPr>
        <w:t xml:space="preserve"> capítulos. El </w:t>
      </w:r>
      <w:r w:rsidRPr="00DE61FF">
        <w:rPr>
          <w:rFonts w:cstheme="minorHAnsi"/>
          <w:i/>
          <w:iCs/>
          <w:sz w:val="20"/>
          <w:szCs w:val="20"/>
        </w:rPr>
        <w:t>primero</w:t>
      </w:r>
      <w:r w:rsidRPr="00C61678">
        <w:rPr>
          <w:rFonts w:cstheme="minorHAnsi"/>
          <w:sz w:val="20"/>
          <w:szCs w:val="20"/>
        </w:rPr>
        <w:t xml:space="preserve"> analiza la criminalización del aborto por parte de Guatemala y sus consecuencias en mujeres y niñas. </w:t>
      </w:r>
      <w:r w:rsidR="008364D0">
        <w:rPr>
          <w:rFonts w:cstheme="minorHAnsi"/>
          <w:sz w:val="20"/>
          <w:szCs w:val="20"/>
        </w:rPr>
        <w:t xml:space="preserve">El </w:t>
      </w:r>
      <w:r w:rsidR="008364D0" w:rsidRPr="00DE61FF">
        <w:rPr>
          <w:rFonts w:cstheme="minorHAnsi"/>
          <w:i/>
          <w:iCs/>
          <w:sz w:val="20"/>
          <w:szCs w:val="20"/>
        </w:rPr>
        <w:t>segundo</w:t>
      </w:r>
      <w:r w:rsidR="008364D0">
        <w:rPr>
          <w:rFonts w:cstheme="minorHAnsi"/>
          <w:sz w:val="20"/>
          <w:szCs w:val="20"/>
        </w:rPr>
        <w:t xml:space="preserve"> examina </w:t>
      </w:r>
      <w:r w:rsidRPr="00C61678">
        <w:rPr>
          <w:rFonts w:cstheme="minorHAnsi"/>
          <w:sz w:val="20"/>
          <w:szCs w:val="20"/>
        </w:rPr>
        <w:t xml:space="preserve">la ausencia de acceso a información, educación y servicios de salud sexual y reproductiva para las mujeres y niñas en Guatemala. </w:t>
      </w:r>
      <w:r w:rsidR="008364D0" w:rsidRPr="00C61678">
        <w:rPr>
          <w:rFonts w:cstheme="minorHAnsi"/>
          <w:sz w:val="20"/>
          <w:szCs w:val="20"/>
        </w:rPr>
        <w:t xml:space="preserve">El </w:t>
      </w:r>
      <w:r w:rsidR="00A578B6" w:rsidRPr="00DE61FF">
        <w:rPr>
          <w:rFonts w:cstheme="minorHAnsi"/>
          <w:i/>
          <w:iCs/>
          <w:sz w:val="20"/>
          <w:szCs w:val="20"/>
        </w:rPr>
        <w:t>tercero</w:t>
      </w:r>
      <w:r w:rsidR="00A578B6">
        <w:rPr>
          <w:rFonts w:cstheme="minorHAnsi"/>
          <w:sz w:val="20"/>
          <w:szCs w:val="20"/>
        </w:rPr>
        <w:t xml:space="preserve"> </w:t>
      </w:r>
      <w:r w:rsidR="008364D0" w:rsidRPr="00C61678">
        <w:rPr>
          <w:rFonts w:cstheme="minorHAnsi"/>
          <w:sz w:val="20"/>
          <w:szCs w:val="20"/>
        </w:rPr>
        <w:t>examina la preocupante incidencia de violencia sexual</w:t>
      </w:r>
      <w:r w:rsidR="008364D0">
        <w:rPr>
          <w:rFonts w:cstheme="minorHAnsi"/>
          <w:sz w:val="20"/>
          <w:szCs w:val="20"/>
        </w:rPr>
        <w:t xml:space="preserve">. </w:t>
      </w:r>
      <w:r w:rsidRPr="00C61678">
        <w:rPr>
          <w:rFonts w:cstheme="minorHAnsi"/>
          <w:sz w:val="20"/>
          <w:szCs w:val="20"/>
        </w:rPr>
        <w:t xml:space="preserve">El </w:t>
      </w:r>
      <w:r w:rsidR="008364D0" w:rsidRPr="00DE61FF">
        <w:rPr>
          <w:rFonts w:cstheme="minorHAnsi"/>
          <w:i/>
          <w:iCs/>
          <w:sz w:val="20"/>
          <w:szCs w:val="20"/>
        </w:rPr>
        <w:t>cuarto</w:t>
      </w:r>
      <w:r w:rsidRPr="00C61678">
        <w:rPr>
          <w:rFonts w:cstheme="minorHAnsi"/>
          <w:sz w:val="20"/>
          <w:szCs w:val="20"/>
        </w:rPr>
        <w:t xml:space="preserve"> expone cómo este contexto de extremo regresivo constituye vulneraciones a los derechos protegidos por el PIDESC. El </w:t>
      </w:r>
      <w:r w:rsidR="00A578B6" w:rsidRPr="00DE61FF">
        <w:rPr>
          <w:rFonts w:cstheme="minorHAnsi"/>
          <w:i/>
          <w:iCs/>
          <w:sz w:val="20"/>
          <w:szCs w:val="20"/>
        </w:rPr>
        <w:t>quinto</w:t>
      </w:r>
      <w:r w:rsidRPr="00C61678">
        <w:rPr>
          <w:rFonts w:cstheme="minorHAnsi"/>
          <w:sz w:val="20"/>
          <w:szCs w:val="20"/>
        </w:rPr>
        <w:t xml:space="preserve"> </w:t>
      </w:r>
      <w:r w:rsidR="00DA187D" w:rsidRPr="00C61678">
        <w:rPr>
          <w:rFonts w:cstheme="minorHAnsi"/>
          <w:sz w:val="20"/>
          <w:szCs w:val="20"/>
        </w:rPr>
        <w:t xml:space="preserve">expone cómo </w:t>
      </w:r>
      <w:r w:rsidRPr="00C61678">
        <w:rPr>
          <w:rFonts w:cstheme="minorHAnsi"/>
          <w:sz w:val="20"/>
          <w:szCs w:val="20"/>
        </w:rPr>
        <w:t xml:space="preserve">la pandemia del COVID-19 ha agravado la situación de violación de los derechos </w:t>
      </w:r>
      <w:r w:rsidR="00DA187D" w:rsidRPr="00C61678">
        <w:rPr>
          <w:rFonts w:cstheme="minorHAnsi"/>
          <w:sz w:val="20"/>
          <w:szCs w:val="20"/>
        </w:rPr>
        <w:t xml:space="preserve">de mujeres y niñas en Guatemala </w:t>
      </w:r>
      <w:r w:rsidRPr="00C61678">
        <w:rPr>
          <w:rFonts w:cstheme="minorHAnsi"/>
          <w:sz w:val="20"/>
          <w:szCs w:val="20"/>
        </w:rPr>
        <w:t xml:space="preserve">protegidos por el PIDESC. El </w:t>
      </w:r>
      <w:r w:rsidR="00A578B6" w:rsidRPr="00DE61FF">
        <w:rPr>
          <w:rFonts w:cstheme="minorHAnsi"/>
          <w:i/>
          <w:iCs/>
          <w:sz w:val="20"/>
          <w:szCs w:val="20"/>
        </w:rPr>
        <w:t>se</w:t>
      </w:r>
      <w:r w:rsidR="00301CF9" w:rsidRPr="00DE61FF">
        <w:rPr>
          <w:rFonts w:cstheme="minorHAnsi"/>
          <w:i/>
          <w:iCs/>
          <w:sz w:val="20"/>
          <w:szCs w:val="20"/>
        </w:rPr>
        <w:t>xto</w:t>
      </w:r>
      <w:r w:rsidRPr="00C61678">
        <w:rPr>
          <w:rFonts w:cstheme="minorHAnsi"/>
          <w:sz w:val="20"/>
          <w:szCs w:val="20"/>
        </w:rPr>
        <w:t xml:space="preserve"> expone brevemente unas conclusiones y preguntas que respetuosamente sugerimos el Comité le formule a Guatemala.</w:t>
      </w:r>
    </w:p>
    <w:p w14:paraId="0E5B9F23" w14:textId="16EF1023" w:rsidR="00F81886" w:rsidRPr="00C61678" w:rsidRDefault="00F81886" w:rsidP="00DA187D">
      <w:pPr>
        <w:pStyle w:val="Heading1"/>
      </w:pPr>
      <w:r w:rsidRPr="00C61678">
        <w:t>La falta de acceso al aborto legal y seguro en Guatemala y sus Efectos Adversos en Mujeres y Niñas</w:t>
      </w:r>
    </w:p>
    <w:p w14:paraId="6BF4B21E" w14:textId="7242E4AA" w:rsidR="00F81886" w:rsidRPr="00C61678" w:rsidRDefault="00F81886" w:rsidP="00A02C63">
      <w:pPr>
        <w:pStyle w:val="TextoCarta"/>
        <w:numPr>
          <w:ilvl w:val="0"/>
          <w:numId w:val="17"/>
        </w:numPr>
        <w:ind w:left="284"/>
        <w:rPr>
          <w:rFonts w:cstheme="minorHAnsi"/>
          <w:sz w:val="20"/>
          <w:szCs w:val="20"/>
        </w:rPr>
      </w:pPr>
      <w:r w:rsidRPr="00C61678">
        <w:rPr>
          <w:rFonts w:cstheme="minorHAnsi"/>
          <w:sz w:val="20"/>
          <w:szCs w:val="20"/>
        </w:rPr>
        <w:t>Guatemala criminaliza el aborto en cualquier circunstancia, siendo la única excepción el aborto</w:t>
      </w:r>
      <w:r w:rsidR="00DA187D" w:rsidRPr="00C61678">
        <w:rPr>
          <w:rFonts w:cstheme="minorHAnsi"/>
          <w:sz w:val="20"/>
          <w:szCs w:val="20"/>
        </w:rPr>
        <w:t xml:space="preserve"> terapéutico</w:t>
      </w:r>
      <w:r w:rsidRPr="00C61678">
        <w:rPr>
          <w:rFonts w:cstheme="minorHAnsi"/>
          <w:sz w:val="20"/>
          <w:szCs w:val="20"/>
        </w:rPr>
        <w:t xml:space="preserve"> para proteger la vida de la madre en caso de peligro y bajo circunstancias muy limitadas. Esta criminalización tiene efectos adversos</w:t>
      </w:r>
      <w:r w:rsidR="006E646A" w:rsidRPr="00C61678">
        <w:rPr>
          <w:rFonts w:cstheme="minorHAnsi"/>
          <w:sz w:val="20"/>
          <w:szCs w:val="20"/>
        </w:rPr>
        <w:t xml:space="preserve"> y permanentes</w:t>
      </w:r>
      <w:r w:rsidRPr="00C61678">
        <w:rPr>
          <w:rFonts w:cstheme="minorHAnsi"/>
          <w:sz w:val="20"/>
          <w:szCs w:val="20"/>
        </w:rPr>
        <w:t xml:space="preserve"> para las mujeres</w:t>
      </w:r>
      <w:r w:rsidR="004900EE">
        <w:rPr>
          <w:rFonts w:cstheme="minorHAnsi"/>
          <w:sz w:val="20"/>
          <w:szCs w:val="20"/>
        </w:rPr>
        <w:t xml:space="preserve"> y </w:t>
      </w:r>
      <w:r w:rsidR="004C417D">
        <w:rPr>
          <w:rFonts w:cstheme="minorHAnsi"/>
          <w:sz w:val="20"/>
          <w:szCs w:val="20"/>
        </w:rPr>
        <w:t>las niñas</w:t>
      </w:r>
      <w:r w:rsidRPr="00C61678">
        <w:rPr>
          <w:rFonts w:cstheme="minorHAnsi"/>
          <w:sz w:val="20"/>
          <w:szCs w:val="20"/>
        </w:rPr>
        <w:t>, quienes no tienen acceso a aborto seguro ni siquiera en casos de amenaza a su salud física y mental</w:t>
      </w:r>
      <w:r w:rsidR="009D1F94">
        <w:rPr>
          <w:rFonts w:cstheme="minorHAnsi"/>
          <w:sz w:val="20"/>
          <w:szCs w:val="20"/>
        </w:rPr>
        <w:t xml:space="preserve">, y tampoco en casos de incesto o violación. </w:t>
      </w:r>
    </w:p>
    <w:p w14:paraId="25620FC7" w14:textId="0C6A3392" w:rsidR="00F81886" w:rsidRPr="0080756A" w:rsidRDefault="00F81886" w:rsidP="0080756A">
      <w:pPr>
        <w:pStyle w:val="Heading2"/>
      </w:pPr>
      <w:r w:rsidRPr="0080756A">
        <w:t xml:space="preserve">La Criminalización cuasi-absoluta del Aborto en Guatemala </w:t>
      </w:r>
    </w:p>
    <w:p w14:paraId="653C1921" w14:textId="213288EE" w:rsidR="00F81886" w:rsidRPr="00C61678" w:rsidRDefault="00F81886" w:rsidP="00A02C63">
      <w:pPr>
        <w:pStyle w:val="TextoCarta"/>
        <w:numPr>
          <w:ilvl w:val="0"/>
          <w:numId w:val="17"/>
        </w:numPr>
        <w:ind w:left="284"/>
        <w:rPr>
          <w:rFonts w:cstheme="minorHAnsi"/>
          <w:sz w:val="20"/>
          <w:szCs w:val="20"/>
        </w:rPr>
      </w:pPr>
      <w:r w:rsidRPr="00C61678">
        <w:rPr>
          <w:rFonts w:cstheme="minorHAnsi"/>
          <w:sz w:val="20"/>
          <w:szCs w:val="20"/>
        </w:rPr>
        <w:t>El aborto está totalmente criminalizado en Guatemala, excepto en caso de peligro para la vida de la mujer. La pena prevista para una mujer que aborta o para la persona que provoca un aborto, con el consentimiento de la mujer, es de uno (1) a tres (3) años de prisión. La pena prevista para una persona que provoca un aborto sin el consentimiento de la mujer es de tres (3) a seis (6) años</w:t>
      </w:r>
      <w:r w:rsidRPr="00DE61FF">
        <w:rPr>
          <w:rStyle w:val="EndnoteReference"/>
          <w:rFonts w:asciiTheme="minorHAnsi" w:hAnsiTheme="minorHAnsi" w:cstheme="minorHAnsi"/>
          <w:b w:val="0"/>
          <w:bCs/>
          <w:sz w:val="20"/>
          <w:szCs w:val="20"/>
        </w:rPr>
        <w:endnoteReference w:id="3"/>
      </w:r>
      <w:r w:rsidRPr="00DE61FF">
        <w:rPr>
          <w:rFonts w:cstheme="minorHAnsi"/>
          <w:b/>
          <w:bCs/>
          <w:sz w:val="20"/>
          <w:szCs w:val="20"/>
        </w:rPr>
        <w:t xml:space="preserve"> </w:t>
      </w:r>
      <w:r w:rsidRPr="00C61678">
        <w:rPr>
          <w:rFonts w:cstheme="minorHAnsi"/>
          <w:sz w:val="20"/>
          <w:szCs w:val="20"/>
        </w:rPr>
        <w:t xml:space="preserve">Además, el médico, practicante, o cualquier </w:t>
      </w:r>
      <w:r w:rsidRPr="00C61678">
        <w:rPr>
          <w:rFonts w:cstheme="minorHAnsi"/>
          <w:sz w:val="20"/>
          <w:szCs w:val="20"/>
        </w:rPr>
        <w:lastRenderedPageBreak/>
        <w:t>otra persona con título sanitario, que cause o coopere en un aborto será sancionado con una multa de entre quinientos (500) a tres mil (3.000) quetzales</w:t>
      </w:r>
      <w:r w:rsidRPr="00C61678">
        <w:rPr>
          <w:rStyle w:val="EndnoteReference"/>
          <w:rFonts w:asciiTheme="minorHAnsi" w:hAnsiTheme="minorHAnsi" w:cstheme="minorHAnsi"/>
          <w:sz w:val="20"/>
          <w:szCs w:val="20"/>
        </w:rPr>
        <w:endnoteReference w:id="4"/>
      </w:r>
      <w:r w:rsidRPr="00C61678">
        <w:rPr>
          <w:rFonts w:cstheme="minorHAnsi"/>
          <w:sz w:val="20"/>
          <w:szCs w:val="20"/>
        </w:rPr>
        <w:t xml:space="preserve"> y con la inhabilitación para el ejercicio de la profesión de dos (2) a cinco (5) años.   </w:t>
      </w:r>
    </w:p>
    <w:p w14:paraId="3933ECA7" w14:textId="6DE0975B" w:rsidR="00D72EBE" w:rsidRDefault="007C64A9" w:rsidP="00A02C63">
      <w:pPr>
        <w:pStyle w:val="TextoCarta"/>
        <w:numPr>
          <w:ilvl w:val="0"/>
          <w:numId w:val="17"/>
        </w:numPr>
        <w:ind w:left="284"/>
        <w:rPr>
          <w:rFonts w:cstheme="minorHAnsi"/>
          <w:sz w:val="20"/>
          <w:szCs w:val="20"/>
        </w:rPr>
      </w:pPr>
      <w:r>
        <w:rPr>
          <w:rFonts w:cstheme="minorHAnsi"/>
          <w:sz w:val="20"/>
          <w:szCs w:val="20"/>
        </w:rPr>
        <w:t xml:space="preserve">La realización de un </w:t>
      </w:r>
      <w:r w:rsidR="00F81886" w:rsidRPr="00C61678">
        <w:rPr>
          <w:rFonts w:cstheme="minorHAnsi"/>
          <w:sz w:val="20"/>
          <w:szCs w:val="20"/>
        </w:rPr>
        <w:t>aborto</w:t>
      </w:r>
      <w:r w:rsidR="00D8381B">
        <w:rPr>
          <w:rFonts w:cstheme="minorHAnsi"/>
          <w:sz w:val="20"/>
          <w:szCs w:val="20"/>
        </w:rPr>
        <w:t xml:space="preserve"> dentro </w:t>
      </w:r>
      <w:r w:rsidR="003974F1">
        <w:rPr>
          <w:rFonts w:cstheme="minorHAnsi"/>
          <w:sz w:val="20"/>
          <w:szCs w:val="20"/>
        </w:rPr>
        <w:t>de la excepción riesgo para la vida</w:t>
      </w:r>
      <w:r w:rsidR="00A23295">
        <w:rPr>
          <w:rFonts w:cstheme="minorHAnsi"/>
          <w:sz w:val="20"/>
          <w:szCs w:val="20"/>
        </w:rPr>
        <w:t xml:space="preserve">, según el </w:t>
      </w:r>
      <w:r w:rsidR="00E57346">
        <w:rPr>
          <w:rFonts w:cstheme="minorHAnsi"/>
          <w:sz w:val="20"/>
          <w:szCs w:val="20"/>
        </w:rPr>
        <w:t>m</w:t>
      </w:r>
      <w:r w:rsidR="00A23295">
        <w:rPr>
          <w:rFonts w:cstheme="minorHAnsi"/>
          <w:sz w:val="20"/>
          <w:szCs w:val="20"/>
        </w:rPr>
        <w:t>arco legal interno</w:t>
      </w:r>
      <w:r w:rsidR="00DE61FF">
        <w:rPr>
          <w:rFonts w:cstheme="minorHAnsi"/>
          <w:sz w:val="20"/>
          <w:szCs w:val="20"/>
        </w:rPr>
        <w:t>,</w:t>
      </w:r>
      <w:r w:rsidR="00A23295">
        <w:rPr>
          <w:rFonts w:cstheme="minorHAnsi"/>
          <w:sz w:val="20"/>
          <w:szCs w:val="20"/>
        </w:rPr>
        <w:t xml:space="preserve"> </w:t>
      </w:r>
      <w:r w:rsidR="00F81886" w:rsidRPr="00C61678">
        <w:rPr>
          <w:rFonts w:cstheme="minorHAnsi"/>
          <w:sz w:val="20"/>
          <w:szCs w:val="20"/>
        </w:rPr>
        <w:t>debe ser realizado por un médico, previo diagnóstico favorable de por lo menos otro médico, después de haber agotado todos los medios científicos.</w:t>
      </w:r>
      <w:r w:rsidR="00F81886" w:rsidRPr="00C61678">
        <w:rPr>
          <w:rStyle w:val="EndnoteReference"/>
          <w:rFonts w:asciiTheme="minorHAnsi" w:hAnsiTheme="minorHAnsi" w:cstheme="minorHAnsi"/>
          <w:sz w:val="20"/>
          <w:szCs w:val="20"/>
        </w:rPr>
        <w:endnoteReference w:id="5"/>
      </w:r>
    </w:p>
    <w:p w14:paraId="00EECF13" w14:textId="73B2F389" w:rsidR="00A02C63" w:rsidRPr="00C61678" w:rsidRDefault="007E0930" w:rsidP="00A02C63">
      <w:pPr>
        <w:pStyle w:val="TextoCarta"/>
        <w:numPr>
          <w:ilvl w:val="0"/>
          <w:numId w:val="17"/>
        </w:numPr>
        <w:ind w:left="284"/>
        <w:rPr>
          <w:rFonts w:cstheme="minorHAnsi"/>
          <w:sz w:val="20"/>
          <w:szCs w:val="20"/>
        </w:rPr>
      </w:pPr>
      <w:r>
        <w:rPr>
          <w:rFonts w:cstheme="minorHAnsi"/>
          <w:sz w:val="20"/>
          <w:szCs w:val="20"/>
        </w:rPr>
        <w:t xml:space="preserve">Adicionalmente, </w:t>
      </w:r>
      <w:r w:rsidR="00EE5D0A">
        <w:rPr>
          <w:rFonts w:cstheme="minorHAnsi"/>
          <w:sz w:val="20"/>
          <w:szCs w:val="20"/>
        </w:rPr>
        <w:t>la causal de “riesgo para la vida"</w:t>
      </w:r>
      <w:r w:rsidR="00F81886" w:rsidRPr="00C61678">
        <w:rPr>
          <w:rFonts w:cstheme="minorHAnsi"/>
          <w:sz w:val="20"/>
          <w:szCs w:val="20"/>
        </w:rPr>
        <w:t xml:space="preserve"> ha sido interpretada </w:t>
      </w:r>
      <w:r w:rsidR="00553949" w:rsidRPr="00C61678">
        <w:rPr>
          <w:rFonts w:cstheme="minorHAnsi"/>
          <w:sz w:val="20"/>
          <w:szCs w:val="20"/>
        </w:rPr>
        <w:t>histórica</w:t>
      </w:r>
      <w:r w:rsidR="00F81886" w:rsidRPr="00C61678">
        <w:rPr>
          <w:rFonts w:cstheme="minorHAnsi"/>
          <w:sz w:val="20"/>
          <w:szCs w:val="20"/>
        </w:rPr>
        <w:t xml:space="preserve"> y sistemáticamente de manera </w:t>
      </w:r>
      <w:r w:rsidR="00553949" w:rsidRPr="00C61678">
        <w:rPr>
          <w:rFonts w:cstheme="minorHAnsi"/>
          <w:sz w:val="20"/>
          <w:szCs w:val="20"/>
        </w:rPr>
        <w:t xml:space="preserve">muy </w:t>
      </w:r>
      <w:r w:rsidR="00F81886" w:rsidRPr="00C61678">
        <w:rPr>
          <w:rFonts w:cstheme="minorHAnsi"/>
          <w:sz w:val="20"/>
          <w:szCs w:val="20"/>
        </w:rPr>
        <w:t xml:space="preserve">estricta </w:t>
      </w:r>
      <w:r w:rsidR="00CA531C" w:rsidRPr="00C61678">
        <w:rPr>
          <w:rFonts w:cstheme="minorHAnsi"/>
          <w:sz w:val="20"/>
          <w:szCs w:val="20"/>
        </w:rPr>
        <w:t xml:space="preserve">haciendo </w:t>
      </w:r>
      <w:r w:rsidR="00AB7F98" w:rsidRPr="00C61678">
        <w:rPr>
          <w:rFonts w:cstheme="minorHAnsi"/>
          <w:sz w:val="20"/>
          <w:szCs w:val="20"/>
        </w:rPr>
        <w:t>que</w:t>
      </w:r>
      <w:r w:rsidR="00F81886" w:rsidRPr="00C61678">
        <w:rPr>
          <w:rFonts w:cstheme="minorHAnsi"/>
          <w:sz w:val="20"/>
          <w:szCs w:val="20"/>
        </w:rPr>
        <w:t xml:space="preserve"> </w:t>
      </w:r>
      <w:r w:rsidR="00AB7F98" w:rsidRPr="00C61678">
        <w:rPr>
          <w:rFonts w:cstheme="minorHAnsi"/>
          <w:sz w:val="20"/>
          <w:szCs w:val="20"/>
        </w:rPr>
        <w:t>“</w:t>
      </w:r>
      <w:r w:rsidR="00F81886" w:rsidRPr="00C61678">
        <w:rPr>
          <w:rFonts w:cstheme="minorHAnsi"/>
          <w:sz w:val="20"/>
          <w:szCs w:val="20"/>
        </w:rPr>
        <w:t>peligro para la vida</w:t>
      </w:r>
      <w:r w:rsidR="00AB7F98" w:rsidRPr="00C61678">
        <w:rPr>
          <w:rFonts w:cstheme="minorHAnsi"/>
          <w:sz w:val="20"/>
          <w:szCs w:val="20"/>
        </w:rPr>
        <w:t>”</w:t>
      </w:r>
      <w:r w:rsidR="00F81886" w:rsidRPr="00C61678">
        <w:rPr>
          <w:rFonts w:cstheme="minorHAnsi"/>
          <w:sz w:val="20"/>
          <w:szCs w:val="20"/>
        </w:rPr>
        <w:t xml:space="preserve"> </w:t>
      </w:r>
      <w:r w:rsidR="00AB7F98" w:rsidRPr="00C61678">
        <w:rPr>
          <w:rFonts w:cstheme="minorHAnsi"/>
          <w:sz w:val="20"/>
          <w:szCs w:val="20"/>
        </w:rPr>
        <w:t>se entiend</w:t>
      </w:r>
      <w:r w:rsidR="00CA531C" w:rsidRPr="00C61678">
        <w:rPr>
          <w:rFonts w:cstheme="minorHAnsi"/>
          <w:sz w:val="20"/>
          <w:szCs w:val="20"/>
        </w:rPr>
        <w:t>a sólo</w:t>
      </w:r>
      <w:r w:rsidR="00AB7F98" w:rsidRPr="00C61678">
        <w:rPr>
          <w:rFonts w:cstheme="minorHAnsi"/>
          <w:sz w:val="20"/>
          <w:szCs w:val="20"/>
        </w:rPr>
        <w:t xml:space="preserve"> como</w:t>
      </w:r>
      <w:r w:rsidR="00F81886" w:rsidRPr="00C61678">
        <w:rPr>
          <w:rFonts w:cstheme="minorHAnsi"/>
          <w:sz w:val="20"/>
          <w:szCs w:val="20"/>
        </w:rPr>
        <w:t xml:space="preserve"> un riesgo inminente de muerte. Esto</w:t>
      </w:r>
      <w:r w:rsidR="00CA531C" w:rsidRPr="00C61678">
        <w:rPr>
          <w:rFonts w:cstheme="minorHAnsi"/>
          <w:sz w:val="20"/>
          <w:szCs w:val="20"/>
        </w:rPr>
        <w:t xml:space="preserve">, en consecuencia, quiere decir </w:t>
      </w:r>
      <w:r w:rsidR="00F81886" w:rsidRPr="00C61678">
        <w:rPr>
          <w:rFonts w:cstheme="minorHAnsi"/>
          <w:sz w:val="20"/>
          <w:szCs w:val="20"/>
        </w:rPr>
        <w:t xml:space="preserve">que en </w:t>
      </w:r>
      <w:r w:rsidR="00CA531C" w:rsidRPr="00C61678">
        <w:rPr>
          <w:rFonts w:cstheme="minorHAnsi"/>
          <w:sz w:val="20"/>
          <w:szCs w:val="20"/>
        </w:rPr>
        <w:t>Guatemala</w:t>
      </w:r>
      <w:r w:rsidR="00F81886" w:rsidRPr="00C61678">
        <w:rPr>
          <w:rFonts w:cstheme="minorHAnsi"/>
          <w:sz w:val="20"/>
          <w:szCs w:val="20"/>
        </w:rPr>
        <w:t xml:space="preserve"> oper</w:t>
      </w:r>
      <w:r w:rsidR="00CA531C" w:rsidRPr="00C61678">
        <w:rPr>
          <w:rFonts w:cstheme="minorHAnsi"/>
          <w:sz w:val="20"/>
          <w:szCs w:val="20"/>
        </w:rPr>
        <w:t>a</w:t>
      </w:r>
      <w:r w:rsidR="00F81886" w:rsidRPr="00C61678">
        <w:rPr>
          <w:rFonts w:cstheme="minorHAnsi"/>
          <w:sz w:val="20"/>
          <w:szCs w:val="20"/>
        </w:rPr>
        <w:t xml:space="preserve"> en la práctica una criminalización cuasi-absoluta del aborto. </w:t>
      </w:r>
    </w:p>
    <w:p w14:paraId="5F24B157" w14:textId="3EB3B739" w:rsidR="005D5BA6" w:rsidRPr="00C61678" w:rsidRDefault="005D5BA6" w:rsidP="005D5BA6">
      <w:pPr>
        <w:pStyle w:val="TextoCarta"/>
        <w:numPr>
          <w:ilvl w:val="0"/>
          <w:numId w:val="17"/>
        </w:numPr>
        <w:ind w:left="284"/>
        <w:rPr>
          <w:rFonts w:cstheme="minorHAnsi"/>
          <w:sz w:val="20"/>
          <w:szCs w:val="20"/>
        </w:rPr>
      </w:pPr>
      <w:r w:rsidRPr="00C61678">
        <w:rPr>
          <w:rFonts w:cstheme="minorHAnsi"/>
          <w:sz w:val="20"/>
          <w:szCs w:val="20"/>
        </w:rPr>
        <w:t xml:space="preserve">En efecto, </w:t>
      </w:r>
      <w:r w:rsidR="00907CAB" w:rsidRPr="00C61678">
        <w:rPr>
          <w:rFonts w:cstheme="minorHAnsi"/>
          <w:sz w:val="20"/>
          <w:szCs w:val="20"/>
        </w:rPr>
        <w:t xml:space="preserve">esta criminalización </w:t>
      </w:r>
      <w:r w:rsidR="003579D2" w:rsidRPr="00C61678">
        <w:rPr>
          <w:rFonts w:cstheme="minorHAnsi"/>
          <w:sz w:val="20"/>
          <w:szCs w:val="20"/>
        </w:rPr>
        <w:t xml:space="preserve">cuasi-absoluta del aborto </w:t>
      </w:r>
      <w:r w:rsidR="00C66BD1">
        <w:rPr>
          <w:rFonts w:cstheme="minorHAnsi"/>
          <w:sz w:val="20"/>
          <w:szCs w:val="20"/>
        </w:rPr>
        <w:t>se mantiene</w:t>
      </w:r>
      <w:r w:rsidR="00907CAB" w:rsidRPr="00C61678">
        <w:rPr>
          <w:rFonts w:cstheme="minorHAnsi"/>
          <w:sz w:val="20"/>
          <w:szCs w:val="20"/>
        </w:rPr>
        <w:t xml:space="preserve"> </w:t>
      </w:r>
      <w:r w:rsidRPr="00C61678">
        <w:rPr>
          <w:rFonts w:cstheme="minorHAnsi"/>
          <w:sz w:val="20"/>
          <w:szCs w:val="20"/>
        </w:rPr>
        <w:t xml:space="preserve">incluso en los casos de embarazos de niñas de menores de 14 </w:t>
      </w:r>
      <w:r w:rsidR="0007040E" w:rsidRPr="00C61678">
        <w:rPr>
          <w:rFonts w:cstheme="minorHAnsi"/>
          <w:sz w:val="20"/>
          <w:szCs w:val="20"/>
        </w:rPr>
        <w:t>a</w:t>
      </w:r>
      <w:r w:rsidR="0007040E">
        <w:rPr>
          <w:rFonts w:cstheme="minorHAnsi"/>
          <w:sz w:val="20"/>
          <w:szCs w:val="20"/>
        </w:rPr>
        <w:t>ños</w:t>
      </w:r>
      <w:r w:rsidR="00C66BD1">
        <w:rPr>
          <w:rFonts w:cstheme="minorHAnsi"/>
          <w:sz w:val="20"/>
          <w:szCs w:val="20"/>
        </w:rPr>
        <w:t>. E</w:t>
      </w:r>
      <w:r w:rsidR="003579D2" w:rsidRPr="00C61678">
        <w:rPr>
          <w:rFonts w:cstheme="minorHAnsi"/>
          <w:sz w:val="20"/>
          <w:szCs w:val="20"/>
        </w:rPr>
        <w:t xml:space="preserve">llo </w:t>
      </w:r>
      <w:r w:rsidR="00B01669" w:rsidRPr="00C61678">
        <w:rPr>
          <w:rFonts w:cstheme="minorHAnsi"/>
          <w:sz w:val="20"/>
          <w:szCs w:val="20"/>
        </w:rPr>
        <w:t xml:space="preserve">a pesar de que </w:t>
      </w:r>
      <w:r w:rsidR="0007040E">
        <w:rPr>
          <w:rFonts w:cstheme="minorHAnsi"/>
          <w:sz w:val="20"/>
          <w:szCs w:val="20"/>
        </w:rPr>
        <w:t xml:space="preserve">i) </w:t>
      </w:r>
      <w:r w:rsidR="00907CAB" w:rsidRPr="00C61678">
        <w:rPr>
          <w:rFonts w:cstheme="minorHAnsi"/>
          <w:sz w:val="20"/>
          <w:szCs w:val="20"/>
        </w:rPr>
        <w:t xml:space="preserve">estos embarazos son </w:t>
      </w:r>
      <w:r w:rsidRPr="00C61678">
        <w:rPr>
          <w:rFonts w:cstheme="minorHAnsi"/>
          <w:sz w:val="20"/>
          <w:szCs w:val="20"/>
        </w:rPr>
        <w:t>considerados de por sí de alto riesgo</w:t>
      </w:r>
      <w:r w:rsidR="00995D55" w:rsidRPr="00C61678">
        <w:rPr>
          <w:rStyle w:val="EndnoteReference"/>
          <w:rFonts w:cstheme="minorHAnsi"/>
          <w:sz w:val="20"/>
          <w:szCs w:val="20"/>
        </w:rPr>
        <w:endnoteReference w:id="6"/>
      </w:r>
      <w:r w:rsidR="007814CA">
        <w:rPr>
          <w:rFonts w:cstheme="minorHAnsi"/>
          <w:sz w:val="20"/>
          <w:szCs w:val="20"/>
        </w:rPr>
        <w:t xml:space="preserve">; ii) </w:t>
      </w:r>
      <w:r w:rsidR="00F4676E" w:rsidRPr="00C61678">
        <w:rPr>
          <w:rFonts w:cstheme="minorHAnsi"/>
          <w:sz w:val="20"/>
          <w:szCs w:val="20"/>
        </w:rPr>
        <w:t>tiene</w:t>
      </w:r>
      <w:r w:rsidR="00B87E8A">
        <w:rPr>
          <w:rFonts w:cstheme="minorHAnsi"/>
          <w:sz w:val="20"/>
          <w:szCs w:val="20"/>
        </w:rPr>
        <w:t xml:space="preserve">n </w:t>
      </w:r>
      <w:r w:rsidR="00F4676E" w:rsidRPr="00C61678">
        <w:rPr>
          <w:rFonts w:cstheme="minorHAnsi"/>
          <w:sz w:val="20"/>
          <w:szCs w:val="20"/>
        </w:rPr>
        <w:t xml:space="preserve">implicaciones graves </w:t>
      </w:r>
      <w:r w:rsidR="0007040E">
        <w:rPr>
          <w:rFonts w:cstheme="minorHAnsi"/>
          <w:sz w:val="20"/>
          <w:szCs w:val="20"/>
        </w:rPr>
        <w:t xml:space="preserve">e irreversibles </w:t>
      </w:r>
      <w:r w:rsidR="00F4676E" w:rsidRPr="00C61678">
        <w:rPr>
          <w:rFonts w:cstheme="minorHAnsi"/>
          <w:sz w:val="20"/>
          <w:szCs w:val="20"/>
        </w:rPr>
        <w:t>para la vida y la salud física y mental de las niñas (</w:t>
      </w:r>
      <w:r w:rsidR="00E71ECF" w:rsidRPr="00C61678">
        <w:rPr>
          <w:rFonts w:cstheme="minorHAnsi"/>
          <w:i/>
          <w:iCs/>
          <w:sz w:val="20"/>
          <w:szCs w:val="20"/>
        </w:rPr>
        <w:t>infra</w:t>
      </w:r>
      <w:r w:rsidR="00E71ECF" w:rsidRPr="00C61678">
        <w:rPr>
          <w:rFonts w:cstheme="minorHAnsi"/>
          <w:sz w:val="20"/>
          <w:szCs w:val="20"/>
        </w:rPr>
        <w:t xml:space="preserve">, </w:t>
      </w:r>
      <w:r w:rsidR="00E71ECF" w:rsidRPr="0080756A">
        <w:rPr>
          <w:rFonts w:cstheme="minorHAnsi"/>
          <w:b/>
          <w:bCs/>
          <w:i/>
          <w:iCs/>
          <w:sz w:val="20"/>
          <w:szCs w:val="20"/>
        </w:rPr>
        <w:t>sección I.</w:t>
      </w:r>
      <w:r w:rsidR="0080756A">
        <w:rPr>
          <w:rFonts w:cstheme="minorHAnsi"/>
          <w:b/>
          <w:bCs/>
          <w:i/>
          <w:iCs/>
          <w:sz w:val="20"/>
          <w:szCs w:val="20"/>
        </w:rPr>
        <w:t>b</w:t>
      </w:r>
      <w:r w:rsidR="00E71ECF" w:rsidRPr="00C61678">
        <w:rPr>
          <w:rFonts w:cstheme="minorHAnsi"/>
          <w:sz w:val="20"/>
          <w:szCs w:val="20"/>
        </w:rPr>
        <w:t>)</w:t>
      </w:r>
      <w:r w:rsidR="0080756A">
        <w:rPr>
          <w:rFonts w:cstheme="minorHAnsi"/>
          <w:sz w:val="20"/>
          <w:szCs w:val="20"/>
        </w:rPr>
        <w:t xml:space="preserve">; </w:t>
      </w:r>
      <w:r w:rsidR="00B01669" w:rsidRPr="00C61678">
        <w:rPr>
          <w:rFonts w:cstheme="minorHAnsi"/>
          <w:sz w:val="20"/>
          <w:szCs w:val="20"/>
        </w:rPr>
        <w:t xml:space="preserve">y </w:t>
      </w:r>
      <w:r w:rsidR="00B87E8A">
        <w:rPr>
          <w:rFonts w:cstheme="minorHAnsi"/>
          <w:sz w:val="20"/>
          <w:szCs w:val="20"/>
        </w:rPr>
        <w:t xml:space="preserve">iii) </w:t>
      </w:r>
      <w:r w:rsidRPr="00C61678">
        <w:rPr>
          <w:rFonts w:cstheme="minorHAnsi"/>
          <w:sz w:val="20"/>
          <w:szCs w:val="20"/>
        </w:rPr>
        <w:t>que el Código Penal establec</w:t>
      </w:r>
      <w:r w:rsidR="003579D2" w:rsidRPr="00C61678">
        <w:rPr>
          <w:rFonts w:cstheme="minorHAnsi"/>
          <w:sz w:val="20"/>
          <w:szCs w:val="20"/>
        </w:rPr>
        <w:t xml:space="preserve">e </w:t>
      </w:r>
      <w:r w:rsidRPr="00C61678">
        <w:rPr>
          <w:rFonts w:cstheme="minorHAnsi"/>
          <w:sz w:val="20"/>
          <w:szCs w:val="20"/>
        </w:rPr>
        <w:t>que las relaciones sexuales con menores de 14 años se consideran violaciones</w:t>
      </w:r>
      <w:r w:rsidRPr="00C61678">
        <w:rPr>
          <w:rStyle w:val="EndnoteReference"/>
          <w:rFonts w:asciiTheme="minorHAnsi" w:hAnsiTheme="minorHAnsi" w:cstheme="minorHAnsi"/>
          <w:sz w:val="20"/>
          <w:szCs w:val="20"/>
        </w:rPr>
        <w:endnoteReference w:id="7"/>
      </w:r>
      <w:r w:rsidRPr="00C61678">
        <w:rPr>
          <w:rFonts w:cstheme="minorHAnsi"/>
          <w:sz w:val="20"/>
          <w:szCs w:val="20"/>
        </w:rPr>
        <w:t>. De hecho, aunque desde 2010 se han desarrollado rutas de atención para niñas embarazadas menores de 14 años</w:t>
      </w:r>
      <w:r w:rsidRPr="00C61678">
        <w:rPr>
          <w:rFonts w:cstheme="minorHAnsi"/>
          <w:sz w:val="20"/>
          <w:szCs w:val="20"/>
          <w:lang w:val="es-ES_tradnl"/>
        </w:rPr>
        <w:t xml:space="preserve">, </w:t>
      </w:r>
      <w:r w:rsidRPr="00C61678">
        <w:rPr>
          <w:rFonts w:cstheme="minorHAnsi"/>
          <w:sz w:val="20"/>
          <w:szCs w:val="20"/>
          <w:u w:val="single"/>
          <w:lang w:val="es-ES_tradnl"/>
        </w:rPr>
        <w:t xml:space="preserve">éstas </w:t>
      </w:r>
      <w:r w:rsidRPr="00C61678">
        <w:rPr>
          <w:rFonts w:cstheme="minorHAnsi"/>
          <w:sz w:val="20"/>
          <w:szCs w:val="20"/>
          <w:u w:val="single"/>
        </w:rPr>
        <w:t>no contemplan la protección de la salud mental, ni el acceso al aborto legal</w:t>
      </w:r>
      <w:r w:rsidRPr="00C61678">
        <w:rPr>
          <w:rStyle w:val="EndnoteReference"/>
          <w:rFonts w:asciiTheme="minorHAnsi" w:hAnsiTheme="minorHAnsi" w:cstheme="minorHAnsi"/>
          <w:sz w:val="20"/>
          <w:szCs w:val="20"/>
        </w:rPr>
        <w:endnoteReference w:id="8"/>
      </w:r>
      <w:r w:rsidR="0066409B">
        <w:rPr>
          <w:rFonts w:cstheme="minorHAnsi"/>
          <w:sz w:val="20"/>
          <w:szCs w:val="20"/>
        </w:rPr>
        <w:t>. L</w:t>
      </w:r>
      <w:r w:rsidRPr="00C61678">
        <w:rPr>
          <w:rFonts w:cstheme="minorHAnsi"/>
          <w:sz w:val="20"/>
          <w:szCs w:val="20"/>
        </w:rPr>
        <w:t>a "</w:t>
      </w:r>
      <w:r w:rsidRPr="00C61678">
        <w:rPr>
          <w:rFonts w:cstheme="minorHAnsi"/>
          <w:i/>
          <w:iCs/>
          <w:sz w:val="20"/>
          <w:szCs w:val="20"/>
        </w:rPr>
        <w:t>Guía para la atención integral de la hemorragia del primer y segundo trimestre y del postaborto y sus complicaciones</w:t>
      </w:r>
      <w:r w:rsidRPr="00C61678">
        <w:rPr>
          <w:rFonts w:cstheme="minorHAnsi"/>
          <w:sz w:val="20"/>
          <w:szCs w:val="20"/>
        </w:rPr>
        <w:t>" del Ministerio de Salud guatemalteco</w:t>
      </w:r>
      <w:r w:rsidRPr="00C61678">
        <w:rPr>
          <w:rStyle w:val="EndnoteReference"/>
          <w:rFonts w:asciiTheme="minorHAnsi" w:hAnsiTheme="minorHAnsi" w:cstheme="minorHAnsi"/>
          <w:sz w:val="20"/>
          <w:szCs w:val="20"/>
        </w:rPr>
        <w:endnoteReference w:id="9"/>
      </w:r>
      <w:r w:rsidRPr="00C61678">
        <w:rPr>
          <w:rFonts w:cstheme="minorHAnsi"/>
          <w:sz w:val="20"/>
          <w:szCs w:val="20"/>
        </w:rPr>
        <w:t xml:space="preserve"> </w:t>
      </w:r>
      <w:r w:rsidR="00FF459D" w:rsidRPr="00C61678">
        <w:rPr>
          <w:rFonts w:cstheme="minorHAnsi"/>
          <w:sz w:val="20"/>
          <w:szCs w:val="20"/>
        </w:rPr>
        <w:t xml:space="preserve">tampoco </w:t>
      </w:r>
      <w:r w:rsidRPr="00C61678">
        <w:rPr>
          <w:rFonts w:cstheme="minorHAnsi"/>
          <w:sz w:val="20"/>
          <w:szCs w:val="20"/>
        </w:rPr>
        <w:t>contempla el caso específico del acceso al aborto legal de las niñas menores de 14 años</w:t>
      </w:r>
      <w:r w:rsidR="00FF459D" w:rsidRPr="00C61678">
        <w:rPr>
          <w:rFonts w:cstheme="minorHAnsi"/>
          <w:sz w:val="20"/>
          <w:szCs w:val="20"/>
        </w:rPr>
        <w:t xml:space="preserve">, </w:t>
      </w:r>
      <w:r w:rsidR="00AB47E6" w:rsidRPr="00C61678">
        <w:rPr>
          <w:rFonts w:cstheme="minorHAnsi"/>
          <w:sz w:val="20"/>
          <w:szCs w:val="20"/>
        </w:rPr>
        <w:t>evidenciando aún más la imposibilidad de acceso a este servicio incluso cuando hay riesgos latentes para la vida de las niñas</w:t>
      </w:r>
      <w:r w:rsidRPr="00C61678">
        <w:rPr>
          <w:rFonts w:cstheme="minorHAnsi"/>
          <w:sz w:val="20"/>
          <w:szCs w:val="20"/>
        </w:rPr>
        <w:t>.</w:t>
      </w:r>
    </w:p>
    <w:p w14:paraId="2833BB50" w14:textId="6C6D5EFD" w:rsidR="00A02C63" w:rsidRPr="00C61678" w:rsidRDefault="00F81886" w:rsidP="00A02C63">
      <w:pPr>
        <w:pStyle w:val="TextoCarta"/>
        <w:numPr>
          <w:ilvl w:val="0"/>
          <w:numId w:val="17"/>
        </w:numPr>
        <w:ind w:left="284"/>
        <w:rPr>
          <w:rFonts w:cstheme="minorHAnsi"/>
          <w:sz w:val="20"/>
          <w:szCs w:val="20"/>
        </w:rPr>
      </w:pPr>
      <w:r w:rsidRPr="00C61678">
        <w:rPr>
          <w:rFonts w:cstheme="minorHAnsi"/>
          <w:sz w:val="20"/>
          <w:szCs w:val="20"/>
        </w:rPr>
        <w:t>Anudado a lo anterior, en 2018 se presentó la iniciativa 5.272 "</w:t>
      </w:r>
      <w:r w:rsidRPr="00C61678">
        <w:rPr>
          <w:rFonts w:cstheme="minorHAnsi"/>
          <w:i/>
          <w:iCs/>
          <w:sz w:val="20"/>
          <w:szCs w:val="20"/>
        </w:rPr>
        <w:t>Ley para la protección de la vida y la familia</w:t>
      </w:r>
      <w:r w:rsidRPr="00C61678">
        <w:rPr>
          <w:rFonts w:cstheme="minorHAnsi"/>
          <w:sz w:val="20"/>
          <w:szCs w:val="20"/>
        </w:rPr>
        <w:t xml:space="preserve">" que incrementa las penas del delito de aborto, </w:t>
      </w:r>
      <w:r w:rsidRPr="00C61678">
        <w:rPr>
          <w:rFonts w:cstheme="minorHAnsi"/>
          <w:sz w:val="20"/>
          <w:szCs w:val="20"/>
          <w:u w:val="single"/>
        </w:rPr>
        <w:t>incluyendo penas para el aborto espontáneo y restringiendo la única excepción actualmente vigente para el delito de aborto</w:t>
      </w:r>
      <w:r w:rsidRPr="00C61678">
        <w:rPr>
          <w:rFonts w:cstheme="minorHAnsi"/>
          <w:sz w:val="20"/>
          <w:szCs w:val="20"/>
        </w:rPr>
        <w:t>. La iniciativa recibió dictamen favorable de la Comisión de Legislación y Puntos Constitucionales del Congreso de la República el 7 de junio de 2018</w:t>
      </w:r>
      <w:r w:rsidRPr="00C61678">
        <w:rPr>
          <w:rStyle w:val="EndnoteReference"/>
          <w:rFonts w:asciiTheme="minorHAnsi" w:hAnsiTheme="minorHAnsi" w:cstheme="minorHAnsi"/>
          <w:sz w:val="20"/>
          <w:szCs w:val="20"/>
        </w:rPr>
        <w:endnoteReference w:id="10"/>
      </w:r>
      <w:r w:rsidRPr="00C61678">
        <w:rPr>
          <w:rFonts w:cstheme="minorHAnsi"/>
          <w:sz w:val="20"/>
          <w:szCs w:val="20"/>
        </w:rPr>
        <w:t xml:space="preserve"> y ha sido aprobada en primera y segunda lectura. Sin embargo, aún falta que sea debatida en el pleno del Congreso.  </w:t>
      </w:r>
    </w:p>
    <w:p w14:paraId="78EA9D6D" w14:textId="660A1EC3" w:rsidR="00A02C63" w:rsidRPr="00C61678" w:rsidRDefault="00F81886" w:rsidP="00A02C63">
      <w:pPr>
        <w:pStyle w:val="TextoCarta"/>
        <w:numPr>
          <w:ilvl w:val="0"/>
          <w:numId w:val="17"/>
        </w:numPr>
        <w:ind w:left="284"/>
        <w:rPr>
          <w:rFonts w:cstheme="minorHAnsi"/>
          <w:sz w:val="20"/>
          <w:szCs w:val="20"/>
        </w:rPr>
      </w:pPr>
      <w:r w:rsidRPr="00C61678">
        <w:rPr>
          <w:rFonts w:cstheme="minorHAnsi"/>
          <w:sz w:val="20"/>
          <w:szCs w:val="20"/>
        </w:rPr>
        <w:t>Este proyecto legislativo es altamente preocupante, entre otras razones, porque ampl</w:t>
      </w:r>
      <w:r w:rsidR="00BA68DA" w:rsidRPr="00C61678">
        <w:rPr>
          <w:rFonts w:cstheme="minorHAnsi"/>
          <w:sz w:val="20"/>
          <w:szCs w:val="20"/>
        </w:rPr>
        <w:t>iaría</w:t>
      </w:r>
      <w:r w:rsidRPr="00C61678">
        <w:rPr>
          <w:rFonts w:cstheme="minorHAnsi"/>
          <w:sz w:val="20"/>
          <w:szCs w:val="20"/>
        </w:rPr>
        <w:t xml:space="preserve"> la criminalización del aborto en el país</w:t>
      </w:r>
      <w:r w:rsidR="00BA68DA" w:rsidRPr="00C61678">
        <w:rPr>
          <w:rFonts w:cstheme="minorHAnsi"/>
          <w:sz w:val="20"/>
          <w:szCs w:val="20"/>
        </w:rPr>
        <w:t xml:space="preserve">, instituyendo </w:t>
      </w:r>
      <w:r w:rsidRPr="00C61678">
        <w:rPr>
          <w:rFonts w:cstheme="minorHAnsi"/>
          <w:sz w:val="20"/>
          <w:szCs w:val="20"/>
        </w:rPr>
        <w:t>un marco normativo aún más regresivo en materia de derechos sexuales y reproductivos</w:t>
      </w:r>
      <w:r w:rsidR="00BA68DA" w:rsidRPr="00C61678">
        <w:rPr>
          <w:rFonts w:cstheme="minorHAnsi"/>
          <w:sz w:val="20"/>
          <w:szCs w:val="20"/>
        </w:rPr>
        <w:t>. En efecto, p</w:t>
      </w:r>
      <w:r w:rsidRPr="00C61678">
        <w:rPr>
          <w:rFonts w:cstheme="minorHAnsi"/>
          <w:sz w:val="20"/>
          <w:szCs w:val="20"/>
        </w:rPr>
        <w:t xml:space="preserve">or un lado, la propuesta legislativa define el aborto como la muerte natural o provocada del embrión o feto, lo cual podría exponer a la criminalización de mujeres que sufran abortos </w:t>
      </w:r>
      <w:r w:rsidR="00E04F76" w:rsidRPr="00C61678">
        <w:rPr>
          <w:rFonts w:cstheme="minorHAnsi"/>
          <w:sz w:val="20"/>
          <w:szCs w:val="20"/>
        </w:rPr>
        <w:t>espontáneos</w:t>
      </w:r>
      <w:r w:rsidRPr="00C61678">
        <w:rPr>
          <w:rFonts w:cstheme="minorHAnsi"/>
          <w:sz w:val="20"/>
          <w:szCs w:val="20"/>
        </w:rPr>
        <w:t xml:space="preserve"> o emergencias </w:t>
      </w:r>
      <w:r w:rsidR="00BA68DA" w:rsidRPr="00C61678">
        <w:rPr>
          <w:rFonts w:cstheme="minorHAnsi"/>
          <w:sz w:val="20"/>
          <w:szCs w:val="20"/>
        </w:rPr>
        <w:t>obstétricas</w:t>
      </w:r>
      <w:r w:rsidR="00BA68DA" w:rsidRPr="00C61678">
        <w:rPr>
          <w:rStyle w:val="EndnoteReference"/>
          <w:rFonts w:asciiTheme="minorHAnsi" w:hAnsiTheme="minorHAnsi" w:cstheme="minorHAnsi"/>
          <w:sz w:val="20"/>
          <w:szCs w:val="20"/>
        </w:rPr>
        <w:endnoteReference w:id="11"/>
      </w:r>
      <w:r w:rsidR="00BA68DA" w:rsidRPr="00C61678">
        <w:rPr>
          <w:rFonts w:cstheme="minorHAnsi"/>
          <w:sz w:val="20"/>
          <w:szCs w:val="20"/>
        </w:rPr>
        <w:t>; y, p</w:t>
      </w:r>
      <w:r w:rsidRPr="00C61678">
        <w:rPr>
          <w:rFonts w:cstheme="minorHAnsi"/>
          <w:sz w:val="20"/>
          <w:szCs w:val="20"/>
        </w:rPr>
        <w:t>or otro lado, el proyecto de ley prevé penas de hasta cuatro (4) años de prisión para aquellas mujeres que tengan un aborto culposo</w:t>
      </w:r>
      <w:r w:rsidRPr="00C61678">
        <w:rPr>
          <w:rStyle w:val="EndnoteReference"/>
          <w:rFonts w:asciiTheme="minorHAnsi" w:hAnsiTheme="minorHAnsi" w:cstheme="minorHAnsi"/>
          <w:sz w:val="20"/>
          <w:szCs w:val="20"/>
        </w:rPr>
        <w:endnoteReference w:id="12"/>
      </w:r>
      <w:r w:rsidRPr="00C61678">
        <w:rPr>
          <w:rFonts w:cstheme="minorHAnsi"/>
          <w:sz w:val="20"/>
          <w:szCs w:val="20"/>
        </w:rPr>
        <w:t xml:space="preserve">. Además, el proyecto legislativo también limita el acceso al aborto legal en la medida en que </w:t>
      </w:r>
      <w:r w:rsidRPr="00C61678">
        <w:rPr>
          <w:rFonts w:cstheme="minorHAnsi"/>
          <w:sz w:val="20"/>
          <w:szCs w:val="20"/>
          <w:u w:val="single"/>
        </w:rPr>
        <w:t>exigiría aprobaciones médicas adicionales a los proveedores de salud que vayan a practicar el aborto</w:t>
      </w:r>
      <w:r w:rsidRPr="00C61678">
        <w:rPr>
          <w:rStyle w:val="EndnoteReference"/>
          <w:rFonts w:asciiTheme="minorHAnsi" w:hAnsiTheme="minorHAnsi" w:cstheme="minorHAnsi"/>
          <w:sz w:val="20"/>
          <w:szCs w:val="20"/>
        </w:rPr>
        <w:endnoteReference w:id="13"/>
      </w:r>
      <w:r w:rsidRPr="00C61678">
        <w:rPr>
          <w:rFonts w:cstheme="minorHAnsi"/>
          <w:sz w:val="20"/>
          <w:szCs w:val="20"/>
        </w:rPr>
        <w:t xml:space="preserve"> y </w:t>
      </w:r>
      <w:r w:rsidRPr="00C61678">
        <w:rPr>
          <w:rFonts w:cstheme="minorHAnsi"/>
          <w:sz w:val="20"/>
          <w:szCs w:val="20"/>
          <w:u w:val="single"/>
        </w:rPr>
        <w:t>criminaliza con diez (10) años de cárcel la promoción del aborto</w:t>
      </w:r>
      <w:r w:rsidR="00C357A1">
        <w:rPr>
          <w:rFonts w:cstheme="minorHAnsi"/>
          <w:sz w:val="20"/>
          <w:szCs w:val="20"/>
        </w:rPr>
        <w:t xml:space="preserve">, </w:t>
      </w:r>
      <w:r w:rsidRPr="00C61678">
        <w:rPr>
          <w:rFonts w:cstheme="minorHAnsi"/>
          <w:sz w:val="20"/>
          <w:szCs w:val="20"/>
        </w:rPr>
        <w:t>lo que podría llevar al silenciamiento de las organizaciones que brindan información o asesoramiento respecto de los derechos sexuales y reproductivos de la mujer en Guatemala.</w:t>
      </w:r>
      <w:r w:rsidRPr="00C61678">
        <w:rPr>
          <w:rStyle w:val="EndnoteReference"/>
          <w:rFonts w:asciiTheme="minorHAnsi" w:hAnsiTheme="minorHAnsi" w:cstheme="minorHAnsi"/>
          <w:sz w:val="20"/>
          <w:szCs w:val="20"/>
        </w:rPr>
        <w:endnoteReference w:id="14"/>
      </w:r>
      <w:r w:rsidRPr="00C61678">
        <w:rPr>
          <w:rFonts w:cstheme="minorHAnsi"/>
          <w:sz w:val="20"/>
          <w:szCs w:val="20"/>
        </w:rPr>
        <w:t xml:space="preserve"> </w:t>
      </w:r>
    </w:p>
    <w:p w14:paraId="1267CD6F" w14:textId="77777777" w:rsidR="00596C96" w:rsidRDefault="00F81886" w:rsidP="00A02C63">
      <w:pPr>
        <w:pStyle w:val="TextoCarta"/>
        <w:numPr>
          <w:ilvl w:val="0"/>
          <w:numId w:val="17"/>
        </w:numPr>
        <w:ind w:left="284"/>
        <w:rPr>
          <w:rFonts w:cstheme="minorHAnsi"/>
          <w:sz w:val="20"/>
          <w:szCs w:val="20"/>
        </w:rPr>
      </w:pPr>
      <w:r w:rsidRPr="00C61678">
        <w:rPr>
          <w:rFonts w:cstheme="minorHAnsi"/>
          <w:sz w:val="20"/>
          <w:szCs w:val="20"/>
        </w:rPr>
        <w:t xml:space="preserve">De lo anterior se colige que, estando de por sí ante una prohibición cuasi-absoluta del aborto en donde la interrupción del embarazo realmente no está disponible ni al alcance de ninguna mujer o niña, incluso en situaciones que supongan un riesgo para su vida o salud, </w:t>
      </w:r>
      <w:r w:rsidRPr="00C61678">
        <w:rPr>
          <w:rFonts w:cstheme="minorHAnsi"/>
          <w:b/>
          <w:bCs/>
          <w:sz w:val="20"/>
          <w:szCs w:val="20"/>
        </w:rPr>
        <w:t xml:space="preserve">el Estado </w:t>
      </w:r>
      <w:r w:rsidR="00212858" w:rsidRPr="00C61678">
        <w:rPr>
          <w:rFonts w:cstheme="minorHAnsi"/>
          <w:b/>
          <w:bCs/>
          <w:sz w:val="20"/>
          <w:szCs w:val="20"/>
        </w:rPr>
        <w:t xml:space="preserve">de Guatemala </w:t>
      </w:r>
      <w:r w:rsidRPr="00C61678">
        <w:rPr>
          <w:rFonts w:cstheme="minorHAnsi"/>
          <w:b/>
          <w:bCs/>
          <w:sz w:val="20"/>
          <w:szCs w:val="20"/>
        </w:rPr>
        <w:t>está buscando incrementar aún más la criminalización y disuadir a toda costa el acceso a este servicio de salud esencial</w:t>
      </w:r>
      <w:r w:rsidRPr="00C61678">
        <w:rPr>
          <w:rFonts w:cstheme="minorHAnsi"/>
          <w:sz w:val="20"/>
          <w:szCs w:val="20"/>
        </w:rPr>
        <w:t xml:space="preserve">. </w:t>
      </w:r>
    </w:p>
    <w:p w14:paraId="40B02607" w14:textId="77777777" w:rsidR="00D04170" w:rsidRDefault="00596C96" w:rsidP="00A02C63">
      <w:pPr>
        <w:pStyle w:val="TextoCarta"/>
        <w:numPr>
          <w:ilvl w:val="0"/>
          <w:numId w:val="17"/>
        </w:numPr>
        <w:ind w:left="284"/>
        <w:rPr>
          <w:rFonts w:cstheme="minorHAnsi"/>
          <w:sz w:val="20"/>
          <w:szCs w:val="20"/>
        </w:rPr>
      </w:pPr>
      <w:r>
        <w:rPr>
          <w:rFonts w:cstheme="minorHAnsi"/>
          <w:sz w:val="20"/>
          <w:szCs w:val="20"/>
        </w:rPr>
        <w:t>Lo anterior, e</w:t>
      </w:r>
      <w:r w:rsidR="00F81886" w:rsidRPr="00C61678">
        <w:rPr>
          <w:rFonts w:cstheme="minorHAnsi"/>
          <w:sz w:val="20"/>
          <w:szCs w:val="20"/>
        </w:rPr>
        <w:t xml:space="preserve">n específico, a través del incremento de las penas y de la criminalización explicita de la provisión de información o </w:t>
      </w:r>
      <w:r w:rsidRPr="00C61678">
        <w:rPr>
          <w:rFonts w:cstheme="minorHAnsi"/>
          <w:sz w:val="20"/>
          <w:szCs w:val="20"/>
        </w:rPr>
        <w:t>asesoramiento</w:t>
      </w:r>
      <w:r w:rsidR="00F81886" w:rsidRPr="00C61678">
        <w:rPr>
          <w:rFonts w:cstheme="minorHAnsi"/>
          <w:sz w:val="20"/>
          <w:szCs w:val="20"/>
        </w:rPr>
        <w:t xml:space="preserve"> sobre los derechos sexuales y reproductivo</w:t>
      </w:r>
      <w:r w:rsidR="005C3DA0">
        <w:rPr>
          <w:rFonts w:cstheme="minorHAnsi"/>
          <w:sz w:val="20"/>
          <w:szCs w:val="20"/>
        </w:rPr>
        <w:t xml:space="preserve">; por lo que </w:t>
      </w:r>
      <w:r w:rsidR="00F81886" w:rsidRPr="00C61678">
        <w:rPr>
          <w:rFonts w:cstheme="minorHAnsi"/>
          <w:sz w:val="20"/>
          <w:szCs w:val="20"/>
        </w:rPr>
        <w:t xml:space="preserve">Guatemala estaría recrudeciendo el ejercicio de los derechos sexuales y reproductivos de las mujeres y niñas en el país, y estaría, además, creando y fomentando un preocupante </w:t>
      </w:r>
      <w:r w:rsidR="00F81886" w:rsidRPr="00C61678">
        <w:rPr>
          <w:rFonts w:cstheme="minorHAnsi"/>
          <w:i/>
          <w:iCs/>
          <w:sz w:val="20"/>
          <w:szCs w:val="20"/>
        </w:rPr>
        <w:t>chilling effect</w:t>
      </w:r>
      <w:r w:rsidR="00F81886" w:rsidRPr="00C61678">
        <w:rPr>
          <w:rStyle w:val="EndnoteReference"/>
          <w:rFonts w:asciiTheme="minorHAnsi" w:hAnsiTheme="minorHAnsi" w:cstheme="minorHAnsi"/>
          <w:b w:val="0"/>
          <w:bCs/>
          <w:sz w:val="20"/>
          <w:szCs w:val="20"/>
        </w:rPr>
        <w:endnoteReference w:id="15"/>
      </w:r>
      <w:r w:rsidR="00F81886" w:rsidRPr="00C61678">
        <w:rPr>
          <w:rFonts w:cstheme="minorHAnsi"/>
          <w:sz w:val="20"/>
          <w:szCs w:val="20"/>
        </w:rPr>
        <w:t xml:space="preserve">; es decir, </w:t>
      </w:r>
      <w:r w:rsidR="0086338A">
        <w:rPr>
          <w:rFonts w:cstheme="minorHAnsi"/>
          <w:sz w:val="20"/>
          <w:szCs w:val="20"/>
        </w:rPr>
        <w:t>la mencionada i</w:t>
      </w:r>
      <w:r w:rsidR="00F81886" w:rsidRPr="00C61678">
        <w:rPr>
          <w:rFonts w:cstheme="minorHAnsi"/>
          <w:sz w:val="20"/>
          <w:szCs w:val="20"/>
        </w:rPr>
        <w:t xml:space="preserve">niciativa </w:t>
      </w:r>
      <w:r w:rsidR="00F81886" w:rsidRPr="00C61678">
        <w:rPr>
          <w:rFonts w:cstheme="minorHAnsi"/>
          <w:sz w:val="20"/>
          <w:szCs w:val="20"/>
        </w:rPr>
        <w:lastRenderedPageBreak/>
        <w:t xml:space="preserve">de ley tendría un efecto </w:t>
      </w:r>
      <w:r w:rsidR="009B0479" w:rsidRPr="00C61678">
        <w:rPr>
          <w:rFonts w:cstheme="minorHAnsi"/>
          <w:sz w:val="20"/>
          <w:szCs w:val="20"/>
        </w:rPr>
        <w:t xml:space="preserve">regresivo y </w:t>
      </w:r>
      <w:r w:rsidR="00F81886" w:rsidRPr="00C61678">
        <w:rPr>
          <w:rFonts w:cstheme="minorHAnsi"/>
          <w:sz w:val="20"/>
          <w:szCs w:val="20"/>
        </w:rPr>
        <w:t>negativ</w:t>
      </w:r>
      <w:r w:rsidR="009B0479" w:rsidRPr="00C61678">
        <w:rPr>
          <w:rFonts w:cstheme="minorHAnsi"/>
          <w:sz w:val="20"/>
          <w:szCs w:val="20"/>
        </w:rPr>
        <w:t xml:space="preserve">o </w:t>
      </w:r>
      <w:r w:rsidR="009004B2" w:rsidRPr="00C61678">
        <w:rPr>
          <w:rFonts w:cstheme="minorHAnsi"/>
          <w:sz w:val="20"/>
          <w:szCs w:val="20"/>
        </w:rPr>
        <w:t>sobre los derechos sexuales y reproductivos</w:t>
      </w:r>
      <w:r w:rsidR="00CE29F0" w:rsidRPr="00C61678">
        <w:rPr>
          <w:rFonts w:cstheme="minorHAnsi"/>
          <w:sz w:val="20"/>
          <w:szCs w:val="20"/>
        </w:rPr>
        <w:t>, en específico el aborto,</w:t>
      </w:r>
      <w:r w:rsidR="009004B2" w:rsidRPr="00C61678">
        <w:rPr>
          <w:rFonts w:cstheme="minorHAnsi"/>
          <w:sz w:val="20"/>
          <w:szCs w:val="20"/>
        </w:rPr>
        <w:t xml:space="preserve"> </w:t>
      </w:r>
      <w:r w:rsidR="009B0479" w:rsidRPr="00C61678">
        <w:rPr>
          <w:rFonts w:cstheme="minorHAnsi"/>
          <w:sz w:val="20"/>
          <w:szCs w:val="20"/>
        </w:rPr>
        <w:t xml:space="preserve">al disuadir tanto </w:t>
      </w:r>
      <w:r w:rsidR="00F81886" w:rsidRPr="00C61678">
        <w:rPr>
          <w:rFonts w:cstheme="minorHAnsi"/>
          <w:sz w:val="20"/>
          <w:szCs w:val="20"/>
        </w:rPr>
        <w:t>la provisión</w:t>
      </w:r>
      <w:r w:rsidR="00331508" w:rsidRPr="00C61678">
        <w:rPr>
          <w:rFonts w:cstheme="minorHAnsi"/>
          <w:sz w:val="20"/>
          <w:szCs w:val="20"/>
        </w:rPr>
        <w:t xml:space="preserve"> como la búsqueda</w:t>
      </w:r>
      <w:r w:rsidR="00F81886" w:rsidRPr="00C61678">
        <w:rPr>
          <w:rFonts w:cstheme="minorHAnsi"/>
          <w:sz w:val="20"/>
          <w:szCs w:val="20"/>
        </w:rPr>
        <w:t xml:space="preserve"> de información y servicios por parte organizaciones</w:t>
      </w:r>
      <w:r w:rsidR="00331508" w:rsidRPr="00C61678">
        <w:rPr>
          <w:rFonts w:cstheme="minorHAnsi"/>
          <w:sz w:val="20"/>
          <w:szCs w:val="20"/>
        </w:rPr>
        <w:t xml:space="preserve"> de mujeres y de derechos humanos, </w:t>
      </w:r>
      <w:r w:rsidR="00F81886" w:rsidRPr="00C61678">
        <w:rPr>
          <w:rFonts w:cstheme="minorHAnsi"/>
          <w:sz w:val="20"/>
          <w:szCs w:val="20"/>
        </w:rPr>
        <w:t>operadores de salud</w:t>
      </w:r>
      <w:r w:rsidR="009B0479" w:rsidRPr="00C61678">
        <w:rPr>
          <w:rFonts w:cstheme="minorHAnsi"/>
          <w:sz w:val="20"/>
          <w:szCs w:val="20"/>
        </w:rPr>
        <w:t>,</w:t>
      </w:r>
      <w:r w:rsidR="00331508" w:rsidRPr="00C61678">
        <w:rPr>
          <w:rFonts w:cstheme="minorHAnsi"/>
          <w:sz w:val="20"/>
          <w:szCs w:val="20"/>
        </w:rPr>
        <w:t xml:space="preserve"> y las misma mujeres y niñas, </w:t>
      </w:r>
      <w:r w:rsidR="009B0479" w:rsidRPr="00C61678">
        <w:rPr>
          <w:rFonts w:cstheme="minorHAnsi"/>
          <w:sz w:val="20"/>
          <w:szCs w:val="20"/>
        </w:rPr>
        <w:t xml:space="preserve">todo </w:t>
      </w:r>
      <w:r w:rsidR="00F81886" w:rsidRPr="00C61678">
        <w:rPr>
          <w:rFonts w:cstheme="minorHAnsi"/>
          <w:sz w:val="20"/>
          <w:szCs w:val="20"/>
        </w:rPr>
        <w:t xml:space="preserve">por el miedo a sufrir represalias y a ser criminalizadas. </w:t>
      </w:r>
    </w:p>
    <w:p w14:paraId="789B81F7" w14:textId="030F68FA" w:rsidR="00F81886" w:rsidRPr="00C61678" w:rsidRDefault="00D04170" w:rsidP="00A02C63">
      <w:pPr>
        <w:pStyle w:val="TextoCarta"/>
        <w:numPr>
          <w:ilvl w:val="0"/>
          <w:numId w:val="17"/>
        </w:numPr>
        <w:ind w:left="284"/>
        <w:rPr>
          <w:rFonts w:cstheme="minorHAnsi"/>
          <w:sz w:val="20"/>
          <w:szCs w:val="20"/>
        </w:rPr>
      </w:pPr>
      <w:r>
        <w:rPr>
          <w:rFonts w:cstheme="minorHAnsi"/>
          <w:sz w:val="20"/>
          <w:szCs w:val="20"/>
        </w:rPr>
        <w:t>Al respecto, t</w:t>
      </w:r>
      <w:r w:rsidR="00F81886" w:rsidRPr="00C61678">
        <w:rPr>
          <w:rFonts w:cstheme="minorHAnsi"/>
          <w:sz w:val="20"/>
          <w:szCs w:val="20"/>
        </w:rPr>
        <w:t>anto la Oficina de</w:t>
      </w:r>
      <w:r w:rsidR="000A7B32">
        <w:rPr>
          <w:rFonts w:cstheme="minorHAnsi"/>
          <w:sz w:val="20"/>
          <w:szCs w:val="20"/>
        </w:rPr>
        <w:t xml:space="preserve"> la</w:t>
      </w:r>
      <w:r w:rsidR="00F81886" w:rsidRPr="00C61678">
        <w:rPr>
          <w:rFonts w:cstheme="minorHAnsi"/>
          <w:sz w:val="20"/>
          <w:szCs w:val="20"/>
        </w:rPr>
        <w:t xml:space="preserve"> </w:t>
      </w:r>
      <w:r w:rsidR="000A7B32">
        <w:rPr>
          <w:rFonts w:cstheme="minorHAnsi"/>
          <w:sz w:val="20"/>
          <w:szCs w:val="20"/>
        </w:rPr>
        <w:t>Alta</w:t>
      </w:r>
      <w:r w:rsidR="00F81886" w:rsidRPr="00C61678">
        <w:rPr>
          <w:rFonts w:cstheme="minorHAnsi"/>
          <w:sz w:val="20"/>
          <w:szCs w:val="20"/>
        </w:rPr>
        <w:t xml:space="preserve"> </w:t>
      </w:r>
      <w:r w:rsidR="000A7B32">
        <w:rPr>
          <w:rFonts w:cstheme="minorHAnsi"/>
          <w:sz w:val="20"/>
          <w:szCs w:val="20"/>
        </w:rPr>
        <w:t>Comisionada</w:t>
      </w:r>
      <w:r w:rsidR="00DB19D6">
        <w:rPr>
          <w:rFonts w:cstheme="minorHAnsi"/>
          <w:sz w:val="20"/>
          <w:szCs w:val="20"/>
        </w:rPr>
        <w:t xml:space="preserve"> </w:t>
      </w:r>
      <w:r w:rsidR="00F81886" w:rsidRPr="00C61678">
        <w:rPr>
          <w:rFonts w:cstheme="minorHAnsi"/>
          <w:sz w:val="20"/>
          <w:szCs w:val="20"/>
        </w:rPr>
        <w:t>para los Derechos Humanos en Guatemala, como numerosas organizaciones no-gubernamentales de protección de derechos humanos</w:t>
      </w:r>
      <w:r w:rsidR="009004B2" w:rsidRPr="00C61678">
        <w:rPr>
          <w:rStyle w:val="EndnoteReference"/>
          <w:rFonts w:asciiTheme="minorHAnsi" w:hAnsiTheme="minorHAnsi" w:cstheme="minorHAnsi"/>
          <w:b w:val="0"/>
          <w:bCs/>
          <w:sz w:val="20"/>
          <w:szCs w:val="20"/>
        </w:rPr>
        <w:endnoteReference w:id="16"/>
      </w:r>
      <w:r w:rsidR="00F81886" w:rsidRPr="00C61678">
        <w:rPr>
          <w:rFonts w:cstheme="minorHAnsi"/>
          <w:b/>
          <w:bCs/>
          <w:sz w:val="20"/>
          <w:szCs w:val="20"/>
        </w:rPr>
        <w:t>,</w:t>
      </w:r>
      <w:r w:rsidR="00F81886" w:rsidRPr="00C61678">
        <w:rPr>
          <w:rFonts w:cstheme="minorHAnsi"/>
          <w:sz w:val="20"/>
          <w:szCs w:val="20"/>
        </w:rPr>
        <w:t xml:space="preserve"> ya han expresado su preocupación por esta iniciativa de ley </w:t>
      </w:r>
      <w:r w:rsidR="00331508" w:rsidRPr="00C61678">
        <w:rPr>
          <w:rFonts w:cstheme="minorHAnsi"/>
          <w:sz w:val="20"/>
          <w:szCs w:val="20"/>
        </w:rPr>
        <w:t xml:space="preserve">regresiva </w:t>
      </w:r>
      <w:r w:rsidR="00F81886" w:rsidRPr="00C61678">
        <w:rPr>
          <w:rFonts w:cstheme="minorHAnsi"/>
          <w:sz w:val="20"/>
          <w:szCs w:val="20"/>
        </w:rPr>
        <w:t>la cual sería</w:t>
      </w:r>
      <w:r w:rsidR="00331508" w:rsidRPr="00C61678">
        <w:rPr>
          <w:rFonts w:cstheme="minorHAnsi"/>
          <w:sz w:val="20"/>
          <w:szCs w:val="20"/>
        </w:rPr>
        <w:t xml:space="preserve"> manifiestamente</w:t>
      </w:r>
      <w:r w:rsidR="00F81886" w:rsidRPr="00C61678">
        <w:rPr>
          <w:rFonts w:cstheme="minorHAnsi"/>
          <w:sz w:val="20"/>
          <w:szCs w:val="20"/>
        </w:rPr>
        <w:t xml:space="preserve"> contraria a los estándares internacionales sobre los derechos de las mujeres y niñas, en particular su </w:t>
      </w:r>
      <w:r w:rsidR="00CE29F0" w:rsidRPr="00C61678">
        <w:rPr>
          <w:rFonts w:cstheme="minorHAnsi"/>
          <w:sz w:val="20"/>
          <w:szCs w:val="20"/>
        </w:rPr>
        <w:t xml:space="preserve">derecho </w:t>
      </w:r>
      <w:r w:rsidR="00F81886" w:rsidRPr="00C61678">
        <w:rPr>
          <w:rFonts w:cstheme="minorHAnsi"/>
          <w:sz w:val="20"/>
          <w:szCs w:val="20"/>
        </w:rPr>
        <w:t>a la</w:t>
      </w:r>
      <w:r w:rsidR="00CE29F0" w:rsidRPr="00C61678">
        <w:rPr>
          <w:rFonts w:cstheme="minorHAnsi"/>
          <w:sz w:val="20"/>
          <w:szCs w:val="20"/>
        </w:rPr>
        <w:t xml:space="preserve"> vida, la integridad, la autonomía reproductiva, la</w:t>
      </w:r>
      <w:r w:rsidR="00F81886" w:rsidRPr="00C61678">
        <w:rPr>
          <w:rFonts w:cstheme="minorHAnsi"/>
          <w:sz w:val="20"/>
          <w:szCs w:val="20"/>
        </w:rPr>
        <w:t xml:space="preserve"> salud </w:t>
      </w:r>
      <w:r w:rsidR="00CE29F0" w:rsidRPr="00C61678">
        <w:rPr>
          <w:rFonts w:cstheme="minorHAnsi"/>
          <w:sz w:val="20"/>
          <w:szCs w:val="20"/>
        </w:rPr>
        <w:t>y la no</w:t>
      </w:r>
      <w:r w:rsidR="00F81886" w:rsidRPr="00C61678">
        <w:rPr>
          <w:rFonts w:cstheme="minorHAnsi"/>
          <w:sz w:val="20"/>
          <w:szCs w:val="20"/>
        </w:rPr>
        <w:t xml:space="preserve"> discriminación, entre otros</w:t>
      </w:r>
      <w:r w:rsidR="003E2F18" w:rsidRPr="00C61678">
        <w:rPr>
          <w:rStyle w:val="EndnoteReference"/>
          <w:rFonts w:cstheme="minorHAnsi"/>
          <w:sz w:val="20"/>
          <w:szCs w:val="20"/>
        </w:rPr>
        <w:endnoteReference w:id="17"/>
      </w:r>
      <w:r w:rsidR="00F81886" w:rsidRPr="00C61678">
        <w:rPr>
          <w:rFonts w:cstheme="minorHAnsi"/>
          <w:sz w:val="20"/>
          <w:szCs w:val="20"/>
        </w:rPr>
        <w:t>.</w:t>
      </w:r>
    </w:p>
    <w:p w14:paraId="2545CFFD" w14:textId="0A6F4CBB" w:rsidR="00F7253A" w:rsidRPr="00C61678" w:rsidRDefault="00F7253A" w:rsidP="0080756A">
      <w:pPr>
        <w:pStyle w:val="Heading2"/>
      </w:pPr>
      <w:r w:rsidRPr="00C61678">
        <w:t xml:space="preserve">La incidencia de los embarazos adolescentes y </w:t>
      </w:r>
      <w:r w:rsidR="00543B47" w:rsidRPr="00C61678">
        <w:t>sus impactos en las vidas de las niñas y adolescentes</w:t>
      </w:r>
    </w:p>
    <w:p w14:paraId="6E23DC74" w14:textId="63D08E69" w:rsidR="00F804E9" w:rsidRPr="00C61678" w:rsidRDefault="00A976B6" w:rsidP="007C48DB">
      <w:pPr>
        <w:pStyle w:val="TextoCarta"/>
        <w:numPr>
          <w:ilvl w:val="0"/>
          <w:numId w:val="17"/>
        </w:numPr>
        <w:ind w:left="284"/>
        <w:rPr>
          <w:rFonts w:cstheme="minorHAnsi"/>
          <w:sz w:val="20"/>
          <w:szCs w:val="20"/>
        </w:rPr>
      </w:pPr>
      <w:r w:rsidRPr="00C61678">
        <w:rPr>
          <w:rFonts w:cstheme="minorHAnsi"/>
          <w:sz w:val="20"/>
          <w:szCs w:val="20"/>
        </w:rPr>
        <w:t xml:space="preserve">La tasa de fecundidad de adolescentes en Guatemala es 21% mayor al promedio regional, con 92 nacimientos por 1.000 </w:t>
      </w:r>
      <w:r w:rsidR="007447AE" w:rsidRPr="00C61678">
        <w:rPr>
          <w:rFonts w:cstheme="minorHAnsi"/>
          <w:sz w:val="20"/>
          <w:szCs w:val="20"/>
        </w:rPr>
        <w:t xml:space="preserve">adolescentes </w:t>
      </w:r>
      <w:r w:rsidRPr="00C61678">
        <w:rPr>
          <w:rFonts w:cstheme="minorHAnsi"/>
          <w:sz w:val="20"/>
          <w:szCs w:val="20"/>
        </w:rPr>
        <w:t>de 15 a 19 años</w:t>
      </w:r>
      <w:r w:rsidR="0090459D" w:rsidRPr="00C61678">
        <w:rPr>
          <w:rFonts w:cstheme="minorHAnsi"/>
          <w:sz w:val="20"/>
          <w:szCs w:val="20"/>
        </w:rPr>
        <w:t xml:space="preserve"> </w:t>
      </w:r>
      <w:r w:rsidR="007447AE" w:rsidRPr="00C61678">
        <w:rPr>
          <w:rFonts w:cstheme="minorHAnsi"/>
          <w:sz w:val="20"/>
          <w:szCs w:val="20"/>
        </w:rPr>
        <w:t xml:space="preserve">en el país </w:t>
      </w:r>
      <w:r w:rsidR="0090459D" w:rsidRPr="00C61678">
        <w:rPr>
          <w:rFonts w:cstheme="minorHAnsi"/>
          <w:sz w:val="20"/>
          <w:szCs w:val="20"/>
        </w:rPr>
        <w:t xml:space="preserve">contra </w:t>
      </w:r>
      <w:r w:rsidRPr="00C61678">
        <w:rPr>
          <w:rFonts w:cstheme="minorHAnsi"/>
          <w:sz w:val="20"/>
          <w:szCs w:val="20"/>
        </w:rPr>
        <w:t>un promedio de 76</w:t>
      </w:r>
      <w:r w:rsidR="0090459D" w:rsidRPr="00C61678">
        <w:rPr>
          <w:rFonts w:cstheme="minorHAnsi"/>
          <w:sz w:val="20"/>
          <w:szCs w:val="20"/>
        </w:rPr>
        <w:t xml:space="preserve"> en la región</w:t>
      </w:r>
      <w:r w:rsidRPr="00C61678">
        <w:rPr>
          <w:rFonts w:cstheme="minorHAnsi"/>
          <w:sz w:val="20"/>
          <w:szCs w:val="20"/>
        </w:rPr>
        <w:t xml:space="preserve">. </w:t>
      </w:r>
      <w:r w:rsidR="0090459D" w:rsidRPr="00C61678">
        <w:rPr>
          <w:rFonts w:cstheme="minorHAnsi"/>
          <w:sz w:val="20"/>
          <w:szCs w:val="20"/>
        </w:rPr>
        <w:t>La</w:t>
      </w:r>
      <w:r w:rsidRPr="00C61678">
        <w:rPr>
          <w:rFonts w:cstheme="minorHAnsi"/>
          <w:sz w:val="20"/>
          <w:szCs w:val="20"/>
        </w:rPr>
        <w:t xml:space="preserve"> tasa de fecundidad rural en Guatemala es casi el doble de la urbana, siendo la primera de 112 nacimientos por cada 1.000 </w:t>
      </w:r>
      <w:r w:rsidR="007447AE" w:rsidRPr="00C61678">
        <w:rPr>
          <w:rFonts w:cstheme="minorHAnsi"/>
          <w:sz w:val="20"/>
          <w:szCs w:val="20"/>
        </w:rPr>
        <w:t>adolescentes</w:t>
      </w:r>
      <w:r w:rsidRPr="00C61678">
        <w:rPr>
          <w:rFonts w:cstheme="minorHAnsi"/>
          <w:sz w:val="20"/>
          <w:szCs w:val="20"/>
        </w:rPr>
        <w:t xml:space="preserve"> entre 15 y 19 años, y la segunda de 65 nacimientos</w:t>
      </w:r>
      <w:r w:rsidR="007447AE" w:rsidRPr="00C61678">
        <w:rPr>
          <w:rFonts w:cstheme="minorHAnsi"/>
          <w:sz w:val="20"/>
          <w:szCs w:val="20"/>
        </w:rPr>
        <w:t xml:space="preserve"> por cada 1.000 adolescentes entre 15 y 19 años</w:t>
      </w:r>
      <w:r w:rsidRPr="00C61678">
        <w:rPr>
          <w:rFonts w:cstheme="minorHAnsi"/>
          <w:sz w:val="20"/>
          <w:szCs w:val="20"/>
        </w:rPr>
        <w:t>. Así pues, mientras el promedio urbano es inferior al promedio regional, el promedio rural es casi 50% más alto que el promedio de la región.</w:t>
      </w:r>
      <w:r w:rsidRPr="00B53E71">
        <w:rPr>
          <w:rStyle w:val="EndnoteReference"/>
          <w:rFonts w:asciiTheme="minorHAnsi" w:hAnsiTheme="minorHAnsi" w:cstheme="minorHAnsi"/>
          <w:b w:val="0"/>
          <w:bCs/>
          <w:sz w:val="20"/>
          <w:szCs w:val="20"/>
        </w:rPr>
        <w:endnoteReference w:id="18"/>
      </w:r>
      <w:r w:rsidRPr="00B53E71">
        <w:rPr>
          <w:rFonts w:cstheme="minorHAnsi"/>
          <w:b/>
          <w:bCs/>
          <w:sz w:val="20"/>
          <w:szCs w:val="20"/>
        </w:rPr>
        <w:t xml:space="preserve"> </w:t>
      </w:r>
    </w:p>
    <w:p w14:paraId="1B1840B8" w14:textId="732698A6" w:rsidR="00815444" w:rsidRPr="00C61678" w:rsidRDefault="001D6FF3" w:rsidP="007C48DB">
      <w:pPr>
        <w:pStyle w:val="TextoCarta"/>
        <w:numPr>
          <w:ilvl w:val="0"/>
          <w:numId w:val="17"/>
        </w:numPr>
        <w:ind w:left="284"/>
        <w:rPr>
          <w:rFonts w:cstheme="minorHAnsi"/>
          <w:sz w:val="20"/>
          <w:szCs w:val="20"/>
        </w:rPr>
      </w:pPr>
      <w:r w:rsidRPr="00C61678">
        <w:rPr>
          <w:rFonts w:cstheme="minorHAnsi"/>
          <w:sz w:val="20"/>
          <w:szCs w:val="20"/>
        </w:rPr>
        <w:t>Anudado a ello, e</w:t>
      </w:r>
      <w:r w:rsidR="00F804E9" w:rsidRPr="00C61678">
        <w:rPr>
          <w:rFonts w:cstheme="minorHAnsi"/>
          <w:sz w:val="20"/>
          <w:szCs w:val="20"/>
        </w:rPr>
        <w:t>l Plan Nacional para la Prevención y Erradicación de la Violencia Contra las Mujeres 2020-2029 ("</w:t>
      </w:r>
      <w:r w:rsidR="00F804E9" w:rsidRPr="00C61678">
        <w:rPr>
          <w:rFonts w:cstheme="minorHAnsi"/>
          <w:sz w:val="20"/>
          <w:szCs w:val="20"/>
          <w:u w:val="single"/>
        </w:rPr>
        <w:t>Planovi</w:t>
      </w:r>
      <w:r w:rsidR="00F804E9" w:rsidRPr="00C61678">
        <w:rPr>
          <w:rFonts w:cstheme="minorHAnsi"/>
          <w:sz w:val="20"/>
          <w:szCs w:val="20"/>
        </w:rPr>
        <w:t xml:space="preserve">"), elaborado por distintos órganos del alto gobierno de Guatemala y con la participación de ONGs locales, resalta con preocupación que </w:t>
      </w:r>
      <w:r w:rsidR="00F804E9" w:rsidRPr="00C61678">
        <w:rPr>
          <w:rFonts w:cstheme="minorHAnsi"/>
          <w:b/>
          <w:bCs/>
          <w:sz w:val="20"/>
          <w:szCs w:val="20"/>
        </w:rPr>
        <w:t>en 2017 hubo 2.021 nacimientos en el país de madres menores de 15 años</w:t>
      </w:r>
      <w:r w:rsidRPr="00C61678">
        <w:rPr>
          <w:rFonts w:cstheme="minorHAnsi"/>
          <w:sz w:val="20"/>
          <w:szCs w:val="20"/>
        </w:rPr>
        <w:t>,</w:t>
      </w:r>
      <w:r w:rsidR="00F804E9" w:rsidRPr="00C61678">
        <w:rPr>
          <w:rFonts w:cstheme="minorHAnsi"/>
          <w:b/>
          <w:bCs/>
          <w:sz w:val="20"/>
          <w:szCs w:val="20"/>
        </w:rPr>
        <w:t xml:space="preserve"> en 2018 se registró un número de</w:t>
      </w:r>
      <w:r w:rsidR="00F804E9" w:rsidRPr="00C61678">
        <w:rPr>
          <w:rFonts w:cstheme="minorHAnsi"/>
          <w:sz w:val="20"/>
          <w:szCs w:val="20"/>
        </w:rPr>
        <w:t xml:space="preserve"> </w:t>
      </w:r>
      <w:r w:rsidR="00F804E9" w:rsidRPr="00C61678">
        <w:rPr>
          <w:rFonts w:cstheme="minorHAnsi"/>
          <w:b/>
          <w:bCs/>
          <w:sz w:val="20"/>
          <w:szCs w:val="20"/>
        </w:rPr>
        <w:t>embarazos en menores de 15 años de 4.629</w:t>
      </w:r>
      <w:r w:rsidR="00F804E9" w:rsidRPr="00C61678">
        <w:rPr>
          <w:rFonts w:cstheme="minorHAnsi"/>
          <w:sz w:val="20"/>
          <w:szCs w:val="20"/>
        </w:rPr>
        <w:t xml:space="preserve">, </w:t>
      </w:r>
      <w:r w:rsidR="00F804E9" w:rsidRPr="00C61678">
        <w:rPr>
          <w:rFonts w:cstheme="minorHAnsi"/>
          <w:b/>
          <w:bCs/>
          <w:sz w:val="20"/>
          <w:szCs w:val="20"/>
        </w:rPr>
        <w:t>y para el primer</w:t>
      </w:r>
      <w:r w:rsidR="00F804E9" w:rsidRPr="00C61678">
        <w:rPr>
          <w:rFonts w:cstheme="minorHAnsi"/>
          <w:sz w:val="20"/>
          <w:szCs w:val="20"/>
        </w:rPr>
        <w:t xml:space="preserve"> </w:t>
      </w:r>
      <w:r w:rsidR="00F804E9" w:rsidRPr="00C61678">
        <w:rPr>
          <w:rFonts w:cstheme="minorHAnsi"/>
          <w:b/>
          <w:bCs/>
          <w:sz w:val="20"/>
          <w:szCs w:val="20"/>
        </w:rPr>
        <w:t>semestre de 2019 un número de 2.837 de este tipo de embarazos, lo que muestra una tendencia al alza</w:t>
      </w:r>
      <w:r w:rsidR="00F804E9" w:rsidRPr="00C61678">
        <w:rPr>
          <w:rStyle w:val="EndnoteReference"/>
          <w:rFonts w:asciiTheme="minorHAnsi" w:hAnsiTheme="minorHAnsi" w:cstheme="minorHAnsi"/>
          <w:sz w:val="20"/>
          <w:szCs w:val="20"/>
        </w:rPr>
        <w:endnoteReference w:id="19"/>
      </w:r>
      <w:r w:rsidR="00F804E9" w:rsidRPr="00C61678">
        <w:rPr>
          <w:rFonts w:cstheme="minorHAnsi"/>
          <w:sz w:val="20"/>
          <w:szCs w:val="20"/>
        </w:rPr>
        <w:t>.</w:t>
      </w:r>
      <w:r w:rsidR="006228BB" w:rsidRPr="00C61678">
        <w:rPr>
          <w:rFonts w:cstheme="minorHAnsi"/>
          <w:sz w:val="20"/>
          <w:szCs w:val="20"/>
        </w:rPr>
        <w:t xml:space="preserve"> </w:t>
      </w:r>
      <w:r w:rsidR="00637F4E" w:rsidRPr="00C61678">
        <w:rPr>
          <w:rFonts w:cstheme="minorHAnsi"/>
          <w:sz w:val="20"/>
          <w:szCs w:val="20"/>
        </w:rPr>
        <w:t>Según el Planovi, además, el promedio nacional de mujeres adolescentes embarazadas es de 21%, pero existe una varianza importante entre departamentos, siendo Petén, ubicado al norte del país entre Belice y México, el más alto con 30.6%</w:t>
      </w:r>
      <w:r w:rsidR="00637F4E" w:rsidRPr="009279CB">
        <w:rPr>
          <w:rStyle w:val="EndnoteReference"/>
          <w:rFonts w:asciiTheme="minorHAnsi" w:hAnsiTheme="minorHAnsi" w:cstheme="minorHAnsi"/>
          <w:b w:val="0"/>
          <w:bCs/>
          <w:sz w:val="20"/>
          <w:szCs w:val="20"/>
        </w:rPr>
        <w:endnoteReference w:id="20"/>
      </w:r>
      <w:r w:rsidR="00637F4E" w:rsidRPr="009279CB">
        <w:rPr>
          <w:rFonts w:cstheme="minorHAnsi"/>
          <w:sz w:val="20"/>
          <w:szCs w:val="20"/>
        </w:rPr>
        <w:t>.</w:t>
      </w:r>
      <w:r w:rsidR="00637F4E" w:rsidRPr="00C61678">
        <w:rPr>
          <w:rFonts w:cstheme="minorHAnsi"/>
          <w:sz w:val="20"/>
          <w:szCs w:val="20"/>
        </w:rPr>
        <w:t xml:space="preserve"> Por su parte,</w:t>
      </w:r>
      <w:r w:rsidRPr="00C61678">
        <w:rPr>
          <w:rFonts w:cstheme="minorHAnsi"/>
          <w:sz w:val="20"/>
          <w:szCs w:val="20"/>
        </w:rPr>
        <w:t xml:space="preserve"> e</w:t>
      </w:r>
      <w:r w:rsidR="006228BB" w:rsidRPr="00C61678">
        <w:rPr>
          <w:rFonts w:cstheme="minorHAnsi"/>
          <w:sz w:val="20"/>
          <w:szCs w:val="20"/>
        </w:rPr>
        <w:t>l Observatorio de Salud Sexual y Reproductiva</w:t>
      </w:r>
      <w:r w:rsidR="006228BB" w:rsidRPr="00C61678">
        <w:rPr>
          <w:rFonts w:cstheme="minorHAnsi"/>
          <w:sz w:val="20"/>
          <w:szCs w:val="20"/>
          <w:lang w:val="es-ES"/>
        </w:rPr>
        <w:t xml:space="preserve"> (OSAR) también ha podido documentar esta </w:t>
      </w:r>
      <w:r w:rsidRPr="00C61678">
        <w:rPr>
          <w:rFonts w:cstheme="minorHAnsi"/>
          <w:sz w:val="20"/>
          <w:szCs w:val="20"/>
          <w:lang w:val="es-ES"/>
        </w:rPr>
        <w:t>alarmante</w:t>
      </w:r>
      <w:r w:rsidR="006228BB" w:rsidRPr="00C61678">
        <w:rPr>
          <w:rFonts w:cstheme="minorHAnsi"/>
          <w:sz w:val="20"/>
          <w:szCs w:val="20"/>
          <w:lang w:val="es-ES"/>
        </w:rPr>
        <w:t xml:space="preserve"> </w:t>
      </w:r>
      <w:r w:rsidRPr="00C61678">
        <w:rPr>
          <w:rFonts w:cstheme="minorHAnsi"/>
          <w:sz w:val="20"/>
          <w:szCs w:val="20"/>
          <w:lang w:val="es-ES"/>
        </w:rPr>
        <w:t>situación</w:t>
      </w:r>
      <w:r w:rsidR="009279CB">
        <w:rPr>
          <w:rFonts w:cstheme="minorHAnsi"/>
          <w:sz w:val="20"/>
          <w:szCs w:val="20"/>
          <w:lang w:val="es-ES"/>
        </w:rPr>
        <w:t xml:space="preserve">, en particular </w:t>
      </w:r>
      <w:r w:rsidR="00C4135A" w:rsidRPr="00C61678">
        <w:rPr>
          <w:rFonts w:cstheme="minorHAnsi"/>
          <w:sz w:val="20"/>
          <w:szCs w:val="20"/>
          <w:lang w:val="es-ES"/>
        </w:rPr>
        <w:t xml:space="preserve">la </w:t>
      </w:r>
      <w:r w:rsidR="00715348" w:rsidRPr="00C61678">
        <w:rPr>
          <w:rFonts w:cstheme="minorHAnsi"/>
          <w:sz w:val="20"/>
          <w:szCs w:val="20"/>
          <w:lang w:val="es-ES"/>
        </w:rPr>
        <w:t>tendencia al alza</w:t>
      </w:r>
      <w:r w:rsidR="00C4135A" w:rsidRPr="00C61678">
        <w:rPr>
          <w:rFonts w:cstheme="minorHAnsi"/>
          <w:sz w:val="20"/>
          <w:szCs w:val="20"/>
          <w:lang w:val="es-ES"/>
        </w:rPr>
        <w:t xml:space="preserve"> de los embarazos adolescentes entre 2015 y 2019</w:t>
      </w:r>
      <w:r w:rsidRPr="00C61678">
        <w:rPr>
          <w:rStyle w:val="EndnoteReference"/>
          <w:rFonts w:asciiTheme="minorHAnsi" w:hAnsiTheme="minorHAnsi" w:cstheme="minorHAnsi"/>
          <w:sz w:val="20"/>
          <w:szCs w:val="20"/>
          <w:lang w:val="es-ES"/>
        </w:rPr>
        <w:endnoteReference w:id="21"/>
      </w:r>
      <w:r w:rsidR="00C4135A" w:rsidRPr="00C61678">
        <w:rPr>
          <w:rFonts w:cstheme="minorHAnsi"/>
          <w:sz w:val="20"/>
          <w:szCs w:val="20"/>
          <w:lang w:val="es-ES"/>
        </w:rPr>
        <w:t>. Sólo durante</w:t>
      </w:r>
      <w:r w:rsidR="006228BB" w:rsidRPr="00C61678">
        <w:rPr>
          <w:rFonts w:cstheme="minorHAnsi"/>
          <w:sz w:val="20"/>
          <w:szCs w:val="20"/>
          <w:lang w:val="es-ES"/>
        </w:rPr>
        <w:t xml:space="preserve"> </w:t>
      </w:r>
      <w:r w:rsidR="000459AD" w:rsidRPr="00C61678">
        <w:rPr>
          <w:rFonts w:cstheme="minorHAnsi"/>
          <w:sz w:val="20"/>
          <w:szCs w:val="20"/>
          <w:lang w:val="es-ES"/>
        </w:rPr>
        <w:t>el 2018</w:t>
      </w:r>
      <w:r w:rsidR="00C4135A" w:rsidRPr="00C61678">
        <w:rPr>
          <w:rFonts w:cstheme="minorHAnsi"/>
          <w:sz w:val="20"/>
          <w:szCs w:val="20"/>
          <w:lang w:val="es-ES"/>
        </w:rPr>
        <w:t xml:space="preserve">, por ejemplo, </w:t>
      </w:r>
      <w:r w:rsidR="00715348" w:rsidRPr="00C61678">
        <w:rPr>
          <w:rFonts w:cstheme="minorHAnsi"/>
          <w:sz w:val="20"/>
          <w:szCs w:val="20"/>
          <w:lang w:val="es-ES"/>
        </w:rPr>
        <w:t>OSAR registró</w:t>
      </w:r>
      <w:r w:rsidR="000459AD" w:rsidRPr="00C61678">
        <w:rPr>
          <w:rFonts w:cstheme="minorHAnsi"/>
          <w:sz w:val="20"/>
          <w:szCs w:val="20"/>
          <w:lang w:val="es-ES"/>
        </w:rPr>
        <w:t xml:space="preserve"> </w:t>
      </w:r>
      <w:r w:rsidR="000459AD" w:rsidRPr="00C61678">
        <w:rPr>
          <w:rFonts w:cstheme="minorHAnsi"/>
          <w:b/>
          <w:bCs/>
          <w:sz w:val="20"/>
          <w:szCs w:val="20"/>
          <w:lang w:val="es-ES"/>
        </w:rPr>
        <w:t>116,773</w:t>
      </w:r>
      <w:r w:rsidR="000459AD" w:rsidRPr="00C61678">
        <w:rPr>
          <w:rFonts w:cstheme="minorHAnsi"/>
          <w:sz w:val="20"/>
          <w:szCs w:val="20"/>
          <w:lang w:val="es-ES"/>
        </w:rPr>
        <w:t xml:space="preserve"> nacimientos de niñas y adolescentes</w:t>
      </w:r>
      <w:r w:rsidR="00402D49" w:rsidRPr="00C61678">
        <w:rPr>
          <w:rFonts w:cstheme="minorHAnsi"/>
          <w:sz w:val="20"/>
          <w:szCs w:val="20"/>
          <w:lang w:val="es-ES"/>
        </w:rPr>
        <w:t xml:space="preserve"> entre 10 y 19 años</w:t>
      </w:r>
      <w:r w:rsidR="000459AD" w:rsidRPr="00C61678">
        <w:rPr>
          <w:rFonts w:cstheme="minorHAnsi"/>
          <w:sz w:val="20"/>
          <w:szCs w:val="20"/>
          <w:lang w:val="es-ES"/>
        </w:rPr>
        <w:t>, entre las cuales</w:t>
      </w:r>
      <w:r w:rsidR="00913555" w:rsidRPr="00C61678">
        <w:rPr>
          <w:rFonts w:cstheme="minorHAnsi"/>
          <w:sz w:val="20"/>
          <w:szCs w:val="20"/>
          <w:lang w:val="es-ES"/>
        </w:rPr>
        <w:t xml:space="preserve"> </w:t>
      </w:r>
      <w:r w:rsidR="00913555" w:rsidRPr="00C61678">
        <w:rPr>
          <w:rFonts w:cstheme="minorHAnsi"/>
          <w:b/>
          <w:bCs/>
          <w:sz w:val="20"/>
          <w:szCs w:val="20"/>
          <w:lang w:val="es-ES"/>
        </w:rPr>
        <w:t>4,629</w:t>
      </w:r>
      <w:r w:rsidR="00913555" w:rsidRPr="00C61678">
        <w:rPr>
          <w:rFonts w:cstheme="minorHAnsi"/>
          <w:sz w:val="20"/>
          <w:szCs w:val="20"/>
          <w:lang w:val="es-ES"/>
        </w:rPr>
        <w:t xml:space="preserve"> </w:t>
      </w:r>
      <w:r w:rsidR="00913555" w:rsidRPr="00C61678">
        <w:rPr>
          <w:rFonts w:cstheme="minorHAnsi"/>
          <w:b/>
          <w:bCs/>
          <w:sz w:val="20"/>
          <w:szCs w:val="20"/>
          <w:lang w:val="es-ES"/>
        </w:rPr>
        <w:t>fueron de niñas menores de 14 años</w:t>
      </w:r>
      <w:r w:rsidR="00732FBE" w:rsidRPr="00C61678">
        <w:rPr>
          <w:rStyle w:val="EndnoteReference"/>
          <w:rFonts w:asciiTheme="minorHAnsi" w:hAnsiTheme="minorHAnsi" w:cstheme="minorHAnsi"/>
          <w:sz w:val="20"/>
          <w:szCs w:val="20"/>
          <w:lang w:val="es-ES"/>
        </w:rPr>
        <w:endnoteReference w:id="22"/>
      </w:r>
      <w:r w:rsidR="00913555" w:rsidRPr="00C61678">
        <w:rPr>
          <w:rFonts w:cstheme="minorHAnsi"/>
          <w:sz w:val="20"/>
          <w:szCs w:val="20"/>
          <w:lang w:val="es-ES"/>
        </w:rPr>
        <w:t xml:space="preserve"> y</w:t>
      </w:r>
      <w:r w:rsidR="00C4135A" w:rsidRPr="00C61678">
        <w:rPr>
          <w:rFonts w:cstheme="minorHAnsi"/>
          <w:sz w:val="20"/>
          <w:szCs w:val="20"/>
          <w:lang w:val="es-ES"/>
        </w:rPr>
        <w:t xml:space="preserve">, </w:t>
      </w:r>
      <w:r w:rsidR="00913555" w:rsidRPr="00C61678">
        <w:rPr>
          <w:rFonts w:cstheme="minorHAnsi"/>
          <w:sz w:val="20"/>
          <w:szCs w:val="20"/>
          <w:lang w:val="es-ES"/>
        </w:rPr>
        <w:t>si bien</w:t>
      </w:r>
      <w:r w:rsidR="00C4135A" w:rsidRPr="00C61678">
        <w:rPr>
          <w:rFonts w:cstheme="minorHAnsi"/>
          <w:sz w:val="20"/>
          <w:szCs w:val="20"/>
          <w:lang w:val="es-ES"/>
        </w:rPr>
        <w:t xml:space="preserve"> en el 2019</w:t>
      </w:r>
      <w:r w:rsidR="00913555" w:rsidRPr="00C61678">
        <w:rPr>
          <w:rFonts w:cstheme="minorHAnsi"/>
          <w:sz w:val="20"/>
          <w:szCs w:val="20"/>
          <w:lang w:val="es-ES"/>
        </w:rPr>
        <w:t xml:space="preserve"> hubo una disminución</w:t>
      </w:r>
      <w:r w:rsidR="00732FBE" w:rsidRPr="00C61678">
        <w:rPr>
          <w:rFonts w:cstheme="minorHAnsi"/>
          <w:sz w:val="20"/>
          <w:szCs w:val="20"/>
          <w:lang w:val="es-ES"/>
        </w:rPr>
        <w:t xml:space="preserve"> </w:t>
      </w:r>
      <w:r w:rsidR="002F124C" w:rsidRPr="00C61678">
        <w:rPr>
          <w:rFonts w:cstheme="minorHAnsi"/>
          <w:sz w:val="20"/>
          <w:szCs w:val="20"/>
          <w:lang w:val="es-ES"/>
        </w:rPr>
        <w:t xml:space="preserve">de 424 nacimientos </w:t>
      </w:r>
      <w:r w:rsidR="00402D49" w:rsidRPr="00C61678">
        <w:rPr>
          <w:rFonts w:cstheme="minorHAnsi"/>
          <w:sz w:val="20"/>
          <w:szCs w:val="20"/>
          <w:lang w:val="es-ES"/>
        </w:rPr>
        <w:t xml:space="preserve">del total de </w:t>
      </w:r>
      <w:r w:rsidR="00951611" w:rsidRPr="00C61678">
        <w:rPr>
          <w:rFonts w:cstheme="minorHAnsi"/>
          <w:sz w:val="20"/>
          <w:szCs w:val="20"/>
          <w:lang w:val="es-ES"/>
        </w:rPr>
        <w:t>nacimientos</w:t>
      </w:r>
      <w:r w:rsidR="00402D49" w:rsidRPr="00C61678">
        <w:rPr>
          <w:rFonts w:cstheme="minorHAnsi"/>
          <w:sz w:val="20"/>
          <w:szCs w:val="20"/>
          <w:lang w:val="es-ES"/>
        </w:rPr>
        <w:t xml:space="preserve"> en la categoría de niñas</w:t>
      </w:r>
      <w:r w:rsidR="00951611" w:rsidRPr="00C61678">
        <w:rPr>
          <w:rFonts w:cstheme="minorHAnsi"/>
          <w:sz w:val="20"/>
          <w:szCs w:val="20"/>
          <w:lang w:val="es-ES"/>
        </w:rPr>
        <w:t xml:space="preserve"> y adolescentes</w:t>
      </w:r>
      <w:r w:rsidR="00402D49" w:rsidRPr="00C61678">
        <w:rPr>
          <w:rFonts w:cstheme="minorHAnsi"/>
          <w:sz w:val="20"/>
          <w:szCs w:val="20"/>
          <w:lang w:val="es-ES"/>
        </w:rPr>
        <w:t xml:space="preserve"> entre 10 y 19 años</w:t>
      </w:r>
      <w:r w:rsidR="00951611" w:rsidRPr="00C61678">
        <w:rPr>
          <w:rFonts w:cstheme="minorHAnsi"/>
          <w:sz w:val="20"/>
          <w:szCs w:val="20"/>
          <w:lang w:val="es-ES"/>
        </w:rPr>
        <w:t>,</w:t>
      </w:r>
      <w:r w:rsidR="00732FBE" w:rsidRPr="00C61678">
        <w:rPr>
          <w:rFonts w:cstheme="minorHAnsi"/>
          <w:sz w:val="20"/>
          <w:szCs w:val="20"/>
          <w:lang w:val="es-ES"/>
        </w:rPr>
        <w:t xml:space="preserve"> llegando a 116,349,</w:t>
      </w:r>
      <w:r w:rsidR="00732FBE" w:rsidRPr="00C61678">
        <w:rPr>
          <w:rFonts w:cstheme="minorHAnsi"/>
          <w:b/>
          <w:bCs/>
          <w:sz w:val="20"/>
          <w:szCs w:val="20"/>
          <w:lang w:val="es-ES"/>
        </w:rPr>
        <w:t xml:space="preserve"> </w:t>
      </w:r>
      <w:r w:rsidR="002F124C" w:rsidRPr="00C61678">
        <w:rPr>
          <w:rFonts w:cstheme="minorHAnsi"/>
          <w:b/>
          <w:bCs/>
          <w:sz w:val="20"/>
          <w:szCs w:val="20"/>
          <w:lang w:val="es-ES"/>
        </w:rPr>
        <w:t xml:space="preserve">sólo </w:t>
      </w:r>
      <w:r w:rsidR="00951611" w:rsidRPr="00C61678">
        <w:rPr>
          <w:rFonts w:cstheme="minorHAnsi"/>
          <w:b/>
          <w:bCs/>
          <w:sz w:val="20"/>
          <w:szCs w:val="20"/>
          <w:lang w:val="es-ES"/>
        </w:rPr>
        <w:t xml:space="preserve">ese año, </w:t>
      </w:r>
      <w:r w:rsidR="006228BB" w:rsidRPr="00C61678">
        <w:rPr>
          <w:rFonts w:cstheme="minorHAnsi"/>
          <w:b/>
          <w:bCs/>
          <w:sz w:val="20"/>
          <w:szCs w:val="20"/>
          <w:lang w:val="es-ES"/>
        </w:rPr>
        <w:t>5,133 menores de 14 años</w:t>
      </w:r>
      <w:r w:rsidR="00402D49" w:rsidRPr="00C61678">
        <w:rPr>
          <w:rFonts w:cstheme="minorHAnsi"/>
          <w:b/>
          <w:bCs/>
          <w:sz w:val="20"/>
          <w:szCs w:val="20"/>
          <w:lang w:val="es-ES"/>
        </w:rPr>
        <w:t xml:space="preserve"> se convirtieron en madres</w:t>
      </w:r>
      <w:r w:rsidR="00402D49" w:rsidRPr="00C61678">
        <w:rPr>
          <w:rFonts w:cstheme="minorHAnsi"/>
          <w:sz w:val="20"/>
          <w:szCs w:val="20"/>
          <w:lang w:val="es-ES"/>
        </w:rPr>
        <w:t>.</w:t>
      </w:r>
      <w:r w:rsidR="006228BB" w:rsidRPr="00C61678">
        <w:rPr>
          <w:rStyle w:val="EndnoteReference"/>
          <w:rFonts w:asciiTheme="minorHAnsi" w:hAnsiTheme="minorHAnsi" w:cstheme="minorHAnsi"/>
          <w:b w:val="0"/>
          <w:bCs/>
          <w:sz w:val="20"/>
          <w:szCs w:val="20"/>
          <w:lang w:val="es-ES"/>
        </w:rPr>
        <w:endnoteReference w:id="23"/>
      </w:r>
      <w:r w:rsidR="00512A57" w:rsidRPr="00C61678">
        <w:rPr>
          <w:rFonts w:cstheme="minorHAnsi"/>
          <w:sz w:val="20"/>
          <w:szCs w:val="20"/>
          <w:lang w:val="es-ES"/>
        </w:rPr>
        <w:t xml:space="preserve"> Como se detallará </w:t>
      </w:r>
      <w:r w:rsidR="00512A57" w:rsidRPr="00C61678">
        <w:rPr>
          <w:rFonts w:cstheme="minorHAnsi"/>
          <w:i/>
          <w:iCs/>
          <w:sz w:val="20"/>
          <w:szCs w:val="20"/>
          <w:lang w:val="es-ES"/>
        </w:rPr>
        <w:t>infra</w:t>
      </w:r>
      <w:r w:rsidR="00512A57" w:rsidRPr="00C61678">
        <w:rPr>
          <w:rFonts w:cstheme="minorHAnsi"/>
          <w:sz w:val="20"/>
          <w:szCs w:val="20"/>
          <w:lang w:val="es-ES"/>
        </w:rPr>
        <w:t xml:space="preserve"> (</w:t>
      </w:r>
      <w:r w:rsidR="00512A57" w:rsidRPr="009279CB">
        <w:rPr>
          <w:rFonts w:cstheme="minorHAnsi"/>
          <w:b/>
          <w:bCs/>
          <w:i/>
          <w:iCs/>
          <w:sz w:val="20"/>
          <w:szCs w:val="20"/>
          <w:lang w:val="es-ES"/>
        </w:rPr>
        <w:t>sección V</w:t>
      </w:r>
      <w:r w:rsidR="00512A57" w:rsidRPr="00C61678">
        <w:rPr>
          <w:rFonts w:cstheme="minorHAnsi"/>
          <w:sz w:val="20"/>
          <w:szCs w:val="20"/>
          <w:lang w:val="es-ES"/>
        </w:rPr>
        <w:t>.), esa tendencia</w:t>
      </w:r>
      <w:r w:rsidR="002F124C" w:rsidRPr="00C61678">
        <w:rPr>
          <w:rFonts w:cstheme="minorHAnsi"/>
          <w:sz w:val="20"/>
          <w:szCs w:val="20"/>
          <w:lang w:val="es-ES"/>
        </w:rPr>
        <w:t xml:space="preserve"> alza</w:t>
      </w:r>
      <w:r w:rsidR="00512A57" w:rsidRPr="00C61678">
        <w:rPr>
          <w:rFonts w:cstheme="minorHAnsi"/>
          <w:sz w:val="20"/>
          <w:szCs w:val="20"/>
          <w:lang w:val="es-ES"/>
        </w:rPr>
        <w:t xml:space="preserve"> </w:t>
      </w:r>
      <w:r w:rsidR="002F124C" w:rsidRPr="00C61678">
        <w:rPr>
          <w:rFonts w:cstheme="minorHAnsi"/>
          <w:sz w:val="20"/>
          <w:szCs w:val="20"/>
          <w:lang w:val="es-ES"/>
        </w:rPr>
        <w:t>se mantiene y se ha visto e</w:t>
      </w:r>
      <w:r w:rsidR="003D7A89" w:rsidRPr="00C61678">
        <w:rPr>
          <w:rFonts w:cstheme="minorHAnsi"/>
          <w:sz w:val="20"/>
          <w:szCs w:val="20"/>
          <w:lang w:val="es-ES"/>
        </w:rPr>
        <w:t>xacerbada por el contexto de la pandemia de la COVID-19.</w:t>
      </w:r>
    </w:p>
    <w:p w14:paraId="7D5EA8A2" w14:textId="77777777" w:rsidR="00046B2C" w:rsidRPr="00046B2C" w:rsidRDefault="005F7A42" w:rsidP="006B777B">
      <w:pPr>
        <w:pStyle w:val="TextoCarta"/>
        <w:numPr>
          <w:ilvl w:val="0"/>
          <w:numId w:val="17"/>
        </w:numPr>
        <w:ind w:left="284"/>
        <w:rPr>
          <w:rFonts w:cstheme="minorHAnsi"/>
          <w:sz w:val="20"/>
          <w:szCs w:val="20"/>
        </w:rPr>
      </w:pPr>
      <w:r w:rsidRPr="00C61678">
        <w:rPr>
          <w:rFonts w:cstheme="minorHAnsi"/>
          <w:sz w:val="20"/>
          <w:szCs w:val="20"/>
        </w:rPr>
        <w:t>Adicionalmente, d</w:t>
      </w:r>
      <w:r w:rsidR="007020AE" w:rsidRPr="00C61678">
        <w:rPr>
          <w:rFonts w:cstheme="minorHAnsi"/>
          <w:sz w:val="20"/>
          <w:szCs w:val="20"/>
        </w:rPr>
        <w:t>e acuerdo con el Planovi, lo</w:t>
      </w:r>
      <w:r w:rsidR="00815444" w:rsidRPr="00C61678">
        <w:rPr>
          <w:rFonts w:cstheme="minorHAnsi"/>
          <w:sz w:val="20"/>
          <w:szCs w:val="20"/>
        </w:rPr>
        <w:t xml:space="preserve"> anterior implica que "alrededor de un 25% de mujeres dio a luz por primera vez estando en un rango de edad entre 15 y 17 años, y un 2% antes de los 15 años, lo que quiere decir que </w:t>
      </w:r>
      <w:r w:rsidR="00815444" w:rsidRPr="00C61678">
        <w:rPr>
          <w:rFonts w:cstheme="minorHAnsi"/>
          <w:b/>
          <w:bCs/>
          <w:sz w:val="20"/>
          <w:szCs w:val="20"/>
        </w:rPr>
        <w:t>cerca de un 30% de las mujeres tienen su primer hijo siendo menores de edad</w:t>
      </w:r>
      <w:r w:rsidR="00815444" w:rsidRPr="00C61678">
        <w:rPr>
          <w:rFonts w:cstheme="minorHAnsi"/>
          <w:sz w:val="20"/>
          <w:szCs w:val="20"/>
        </w:rPr>
        <w:t>"</w:t>
      </w:r>
      <w:r w:rsidR="007020AE" w:rsidRPr="00C61678">
        <w:rPr>
          <w:rFonts w:cstheme="minorHAnsi"/>
          <w:sz w:val="20"/>
          <w:szCs w:val="20"/>
        </w:rPr>
        <w:t xml:space="preserve"> (énfasis fuera del original)</w:t>
      </w:r>
      <w:r w:rsidR="00815444" w:rsidRPr="009279CB">
        <w:rPr>
          <w:rStyle w:val="EndnoteReference"/>
          <w:rFonts w:asciiTheme="minorHAnsi" w:hAnsiTheme="minorHAnsi" w:cstheme="minorHAnsi"/>
          <w:b w:val="0"/>
          <w:bCs/>
          <w:sz w:val="20"/>
          <w:szCs w:val="20"/>
        </w:rPr>
        <w:endnoteReference w:id="24"/>
      </w:r>
      <w:r w:rsidR="006228BB" w:rsidRPr="009279CB">
        <w:rPr>
          <w:rFonts w:cstheme="minorHAnsi"/>
          <w:sz w:val="20"/>
          <w:szCs w:val="20"/>
        </w:rPr>
        <w:t>.</w:t>
      </w:r>
      <w:r w:rsidR="006228BB" w:rsidRPr="00C61678">
        <w:rPr>
          <w:rFonts w:cstheme="minorHAnsi"/>
          <w:sz w:val="20"/>
          <w:szCs w:val="20"/>
        </w:rPr>
        <w:t xml:space="preserve"> Est</w:t>
      </w:r>
      <w:r w:rsidR="007020AE" w:rsidRPr="00C61678">
        <w:rPr>
          <w:rFonts w:cstheme="minorHAnsi"/>
          <w:sz w:val="20"/>
          <w:szCs w:val="20"/>
        </w:rPr>
        <w:t xml:space="preserve">as altas tasas de fecundidad y embarazo adolescente </w:t>
      </w:r>
      <w:r w:rsidR="006228BB" w:rsidRPr="00C61678">
        <w:rPr>
          <w:rFonts w:cstheme="minorHAnsi"/>
          <w:sz w:val="20"/>
          <w:szCs w:val="20"/>
        </w:rPr>
        <w:t>también</w:t>
      </w:r>
      <w:r w:rsidR="00815444" w:rsidRPr="00C61678">
        <w:rPr>
          <w:rFonts w:cstheme="minorHAnsi"/>
          <w:sz w:val="20"/>
          <w:szCs w:val="20"/>
        </w:rPr>
        <w:t xml:space="preserve"> se traduce</w:t>
      </w:r>
      <w:r w:rsidR="007020AE" w:rsidRPr="00C61678">
        <w:rPr>
          <w:rFonts w:cstheme="minorHAnsi"/>
          <w:sz w:val="20"/>
          <w:szCs w:val="20"/>
        </w:rPr>
        <w:t xml:space="preserve">n, además en </w:t>
      </w:r>
      <w:r w:rsidR="00815444" w:rsidRPr="00C61678">
        <w:rPr>
          <w:rFonts w:cstheme="minorHAnsi"/>
          <w:sz w:val="20"/>
          <w:szCs w:val="20"/>
        </w:rPr>
        <w:t xml:space="preserve">casos </w:t>
      </w:r>
      <w:r w:rsidR="007020AE" w:rsidRPr="00C61678">
        <w:rPr>
          <w:rFonts w:cstheme="minorHAnsi"/>
          <w:sz w:val="20"/>
          <w:szCs w:val="20"/>
        </w:rPr>
        <w:t xml:space="preserve">de </w:t>
      </w:r>
      <w:r w:rsidR="00815444" w:rsidRPr="00C61678">
        <w:rPr>
          <w:rFonts w:cstheme="minorHAnsi"/>
          <w:sz w:val="20"/>
          <w:szCs w:val="20"/>
        </w:rPr>
        <w:t>"abortos inseguros, lo que duplica el riesgo de muerte para las niñas y las adolescentes</w:t>
      </w:r>
      <w:r w:rsidR="00815444" w:rsidRPr="005B1B8F">
        <w:rPr>
          <w:rFonts w:cstheme="minorHAnsi"/>
          <w:sz w:val="20"/>
          <w:szCs w:val="20"/>
        </w:rPr>
        <w:t>"</w:t>
      </w:r>
      <w:r w:rsidR="00815444" w:rsidRPr="005B1B8F">
        <w:rPr>
          <w:rStyle w:val="EndnoteReference"/>
          <w:rFonts w:asciiTheme="minorHAnsi" w:hAnsiTheme="minorHAnsi" w:cstheme="minorHAnsi"/>
          <w:b w:val="0"/>
          <w:bCs/>
          <w:sz w:val="20"/>
          <w:szCs w:val="20"/>
        </w:rPr>
        <w:endnoteReference w:id="25"/>
      </w:r>
      <w:r w:rsidR="005B1B8F">
        <w:rPr>
          <w:rFonts w:cstheme="minorHAnsi"/>
          <w:sz w:val="20"/>
          <w:szCs w:val="20"/>
        </w:rPr>
        <w:t>.</w:t>
      </w:r>
      <w:r w:rsidR="00815444" w:rsidRPr="005B1B8F">
        <w:rPr>
          <w:rFonts w:cstheme="minorHAnsi"/>
          <w:b/>
          <w:bCs/>
          <w:sz w:val="20"/>
          <w:szCs w:val="20"/>
        </w:rPr>
        <w:t xml:space="preserve"> </w:t>
      </w:r>
    </w:p>
    <w:p w14:paraId="0643905C" w14:textId="73E141A7" w:rsidR="00C33168" w:rsidRPr="00C61678" w:rsidRDefault="00C1710D" w:rsidP="006B777B">
      <w:pPr>
        <w:pStyle w:val="TextoCarta"/>
        <w:numPr>
          <w:ilvl w:val="0"/>
          <w:numId w:val="17"/>
        </w:numPr>
        <w:ind w:left="284"/>
        <w:rPr>
          <w:rFonts w:cstheme="minorHAnsi"/>
          <w:sz w:val="20"/>
          <w:szCs w:val="20"/>
        </w:rPr>
      </w:pPr>
      <w:r w:rsidRPr="00C61678">
        <w:rPr>
          <w:rFonts w:cstheme="minorHAnsi"/>
          <w:sz w:val="20"/>
          <w:szCs w:val="20"/>
        </w:rPr>
        <w:t>Además, s</w:t>
      </w:r>
      <w:r w:rsidR="00A976B6" w:rsidRPr="00C61678">
        <w:rPr>
          <w:rFonts w:cstheme="minorHAnsi"/>
          <w:sz w:val="20"/>
          <w:szCs w:val="20"/>
        </w:rPr>
        <w:t>egún cifras del Ministerio de Salud Pública y Asistencia Social de Guatemala, las muertes maternas están concentradas en niñas y mujeres sin escolaridad o con nivel bajo de escolaridad. De hecho</w:t>
      </w:r>
      <w:r w:rsidR="005F7A42" w:rsidRPr="00C61678">
        <w:rPr>
          <w:rFonts w:cstheme="minorHAnsi"/>
          <w:sz w:val="20"/>
          <w:szCs w:val="20"/>
        </w:rPr>
        <w:t>,</w:t>
      </w:r>
      <w:r w:rsidR="00A976B6" w:rsidRPr="00C61678">
        <w:rPr>
          <w:rFonts w:cstheme="minorHAnsi"/>
          <w:sz w:val="20"/>
          <w:szCs w:val="20"/>
        </w:rPr>
        <w:t xml:space="preserve"> el 84% de las muertes maternas en 2018 ocurrió en madres sin escolaridad, con nivel primario, o con escolaridad desconocida, y tan solo el 2% en madres con nivel universitario</w:t>
      </w:r>
      <w:r w:rsidR="00A976B6" w:rsidRPr="00724A4E">
        <w:rPr>
          <w:rStyle w:val="EndnoteReference"/>
          <w:rFonts w:asciiTheme="minorHAnsi" w:hAnsiTheme="minorHAnsi" w:cstheme="minorHAnsi"/>
          <w:b w:val="0"/>
          <w:bCs/>
          <w:sz w:val="20"/>
          <w:szCs w:val="20"/>
        </w:rPr>
        <w:endnoteReference w:id="26"/>
      </w:r>
      <w:r w:rsidR="00A976B6" w:rsidRPr="00C61678">
        <w:rPr>
          <w:rFonts w:cstheme="minorHAnsi"/>
          <w:sz w:val="20"/>
          <w:szCs w:val="20"/>
        </w:rPr>
        <w:t xml:space="preserve"> </w:t>
      </w:r>
      <w:r w:rsidR="005F7A42" w:rsidRPr="00C61678">
        <w:rPr>
          <w:rFonts w:cstheme="minorHAnsi"/>
          <w:sz w:val="20"/>
          <w:szCs w:val="20"/>
        </w:rPr>
        <w:t xml:space="preserve">lo que evidencia el impacto desproporcionado de la prohibición del aborto en las niñas y adolescentes más vulnerables. </w:t>
      </w:r>
      <w:r w:rsidRPr="00C61678">
        <w:rPr>
          <w:rFonts w:cstheme="minorHAnsi"/>
          <w:sz w:val="20"/>
          <w:szCs w:val="20"/>
        </w:rPr>
        <w:t>Anudado a ello, el propio Gobierno de Guatemala ha reconocido que la "alta tasa de fecundidad entre mujeres adolescentes contribuye al bajo porcentaje de población en edad escolar de secundaria inscrita en planteles educativos (41% en secundaria frente a 88% en primaria)"</w:t>
      </w:r>
      <w:r w:rsidRPr="00C61678">
        <w:rPr>
          <w:rStyle w:val="EndnoteReference"/>
          <w:rFonts w:asciiTheme="minorHAnsi" w:hAnsiTheme="minorHAnsi" w:cstheme="minorHAnsi"/>
          <w:sz w:val="20"/>
          <w:szCs w:val="20"/>
        </w:rPr>
        <w:endnoteReference w:id="27"/>
      </w:r>
      <w:r w:rsidRPr="00C61678">
        <w:rPr>
          <w:rFonts w:cstheme="minorHAnsi"/>
          <w:sz w:val="20"/>
          <w:szCs w:val="20"/>
        </w:rPr>
        <w:t xml:space="preserve">, pues </w:t>
      </w:r>
      <w:r w:rsidRPr="00C61678">
        <w:rPr>
          <w:rFonts w:cstheme="minorHAnsi"/>
          <w:b/>
          <w:bCs/>
          <w:sz w:val="20"/>
          <w:szCs w:val="20"/>
        </w:rPr>
        <w:t xml:space="preserve">9 de cada 10 mujeres deja de estudiar debido al </w:t>
      </w:r>
      <w:r w:rsidRPr="00C61678">
        <w:rPr>
          <w:rFonts w:cstheme="minorHAnsi"/>
          <w:b/>
          <w:bCs/>
          <w:sz w:val="20"/>
          <w:szCs w:val="20"/>
        </w:rPr>
        <w:lastRenderedPageBreak/>
        <w:t>embarazo</w:t>
      </w:r>
      <w:r w:rsidRPr="00C61678">
        <w:rPr>
          <w:rStyle w:val="EndnoteReference"/>
          <w:rFonts w:asciiTheme="minorHAnsi" w:hAnsiTheme="minorHAnsi" w:cstheme="minorHAnsi"/>
          <w:sz w:val="20"/>
          <w:szCs w:val="20"/>
        </w:rPr>
        <w:endnoteReference w:id="28"/>
      </w:r>
      <w:r w:rsidR="006B777B" w:rsidRPr="00C61678">
        <w:rPr>
          <w:rFonts w:cstheme="minorHAnsi"/>
          <w:sz w:val="20"/>
          <w:szCs w:val="20"/>
        </w:rPr>
        <w:t>. En efecto, pa</w:t>
      </w:r>
      <w:r w:rsidR="00C33168" w:rsidRPr="00C61678">
        <w:rPr>
          <w:rFonts w:cstheme="minorHAnsi"/>
          <w:sz w:val="20"/>
          <w:szCs w:val="20"/>
        </w:rPr>
        <w:t>ra 2016 el embarazo era la primera causa de deserción escolar de las niñas y adolescentes en Guatemala</w:t>
      </w:r>
      <w:r w:rsidR="00342F79">
        <w:rPr>
          <w:rFonts w:cstheme="minorHAnsi"/>
          <w:sz w:val="20"/>
          <w:szCs w:val="20"/>
        </w:rPr>
        <w:t xml:space="preserve">, por lo que </w:t>
      </w:r>
      <w:r w:rsidR="00C33168" w:rsidRPr="00C61678">
        <w:rPr>
          <w:rFonts w:cstheme="minorHAnsi"/>
          <w:sz w:val="20"/>
          <w:szCs w:val="20"/>
        </w:rPr>
        <w:t>la alta tasa de embarazo en niñas y adolescentes contribuye a su bajo porcentaje de escolaridad: 41% en secundaria frente a 88% en primaria</w:t>
      </w:r>
      <w:r w:rsidR="00C33168" w:rsidRPr="00724A4E">
        <w:rPr>
          <w:rStyle w:val="EndnoteReference"/>
          <w:rFonts w:asciiTheme="minorHAnsi" w:hAnsiTheme="minorHAnsi" w:cstheme="minorHAnsi"/>
          <w:b w:val="0"/>
          <w:bCs/>
          <w:sz w:val="20"/>
          <w:szCs w:val="20"/>
        </w:rPr>
        <w:endnoteReference w:id="29"/>
      </w:r>
      <w:r w:rsidR="006B777B" w:rsidRPr="00C61678">
        <w:rPr>
          <w:rFonts w:cstheme="minorHAnsi"/>
          <w:sz w:val="20"/>
          <w:szCs w:val="20"/>
        </w:rPr>
        <w:t xml:space="preserve">; esto demuestra el efecto devastador e irreversible para el desarrollo óptimo de las niña y adolescentes, en particular su derecho al acceso a la educación (ver </w:t>
      </w:r>
      <w:r w:rsidR="006B777B" w:rsidRPr="00C61678">
        <w:rPr>
          <w:rFonts w:cstheme="minorHAnsi"/>
          <w:i/>
          <w:iCs/>
          <w:sz w:val="20"/>
          <w:szCs w:val="20"/>
        </w:rPr>
        <w:t>infra</w:t>
      </w:r>
      <w:r w:rsidR="006B777B" w:rsidRPr="00C61678">
        <w:rPr>
          <w:rFonts w:cstheme="minorHAnsi"/>
          <w:sz w:val="20"/>
          <w:szCs w:val="20"/>
        </w:rPr>
        <w:t xml:space="preserve">, </w:t>
      </w:r>
      <w:r w:rsidR="00687F39" w:rsidRPr="00687F39">
        <w:rPr>
          <w:rFonts w:cstheme="minorHAnsi"/>
          <w:b/>
          <w:bCs/>
          <w:i/>
          <w:iCs/>
          <w:sz w:val="20"/>
          <w:szCs w:val="20"/>
        </w:rPr>
        <w:t xml:space="preserve">sección </w:t>
      </w:r>
      <w:r w:rsidR="006B777B" w:rsidRPr="00687F39">
        <w:rPr>
          <w:rFonts w:cstheme="minorHAnsi"/>
          <w:b/>
          <w:bCs/>
          <w:i/>
          <w:iCs/>
          <w:sz w:val="20"/>
          <w:szCs w:val="20"/>
        </w:rPr>
        <w:t>IV.</w:t>
      </w:r>
      <w:r w:rsidR="002635E3" w:rsidRPr="00687F39">
        <w:rPr>
          <w:rFonts w:cstheme="minorHAnsi"/>
          <w:b/>
          <w:bCs/>
          <w:i/>
          <w:iCs/>
          <w:sz w:val="20"/>
          <w:szCs w:val="20"/>
        </w:rPr>
        <w:t>b</w:t>
      </w:r>
      <w:r w:rsidR="006B777B" w:rsidRPr="00C61678">
        <w:rPr>
          <w:rFonts w:cstheme="minorHAnsi"/>
          <w:sz w:val="20"/>
          <w:szCs w:val="20"/>
        </w:rPr>
        <w:t>).</w:t>
      </w:r>
    </w:p>
    <w:p w14:paraId="75FC36E0" w14:textId="64C14445" w:rsidR="00F7253A" w:rsidRPr="00C61678" w:rsidRDefault="00F7253A" w:rsidP="0080756A">
      <w:pPr>
        <w:pStyle w:val="Heading2"/>
      </w:pPr>
      <w:r w:rsidRPr="00C61678">
        <w:t xml:space="preserve">La criminalización del aborto crea riesgos significativos </w:t>
      </w:r>
      <w:r w:rsidR="00543B47" w:rsidRPr="00C61678">
        <w:t>para la vida y</w:t>
      </w:r>
      <w:r w:rsidRPr="00C61678">
        <w:t xml:space="preserve"> la salud de mujeres y niñas, en particular para las sobrevivientes de violación sexual</w:t>
      </w:r>
    </w:p>
    <w:p w14:paraId="4494071C" w14:textId="306EEBE5" w:rsidR="00DF48BB" w:rsidRPr="00C61678" w:rsidRDefault="0044563F" w:rsidP="00DF48BB">
      <w:pPr>
        <w:pStyle w:val="TextoCarta"/>
        <w:numPr>
          <w:ilvl w:val="0"/>
          <w:numId w:val="17"/>
        </w:numPr>
        <w:ind w:left="284"/>
        <w:rPr>
          <w:rFonts w:cstheme="minorHAnsi"/>
          <w:sz w:val="20"/>
          <w:szCs w:val="20"/>
        </w:rPr>
      </w:pPr>
      <w:r w:rsidRPr="00C61678">
        <w:rPr>
          <w:rFonts w:cstheme="minorHAnsi"/>
          <w:sz w:val="20"/>
          <w:szCs w:val="20"/>
        </w:rPr>
        <w:t>El</w:t>
      </w:r>
      <w:r w:rsidR="00F81886" w:rsidRPr="00C61678">
        <w:rPr>
          <w:rFonts w:cstheme="minorHAnsi"/>
          <w:sz w:val="20"/>
          <w:szCs w:val="20"/>
        </w:rPr>
        <w:t xml:space="preserve"> hecho de que el Código Penal de Guatemala no </w:t>
      </w:r>
      <w:r w:rsidR="009958D1" w:rsidRPr="00C61678">
        <w:rPr>
          <w:rFonts w:cstheme="minorHAnsi"/>
          <w:sz w:val="20"/>
          <w:szCs w:val="20"/>
        </w:rPr>
        <w:t xml:space="preserve">garantice el acceso al </w:t>
      </w:r>
      <w:r w:rsidR="00F81886" w:rsidRPr="00C61678">
        <w:rPr>
          <w:rFonts w:cstheme="minorHAnsi"/>
          <w:sz w:val="20"/>
          <w:szCs w:val="20"/>
        </w:rPr>
        <w:t xml:space="preserve">aborto </w:t>
      </w:r>
      <w:r w:rsidR="009958D1" w:rsidRPr="00C61678">
        <w:rPr>
          <w:rFonts w:cstheme="minorHAnsi"/>
          <w:sz w:val="20"/>
          <w:szCs w:val="20"/>
        </w:rPr>
        <w:t xml:space="preserve">ante </w:t>
      </w:r>
      <w:r w:rsidR="00F81886" w:rsidRPr="00C61678">
        <w:rPr>
          <w:rFonts w:cstheme="minorHAnsi"/>
          <w:sz w:val="20"/>
          <w:szCs w:val="20"/>
        </w:rPr>
        <w:t xml:space="preserve">afectaciones a la salud </w:t>
      </w:r>
      <w:r w:rsidR="00CF45B4" w:rsidRPr="00C61678">
        <w:rPr>
          <w:rFonts w:cstheme="minorHAnsi"/>
          <w:sz w:val="20"/>
          <w:szCs w:val="20"/>
        </w:rPr>
        <w:t xml:space="preserve">física y mental </w:t>
      </w:r>
      <w:r w:rsidR="00F81886" w:rsidRPr="00C61678">
        <w:rPr>
          <w:rFonts w:cstheme="minorHAnsi"/>
          <w:sz w:val="20"/>
          <w:szCs w:val="20"/>
        </w:rPr>
        <w:t>de la mujer</w:t>
      </w:r>
      <w:r w:rsidR="003F1B7C" w:rsidRPr="00C61678">
        <w:rPr>
          <w:rFonts w:cstheme="minorHAnsi"/>
          <w:sz w:val="20"/>
          <w:szCs w:val="20"/>
        </w:rPr>
        <w:t xml:space="preserve"> </w:t>
      </w:r>
      <w:r w:rsidR="00CF45B4" w:rsidRPr="00C61678">
        <w:rPr>
          <w:rFonts w:cstheme="minorHAnsi"/>
          <w:sz w:val="20"/>
          <w:szCs w:val="20"/>
        </w:rPr>
        <w:t>y niña</w:t>
      </w:r>
      <w:r w:rsidR="009D70F0" w:rsidRPr="00C61678">
        <w:rPr>
          <w:rFonts w:cstheme="minorHAnsi"/>
          <w:sz w:val="20"/>
          <w:szCs w:val="20"/>
        </w:rPr>
        <w:t xml:space="preserve">, </w:t>
      </w:r>
      <w:r w:rsidR="009958D1" w:rsidRPr="00C61678">
        <w:rPr>
          <w:rFonts w:cstheme="minorHAnsi"/>
          <w:sz w:val="20"/>
          <w:szCs w:val="20"/>
        </w:rPr>
        <w:t xml:space="preserve">y </w:t>
      </w:r>
      <w:r w:rsidR="009D70F0" w:rsidRPr="00C61678">
        <w:rPr>
          <w:rFonts w:cstheme="minorHAnsi"/>
          <w:sz w:val="20"/>
          <w:szCs w:val="20"/>
        </w:rPr>
        <w:t>ante la</w:t>
      </w:r>
      <w:r w:rsidR="009958D1" w:rsidRPr="00C61678">
        <w:rPr>
          <w:rFonts w:cstheme="minorHAnsi"/>
          <w:sz w:val="20"/>
          <w:szCs w:val="20"/>
        </w:rPr>
        <w:t xml:space="preserve"> </w:t>
      </w:r>
      <w:r w:rsidR="00F81886" w:rsidRPr="00C61678">
        <w:rPr>
          <w:rFonts w:cstheme="minorHAnsi"/>
          <w:sz w:val="20"/>
          <w:szCs w:val="20"/>
        </w:rPr>
        <w:t>interpretación</w:t>
      </w:r>
      <w:r w:rsidR="009958D1" w:rsidRPr="00C61678">
        <w:rPr>
          <w:rFonts w:cstheme="minorHAnsi"/>
          <w:sz w:val="20"/>
          <w:szCs w:val="20"/>
        </w:rPr>
        <w:t xml:space="preserve"> </w:t>
      </w:r>
      <w:r w:rsidR="00F81886" w:rsidRPr="00C61678">
        <w:rPr>
          <w:rFonts w:cstheme="minorHAnsi"/>
          <w:sz w:val="20"/>
          <w:szCs w:val="20"/>
        </w:rPr>
        <w:t xml:space="preserve">limitada </w:t>
      </w:r>
      <w:r w:rsidR="009D70F0" w:rsidRPr="00C61678">
        <w:rPr>
          <w:rFonts w:cstheme="minorHAnsi"/>
          <w:sz w:val="20"/>
          <w:szCs w:val="20"/>
        </w:rPr>
        <w:t xml:space="preserve">que se da </w:t>
      </w:r>
      <w:r w:rsidR="00F81886" w:rsidRPr="00C61678">
        <w:rPr>
          <w:rFonts w:cstheme="minorHAnsi"/>
          <w:sz w:val="20"/>
          <w:szCs w:val="20"/>
        </w:rPr>
        <w:t xml:space="preserve">de las situaciones en las que el embarazo pone en riesgo la vida de la gestante, </w:t>
      </w:r>
      <w:r w:rsidR="009D70F0" w:rsidRPr="002635E3">
        <w:rPr>
          <w:rFonts w:cstheme="minorHAnsi"/>
          <w:b/>
          <w:bCs/>
          <w:sz w:val="20"/>
          <w:szCs w:val="20"/>
        </w:rPr>
        <w:t>Guatemala está</w:t>
      </w:r>
      <w:r w:rsidR="009D70F0" w:rsidRPr="00C61678">
        <w:rPr>
          <w:rFonts w:cstheme="minorHAnsi"/>
          <w:sz w:val="20"/>
          <w:szCs w:val="20"/>
        </w:rPr>
        <w:t xml:space="preserve"> </w:t>
      </w:r>
      <w:r w:rsidR="00F81886" w:rsidRPr="00C61678">
        <w:rPr>
          <w:rFonts w:cstheme="minorHAnsi"/>
          <w:b/>
          <w:bCs/>
          <w:sz w:val="20"/>
          <w:szCs w:val="20"/>
        </w:rPr>
        <w:t>expon</w:t>
      </w:r>
      <w:r w:rsidR="009D70F0" w:rsidRPr="00C61678">
        <w:rPr>
          <w:rFonts w:cstheme="minorHAnsi"/>
          <w:b/>
          <w:bCs/>
          <w:sz w:val="20"/>
          <w:szCs w:val="20"/>
        </w:rPr>
        <w:t>iendo</w:t>
      </w:r>
      <w:r w:rsidR="00F81886" w:rsidRPr="00C61678">
        <w:rPr>
          <w:rFonts w:cstheme="minorHAnsi"/>
          <w:b/>
          <w:bCs/>
          <w:sz w:val="20"/>
          <w:szCs w:val="20"/>
        </w:rPr>
        <w:t xml:space="preserve"> a las mujeres y a las niñas embarazadas a riesgos potencialmente mortales que podrían ser evitados si pudieran acceder a un aborto seguro</w:t>
      </w:r>
      <w:r w:rsidR="004C5D68" w:rsidRPr="00C61678">
        <w:rPr>
          <w:rStyle w:val="EndnoteReference"/>
          <w:rFonts w:asciiTheme="minorHAnsi" w:hAnsiTheme="minorHAnsi" w:cstheme="minorHAnsi"/>
          <w:b w:val="0"/>
          <w:bCs/>
          <w:sz w:val="20"/>
          <w:szCs w:val="20"/>
        </w:rPr>
        <w:endnoteReference w:id="30"/>
      </w:r>
      <w:r w:rsidR="00A40EE2" w:rsidRPr="00C61678">
        <w:rPr>
          <w:rFonts w:cstheme="minorHAnsi"/>
          <w:sz w:val="20"/>
          <w:szCs w:val="20"/>
        </w:rPr>
        <w:t>.</w:t>
      </w:r>
      <w:r w:rsidR="00A40EE2" w:rsidRPr="00C61678">
        <w:rPr>
          <w:rFonts w:cstheme="minorHAnsi"/>
          <w:b/>
          <w:bCs/>
          <w:sz w:val="20"/>
          <w:szCs w:val="20"/>
        </w:rPr>
        <w:t xml:space="preserve"> </w:t>
      </w:r>
      <w:r w:rsidR="009D70F0" w:rsidRPr="00C61678">
        <w:rPr>
          <w:rFonts w:cstheme="minorHAnsi"/>
          <w:sz w:val="20"/>
          <w:szCs w:val="20"/>
        </w:rPr>
        <w:t>De hecho, como este</w:t>
      </w:r>
      <w:r w:rsidR="00A40EE2" w:rsidRPr="00C61678">
        <w:rPr>
          <w:rFonts w:cstheme="minorHAnsi"/>
          <w:sz w:val="20"/>
          <w:szCs w:val="20"/>
        </w:rPr>
        <w:t xml:space="preserve"> Comité ha señalado</w:t>
      </w:r>
      <w:r w:rsidR="009D70F0" w:rsidRPr="00C61678">
        <w:rPr>
          <w:rFonts w:cstheme="minorHAnsi"/>
          <w:sz w:val="20"/>
          <w:szCs w:val="20"/>
        </w:rPr>
        <w:t>,</w:t>
      </w:r>
      <w:r w:rsidR="00D24902" w:rsidRPr="00C61678">
        <w:rPr>
          <w:rFonts w:cstheme="minorHAnsi"/>
          <w:sz w:val="20"/>
          <w:szCs w:val="20"/>
        </w:rPr>
        <w:t xml:space="preserve"> la</w:t>
      </w:r>
      <w:r w:rsidR="009D70F0" w:rsidRPr="00C61678">
        <w:rPr>
          <w:rFonts w:cstheme="minorHAnsi"/>
          <w:sz w:val="20"/>
          <w:szCs w:val="20"/>
        </w:rPr>
        <w:t xml:space="preserve"> </w:t>
      </w:r>
      <w:r w:rsidR="00D24902" w:rsidRPr="00C61678">
        <w:rPr>
          <w:rFonts w:cstheme="minorHAnsi"/>
          <w:sz w:val="20"/>
          <w:szCs w:val="20"/>
        </w:rPr>
        <w:t>negativa a practicar abortos, así como los índices de abortos ilegales, son causa muchas veces de mortalidad y morbilidad materna</w:t>
      </w:r>
      <w:r w:rsidR="004C5D68" w:rsidRPr="00C61678">
        <w:rPr>
          <w:rStyle w:val="EndnoteReference"/>
          <w:rFonts w:asciiTheme="minorHAnsi" w:hAnsiTheme="minorHAnsi" w:cstheme="minorHAnsi"/>
          <w:b w:val="0"/>
          <w:sz w:val="20"/>
          <w:szCs w:val="20"/>
        </w:rPr>
        <w:endnoteReference w:id="31"/>
      </w:r>
      <w:r w:rsidR="00D670FF" w:rsidRPr="00C61678">
        <w:rPr>
          <w:rFonts w:cstheme="minorHAnsi"/>
          <w:sz w:val="20"/>
          <w:szCs w:val="20"/>
        </w:rPr>
        <w:t xml:space="preserve"> y de acu</w:t>
      </w:r>
      <w:r w:rsidR="009F5DD8" w:rsidRPr="00C61678">
        <w:rPr>
          <w:rFonts w:cstheme="minorHAnsi"/>
          <w:sz w:val="20"/>
          <w:szCs w:val="20"/>
        </w:rPr>
        <w:t>erdo con la Organización Mundial de la Salud, las muertes producto de abortos inseguros o por falta de acceso a servicios de salud reproductiva son completamente evitables</w:t>
      </w:r>
      <w:r w:rsidR="00747DA0" w:rsidRPr="00C61678">
        <w:rPr>
          <w:rStyle w:val="EndnoteReference"/>
          <w:rFonts w:cstheme="minorHAnsi"/>
          <w:b w:val="0"/>
          <w:bCs/>
          <w:sz w:val="20"/>
          <w:szCs w:val="20"/>
        </w:rPr>
        <w:endnoteReference w:id="32"/>
      </w:r>
      <w:r w:rsidR="009F5DD8" w:rsidRPr="00C61678">
        <w:rPr>
          <w:rFonts w:cstheme="minorHAnsi"/>
          <w:sz w:val="20"/>
          <w:szCs w:val="20"/>
        </w:rPr>
        <w:t xml:space="preserve">. </w:t>
      </w:r>
    </w:p>
    <w:p w14:paraId="2A4CEF71" w14:textId="785AF09C" w:rsidR="00083734" w:rsidRPr="00C61678" w:rsidRDefault="00EE3F06" w:rsidP="005E726C">
      <w:pPr>
        <w:pStyle w:val="TextoCarta"/>
        <w:numPr>
          <w:ilvl w:val="0"/>
          <w:numId w:val="17"/>
        </w:numPr>
        <w:ind w:left="284"/>
        <w:rPr>
          <w:rFonts w:cstheme="minorHAnsi"/>
          <w:sz w:val="20"/>
          <w:szCs w:val="20"/>
        </w:rPr>
      </w:pPr>
      <w:r w:rsidRPr="00C61678">
        <w:rPr>
          <w:rFonts w:cstheme="minorHAnsi"/>
          <w:sz w:val="20"/>
          <w:szCs w:val="20"/>
        </w:rPr>
        <w:t xml:space="preserve">Lo anterior es de extremo problemático </w:t>
      </w:r>
      <w:r w:rsidR="00083734" w:rsidRPr="00C61678">
        <w:rPr>
          <w:rFonts w:cstheme="minorHAnsi"/>
          <w:sz w:val="20"/>
          <w:szCs w:val="20"/>
        </w:rPr>
        <w:t xml:space="preserve">sobre todo en casos de embarazo forzado en niñas y adolescentes producto de violación </w:t>
      </w:r>
      <w:r w:rsidRPr="00C61678">
        <w:rPr>
          <w:rFonts w:cstheme="minorHAnsi"/>
          <w:sz w:val="20"/>
          <w:szCs w:val="20"/>
        </w:rPr>
        <w:t xml:space="preserve">por cuanto la evidencia ha </w:t>
      </w:r>
      <w:r w:rsidR="00D658E2" w:rsidRPr="00C61678">
        <w:rPr>
          <w:rFonts w:cstheme="minorHAnsi"/>
          <w:sz w:val="20"/>
          <w:szCs w:val="20"/>
        </w:rPr>
        <w:t>demostrado</w:t>
      </w:r>
      <w:r w:rsidRPr="00C61678">
        <w:rPr>
          <w:rFonts w:cstheme="minorHAnsi"/>
          <w:sz w:val="20"/>
          <w:szCs w:val="20"/>
        </w:rPr>
        <w:t xml:space="preserve"> que </w:t>
      </w:r>
      <w:r w:rsidR="00083734" w:rsidRPr="00C61678">
        <w:rPr>
          <w:rFonts w:cstheme="minorHAnsi"/>
          <w:sz w:val="20"/>
          <w:szCs w:val="20"/>
        </w:rPr>
        <w:t>esto</w:t>
      </w:r>
      <w:r w:rsidRPr="00C61678">
        <w:rPr>
          <w:rFonts w:cstheme="minorHAnsi"/>
          <w:sz w:val="20"/>
          <w:szCs w:val="20"/>
        </w:rPr>
        <w:t>s embarazos no deseados</w:t>
      </w:r>
      <w:r w:rsidR="00083734" w:rsidRPr="00C61678">
        <w:rPr>
          <w:rFonts w:cstheme="minorHAnsi"/>
          <w:sz w:val="20"/>
          <w:szCs w:val="20"/>
        </w:rPr>
        <w:t xml:space="preserve"> y </w:t>
      </w:r>
      <w:r w:rsidRPr="00C61678">
        <w:rPr>
          <w:rFonts w:cstheme="minorHAnsi"/>
          <w:sz w:val="20"/>
          <w:szCs w:val="20"/>
        </w:rPr>
        <w:t>las</w:t>
      </w:r>
      <w:r w:rsidR="00083734" w:rsidRPr="00C61678">
        <w:rPr>
          <w:rFonts w:cstheme="minorHAnsi"/>
          <w:sz w:val="20"/>
          <w:szCs w:val="20"/>
        </w:rPr>
        <w:t xml:space="preserve"> consecuentes</w:t>
      </w:r>
      <w:r w:rsidRPr="00C61678">
        <w:rPr>
          <w:rFonts w:cstheme="minorHAnsi"/>
          <w:sz w:val="20"/>
          <w:szCs w:val="20"/>
        </w:rPr>
        <w:t xml:space="preserve"> maternidades forzadas</w:t>
      </w:r>
      <w:r w:rsidR="00083734" w:rsidRPr="00C61678">
        <w:rPr>
          <w:rFonts w:cstheme="minorHAnsi"/>
          <w:sz w:val="20"/>
          <w:szCs w:val="20"/>
        </w:rPr>
        <w:t xml:space="preserve">, </w:t>
      </w:r>
      <w:r w:rsidR="005E726C" w:rsidRPr="00C61678">
        <w:rPr>
          <w:rFonts w:cstheme="minorHAnsi"/>
          <w:sz w:val="20"/>
          <w:szCs w:val="20"/>
        </w:rPr>
        <w:t xml:space="preserve">producen </w:t>
      </w:r>
      <w:r w:rsidRPr="00C61678">
        <w:rPr>
          <w:rFonts w:cstheme="minorHAnsi"/>
          <w:sz w:val="20"/>
          <w:szCs w:val="20"/>
        </w:rPr>
        <w:t>afectaciones graves para la salud física y mental</w:t>
      </w:r>
      <w:r w:rsidR="005E726C" w:rsidRPr="00C61678">
        <w:rPr>
          <w:rFonts w:cstheme="minorHAnsi"/>
          <w:sz w:val="20"/>
          <w:szCs w:val="20"/>
        </w:rPr>
        <w:t xml:space="preserve"> y </w:t>
      </w:r>
      <w:r w:rsidRPr="00C61678">
        <w:rPr>
          <w:rFonts w:cstheme="minorHAnsi"/>
          <w:sz w:val="20"/>
          <w:szCs w:val="20"/>
        </w:rPr>
        <w:t>afectan de manera perjudicial y definitiva todas las esferas de la vida de una persona, incluyendo su salud emocional y social, así como los proyectos de vida y su futuro</w:t>
      </w:r>
      <w:r w:rsidR="00894F2B" w:rsidRPr="00C61678">
        <w:rPr>
          <w:rStyle w:val="EndnoteReference"/>
          <w:rFonts w:asciiTheme="minorHAnsi" w:hAnsiTheme="minorHAnsi" w:cstheme="minorHAnsi"/>
          <w:b w:val="0"/>
          <w:bCs/>
          <w:sz w:val="20"/>
          <w:szCs w:val="20"/>
        </w:rPr>
        <w:endnoteReference w:id="33"/>
      </w:r>
      <w:r w:rsidRPr="00C61678">
        <w:rPr>
          <w:rFonts w:cstheme="minorHAnsi"/>
          <w:sz w:val="20"/>
          <w:szCs w:val="20"/>
        </w:rPr>
        <w:t xml:space="preserve">. </w:t>
      </w:r>
      <w:r w:rsidR="005E726C" w:rsidRPr="00C61678">
        <w:rPr>
          <w:rFonts w:cstheme="minorHAnsi"/>
          <w:sz w:val="20"/>
          <w:szCs w:val="20"/>
        </w:rPr>
        <w:t>Por ejemplo, las complicaciones durante el embarazo y el parto son la segunda causa de muerte entre las adolescentes de 15 a 19 años en todo el mundo</w:t>
      </w:r>
      <w:r w:rsidR="005E726C" w:rsidRPr="00C61678">
        <w:rPr>
          <w:rStyle w:val="EndnoteReference"/>
          <w:rFonts w:asciiTheme="minorHAnsi" w:hAnsiTheme="minorHAnsi" w:cstheme="minorHAnsi"/>
          <w:sz w:val="20"/>
          <w:szCs w:val="20"/>
        </w:rPr>
        <w:endnoteReference w:id="34"/>
      </w:r>
      <w:r w:rsidR="005E726C" w:rsidRPr="00C61678">
        <w:rPr>
          <w:rFonts w:cstheme="minorHAnsi"/>
          <w:sz w:val="20"/>
          <w:szCs w:val="20"/>
        </w:rPr>
        <w:t xml:space="preserve"> y el riesgo de muerte por las complicaciones relacionadas con el embarazo son aún mayores para las niñas menores de 15 años.</w:t>
      </w:r>
      <w:r w:rsidR="005E726C" w:rsidRPr="00480D16">
        <w:rPr>
          <w:rStyle w:val="EndnoteReference"/>
          <w:rFonts w:asciiTheme="minorHAnsi" w:hAnsiTheme="minorHAnsi" w:cstheme="minorHAnsi"/>
          <w:b w:val="0"/>
          <w:bCs/>
          <w:sz w:val="20"/>
          <w:szCs w:val="20"/>
        </w:rPr>
        <w:endnoteReference w:id="35"/>
      </w:r>
      <w:r w:rsidR="005E726C" w:rsidRPr="00480D16">
        <w:rPr>
          <w:rFonts w:cstheme="minorHAnsi"/>
          <w:b/>
          <w:bCs/>
          <w:sz w:val="20"/>
          <w:szCs w:val="20"/>
        </w:rPr>
        <w:t xml:space="preserve"> </w:t>
      </w:r>
    </w:p>
    <w:p w14:paraId="3902719C" w14:textId="1EED6E8D" w:rsidR="00083734" w:rsidRPr="00C61678" w:rsidRDefault="00083734" w:rsidP="001850D8">
      <w:pPr>
        <w:pStyle w:val="TextoCarta"/>
        <w:numPr>
          <w:ilvl w:val="0"/>
          <w:numId w:val="17"/>
        </w:numPr>
        <w:ind w:left="284"/>
        <w:rPr>
          <w:rFonts w:cstheme="minorHAnsi"/>
          <w:sz w:val="20"/>
          <w:szCs w:val="20"/>
        </w:rPr>
      </w:pPr>
      <w:r w:rsidRPr="00C61678">
        <w:rPr>
          <w:rFonts w:cstheme="minorHAnsi"/>
          <w:b/>
          <w:bCs/>
          <w:sz w:val="20"/>
          <w:szCs w:val="20"/>
        </w:rPr>
        <w:t>En</w:t>
      </w:r>
      <w:r w:rsidR="005E726C" w:rsidRPr="00C61678">
        <w:rPr>
          <w:rFonts w:cstheme="minorHAnsi"/>
          <w:b/>
          <w:bCs/>
          <w:sz w:val="20"/>
          <w:szCs w:val="20"/>
        </w:rPr>
        <w:t xml:space="preserve"> Guatemala</w:t>
      </w:r>
      <w:r w:rsidRPr="00C61678">
        <w:rPr>
          <w:rFonts w:cstheme="minorHAnsi"/>
          <w:b/>
          <w:bCs/>
          <w:sz w:val="20"/>
          <w:szCs w:val="20"/>
        </w:rPr>
        <w:t xml:space="preserve"> específicamente,</w:t>
      </w:r>
      <w:r w:rsidR="005E726C" w:rsidRPr="00C61678">
        <w:rPr>
          <w:rFonts w:cstheme="minorHAnsi"/>
          <w:b/>
          <w:bCs/>
          <w:sz w:val="20"/>
          <w:szCs w:val="20"/>
        </w:rPr>
        <w:t xml:space="preserve"> las niñas menores de 15 años siguen siendo el grupo que mayor riesgo de muerte afronta con el embarazo</w:t>
      </w:r>
      <w:r w:rsidR="005E726C" w:rsidRPr="00C61678">
        <w:rPr>
          <w:rStyle w:val="EndnoteReference"/>
          <w:rFonts w:asciiTheme="minorHAnsi" w:hAnsiTheme="minorHAnsi" w:cstheme="minorHAnsi"/>
          <w:sz w:val="20"/>
          <w:szCs w:val="20"/>
        </w:rPr>
        <w:endnoteReference w:id="36"/>
      </w:r>
      <w:r w:rsidRPr="00C61678">
        <w:rPr>
          <w:rFonts w:cstheme="minorHAnsi"/>
          <w:sz w:val="20"/>
          <w:szCs w:val="20"/>
        </w:rPr>
        <w:t xml:space="preserve"> </w:t>
      </w:r>
      <w:r w:rsidRPr="00C61678">
        <w:rPr>
          <w:rFonts w:cstheme="minorHAnsi"/>
          <w:b/>
          <w:bCs/>
          <w:sz w:val="20"/>
          <w:szCs w:val="20"/>
        </w:rPr>
        <w:t>y</w:t>
      </w:r>
      <w:r w:rsidRPr="00C61678">
        <w:rPr>
          <w:rFonts w:cstheme="minorHAnsi"/>
          <w:sz w:val="20"/>
          <w:szCs w:val="20"/>
        </w:rPr>
        <w:t xml:space="preserve"> </w:t>
      </w:r>
      <w:r w:rsidRPr="00C61678">
        <w:rPr>
          <w:rFonts w:cstheme="minorHAnsi"/>
          <w:b/>
          <w:bCs/>
          <w:sz w:val="20"/>
          <w:szCs w:val="20"/>
        </w:rPr>
        <w:t>la atención de la salud de las niñas víctimas de violación sexual, embarazadas y madres en Guatemala es deficiente</w:t>
      </w:r>
      <w:r w:rsidRPr="00C61678">
        <w:rPr>
          <w:rFonts w:cstheme="minorHAnsi"/>
          <w:sz w:val="20"/>
          <w:szCs w:val="20"/>
        </w:rPr>
        <w:t xml:space="preserve">. En efecto, como se mencionó </w:t>
      </w:r>
      <w:r w:rsidRPr="00C61678">
        <w:rPr>
          <w:rFonts w:cstheme="minorHAnsi"/>
          <w:i/>
          <w:iCs/>
          <w:sz w:val="20"/>
          <w:szCs w:val="20"/>
        </w:rPr>
        <w:t>supra</w:t>
      </w:r>
      <w:r w:rsidR="00480D16">
        <w:rPr>
          <w:rFonts w:cstheme="minorHAnsi"/>
          <w:i/>
          <w:iCs/>
          <w:sz w:val="20"/>
          <w:szCs w:val="20"/>
        </w:rPr>
        <w:t>,</w:t>
      </w:r>
      <w:r w:rsidRPr="00C61678">
        <w:rPr>
          <w:rFonts w:cstheme="minorHAnsi"/>
          <w:sz w:val="20"/>
          <w:szCs w:val="20"/>
        </w:rPr>
        <w:t xml:space="preserve"> toda relación sexual con una persona menor de 14 años se considera violación</w:t>
      </w:r>
      <w:r w:rsidRPr="00480D16">
        <w:rPr>
          <w:rStyle w:val="EndnoteReference"/>
          <w:rFonts w:asciiTheme="minorHAnsi" w:hAnsiTheme="minorHAnsi" w:cstheme="minorHAnsi"/>
          <w:b w:val="0"/>
          <w:bCs/>
          <w:sz w:val="20"/>
          <w:szCs w:val="20"/>
        </w:rPr>
        <w:endnoteReference w:id="37"/>
      </w:r>
      <w:r w:rsidRPr="00C61678">
        <w:rPr>
          <w:rFonts w:cstheme="minorHAnsi"/>
          <w:sz w:val="20"/>
          <w:szCs w:val="20"/>
        </w:rPr>
        <w:t>,</w:t>
      </w:r>
      <w:r w:rsidR="00D658E2">
        <w:rPr>
          <w:rFonts w:cstheme="minorHAnsi"/>
          <w:sz w:val="20"/>
          <w:szCs w:val="20"/>
        </w:rPr>
        <w:t xml:space="preserve"> </w:t>
      </w:r>
      <w:r w:rsidRPr="00C61678">
        <w:rPr>
          <w:rFonts w:cstheme="minorHAnsi"/>
          <w:sz w:val="20"/>
          <w:szCs w:val="20"/>
        </w:rPr>
        <w:t>y aunque se emitió el Protocolo para la atención de víctimas/sobrevivientes de violencia sexual (actualizado en 2017)</w:t>
      </w:r>
      <w:r w:rsidRPr="00480D16">
        <w:rPr>
          <w:rStyle w:val="EndnoteReference"/>
          <w:rFonts w:asciiTheme="minorHAnsi" w:hAnsiTheme="minorHAnsi" w:cstheme="minorHAnsi"/>
          <w:b w:val="0"/>
          <w:bCs/>
          <w:sz w:val="20"/>
          <w:szCs w:val="20"/>
        </w:rPr>
        <w:endnoteReference w:id="38"/>
      </w:r>
      <w:r w:rsidR="00480D16">
        <w:rPr>
          <w:rFonts w:cstheme="minorHAnsi"/>
          <w:sz w:val="20"/>
          <w:szCs w:val="20"/>
        </w:rPr>
        <w:t>,</w:t>
      </w:r>
      <w:r w:rsidRPr="00C61678">
        <w:rPr>
          <w:rFonts w:cstheme="minorHAnsi"/>
          <w:sz w:val="20"/>
          <w:szCs w:val="20"/>
        </w:rPr>
        <w:t xml:space="preserve"> </w:t>
      </w:r>
      <w:r w:rsidRPr="00C61678">
        <w:rPr>
          <w:rFonts w:cstheme="minorHAnsi"/>
          <w:sz w:val="20"/>
          <w:szCs w:val="20"/>
          <w:u w:val="single"/>
        </w:rPr>
        <w:t>no existen previsiones adecuadas para el abordaje de estos casos</w:t>
      </w:r>
      <w:r w:rsidR="008619BA" w:rsidRPr="00C61678">
        <w:rPr>
          <w:rFonts w:cstheme="minorHAnsi"/>
          <w:sz w:val="20"/>
          <w:szCs w:val="20"/>
          <w:u w:val="single"/>
        </w:rPr>
        <w:t>.</w:t>
      </w:r>
      <w:r w:rsidR="008619BA" w:rsidRPr="00C61678">
        <w:rPr>
          <w:rFonts w:cstheme="minorHAnsi"/>
          <w:sz w:val="20"/>
          <w:szCs w:val="20"/>
        </w:rPr>
        <w:t xml:space="preserve"> Por un lado, el </w:t>
      </w:r>
      <w:r w:rsidRPr="00C61678">
        <w:rPr>
          <w:rFonts w:cstheme="minorHAnsi"/>
          <w:sz w:val="20"/>
          <w:szCs w:val="20"/>
        </w:rPr>
        <w:t>protocolo</w:t>
      </w:r>
      <w:r w:rsidR="00956B12" w:rsidRPr="00C61678">
        <w:rPr>
          <w:rFonts w:cstheme="minorHAnsi"/>
          <w:sz w:val="20"/>
          <w:szCs w:val="20"/>
        </w:rPr>
        <w:t xml:space="preserve"> s</w:t>
      </w:r>
      <w:r w:rsidRPr="00C61678">
        <w:rPr>
          <w:rFonts w:cstheme="minorHAnsi"/>
          <w:sz w:val="20"/>
          <w:szCs w:val="20"/>
        </w:rPr>
        <w:t>e centra en la atención posterior al hecho violento</w:t>
      </w:r>
      <w:r w:rsidR="008619BA" w:rsidRPr="00C61678">
        <w:rPr>
          <w:rFonts w:cstheme="minorHAnsi"/>
          <w:sz w:val="20"/>
          <w:szCs w:val="20"/>
        </w:rPr>
        <w:t xml:space="preserve">, mientras que </w:t>
      </w:r>
      <w:r w:rsidRPr="00C61678">
        <w:rPr>
          <w:rFonts w:cstheme="minorHAnsi"/>
          <w:sz w:val="20"/>
          <w:szCs w:val="20"/>
        </w:rPr>
        <w:t xml:space="preserve">la mayoría de las niñas no solicitan atención inmediata, ya que sufren violencia reiterada y en más del 90% de los casos el agresor pertenece a su familia o allegados. </w:t>
      </w:r>
      <w:r w:rsidR="008619BA" w:rsidRPr="00C61678">
        <w:rPr>
          <w:rFonts w:cstheme="minorHAnsi"/>
          <w:sz w:val="20"/>
          <w:szCs w:val="20"/>
        </w:rPr>
        <w:t xml:space="preserve">Por otro lado, como se mencionó </w:t>
      </w:r>
      <w:r w:rsidR="001850D8" w:rsidRPr="00C61678">
        <w:rPr>
          <w:rFonts w:cstheme="minorHAnsi"/>
          <w:i/>
          <w:iCs/>
          <w:sz w:val="20"/>
          <w:szCs w:val="20"/>
        </w:rPr>
        <w:t>supra</w:t>
      </w:r>
      <w:r w:rsidR="00480D16">
        <w:rPr>
          <w:rFonts w:cstheme="minorHAnsi"/>
          <w:sz w:val="20"/>
          <w:szCs w:val="20"/>
        </w:rPr>
        <w:t>,</w:t>
      </w:r>
      <w:r w:rsidR="001850D8" w:rsidRPr="00C61678">
        <w:rPr>
          <w:rFonts w:cstheme="minorHAnsi"/>
          <w:sz w:val="20"/>
          <w:szCs w:val="20"/>
        </w:rPr>
        <w:t xml:space="preserve"> no se prevé el acceso al aborto como uno de los servicios esenciales que se le debe garantizar a una mujer o niña víctima de violación sexual. Esto </w:t>
      </w:r>
      <w:r w:rsidRPr="00C61678">
        <w:rPr>
          <w:rFonts w:cstheme="minorHAnsi"/>
          <w:sz w:val="20"/>
          <w:szCs w:val="20"/>
        </w:rPr>
        <w:t xml:space="preserve">es contrario </w:t>
      </w:r>
      <w:r w:rsidR="001850D8" w:rsidRPr="00C61678">
        <w:rPr>
          <w:rFonts w:cstheme="minorHAnsi"/>
          <w:sz w:val="20"/>
          <w:szCs w:val="20"/>
        </w:rPr>
        <w:t>tanto a</w:t>
      </w:r>
      <w:r w:rsidRPr="00C61678">
        <w:rPr>
          <w:rFonts w:cstheme="minorHAnsi"/>
          <w:sz w:val="20"/>
          <w:szCs w:val="20"/>
        </w:rPr>
        <w:t xml:space="preserve"> los estándares internacionales de los órganos de tratado que</w:t>
      </w:r>
      <w:r w:rsidR="00705099">
        <w:rPr>
          <w:rFonts w:cstheme="minorHAnsi"/>
          <w:sz w:val="20"/>
          <w:szCs w:val="20"/>
        </w:rPr>
        <w:t xml:space="preserve"> reiteran que, </w:t>
      </w:r>
      <w:r w:rsidRPr="00C61678">
        <w:rPr>
          <w:rFonts w:cstheme="minorHAnsi"/>
          <w:sz w:val="20"/>
          <w:szCs w:val="20"/>
        </w:rPr>
        <w:t xml:space="preserve">mínimamente, los Estados </w:t>
      </w:r>
      <w:r w:rsidR="00705099">
        <w:rPr>
          <w:rFonts w:cstheme="minorHAnsi"/>
          <w:sz w:val="20"/>
          <w:szCs w:val="20"/>
        </w:rPr>
        <w:t>deben</w:t>
      </w:r>
      <w:r w:rsidRPr="00C61678">
        <w:rPr>
          <w:rFonts w:cstheme="minorHAnsi"/>
          <w:sz w:val="20"/>
          <w:szCs w:val="20"/>
        </w:rPr>
        <w:t xml:space="preserve"> garantizar el acceso al aborto para casos de violación sexual y afectaciones para la salud y vida de la mujer o niñas (ver, </w:t>
      </w:r>
      <w:r w:rsidRPr="00C61678">
        <w:rPr>
          <w:rFonts w:cstheme="minorHAnsi"/>
          <w:i/>
          <w:iCs/>
          <w:sz w:val="20"/>
          <w:szCs w:val="20"/>
        </w:rPr>
        <w:t>infra</w:t>
      </w:r>
      <w:r w:rsidRPr="00C61678">
        <w:rPr>
          <w:rFonts w:cstheme="minorHAnsi"/>
          <w:sz w:val="20"/>
          <w:szCs w:val="20"/>
        </w:rPr>
        <w:t xml:space="preserve">); </w:t>
      </w:r>
      <w:r w:rsidR="001850D8" w:rsidRPr="00C61678">
        <w:rPr>
          <w:rFonts w:cstheme="minorHAnsi"/>
          <w:sz w:val="20"/>
          <w:szCs w:val="20"/>
        </w:rPr>
        <w:t>como a</w:t>
      </w:r>
      <w:r w:rsidRPr="00C61678">
        <w:rPr>
          <w:rFonts w:cstheme="minorHAnsi"/>
          <w:sz w:val="20"/>
          <w:szCs w:val="20"/>
        </w:rPr>
        <w:t xml:space="preserve"> las recomendaciones clínicas de la OMS para la atención de casos de violación en niñas y adolescentes en donde se establece que se debe garantizar tanto el acceso a la  anticoncepción de emergencia</w:t>
      </w:r>
      <w:r w:rsidR="008447D3">
        <w:rPr>
          <w:rFonts w:cstheme="minorHAnsi"/>
          <w:sz w:val="20"/>
          <w:szCs w:val="20"/>
        </w:rPr>
        <w:t xml:space="preserve">, como </w:t>
      </w:r>
      <w:r w:rsidRPr="00C61678">
        <w:rPr>
          <w:rFonts w:cstheme="minorHAnsi"/>
          <w:sz w:val="20"/>
          <w:szCs w:val="20"/>
        </w:rPr>
        <w:t>también al aborto seguro en casos de embarazo no deseado producto de la violación</w:t>
      </w:r>
      <w:r w:rsidRPr="00480D16">
        <w:rPr>
          <w:rStyle w:val="EndnoteReference"/>
          <w:rFonts w:asciiTheme="minorHAnsi" w:hAnsiTheme="minorHAnsi" w:cstheme="minorHAnsi"/>
          <w:b w:val="0"/>
          <w:bCs/>
          <w:sz w:val="20"/>
          <w:szCs w:val="20"/>
        </w:rPr>
        <w:endnoteReference w:id="39"/>
      </w:r>
      <w:r w:rsidRPr="00480D16">
        <w:rPr>
          <w:rFonts w:cstheme="minorHAnsi"/>
          <w:b/>
          <w:bCs/>
          <w:sz w:val="20"/>
          <w:szCs w:val="20"/>
        </w:rPr>
        <w:t>.</w:t>
      </w:r>
    </w:p>
    <w:p w14:paraId="25D305A2" w14:textId="1FC2021E" w:rsidR="00F81886" w:rsidRPr="00C61678" w:rsidRDefault="00F81886" w:rsidP="00DF48BB">
      <w:pPr>
        <w:pStyle w:val="TextoCarta"/>
        <w:numPr>
          <w:ilvl w:val="0"/>
          <w:numId w:val="17"/>
        </w:numPr>
        <w:ind w:left="284"/>
        <w:rPr>
          <w:rFonts w:cstheme="minorHAnsi"/>
          <w:b/>
          <w:bCs/>
          <w:sz w:val="20"/>
          <w:szCs w:val="20"/>
          <w:lang w:val="es-ES"/>
        </w:rPr>
      </w:pPr>
      <w:r w:rsidRPr="00C61678">
        <w:rPr>
          <w:rFonts w:cstheme="minorHAnsi"/>
          <w:sz w:val="20"/>
          <w:szCs w:val="20"/>
        </w:rPr>
        <w:t>Un ejemplo que muestra</w:t>
      </w:r>
      <w:r w:rsidR="008447D3">
        <w:rPr>
          <w:rFonts w:cstheme="minorHAnsi"/>
          <w:sz w:val="20"/>
          <w:szCs w:val="20"/>
        </w:rPr>
        <w:t xml:space="preserve"> el</w:t>
      </w:r>
      <w:r w:rsidRPr="00C61678">
        <w:rPr>
          <w:rFonts w:cstheme="minorHAnsi"/>
          <w:sz w:val="20"/>
          <w:szCs w:val="20"/>
        </w:rPr>
        <w:t xml:space="preserve"> impacto real que tiene actualmente la restricción de las leyes de aborto y </w:t>
      </w:r>
      <w:r w:rsidR="00C11E32">
        <w:rPr>
          <w:rFonts w:cstheme="minorHAnsi"/>
          <w:sz w:val="20"/>
          <w:szCs w:val="20"/>
        </w:rPr>
        <w:t>el</w:t>
      </w:r>
      <w:r w:rsidRPr="00C61678">
        <w:rPr>
          <w:rFonts w:cstheme="minorHAnsi"/>
          <w:sz w:val="20"/>
          <w:szCs w:val="20"/>
        </w:rPr>
        <w:t xml:space="preserve"> poco acompañamiento que se les da a las mujeres víctimas de abuso y violencia sexual en Guatemala es el caso de Juana,</w:t>
      </w:r>
      <w:r w:rsidRPr="00C61678">
        <w:rPr>
          <w:rStyle w:val="EndnoteReference"/>
          <w:rFonts w:asciiTheme="minorHAnsi" w:hAnsiTheme="minorHAnsi" w:cstheme="minorHAnsi"/>
          <w:b w:val="0"/>
          <w:bCs/>
          <w:sz w:val="20"/>
          <w:szCs w:val="20"/>
        </w:rPr>
        <w:endnoteReference w:id="40"/>
      </w:r>
      <w:r w:rsidRPr="00C61678">
        <w:rPr>
          <w:rFonts w:cstheme="minorHAnsi"/>
          <w:sz w:val="20"/>
          <w:szCs w:val="20"/>
        </w:rPr>
        <w:t xml:space="preserve"> una niña indígena del Departamento de Alta Verapaz en Guatemala. Juana fue víctima de violencia sexual desde los 12 años por parte de su medio hermano y a los 13 años quedó embarazada como producto de una de las violaciones.</w:t>
      </w:r>
      <w:r w:rsidRPr="00480D16">
        <w:rPr>
          <w:rStyle w:val="EndnoteReference"/>
          <w:rFonts w:asciiTheme="minorHAnsi" w:hAnsiTheme="minorHAnsi" w:cstheme="minorHAnsi"/>
          <w:b w:val="0"/>
          <w:bCs/>
          <w:sz w:val="20"/>
          <w:szCs w:val="20"/>
        </w:rPr>
        <w:endnoteReference w:id="41"/>
      </w:r>
      <w:r w:rsidR="00876A39" w:rsidRPr="00C61678">
        <w:rPr>
          <w:rFonts w:cstheme="minorHAnsi"/>
          <w:sz w:val="20"/>
          <w:szCs w:val="20"/>
        </w:rPr>
        <w:t xml:space="preserve"> </w:t>
      </w:r>
      <w:r w:rsidRPr="00C61678">
        <w:rPr>
          <w:rFonts w:cstheme="minorHAnsi"/>
          <w:sz w:val="20"/>
          <w:szCs w:val="20"/>
        </w:rPr>
        <w:t xml:space="preserve">Si bien el personal de salud que atendió a Juana sí informó a las autoridades competentes sobre la violación, la decisión de las autoridades fue llevar a Juana a la casa materna "Dulce Espera" en Salamá, Guatemala, y después, con 7 meses de embarazo, trasladarle a un albergue en otro Departamento, para finalmente devolverla a Alta Verapaz, sin embargo, en todo este tiempo no se inició </w:t>
      </w:r>
      <w:r w:rsidRPr="00C61678">
        <w:rPr>
          <w:rFonts w:cstheme="minorHAnsi"/>
          <w:sz w:val="20"/>
          <w:szCs w:val="20"/>
        </w:rPr>
        <w:lastRenderedPageBreak/>
        <w:t>un proceso penal contra el violador</w:t>
      </w:r>
      <w:r w:rsidR="004307F7" w:rsidRPr="00C61678">
        <w:rPr>
          <w:rFonts w:cstheme="minorHAnsi"/>
          <w:sz w:val="20"/>
          <w:szCs w:val="20"/>
        </w:rPr>
        <w:t xml:space="preserve"> y en ningún momento se le ofreció acceso a un aborto u otros servicios de salud sexual y reproductiva, por lo que Juana fue forzada a una maternidad no deseada que irrumpió en </w:t>
      </w:r>
      <w:r w:rsidR="00CD0B15" w:rsidRPr="00C61678">
        <w:rPr>
          <w:rFonts w:cstheme="minorHAnsi"/>
          <w:sz w:val="20"/>
          <w:szCs w:val="20"/>
        </w:rPr>
        <w:t xml:space="preserve">su ciclo educativo y </w:t>
      </w:r>
      <w:r w:rsidR="004307F7" w:rsidRPr="00C61678">
        <w:rPr>
          <w:rFonts w:cstheme="minorHAnsi"/>
          <w:sz w:val="20"/>
          <w:szCs w:val="20"/>
        </w:rPr>
        <w:t>su proyecto de vida.</w:t>
      </w:r>
      <w:r w:rsidRPr="00C61678">
        <w:rPr>
          <w:rFonts w:cstheme="minorHAnsi"/>
          <w:sz w:val="20"/>
          <w:szCs w:val="20"/>
        </w:rPr>
        <w:t xml:space="preserve"> </w:t>
      </w:r>
      <w:r w:rsidR="00845B6A" w:rsidRPr="00C61678">
        <w:rPr>
          <w:rFonts w:cstheme="minorHAnsi"/>
          <w:sz w:val="20"/>
          <w:szCs w:val="20"/>
        </w:rPr>
        <w:t>El caso de Jua</w:t>
      </w:r>
      <w:r w:rsidR="00FB42BF" w:rsidRPr="00C61678">
        <w:rPr>
          <w:rFonts w:cstheme="minorHAnsi"/>
          <w:sz w:val="20"/>
          <w:szCs w:val="20"/>
        </w:rPr>
        <w:t>na</w:t>
      </w:r>
      <w:r w:rsidR="00584298" w:rsidRPr="00C61678">
        <w:rPr>
          <w:rFonts w:cstheme="minorHAnsi"/>
          <w:sz w:val="20"/>
          <w:szCs w:val="20"/>
        </w:rPr>
        <w:t xml:space="preserve">, </w:t>
      </w:r>
      <w:r w:rsidR="00C11E32" w:rsidRPr="00C61678">
        <w:rPr>
          <w:rFonts w:cstheme="minorHAnsi"/>
          <w:sz w:val="20"/>
          <w:szCs w:val="20"/>
        </w:rPr>
        <w:t>desafortunadamente</w:t>
      </w:r>
      <w:r w:rsidR="00584298" w:rsidRPr="00C61678">
        <w:rPr>
          <w:rFonts w:cstheme="minorHAnsi"/>
          <w:sz w:val="20"/>
          <w:szCs w:val="20"/>
        </w:rPr>
        <w:t>,</w:t>
      </w:r>
      <w:r w:rsidR="00845B6A" w:rsidRPr="00C61678">
        <w:rPr>
          <w:rFonts w:cstheme="minorHAnsi"/>
          <w:sz w:val="20"/>
          <w:szCs w:val="20"/>
        </w:rPr>
        <w:t xml:space="preserve"> es uno entre miles que ocurren en Guatemala</w:t>
      </w:r>
      <w:r w:rsidR="00584298" w:rsidRPr="00C61678">
        <w:rPr>
          <w:rFonts w:cstheme="minorHAnsi"/>
          <w:sz w:val="20"/>
          <w:szCs w:val="20"/>
        </w:rPr>
        <w:t xml:space="preserve"> como se refirió </w:t>
      </w:r>
      <w:r w:rsidR="00584298" w:rsidRPr="00C61678">
        <w:rPr>
          <w:rFonts w:cstheme="minorHAnsi"/>
          <w:i/>
          <w:iCs/>
          <w:sz w:val="20"/>
          <w:szCs w:val="20"/>
        </w:rPr>
        <w:t>supra</w:t>
      </w:r>
      <w:r w:rsidR="00DA3476">
        <w:rPr>
          <w:rFonts w:cstheme="minorHAnsi"/>
          <w:i/>
          <w:iCs/>
          <w:sz w:val="20"/>
          <w:szCs w:val="20"/>
        </w:rPr>
        <w:t xml:space="preserve"> </w:t>
      </w:r>
      <w:r w:rsidR="00DA3476">
        <w:rPr>
          <w:rFonts w:cstheme="minorHAnsi"/>
          <w:sz w:val="20"/>
          <w:szCs w:val="20"/>
        </w:rPr>
        <w:t>(</w:t>
      </w:r>
      <w:r w:rsidR="00DA3476" w:rsidRPr="00DA3476">
        <w:rPr>
          <w:rFonts w:cstheme="minorHAnsi"/>
          <w:b/>
          <w:bCs/>
          <w:i/>
          <w:iCs/>
          <w:sz w:val="20"/>
          <w:szCs w:val="20"/>
        </w:rPr>
        <w:t>sección I.b</w:t>
      </w:r>
      <w:r w:rsidR="00DA3476">
        <w:rPr>
          <w:rFonts w:cstheme="minorHAnsi"/>
          <w:sz w:val="20"/>
          <w:szCs w:val="20"/>
        </w:rPr>
        <w:t>)</w:t>
      </w:r>
      <w:r w:rsidR="00845B6A" w:rsidRPr="00C61678">
        <w:rPr>
          <w:rFonts w:cstheme="minorHAnsi"/>
          <w:sz w:val="20"/>
          <w:szCs w:val="20"/>
        </w:rPr>
        <w:t xml:space="preserve">. </w:t>
      </w:r>
    </w:p>
    <w:p w14:paraId="6E3BFDD0" w14:textId="09040362" w:rsidR="00A976B6" w:rsidRPr="00C61678" w:rsidRDefault="003235D9" w:rsidP="0080756A">
      <w:pPr>
        <w:pStyle w:val="Heading2"/>
      </w:pPr>
      <w:r>
        <w:rPr>
          <w:lang w:val="es-ES"/>
        </w:rPr>
        <w:t>La</w:t>
      </w:r>
      <w:r>
        <w:t xml:space="preserve"> falta de</w:t>
      </w:r>
      <w:r w:rsidR="00F7253A" w:rsidRPr="00C61678">
        <w:t xml:space="preserve"> acceso a un aborto seguro para las niñas y mujeres</w:t>
      </w:r>
      <w:r w:rsidR="00A77B37" w:rsidRPr="00C61678">
        <w:t xml:space="preserve"> </w:t>
      </w:r>
      <w:r w:rsidR="008B39D9" w:rsidRPr="00C61678">
        <w:t>enfrentando embarazos forzados</w:t>
      </w:r>
      <w:r>
        <w:t xml:space="preserve"> constituye la violación de múltiples derechos humanos</w:t>
      </w:r>
    </w:p>
    <w:p w14:paraId="2C697CB9" w14:textId="4629D410" w:rsidR="00DF48BB" w:rsidRPr="00C61678" w:rsidRDefault="00A976B6" w:rsidP="00DF48BB">
      <w:pPr>
        <w:pStyle w:val="TextoCarta"/>
        <w:numPr>
          <w:ilvl w:val="0"/>
          <w:numId w:val="17"/>
        </w:numPr>
        <w:ind w:left="284"/>
        <w:rPr>
          <w:rFonts w:cstheme="minorHAnsi"/>
          <w:sz w:val="20"/>
          <w:szCs w:val="20"/>
        </w:rPr>
      </w:pPr>
      <w:r w:rsidRPr="00C61678">
        <w:rPr>
          <w:rFonts w:cstheme="minorHAnsi"/>
          <w:sz w:val="20"/>
          <w:szCs w:val="20"/>
        </w:rPr>
        <w:t xml:space="preserve">El derecho al aborto se encuentra protegido en varios tratados internacionales, entre los que se encuentra el </w:t>
      </w:r>
      <w:r w:rsidRPr="00A055C8">
        <w:rPr>
          <w:rFonts w:cstheme="minorHAnsi"/>
          <w:sz w:val="20"/>
          <w:szCs w:val="20"/>
        </w:rPr>
        <w:t>PIDESC.</w:t>
      </w:r>
      <w:r w:rsidRPr="00C61678">
        <w:rPr>
          <w:rFonts w:cstheme="minorHAnsi"/>
          <w:sz w:val="20"/>
          <w:szCs w:val="20"/>
        </w:rPr>
        <w:t xml:space="preserve">  En particular, </w:t>
      </w:r>
      <w:r w:rsidR="00542E3B">
        <w:rPr>
          <w:rFonts w:cstheme="minorHAnsi"/>
          <w:sz w:val="20"/>
          <w:szCs w:val="20"/>
        </w:rPr>
        <w:t>e</w:t>
      </w:r>
      <w:r w:rsidR="00A055C8">
        <w:rPr>
          <w:rFonts w:cstheme="minorHAnsi"/>
          <w:sz w:val="20"/>
          <w:szCs w:val="20"/>
        </w:rPr>
        <w:t>ste</w:t>
      </w:r>
      <w:r w:rsidR="00542E3B">
        <w:rPr>
          <w:rFonts w:cstheme="minorHAnsi"/>
          <w:sz w:val="20"/>
          <w:szCs w:val="20"/>
        </w:rPr>
        <w:t xml:space="preserve"> </w:t>
      </w:r>
      <w:r w:rsidRPr="00C61678">
        <w:rPr>
          <w:rFonts w:cstheme="minorHAnsi"/>
          <w:sz w:val="20"/>
          <w:szCs w:val="20"/>
        </w:rPr>
        <w:t>Comité</w:t>
      </w:r>
      <w:r w:rsidR="00542E3B">
        <w:rPr>
          <w:rFonts w:cstheme="minorHAnsi"/>
          <w:sz w:val="20"/>
          <w:szCs w:val="20"/>
        </w:rPr>
        <w:t xml:space="preserve"> </w:t>
      </w:r>
      <w:r w:rsidRPr="00C61678">
        <w:rPr>
          <w:rFonts w:cstheme="minorHAnsi"/>
          <w:sz w:val="20"/>
          <w:szCs w:val="20"/>
        </w:rPr>
        <w:t xml:space="preserve">ha establecido que el derecho a la salud, protegido bajo el artículo 12 del PIDESC, incluye la salud </w:t>
      </w:r>
      <w:r w:rsidR="00CD0B15" w:rsidRPr="00C61678">
        <w:rPr>
          <w:rFonts w:cstheme="minorHAnsi"/>
          <w:sz w:val="20"/>
          <w:szCs w:val="20"/>
        </w:rPr>
        <w:t>s</w:t>
      </w:r>
      <w:r w:rsidRPr="00C61678">
        <w:rPr>
          <w:rFonts w:cstheme="minorHAnsi"/>
          <w:sz w:val="20"/>
          <w:szCs w:val="20"/>
        </w:rPr>
        <w:t xml:space="preserve">exual y reproductiva, y exige que los Estados garanticen la disponibilidad, accesibilidad, </w:t>
      </w:r>
      <w:r w:rsidR="006D21C1" w:rsidRPr="00C61678">
        <w:rPr>
          <w:rFonts w:cstheme="minorHAnsi"/>
          <w:sz w:val="20"/>
          <w:szCs w:val="20"/>
        </w:rPr>
        <w:t>aceptabilidad</w:t>
      </w:r>
      <w:r w:rsidRPr="00C61678">
        <w:rPr>
          <w:rFonts w:cstheme="minorHAnsi"/>
          <w:sz w:val="20"/>
          <w:szCs w:val="20"/>
        </w:rPr>
        <w:t xml:space="preserve"> y calidad de los servicios de salud, como el aborto legal</w:t>
      </w:r>
      <w:r w:rsidRPr="00A055C8">
        <w:rPr>
          <w:rStyle w:val="EndnoteReference"/>
          <w:rFonts w:asciiTheme="minorHAnsi" w:hAnsiTheme="minorHAnsi" w:cstheme="minorHAnsi"/>
          <w:b w:val="0"/>
          <w:bCs/>
          <w:sz w:val="20"/>
          <w:szCs w:val="20"/>
        </w:rPr>
        <w:endnoteReference w:id="42"/>
      </w:r>
      <w:r w:rsidRPr="00A055C8">
        <w:rPr>
          <w:rFonts w:cstheme="minorHAnsi"/>
          <w:sz w:val="20"/>
          <w:szCs w:val="20"/>
        </w:rPr>
        <w:t>.</w:t>
      </w:r>
      <w:r w:rsidRPr="00C61678">
        <w:rPr>
          <w:rFonts w:cstheme="minorHAnsi"/>
          <w:sz w:val="20"/>
          <w:szCs w:val="20"/>
        </w:rPr>
        <w:t xml:space="preserve"> E</w:t>
      </w:r>
      <w:r w:rsidR="00263AD4" w:rsidRPr="00C61678">
        <w:rPr>
          <w:rFonts w:cstheme="minorHAnsi"/>
          <w:sz w:val="20"/>
          <w:szCs w:val="20"/>
        </w:rPr>
        <w:t xml:space="preserve">n particular, </w:t>
      </w:r>
      <w:r w:rsidR="00370AB1" w:rsidRPr="00C61678">
        <w:rPr>
          <w:rFonts w:cstheme="minorHAnsi"/>
          <w:sz w:val="20"/>
          <w:szCs w:val="20"/>
        </w:rPr>
        <w:t>este Comité ha referido que los Estados deben adoptar medidas legales y políticas encaminadas, entre otros, a liberalizar las leyes restrictivas del aborto, garantizando el acceso de las mujeres y las niñas a servicios de aborto sin riesgo y asistencia de calidad posterior a casos de aborto, especialmente capacitando a los proveedores de servicios de salud; y respeten el derecho de las mujeres a adoptar decisiones autónomas sobre su salud sexual y reproductiva</w:t>
      </w:r>
      <w:r w:rsidR="00370AB1" w:rsidRPr="00C61678">
        <w:rPr>
          <w:rStyle w:val="EndnoteReference"/>
          <w:rFonts w:cstheme="minorHAnsi"/>
          <w:b w:val="0"/>
          <w:bCs/>
          <w:sz w:val="20"/>
          <w:szCs w:val="20"/>
        </w:rPr>
        <w:endnoteReference w:id="43"/>
      </w:r>
      <w:r w:rsidR="00370AB1" w:rsidRPr="00C61678">
        <w:rPr>
          <w:rFonts w:cstheme="minorHAnsi"/>
          <w:b/>
          <w:bCs/>
          <w:sz w:val="20"/>
          <w:szCs w:val="20"/>
        </w:rPr>
        <w:t>.</w:t>
      </w:r>
    </w:p>
    <w:p w14:paraId="6B5046C8" w14:textId="63DA2888" w:rsidR="006174EB" w:rsidRDefault="00C40616" w:rsidP="000A272C">
      <w:pPr>
        <w:pStyle w:val="TextoCarta"/>
        <w:numPr>
          <w:ilvl w:val="0"/>
          <w:numId w:val="17"/>
        </w:numPr>
        <w:ind w:left="284"/>
        <w:rPr>
          <w:rFonts w:cstheme="minorHAnsi"/>
          <w:sz w:val="20"/>
          <w:szCs w:val="20"/>
        </w:rPr>
      </w:pPr>
      <w:r w:rsidRPr="00C61678">
        <w:rPr>
          <w:rFonts w:cstheme="minorHAnsi"/>
          <w:sz w:val="20"/>
          <w:szCs w:val="20"/>
        </w:rPr>
        <w:t>En el derecho internacional de los derechos humanos, se ha</w:t>
      </w:r>
      <w:r w:rsidR="00A976B6" w:rsidRPr="00C61678">
        <w:rPr>
          <w:rFonts w:cstheme="minorHAnsi"/>
          <w:sz w:val="20"/>
          <w:szCs w:val="20"/>
        </w:rPr>
        <w:t xml:space="preserve"> reconocido que forzar a una mujer a llevar a término un embarazo producto de una violación tiene impactos severos en la salud mental de las mujeres y constituye una violación de su derecho a la salud, a su dignidad y a su privacidad. </w:t>
      </w:r>
      <w:r w:rsidRPr="00C61678">
        <w:rPr>
          <w:rFonts w:cstheme="minorHAnsi"/>
          <w:sz w:val="20"/>
          <w:szCs w:val="20"/>
        </w:rPr>
        <w:t>Así lo ha referido este Comité</w:t>
      </w:r>
      <w:r w:rsidRPr="00C61678">
        <w:rPr>
          <w:rStyle w:val="EndnoteReference"/>
          <w:rFonts w:cstheme="minorHAnsi"/>
          <w:sz w:val="20"/>
          <w:szCs w:val="20"/>
        </w:rPr>
        <w:endnoteReference w:id="44"/>
      </w:r>
      <w:r w:rsidRPr="00C61678">
        <w:rPr>
          <w:rFonts w:cstheme="minorHAnsi"/>
          <w:sz w:val="20"/>
          <w:szCs w:val="20"/>
        </w:rPr>
        <w:t xml:space="preserve">, </w:t>
      </w:r>
      <w:r w:rsidR="00A976B6" w:rsidRPr="00C61678">
        <w:rPr>
          <w:rFonts w:cstheme="minorHAnsi"/>
          <w:sz w:val="20"/>
          <w:szCs w:val="20"/>
        </w:rPr>
        <w:t>el Comité de Derechos Humanos</w:t>
      </w:r>
      <w:r w:rsidRPr="00A055C8">
        <w:rPr>
          <w:rStyle w:val="EndnoteReference"/>
          <w:rFonts w:asciiTheme="minorHAnsi" w:hAnsiTheme="minorHAnsi" w:cstheme="minorHAnsi"/>
          <w:b w:val="0"/>
          <w:bCs/>
          <w:sz w:val="20"/>
          <w:szCs w:val="20"/>
        </w:rPr>
        <w:endnoteReference w:id="45"/>
      </w:r>
      <w:r w:rsidRPr="00C61678">
        <w:rPr>
          <w:rFonts w:cstheme="minorHAnsi"/>
          <w:sz w:val="20"/>
          <w:szCs w:val="20"/>
        </w:rPr>
        <w:t xml:space="preserve">, </w:t>
      </w:r>
      <w:r w:rsidR="00DB64AB" w:rsidRPr="00C61678">
        <w:rPr>
          <w:rFonts w:cstheme="minorHAnsi"/>
          <w:sz w:val="20"/>
          <w:szCs w:val="20"/>
        </w:rPr>
        <w:t>el Comité CEDAW</w:t>
      </w:r>
      <w:r w:rsidR="00C61678" w:rsidRPr="00A055C8">
        <w:rPr>
          <w:rStyle w:val="EndnoteReference"/>
          <w:rFonts w:cstheme="minorHAnsi"/>
          <w:b w:val="0"/>
          <w:bCs/>
          <w:sz w:val="20"/>
          <w:szCs w:val="20"/>
        </w:rPr>
        <w:endnoteReference w:id="46"/>
      </w:r>
      <w:r w:rsidR="007363FF" w:rsidRPr="00A055C8">
        <w:rPr>
          <w:rFonts w:cstheme="minorHAnsi"/>
          <w:b/>
          <w:bCs/>
          <w:sz w:val="20"/>
          <w:szCs w:val="20"/>
        </w:rPr>
        <w:t>,</w:t>
      </w:r>
      <w:r w:rsidR="007363FF">
        <w:rPr>
          <w:rFonts w:cstheme="minorHAnsi"/>
          <w:sz w:val="20"/>
          <w:szCs w:val="20"/>
        </w:rPr>
        <w:t xml:space="preserve"> </w:t>
      </w:r>
      <w:r w:rsidR="00DB64AB" w:rsidRPr="00C61678">
        <w:rPr>
          <w:rFonts w:cstheme="minorHAnsi"/>
          <w:sz w:val="20"/>
          <w:szCs w:val="20"/>
        </w:rPr>
        <w:t>el Comité contra la Tortura</w:t>
      </w:r>
      <w:r w:rsidR="00C61678" w:rsidRPr="00A055C8">
        <w:rPr>
          <w:rStyle w:val="EndnoteReference"/>
          <w:rFonts w:cstheme="minorHAnsi"/>
          <w:b w:val="0"/>
          <w:bCs/>
          <w:sz w:val="20"/>
          <w:szCs w:val="20"/>
        </w:rPr>
        <w:endnoteReference w:id="47"/>
      </w:r>
      <w:r w:rsidR="00DB64AB" w:rsidRPr="00A055C8">
        <w:rPr>
          <w:rFonts w:cstheme="minorHAnsi"/>
          <w:b/>
          <w:bCs/>
          <w:sz w:val="20"/>
          <w:szCs w:val="20"/>
        </w:rPr>
        <w:t xml:space="preserve"> </w:t>
      </w:r>
      <w:r w:rsidR="00DB64AB" w:rsidRPr="00C61678">
        <w:rPr>
          <w:rFonts w:cstheme="minorHAnsi"/>
          <w:sz w:val="20"/>
          <w:szCs w:val="20"/>
        </w:rPr>
        <w:t>y el Relator Especial sobre la Tortura</w:t>
      </w:r>
      <w:r w:rsidR="00DB64AB" w:rsidRPr="00A055C8">
        <w:rPr>
          <w:rStyle w:val="EndnoteReference"/>
          <w:rFonts w:asciiTheme="minorHAnsi" w:hAnsiTheme="minorHAnsi" w:cstheme="minorHAnsi"/>
          <w:b w:val="0"/>
          <w:bCs/>
          <w:sz w:val="20"/>
          <w:szCs w:val="20"/>
        </w:rPr>
        <w:endnoteReference w:id="48"/>
      </w:r>
      <w:r w:rsidR="00DB64AB" w:rsidRPr="00A055C8">
        <w:rPr>
          <w:rFonts w:cstheme="minorHAnsi"/>
          <w:b/>
          <w:bCs/>
          <w:sz w:val="20"/>
          <w:szCs w:val="20"/>
        </w:rPr>
        <w:t>.</w:t>
      </w:r>
      <w:r w:rsidR="00DB64AB" w:rsidRPr="00C61678">
        <w:rPr>
          <w:rFonts w:cstheme="minorHAnsi"/>
          <w:sz w:val="20"/>
          <w:szCs w:val="20"/>
        </w:rPr>
        <w:t xml:space="preserve"> </w:t>
      </w:r>
      <w:r w:rsidR="006174EB" w:rsidRPr="00C61678">
        <w:rPr>
          <w:rFonts w:cstheme="minorHAnsi"/>
          <w:sz w:val="20"/>
          <w:szCs w:val="20"/>
        </w:rPr>
        <w:t xml:space="preserve">Recientemente el Relator Especial sobre el Derecho a la Salud </w:t>
      </w:r>
      <w:r w:rsidR="007363FF">
        <w:rPr>
          <w:rFonts w:cstheme="minorHAnsi"/>
          <w:sz w:val="20"/>
          <w:szCs w:val="20"/>
        </w:rPr>
        <w:t>reiteró</w:t>
      </w:r>
      <w:r w:rsidR="006174EB" w:rsidRPr="00C61678">
        <w:rPr>
          <w:rFonts w:cstheme="minorHAnsi"/>
          <w:sz w:val="20"/>
          <w:szCs w:val="20"/>
        </w:rPr>
        <w:t xml:space="preserve"> que la falta de acceso a los servicios de salud reproductiva, como el aborto, “repercute de manera sumamente negativa en la salud de las niñas y las mujeres” y que estos efectos negativos “se agravan cuando se trata de embarazos no deseados y de maternidad forzada como consecuencia de actos de violencia sexual”</w:t>
      </w:r>
      <w:r w:rsidR="006174EB" w:rsidRPr="00C61678">
        <w:rPr>
          <w:rStyle w:val="EndnoteReference"/>
          <w:rFonts w:asciiTheme="minorHAnsi" w:hAnsiTheme="minorHAnsi" w:cstheme="minorHAnsi"/>
          <w:sz w:val="20"/>
          <w:szCs w:val="20"/>
        </w:rPr>
        <w:endnoteReference w:id="49"/>
      </w:r>
      <w:r w:rsidR="006174EB" w:rsidRPr="00C61678">
        <w:rPr>
          <w:rFonts w:cstheme="minorHAnsi"/>
          <w:sz w:val="20"/>
          <w:szCs w:val="20"/>
        </w:rPr>
        <w:t xml:space="preserve">. Adicionalmente, en los casos de niñas y adolescentes los embarazos y maternidades forzadas también </w:t>
      </w:r>
      <w:r w:rsidR="00004C26">
        <w:rPr>
          <w:rFonts w:cstheme="minorHAnsi"/>
          <w:sz w:val="20"/>
          <w:szCs w:val="20"/>
        </w:rPr>
        <w:t>afectan</w:t>
      </w:r>
      <w:r w:rsidR="006174EB" w:rsidRPr="00C61678">
        <w:rPr>
          <w:rFonts w:cstheme="minorHAnsi"/>
          <w:sz w:val="20"/>
          <w:szCs w:val="20"/>
        </w:rPr>
        <w:t xml:space="preserve"> de manera irreversible el acceso a la educación siendo el embarazo adolescente una de las principales causas de abandono escolar</w:t>
      </w:r>
      <w:r w:rsidR="00004C26">
        <w:rPr>
          <w:rFonts w:cstheme="minorHAnsi"/>
          <w:sz w:val="20"/>
          <w:szCs w:val="20"/>
        </w:rPr>
        <w:t xml:space="preserve">, lo que </w:t>
      </w:r>
      <w:r w:rsidR="006174EB" w:rsidRPr="00C61678">
        <w:rPr>
          <w:rFonts w:cstheme="minorHAnsi"/>
          <w:sz w:val="20"/>
          <w:szCs w:val="20"/>
        </w:rPr>
        <w:t>obstaculiza</w:t>
      </w:r>
      <w:r w:rsidR="00004C26">
        <w:rPr>
          <w:rFonts w:cstheme="minorHAnsi"/>
          <w:sz w:val="20"/>
          <w:szCs w:val="20"/>
        </w:rPr>
        <w:t xml:space="preserve"> </w:t>
      </w:r>
      <w:r w:rsidR="006174EB" w:rsidRPr="00C61678">
        <w:rPr>
          <w:rFonts w:cstheme="minorHAnsi"/>
          <w:sz w:val="20"/>
          <w:szCs w:val="20"/>
        </w:rPr>
        <w:t>su desarrollo psicosocial</w:t>
      </w:r>
      <w:r w:rsidR="006174EB" w:rsidRPr="00C61678">
        <w:rPr>
          <w:rStyle w:val="EndnoteReference"/>
          <w:rFonts w:asciiTheme="minorHAnsi" w:hAnsiTheme="minorHAnsi" w:cstheme="minorHAnsi"/>
          <w:sz w:val="20"/>
          <w:szCs w:val="20"/>
        </w:rPr>
        <w:endnoteReference w:id="50"/>
      </w:r>
      <w:r w:rsidR="006174EB" w:rsidRPr="00C61678">
        <w:rPr>
          <w:rFonts w:cstheme="minorHAnsi"/>
          <w:sz w:val="20"/>
          <w:szCs w:val="20"/>
        </w:rPr>
        <w:t>. En efecto, de acuerdo la Relatora Especial sobre la Violencia contra la mujer</w:t>
      </w:r>
      <w:r w:rsidR="006174EB" w:rsidRPr="00C61678">
        <w:rPr>
          <w:rStyle w:val="EndnoteReference"/>
          <w:rFonts w:asciiTheme="minorHAnsi" w:hAnsiTheme="minorHAnsi" w:cstheme="minorHAnsi"/>
          <w:sz w:val="20"/>
          <w:szCs w:val="20"/>
        </w:rPr>
        <w:endnoteReference w:id="51"/>
      </w:r>
      <w:r w:rsidR="006174EB" w:rsidRPr="00C61678">
        <w:rPr>
          <w:rFonts w:cstheme="minorHAnsi"/>
          <w:sz w:val="20"/>
          <w:szCs w:val="20"/>
        </w:rPr>
        <w:t>, así como otros órganos de protección de los derechos humanos</w:t>
      </w:r>
      <w:r w:rsidR="006174EB" w:rsidRPr="00C61678">
        <w:rPr>
          <w:rStyle w:val="EndnoteReference"/>
          <w:rFonts w:asciiTheme="minorHAnsi" w:hAnsiTheme="minorHAnsi" w:cstheme="minorHAnsi"/>
          <w:sz w:val="20"/>
          <w:szCs w:val="20"/>
        </w:rPr>
        <w:endnoteReference w:id="52"/>
      </w:r>
      <w:r w:rsidR="006174EB" w:rsidRPr="00C61678">
        <w:rPr>
          <w:rFonts w:cstheme="minorHAnsi"/>
          <w:sz w:val="20"/>
          <w:szCs w:val="20"/>
        </w:rPr>
        <w:t>, el embarazo es una de las principales causas de abandono escolar.</w:t>
      </w:r>
    </w:p>
    <w:p w14:paraId="009C6571" w14:textId="3F950173" w:rsidR="00D85672" w:rsidRPr="007864EC" w:rsidRDefault="00D85672" w:rsidP="0080756A">
      <w:pPr>
        <w:pStyle w:val="Heading2"/>
      </w:pPr>
      <w:r w:rsidRPr="007864EC">
        <w:t>Los llamad</w:t>
      </w:r>
      <w:r w:rsidR="007864EC">
        <w:t>o</w:t>
      </w:r>
      <w:r w:rsidRPr="007864EC">
        <w:t xml:space="preserve">s al Estado de Guatemala a liberalizar </w:t>
      </w:r>
      <w:r w:rsidR="007864EC" w:rsidRPr="007864EC">
        <w:t>la</w:t>
      </w:r>
      <w:r w:rsidR="00F27E50">
        <w:t>s</w:t>
      </w:r>
      <w:r w:rsidR="007864EC" w:rsidRPr="007864EC">
        <w:t xml:space="preserve"> leyes sobre aborto y garantizar los derechos reproductivos de la mujeres y niñas</w:t>
      </w:r>
    </w:p>
    <w:p w14:paraId="588A46ED" w14:textId="4BA17E5A" w:rsidR="00A77B37" w:rsidRPr="00C61678" w:rsidRDefault="00B04A79" w:rsidP="00A77B37">
      <w:pPr>
        <w:pStyle w:val="TextoCarta"/>
        <w:numPr>
          <w:ilvl w:val="0"/>
          <w:numId w:val="17"/>
        </w:numPr>
        <w:ind w:left="284"/>
        <w:rPr>
          <w:rFonts w:cstheme="minorHAnsi"/>
          <w:sz w:val="20"/>
          <w:szCs w:val="20"/>
        </w:rPr>
      </w:pPr>
      <w:r w:rsidRPr="00C61678">
        <w:rPr>
          <w:rFonts w:cstheme="minorHAnsi"/>
          <w:sz w:val="20"/>
          <w:szCs w:val="20"/>
        </w:rPr>
        <w:t xml:space="preserve">Específicamente respecto a Guatemala, </w:t>
      </w:r>
      <w:r w:rsidR="003A23EC" w:rsidRPr="00C61678">
        <w:rPr>
          <w:rFonts w:cstheme="minorHAnsi"/>
          <w:sz w:val="20"/>
          <w:szCs w:val="20"/>
        </w:rPr>
        <w:t>órganos</w:t>
      </w:r>
      <w:r w:rsidRPr="00C61678">
        <w:rPr>
          <w:rFonts w:cstheme="minorHAnsi"/>
          <w:sz w:val="20"/>
          <w:szCs w:val="20"/>
        </w:rPr>
        <w:t xml:space="preserve"> de tratado ya han referido preocupación por la continua criminalización del aborto</w:t>
      </w:r>
      <w:r w:rsidR="00AD60EE" w:rsidRPr="00C61678">
        <w:rPr>
          <w:rFonts w:cstheme="minorHAnsi"/>
          <w:sz w:val="20"/>
          <w:szCs w:val="20"/>
        </w:rPr>
        <w:t xml:space="preserve">. </w:t>
      </w:r>
      <w:r w:rsidR="00933723" w:rsidRPr="00C61678">
        <w:rPr>
          <w:rFonts w:cstheme="minorHAnsi"/>
          <w:sz w:val="20"/>
          <w:szCs w:val="20"/>
        </w:rPr>
        <w:t>Por ejemplo, en sus últimas observaciones a Guatemala</w:t>
      </w:r>
      <w:r w:rsidR="003F3310" w:rsidRPr="00C61678">
        <w:rPr>
          <w:rFonts w:cstheme="minorHAnsi"/>
          <w:sz w:val="20"/>
          <w:szCs w:val="20"/>
        </w:rPr>
        <w:t xml:space="preserve"> (2014)</w:t>
      </w:r>
      <w:r w:rsidR="00933723" w:rsidRPr="00C61678">
        <w:rPr>
          <w:rFonts w:cstheme="minorHAnsi"/>
          <w:sz w:val="20"/>
          <w:szCs w:val="20"/>
        </w:rPr>
        <w:t xml:space="preserve"> este Comité “</w:t>
      </w:r>
      <w:r w:rsidR="00933723" w:rsidRPr="00C61678">
        <w:rPr>
          <w:sz w:val="20"/>
          <w:szCs w:val="20"/>
        </w:rPr>
        <w:t>observ[ó] con inquietud que el Estado parte solo exima de responsabilidad los abortos realizados para evitar peligro para la vida o salud de la madre y que los abortos inseguros o ilegales siguen siendo una de las principales causas de la mortalidad materna</w:t>
      </w:r>
      <w:r w:rsidR="00933723" w:rsidRPr="00C61678">
        <w:rPr>
          <w:rFonts w:cstheme="minorHAnsi"/>
          <w:sz w:val="20"/>
          <w:szCs w:val="20"/>
        </w:rPr>
        <w:t xml:space="preserve"> preocupación”</w:t>
      </w:r>
      <w:r w:rsidR="003F3310" w:rsidRPr="00C61678">
        <w:rPr>
          <w:rStyle w:val="EndnoteReference"/>
          <w:rFonts w:cstheme="minorHAnsi"/>
          <w:b w:val="0"/>
          <w:bCs/>
          <w:sz w:val="20"/>
          <w:szCs w:val="20"/>
        </w:rPr>
        <w:endnoteReference w:id="53"/>
      </w:r>
      <w:r w:rsidR="00933723" w:rsidRPr="00C61678">
        <w:rPr>
          <w:rFonts w:cstheme="minorHAnsi"/>
          <w:b/>
          <w:bCs/>
          <w:sz w:val="20"/>
          <w:szCs w:val="20"/>
        </w:rPr>
        <w:t xml:space="preserve">. </w:t>
      </w:r>
      <w:r w:rsidR="00933723" w:rsidRPr="00C61678">
        <w:rPr>
          <w:rFonts w:cstheme="minorHAnsi"/>
          <w:sz w:val="20"/>
          <w:szCs w:val="20"/>
        </w:rPr>
        <w:t>Por ello recomendó al Estado, “</w:t>
      </w:r>
      <w:r w:rsidR="00933723" w:rsidRPr="00C61678">
        <w:rPr>
          <w:b/>
          <w:bCs/>
          <w:sz w:val="20"/>
          <w:szCs w:val="20"/>
        </w:rPr>
        <w:t xml:space="preserve">redobl[ar] su labor para reducir la alta tasa de embarazos de adolescentes y asegure la accesibilidad y disponibilidad de los servicios de salud sexual y reproductiva, especialmente en las zonas rurales” </w:t>
      </w:r>
      <w:r w:rsidR="00933723" w:rsidRPr="00C61678">
        <w:rPr>
          <w:sz w:val="20"/>
          <w:szCs w:val="20"/>
        </w:rPr>
        <w:t>e “</w:t>
      </w:r>
      <w:r w:rsidR="00933723" w:rsidRPr="00C61678">
        <w:rPr>
          <w:b/>
          <w:bCs/>
          <w:sz w:val="20"/>
          <w:szCs w:val="20"/>
        </w:rPr>
        <w:t>inst[ó] al Estado Parte a que revise su legislación en materia de aborto y a que estudie la posibilidad de prever excepciones a la prohibición del aborto, incluyendo para los casos de embarazos resultantes de violación o incesto”</w:t>
      </w:r>
      <w:r w:rsidR="00B132C9" w:rsidRPr="00C61678">
        <w:rPr>
          <w:rStyle w:val="EndnoteReference"/>
          <w:b w:val="0"/>
          <w:bCs/>
          <w:sz w:val="20"/>
          <w:szCs w:val="20"/>
        </w:rPr>
        <w:endnoteReference w:id="54"/>
      </w:r>
      <w:r w:rsidR="00933723" w:rsidRPr="00C61678">
        <w:rPr>
          <w:b/>
          <w:bCs/>
          <w:sz w:val="20"/>
          <w:szCs w:val="20"/>
        </w:rPr>
        <w:t xml:space="preserve">. </w:t>
      </w:r>
    </w:p>
    <w:p w14:paraId="02F7C161" w14:textId="7D58CE45" w:rsidR="00364A6C" w:rsidRPr="00C61678" w:rsidRDefault="00933723" w:rsidP="00A77B37">
      <w:pPr>
        <w:pStyle w:val="TextoCarta"/>
        <w:numPr>
          <w:ilvl w:val="0"/>
          <w:numId w:val="17"/>
        </w:numPr>
        <w:ind w:left="284"/>
        <w:rPr>
          <w:rFonts w:cstheme="minorHAnsi"/>
          <w:b/>
          <w:bCs/>
          <w:sz w:val="20"/>
          <w:szCs w:val="20"/>
        </w:rPr>
      </w:pPr>
      <w:r w:rsidRPr="00C61678">
        <w:rPr>
          <w:rFonts w:cstheme="minorHAnsi"/>
          <w:sz w:val="20"/>
          <w:szCs w:val="20"/>
        </w:rPr>
        <w:t>Similarmente</w:t>
      </w:r>
      <w:r w:rsidR="00B04A79" w:rsidRPr="00C61678">
        <w:rPr>
          <w:rFonts w:cstheme="minorHAnsi"/>
          <w:sz w:val="20"/>
          <w:szCs w:val="20"/>
        </w:rPr>
        <w:t xml:space="preserve">, el </w:t>
      </w:r>
      <w:r w:rsidR="00B04A79" w:rsidRPr="000D2EE1">
        <w:rPr>
          <w:rFonts w:cstheme="minorHAnsi"/>
          <w:b/>
          <w:bCs/>
          <w:sz w:val="20"/>
          <w:szCs w:val="20"/>
        </w:rPr>
        <w:t>Comité de Derechos Humanos</w:t>
      </w:r>
      <w:r w:rsidR="00B04A79" w:rsidRPr="00C61678">
        <w:rPr>
          <w:rFonts w:cstheme="minorHAnsi"/>
          <w:sz w:val="20"/>
          <w:szCs w:val="20"/>
        </w:rPr>
        <w:t xml:space="preserve"> constató que la criminalización “resulta en un elevado número de abortos inseguros y en procesamientos y condenas a penas excesivas de prisión"</w:t>
      </w:r>
      <w:r w:rsidR="00B04A79" w:rsidRPr="00C61678">
        <w:rPr>
          <w:rStyle w:val="EndnoteReference"/>
          <w:rFonts w:asciiTheme="minorHAnsi" w:hAnsiTheme="minorHAnsi" w:cstheme="minorHAnsi"/>
          <w:sz w:val="20"/>
          <w:szCs w:val="20"/>
        </w:rPr>
        <w:endnoteReference w:id="55"/>
      </w:r>
      <w:r w:rsidR="00B04A79" w:rsidRPr="00C61678">
        <w:rPr>
          <w:rFonts w:cstheme="minorHAnsi"/>
          <w:sz w:val="20"/>
          <w:szCs w:val="20"/>
        </w:rPr>
        <w:t xml:space="preserve"> por lo que recomendó a Guatemala velar porque ni las mujeres ni las niñas que recurren al aborto, ni tampoco el personal médico que presta estos servicios, sean objeto de sanciones penales ya que las mismas obligan a las mujeres y a las niñas recurrir a los abortos inseguros.</w:t>
      </w:r>
      <w:r w:rsidR="00B04A79" w:rsidRPr="00C61678">
        <w:rPr>
          <w:rStyle w:val="EndnoteReference"/>
          <w:rFonts w:asciiTheme="minorHAnsi" w:hAnsiTheme="minorHAnsi" w:cstheme="minorHAnsi"/>
          <w:b w:val="0"/>
          <w:bCs/>
          <w:sz w:val="20"/>
          <w:szCs w:val="20"/>
        </w:rPr>
        <w:endnoteReference w:id="56"/>
      </w:r>
      <w:r w:rsidR="0076044A" w:rsidRPr="00C61678">
        <w:rPr>
          <w:rFonts w:cstheme="minorHAnsi"/>
          <w:sz w:val="20"/>
          <w:szCs w:val="20"/>
        </w:rPr>
        <w:t xml:space="preserve"> </w:t>
      </w:r>
      <w:r w:rsidR="00DA7A2A" w:rsidRPr="00C61678">
        <w:rPr>
          <w:rFonts w:cstheme="minorHAnsi"/>
          <w:sz w:val="20"/>
          <w:szCs w:val="20"/>
        </w:rPr>
        <w:t xml:space="preserve">El </w:t>
      </w:r>
      <w:r w:rsidR="00DA7A2A" w:rsidRPr="000D2EE1">
        <w:rPr>
          <w:rFonts w:cstheme="minorHAnsi"/>
          <w:b/>
          <w:bCs/>
          <w:sz w:val="20"/>
          <w:szCs w:val="20"/>
        </w:rPr>
        <w:t>Comité CEDAW</w:t>
      </w:r>
      <w:r w:rsidR="00DA7A2A" w:rsidRPr="00C61678">
        <w:rPr>
          <w:rFonts w:cstheme="minorHAnsi"/>
          <w:sz w:val="20"/>
          <w:szCs w:val="20"/>
        </w:rPr>
        <w:t>,</w:t>
      </w:r>
      <w:r w:rsidR="00A77B37" w:rsidRPr="00C61678">
        <w:rPr>
          <w:rFonts w:cstheme="minorHAnsi"/>
          <w:sz w:val="20"/>
          <w:szCs w:val="20"/>
        </w:rPr>
        <w:t xml:space="preserve"> también </w:t>
      </w:r>
      <w:r w:rsidR="00DA7A2A" w:rsidRPr="00C61678">
        <w:rPr>
          <w:rFonts w:cstheme="minorHAnsi"/>
          <w:sz w:val="20"/>
          <w:szCs w:val="20"/>
        </w:rPr>
        <w:t xml:space="preserve">refirió una </w:t>
      </w:r>
      <w:r w:rsidR="00DA7A2A" w:rsidRPr="00C61678">
        <w:rPr>
          <w:rFonts w:cstheme="minorHAnsi"/>
          <w:sz w:val="20"/>
          <w:szCs w:val="20"/>
        </w:rPr>
        <w:lastRenderedPageBreak/>
        <w:t>preocupación por la  falta  de  información  facilitada  por  el  Estado parte sobre el alcance y las consecuencias de los abortos</w:t>
      </w:r>
      <w:r w:rsidR="00A77B37" w:rsidRPr="00C61678">
        <w:rPr>
          <w:rFonts w:cstheme="minorHAnsi"/>
          <w:sz w:val="20"/>
          <w:szCs w:val="20"/>
        </w:rPr>
        <w:t xml:space="preserve"> </w:t>
      </w:r>
      <w:r w:rsidR="00DA7A2A" w:rsidRPr="00C61678">
        <w:rPr>
          <w:rFonts w:cstheme="minorHAnsi"/>
          <w:sz w:val="20"/>
          <w:szCs w:val="20"/>
        </w:rPr>
        <w:t>ilegales y practicados</w:t>
      </w:r>
      <w:r w:rsidR="006C2307">
        <w:rPr>
          <w:rFonts w:cstheme="minorHAnsi"/>
          <w:sz w:val="20"/>
          <w:szCs w:val="20"/>
        </w:rPr>
        <w:t xml:space="preserve"> </w:t>
      </w:r>
      <w:r w:rsidR="00DA7A2A" w:rsidRPr="00C61678">
        <w:rPr>
          <w:rFonts w:cstheme="minorHAnsi"/>
          <w:sz w:val="20"/>
          <w:szCs w:val="20"/>
        </w:rPr>
        <w:t xml:space="preserve">en condiciones peligrosas, por lo que le </w:t>
      </w:r>
      <w:r w:rsidR="00A86C9A" w:rsidRPr="00C61678">
        <w:rPr>
          <w:rFonts w:cstheme="minorHAnsi"/>
          <w:sz w:val="20"/>
          <w:szCs w:val="20"/>
        </w:rPr>
        <w:t>recomendó</w:t>
      </w:r>
      <w:r w:rsidR="00DA7A2A" w:rsidRPr="00C61678">
        <w:rPr>
          <w:rFonts w:cstheme="minorHAnsi"/>
          <w:sz w:val="20"/>
          <w:szCs w:val="20"/>
        </w:rPr>
        <w:t xml:space="preserve"> a Guatemala adoptar</w:t>
      </w:r>
      <w:r w:rsidR="00A77B37" w:rsidRPr="00C61678">
        <w:rPr>
          <w:rFonts w:cstheme="minorHAnsi"/>
          <w:sz w:val="20"/>
          <w:szCs w:val="20"/>
        </w:rPr>
        <w:t xml:space="preserve"> y </w:t>
      </w:r>
      <w:r w:rsidR="00DA7A2A" w:rsidRPr="00C61678">
        <w:rPr>
          <w:rFonts w:cstheme="minorHAnsi"/>
          <w:sz w:val="20"/>
          <w:szCs w:val="20"/>
        </w:rPr>
        <w:t xml:space="preserve">aplicar </w:t>
      </w:r>
      <w:r w:rsidR="000A0231" w:rsidRPr="00C61678">
        <w:rPr>
          <w:rFonts w:cstheme="minorHAnsi"/>
          <w:sz w:val="20"/>
          <w:szCs w:val="20"/>
        </w:rPr>
        <w:t>medidas eficaces para garantizar el acceso al aborto, en particular revisar la legislación   que tipifica el aborto como delito, con objeto de prevenir abortos practicados en condiciones peligrosas y su repercusión en la salud de las mujeres y la mortalidad materna</w:t>
      </w:r>
      <w:r w:rsidR="00085024" w:rsidRPr="00C61678">
        <w:rPr>
          <w:rStyle w:val="EndnoteReference"/>
          <w:rFonts w:asciiTheme="minorHAnsi" w:hAnsiTheme="minorHAnsi" w:cstheme="minorHAnsi"/>
          <w:b w:val="0"/>
          <w:bCs/>
          <w:sz w:val="20"/>
          <w:szCs w:val="20"/>
        </w:rPr>
        <w:endnoteReference w:id="57"/>
      </w:r>
      <w:r w:rsidR="00085024" w:rsidRPr="006C2307">
        <w:rPr>
          <w:rFonts w:cstheme="minorHAnsi"/>
          <w:sz w:val="20"/>
          <w:szCs w:val="20"/>
        </w:rPr>
        <w:t>.</w:t>
      </w:r>
      <w:r w:rsidR="00A77B37" w:rsidRPr="006C2307">
        <w:rPr>
          <w:rFonts w:cstheme="minorHAnsi"/>
          <w:sz w:val="20"/>
          <w:szCs w:val="20"/>
        </w:rPr>
        <w:t xml:space="preserve"> </w:t>
      </w:r>
      <w:r w:rsidR="007864EC">
        <w:rPr>
          <w:rFonts w:cstheme="minorHAnsi"/>
          <w:sz w:val="20"/>
          <w:szCs w:val="20"/>
        </w:rPr>
        <w:t xml:space="preserve">Finalmente, el </w:t>
      </w:r>
      <w:r w:rsidR="007864EC" w:rsidRPr="000D2EE1">
        <w:rPr>
          <w:rFonts w:cstheme="minorHAnsi"/>
          <w:b/>
          <w:bCs/>
          <w:sz w:val="20"/>
          <w:szCs w:val="20"/>
        </w:rPr>
        <w:t>Comité de los Derechos del Niño</w:t>
      </w:r>
      <w:r w:rsidR="001571BF">
        <w:rPr>
          <w:rFonts w:cstheme="minorHAnsi"/>
          <w:sz w:val="20"/>
          <w:szCs w:val="20"/>
        </w:rPr>
        <w:t xml:space="preserve"> también llamó recientemente al Estado de Guatemala a </w:t>
      </w:r>
      <w:r w:rsidR="001571BF" w:rsidRPr="000D2EE1">
        <w:rPr>
          <w:rFonts w:cstheme="minorHAnsi"/>
          <w:sz w:val="20"/>
          <w:szCs w:val="20"/>
        </w:rPr>
        <w:t>“[d]espenali[zar] el aborto en todas las circunstancias y garanti[zar] el acceso de las adolescentes a servicios de aborto sin riesgo y de atención posterior al aborto, asegurándose de que la opinión de estas sea escuchada en todo momento y se tenga debidamente en cuenta en el proceso de decisión”</w:t>
      </w:r>
      <w:r w:rsidR="001571BF" w:rsidRPr="000D2EE1">
        <w:rPr>
          <w:rStyle w:val="EndnoteReference"/>
          <w:rFonts w:cstheme="minorHAnsi"/>
          <w:sz w:val="20"/>
          <w:szCs w:val="20"/>
        </w:rPr>
        <w:endnoteReference w:id="58"/>
      </w:r>
      <w:r w:rsidR="001571BF" w:rsidRPr="000D2EE1">
        <w:rPr>
          <w:rFonts w:cstheme="minorHAnsi"/>
          <w:sz w:val="20"/>
          <w:szCs w:val="20"/>
        </w:rPr>
        <w:t>.</w:t>
      </w:r>
    </w:p>
    <w:p w14:paraId="16F9A3BE" w14:textId="47D77F2A" w:rsidR="00A976B6" w:rsidRPr="00C61678" w:rsidRDefault="00A77B37" w:rsidP="00A77B37">
      <w:pPr>
        <w:pStyle w:val="TextoCarta"/>
        <w:numPr>
          <w:ilvl w:val="0"/>
          <w:numId w:val="17"/>
        </w:numPr>
        <w:ind w:left="284"/>
        <w:rPr>
          <w:rFonts w:cstheme="minorHAnsi"/>
          <w:b/>
          <w:bCs/>
          <w:sz w:val="20"/>
          <w:szCs w:val="20"/>
        </w:rPr>
      </w:pPr>
      <w:r w:rsidRPr="00C61678">
        <w:rPr>
          <w:b/>
          <w:bCs/>
          <w:sz w:val="20"/>
          <w:szCs w:val="20"/>
        </w:rPr>
        <w:t>Sin embargo, hasta la fecha Guatemala no ha emprendido ninguna acción encaminada a dar cumplimiento con estas recomendaciones</w:t>
      </w:r>
      <w:r w:rsidR="00687D00">
        <w:rPr>
          <w:b/>
          <w:bCs/>
          <w:sz w:val="20"/>
          <w:szCs w:val="20"/>
        </w:rPr>
        <w:t xml:space="preserve">, vulnerando </w:t>
      </w:r>
      <w:r w:rsidR="00364A6C" w:rsidRPr="00C61678">
        <w:rPr>
          <w:b/>
          <w:bCs/>
          <w:sz w:val="20"/>
          <w:szCs w:val="20"/>
        </w:rPr>
        <w:t>en consecuencia los derechos de las niñas y mujeres a la vida, la salud, la integridad y la autonomía reproductiva, entre otros</w:t>
      </w:r>
      <w:r w:rsidRPr="00C61678">
        <w:rPr>
          <w:b/>
          <w:bCs/>
          <w:sz w:val="20"/>
          <w:szCs w:val="20"/>
        </w:rPr>
        <w:t>.</w:t>
      </w:r>
    </w:p>
    <w:p w14:paraId="08B39B38" w14:textId="7F3A117F" w:rsidR="00F81886" w:rsidRPr="00C61678" w:rsidRDefault="00F81886" w:rsidP="00DA187D">
      <w:pPr>
        <w:pStyle w:val="Heading1"/>
      </w:pPr>
      <w:r w:rsidRPr="00C61678">
        <w:t xml:space="preserve">Guatemala No Garantiza el Acceso a </w:t>
      </w:r>
      <w:r w:rsidR="00F05F14" w:rsidRPr="00C61678">
        <w:t xml:space="preserve">Información, Educación y </w:t>
      </w:r>
      <w:r w:rsidRPr="00C61678">
        <w:t>Servicios de Salud en Materia Sexual y Reproductiva</w:t>
      </w:r>
    </w:p>
    <w:p w14:paraId="6D567A39" w14:textId="7F1BD726" w:rsidR="00F81886" w:rsidRPr="00C61678" w:rsidRDefault="00F81886" w:rsidP="00DF48BB">
      <w:pPr>
        <w:pStyle w:val="TextoCarta"/>
        <w:numPr>
          <w:ilvl w:val="0"/>
          <w:numId w:val="17"/>
        </w:numPr>
        <w:ind w:left="284"/>
        <w:rPr>
          <w:rFonts w:cstheme="minorHAnsi"/>
          <w:sz w:val="20"/>
          <w:szCs w:val="20"/>
        </w:rPr>
      </w:pPr>
      <w:r w:rsidRPr="00C61678">
        <w:rPr>
          <w:rFonts w:cstheme="minorHAnsi"/>
          <w:sz w:val="20"/>
          <w:szCs w:val="20"/>
        </w:rPr>
        <w:t>La falta de acceso a</w:t>
      </w:r>
      <w:r w:rsidR="00F05F14" w:rsidRPr="00C61678">
        <w:rPr>
          <w:rFonts w:cstheme="minorHAnsi"/>
          <w:sz w:val="20"/>
          <w:szCs w:val="20"/>
        </w:rPr>
        <w:t xml:space="preserve"> información</w:t>
      </w:r>
      <w:r w:rsidR="00687D00">
        <w:rPr>
          <w:rFonts w:cstheme="minorHAnsi"/>
          <w:sz w:val="20"/>
          <w:szCs w:val="20"/>
        </w:rPr>
        <w:t>,</w:t>
      </w:r>
      <w:r w:rsidRPr="00C61678">
        <w:rPr>
          <w:rFonts w:cstheme="minorHAnsi"/>
          <w:sz w:val="20"/>
          <w:szCs w:val="20"/>
        </w:rPr>
        <w:t xml:space="preserve"> educación y servicios de salud en materia sexual y reproductiva</w:t>
      </w:r>
      <w:r w:rsidR="0040437E">
        <w:rPr>
          <w:rFonts w:cstheme="minorHAnsi"/>
          <w:sz w:val="20"/>
          <w:szCs w:val="20"/>
        </w:rPr>
        <w:t>,</w:t>
      </w:r>
      <w:r w:rsidR="0039269F">
        <w:rPr>
          <w:rFonts w:cstheme="minorHAnsi"/>
          <w:sz w:val="20"/>
          <w:szCs w:val="20"/>
        </w:rPr>
        <w:t xml:space="preserve"> </w:t>
      </w:r>
      <w:r w:rsidR="008364D0">
        <w:rPr>
          <w:rFonts w:cstheme="minorHAnsi"/>
          <w:sz w:val="20"/>
          <w:szCs w:val="20"/>
        </w:rPr>
        <w:t>en Guatemala</w:t>
      </w:r>
      <w:r w:rsidR="0040437E">
        <w:rPr>
          <w:rFonts w:cstheme="minorHAnsi"/>
          <w:sz w:val="20"/>
          <w:szCs w:val="20"/>
        </w:rPr>
        <w:t>,</w:t>
      </w:r>
      <w:r w:rsidR="008364D0">
        <w:rPr>
          <w:rFonts w:cstheme="minorHAnsi"/>
          <w:sz w:val="20"/>
          <w:szCs w:val="20"/>
        </w:rPr>
        <w:t xml:space="preserve"> impide el pleno goce de los derechos humanos de las mujeres, niñas y adolescentes, contribuye a los altos </w:t>
      </w:r>
      <w:r w:rsidR="0040437E">
        <w:rPr>
          <w:rFonts w:cstheme="minorHAnsi"/>
          <w:sz w:val="20"/>
          <w:szCs w:val="20"/>
        </w:rPr>
        <w:t xml:space="preserve">índices </w:t>
      </w:r>
      <w:r w:rsidR="008364D0">
        <w:rPr>
          <w:rFonts w:cstheme="minorHAnsi"/>
          <w:sz w:val="20"/>
          <w:szCs w:val="20"/>
        </w:rPr>
        <w:t>de embarazo en niñas y en consecuencia</w:t>
      </w:r>
      <w:r w:rsidRPr="00C61678">
        <w:rPr>
          <w:rFonts w:cstheme="minorHAnsi"/>
          <w:sz w:val="20"/>
          <w:szCs w:val="20"/>
        </w:rPr>
        <w:t xml:space="preserve"> reduce drásticamente </w:t>
      </w:r>
      <w:r w:rsidR="008364D0">
        <w:rPr>
          <w:rFonts w:cstheme="minorHAnsi"/>
          <w:sz w:val="20"/>
          <w:szCs w:val="20"/>
        </w:rPr>
        <w:t xml:space="preserve">las </w:t>
      </w:r>
      <w:r w:rsidRPr="00C61678">
        <w:rPr>
          <w:rFonts w:cstheme="minorHAnsi"/>
          <w:sz w:val="20"/>
          <w:szCs w:val="20"/>
        </w:rPr>
        <w:t xml:space="preserve">posibilidades de </w:t>
      </w:r>
      <w:r w:rsidR="008364D0">
        <w:rPr>
          <w:rFonts w:cstheme="minorHAnsi"/>
          <w:sz w:val="20"/>
          <w:szCs w:val="20"/>
        </w:rPr>
        <w:t xml:space="preserve">las niñas y adolescentes de </w:t>
      </w:r>
      <w:r w:rsidRPr="00C61678">
        <w:rPr>
          <w:rFonts w:cstheme="minorHAnsi"/>
          <w:sz w:val="20"/>
          <w:szCs w:val="20"/>
        </w:rPr>
        <w:t>estudi</w:t>
      </w:r>
      <w:r w:rsidR="008364D0">
        <w:rPr>
          <w:rFonts w:cstheme="minorHAnsi"/>
          <w:sz w:val="20"/>
          <w:szCs w:val="20"/>
        </w:rPr>
        <w:t>ar</w:t>
      </w:r>
      <w:r w:rsidRPr="00C61678">
        <w:rPr>
          <w:rFonts w:cstheme="minorHAnsi"/>
          <w:sz w:val="20"/>
          <w:szCs w:val="20"/>
        </w:rPr>
        <w:t xml:space="preserve"> y</w:t>
      </w:r>
      <w:r w:rsidR="008364D0">
        <w:rPr>
          <w:rFonts w:cstheme="minorHAnsi"/>
          <w:sz w:val="20"/>
          <w:szCs w:val="20"/>
        </w:rPr>
        <w:t xml:space="preserve"> tener un </w:t>
      </w:r>
      <w:r w:rsidRPr="00C61678">
        <w:rPr>
          <w:rFonts w:cstheme="minorHAnsi"/>
          <w:sz w:val="20"/>
          <w:szCs w:val="20"/>
        </w:rPr>
        <w:t>desarrollo personal</w:t>
      </w:r>
      <w:r w:rsidR="008364D0">
        <w:rPr>
          <w:rFonts w:cstheme="minorHAnsi"/>
          <w:sz w:val="20"/>
          <w:szCs w:val="20"/>
        </w:rPr>
        <w:t xml:space="preserve"> adecuado,</w:t>
      </w:r>
      <w:r w:rsidRPr="00C61678">
        <w:rPr>
          <w:rFonts w:cstheme="minorHAnsi"/>
          <w:sz w:val="20"/>
          <w:szCs w:val="20"/>
        </w:rPr>
        <w:t xml:space="preserve"> perpetuando una desigualdad de oportunidades como consecuencia de su género. A continuación</w:t>
      </w:r>
      <w:r w:rsidR="00455DD0" w:rsidRPr="00C61678">
        <w:rPr>
          <w:rFonts w:cstheme="minorHAnsi"/>
          <w:sz w:val="20"/>
          <w:szCs w:val="20"/>
        </w:rPr>
        <w:t>,</w:t>
      </w:r>
      <w:r w:rsidRPr="00C61678">
        <w:rPr>
          <w:rFonts w:cstheme="minorHAnsi"/>
          <w:sz w:val="20"/>
          <w:szCs w:val="20"/>
        </w:rPr>
        <w:t xml:space="preserve"> describimos brevemente este entorno.</w:t>
      </w:r>
    </w:p>
    <w:p w14:paraId="299BD678" w14:textId="0F6910B2" w:rsidR="00F81886" w:rsidRPr="00C61678" w:rsidRDefault="00A914E3" w:rsidP="0080756A">
      <w:pPr>
        <w:pStyle w:val="Heading2"/>
        <w:numPr>
          <w:ilvl w:val="0"/>
          <w:numId w:val="21"/>
        </w:numPr>
      </w:pPr>
      <w:r w:rsidRPr="00C61678">
        <w:t xml:space="preserve">Falta de acceso a la </w:t>
      </w:r>
      <w:r w:rsidR="00DF48BB" w:rsidRPr="00C61678">
        <w:t>información</w:t>
      </w:r>
      <w:r w:rsidRPr="00C61678">
        <w:t>, educación y servicios de salud sexual y reproductiva, en especial para las</w:t>
      </w:r>
      <w:r w:rsidR="00F81886" w:rsidRPr="00C61678">
        <w:t xml:space="preserve"> niñas</w:t>
      </w:r>
      <w:r w:rsidRPr="00C61678">
        <w:t>, niños</w:t>
      </w:r>
      <w:r w:rsidR="00F81886" w:rsidRPr="00C61678">
        <w:t xml:space="preserve"> y adolescentes</w:t>
      </w:r>
    </w:p>
    <w:p w14:paraId="4845A7D8" w14:textId="146B3167" w:rsidR="005A44DC" w:rsidRPr="00C61678" w:rsidRDefault="00F81886" w:rsidP="00EE07F1">
      <w:pPr>
        <w:pStyle w:val="TextoCarta"/>
        <w:numPr>
          <w:ilvl w:val="0"/>
          <w:numId w:val="17"/>
        </w:numPr>
        <w:ind w:left="284"/>
        <w:rPr>
          <w:rFonts w:cstheme="minorHAnsi"/>
          <w:b/>
          <w:bCs/>
          <w:sz w:val="20"/>
          <w:szCs w:val="20"/>
        </w:rPr>
      </w:pPr>
      <w:r w:rsidRPr="00C61678">
        <w:rPr>
          <w:rFonts w:cstheme="minorHAnsi"/>
          <w:sz w:val="20"/>
          <w:szCs w:val="20"/>
        </w:rPr>
        <w:t xml:space="preserve">Guatemala evidencia rezagos importantes en materia de disponibilidad de </w:t>
      </w:r>
      <w:r w:rsidR="00F0713F" w:rsidRPr="00C61678">
        <w:rPr>
          <w:rFonts w:cstheme="minorHAnsi"/>
          <w:sz w:val="20"/>
          <w:szCs w:val="20"/>
        </w:rPr>
        <w:t xml:space="preserve">servicios de salud sexual y reproductiva, como </w:t>
      </w:r>
      <w:r w:rsidRPr="00C61678">
        <w:rPr>
          <w:rFonts w:cstheme="minorHAnsi"/>
          <w:sz w:val="20"/>
          <w:szCs w:val="20"/>
        </w:rPr>
        <w:t>anticonceptivos, y de</w:t>
      </w:r>
      <w:r w:rsidR="00F0713F" w:rsidRPr="00C61678">
        <w:rPr>
          <w:rFonts w:cstheme="minorHAnsi"/>
          <w:sz w:val="20"/>
          <w:szCs w:val="20"/>
        </w:rPr>
        <w:t xml:space="preserve"> acceso a una </w:t>
      </w:r>
      <w:r w:rsidRPr="00C61678">
        <w:rPr>
          <w:rFonts w:cstheme="minorHAnsi"/>
          <w:sz w:val="20"/>
          <w:szCs w:val="20"/>
        </w:rPr>
        <w:t>educación sexual</w:t>
      </w:r>
      <w:r w:rsidR="00F0713F" w:rsidRPr="00C61678">
        <w:rPr>
          <w:rFonts w:cstheme="minorHAnsi"/>
          <w:sz w:val="20"/>
          <w:szCs w:val="20"/>
        </w:rPr>
        <w:t xml:space="preserve"> y reproductiva de calidad</w:t>
      </w:r>
      <w:r w:rsidRPr="00C61678">
        <w:rPr>
          <w:rFonts w:cstheme="minorHAnsi"/>
          <w:sz w:val="20"/>
          <w:szCs w:val="20"/>
        </w:rPr>
        <w:t>. Según datos de la encuesta nacional de salud materno infantil 214-2015 ("</w:t>
      </w:r>
      <w:r w:rsidRPr="00C61678">
        <w:rPr>
          <w:rFonts w:cstheme="minorHAnsi"/>
          <w:sz w:val="20"/>
          <w:szCs w:val="20"/>
          <w:u w:val="single"/>
        </w:rPr>
        <w:t>ENSMI</w:t>
      </w:r>
      <w:r w:rsidRPr="00C61678">
        <w:rPr>
          <w:rFonts w:cstheme="minorHAnsi"/>
          <w:sz w:val="20"/>
          <w:szCs w:val="20"/>
        </w:rPr>
        <w:t>")</w:t>
      </w:r>
      <w:r w:rsidRPr="00C61678">
        <w:rPr>
          <w:rStyle w:val="EndnoteReference"/>
          <w:rFonts w:asciiTheme="minorHAnsi" w:hAnsiTheme="minorHAnsi" w:cstheme="minorHAnsi"/>
          <w:sz w:val="20"/>
          <w:szCs w:val="20"/>
        </w:rPr>
        <w:endnoteReference w:id="59"/>
      </w:r>
      <w:r w:rsidRPr="00C61678">
        <w:rPr>
          <w:rFonts w:cstheme="minorHAnsi"/>
          <w:sz w:val="20"/>
          <w:szCs w:val="20"/>
        </w:rPr>
        <w:t xml:space="preserve"> "únicamente el 10 % de mujeres adolescentes entre 15 y 19 años de edad utiliza algún método anticonceptivo y de éste, sólo el 8% utiliza algún método moderno."</w:t>
      </w:r>
      <w:r w:rsidRPr="00C61678">
        <w:rPr>
          <w:rStyle w:val="EndnoteReference"/>
          <w:rFonts w:asciiTheme="minorHAnsi" w:hAnsiTheme="minorHAnsi" w:cstheme="minorHAnsi"/>
          <w:sz w:val="20"/>
          <w:szCs w:val="20"/>
        </w:rPr>
        <w:endnoteReference w:id="60"/>
      </w:r>
      <w:r w:rsidRPr="00C61678">
        <w:rPr>
          <w:rFonts w:cstheme="minorHAnsi"/>
          <w:sz w:val="20"/>
          <w:szCs w:val="20"/>
        </w:rPr>
        <w:t xml:space="preserve"> Por otra parte, las mujeres adolescentes entre 15 y 19 años "presenta la mayor demanda insatisfecha en planificación familiar. Esta es del 21.9%, porcentaje que es hasta cuatro puntos mayor comparado con la población total de mujeres en edad fértil (MEF) que es de 14%. (…</w:t>
      </w:r>
      <w:r w:rsidR="00F93BAA">
        <w:rPr>
          <w:rFonts w:cstheme="minorHAnsi"/>
          <w:sz w:val="20"/>
          <w:szCs w:val="20"/>
        </w:rPr>
        <w:t xml:space="preserve">). </w:t>
      </w:r>
      <w:r w:rsidRPr="00C61678">
        <w:rPr>
          <w:rFonts w:cstheme="minorHAnsi"/>
          <w:sz w:val="20"/>
          <w:szCs w:val="20"/>
        </w:rPr>
        <w:t>Esta demanda insatisfecha equivale al porcentaje que tenían todas las MEF en el año 2008-2009, lo cual representa un rezago de aproximadamente nueve años para este grupo."</w:t>
      </w:r>
      <w:r w:rsidRPr="00C61678">
        <w:rPr>
          <w:rStyle w:val="EndnoteReference"/>
          <w:rFonts w:asciiTheme="minorHAnsi" w:hAnsiTheme="minorHAnsi" w:cstheme="minorHAnsi"/>
          <w:sz w:val="20"/>
          <w:szCs w:val="20"/>
        </w:rPr>
        <w:endnoteReference w:id="61"/>
      </w:r>
      <w:r w:rsidRPr="00C61678">
        <w:rPr>
          <w:rFonts w:cstheme="minorHAnsi"/>
          <w:sz w:val="20"/>
          <w:szCs w:val="20"/>
        </w:rPr>
        <w:t xml:space="preserve"> En materia de educación sexual, el informe de la ENSMI revela que "únicamente el 22% de las mujeres y los hombres de 15 a 24 años tienen conocimiento comprensivo sobre el VIH/ SIDA. El porcentaje de mujeres y hombres con menor conocimiento comprensivo se encuentra en los rangos de edad de 15 a 17 años (19 y 15% respectivamente)".</w:t>
      </w:r>
      <w:r w:rsidRPr="00C61678">
        <w:rPr>
          <w:rStyle w:val="EndnoteReference"/>
          <w:rFonts w:asciiTheme="minorHAnsi" w:hAnsiTheme="minorHAnsi" w:cstheme="minorHAnsi"/>
          <w:sz w:val="20"/>
          <w:szCs w:val="20"/>
        </w:rPr>
        <w:endnoteReference w:id="62"/>
      </w:r>
      <w:r w:rsidRPr="00C61678">
        <w:rPr>
          <w:rFonts w:cstheme="minorHAnsi"/>
          <w:sz w:val="20"/>
          <w:szCs w:val="20"/>
        </w:rPr>
        <w:t xml:space="preserve"> Así</w:t>
      </w:r>
      <w:r w:rsidR="00D4335D">
        <w:rPr>
          <w:rFonts w:cstheme="minorHAnsi"/>
          <w:sz w:val="20"/>
          <w:szCs w:val="20"/>
        </w:rPr>
        <w:t xml:space="preserve">, </w:t>
      </w:r>
      <w:r w:rsidRPr="00C61678">
        <w:rPr>
          <w:rFonts w:cstheme="minorHAnsi"/>
          <w:sz w:val="20"/>
          <w:szCs w:val="20"/>
        </w:rPr>
        <w:t>por ejemplo, "el 81% de las mujeres y el 85% de los hombres adolescentes y los jóvenes no saben que el uso consistente del condón durante las relaciones sexuales puede reducir el riesgo de adquirir el VIH/ SIDA"</w:t>
      </w:r>
      <w:r w:rsidR="00D4335D">
        <w:rPr>
          <w:rFonts w:cstheme="minorHAnsi"/>
          <w:sz w:val="20"/>
          <w:szCs w:val="20"/>
        </w:rPr>
        <w:t>.</w:t>
      </w:r>
      <w:r w:rsidRPr="00C61678">
        <w:rPr>
          <w:rStyle w:val="EndnoteReference"/>
          <w:rFonts w:asciiTheme="minorHAnsi" w:hAnsiTheme="minorHAnsi" w:cstheme="minorHAnsi"/>
          <w:sz w:val="20"/>
          <w:szCs w:val="20"/>
        </w:rPr>
        <w:endnoteReference w:id="63"/>
      </w:r>
      <w:r w:rsidRPr="00C61678">
        <w:rPr>
          <w:rFonts w:cstheme="minorHAnsi"/>
          <w:sz w:val="20"/>
          <w:szCs w:val="20"/>
        </w:rPr>
        <w:t xml:space="preserve"> </w:t>
      </w:r>
      <w:r w:rsidRPr="00C61678">
        <w:rPr>
          <w:rFonts w:cstheme="minorHAnsi"/>
          <w:b/>
          <w:bCs/>
          <w:sz w:val="20"/>
          <w:szCs w:val="20"/>
        </w:rPr>
        <w:t>Por otra parte, tan solo el 43.53% de adolescentes "indicó haber recibido información sobre cómo prevenir el embarazo" y el restante 56.47% manifestó no contar con esta información.</w:t>
      </w:r>
      <w:r w:rsidRPr="00C61678">
        <w:rPr>
          <w:rStyle w:val="EndnoteReference"/>
          <w:rFonts w:asciiTheme="minorHAnsi" w:hAnsiTheme="minorHAnsi" w:cstheme="minorHAnsi"/>
          <w:b w:val="0"/>
          <w:bCs/>
          <w:sz w:val="20"/>
          <w:szCs w:val="20"/>
        </w:rPr>
        <w:endnoteReference w:id="64"/>
      </w:r>
      <w:r w:rsidRPr="00C61678">
        <w:rPr>
          <w:rFonts w:cstheme="minorHAnsi"/>
          <w:b/>
          <w:bCs/>
          <w:sz w:val="20"/>
          <w:szCs w:val="20"/>
        </w:rPr>
        <w:t xml:space="preserve"> Existen, además, diferencias por grupo étnico, siendo más alto el porcentaje de adolescentes indígenas (67.8%) que reporta no tener información sobre cómo prevenir el embarazo.</w:t>
      </w:r>
      <w:r w:rsidRPr="00C61678">
        <w:rPr>
          <w:rStyle w:val="EndnoteReference"/>
          <w:rFonts w:asciiTheme="minorHAnsi" w:hAnsiTheme="minorHAnsi" w:cstheme="minorHAnsi"/>
          <w:b w:val="0"/>
          <w:bCs/>
          <w:sz w:val="20"/>
          <w:szCs w:val="20"/>
        </w:rPr>
        <w:endnoteReference w:id="65"/>
      </w:r>
      <w:r w:rsidRPr="00C61678">
        <w:rPr>
          <w:rFonts w:cstheme="minorHAnsi"/>
          <w:b/>
          <w:bCs/>
          <w:sz w:val="20"/>
          <w:szCs w:val="20"/>
        </w:rPr>
        <w:t xml:space="preserve"> </w:t>
      </w:r>
    </w:p>
    <w:p w14:paraId="4AF11EF1" w14:textId="6E36E997" w:rsidR="005A44DC" w:rsidRPr="00C61678" w:rsidRDefault="00065F18" w:rsidP="005A44DC">
      <w:pPr>
        <w:pStyle w:val="TextoCarta"/>
        <w:numPr>
          <w:ilvl w:val="0"/>
          <w:numId w:val="17"/>
        </w:numPr>
        <w:ind w:left="284"/>
        <w:rPr>
          <w:rFonts w:cstheme="minorHAnsi"/>
          <w:sz w:val="20"/>
          <w:szCs w:val="20"/>
        </w:rPr>
      </w:pPr>
      <w:r w:rsidRPr="00C61678">
        <w:rPr>
          <w:rFonts w:cstheme="minorHAnsi"/>
          <w:sz w:val="20"/>
          <w:szCs w:val="20"/>
        </w:rPr>
        <w:t>Por su parte, el</w:t>
      </w:r>
      <w:r w:rsidR="000B17A5" w:rsidRPr="00C61678">
        <w:rPr>
          <w:rFonts w:cstheme="minorHAnsi"/>
          <w:sz w:val="20"/>
          <w:szCs w:val="20"/>
        </w:rPr>
        <w:t xml:space="preserve"> informe del Procurador de los Derechos Humanos de Guatemala sobre el cumplimiento de recomendaciones CEDAW, </w:t>
      </w:r>
      <w:r w:rsidR="000B17A5" w:rsidRPr="00C61678">
        <w:rPr>
          <w:rFonts w:cstheme="minorHAnsi"/>
          <w:b/>
          <w:bCs/>
          <w:sz w:val="20"/>
          <w:szCs w:val="20"/>
        </w:rPr>
        <w:t>reconoce falencias en materia de acceso a servicios de salud sexual y reproductiva</w:t>
      </w:r>
      <w:r w:rsidR="000B17A5" w:rsidRPr="00C61678">
        <w:rPr>
          <w:rFonts w:cstheme="minorHAnsi"/>
          <w:sz w:val="20"/>
          <w:szCs w:val="20"/>
        </w:rPr>
        <w:t>. Sobre el particular, menciona el informe que, a partir de una encuesta a profesionales del sector salud, identificó que "</w:t>
      </w:r>
      <w:r w:rsidR="000B17A5" w:rsidRPr="00C61678">
        <w:rPr>
          <w:rFonts w:cstheme="minorHAnsi"/>
          <w:b/>
          <w:bCs/>
          <w:sz w:val="20"/>
          <w:szCs w:val="20"/>
        </w:rPr>
        <w:t>existe desabastecimiento de antibióticos básicos, que deberían ser suministrados a las mujeres embarazadas (…), ácido fólico y suplementación, así como pastillas de planificación familiar en las áreas de ginecología</w:t>
      </w:r>
      <w:r w:rsidR="000B17A5" w:rsidRPr="00C61678">
        <w:rPr>
          <w:rFonts w:cstheme="minorHAnsi"/>
          <w:sz w:val="20"/>
          <w:szCs w:val="20"/>
        </w:rPr>
        <w:t>"</w:t>
      </w:r>
      <w:r w:rsidR="000B17A5" w:rsidRPr="00C61678">
        <w:rPr>
          <w:rStyle w:val="EndnoteReference"/>
          <w:rFonts w:asciiTheme="minorHAnsi" w:hAnsiTheme="minorHAnsi" w:cstheme="minorHAnsi"/>
          <w:sz w:val="20"/>
          <w:szCs w:val="20"/>
        </w:rPr>
        <w:endnoteReference w:id="66"/>
      </w:r>
      <w:r w:rsidR="000B17A5" w:rsidRPr="00C61678">
        <w:rPr>
          <w:rFonts w:cstheme="minorHAnsi"/>
          <w:sz w:val="20"/>
          <w:szCs w:val="20"/>
        </w:rPr>
        <w:t xml:space="preserve"> </w:t>
      </w:r>
      <w:r w:rsidR="000B17A5" w:rsidRPr="00C61678">
        <w:rPr>
          <w:rFonts w:cstheme="minorHAnsi"/>
          <w:b/>
          <w:bCs/>
          <w:sz w:val="20"/>
          <w:szCs w:val="20"/>
        </w:rPr>
        <w:t>y otros anticonceptivos</w:t>
      </w:r>
      <w:r w:rsidR="000B17A5" w:rsidRPr="00C61678">
        <w:rPr>
          <w:rStyle w:val="EndnoteReference"/>
          <w:rFonts w:asciiTheme="minorHAnsi" w:hAnsiTheme="minorHAnsi" w:cstheme="minorHAnsi"/>
          <w:b w:val="0"/>
          <w:bCs/>
          <w:sz w:val="20"/>
          <w:szCs w:val="20"/>
        </w:rPr>
        <w:endnoteReference w:id="67"/>
      </w:r>
      <w:r w:rsidR="000B17A5" w:rsidRPr="00C61678">
        <w:rPr>
          <w:rFonts w:cstheme="minorHAnsi"/>
          <w:b/>
          <w:bCs/>
          <w:sz w:val="20"/>
          <w:szCs w:val="20"/>
        </w:rPr>
        <w:t xml:space="preserve"> y, además, que hay falencias en dotación para el tratamiento de mujeres embarazadas con preclamsia</w:t>
      </w:r>
      <w:r w:rsidR="000B17A5" w:rsidRPr="00C61678">
        <w:rPr>
          <w:rStyle w:val="EndnoteReference"/>
          <w:rFonts w:asciiTheme="minorHAnsi" w:hAnsiTheme="minorHAnsi" w:cstheme="minorHAnsi"/>
          <w:sz w:val="20"/>
          <w:szCs w:val="20"/>
        </w:rPr>
        <w:endnoteReference w:id="68"/>
      </w:r>
      <w:r w:rsidR="000B17A5" w:rsidRPr="00C61678">
        <w:rPr>
          <w:rFonts w:cstheme="minorHAnsi"/>
          <w:sz w:val="20"/>
          <w:szCs w:val="20"/>
        </w:rPr>
        <w:t>.</w:t>
      </w:r>
    </w:p>
    <w:p w14:paraId="54551563" w14:textId="77777777" w:rsidR="00890274" w:rsidRDefault="00F81886" w:rsidP="00F364CD">
      <w:pPr>
        <w:pStyle w:val="TextoCarta"/>
        <w:numPr>
          <w:ilvl w:val="0"/>
          <w:numId w:val="17"/>
        </w:numPr>
        <w:ind w:left="284"/>
        <w:rPr>
          <w:rFonts w:cstheme="minorHAnsi"/>
          <w:sz w:val="20"/>
          <w:szCs w:val="20"/>
        </w:rPr>
      </w:pPr>
      <w:r w:rsidRPr="00C61678">
        <w:rPr>
          <w:rFonts w:cstheme="minorHAnsi"/>
          <w:sz w:val="20"/>
          <w:szCs w:val="20"/>
        </w:rPr>
        <w:t xml:space="preserve">Esta falta de información </w:t>
      </w:r>
      <w:r w:rsidR="00F0713F" w:rsidRPr="00C61678">
        <w:rPr>
          <w:rFonts w:cstheme="minorHAnsi"/>
          <w:sz w:val="20"/>
          <w:szCs w:val="20"/>
        </w:rPr>
        <w:t>y acceso a servicios</w:t>
      </w:r>
      <w:r w:rsidRPr="00C61678">
        <w:rPr>
          <w:rFonts w:cstheme="minorHAnsi"/>
          <w:sz w:val="20"/>
          <w:szCs w:val="20"/>
        </w:rPr>
        <w:t xml:space="preserve"> de salud sexual y reproductiva puede explicarse, al menos en parte, en la falta de </w:t>
      </w:r>
      <w:r w:rsidR="00C40CBE" w:rsidRPr="00C61678">
        <w:rPr>
          <w:rFonts w:cstheme="minorHAnsi"/>
          <w:sz w:val="20"/>
          <w:szCs w:val="20"/>
        </w:rPr>
        <w:t xml:space="preserve">conocimiento e </w:t>
      </w:r>
      <w:r w:rsidRPr="00C61678">
        <w:rPr>
          <w:rFonts w:cstheme="minorHAnsi"/>
          <w:sz w:val="20"/>
          <w:szCs w:val="20"/>
        </w:rPr>
        <w:t>información</w:t>
      </w:r>
      <w:r w:rsidR="00B308C6" w:rsidRPr="00C61678">
        <w:rPr>
          <w:rFonts w:cstheme="minorHAnsi"/>
          <w:sz w:val="20"/>
          <w:szCs w:val="20"/>
        </w:rPr>
        <w:t xml:space="preserve"> en esta materia</w:t>
      </w:r>
      <w:r w:rsidR="00C40CBE" w:rsidRPr="00C61678">
        <w:rPr>
          <w:rFonts w:cstheme="minorHAnsi"/>
          <w:sz w:val="20"/>
          <w:szCs w:val="20"/>
        </w:rPr>
        <w:t xml:space="preserve">, así como </w:t>
      </w:r>
      <w:r w:rsidR="00B308C6" w:rsidRPr="00C61678">
        <w:rPr>
          <w:rFonts w:cstheme="minorHAnsi"/>
          <w:sz w:val="20"/>
          <w:szCs w:val="20"/>
        </w:rPr>
        <w:t xml:space="preserve">en los </w:t>
      </w:r>
      <w:r w:rsidR="00C40CBE" w:rsidRPr="00C61678">
        <w:rPr>
          <w:rFonts w:cstheme="minorHAnsi"/>
          <w:sz w:val="20"/>
          <w:szCs w:val="20"/>
        </w:rPr>
        <w:t>tab</w:t>
      </w:r>
      <w:r w:rsidR="00B308C6" w:rsidRPr="00C61678">
        <w:rPr>
          <w:rFonts w:cstheme="minorHAnsi"/>
          <w:sz w:val="20"/>
          <w:szCs w:val="20"/>
        </w:rPr>
        <w:t>ú</w:t>
      </w:r>
      <w:r w:rsidR="00C40CBE" w:rsidRPr="00C61678">
        <w:rPr>
          <w:rFonts w:cstheme="minorHAnsi"/>
          <w:sz w:val="20"/>
          <w:szCs w:val="20"/>
        </w:rPr>
        <w:t>s</w:t>
      </w:r>
      <w:r w:rsidR="00B308C6" w:rsidRPr="00C61678">
        <w:rPr>
          <w:rFonts w:cstheme="minorHAnsi"/>
          <w:sz w:val="20"/>
          <w:szCs w:val="20"/>
        </w:rPr>
        <w:t xml:space="preserve"> culturales</w:t>
      </w:r>
      <w:r w:rsidR="00C40CBE" w:rsidRPr="00C61678">
        <w:rPr>
          <w:rFonts w:cstheme="minorHAnsi"/>
          <w:sz w:val="20"/>
          <w:szCs w:val="20"/>
        </w:rPr>
        <w:t xml:space="preserve"> y </w:t>
      </w:r>
      <w:r w:rsidR="00B308C6" w:rsidRPr="00C61678">
        <w:rPr>
          <w:rFonts w:cstheme="minorHAnsi"/>
          <w:sz w:val="20"/>
          <w:szCs w:val="20"/>
        </w:rPr>
        <w:t xml:space="preserve">los </w:t>
      </w:r>
      <w:r w:rsidR="00C40CBE" w:rsidRPr="00C61678">
        <w:rPr>
          <w:rFonts w:cstheme="minorHAnsi"/>
          <w:sz w:val="20"/>
          <w:szCs w:val="20"/>
        </w:rPr>
        <w:t xml:space="preserve">estereotipos </w:t>
      </w:r>
      <w:r w:rsidR="00D712A3">
        <w:rPr>
          <w:rFonts w:cstheme="minorHAnsi"/>
          <w:sz w:val="20"/>
          <w:szCs w:val="20"/>
        </w:rPr>
        <w:t xml:space="preserve">de género </w:t>
      </w:r>
      <w:r w:rsidRPr="00C61678">
        <w:rPr>
          <w:rFonts w:cstheme="minorHAnsi"/>
          <w:sz w:val="20"/>
          <w:szCs w:val="20"/>
        </w:rPr>
        <w:t xml:space="preserve">de los propios docentes </w:t>
      </w:r>
      <w:r w:rsidR="00F0713F" w:rsidRPr="00C61678">
        <w:rPr>
          <w:rFonts w:cstheme="minorHAnsi"/>
          <w:sz w:val="20"/>
          <w:szCs w:val="20"/>
        </w:rPr>
        <w:t>encargados de impartir información y educación sexual</w:t>
      </w:r>
      <w:r w:rsidRPr="00C61678">
        <w:rPr>
          <w:rFonts w:cstheme="minorHAnsi"/>
          <w:sz w:val="20"/>
          <w:szCs w:val="20"/>
        </w:rPr>
        <w:t xml:space="preserve">. </w:t>
      </w:r>
      <w:r w:rsidR="00B308C6" w:rsidRPr="00C61678">
        <w:rPr>
          <w:rFonts w:cstheme="minorHAnsi"/>
          <w:sz w:val="20"/>
          <w:szCs w:val="20"/>
        </w:rPr>
        <w:t>De hecho, e</w:t>
      </w:r>
      <w:r w:rsidR="00C40CBE" w:rsidRPr="00C61678">
        <w:rPr>
          <w:rFonts w:cstheme="minorHAnsi"/>
          <w:sz w:val="20"/>
          <w:szCs w:val="20"/>
        </w:rPr>
        <w:t>n</w:t>
      </w:r>
      <w:r w:rsidRPr="00C61678">
        <w:rPr>
          <w:rFonts w:cstheme="minorHAnsi"/>
          <w:sz w:val="20"/>
          <w:szCs w:val="20"/>
        </w:rPr>
        <w:t xml:space="preserve"> una prueba de conocimientos sobre el cuerpo humano, reproducción, anatomía y fisiología humana realizada al personal docente, basada en el currículo base para primaria, </w:t>
      </w:r>
      <w:r w:rsidRPr="00C61678">
        <w:rPr>
          <w:rFonts w:cstheme="minorHAnsi"/>
          <w:sz w:val="20"/>
          <w:szCs w:val="20"/>
          <w:u w:val="single"/>
        </w:rPr>
        <w:t>los docentes tan solo contestaron 5 de 9 preguntas de forma correcta</w:t>
      </w:r>
      <w:r w:rsidRPr="00C61678">
        <w:rPr>
          <w:rFonts w:cstheme="minorHAnsi"/>
          <w:sz w:val="20"/>
          <w:szCs w:val="20"/>
        </w:rPr>
        <w:t>. Es decir, que no tienen el conocimiento requerido para</w:t>
      </w:r>
      <w:r w:rsidR="008F6C38">
        <w:rPr>
          <w:rFonts w:cstheme="minorHAnsi"/>
          <w:sz w:val="20"/>
          <w:szCs w:val="20"/>
        </w:rPr>
        <w:t xml:space="preserve"> </w:t>
      </w:r>
      <w:r w:rsidRPr="00C61678">
        <w:rPr>
          <w:rFonts w:cstheme="minorHAnsi"/>
          <w:sz w:val="20"/>
          <w:szCs w:val="20"/>
        </w:rPr>
        <w:t xml:space="preserve">instruir </w:t>
      </w:r>
      <w:r w:rsidR="00065F18" w:rsidRPr="00C61678">
        <w:rPr>
          <w:rFonts w:cstheme="minorHAnsi"/>
          <w:sz w:val="20"/>
          <w:szCs w:val="20"/>
        </w:rPr>
        <w:t>la</w:t>
      </w:r>
      <w:r w:rsidRPr="00C61678">
        <w:rPr>
          <w:rFonts w:cstheme="minorHAnsi"/>
          <w:sz w:val="20"/>
          <w:szCs w:val="20"/>
        </w:rPr>
        <w:t xml:space="preserve"> materia </w:t>
      </w:r>
      <w:r w:rsidR="00065F18" w:rsidRPr="00C61678">
        <w:rPr>
          <w:rFonts w:cstheme="minorHAnsi"/>
          <w:sz w:val="20"/>
          <w:szCs w:val="20"/>
        </w:rPr>
        <w:t xml:space="preserve">de educación sexual </w:t>
      </w:r>
      <w:r w:rsidRPr="00C61678">
        <w:rPr>
          <w:rFonts w:cstheme="minorHAnsi"/>
          <w:sz w:val="20"/>
          <w:szCs w:val="20"/>
        </w:rPr>
        <w:t>a sus alumnos.</w:t>
      </w:r>
      <w:r w:rsidRPr="00A40663">
        <w:rPr>
          <w:rStyle w:val="EndnoteReference"/>
          <w:rFonts w:asciiTheme="minorHAnsi" w:hAnsiTheme="minorHAnsi" w:cstheme="minorHAnsi"/>
          <w:b w:val="0"/>
          <w:bCs/>
          <w:sz w:val="20"/>
          <w:szCs w:val="20"/>
        </w:rPr>
        <w:endnoteReference w:id="69"/>
      </w:r>
      <w:r w:rsidRPr="00A40663">
        <w:rPr>
          <w:rFonts w:cstheme="minorHAnsi"/>
          <w:b/>
          <w:bCs/>
          <w:sz w:val="20"/>
          <w:szCs w:val="20"/>
        </w:rPr>
        <w:t xml:space="preserve"> </w:t>
      </w:r>
      <w:r w:rsidRPr="00C61678">
        <w:rPr>
          <w:rFonts w:cstheme="minorHAnsi"/>
          <w:sz w:val="20"/>
          <w:szCs w:val="20"/>
        </w:rPr>
        <w:t>Por otra parte, el 89% de los docentes preferiría que un experto en la materia instruya a los alumnos en salud sexual y reproductiva.</w:t>
      </w:r>
      <w:r w:rsidRPr="00C61678">
        <w:rPr>
          <w:rStyle w:val="EndnoteReference"/>
          <w:rFonts w:asciiTheme="minorHAnsi" w:hAnsiTheme="minorHAnsi" w:cstheme="minorHAnsi"/>
          <w:sz w:val="20"/>
          <w:szCs w:val="20"/>
        </w:rPr>
        <w:endnoteReference w:id="70"/>
      </w:r>
      <w:r w:rsidRPr="00C61678">
        <w:rPr>
          <w:rFonts w:cstheme="minorHAnsi"/>
          <w:sz w:val="20"/>
          <w:szCs w:val="20"/>
        </w:rPr>
        <w:t xml:space="preserve"> </w:t>
      </w:r>
      <w:r w:rsidRPr="00C61678">
        <w:rPr>
          <w:rFonts w:cstheme="minorHAnsi"/>
          <w:b/>
          <w:bCs/>
          <w:sz w:val="20"/>
          <w:szCs w:val="20"/>
        </w:rPr>
        <w:t>Desde el punto de vista de los alumnos, menos del 7% de los estudiantes reporta haber aprendido sobre todos los temas que hacen parte del currículo, y manifiestan que "se da más énfasis en fisiología reproductiva que en derechos sexuales y reproductivos, género, valores y habilidades para la prevención de embarazos</w:t>
      </w:r>
      <w:r w:rsidRPr="00C61678">
        <w:rPr>
          <w:rFonts w:cstheme="minorHAnsi"/>
          <w:sz w:val="20"/>
          <w:szCs w:val="20"/>
        </w:rPr>
        <w:t>".</w:t>
      </w:r>
      <w:r w:rsidRPr="00C61678">
        <w:rPr>
          <w:rStyle w:val="EndnoteReference"/>
          <w:rFonts w:asciiTheme="minorHAnsi" w:hAnsiTheme="minorHAnsi" w:cstheme="minorHAnsi"/>
          <w:sz w:val="20"/>
          <w:szCs w:val="20"/>
        </w:rPr>
        <w:endnoteReference w:id="71"/>
      </w:r>
      <w:r w:rsidR="00F364CD" w:rsidRPr="00C61678">
        <w:rPr>
          <w:rFonts w:cstheme="minorHAnsi"/>
          <w:sz w:val="20"/>
          <w:szCs w:val="20"/>
        </w:rPr>
        <w:t xml:space="preserve"> </w:t>
      </w:r>
    </w:p>
    <w:p w14:paraId="76DB308E" w14:textId="7FA7A4FD" w:rsidR="00F364CD" w:rsidRDefault="00F81886" w:rsidP="00F364CD">
      <w:pPr>
        <w:pStyle w:val="TextoCarta"/>
        <w:numPr>
          <w:ilvl w:val="0"/>
          <w:numId w:val="17"/>
        </w:numPr>
        <w:ind w:left="284"/>
        <w:rPr>
          <w:rFonts w:cstheme="minorHAnsi"/>
          <w:sz w:val="20"/>
          <w:szCs w:val="20"/>
        </w:rPr>
      </w:pPr>
      <w:r w:rsidRPr="00C61678">
        <w:rPr>
          <w:rFonts w:cstheme="minorHAnsi"/>
          <w:sz w:val="20"/>
          <w:szCs w:val="20"/>
        </w:rPr>
        <w:t xml:space="preserve">Como consecuencia de lo anterior, el Gobierno de Guatemala </w:t>
      </w:r>
      <w:r w:rsidR="00065F18" w:rsidRPr="00C61678">
        <w:rPr>
          <w:rFonts w:cstheme="minorHAnsi"/>
          <w:sz w:val="20"/>
          <w:szCs w:val="20"/>
        </w:rPr>
        <w:t xml:space="preserve">de hecho </w:t>
      </w:r>
      <w:r w:rsidRPr="00C61678">
        <w:rPr>
          <w:rFonts w:cstheme="minorHAnsi"/>
          <w:sz w:val="20"/>
          <w:szCs w:val="20"/>
        </w:rPr>
        <w:t xml:space="preserve">reconoce que "son motivo de gran preocupación </w:t>
      </w:r>
      <w:r w:rsidRPr="008F6879">
        <w:rPr>
          <w:rFonts w:cstheme="minorHAnsi"/>
          <w:sz w:val="20"/>
          <w:szCs w:val="20"/>
        </w:rPr>
        <w:t>los precarios índices de salud sexual y reproductiva de los adolescentes, la persistencia y la tendencia al incremento de la iniciación sexual temprana sin información o por violencia, los embarazos no planificados, los nacimientos en niñas menores de 14 años, la violencia sexual contra las niñas, las muertes maternas y la creciente actividad sexual sin protección"</w:t>
      </w:r>
      <w:r w:rsidRPr="00A133EA">
        <w:rPr>
          <w:rStyle w:val="EndnoteReference"/>
          <w:rFonts w:asciiTheme="minorHAnsi" w:hAnsiTheme="minorHAnsi" w:cstheme="minorHAnsi"/>
          <w:b w:val="0"/>
          <w:bCs/>
          <w:sz w:val="20"/>
          <w:szCs w:val="20"/>
        </w:rPr>
        <w:endnoteReference w:id="72"/>
      </w:r>
      <w:r w:rsidR="008F6879" w:rsidRPr="00A133EA">
        <w:rPr>
          <w:rFonts w:cstheme="minorHAnsi"/>
          <w:sz w:val="20"/>
          <w:szCs w:val="20"/>
        </w:rPr>
        <w:t>.</w:t>
      </w:r>
    </w:p>
    <w:p w14:paraId="05289CDC" w14:textId="0D6E43AB" w:rsidR="00F738B7" w:rsidRPr="00C61678" w:rsidRDefault="00452382" w:rsidP="0080756A">
      <w:pPr>
        <w:pStyle w:val="Heading2"/>
      </w:pPr>
      <w:r w:rsidRPr="00C61678">
        <w:t>L</w:t>
      </w:r>
      <w:r w:rsidR="00F738B7" w:rsidRPr="00C61678">
        <w:t>a importancia de garantizar el acceso a la información educación sexual y reproductiva</w:t>
      </w:r>
    </w:p>
    <w:p w14:paraId="7849F49C" w14:textId="3A451587" w:rsidR="005A44DC" w:rsidRPr="00C61678" w:rsidRDefault="00A02C63" w:rsidP="005A44DC">
      <w:pPr>
        <w:pStyle w:val="TextoCarta"/>
        <w:numPr>
          <w:ilvl w:val="0"/>
          <w:numId w:val="17"/>
        </w:numPr>
        <w:ind w:left="284"/>
        <w:rPr>
          <w:rFonts w:cstheme="minorHAnsi"/>
          <w:sz w:val="20"/>
          <w:szCs w:val="20"/>
        </w:rPr>
      </w:pPr>
      <w:r w:rsidRPr="00C61678">
        <w:rPr>
          <w:rFonts w:cstheme="minorHAnsi"/>
          <w:sz w:val="20"/>
          <w:szCs w:val="20"/>
          <w:lang w:val="es-ES"/>
        </w:rPr>
        <w:t>Garantizar el acceso a la información y educación sexual integral ha sido reconocido ampliamente por varios órganos de tratado como un mecanismo esencial para garantizar los derechos de las niñas y adolescentes, incluyendo su autonomía reproductiva y su dignidad. Este Comité, por ejemplo, ha referido que todas las personas, “incluidos los adolescentes y jóvenes”, tienen derecho a recibir información con base empírica sobre la salud sexual y reproductiva. Esto incluye información sobre “la salud materna, los anticonceptivos, la planificación familiar, las infecciones de transmisión sexual, la prevención del VIH, el aborto sin riesgo y la asistencia posterior en casos de aborto, la fecundidad y las opciones de fecundidad, y el cáncer del sistema reproductor”, proporcionada de manera que responda a las necesidades de la persona y de la comunidad</w:t>
      </w:r>
      <w:r w:rsidRPr="00C61678">
        <w:rPr>
          <w:rStyle w:val="EndnoteReference"/>
          <w:rFonts w:asciiTheme="minorHAnsi" w:hAnsiTheme="minorHAnsi" w:cstheme="minorHAnsi"/>
          <w:sz w:val="20"/>
          <w:szCs w:val="20"/>
          <w:lang w:val="es-ES"/>
        </w:rPr>
        <w:endnoteReference w:id="73"/>
      </w:r>
      <w:r w:rsidRPr="00C61678">
        <w:rPr>
          <w:rFonts w:cstheme="minorHAnsi"/>
          <w:sz w:val="20"/>
          <w:szCs w:val="20"/>
          <w:lang w:val="es-ES"/>
        </w:rPr>
        <w:t>. En una línea similar se ha pronunciado el Comité CEDAW</w:t>
      </w:r>
      <w:r w:rsidRPr="00C61678">
        <w:rPr>
          <w:rStyle w:val="EndnoteReference"/>
          <w:rFonts w:asciiTheme="minorHAnsi" w:hAnsiTheme="minorHAnsi" w:cstheme="minorHAnsi"/>
          <w:sz w:val="20"/>
          <w:szCs w:val="20"/>
          <w:lang w:val="es-ES"/>
        </w:rPr>
        <w:endnoteReference w:id="74"/>
      </w:r>
      <w:r w:rsidRPr="00C61678">
        <w:rPr>
          <w:rFonts w:cstheme="minorHAnsi"/>
          <w:sz w:val="20"/>
          <w:szCs w:val="20"/>
          <w:lang w:val="es-ES"/>
        </w:rPr>
        <w:t>, el Comité de los Derechos de los Niños</w:t>
      </w:r>
      <w:r w:rsidRPr="00C61678">
        <w:rPr>
          <w:rStyle w:val="EndnoteReference"/>
          <w:rFonts w:asciiTheme="minorHAnsi" w:hAnsiTheme="minorHAnsi" w:cstheme="minorHAnsi"/>
          <w:sz w:val="20"/>
          <w:szCs w:val="20"/>
          <w:lang w:val="es-ES"/>
        </w:rPr>
        <w:endnoteReference w:id="75"/>
      </w:r>
      <w:r w:rsidRPr="00C61678">
        <w:rPr>
          <w:rFonts w:cstheme="minorHAnsi"/>
          <w:sz w:val="20"/>
          <w:szCs w:val="20"/>
          <w:lang w:val="es-ES"/>
        </w:rPr>
        <w:t xml:space="preserve"> así como varios Relatores Especiales</w:t>
      </w:r>
      <w:r w:rsidRPr="00C61678">
        <w:rPr>
          <w:rStyle w:val="EndnoteReference"/>
          <w:rFonts w:asciiTheme="minorHAnsi" w:hAnsiTheme="minorHAnsi" w:cstheme="minorHAnsi"/>
          <w:sz w:val="20"/>
          <w:szCs w:val="20"/>
          <w:lang w:val="es-ES"/>
        </w:rPr>
        <w:endnoteReference w:id="76"/>
      </w:r>
      <w:r w:rsidRPr="00C61678">
        <w:rPr>
          <w:rFonts w:cstheme="minorHAnsi"/>
          <w:sz w:val="20"/>
          <w:szCs w:val="20"/>
          <w:lang w:val="es-ES"/>
        </w:rPr>
        <w:t xml:space="preserve">, </w:t>
      </w:r>
      <w:r w:rsidR="00FD0DF7">
        <w:rPr>
          <w:rFonts w:cstheme="minorHAnsi"/>
          <w:sz w:val="20"/>
          <w:szCs w:val="20"/>
          <w:lang w:val="es-ES"/>
        </w:rPr>
        <w:t>al referir</w:t>
      </w:r>
      <w:r w:rsidRPr="00C61678">
        <w:rPr>
          <w:rFonts w:cstheme="minorHAnsi"/>
          <w:sz w:val="20"/>
          <w:szCs w:val="20"/>
          <w:lang w:val="es-ES"/>
        </w:rPr>
        <w:t xml:space="preserve"> que la información y educación sobre salud sexual y reproductiva </w:t>
      </w:r>
      <w:r w:rsidRPr="00C61678">
        <w:rPr>
          <w:rFonts w:cstheme="minorHAnsi"/>
          <w:b/>
          <w:bCs/>
          <w:sz w:val="20"/>
          <w:szCs w:val="20"/>
          <w:u w:val="single"/>
          <w:lang w:val="es-ES"/>
        </w:rPr>
        <w:t>es imprescindible</w:t>
      </w:r>
      <w:r w:rsidRPr="00C61678">
        <w:rPr>
          <w:rFonts w:cstheme="minorHAnsi"/>
          <w:sz w:val="20"/>
          <w:szCs w:val="20"/>
          <w:lang w:val="es-ES"/>
        </w:rPr>
        <w:t xml:space="preserve"> para la toma decisiones reproductivas y en particular empodera a las niñas a tomar decisiones informadas y autónomas, de acuerdo con la evolución de sus capacidades</w:t>
      </w:r>
      <w:r w:rsidRPr="00C61678">
        <w:rPr>
          <w:rStyle w:val="EndnoteReference"/>
          <w:rFonts w:asciiTheme="minorHAnsi" w:hAnsiTheme="minorHAnsi" w:cstheme="minorHAnsi"/>
          <w:sz w:val="20"/>
          <w:szCs w:val="20"/>
          <w:lang w:val="es-ES"/>
        </w:rPr>
        <w:endnoteReference w:id="77"/>
      </w:r>
      <w:r w:rsidRPr="00C61678">
        <w:rPr>
          <w:rFonts w:cstheme="minorHAnsi"/>
          <w:sz w:val="20"/>
          <w:szCs w:val="20"/>
          <w:lang w:val="es-ES"/>
        </w:rPr>
        <w:t>, sobre su cuerpo, salud, y reproducción y así permite la efectiva reivindicación de sus derechos.</w:t>
      </w:r>
    </w:p>
    <w:p w14:paraId="0B14B00B" w14:textId="65F398C6" w:rsidR="00F15245" w:rsidRPr="008D414C" w:rsidRDefault="00A02C63" w:rsidP="00C15AD5">
      <w:pPr>
        <w:pStyle w:val="TextoCarta"/>
        <w:numPr>
          <w:ilvl w:val="0"/>
          <w:numId w:val="17"/>
        </w:numPr>
        <w:ind w:left="284"/>
        <w:rPr>
          <w:rFonts w:cstheme="minorHAnsi"/>
          <w:sz w:val="20"/>
          <w:szCs w:val="20"/>
        </w:rPr>
      </w:pPr>
      <w:r w:rsidRPr="00C61678">
        <w:rPr>
          <w:rFonts w:cstheme="minorHAnsi"/>
          <w:b/>
          <w:bCs/>
          <w:sz w:val="20"/>
          <w:szCs w:val="20"/>
        </w:rPr>
        <w:t xml:space="preserve">En este sentido, es claro que el acceso a la información y educación sexual de calidad y adaptada a la edad y capacidades de las niñas, niños y adolescentes, es una condición </w:t>
      </w:r>
      <w:r w:rsidRPr="00C61678">
        <w:rPr>
          <w:rFonts w:cstheme="minorHAnsi"/>
          <w:b/>
          <w:bCs/>
          <w:i/>
          <w:iCs/>
          <w:sz w:val="20"/>
          <w:szCs w:val="20"/>
        </w:rPr>
        <w:t>sin qua non</w:t>
      </w:r>
      <w:r w:rsidRPr="00C61678">
        <w:rPr>
          <w:rFonts w:cstheme="minorHAnsi"/>
          <w:b/>
          <w:bCs/>
          <w:sz w:val="20"/>
          <w:szCs w:val="20"/>
        </w:rPr>
        <w:t>, para poder, primero, conocer y tener acceso a los servicios de salud sexual y reproductiva, pero además, para poder tener herramientas para reconocer sus derechos y poder tomar decisiones informadas y autónomas que revindiquen sus derechos fundamentales a la vida privada y autonomía reproductiva, a la vida y dignidad, entre otros.</w:t>
      </w:r>
      <w:r w:rsidRPr="00C61678">
        <w:rPr>
          <w:rFonts w:cstheme="minorHAnsi"/>
          <w:sz w:val="20"/>
          <w:szCs w:val="20"/>
          <w:lang w:val="es-ES"/>
        </w:rPr>
        <w:t> </w:t>
      </w:r>
    </w:p>
    <w:p w14:paraId="17C05E9E" w14:textId="77777777" w:rsidR="008D414C" w:rsidRPr="00F27E50" w:rsidRDefault="008D414C" w:rsidP="0080756A">
      <w:pPr>
        <w:pStyle w:val="Heading2"/>
      </w:pPr>
      <w:r w:rsidRPr="007864EC">
        <w:t>Los llamad</w:t>
      </w:r>
      <w:r>
        <w:t>o</w:t>
      </w:r>
      <w:r w:rsidRPr="007864EC">
        <w:t xml:space="preserve">s al Estado de Guatemala a garantizar </w:t>
      </w:r>
      <w:r>
        <w:t>el acceso a la información y educación sexual y</w:t>
      </w:r>
      <w:r w:rsidRPr="007864EC">
        <w:t xml:space="preserve"> reproductiv</w:t>
      </w:r>
      <w:r>
        <w:t xml:space="preserve">a para las adolescentes </w:t>
      </w:r>
      <w:r w:rsidRPr="007864EC">
        <w:t>y niñas</w:t>
      </w:r>
    </w:p>
    <w:p w14:paraId="4D38D140" w14:textId="2BFC7EAE" w:rsidR="008D414C" w:rsidRPr="008D414C" w:rsidRDefault="008D414C" w:rsidP="008D414C">
      <w:pPr>
        <w:pStyle w:val="TextoCarta"/>
        <w:numPr>
          <w:ilvl w:val="0"/>
          <w:numId w:val="17"/>
        </w:numPr>
        <w:ind w:left="284"/>
        <w:rPr>
          <w:rFonts w:cstheme="minorHAnsi"/>
          <w:sz w:val="20"/>
          <w:szCs w:val="20"/>
        </w:rPr>
      </w:pPr>
      <w:r w:rsidRPr="00C61678">
        <w:rPr>
          <w:rFonts w:cstheme="minorHAnsi"/>
          <w:sz w:val="20"/>
          <w:szCs w:val="20"/>
        </w:rPr>
        <w:t xml:space="preserve">Al respecto, </w:t>
      </w:r>
      <w:r w:rsidRPr="008D414C">
        <w:rPr>
          <w:rFonts w:cstheme="minorHAnsi"/>
          <w:b/>
          <w:bCs/>
          <w:sz w:val="20"/>
          <w:szCs w:val="20"/>
        </w:rPr>
        <w:t xml:space="preserve">este </w:t>
      </w:r>
      <w:r w:rsidRPr="008D414C">
        <w:rPr>
          <w:rFonts w:cstheme="minorHAnsi"/>
          <w:b/>
          <w:bCs/>
          <w:sz w:val="20"/>
          <w:szCs w:val="20"/>
          <w:lang w:val="es-ES"/>
        </w:rPr>
        <w:t>Comité</w:t>
      </w:r>
      <w:r w:rsidRPr="00C61678">
        <w:rPr>
          <w:rFonts w:cstheme="minorHAnsi"/>
          <w:sz w:val="20"/>
          <w:szCs w:val="20"/>
          <w:lang w:val="es-ES"/>
        </w:rPr>
        <w:t xml:space="preserve"> ya le recomendó a Guatemala </w:t>
      </w:r>
      <w:r w:rsidRPr="00C61678">
        <w:rPr>
          <w:sz w:val="20"/>
          <w:szCs w:val="20"/>
        </w:rPr>
        <w:t>“incorpor[ar] una amplia educación sobre salud sexual y reproductiva en los programas escolares, tomando en consideración la edad de los niños, en la enseñanza primaria y secundaria, e implante programas de educación y concienciación de la opinión pública a este respecto”</w:t>
      </w:r>
      <w:r w:rsidRPr="00C61678">
        <w:rPr>
          <w:rStyle w:val="EndnoteReference"/>
          <w:sz w:val="20"/>
          <w:szCs w:val="20"/>
        </w:rPr>
        <w:endnoteReference w:id="78"/>
      </w:r>
      <w:r w:rsidRPr="00C61678">
        <w:rPr>
          <w:sz w:val="20"/>
          <w:szCs w:val="20"/>
        </w:rPr>
        <w:t xml:space="preserve">. Similarmente, recientemente </w:t>
      </w:r>
      <w:r w:rsidRPr="00C61678">
        <w:rPr>
          <w:rFonts w:cstheme="minorHAnsi"/>
          <w:sz w:val="20"/>
          <w:szCs w:val="20"/>
        </w:rPr>
        <w:t xml:space="preserve">el </w:t>
      </w:r>
      <w:r w:rsidRPr="008D414C">
        <w:rPr>
          <w:rFonts w:cstheme="minorHAnsi"/>
          <w:b/>
          <w:bCs/>
          <w:sz w:val="20"/>
          <w:szCs w:val="20"/>
        </w:rPr>
        <w:t>Comité de los Derechos del Niño</w:t>
      </w:r>
      <w:r w:rsidRPr="00C61678">
        <w:rPr>
          <w:rFonts w:cstheme="minorHAnsi"/>
          <w:sz w:val="20"/>
          <w:szCs w:val="20"/>
        </w:rPr>
        <w:t xml:space="preserve"> manifestó preocupación por "las barreras que continúan enfrentando los adolescentes </w:t>
      </w:r>
      <w:r w:rsidRPr="00C61678">
        <w:rPr>
          <w:rFonts w:cstheme="minorHAnsi"/>
          <w:sz w:val="20"/>
          <w:szCs w:val="20"/>
          <w:lang w:val="es-ES"/>
        </w:rPr>
        <w:t xml:space="preserve">[en Guatemala] </w:t>
      </w:r>
      <w:r w:rsidRPr="00C61678">
        <w:rPr>
          <w:rFonts w:cstheme="minorHAnsi"/>
          <w:sz w:val="20"/>
          <w:szCs w:val="20"/>
        </w:rPr>
        <w:t>en el acceso a servicios de salud en materia sexual y reproductiva y en educación, la alta incidencia de embarazos adolescentes y los elevados riesgos de mortalidad materna en madres adolescentes, y el acceso insuficiente a métodos anticonceptivos modernos" con base en lo cual recomendó al Estado “</w:t>
      </w:r>
      <w:r w:rsidRPr="008D414C">
        <w:rPr>
          <w:rFonts w:cstheme="minorHAnsi"/>
          <w:sz w:val="20"/>
          <w:szCs w:val="20"/>
        </w:rPr>
        <w:t>garanti[zar] que la educación sobre salud sexual y reproductiva forme parte del plan de estudios escolar obligatorio, y que para su desarrollo se cuente con la participación de adolescentes de ambos sexos y se preste particular atención a la prevención de los embarazos precoces y las infecciones de transmisión sexual”.</w:t>
      </w:r>
      <w:r w:rsidRPr="008D414C">
        <w:rPr>
          <w:rStyle w:val="EndnoteReference"/>
          <w:rFonts w:asciiTheme="minorHAnsi" w:hAnsiTheme="minorHAnsi" w:cstheme="minorHAnsi"/>
          <w:sz w:val="20"/>
          <w:szCs w:val="20"/>
        </w:rPr>
        <w:endnoteReference w:id="79"/>
      </w:r>
      <w:r w:rsidRPr="00C61678">
        <w:rPr>
          <w:rFonts w:cstheme="minorHAnsi"/>
          <w:sz w:val="20"/>
          <w:szCs w:val="20"/>
        </w:rPr>
        <w:t xml:space="preserve"> </w:t>
      </w:r>
      <w:r w:rsidRPr="00C61678">
        <w:rPr>
          <w:rFonts w:cstheme="minorHAnsi"/>
          <w:b/>
          <w:bCs/>
          <w:sz w:val="20"/>
          <w:szCs w:val="20"/>
        </w:rPr>
        <w:t xml:space="preserve">No obstante, </w:t>
      </w:r>
      <w:r w:rsidRPr="00C61678">
        <w:rPr>
          <w:b/>
          <w:bCs/>
          <w:sz w:val="20"/>
          <w:szCs w:val="20"/>
        </w:rPr>
        <w:t>hasta la fecha, Guatemala no ha tomado medidas para efectivizar estas recomendaciones.</w:t>
      </w:r>
    </w:p>
    <w:p w14:paraId="2B6C6B63" w14:textId="5077790C" w:rsidR="0039269F" w:rsidRDefault="0039269F" w:rsidP="0039269F">
      <w:pPr>
        <w:pStyle w:val="Heading1"/>
      </w:pPr>
      <w:r>
        <w:t>Guatemala n</w:t>
      </w:r>
      <w:r w:rsidRPr="00C61678">
        <w:t xml:space="preserve">o Protege a las Niñas y Mujeres </w:t>
      </w:r>
      <w:r w:rsidR="00A133EA">
        <w:t>contra la</w:t>
      </w:r>
      <w:r w:rsidRPr="00C61678">
        <w:t xml:space="preserve"> Violencia Sexual </w:t>
      </w:r>
    </w:p>
    <w:p w14:paraId="4003A0A0" w14:textId="378DC143" w:rsidR="00F81886" w:rsidRPr="0039269F" w:rsidRDefault="0039269F" w:rsidP="0080756A">
      <w:pPr>
        <w:pStyle w:val="Heading2"/>
        <w:numPr>
          <w:ilvl w:val="0"/>
          <w:numId w:val="32"/>
        </w:numPr>
      </w:pPr>
      <w:r>
        <w:t>L</w:t>
      </w:r>
      <w:r w:rsidR="0076044A" w:rsidRPr="0039269F">
        <w:t>os altos y alarmantes</w:t>
      </w:r>
      <w:r w:rsidR="00F81886" w:rsidRPr="0039269F">
        <w:t xml:space="preserve"> niveles de violencia sexual </w:t>
      </w:r>
      <w:r w:rsidR="0076044A" w:rsidRPr="0039269F">
        <w:t>contra niñas y mujeres en Guatemala</w:t>
      </w:r>
      <w:r w:rsidRPr="0039269F">
        <w:t xml:space="preserve"> </w:t>
      </w:r>
    </w:p>
    <w:p w14:paraId="4C2B542A" w14:textId="1DBAFAAC" w:rsidR="005A44DC" w:rsidRPr="00C61678" w:rsidRDefault="00F81886" w:rsidP="005A44DC">
      <w:pPr>
        <w:pStyle w:val="TextoCarta"/>
        <w:numPr>
          <w:ilvl w:val="0"/>
          <w:numId w:val="17"/>
        </w:numPr>
        <w:ind w:left="284"/>
        <w:rPr>
          <w:rFonts w:cstheme="minorHAnsi"/>
          <w:sz w:val="20"/>
          <w:szCs w:val="20"/>
        </w:rPr>
      </w:pPr>
      <w:r w:rsidRPr="00C61678">
        <w:rPr>
          <w:rFonts w:cstheme="minorHAnsi"/>
          <w:sz w:val="20"/>
          <w:szCs w:val="20"/>
        </w:rPr>
        <w:t xml:space="preserve">El embarazo en mujeres </w:t>
      </w:r>
      <w:r w:rsidR="00FD0DF7">
        <w:rPr>
          <w:rFonts w:cstheme="minorHAnsi"/>
          <w:sz w:val="20"/>
          <w:szCs w:val="20"/>
        </w:rPr>
        <w:t xml:space="preserve">jóvenes y </w:t>
      </w:r>
      <w:r w:rsidRPr="00C61678">
        <w:rPr>
          <w:rFonts w:cstheme="minorHAnsi"/>
          <w:sz w:val="20"/>
          <w:szCs w:val="20"/>
        </w:rPr>
        <w:t xml:space="preserve">adolescentes está también asociado a la presencia de violencia intrafamiliar, abuso sexual y violaciones. La ENSMI reporta que el 10% de mujeres </w:t>
      </w:r>
      <w:r w:rsidR="001D1B26">
        <w:rPr>
          <w:rFonts w:cstheme="minorHAnsi"/>
          <w:sz w:val="20"/>
          <w:szCs w:val="20"/>
        </w:rPr>
        <w:t xml:space="preserve">jóvenes y </w:t>
      </w:r>
      <w:r w:rsidRPr="00C61678">
        <w:rPr>
          <w:rFonts w:cstheme="minorHAnsi"/>
          <w:sz w:val="20"/>
          <w:szCs w:val="20"/>
        </w:rPr>
        <w:t>adolescentes entre 15 y 19 años "tuvieron relaciones sexuales con un hombre 10 años mayor o más" y que "más del 3% (…) reportan haber sido víctima de violencia sexual" siendo en todo caso "probable que esta cifra muestre un sub registro."</w:t>
      </w:r>
      <w:r w:rsidRPr="00C61678">
        <w:rPr>
          <w:rStyle w:val="EndnoteReference"/>
          <w:rFonts w:asciiTheme="minorHAnsi" w:hAnsiTheme="minorHAnsi" w:cstheme="minorHAnsi"/>
          <w:sz w:val="20"/>
          <w:szCs w:val="20"/>
        </w:rPr>
        <w:t xml:space="preserve"> </w:t>
      </w:r>
      <w:r w:rsidRPr="00C61678">
        <w:rPr>
          <w:rStyle w:val="EndnoteReference"/>
          <w:rFonts w:asciiTheme="minorHAnsi" w:hAnsiTheme="minorHAnsi" w:cstheme="minorHAnsi"/>
          <w:sz w:val="20"/>
          <w:szCs w:val="20"/>
        </w:rPr>
        <w:endnoteReference w:id="80"/>
      </w:r>
      <w:r w:rsidRPr="00C61678">
        <w:rPr>
          <w:rFonts w:cstheme="minorHAnsi"/>
          <w:sz w:val="20"/>
          <w:szCs w:val="20"/>
        </w:rPr>
        <w:t xml:space="preserve"> De hecho, según cifras del Ministerio de Salud Pública y Asistencia Social de Guatemala, se reportaron "3,815 casos de violencia en el 2014, sobre todo abuso sexual, agresión por medios no especificados y violencia física, en niños y adolescentes" siendo las víctimas en el 79%  de los casos mujeres, y de estas la mayoría corresponde a niñas</w:t>
      </w:r>
      <w:r w:rsidR="001D1B26">
        <w:rPr>
          <w:rFonts w:cstheme="minorHAnsi"/>
          <w:sz w:val="20"/>
          <w:szCs w:val="20"/>
        </w:rPr>
        <w:t xml:space="preserve">, adolescentes y </w:t>
      </w:r>
      <w:r w:rsidRPr="00C61678">
        <w:rPr>
          <w:rFonts w:cstheme="minorHAnsi"/>
          <w:sz w:val="20"/>
          <w:szCs w:val="20"/>
        </w:rPr>
        <w:t>mujeres</w:t>
      </w:r>
      <w:r w:rsidR="001D1B26">
        <w:rPr>
          <w:rFonts w:cstheme="minorHAnsi"/>
          <w:sz w:val="20"/>
          <w:szCs w:val="20"/>
        </w:rPr>
        <w:t xml:space="preserve"> jóvenes de </w:t>
      </w:r>
      <w:r w:rsidRPr="00C61678">
        <w:rPr>
          <w:rFonts w:cstheme="minorHAnsi"/>
          <w:sz w:val="20"/>
          <w:szCs w:val="20"/>
        </w:rPr>
        <w:t>entre 10 y 19 años.</w:t>
      </w:r>
      <w:r w:rsidRPr="00C61678">
        <w:rPr>
          <w:rStyle w:val="EndnoteReference"/>
          <w:rFonts w:asciiTheme="minorHAnsi" w:hAnsiTheme="minorHAnsi" w:cstheme="minorHAnsi"/>
          <w:sz w:val="20"/>
          <w:szCs w:val="20"/>
        </w:rPr>
        <w:endnoteReference w:id="81"/>
      </w:r>
      <w:r w:rsidRPr="00C61678">
        <w:rPr>
          <w:rFonts w:cstheme="minorHAnsi"/>
          <w:sz w:val="20"/>
          <w:szCs w:val="20"/>
        </w:rPr>
        <w:t xml:space="preserve"> </w:t>
      </w:r>
    </w:p>
    <w:p w14:paraId="6635E7C0" w14:textId="44AD6C94" w:rsidR="00F81886" w:rsidRPr="00C61678" w:rsidRDefault="00F81886" w:rsidP="005A44DC">
      <w:pPr>
        <w:pStyle w:val="TextoCarta"/>
        <w:numPr>
          <w:ilvl w:val="0"/>
          <w:numId w:val="17"/>
        </w:numPr>
        <w:ind w:left="284"/>
        <w:rPr>
          <w:rFonts w:cstheme="minorHAnsi"/>
          <w:sz w:val="20"/>
          <w:szCs w:val="20"/>
        </w:rPr>
      </w:pPr>
      <w:r w:rsidRPr="00C61678">
        <w:rPr>
          <w:rFonts w:cstheme="minorHAnsi"/>
          <w:sz w:val="20"/>
          <w:szCs w:val="20"/>
        </w:rPr>
        <w:t>El número de embarazos producto de una violación sexual en niñas de 10 a 14 años (12,683 casos, en el período 2010 – 2014) evidencia la gravedad de la situación.</w:t>
      </w:r>
      <w:r w:rsidRPr="00C61678">
        <w:rPr>
          <w:rStyle w:val="EndnoteReference"/>
          <w:rFonts w:asciiTheme="minorHAnsi" w:hAnsiTheme="minorHAnsi" w:cstheme="minorHAnsi"/>
          <w:sz w:val="20"/>
          <w:szCs w:val="20"/>
        </w:rPr>
        <w:endnoteReference w:id="82"/>
      </w:r>
      <w:r w:rsidRPr="00C61678">
        <w:rPr>
          <w:rFonts w:cstheme="minorHAnsi"/>
          <w:sz w:val="20"/>
          <w:szCs w:val="20"/>
        </w:rPr>
        <w:t xml:space="preserve"> En cifras recientes, se presentaron entre 2012 y octubre de 2019 más de 440 mil denuncias por violencia contra mujeres, de las cuales 2.473 fueron registradas por violencia sexual, pero 142 mil no tienen ningún registro relativo al tipo de violencia denunciado, por lo que la violencia sexual puede ser mucho mayor.</w:t>
      </w:r>
      <w:r w:rsidRPr="00C61678">
        <w:rPr>
          <w:rStyle w:val="EndnoteReference"/>
          <w:rFonts w:asciiTheme="minorHAnsi" w:hAnsiTheme="minorHAnsi" w:cstheme="minorHAnsi"/>
          <w:sz w:val="20"/>
          <w:szCs w:val="20"/>
        </w:rPr>
        <w:t xml:space="preserve"> </w:t>
      </w:r>
      <w:r w:rsidRPr="00C61678">
        <w:rPr>
          <w:rStyle w:val="EndnoteReference"/>
          <w:rFonts w:asciiTheme="minorHAnsi" w:hAnsiTheme="minorHAnsi" w:cstheme="minorHAnsi"/>
          <w:sz w:val="20"/>
          <w:szCs w:val="20"/>
        </w:rPr>
        <w:endnoteReference w:id="83"/>
      </w:r>
      <w:r w:rsidRPr="00C61678">
        <w:rPr>
          <w:rFonts w:cstheme="minorHAnsi"/>
          <w:sz w:val="20"/>
          <w:szCs w:val="20"/>
        </w:rPr>
        <w:t xml:space="preserve"> Además, la violencia sexual contra niñas y mujeres ha ido en aumento entre 2017 y 2019, según datos del Instituto Nacional de Ciencias Forenses de Guatemala, y la mayoría de los reconocimientos médicos por delitos sexuales fueron realizados a niñas y adolescentes menores de edad, con 60.9% de los casos.</w:t>
      </w:r>
      <w:r w:rsidRPr="00C61678">
        <w:rPr>
          <w:rStyle w:val="EndnoteReference"/>
          <w:rFonts w:asciiTheme="minorHAnsi" w:hAnsiTheme="minorHAnsi" w:cstheme="minorHAnsi"/>
          <w:sz w:val="20"/>
          <w:szCs w:val="20"/>
        </w:rPr>
        <w:t xml:space="preserve"> </w:t>
      </w:r>
      <w:r w:rsidRPr="00C61678">
        <w:rPr>
          <w:rStyle w:val="EndnoteReference"/>
          <w:rFonts w:asciiTheme="minorHAnsi" w:hAnsiTheme="minorHAnsi" w:cstheme="minorHAnsi"/>
          <w:sz w:val="20"/>
          <w:szCs w:val="20"/>
        </w:rPr>
        <w:endnoteReference w:id="84"/>
      </w:r>
      <w:r w:rsidRPr="00C61678">
        <w:rPr>
          <w:rFonts w:cstheme="minorHAnsi"/>
          <w:sz w:val="20"/>
          <w:szCs w:val="20"/>
        </w:rPr>
        <w:t xml:space="preserve"> Según cifras del Observatorio de Salud Sexual y Reproductiva, reportadas por el Procurador de los Derechos Humanos de Guatemala, entre 1 de enero y 31 de agosto de 2019 el Registro Nacional de las Personas de Guatemala registró "85,619 embarazos en niñas, adolescentes y jóvenes comprendidas en las edades de 10 a 19 años, siendo que, 238 corresponden a niñas de 10 a 12 años y que 40,861 lo constituyen adolescentes de 13 a 17 años."</w:t>
      </w:r>
      <w:r w:rsidRPr="00C61678">
        <w:rPr>
          <w:rStyle w:val="EndnoteReference"/>
          <w:rFonts w:asciiTheme="minorHAnsi" w:hAnsiTheme="minorHAnsi" w:cstheme="minorHAnsi"/>
          <w:sz w:val="20"/>
          <w:szCs w:val="20"/>
        </w:rPr>
        <w:endnoteReference w:id="85"/>
      </w:r>
      <w:r w:rsidRPr="00C61678">
        <w:rPr>
          <w:rFonts w:cstheme="minorHAnsi"/>
          <w:sz w:val="20"/>
          <w:szCs w:val="20"/>
        </w:rPr>
        <w:t xml:space="preserve"> A partir de estas cifras el Procurador de los Derechos Humanos concluye:</w:t>
      </w:r>
    </w:p>
    <w:p w14:paraId="3D08917C" w14:textId="77777777" w:rsidR="00F81886" w:rsidRPr="00C61678" w:rsidRDefault="00F81886" w:rsidP="00E8090D">
      <w:pPr>
        <w:pStyle w:val="Cita1"/>
        <w:rPr>
          <w:rFonts w:cstheme="minorHAnsi"/>
          <w:sz w:val="20"/>
          <w:szCs w:val="20"/>
        </w:rPr>
      </w:pPr>
      <w:r w:rsidRPr="00C61678">
        <w:rPr>
          <w:rFonts w:cstheme="minorHAnsi"/>
          <w:sz w:val="20"/>
          <w:szCs w:val="20"/>
        </w:rPr>
        <w:t>"Los datos evidencian que las niñas y las adolescentes están mucho más expuestas a la violencia sexual, situación que demuestra la necesidad y urgencia de enfocar esfuerzos institucionales orientados a la prevención de la violencia que se ejerce en contra de las mujeres de todas las edades, sin perder de vista la importancia de la denuncia de este delito, sobre todo para evitar que más niñas y adolescentes, trunquen sus sueños de desarrollar sus proyectos de vida, por tener que asumir embarazos y maternidades forzadas."</w:t>
      </w:r>
      <w:r w:rsidRPr="00C61678">
        <w:rPr>
          <w:rStyle w:val="EndnoteReference"/>
          <w:rFonts w:asciiTheme="minorHAnsi" w:hAnsiTheme="minorHAnsi" w:cstheme="minorHAnsi"/>
          <w:sz w:val="20"/>
          <w:szCs w:val="20"/>
        </w:rPr>
        <w:endnoteReference w:id="86"/>
      </w:r>
    </w:p>
    <w:p w14:paraId="6C8922A3" w14:textId="77777777" w:rsidR="005A44DC" w:rsidRPr="00C61678" w:rsidRDefault="00F81886" w:rsidP="005A44DC">
      <w:pPr>
        <w:pStyle w:val="TextoCarta"/>
        <w:numPr>
          <w:ilvl w:val="0"/>
          <w:numId w:val="17"/>
        </w:numPr>
        <w:ind w:left="284"/>
        <w:rPr>
          <w:rFonts w:cstheme="minorHAnsi"/>
          <w:sz w:val="20"/>
          <w:szCs w:val="20"/>
        </w:rPr>
      </w:pPr>
      <w:r w:rsidRPr="00C61678">
        <w:rPr>
          <w:rFonts w:cstheme="minorHAnsi"/>
          <w:sz w:val="20"/>
          <w:szCs w:val="20"/>
        </w:rPr>
        <w:t>En materia de violencia sexual contra niñas y mujeres, el Planovi reporta que "el 8% de las mujeres entre 15 y 49 años se han visto afectadas en al menos una vez por algún hecho de violencia sexual. Este indicador se agrava más para las mujeres del área urbana, con un 10.5%, mientras que en el área rural se identificó un 6.7% de mujeres."</w:t>
      </w:r>
      <w:r w:rsidRPr="00C61678">
        <w:rPr>
          <w:rStyle w:val="EndnoteReference"/>
          <w:rFonts w:asciiTheme="minorHAnsi" w:hAnsiTheme="minorHAnsi" w:cstheme="minorHAnsi"/>
          <w:sz w:val="20"/>
          <w:szCs w:val="20"/>
        </w:rPr>
        <w:endnoteReference w:id="87"/>
      </w:r>
    </w:p>
    <w:p w14:paraId="7D12F61F" w14:textId="1F59A912" w:rsidR="00F81886" w:rsidRPr="00C61678" w:rsidRDefault="00F81886" w:rsidP="005A44DC">
      <w:pPr>
        <w:pStyle w:val="TextoCarta"/>
        <w:numPr>
          <w:ilvl w:val="0"/>
          <w:numId w:val="17"/>
        </w:numPr>
        <w:ind w:left="284"/>
        <w:rPr>
          <w:rFonts w:cstheme="minorHAnsi"/>
          <w:sz w:val="20"/>
          <w:szCs w:val="20"/>
        </w:rPr>
      </w:pPr>
      <w:r w:rsidRPr="00C61678">
        <w:rPr>
          <w:rFonts w:cstheme="minorHAnsi"/>
          <w:sz w:val="20"/>
          <w:szCs w:val="20"/>
        </w:rPr>
        <w:t xml:space="preserve">De acuerdo con cifras del gobierno Guatemalteco tan </w:t>
      </w:r>
      <w:r w:rsidR="00BE13B1">
        <w:rPr>
          <w:rFonts w:cstheme="minorHAnsi"/>
          <w:sz w:val="20"/>
          <w:szCs w:val="20"/>
        </w:rPr>
        <w:t xml:space="preserve">sólo </w:t>
      </w:r>
      <w:r w:rsidRPr="00C61678">
        <w:rPr>
          <w:rFonts w:cstheme="minorHAnsi"/>
          <w:sz w:val="20"/>
          <w:szCs w:val="20"/>
        </w:rPr>
        <w:t>en el 2019 se presentaron 10.893 denuncias por delitos de violencia sexual.</w:t>
      </w:r>
      <w:r w:rsidRPr="00C61678">
        <w:rPr>
          <w:rStyle w:val="EndnoteReference"/>
          <w:rFonts w:asciiTheme="minorHAnsi" w:hAnsiTheme="minorHAnsi" w:cstheme="minorHAnsi"/>
          <w:sz w:val="20"/>
          <w:szCs w:val="20"/>
        </w:rPr>
        <w:endnoteReference w:id="88"/>
      </w:r>
      <w:r w:rsidRPr="00C61678">
        <w:rPr>
          <w:rFonts w:cstheme="minorHAnsi"/>
          <w:sz w:val="20"/>
          <w:szCs w:val="20"/>
        </w:rPr>
        <w:t xml:space="preserve"> Además, la mayoría de los embarazos de niñas son el resultado de una violación, con frecuencia por miembros de la familia u otros hombres cercanos a ellas.</w:t>
      </w:r>
      <w:r w:rsidRPr="00C61678">
        <w:rPr>
          <w:rStyle w:val="EndnoteReference"/>
          <w:rFonts w:asciiTheme="minorHAnsi" w:hAnsiTheme="minorHAnsi" w:cstheme="minorHAnsi"/>
          <w:sz w:val="20"/>
          <w:szCs w:val="20"/>
        </w:rPr>
        <w:endnoteReference w:id="89"/>
      </w:r>
      <w:r w:rsidRPr="00C61678">
        <w:rPr>
          <w:rFonts w:cstheme="minorHAnsi"/>
          <w:sz w:val="20"/>
          <w:szCs w:val="20"/>
        </w:rPr>
        <w:t xml:space="preserve"> De hecho, Guatemala tiene un número muy elevado de embarazos en niñas menores de 14 años con un total de 2.153 embarazos en el 2018.</w:t>
      </w:r>
      <w:r w:rsidRPr="00C61678">
        <w:rPr>
          <w:rStyle w:val="EndnoteReference"/>
          <w:rFonts w:asciiTheme="minorHAnsi" w:hAnsiTheme="minorHAnsi" w:cstheme="minorHAnsi"/>
          <w:sz w:val="20"/>
          <w:szCs w:val="20"/>
        </w:rPr>
        <w:endnoteReference w:id="90"/>
      </w:r>
      <w:r w:rsidRPr="00C61678">
        <w:rPr>
          <w:rFonts w:cstheme="minorHAnsi"/>
          <w:sz w:val="20"/>
          <w:szCs w:val="20"/>
        </w:rPr>
        <w:t xml:space="preserve"> Así, en Guatemala son motivo de preocupación los precarios índices de salud sexual y reproductiva en la infancia y adolescencia: iniciación sexual temprana sin información y por violencia sexual, embarazos no planificados, nacimientos en niñas menores de 14 años, mortalidad materna de niñas y adolescentes, baja escolaridad de las niñas embarazadas y madres.</w:t>
      </w:r>
      <w:r w:rsidRPr="00D77AA3">
        <w:rPr>
          <w:rStyle w:val="EndnoteReference"/>
          <w:rFonts w:asciiTheme="minorHAnsi" w:hAnsiTheme="minorHAnsi" w:cstheme="minorHAnsi"/>
          <w:b w:val="0"/>
          <w:bCs/>
          <w:sz w:val="20"/>
          <w:szCs w:val="20"/>
        </w:rPr>
        <w:endnoteReference w:id="91"/>
      </w:r>
      <w:r w:rsidRPr="00C61678">
        <w:rPr>
          <w:rFonts w:cstheme="minorHAnsi"/>
          <w:sz w:val="20"/>
          <w:szCs w:val="20"/>
        </w:rPr>
        <w:t xml:space="preserve"> </w:t>
      </w:r>
      <w:r w:rsidRPr="00C61678">
        <w:rPr>
          <w:rFonts w:cstheme="minorHAnsi"/>
          <w:b/>
          <w:bCs/>
          <w:sz w:val="20"/>
          <w:szCs w:val="20"/>
        </w:rPr>
        <w:t>Existe una afectación sistemática a la vida y vida digna de las niñas como consecuencia de la falta de respuestas efectivas por parte del Estado para proteger sus derechos frente a la violencia sexual</w:t>
      </w:r>
      <w:r w:rsidRPr="00C61678">
        <w:rPr>
          <w:rFonts w:cstheme="minorHAnsi"/>
          <w:sz w:val="20"/>
          <w:szCs w:val="20"/>
        </w:rPr>
        <w:t xml:space="preserve">. </w:t>
      </w:r>
    </w:p>
    <w:p w14:paraId="0AD1E661" w14:textId="4CBA3CEF" w:rsidR="00F81886" w:rsidRPr="00C61678" w:rsidRDefault="00F81886" w:rsidP="0080756A">
      <w:pPr>
        <w:pStyle w:val="Heading2"/>
      </w:pPr>
      <w:r w:rsidRPr="00C61678">
        <w:t>Deficiencias en materia de investigación penal de delitos de violencia contra la mujer</w:t>
      </w:r>
    </w:p>
    <w:p w14:paraId="317FBB35" w14:textId="7BA52A6D" w:rsidR="00F81886" w:rsidRPr="00C61678" w:rsidRDefault="00F81886" w:rsidP="005A44DC">
      <w:pPr>
        <w:pStyle w:val="TextoCarta"/>
        <w:numPr>
          <w:ilvl w:val="0"/>
          <w:numId w:val="17"/>
        </w:numPr>
        <w:ind w:left="284"/>
        <w:rPr>
          <w:rFonts w:cstheme="minorHAnsi"/>
          <w:sz w:val="20"/>
          <w:szCs w:val="20"/>
        </w:rPr>
      </w:pPr>
      <w:r w:rsidRPr="00C61678">
        <w:rPr>
          <w:rFonts w:cstheme="minorHAnsi"/>
          <w:sz w:val="20"/>
          <w:szCs w:val="20"/>
        </w:rPr>
        <w:t>La violencia sexual no siempre se denuncia y, cuando se denuncia, no siempre se investiga adecuadamente, teniendo en cuenta que la tasa de impunidad en Guatemala por delitos sexuales es del 93,31%.</w:t>
      </w:r>
      <w:r w:rsidRPr="00C61678">
        <w:rPr>
          <w:rStyle w:val="EndnoteReference"/>
          <w:rFonts w:asciiTheme="minorHAnsi" w:hAnsiTheme="minorHAnsi" w:cstheme="minorHAnsi"/>
          <w:sz w:val="20"/>
          <w:szCs w:val="20"/>
        </w:rPr>
        <w:endnoteReference w:id="92"/>
      </w:r>
      <w:r w:rsidRPr="00C61678">
        <w:rPr>
          <w:rFonts w:cstheme="minorHAnsi"/>
          <w:sz w:val="20"/>
          <w:szCs w:val="20"/>
        </w:rPr>
        <w:t xml:space="preserve"> Sobre este punto, el Procurador de los Derechos Humanos de Guatemala, en su informe de seguimiento a las recomendaciones de la CEDAW, resalta deficiencias en cobertura regional y rural de las autoridades encargadas de investigar delitos de violencia sexual contra mujeres. Así, por ejemplo, los órganos jurisdiccionales tienen presencia únicamente en cabeceras departamentales. Los únicos juzgados que tienen presencia en cabeceras municipales son los juzgados de paz, pero estos no tienen competencia respecto de casos de violencia contra mujeres, limitándose a recibir denuncias y remitirlas al órgano jurisdiccional competente.</w:t>
      </w:r>
      <w:r w:rsidRPr="00C61678">
        <w:rPr>
          <w:rStyle w:val="EndnoteReference"/>
          <w:rFonts w:asciiTheme="minorHAnsi" w:hAnsiTheme="minorHAnsi" w:cstheme="minorHAnsi"/>
          <w:sz w:val="20"/>
          <w:szCs w:val="20"/>
        </w:rPr>
        <w:endnoteReference w:id="93"/>
      </w:r>
      <w:r w:rsidRPr="00C61678">
        <w:rPr>
          <w:rFonts w:cstheme="minorHAnsi"/>
          <w:sz w:val="20"/>
          <w:szCs w:val="20"/>
        </w:rPr>
        <w:t xml:space="preserve"> Por su parte, los juzgados y tribunales especializados en delitos de feminicidio y violencia contra la mujer están ubicados en 14 cabeceras departamentales y, de acuerdo a información citada por el Procurador, reportada por la Defensoría de la Mujer de la PDH, </w:t>
      </w:r>
      <w:r w:rsidR="00CF7644">
        <w:rPr>
          <w:rFonts w:cstheme="minorHAnsi"/>
          <w:sz w:val="20"/>
          <w:szCs w:val="20"/>
        </w:rPr>
        <w:t>se entiende que la:</w:t>
      </w:r>
    </w:p>
    <w:p w14:paraId="0C3D9AED" w14:textId="77777777" w:rsidR="00F81886" w:rsidRPr="00C61678" w:rsidRDefault="00F81886" w:rsidP="00E8090D">
      <w:pPr>
        <w:pStyle w:val="Cita1"/>
        <w:rPr>
          <w:rFonts w:cstheme="minorHAnsi"/>
          <w:sz w:val="20"/>
          <w:szCs w:val="20"/>
        </w:rPr>
      </w:pPr>
      <w:r w:rsidRPr="00C61678">
        <w:rPr>
          <w:rFonts w:cstheme="minorHAnsi"/>
          <w:sz w:val="20"/>
          <w:szCs w:val="20"/>
        </w:rPr>
        <w:t xml:space="preserve">"[U]bicación centralizada de las Fiscalías de la Mujer del Ministerio Público, los Juzgados y Tribunales Especializados en Femicidio y Violencia contra la Mujer, mayoritariamente en cabeceras departamental, </w:t>
      </w:r>
      <w:r w:rsidRPr="00C61678">
        <w:rPr>
          <w:rFonts w:cstheme="minorHAnsi"/>
          <w:b/>
          <w:bCs/>
          <w:sz w:val="20"/>
          <w:szCs w:val="20"/>
        </w:rPr>
        <w:t>limita el acceso de las mujeres a la justicia, sobre todo en el caso de las mujeres indígenas y rurales más empobrecidas, que al verse obligadas a recorrer largas distancias para acudir a las audiencias, se desmotivan y desisten de sus procesos de</w:t>
      </w:r>
      <w:r w:rsidRPr="00C61678">
        <w:rPr>
          <w:rFonts w:cstheme="minorHAnsi"/>
          <w:sz w:val="20"/>
          <w:szCs w:val="20"/>
        </w:rPr>
        <w:t xml:space="preserve"> </w:t>
      </w:r>
      <w:r w:rsidRPr="00C61678">
        <w:rPr>
          <w:rFonts w:cstheme="minorHAnsi"/>
          <w:b/>
          <w:bCs/>
          <w:sz w:val="20"/>
          <w:szCs w:val="20"/>
        </w:rPr>
        <w:t>denuncia y procesos judiciales</w:t>
      </w:r>
      <w:r w:rsidRPr="00C61678">
        <w:rPr>
          <w:rFonts w:cstheme="minorHAnsi"/>
          <w:sz w:val="20"/>
          <w:szCs w:val="20"/>
        </w:rPr>
        <w:t>, sobre todo porque no cuentan con los recursos suficientes para costear los gastos de transporte que ello implica."</w:t>
      </w:r>
      <w:r w:rsidRPr="00C61678">
        <w:rPr>
          <w:rStyle w:val="EndnoteReference"/>
          <w:rFonts w:asciiTheme="minorHAnsi" w:hAnsiTheme="minorHAnsi" w:cstheme="minorHAnsi"/>
          <w:sz w:val="20"/>
          <w:szCs w:val="20"/>
        </w:rPr>
        <w:endnoteReference w:id="94"/>
      </w:r>
      <w:r w:rsidRPr="00C61678">
        <w:rPr>
          <w:rFonts w:cstheme="minorHAnsi"/>
          <w:sz w:val="20"/>
          <w:szCs w:val="20"/>
        </w:rPr>
        <w:t xml:space="preserve"> </w:t>
      </w:r>
    </w:p>
    <w:p w14:paraId="326D3231" w14:textId="6E81671B" w:rsidR="00F81886" w:rsidRPr="00C61678" w:rsidRDefault="00F81886" w:rsidP="005A44DC">
      <w:pPr>
        <w:pStyle w:val="TextoCarta"/>
        <w:numPr>
          <w:ilvl w:val="0"/>
          <w:numId w:val="17"/>
        </w:numPr>
        <w:ind w:left="284"/>
        <w:rPr>
          <w:rFonts w:cstheme="minorHAnsi"/>
          <w:sz w:val="20"/>
          <w:szCs w:val="20"/>
        </w:rPr>
      </w:pPr>
      <w:r w:rsidRPr="00C61678">
        <w:rPr>
          <w:rFonts w:cstheme="minorHAnsi"/>
          <w:sz w:val="20"/>
          <w:szCs w:val="20"/>
        </w:rPr>
        <w:t>Otros problemas y limitaciones, identificados por el Procurador, que afectan el acceso efectivo a la justicia por parte de mujeres víctimas de violencia sexual incluyen la deficiente formación de los funcionarios del sistema judicial en materia de derechos humanos, que dificulta el acceso de las víctimas</w:t>
      </w:r>
      <w:r w:rsidR="00BB152B" w:rsidRPr="00C61678">
        <w:rPr>
          <w:rFonts w:cstheme="minorHAnsi"/>
          <w:sz w:val="20"/>
          <w:szCs w:val="20"/>
        </w:rPr>
        <w:t xml:space="preserve">. En particular, se resalta </w:t>
      </w:r>
      <w:r w:rsidR="00D1667C" w:rsidRPr="00C61678">
        <w:rPr>
          <w:rFonts w:cstheme="minorHAnsi"/>
          <w:sz w:val="20"/>
          <w:szCs w:val="20"/>
        </w:rPr>
        <w:t xml:space="preserve">que </w:t>
      </w:r>
      <w:r w:rsidR="00A46793" w:rsidRPr="00C61678">
        <w:rPr>
          <w:rFonts w:cstheme="minorHAnsi"/>
          <w:sz w:val="20"/>
          <w:szCs w:val="20"/>
        </w:rPr>
        <w:t>las y los operadores de justicia en materia de derechos humanos de las mujeres y en justicia especializad</w:t>
      </w:r>
      <w:r w:rsidR="00EA5620">
        <w:rPr>
          <w:rFonts w:cstheme="minorHAnsi"/>
          <w:sz w:val="20"/>
          <w:szCs w:val="20"/>
        </w:rPr>
        <w:t>a tienen una</w:t>
      </w:r>
      <w:r w:rsidR="00A46793" w:rsidRPr="00C61678">
        <w:rPr>
          <w:rFonts w:cstheme="minorHAnsi"/>
          <w:sz w:val="20"/>
          <w:szCs w:val="20"/>
        </w:rPr>
        <w:t xml:space="preserve"> débil formación en la materia</w:t>
      </w:r>
      <w:r w:rsidR="004C1A78" w:rsidRPr="00C61678">
        <w:rPr>
          <w:rFonts w:cstheme="minorHAnsi"/>
          <w:sz w:val="20"/>
          <w:szCs w:val="20"/>
        </w:rPr>
        <w:t xml:space="preserve">, lo cual </w:t>
      </w:r>
      <w:r w:rsidR="00EA5620" w:rsidRPr="00C61678">
        <w:rPr>
          <w:rFonts w:cstheme="minorHAnsi"/>
          <w:sz w:val="20"/>
          <w:szCs w:val="20"/>
        </w:rPr>
        <w:t>repercute</w:t>
      </w:r>
      <w:r w:rsidR="004C1A78" w:rsidRPr="00C61678">
        <w:rPr>
          <w:rFonts w:cstheme="minorHAnsi"/>
          <w:sz w:val="20"/>
          <w:szCs w:val="20"/>
        </w:rPr>
        <w:t xml:space="preserve"> negativamente y </w:t>
      </w:r>
      <w:r w:rsidR="00506A39" w:rsidRPr="00C61678">
        <w:rPr>
          <w:rFonts w:cstheme="minorHAnsi"/>
          <w:sz w:val="20"/>
          <w:szCs w:val="20"/>
        </w:rPr>
        <w:t>de manera</w:t>
      </w:r>
      <w:r w:rsidR="004C1A78" w:rsidRPr="00C61678">
        <w:rPr>
          <w:rFonts w:cstheme="minorHAnsi"/>
          <w:sz w:val="20"/>
          <w:szCs w:val="20"/>
        </w:rPr>
        <w:t xml:space="preserve"> </w:t>
      </w:r>
      <w:r w:rsidR="00506A39" w:rsidRPr="00C61678">
        <w:rPr>
          <w:rFonts w:cstheme="minorHAnsi"/>
          <w:sz w:val="20"/>
          <w:szCs w:val="20"/>
        </w:rPr>
        <w:t>estructural</w:t>
      </w:r>
      <w:r w:rsidR="004C1A78" w:rsidRPr="00C61678">
        <w:rPr>
          <w:rFonts w:cstheme="minorHAnsi"/>
          <w:sz w:val="20"/>
          <w:szCs w:val="20"/>
        </w:rPr>
        <w:t xml:space="preserve"> en el acceso de las mujeres a la justicia</w:t>
      </w:r>
      <w:r w:rsidR="00435DC0" w:rsidRPr="00C61678">
        <w:rPr>
          <w:rStyle w:val="EndnoteReference"/>
          <w:rFonts w:asciiTheme="minorHAnsi" w:hAnsiTheme="minorHAnsi" w:cstheme="minorHAnsi"/>
          <w:sz w:val="20"/>
          <w:szCs w:val="20"/>
        </w:rPr>
        <w:endnoteReference w:id="95"/>
      </w:r>
      <w:r w:rsidR="004C1A78" w:rsidRPr="00C61678">
        <w:rPr>
          <w:rFonts w:cstheme="minorHAnsi"/>
          <w:sz w:val="20"/>
          <w:szCs w:val="20"/>
        </w:rPr>
        <w:t xml:space="preserve">. A modo de ilustración, </w:t>
      </w:r>
      <w:r w:rsidR="00D1667C" w:rsidRPr="00C61678">
        <w:rPr>
          <w:rFonts w:cstheme="minorHAnsi"/>
          <w:sz w:val="20"/>
          <w:szCs w:val="20"/>
        </w:rPr>
        <w:t xml:space="preserve">varias </w:t>
      </w:r>
      <w:r w:rsidR="00C93023" w:rsidRPr="00C61678">
        <w:rPr>
          <w:rFonts w:cstheme="minorHAnsi"/>
          <w:sz w:val="20"/>
          <w:szCs w:val="20"/>
        </w:rPr>
        <w:t>mujeres han referido que “se les ha negado la toma de sus denuncias por violencia contra la mujer cuando no presentan rasgos visibles de violencia física</w:t>
      </w:r>
      <w:r w:rsidR="00D1667C" w:rsidRPr="00C61678">
        <w:rPr>
          <w:rFonts w:cstheme="minorHAnsi"/>
          <w:sz w:val="20"/>
          <w:szCs w:val="20"/>
        </w:rPr>
        <w:t>”</w:t>
      </w:r>
      <w:r w:rsidR="00435DC0" w:rsidRPr="00C61678">
        <w:rPr>
          <w:rStyle w:val="EndnoteReference"/>
          <w:rFonts w:asciiTheme="minorHAnsi" w:hAnsiTheme="minorHAnsi" w:cstheme="minorHAnsi"/>
          <w:sz w:val="20"/>
          <w:szCs w:val="20"/>
        </w:rPr>
        <w:endnoteReference w:id="96"/>
      </w:r>
      <w:r w:rsidR="00D1667C" w:rsidRPr="00C61678">
        <w:rPr>
          <w:rFonts w:cstheme="minorHAnsi"/>
          <w:sz w:val="20"/>
          <w:szCs w:val="20"/>
        </w:rPr>
        <w:t xml:space="preserve"> lo cual </w:t>
      </w:r>
      <w:r w:rsidR="004651AD" w:rsidRPr="00C61678">
        <w:rPr>
          <w:rFonts w:cstheme="minorHAnsi"/>
          <w:sz w:val="20"/>
          <w:szCs w:val="20"/>
        </w:rPr>
        <w:t xml:space="preserve">no sólo es </w:t>
      </w:r>
      <w:r w:rsidR="00D1667C" w:rsidRPr="00C61678">
        <w:rPr>
          <w:rFonts w:cstheme="minorHAnsi"/>
          <w:sz w:val="20"/>
          <w:szCs w:val="20"/>
        </w:rPr>
        <w:t xml:space="preserve">evidencia </w:t>
      </w:r>
      <w:r w:rsidR="004651AD" w:rsidRPr="00C61678">
        <w:rPr>
          <w:rFonts w:cstheme="minorHAnsi"/>
          <w:sz w:val="20"/>
          <w:szCs w:val="20"/>
        </w:rPr>
        <w:t xml:space="preserve">de </w:t>
      </w:r>
      <w:r w:rsidR="00D1667C" w:rsidRPr="00C61678">
        <w:rPr>
          <w:rFonts w:cstheme="minorHAnsi"/>
          <w:sz w:val="20"/>
          <w:szCs w:val="20"/>
        </w:rPr>
        <w:t>las serias falencia</w:t>
      </w:r>
      <w:r w:rsidR="00452382" w:rsidRPr="00C61678">
        <w:rPr>
          <w:rFonts w:cstheme="minorHAnsi"/>
          <w:sz w:val="20"/>
          <w:szCs w:val="20"/>
        </w:rPr>
        <w:t>s</w:t>
      </w:r>
      <w:r w:rsidR="00D1667C" w:rsidRPr="00C61678">
        <w:rPr>
          <w:rFonts w:cstheme="minorHAnsi"/>
          <w:sz w:val="20"/>
          <w:szCs w:val="20"/>
        </w:rPr>
        <w:t xml:space="preserve"> en la recepción de las denuncias </w:t>
      </w:r>
      <w:r w:rsidR="00C93023" w:rsidRPr="00C61678">
        <w:rPr>
          <w:rFonts w:cstheme="minorHAnsi"/>
          <w:sz w:val="20"/>
          <w:szCs w:val="20"/>
        </w:rPr>
        <w:t>y construcción de expedientes de investigación relativas a las mismas</w:t>
      </w:r>
      <w:r w:rsidR="004651AD" w:rsidRPr="00C61678">
        <w:rPr>
          <w:rFonts w:cstheme="minorHAnsi"/>
          <w:sz w:val="20"/>
          <w:szCs w:val="20"/>
        </w:rPr>
        <w:t xml:space="preserve">, sino que representa una barrera estructural </w:t>
      </w:r>
      <w:r w:rsidR="00435DC0" w:rsidRPr="00C61678">
        <w:rPr>
          <w:rFonts w:cstheme="minorHAnsi"/>
          <w:sz w:val="20"/>
          <w:szCs w:val="20"/>
        </w:rPr>
        <w:t>y la perpetuación de prejuicios y estereotipos de género nocivos.</w:t>
      </w:r>
    </w:p>
    <w:p w14:paraId="728A49B7" w14:textId="1E805D82" w:rsidR="00F81886" w:rsidRPr="00C61678" w:rsidRDefault="00F81886" w:rsidP="005A44DC">
      <w:pPr>
        <w:pStyle w:val="TextoCarta"/>
        <w:numPr>
          <w:ilvl w:val="0"/>
          <w:numId w:val="17"/>
        </w:numPr>
        <w:ind w:left="284"/>
        <w:rPr>
          <w:rFonts w:cstheme="minorHAnsi"/>
          <w:sz w:val="20"/>
          <w:szCs w:val="20"/>
        </w:rPr>
      </w:pPr>
      <w:r w:rsidRPr="00C61678">
        <w:rPr>
          <w:rFonts w:cstheme="minorHAnsi"/>
          <w:sz w:val="20"/>
          <w:szCs w:val="20"/>
        </w:rPr>
        <w:t xml:space="preserve">Frente a este grave problema de violencia contra las mujeres, el Comité de Derechos Humanos, en seguimiento realizado en mayo de 2018 al Pacto Internacional de Derechos Civiles y Políticos, manifestó su preocupación </w:t>
      </w:r>
    </w:p>
    <w:p w14:paraId="64158B7E" w14:textId="77777777" w:rsidR="00F81886" w:rsidRPr="00C61678" w:rsidRDefault="00F81886" w:rsidP="00E8090D">
      <w:pPr>
        <w:pStyle w:val="Cita1"/>
        <w:rPr>
          <w:rFonts w:cstheme="minorHAnsi"/>
          <w:sz w:val="20"/>
          <w:szCs w:val="20"/>
        </w:rPr>
      </w:pPr>
      <w:r w:rsidRPr="00C61678">
        <w:rPr>
          <w:rFonts w:cstheme="minorHAnsi"/>
          <w:sz w:val="20"/>
          <w:szCs w:val="20"/>
        </w:rPr>
        <w:t>"[A]nte el aumento progresivo de este tipo de violencia, especialmente el alarmante número de femicidios y el grado de ensañamiento contra los cuerpos de las víctimas. Le preocupa además el reducido número de enjuiciamientos y condenas en casos de violencia de género y trata de personas, a pesar del aumento de los tribunales especializados, las informaciones que denuncian la insuficiencia de recursos asignados a las instituciones existentes…"</w:t>
      </w:r>
      <w:r w:rsidRPr="00C61678">
        <w:rPr>
          <w:rStyle w:val="EndnoteReference"/>
          <w:rFonts w:asciiTheme="minorHAnsi" w:hAnsiTheme="minorHAnsi" w:cstheme="minorHAnsi"/>
          <w:sz w:val="20"/>
          <w:szCs w:val="20"/>
        </w:rPr>
        <w:endnoteReference w:id="97"/>
      </w:r>
    </w:p>
    <w:p w14:paraId="3E3AEACA" w14:textId="3A083B24" w:rsidR="00F81886" w:rsidRPr="00C61678" w:rsidRDefault="00F81886" w:rsidP="005A44DC">
      <w:pPr>
        <w:pStyle w:val="TextoCarta"/>
        <w:numPr>
          <w:ilvl w:val="0"/>
          <w:numId w:val="17"/>
        </w:numPr>
        <w:ind w:left="284"/>
        <w:rPr>
          <w:rFonts w:cstheme="minorHAnsi"/>
          <w:sz w:val="20"/>
          <w:szCs w:val="20"/>
        </w:rPr>
      </w:pPr>
      <w:r w:rsidRPr="00C61678">
        <w:rPr>
          <w:rFonts w:cstheme="minorHAnsi"/>
          <w:sz w:val="20"/>
          <w:szCs w:val="20"/>
        </w:rPr>
        <w:t>En general, en Guatemala se ha identificado un déficit de instituciones estatales que implementen una política de garantía de derechos de las mujeres, como el de acceso a la justicia. En un reciente pronunciamiento del Grupo de Trabajo sobre la discriminación contra las mujeres y las niñas</w:t>
      </w:r>
      <w:r w:rsidR="008E2D4B">
        <w:rPr>
          <w:rFonts w:cstheme="minorHAnsi"/>
          <w:sz w:val="20"/>
          <w:szCs w:val="20"/>
        </w:rPr>
        <w:t xml:space="preserve"> de ONU,</w:t>
      </w:r>
      <w:r w:rsidRPr="00C61678">
        <w:rPr>
          <w:rFonts w:cstheme="minorHAnsi"/>
          <w:sz w:val="20"/>
          <w:szCs w:val="20"/>
        </w:rPr>
        <w:t xml:space="preserve"> las expertas expresaron preocupación por la propuesta de sustituir la institución de más alto rango sobre los derechos de las mujeres en Guatemala y llamaron al Gobierno a mantener sus compromisos internacionales en materia de derechos humanos sobre la igualdad de género.</w:t>
      </w:r>
      <w:r w:rsidRPr="00D77AA3">
        <w:rPr>
          <w:rStyle w:val="EndnoteReference"/>
          <w:rFonts w:asciiTheme="minorHAnsi" w:hAnsiTheme="minorHAnsi" w:cstheme="minorHAnsi"/>
          <w:b w:val="0"/>
          <w:bCs/>
          <w:sz w:val="20"/>
          <w:szCs w:val="20"/>
        </w:rPr>
        <w:endnoteReference w:id="98"/>
      </w:r>
    </w:p>
    <w:p w14:paraId="55C9D7C6" w14:textId="19DFBE63" w:rsidR="00F81886" w:rsidRPr="00C61678" w:rsidRDefault="00F81886" w:rsidP="00DA187D">
      <w:pPr>
        <w:pStyle w:val="Heading1"/>
      </w:pPr>
      <w:r w:rsidRPr="00C61678">
        <w:t xml:space="preserve">Guatemala </w:t>
      </w:r>
      <w:r w:rsidR="00EC683B">
        <w:t>v</w:t>
      </w:r>
      <w:r w:rsidRPr="00C61678">
        <w:t>iola los Derechos a la Salud (Artículo 12), a la Educación (Art. 13) a la No Discriminación de las Mujeres (Artículo 2 y 3)</w:t>
      </w:r>
      <w:r w:rsidR="005F41E2">
        <w:t xml:space="preserve"> y </w:t>
      </w:r>
      <w:r w:rsidR="00BE4701">
        <w:t>a la</w:t>
      </w:r>
      <w:r w:rsidR="006060E4">
        <w:t xml:space="preserve"> protección de las mujeres y niñas madres</w:t>
      </w:r>
      <w:r w:rsidR="00BE4701">
        <w:t xml:space="preserve"> (Artículo 10</w:t>
      </w:r>
      <w:r w:rsidR="003379C5">
        <w:t>.2 y 10.3</w:t>
      </w:r>
      <w:r w:rsidR="00BE4701">
        <w:t>)</w:t>
      </w:r>
      <w:r w:rsidR="003379C5">
        <w:t xml:space="preserve"> del PIDESC</w:t>
      </w:r>
    </w:p>
    <w:p w14:paraId="3B67A770" w14:textId="422E4602" w:rsidR="00F81886" w:rsidRPr="00C61678" w:rsidRDefault="00F81886" w:rsidP="001A60C7">
      <w:pPr>
        <w:pStyle w:val="TextoCarta"/>
        <w:numPr>
          <w:ilvl w:val="0"/>
          <w:numId w:val="17"/>
        </w:numPr>
        <w:ind w:left="284"/>
        <w:rPr>
          <w:rFonts w:cstheme="minorHAnsi"/>
          <w:sz w:val="20"/>
          <w:szCs w:val="20"/>
        </w:rPr>
      </w:pPr>
      <w:r w:rsidRPr="00C61678">
        <w:rPr>
          <w:rFonts w:cstheme="minorHAnsi"/>
          <w:sz w:val="20"/>
          <w:szCs w:val="20"/>
        </w:rPr>
        <w:t xml:space="preserve">La criminalización total del aborto, la deficiente prestación de servicios de salud y educación en materia sexual y reproductiva, y la falta de respuestas efectivas del Estado de Guatemala para proteger los derechos de las mujeres, niñas y adolescentes frente a la violencia sexual, constituyen violaciones al derecho a la salud y a la educación, a la no discriminación de la mujer, así como una violación de los derechos de protección para mujeres y niñas embarazadas, previstos en el PIDESC. </w:t>
      </w:r>
    </w:p>
    <w:p w14:paraId="128F4BBB" w14:textId="73D1A84F" w:rsidR="00F81886" w:rsidRPr="00C61678" w:rsidRDefault="00F81886" w:rsidP="0080756A">
      <w:pPr>
        <w:pStyle w:val="Heading2"/>
        <w:numPr>
          <w:ilvl w:val="0"/>
          <w:numId w:val="22"/>
        </w:numPr>
      </w:pPr>
      <w:r w:rsidRPr="00C61678">
        <w:t>El derecho a la salud (Artículo 12) de las mujeres en Guatemala</w:t>
      </w:r>
    </w:p>
    <w:p w14:paraId="1050BAE9" w14:textId="7CEB0A16" w:rsidR="001A60C7" w:rsidRPr="00C61678" w:rsidRDefault="00FA3297" w:rsidP="001A60C7">
      <w:pPr>
        <w:pStyle w:val="TextoCarta"/>
        <w:numPr>
          <w:ilvl w:val="0"/>
          <w:numId w:val="17"/>
        </w:numPr>
        <w:ind w:left="284"/>
        <w:rPr>
          <w:rFonts w:cstheme="minorHAnsi"/>
          <w:sz w:val="20"/>
          <w:szCs w:val="20"/>
        </w:rPr>
      </w:pPr>
      <w:r w:rsidRPr="00C61678">
        <w:rPr>
          <w:rFonts w:cstheme="minorHAnsi"/>
          <w:sz w:val="20"/>
          <w:szCs w:val="20"/>
        </w:rPr>
        <w:t xml:space="preserve">Como se ya se refirió </w:t>
      </w:r>
      <w:r w:rsidR="00677DAF" w:rsidRPr="00C61678">
        <w:rPr>
          <w:rFonts w:cstheme="minorHAnsi"/>
          <w:i/>
          <w:iCs/>
          <w:sz w:val="20"/>
          <w:szCs w:val="20"/>
        </w:rPr>
        <w:t>supra</w:t>
      </w:r>
      <w:r w:rsidR="00677DAF" w:rsidRPr="00C61678">
        <w:rPr>
          <w:rFonts w:cstheme="minorHAnsi"/>
          <w:sz w:val="20"/>
          <w:szCs w:val="20"/>
        </w:rPr>
        <w:t>,</w:t>
      </w:r>
      <w:r w:rsidR="00677DAF" w:rsidRPr="00C61678">
        <w:rPr>
          <w:rFonts w:cstheme="minorHAnsi"/>
          <w:i/>
          <w:iCs/>
          <w:sz w:val="20"/>
          <w:szCs w:val="20"/>
        </w:rPr>
        <w:t xml:space="preserve"> </w:t>
      </w:r>
      <w:r w:rsidRPr="00C61678">
        <w:rPr>
          <w:rFonts w:cstheme="minorHAnsi"/>
          <w:sz w:val="20"/>
          <w:szCs w:val="20"/>
        </w:rPr>
        <w:t>e</w:t>
      </w:r>
      <w:r w:rsidR="00F81886" w:rsidRPr="00C61678">
        <w:rPr>
          <w:rFonts w:cstheme="minorHAnsi"/>
          <w:sz w:val="20"/>
          <w:szCs w:val="20"/>
        </w:rPr>
        <w:t xml:space="preserve">n </w:t>
      </w:r>
      <w:r w:rsidR="00677DAF" w:rsidRPr="00C61678">
        <w:rPr>
          <w:rFonts w:cstheme="minorHAnsi"/>
          <w:sz w:val="20"/>
          <w:szCs w:val="20"/>
        </w:rPr>
        <w:t>su</w:t>
      </w:r>
      <w:r w:rsidR="00F81886" w:rsidRPr="00C61678">
        <w:rPr>
          <w:rFonts w:cstheme="minorHAnsi"/>
          <w:sz w:val="20"/>
          <w:szCs w:val="20"/>
        </w:rPr>
        <w:t xml:space="preserve"> </w:t>
      </w:r>
      <w:r w:rsidR="00F81886" w:rsidRPr="00C73717">
        <w:rPr>
          <w:rFonts w:cstheme="minorHAnsi"/>
          <w:b/>
          <w:bCs/>
          <w:i/>
          <w:iCs/>
          <w:sz w:val="20"/>
          <w:szCs w:val="20"/>
        </w:rPr>
        <w:t>Observación General No. 22</w:t>
      </w:r>
      <w:r w:rsidR="00F81886" w:rsidRPr="00C61678">
        <w:rPr>
          <w:rFonts w:cstheme="minorHAnsi"/>
          <w:sz w:val="20"/>
          <w:szCs w:val="20"/>
        </w:rPr>
        <w:t xml:space="preserve"> e</w:t>
      </w:r>
      <w:r w:rsidRPr="00C61678">
        <w:rPr>
          <w:rFonts w:cstheme="minorHAnsi"/>
          <w:sz w:val="20"/>
          <w:szCs w:val="20"/>
        </w:rPr>
        <w:t>ste</w:t>
      </w:r>
      <w:r w:rsidR="00F81886" w:rsidRPr="00C61678">
        <w:rPr>
          <w:rFonts w:cstheme="minorHAnsi"/>
          <w:sz w:val="20"/>
          <w:szCs w:val="20"/>
        </w:rPr>
        <w:t xml:space="preserve"> Comité estableció que la salud sexual y reproductiva es parte integrante del derecho a la salud consagrado en el artículo 12 del PIDESC. En ese sentido, los Estados Partes deben asegurar a todas las personas el derecho a adoptar decisiones y a hacer elecciones libres y responsables, sin violencia, coacción o discriminación con respecto a los asuntos relativos al propio cuerpo y la propia salud sexual y reproductiva. El Comité </w:t>
      </w:r>
      <w:r w:rsidRPr="00C61678">
        <w:rPr>
          <w:rFonts w:cstheme="minorHAnsi"/>
          <w:sz w:val="20"/>
          <w:szCs w:val="20"/>
        </w:rPr>
        <w:t>además ha establecido</w:t>
      </w:r>
      <w:r w:rsidR="00F81886" w:rsidRPr="00C61678">
        <w:rPr>
          <w:rFonts w:cstheme="minorHAnsi"/>
          <w:sz w:val="20"/>
          <w:szCs w:val="20"/>
        </w:rPr>
        <w:t xml:space="preserve"> la indivisibilidad y la interdependencia de la salud sexual y reproductiva con otros derechos humanos como la integridad física y mental de las personas, la autonomía, la vida y la seguridad personal. Así, reconoció que la falta de servicios de atención obstétrica de emergencia o la negativa a practicar abortos son causa de mortalidad y morbilidad materna, que, a su vez, son una violación del derecho a la vida o la seguridad, y, en determinadas circunstancias, pueden constituir tortura o tratos crueles, inhumanos o degradantes</w:t>
      </w:r>
      <w:r w:rsidR="00305E31" w:rsidRPr="00C61678">
        <w:rPr>
          <w:rStyle w:val="EndnoteReference"/>
          <w:rFonts w:asciiTheme="minorHAnsi" w:hAnsiTheme="minorHAnsi" w:cstheme="minorHAnsi"/>
          <w:b w:val="0"/>
          <w:bCs/>
          <w:sz w:val="20"/>
          <w:szCs w:val="20"/>
        </w:rPr>
        <w:endnoteReference w:id="99"/>
      </w:r>
      <w:r w:rsidR="00F81886" w:rsidRPr="00C61678">
        <w:rPr>
          <w:rFonts w:cstheme="minorHAnsi"/>
          <w:sz w:val="20"/>
          <w:szCs w:val="20"/>
        </w:rPr>
        <w:t xml:space="preserve">. </w:t>
      </w:r>
    </w:p>
    <w:p w14:paraId="39E31A31" w14:textId="2D6DCFA5" w:rsidR="005E03A4" w:rsidRPr="00C61678" w:rsidRDefault="00F81886" w:rsidP="005E03A4">
      <w:pPr>
        <w:pStyle w:val="TextoCarta"/>
        <w:numPr>
          <w:ilvl w:val="0"/>
          <w:numId w:val="17"/>
        </w:numPr>
        <w:ind w:left="284"/>
        <w:rPr>
          <w:rFonts w:cstheme="minorHAnsi"/>
          <w:sz w:val="20"/>
          <w:szCs w:val="20"/>
        </w:rPr>
      </w:pPr>
      <w:r w:rsidRPr="00C61678">
        <w:rPr>
          <w:rFonts w:cstheme="minorHAnsi"/>
          <w:sz w:val="20"/>
          <w:szCs w:val="20"/>
        </w:rPr>
        <w:t xml:space="preserve">De acuerdo con el Comité, los Estados Partes tienen la obligación de respetar, proteger y hacer efectivo el derecho de todos a la salud sexual y reproductiva. Una de las obligaciones básicas en cabeza de los Estados </w:t>
      </w:r>
      <w:r w:rsidR="00F73048" w:rsidRPr="00C61678">
        <w:rPr>
          <w:rFonts w:cstheme="minorHAnsi"/>
          <w:sz w:val="20"/>
          <w:szCs w:val="20"/>
        </w:rPr>
        <w:t>P</w:t>
      </w:r>
      <w:r w:rsidRPr="00C61678">
        <w:rPr>
          <w:rFonts w:cstheme="minorHAnsi"/>
          <w:sz w:val="20"/>
          <w:szCs w:val="20"/>
        </w:rPr>
        <w:t xml:space="preserve">artes es la de derogar o eliminar las leyes, políticas y prácticas que penalicen, obstaculicen o menoscaben el acceso de las personas o de determinados grupos a los establecimientos, los servicios, los bienes y la información en materia de salud sexual y reproductiva. Entre los ejemplos de violaciones a la obligación de respetar está el establecimiento de obstáculos legales que impidan el acceso de las personas a los servicios de salud sexual y reproductiva, como la criminalización de las mujeres que se sometan a un aborto.  </w:t>
      </w:r>
      <w:r w:rsidR="00DB3CCE">
        <w:rPr>
          <w:rFonts w:cstheme="minorHAnsi"/>
          <w:sz w:val="20"/>
          <w:szCs w:val="20"/>
        </w:rPr>
        <w:t xml:space="preserve">Adicionalmente, de acuerdo con su </w:t>
      </w:r>
      <w:r w:rsidR="00DB3CCE" w:rsidRPr="00C73717">
        <w:rPr>
          <w:rFonts w:cstheme="minorHAnsi"/>
          <w:b/>
          <w:bCs/>
          <w:i/>
          <w:iCs/>
          <w:sz w:val="20"/>
          <w:szCs w:val="20"/>
        </w:rPr>
        <w:t>Observación General No. 25</w:t>
      </w:r>
      <w:r w:rsidR="00DB3CCE">
        <w:rPr>
          <w:rFonts w:cstheme="minorHAnsi"/>
          <w:sz w:val="20"/>
          <w:szCs w:val="20"/>
        </w:rPr>
        <w:t xml:space="preserve">, </w:t>
      </w:r>
      <w:r w:rsidR="00412C3C">
        <w:rPr>
          <w:rFonts w:cstheme="minorHAnsi"/>
          <w:sz w:val="20"/>
          <w:szCs w:val="20"/>
        </w:rPr>
        <w:t xml:space="preserve">para garantizar el derecho a la salud sexual y reproductiva los Estados partes </w:t>
      </w:r>
      <w:r w:rsidR="00412C3C" w:rsidRPr="00412C3C">
        <w:rPr>
          <w:rFonts w:cstheme="minorHAnsi"/>
          <w:sz w:val="20"/>
          <w:szCs w:val="20"/>
        </w:rPr>
        <w:t>deben asegurar el acceso a las tecnologías científicas actualizadas necesarias para la</w:t>
      </w:r>
      <w:r w:rsidR="00412C3C">
        <w:rPr>
          <w:rFonts w:cstheme="minorHAnsi"/>
          <w:sz w:val="20"/>
          <w:szCs w:val="20"/>
        </w:rPr>
        <w:t>s mujeres y niñas, así como emplear un enfoque de género</w:t>
      </w:r>
      <w:r w:rsidR="00494525" w:rsidRPr="00C73717">
        <w:rPr>
          <w:rStyle w:val="EndnoteReference"/>
          <w:rFonts w:cstheme="minorHAnsi"/>
          <w:b w:val="0"/>
          <w:bCs/>
          <w:sz w:val="20"/>
          <w:szCs w:val="20"/>
        </w:rPr>
        <w:endnoteReference w:id="100"/>
      </w:r>
      <w:r w:rsidR="00412C3C" w:rsidRPr="00C73717">
        <w:rPr>
          <w:rFonts w:cstheme="minorHAnsi"/>
          <w:sz w:val="20"/>
          <w:szCs w:val="20"/>
        </w:rPr>
        <w:t>.</w:t>
      </w:r>
      <w:r w:rsidR="00412C3C">
        <w:rPr>
          <w:rFonts w:cstheme="minorHAnsi"/>
          <w:sz w:val="20"/>
          <w:szCs w:val="20"/>
        </w:rPr>
        <w:t xml:space="preserve"> En específico, </w:t>
      </w:r>
      <w:r w:rsidR="00494525">
        <w:rPr>
          <w:rFonts w:cstheme="minorHAnsi"/>
          <w:sz w:val="20"/>
          <w:szCs w:val="20"/>
        </w:rPr>
        <w:t>este Comité ha referido la importancia de asegurar “</w:t>
      </w:r>
      <w:r w:rsidR="00494525" w:rsidRPr="00494525">
        <w:rPr>
          <w:rFonts w:cstheme="minorHAnsi"/>
          <w:sz w:val="20"/>
          <w:szCs w:val="20"/>
        </w:rPr>
        <w:t>el acceso a formas modernas y seguras de anticoncepción, incluida la anticoncepción de emergencia, los medicamentos para el aborto, las tecnologías de reproducción asistida y otros bienes y servicios sexuales y reproductivos, sobre la base de la no discriminación y la igualdad, como se indica en la observación general núm. 22 (2016)</w:t>
      </w:r>
      <w:r w:rsidR="00494525">
        <w:rPr>
          <w:rFonts w:cstheme="minorHAnsi"/>
          <w:sz w:val="20"/>
          <w:szCs w:val="20"/>
        </w:rPr>
        <w:t>”</w:t>
      </w:r>
      <w:r w:rsidR="00C73717" w:rsidRPr="00C73717">
        <w:rPr>
          <w:rStyle w:val="EndnoteReference"/>
          <w:rFonts w:cstheme="minorHAnsi"/>
          <w:b w:val="0"/>
          <w:bCs/>
          <w:sz w:val="20"/>
          <w:szCs w:val="20"/>
        </w:rPr>
        <w:endnoteReference w:id="101"/>
      </w:r>
      <w:r w:rsidR="00494525" w:rsidRPr="00C73717">
        <w:rPr>
          <w:rFonts w:cstheme="minorHAnsi"/>
          <w:sz w:val="20"/>
          <w:szCs w:val="20"/>
        </w:rPr>
        <w:t>.</w:t>
      </w:r>
    </w:p>
    <w:p w14:paraId="6CCF1A24" w14:textId="3C6875DD" w:rsidR="005E03A4" w:rsidRPr="00C61678" w:rsidRDefault="00F81886" w:rsidP="00C31D7E">
      <w:pPr>
        <w:pStyle w:val="TextoCarta"/>
        <w:numPr>
          <w:ilvl w:val="0"/>
          <w:numId w:val="17"/>
        </w:numPr>
        <w:ind w:left="284"/>
        <w:rPr>
          <w:rFonts w:cstheme="minorHAnsi"/>
          <w:sz w:val="20"/>
          <w:szCs w:val="20"/>
        </w:rPr>
      </w:pPr>
      <w:r w:rsidRPr="00C61678">
        <w:rPr>
          <w:rFonts w:cstheme="minorHAnsi"/>
          <w:b/>
          <w:bCs/>
          <w:sz w:val="20"/>
          <w:szCs w:val="20"/>
        </w:rPr>
        <w:t>Así</w:t>
      </w:r>
      <w:r w:rsidR="00677DAF" w:rsidRPr="00C61678">
        <w:rPr>
          <w:rFonts w:cstheme="minorHAnsi"/>
          <w:b/>
          <w:bCs/>
          <w:sz w:val="20"/>
          <w:szCs w:val="20"/>
        </w:rPr>
        <w:t>,</w:t>
      </w:r>
      <w:r w:rsidRPr="00C61678">
        <w:rPr>
          <w:rFonts w:cstheme="minorHAnsi"/>
          <w:b/>
          <w:bCs/>
          <w:sz w:val="20"/>
          <w:szCs w:val="20"/>
        </w:rPr>
        <w:t xml:space="preserve"> y de acuerdo con lo expuesto en las secciones anteriores, </w:t>
      </w:r>
      <w:r w:rsidR="00677DAF" w:rsidRPr="00C61678">
        <w:rPr>
          <w:rFonts w:cstheme="minorHAnsi"/>
          <w:b/>
          <w:bCs/>
          <w:sz w:val="20"/>
          <w:szCs w:val="20"/>
        </w:rPr>
        <w:t>l</w:t>
      </w:r>
      <w:r w:rsidR="005E03A4" w:rsidRPr="00C61678">
        <w:rPr>
          <w:rFonts w:cstheme="minorHAnsi"/>
          <w:b/>
          <w:bCs/>
          <w:sz w:val="20"/>
          <w:szCs w:val="20"/>
        </w:rPr>
        <w:t xml:space="preserve">a criminalización del aborto menoscaba el derecho de las mujeres y niñas a la autonomía reproductiva, incluso en situaciones en donde su vida y salud se ven afectadas; todo lo cual lleva también a un mayor número de abortos inseguros, así como embarazos forzados en niñas que ponen en peligro su vida. Asimismo, </w:t>
      </w:r>
      <w:r w:rsidRPr="00C61678">
        <w:rPr>
          <w:rFonts w:cstheme="minorHAnsi"/>
          <w:b/>
          <w:bCs/>
          <w:sz w:val="20"/>
          <w:szCs w:val="20"/>
        </w:rPr>
        <w:t>la deficiencia en la prestación de servicios de salud sexual y reproductiva</w:t>
      </w:r>
      <w:r w:rsidR="00815795" w:rsidRPr="00C61678">
        <w:rPr>
          <w:rFonts w:cstheme="minorHAnsi"/>
          <w:b/>
          <w:bCs/>
          <w:sz w:val="20"/>
          <w:szCs w:val="20"/>
        </w:rPr>
        <w:t xml:space="preserve"> y la falta de acceso a información y educación de calidad</w:t>
      </w:r>
      <w:r w:rsidR="00C73717">
        <w:rPr>
          <w:rFonts w:cstheme="minorHAnsi"/>
          <w:b/>
          <w:bCs/>
          <w:sz w:val="20"/>
          <w:szCs w:val="20"/>
        </w:rPr>
        <w:t xml:space="preserve"> </w:t>
      </w:r>
      <w:r w:rsidR="00990971">
        <w:rPr>
          <w:rFonts w:cstheme="minorHAnsi"/>
          <w:b/>
          <w:bCs/>
          <w:sz w:val="20"/>
          <w:szCs w:val="20"/>
        </w:rPr>
        <w:t>y científicamente actualizada, así com</w:t>
      </w:r>
      <w:r w:rsidR="008A0C9F">
        <w:rPr>
          <w:rFonts w:cstheme="minorHAnsi"/>
          <w:b/>
          <w:bCs/>
          <w:sz w:val="20"/>
          <w:szCs w:val="20"/>
        </w:rPr>
        <w:t>o</w:t>
      </w:r>
      <w:r w:rsidR="00815795" w:rsidRPr="00C61678">
        <w:rPr>
          <w:rFonts w:cstheme="minorHAnsi"/>
          <w:b/>
          <w:bCs/>
          <w:sz w:val="20"/>
          <w:szCs w:val="20"/>
        </w:rPr>
        <w:t xml:space="preserve"> la falta de protección </w:t>
      </w:r>
      <w:r w:rsidR="008A0C9F">
        <w:rPr>
          <w:rFonts w:cstheme="minorHAnsi"/>
          <w:b/>
          <w:bCs/>
          <w:sz w:val="20"/>
          <w:szCs w:val="20"/>
        </w:rPr>
        <w:t>contra</w:t>
      </w:r>
      <w:r w:rsidR="00815795" w:rsidRPr="00C61678">
        <w:rPr>
          <w:rFonts w:cstheme="minorHAnsi"/>
          <w:b/>
          <w:bCs/>
          <w:sz w:val="20"/>
          <w:szCs w:val="20"/>
        </w:rPr>
        <w:t xml:space="preserve"> la violencia sexual</w:t>
      </w:r>
      <w:r w:rsidR="00D95D02">
        <w:rPr>
          <w:rFonts w:cstheme="minorHAnsi"/>
          <w:b/>
          <w:bCs/>
          <w:sz w:val="20"/>
          <w:szCs w:val="20"/>
        </w:rPr>
        <w:t>,</w:t>
      </w:r>
      <w:r w:rsidR="00815795" w:rsidRPr="00C61678">
        <w:rPr>
          <w:rFonts w:cstheme="minorHAnsi"/>
          <w:b/>
          <w:bCs/>
          <w:sz w:val="20"/>
          <w:szCs w:val="20"/>
        </w:rPr>
        <w:t xml:space="preserve"> constituyen una violación del derecho </w:t>
      </w:r>
      <w:r w:rsidRPr="00C61678">
        <w:rPr>
          <w:rFonts w:cstheme="minorHAnsi"/>
          <w:b/>
          <w:bCs/>
          <w:sz w:val="20"/>
          <w:szCs w:val="20"/>
        </w:rPr>
        <w:t>a la salud de las niñas, adolescentes y mujeres en Guatemala</w:t>
      </w:r>
      <w:r w:rsidR="00815795" w:rsidRPr="00C61678">
        <w:rPr>
          <w:rFonts w:cstheme="minorHAnsi"/>
          <w:b/>
          <w:bCs/>
          <w:sz w:val="20"/>
          <w:szCs w:val="20"/>
        </w:rPr>
        <w:t xml:space="preserve"> e impide el pleno goce de</w:t>
      </w:r>
      <w:r w:rsidR="00D95D02">
        <w:rPr>
          <w:rFonts w:cstheme="minorHAnsi"/>
          <w:b/>
          <w:bCs/>
          <w:sz w:val="20"/>
          <w:szCs w:val="20"/>
        </w:rPr>
        <w:t xml:space="preserve"> sus </w:t>
      </w:r>
      <w:r w:rsidR="00815795" w:rsidRPr="00C61678">
        <w:rPr>
          <w:rFonts w:cstheme="minorHAnsi"/>
          <w:b/>
          <w:bCs/>
          <w:sz w:val="20"/>
          <w:szCs w:val="20"/>
        </w:rPr>
        <w:t>derecho</w:t>
      </w:r>
      <w:r w:rsidR="00D95D02">
        <w:rPr>
          <w:rFonts w:cstheme="minorHAnsi"/>
          <w:b/>
          <w:bCs/>
          <w:sz w:val="20"/>
          <w:szCs w:val="20"/>
        </w:rPr>
        <w:t>s</w:t>
      </w:r>
      <w:r w:rsidR="00815795" w:rsidRPr="00C61678">
        <w:rPr>
          <w:rFonts w:cstheme="minorHAnsi"/>
          <w:b/>
          <w:bCs/>
          <w:sz w:val="20"/>
          <w:szCs w:val="20"/>
        </w:rPr>
        <w:t xml:space="preserve"> sexual</w:t>
      </w:r>
      <w:r w:rsidR="00D95D02">
        <w:rPr>
          <w:rFonts w:cstheme="minorHAnsi"/>
          <w:b/>
          <w:bCs/>
          <w:sz w:val="20"/>
          <w:szCs w:val="20"/>
        </w:rPr>
        <w:t xml:space="preserve">es </w:t>
      </w:r>
      <w:r w:rsidR="00815795" w:rsidRPr="00C61678">
        <w:rPr>
          <w:rFonts w:cstheme="minorHAnsi"/>
          <w:b/>
          <w:bCs/>
          <w:sz w:val="20"/>
          <w:szCs w:val="20"/>
        </w:rPr>
        <w:t>y reproductiv</w:t>
      </w:r>
      <w:r w:rsidR="00D95D02">
        <w:rPr>
          <w:rFonts w:cstheme="minorHAnsi"/>
          <w:b/>
          <w:bCs/>
          <w:sz w:val="20"/>
          <w:szCs w:val="20"/>
        </w:rPr>
        <w:t>os</w:t>
      </w:r>
      <w:r w:rsidR="00677DAF" w:rsidRPr="00C61678">
        <w:rPr>
          <w:rFonts w:cstheme="minorHAnsi"/>
          <w:b/>
          <w:bCs/>
          <w:sz w:val="20"/>
          <w:szCs w:val="20"/>
        </w:rPr>
        <w:t xml:space="preserve">, </w:t>
      </w:r>
      <w:r w:rsidR="00815795" w:rsidRPr="00C61678">
        <w:rPr>
          <w:rFonts w:cstheme="minorHAnsi"/>
          <w:b/>
          <w:bCs/>
          <w:sz w:val="20"/>
          <w:szCs w:val="20"/>
        </w:rPr>
        <w:t xml:space="preserve">así como otros </w:t>
      </w:r>
      <w:r w:rsidR="00D95D02">
        <w:rPr>
          <w:rFonts w:cstheme="minorHAnsi"/>
          <w:b/>
          <w:bCs/>
          <w:sz w:val="20"/>
          <w:szCs w:val="20"/>
        </w:rPr>
        <w:t>derechos fundamentales</w:t>
      </w:r>
      <w:r w:rsidR="00815795" w:rsidRPr="00C61678">
        <w:rPr>
          <w:rFonts w:cstheme="minorHAnsi"/>
          <w:sz w:val="20"/>
          <w:szCs w:val="20"/>
        </w:rPr>
        <w:t>.</w:t>
      </w:r>
    </w:p>
    <w:p w14:paraId="57EA9CF0" w14:textId="4A07CF3B" w:rsidR="00F81886" w:rsidRPr="00C61678" w:rsidRDefault="00F81886" w:rsidP="0080756A">
      <w:pPr>
        <w:pStyle w:val="Heading2"/>
      </w:pPr>
      <w:r w:rsidRPr="00C61678">
        <w:t xml:space="preserve">El derecho a la educación (Artículo 13) de las mujeres en Guatemala. </w:t>
      </w:r>
    </w:p>
    <w:p w14:paraId="261ADAAB" w14:textId="06B6AA3E" w:rsidR="001A60C7" w:rsidRPr="00C61678" w:rsidRDefault="00F81886" w:rsidP="001A60C7">
      <w:pPr>
        <w:pStyle w:val="TextoCarta"/>
        <w:numPr>
          <w:ilvl w:val="0"/>
          <w:numId w:val="17"/>
        </w:numPr>
        <w:ind w:left="284"/>
        <w:rPr>
          <w:rFonts w:cstheme="minorHAnsi"/>
          <w:sz w:val="20"/>
          <w:szCs w:val="20"/>
        </w:rPr>
      </w:pPr>
      <w:r w:rsidRPr="00C61678">
        <w:rPr>
          <w:rFonts w:cstheme="minorHAnsi"/>
          <w:sz w:val="20"/>
          <w:szCs w:val="20"/>
        </w:rPr>
        <w:t xml:space="preserve">El Comité, en la </w:t>
      </w:r>
      <w:r w:rsidRPr="00C73717">
        <w:rPr>
          <w:rFonts w:cstheme="minorHAnsi"/>
          <w:b/>
          <w:bCs/>
          <w:i/>
          <w:iCs/>
          <w:sz w:val="20"/>
          <w:szCs w:val="20"/>
        </w:rPr>
        <w:t>Observación General No. 22</w:t>
      </w:r>
      <w:r w:rsidR="009C1D0B" w:rsidRPr="00C61678">
        <w:rPr>
          <w:rFonts w:cstheme="minorHAnsi"/>
          <w:sz w:val="20"/>
          <w:szCs w:val="20"/>
        </w:rPr>
        <w:t xml:space="preserve"> </w:t>
      </w:r>
      <w:r w:rsidRPr="00C61678">
        <w:rPr>
          <w:rFonts w:cstheme="minorHAnsi"/>
          <w:sz w:val="20"/>
          <w:szCs w:val="20"/>
        </w:rPr>
        <w:t>reconoció que la educación sexual integral y de calidad es esencial para poder garantizar otros derechos, como la autonomía reproductiva</w:t>
      </w:r>
      <w:r w:rsidR="009C1D0B" w:rsidRPr="00C61678">
        <w:rPr>
          <w:rStyle w:val="EndnoteReference"/>
          <w:rFonts w:asciiTheme="minorHAnsi" w:hAnsiTheme="minorHAnsi" w:cstheme="minorHAnsi"/>
          <w:sz w:val="20"/>
          <w:szCs w:val="20"/>
        </w:rPr>
        <w:endnoteReference w:id="102"/>
      </w:r>
      <w:r w:rsidRPr="00C61678">
        <w:rPr>
          <w:rFonts w:cstheme="minorHAnsi"/>
          <w:sz w:val="20"/>
          <w:szCs w:val="20"/>
        </w:rPr>
        <w:t xml:space="preserve">. Así, indicó que la prevención de embarazos no deseados y de abortos en condiciones de riesgo requiere que los Estados adopten políticas de educación integral sobre la sexualidad, en especial para los adolescentes. </w:t>
      </w:r>
      <w:r w:rsidR="00EF3537" w:rsidRPr="00C61678">
        <w:rPr>
          <w:rFonts w:cstheme="minorHAnsi"/>
          <w:sz w:val="20"/>
          <w:szCs w:val="20"/>
        </w:rPr>
        <w:t xml:space="preserve">El Comité ha establecido además en su </w:t>
      </w:r>
      <w:r w:rsidR="00EF3537" w:rsidRPr="003A2843">
        <w:rPr>
          <w:rFonts w:cstheme="minorHAnsi"/>
          <w:b/>
          <w:bCs/>
          <w:i/>
          <w:iCs/>
          <w:sz w:val="20"/>
          <w:szCs w:val="20"/>
        </w:rPr>
        <w:t>Observación No. 13</w:t>
      </w:r>
      <w:r w:rsidR="00EF3537" w:rsidRPr="00C61678">
        <w:rPr>
          <w:rFonts w:cstheme="minorHAnsi"/>
          <w:sz w:val="20"/>
          <w:szCs w:val="20"/>
        </w:rPr>
        <w:t xml:space="preserve"> que el derecho a la educación es un derecho humano intrínseco, un medio indispensable para la realización de otros derechos humanos y una herramienta esencial para la emancipación de la mujer, la protección de los niños contra la explotación laboral, el trabajo peligroso y la explotación sexual</w:t>
      </w:r>
      <w:r w:rsidR="00EF3537" w:rsidRPr="00C61678">
        <w:rPr>
          <w:rStyle w:val="EndnoteReference"/>
          <w:rFonts w:asciiTheme="minorHAnsi" w:hAnsiTheme="minorHAnsi" w:cstheme="minorHAnsi"/>
          <w:sz w:val="20"/>
          <w:szCs w:val="20"/>
        </w:rPr>
        <w:endnoteReference w:id="103"/>
      </w:r>
      <w:r w:rsidR="006B777B" w:rsidRPr="00C61678">
        <w:rPr>
          <w:rFonts w:cstheme="minorHAnsi"/>
          <w:sz w:val="20"/>
          <w:szCs w:val="20"/>
        </w:rPr>
        <w:t>.</w:t>
      </w:r>
    </w:p>
    <w:p w14:paraId="3478D417" w14:textId="5E867B38" w:rsidR="00EF3537" w:rsidRPr="00C61678" w:rsidRDefault="003A2843" w:rsidP="00EF3537">
      <w:pPr>
        <w:pStyle w:val="TextoCarta"/>
        <w:numPr>
          <w:ilvl w:val="0"/>
          <w:numId w:val="17"/>
        </w:numPr>
        <w:ind w:left="284"/>
        <w:rPr>
          <w:rFonts w:cstheme="minorHAnsi"/>
          <w:sz w:val="20"/>
          <w:szCs w:val="20"/>
        </w:rPr>
      </w:pPr>
      <w:r>
        <w:rPr>
          <w:rFonts w:cstheme="minorHAnsi"/>
          <w:sz w:val="20"/>
          <w:szCs w:val="20"/>
        </w:rPr>
        <w:t xml:space="preserve">Como </w:t>
      </w:r>
      <w:r w:rsidR="00EF3537" w:rsidRPr="00C61678">
        <w:rPr>
          <w:rFonts w:cstheme="minorHAnsi"/>
          <w:sz w:val="20"/>
          <w:szCs w:val="20"/>
        </w:rPr>
        <w:t xml:space="preserve">se mencionó </w:t>
      </w:r>
      <w:r w:rsidR="00EF3537" w:rsidRPr="00C61678">
        <w:rPr>
          <w:rFonts w:cstheme="minorHAnsi"/>
          <w:i/>
          <w:iCs/>
          <w:sz w:val="20"/>
          <w:szCs w:val="20"/>
        </w:rPr>
        <w:t>supra</w:t>
      </w:r>
      <w:r w:rsidR="00EF3537" w:rsidRPr="00C61678">
        <w:rPr>
          <w:rFonts w:cstheme="minorHAnsi"/>
          <w:sz w:val="20"/>
          <w:szCs w:val="20"/>
        </w:rPr>
        <w:t xml:space="preserve">, Guatemala </w:t>
      </w:r>
      <w:r>
        <w:rPr>
          <w:rFonts w:cstheme="minorHAnsi"/>
          <w:sz w:val="20"/>
          <w:szCs w:val="20"/>
        </w:rPr>
        <w:t>tiene altísimos índices de</w:t>
      </w:r>
      <w:r w:rsidR="00EF3537" w:rsidRPr="00C61678">
        <w:rPr>
          <w:rFonts w:cstheme="minorHAnsi"/>
          <w:sz w:val="20"/>
          <w:szCs w:val="20"/>
        </w:rPr>
        <w:t xml:space="preserve"> embarazos adolescentes</w:t>
      </w:r>
      <w:r>
        <w:rPr>
          <w:rFonts w:cstheme="minorHAnsi"/>
          <w:sz w:val="20"/>
          <w:szCs w:val="20"/>
        </w:rPr>
        <w:t>,</w:t>
      </w:r>
      <w:r w:rsidR="00EF3537" w:rsidRPr="00C61678">
        <w:rPr>
          <w:rFonts w:cstheme="minorHAnsi"/>
          <w:sz w:val="20"/>
          <w:szCs w:val="20"/>
        </w:rPr>
        <w:t xml:space="preserve"> lo cual</w:t>
      </w:r>
      <w:r>
        <w:rPr>
          <w:rFonts w:cstheme="minorHAnsi"/>
          <w:sz w:val="20"/>
          <w:szCs w:val="20"/>
        </w:rPr>
        <w:t>, como se evidencia de las secciones precedentes</w:t>
      </w:r>
      <w:r w:rsidR="00EF3537" w:rsidRPr="00C61678">
        <w:rPr>
          <w:rFonts w:cstheme="minorHAnsi"/>
          <w:sz w:val="20"/>
          <w:szCs w:val="20"/>
        </w:rPr>
        <w:t xml:space="preserve"> es una causa </w:t>
      </w:r>
      <w:r>
        <w:rPr>
          <w:rFonts w:cstheme="minorHAnsi"/>
          <w:sz w:val="20"/>
          <w:szCs w:val="20"/>
        </w:rPr>
        <w:t>significativa</w:t>
      </w:r>
      <w:r w:rsidR="00EF3537" w:rsidRPr="00C61678">
        <w:rPr>
          <w:rFonts w:cstheme="minorHAnsi"/>
          <w:sz w:val="20"/>
          <w:szCs w:val="20"/>
        </w:rPr>
        <w:t xml:space="preserve"> de deserción escolar. </w:t>
      </w:r>
      <w:r w:rsidR="006B777B" w:rsidRPr="00C61678">
        <w:rPr>
          <w:rFonts w:cstheme="minorHAnsi"/>
          <w:sz w:val="20"/>
          <w:szCs w:val="20"/>
        </w:rPr>
        <w:t xml:space="preserve">Anudado a ello, el contexto referido demuestra una deficiencia en </w:t>
      </w:r>
      <w:r>
        <w:rPr>
          <w:rFonts w:cstheme="minorHAnsi"/>
          <w:sz w:val="20"/>
          <w:szCs w:val="20"/>
        </w:rPr>
        <w:t xml:space="preserve">el acceso a </w:t>
      </w:r>
      <w:r w:rsidR="006B777B" w:rsidRPr="00C61678">
        <w:rPr>
          <w:rFonts w:cstheme="minorHAnsi"/>
          <w:sz w:val="20"/>
          <w:szCs w:val="20"/>
        </w:rPr>
        <w:t xml:space="preserve">la educación en materia </w:t>
      </w:r>
      <w:r>
        <w:rPr>
          <w:rFonts w:cstheme="minorHAnsi"/>
          <w:sz w:val="20"/>
          <w:szCs w:val="20"/>
        </w:rPr>
        <w:t xml:space="preserve">de salud </w:t>
      </w:r>
      <w:r w:rsidR="006B777B" w:rsidRPr="00C61678">
        <w:rPr>
          <w:rFonts w:cstheme="minorHAnsi"/>
          <w:sz w:val="20"/>
          <w:szCs w:val="20"/>
        </w:rPr>
        <w:t xml:space="preserve">sexual y reproductiva </w:t>
      </w:r>
      <w:r>
        <w:rPr>
          <w:rFonts w:cstheme="minorHAnsi"/>
          <w:sz w:val="20"/>
          <w:szCs w:val="20"/>
        </w:rPr>
        <w:t>para las</w:t>
      </w:r>
      <w:r w:rsidR="006B777B" w:rsidRPr="00C61678">
        <w:rPr>
          <w:rFonts w:cstheme="minorHAnsi"/>
          <w:sz w:val="20"/>
          <w:szCs w:val="20"/>
        </w:rPr>
        <w:t xml:space="preserve"> niñas</w:t>
      </w:r>
      <w:r>
        <w:rPr>
          <w:rFonts w:cstheme="minorHAnsi"/>
          <w:sz w:val="20"/>
          <w:szCs w:val="20"/>
        </w:rPr>
        <w:t xml:space="preserve"> y adolescentes</w:t>
      </w:r>
      <w:r w:rsidR="006B777B" w:rsidRPr="00C61678">
        <w:rPr>
          <w:rFonts w:cstheme="minorHAnsi"/>
          <w:sz w:val="20"/>
          <w:szCs w:val="20"/>
        </w:rPr>
        <w:t xml:space="preserve">. </w:t>
      </w:r>
      <w:r w:rsidR="005E6A17" w:rsidRPr="00CE3B69">
        <w:rPr>
          <w:rFonts w:cstheme="minorHAnsi"/>
          <w:b/>
          <w:bCs/>
          <w:sz w:val="20"/>
          <w:szCs w:val="20"/>
        </w:rPr>
        <w:t xml:space="preserve">Todo ello </w:t>
      </w:r>
      <w:r w:rsidR="006B777B" w:rsidRPr="00CE3B69">
        <w:rPr>
          <w:rFonts w:cstheme="minorHAnsi"/>
          <w:b/>
          <w:bCs/>
          <w:sz w:val="20"/>
          <w:szCs w:val="20"/>
        </w:rPr>
        <w:t xml:space="preserve">evidencia </w:t>
      </w:r>
      <w:r w:rsidR="00C33168" w:rsidRPr="00CE3B69">
        <w:rPr>
          <w:rFonts w:cstheme="minorHAnsi"/>
          <w:b/>
          <w:bCs/>
          <w:sz w:val="20"/>
          <w:szCs w:val="20"/>
        </w:rPr>
        <w:t>de manera clara que la falta de políticas efectivas en materia de salud y de educación sexual y reproductiva está afectando el derecho de las niñas y adolescentes en Guatemala</w:t>
      </w:r>
      <w:r w:rsidR="005E6A17" w:rsidRPr="00CE3B69">
        <w:rPr>
          <w:rFonts w:cstheme="minorHAnsi"/>
          <w:b/>
          <w:bCs/>
          <w:sz w:val="20"/>
          <w:szCs w:val="20"/>
        </w:rPr>
        <w:t xml:space="preserve"> no sólo </w:t>
      </w:r>
      <w:r w:rsidR="008C6949" w:rsidRPr="00CE3B69">
        <w:rPr>
          <w:rFonts w:cstheme="minorHAnsi"/>
          <w:b/>
          <w:bCs/>
          <w:sz w:val="20"/>
          <w:szCs w:val="20"/>
        </w:rPr>
        <w:t xml:space="preserve">a acceder </w:t>
      </w:r>
      <w:r w:rsidR="00C33168" w:rsidRPr="00CE3B69">
        <w:rPr>
          <w:rFonts w:cstheme="minorHAnsi"/>
          <w:b/>
          <w:bCs/>
          <w:sz w:val="20"/>
          <w:szCs w:val="20"/>
        </w:rPr>
        <w:t xml:space="preserve">al sistema educativo </w:t>
      </w:r>
      <w:r w:rsidR="008C6949" w:rsidRPr="00CE3B69">
        <w:rPr>
          <w:rFonts w:cstheme="minorHAnsi"/>
          <w:b/>
          <w:bCs/>
          <w:sz w:val="20"/>
          <w:szCs w:val="20"/>
        </w:rPr>
        <w:t xml:space="preserve">y poder </w:t>
      </w:r>
      <w:r w:rsidR="002361A2" w:rsidRPr="00CE3B69">
        <w:rPr>
          <w:rFonts w:cstheme="minorHAnsi"/>
          <w:b/>
          <w:bCs/>
          <w:sz w:val="20"/>
          <w:szCs w:val="20"/>
        </w:rPr>
        <w:t>continuar con su ciclo educativo sin interrupciones por cuenta de un embarazo o maternidad forzada,</w:t>
      </w:r>
      <w:r w:rsidR="00657853">
        <w:rPr>
          <w:rFonts w:cstheme="minorHAnsi"/>
          <w:b/>
          <w:bCs/>
          <w:sz w:val="20"/>
          <w:szCs w:val="20"/>
        </w:rPr>
        <w:t xml:space="preserve"> en los términos del artículo 13 del PIDESC, es decir </w:t>
      </w:r>
      <w:r w:rsidR="00657853" w:rsidRPr="00CE3B69">
        <w:rPr>
          <w:rFonts w:cstheme="minorHAnsi"/>
          <w:b/>
          <w:bCs/>
          <w:sz w:val="20"/>
          <w:szCs w:val="20"/>
        </w:rPr>
        <w:t>en condiciones de disponibilidad, accesibilidad y no discriminación</w:t>
      </w:r>
      <w:r w:rsidR="00657853">
        <w:rPr>
          <w:rFonts w:cstheme="minorHAnsi"/>
          <w:b/>
          <w:bCs/>
          <w:sz w:val="20"/>
          <w:szCs w:val="20"/>
        </w:rPr>
        <w:t>,</w:t>
      </w:r>
      <w:r w:rsidR="002361A2" w:rsidRPr="00CE3B69">
        <w:rPr>
          <w:rFonts w:cstheme="minorHAnsi"/>
          <w:b/>
          <w:bCs/>
          <w:sz w:val="20"/>
          <w:szCs w:val="20"/>
        </w:rPr>
        <w:t xml:space="preserve"> sino además</w:t>
      </w:r>
      <w:r w:rsidR="00BA4648">
        <w:rPr>
          <w:rFonts w:cstheme="minorHAnsi"/>
          <w:b/>
          <w:bCs/>
          <w:sz w:val="20"/>
          <w:szCs w:val="20"/>
        </w:rPr>
        <w:t xml:space="preserve"> el derecho de las niñas </w:t>
      </w:r>
      <w:r w:rsidR="00BA4648" w:rsidRPr="00CE3B69">
        <w:rPr>
          <w:rFonts w:cstheme="minorHAnsi"/>
          <w:b/>
          <w:bCs/>
          <w:sz w:val="20"/>
          <w:szCs w:val="20"/>
        </w:rPr>
        <w:t xml:space="preserve">y adolescentes </w:t>
      </w:r>
      <w:r w:rsidR="00BA4648">
        <w:rPr>
          <w:rFonts w:cstheme="minorHAnsi"/>
          <w:b/>
          <w:bCs/>
          <w:sz w:val="20"/>
          <w:szCs w:val="20"/>
        </w:rPr>
        <w:t xml:space="preserve">a recibir </w:t>
      </w:r>
      <w:r w:rsidR="00BA4648" w:rsidRPr="00CE3B69">
        <w:rPr>
          <w:rFonts w:cstheme="minorHAnsi"/>
          <w:b/>
          <w:bCs/>
          <w:sz w:val="20"/>
          <w:szCs w:val="20"/>
        </w:rPr>
        <w:t xml:space="preserve">educación sexual </w:t>
      </w:r>
      <w:r w:rsidR="00BA4648">
        <w:rPr>
          <w:rFonts w:cstheme="minorHAnsi"/>
          <w:b/>
          <w:bCs/>
          <w:sz w:val="20"/>
          <w:szCs w:val="20"/>
        </w:rPr>
        <w:t xml:space="preserve">de calidad, apropiada para su edad, y científicamente aprobada, </w:t>
      </w:r>
      <w:r w:rsidR="00BA4648" w:rsidRPr="00CE3B69">
        <w:rPr>
          <w:rFonts w:cstheme="minorHAnsi"/>
          <w:b/>
          <w:bCs/>
          <w:sz w:val="20"/>
          <w:szCs w:val="20"/>
        </w:rPr>
        <w:t xml:space="preserve">sino </w:t>
      </w:r>
      <w:r w:rsidR="00BA4648">
        <w:rPr>
          <w:rFonts w:cstheme="minorHAnsi"/>
          <w:b/>
          <w:bCs/>
          <w:sz w:val="20"/>
          <w:szCs w:val="20"/>
        </w:rPr>
        <w:t>ellas</w:t>
      </w:r>
      <w:r w:rsidR="002361A2" w:rsidRPr="00CE3B69">
        <w:rPr>
          <w:rFonts w:cstheme="minorHAnsi"/>
          <w:b/>
          <w:bCs/>
          <w:sz w:val="20"/>
          <w:szCs w:val="20"/>
        </w:rPr>
        <w:t xml:space="preserve"> no pueden ejercer sus otros derechos</w:t>
      </w:r>
      <w:r w:rsidR="00C33168" w:rsidRPr="00C61678">
        <w:rPr>
          <w:rFonts w:cstheme="minorHAnsi"/>
          <w:sz w:val="20"/>
          <w:szCs w:val="20"/>
        </w:rPr>
        <w:t>.</w:t>
      </w:r>
    </w:p>
    <w:p w14:paraId="58B4297E" w14:textId="089A5113" w:rsidR="00F81886" w:rsidRPr="00C61678" w:rsidRDefault="00F81886" w:rsidP="0080756A">
      <w:pPr>
        <w:pStyle w:val="Heading2"/>
      </w:pPr>
      <w:r w:rsidRPr="00C61678">
        <w:t>El derecho a la no discriminación (Artículo 2 y 3) de las mujeres en Guatemala</w:t>
      </w:r>
    </w:p>
    <w:p w14:paraId="48CE3BBB" w14:textId="77777777" w:rsidR="001A60C7" w:rsidRPr="00C61678" w:rsidRDefault="00F81886" w:rsidP="001A60C7">
      <w:pPr>
        <w:pStyle w:val="TextoCarta"/>
        <w:numPr>
          <w:ilvl w:val="0"/>
          <w:numId w:val="17"/>
        </w:numPr>
        <w:ind w:left="284"/>
        <w:rPr>
          <w:rFonts w:cstheme="minorHAnsi"/>
          <w:sz w:val="20"/>
          <w:szCs w:val="20"/>
        </w:rPr>
      </w:pPr>
      <w:r w:rsidRPr="00C61678">
        <w:rPr>
          <w:rFonts w:cstheme="minorHAnsi"/>
          <w:sz w:val="20"/>
          <w:szCs w:val="20"/>
        </w:rPr>
        <w:t xml:space="preserve">De acuerdo con la </w:t>
      </w:r>
      <w:r w:rsidRPr="00C73717">
        <w:rPr>
          <w:rFonts w:cstheme="minorHAnsi"/>
          <w:b/>
          <w:bCs/>
          <w:i/>
          <w:iCs/>
          <w:sz w:val="20"/>
          <w:szCs w:val="20"/>
        </w:rPr>
        <w:t>Observación General No. 16</w:t>
      </w:r>
      <w:r w:rsidRPr="00C73717">
        <w:rPr>
          <w:rStyle w:val="EndnoteReference"/>
          <w:rFonts w:asciiTheme="minorHAnsi" w:hAnsiTheme="minorHAnsi" w:cstheme="minorHAnsi"/>
          <w:b w:val="0"/>
          <w:bCs/>
          <w:sz w:val="20"/>
          <w:szCs w:val="20"/>
        </w:rPr>
        <w:endnoteReference w:id="104"/>
      </w:r>
      <w:r w:rsidRPr="00C73717">
        <w:rPr>
          <w:rFonts w:cstheme="minorHAnsi"/>
          <w:b/>
          <w:bCs/>
          <w:sz w:val="20"/>
          <w:szCs w:val="20"/>
        </w:rPr>
        <w:t xml:space="preserve"> </w:t>
      </w:r>
      <w:r w:rsidRPr="00C61678">
        <w:rPr>
          <w:rFonts w:cstheme="minorHAnsi"/>
          <w:sz w:val="20"/>
          <w:szCs w:val="20"/>
        </w:rPr>
        <w:t xml:space="preserve">del Comité, y en consonancia el artículo 1 de la Convención para la Eliminación de todas las formas de Discriminación contra la Mujer, constituye discriminación contra la mujer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o en cualquier otra esfera". </w:t>
      </w:r>
    </w:p>
    <w:p w14:paraId="75BA6895" w14:textId="33CCB612" w:rsidR="001A60C7" w:rsidRPr="00C61678" w:rsidRDefault="00F81886" w:rsidP="001A60C7">
      <w:pPr>
        <w:pStyle w:val="TextoCarta"/>
        <w:numPr>
          <w:ilvl w:val="0"/>
          <w:numId w:val="17"/>
        </w:numPr>
        <w:ind w:left="284"/>
        <w:rPr>
          <w:rFonts w:cstheme="minorHAnsi"/>
          <w:sz w:val="20"/>
          <w:szCs w:val="20"/>
        </w:rPr>
      </w:pPr>
      <w:r w:rsidRPr="00C61678">
        <w:rPr>
          <w:rFonts w:cstheme="minorHAnsi"/>
          <w:sz w:val="20"/>
          <w:szCs w:val="20"/>
        </w:rPr>
        <w:t>E</w:t>
      </w:r>
      <w:r w:rsidR="006B777B" w:rsidRPr="00C61678">
        <w:rPr>
          <w:rFonts w:cstheme="minorHAnsi"/>
          <w:sz w:val="20"/>
          <w:szCs w:val="20"/>
        </w:rPr>
        <w:t>ste</w:t>
      </w:r>
      <w:r w:rsidRPr="00C61678">
        <w:rPr>
          <w:rFonts w:cstheme="minorHAnsi"/>
          <w:sz w:val="20"/>
          <w:szCs w:val="20"/>
        </w:rPr>
        <w:t xml:space="preserve"> Comité </w:t>
      </w:r>
      <w:r w:rsidR="006B777B" w:rsidRPr="00C61678">
        <w:rPr>
          <w:rFonts w:cstheme="minorHAnsi"/>
          <w:sz w:val="20"/>
          <w:szCs w:val="20"/>
        </w:rPr>
        <w:t xml:space="preserve">además ha </w:t>
      </w:r>
      <w:r w:rsidRPr="00C61678">
        <w:rPr>
          <w:rFonts w:cstheme="minorHAnsi"/>
          <w:sz w:val="20"/>
          <w:szCs w:val="20"/>
        </w:rPr>
        <w:t xml:space="preserve">reconoció en la </w:t>
      </w:r>
      <w:r w:rsidRPr="00C73717">
        <w:rPr>
          <w:rFonts w:cstheme="minorHAnsi"/>
          <w:b/>
          <w:bCs/>
          <w:i/>
          <w:iCs/>
          <w:sz w:val="20"/>
          <w:szCs w:val="20"/>
        </w:rPr>
        <w:t>Observación General No. 22</w:t>
      </w:r>
      <w:r w:rsidRPr="00C61678">
        <w:rPr>
          <w:rFonts w:cstheme="minorHAnsi"/>
          <w:sz w:val="20"/>
          <w:szCs w:val="20"/>
        </w:rPr>
        <w:t xml:space="preserve"> que el acceso a la salud sexual y reproductiva está íntimamente relacionado con otros derechos del pacto, como el de la no discriminación, en particular frente a las mujeres. Indicó que, debido a su capacidad reproductiva, el acceso a este derecho es imprescindible para su autonomía y su derecho a adoptar decisiones significativas sobre su vida y salud. Así, determinó que</w:t>
      </w:r>
      <w:r w:rsidR="00EC46C2" w:rsidRPr="00C61678">
        <w:rPr>
          <w:rFonts w:cstheme="minorHAnsi"/>
          <w:sz w:val="20"/>
          <w:szCs w:val="20"/>
        </w:rPr>
        <w:t>,</w:t>
      </w:r>
      <w:r w:rsidRPr="00C61678">
        <w:rPr>
          <w:rFonts w:cstheme="minorHAnsi"/>
          <w:sz w:val="20"/>
          <w:szCs w:val="20"/>
        </w:rPr>
        <w:t xml:space="preserve"> para la garantía del derecho a la igualdad de las mujeres, es necesario eliminar todos los obstáculos para que las mujeres accedan a servicios, bienes, educación e información integrales en materia de salud sexual y reproductiva. Ello implica derogar o reformar las leyes y políticas que anulen o menoscaben la capacidad de las mujeres de hacer efectivo ese derecho, entre ellas, la penalización del aborto.  </w:t>
      </w:r>
    </w:p>
    <w:p w14:paraId="4AC262E8" w14:textId="55B0572B" w:rsidR="001A60C7" w:rsidRPr="00C61678" w:rsidRDefault="00F81886" w:rsidP="001A60C7">
      <w:pPr>
        <w:pStyle w:val="TextoCarta"/>
        <w:numPr>
          <w:ilvl w:val="0"/>
          <w:numId w:val="17"/>
        </w:numPr>
        <w:ind w:left="284"/>
        <w:rPr>
          <w:rFonts w:cstheme="minorHAnsi"/>
          <w:sz w:val="20"/>
          <w:szCs w:val="20"/>
        </w:rPr>
      </w:pPr>
      <w:r w:rsidRPr="00C61678">
        <w:rPr>
          <w:rFonts w:cstheme="minorHAnsi"/>
          <w:sz w:val="20"/>
          <w:szCs w:val="20"/>
        </w:rPr>
        <w:t>Como se expuso en las secciones anteriores, es claro que la limitación y el deficiente acceso que existe en Guatemala frente a los servicios de salud sexual y reproductiva afecta particularmente a las mujeres y a las niñas en Guatemala y que, por lo tanto, impide el ejercicio de sus derechos en condiciones de igualdad, como lo exige</w:t>
      </w:r>
      <w:r w:rsidR="00CF72C6">
        <w:rPr>
          <w:rFonts w:cstheme="minorHAnsi"/>
          <w:sz w:val="20"/>
          <w:szCs w:val="20"/>
        </w:rPr>
        <w:t>n</w:t>
      </w:r>
      <w:r w:rsidRPr="00C61678">
        <w:rPr>
          <w:rFonts w:cstheme="minorHAnsi"/>
          <w:sz w:val="20"/>
          <w:szCs w:val="20"/>
        </w:rPr>
        <w:t xml:space="preserve"> </w:t>
      </w:r>
      <w:r w:rsidR="00CF72C6">
        <w:rPr>
          <w:rFonts w:cstheme="minorHAnsi"/>
          <w:sz w:val="20"/>
          <w:szCs w:val="20"/>
        </w:rPr>
        <w:t>los</w:t>
      </w:r>
      <w:r w:rsidRPr="00C61678">
        <w:rPr>
          <w:rFonts w:cstheme="minorHAnsi"/>
          <w:sz w:val="20"/>
          <w:szCs w:val="20"/>
        </w:rPr>
        <w:t xml:space="preserve"> artículo</w:t>
      </w:r>
      <w:r w:rsidR="00CF72C6">
        <w:rPr>
          <w:rFonts w:cstheme="minorHAnsi"/>
          <w:sz w:val="20"/>
          <w:szCs w:val="20"/>
        </w:rPr>
        <w:t>s 2 y</w:t>
      </w:r>
      <w:r w:rsidRPr="00C61678">
        <w:rPr>
          <w:rFonts w:cstheme="minorHAnsi"/>
          <w:sz w:val="20"/>
          <w:szCs w:val="20"/>
        </w:rPr>
        <w:t xml:space="preserve"> 3 del PIDESC. </w:t>
      </w:r>
    </w:p>
    <w:p w14:paraId="52272768" w14:textId="291B2FD1" w:rsidR="00305E31" w:rsidRPr="00C61678" w:rsidRDefault="00305E31" w:rsidP="0080756A">
      <w:pPr>
        <w:pStyle w:val="Heading2"/>
      </w:pPr>
      <w:r w:rsidRPr="00C61678">
        <w:t xml:space="preserve">El derecho </w:t>
      </w:r>
      <w:r w:rsidR="0003521C" w:rsidRPr="00C61678">
        <w:t xml:space="preserve">a la protección de la familia, en particular </w:t>
      </w:r>
      <w:r w:rsidR="009C1595" w:rsidRPr="00C61678">
        <w:t>de las madres</w:t>
      </w:r>
      <w:r w:rsidR="0003521C" w:rsidRPr="00C61678">
        <w:t xml:space="preserve"> mujeres y niñas </w:t>
      </w:r>
      <w:r w:rsidRPr="00C61678">
        <w:t xml:space="preserve">(Artículo </w:t>
      </w:r>
      <w:r w:rsidR="0003521C" w:rsidRPr="00C61678">
        <w:t>10.</w:t>
      </w:r>
      <w:r w:rsidRPr="00C61678">
        <w:t xml:space="preserve">2 y </w:t>
      </w:r>
      <w:r w:rsidR="0003521C" w:rsidRPr="00C61678">
        <w:t>10.</w:t>
      </w:r>
      <w:r w:rsidRPr="00C61678">
        <w:t>3)</w:t>
      </w:r>
    </w:p>
    <w:p w14:paraId="344129CC" w14:textId="6E35FE51" w:rsidR="00F81886" w:rsidRPr="00C61678" w:rsidRDefault="00F81886" w:rsidP="001A60C7">
      <w:pPr>
        <w:pStyle w:val="TextoCarta"/>
        <w:numPr>
          <w:ilvl w:val="0"/>
          <w:numId w:val="17"/>
        </w:numPr>
        <w:ind w:left="284"/>
        <w:rPr>
          <w:rFonts w:cstheme="minorHAnsi"/>
          <w:sz w:val="20"/>
          <w:szCs w:val="20"/>
        </w:rPr>
      </w:pPr>
      <w:r w:rsidRPr="00C61678">
        <w:rPr>
          <w:rFonts w:cstheme="minorHAnsi"/>
          <w:sz w:val="20"/>
          <w:szCs w:val="20"/>
        </w:rPr>
        <w:t>Finalmente, es necesario resaltar que las violaciones anteriormente indicadas afectan de manera particular a quienes son sujeto de especial protección de acuerdo con el artículo 10.2 y 10.3 del PIDESC. Los estándares de protección de las madres antes, durante y después el pacto, así como la prevención de la explotación económica y social de los niños</w:t>
      </w:r>
      <w:r w:rsidR="009C1595" w:rsidRPr="00C61678">
        <w:rPr>
          <w:rFonts w:cstheme="minorHAnsi"/>
          <w:sz w:val="20"/>
          <w:szCs w:val="20"/>
        </w:rPr>
        <w:t>,</w:t>
      </w:r>
      <w:r w:rsidRPr="00C61678">
        <w:rPr>
          <w:rFonts w:cstheme="minorHAnsi"/>
          <w:sz w:val="20"/>
          <w:szCs w:val="20"/>
        </w:rPr>
        <w:t xml:space="preserve"> niñas y adolescentes, de acuerdo con los artículos mencionados, no se puede alcanzar en una situación en la que son las niñas, y las adolescentes quienes, a falta de servicios de educación y salud adecuados, se ven forzadas a convertirse en madres. </w:t>
      </w:r>
    </w:p>
    <w:p w14:paraId="4D776B8E" w14:textId="58EA690B" w:rsidR="00F81886" w:rsidRPr="00C61678" w:rsidRDefault="00F81886" w:rsidP="00DA187D">
      <w:pPr>
        <w:pStyle w:val="Heading1"/>
      </w:pPr>
      <w:r w:rsidRPr="00C61678">
        <w:t xml:space="preserve">Los </w:t>
      </w:r>
      <w:r w:rsidR="00EC46C2" w:rsidRPr="00C61678">
        <w:t xml:space="preserve">impactos </w:t>
      </w:r>
      <w:r w:rsidRPr="00C61678">
        <w:t xml:space="preserve">de la pandemia del COVID-19 frente a la situación de la violación de los derechos. </w:t>
      </w:r>
    </w:p>
    <w:p w14:paraId="3AD8B42E" w14:textId="2F3F35C6" w:rsidR="001A60C7" w:rsidRPr="00C61678" w:rsidRDefault="00FE62B2" w:rsidP="001A60C7">
      <w:pPr>
        <w:pStyle w:val="paragraph"/>
        <w:numPr>
          <w:ilvl w:val="0"/>
          <w:numId w:val="17"/>
        </w:numPr>
        <w:spacing w:before="0" w:beforeAutospacing="0" w:after="0" w:afterAutospacing="0"/>
        <w:ind w:left="283" w:hanging="357"/>
        <w:jc w:val="both"/>
        <w:textAlignment w:val="baseline"/>
        <w:rPr>
          <w:rFonts w:asciiTheme="minorHAnsi" w:eastAsiaTheme="minorHAnsi" w:hAnsiTheme="minorHAnsi" w:cstheme="minorHAnsi"/>
          <w:sz w:val="20"/>
          <w:szCs w:val="20"/>
          <w:lang w:val="es-CO"/>
        </w:rPr>
      </w:pPr>
      <w:r w:rsidRPr="00C61678">
        <w:rPr>
          <w:rFonts w:asciiTheme="minorHAnsi" w:eastAsiaTheme="minorHAnsi" w:hAnsiTheme="minorHAnsi" w:cstheme="minorHAnsi"/>
          <w:sz w:val="20"/>
          <w:szCs w:val="20"/>
          <w:lang w:val="es-CO"/>
        </w:rPr>
        <w:t>La crisis mundial de salud pública causada por pandemia de la COVID-19</w:t>
      </w:r>
      <w:r w:rsidR="005B76CE" w:rsidRPr="00CF72C6">
        <w:rPr>
          <w:rStyle w:val="EndnoteReference"/>
          <w:rFonts w:eastAsiaTheme="minorHAnsi" w:cstheme="minorHAnsi"/>
          <w:b w:val="0"/>
          <w:bCs/>
          <w:sz w:val="20"/>
          <w:szCs w:val="20"/>
          <w:lang w:val="es-CO"/>
        </w:rPr>
        <w:endnoteReference w:id="105"/>
      </w:r>
      <w:r w:rsidRPr="00C61678">
        <w:rPr>
          <w:rFonts w:asciiTheme="minorHAnsi" w:eastAsiaTheme="minorHAnsi" w:hAnsiTheme="minorHAnsi" w:cstheme="minorHAnsi"/>
          <w:sz w:val="20"/>
          <w:szCs w:val="20"/>
          <w:lang w:val="es-CO"/>
        </w:rPr>
        <w:t xml:space="preserve"> “está provocando impactos específicos sobre las mujeres y profundizando las desigualdades de género existentes”</w:t>
      </w:r>
      <w:r w:rsidR="006B777B" w:rsidRPr="00C61678">
        <w:rPr>
          <w:rStyle w:val="EndnoteReference"/>
          <w:rFonts w:eastAsiaTheme="minorHAnsi" w:cstheme="minorHAnsi"/>
          <w:b w:val="0"/>
          <w:bCs/>
          <w:sz w:val="20"/>
          <w:szCs w:val="20"/>
          <w:lang w:val="es-CO"/>
        </w:rPr>
        <w:endnoteReference w:id="106"/>
      </w:r>
      <w:r w:rsidRPr="00C61678">
        <w:rPr>
          <w:rFonts w:asciiTheme="minorHAnsi" w:eastAsiaTheme="minorHAnsi" w:hAnsiTheme="minorHAnsi" w:cstheme="minorHAnsi"/>
          <w:sz w:val="20"/>
          <w:szCs w:val="20"/>
          <w:lang w:val="es-CO"/>
        </w:rPr>
        <w:t xml:space="preserve"> y tendrá un impacto a inmediato, mediano y largo plazo sobre los derechos fundamentales de las mujeres y niñas. Así lo ha referido tanto </w:t>
      </w:r>
      <w:r w:rsidRPr="00C61678">
        <w:rPr>
          <w:rFonts w:asciiTheme="minorHAnsi" w:eastAsiaTheme="minorHAnsi" w:hAnsiTheme="minorHAnsi" w:cstheme="minorHAnsi"/>
          <w:sz w:val="20"/>
          <w:szCs w:val="20"/>
          <w:lang w:val="es-ES"/>
        </w:rPr>
        <w:t xml:space="preserve">esta </w:t>
      </w:r>
      <w:r w:rsidR="008A0CF6" w:rsidRPr="00C61678">
        <w:rPr>
          <w:rFonts w:asciiTheme="minorHAnsi" w:eastAsiaTheme="minorHAnsi" w:hAnsiTheme="minorHAnsi" w:cstheme="minorHAnsi"/>
          <w:sz w:val="20"/>
          <w:szCs w:val="20"/>
          <w:lang w:val="es-ES"/>
        </w:rPr>
        <w:t>Comité</w:t>
      </w:r>
      <w:r w:rsidR="00BB28F5" w:rsidRPr="00CF72C6">
        <w:rPr>
          <w:rStyle w:val="EndnoteReference"/>
          <w:rFonts w:asciiTheme="minorHAnsi" w:eastAsiaTheme="minorHAnsi" w:hAnsiTheme="minorHAnsi" w:cstheme="minorHAnsi"/>
          <w:b w:val="0"/>
          <w:bCs/>
          <w:sz w:val="20"/>
          <w:szCs w:val="20"/>
          <w:lang w:val="es-ES"/>
        </w:rPr>
        <w:endnoteReference w:id="107"/>
      </w:r>
      <w:r w:rsidR="008A0CF6" w:rsidRPr="00C61678">
        <w:rPr>
          <w:rFonts w:asciiTheme="minorHAnsi" w:eastAsiaTheme="minorHAnsi" w:hAnsiTheme="minorHAnsi" w:cstheme="minorHAnsi"/>
          <w:sz w:val="20"/>
          <w:szCs w:val="20"/>
          <w:lang w:val="es-ES"/>
        </w:rPr>
        <w:t xml:space="preserve">, como </w:t>
      </w:r>
      <w:r w:rsidRPr="00C61678">
        <w:rPr>
          <w:rFonts w:asciiTheme="minorHAnsi" w:eastAsiaTheme="minorHAnsi" w:hAnsiTheme="minorHAnsi" w:cstheme="minorHAnsi"/>
          <w:sz w:val="20"/>
          <w:szCs w:val="20"/>
          <w:lang w:val="es-CO"/>
        </w:rPr>
        <w:t>la Oficina del Alto Comisionado de Derechos Humanos</w:t>
      </w:r>
      <w:r w:rsidR="0056069D" w:rsidRPr="00CF72C6">
        <w:rPr>
          <w:rStyle w:val="EndnoteReference"/>
          <w:rFonts w:asciiTheme="minorHAnsi" w:eastAsiaTheme="minorHAnsi" w:hAnsiTheme="minorHAnsi" w:cstheme="minorHAnsi"/>
          <w:b w:val="0"/>
          <w:bCs/>
          <w:sz w:val="20"/>
          <w:szCs w:val="20"/>
          <w:lang w:val="es-CO"/>
        </w:rPr>
        <w:endnoteReference w:id="108"/>
      </w:r>
      <w:r w:rsidRPr="00C61678">
        <w:rPr>
          <w:rFonts w:asciiTheme="minorHAnsi" w:eastAsiaTheme="minorHAnsi" w:hAnsiTheme="minorHAnsi" w:cstheme="minorHAnsi"/>
          <w:sz w:val="20"/>
          <w:szCs w:val="20"/>
          <w:lang w:val="es-CO"/>
        </w:rPr>
        <w:t xml:space="preserve">, el Comité </w:t>
      </w:r>
      <w:r w:rsidR="008A0CF6" w:rsidRPr="00C61678">
        <w:rPr>
          <w:rFonts w:asciiTheme="minorHAnsi" w:eastAsiaTheme="minorHAnsi" w:hAnsiTheme="minorHAnsi" w:cstheme="minorHAnsi"/>
          <w:sz w:val="20"/>
          <w:szCs w:val="20"/>
          <w:lang w:val="es-CO"/>
        </w:rPr>
        <w:t>CEDAW</w:t>
      </w:r>
      <w:r w:rsidR="0056069D" w:rsidRPr="00CF72C6">
        <w:rPr>
          <w:rStyle w:val="EndnoteReference"/>
          <w:rFonts w:asciiTheme="minorHAnsi" w:eastAsiaTheme="minorHAnsi" w:hAnsiTheme="minorHAnsi" w:cstheme="minorHAnsi"/>
          <w:b w:val="0"/>
          <w:bCs/>
          <w:sz w:val="20"/>
          <w:szCs w:val="20"/>
          <w:lang w:val="es-CO"/>
        </w:rPr>
        <w:endnoteReference w:id="109"/>
      </w:r>
      <w:r w:rsidRPr="00C61678">
        <w:rPr>
          <w:rFonts w:asciiTheme="minorHAnsi" w:eastAsiaTheme="minorHAnsi" w:hAnsiTheme="minorHAnsi" w:cstheme="minorHAnsi"/>
          <w:sz w:val="20"/>
          <w:szCs w:val="20"/>
          <w:lang w:val="es-CO"/>
        </w:rPr>
        <w:t>,</w:t>
      </w:r>
      <w:r w:rsidR="008A0CF6" w:rsidRPr="00C61678">
        <w:rPr>
          <w:rFonts w:asciiTheme="minorHAnsi" w:eastAsiaTheme="minorHAnsi" w:hAnsiTheme="minorHAnsi" w:cstheme="minorHAnsi"/>
          <w:sz w:val="20"/>
          <w:szCs w:val="20"/>
          <w:lang w:val="es-CO"/>
        </w:rPr>
        <w:t xml:space="preserve"> la Comisión Interamericana de Derechos Humanos</w:t>
      </w:r>
      <w:r w:rsidR="0005539C" w:rsidRPr="00C61678">
        <w:rPr>
          <w:rStyle w:val="EndnoteReference"/>
          <w:rFonts w:asciiTheme="minorHAnsi" w:eastAsiaTheme="minorHAnsi" w:hAnsiTheme="minorHAnsi" w:cstheme="minorHAnsi"/>
          <w:sz w:val="20"/>
          <w:szCs w:val="20"/>
          <w:lang w:val="es-CO"/>
        </w:rPr>
        <w:endnoteReference w:id="110"/>
      </w:r>
      <w:r w:rsidR="0005539C" w:rsidRPr="00C61678">
        <w:rPr>
          <w:rFonts w:asciiTheme="minorHAnsi" w:hAnsiTheme="minorHAnsi" w:cstheme="minorHAnsi"/>
          <w:sz w:val="20"/>
          <w:szCs w:val="20"/>
          <w:vertAlign w:val="superscript"/>
          <w:lang w:val="es-CO"/>
        </w:rPr>
        <w:t xml:space="preserve"> </w:t>
      </w:r>
      <w:r w:rsidR="00591597" w:rsidRPr="00C61678">
        <w:rPr>
          <w:rFonts w:asciiTheme="minorHAnsi" w:eastAsiaTheme="minorHAnsi" w:hAnsiTheme="minorHAnsi" w:cstheme="minorHAnsi"/>
          <w:sz w:val="20"/>
          <w:szCs w:val="20"/>
          <w:lang w:val="es-CO"/>
        </w:rPr>
        <w:t>y</w:t>
      </w:r>
      <w:r w:rsidR="008A0CF6" w:rsidRPr="00C61678">
        <w:rPr>
          <w:rFonts w:asciiTheme="minorHAnsi" w:eastAsiaTheme="minorHAnsi" w:hAnsiTheme="minorHAnsi" w:cstheme="minorHAnsi"/>
          <w:sz w:val="20"/>
          <w:szCs w:val="20"/>
          <w:lang w:val="es-CO"/>
        </w:rPr>
        <w:t xml:space="preserve"> la Comisión Interamericana de la Mujer (en adelante “CIM”)</w:t>
      </w:r>
      <w:r w:rsidR="00DF148D" w:rsidRPr="00CF72C6">
        <w:rPr>
          <w:rStyle w:val="EndnoteReference"/>
          <w:rFonts w:asciiTheme="minorHAnsi" w:eastAsiaTheme="minorHAnsi" w:hAnsiTheme="minorHAnsi" w:cstheme="minorHAnsi"/>
          <w:b w:val="0"/>
          <w:bCs/>
          <w:sz w:val="20"/>
          <w:szCs w:val="20"/>
          <w:lang w:val="es-CO"/>
        </w:rPr>
        <w:endnoteReference w:id="111"/>
      </w:r>
      <w:r w:rsidR="008A0CF6" w:rsidRPr="00C61678">
        <w:rPr>
          <w:rFonts w:asciiTheme="minorHAnsi" w:eastAsiaTheme="minorHAnsi" w:hAnsiTheme="minorHAnsi" w:cstheme="minorHAnsi"/>
          <w:sz w:val="20"/>
          <w:szCs w:val="20"/>
          <w:lang w:val="es-CO"/>
        </w:rPr>
        <w:t>,</w:t>
      </w:r>
      <w:r w:rsidRPr="00C61678">
        <w:rPr>
          <w:rFonts w:asciiTheme="minorHAnsi" w:eastAsiaTheme="minorHAnsi" w:hAnsiTheme="minorHAnsi" w:cstheme="minorHAnsi"/>
          <w:sz w:val="20"/>
          <w:szCs w:val="20"/>
          <w:lang w:val="es-ES"/>
        </w:rPr>
        <w:t xml:space="preserve"> entre otros organismos internacionales de protección de los derechos humanos. </w:t>
      </w:r>
      <w:r w:rsidRPr="00C61678">
        <w:rPr>
          <w:rFonts w:asciiTheme="minorHAnsi" w:eastAsiaTheme="minorHAnsi" w:hAnsiTheme="minorHAnsi" w:cstheme="minorHAnsi"/>
          <w:sz w:val="20"/>
          <w:szCs w:val="20"/>
          <w:lang w:val="es-CO"/>
        </w:rPr>
        <w:t> </w:t>
      </w:r>
    </w:p>
    <w:p w14:paraId="37706756" w14:textId="77777777" w:rsidR="001A60C7" w:rsidRPr="00C61678" w:rsidRDefault="001A60C7" w:rsidP="001A60C7">
      <w:pPr>
        <w:pStyle w:val="paragraph"/>
        <w:spacing w:before="0" w:beforeAutospacing="0" w:after="0" w:afterAutospacing="0"/>
        <w:ind w:left="284"/>
        <w:jc w:val="both"/>
        <w:textAlignment w:val="baseline"/>
        <w:rPr>
          <w:rFonts w:asciiTheme="minorHAnsi" w:eastAsiaTheme="minorHAnsi" w:hAnsiTheme="minorHAnsi" w:cstheme="minorHAnsi"/>
          <w:sz w:val="20"/>
          <w:szCs w:val="20"/>
          <w:lang w:val="es-CO"/>
        </w:rPr>
      </w:pPr>
    </w:p>
    <w:p w14:paraId="23384C8C" w14:textId="47A38DC9" w:rsidR="001A60C7" w:rsidRPr="00C61678" w:rsidRDefault="000A4142" w:rsidP="001A60C7">
      <w:pPr>
        <w:pStyle w:val="paragraph"/>
        <w:numPr>
          <w:ilvl w:val="0"/>
          <w:numId w:val="17"/>
        </w:numPr>
        <w:spacing w:before="0" w:beforeAutospacing="0" w:after="0" w:afterAutospacing="0"/>
        <w:ind w:left="283" w:hanging="357"/>
        <w:jc w:val="both"/>
        <w:textAlignment w:val="baseline"/>
        <w:rPr>
          <w:rFonts w:asciiTheme="minorHAnsi" w:eastAsiaTheme="minorHAnsi" w:hAnsiTheme="minorHAnsi" w:cstheme="minorHAnsi"/>
          <w:sz w:val="20"/>
          <w:szCs w:val="20"/>
          <w:lang w:val="es-CO"/>
        </w:rPr>
      </w:pPr>
      <w:r w:rsidRPr="00C61678">
        <w:rPr>
          <w:rFonts w:asciiTheme="minorHAnsi" w:eastAsiaTheme="minorHAnsi" w:hAnsiTheme="minorHAnsi" w:cstheme="minorHAnsi"/>
          <w:sz w:val="20"/>
          <w:szCs w:val="20"/>
          <w:lang w:val="es-CO"/>
        </w:rPr>
        <w:t>En particular es</w:t>
      </w:r>
      <w:r w:rsidR="00254BF1" w:rsidRPr="00C61678">
        <w:rPr>
          <w:rFonts w:asciiTheme="minorHAnsi" w:eastAsiaTheme="minorHAnsi" w:hAnsiTheme="minorHAnsi" w:cstheme="minorHAnsi"/>
          <w:sz w:val="20"/>
          <w:szCs w:val="20"/>
          <w:lang w:val="es-CO"/>
        </w:rPr>
        <w:t>te Comité</w:t>
      </w:r>
      <w:r w:rsidR="00B047CB" w:rsidRPr="00C61678">
        <w:rPr>
          <w:rFonts w:asciiTheme="minorHAnsi" w:eastAsiaTheme="minorHAnsi" w:hAnsiTheme="minorHAnsi" w:cstheme="minorHAnsi"/>
          <w:sz w:val="20"/>
          <w:szCs w:val="20"/>
          <w:lang w:val="es-CO"/>
        </w:rPr>
        <w:t xml:space="preserve"> ha señalado que</w:t>
      </w:r>
      <w:r w:rsidR="00254BF1" w:rsidRPr="00C61678">
        <w:rPr>
          <w:rFonts w:asciiTheme="minorHAnsi" w:hAnsiTheme="minorHAnsi" w:cstheme="minorHAnsi"/>
          <w:sz w:val="20"/>
          <w:szCs w:val="20"/>
          <w:lang w:val="es-ES"/>
        </w:rPr>
        <w:t xml:space="preserve"> </w:t>
      </w:r>
      <w:r w:rsidR="00254BF1" w:rsidRPr="00C61678">
        <w:rPr>
          <w:rFonts w:asciiTheme="minorHAnsi" w:eastAsiaTheme="minorHAnsi" w:hAnsiTheme="minorHAnsi" w:cstheme="minorHAnsi"/>
          <w:sz w:val="20"/>
          <w:szCs w:val="20"/>
          <w:lang w:val="es-CO"/>
        </w:rPr>
        <w:t>las medidas de confinamiento tomadas por los gobiernos para evitar la propagación del virus pueden agravar las inequidades de género, dado el aumento de la carga de trabajo de cuidado y que, dados los profundos estereotipos sociales y culturales existentes en nuestras sociedades, son atribuidos en su mayoría a las mujeres</w:t>
      </w:r>
      <w:r w:rsidR="00254BF1" w:rsidRPr="00C61678">
        <w:rPr>
          <w:rStyle w:val="EndnoteReference"/>
          <w:rFonts w:asciiTheme="minorHAnsi" w:hAnsiTheme="minorHAnsi" w:cstheme="minorHAnsi"/>
          <w:sz w:val="20"/>
          <w:szCs w:val="20"/>
        </w:rPr>
        <w:endnoteReference w:id="112"/>
      </w:r>
      <w:r w:rsidR="00254BF1" w:rsidRPr="00C61678">
        <w:rPr>
          <w:rFonts w:asciiTheme="minorHAnsi" w:eastAsiaTheme="minorHAnsi" w:hAnsiTheme="minorHAnsi" w:cstheme="minorHAnsi"/>
          <w:sz w:val="20"/>
          <w:szCs w:val="20"/>
          <w:lang w:val="es-CO"/>
        </w:rPr>
        <w:t>. Además, señaló que las medidas del confinamiento representan una mayor vulnerabilidad frente a las mujeres víctimas de violencia doméstica. Asimismo,</w:t>
      </w:r>
      <w:r w:rsidR="00254BF1" w:rsidRPr="00C61678">
        <w:rPr>
          <w:rFonts w:asciiTheme="minorHAnsi" w:hAnsiTheme="minorHAnsi" w:cstheme="minorHAnsi"/>
          <w:sz w:val="20"/>
          <w:szCs w:val="20"/>
          <w:lang w:val="es-ES"/>
        </w:rPr>
        <w:t xml:space="preserve"> </w:t>
      </w:r>
      <w:r w:rsidR="00254BF1" w:rsidRPr="00C61678">
        <w:rPr>
          <w:rFonts w:asciiTheme="minorHAnsi" w:eastAsiaTheme="minorHAnsi" w:hAnsiTheme="minorHAnsi" w:cstheme="minorHAnsi"/>
          <w:sz w:val="20"/>
          <w:szCs w:val="20"/>
          <w:lang w:val="es-CO"/>
        </w:rPr>
        <w:t>el Comité señaló que estas medidas profundizan inequidades frente a la educación, puesto que el acceso a ella dependerá de la posibilidad de acceso a las comunicaciones y a las tecnologías por parte de los estudiantes</w:t>
      </w:r>
      <w:r w:rsidR="00254BF1" w:rsidRPr="00C61678">
        <w:rPr>
          <w:rStyle w:val="EndnoteReference"/>
          <w:rFonts w:asciiTheme="minorHAnsi" w:hAnsiTheme="minorHAnsi" w:cstheme="minorHAnsi"/>
          <w:sz w:val="20"/>
          <w:szCs w:val="20"/>
        </w:rPr>
        <w:endnoteReference w:id="113"/>
      </w:r>
      <w:r w:rsidR="00254BF1" w:rsidRPr="00C61678">
        <w:rPr>
          <w:rFonts w:asciiTheme="minorHAnsi" w:eastAsiaTheme="minorHAnsi" w:hAnsiTheme="minorHAnsi" w:cstheme="minorHAnsi"/>
          <w:sz w:val="20"/>
          <w:szCs w:val="20"/>
          <w:lang w:val="es-CO"/>
        </w:rPr>
        <w:t>. Por ello, el Comité recomendó a los Estados parte tomar medidas inmediatas para la protección de los derechos cobijados por el pacto, tales como la respuesta inmediata frente a denuncias de violencia doméstica, la eficacia del aparato de justicia para responder frente a estos casos y la inversión prioritaria de recursos en programas y políticas destinadas a la reducción de las diferentes inequidades frente al acceso a servicios públicos como la salud o la educación.</w:t>
      </w:r>
    </w:p>
    <w:p w14:paraId="665BFEA8" w14:textId="77777777" w:rsidR="001A60C7" w:rsidRPr="00C61678" w:rsidRDefault="001A60C7" w:rsidP="001A60C7">
      <w:pPr>
        <w:pStyle w:val="paragraph"/>
        <w:spacing w:before="0" w:beforeAutospacing="0" w:after="0" w:afterAutospacing="0"/>
        <w:ind w:left="283"/>
        <w:jc w:val="both"/>
        <w:textAlignment w:val="baseline"/>
        <w:rPr>
          <w:rFonts w:asciiTheme="minorHAnsi" w:eastAsiaTheme="minorHAnsi" w:hAnsiTheme="minorHAnsi" w:cstheme="minorHAnsi"/>
          <w:sz w:val="20"/>
          <w:szCs w:val="20"/>
          <w:lang w:val="es-CO"/>
        </w:rPr>
      </w:pPr>
    </w:p>
    <w:p w14:paraId="511BD3E5" w14:textId="4AB7DB40" w:rsidR="001A60C7" w:rsidRPr="00C61678" w:rsidRDefault="00B047CB" w:rsidP="001A60C7">
      <w:pPr>
        <w:pStyle w:val="paragraph"/>
        <w:numPr>
          <w:ilvl w:val="0"/>
          <w:numId w:val="17"/>
        </w:numPr>
        <w:spacing w:before="0" w:beforeAutospacing="0" w:after="0" w:afterAutospacing="0"/>
        <w:ind w:left="283" w:hanging="357"/>
        <w:jc w:val="both"/>
        <w:textAlignment w:val="baseline"/>
        <w:rPr>
          <w:rFonts w:asciiTheme="minorHAnsi" w:eastAsiaTheme="minorHAnsi" w:hAnsiTheme="minorHAnsi" w:cstheme="minorHAnsi"/>
          <w:sz w:val="20"/>
          <w:szCs w:val="20"/>
          <w:lang w:val="es-CO"/>
        </w:rPr>
      </w:pPr>
      <w:r w:rsidRPr="00C61678">
        <w:rPr>
          <w:rFonts w:asciiTheme="minorHAnsi" w:eastAsiaTheme="minorHAnsi" w:hAnsiTheme="minorHAnsi" w:cstheme="minorHAnsi"/>
          <w:sz w:val="20"/>
          <w:szCs w:val="20"/>
          <w:lang w:val="es-CO"/>
        </w:rPr>
        <w:t xml:space="preserve">Específicamente, la COVID-19 ha </w:t>
      </w:r>
      <w:r w:rsidRPr="00C61678">
        <w:rPr>
          <w:rFonts w:asciiTheme="minorHAnsi" w:hAnsiTheme="minorHAnsi" w:cstheme="minorHAnsi"/>
          <w:sz w:val="20"/>
          <w:szCs w:val="20"/>
          <w:lang w:val="es-CO"/>
        </w:rPr>
        <w:t>impactado gravemente los derechos sexuales y derechos reproductivos de las mujeres y niñas</w:t>
      </w:r>
      <w:r w:rsidR="00BA6EB7" w:rsidRPr="00C61678">
        <w:rPr>
          <w:rStyle w:val="EndnoteReference"/>
          <w:rFonts w:asciiTheme="minorHAnsi" w:hAnsiTheme="minorHAnsi" w:cstheme="minorHAnsi"/>
          <w:sz w:val="20"/>
          <w:szCs w:val="20"/>
          <w:lang w:val="es-CO"/>
        </w:rPr>
        <w:endnoteReference w:id="114"/>
      </w:r>
      <w:r w:rsidRPr="00C61678">
        <w:rPr>
          <w:rFonts w:asciiTheme="minorHAnsi" w:hAnsiTheme="minorHAnsi" w:cstheme="minorHAnsi"/>
          <w:sz w:val="20"/>
          <w:szCs w:val="20"/>
          <w:lang w:val="es-CO"/>
        </w:rPr>
        <w:t xml:space="preserve">, no sólo porque ha exacerbado las barreras preexistentes, que de por sí impedían su acceso libre y sin discriminación, sino porque ha creado nuevas barreras que efectivamente limitan o eliminan el acceso a estos servicios. Estas barreras incluyen, la falta de información clara sobre la accesibilidad y disponibilidad de los servicios de salud reproductiva, el desabastecimiento de insumos, como anticonceptivos y kits de emergencia, la denegación de servicios esenciales como el aborto, la criminalización de algunos servicios de salud sexual y salud reproductiva, y la falta de atención integral en salud materna. Estas barreras y limitantes afectan directamente a las adolescente y niñas ya que pueden incrementar </w:t>
      </w:r>
      <w:r w:rsidRPr="00C61678">
        <w:rPr>
          <w:rFonts w:asciiTheme="minorHAnsi" w:hAnsiTheme="minorHAnsi" w:cstheme="minorHAnsi"/>
          <w:sz w:val="20"/>
          <w:szCs w:val="20"/>
          <w:lang w:val="es-US"/>
        </w:rPr>
        <w:t>la mortalidad y morbilidad materna y las tasas de embarazo adolescente</w:t>
      </w:r>
      <w:r w:rsidR="00BA6EB7" w:rsidRPr="00C61678">
        <w:rPr>
          <w:rStyle w:val="EndnoteReference"/>
          <w:rFonts w:asciiTheme="minorHAnsi" w:hAnsiTheme="minorHAnsi" w:cstheme="minorHAnsi"/>
          <w:sz w:val="20"/>
          <w:szCs w:val="20"/>
          <w:lang w:val="es-US"/>
        </w:rPr>
        <w:endnoteReference w:id="115"/>
      </w:r>
      <w:r w:rsidRPr="00C61678">
        <w:rPr>
          <w:rFonts w:asciiTheme="minorHAnsi" w:hAnsiTheme="minorHAnsi" w:cstheme="minorHAnsi"/>
          <w:sz w:val="20"/>
          <w:szCs w:val="20"/>
          <w:lang w:val="es-US"/>
        </w:rPr>
        <w:t>. </w:t>
      </w:r>
    </w:p>
    <w:p w14:paraId="15434A4B" w14:textId="77777777" w:rsidR="001A60C7" w:rsidRPr="00C61678" w:rsidRDefault="001A60C7" w:rsidP="001A60C7">
      <w:pPr>
        <w:pStyle w:val="TextoCarta"/>
        <w:spacing w:after="0"/>
        <w:ind w:left="720" w:firstLine="0"/>
        <w:rPr>
          <w:rFonts w:cstheme="minorHAnsi"/>
          <w:sz w:val="20"/>
          <w:szCs w:val="20"/>
        </w:rPr>
      </w:pPr>
    </w:p>
    <w:p w14:paraId="25A2FBEB" w14:textId="26C5817A" w:rsidR="00F81886" w:rsidRPr="00C61678" w:rsidRDefault="00B047CB" w:rsidP="00077973">
      <w:pPr>
        <w:pStyle w:val="TextoCarta"/>
        <w:numPr>
          <w:ilvl w:val="0"/>
          <w:numId w:val="17"/>
        </w:numPr>
        <w:ind w:left="284"/>
        <w:rPr>
          <w:rFonts w:cstheme="minorHAnsi"/>
          <w:b/>
          <w:bCs/>
          <w:sz w:val="20"/>
          <w:szCs w:val="20"/>
          <w:lang w:val="es-ES"/>
        </w:rPr>
      </w:pPr>
      <w:r w:rsidRPr="00C61678">
        <w:rPr>
          <w:rFonts w:cstheme="minorHAnsi"/>
          <w:b/>
          <w:bCs/>
          <w:sz w:val="20"/>
          <w:szCs w:val="20"/>
        </w:rPr>
        <w:t>E</w:t>
      </w:r>
      <w:r w:rsidR="001603ED" w:rsidRPr="00C61678">
        <w:rPr>
          <w:rFonts w:cstheme="minorHAnsi"/>
          <w:b/>
          <w:bCs/>
          <w:sz w:val="20"/>
          <w:szCs w:val="20"/>
        </w:rPr>
        <w:t>n Guatemala</w:t>
      </w:r>
      <w:r w:rsidRPr="00C61678">
        <w:rPr>
          <w:rFonts w:cstheme="minorHAnsi"/>
          <w:b/>
          <w:bCs/>
          <w:sz w:val="20"/>
          <w:szCs w:val="20"/>
        </w:rPr>
        <w:t xml:space="preserve">, el grave contexto de </w:t>
      </w:r>
      <w:r w:rsidR="001603ED" w:rsidRPr="00C61678">
        <w:rPr>
          <w:rFonts w:cstheme="minorHAnsi"/>
          <w:b/>
          <w:bCs/>
          <w:sz w:val="20"/>
          <w:szCs w:val="20"/>
        </w:rPr>
        <w:t xml:space="preserve">violaciones </w:t>
      </w:r>
      <w:r w:rsidR="00F81886" w:rsidRPr="00C61678">
        <w:rPr>
          <w:rFonts w:cstheme="minorHAnsi"/>
          <w:b/>
          <w:bCs/>
          <w:sz w:val="20"/>
          <w:szCs w:val="20"/>
        </w:rPr>
        <w:t xml:space="preserve">de </w:t>
      </w:r>
      <w:r w:rsidR="001603ED" w:rsidRPr="00C61678">
        <w:rPr>
          <w:rFonts w:cstheme="minorHAnsi"/>
          <w:b/>
          <w:bCs/>
          <w:sz w:val="20"/>
          <w:szCs w:val="20"/>
        </w:rPr>
        <w:t xml:space="preserve">los </w:t>
      </w:r>
      <w:r w:rsidR="00F81886" w:rsidRPr="00C61678">
        <w:rPr>
          <w:rFonts w:cstheme="minorHAnsi"/>
          <w:b/>
          <w:bCs/>
          <w:sz w:val="20"/>
          <w:szCs w:val="20"/>
        </w:rPr>
        <w:t xml:space="preserve">derechos </w:t>
      </w:r>
      <w:r w:rsidR="001603ED" w:rsidRPr="00C61678">
        <w:rPr>
          <w:rFonts w:cstheme="minorHAnsi"/>
          <w:b/>
          <w:bCs/>
          <w:sz w:val="20"/>
          <w:szCs w:val="20"/>
        </w:rPr>
        <w:t xml:space="preserve">humanos </w:t>
      </w:r>
      <w:r w:rsidR="00F81886" w:rsidRPr="00C61678">
        <w:rPr>
          <w:rFonts w:cstheme="minorHAnsi"/>
          <w:b/>
          <w:bCs/>
          <w:sz w:val="20"/>
          <w:szCs w:val="20"/>
        </w:rPr>
        <w:t>explicada</w:t>
      </w:r>
      <w:r w:rsidR="001603ED" w:rsidRPr="00C61678">
        <w:rPr>
          <w:rFonts w:cstheme="minorHAnsi"/>
          <w:b/>
          <w:bCs/>
          <w:sz w:val="20"/>
          <w:szCs w:val="20"/>
        </w:rPr>
        <w:t>s</w:t>
      </w:r>
      <w:r w:rsidR="00F81886" w:rsidRPr="00C61678">
        <w:rPr>
          <w:rFonts w:cstheme="minorHAnsi"/>
          <w:b/>
          <w:bCs/>
          <w:sz w:val="20"/>
          <w:szCs w:val="20"/>
        </w:rPr>
        <w:t xml:space="preserve"> anteriormente</w:t>
      </w:r>
      <w:r w:rsidRPr="00C61678">
        <w:rPr>
          <w:rFonts w:cstheme="minorHAnsi"/>
          <w:b/>
          <w:bCs/>
          <w:sz w:val="20"/>
          <w:szCs w:val="20"/>
        </w:rPr>
        <w:t xml:space="preserve"> </w:t>
      </w:r>
      <w:r w:rsidR="000A4142" w:rsidRPr="00C61678">
        <w:rPr>
          <w:rFonts w:cstheme="minorHAnsi"/>
          <w:b/>
          <w:bCs/>
          <w:sz w:val="20"/>
          <w:szCs w:val="20"/>
        </w:rPr>
        <w:t xml:space="preserve">se ha </w:t>
      </w:r>
      <w:r w:rsidR="00254BF1" w:rsidRPr="00C61678">
        <w:rPr>
          <w:rFonts w:cstheme="minorHAnsi"/>
          <w:b/>
          <w:bCs/>
          <w:sz w:val="20"/>
          <w:szCs w:val="20"/>
        </w:rPr>
        <w:t xml:space="preserve">visto </w:t>
      </w:r>
      <w:r w:rsidR="000A4142" w:rsidRPr="00C61678">
        <w:rPr>
          <w:rFonts w:cstheme="minorHAnsi"/>
          <w:b/>
          <w:bCs/>
          <w:sz w:val="20"/>
          <w:szCs w:val="20"/>
        </w:rPr>
        <w:t>agravad</w:t>
      </w:r>
      <w:r w:rsidRPr="00C61678">
        <w:rPr>
          <w:rFonts w:cstheme="minorHAnsi"/>
          <w:b/>
          <w:bCs/>
          <w:sz w:val="20"/>
          <w:szCs w:val="20"/>
        </w:rPr>
        <w:t>o</w:t>
      </w:r>
      <w:r w:rsidR="000A4142" w:rsidRPr="00C61678">
        <w:rPr>
          <w:rFonts w:cstheme="minorHAnsi"/>
          <w:b/>
          <w:bCs/>
          <w:sz w:val="20"/>
          <w:szCs w:val="20"/>
        </w:rPr>
        <w:t xml:space="preserve"> </w:t>
      </w:r>
      <w:r w:rsidR="00F81886" w:rsidRPr="00C61678">
        <w:rPr>
          <w:rFonts w:cstheme="minorHAnsi"/>
          <w:b/>
          <w:bCs/>
          <w:sz w:val="20"/>
          <w:szCs w:val="20"/>
        </w:rPr>
        <w:t>por la situación generada por la pandemia del COVID-19</w:t>
      </w:r>
      <w:r w:rsidRPr="00C61678">
        <w:rPr>
          <w:rFonts w:cstheme="minorHAnsi"/>
          <w:b/>
          <w:bCs/>
          <w:sz w:val="20"/>
          <w:szCs w:val="20"/>
        </w:rPr>
        <w:t>. Por ejemplo</w:t>
      </w:r>
      <w:r w:rsidR="00BA6EB7" w:rsidRPr="00C61678">
        <w:rPr>
          <w:rFonts w:cstheme="minorHAnsi"/>
          <w:b/>
          <w:bCs/>
          <w:sz w:val="20"/>
          <w:szCs w:val="20"/>
        </w:rPr>
        <w:t xml:space="preserve">, ya </w:t>
      </w:r>
      <w:r w:rsidRPr="00C61678">
        <w:rPr>
          <w:rFonts w:cstheme="minorHAnsi"/>
          <w:b/>
          <w:bCs/>
          <w:sz w:val="20"/>
          <w:szCs w:val="20"/>
        </w:rPr>
        <w:t>se</w:t>
      </w:r>
      <w:r w:rsidR="00254BF1" w:rsidRPr="00C61678">
        <w:rPr>
          <w:rFonts w:cstheme="minorHAnsi"/>
          <w:b/>
          <w:bCs/>
          <w:sz w:val="20"/>
          <w:szCs w:val="20"/>
        </w:rPr>
        <w:t xml:space="preserve"> </w:t>
      </w:r>
      <w:r w:rsidR="006E68B2" w:rsidRPr="00C61678">
        <w:rPr>
          <w:rFonts w:cstheme="minorHAnsi"/>
          <w:b/>
          <w:bCs/>
          <w:sz w:val="20"/>
          <w:szCs w:val="20"/>
        </w:rPr>
        <w:t xml:space="preserve">ha detectado </w:t>
      </w:r>
      <w:r w:rsidR="00254BF1" w:rsidRPr="00C61678">
        <w:rPr>
          <w:rFonts w:cstheme="minorHAnsi"/>
          <w:b/>
          <w:bCs/>
          <w:sz w:val="20"/>
          <w:szCs w:val="20"/>
        </w:rPr>
        <w:t>el recrudecimiento de la</w:t>
      </w:r>
      <w:r w:rsidR="006E68B2" w:rsidRPr="00C61678">
        <w:rPr>
          <w:rFonts w:cstheme="minorHAnsi"/>
          <w:b/>
          <w:bCs/>
          <w:sz w:val="20"/>
          <w:szCs w:val="20"/>
        </w:rPr>
        <w:t xml:space="preserve"> prestación de servicios de salud sexual y reproductiva, como la restricción de acceso a anticonceptivos</w:t>
      </w:r>
      <w:r w:rsidR="006E68B2" w:rsidRPr="00C61678">
        <w:rPr>
          <w:rStyle w:val="EndnoteReference"/>
          <w:rFonts w:asciiTheme="minorHAnsi" w:hAnsiTheme="minorHAnsi" w:cstheme="minorHAnsi"/>
          <w:b w:val="0"/>
          <w:bCs/>
          <w:sz w:val="20"/>
          <w:szCs w:val="20"/>
        </w:rPr>
        <w:endnoteReference w:id="116"/>
      </w:r>
      <w:r w:rsidR="006E68B2" w:rsidRPr="00C61678">
        <w:rPr>
          <w:rFonts w:cstheme="minorHAnsi"/>
          <w:b/>
          <w:bCs/>
          <w:sz w:val="20"/>
          <w:szCs w:val="20"/>
        </w:rPr>
        <w:t>, o a la reducción en los servicios hospitalarios prenatales.</w:t>
      </w:r>
      <w:r w:rsidR="006E68B2" w:rsidRPr="00C61678">
        <w:rPr>
          <w:rStyle w:val="EndnoteReference"/>
          <w:rFonts w:asciiTheme="minorHAnsi" w:hAnsiTheme="minorHAnsi" w:cstheme="minorHAnsi"/>
          <w:b w:val="0"/>
          <w:bCs/>
          <w:sz w:val="20"/>
          <w:szCs w:val="20"/>
        </w:rPr>
        <w:endnoteReference w:id="117"/>
      </w:r>
      <w:r w:rsidR="006E68B2" w:rsidRPr="00C61678">
        <w:rPr>
          <w:rFonts w:cstheme="minorHAnsi"/>
          <w:b/>
          <w:bCs/>
          <w:sz w:val="20"/>
          <w:szCs w:val="20"/>
        </w:rPr>
        <w:t xml:space="preserve"> </w:t>
      </w:r>
      <w:r w:rsidR="00775D9B" w:rsidRPr="00C61678">
        <w:rPr>
          <w:rFonts w:cstheme="minorHAnsi"/>
          <w:b/>
          <w:bCs/>
          <w:sz w:val="20"/>
          <w:szCs w:val="20"/>
        </w:rPr>
        <w:t xml:space="preserve">Además, </w:t>
      </w:r>
      <w:r w:rsidR="004521CB" w:rsidRPr="00C61678">
        <w:rPr>
          <w:rFonts w:cstheme="minorHAnsi"/>
          <w:b/>
          <w:bCs/>
          <w:sz w:val="20"/>
          <w:szCs w:val="20"/>
        </w:rPr>
        <w:t>De acuerdo con una encuesta realizada por el Observatorio de Salud Reproductiva de Guatemala, entre enero y mayo de 2020, en Guatemala se reportaron 46,863 embarazos en mujeres de 10 a 19 años, de los que 1,962 corresponden a embarazos de niñas entre los 10 y los 14 años</w:t>
      </w:r>
      <w:r w:rsidR="00F749B8" w:rsidRPr="00C61678">
        <w:rPr>
          <w:rFonts w:cstheme="minorHAnsi"/>
          <w:b/>
          <w:bCs/>
          <w:sz w:val="20"/>
          <w:szCs w:val="20"/>
        </w:rPr>
        <w:t xml:space="preserve"> producto de violación sexual</w:t>
      </w:r>
      <w:r w:rsidR="00F749B8" w:rsidRPr="00C61678">
        <w:rPr>
          <w:rStyle w:val="EndnoteReference"/>
          <w:rFonts w:asciiTheme="minorHAnsi" w:hAnsiTheme="minorHAnsi" w:cstheme="minorHAnsi"/>
          <w:b w:val="0"/>
          <w:bCs/>
          <w:sz w:val="20"/>
          <w:szCs w:val="20"/>
        </w:rPr>
        <w:endnoteReference w:id="118"/>
      </w:r>
      <w:r w:rsidR="00F749B8" w:rsidRPr="00C61678">
        <w:rPr>
          <w:rFonts w:cstheme="minorHAnsi"/>
          <w:b/>
          <w:bCs/>
          <w:sz w:val="20"/>
          <w:szCs w:val="20"/>
        </w:rPr>
        <w:t>.</w:t>
      </w:r>
      <w:r w:rsidR="00F749B8" w:rsidRPr="00C61678">
        <w:rPr>
          <w:rFonts w:cstheme="minorHAnsi"/>
          <w:b/>
          <w:bCs/>
          <w:sz w:val="20"/>
          <w:szCs w:val="20"/>
          <w:lang w:val="es-ES"/>
        </w:rPr>
        <w:t xml:space="preserve"> </w:t>
      </w:r>
      <w:r w:rsidR="006D2C42" w:rsidRPr="00C61678">
        <w:rPr>
          <w:rFonts w:cstheme="minorHAnsi"/>
          <w:b/>
          <w:bCs/>
          <w:sz w:val="20"/>
          <w:szCs w:val="20"/>
        </w:rPr>
        <w:t>Ante este contexto</w:t>
      </w:r>
      <w:r w:rsidR="00254BF1" w:rsidRPr="00C61678">
        <w:rPr>
          <w:rFonts w:cstheme="minorHAnsi"/>
          <w:b/>
          <w:bCs/>
          <w:sz w:val="20"/>
          <w:szCs w:val="20"/>
        </w:rPr>
        <w:t xml:space="preserve"> Guatemala debe tomar </w:t>
      </w:r>
      <w:r w:rsidR="000A4142" w:rsidRPr="00C61678">
        <w:rPr>
          <w:rFonts w:cstheme="minorHAnsi"/>
          <w:b/>
          <w:bCs/>
          <w:sz w:val="20"/>
          <w:szCs w:val="20"/>
        </w:rPr>
        <w:t>medidas urgentes</w:t>
      </w:r>
      <w:r w:rsidR="006D2C42" w:rsidRPr="00C61678">
        <w:rPr>
          <w:rFonts w:cstheme="minorHAnsi"/>
          <w:b/>
          <w:bCs/>
          <w:sz w:val="20"/>
          <w:szCs w:val="20"/>
        </w:rPr>
        <w:t xml:space="preserve"> y </w:t>
      </w:r>
      <w:r w:rsidR="000A4142" w:rsidRPr="00C61678">
        <w:rPr>
          <w:rFonts w:cstheme="minorHAnsi"/>
          <w:b/>
          <w:bCs/>
          <w:sz w:val="20"/>
          <w:szCs w:val="20"/>
        </w:rPr>
        <w:t>efectivas</w:t>
      </w:r>
      <w:r w:rsidR="006D2C42" w:rsidRPr="00C61678">
        <w:rPr>
          <w:rFonts w:cstheme="minorHAnsi"/>
          <w:b/>
          <w:bCs/>
          <w:sz w:val="20"/>
          <w:szCs w:val="20"/>
        </w:rPr>
        <w:t xml:space="preserve"> para </w:t>
      </w:r>
      <w:r w:rsidR="000A4142" w:rsidRPr="00C61678">
        <w:rPr>
          <w:rFonts w:cstheme="minorHAnsi"/>
          <w:b/>
          <w:bCs/>
          <w:sz w:val="20"/>
          <w:szCs w:val="20"/>
        </w:rPr>
        <w:t>garanti</w:t>
      </w:r>
      <w:r w:rsidR="006D2C42" w:rsidRPr="00C61678">
        <w:rPr>
          <w:rFonts w:cstheme="minorHAnsi"/>
          <w:b/>
          <w:bCs/>
          <w:sz w:val="20"/>
          <w:szCs w:val="20"/>
        </w:rPr>
        <w:t>zar y proteger</w:t>
      </w:r>
      <w:r w:rsidR="000A4142" w:rsidRPr="00C61678">
        <w:rPr>
          <w:rFonts w:cstheme="minorHAnsi"/>
          <w:b/>
          <w:bCs/>
          <w:sz w:val="20"/>
          <w:szCs w:val="20"/>
        </w:rPr>
        <w:t xml:space="preserve"> los derechos de las niñas y mujeres</w:t>
      </w:r>
      <w:r w:rsidR="006D2C42" w:rsidRPr="00C61678">
        <w:rPr>
          <w:rFonts w:cstheme="minorHAnsi"/>
          <w:b/>
          <w:bCs/>
          <w:sz w:val="20"/>
          <w:szCs w:val="20"/>
        </w:rPr>
        <w:t xml:space="preserve"> de acuerdo con sus obligaciones bajo el PIDESC</w:t>
      </w:r>
      <w:r w:rsidR="00ED0443" w:rsidRPr="00C61678">
        <w:rPr>
          <w:rFonts w:cstheme="minorHAnsi"/>
          <w:b/>
          <w:bCs/>
          <w:sz w:val="20"/>
          <w:szCs w:val="20"/>
        </w:rPr>
        <w:t>.</w:t>
      </w:r>
    </w:p>
    <w:p w14:paraId="12A8B260" w14:textId="77777777" w:rsidR="00DA6E4E" w:rsidRPr="00C61678" w:rsidRDefault="00DA6E4E" w:rsidP="00DA187D">
      <w:pPr>
        <w:pStyle w:val="Heading1"/>
      </w:pPr>
      <w:r w:rsidRPr="00C61678">
        <w:t>Conclusiones y Preguntas</w:t>
      </w:r>
    </w:p>
    <w:p w14:paraId="45957D29" w14:textId="77777777" w:rsidR="00BE4701" w:rsidRDefault="00500C20" w:rsidP="00500C20">
      <w:pPr>
        <w:pStyle w:val="CommentText"/>
        <w:numPr>
          <w:ilvl w:val="0"/>
          <w:numId w:val="17"/>
        </w:numPr>
        <w:ind w:left="284"/>
        <w:jc w:val="both"/>
        <w:rPr>
          <w:rFonts w:cstheme="minorHAnsi"/>
          <w:lang w:val="es-CO"/>
        </w:rPr>
      </w:pPr>
      <w:r w:rsidRPr="008364D0">
        <w:rPr>
          <w:rFonts w:cstheme="minorHAnsi"/>
          <w:lang w:val="es-CO"/>
        </w:rPr>
        <w:t>De todo lo anterior se evidencia que la criminalización del aborto</w:t>
      </w:r>
      <w:r>
        <w:rPr>
          <w:rFonts w:cstheme="minorHAnsi"/>
          <w:lang w:val="es-CO"/>
        </w:rPr>
        <w:t>, así como</w:t>
      </w:r>
      <w:r w:rsidRPr="008364D0">
        <w:rPr>
          <w:rFonts w:cstheme="minorHAnsi"/>
          <w:lang w:val="es-CO"/>
        </w:rPr>
        <w:t xml:space="preserve"> los altos indicies de violencia sexual que existen en Guatemala</w:t>
      </w:r>
      <w:r>
        <w:rPr>
          <w:rFonts w:cstheme="minorHAnsi"/>
          <w:lang w:val="es-CO"/>
        </w:rPr>
        <w:t xml:space="preserve"> y </w:t>
      </w:r>
      <w:r w:rsidRPr="008364D0">
        <w:rPr>
          <w:rFonts w:cstheme="minorHAnsi"/>
          <w:lang w:val="es-CO"/>
        </w:rPr>
        <w:t>la falta de acceso a información, educación y servicios de salud sexual y reproductiva, pone a las mujeres y a las niñas en situaciones de alto riesgo para su vida y salud, quitándoles agencia sobre sus propios cuerpos, siendo forzadas a continuar con embarazos no deseados</w:t>
      </w:r>
      <w:r>
        <w:rPr>
          <w:rFonts w:cstheme="minorHAnsi"/>
          <w:lang w:val="es-CO"/>
        </w:rPr>
        <w:t xml:space="preserve"> y tener maternidades forzadas. </w:t>
      </w:r>
      <w:r w:rsidRPr="008364D0">
        <w:rPr>
          <w:rFonts w:cstheme="minorHAnsi"/>
          <w:lang w:val="es-CO"/>
        </w:rPr>
        <w:t>En el caso de las niñas y adolescentes</w:t>
      </w:r>
      <w:r>
        <w:rPr>
          <w:rFonts w:cstheme="minorHAnsi"/>
          <w:lang w:val="es-CO"/>
        </w:rPr>
        <w:t>,</w:t>
      </w:r>
      <w:r w:rsidRPr="008364D0">
        <w:rPr>
          <w:rFonts w:cstheme="minorHAnsi"/>
          <w:lang w:val="es-CO"/>
        </w:rPr>
        <w:t xml:space="preserve"> como el de Juana, esta situación tiene impactos devastadores y permanentes, afectando su salud física, mental y emocional y truncando de manera irreversible su proyecto de vida y sus posibilidades de estudio.</w:t>
      </w:r>
      <w:r>
        <w:rPr>
          <w:rFonts w:cstheme="minorHAnsi"/>
          <w:lang w:val="es-CO"/>
        </w:rPr>
        <w:t xml:space="preserve"> </w:t>
      </w:r>
      <w:r w:rsidRPr="008364D0">
        <w:rPr>
          <w:rFonts w:cstheme="minorHAnsi"/>
          <w:lang w:val="es-CO"/>
        </w:rPr>
        <w:t xml:space="preserve">Todo ello se </w:t>
      </w:r>
      <w:r>
        <w:rPr>
          <w:rFonts w:cstheme="minorHAnsi"/>
          <w:lang w:val="es-CO"/>
        </w:rPr>
        <w:t>agrava,</w:t>
      </w:r>
      <w:r w:rsidRPr="008364D0">
        <w:rPr>
          <w:rFonts w:cstheme="minorHAnsi"/>
          <w:lang w:val="es-CO"/>
        </w:rPr>
        <w:t xml:space="preserve"> además</w:t>
      </w:r>
      <w:r>
        <w:rPr>
          <w:rFonts w:cstheme="minorHAnsi"/>
          <w:lang w:val="es-CO"/>
        </w:rPr>
        <w:t>,</w:t>
      </w:r>
      <w:r w:rsidRPr="008364D0">
        <w:rPr>
          <w:rFonts w:cstheme="minorHAnsi"/>
          <w:lang w:val="es-CO"/>
        </w:rPr>
        <w:t xml:space="preserve"> por la falta de acceso a la justicia y a una reparación integral en los casos de violación sexual, dejando en la impunidad estos crímenes y perpetuando ciclos de violencia, pobreza, discriminación y desprotección</w:t>
      </w:r>
      <w:r>
        <w:rPr>
          <w:rFonts w:cstheme="minorHAnsi"/>
          <w:lang w:val="es-CO"/>
        </w:rPr>
        <w:t xml:space="preserve">. </w:t>
      </w:r>
    </w:p>
    <w:p w14:paraId="37AF5133" w14:textId="3C7D2962" w:rsidR="00500C20" w:rsidRDefault="00500C20" w:rsidP="00500C20">
      <w:pPr>
        <w:pStyle w:val="CommentText"/>
        <w:numPr>
          <w:ilvl w:val="0"/>
          <w:numId w:val="17"/>
        </w:numPr>
        <w:ind w:left="284"/>
        <w:jc w:val="both"/>
        <w:rPr>
          <w:rFonts w:cstheme="minorHAnsi"/>
          <w:lang w:val="es-CO"/>
        </w:rPr>
      </w:pPr>
      <w:r>
        <w:rPr>
          <w:rFonts w:cstheme="minorHAnsi"/>
          <w:lang w:val="es-CO"/>
        </w:rPr>
        <w:t>Por ello, l</w:t>
      </w:r>
      <w:r w:rsidRPr="008364D0">
        <w:rPr>
          <w:rFonts w:cstheme="minorHAnsi"/>
          <w:lang w:val="es-CO"/>
        </w:rPr>
        <w:t>a descriminalización del aborto, junto con el desarrollo de programas de educación</w:t>
      </w:r>
      <w:r>
        <w:rPr>
          <w:rFonts w:cstheme="minorHAnsi"/>
          <w:lang w:val="es-CO"/>
        </w:rPr>
        <w:t xml:space="preserve"> e información</w:t>
      </w:r>
      <w:r w:rsidRPr="008364D0">
        <w:rPr>
          <w:rFonts w:cstheme="minorHAnsi"/>
          <w:lang w:val="es-CO"/>
        </w:rPr>
        <w:t xml:space="preserve"> sexual </w:t>
      </w:r>
      <w:r>
        <w:rPr>
          <w:rFonts w:cstheme="minorHAnsi"/>
          <w:lang w:val="es-CO"/>
        </w:rPr>
        <w:t xml:space="preserve">y reproductiva y el acceso a los servicios de salud </w:t>
      </w:r>
      <w:r w:rsidRPr="008364D0">
        <w:rPr>
          <w:rFonts w:cstheme="minorHAnsi"/>
          <w:lang w:val="es-CO"/>
        </w:rPr>
        <w:t>que le permitan a las mujeres y a las niñas entender sus cuerpos y sus derechos, son políticas necesarias para la protección de la vida y la salud de las mujeres y niñas y para que éstas puedan decidir de manera informada y autónoma sobre su reproducción, vida y futuro. No hacerlo atenta contra la vida y la salud de todas las mujeres y niñas guatemaltecas</w:t>
      </w:r>
      <w:r w:rsidR="00994025">
        <w:rPr>
          <w:rFonts w:cstheme="minorHAnsi"/>
          <w:lang w:val="es-CO"/>
        </w:rPr>
        <w:t xml:space="preserve">, y en específico constituyen una violación de los derechos protegidos por los artículos </w:t>
      </w:r>
      <w:r w:rsidR="00BE4701">
        <w:rPr>
          <w:lang w:val="es-CO"/>
        </w:rPr>
        <w:t xml:space="preserve">2, 3, 10.2, 10.3, </w:t>
      </w:r>
      <w:r w:rsidR="00BE4701" w:rsidRPr="00BE4701">
        <w:rPr>
          <w:lang w:val="es-CO"/>
        </w:rPr>
        <w:t>12</w:t>
      </w:r>
      <w:r w:rsidR="00BE4701">
        <w:rPr>
          <w:lang w:val="es-CO"/>
        </w:rPr>
        <w:t xml:space="preserve"> y</w:t>
      </w:r>
      <w:r w:rsidR="00BE4701" w:rsidRPr="00BE4701">
        <w:rPr>
          <w:lang w:val="es-CO"/>
        </w:rPr>
        <w:t xml:space="preserve"> 13</w:t>
      </w:r>
      <w:r w:rsidR="00BE4701">
        <w:rPr>
          <w:lang w:val="es-CO"/>
        </w:rPr>
        <w:t xml:space="preserve"> del PIDESC.</w:t>
      </w:r>
    </w:p>
    <w:p w14:paraId="6CCFBA0E" w14:textId="7E0060FB" w:rsidR="00612623" w:rsidRPr="00C61678" w:rsidRDefault="00C1730D" w:rsidP="001A60C7">
      <w:pPr>
        <w:pStyle w:val="TextoCarta"/>
        <w:numPr>
          <w:ilvl w:val="0"/>
          <w:numId w:val="17"/>
        </w:numPr>
        <w:ind w:left="284"/>
        <w:rPr>
          <w:rFonts w:cstheme="minorHAnsi"/>
          <w:sz w:val="20"/>
          <w:szCs w:val="20"/>
        </w:rPr>
      </w:pPr>
      <w:r>
        <w:rPr>
          <w:rFonts w:cstheme="minorHAnsi"/>
          <w:sz w:val="20"/>
          <w:szCs w:val="20"/>
        </w:rPr>
        <w:t>Así, s</w:t>
      </w:r>
      <w:r w:rsidR="000A7D27" w:rsidRPr="00C61678">
        <w:rPr>
          <w:rFonts w:cstheme="minorHAnsi"/>
          <w:sz w:val="20"/>
          <w:szCs w:val="20"/>
        </w:rPr>
        <w:t>aludamos</w:t>
      </w:r>
      <w:r w:rsidR="00612623" w:rsidRPr="00C61678">
        <w:rPr>
          <w:rFonts w:cstheme="minorHAnsi"/>
          <w:sz w:val="20"/>
          <w:szCs w:val="20"/>
        </w:rPr>
        <w:t xml:space="preserve"> al Comité de Derechos Económicos, Sociales y Culturales por su compromiso con los derechos sexuales y reproductivos de las mujeres y las recomendaciones fuertes que ha hecho el Comité en el pasado, las cuales enfatizan la necesidad de expedir, implementar y monitorear políticas públicas que sean efectivas para mejorar continuamente el acceso a estos derechos</w:t>
      </w:r>
      <w:r w:rsidR="00A455DB">
        <w:rPr>
          <w:rFonts w:cstheme="minorHAnsi"/>
          <w:sz w:val="20"/>
          <w:szCs w:val="20"/>
        </w:rPr>
        <w:t>, y e</w:t>
      </w:r>
      <w:r w:rsidR="00612623" w:rsidRPr="00C61678">
        <w:rPr>
          <w:rFonts w:cstheme="minorHAnsi"/>
          <w:sz w:val="20"/>
          <w:szCs w:val="20"/>
        </w:rPr>
        <w:t xml:space="preserve">n vista de la información expuesta en esta carta, respetuosamente ponemos a consideración del Comité las siguientes preguntas que podría este último </w:t>
      </w:r>
      <w:r w:rsidR="00A27E5D">
        <w:rPr>
          <w:rFonts w:cstheme="minorHAnsi"/>
          <w:sz w:val="20"/>
          <w:szCs w:val="20"/>
        </w:rPr>
        <w:t>realizarle</w:t>
      </w:r>
      <w:r w:rsidR="00612623" w:rsidRPr="00C61678">
        <w:rPr>
          <w:rFonts w:cstheme="minorHAnsi"/>
          <w:sz w:val="20"/>
          <w:szCs w:val="20"/>
        </w:rPr>
        <w:t xml:space="preserve"> al Gobierno de Guatemala</w:t>
      </w:r>
      <w:r w:rsidR="00A27E5D">
        <w:rPr>
          <w:rFonts w:cstheme="minorHAnsi"/>
          <w:sz w:val="20"/>
          <w:szCs w:val="20"/>
        </w:rPr>
        <w:t xml:space="preserve"> en el marco del examen de país</w:t>
      </w:r>
      <w:r w:rsidR="00612623" w:rsidRPr="00C61678">
        <w:rPr>
          <w:rFonts w:cstheme="minorHAnsi"/>
          <w:sz w:val="20"/>
          <w:szCs w:val="20"/>
        </w:rPr>
        <w:t>:</w:t>
      </w:r>
    </w:p>
    <w:p w14:paraId="7821993A" w14:textId="77777777" w:rsidR="00612623" w:rsidRPr="00C61678" w:rsidRDefault="00612623" w:rsidP="0080756A">
      <w:pPr>
        <w:pStyle w:val="Heading2"/>
        <w:numPr>
          <w:ilvl w:val="0"/>
          <w:numId w:val="23"/>
        </w:numPr>
      </w:pPr>
      <w:r w:rsidRPr="00C61678">
        <w:t>Respecto a la violencia sexual y doméstica:</w:t>
      </w:r>
    </w:p>
    <w:p w14:paraId="6B5CF2FC" w14:textId="25E2773D" w:rsidR="00E6631F" w:rsidRPr="00C61678" w:rsidRDefault="00E6631F" w:rsidP="00121876">
      <w:pPr>
        <w:pStyle w:val="PreguntaCarta"/>
        <w:ind w:left="360"/>
        <w:rPr>
          <w:rFonts w:cstheme="minorHAnsi"/>
          <w:sz w:val="20"/>
          <w:szCs w:val="20"/>
        </w:rPr>
      </w:pPr>
      <w:r w:rsidRPr="00C61678">
        <w:rPr>
          <w:rFonts w:cstheme="minorHAnsi"/>
          <w:sz w:val="20"/>
          <w:szCs w:val="20"/>
        </w:rPr>
        <w:t xml:space="preserve">¿Qué medidas está tomando o planea tomar el Gobierno para proteger </w:t>
      </w:r>
      <w:r w:rsidR="00310AB8" w:rsidRPr="00C61678">
        <w:rPr>
          <w:rFonts w:cstheme="minorHAnsi"/>
          <w:sz w:val="20"/>
          <w:szCs w:val="20"/>
        </w:rPr>
        <w:t xml:space="preserve">efectivamente </w:t>
      </w:r>
      <w:r w:rsidRPr="00C61678">
        <w:rPr>
          <w:rFonts w:cstheme="minorHAnsi"/>
          <w:sz w:val="20"/>
          <w:szCs w:val="20"/>
        </w:rPr>
        <w:t>a las mujeres</w:t>
      </w:r>
      <w:r w:rsidR="008929AB" w:rsidRPr="00C61678">
        <w:rPr>
          <w:rFonts w:cstheme="minorHAnsi"/>
          <w:sz w:val="20"/>
          <w:szCs w:val="20"/>
        </w:rPr>
        <w:t xml:space="preserve">, </w:t>
      </w:r>
      <w:r w:rsidRPr="00C61678">
        <w:rPr>
          <w:rFonts w:cstheme="minorHAnsi"/>
          <w:sz w:val="20"/>
          <w:szCs w:val="20"/>
        </w:rPr>
        <w:t xml:space="preserve">adolescentes </w:t>
      </w:r>
      <w:r w:rsidR="008929AB" w:rsidRPr="00C61678">
        <w:rPr>
          <w:rFonts w:cstheme="minorHAnsi"/>
          <w:sz w:val="20"/>
          <w:szCs w:val="20"/>
        </w:rPr>
        <w:t>y ni</w:t>
      </w:r>
      <w:r w:rsidR="008929AB" w:rsidRPr="00C61678">
        <w:rPr>
          <w:rFonts w:cstheme="minorHAnsi"/>
          <w:sz w:val="20"/>
          <w:szCs w:val="20"/>
          <w:lang w:val="es-ES"/>
        </w:rPr>
        <w:t xml:space="preserve">ñas </w:t>
      </w:r>
      <w:r w:rsidRPr="00C61678">
        <w:rPr>
          <w:rFonts w:cstheme="minorHAnsi"/>
          <w:sz w:val="20"/>
          <w:szCs w:val="20"/>
        </w:rPr>
        <w:t xml:space="preserve">frente a la violencia sexual y doméstica? </w:t>
      </w:r>
    </w:p>
    <w:p w14:paraId="67E28DE7" w14:textId="7B27E07B" w:rsidR="00E6631F" w:rsidRPr="00C61678" w:rsidRDefault="00E6631F" w:rsidP="00121876">
      <w:pPr>
        <w:pStyle w:val="PreguntaCarta"/>
        <w:ind w:left="360"/>
        <w:rPr>
          <w:rFonts w:cstheme="minorHAnsi"/>
          <w:sz w:val="20"/>
          <w:szCs w:val="20"/>
        </w:rPr>
      </w:pPr>
      <w:r w:rsidRPr="00C61678">
        <w:rPr>
          <w:rFonts w:cstheme="minorHAnsi"/>
          <w:sz w:val="20"/>
          <w:szCs w:val="20"/>
        </w:rPr>
        <w:t xml:space="preserve">¿Qué medidas ha tomado o planea tomar el Gobierno para </w:t>
      </w:r>
      <w:r w:rsidR="00BE56AA" w:rsidRPr="00C61678">
        <w:rPr>
          <w:rFonts w:cstheme="minorHAnsi"/>
          <w:sz w:val="20"/>
          <w:szCs w:val="20"/>
        </w:rPr>
        <w:t>asegurar el acceso a la información y</w:t>
      </w:r>
      <w:r w:rsidRPr="00C61678">
        <w:rPr>
          <w:rFonts w:cstheme="minorHAnsi"/>
          <w:sz w:val="20"/>
          <w:szCs w:val="20"/>
        </w:rPr>
        <w:t xml:space="preserve"> educación sexual de las niñas </w:t>
      </w:r>
      <w:r w:rsidR="00BE56AA" w:rsidRPr="00C61678">
        <w:rPr>
          <w:rFonts w:cstheme="minorHAnsi"/>
          <w:sz w:val="20"/>
          <w:szCs w:val="20"/>
        </w:rPr>
        <w:t xml:space="preserve">y adolescentes </w:t>
      </w:r>
      <w:r w:rsidRPr="00C61678">
        <w:rPr>
          <w:rFonts w:cstheme="minorHAnsi"/>
          <w:sz w:val="20"/>
          <w:szCs w:val="20"/>
        </w:rPr>
        <w:t xml:space="preserve">en Guatemala </w:t>
      </w:r>
      <w:r w:rsidR="00BE56AA" w:rsidRPr="00C61678">
        <w:rPr>
          <w:rFonts w:cstheme="minorHAnsi"/>
          <w:sz w:val="20"/>
          <w:szCs w:val="20"/>
        </w:rPr>
        <w:t xml:space="preserve">como </w:t>
      </w:r>
      <w:r w:rsidRPr="00C61678">
        <w:rPr>
          <w:rFonts w:cstheme="minorHAnsi"/>
          <w:sz w:val="20"/>
          <w:szCs w:val="20"/>
        </w:rPr>
        <w:t xml:space="preserve">una herramienta efectiva para </w:t>
      </w:r>
      <w:r w:rsidR="00BE56AA" w:rsidRPr="00C61678">
        <w:rPr>
          <w:rFonts w:cstheme="minorHAnsi"/>
          <w:sz w:val="20"/>
          <w:szCs w:val="20"/>
        </w:rPr>
        <w:t xml:space="preserve">de prevención </w:t>
      </w:r>
      <w:r w:rsidR="0050120B" w:rsidRPr="00C61678">
        <w:rPr>
          <w:rFonts w:cstheme="minorHAnsi"/>
          <w:sz w:val="20"/>
          <w:szCs w:val="20"/>
        </w:rPr>
        <w:t>contra</w:t>
      </w:r>
      <w:r w:rsidR="00BE56AA" w:rsidRPr="00C61678">
        <w:rPr>
          <w:rFonts w:cstheme="minorHAnsi"/>
          <w:sz w:val="20"/>
          <w:szCs w:val="20"/>
        </w:rPr>
        <w:t xml:space="preserve"> la</w:t>
      </w:r>
      <w:r w:rsidRPr="00C61678">
        <w:rPr>
          <w:rFonts w:cstheme="minorHAnsi"/>
          <w:sz w:val="20"/>
          <w:szCs w:val="20"/>
        </w:rPr>
        <w:t xml:space="preserve"> violencia sexual?</w:t>
      </w:r>
    </w:p>
    <w:p w14:paraId="3C0046DF" w14:textId="6B2CD204" w:rsidR="00176483" w:rsidRPr="00C61678" w:rsidRDefault="00E6631F" w:rsidP="00121876">
      <w:pPr>
        <w:pStyle w:val="PreguntaCarta"/>
        <w:ind w:left="360"/>
        <w:rPr>
          <w:rFonts w:cstheme="minorHAnsi"/>
          <w:sz w:val="20"/>
          <w:szCs w:val="20"/>
        </w:rPr>
      </w:pPr>
      <w:r w:rsidRPr="00C61678">
        <w:rPr>
          <w:rFonts w:cstheme="minorHAnsi"/>
          <w:sz w:val="20"/>
          <w:szCs w:val="20"/>
        </w:rPr>
        <w:t xml:space="preserve">¿Qué medidas ha tomado o planea tomar el Gobierno para mejorar el acceso de las </w:t>
      </w:r>
      <w:r w:rsidR="008929AB" w:rsidRPr="00C61678">
        <w:rPr>
          <w:rFonts w:cstheme="minorHAnsi"/>
          <w:sz w:val="20"/>
          <w:szCs w:val="20"/>
        </w:rPr>
        <w:t>mujeres, adolescentes y ni</w:t>
      </w:r>
      <w:r w:rsidR="008929AB" w:rsidRPr="00C61678">
        <w:rPr>
          <w:rFonts w:cstheme="minorHAnsi"/>
          <w:sz w:val="20"/>
          <w:szCs w:val="20"/>
          <w:lang w:val="es-ES"/>
        </w:rPr>
        <w:t xml:space="preserve">ñas </w:t>
      </w:r>
      <w:r w:rsidRPr="00C61678">
        <w:rPr>
          <w:rFonts w:cstheme="minorHAnsi"/>
          <w:sz w:val="20"/>
          <w:szCs w:val="20"/>
        </w:rPr>
        <w:t>al sistema de justicia, que les permita, de manera segura</w:t>
      </w:r>
      <w:r w:rsidR="0014169E" w:rsidRPr="00C61678">
        <w:rPr>
          <w:rFonts w:cstheme="minorHAnsi"/>
          <w:sz w:val="20"/>
          <w:szCs w:val="20"/>
        </w:rPr>
        <w:t xml:space="preserve"> y sobre todo asegurando un enfoque de género y niñez</w:t>
      </w:r>
      <w:r w:rsidRPr="00C61678">
        <w:rPr>
          <w:rFonts w:cstheme="minorHAnsi"/>
          <w:sz w:val="20"/>
          <w:szCs w:val="20"/>
        </w:rPr>
        <w:t>, denunciar los casos de violencia?</w:t>
      </w:r>
    </w:p>
    <w:p w14:paraId="760E5AFA" w14:textId="43DBBDA7" w:rsidR="00E67A85" w:rsidRPr="00C61678" w:rsidRDefault="00E67A85" w:rsidP="00121876">
      <w:pPr>
        <w:pStyle w:val="PreguntaCarta"/>
        <w:ind w:left="360"/>
        <w:rPr>
          <w:rFonts w:cstheme="minorHAnsi"/>
          <w:sz w:val="20"/>
          <w:szCs w:val="20"/>
        </w:rPr>
      </w:pPr>
      <w:r w:rsidRPr="00C61678">
        <w:rPr>
          <w:rFonts w:cstheme="minorHAnsi"/>
          <w:sz w:val="20"/>
          <w:szCs w:val="20"/>
        </w:rPr>
        <w:t>¿Qué medidas ha tomado o planea tomar el Gobierno para reducir la impunidad en materia de violencia y abuso sexual</w:t>
      </w:r>
      <w:r w:rsidR="003B6BBB" w:rsidRPr="00C61678">
        <w:rPr>
          <w:rFonts w:cstheme="minorHAnsi"/>
          <w:sz w:val="20"/>
          <w:szCs w:val="20"/>
        </w:rPr>
        <w:t xml:space="preserve"> y asegurar una reparación efectiva e integral a las víctimas</w:t>
      </w:r>
      <w:r w:rsidRPr="00C61678">
        <w:rPr>
          <w:rFonts w:cstheme="minorHAnsi"/>
          <w:sz w:val="20"/>
          <w:szCs w:val="20"/>
        </w:rPr>
        <w:t>?</w:t>
      </w:r>
    </w:p>
    <w:p w14:paraId="62E6D04D" w14:textId="382EC202" w:rsidR="00793393" w:rsidRPr="00C61678" w:rsidRDefault="00612623" w:rsidP="0080756A">
      <w:pPr>
        <w:pStyle w:val="Heading2"/>
      </w:pPr>
      <w:r w:rsidRPr="00C61678">
        <w:t xml:space="preserve">Respecto al </w:t>
      </w:r>
      <w:r w:rsidR="002A7FAF" w:rsidRPr="00C61678">
        <w:t>acceso a información, educación y servicios de salud sexual y reproductiva</w:t>
      </w:r>
    </w:p>
    <w:p w14:paraId="7CDE2F47" w14:textId="77777777" w:rsidR="00BD63BC" w:rsidRPr="00C61678" w:rsidRDefault="00E6631F" w:rsidP="00121876">
      <w:pPr>
        <w:pStyle w:val="PreguntaCarta"/>
        <w:numPr>
          <w:ilvl w:val="0"/>
          <w:numId w:val="24"/>
        </w:numPr>
        <w:ind w:left="540" w:hanging="567"/>
        <w:rPr>
          <w:rFonts w:cstheme="minorHAnsi"/>
          <w:sz w:val="20"/>
          <w:szCs w:val="20"/>
        </w:rPr>
      </w:pPr>
      <w:r w:rsidRPr="00C61678">
        <w:rPr>
          <w:rFonts w:cstheme="minorHAnsi"/>
          <w:sz w:val="20"/>
          <w:szCs w:val="20"/>
        </w:rPr>
        <w:t xml:space="preserve">¿Qué medidas ha tomado o planea tomar el Gobierno para garantizar el derecho al aborto </w:t>
      </w:r>
      <w:r w:rsidR="005003E0" w:rsidRPr="00C61678">
        <w:rPr>
          <w:rFonts w:cstheme="minorHAnsi"/>
          <w:sz w:val="20"/>
          <w:szCs w:val="20"/>
        </w:rPr>
        <w:t xml:space="preserve">seguro </w:t>
      </w:r>
      <w:r w:rsidRPr="00C61678">
        <w:rPr>
          <w:rFonts w:cstheme="minorHAnsi"/>
          <w:sz w:val="20"/>
          <w:szCs w:val="20"/>
        </w:rPr>
        <w:t xml:space="preserve">de </w:t>
      </w:r>
      <w:r w:rsidR="008929AB" w:rsidRPr="00C61678">
        <w:rPr>
          <w:rFonts w:cstheme="minorHAnsi"/>
          <w:sz w:val="20"/>
          <w:szCs w:val="20"/>
        </w:rPr>
        <w:t>las mujeres, adolescentes y ni</w:t>
      </w:r>
      <w:r w:rsidR="008929AB" w:rsidRPr="00C61678">
        <w:rPr>
          <w:rFonts w:cstheme="minorHAnsi"/>
          <w:sz w:val="20"/>
          <w:szCs w:val="20"/>
          <w:lang w:val="es-ES"/>
        </w:rPr>
        <w:t>ñas</w:t>
      </w:r>
      <w:r w:rsidR="005003E0" w:rsidRPr="00C61678">
        <w:rPr>
          <w:rFonts w:cstheme="minorHAnsi"/>
          <w:sz w:val="20"/>
          <w:szCs w:val="20"/>
        </w:rPr>
        <w:t xml:space="preserve">, en particular </w:t>
      </w:r>
      <w:r w:rsidRPr="00C61678">
        <w:rPr>
          <w:rFonts w:cstheme="minorHAnsi"/>
          <w:sz w:val="20"/>
          <w:szCs w:val="20"/>
        </w:rPr>
        <w:t xml:space="preserve">en </w:t>
      </w:r>
      <w:r w:rsidR="005003E0" w:rsidRPr="00C61678">
        <w:rPr>
          <w:rFonts w:cstheme="minorHAnsi"/>
          <w:sz w:val="20"/>
          <w:szCs w:val="20"/>
        </w:rPr>
        <w:t xml:space="preserve">situaciones </w:t>
      </w:r>
      <w:r w:rsidRPr="00C61678">
        <w:rPr>
          <w:rFonts w:cstheme="minorHAnsi"/>
          <w:sz w:val="20"/>
          <w:szCs w:val="20"/>
        </w:rPr>
        <w:t>que ponen en riesgo su salud física, mental y social como los</w:t>
      </w:r>
      <w:r w:rsidR="00BE56AA" w:rsidRPr="00C61678">
        <w:rPr>
          <w:rFonts w:cstheme="minorHAnsi"/>
          <w:sz w:val="20"/>
          <w:szCs w:val="20"/>
        </w:rPr>
        <w:t xml:space="preserve"> son los</w:t>
      </w:r>
      <w:r w:rsidRPr="00C61678">
        <w:rPr>
          <w:rFonts w:cstheme="minorHAnsi"/>
          <w:sz w:val="20"/>
          <w:szCs w:val="20"/>
        </w:rPr>
        <w:t xml:space="preserve"> casos de violación?</w:t>
      </w:r>
    </w:p>
    <w:p w14:paraId="58036CC8" w14:textId="3241EE94" w:rsidR="006531F5" w:rsidRPr="00C61678" w:rsidRDefault="006531F5" w:rsidP="00121876">
      <w:pPr>
        <w:pStyle w:val="PreguntaCarta"/>
        <w:numPr>
          <w:ilvl w:val="0"/>
          <w:numId w:val="24"/>
        </w:numPr>
        <w:ind w:left="540" w:hanging="567"/>
        <w:rPr>
          <w:rFonts w:cstheme="minorHAnsi"/>
          <w:sz w:val="20"/>
          <w:szCs w:val="20"/>
        </w:rPr>
      </w:pPr>
      <w:r w:rsidRPr="00C61678">
        <w:rPr>
          <w:rStyle w:val="normaltextrun"/>
          <w:rFonts w:cstheme="minorHAnsi"/>
          <w:sz w:val="20"/>
          <w:szCs w:val="20"/>
          <w:lang w:val="es-419"/>
        </w:rPr>
        <w:t xml:space="preserve">¿Qué medidas se están adoptando el Estado para eliminar las barreras </w:t>
      </w:r>
      <w:r w:rsidR="00EA2D02" w:rsidRPr="00C61678">
        <w:rPr>
          <w:rStyle w:val="normaltextrun"/>
          <w:rFonts w:cstheme="minorHAnsi"/>
          <w:sz w:val="20"/>
          <w:szCs w:val="20"/>
          <w:lang w:val="es-419"/>
        </w:rPr>
        <w:t>existentes relacionadas con la interpretación restrictiva de la causal que permite el aborto para prevenir un riesgo para la vida y así garantizar el</w:t>
      </w:r>
      <w:r w:rsidRPr="00C61678">
        <w:rPr>
          <w:rStyle w:val="normaltextrun"/>
          <w:rFonts w:cstheme="minorHAnsi"/>
          <w:sz w:val="20"/>
          <w:szCs w:val="20"/>
          <w:lang w:val="es-419"/>
        </w:rPr>
        <w:t xml:space="preserve"> acceso al aborto terapéutico</w:t>
      </w:r>
      <w:r w:rsidR="00EA2D02" w:rsidRPr="00C61678">
        <w:rPr>
          <w:rStyle w:val="normaltextrun"/>
          <w:rFonts w:cstheme="minorHAnsi"/>
          <w:sz w:val="20"/>
          <w:szCs w:val="20"/>
          <w:lang w:val="es-419"/>
        </w:rPr>
        <w:t xml:space="preserve"> en todos los casos en que se presente un riesgo real y previsible para la vida como los embarazos en niñas y adolescentes</w:t>
      </w:r>
      <w:r w:rsidRPr="00C61678">
        <w:rPr>
          <w:rStyle w:val="normaltextrun"/>
          <w:rFonts w:cstheme="minorHAnsi"/>
          <w:sz w:val="20"/>
          <w:szCs w:val="20"/>
          <w:lang w:val="es-419"/>
        </w:rPr>
        <w:t>? </w:t>
      </w:r>
      <w:r w:rsidRPr="00C61678">
        <w:rPr>
          <w:rStyle w:val="eop"/>
          <w:rFonts w:cstheme="minorHAnsi"/>
          <w:sz w:val="20"/>
          <w:szCs w:val="20"/>
          <w:lang w:val="es-ES"/>
        </w:rPr>
        <w:t> </w:t>
      </w:r>
    </w:p>
    <w:p w14:paraId="6F72E222" w14:textId="3DC34A13" w:rsidR="00E6631F" w:rsidRPr="00C61678" w:rsidRDefault="00E6631F" w:rsidP="00121876">
      <w:pPr>
        <w:pStyle w:val="PreguntaCarta"/>
        <w:ind w:left="540"/>
        <w:rPr>
          <w:rFonts w:cstheme="minorHAnsi"/>
          <w:sz w:val="20"/>
          <w:szCs w:val="20"/>
        </w:rPr>
      </w:pPr>
      <w:r w:rsidRPr="00C61678">
        <w:rPr>
          <w:rFonts w:cstheme="minorHAnsi"/>
          <w:sz w:val="20"/>
          <w:szCs w:val="20"/>
        </w:rPr>
        <w:t xml:space="preserve">¿Qué medidas ha tomado o planea tomar el Gobierno para </w:t>
      </w:r>
      <w:r w:rsidR="003B6BBB" w:rsidRPr="00C61678">
        <w:rPr>
          <w:rFonts w:cstheme="minorHAnsi"/>
          <w:sz w:val="20"/>
          <w:szCs w:val="20"/>
        </w:rPr>
        <w:t xml:space="preserve">asegurar </w:t>
      </w:r>
      <w:r w:rsidRPr="00C61678">
        <w:rPr>
          <w:rFonts w:cstheme="minorHAnsi"/>
          <w:sz w:val="20"/>
          <w:szCs w:val="20"/>
        </w:rPr>
        <w:t>que la educación sexual de las niñas en Guatemala sea una herramienta efectiva para disminuir las tasas de embarazos infantiles y adolescentes</w:t>
      </w:r>
      <w:r w:rsidR="005003E0" w:rsidRPr="00C61678">
        <w:rPr>
          <w:rFonts w:cstheme="minorHAnsi"/>
          <w:sz w:val="20"/>
          <w:szCs w:val="20"/>
        </w:rPr>
        <w:t xml:space="preserve"> y para garantizar su derecho a la autonomía reproductiva</w:t>
      </w:r>
      <w:r w:rsidR="00891581" w:rsidRPr="00C61678">
        <w:rPr>
          <w:rFonts w:cstheme="minorHAnsi"/>
          <w:sz w:val="20"/>
          <w:szCs w:val="20"/>
        </w:rPr>
        <w:t xml:space="preserve"> y a decidir informadamente</w:t>
      </w:r>
      <w:r w:rsidRPr="00C61678">
        <w:rPr>
          <w:rFonts w:cstheme="minorHAnsi"/>
          <w:sz w:val="20"/>
          <w:szCs w:val="20"/>
        </w:rPr>
        <w:t>?</w:t>
      </w:r>
    </w:p>
    <w:p w14:paraId="06B65886" w14:textId="765C84ED" w:rsidR="003F0D07" w:rsidRPr="00C61678" w:rsidRDefault="003F0D07" w:rsidP="00121876">
      <w:pPr>
        <w:pStyle w:val="PreguntaCarta"/>
        <w:ind w:left="540"/>
        <w:rPr>
          <w:rFonts w:cstheme="minorHAnsi"/>
          <w:sz w:val="20"/>
          <w:szCs w:val="20"/>
        </w:rPr>
      </w:pPr>
      <w:r w:rsidRPr="00C61678">
        <w:rPr>
          <w:rFonts w:cstheme="minorHAnsi"/>
          <w:sz w:val="20"/>
          <w:szCs w:val="20"/>
        </w:rPr>
        <w:t>¿Qué medidas ha tomado o planea tomar el Gobierno para prevenir y reducir la incidencia de los embarazos adolescentes?</w:t>
      </w:r>
    </w:p>
    <w:p w14:paraId="18E745AB" w14:textId="17E7C8B1" w:rsidR="003F0D07" w:rsidRPr="00C61678" w:rsidRDefault="003F0D07" w:rsidP="00121876">
      <w:pPr>
        <w:pStyle w:val="PreguntaCarta"/>
        <w:ind w:left="540"/>
        <w:rPr>
          <w:rFonts w:cstheme="minorHAnsi"/>
          <w:sz w:val="20"/>
          <w:szCs w:val="20"/>
        </w:rPr>
      </w:pPr>
      <w:r w:rsidRPr="00C61678">
        <w:rPr>
          <w:rFonts w:cstheme="minorHAnsi"/>
          <w:sz w:val="20"/>
          <w:szCs w:val="20"/>
        </w:rPr>
        <w:t>¿Qué medidas ha tomado o planea tomar el Gobierno para garantizar el acceso a educación sexual integral para niñas y adolescentes?</w:t>
      </w:r>
    </w:p>
    <w:p w14:paraId="0BE3E61F" w14:textId="77777777" w:rsidR="00F05F81" w:rsidRPr="00C61678" w:rsidRDefault="00E6631F" w:rsidP="00121876">
      <w:pPr>
        <w:pStyle w:val="PreguntaCarta"/>
        <w:ind w:left="540"/>
        <w:rPr>
          <w:rFonts w:cstheme="minorHAnsi"/>
          <w:sz w:val="20"/>
          <w:szCs w:val="20"/>
        </w:rPr>
      </w:pPr>
      <w:r w:rsidRPr="00C61678">
        <w:rPr>
          <w:rFonts w:cstheme="minorHAnsi"/>
          <w:sz w:val="20"/>
          <w:szCs w:val="20"/>
        </w:rPr>
        <w:t>¿Qué medidas ha tomado o planea tomar el Gobierno para que se eliminen las barreras de acceso a métodos anticonceptivos, incluidos los métodos anticonceptivos de emergencia</w:t>
      </w:r>
      <w:r w:rsidR="00F1098B" w:rsidRPr="00C61678">
        <w:rPr>
          <w:rFonts w:cstheme="minorHAnsi"/>
          <w:sz w:val="20"/>
          <w:szCs w:val="20"/>
        </w:rPr>
        <w:t>, en particular para las sobrevivientes de violencia sexual</w:t>
      </w:r>
      <w:r w:rsidR="00F07B53" w:rsidRPr="00C61678">
        <w:rPr>
          <w:rFonts w:cstheme="minorHAnsi"/>
          <w:sz w:val="20"/>
          <w:szCs w:val="20"/>
        </w:rPr>
        <w:t>,</w:t>
      </w:r>
      <w:r w:rsidR="00F1098B" w:rsidRPr="00C61678">
        <w:rPr>
          <w:rFonts w:cstheme="minorHAnsi"/>
          <w:sz w:val="20"/>
          <w:szCs w:val="20"/>
        </w:rPr>
        <w:t xml:space="preserve"> con atención </w:t>
      </w:r>
      <w:r w:rsidR="00F07B53" w:rsidRPr="00C61678">
        <w:rPr>
          <w:rFonts w:cstheme="minorHAnsi"/>
          <w:sz w:val="20"/>
          <w:szCs w:val="20"/>
        </w:rPr>
        <w:t>especial además a</w:t>
      </w:r>
      <w:r w:rsidR="00F1098B" w:rsidRPr="00C61678">
        <w:rPr>
          <w:rFonts w:cstheme="minorHAnsi"/>
          <w:sz w:val="20"/>
          <w:szCs w:val="20"/>
        </w:rPr>
        <w:t>l impacto desproporcionado</w:t>
      </w:r>
      <w:r w:rsidR="00310AB8" w:rsidRPr="00C61678">
        <w:rPr>
          <w:rFonts w:cstheme="minorHAnsi"/>
          <w:sz w:val="20"/>
          <w:szCs w:val="20"/>
        </w:rPr>
        <w:t xml:space="preserve"> que la denegación de acceso a estos servicios tiene para las niñas y mujeres en condiciones de vulnerabilidad</w:t>
      </w:r>
      <w:r w:rsidRPr="00C61678">
        <w:rPr>
          <w:rFonts w:cstheme="minorHAnsi"/>
          <w:sz w:val="20"/>
          <w:szCs w:val="20"/>
        </w:rPr>
        <w:t xml:space="preserve">? </w:t>
      </w:r>
    </w:p>
    <w:p w14:paraId="286495A6" w14:textId="4CC064B2" w:rsidR="00E6631F" w:rsidRPr="00C61678" w:rsidRDefault="00E6631F" w:rsidP="00121876">
      <w:pPr>
        <w:pStyle w:val="PreguntaCarta"/>
        <w:ind w:left="540"/>
        <w:rPr>
          <w:rFonts w:cstheme="minorHAnsi"/>
          <w:sz w:val="20"/>
          <w:szCs w:val="20"/>
        </w:rPr>
      </w:pPr>
      <w:r w:rsidRPr="00C61678">
        <w:rPr>
          <w:rFonts w:cstheme="minorHAnsi"/>
          <w:sz w:val="20"/>
          <w:szCs w:val="20"/>
        </w:rPr>
        <w:t xml:space="preserve">¿Qué medidas ha tomado o planea tomar el Gobierno para que las niñas y adolescentes puedan acceder a un sistema de salud integral que incluya servicios de salud sexual y reproductiva de calidad? </w:t>
      </w:r>
    </w:p>
    <w:p w14:paraId="1406103A" w14:textId="17D772C9" w:rsidR="008929AB" w:rsidRPr="00C61678" w:rsidRDefault="008929AB" w:rsidP="0080756A">
      <w:pPr>
        <w:pStyle w:val="Heading2"/>
      </w:pPr>
      <w:r w:rsidRPr="00C61678">
        <w:t>Respecto a la situación de exacerbada vulnerabilidad por la COVID-19</w:t>
      </w:r>
    </w:p>
    <w:p w14:paraId="24576F2B" w14:textId="3E6070A5" w:rsidR="00B5114C" w:rsidRPr="00121628" w:rsidRDefault="00B5114C" w:rsidP="00121876">
      <w:pPr>
        <w:pStyle w:val="Heading2"/>
        <w:numPr>
          <w:ilvl w:val="0"/>
          <w:numId w:val="28"/>
        </w:numPr>
        <w:ind w:left="720"/>
        <w:rPr>
          <w:u w:val="none"/>
        </w:rPr>
      </w:pPr>
      <w:r w:rsidRPr="00121628">
        <w:rPr>
          <w:u w:val="none"/>
        </w:rPr>
        <w:t xml:space="preserve">¿Qué medidas ha tomado o tomará el Estado para garantizar el acceso a los servicios de salud sexual y reproductiva </w:t>
      </w:r>
      <w:r w:rsidR="00CF014A" w:rsidRPr="00121628">
        <w:rPr>
          <w:u w:val="none"/>
        </w:rPr>
        <w:t>de calidad y sin discriminación durante la pandemia de la COVID-19</w:t>
      </w:r>
      <w:r w:rsidR="00C16A4A">
        <w:rPr>
          <w:u w:val="none"/>
        </w:rPr>
        <w:t>, en particular el acceso al aborto seguro, a los métodos de planificación familiar, a la anticoncepción de emergencia y a la salud materna de calidad</w:t>
      </w:r>
      <w:r w:rsidR="00CF014A" w:rsidRPr="00121628">
        <w:rPr>
          <w:u w:val="none"/>
        </w:rPr>
        <w:t>?</w:t>
      </w:r>
    </w:p>
    <w:p w14:paraId="28BC98EB" w14:textId="149BF8E3" w:rsidR="006901A6" w:rsidRPr="00121628" w:rsidRDefault="008929AB" w:rsidP="00121876">
      <w:pPr>
        <w:pStyle w:val="Heading2"/>
        <w:numPr>
          <w:ilvl w:val="0"/>
          <w:numId w:val="28"/>
        </w:numPr>
        <w:ind w:left="720"/>
        <w:rPr>
          <w:u w:val="none"/>
        </w:rPr>
      </w:pPr>
      <w:r w:rsidRPr="00121628">
        <w:rPr>
          <w:u w:val="none"/>
        </w:rPr>
        <w:t>¿Qué</w:t>
      </w:r>
      <w:r w:rsidR="006901A6" w:rsidRPr="00121628">
        <w:rPr>
          <w:rFonts w:eastAsia="Times New Roman"/>
          <w:u w:val="none"/>
        </w:rPr>
        <w:t xml:space="preserve"> </w:t>
      </w:r>
      <w:r w:rsidR="006901A6" w:rsidRPr="00121628">
        <w:rPr>
          <w:u w:val="none"/>
        </w:rPr>
        <w:t xml:space="preserve">medidas normativas y presupuestales ha adoptado el Estado para la prevención y protección, especialmente para </w:t>
      </w:r>
      <w:r w:rsidR="00EA0227">
        <w:rPr>
          <w:u w:val="none"/>
        </w:rPr>
        <w:t>niñas y adolescentes</w:t>
      </w:r>
      <w:r w:rsidR="006901A6" w:rsidRPr="00121628">
        <w:rPr>
          <w:u w:val="none"/>
        </w:rPr>
        <w:t xml:space="preserve">, de la violencia sexual que sufren en sus casas y otros espacios de confinamiento durante el estado de emergencia por </w:t>
      </w:r>
      <w:r w:rsidR="00CF014A" w:rsidRPr="00121628">
        <w:rPr>
          <w:u w:val="none"/>
        </w:rPr>
        <w:t>la</w:t>
      </w:r>
      <w:r w:rsidR="006901A6" w:rsidRPr="00121628">
        <w:rPr>
          <w:u w:val="none"/>
        </w:rPr>
        <w:t xml:space="preserve"> COVID-19? </w:t>
      </w:r>
    </w:p>
    <w:p w14:paraId="66432E75" w14:textId="1CE521AE" w:rsidR="006901A6" w:rsidRPr="00121628" w:rsidRDefault="006901A6" w:rsidP="00121876">
      <w:pPr>
        <w:pStyle w:val="Heading2"/>
        <w:numPr>
          <w:ilvl w:val="0"/>
          <w:numId w:val="28"/>
        </w:numPr>
        <w:ind w:left="720"/>
        <w:rPr>
          <w:u w:val="none"/>
        </w:rPr>
      </w:pPr>
      <w:r w:rsidRPr="00121628">
        <w:rPr>
          <w:u w:val="none"/>
        </w:rPr>
        <w:t xml:space="preserve">¿Cómo se garantizará el suministro de métodos anticonceptivos gratuitos, así como el abastecimiento del kit de atención para víctimas de violencia sexual que incluye la AOE y medicamentos de prevención para el VIH e ITS durante el estado de emergencia por </w:t>
      </w:r>
      <w:r w:rsidR="00CF014A" w:rsidRPr="00121628">
        <w:rPr>
          <w:u w:val="none"/>
        </w:rPr>
        <w:t xml:space="preserve">la </w:t>
      </w:r>
      <w:r w:rsidRPr="00121628">
        <w:rPr>
          <w:u w:val="none"/>
        </w:rPr>
        <w:t>COVID-19? </w:t>
      </w:r>
    </w:p>
    <w:p w14:paraId="2B465923" w14:textId="3FF7F9DC" w:rsidR="008929AB" w:rsidRDefault="006901A6" w:rsidP="00121876">
      <w:pPr>
        <w:pStyle w:val="Heading2"/>
        <w:numPr>
          <w:ilvl w:val="0"/>
          <w:numId w:val="28"/>
        </w:numPr>
        <w:ind w:left="720"/>
        <w:rPr>
          <w:u w:val="none"/>
        </w:rPr>
      </w:pPr>
      <w:r w:rsidRPr="00121628">
        <w:rPr>
          <w:u w:val="none"/>
        </w:rPr>
        <w:t xml:space="preserve">¿Cómo se garantizará la atención de las mujeres gestantes en sus controles prenatales y atención del parto con estándares de calidad, incluido el derecho a interrumpir un embarazo </w:t>
      </w:r>
      <w:r w:rsidR="00C16A4A">
        <w:rPr>
          <w:u w:val="none"/>
        </w:rPr>
        <w:t>ante riesgo reales y previsibles para la vida de la mujer o niña</w:t>
      </w:r>
      <w:r w:rsidRPr="00121628">
        <w:rPr>
          <w:u w:val="none"/>
        </w:rPr>
        <w:t>? </w:t>
      </w:r>
    </w:p>
    <w:p w14:paraId="4763874A" w14:textId="401A1E33" w:rsidR="00FE4A4D" w:rsidRPr="00121628" w:rsidRDefault="00FE4A4D" w:rsidP="00121876">
      <w:pPr>
        <w:pStyle w:val="Heading2"/>
        <w:numPr>
          <w:ilvl w:val="0"/>
          <w:numId w:val="28"/>
        </w:numPr>
        <w:ind w:left="720"/>
        <w:rPr>
          <w:u w:val="none"/>
        </w:rPr>
      </w:pPr>
      <w:r>
        <w:rPr>
          <w:u w:val="none"/>
        </w:rPr>
        <w:t xml:space="preserve">¿Qué medidas está tomando </w:t>
      </w:r>
      <w:r w:rsidR="003C1CEC" w:rsidRPr="008B1E81">
        <w:rPr>
          <w:u w:val="none"/>
        </w:rPr>
        <w:t xml:space="preserve">o se adoptarán para eliminar </w:t>
      </w:r>
      <w:r w:rsidR="003C1CEC">
        <w:rPr>
          <w:u w:val="none"/>
        </w:rPr>
        <w:t>y</w:t>
      </w:r>
      <w:r>
        <w:rPr>
          <w:u w:val="none"/>
        </w:rPr>
        <w:t xml:space="preserve"> contrarrestar los impactos </w:t>
      </w:r>
      <w:r w:rsidR="003C1CEC">
        <w:rPr>
          <w:u w:val="none"/>
        </w:rPr>
        <w:t xml:space="preserve">y </w:t>
      </w:r>
      <w:r w:rsidR="003C1CEC" w:rsidRPr="008B1E81">
        <w:rPr>
          <w:u w:val="none"/>
        </w:rPr>
        <w:t xml:space="preserve">las barreras </w:t>
      </w:r>
      <w:r w:rsidR="003C1CEC">
        <w:rPr>
          <w:u w:val="none"/>
        </w:rPr>
        <w:t xml:space="preserve">creadas por las medidas que el Estado </w:t>
      </w:r>
      <w:r w:rsidR="00121876">
        <w:rPr>
          <w:u w:val="none"/>
        </w:rPr>
        <w:t>h</w:t>
      </w:r>
      <w:r w:rsidR="003C1CEC">
        <w:rPr>
          <w:u w:val="none"/>
        </w:rPr>
        <w:t xml:space="preserve">a tomado </w:t>
      </w:r>
      <w:r>
        <w:rPr>
          <w:u w:val="none"/>
        </w:rPr>
        <w:t>a raíz de la COVID-19 como las restricci</w:t>
      </w:r>
      <w:r w:rsidR="00A46A39">
        <w:rPr>
          <w:u w:val="none"/>
        </w:rPr>
        <w:t>ones</w:t>
      </w:r>
      <w:r>
        <w:rPr>
          <w:u w:val="none"/>
        </w:rPr>
        <w:t xml:space="preserve"> de movilidad</w:t>
      </w:r>
      <w:r w:rsidR="003C1CEC">
        <w:rPr>
          <w:u w:val="none"/>
        </w:rPr>
        <w:t xml:space="preserve">, </w:t>
      </w:r>
      <w:r w:rsidR="008B1E81" w:rsidRPr="008B1E81">
        <w:rPr>
          <w:u w:val="none"/>
        </w:rPr>
        <w:t>la falta de acceso a información adecuada, oportuna y fiable y las desigualdades tecnológicas a las que se enfrentan muchas mujeres de las zonas rurales</w:t>
      </w:r>
      <w:r w:rsidR="003C1CEC">
        <w:rPr>
          <w:u w:val="none"/>
        </w:rPr>
        <w:t>?</w:t>
      </w:r>
    </w:p>
    <w:p w14:paraId="4D2C2E5C" w14:textId="02D383A8" w:rsidR="001F7800" w:rsidRPr="00C61678" w:rsidRDefault="00520032" w:rsidP="00520032">
      <w:pPr>
        <w:pStyle w:val="TextoCarta"/>
        <w:ind w:firstLine="0"/>
        <w:rPr>
          <w:rFonts w:cstheme="minorHAnsi"/>
          <w:sz w:val="20"/>
          <w:szCs w:val="20"/>
        </w:rPr>
      </w:pPr>
      <w:r w:rsidRPr="00C61678">
        <w:rPr>
          <w:rFonts w:cstheme="minorHAnsi"/>
          <w:sz w:val="20"/>
          <w:szCs w:val="20"/>
        </w:rPr>
        <w:t xml:space="preserve">54. </w:t>
      </w:r>
      <w:r w:rsidR="00717581">
        <w:rPr>
          <w:rFonts w:cstheme="minorHAnsi"/>
          <w:sz w:val="20"/>
          <w:szCs w:val="20"/>
        </w:rPr>
        <w:t>Asimismo, c</w:t>
      </w:r>
      <w:r w:rsidR="00176483" w:rsidRPr="00C61678">
        <w:rPr>
          <w:rFonts w:cstheme="minorHAnsi"/>
          <w:sz w:val="20"/>
          <w:szCs w:val="20"/>
        </w:rPr>
        <w:t xml:space="preserve">onsideramos que </w:t>
      </w:r>
      <w:r w:rsidR="007B1AAF">
        <w:rPr>
          <w:rFonts w:cstheme="minorHAnsi"/>
          <w:sz w:val="20"/>
          <w:szCs w:val="20"/>
        </w:rPr>
        <w:t xml:space="preserve">es importante que este Comité pueda expedir </w:t>
      </w:r>
      <w:r w:rsidR="00176483" w:rsidRPr="00C61678">
        <w:rPr>
          <w:rFonts w:cstheme="minorHAnsi"/>
          <w:sz w:val="20"/>
          <w:szCs w:val="20"/>
        </w:rPr>
        <w:t>recomendaci</w:t>
      </w:r>
      <w:r w:rsidR="009A6125" w:rsidRPr="00C61678">
        <w:rPr>
          <w:rFonts w:cstheme="minorHAnsi"/>
          <w:sz w:val="20"/>
          <w:szCs w:val="20"/>
        </w:rPr>
        <w:t>ones</w:t>
      </w:r>
      <w:r w:rsidR="00176483" w:rsidRPr="00C61678">
        <w:rPr>
          <w:rFonts w:cstheme="minorHAnsi"/>
          <w:sz w:val="20"/>
          <w:szCs w:val="20"/>
        </w:rPr>
        <w:t xml:space="preserve"> explícita</w:t>
      </w:r>
      <w:r w:rsidR="009A6125" w:rsidRPr="00C61678">
        <w:rPr>
          <w:rFonts w:cstheme="minorHAnsi"/>
          <w:sz w:val="20"/>
          <w:szCs w:val="20"/>
        </w:rPr>
        <w:t>s</w:t>
      </w:r>
      <w:r w:rsidR="00176483" w:rsidRPr="00C61678">
        <w:rPr>
          <w:rFonts w:cstheme="minorHAnsi"/>
          <w:sz w:val="20"/>
          <w:szCs w:val="20"/>
        </w:rPr>
        <w:t xml:space="preserve"> y urgente</w:t>
      </w:r>
      <w:r w:rsidR="009A6125" w:rsidRPr="00C61678">
        <w:rPr>
          <w:rFonts w:cstheme="minorHAnsi"/>
          <w:sz w:val="20"/>
          <w:szCs w:val="20"/>
        </w:rPr>
        <w:t>s</w:t>
      </w:r>
      <w:r w:rsidR="00176483" w:rsidRPr="00C61678">
        <w:rPr>
          <w:rFonts w:cstheme="minorHAnsi"/>
          <w:sz w:val="20"/>
          <w:szCs w:val="20"/>
        </w:rPr>
        <w:t xml:space="preserve"> que asegure</w:t>
      </w:r>
      <w:r w:rsidR="009A6125" w:rsidRPr="00C61678">
        <w:rPr>
          <w:rFonts w:cstheme="minorHAnsi"/>
          <w:sz w:val="20"/>
          <w:szCs w:val="20"/>
        </w:rPr>
        <w:t>n</w:t>
      </w:r>
      <w:r w:rsidR="00176483" w:rsidRPr="00C61678">
        <w:rPr>
          <w:rFonts w:cstheme="minorHAnsi"/>
          <w:sz w:val="20"/>
          <w:szCs w:val="20"/>
        </w:rPr>
        <w:t xml:space="preserve"> el acceso a medidas anticonceptivas </w:t>
      </w:r>
      <w:r w:rsidR="00520BB1">
        <w:rPr>
          <w:rFonts w:cstheme="minorHAnsi"/>
          <w:sz w:val="20"/>
          <w:szCs w:val="20"/>
        </w:rPr>
        <w:t>emergencia,</w:t>
      </w:r>
      <w:r w:rsidR="009A6125" w:rsidRPr="00C61678">
        <w:rPr>
          <w:rFonts w:cstheme="minorHAnsi"/>
          <w:sz w:val="20"/>
          <w:szCs w:val="20"/>
        </w:rPr>
        <w:t xml:space="preserve"> el acceso al aborto seguro, </w:t>
      </w:r>
      <w:r w:rsidR="00520BB1">
        <w:rPr>
          <w:rFonts w:cstheme="minorHAnsi"/>
          <w:sz w:val="20"/>
          <w:szCs w:val="20"/>
        </w:rPr>
        <w:t xml:space="preserve">entre otras, que </w:t>
      </w:r>
      <w:r w:rsidR="00176483" w:rsidRPr="00C61678">
        <w:rPr>
          <w:rFonts w:cstheme="minorHAnsi"/>
          <w:sz w:val="20"/>
          <w:szCs w:val="20"/>
        </w:rPr>
        <w:t>s</w:t>
      </w:r>
      <w:r w:rsidR="009A6125" w:rsidRPr="00C61678">
        <w:rPr>
          <w:rFonts w:cstheme="minorHAnsi"/>
          <w:sz w:val="20"/>
          <w:szCs w:val="20"/>
        </w:rPr>
        <w:t>on</w:t>
      </w:r>
      <w:r w:rsidR="00176483" w:rsidRPr="00C61678">
        <w:rPr>
          <w:rFonts w:cstheme="minorHAnsi"/>
          <w:sz w:val="20"/>
          <w:szCs w:val="20"/>
        </w:rPr>
        <w:t xml:space="preserve"> necesaria</w:t>
      </w:r>
      <w:r w:rsidR="00042496">
        <w:rPr>
          <w:rFonts w:cstheme="minorHAnsi"/>
          <w:sz w:val="20"/>
          <w:szCs w:val="20"/>
        </w:rPr>
        <w:t>s</w:t>
      </w:r>
      <w:r w:rsidR="00176483" w:rsidRPr="00C61678">
        <w:rPr>
          <w:rFonts w:cstheme="minorHAnsi"/>
          <w:sz w:val="20"/>
          <w:szCs w:val="20"/>
        </w:rPr>
        <w:t xml:space="preserve"> para la verdadera implementación y reconocimiento del derecho a la salud</w:t>
      </w:r>
      <w:r w:rsidR="007E40E1" w:rsidRPr="00C61678">
        <w:rPr>
          <w:rFonts w:cstheme="minorHAnsi"/>
          <w:sz w:val="20"/>
          <w:szCs w:val="20"/>
        </w:rPr>
        <w:t xml:space="preserve"> de las mujeres y niñas en Guatemala sin discriminación</w:t>
      </w:r>
      <w:r w:rsidR="00176483" w:rsidRPr="00C61678">
        <w:rPr>
          <w:rFonts w:cstheme="minorHAnsi"/>
          <w:sz w:val="20"/>
          <w:szCs w:val="20"/>
        </w:rPr>
        <w:t xml:space="preserve">. </w:t>
      </w:r>
      <w:r w:rsidR="008929AB" w:rsidRPr="00C61678">
        <w:rPr>
          <w:rFonts w:cstheme="minorHAnsi"/>
          <w:sz w:val="20"/>
          <w:szCs w:val="20"/>
        </w:rPr>
        <w:t>Así, r</w:t>
      </w:r>
      <w:r w:rsidR="00176483" w:rsidRPr="00C61678">
        <w:rPr>
          <w:rFonts w:cstheme="minorHAnsi"/>
          <w:sz w:val="20"/>
          <w:szCs w:val="20"/>
        </w:rPr>
        <w:t xml:space="preserve">espetuosamente sometemos a consideración del Comité las siguientes recomendaciones, que podría este último presentar al Gobierno de </w:t>
      </w:r>
      <w:r w:rsidR="0014534D" w:rsidRPr="00C61678">
        <w:rPr>
          <w:rFonts w:cstheme="minorHAnsi"/>
          <w:sz w:val="20"/>
          <w:szCs w:val="20"/>
        </w:rPr>
        <w:t>Guatemala</w:t>
      </w:r>
      <w:r w:rsidR="00176483" w:rsidRPr="00C61678">
        <w:rPr>
          <w:rFonts w:cstheme="minorHAnsi"/>
          <w:sz w:val="20"/>
          <w:szCs w:val="20"/>
        </w:rPr>
        <w:t>:</w:t>
      </w:r>
    </w:p>
    <w:p w14:paraId="6145B318" w14:textId="575397ED" w:rsidR="00CD01BF" w:rsidRPr="00C61678" w:rsidRDefault="00CD01BF" w:rsidP="00121876">
      <w:pPr>
        <w:pStyle w:val="Recomendaciones"/>
        <w:ind w:left="540"/>
        <w:rPr>
          <w:rFonts w:cstheme="minorHAnsi"/>
          <w:sz w:val="20"/>
          <w:szCs w:val="20"/>
        </w:rPr>
      </w:pPr>
      <w:r w:rsidRPr="00C61678">
        <w:rPr>
          <w:rFonts w:cstheme="minorHAnsi"/>
          <w:sz w:val="20"/>
          <w:szCs w:val="20"/>
        </w:rPr>
        <w:t xml:space="preserve">Reconocer que los derechos sexuales y reproductivos son servicios de salud esenciales que deben seguir prestándose durante la pandemia y, por consiguiente, eliminar todos los obstáculos jurídicos y administrativos para acceder a los servicios de salud reproductiva, en particular la anticoncepción de emergencia, los servicios de aborto, el acceso a los anticonceptivos y el acceso a la atención de la salud materna. </w:t>
      </w:r>
    </w:p>
    <w:p w14:paraId="43A30C37" w14:textId="0918E66F" w:rsidR="00CD01BF" w:rsidRPr="00C61678" w:rsidRDefault="00CD01BF" w:rsidP="00121876">
      <w:pPr>
        <w:pStyle w:val="Recomendaciones"/>
        <w:ind w:left="540"/>
        <w:rPr>
          <w:rFonts w:cstheme="minorHAnsi"/>
          <w:sz w:val="20"/>
          <w:szCs w:val="20"/>
        </w:rPr>
      </w:pPr>
      <w:r w:rsidRPr="00C61678">
        <w:rPr>
          <w:rFonts w:cstheme="minorHAnsi"/>
          <w:sz w:val="20"/>
          <w:szCs w:val="20"/>
        </w:rPr>
        <w:t xml:space="preserve">Garantizar, de manera urgente e inmediata en el contexto de la COVID-19, el acceso a la píldora anticonceptiva de emergencia, sin discriminación y de manera oportuna, en particular para las víctimas de la violencia sexual, así como el acceso al aborto seguro y legal, al menos en los casos en que la vida y la salud de las mujeres y las niñas corran peligro y cuando el embarazo sea consecuencia de la violencia sexual, aplicando, entre otras, medidas como la telemedicina y otras vías alternativas para la prestación de servicios que permitan y garanticen el acceso a los servicios de salud reproductiva en zonas remotas, rurales o de difícil acceso a la tecnología. </w:t>
      </w:r>
    </w:p>
    <w:p w14:paraId="6C8C44E2" w14:textId="66E3C0A5" w:rsidR="009D2617" w:rsidRPr="00C61678" w:rsidRDefault="009D2617" w:rsidP="00121876">
      <w:pPr>
        <w:pStyle w:val="Recomendaciones"/>
        <w:ind w:left="540"/>
        <w:rPr>
          <w:rFonts w:cstheme="minorHAnsi"/>
          <w:sz w:val="20"/>
          <w:szCs w:val="20"/>
        </w:rPr>
      </w:pPr>
      <w:r w:rsidRPr="00C61678">
        <w:rPr>
          <w:rFonts w:cstheme="minorHAnsi"/>
          <w:sz w:val="20"/>
          <w:szCs w:val="20"/>
        </w:rPr>
        <w:t xml:space="preserve">Como medida provisional, aplicar de inmediato una moratoria a la disposición penal existente que penaliza el aborto en Guatemala, y que luego modificar, </w:t>
      </w:r>
      <w:r w:rsidR="00F95E21" w:rsidRPr="00C61678">
        <w:rPr>
          <w:rFonts w:cstheme="minorHAnsi"/>
          <w:sz w:val="20"/>
          <w:szCs w:val="20"/>
        </w:rPr>
        <w:t>reformar</w:t>
      </w:r>
      <w:r w:rsidRPr="00C61678">
        <w:rPr>
          <w:rFonts w:cstheme="minorHAnsi"/>
          <w:sz w:val="20"/>
          <w:szCs w:val="20"/>
        </w:rPr>
        <w:t xml:space="preserve">, y expedir rápidamente legislación, regulación y protocolos necesarios para legalizar el aborto, reconociendo y garantizando el acceso a este servicio de salud al menos en las siguientes circunstancias i) cuando el embarazo ponga en peligro la vida o la salud de la mujer, incluyendo su salud mental, física y social; ii) el embarazo sea consecuencia de una violación o incesto; y iii) exista una anomalía fetal congénita incompatible con la vida extrauterina; </w:t>
      </w:r>
    </w:p>
    <w:p w14:paraId="72091513" w14:textId="57C77570" w:rsidR="001F7800" w:rsidRPr="00C61678" w:rsidRDefault="001F7800" w:rsidP="00121876">
      <w:pPr>
        <w:pStyle w:val="Recomendaciones"/>
        <w:ind w:left="540"/>
        <w:rPr>
          <w:rFonts w:cstheme="minorHAnsi"/>
          <w:sz w:val="20"/>
          <w:szCs w:val="20"/>
        </w:rPr>
      </w:pPr>
      <w:r w:rsidRPr="00C61678">
        <w:rPr>
          <w:rFonts w:cstheme="minorHAnsi"/>
          <w:sz w:val="20"/>
          <w:szCs w:val="20"/>
        </w:rPr>
        <w:t>Expedir e implementar legislación</w:t>
      </w:r>
      <w:r w:rsidR="009D2617" w:rsidRPr="00C61678">
        <w:rPr>
          <w:rFonts w:cstheme="minorHAnsi"/>
          <w:sz w:val="20"/>
          <w:szCs w:val="20"/>
        </w:rPr>
        <w:t xml:space="preserve"> y protocolos</w:t>
      </w:r>
      <w:r w:rsidRPr="00C61678">
        <w:rPr>
          <w:rFonts w:cstheme="minorHAnsi"/>
          <w:sz w:val="20"/>
          <w:szCs w:val="20"/>
        </w:rPr>
        <w:t xml:space="preserve"> que garantice el acceso </w:t>
      </w:r>
      <w:r w:rsidR="009D2617" w:rsidRPr="00C61678">
        <w:rPr>
          <w:rFonts w:cstheme="minorHAnsi"/>
          <w:sz w:val="20"/>
          <w:szCs w:val="20"/>
        </w:rPr>
        <w:t>integral y de calidad</w:t>
      </w:r>
      <w:r w:rsidRPr="00C61678">
        <w:rPr>
          <w:rFonts w:cstheme="minorHAnsi"/>
          <w:sz w:val="20"/>
          <w:szCs w:val="20"/>
        </w:rPr>
        <w:t xml:space="preserve"> a </w:t>
      </w:r>
      <w:r w:rsidR="001043AF" w:rsidRPr="00C61678">
        <w:rPr>
          <w:rFonts w:cstheme="minorHAnsi"/>
          <w:sz w:val="20"/>
          <w:szCs w:val="20"/>
        </w:rPr>
        <w:t xml:space="preserve">la información, educación y </w:t>
      </w:r>
      <w:r w:rsidRPr="00C61678">
        <w:rPr>
          <w:rFonts w:cstheme="minorHAnsi"/>
          <w:sz w:val="20"/>
          <w:szCs w:val="20"/>
        </w:rPr>
        <w:t>servicios de salud reproductivo, especialmente para niñas y adolescentes.</w:t>
      </w:r>
    </w:p>
    <w:p w14:paraId="2A7E3EA6" w14:textId="77777777" w:rsidR="00121876" w:rsidRDefault="001F7800" w:rsidP="00B95218">
      <w:pPr>
        <w:pStyle w:val="Recomendaciones"/>
        <w:spacing w:after="0"/>
        <w:ind w:left="540"/>
        <w:rPr>
          <w:rFonts w:cstheme="minorHAnsi"/>
          <w:sz w:val="20"/>
          <w:szCs w:val="20"/>
        </w:rPr>
      </w:pPr>
      <w:r w:rsidRPr="00C61678">
        <w:rPr>
          <w:rFonts w:cstheme="minorHAnsi"/>
          <w:sz w:val="20"/>
          <w:szCs w:val="20"/>
        </w:rPr>
        <w:t>Expedir e implementar legislación para la protección efectiva de mujeres y niñas que hayan sido víctimas de violencia o acoso sexual, especialm</w:t>
      </w:r>
      <w:r w:rsidR="006D7B8B" w:rsidRPr="00C61678">
        <w:rPr>
          <w:rFonts w:cstheme="minorHAnsi"/>
          <w:sz w:val="20"/>
          <w:szCs w:val="20"/>
        </w:rPr>
        <w:t>ente en la educación de las víctimas para que tengan herramientas para acceder al sistema judicial.</w:t>
      </w:r>
    </w:p>
    <w:p w14:paraId="30F1DD47" w14:textId="77777777" w:rsidR="00121876" w:rsidRDefault="00121876" w:rsidP="00121876">
      <w:pPr>
        <w:pStyle w:val="Recomendaciones"/>
        <w:numPr>
          <w:ilvl w:val="0"/>
          <w:numId w:val="0"/>
        </w:numPr>
        <w:spacing w:after="0"/>
        <w:ind w:left="720"/>
        <w:rPr>
          <w:rFonts w:cstheme="minorHAnsi"/>
          <w:sz w:val="20"/>
          <w:szCs w:val="20"/>
        </w:rPr>
      </w:pPr>
    </w:p>
    <w:p w14:paraId="0F150D0F" w14:textId="77777777" w:rsidR="00121876" w:rsidRDefault="006D7B8B" w:rsidP="00121876">
      <w:pPr>
        <w:pStyle w:val="Recomendaciones"/>
        <w:numPr>
          <w:ilvl w:val="0"/>
          <w:numId w:val="0"/>
        </w:numPr>
        <w:spacing w:after="0"/>
        <w:rPr>
          <w:rFonts w:cstheme="minorHAnsi"/>
          <w:sz w:val="20"/>
          <w:szCs w:val="20"/>
        </w:rPr>
      </w:pPr>
      <w:r w:rsidRPr="00121876">
        <w:rPr>
          <w:rFonts w:cstheme="minorHAnsi"/>
          <w:sz w:val="20"/>
          <w:szCs w:val="20"/>
        </w:rPr>
        <w:t>Agradecemos el compromiso que tiene este Comité con los derechos reproductivos y con la erradicación de la discriminación y el acceso a los servicios de salud reproductiva</w:t>
      </w:r>
      <w:r w:rsidR="00243149" w:rsidRPr="00121876">
        <w:rPr>
          <w:rFonts w:cstheme="minorHAnsi"/>
          <w:sz w:val="20"/>
          <w:szCs w:val="20"/>
        </w:rPr>
        <w:t>. Estamos a entera disposición del Comité en caso de preguntas o si desean información adicional.</w:t>
      </w:r>
    </w:p>
    <w:p w14:paraId="3CE6D20E" w14:textId="77777777" w:rsidR="00121876" w:rsidRDefault="00121876" w:rsidP="00121876">
      <w:pPr>
        <w:pStyle w:val="Recomendaciones"/>
        <w:numPr>
          <w:ilvl w:val="0"/>
          <w:numId w:val="0"/>
        </w:numPr>
        <w:spacing w:after="0"/>
        <w:rPr>
          <w:rFonts w:cstheme="minorHAns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3"/>
        <w:gridCol w:w="4323"/>
      </w:tblGrid>
      <w:tr w:rsidR="00B32AD7" w:rsidRPr="00E266FB" w14:paraId="327B6887" w14:textId="77777777" w:rsidTr="00121876">
        <w:trPr>
          <w:trHeight w:val="2067"/>
        </w:trPr>
        <w:tc>
          <w:tcPr>
            <w:tcW w:w="4323" w:type="dxa"/>
          </w:tcPr>
          <w:p w14:paraId="68018985" w14:textId="2B209826" w:rsidR="00E266FB" w:rsidRDefault="00243149" w:rsidP="00E266FB">
            <w:pPr>
              <w:pStyle w:val="Firmas"/>
              <w:keepNext/>
              <w:keepLines/>
              <w:rPr>
                <w:rFonts w:cstheme="minorHAnsi"/>
                <w:b/>
                <w:sz w:val="20"/>
                <w:szCs w:val="20"/>
              </w:rPr>
            </w:pPr>
            <w:r w:rsidRPr="00C61678">
              <w:rPr>
                <w:rFonts w:cstheme="minorHAnsi"/>
                <w:sz w:val="20"/>
                <w:szCs w:val="20"/>
              </w:rPr>
              <w:t>Respetuosamente,</w:t>
            </w:r>
          </w:p>
          <w:p w14:paraId="7AAC1012" w14:textId="34D4A9AC" w:rsidR="00592A89" w:rsidRDefault="00592A89" w:rsidP="00E266FB">
            <w:pPr>
              <w:pStyle w:val="Firmas"/>
              <w:keepNext/>
              <w:keepLines/>
              <w:rPr>
                <w:rFonts w:cstheme="minorHAnsi"/>
                <w:bCs/>
                <w:sz w:val="20"/>
                <w:szCs w:val="20"/>
              </w:rPr>
            </w:pPr>
            <w:r w:rsidRPr="00F8597F">
              <w:rPr>
                <w:rFonts w:ascii="Times New Roman" w:hAnsi="Times New Roman"/>
                <w:noProof/>
                <w:sz w:val="20"/>
                <w:szCs w:val="20"/>
                <w:lang w:val="en-GB" w:eastAsia="en-GB"/>
              </w:rPr>
              <w:drawing>
                <wp:inline distT="0" distB="0" distL="0" distR="0" wp14:anchorId="5D7DF403" wp14:editId="440710B3">
                  <wp:extent cx="1405719" cy="504967"/>
                  <wp:effectExtent l="0" t="0" r="4445"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8806" cy="534814"/>
                          </a:xfrm>
                          <a:prstGeom prst="rect">
                            <a:avLst/>
                          </a:prstGeom>
                          <a:noFill/>
                          <a:ln>
                            <a:noFill/>
                          </a:ln>
                        </pic:spPr>
                      </pic:pic>
                    </a:graphicData>
                  </a:graphic>
                </wp:inline>
              </w:drawing>
            </w:r>
          </w:p>
          <w:p w14:paraId="56029B8C" w14:textId="57733B05" w:rsidR="00E266FB" w:rsidRPr="00E266FB" w:rsidRDefault="00E266FB" w:rsidP="00E266FB">
            <w:pPr>
              <w:pStyle w:val="Firmas"/>
              <w:keepNext/>
              <w:keepLines/>
              <w:rPr>
                <w:rFonts w:cstheme="minorHAnsi"/>
                <w:bCs/>
                <w:sz w:val="20"/>
                <w:szCs w:val="20"/>
              </w:rPr>
            </w:pPr>
            <w:r>
              <w:rPr>
                <w:rFonts w:cstheme="minorHAnsi"/>
                <w:bCs/>
                <w:sz w:val="20"/>
                <w:szCs w:val="20"/>
              </w:rPr>
              <w:t>p/ Catalina Martínez</w:t>
            </w:r>
          </w:p>
          <w:p w14:paraId="02CFEFD1" w14:textId="22D25A5D" w:rsidR="00E266FB" w:rsidRPr="00C61678" w:rsidRDefault="00E266FB" w:rsidP="00E266FB">
            <w:pPr>
              <w:pStyle w:val="Firmas"/>
              <w:keepNext/>
              <w:keepLines/>
              <w:rPr>
                <w:rFonts w:cstheme="minorHAnsi"/>
                <w:b/>
                <w:sz w:val="20"/>
                <w:szCs w:val="20"/>
              </w:rPr>
            </w:pPr>
            <w:r>
              <w:rPr>
                <w:rFonts w:cstheme="minorHAnsi"/>
                <w:b/>
                <w:sz w:val="20"/>
                <w:szCs w:val="20"/>
              </w:rPr>
              <w:t>Catalina</w:t>
            </w:r>
            <w:r w:rsidRPr="00C61678">
              <w:rPr>
                <w:rFonts w:cstheme="minorHAnsi"/>
                <w:b/>
                <w:sz w:val="20"/>
                <w:szCs w:val="20"/>
              </w:rPr>
              <w:t xml:space="preserve"> Martínez</w:t>
            </w:r>
          </w:p>
          <w:p w14:paraId="574C599A" w14:textId="77777777" w:rsidR="00B32AD7" w:rsidRDefault="00E266FB" w:rsidP="00E266FB">
            <w:pPr>
              <w:pStyle w:val="Firmas"/>
              <w:keepNext/>
              <w:keepLines/>
              <w:rPr>
                <w:rFonts w:cstheme="minorHAnsi"/>
                <w:sz w:val="20"/>
                <w:szCs w:val="20"/>
              </w:rPr>
            </w:pPr>
            <w:r>
              <w:rPr>
                <w:rFonts w:cstheme="minorHAnsi"/>
                <w:sz w:val="20"/>
                <w:szCs w:val="20"/>
              </w:rPr>
              <w:t xml:space="preserve">Directora </w:t>
            </w:r>
            <w:r w:rsidRPr="00C61678">
              <w:rPr>
                <w:rFonts w:cstheme="minorHAnsi"/>
                <w:sz w:val="20"/>
                <w:szCs w:val="20"/>
              </w:rPr>
              <w:t>Regional para América Latina y el Caribe del Centro de Derechos Reproductivos</w:t>
            </w:r>
          </w:p>
          <w:p w14:paraId="05FC9E3A" w14:textId="27164DE0" w:rsidR="006D6112" w:rsidRPr="00C61678" w:rsidRDefault="00A23DD1" w:rsidP="00E266FB">
            <w:pPr>
              <w:pStyle w:val="Firmas"/>
              <w:keepNext/>
              <w:keepLines/>
              <w:rPr>
                <w:rFonts w:cstheme="minorHAnsi"/>
                <w:sz w:val="20"/>
                <w:szCs w:val="20"/>
              </w:rPr>
            </w:pPr>
            <w:hyperlink r:id="rId12" w:history="1">
              <w:r w:rsidR="006D6112" w:rsidRPr="00EE61F1">
                <w:rPr>
                  <w:rStyle w:val="Hyperlink"/>
                  <w:rFonts w:ascii="Times New Roman" w:hAnsi="Times New Roman"/>
                  <w:sz w:val="20"/>
                  <w:szCs w:val="20"/>
                  <w:lang w:val="es-ES"/>
                </w:rPr>
                <w:t>cmartinez@reprorights.org</w:t>
              </w:r>
            </w:hyperlink>
          </w:p>
        </w:tc>
        <w:tc>
          <w:tcPr>
            <w:tcW w:w="4323" w:type="dxa"/>
          </w:tcPr>
          <w:p w14:paraId="7172C230" w14:textId="77777777" w:rsidR="00E266FB" w:rsidRDefault="00E266FB" w:rsidP="00E266FB">
            <w:pPr>
              <w:pStyle w:val="Firmas"/>
              <w:keepNext/>
              <w:keepLines/>
              <w:spacing w:before="840"/>
              <w:rPr>
                <w:rFonts w:cstheme="minorHAnsi"/>
                <w:b/>
                <w:sz w:val="20"/>
                <w:szCs w:val="20"/>
              </w:rPr>
            </w:pPr>
          </w:p>
          <w:p w14:paraId="5A908D38" w14:textId="753874BD" w:rsidR="00E266FB" w:rsidRPr="00E266FB" w:rsidRDefault="00E266FB" w:rsidP="00E266FB">
            <w:pPr>
              <w:pStyle w:val="Firmas"/>
              <w:keepNext/>
              <w:keepLines/>
              <w:rPr>
                <w:rFonts w:cstheme="minorHAnsi"/>
                <w:bCs/>
                <w:sz w:val="20"/>
                <w:szCs w:val="20"/>
              </w:rPr>
            </w:pPr>
            <w:r>
              <w:rPr>
                <w:rFonts w:cstheme="minorHAnsi"/>
                <w:bCs/>
                <w:sz w:val="20"/>
                <w:szCs w:val="20"/>
              </w:rPr>
              <w:t>p/ Carmen Cecilia Martínez</w:t>
            </w:r>
          </w:p>
          <w:p w14:paraId="136AA54F" w14:textId="428E8AE1" w:rsidR="00E266FB" w:rsidRPr="00C61678" w:rsidRDefault="00E266FB" w:rsidP="00E266FB">
            <w:pPr>
              <w:pStyle w:val="Firmas"/>
              <w:keepNext/>
              <w:keepLines/>
              <w:rPr>
                <w:rFonts w:cstheme="minorHAnsi"/>
                <w:b/>
                <w:sz w:val="20"/>
                <w:szCs w:val="20"/>
              </w:rPr>
            </w:pPr>
            <w:r w:rsidRPr="00C61678">
              <w:rPr>
                <w:rFonts w:cstheme="minorHAnsi"/>
                <w:b/>
                <w:sz w:val="20"/>
                <w:szCs w:val="20"/>
              </w:rPr>
              <w:t>Carmen Cecilia Martínez</w:t>
            </w:r>
          </w:p>
          <w:p w14:paraId="7D547E52" w14:textId="77CF11CF" w:rsidR="00E266FB" w:rsidRDefault="00E266FB" w:rsidP="00E266FB">
            <w:pPr>
              <w:pStyle w:val="Firmas"/>
              <w:keepNext/>
              <w:keepLines/>
              <w:rPr>
                <w:rFonts w:cstheme="minorHAnsi"/>
                <w:sz w:val="20"/>
                <w:szCs w:val="20"/>
              </w:rPr>
            </w:pPr>
            <w:r w:rsidRPr="00C61678">
              <w:rPr>
                <w:rFonts w:cstheme="minorHAnsi"/>
                <w:sz w:val="20"/>
                <w:szCs w:val="20"/>
              </w:rPr>
              <w:t>Gerente Regional para América Latina y el Caribe del Centro de Derechos Reproductivos</w:t>
            </w:r>
          </w:p>
          <w:p w14:paraId="5DEB2896" w14:textId="2180DC09" w:rsidR="00AD2C54" w:rsidRPr="00C61678" w:rsidRDefault="00A23DD1" w:rsidP="00E266FB">
            <w:pPr>
              <w:pStyle w:val="Firmas"/>
              <w:keepNext/>
              <w:keepLines/>
              <w:rPr>
                <w:rFonts w:cstheme="minorHAnsi"/>
                <w:sz w:val="20"/>
                <w:szCs w:val="20"/>
              </w:rPr>
            </w:pPr>
            <w:hyperlink r:id="rId13" w:history="1">
              <w:r w:rsidR="00AD2C54" w:rsidRPr="00F8597F">
                <w:rPr>
                  <w:rStyle w:val="Hyperlink"/>
                  <w:rFonts w:ascii="Times New Roman" w:hAnsi="Times New Roman" w:cs="Times New Roman"/>
                  <w:sz w:val="20"/>
                  <w:szCs w:val="20"/>
                  <w:lang w:val="en-CA"/>
                </w:rPr>
                <w:t>martinezc@reprorights.org</w:t>
              </w:r>
            </w:hyperlink>
          </w:p>
          <w:p w14:paraId="474EBB7C" w14:textId="77777777" w:rsidR="00B32AD7" w:rsidRPr="00C61678" w:rsidRDefault="00B32AD7" w:rsidP="00B32AD7">
            <w:pPr>
              <w:pStyle w:val="Firmas"/>
              <w:keepNext/>
              <w:keepLines/>
              <w:rPr>
                <w:rFonts w:cstheme="minorHAnsi"/>
                <w:sz w:val="20"/>
                <w:szCs w:val="20"/>
              </w:rPr>
            </w:pPr>
          </w:p>
        </w:tc>
      </w:tr>
      <w:tr w:rsidR="00B32AD7" w:rsidRPr="00A30B15" w14:paraId="0E5CE5D4" w14:textId="77777777" w:rsidTr="00121876">
        <w:trPr>
          <w:trHeight w:val="1169"/>
        </w:trPr>
        <w:tc>
          <w:tcPr>
            <w:tcW w:w="4323" w:type="dxa"/>
          </w:tcPr>
          <w:p w14:paraId="6373D58C" w14:textId="77777777" w:rsidR="00AD2C54" w:rsidRDefault="00AD2C54" w:rsidP="00AD2C54">
            <w:pPr>
              <w:pStyle w:val="Firmas"/>
              <w:keepNext/>
              <w:keepLines/>
              <w:spacing w:after="240"/>
              <w:rPr>
                <w:rFonts w:cstheme="minorHAnsi"/>
                <w:b/>
                <w:sz w:val="20"/>
                <w:szCs w:val="20"/>
              </w:rPr>
            </w:pPr>
          </w:p>
          <w:p w14:paraId="4B2FEDD7" w14:textId="768C50ED" w:rsidR="00AD2C54" w:rsidRPr="00AD2C54" w:rsidRDefault="00AD2C54" w:rsidP="00AD2C54">
            <w:pPr>
              <w:pStyle w:val="Firmas"/>
              <w:keepNext/>
              <w:keepLines/>
              <w:rPr>
                <w:rFonts w:cstheme="minorHAnsi"/>
                <w:bCs/>
                <w:sz w:val="20"/>
                <w:szCs w:val="20"/>
              </w:rPr>
            </w:pPr>
            <w:r>
              <w:rPr>
                <w:rFonts w:cstheme="minorHAnsi"/>
                <w:bCs/>
                <w:sz w:val="20"/>
                <w:szCs w:val="20"/>
              </w:rPr>
              <w:t>p</w:t>
            </w:r>
            <w:r w:rsidRPr="00AD2C54">
              <w:rPr>
                <w:rFonts w:cstheme="minorHAnsi"/>
                <w:bCs/>
                <w:sz w:val="20"/>
                <w:szCs w:val="20"/>
              </w:rPr>
              <w:t>/ María Rodríguez</w:t>
            </w:r>
            <w:r w:rsidR="00185412">
              <w:rPr>
                <w:rFonts w:cstheme="minorHAnsi"/>
                <w:bCs/>
                <w:sz w:val="20"/>
                <w:szCs w:val="20"/>
              </w:rPr>
              <w:t xml:space="preserve"> Motta</w:t>
            </w:r>
          </w:p>
          <w:p w14:paraId="686C131A" w14:textId="4CB6747C" w:rsidR="00B32AD7" w:rsidRPr="00C61678" w:rsidRDefault="00B32AD7" w:rsidP="00AD2C54">
            <w:pPr>
              <w:pStyle w:val="Firmas"/>
              <w:keepNext/>
              <w:keepLines/>
              <w:rPr>
                <w:rFonts w:cstheme="minorHAnsi"/>
                <w:b/>
                <w:sz w:val="20"/>
                <w:szCs w:val="20"/>
              </w:rPr>
            </w:pPr>
            <w:r w:rsidRPr="00C61678">
              <w:rPr>
                <w:rFonts w:cstheme="minorHAnsi"/>
                <w:b/>
                <w:sz w:val="20"/>
                <w:szCs w:val="20"/>
              </w:rPr>
              <w:t>María Rodríguez</w:t>
            </w:r>
            <w:r w:rsidR="00185412">
              <w:rPr>
                <w:rFonts w:cstheme="minorHAnsi"/>
                <w:b/>
                <w:sz w:val="20"/>
                <w:szCs w:val="20"/>
              </w:rPr>
              <w:t xml:space="preserve"> Motta</w:t>
            </w:r>
          </w:p>
          <w:p w14:paraId="537AB35A" w14:textId="77777777" w:rsidR="00B32AD7" w:rsidRDefault="00B32AD7" w:rsidP="00B32AD7">
            <w:pPr>
              <w:pStyle w:val="Firmas"/>
              <w:keepNext/>
              <w:keepLines/>
              <w:rPr>
                <w:rFonts w:cstheme="minorHAnsi"/>
                <w:sz w:val="20"/>
                <w:szCs w:val="20"/>
              </w:rPr>
            </w:pPr>
            <w:r w:rsidRPr="00C61678">
              <w:rPr>
                <w:rFonts w:cstheme="minorHAnsi"/>
                <w:sz w:val="20"/>
                <w:szCs w:val="20"/>
              </w:rPr>
              <w:t>Consultora Legal para América Latina y el Caribe del Centro de Derechos Reproductivos</w:t>
            </w:r>
          </w:p>
          <w:p w14:paraId="4365CCC6" w14:textId="253F621B" w:rsidR="00A30B15" w:rsidRPr="00C61678" w:rsidRDefault="00A23DD1" w:rsidP="00B32AD7">
            <w:pPr>
              <w:pStyle w:val="Firmas"/>
              <w:keepNext/>
              <w:keepLines/>
              <w:rPr>
                <w:rFonts w:cstheme="minorHAnsi"/>
                <w:sz w:val="20"/>
                <w:szCs w:val="20"/>
              </w:rPr>
            </w:pPr>
            <w:hyperlink r:id="rId14" w:history="1">
              <w:r w:rsidR="00A30B15" w:rsidRPr="00EE61F1">
                <w:rPr>
                  <w:rStyle w:val="Hyperlink"/>
                  <w:rFonts w:ascii="Times New Roman" w:hAnsi="Times New Roman"/>
                  <w:sz w:val="20"/>
                  <w:szCs w:val="20"/>
                  <w:lang w:val="en-CA"/>
                </w:rPr>
                <w:t>mrodriguez@reprorights.org</w:t>
              </w:r>
            </w:hyperlink>
          </w:p>
        </w:tc>
        <w:tc>
          <w:tcPr>
            <w:tcW w:w="4323" w:type="dxa"/>
          </w:tcPr>
          <w:p w14:paraId="3A733DF6" w14:textId="77777777" w:rsidR="00294C45" w:rsidRDefault="00294C45" w:rsidP="00294C45">
            <w:pPr>
              <w:pStyle w:val="Firmas"/>
              <w:keepNext/>
              <w:keepLines/>
              <w:jc w:val="left"/>
              <w:rPr>
                <w:rFonts w:cstheme="minorHAnsi"/>
                <w:b/>
                <w:sz w:val="20"/>
                <w:szCs w:val="20"/>
              </w:rPr>
            </w:pPr>
          </w:p>
          <w:p w14:paraId="0ADBADF5" w14:textId="77777777" w:rsidR="008F6D9E" w:rsidRDefault="008F6D9E" w:rsidP="00294C45">
            <w:pPr>
              <w:pStyle w:val="Firmas"/>
              <w:keepNext/>
              <w:keepLines/>
              <w:jc w:val="left"/>
              <w:rPr>
                <w:rFonts w:cstheme="minorHAnsi"/>
                <w:bCs/>
                <w:sz w:val="20"/>
                <w:szCs w:val="20"/>
              </w:rPr>
            </w:pPr>
          </w:p>
          <w:p w14:paraId="0CCCF333" w14:textId="3F6117D2" w:rsidR="00294C45" w:rsidRPr="00294C45" w:rsidRDefault="00294C45" w:rsidP="00294C45">
            <w:pPr>
              <w:pStyle w:val="Firmas"/>
              <w:keepNext/>
              <w:keepLines/>
              <w:jc w:val="left"/>
              <w:rPr>
                <w:rFonts w:cstheme="minorHAnsi"/>
                <w:bCs/>
                <w:sz w:val="20"/>
                <w:szCs w:val="20"/>
              </w:rPr>
            </w:pPr>
            <w:r w:rsidRPr="00294C45">
              <w:rPr>
                <w:rFonts w:cstheme="minorHAnsi"/>
                <w:bCs/>
                <w:sz w:val="20"/>
                <w:szCs w:val="20"/>
              </w:rPr>
              <w:t>p/Jessica María Monterroso Cardona</w:t>
            </w:r>
          </w:p>
          <w:p w14:paraId="4603C7D8" w14:textId="77777777" w:rsidR="008F6D9E" w:rsidRPr="008F6D9E" w:rsidRDefault="008F6D9E" w:rsidP="00A30B15">
            <w:pPr>
              <w:pStyle w:val="Firmas"/>
              <w:keepNext/>
              <w:keepLines/>
              <w:rPr>
                <w:rFonts w:cstheme="minorHAnsi"/>
                <w:b/>
                <w:sz w:val="20"/>
                <w:szCs w:val="20"/>
              </w:rPr>
            </w:pPr>
            <w:r w:rsidRPr="008F6D9E">
              <w:rPr>
                <w:rFonts w:cstheme="minorHAnsi"/>
                <w:b/>
                <w:sz w:val="20"/>
                <w:szCs w:val="20"/>
              </w:rPr>
              <w:t xml:space="preserve">Jessica María Monterroso Cardona </w:t>
            </w:r>
          </w:p>
          <w:p w14:paraId="7A5182F3" w14:textId="1B91DE24" w:rsidR="00B32AD7" w:rsidRDefault="008F6D9E" w:rsidP="00A30B15">
            <w:pPr>
              <w:pStyle w:val="Firmas"/>
              <w:keepNext/>
              <w:keepLines/>
              <w:rPr>
                <w:rFonts w:cstheme="minorHAnsi"/>
                <w:sz w:val="20"/>
                <w:szCs w:val="20"/>
              </w:rPr>
            </w:pPr>
            <w:r>
              <w:rPr>
                <w:rFonts w:cstheme="minorHAnsi"/>
                <w:sz w:val="20"/>
                <w:szCs w:val="20"/>
              </w:rPr>
              <w:t xml:space="preserve">Abogad de </w:t>
            </w:r>
            <w:r w:rsidR="00B32AD7" w:rsidRPr="00C61678">
              <w:rPr>
                <w:rFonts w:cstheme="minorHAnsi"/>
                <w:sz w:val="20"/>
                <w:szCs w:val="20"/>
              </w:rPr>
              <w:t>M</w:t>
            </w:r>
            <w:r w:rsidR="00A30B15">
              <w:rPr>
                <w:rFonts w:cstheme="minorHAnsi"/>
                <w:sz w:val="20"/>
                <w:szCs w:val="20"/>
              </w:rPr>
              <w:t xml:space="preserve">ujeres </w:t>
            </w:r>
            <w:r w:rsidR="00B32AD7" w:rsidRPr="00C61678">
              <w:rPr>
                <w:rFonts w:cstheme="minorHAnsi"/>
                <w:sz w:val="20"/>
                <w:szCs w:val="20"/>
              </w:rPr>
              <w:t>T</w:t>
            </w:r>
            <w:r w:rsidR="00A30B15">
              <w:rPr>
                <w:rFonts w:cstheme="minorHAnsi"/>
                <w:sz w:val="20"/>
                <w:szCs w:val="20"/>
              </w:rPr>
              <w:t xml:space="preserve">ransformado el </w:t>
            </w:r>
            <w:r w:rsidR="00B32AD7" w:rsidRPr="00C61678">
              <w:rPr>
                <w:rFonts w:cstheme="minorHAnsi"/>
                <w:sz w:val="20"/>
                <w:szCs w:val="20"/>
              </w:rPr>
              <w:t>M</w:t>
            </w:r>
            <w:r w:rsidR="00A30B15">
              <w:rPr>
                <w:rFonts w:cstheme="minorHAnsi"/>
                <w:sz w:val="20"/>
                <w:szCs w:val="20"/>
              </w:rPr>
              <w:t>undo</w:t>
            </w:r>
          </w:p>
          <w:p w14:paraId="3CF432E4" w14:textId="0DC42306" w:rsidR="008F6D9E" w:rsidRPr="00C61678" w:rsidRDefault="00A23DD1" w:rsidP="00A30B15">
            <w:pPr>
              <w:pStyle w:val="Firmas"/>
              <w:keepNext/>
              <w:keepLines/>
              <w:rPr>
                <w:rFonts w:cstheme="minorHAnsi"/>
                <w:sz w:val="20"/>
                <w:szCs w:val="20"/>
              </w:rPr>
            </w:pPr>
            <w:hyperlink r:id="rId15" w:history="1">
              <w:r w:rsidR="008F6D9E" w:rsidRPr="007D08F7">
                <w:rPr>
                  <w:rStyle w:val="Hyperlink"/>
                  <w:rFonts w:cstheme="minorHAnsi"/>
                  <w:sz w:val="20"/>
                  <w:szCs w:val="20"/>
                </w:rPr>
                <w:t>jessicamonterroso@gmail.com</w:t>
              </w:r>
            </w:hyperlink>
            <w:r w:rsidR="008F6D9E">
              <w:rPr>
                <w:rFonts w:cstheme="minorHAnsi"/>
                <w:sz w:val="20"/>
                <w:szCs w:val="20"/>
              </w:rPr>
              <w:t xml:space="preserve"> </w:t>
            </w:r>
          </w:p>
          <w:p w14:paraId="336D9794" w14:textId="77777777" w:rsidR="00B32AD7" w:rsidRPr="00C61678" w:rsidRDefault="00B32AD7" w:rsidP="00B32AD7">
            <w:pPr>
              <w:pStyle w:val="Firmas"/>
              <w:keepNext/>
              <w:keepLines/>
              <w:rPr>
                <w:rFonts w:cstheme="minorHAnsi"/>
                <w:sz w:val="20"/>
                <w:szCs w:val="20"/>
              </w:rPr>
            </w:pPr>
          </w:p>
        </w:tc>
      </w:tr>
    </w:tbl>
    <w:p w14:paraId="36CF02FC" w14:textId="62EA841C" w:rsidR="006E68B2" w:rsidRPr="00C61678" w:rsidRDefault="006E68B2" w:rsidP="00B32AD7">
      <w:pPr>
        <w:pStyle w:val="Firmas"/>
        <w:keepNext/>
        <w:keepLines/>
        <w:rPr>
          <w:rFonts w:cstheme="minorHAnsi"/>
          <w:sz w:val="20"/>
          <w:szCs w:val="20"/>
        </w:rPr>
      </w:pPr>
    </w:p>
    <w:sectPr w:rsidR="006E68B2" w:rsidRPr="00C61678">
      <w:headerReference w:type="default" r:id="rId16"/>
      <w:footerReference w:type="even" r:id="rId17"/>
      <w:footerReference w:type="default" r:id="rId18"/>
      <w:endnotePr>
        <w:numFmt w:val="decimal"/>
      </w:endnotePr>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F038F" w14:textId="77777777" w:rsidR="00EB61C4" w:rsidRDefault="00EB61C4" w:rsidP="00F81BB1">
      <w:pPr>
        <w:spacing w:after="0" w:line="240" w:lineRule="auto"/>
      </w:pPr>
      <w:r>
        <w:separator/>
      </w:r>
    </w:p>
  </w:endnote>
  <w:endnote w:type="continuationSeparator" w:id="0">
    <w:p w14:paraId="7BA6E5DD" w14:textId="77777777" w:rsidR="00EB61C4" w:rsidRDefault="00EB61C4" w:rsidP="00F81BB1">
      <w:pPr>
        <w:spacing w:after="0" w:line="240" w:lineRule="auto"/>
      </w:pPr>
      <w:r>
        <w:continuationSeparator/>
      </w:r>
    </w:p>
  </w:endnote>
  <w:endnote w:type="continuationNotice" w:id="1">
    <w:p w14:paraId="785E8389" w14:textId="77777777" w:rsidR="00133099" w:rsidRDefault="00133099">
      <w:pPr>
        <w:spacing w:after="0" w:line="240" w:lineRule="auto"/>
      </w:pPr>
    </w:p>
  </w:endnote>
  <w:endnote w:id="2">
    <w:p w14:paraId="549FA9FA"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A.G. Res. 2200A (XXI), Pacto Internacional de Derechos Económicos, Sociales y Culturales (16 Dic. 1966), ratificado por Guatemala el 19 de mayo de 1988.</w:t>
      </w:r>
    </w:p>
  </w:endnote>
  <w:endnote w:id="3">
    <w:p w14:paraId="41E7EFC2" w14:textId="0C419992" w:rsidR="00F81886" w:rsidRPr="00590037" w:rsidRDefault="00F81886" w:rsidP="00226E83">
      <w:pPr>
        <w:pStyle w:val="EndnoteText"/>
        <w:jc w:val="both"/>
        <w:rPr>
          <w:rFonts w:ascii="Times New Roman" w:hAnsi="Times New Roman"/>
          <w:sz w:val="16"/>
          <w:szCs w:val="16"/>
        </w:rPr>
      </w:pPr>
      <w:r w:rsidRPr="00590037">
        <w:rPr>
          <w:rStyle w:val="EndnoteReference"/>
          <w:b w:val="0"/>
          <w:bCs/>
          <w:sz w:val="16"/>
          <w:szCs w:val="16"/>
          <w:vertAlign w:val="baseline"/>
        </w:rPr>
        <w:endnoteRef/>
      </w:r>
      <w:r w:rsidRPr="00590037">
        <w:rPr>
          <w:rFonts w:ascii="Times New Roman" w:hAnsi="Times New Roman"/>
          <w:b/>
          <w:bCs/>
          <w:sz w:val="16"/>
          <w:szCs w:val="16"/>
        </w:rPr>
        <w:t xml:space="preserve"> </w:t>
      </w:r>
      <w:r w:rsidRPr="00590037">
        <w:rPr>
          <w:rFonts w:ascii="Times New Roman" w:hAnsi="Times New Roman"/>
          <w:sz w:val="16"/>
          <w:szCs w:val="16"/>
        </w:rPr>
        <w:t xml:space="preserve">Artículos 134, 135 y 140 del Código Penal de Guatemala.  </w:t>
      </w:r>
    </w:p>
  </w:endnote>
  <w:endnote w:id="4">
    <w:p w14:paraId="277373F6" w14:textId="129EF0DD"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Equivalente a una multa de USD 65 a USD 390. En Guatemala, el salario mínimo mensual para actividades no agrícolas en el año 2020 es de 2825 quetzales (aproximadamente USD 352). </w:t>
      </w:r>
    </w:p>
  </w:endnote>
  <w:endnote w:id="5">
    <w:p w14:paraId="79E5B725" w14:textId="77777777" w:rsidR="00F81886" w:rsidRPr="00590037" w:rsidRDefault="00F81886" w:rsidP="00226E83">
      <w:pPr>
        <w:pStyle w:val="EndnoteText"/>
        <w:jc w:val="both"/>
        <w:rPr>
          <w:rFonts w:ascii="Times New Roman" w:hAnsi="Times New Roman"/>
          <w:i/>
          <w:sz w:val="16"/>
          <w:szCs w:val="16"/>
        </w:rPr>
      </w:pPr>
      <w:r w:rsidRPr="00590037">
        <w:rPr>
          <w:rStyle w:val="EndnoteReference"/>
          <w:sz w:val="16"/>
          <w:szCs w:val="16"/>
        </w:rPr>
        <w:endnoteRef/>
      </w:r>
      <w:r w:rsidRPr="00590037">
        <w:rPr>
          <w:rFonts w:ascii="Times New Roman" w:hAnsi="Times New Roman"/>
          <w:sz w:val="16"/>
          <w:szCs w:val="16"/>
        </w:rPr>
        <w:t xml:space="preserve"> Artículo 137 del Código Penal de Guatemala establece: "</w:t>
      </w:r>
      <w:r w:rsidRPr="00590037">
        <w:rPr>
          <w:rFonts w:ascii="Times New Roman" w:hAnsi="Times New Roman"/>
          <w:i/>
          <w:sz w:val="16"/>
          <w:szCs w:val="16"/>
        </w:rPr>
        <w:t>No es punible el aborto practicado por un médico, con el consentimiento de la mujer, previo diagnóstico favorable de por lo menos otro médico; si se realizó sin la intención de procurar directamente la muerte del producto de la concepción y con el solo fin de evitar un peligro, debidamente establecido, para la vida de la madre, después de agotados todos los medios científicos y técnicos."</w:t>
      </w:r>
    </w:p>
  </w:endnote>
  <w:endnote w:id="6">
    <w:p w14:paraId="52616975" w14:textId="46B01844" w:rsidR="00995D55" w:rsidRPr="00590037" w:rsidRDefault="00995D55" w:rsidP="00BC365D">
      <w:pPr>
        <w:pStyle w:val="EndnoteText"/>
        <w:jc w:val="both"/>
        <w:rPr>
          <w:rFonts w:ascii="Times New Roman" w:hAnsi="Times New Roman"/>
          <w:sz w:val="16"/>
          <w:szCs w:val="16"/>
        </w:rPr>
      </w:pPr>
      <w:r w:rsidRPr="00590037">
        <w:rPr>
          <w:rStyle w:val="EndnoteReference"/>
          <w:sz w:val="16"/>
          <w:szCs w:val="16"/>
        </w:rPr>
        <w:endnoteRef/>
      </w:r>
      <w:r w:rsidRPr="00590037">
        <w:rPr>
          <w:rStyle w:val="EndnoteReference"/>
          <w:sz w:val="16"/>
          <w:szCs w:val="16"/>
        </w:rPr>
        <w:t xml:space="preserve"> </w:t>
      </w:r>
      <w:r w:rsidRPr="00590037">
        <w:rPr>
          <w:rFonts w:ascii="Times New Roman" w:hAnsi="Times New Roman"/>
          <w:sz w:val="16"/>
          <w:szCs w:val="16"/>
        </w:rPr>
        <w:t xml:space="preserve"> </w:t>
      </w:r>
      <w:r w:rsidR="00BC365D" w:rsidRPr="00590037">
        <w:rPr>
          <w:rFonts w:ascii="Times New Roman" w:hAnsi="Times New Roman"/>
          <w:sz w:val="16"/>
          <w:szCs w:val="16"/>
        </w:rPr>
        <w:t xml:space="preserve">Ver por ejemplo, </w:t>
      </w:r>
      <w:r w:rsidR="00C87DE5" w:rsidRPr="00590037">
        <w:rPr>
          <w:rFonts w:ascii="Times New Roman" w:hAnsi="Times New Roman"/>
          <w:sz w:val="16"/>
          <w:szCs w:val="16"/>
          <w:lang w:val="es-ES_tradnl"/>
        </w:rPr>
        <w:t xml:space="preserve">Organización Mundial de la Salud, </w:t>
      </w:r>
      <w:r w:rsidR="00C87DE5" w:rsidRPr="00590037">
        <w:rPr>
          <w:rFonts w:ascii="Times New Roman" w:hAnsi="Times New Roman"/>
          <w:i/>
          <w:sz w:val="16"/>
          <w:szCs w:val="16"/>
          <w:lang w:val="es-ES_tradnl"/>
        </w:rPr>
        <w:t>Adolescent pregnancy</w:t>
      </w:r>
      <w:r w:rsidR="00C87DE5" w:rsidRPr="00590037">
        <w:rPr>
          <w:rFonts w:ascii="Times New Roman" w:hAnsi="Times New Roman"/>
          <w:sz w:val="16"/>
          <w:szCs w:val="16"/>
          <w:lang w:val="es-ES_tradnl"/>
        </w:rPr>
        <w:t xml:space="preserve"> (Visitado </w:t>
      </w:r>
      <w:r w:rsidR="0037577B" w:rsidRPr="00590037">
        <w:rPr>
          <w:rFonts w:ascii="Times New Roman" w:hAnsi="Times New Roman"/>
          <w:sz w:val="16"/>
          <w:szCs w:val="16"/>
          <w:lang w:val="es-ES_tradnl"/>
        </w:rPr>
        <w:t xml:space="preserve">el </w:t>
      </w:r>
      <w:r w:rsidR="00BC365D" w:rsidRPr="00590037">
        <w:rPr>
          <w:rFonts w:ascii="Times New Roman" w:hAnsi="Times New Roman"/>
          <w:sz w:val="16"/>
          <w:szCs w:val="16"/>
          <w:lang w:val="es-ES_tradnl"/>
        </w:rPr>
        <w:t>10</w:t>
      </w:r>
      <w:r w:rsidR="00C87DE5" w:rsidRPr="00590037">
        <w:rPr>
          <w:rFonts w:ascii="Times New Roman" w:hAnsi="Times New Roman"/>
          <w:sz w:val="16"/>
          <w:szCs w:val="16"/>
          <w:lang w:val="es-ES_tradnl"/>
        </w:rPr>
        <w:t xml:space="preserve"> de </w:t>
      </w:r>
      <w:r w:rsidR="00BC365D" w:rsidRPr="00590037">
        <w:rPr>
          <w:rFonts w:ascii="Times New Roman" w:hAnsi="Times New Roman"/>
          <w:sz w:val="16"/>
          <w:szCs w:val="16"/>
          <w:lang w:val="es-ES_tradnl"/>
        </w:rPr>
        <w:t>agosto</w:t>
      </w:r>
      <w:r w:rsidR="00C87DE5" w:rsidRPr="00590037">
        <w:rPr>
          <w:rFonts w:ascii="Times New Roman" w:hAnsi="Times New Roman"/>
          <w:sz w:val="16"/>
          <w:szCs w:val="16"/>
          <w:lang w:val="es-ES_tradnl"/>
        </w:rPr>
        <w:t xml:space="preserve"> de 20</w:t>
      </w:r>
      <w:r w:rsidR="0037577B" w:rsidRPr="00590037">
        <w:rPr>
          <w:rFonts w:ascii="Times New Roman" w:hAnsi="Times New Roman"/>
          <w:sz w:val="16"/>
          <w:szCs w:val="16"/>
          <w:lang w:val="es-ES_tradnl"/>
        </w:rPr>
        <w:t>20</w:t>
      </w:r>
      <w:r w:rsidR="00C87DE5" w:rsidRPr="00590037">
        <w:rPr>
          <w:rFonts w:ascii="Times New Roman" w:hAnsi="Times New Roman"/>
          <w:sz w:val="16"/>
          <w:szCs w:val="16"/>
          <w:lang w:val="es-ES_tradnl"/>
        </w:rPr>
        <w:t xml:space="preserve">) </w:t>
      </w:r>
      <w:hyperlink r:id="rId1" w:history="1">
        <w:r w:rsidR="00C87DE5" w:rsidRPr="00590037">
          <w:rPr>
            <w:rStyle w:val="Hyperlink"/>
            <w:rFonts w:ascii="Times New Roman" w:hAnsi="Times New Roman"/>
            <w:sz w:val="16"/>
            <w:szCs w:val="16"/>
            <w:lang w:val="es-ES_tradnl"/>
          </w:rPr>
          <w:t>http://www.who.int/news-room/fact-sheets/detail/adolescent-pregnancy</w:t>
        </w:r>
      </w:hyperlink>
      <w:r w:rsidR="0037577B" w:rsidRPr="00590037">
        <w:rPr>
          <w:rFonts w:ascii="Times New Roman" w:hAnsi="Times New Roman"/>
          <w:sz w:val="16"/>
          <w:szCs w:val="16"/>
        </w:rPr>
        <w:t xml:space="preserve">; </w:t>
      </w:r>
      <w:r w:rsidR="0037577B" w:rsidRPr="00590037">
        <w:rPr>
          <w:rFonts w:ascii="Times New Roman" w:hAnsi="Times New Roman"/>
          <w:sz w:val="16"/>
          <w:szCs w:val="16"/>
          <w:lang w:val="es-ES_tradnl"/>
        </w:rPr>
        <w:t xml:space="preserve">UNFPA, </w:t>
      </w:r>
      <w:r w:rsidR="0037577B" w:rsidRPr="00590037">
        <w:rPr>
          <w:rFonts w:ascii="Times New Roman" w:hAnsi="Times New Roman"/>
          <w:i/>
          <w:sz w:val="16"/>
          <w:szCs w:val="16"/>
          <w:lang w:val="es-ES_tradnl"/>
        </w:rPr>
        <w:t>Adolescent pregnacny</w:t>
      </w:r>
      <w:r w:rsidR="0037577B" w:rsidRPr="00590037">
        <w:rPr>
          <w:rFonts w:ascii="Times New Roman" w:hAnsi="Times New Roman"/>
          <w:sz w:val="16"/>
          <w:szCs w:val="16"/>
          <w:lang w:val="es-ES_tradnl"/>
        </w:rPr>
        <w:t xml:space="preserve"> (Visitado el 10 de agosto de 2020) </w:t>
      </w:r>
      <w:hyperlink r:id="rId2" w:history="1">
        <w:r w:rsidR="0037577B" w:rsidRPr="00590037">
          <w:rPr>
            <w:rStyle w:val="Hyperlink"/>
            <w:rFonts w:ascii="Times New Roman" w:hAnsi="Times New Roman"/>
            <w:sz w:val="16"/>
            <w:szCs w:val="16"/>
            <w:lang w:val="es-ES_tradnl"/>
          </w:rPr>
          <w:t>https://www.unfpa.org/adolescent-pregnancy</w:t>
        </w:r>
      </w:hyperlink>
      <w:r w:rsidR="006C5EAF" w:rsidRPr="00590037">
        <w:rPr>
          <w:rFonts w:ascii="Times New Roman" w:hAnsi="Times New Roman"/>
          <w:sz w:val="16"/>
          <w:szCs w:val="16"/>
          <w:lang w:val="es-ES_tradnl"/>
        </w:rPr>
        <w:t>;</w:t>
      </w:r>
      <w:r w:rsidR="003E7A08" w:rsidRPr="00590037">
        <w:rPr>
          <w:rFonts w:ascii="Times New Roman" w:hAnsi="Times New Roman"/>
          <w:sz w:val="16"/>
          <w:szCs w:val="16"/>
          <w:lang w:val="es-ES_tradnl"/>
        </w:rPr>
        <w:t xml:space="preserve"> </w:t>
      </w:r>
      <w:r w:rsidR="003E7A08" w:rsidRPr="00590037">
        <w:rPr>
          <w:rFonts w:ascii="Times New Roman" w:hAnsi="Times New Roman"/>
          <w:sz w:val="16"/>
          <w:szCs w:val="16"/>
        </w:rPr>
        <w:t xml:space="preserve">Organización Panamericana de la Salud, Fondo de Población de las Naciones Unidas y Fondo de las Naciones Unidas para la Infancia, </w:t>
      </w:r>
      <w:r w:rsidR="003E7A08" w:rsidRPr="00590037">
        <w:rPr>
          <w:rFonts w:ascii="Times New Roman" w:hAnsi="Times New Roman"/>
          <w:i/>
          <w:iCs/>
          <w:sz w:val="16"/>
          <w:szCs w:val="16"/>
          <w:lang w:val="es-ES"/>
        </w:rPr>
        <w:t>Acelerar el progreso hacia la reducción del embarazo en la adolescencia en América Latina y el Caribe</w:t>
      </w:r>
      <w:r w:rsidR="003E7A08" w:rsidRPr="00590037">
        <w:rPr>
          <w:rFonts w:ascii="Times New Roman" w:hAnsi="Times New Roman"/>
          <w:sz w:val="16"/>
          <w:szCs w:val="16"/>
          <w:lang w:val="es-ES"/>
        </w:rPr>
        <w:t>, (2018), pág. 17 y 25;</w:t>
      </w:r>
      <w:r w:rsidR="006C5EAF" w:rsidRPr="00590037">
        <w:rPr>
          <w:rFonts w:ascii="Times New Roman" w:hAnsi="Times New Roman"/>
          <w:sz w:val="16"/>
          <w:szCs w:val="16"/>
          <w:lang w:val="es-ES_tradnl"/>
        </w:rPr>
        <w:t xml:space="preserve"> Federación Latinoamericana de Sociedades de Obstetricia y Ginecología, Factores relacionados con el embarazo y la maternidad en menores de 15 años en América Latina y el Caribe, Lima, Perú, (enero 2011)</w:t>
      </w:r>
      <w:r w:rsidR="00460E53" w:rsidRPr="00590037">
        <w:rPr>
          <w:rFonts w:ascii="Times New Roman" w:hAnsi="Times New Roman"/>
          <w:sz w:val="16"/>
          <w:szCs w:val="16"/>
          <w:lang w:val="es-ES_tradnl"/>
        </w:rPr>
        <w:t>, pág. 16.</w:t>
      </w:r>
      <w:r w:rsidR="006C5EAF" w:rsidRPr="00590037">
        <w:rPr>
          <w:rFonts w:ascii="Times New Roman" w:hAnsi="Times New Roman"/>
          <w:sz w:val="16"/>
          <w:szCs w:val="16"/>
          <w:lang w:val="es-ES_tradnl"/>
        </w:rPr>
        <w:t>.</w:t>
      </w:r>
    </w:p>
  </w:endnote>
  <w:endnote w:id="7">
    <w:p w14:paraId="4E595AF7" w14:textId="77777777" w:rsidR="005D5BA6" w:rsidRPr="00590037" w:rsidRDefault="005D5BA6" w:rsidP="005D5BA6">
      <w:pPr>
        <w:pStyle w:val="EndnoteText"/>
        <w:jc w:val="both"/>
        <w:rPr>
          <w:rFonts w:ascii="Times New Roman" w:hAnsi="Times New Roman"/>
          <w:sz w:val="16"/>
          <w:szCs w:val="16"/>
          <w:lang w:val="es-ES_tradnl"/>
        </w:rPr>
      </w:pPr>
      <w:r w:rsidRPr="00590037">
        <w:rPr>
          <w:rStyle w:val="EndnoteReference"/>
          <w:sz w:val="16"/>
          <w:szCs w:val="16"/>
        </w:rPr>
        <w:endnoteRef/>
      </w:r>
      <w:r w:rsidRPr="00590037">
        <w:rPr>
          <w:rFonts w:ascii="Times New Roman" w:hAnsi="Times New Roman"/>
          <w:sz w:val="16"/>
          <w:szCs w:val="16"/>
        </w:rPr>
        <w:t xml:space="preserve"> Código Penal </w:t>
      </w:r>
      <w:r w:rsidRPr="00590037">
        <w:rPr>
          <w:rFonts w:ascii="Times New Roman" w:hAnsi="Times New Roman"/>
          <w:sz w:val="16"/>
          <w:szCs w:val="16"/>
          <w:lang w:val="es-ES_tradnl"/>
        </w:rPr>
        <w:t>(C.P.) decreto 17-83 del Congreso de la Republica, art. 173</w:t>
      </w:r>
      <w:r w:rsidRPr="00590037">
        <w:rPr>
          <w:rFonts w:ascii="Times New Roman" w:hAnsi="Times New Roman"/>
          <w:sz w:val="16"/>
          <w:szCs w:val="16"/>
        </w:rPr>
        <w:t xml:space="preserve">  (Guat.) disponible en </w:t>
      </w:r>
      <w:hyperlink r:id="rId3" w:history="1">
        <w:r w:rsidRPr="00590037">
          <w:rPr>
            <w:rStyle w:val="Hyperlink"/>
            <w:rFonts w:ascii="Times New Roman" w:hAnsi="Times New Roman"/>
            <w:sz w:val="16"/>
            <w:szCs w:val="16"/>
          </w:rPr>
          <w:t>http://www.un.org/depts/los/LEGISLATIONANDTREATIES/PDFFILES/GTM_codigo_penal.pdf</w:t>
        </w:r>
      </w:hyperlink>
      <w:r w:rsidRPr="00590037">
        <w:rPr>
          <w:rFonts w:ascii="Times New Roman" w:hAnsi="Times New Roman"/>
          <w:sz w:val="16"/>
          <w:szCs w:val="16"/>
        </w:rPr>
        <w:t xml:space="preserve">. </w:t>
      </w:r>
      <w:r w:rsidRPr="00590037">
        <w:rPr>
          <w:rFonts w:ascii="Times New Roman" w:hAnsi="Times New Roman"/>
          <w:sz w:val="16"/>
          <w:szCs w:val="16"/>
          <w:lang w:val="es-ES_tradnl"/>
        </w:rPr>
        <w:t xml:space="preserve">Reformado por la Ley Contra la Violencia Sexual, Explotación y Trata de Personas, decreto N 9-2009 (16 de marzo de 2009) (Guat.) disponible en </w:t>
      </w:r>
      <w:hyperlink r:id="rId4" w:history="1">
        <w:r w:rsidRPr="00590037">
          <w:rPr>
            <w:rStyle w:val="Hyperlink"/>
            <w:rFonts w:ascii="Times New Roman" w:hAnsi="Times New Roman"/>
            <w:sz w:val="16"/>
            <w:szCs w:val="16"/>
            <w:lang w:val="es-ES_tradnl"/>
          </w:rPr>
          <w:t>http://www.sipi.siteal.iipe.unesco.org/sites/default/files/sipi_normativa/ley-contra-la-violencia-sexual-explotacion-y-trata-de-personas_-_decreto_9-2009_-guatemala.pdf</w:t>
        </w:r>
      </w:hyperlink>
      <w:r w:rsidRPr="00590037">
        <w:rPr>
          <w:rStyle w:val="Hyperlink"/>
          <w:rFonts w:ascii="Times New Roman" w:hAnsi="Times New Roman"/>
          <w:sz w:val="16"/>
          <w:szCs w:val="16"/>
          <w:lang w:val="es-ES_tradnl"/>
        </w:rPr>
        <w:t xml:space="preserve"> </w:t>
      </w:r>
    </w:p>
  </w:endnote>
  <w:endnote w:id="8">
    <w:p w14:paraId="550396C3" w14:textId="77777777" w:rsidR="005D5BA6" w:rsidRPr="00590037" w:rsidRDefault="005D5BA6" w:rsidP="005D5BA6">
      <w:pPr>
        <w:pStyle w:val="EndnoteText"/>
        <w:jc w:val="both"/>
        <w:rPr>
          <w:rFonts w:ascii="Times New Roman" w:hAnsi="Times New Roman"/>
          <w:sz w:val="16"/>
          <w:szCs w:val="16"/>
          <w:lang w:val="es-ES_tradnl"/>
        </w:rPr>
      </w:pPr>
      <w:r w:rsidRPr="00590037">
        <w:rPr>
          <w:rStyle w:val="EndnoteReference"/>
          <w:sz w:val="16"/>
          <w:szCs w:val="16"/>
        </w:rPr>
        <w:endnoteRef/>
      </w:r>
      <w:r w:rsidRPr="00590037">
        <w:rPr>
          <w:rFonts w:ascii="Times New Roman" w:hAnsi="Times New Roman"/>
          <w:sz w:val="16"/>
          <w:szCs w:val="16"/>
          <w:lang w:val="es-ES_tradnl"/>
        </w:rPr>
        <w:t xml:space="preserve"> Gobierno de Guatemala. Gobierno de Guatemala Presenta Ruta de Atención a Niñas Embarazadas de 14 años, 2016 disponible en: </w:t>
      </w:r>
      <w:hyperlink r:id="rId5" w:history="1">
        <w:r w:rsidRPr="00590037">
          <w:rPr>
            <w:rStyle w:val="Hyperlink"/>
            <w:rFonts w:ascii="Times New Roman" w:hAnsi="Times New Roman"/>
            <w:sz w:val="16"/>
            <w:szCs w:val="16"/>
          </w:rPr>
          <w:t>https://www.svet.gob.gt/noticias/gobierno-de-guatemala-presenta-ruta-de-atenci%C3%B3n-ni%C3%B1as-embarazadas-menores-de-14-a%C3%B1os</w:t>
        </w:r>
      </w:hyperlink>
      <w:r w:rsidRPr="00590037">
        <w:rPr>
          <w:rFonts w:ascii="Times New Roman" w:hAnsi="Times New Roman"/>
          <w:sz w:val="16"/>
          <w:szCs w:val="16"/>
          <w:lang w:val="es-ES_tradnl"/>
        </w:rPr>
        <w:t xml:space="preserve"> Ver también: Rutas Internas, Abordaje de Embarazos en Niñas y Adolescentes menores de 14 años de edad, 2016 disponible en: </w:t>
      </w:r>
      <w:hyperlink r:id="rId6" w:history="1">
        <w:r w:rsidRPr="00590037">
          <w:rPr>
            <w:rStyle w:val="Hyperlink"/>
            <w:rFonts w:ascii="Times New Roman" w:hAnsi="Times New Roman"/>
            <w:sz w:val="16"/>
            <w:szCs w:val="16"/>
          </w:rPr>
          <w:t>https://issuu.com/svetcomunicacionsocial/docs/rutas_internas0310</w:t>
        </w:r>
      </w:hyperlink>
    </w:p>
  </w:endnote>
  <w:endnote w:id="9">
    <w:p w14:paraId="05BB994D" w14:textId="77777777" w:rsidR="005D5BA6" w:rsidRPr="00590037" w:rsidRDefault="005D5BA6" w:rsidP="005D5BA6">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ES_tradnl"/>
        </w:rPr>
        <w:t xml:space="preserve">Ministerio de Salud pública y asistencia social. </w:t>
      </w:r>
      <w:r w:rsidRPr="00590037">
        <w:rPr>
          <w:rFonts w:ascii="Times New Roman" w:hAnsi="Times New Roman"/>
          <w:i/>
          <w:sz w:val="16"/>
          <w:szCs w:val="16"/>
        </w:rPr>
        <w:t xml:space="preserve">Guía para la atención integral de la hemorragia del primer y segundo trimestre y del post-aborto y sus complicaciones </w:t>
      </w:r>
      <w:r w:rsidRPr="00590037">
        <w:rPr>
          <w:rFonts w:ascii="Times New Roman" w:hAnsi="Times New Roman"/>
          <w:sz w:val="16"/>
          <w:szCs w:val="16"/>
        </w:rPr>
        <w:t xml:space="preserve">(1ª ed. 2011) disponible en </w:t>
      </w:r>
      <w:hyperlink r:id="rId7" w:history="1">
        <w:r w:rsidRPr="00590037">
          <w:rPr>
            <w:rStyle w:val="Hyperlink"/>
            <w:rFonts w:ascii="Times New Roman" w:hAnsi="Times New Roman"/>
            <w:sz w:val="16"/>
            <w:szCs w:val="16"/>
          </w:rPr>
          <w:t>https://abortion-policies.srhr.org/documents/countries/02-Guatemala-First-and-Second-Trimester-post-abortion-care-2011.pdf</w:t>
        </w:r>
      </w:hyperlink>
      <w:r w:rsidRPr="00590037">
        <w:rPr>
          <w:rFonts w:ascii="Times New Roman" w:hAnsi="Times New Roman"/>
          <w:sz w:val="16"/>
          <w:szCs w:val="16"/>
        </w:rPr>
        <w:t>.</w:t>
      </w:r>
    </w:p>
  </w:endnote>
  <w:endnote w:id="10">
    <w:p w14:paraId="1532016B"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Comisión de legislación y puntos constitucionales, Congreso de la República de Guatemala (7 junio 2018) disponible en </w:t>
      </w:r>
      <w:hyperlink r:id="rId8" w:history="1">
        <w:r w:rsidRPr="00590037">
          <w:rPr>
            <w:rStyle w:val="Hyperlink"/>
            <w:rFonts w:ascii="Times New Roman" w:hAnsi="Times New Roman"/>
            <w:sz w:val="16"/>
            <w:szCs w:val="16"/>
          </w:rPr>
          <w:t>https://www.congreso.gob.gt/wp-content/plugins/paso-estado-incidencias/includes/uploads/docs/1528753491_Dictamen%205272.pdf</w:t>
        </w:r>
      </w:hyperlink>
    </w:p>
  </w:endnote>
  <w:endnote w:id="11">
    <w:p w14:paraId="704D5D86" w14:textId="1EB294C9" w:rsidR="00BA68DA" w:rsidRPr="00590037" w:rsidRDefault="00BA68DA" w:rsidP="00BA68DA">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Ver, Consejo de Derechos Humanos, </w:t>
      </w:r>
      <w:r w:rsidRPr="00590037">
        <w:rPr>
          <w:rFonts w:ascii="Times New Roman" w:hAnsi="Times New Roman"/>
          <w:i/>
          <w:iCs/>
          <w:sz w:val="16"/>
          <w:szCs w:val="16"/>
        </w:rPr>
        <w:t>Informe de la Oficina del Alto Comisionado de las Naciones Unidas para los Derechos Humanos</w:t>
      </w:r>
      <w:r w:rsidRPr="00590037">
        <w:rPr>
          <w:rFonts w:ascii="Times New Roman" w:hAnsi="Times New Roman"/>
          <w:sz w:val="16"/>
          <w:szCs w:val="16"/>
        </w:rPr>
        <w:t xml:space="preserve">. Actividades de la Oficina en Guatemala del Alto Comisionado de las Naciones Unidas para los Derechos Humanos (OACNUDH - Guatemala), (28 de enero de 2019), UN Doc. A/HRC/40/3/Add.1, párr. 80 [Informe de OACNUDH - Guatemala]. Ver también, Human Rights Watch. Guatemala debe rechazar la Ley para la Protección de la vida y la familia. </w:t>
      </w:r>
      <w:r w:rsidRPr="00590037">
        <w:rPr>
          <w:rFonts w:ascii="Times New Roman" w:hAnsi="Times New Roman"/>
          <w:sz w:val="16"/>
          <w:szCs w:val="16"/>
          <w:lang w:val="en-CA"/>
        </w:rPr>
        <w:t xml:space="preserve">En: </w:t>
      </w:r>
      <w:hyperlink r:id="rId9" w:history="1">
        <w:r w:rsidRPr="00590037">
          <w:rPr>
            <w:rStyle w:val="Hyperlink"/>
            <w:rFonts w:ascii="Times New Roman" w:hAnsi="Times New Roman"/>
            <w:sz w:val="16"/>
            <w:szCs w:val="16"/>
            <w:lang w:val="en-CA"/>
          </w:rPr>
          <w:t>https://www.hrw.org/es/news/2018/08/31/guatemala-debe-rechazar-la-ley-para-la-proteccion-de-la-vida-y-la-familia;</w:t>
        </w:r>
      </w:hyperlink>
      <w:r w:rsidRPr="00590037">
        <w:rPr>
          <w:rFonts w:ascii="Times New Roman" w:hAnsi="Times New Roman"/>
          <w:sz w:val="16"/>
          <w:szCs w:val="16"/>
          <w:lang w:val="en-CA"/>
        </w:rPr>
        <w:t xml:space="preserve"> [</w:t>
      </w:r>
      <w:r w:rsidRPr="00590037">
        <w:rPr>
          <w:rFonts w:ascii="Times New Roman" w:hAnsi="Times New Roman"/>
          <w:b/>
          <w:bCs/>
          <w:sz w:val="16"/>
          <w:szCs w:val="16"/>
          <w:lang w:val="en-CA"/>
        </w:rPr>
        <w:t xml:space="preserve">Human Rights Watch. </w:t>
      </w:r>
      <w:r w:rsidRPr="00590037">
        <w:rPr>
          <w:rFonts w:ascii="Times New Roman" w:hAnsi="Times New Roman"/>
          <w:b/>
          <w:bCs/>
          <w:sz w:val="16"/>
          <w:szCs w:val="16"/>
        </w:rPr>
        <w:t>Guatemala debe rechazar la Ley para la Protección de la vida y la familia</w:t>
      </w:r>
      <w:r w:rsidRPr="00590037">
        <w:rPr>
          <w:rFonts w:ascii="Times New Roman" w:hAnsi="Times New Roman"/>
          <w:sz w:val="16"/>
          <w:szCs w:val="16"/>
          <w:lang w:val="es-ES"/>
        </w:rPr>
        <w:t>]</w:t>
      </w:r>
      <w:r w:rsidRPr="00590037">
        <w:rPr>
          <w:rFonts w:ascii="Times New Roman" w:hAnsi="Times New Roman"/>
          <w:sz w:val="16"/>
          <w:szCs w:val="16"/>
        </w:rPr>
        <w:t>.</w:t>
      </w:r>
    </w:p>
  </w:endnote>
  <w:endnote w:id="12">
    <w:p w14:paraId="057B0821" w14:textId="3C100ACE" w:rsidR="00F81886" w:rsidRPr="00590037" w:rsidRDefault="00F81886" w:rsidP="00226E83">
      <w:pPr>
        <w:pStyle w:val="EndnoteText"/>
        <w:jc w:val="both"/>
        <w:rPr>
          <w:rFonts w:ascii="Times New Roman" w:hAnsi="Times New Roman"/>
          <w:i/>
          <w:iCs/>
          <w:sz w:val="16"/>
          <w:szCs w:val="16"/>
          <w:lang w:val="en-US"/>
        </w:rPr>
      </w:pPr>
      <w:r w:rsidRPr="00590037">
        <w:rPr>
          <w:rStyle w:val="EndnoteReference"/>
          <w:sz w:val="16"/>
          <w:szCs w:val="16"/>
        </w:rPr>
        <w:endnoteRef/>
      </w:r>
      <w:r w:rsidRPr="00590037">
        <w:rPr>
          <w:rFonts w:ascii="Times New Roman" w:hAnsi="Times New Roman"/>
          <w:sz w:val="16"/>
          <w:szCs w:val="16"/>
          <w:lang w:val="en-US"/>
        </w:rPr>
        <w:t xml:space="preserve"> </w:t>
      </w:r>
      <w:r w:rsidR="002F79A8" w:rsidRPr="00590037">
        <w:rPr>
          <w:rFonts w:ascii="Times New Roman" w:hAnsi="Times New Roman"/>
          <w:i/>
          <w:iCs/>
          <w:sz w:val="16"/>
          <w:szCs w:val="16"/>
          <w:lang w:val="en-US"/>
        </w:rPr>
        <w:t>Ibidem.</w:t>
      </w:r>
    </w:p>
  </w:endnote>
  <w:endnote w:id="13">
    <w:p w14:paraId="5BF39628" w14:textId="492D34C5"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lang w:val="en-US"/>
        </w:rPr>
        <w:t xml:space="preserve"> Ver, Human Rights Watch. </w:t>
      </w:r>
      <w:r w:rsidRPr="00590037">
        <w:rPr>
          <w:rFonts w:ascii="Times New Roman" w:hAnsi="Times New Roman"/>
          <w:sz w:val="16"/>
          <w:szCs w:val="16"/>
        </w:rPr>
        <w:t xml:space="preserve">Guatemala debe rechazar la Ley para la Protección de la vida y la familia. </w:t>
      </w:r>
    </w:p>
  </w:endnote>
  <w:endnote w:id="14">
    <w:p w14:paraId="2AD450E7"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Ibíd. </w:t>
      </w:r>
    </w:p>
  </w:endnote>
  <w:endnote w:id="15">
    <w:p w14:paraId="1D15C630" w14:textId="48CBA4EE" w:rsidR="00F81886" w:rsidRPr="00590037" w:rsidRDefault="00F81886" w:rsidP="00226E83">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lang w:val="es-ES"/>
        </w:rPr>
        <w:t xml:space="preserve"> </w:t>
      </w:r>
      <w:r w:rsidRPr="00590037">
        <w:rPr>
          <w:rFonts w:ascii="Times New Roman" w:hAnsi="Times New Roman"/>
          <w:sz w:val="16"/>
          <w:szCs w:val="16"/>
        </w:rPr>
        <w:t xml:space="preserve">La Organización Mundial de la Salud ha referido que Las leyes, políticas y prácticas que restringen el acceso a la información y los servicios de aborto pueden disuadir a las mujeres de buscar atención médica y creando un "efecto inhibidor" (la supresión de acciones por temor a represalias o sanciones) para la prestación de servicios seguros y legales. Entre los ejemplos de barreras se incluyen: impedir el acceso a la información sobre los servicios de aborto legal o no proporcionar información pública sobre la situación legal del aborto, entre otros. </w:t>
      </w:r>
      <w:r w:rsidRPr="00590037">
        <w:rPr>
          <w:rFonts w:ascii="Times New Roman" w:hAnsi="Times New Roman"/>
          <w:sz w:val="16"/>
          <w:szCs w:val="16"/>
          <w:lang w:val="en-CA"/>
        </w:rPr>
        <w:t xml:space="preserve">Organización Mundial de la Salud (OMS), </w:t>
      </w:r>
      <w:r w:rsidRPr="00590037">
        <w:rPr>
          <w:rFonts w:ascii="Times New Roman" w:hAnsi="Times New Roman"/>
          <w:i/>
          <w:iCs/>
          <w:sz w:val="16"/>
          <w:szCs w:val="16"/>
          <w:lang w:val="en-CA"/>
        </w:rPr>
        <w:t xml:space="preserve">Safe abortion: technical and policy guidance technical and policy guidance for health systems for health systems. </w:t>
      </w:r>
      <w:r w:rsidRPr="00590037">
        <w:rPr>
          <w:rFonts w:ascii="Times New Roman" w:hAnsi="Times New Roman"/>
          <w:sz w:val="16"/>
          <w:szCs w:val="16"/>
          <w:lang w:val="es-ES"/>
        </w:rPr>
        <w:t xml:space="preserve">Segunda Edición (2012), pág. 94. Disponible en: </w:t>
      </w:r>
      <w:hyperlink r:id="rId10" w:history="1">
        <w:r w:rsidRPr="00590037">
          <w:rPr>
            <w:rStyle w:val="Hyperlink"/>
            <w:rFonts w:ascii="Times New Roman" w:hAnsi="Times New Roman"/>
            <w:sz w:val="16"/>
            <w:szCs w:val="16"/>
            <w:lang w:val="es-ES"/>
          </w:rPr>
          <w:t>https://apps.who.int/iris/bitstream/handle/10665/70914/;jsessionid=CE493DB61901A19222007F33CDC0FDFA?sequence=1</w:t>
        </w:r>
      </w:hyperlink>
      <w:r w:rsidRPr="00590037">
        <w:rPr>
          <w:rFonts w:ascii="Times New Roman" w:hAnsi="Times New Roman"/>
          <w:sz w:val="16"/>
          <w:szCs w:val="16"/>
          <w:lang w:val="es-ES"/>
        </w:rPr>
        <w:t xml:space="preserve"> </w:t>
      </w:r>
    </w:p>
  </w:endnote>
  <w:endnote w:id="16">
    <w:p w14:paraId="0694D172" w14:textId="77777777" w:rsidR="009004B2" w:rsidRPr="00590037" w:rsidRDefault="009004B2" w:rsidP="009004B2">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lang w:val="es-ES"/>
        </w:rPr>
        <w:t xml:space="preserve"> </w:t>
      </w:r>
      <w:r w:rsidRPr="00590037">
        <w:rPr>
          <w:rFonts w:ascii="Times New Roman" w:hAnsi="Times New Roman"/>
          <w:sz w:val="16"/>
          <w:szCs w:val="16"/>
        </w:rPr>
        <w:t xml:space="preserve">Informe de OACNUDH – Guatemala, párr. 80; OACNUDH-Guatemala, OACNUDH, </w:t>
      </w:r>
      <w:r w:rsidRPr="00590037">
        <w:rPr>
          <w:rFonts w:ascii="Times New Roman" w:hAnsi="Times New Roman"/>
          <w:i/>
          <w:iCs/>
          <w:sz w:val="16"/>
          <w:szCs w:val="16"/>
        </w:rPr>
        <w:t>Estándares internacionales sobre derechos humanos aplicables a la iniciativa No. 5272, Ley para la protección de la vida y la familia</w:t>
      </w:r>
      <w:r w:rsidRPr="00590037">
        <w:rPr>
          <w:rFonts w:ascii="Times New Roman" w:hAnsi="Times New Roman"/>
          <w:sz w:val="16"/>
          <w:szCs w:val="16"/>
        </w:rPr>
        <w:t xml:space="preserve">. Disponible en: </w:t>
      </w:r>
      <w:hyperlink r:id="rId11" w:history="1">
        <w:r w:rsidRPr="00590037">
          <w:rPr>
            <w:rStyle w:val="Hyperlink"/>
            <w:rFonts w:ascii="Times New Roman" w:hAnsi="Times New Roman"/>
            <w:sz w:val="16"/>
            <w:szCs w:val="16"/>
          </w:rPr>
          <w:t>http://www.oacnudh.org.gt/images/CONTENIDOS/Documentos/Estandares_internacionales_aplicables_iniciativa_5272.pdf</w:t>
        </w:r>
      </w:hyperlink>
      <w:r w:rsidRPr="00590037">
        <w:rPr>
          <w:rFonts w:ascii="Times New Roman" w:hAnsi="Times New Roman"/>
          <w:sz w:val="16"/>
          <w:szCs w:val="16"/>
        </w:rPr>
        <w:t xml:space="preserve">; Centro de Derechos Reproductivos et al, </w:t>
      </w:r>
      <w:r w:rsidRPr="00590037">
        <w:rPr>
          <w:rFonts w:ascii="Times New Roman" w:hAnsi="Times New Roman"/>
          <w:b/>
          <w:bCs/>
          <w:sz w:val="16"/>
          <w:szCs w:val="16"/>
        </w:rPr>
        <w:t xml:space="preserve">Declaración conjunta acerca de rechazo a laIniciativa de Ley No. 5272. </w:t>
      </w:r>
      <w:r w:rsidRPr="00590037">
        <w:rPr>
          <w:rFonts w:ascii="Times New Roman" w:hAnsi="Times New Roman"/>
          <w:sz w:val="16"/>
          <w:szCs w:val="16"/>
        </w:rPr>
        <w:t xml:space="preserve">Disponible en: </w:t>
      </w:r>
      <w:hyperlink r:id="rId12" w:history="1">
        <w:r w:rsidRPr="00590037">
          <w:rPr>
            <w:rStyle w:val="Hyperlink"/>
            <w:rFonts w:ascii="Times New Roman" w:hAnsi="Times New Roman"/>
            <w:sz w:val="16"/>
            <w:szCs w:val="16"/>
          </w:rPr>
          <w:t>https://www.reproductiverights.org/sites/crr.civicactions.net/files/documents/180903%20ST%20Guatemala_5272_SIGNED.pdf</w:t>
        </w:r>
      </w:hyperlink>
      <w:r w:rsidRPr="00590037">
        <w:rPr>
          <w:rFonts w:ascii="Times New Roman" w:hAnsi="Times New Roman"/>
          <w:sz w:val="16"/>
          <w:szCs w:val="16"/>
        </w:rPr>
        <w:t xml:space="preserve"> </w:t>
      </w:r>
    </w:p>
  </w:endnote>
  <w:endnote w:id="17">
    <w:p w14:paraId="652D9CA5" w14:textId="00401FAB" w:rsidR="003E2F18" w:rsidRPr="00590037" w:rsidRDefault="003E2F18" w:rsidP="003E2F18">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A74015" w:rsidRPr="00590037">
        <w:rPr>
          <w:rFonts w:ascii="Times New Roman" w:hAnsi="Times New Roman"/>
          <w:sz w:val="16"/>
          <w:szCs w:val="16"/>
        </w:rPr>
        <w:t xml:space="preserve">Ver, </w:t>
      </w:r>
      <w:r w:rsidR="00A74015" w:rsidRPr="00590037">
        <w:rPr>
          <w:rFonts w:ascii="Times New Roman" w:hAnsi="Times New Roman"/>
          <w:i/>
          <w:iCs/>
          <w:sz w:val="16"/>
          <w:szCs w:val="16"/>
        </w:rPr>
        <w:t>inter alia</w:t>
      </w:r>
      <w:r w:rsidR="00A74015" w:rsidRPr="00590037">
        <w:rPr>
          <w:rFonts w:ascii="Times New Roman" w:hAnsi="Times New Roman"/>
          <w:sz w:val="16"/>
          <w:szCs w:val="16"/>
        </w:rPr>
        <w:t xml:space="preserve">, </w:t>
      </w:r>
      <w:r w:rsidRPr="00590037">
        <w:rPr>
          <w:rFonts w:ascii="Times New Roman" w:hAnsi="Times New Roman"/>
          <w:sz w:val="16"/>
          <w:szCs w:val="16"/>
        </w:rPr>
        <w:t>Comité de Derechos Económicos, Sociales y Culturales, Observación General No. 22:</w:t>
      </w:r>
      <w:r w:rsidRPr="00590037">
        <w:rPr>
          <w:rFonts w:ascii="Times New Roman" w:eastAsia="Times New Roman" w:hAnsi="Times New Roman"/>
          <w:sz w:val="16"/>
          <w:szCs w:val="16"/>
        </w:rPr>
        <w:t xml:space="preserve"> </w:t>
      </w:r>
      <w:r w:rsidRPr="00590037">
        <w:rPr>
          <w:rFonts w:ascii="Times New Roman" w:hAnsi="Times New Roman"/>
          <w:sz w:val="16"/>
          <w:szCs w:val="16"/>
        </w:rPr>
        <w:t>relativa al derecho a la salud sexual y reproductiva (artículo 12 del Pacto Internacional de Derechos Económicos, Sociales y Culturales), U.N. Doc. E/C.12/GC/22 (2016), para. 10; Comité para la Eliminación de la Discriminación contra la Mujer, Recomendación General No. 35 sobre la violencia por razón de género contra la mujer, por la que se actualiza la recomendación General No. 19, U.N. Doc. CEDAW/C/GC/35 (2017), para. 18.; Comité para la Eliminación de la Discriminación contra la Mujer, Recomendación General No. 24, La mujer y la salud (artículo 12 de la Convención sobre la eliminación de todas las formas de discriminación contra la mujer), paras. 12(d), 17, U.N. Doc. A/54/38/Rev.1, chap I (1999), paras. 11, 14; Mellet vs. Ireland, Comité de Derechos Humanos, Comunicación No. 2324/2013, paras. 7.6, 7.7, 7.8, U.N. Doc. CCPR/C/116/D/2324/2013 (2016).; Whelan vs. Ireland, Comité de Derechos Humanos, Comunicación No. 2425/2014, paras. 7.7 - 7.9, 7.12, U.N. Doc. CCPR/C/119/D/2425/2014 (2017).; K.L. vs. Perú, Comité de Derechos Humanos, Comunicación No. 1153/2003, U.N. Doc. CCPR/ C/85/D/1153/2003 (2005).; L.C. v. Perú, Comité para la Eliminación de la Discriminación contra la Mujer, Comunicación No. 22/2009, para. 8.15, U.N. Doc. CEDAW/C/50/D/22/2009 (2011);</w:t>
      </w:r>
    </w:p>
  </w:endnote>
  <w:endnote w:id="18">
    <w:p w14:paraId="3EC0A750" w14:textId="77777777" w:rsidR="00A976B6" w:rsidRPr="00590037" w:rsidRDefault="00A976B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Vicepresidencia de la República de Guatemala. Plan Nacional de Prevención de Embarazos en Adolescentes (Planea) 2018-2022. Diciembre 2017. pág. 21.</w:t>
      </w:r>
    </w:p>
  </w:endnote>
  <w:endnote w:id="19">
    <w:p w14:paraId="336DDEF4" w14:textId="77777777" w:rsidR="00F804E9" w:rsidRPr="00590037" w:rsidRDefault="00F804E9" w:rsidP="00F804E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Plan Nacional para la Prevención y Erradicación de la Violencia contra las Mujeres 2020-2029, Planovi. Noviembre de 2019. pág. 291.</w:t>
      </w:r>
    </w:p>
  </w:endnote>
  <w:endnote w:id="20">
    <w:p w14:paraId="4AC6B3D4" w14:textId="54B49617" w:rsidR="00637F4E" w:rsidRPr="00590037" w:rsidRDefault="00637F4E" w:rsidP="00637F4E">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pág. 290.</w:t>
      </w:r>
    </w:p>
  </w:endnote>
  <w:endnote w:id="21">
    <w:p w14:paraId="47E6AAEF" w14:textId="77777777" w:rsidR="001D6FF3" w:rsidRPr="00590037" w:rsidRDefault="001D6FF3" w:rsidP="001D6FF3">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Ver, Observatorio de Salud Sexual y Reproductiva (OSAR), Embarazos en adolescentes del año 2015 a 2019. Disponible en: </w:t>
      </w:r>
      <w:hyperlink r:id="rId13" w:history="1">
        <w:r w:rsidRPr="00590037">
          <w:rPr>
            <w:rStyle w:val="Hyperlink"/>
            <w:rFonts w:ascii="Times New Roman" w:hAnsi="Times New Roman"/>
            <w:sz w:val="16"/>
            <w:szCs w:val="16"/>
          </w:rPr>
          <w:t>https://osarguatemala.org/embarazos-en-adolescentes-del-ano-2015-al-2019/</w:t>
        </w:r>
      </w:hyperlink>
      <w:r w:rsidRPr="00590037">
        <w:rPr>
          <w:rFonts w:ascii="Times New Roman" w:hAnsi="Times New Roman"/>
          <w:sz w:val="16"/>
          <w:szCs w:val="16"/>
        </w:rPr>
        <w:t xml:space="preserve"> </w:t>
      </w:r>
    </w:p>
  </w:endnote>
  <w:endnote w:id="22">
    <w:p w14:paraId="401AC943" w14:textId="2DD3BBCC" w:rsidR="00732FBE" w:rsidRPr="00590037" w:rsidRDefault="00732FBE" w:rsidP="00732FBE">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Observatorio de Salud Sexual y Reproductiva (OSAR), Embarazo y registro de nacimientos de madres adolescentes -año 2018. Disponible en: </w:t>
      </w:r>
      <w:hyperlink r:id="rId14" w:history="1">
        <w:r w:rsidR="00715348" w:rsidRPr="00590037">
          <w:rPr>
            <w:rStyle w:val="Hyperlink"/>
            <w:rFonts w:ascii="Times New Roman" w:hAnsi="Times New Roman"/>
            <w:sz w:val="16"/>
            <w:szCs w:val="16"/>
          </w:rPr>
          <w:t>https://osarguatemala.org/embarazos-y-partos-de-madres-entre-10-y-19-2018/</w:t>
        </w:r>
      </w:hyperlink>
    </w:p>
  </w:endnote>
  <w:endnote w:id="23">
    <w:p w14:paraId="2F15DC73" w14:textId="77777777" w:rsidR="006228BB" w:rsidRPr="00590037" w:rsidRDefault="006228BB" w:rsidP="006228BB">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Observatorio de Salud Sexual y Reproductiva (OSAR), Embarazo y registro de nacimientos de madres adolescentes -año 2019. Disponible en: </w:t>
      </w:r>
      <w:hyperlink r:id="rId15" w:history="1">
        <w:r w:rsidRPr="00590037">
          <w:rPr>
            <w:rStyle w:val="Hyperlink"/>
            <w:rFonts w:ascii="Times New Roman" w:hAnsi="Times New Roman"/>
            <w:sz w:val="16"/>
            <w:szCs w:val="16"/>
          </w:rPr>
          <w:t>https://osarguatemala.org/embarazos-y-registro-de-nacimientos-de-madres-adolescentes-ano-2019/</w:t>
        </w:r>
      </w:hyperlink>
      <w:r w:rsidRPr="00590037">
        <w:rPr>
          <w:rFonts w:ascii="Times New Roman" w:hAnsi="Times New Roman"/>
          <w:sz w:val="16"/>
          <w:szCs w:val="16"/>
        </w:rPr>
        <w:t xml:space="preserve"> </w:t>
      </w:r>
    </w:p>
  </w:endnote>
  <w:endnote w:id="24">
    <w:p w14:paraId="60070DDB" w14:textId="77777777" w:rsidR="00815444" w:rsidRPr="00590037" w:rsidRDefault="00815444" w:rsidP="00815444">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Plan Nacional para la Prevención y Erradicación de la Violencia Contra las Mujeres 2020-2029, Planovi. Noviembre de 2019. pág. 289.</w:t>
      </w:r>
    </w:p>
  </w:endnote>
  <w:endnote w:id="25">
    <w:p w14:paraId="09AB7CFA" w14:textId="1C39B609" w:rsidR="00815444" w:rsidRPr="00590037" w:rsidRDefault="00815444" w:rsidP="00815444">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w:t>
      </w:r>
    </w:p>
  </w:endnote>
  <w:endnote w:id="26">
    <w:p w14:paraId="3D284559" w14:textId="77777777" w:rsidR="00A976B6" w:rsidRPr="00590037" w:rsidRDefault="00A976B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Procurador de los Derechos Humanos, Guatemala. Informe sobre el Cumplimiento de las Recomendaciones de la CEDAW relativas al Derecho de las Mujeres a Vivir sin Discriminación y Libres de Violencia por parte del Estado de Guatemala. 2019. pág. 26. </w:t>
      </w:r>
    </w:p>
  </w:endnote>
  <w:endnote w:id="27">
    <w:p w14:paraId="07C9F3C9" w14:textId="77777777" w:rsidR="00C1710D" w:rsidRPr="00590037" w:rsidRDefault="00C1710D" w:rsidP="00C1710D">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Vicepresidencia de la República de Guatemala. Plan Nacional de Prevención de Embarazos en Adolescentes (Planea) 2018-2022. Diciembre 2017. pág. 22.</w:t>
      </w:r>
    </w:p>
  </w:endnote>
  <w:endnote w:id="28">
    <w:p w14:paraId="699A18F8" w14:textId="77777777" w:rsidR="00C1710D" w:rsidRPr="00590037" w:rsidRDefault="00C1710D" w:rsidP="00C1710D">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ENSMI pág. 25.</w:t>
      </w:r>
    </w:p>
  </w:endnote>
  <w:endnote w:id="29">
    <w:p w14:paraId="1D6A528D" w14:textId="77777777" w:rsidR="00C33168" w:rsidRPr="00590037" w:rsidRDefault="00C33168" w:rsidP="00C33168">
      <w:pPr>
        <w:pStyle w:val="EndnoteText"/>
        <w:jc w:val="both"/>
        <w:rPr>
          <w:rFonts w:ascii="Times New Roman" w:hAnsi="Times New Roman"/>
          <w:sz w:val="16"/>
          <w:szCs w:val="16"/>
          <w:lang w:val="es-ES_tradnl"/>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ES_tradnl"/>
        </w:rPr>
        <w:t xml:space="preserve">Gobierno de la Republica de Guatemala, Vicepresidencia, </w:t>
      </w:r>
      <w:r w:rsidRPr="00590037">
        <w:rPr>
          <w:rFonts w:ascii="Times New Roman" w:hAnsi="Times New Roman"/>
          <w:i/>
          <w:sz w:val="16"/>
          <w:szCs w:val="16"/>
          <w:lang w:val="es-ES_tradnl"/>
        </w:rPr>
        <w:t>Plan Nacional de Prevención de Embarazos en Adolescentes en Guatemala, 2018 – 2022, PLANEA</w:t>
      </w:r>
      <w:r w:rsidRPr="00590037" w:rsidDel="00CB0793">
        <w:rPr>
          <w:rFonts w:ascii="Times New Roman" w:hAnsi="Times New Roman"/>
          <w:sz w:val="16"/>
          <w:szCs w:val="16"/>
          <w:lang w:val="es-ES_tradnl"/>
        </w:rPr>
        <w:t xml:space="preserve"> </w:t>
      </w:r>
      <w:r w:rsidRPr="00590037">
        <w:rPr>
          <w:rFonts w:ascii="Times New Roman" w:hAnsi="Times New Roman"/>
          <w:sz w:val="16"/>
          <w:szCs w:val="16"/>
          <w:lang w:val="es-ES_tradnl"/>
        </w:rPr>
        <w:t xml:space="preserve">(Diciembre, 2017) disponible en </w:t>
      </w:r>
      <w:hyperlink r:id="rId16" w:history="1">
        <w:r w:rsidRPr="00590037">
          <w:rPr>
            <w:rStyle w:val="Hyperlink"/>
            <w:rFonts w:ascii="Times New Roman" w:hAnsi="Times New Roman"/>
            <w:sz w:val="16"/>
            <w:szCs w:val="16"/>
            <w:lang w:val="es-ES_tradnl"/>
          </w:rPr>
          <w:t>https://osarguatemala.org/wp-content/uploads/2018/05/PLANEA.pdf</w:t>
        </w:r>
      </w:hyperlink>
      <w:r w:rsidRPr="00590037">
        <w:rPr>
          <w:rFonts w:ascii="Times New Roman" w:hAnsi="Times New Roman"/>
          <w:sz w:val="16"/>
          <w:szCs w:val="16"/>
          <w:lang w:val="es-ES_tradnl"/>
        </w:rPr>
        <w:t xml:space="preserve">.  </w:t>
      </w:r>
    </w:p>
  </w:endnote>
  <w:endnote w:id="30">
    <w:p w14:paraId="54CE789E" w14:textId="1905F089" w:rsidR="004C5D68" w:rsidRPr="00590037" w:rsidRDefault="004C5D68" w:rsidP="004B085D">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En efecto, de acuerdo con la Organización Mundial de la Salud (la "OMS") los embarazos adolescentes presentan un riesgo significativo para la salud de las mujeres, dentro de los que se incluye la muerte.</w:t>
      </w:r>
      <w:r w:rsidR="00A40EE2" w:rsidRPr="00590037">
        <w:rPr>
          <w:rFonts w:ascii="Times New Roman" w:hAnsi="Times New Roman"/>
          <w:sz w:val="16"/>
          <w:szCs w:val="16"/>
        </w:rPr>
        <w:t xml:space="preserve"> </w:t>
      </w:r>
      <w:r w:rsidRPr="00590037">
        <w:rPr>
          <w:rFonts w:ascii="Times New Roman" w:hAnsi="Times New Roman"/>
          <w:sz w:val="16"/>
          <w:szCs w:val="16"/>
        </w:rPr>
        <w:t>Organización Mundial de la Salud, Embarazo adolecente, (2020).</w:t>
      </w:r>
    </w:p>
  </w:endnote>
  <w:endnote w:id="31">
    <w:p w14:paraId="77F272BE" w14:textId="7846EE3F" w:rsidR="004C5D68" w:rsidRPr="00590037" w:rsidRDefault="004C5D68"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D24902" w:rsidRPr="00590037">
        <w:rPr>
          <w:rFonts w:ascii="Times New Roman" w:hAnsi="Times New Roman"/>
          <w:sz w:val="16"/>
          <w:szCs w:val="16"/>
        </w:rPr>
        <w:t>Ver, Comité de Derechos Económicos, Sociales y Culturales, Observación General No. 22:</w:t>
      </w:r>
      <w:r w:rsidR="00D24902" w:rsidRPr="00590037">
        <w:rPr>
          <w:rFonts w:ascii="Times New Roman" w:eastAsia="Times New Roman" w:hAnsi="Times New Roman"/>
          <w:sz w:val="16"/>
          <w:szCs w:val="16"/>
        </w:rPr>
        <w:t xml:space="preserve"> </w:t>
      </w:r>
      <w:r w:rsidR="00D24902" w:rsidRPr="00590037">
        <w:rPr>
          <w:rFonts w:ascii="Times New Roman" w:hAnsi="Times New Roman"/>
          <w:sz w:val="16"/>
          <w:szCs w:val="16"/>
        </w:rPr>
        <w:t>relativa al derecho a la salud sexual y reproductiva (artículo 12 del Pacto Internacional de Derechos Económicos, Sociales y Culturales), U.N. Doc. E/C.12/GC/22 (2016), para. 10. Sobre el vínculo entre abortos ilegales y mortalidad materna v</w:t>
      </w:r>
      <w:r w:rsidRPr="00590037">
        <w:rPr>
          <w:rFonts w:ascii="Times New Roman" w:hAnsi="Times New Roman"/>
          <w:sz w:val="16"/>
          <w:szCs w:val="16"/>
        </w:rPr>
        <w:t xml:space="preserve">er, CESCR, Observaciones finales: Paraguay, U.N. Doc. </w:t>
      </w:r>
      <w:r w:rsidRPr="00590037">
        <w:rPr>
          <w:rFonts w:ascii="Times New Roman" w:hAnsi="Times New Roman"/>
          <w:sz w:val="16"/>
          <w:szCs w:val="16"/>
          <w:lang w:val="en-US"/>
        </w:rPr>
        <w:t xml:space="preserve">E/C.12/PRY/CO/3 (Jan. 4, 2008); CESCR, Concluding Observations: Russian Federation, U.N. Doc. </w:t>
      </w:r>
      <w:r w:rsidRPr="00590037">
        <w:rPr>
          <w:rFonts w:ascii="Times New Roman" w:hAnsi="Times New Roman"/>
          <w:sz w:val="16"/>
          <w:szCs w:val="16"/>
        </w:rPr>
        <w:t>E/C.12/1/Add.94 (Dec. 12, 2003).</w:t>
      </w:r>
    </w:p>
  </w:endnote>
  <w:endnote w:id="32">
    <w:p w14:paraId="2A5C77C0" w14:textId="5295AF25" w:rsidR="00747DA0" w:rsidRPr="00590037" w:rsidRDefault="00747DA0" w:rsidP="00493A62">
      <w:pPr>
        <w:pStyle w:val="EndnoteText"/>
        <w:jc w:val="both"/>
        <w:rPr>
          <w:rFonts w:ascii="Times New Roman" w:hAnsi="Times New Roman"/>
          <w:sz w:val="16"/>
          <w:szCs w:val="16"/>
          <w:lang w:val="en-US"/>
        </w:rPr>
      </w:pPr>
      <w:r w:rsidRPr="00590037">
        <w:rPr>
          <w:rStyle w:val="EndnoteReference"/>
          <w:sz w:val="16"/>
          <w:szCs w:val="16"/>
        </w:rPr>
        <w:endnoteRef/>
      </w:r>
      <w:r w:rsidRPr="00590037">
        <w:rPr>
          <w:rFonts w:ascii="Times New Roman" w:hAnsi="Times New Roman"/>
          <w:sz w:val="16"/>
          <w:szCs w:val="16"/>
        </w:rPr>
        <w:t xml:space="preserve"> Organización Mundial de la Salud, </w:t>
      </w:r>
      <w:r w:rsidR="00493A62" w:rsidRPr="00590037">
        <w:rPr>
          <w:rFonts w:ascii="Times New Roman" w:hAnsi="Times New Roman"/>
          <w:i/>
          <w:iCs/>
          <w:sz w:val="16"/>
          <w:szCs w:val="16"/>
        </w:rPr>
        <w:t>Prevención del aborto peligroso</w:t>
      </w:r>
      <w:r w:rsidR="00493A62" w:rsidRPr="00590037">
        <w:rPr>
          <w:rFonts w:ascii="Times New Roman" w:hAnsi="Times New Roman"/>
          <w:sz w:val="16"/>
          <w:szCs w:val="16"/>
        </w:rPr>
        <w:t xml:space="preserve"> (26 de junio de 2019). Disponible en: </w:t>
      </w:r>
      <w:hyperlink r:id="rId17" w:history="1">
        <w:r w:rsidR="00493A62" w:rsidRPr="00590037">
          <w:rPr>
            <w:rStyle w:val="Hyperlink"/>
            <w:rFonts w:ascii="Times New Roman" w:hAnsi="Times New Roman"/>
            <w:sz w:val="16"/>
            <w:szCs w:val="16"/>
          </w:rPr>
          <w:t>https://www.who.int/es/news-room/fact-sheets/detail/preventing-unsafe-abortion</w:t>
        </w:r>
      </w:hyperlink>
      <w:r w:rsidR="00D91751" w:rsidRPr="00590037">
        <w:rPr>
          <w:rFonts w:ascii="Times New Roman" w:hAnsi="Times New Roman"/>
          <w:sz w:val="16"/>
          <w:szCs w:val="16"/>
        </w:rPr>
        <w:t xml:space="preserve">, Organización Mundial de la Salud, </w:t>
      </w:r>
      <w:r w:rsidR="00D91751" w:rsidRPr="00590037">
        <w:rPr>
          <w:rFonts w:ascii="Times New Roman" w:hAnsi="Times New Roman"/>
          <w:i/>
          <w:iCs/>
          <w:sz w:val="16"/>
          <w:szCs w:val="16"/>
        </w:rPr>
        <w:t>Preventing unsafe abortion</w:t>
      </w:r>
      <w:r w:rsidR="00D91751" w:rsidRPr="00590037">
        <w:rPr>
          <w:rFonts w:ascii="Times New Roman" w:hAnsi="Times New Roman"/>
          <w:sz w:val="16"/>
          <w:szCs w:val="16"/>
        </w:rPr>
        <w:t xml:space="preserve"> (Evidence Brief), </w:t>
      </w:r>
      <w:hyperlink r:id="rId18" w:history="1">
        <w:r w:rsidR="003B57B3" w:rsidRPr="00590037">
          <w:rPr>
            <w:rStyle w:val="Hyperlink"/>
            <w:rFonts w:ascii="Times New Roman" w:hAnsi="Times New Roman"/>
            <w:sz w:val="16"/>
            <w:szCs w:val="16"/>
          </w:rPr>
          <w:t>https://apps.who.int/iris/bitstream/handle/10665/329887/WHO-RHR-19.21-eng.pdf?ua=1</w:t>
        </w:r>
      </w:hyperlink>
      <w:r w:rsidR="003B57B3" w:rsidRPr="00590037">
        <w:rPr>
          <w:rFonts w:ascii="Times New Roman" w:hAnsi="Times New Roman"/>
          <w:sz w:val="16"/>
          <w:szCs w:val="16"/>
        </w:rPr>
        <w:t>.</w:t>
      </w:r>
      <w:r w:rsidR="001556F1" w:rsidRPr="00590037">
        <w:rPr>
          <w:rFonts w:ascii="Times New Roman" w:hAnsi="Times New Roman"/>
          <w:sz w:val="16"/>
          <w:szCs w:val="16"/>
        </w:rPr>
        <w:t xml:space="preserve"> </w:t>
      </w:r>
      <w:r w:rsidR="001556F1" w:rsidRPr="00590037">
        <w:rPr>
          <w:rFonts w:ascii="Times New Roman" w:hAnsi="Times New Roman"/>
          <w:sz w:val="16"/>
          <w:szCs w:val="16"/>
          <w:lang w:val="en-US"/>
        </w:rPr>
        <w:t>Organización Mundial de la Salud, Unsafe abortion: global and regional estimates of incidence of unsafe abortion and associated mortality in 2003. -- 5th ed, pág. 20.</w:t>
      </w:r>
    </w:p>
  </w:endnote>
  <w:endnote w:id="33">
    <w:p w14:paraId="408E8E0D" w14:textId="5D0C7398" w:rsidR="00894F2B" w:rsidRPr="00590037" w:rsidRDefault="00894F2B" w:rsidP="00894F2B">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US"/>
        </w:rPr>
        <w:t xml:space="preserve">En su informe temático sobre </w:t>
      </w:r>
      <w:r w:rsidRPr="00590037">
        <w:rPr>
          <w:rFonts w:ascii="Times New Roman" w:hAnsi="Times New Roman"/>
          <w:sz w:val="16"/>
          <w:szCs w:val="16"/>
        </w:rPr>
        <w:t>la cuestión de la discriminación contra la mujer en la legislación y en la práctica</w:t>
      </w:r>
      <w:r w:rsidRPr="00590037">
        <w:rPr>
          <w:rFonts w:ascii="Times New Roman" w:hAnsi="Times New Roman"/>
          <w:sz w:val="16"/>
          <w:szCs w:val="16"/>
          <w:lang w:val="es-US"/>
        </w:rPr>
        <w:t xml:space="preserve"> el Grupo refirió que “</w:t>
      </w:r>
      <w:r w:rsidRPr="00590037">
        <w:rPr>
          <w:rFonts w:ascii="Times New Roman" w:hAnsi="Times New Roman"/>
          <w:b/>
          <w:bCs/>
          <w:sz w:val="16"/>
          <w:szCs w:val="16"/>
        </w:rPr>
        <w:t>el embarazo en la adolescencia tiene[…] efectos duraderos en la integridad física y la salud mental de las niñas” y que “[a]</w:t>
      </w:r>
      <w:r w:rsidRPr="00590037">
        <w:rPr>
          <w:rFonts w:ascii="Times New Roman" w:hAnsi="Times New Roman"/>
          <w:sz w:val="16"/>
          <w:szCs w:val="16"/>
        </w:rPr>
        <w:t xml:space="preserve"> </w:t>
      </w:r>
      <w:r w:rsidRPr="00590037">
        <w:rPr>
          <w:rFonts w:ascii="Times New Roman" w:hAnsi="Times New Roman"/>
          <w:b/>
          <w:bCs/>
          <w:sz w:val="16"/>
          <w:szCs w:val="16"/>
        </w:rPr>
        <w:t xml:space="preserve">escala mundial, el embarazo y el parto considerados conjuntamente son la segunda causa de muerte de las niñas de 15 a 19 años de edad, es decir, que son las más expuestas al riesgo de morir o sufrir lesiones graves </w:t>
      </w:r>
      <w:r w:rsidRPr="00590037">
        <w:rPr>
          <w:rFonts w:ascii="Times New Roman" w:hAnsi="Times New Roman"/>
          <w:b/>
          <w:bCs/>
          <w:sz w:val="16"/>
          <w:szCs w:val="16"/>
          <w:u w:val="single"/>
        </w:rPr>
        <w:t>para toda la vida a consecuencia del embarazo</w:t>
      </w:r>
      <w:r w:rsidRPr="00590037">
        <w:rPr>
          <w:rFonts w:ascii="Times New Roman" w:hAnsi="Times New Roman"/>
          <w:b/>
          <w:bCs/>
          <w:sz w:val="16"/>
          <w:szCs w:val="16"/>
        </w:rPr>
        <w:t>”</w:t>
      </w:r>
      <w:r w:rsidRPr="00590037">
        <w:rPr>
          <w:rFonts w:ascii="Times New Roman" w:hAnsi="Times New Roman"/>
          <w:sz w:val="16"/>
          <w:szCs w:val="16"/>
        </w:rPr>
        <w:t xml:space="preserve">. Asamblea General </w:t>
      </w:r>
      <w:r w:rsidRPr="00590037">
        <w:rPr>
          <w:rFonts w:ascii="Times New Roman" w:hAnsi="Times New Roman"/>
          <w:sz w:val="16"/>
          <w:szCs w:val="16"/>
          <w:lang w:val="es-ES"/>
        </w:rPr>
        <w:t>de Naciones Unidas</w:t>
      </w:r>
      <w:r w:rsidRPr="00590037">
        <w:rPr>
          <w:rFonts w:ascii="Times New Roman" w:hAnsi="Times New Roman"/>
          <w:sz w:val="16"/>
          <w:szCs w:val="16"/>
        </w:rPr>
        <w:t xml:space="preserve">, </w:t>
      </w:r>
      <w:r w:rsidRPr="00590037">
        <w:rPr>
          <w:rFonts w:ascii="Times New Roman" w:hAnsi="Times New Roman"/>
          <w:i/>
          <w:iCs/>
          <w:sz w:val="16"/>
          <w:szCs w:val="16"/>
        </w:rPr>
        <w:t>Informe del Grupo de Trabajo sobre la cuestión de la discriminación contra la mujer en la legislación y en la práctica</w:t>
      </w:r>
      <w:r w:rsidRPr="00590037">
        <w:rPr>
          <w:rFonts w:ascii="Times New Roman" w:hAnsi="Times New Roman"/>
          <w:sz w:val="16"/>
          <w:szCs w:val="16"/>
        </w:rPr>
        <w:t xml:space="preserve">, 8 de abril de 2016. UN Doc. A/HRC/32/44, párr. 34. </w:t>
      </w:r>
    </w:p>
  </w:endnote>
  <w:endnote w:id="34">
    <w:p w14:paraId="0459369F" w14:textId="77777777" w:rsidR="005E726C" w:rsidRPr="00590037" w:rsidRDefault="005E726C" w:rsidP="005E726C">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Organización Mundial de la Salud, Embarazo adolescente, (2020); Organización Mundial de la Salud, Adolecentes embarazadas: Cumpliendo las promesas globales de esperanza, 10 (2006). </w:t>
      </w:r>
    </w:p>
  </w:endnote>
  <w:endnote w:id="35">
    <w:p w14:paraId="47D7497C" w14:textId="77777777" w:rsidR="005E726C" w:rsidRPr="00590037" w:rsidRDefault="005E726C" w:rsidP="005E726C">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Organización Mundial de la Salud, Adolecentes embarazadas: Cumpliendo las promesas globales de esperanza, 10 (2006)</w:t>
      </w:r>
    </w:p>
  </w:endnote>
  <w:endnote w:id="36">
    <w:p w14:paraId="2F8F891E" w14:textId="77777777" w:rsidR="005E726C" w:rsidRPr="00590037" w:rsidRDefault="005E726C" w:rsidP="005E726C">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Vicepresidencia de la República de Guatemala. Plan Nacional de Prevención de Embarazos en Adolescentes (Planea) 2018-2022. Diciembre 2017. pág. 22. Además, tomando como referencia la razón de mortalidad materna de menores de 15 años, comparada con el promedio nacional en Guatemala para 2015, año para el cual, en todo caso, se registró un descenso del 34% en mortalidad en este grupo con respecto al año 2007.</w:t>
      </w:r>
    </w:p>
  </w:endnote>
  <w:endnote w:id="37">
    <w:p w14:paraId="51AB0962" w14:textId="77777777" w:rsidR="00083734" w:rsidRPr="00590037" w:rsidRDefault="00083734" w:rsidP="00083734">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Código Penal </w:t>
      </w:r>
      <w:r w:rsidRPr="00590037">
        <w:rPr>
          <w:rFonts w:ascii="Times New Roman" w:hAnsi="Times New Roman"/>
          <w:sz w:val="16"/>
          <w:szCs w:val="16"/>
          <w:lang w:val="es-ES_tradnl"/>
        </w:rPr>
        <w:t>(C.P.) decreto 17-83 del Congreso de la Republica, art. 173</w:t>
      </w:r>
      <w:r w:rsidRPr="00590037">
        <w:rPr>
          <w:rFonts w:ascii="Times New Roman" w:hAnsi="Times New Roman"/>
          <w:sz w:val="16"/>
          <w:szCs w:val="16"/>
        </w:rPr>
        <w:t xml:space="preserve">  (Guat.) disponible en </w:t>
      </w:r>
      <w:hyperlink r:id="rId19" w:history="1">
        <w:r w:rsidRPr="00590037">
          <w:rPr>
            <w:rStyle w:val="Hyperlink"/>
            <w:rFonts w:ascii="Times New Roman" w:hAnsi="Times New Roman"/>
            <w:sz w:val="16"/>
            <w:szCs w:val="16"/>
          </w:rPr>
          <w:t>http://www.un.org/depts/los/LEGISLATIONANDTREATIES/PDFFILES/GTM_codigo_penal.pdf</w:t>
        </w:r>
      </w:hyperlink>
      <w:r w:rsidRPr="00590037">
        <w:rPr>
          <w:rFonts w:ascii="Times New Roman" w:hAnsi="Times New Roman"/>
          <w:sz w:val="16"/>
          <w:szCs w:val="16"/>
        </w:rPr>
        <w:t xml:space="preserve">. </w:t>
      </w:r>
      <w:r w:rsidRPr="00590037">
        <w:rPr>
          <w:rFonts w:ascii="Times New Roman" w:hAnsi="Times New Roman"/>
          <w:sz w:val="16"/>
          <w:szCs w:val="16"/>
          <w:lang w:val="es-ES_tradnl"/>
        </w:rPr>
        <w:t xml:space="preserve">Reformado por la Ley Contra la Violencia Sexual, Explotación y Trata de Personas, decreto N 9-2009 (16 de marzo de 2009) (Guat.) disponible en </w:t>
      </w:r>
      <w:hyperlink r:id="rId20" w:history="1">
        <w:r w:rsidRPr="00590037">
          <w:rPr>
            <w:rStyle w:val="Hyperlink"/>
            <w:rFonts w:ascii="Times New Roman" w:hAnsi="Times New Roman"/>
            <w:sz w:val="16"/>
            <w:szCs w:val="16"/>
            <w:lang w:val="es-ES_tradnl"/>
          </w:rPr>
          <w:t>http://www.sipi.siteal.iipe.unesco.org/sites/default/files/sipi_normativa/ley-contra-la-violencia-sexual-explotacion-y-trata-de-personas_-_decreto_9-2009_-guatemala.pdf</w:t>
        </w:r>
      </w:hyperlink>
    </w:p>
  </w:endnote>
  <w:endnote w:id="38">
    <w:p w14:paraId="2412FF1A" w14:textId="77777777" w:rsidR="00083734" w:rsidRPr="00590037" w:rsidRDefault="00083734" w:rsidP="00083734">
      <w:pPr>
        <w:pStyle w:val="EndnoteText"/>
        <w:jc w:val="both"/>
        <w:rPr>
          <w:rFonts w:ascii="Times New Roman" w:hAnsi="Times New Roman"/>
          <w:sz w:val="16"/>
          <w:szCs w:val="16"/>
          <w:lang w:val="es-ES_tradnl"/>
        </w:rPr>
      </w:pPr>
      <w:r w:rsidRPr="00590037">
        <w:rPr>
          <w:rStyle w:val="EndnoteReference"/>
          <w:sz w:val="16"/>
          <w:szCs w:val="16"/>
        </w:rPr>
        <w:endnoteRef/>
      </w:r>
      <w:r w:rsidRPr="00590037">
        <w:rPr>
          <w:rFonts w:ascii="Times New Roman" w:hAnsi="Times New Roman"/>
          <w:sz w:val="16"/>
          <w:szCs w:val="16"/>
        </w:rPr>
        <w:t xml:space="preserve"> </w:t>
      </w:r>
      <w:r w:rsidRPr="00590037">
        <w:rPr>
          <w:rStyle w:val="Hyperlink"/>
          <w:rFonts w:ascii="Times New Roman" w:hAnsi="Times New Roman"/>
          <w:sz w:val="16"/>
          <w:szCs w:val="16"/>
          <w:lang w:val="es-ES_tradnl"/>
        </w:rPr>
        <w:t xml:space="preserve">Ministerio de Salud pública y asistencia social. </w:t>
      </w:r>
      <w:r w:rsidRPr="00590037">
        <w:rPr>
          <w:rFonts w:ascii="Times New Roman" w:hAnsi="Times New Roman"/>
          <w:i/>
          <w:sz w:val="16"/>
          <w:szCs w:val="16"/>
          <w:lang w:val="es-ES_tradnl"/>
        </w:rPr>
        <w:t>Protocolo para la Atención de Víctimas/Sobrevivientes de Violencia Sexual</w:t>
      </w:r>
      <w:r w:rsidRPr="00590037">
        <w:rPr>
          <w:rFonts w:ascii="Times New Roman" w:hAnsi="Times New Roman"/>
          <w:sz w:val="16"/>
          <w:szCs w:val="16"/>
          <w:lang w:val="es-ES_tradnl"/>
        </w:rPr>
        <w:t xml:space="preserve"> (junio de 2016), disponible en: </w:t>
      </w:r>
      <w:r w:rsidRPr="00590037">
        <w:rPr>
          <w:rStyle w:val="Hyperlink"/>
          <w:rFonts w:ascii="Times New Roman" w:hAnsi="Times New Roman"/>
          <w:sz w:val="16"/>
          <w:szCs w:val="16"/>
          <w:lang w:val="es-ES_tradnl"/>
        </w:rPr>
        <w:t xml:space="preserve"> </w:t>
      </w:r>
      <w:hyperlink r:id="rId21" w:history="1">
        <w:r w:rsidRPr="00590037">
          <w:rPr>
            <w:rStyle w:val="Hyperlink"/>
            <w:rFonts w:ascii="Times New Roman" w:hAnsi="Times New Roman"/>
            <w:sz w:val="16"/>
            <w:szCs w:val="16"/>
            <w:lang w:val="es-ES_tradnl"/>
          </w:rPr>
          <w:t>http://svet.gob.gt/sites/default/files/PROTOCOLO%20DE%20ATENCI%C3%93N%20A%20V%C3%8DCTIMAS%20SOBREVIVIENTES%20DE%20VIOLENCIA%20SEXUAL%20%202017.pdf</w:t>
        </w:r>
      </w:hyperlink>
      <w:r w:rsidRPr="00590037">
        <w:rPr>
          <w:rStyle w:val="Hyperlink"/>
          <w:rFonts w:ascii="Times New Roman" w:hAnsi="Times New Roman"/>
          <w:sz w:val="16"/>
          <w:szCs w:val="16"/>
          <w:lang w:val="es-ES_tradnl"/>
        </w:rPr>
        <w:t xml:space="preserve"> </w:t>
      </w:r>
      <w:r w:rsidRPr="00590037">
        <w:rPr>
          <w:rFonts w:ascii="Times New Roman" w:hAnsi="Times New Roman"/>
          <w:sz w:val="16"/>
          <w:szCs w:val="16"/>
          <w:lang w:val="es-ES_tradnl"/>
        </w:rPr>
        <w:t xml:space="preserve"> </w:t>
      </w:r>
    </w:p>
  </w:endnote>
  <w:endnote w:id="39">
    <w:p w14:paraId="07D15015" w14:textId="77777777" w:rsidR="00083734" w:rsidRPr="00590037" w:rsidRDefault="00083734" w:rsidP="00083734">
      <w:pPr>
        <w:pStyle w:val="EndnoteText"/>
        <w:jc w:val="both"/>
        <w:rPr>
          <w:rFonts w:ascii="Times New Roman" w:hAnsi="Times New Roman"/>
          <w:sz w:val="16"/>
          <w:szCs w:val="16"/>
          <w:lang w:val="es-ES_tradnl"/>
        </w:rPr>
      </w:pPr>
      <w:r w:rsidRPr="00590037">
        <w:rPr>
          <w:rStyle w:val="EndnoteReference"/>
          <w:sz w:val="16"/>
          <w:szCs w:val="16"/>
        </w:rPr>
        <w:endnoteRef/>
      </w:r>
      <w:r w:rsidRPr="00590037">
        <w:rPr>
          <w:rFonts w:ascii="Times New Roman" w:hAnsi="Times New Roman"/>
          <w:sz w:val="16"/>
          <w:szCs w:val="16"/>
          <w:lang w:val="es-ES_tradnl"/>
        </w:rPr>
        <w:t xml:space="preserve"> Organización Mundial de la Salud, </w:t>
      </w:r>
      <w:r w:rsidRPr="00590037">
        <w:rPr>
          <w:rFonts w:ascii="Times New Roman" w:hAnsi="Times New Roman"/>
          <w:i/>
          <w:iCs/>
          <w:sz w:val="16"/>
          <w:szCs w:val="16"/>
          <w:lang w:val="es-ES_tradnl"/>
        </w:rPr>
        <w:t>Responding to children and adolescents who have been sexually abused</w:t>
      </w:r>
      <w:r w:rsidRPr="00590037">
        <w:rPr>
          <w:rFonts w:ascii="Times New Roman" w:hAnsi="Times New Roman"/>
          <w:sz w:val="16"/>
          <w:szCs w:val="16"/>
          <w:lang w:val="es-ES_tradnl"/>
        </w:rPr>
        <w:t xml:space="preserve">: who clinical guidelines (2017), pág. 4 Disponible en: </w:t>
      </w:r>
      <w:hyperlink r:id="rId22" w:history="1">
        <w:r w:rsidRPr="00590037">
          <w:rPr>
            <w:rStyle w:val="Hyperlink"/>
            <w:rFonts w:ascii="Times New Roman" w:hAnsi="Times New Roman"/>
            <w:sz w:val="16"/>
            <w:szCs w:val="16"/>
            <w:lang w:val="es-ES_tradnl"/>
          </w:rPr>
          <w:t>https://apps.who.int/iris/bitstream/handle/10665/259270/9789241550147-eng.pdf?sequence=1</w:t>
        </w:r>
      </w:hyperlink>
      <w:r w:rsidRPr="00590037">
        <w:rPr>
          <w:rFonts w:ascii="Times New Roman" w:hAnsi="Times New Roman"/>
          <w:sz w:val="16"/>
          <w:szCs w:val="16"/>
          <w:lang w:val="es-ES_tradnl"/>
        </w:rPr>
        <w:t xml:space="preserve"> </w:t>
      </w:r>
    </w:p>
  </w:endnote>
  <w:endnote w:id="40">
    <w:p w14:paraId="29060C7E"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El nombre fue modificado para proteger la identidad de la víctima y su familia</w:t>
      </w:r>
    </w:p>
  </w:endnote>
  <w:endnote w:id="41">
    <w:p w14:paraId="6819F3A5"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Testimonio tomado de: Ximena Casas Isaza, Oscar Cabrera, Rebecca Reingold y Daniel Grossman. Vidas robadas: un estudio multipaís sobre los efectos en la salud de las maternidades forzadas en niñas de 9 a 14 años. 2016. En: </w:t>
      </w:r>
      <w:hyperlink r:id="rId23" w:history="1">
        <w:r w:rsidRPr="00590037">
          <w:rPr>
            <w:rStyle w:val="Hyperlink"/>
            <w:rFonts w:ascii="Times New Roman" w:hAnsi="Times New Roman"/>
            <w:sz w:val="16"/>
            <w:szCs w:val="16"/>
          </w:rPr>
          <w:t>https://www.plannedparenthoodaction.org/uploads/filer_public/cc/16/cc169bc8-1e15-49b1-a20f-62e0dd4d6c35/ppfa-stolen-lives-spanish.pdf</w:t>
        </w:r>
      </w:hyperlink>
    </w:p>
  </w:endnote>
  <w:endnote w:id="42">
    <w:p w14:paraId="689ABC01" w14:textId="7BD090B7" w:rsidR="00A976B6" w:rsidRPr="00590037" w:rsidRDefault="00A976B6" w:rsidP="00226E83">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Comité de Derechos Económicos, Sociales y Culturales. Observación General No. 14 sobre el derecho al disfrute del más alto nivel posible de salud (artículo 12 del Pacto Internacional de Derechos Económicos, Sociales y Culturales), E/C.12/2000/4, 11 de agosto de 2000, párr. 8, 12.</w:t>
      </w:r>
    </w:p>
  </w:endnote>
  <w:endnote w:id="43">
    <w:p w14:paraId="77A991F6" w14:textId="3891FCF2" w:rsidR="00370AB1" w:rsidRPr="00590037" w:rsidRDefault="00370AB1">
      <w:pPr>
        <w:pStyle w:val="EndnoteText"/>
        <w:rPr>
          <w:rFonts w:ascii="Times New Roman" w:hAnsi="Times New Roman"/>
          <w:sz w:val="16"/>
          <w:szCs w:val="16"/>
        </w:rPr>
      </w:pPr>
      <w:r w:rsidRPr="00590037">
        <w:rPr>
          <w:rStyle w:val="EndnoteReference"/>
          <w:b w:val="0"/>
          <w:bCs/>
          <w:sz w:val="16"/>
          <w:szCs w:val="16"/>
        </w:rPr>
        <w:endnoteRef/>
      </w:r>
      <w:r w:rsidRPr="00590037">
        <w:rPr>
          <w:rFonts w:ascii="Times New Roman" w:hAnsi="Times New Roman"/>
          <w:b/>
          <w:bCs/>
          <w:sz w:val="16"/>
          <w:szCs w:val="16"/>
        </w:rPr>
        <w:t xml:space="preserve"> </w:t>
      </w:r>
      <w:r w:rsidRPr="00590037">
        <w:rPr>
          <w:rFonts w:ascii="Times New Roman" w:hAnsi="Times New Roman"/>
          <w:sz w:val="16"/>
          <w:szCs w:val="16"/>
        </w:rPr>
        <w:t>Comité de Derechos Económicos, sociales y culturales. Observación general núm. 22 (2016), relativa al derecho a la salud sexual y reproductiva (artículo 12 del Pacto Internacional de Derechos Económicos, Sociales y Culturales) párr. 28.</w:t>
      </w:r>
    </w:p>
  </w:endnote>
  <w:endnote w:id="44">
    <w:p w14:paraId="7477DE0A" w14:textId="1C00AEFA" w:rsidR="00C40616" w:rsidRPr="00590037" w:rsidRDefault="00C40616">
      <w:pPr>
        <w:pStyle w:val="EndnoteText"/>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Económicos, sociales y culturales. Observación general núm. 22 (2016), relativa al derecho a la salud sexual y reproductiva (artículo 12 del Pacto Internacional de Derechos Económicos, Sociales y Culturales) párr. </w:t>
      </w:r>
      <w:r w:rsidR="0059165C" w:rsidRPr="00590037">
        <w:rPr>
          <w:rFonts w:ascii="Times New Roman" w:hAnsi="Times New Roman"/>
          <w:sz w:val="16"/>
          <w:szCs w:val="16"/>
        </w:rPr>
        <w:t>10.</w:t>
      </w:r>
    </w:p>
  </w:endnote>
  <w:endnote w:id="45">
    <w:p w14:paraId="628A7CC0" w14:textId="77777777" w:rsidR="00C40616" w:rsidRPr="00590037" w:rsidRDefault="00C40616" w:rsidP="00C40616">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En el caso de K.L. vs Perú, el Comité de Derechos Humanos reconoció la violación del derecho a la vida de una mujer de 17 años que fue forzada a llevar a término su embarazo, a pesar de que, durante el embarazo, los médicos diagnosticaron  que el feto era anencefálico, por lo cual moriría al poco tiempo de nacer. Comité de Derechos Humanos. Dictamen respecto de la Comunicación núm. </w:t>
      </w:r>
      <w:r w:rsidRPr="00590037">
        <w:rPr>
          <w:rFonts w:ascii="Times New Roman" w:hAnsi="Times New Roman"/>
          <w:sz w:val="16"/>
          <w:szCs w:val="16"/>
          <w:lang w:val="es-ES"/>
        </w:rPr>
        <w:t>1153/2003.</w:t>
      </w:r>
      <w:r w:rsidRPr="00590037">
        <w:rPr>
          <w:rFonts w:ascii="Times New Roman" w:hAnsi="Times New Roman"/>
          <w:sz w:val="16"/>
          <w:szCs w:val="16"/>
        </w:rPr>
        <w:t xml:space="preserve"> Caso K.L vs Perú, </w:t>
      </w:r>
      <w:r w:rsidRPr="00590037">
        <w:rPr>
          <w:rFonts w:ascii="Times New Roman" w:hAnsi="Times New Roman"/>
          <w:sz w:val="16"/>
          <w:szCs w:val="16"/>
          <w:lang w:val="es-ES"/>
        </w:rPr>
        <w:t xml:space="preserve">CCPR/C/85/D/1153/2003 (22 </w:t>
      </w:r>
      <w:r w:rsidRPr="00590037">
        <w:rPr>
          <w:rFonts w:ascii="Times New Roman" w:hAnsi="Times New Roman"/>
          <w:sz w:val="16"/>
          <w:szCs w:val="16"/>
        </w:rPr>
        <w:t>de noviembre de 2005). En el caso Whelan vs. Irlanda, el mismo Comité reconoció que obligar a una mujer a llevar su embarazo a término a pesar de saber que el feto era inviable constituye un trato cruel, inhumano o degradante que afectó gravemente la salud física y mental de la reclamante. Comité de Derechos Humanos. Dictamen respecto de la comunicación núm. 2425/2014. Caso Whelan c. Irlanda. CCPR/C/119/D/2425/2014. párr. 7.5-7.7. Ver también: Dictamen respecto de la comunicación núm. 2324/2013. CCPR/C/116/D/2324/2013. Caso Mellet c. Irlanda. párr. 7.10 y 7.11</w:t>
      </w:r>
    </w:p>
  </w:endnote>
  <w:endnote w:id="46">
    <w:p w14:paraId="6BC05CC5" w14:textId="0C1F1A09" w:rsidR="00C61678" w:rsidRPr="00590037" w:rsidRDefault="00C61678">
      <w:pPr>
        <w:pStyle w:val="EndnoteText"/>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R</w:t>
      </w:r>
      <w:r w:rsidRPr="00590037">
        <w:rPr>
          <w:rFonts w:ascii="Times New Roman" w:hAnsi="Times New Roman"/>
          <w:sz w:val="16"/>
          <w:szCs w:val="16"/>
          <w:lang w:val="es-US"/>
        </w:rPr>
        <w:t xml:space="preserve">ecomendación General No. 35 del Comité CEDAW, sobre la violencia por razón de género contra la mujer, por la que se actualiza la recomendación general No. 19, (26 de julio de 2017), párr. 31, párr. 18.; Ver también caso </w:t>
      </w:r>
      <w:r w:rsidRPr="00590037">
        <w:rPr>
          <w:rFonts w:ascii="Times New Roman" w:hAnsi="Times New Roman"/>
          <w:i/>
          <w:iCs/>
          <w:sz w:val="16"/>
          <w:szCs w:val="16"/>
          <w:lang w:val="es-US"/>
        </w:rPr>
        <w:t>L.C. c. Perú,</w:t>
      </w:r>
      <w:r w:rsidRPr="00590037">
        <w:rPr>
          <w:rFonts w:ascii="Times New Roman" w:hAnsi="Times New Roman"/>
          <w:sz w:val="16"/>
          <w:szCs w:val="16"/>
          <w:lang w:val="es-US"/>
        </w:rPr>
        <w:t xml:space="preserve"> comunicación No. 22/2009 párr. 8.18 (17 de octubre de 2011)</w:t>
      </w:r>
    </w:p>
  </w:endnote>
  <w:endnote w:id="47">
    <w:p w14:paraId="37B2588A" w14:textId="6F06C2D2" w:rsidR="00C61678" w:rsidRPr="00590037" w:rsidRDefault="00C61678" w:rsidP="00C61678">
      <w:pPr>
        <w:pStyle w:val="EndnoteText"/>
        <w:jc w:val="both"/>
        <w:rPr>
          <w:rFonts w:ascii="Times New Roman" w:hAnsi="Times New Roman"/>
          <w:b/>
          <w:bCs/>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US"/>
        </w:rPr>
        <w:t>CCT, Observaciones finales sobre Perú, CAT/C/PER/CO/4, párr. 23 (25 de julio de 2006); CCT, Observaciones finales sobre Nicaragua, CAT/C/NIC/CO/1, párr. 16 (10 de junio de 2009); y Observaciones finales sobre Costa Rica, CAT/C/CR/32/5, párr. 7 (14 de junio de 2004); Informe del Relator Especial sobre la tortura y otros tratos o penas crueles, inhumanos o degradantes, A/HRC/31/57, párr. 43 (5 de enero de 2016).</w:t>
      </w:r>
    </w:p>
  </w:endnote>
  <w:endnote w:id="48">
    <w:p w14:paraId="3C1D4C9F" w14:textId="42C20414" w:rsidR="00DB64AB" w:rsidRPr="00590037" w:rsidRDefault="00DB64AB" w:rsidP="00DB64AB">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US"/>
        </w:rPr>
        <w:t xml:space="preserve">De acuerdo con un </w:t>
      </w:r>
      <w:r w:rsidRPr="00590037">
        <w:rPr>
          <w:rFonts w:ascii="Times New Roman" w:hAnsi="Times New Roman"/>
          <w:i/>
          <w:iCs/>
          <w:sz w:val="16"/>
          <w:szCs w:val="16"/>
          <w:lang w:val="es-US"/>
        </w:rPr>
        <w:t>Informe del Relator Especial sobre T</w:t>
      </w:r>
      <w:r w:rsidRPr="00590037">
        <w:rPr>
          <w:rFonts w:ascii="Times New Roman" w:hAnsi="Times New Roman"/>
          <w:i/>
          <w:iCs/>
          <w:sz w:val="16"/>
          <w:szCs w:val="16"/>
        </w:rPr>
        <w:t>ortura y otros tratos o penas crueles, inhumanos o degradantes</w:t>
      </w:r>
      <w:r w:rsidRPr="00590037">
        <w:rPr>
          <w:rFonts w:ascii="Times New Roman" w:hAnsi="Times New Roman"/>
          <w:sz w:val="16"/>
          <w:szCs w:val="16"/>
          <w:lang w:val="es-US"/>
        </w:rPr>
        <w:t xml:space="preserve"> no sólo “[e]stá demostrado que la violación y otras formas de violencia sexual pueden constituir tortura y malos tratos” sino que</w:t>
      </w:r>
      <w:r w:rsidRPr="00590037">
        <w:rPr>
          <w:rFonts w:ascii="Times New Roman" w:hAnsi="Times New Roman"/>
          <w:sz w:val="16"/>
          <w:szCs w:val="16"/>
        </w:rPr>
        <w:t xml:space="preserve"> </w:t>
      </w:r>
      <w:r w:rsidRPr="00590037">
        <w:rPr>
          <w:rFonts w:ascii="Times New Roman" w:hAnsi="Times New Roman"/>
          <w:b/>
          <w:bCs/>
          <w:sz w:val="16"/>
          <w:szCs w:val="16"/>
          <w:lang w:val="es-US"/>
        </w:rPr>
        <w:t>“[a]</w:t>
      </w:r>
      <w:r w:rsidRPr="00590037">
        <w:rPr>
          <w:rFonts w:ascii="Times New Roman" w:hAnsi="Times New Roman"/>
          <w:b/>
          <w:bCs/>
          <w:sz w:val="16"/>
          <w:szCs w:val="16"/>
        </w:rPr>
        <w:t>demás de los traumas físicos, el dolor y el sufrimiento psíquico infligido a las víctimas de violación y otras formas de violencia sexual suelen ser duraderos debido, entre otras cosas</w:t>
      </w:r>
      <w:r w:rsidRPr="00590037">
        <w:rPr>
          <w:rFonts w:ascii="Times New Roman" w:hAnsi="Times New Roman"/>
          <w:sz w:val="16"/>
          <w:szCs w:val="16"/>
        </w:rPr>
        <w:t xml:space="preserve">, </w:t>
      </w:r>
      <w:r w:rsidRPr="00590037">
        <w:rPr>
          <w:rFonts w:ascii="Times New Roman" w:hAnsi="Times New Roman"/>
          <w:sz w:val="16"/>
          <w:szCs w:val="16"/>
          <w:lang w:val="es-US"/>
        </w:rPr>
        <w:t xml:space="preserve">[… </w:t>
      </w:r>
      <w:r w:rsidRPr="00590037">
        <w:rPr>
          <w:rFonts w:ascii="Times New Roman" w:hAnsi="Times New Roman"/>
          <w:b/>
          <w:bCs/>
          <w:sz w:val="16"/>
          <w:szCs w:val="16"/>
          <w:lang w:val="es-US"/>
        </w:rPr>
        <w:t xml:space="preserve">a tener que enfrentar] </w:t>
      </w:r>
      <w:r w:rsidRPr="00590037">
        <w:rPr>
          <w:rFonts w:ascii="Times New Roman" w:hAnsi="Times New Roman"/>
          <w:b/>
          <w:bCs/>
          <w:sz w:val="16"/>
          <w:szCs w:val="16"/>
        </w:rPr>
        <w:t>embarazos no deseados, abortos espontáneos e interrupcione s forzadas del embarazo o denegación de los servicios abortivos</w:t>
      </w:r>
      <w:r w:rsidRPr="00590037">
        <w:rPr>
          <w:rFonts w:ascii="Times New Roman" w:hAnsi="Times New Roman"/>
          <w:sz w:val="16"/>
          <w:szCs w:val="16"/>
        </w:rPr>
        <w:t xml:space="preserve">”. Además, el Relator Especial refirió que </w:t>
      </w:r>
      <w:r w:rsidRPr="00590037">
        <w:rPr>
          <w:rFonts w:ascii="Times New Roman" w:hAnsi="Times New Roman"/>
          <w:b/>
          <w:bCs/>
          <w:sz w:val="16"/>
          <w:szCs w:val="16"/>
          <w:lang w:val="es-US"/>
        </w:rPr>
        <w:t>“[t]</w:t>
      </w:r>
      <w:r w:rsidRPr="00590037">
        <w:rPr>
          <w:rFonts w:ascii="Times New Roman" w:hAnsi="Times New Roman"/>
          <w:b/>
          <w:bCs/>
          <w:sz w:val="16"/>
          <w:szCs w:val="16"/>
        </w:rPr>
        <w:t xml:space="preserve">ambién aparecen consecuencias físicas y psicológicas a corto y largo plazo cuando las mujeres se someten a abortos en condiciones de riesgo y </w:t>
      </w:r>
      <w:r w:rsidRPr="00590037">
        <w:rPr>
          <w:rFonts w:ascii="Times New Roman" w:hAnsi="Times New Roman"/>
          <w:b/>
          <w:bCs/>
          <w:sz w:val="16"/>
          <w:szCs w:val="16"/>
          <w:u w:val="single"/>
        </w:rPr>
        <w:t>cuando se ven obligadas a llevar el embarazo a término contra su voluntad</w:t>
      </w:r>
      <w:r w:rsidRPr="00590037">
        <w:rPr>
          <w:rFonts w:ascii="Times New Roman" w:hAnsi="Times New Roman"/>
          <w:sz w:val="16"/>
          <w:szCs w:val="16"/>
        </w:rPr>
        <w:t>”.</w:t>
      </w:r>
      <w:r w:rsidRPr="00590037">
        <w:rPr>
          <w:rFonts w:ascii="Times New Roman" w:hAnsi="Times New Roman"/>
          <w:sz w:val="16"/>
          <w:szCs w:val="16"/>
          <w:lang w:val="es-ES"/>
        </w:rPr>
        <w:t xml:space="preserve"> Asamblea General de Naciones Unidas, </w:t>
      </w:r>
      <w:r w:rsidRPr="00590037">
        <w:rPr>
          <w:rFonts w:ascii="Times New Roman" w:hAnsi="Times New Roman"/>
          <w:i/>
          <w:iCs/>
          <w:sz w:val="16"/>
          <w:szCs w:val="16"/>
          <w:lang w:val="es-US"/>
        </w:rPr>
        <w:t>Informe del Relator Especial sobre T</w:t>
      </w:r>
      <w:r w:rsidRPr="00590037">
        <w:rPr>
          <w:rFonts w:ascii="Times New Roman" w:hAnsi="Times New Roman"/>
          <w:i/>
          <w:iCs/>
          <w:sz w:val="16"/>
          <w:szCs w:val="16"/>
        </w:rPr>
        <w:t>ortura y otros tratos o penas crueles, inhumanos o degradantes</w:t>
      </w:r>
      <w:r w:rsidRPr="00590037">
        <w:rPr>
          <w:rFonts w:ascii="Times New Roman" w:hAnsi="Times New Roman"/>
          <w:sz w:val="16"/>
          <w:szCs w:val="16"/>
        </w:rPr>
        <w:t xml:space="preserve"> (5 de enero de 2016), UN Doc. A/HRC/31/57, párr. 51.</w:t>
      </w:r>
      <w:r w:rsidR="00C61678" w:rsidRPr="00590037">
        <w:rPr>
          <w:rFonts w:ascii="Times New Roman" w:hAnsi="Times New Roman"/>
          <w:sz w:val="16"/>
          <w:szCs w:val="16"/>
          <w:lang w:val="es-US"/>
        </w:rPr>
        <w:t xml:space="preserve">; </w:t>
      </w:r>
    </w:p>
  </w:endnote>
  <w:endnote w:id="49">
    <w:p w14:paraId="528996A1" w14:textId="77777777" w:rsidR="006174EB" w:rsidRPr="00590037" w:rsidRDefault="006174EB" w:rsidP="006174EB">
      <w:pPr>
        <w:spacing w:after="0"/>
        <w:jc w:val="both"/>
        <w:rPr>
          <w:rFonts w:ascii="Times New Roman" w:eastAsia="Times New Roman" w:hAnsi="Times New Roman" w:cs="Times New Roman"/>
          <w:sz w:val="16"/>
          <w:szCs w:val="16"/>
          <w:lang w:val="es-ES"/>
        </w:rPr>
      </w:pPr>
      <w:r w:rsidRPr="00590037">
        <w:rPr>
          <w:rStyle w:val="EndnoteReference"/>
          <w:rFonts w:cs="Times New Roman"/>
          <w:sz w:val="16"/>
          <w:szCs w:val="16"/>
        </w:rPr>
        <w:endnoteRef/>
      </w:r>
      <w:r w:rsidRPr="00590037">
        <w:rPr>
          <w:rFonts w:ascii="Times New Roman" w:hAnsi="Times New Roman" w:cs="Times New Roman"/>
          <w:sz w:val="16"/>
          <w:szCs w:val="16"/>
          <w:lang w:val="es-ES"/>
        </w:rPr>
        <w:t xml:space="preserve"> A</w:t>
      </w:r>
      <w:r w:rsidRPr="00590037">
        <w:rPr>
          <w:rFonts w:ascii="Times New Roman" w:eastAsia="Times New Roman" w:hAnsi="Times New Roman" w:cs="Times New Roman"/>
          <w:sz w:val="16"/>
          <w:szCs w:val="16"/>
          <w:lang w:val="es-ES"/>
        </w:rPr>
        <w:t xml:space="preserve">samblea General de Naciones Unidas, </w:t>
      </w:r>
      <w:r w:rsidRPr="00590037">
        <w:rPr>
          <w:rFonts w:ascii="Times New Roman" w:eastAsia="Times New Roman" w:hAnsi="Times New Roman" w:cs="Times New Roman"/>
          <w:i/>
          <w:iCs/>
          <w:sz w:val="16"/>
          <w:szCs w:val="16"/>
          <w:lang w:val="es-ES"/>
        </w:rPr>
        <w:t>Informe del Relator Especial sobre el derecho de toda persona al disfrute del más alto nivel posible de salud física y mental</w:t>
      </w:r>
      <w:r w:rsidRPr="00590037">
        <w:rPr>
          <w:rFonts w:ascii="Times New Roman" w:eastAsia="Times New Roman" w:hAnsi="Times New Roman" w:cs="Times New Roman"/>
          <w:sz w:val="16"/>
          <w:szCs w:val="16"/>
          <w:lang w:val="es-ES"/>
        </w:rPr>
        <w:t>, Visita a Ecuador, de fecha de 6 de mayo de 2020, UN Doc. A/HRC/44/48/Add.1, párr. 48.</w:t>
      </w:r>
    </w:p>
  </w:endnote>
  <w:endnote w:id="50">
    <w:p w14:paraId="44A3C2C9" w14:textId="77777777" w:rsidR="006174EB" w:rsidRPr="00590037" w:rsidRDefault="006174EB" w:rsidP="006174EB">
      <w:pPr>
        <w:pStyle w:val="EndnoteText"/>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US"/>
        </w:rPr>
        <w:t xml:space="preserve">OPS, </w:t>
      </w:r>
      <w:r w:rsidRPr="00590037">
        <w:rPr>
          <w:rFonts w:ascii="Times New Roman" w:hAnsi="Times New Roman"/>
          <w:i/>
          <w:iCs/>
          <w:sz w:val="16"/>
          <w:szCs w:val="16"/>
          <w:lang w:val="es-ES"/>
        </w:rPr>
        <w:t>Acelerar el progreso hacia la reducción del embarazo en la adolescencia en América Latina y el Caribe</w:t>
      </w:r>
      <w:r w:rsidRPr="00590037">
        <w:rPr>
          <w:rFonts w:ascii="Times New Roman" w:hAnsi="Times New Roman"/>
          <w:sz w:val="16"/>
          <w:szCs w:val="16"/>
          <w:lang w:val="es-ES"/>
        </w:rPr>
        <w:t>, pág. 17.</w:t>
      </w:r>
    </w:p>
  </w:endnote>
  <w:endnote w:id="51">
    <w:p w14:paraId="597482D2" w14:textId="77777777" w:rsidR="006174EB" w:rsidRPr="00590037" w:rsidRDefault="006174EB" w:rsidP="006174EB">
      <w:pPr>
        <w:pStyle w:val="EndnoteText"/>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eastAsia="Times New Roman" w:hAnsi="Times New Roman"/>
          <w:sz w:val="16"/>
          <w:szCs w:val="16"/>
          <w:lang w:val="es-ES"/>
        </w:rPr>
        <w:t>Asamblea General de Naciones Unidas, Informe de la Relatora Especial sobre la violencia contra la mujer sus causas y consecuencias, Visita a Ecuador, de fecha de 22 de mayo de 2020, UN Doc. A/HRC/44/52/Add.2, párr. 65</w:t>
      </w:r>
    </w:p>
  </w:endnote>
  <w:endnote w:id="52">
    <w:p w14:paraId="65CB8F0C" w14:textId="77777777" w:rsidR="006174EB" w:rsidRPr="00590037" w:rsidRDefault="006174EB" w:rsidP="006174EB">
      <w:pPr>
        <w:spacing w:after="0" w:line="240" w:lineRule="auto"/>
        <w:jc w:val="both"/>
        <w:rPr>
          <w:rFonts w:ascii="Times New Roman" w:eastAsia="Times New Roman" w:hAnsi="Times New Roman" w:cs="Times New Roman"/>
          <w:sz w:val="16"/>
          <w:szCs w:val="16"/>
          <w:lang w:val="es-ES"/>
        </w:rPr>
      </w:pPr>
      <w:r w:rsidRPr="00590037">
        <w:rPr>
          <w:rStyle w:val="EndnoteReference"/>
          <w:rFonts w:cs="Times New Roman"/>
          <w:sz w:val="16"/>
          <w:szCs w:val="16"/>
        </w:rPr>
        <w:endnoteRef/>
      </w:r>
      <w:r w:rsidRPr="00590037">
        <w:rPr>
          <w:rFonts w:ascii="Times New Roman" w:hAnsi="Times New Roman" w:cs="Times New Roman"/>
          <w:sz w:val="16"/>
          <w:szCs w:val="16"/>
          <w:lang w:val="es-ES"/>
        </w:rPr>
        <w:t xml:space="preserve"> </w:t>
      </w:r>
      <w:r w:rsidRPr="00590037">
        <w:rPr>
          <w:rFonts w:ascii="Times New Roman" w:eastAsia="Times New Roman" w:hAnsi="Times New Roman" w:cs="Times New Roman"/>
          <w:sz w:val="16"/>
          <w:szCs w:val="16"/>
          <w:lang w:val="es-US"/>
        </w:rPr>
        <w:t xml:space="preserve">Por ejemplo, la CIDH ha referido que, “…en diversos países de la región, </w:t>
      </w:r>
      <w:r w:rsidRPr="00590037">
        <w:rPr>
          <w:rFonts w:ascii="Times New Roman" w:eastAsia="Times New Roman" w:hAnsi="Times New Roman" w:cs="Times New Roman"/>
          <w:b/>
          <w:bCs/>
          <w:sz w:val="16"/>
          <w:szCs w:val="16"/>
          <w:lang w:val="es-US"/>
        </w:rPr>
        <w:t>sigue siendo una práctica que a las niñas y adolescentes embarazadas no tengan acceso a la educación en tanto se les negaría el ingreso al establecimiento educativo y/o se las expondría a diversas formas de hostigamiento, marginación y rechazo</w:t>
      </w:r>
      <w:r w:rsidRPr="00590037">
        <w:rPr>
          <w:rFonts w:ascii="Times New Roman" w:eastAsia="Times New Roman" w:hAnsi="Times New Roman" w:cs="Times New Roman"/>
          <w:sz w:val="16"/>
          <w:szCs w:val="16"/>
          <w:lang w:val="es-US"/>
        </w:rPr>
        <w:t xml:space="preserve">. De manera adicional, suelen enfrentarse al aislamiento al interior de su grupo familiar y de amistades, lo que agrava el impacto de su falta de autonomía económica, las dificultades para acceder al empleo y la insuficiencia de las ayudas sociales otorgadas por el Estado”. </w:t>
      </w:r>
      <w:r w:rsidRPr="00590037">
        <w:rPr>
          <w:rFonts w:ascii="Times New Roman" w:eastAsia="Times New Roman" w:hAnsi="Times New Roman" w:cs="Times New Roman"/>
          <w:sz w:val="16"/>
          <w:szCs w:val="16"/>
          <w:lang w:val="es-CO"/>
        </w:rPr>
        <w:t xml:space="preserve">CIDH, </w:t>
      </w:r>
      <w:r w:rsidRPr="00590037">
        <w:rPr>
          <w:rFonts w:ascii="Times New Roman" w:eastAsia="Times New Roman" w:hAnsi="Times New Roman" w:cs="Times New Roman"/>
          <w:i/>
          <w:iCs/>
          <w:sz w:val="16"/>
          <w:szCs w:val="16"/>
          <w:lang w:val="es-CO"/>
        </w:rPr>
        <w:t>Violencia y discriminación contra mujeres, niñas y adolescentes: Buenas prácticas y desafíos en América Latina y en el Caribe</w:t>
      </w:r>
      <w:r w:rsidRPr="00590037">
        <w:rPr>
          <w:rFonts w:ascii="Times New Roman" w:eastAsia="Times New Roman" w:hAnsi="Times New Roman" w:cs="Times New Roman"/>
          <w:sz w:val="16"/>
          <w:szCs w:val="16"/>
          <w:lang w:val="es-CO"/>
        </w:rPr>
        <w:t xml:space="preserve">, (2019), pág. 255. Disponible en: </w:t>
      </w:r>
      <w:hyperlink r:id="rId24" w:tgtFrame="_blank" w:history="1">
        <w:r w:rsidRPr="00590037">
          <w:rPr>
            <w:rFonts w:ascii="Times New Roman" w:eastAsia="Times New Roman" w:hAnsi="Times New Roman" w:cs="Times New Roman"/>
            <w:color w:val="0563C1"/>
            <w:sz w:val="16"/>
            <w:szCs w:val="16"/>
            <w:u w:val="single"/>
            <w:lang w:val="es-CO"/>
          </w:rPr>
          <w:t>http://www.oas.org/es/cidh/informes/pdfs/ViolenciaMujeresNNA.pdf</w:t>
        </w:r>
      </w:hyperlink>
      <w:r w:rsidRPr="00590037">
        <w:rPr>
          <w:rFonts w:ascii="Times New Roman" w:eastAsia="Times New Roman" w:hAnsi="Times New Roman" w:cs="Times New Roman"/>
          <w:sz w:val="16"/>
          <w:szCs w:val="16"/>
          <w:lang w:val="es-CO"/>
        </w:rPr>
        <w:t xml:space="preserve">. </w:t>
      </w:r>
      <w:r w:rsidRPr="00590037">
        <w:rPr>
          <w:rFonts w:ascii="Times New Roman" w:eastAsia="Times New Roman" w:hAnsi="Times New Roman" w:cs="Times New Roman"/>
          <w:sz w:val="16"/>
          <w:szCs w:val="16"/>
          <w:lang w:val="es-US"/>
        </w:rPr>
        <w:t>Ver, también,</w:t>
      </w:r>
      <w:r w:rsidRPr="00590037">
        <w:rPr>
          <w:rFonts w:ascii="Times New Roman" w:eastAsia="Times New Roman" w:hAnsi="Times New Roman" w:cs="Times New Roman"/>
          <w:sz w:val="16"/>
          <w:szCs w:val="16"/>
          <w:lang w:val="es-CO"/>
        </w:rPr>
        <w:t xml:space="preserve">. Ver también, </w:t>
      </w:r>
      <w:r w:rsidRPr="00590037">
        <w:rPr>
          <w:rFonts w:ascii="Times New Roman" w:eastAsia="Times New Roman" w:hAnsi="Times New Roman" w:cs="Times New Roman"/>
          <w:sz w:val="16"/>
          <w:szCs w:val="16"/>
          <w:lang w:val="es-US"/>
        </w:rPr>
        <w:t xml:space="preserve">MESECVI, </w:t>
      </w:r>
      <w:r w:rsidRPr="00590037">
        <w:rPr>
          <w:rFonts w:ascii="Times New Roman" w:eastAsia="Times New Roman" w:hAnsi="Times New Roman" w:cs="Times New Roman"/>
          <w:i/>
          <w:iCs/>
          <w:sz w:val="16"/>
          <w:szCs w:val="16"/>
          <w:lang w:val="es-US"/>
        </w:rPr>
        <w:t>Informe hemisférico sobre violencia sexual y embarazo infantil en los Estados Parte de la Convención de Belém do Pará</w:t>
      </w:r>
      <w:r w:rsidRPr="00590037">
        <w:rPr>
          <w:rFonts w:ascii="Times New Roman" w:eastAsia="Times New Roman" w:hAnsi="Times New Roman" w:cs="Times New Roman"/>
          <w:sz w:val="16"/>
          <w:szCs w:val="16"/>
          <w:lang w:val="es-US"/>
        </w:rPr>
        <w:t>, pág. 9, párr. 13.</w:t>
      </w:r>
    </w:p>
  </w:endnote>
  <w:endnote w:id="53">
    <w:p w14:paraId="107B7529" w14:textId="7AE6D34C" w:rsidR="003F3310" w:rsidRPr="00590037" w:rsidRDefault="003F3310" w:rsidP="00590037">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Económicos, Sociales y Culturales, </w:t>
      </w:r>
      <w:r w:rsidRPr="00590037">
        <w:rPr>
          <w:rFonts w:ascii="Times New Roman" w:hAnsi="Times New Roman"/>
          <w:i/>
          <w:iCs/>
          <w:sz w:val="16"/>
          <w:szCs w:val="16"/>
        </w:rPr>
        <w:t>Observaciones finales sobre el tercer informe periódico de Guatemala</w:t>
      </w:r>
      <w:r w:rsidRPr="00590037">
        <w:rPr>
          <w:rFonts w:ascii="Times New Roman" w:hAnsi="Times New Roman"/>
          <w:sz w:val="16"/>
          <w:szCs w:val="16"/>
        </w:rPr>
        <w:t xml:space="preserve"> (9 de diciembre de 2014), UN Doc.</w:t>
      </w:r>
      <w:r w:rsidR="007003DC" w:rsidRPr="00590037">
        <w:rPr>
          <w:rFonts w:ascii="Times New Roman" w:hAnsi="Times New Roman"/>
          <w:sz w:val="16"/>
          <w:szCs w:val="16"/>
        </w:rPr>
        <w:t xml:space="preserve"> E/C.12/GTM/CO/3, p</w:t>
      </w:r>
      <w:r w:rsidRPr="00590037">
        <w:rPr>
          <w:rFonts w:ascii="Times New Roman" w:hAnsi="Times New Roman"/>
          <w:sz w:val="16"/>
          <w:szCs w:val="16"/>
        </w:rPr>
        <w:t xml:space="preserve">árr. </w:t>
      </w:r>
      <w:r w:rsidR="007003DC" w:rsidRPr="00590037">
        <w:rPr>
          <w:rFonts w:ascii="Times New Roman" w:hAnsi="Times New Roman"/>
          <w:sz w:val="16"/>
          <w:szCs w:val="16"/>
        </w:rPr>
        <w:t>23</w:t>
      </w:r>
      <w:r w:rsidRPr="00590037">
        <w:rPr>
          <w:rFonts w:ascii="Times New Roman" w:hAnsi="Times New Roman"/>
          <w:sz w:val="16"/>
          <w:szCs w:val="16"/>
        </w:rPr>
        <w:t>.</w:t>
      </w:r>
    </w:p>
  </w:endnote>
  <w:endnote w:id="54">
    <w:p w14:paraId="7A19E2C1" w14:textId="2A8D28AF" w:rsidR="00B132C9" w:rsidRPr="00590037" w:rsidRDefault="00B132C9">
      <w:pPr>
        <w:pStyle w:val="EndnoteText"/>
        <w:rPr>
          <w:rFonts w:ascii="Times New Roman" w:hAnsi="Times New Roman"/>
          <w:sz w:val="16"/>
          <w:szCs w:val="16"/>
        </w:rPr>
      </w:pPr>
      <w:r w:rsidRPr="00590037">
        <w:rPr>
          <w:rStyle w:val="EndnoteReference"/>
          <w:sz w:val="16"/>
          <w:szCs w:val="16"/>
        </w:rPr>
        <w:endnoteRef/>
      </w:r>
      <w:r w:rsidR="00A77B37"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w:t>
      </w:r>
    </w:p>
  </w:endnote>
  <w:endnote w:id="55">
    <w:p w14:paraId="505965C8" w14:textId="77777777" w:rsidR="00B04A79" w:rsidRPr="00590037" w:rsidRDefault="00B04A79"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Humanos de la ONU, Observaciones finales sobre el cuarto informe periódico de Guatemala. 7 de mayo de 2018, CCPR/C/GTM/CO/4, párr. 14</w:t>
      </w:r>
    </w:p>
  </w:endnote>
  <w:endnote w:id="56">
    <w:p w14:paraId="10A28D8A" w14:textId="77777777" w:rsidR="00B04A79" w:rsidRPr="00590037" w:rsidRDefault="00B04A79"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Humanos de la ONU, Observaciones finales sobre el cuarto informe periódico de Guatemala. 7 de mayo de 2018, CCPR/C/GTM/CO/4, párr. 15</w:t>
      </w:r>
    </w:p>
  </w:endnote>
  <w:endnote w:id="57">
    <w:p w14:paraId="0946D945" w14:textId="79CFE590" w:rsidR="00085024" w:rsidRPr="00590037" w:rsidRDefault="00085024" w:rsidP="00085024">
      <w:pPr>
        <w:spacing w:after="0"/>
        <w:rPr>
          <w:rFonts w:ascii="Times New Roman" w:eastAsia="Times New Roman" w:hAnsi="Times New Roman" w:cs="Times New Roman"/>
          <w:sz w:val="16"/>
          <w:szCs w:val="16"/>
          <w:lang w:val="es-ES"/>
        </w:rPr>
      </w:pPr>
      <w:r w:rsidRPr="00590037">
        <w:rPr>
          <w:rStyle w:val="EndnoteReference"/>
          <w:rFonts w:cs="Times New Roman"/>
          <w:sz w:val="16"/>
          <w:szCs w:val="16"/>
        </w:rPr>
        <w:endnoteRef/>
      </w:r>
      <w:r w:rsidRPr="00590037">
        <w:rPr>
          <w:rFonts w:ascii="Times New Roman" w:hAnsi="Times New Roman" w:cs="Times New Roman"/>
          <w:sz w:val="16"/>
          <w:szCs w:val="16"/>
          <w:lang w:val="es-ES"/>
        </w:rPr>
        <w:t xml:space="preserve"> </w:t>
      </w:r>
      <w:r w:rsidRPr="00590037">
        <w:rPr>
          <w:rFonts w:ascii="Times New Roman" w:eastAsia="Times New Roman" w:hAnsi="Times New Roman" w:cs="Times New Roman"/>
          <w:sz w:val="16"/>
          <w:szCs w:val="16"/>
          <w:lang w:val="es-ES"/>
        </w:rPr>
        <w:t>Comité sobre todas las formas de discriminación contra la mujer. Observaciones finales del Comité para la eliminación de todas las formas de discriminación contra la mujer, Doc. ONU: CEDAW/C/GUA/CO/7, 12 de febrero de 2009, párrs. 23 y 24.</w:t>
      </w:r>
    </w:p>
  </w:endnote>
  <w:endnote w:id="58">
    <w:p w14:paraId="2B49B549" w14:textId="19DBECEB" w:rsidR="001571BF" w:rsidRPr="00590037" w:rsidRDefault="001571BF">
      <w:pPr>
        <w:pStyle w:val="EndnoteText"/>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los Derechos del Niño de Naciones Unidas. Convención sobre los Derechos del Niño. CRC/C/GTM/CO/5-6. párr. 33</w:t>
      </w:r>
    </w:p>
  </w:endnote>
  <w:endnote w:id="59">
    <w:p w14:paraId="29A06B11"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Esta es la encuesta más reciente que se encuentra disponible.</w:t>
      </w:r>
    </w:p>
  </w:endnote>
  <w:endnote w:id="60">
    <w:p w14:paraId="0A38422C"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Vicepresidencia de la República de Guatemala. Plan Nacional de Prevención de Embarazos en Adolescentes (Planea) 2018-2022. Diciembre 2017. pág. 23.</w:t>
      </w:r>
    </w:p>
  </w:endnote>
  <w:endnote w:id="61">
    <w:p w14:paraId="2B4F410A" w14:textId="1ACAEE0D"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pág. 23.</w:t>
      </w:r>
    </w:p>
  </w:endnote>
  <w:endnote w:id="62">
    <w:p w14:paraId="1A7EF92C"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Vicepresidencia de la República de Guatemala. Plan Nacional de Prevención de Embarazos en Adolescentes (Planea) 2018-2022. Diciembre 2017. pág. 24.</w:t>
      </w:r>
    </w:p>
  </w:endnote>
  <w:endnote w:id="63">
    <w:p w14:paraId="1429CCFA" w14:textId="0C62BC2E"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p>
  </w:endnote>
  <w:endnote w:id="64">
    <w:p w14:paraId="22A94AF2" w14:textId="3E69BC36"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pág. 25.</w:t>
      </w:r>
    </w:p>
  </w:endnote>
  <w:endnote w:id="65">
    <w:p w14:paraId="53ACDB43" w14:textId="60455AB6"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pág. 25.</w:t>
      </w:r>
    </w:p>
  </w:endnote>
  <w:endnote w:id="66">
    <w:p w14:paraId="744BF6D3" w14:textId="77777777" w:rsidR="000B17A5" w:rsidRPr="00590037" w:rsidRDefault="000B17A5"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Procurador de los Derechos Humanos, Guatemala. Informe sobre el Cumplimiento de las Recomendaciones de la CEDAW relativas al Derecho de las Mujeres a Vivir sin Discriminación y Libres de Violencia por parte del Estado de Guatemala. 2019. pág. 26.</w:t>
      </w:r>
    </w:p>
  </w:endnote>
  <w:endnote w:id="67">
    <w:p w14:paraId="2148FE95" w14:textId="605DD1FB" w:rsidR="000B17A5" w:rsidRPr="00590037" w:rsidRDefault="000B17A5"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pág. 29.</w:t>
      </w:r>
    </w:p>
  </w:endnote>
  <w:endnote w:id="68">
    <w:p w14:paraId="085B4C69" w14:textId="57F73559" w:rsidR="000B17A5" w:rsidRPr="00590037" w:rsidRDefault="000B17A5"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w:t>
      </w:r>
    </w:p>
  </w:endnote>
  <w:endnote w:id="69">
    <w:p w14:paraId="29647FC5" w14:textId="76A562FF"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pág. 26.</w:t>
      </w:r>
    </w:p>
  </w:endnote>
  <w:endnote w:id="70">
    <w:p w14:paraId="0F8667A9" w14:textId="740B705A"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pág. 26.</w:t>
      </w:r>
    </w:p>
  </w:endnote>
  <w:endnote w:id="71">
    <w:p w14:paraId="32436FA0" w14:textId="00152E6A"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pág. 26.</w:t>
      </w:r>
    </w:p>
  </w:endnote>
  <w:endnote w:id="72">
    <w:p w14:paraId="601E0D90"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Vicepresidencia de la República de Guatemala. Plan Nacional de Prevención de Embarazos en Adolescentes (Planea) 2018-2022. Diciembre 2017. pág. 24. Ver también: Informe del Monitoreo Social de los Compromisos en Derechos Sexuales y Derechos Reproductivos del Consenso de Montevideo - 2017, publicado por International Planned Parenthood Federation / Western Hemisphere Region. pág. 33. Refiriéndose a Guatemala dice el informe: "En educación integral en sexualidad hay un marco programático sumamente débil, una nula capacitación a profesores e inexistentes campañas de difusión, por lo cual existen muchas áreas de oportunidad para mejorar."</w:t>
      </w:r>
    </w:p>
  </w:endnote>
  <w:endnote w:id="73">
    <w:p w14:paraId="01395663" w14:textId="77777777" w:rsidR="00A02C63" w:rsidRPr="00590037" w:rsidRDefault="00A02C63" w:rsidP="00A02C63">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Comité DESC, Observación General N.o 22 relativa al derecho a la salud sexual y reproductiva (artículo 12 del Pacto Internacional de Derechos Económicos, Sociales y Culturales), U.N. Doc. E/C.12/GC/22 (2 de mayo de 2016), apartado 18 y 19.</w:t>
      </w:r>
    </w:p>
  </w:endnote>
  <w:endnote w:id="74">
    <w:p w14:paraId="0FB3C652" w14:textId="36166D92" w:rsidR="00A02C63" w:rsidRPr="00590037" w:rsidRDefault="00A02C63" w:rsidP="00A02C63">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El Comité CEDAW ha afirmado que los programas de educación sobre la salud reproductiva deberían estar especialmente concebidos e impartidos por personal debidamente capacitado y de una forma que respete los derechos a la intimidad y la confidencialidad de los participantes. Todas las mujeres y niñas deberían tener acceso asequible tanto a educación e información sobre la salud sexual apropiada para cada edad, como a “métodos anticonceptivos modernos”</w:t>
      </w:r>
      <w:r w:rsidRPr="00590037">
        <w:rPr>
          <w:rFonts w:ascii="Times New Roman" w:hAnsi="Times New Roman"/>
          <w:sz w:val="16"/>
          <w:szCs w:val="16"/>
          <w:vertAlign w:val="superscript"/>
        </w:rPr>
        <w:t xml:space="preserve"> </w:t>
      </w:r>
      <w:r w:rsidRPr="00590037">
        <w:rPr>
          <w:rFonts w:ascii="Times New Roman" w:hAnsi="Times New Roman"/>
          <w:sz w:val="16"/>
          <w:szCs w:val="16"/>
        </w:rPr>
        <w:t xml:space="preserve">y el Comité CEDAW reconoce la importancia de contar con el consentimiento libre e informado de la persona para los procedimientos médicos, así como de proporcionarle información sobre el procedimiento. </w:t>
      </w:r>
      <w:r w:rsidRPr="00590037">
        <w:rPr>
          <w:rFonts w:ascii="Times New Roman" w:hAnsi="Times New Roman"/>
          <w:sz w:val="16"/>
          <w:szCs w:val="16"/>
          <w:lang w:val="es-ES"/>
        </w:rPr>
        <w:t>Comité CEDAW, Recomendación general N.</w:t>
      </w:r>
      <w:r w:rsidRPr="00590037">
        <w:rPr>
          <w:rFonts w:ascii="Times New Roman" w:hAnsi="Times New Roman"/>
          <w:sz w:val="16"/>
          <w:szCs w:val="16"/>
          <w:vertAlign w:val="superscript"/>
          <w:lang w:val="es-ES"/>
        </w:rPr>
        <w:t>o</w:t>
      </w:r>
      <w:r w:rsidRPr="00590037">
        <w:rPr>
          <w:rFonts w:ascii="Times New Roman" w:hAnsi="Times New Roman"/>
          <w:sz w:val="16"/>
          <w:szCs w:val="16"/>
          <w:lang w:val="es-ES"/>
        </w:rPr>
        <w:t xml:space="preserve"> 24: Artículo 12 de la Convención (la mujer y la salud), U.N. Doc. A/54/38/Rev.1, capítulo I (1999), apartado 18, 22, y 31, letra e). Véanse también ib</w:t>
      </w:r>
      <w:r w:rsidR="002F79A8" w:rsidRPr="00590037">
        <w:rPr>
          <w:rFonts w:ascii="Times New Roman" w:hAnsi="Times New Roman"/>
          <w:i/>
          <w:iCs/>
          <w:sz w:val="16"/>
          <w:szCs w:val="16"/>
          <w:lang w:val="es-ES"/>
        </w:rPr>
        <w:t>Ibidem.</w:t>
      </w:r>
      <w:r w:rsidRPr="00590037">
        <w:rPr>
          <w:rFonts w:ascii="Times New Roman" w:hAnsi="Times New Roman"/>
          <w:sz w:val="16"/>
          <w:szCs w:val="16"/>
          <w:lang w:val="es-ES"/>
        </w:rPr>
        <w:t>, apartado 23 (la educación sobre la salud debería abarcar cuestiones como los métodos de planificación de la familia, la igualdad entre los sexos, la violencia, la prevención de enfermedades de transmisión sexual y los derechos relativos a la salud reproductiva y sexual); Comité CEDAW, Recomendación general N.</w:t>
      </w:r>
      <w:r w:rsidRPr="00590037">
        <w:rPr>
          <w:rFonts w:ascii="Times New Roman" w:hAnsi="Times New Roman"/>
          <w:sz w:val="16"/>
          <w:szCs w:val="16"/>
          <w:vertAlign w:val="superscript"/>
          <w:lang w:val="es-ES"/>
        </w:rPr>
        <w:t>o</w:t>
      </w:r>
      <w:r w:rsidRPr="00590037">
        <w:rPr>
          <w:rFonts w:ascii="Times New Roman" w:hAnsi="Times New Roman"/>
          <w:sz w:val="16"/>
          <w:szCs w:val="16"/>
          <w:lang w:val="es-ES"/>
        </w:rPr>
        <w:t xml:space="preserve"> 21 del, apartado 22; véase también Comité CEDAW, Observaciones finales: Nicaragua, UN Doc. CEDAW/C/NIC/CO/6 (2 de febrero de 2007), apartado 18. Comité CEDAW, Observaciones finales: Ecuador, UN Doc. CEDAW/C/ECU/CO/8-9 (11 de marzo de 2015), apartado 33, letra d). Comité CEDAW, Observaciones finales: República Checa, UN Doc. CEDAW/C/CZE/CO/6 (14 de marzo de 2016), apartado 31, letra c); Comité CEDAW, A.S. c. Hungría, Comunicación N.</w:t>
      </w:r>
      <w:r w:rsidRPr="00590037">
        <w:rPr>
          <w:rFonts w:ascii="Times New Roman" w:hAnsi="Times New Roman"/>
          <w:sz w:val="16"/>
          <w:szCs w:val="16"/>
          <w:vertAlign w:val="superscript"/>
          <w:lang w:val="es-ES"/>
        </w:rPr>
        <w:t>o</w:t>
      </w:r>
      <w:r w:rsidRPr="00590037">
        <w:rPr>
          <w:rFonts w:ascii="Times New Roman" w:hAnsi="Times New Roman"/>
          <w:sz w:val="16"/>
          <w:szCs w:val="16"/>
          <w:lang w:val="es-ES"/>
        </w:rPr>
        <w:t xml:space="preserve"> 4/2004, UN Doc. CEDAW/C/D/4/2004 (29 de agosto de 2006), apartado 11.2 </w:t>
      </w:r>
    </w:p>
  </w:endnote>
  <w:endnote w:id="75">
    <w:p w14:paraId="7ECBEDA9" w14:textId="77777777" w:rsidR="00A02C63" w:rsidRPr="00590037" w:rsidRDefault="00A02C63" w:rsidP="00A02C63">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ES"/>
        </w:rPr>
        <w:t xml:space="preserve">Ver, </w:t>
      </w:r>
      <w:r w:rsidRPr="00590037">
        <w:rPr>
          <w:rFonts w:ascii="Times New Roman" w:hAnsi="Times New Roman"/>
          <w:sz w:val="16"/>
          <w:szCs w:val="16"/>
        </w:rPr>
        <w:t>Comité CEDAW y Comité de los Derechos del Niño (en lo sucesivo, el «Comité CRC»), Recomendación general N.</w:t>
      </w:r>
      <w:r w:rsidRPr="00590037">
        <w:rPr>
          <w:rFonts w:ascii="Times New Roman" w:hAnsi="Times New Roman"/>
          <w:sz w:val="16"/>
          <w:szCs w:val="16"/>
          <w:vertAlign w:val="superscript"/>
        </w:rPr>
        <w:t>o</w:t>
      </w:r>
      <w:r w:rsidRPr="00590037">
        <w:rPr>
          <w:rFonts w:ascii="Times New Roman" w:hAnsi="Times New Roman"/>
          <w:sz w:val="16"/>
          <w:szCs w:val="16"/>
        </w:rPr>
        <w:t xml:space="preserve"> 31 del Comité para la Eliminación de la Discriminación contra la Mujer y Observación general N.</w:t>
      </w:r>
      <w:r w:rsidRPr="00590037">
        <w:rPr>
          <w:rFonts w:ascii="Times New Roman" w:hAnsi="Times New Roman"/>
          <w:sz w:val="16"/>
          <w:szCs w:val="16"/>
          <w:vertAlign w:val="superscript"/>
        </w:rPr>
        <w:t>o</w:t>
      </w:r>
      <w:r w:rsidRPr="00590037">
        <w:rPr>
          <w:rFonts w:ascii="Times New Roman" w:hAnsi="Times New Roman"/>
          <w:sz w:val="16"/>
          <w:szCs w:val="16"/>
        </w:rPr>
        <w:t xml:space="preserve"> 18 del Comité de los Derechos del Niño sobre las prácticas nocivas, adoptadas de manera conjunta, UN Doc. CCPR/C/GC/18 (14 de noviembre de 2014), apartado 68</w:t>
      </w:r>
    </w:p>
  </w:endnote>
  <w:endnote w:id="76">
    <w:p w14:paraId="706968BC" w14:textId="7407583D" w:rsidR="00A02C63" w:rsidRPr="00590037" w:rsidRDefault="00A02C63" w:rsidP="00A02C63">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ES"/>
        </w:rPr>
        <w:t xml:space="preserve">Por ejemplo, el antiguo </w:t>
      </w:r>
      <w:r w:rsidRPr="00590037">
        <w:rPr>
          <w:rFonts w:ascii="Times New Roman" w:hAnsi="Times New Roman"/>
          <w:b/>
          <w:bCs/>
          <w:sz w:val="16"/>
          <w:szCs w:val="16"/>
          <w:lang w:val="es-ES"/>
        </w:rPr>
        <w:t xml:space="preserve">Relator Especial sobre la Tortura </w:t>
      </w:r>
      <w:r w:rsidRPr="00590037">
        <w:rPr>
          <w:rFonts w:ascii="Times New Roman" w:hAnsi="Times New Roman"/>
          <w:sz w:val="16"/>
          <w:szCs w:val="16"/>
          <w:lang w:val="es-ES"/>
        </w:rPr>
        <w:t xml:space="preserve">afirmó que “el acceso a la información sobre la salud reproductiva es </w:t>
      </w:r>
      <w:r w:rsidRPr="00590037">
        <w:rPr>
          <w:rFonts w:ascii="Times New Roman" w:hAnsi="Times New Roman"/>
          <w:b/>
          <w:bCs/>
          <w:sz w:val="16"/>
          <w:szCs w:val="16"/>
          <w:u w:val="single"/>
          <w:lang w:val="es-ES"/>
        </w:rPr>
        <w:t>imprescindible</w:t>
      </w:r>
      <w:r w:rsidRPr="00590037">
        <w:rPr>
          <w:rFonts w:ascii="Times New Roman" w:hAnsi="Times New Roman"/>
          <w:sz w:val="16"/>
          <w:szCs w:val="16"/>
          <w:lang w:val="es-ES"/>
        </w:rPr>
        <w:t xml:space="preserve"> para que una mujer pueda ejercer su autonomía reproductiva, y sus derechos a la salud y a la integridad física”. </w:t>
      </w:r>
      <w:r w:rsidRPr="00590037">
        <w:rPr>
          <w:rFonts w:ascii="Times New Roman" w:hAnsi="Times New Roman"/>
          <w:sz w:val="16"/>
          <w:szCs w:val="16"/>
        </w:rPr>
        <w:t xml:space="preserve">Informe del Relator Especial sobre la tortura y otros tratos o penas crueles, inhumanos o degradantes, UN Doc. A/HRC/22/53 (1 de febrero de 2013) (antiguo Relator Especial Juan E. Méndez), apartado 47 (el subrayado es nuestro); y </w:t>
      </w:r>
      <w:r w:rsidRPr="00590037">
        <w:rPr>
          <w:rFonts w:ascii="Times New Roman" w:hAnsi="Times New Roman"/>
          <w:sz w:val="16"/>
          <w:szCs w:val="16"/>
          <w:lang w:val="es-ES"/>
        </w:rPr>
        <w:t xml:space="preserve">El antiguo </w:t>
      </w:r>
      <w:r w:rsidRPr="00590037">
        <w:rPr>
          <w:rFonts w:ascii="Times New Roman" w:hAnsi="Times New Roman"/>
          <w:b/>
          <w:bCs/>
          <w:sz w:val="16"/>
          <w:szCs w:val="16"/>
          <w:lang w:val="es-ES"/>
        </w:rPr>
        <w:t>Relator Especial sobre el Derecho de Toda Persona al Disfrute del Más Alto Nivel Posible de Salud Física y Mental de Naciones Unidas</w:t>
      </w:r>
      <w:r w:rsidRPr="00590037">
        <w:rPr>
          <w:rFonts w:ascii="Times New Roman" w:hAnsi="Times New Roman"/>
          <w:sz w:val="16"/>
          <w:szCs w:val="16"/>
          <w:lang w:val="es-ES"/>
        </w:rPr>
        <w:t xml:space="preserve"> (en adelante, Relator sobre el Derecho a la Salud) observó que “el ejercicio del derecho de la mujer a la salud conlleva el deber de suprimir </w:t>
      </w:r>
      <w:r w:rsidRPr="00590037">
        <w:rPr>
          <w:rFonts w:ascii="Times New Roman" w:hAnsi="Times New Roman"/>
          <w:b/>
          <w:bCs/>
          <w:sz w:val="16"/>
          <w:szCs w:val="16"/>
          <w:lang w:val="es-ES"/>
        </w:rPr>
        <w:t>todas las barreras</w:t>
      </w:r>
      <w:r w:rsidRPr="00590037">
        <w:rPr>
          <w:rFonts w:ascii="Times New Roman" w:hAnsi="Times New Roman"/>
          <w:sz w:val="16"/>
          <w:szCs w:val="16"/>
          <w:lang w:val="es-ES"/>
        </w:rPr>
        <w:t xml:space="preserve"> que impiden el acceso de la mujer a los servicios de salud, educación e información, en particular en la esfera de la salud sexual y reproductiva. </w:t>
      </w:r>
      <w:r w:rsidRPr="00590037">
        <w:rPr>
          <w:rFonts w:ascii="Times New Roman" w:hAnsi="Times New Roman"/>
          <w:sz w:val="16"/>
          <w:szCs w:val="16"/>
        </w:rPr>
        <w:t>Informe provisional del Relator Especial sobre el derecho de toda persona al disfrute del más alto nivel posible de salud física y mental, apartado 6 (el subrayado es nuestro). Véanse también ib</w:t>
      </w:r>
      <w:r w:rsidR="002F79A8" w:rsidRPr="00590037">
        <w:rPr>
          <w:rFonts w:ascii="Times New Roman" w:hAnsi="Times New Roman"/>
          <w:i/>
          <w:iCs/>
          <w:sz w:val="16"/>
          <w:szCs w:val="16"/>
        </w:rPr>
        <w:t>Ibidem.</w:t>
      </w:r>
      <w:r w:rsidRPr="00590037">
        <w:rPr>
          <w:rFonts w:ascii="Times New Roman" w:hAnsi="Times New Roman"/>
          <w:sz w:val="16"/>
          <w:szCs w:val="16"/>
        </w:rPr>
        <w:t>, apartado 7 y el Informe del Relator Especial sobre la promoción y protección del derecho a la libertad de opinión y de expresión, UN Doc. A/68/362 (4 de septiembre de 2013) (antiguo Relator Especial Frank William La Rue), apartado 40 (el acceso a la información en el contexto de una violación de los derechos humanos «suele ser imprescindible para hacer efectivos otros derechos, como el derecho a las debidas garantías procesales y a un juicio justo y a interponer recurso»)</w:t>
      </w:r>
      <w:r w:rsidRPr="00590037">
        <w:rPr>
          <w:rFonts w:ascii="Times New Roman" w:hAnsi="Times New Roman"/>
          <w:sz w:val="16"/>
          <w:szCs w:val="16"/>
          <w:lang w:val="es-ES"/>
        </w:rPr>
        <w:t>.</w:t>
      </w:r>
    </w:p>
  </w:endnote>
  <w:endnote w:id="77">
    <w:p w14:paraId="16E3F1F4" w14:textId="77777777" w:rsidR="00A02C63" w:rsidRPr="00590037" w:rsidRDefault="00A02C63" w:rsidP="00A02C6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Los órganos de tratado, así como </w:t>
      </w:r>
      <w:r w:rsidRPr="00590037">
        <w:rPr>
          <w:rFonts w:ascii="Times New Roman" w:hAnsi="Times New Roman"/>
          <w:sz w:val="16"/>
          <w:szCs w:val="16"/>
          <w:lang w:val="es-ES"/>
        </w:rPr>
        <w:t xml:space="preserve">la OMS, han sostenido que las niñas y adolescentes necesitan recibir información, educación y consejería técnica completa, veraz y oportuna, de acuerdo con la evolución de sus capacidades, </w:t>
      </w:r>
      <w:r w:rsidRPr="00590037">
        <w:rPr>
          <w:rFonts w:ascii="Times New Roman" w:hAnsi="Times New Roman"/>
          <w:sz w:val="16"/>
          <w:szCs w:val="16"/>
          <w:u w:val="single"/>
          <w:lang w:val="es-ES"/>
        </w:rPr>
        <w:t xml:space="preserve">que faciliten la toma de decisiones autónomas y libres para asumir comportamientos sexuales responsables. </w:t>
      </w:r>
      <w:r w:rsidRPr="00590037">
        <w:rPr>
          <w:rFonts w:ascii="Times New Roman" w:hAnsi="Times New Roman"/>
          <w:sz w:val="16"/>
          <w:szCs w:val="16"/>
          <w:lang w:val="es-ES"/>
        </w:rPr>
        <w:t xml:space="preserve">Comité de los Derechos Niño, Observación General No. 4, </w:t>
      </w:r>
      <w:r w:rsidRPr="00590037">
        <w:rPr>
          <w:rFonts w:ascii="Times New Roman" w:hAnsi="Times New Roman"/>
          <w:i/>
          <w:iCs/>
          <w:sz w:val="16"/>
          <w:szCs w:val="16"/>
          <w:lang w:val="es-ES"/>
        </w:rPr>
        <w:t>La salud y el desarrollo de los adolescentes en el contexto de la Convención sobre los Derechos del Niño,</w:t>
      </w:r>
      <w:r w:rsidRPr="00590037">
        <w:rPr>
          <w:rFonts w:ascii="Times New Roman" w:hAnsi="Times New Roman"/>
          <w:sz w:val="16"/>
          <w:szCs w:val="16"/>
          <w:lang w:val="es-ES"/>
        </w:rPr>
        <w:t xml:space="preserve"> U.N. Doc. CRC/GC/2003/4. 2003, párr. 2, 16, 28, 39, lit. c); </w:t>
      </w:r>
      <w:r w:rsidRPr="00590037">
        <w:rPr>
          <w:rFonts w:ascii="Times New Roman" w:hAnsi="Times New Roman"/>
          <w:i/>
          <w:iCs/>
          <w:sz w:val="16"/>
          <w:szCs w:val="16"/>
          <w:lang w:val="es-ES"/>
        </w:rPr>
        <w:t>Observación general No. 20 sobre la efectividad de los derechos del niño durante la adolescencia.</w:t>
      </w:r>
      <w:r w:rsidRPr="00590037">
        <w:rPr>
          <w:rFonts w:ascii="Times New Roman" w:hAnsi="Times New Roman"/>
          <w:sz w:val="16"/>
          <w:szCs w:val="16"/>
          <w:lang w:val="es-ES"/>
        </w:rPr>
        <w:t xml:space="preserve"> CRC/C/GC/20, 6 de diciembre de 2016, párrs. 39 y 60; Comité CEDAW. </w:t>
      </w:r>
      <w:r w:rsidRPr="00590037">
        <w:rPr>
          <w:rFonts w:ascii="Times New Roman" w:hAnsi="Times New Roman"/>
          <w:i/>
          <w:iCs/>
          <w:sz w:val="16"/>
          <w:szCs w:val="16"/>
          <w:lang w:val="es-ES"/>
        </w:rPr>
        <w:t>Recomendación general No. 36 sobre el derecho de las niñas y las mujeres a la educación</w:t>
      </w:r>
      <w:r w:rsidRPr="00590037">
        <w:rPr>
          <w:rFonts w:ascii="Times New Roman" w:hAnsi="Times New Roman"/>
          <w:sz w:val="16"/>
          <w:szCs w:val="16"/>
          <w:lang w:val="es-ES"/>
        </w:rPr>
        <w:t xml:space="preserve">, CEDAW/C/GC/36. 27 de noviembre de 2017, párr. 68; </w:t>
      </w:r>
      <w:r w:rsidRPr="00590037">
        <w:rPr>
          <w:rFonts w:ascii="Times New Roman" w:hAnsi="Times New Roman"/>
          <w:sz w:val="16"/>
          <w:szCs w:val="16"/>
          <w:lang w:val="es-AR"/>
        </w:rPr>
        <w:t xml:space="preserve">Venezuela. Doc. de la ONU </w:t>
      </w:r>
      <w:r w:rsidRPr="00590037">
        <w:rPr>
          <w:rFonts w:ascii="Times New Roman" w:hAnsi="Times New Roman"/>
          <w:sz w:val="16"/>
          <w:szCs w:val="16"/>
          <w:lang w:val="es-ES"/>
        </w:rPr>
        <w:t xml:space="preserve">CEDAW/C/VEN/CO/6, 31 de enero de 2006, párr. 32; </w:t>
      </w:r>
      <w:r w:rsidRPr="00590037">
        <w:rPr>
          <w:rFonts w:ascii="Times New Roman" w:hAnsi="Times New Roman"/>
          <w:i/>
          <w:iCs/>
          <w:sz w:val="16"/>
          <w:szCs w:val="16"/>
          <w:lang w:val="es-ES"/>
        </w:rPr>
        <w:t>Informe del Comité CEDAW sobre la labor realizada en su 24° período de sesione</w:t>
      </w:r>
      <w:r w:rsidRPr="00590037">
        <w:rPr>
          <w:rFonts w:ascii="Times New Roman" w:hAnsi="Times New Roman"/>
          <w:sz w:val="16"/>
          <w:szCs w:val="16"/>
          <w:lang w:val="es-ES"/>
        </w:rPr>
        <w:t xml:space="preserve">s, </w:t>
      </w:r>
      <w:r w:rsidRPr="00590037">
        <w:rPr>
          <w:rFonts w:ascii="Times New Roman" w:hAnsi="Times New Roman"/>
          <w:sz w:val="16"/>
          <w:szCs w:val="16"/>
          <w:lang w:val="es-AR"/>
        </w:rPr>
        <w:t xml:space="preserve">Doc. de la ONU </w:t>
      </w:r>
      <w:r w:rsidRPr="00590037">
        <w:rPr>
          <w:rFonts w:ascii="Times New Roman" w:hAnsi="Times New Roman"/>
          <w:sz w:val="16"/>
          <w:szCs w:val="16"/>
          <w:lang w:val="es-ES"/>
        </w:rPr>
        <w:t xml:space="preserve">A/56/38, 2001, párr. 62; CIDH. </w:t>
      </w:r>
      <w:r w:rsidRPr="00590037">
        <w:rPr>
          <w:rFonts w:ascii="Times New Roman" w:hAnsi="Times New Roman"/>
          <w:i/>
          <w:iCs/>
          <w:sz w:val="16"/>
          <w:szCs w:val="16"/>
          <w:lang w:val="es-ES"/>
        </w:rPr>
        <w:t>Derecho del niño y la niña a la familia. Cuidado alternativo. Poniendo fin a la institucionalización en las Américas</w:t>
      </w:r>
      <w:r w:rsidRPr="00590037">
        <w:rPr>
          <w:rFonts w:ascii="Times New Roman" w:hAnsi="Times New Roman"/>
          <w:sz w:val="16"/>
          <w:szCs w:val="16"/>
          <w:lang w:val="es-ES"/>
        </w:rPr>
        <w:t xml:space="preserve">. </w:t>
      </w:r>
      <w:r w:rsidRPr="00590037">
        <w:rPr>
          <w:rFonts w:ascii="Times New Roman" w:hAnsi="Times New Roman"/>
          <w:sz w:val="16"/>
          <w:szCs w:val="16"/>
          <w:lang w:val="en-US"/>
        </w:rPr>
        <w:t xml:space="preserve">OEA/Ser.L/V/II. Doc. 54/13 17 octubre 2013, párr. 609; OMS &amp; Human Reproduction Programme. </w:t>
      </w:r>
      <w:r w:rsidRPr="00590037">
        <w:rPr>
          <w:rFonts w:ascii="Times New Roman" w:hAnsi="Times New Roman"/>
          <w:i/>
          <w:iCs/>
          <w:sz w:val="16"/>
          <w:szCs w:val="16"/>
          <w:lang w:val="es-ES"/>
        </w:rPr>
        <w:t>La salud sexual y su relación con la salud reproductiva: un enfoque operativo</w:t>
      </w:r>
      <w:r w:rsidRPr="00590037">
        <w:rPr>
          <w:rFonts w:ascii="Times New Roman" w:hAnsi="Times New Roman"/>
          <w:sz w:val="16"/>
          <w:szCs w:val="16"/>
          <w:lang w:val="es-ES"/>
        </w:rPr>
        <w:t>. OMS: Ginebra. 2018, pág. 3.</w:t>
      </w:r>
      <w:r w:rsidRPr="00590037">
        <w:rPr>
          <w:rFonts w:ascii="Times New Roman" w:hAnsi="Times New Roman"/>
          <w:sz w:val="16"/>
          <w:szCs w:val="16"/>
        </w:rPr>
        <w:t> </w:t>
      </w:r>
    </w:p>
  </w:endnote>
  <w:endnote w:id="78">
    <w:p w14:paraId="2B6B4D2B" w14:textId="77777777" w:rsidR="008D414C" w:rsidRPr="00590037" w:rsidRDefault="008D414C" w:rsidP="008D414C">
      <w:pPr>
        <w:pStyle w:val="EndnoteText"/>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Económicos, Sociales y Culturales, </w:t>
      </w:r>
      <w:r w:rsidRPr="00590037">
        <w:rPr>
          <w:rFonts w:ascii="Times New Roman" w:hAnsi="Times New Roman"/>
          <w:i/>
          <w:iCs/>
          <w:sz w:val="16"/>
          <w:szCs w:val="16"/>
        </w:rPr>
        <w:t>Observaciones finales sobre el tercer informe periódico de Guatemala</w:t>
      </w:r>
      <w:r w:rsidRPr="00590037">
        <w:rPr>
          <w:rFonts w:ascii="Times New Roman" w:hAnsi="Times New Roman"/>
          <w:sz w:val="16"/>
          <w:szCs w:val="16"/>
        </w:rPr>
        <w:t xml:space="preserve"> (9 de diciembre de 2014), UN Doc. E/C.12/GTM/CO/3, párr. 23.</w:t>
      </w:r>
    </w:p>
  </w:endnote>
  <w:endnote w:id="79">
    <w:p w14:paraId="4E7C3B78" w14:textId="77777777" w:rsidR="008D414C" w:rsidRPr="00590037" w:rsidRDefault="008D414C" w:rsidP="008D414C">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los Derechos del Niño de Naciones Unidas. Convención sobre los Derechos del Niño. CRC/C/GTM/CO/5-6. párr. 33.</w:t>
      </w:r>
    </w:p>
  </w:endnote>
  <w:endnote w:id="80">
    <w:p w14:paraId="6E5046DF" w14:textId="62C7374C"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905225" w:rsidRPr="00590037">
        <w:rPr>
          <w:rFonts w:ascii="Times New Roman" w:hAnsi="Times New Roman"/>
          <w:sz w:val="16"/>
          <w:szCs w:val="16"/>
        </w:rPr>
        <w:t>Vicepresidencia de la República de Guatemala. Plan Nacional de Prevención de Embarazos en Adolescentes (Planea) 2018-2022. Diciembre 2017</w:t>
      </w:r>
      <w:r w:rsidRPr="00590037">
        <w:rPr>
          <w:rFonts w:ascii="Times New Roman" w:hAnsi="Times New Roman"/>
          <w:sz w:val="16"/>
          <w:szCs w:val="16"/>
        </w:rPr>
        <w:t>. pág. 25.</w:t>
      </w:r>
    </w:p>
  </w:endnote>
  <w:endnote w:id="81">
    <w:p w14:paraId="18BBC1D7" w14:textId="69A7289E"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p>
  </w:endnote>
  <w:endnote w:id="82">
    <w:p w14:paraId="76080D13" w14:textId="18ACC304"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p>
  </w:endnote>
  <w:endnote w:id="83">
    <w:p w14:paraId="2DEA860B"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Procurador de los Derechos Humanos, Guatemala. Informe sobre el Cumplimiento de las Recomendaciones de la CEDAW relativas al Derecho de las Mujeres a Vivir sin Discriminación y Libres de Violencia por parte del Estado de Guatemala. 2019. pág. 16. </w:t>
      </w:r>
    </w:p>
  </w:endnote>
  <w:endnote w:id="84">
    <w:p w14:paraId="19251C74" w14:textId="51CC48EA"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pág. 19.</w:t>
      </w:r>
    </w:p>
  </w:endnote>
  <w:endnote w:id="85">
    <w:p w14:paraId="3FC15A6B" w14:textId="5DC09F44"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pág. 19.</w:t>
      </w:r>
    </w:p>
  </w:endnote>
  <w:endnote w:id="86">
    <w:p w14:paraId="77B69143" w14:textId="52CCA5F3"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pág. 19.</w:t>
      </w:r>
    </w:p>
  </w:endnote>
  <w:endnote w:id="87">
    <w:p w14:paraId="31EFA1BD"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Plan Nacional para la Prevención y Erradicación de la Violencia Contra las Mujeres 2020-2029, Planovi. Noviembre de 2019. pág. 310.</w:t>
      </w:r>
    </w:p>
  </w:endnote>
  <w:endnote w:id="88">
    <w:p w14:paraId="4278B8B4"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Gobierno de Guatemala. Estadísticas. En: </w:t>
      </w:r>
      <w:hyperlink r:id="rId25" w:history="1">
        <w:r w:rsidRPr="00590037">
          <w:rPr>
            <w:rStyle w:val="Hyperlink"/>
            <w:rFonts w:ascii="Times New Roman" w:hAnsi="Times New Roman"/>
            <w:sz w:val="16"/>
            <w:szCs w:val="16"/>
          </w:rPr>
          <w:t>https://www.svet.gob.gt/estadistica</w:t>
        </w:r>
      </w:hyperlink>
    </w:p>
  </w:endnote>
  <w:endnote w:id="89">
    <w:p w14:paraId="7C0C7641"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Ibídem, pg. 26</w:t>
      </w:r>
    </w:p>
  </w:endnote>
  <w:endnote w:id="90">
    <w:p w14:paraId="0521A21D"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Gobierno de Guatemala. Estadísticas. En: </w:t>
      </w:r>
      <w:hyperlink r:id="rId26" w:history="1">
        <w:r w:rsidRPr="00590037">
          <w:rPr>
            <w:rStyle w:val="Hyperlink"/>
            <w:rFonts w:ascii="Times New Roman" w:hAnsi="Times New Roman"/>
            <w:sz w:val="16"/>
            <w:szCs w:val="16"/>
          </w:rPr>
          <w:t>https://www.svet.gob.gt/estadistica</w:t>
        </w:r>
      </w:hyperlink>
    </w:p>
  </w:endnote>
  <w:endnote w:id="91">
    <w:p w14:paraId="324DCFA9" w14:textId="1958DDC8"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Gobierno de la República de Guatemala, Vicepresidencia, Plan Nacional de Prevención de Embarazos en Adolescentes en Guatemala, 2018 – 2022, PLANEA (Diciembre, 2017) disponible en https://osarguatemala.org/wp-content/uploads/2018/05/PLANEA.pdf.  </w:t>
      </w:r>
    </w:p>
  </w:endnote>
  <w:endnote w:id="92">
    <w:p w14:paraId="0740ACA8" w14:textId="26703BD6"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Comisión Internacional contra la Impunidad en Guatemala. Diálogos por el Fortalecimiento de la Justicia y el Combate a la Impunidad en Guatemala. Junio 2019. pág. 6.</w:t>
      </w:r>
    </w:p>
  </w:endnote>
  <w:endnote w:id="93">
    <w:p w14:paraId="511CA6CD" w14:textId="77777777" w:rsidR="00F81886" w:rsidRPr="00590037" w:rsidRDefault="00F81886" w:rsidP="004B085D">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Procurador de los Derechos Humanos, Guatemala. Informe sobre el Cumplimiento de las Recomendaciones de la CEDAW relativas al Derecho de las Mujeres a Vivir sin Discriminación y Libres de Violencia por parte del Estado de Guatemala. 2019. pág. 11. </w:t>
      </w:r>
    </w:p>
  </w:endnote>
  <w:endnote w:id="94">
    <w:p w14:paraId="5337E9D4" w14:textId="7FC9EEDA"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[énfasis añadido]</w:t>
      </w:r>
    </w:p>
  </w:endnote>
  <w:endnote w:id="95">
    <w:p w14:paraId="373CE3CF" w14:textId="26ABDC92" w:rsidR="00435DC0" w:rsidRPr="00590037" w:rsidRDefault="00435DC0" w:rsidP="00435DC0">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pág. 12.</w:t>
      </w:r>
      <w:r w:rsidR="00652359" w:rsidRPr="00590037">
        <w:rPr>
          <w:rFonts w:ascii="Times New Roman" w:hAnsi="Times New Roman"/>
          <w:sz w:val="16"/>
          <w:szCs w:val="16"/>
        </w:rPr>
        <w:t xml:space="preserve"> “"[E]l limitado número de intérpretes(…) los cuales varios son hombres sin formación en derechos humanos de las mujeres y justicia especializada para ellas, situación que incide negativamente en los resultados de la impartición de la justicia para las mujeres, pues se han tenido experiencias de sesgos y omisiones por parte de intérpretes hombres en audiencias relacionadas en casos de violencia contra la mujer. La débil formación de las y los operadores de justicia en materia de derechos humanos de las mujeres y en justicia especializada, es otro problema estructural en el acceso de las mujeres a la justicia, la Defensoría de la Mujer de la PDH,(…) ha identificado falencias en la recepción de las denuncias y construcción de expedientes de investigación relativas a las mismas, por ejemplo ha conocido casos de mujeres que en el MP, son registrados como faltas a las personas, discriminación o violencia intrafamiliar, cuando el hecho denunciado es violencia contra la mujer. La Defensoría de la Mujer también ha conocido casos de mujeres a quienes se les ha negado la toma de sus denuncias por violencia contra la mujer cuando no presentan rasgos visibles de violencia física y cuando la violencia que viven es en contexto laboral, omitiendo así lo establecido en el inciso b, del artículo 7, del Decreto 22-2008 Ley contra el Femicidio y otras Formas de Violencia contra la Mujer".</w:t>
      </w:r>
    </w:p>
  </w:endnote>
  <w:endnote w:id="96">
    <w:p w14:paraId="27982830" w14:textId="7FDB01E2" w:rsidR="00435DC0" w:rsidRPr="00590037" w:rsidRDefault="00435DC0" w:rsidP="00435DC0">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2F79A8" w:rsidRPr="00590037">
        <w:rPr>
          <w:rFonts w:ascii="Times New Roman" w:hAnsi="Times New Roman"/>
          <w:i/>
          <w:iCs/>
          <w:sz w:val="16"/>
          <w:szCs w:val="16"/>
        </w:rPr>
        <w:t>Ibidem.</w:t>
      </w:r>
      <w:r w:rsidRPr="00590037">
        <w:rPr>
          <w:rFonts w:ascii="Times New Roman" w:hAnsi="Times New Roman"/>
          <w:sz w:val="16"/>
          <w:szCs w:val="16"/>
        </w:rPr>
        <w:t xml:space="preserve"> pág. 12.</w:t>
      </w:r>
    </w:p>
  </w:endnote>
  <w:endnote w:id="97">
    <w:p w14:paraId="0DED43CE" w14:textId="77777777"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Humanos, Naciones Unidas, CCPR/C/GTM/CO/4, 7 de mayo de 2018, párr. 12.</w:t>
      </w:r>
    </w:p>
  </w:endnote>
  <w:endnote w:id="98">
    <w:p w14:paraId="756E6B14" w14:textId="2E6FF093" w:rsidR="00F81886" w:rsidRPr="00590037" w:rsidRDefault="00F81886" w:rsidP="00226E83">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Naciones Unidas (2020): https://www.ohchr.org/sp/NewsEvents/Pages/DisplayNews.aspx?NewsID=25979&amp;LangID=s</w:t>
      </w:r>
    </w:p>
  </w:endnote>
  <w:endnote w:id="99">
    <w:p w14:paraId="5D396E01" w14:textId="77777777" w:rsidR="00305E31" w:rsidRPr="00590037" w:rsidRDefault="00305E31" w:rsidP="00305E31">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Económicos, sociales y culturales. Observación general núm. 22 (2016), relativa al derecho a la salud sexual y reproductiva (artículo 12 del Pacto Internacional de Derechos Económicos, Sociales y Culturales), párr. 10.</w:t>
      </w:r>
    </w:p>
  </w:endnote>
  <w:endnote w:id="100">
    <w:p w14:paraId="2560E8DC" w14:textId="3A8AA19D" w:rsidR="00494525" w:rsidRPr="00E5149F" w:rsidRDefault="00494525" w:rsidP="00E5149F">
      <w:pPr>
        <w:pStyle w:val="EndnoteText"/>
        <w:jc w:val="both"/>
        <w:rPr>
          <w:rFonts w:asciiTheme="minorHAnsi" w:hAnsiTheme="minorHAnsi" w:cstheme="minorHAnsi"/>
          <w:sz w:val="16"/>
          <w:szCs w:val="16"/>
        </w:rPr>
      </w:pPr>
      <w:r w:rsidRPr="00E5149F">
        <w:rPr>
          <w:rStyle w:val="EndnoteReference"/>
          <w:rFonts w:asciiTheme="minorHAnsi" w:hAnsiTheme="minorHAnsi" w:cstheme="minorHAnsi"/>
          <w:sz w:val="16"/>
          <w:szCs w:val="16"/>
        </w:rPr>
        <w:endnoteRef/>
      </w:r>
      <w:r w:rsidRPr="00E5149F">
        <w:rPr>
          <w:rFonts w:asciiTheme="minorHAnsi" w:hAnsiTheme="minorHAnsi" w:cstheme="minorHAnsi"/>
          <w:sz w:val="16"/>
          <w:szCs w:val="16"/>
        </w:rPr>
        <w:t xml:space="preserve"> </w:t>
      </w:r>
      <w:r w:rsidR="00E5149F" w:rsidRPr="00E5149F">
        <w:rPr>
          <w:rFonts w:asciiTheme="minorHAnsi" w:hAnsiTheme="minorHAnsi" w:cstheme="minorHAnsi"/>
          <w:sz w:val="16"/>
          <w:szCs w:val="16"/>
        </w:rPr>
        <w:t>Comité de Derechos Económicos, Sociales y Culturales</w:t>
      </w:r>
      <w:r w:rsidR="00E5149F">
        <w:rPr>
          <w:rFonts w:asciiTheme="minorHAnsi" w:hAnsiTheme="minorHAnsi" w:cstheme="minorHAnsi"/>
          <w:sz w:val="16"/>
          <w:szCs w:val="16"/>
        </w:rPr>
        <w:t xml:space="preserve">, </w:t>
      </w:r>
      <w:r w:rsidR="00E5149F" w:rsidRPr="00E5149F">
        <w:rPr>
          <w:rFonts w:asciiTheme="minorHAnsi" w:hAnsiTheme="minorHAnsi" w:cstheme="minorHAnsi"/>
          <w:i/>
          <w:iCs/>
          <w:sz w:val="16"/>
          <w:szCs w:val="16"/>
        </w:rPr>
        <w:t>Observación general núm. 25 (2020),</w:t>
      </w:r>
      <w:r w:rsidR="00E5149F" w:rsidRPr="00E5149F">
        <w:rPr>
          <w:rFonts w:asciiTheme="minorHAnsi" w:hAnsiTheme="minorHAnsi" w:cstheme="minorHAnsi"/>
          <w:sz w:val="16"/>
          <w:szCs w:val="16"/>
        </w:rPr>
        <w:t xml:space="preserve"> relativa a la ciencia y los derechos económicos, sociales y culturales (artículo 15, párrafos 1 b), 2, 3 y 4, del Pacto Internacional de Derechos Económicos, Sociales y Culturales</w:t>
      </w:r>
      <w:r w:rsidR="00DE40EA">
        <w:rPr>
          <w:rFonts w:asciiTheme="minorHAnsi" w:hAnsiTheme="minorHAnsi" w:cstheme="minorHAnsi"/>
          <w:sz w:val="16"/>
          <w:szCs w:val="16"/>
        </w:rPr>
        <w:t xml:space="preserve"> (30 de abril de 2020</w:t>
      </w:r>
      <w:r w:rsidR="00E5149F" w:rsidRPr="00E5149F">
        <w:rPr>
          <w:rFonts w:asciiTheme="minorHAnsi" w:hAnsiTheme="minorHAnsi" w:cstheme="minorHAnsi"/>
          <w:sz w:val="16"/>
          <w:szCs w:val="16"/>
        </w:rPr>
        <w:t>)</w:t>
      </w:r>
      <w:r w:rsidR="00E5149F">
        <w:rPr>
          <w:rFonts w:asciiTheme="minorHAnsi" w:hAnsiTheme="minorHAnsi" w:cstheme="minorHAnsi"/>
          <w:sz w:val="16"/>
          <w:szCs w:val="16"/>
        </w:rPr>
        <w:t>, UN Doc.</w:t>
      </w:r>
      <w:r w:rsidR="00DE40EA">
        <w:rPr>
          <w:rFonts w:asciiTheme="minorHAnsi" w:hAnsiTheme="minorHAnsi" w:cstheme="minorHAnsi"/>
          <w:sz w:val="16"/>
          <w:szCs w:val="16"/>
        </w:rPr>
        <w:t xml:space="preserve"> </w:t>
      </w:r>
      <w:r w:rsidR="00DE40EA" w:rsidRPr="00DE40EA">
        <w:rPr>
          <w:rFonts w:asciiTheme="minorHAnsi" w:hAnsiTheme="minorHAnsi" w:cstheme="minorHAnsi"/>
          <w:sz w:val="16"/>
          <w:szCs w:val="16"/>
        </w:rPr>
        <w:t>E/C.12/GC/25</w:t>
      </w:r>
      <w:r w:rsidR="00DE40EA">
        <w:rPr>
          <w:rFonts w:asciiTheme="minorHAnsi" w:hAnsiTheme="minorHAnsi" w:cstheme="minorHAnsi"/>
          <w:sz w:val="16"/>
          <w:szCs w:val="16"/>
        </w:rPr>
        <w:t>, p</w:t>
      </w:r>
      <w:r w:rsidR="00E5149F">
        <w:rPr>
          <w:rFonts w:asciiTheme="minorHAnsi" w:hAnsiTheme="minorHAnsi" w:cstheme="minorHAnsi"/>
          <w:sz w:val="16"/>
          <w:szCs w:val="16"/>
        </w:rPr>
        <w:t>árr. 33.</w:t>
      </w:r>
    </w:p>
  </w:endnote>
  <w:endnote w:id="101">
    <w:p w14:paraId="68C3B492" w14:textId="4B7459E5" w:rsidR="00C73717" w:rsidRDefault="00C73717">
      <w:pPr>
        <w:pStyle w:val="EndnoteText"/>
      </w:pPr>
      <w:r w:rsidRPr="00C73717">
        <w:rPr>
          <w:rStyle w:val="EndnoteReference"/>
          <w:b w:val="0"/>
          <w:bCs/>
          <w:sz w:val="20"/>
        </w:rPr>
        <w:endnoteRef/>
      </w:r>
      <w:r>
        <w:t xml:space="preserve"> </w:t>
      </w:r>
      <w:r w:rsidRPr="00E5149F">
        <w:rPr>
          <w:rFonts w:asciiTheme="minorHAnsi" w:hAnsiTheme="minorHAnsi" w:cstheme="minorHAnsi"/>
          <w:i/>
          <w:iCs/>
          <w:sz w:val="16"/>
          <w:szCs w:val="16"/>
        </w:rPr>
        <w:t>Ibidem.</w:t>
      </w:r>
    </w:p>
  </w:endnote>
  <w:endnote w:id="102">
    <w:p w14:paraId="28ADC9E4" w14:textId="49A98C3E" w:rsidR="009C1D0B" w:rsidRPr="00590037" w:rsidRDefault="009C1D0B" w:rsidP="00E5149F">
      <w:pPr>
        <w:pStyle w:val="EndnoteText"/>
        <w:jc w:val="both"/>
        <w:rPr>
          <w:rFonts w:ascii="Times New Roman" w:hAnsi="Times New Roman"/>
          <w:sz w:val="16"/>
          <w:szCs w:val="16"/>
        </w:rPr>
      </w:pPr>
      <w:r w:rsidRPr="00E5149F">
        <w:rPr>
          <w:rStyle w:val="EndnoteReference"/>
          <w:rFonts w:asciiTheme="minorHAnsi" w:hAnsiTheme="minorHAnsi" w:cstheme="minorHAnsi"/>
          <w:sz w:val="16"/>
          <w:szCs w:val="16"/>
        </w:rPr>
        <w:endnoteRef/>
      </w:r>
      <w:r w:rsidRPr="00E5149F">
        <w:rPr>
          <w:rFonts w:asciiTheme="minorHAnsi" w:hAnsiTheme="minorHAnsi" w:cstheme="minorHAnsi"/>
          <w:sz w:val="16"/>
          <w:szCs w:val="16"/>
        </w:rPr>
        <w:t xml:space="preserve"> </w:t>
      </w:r>
      <w:r w:rsidR="002F79A8" w:rsidRPr="00E5149F">
        <w:rPr>
          <w:rFonts w:asciiTheme="minorHAnsi" w:hAnsiTheme="minorHAnsi" w:cstheme="minorHAnsi"/>
          <w:i/>
          <w:iCs/>
          <w:sz w:val="16"/>
          <w:szCs w:val="16"/>
        </w:rPr>
        <w:t>Ibidem.</w:t>
      </w:r>
      <w:r w:rsidRPr="00E5149F">
        <w:rPr>
          <w:rFonts w:asciiTheme="minorHAnsi" w:hAnsiTheme="minorHAnsi" w:cstheme="minorHAnsi"/>
          <w:sz w:val="16"/>
          <w:szCs w:val="16"/>
        </w:rPr>
        <w:t xml:space="preserve"> párr. 28.</w:t>
      </w:r>
      <w:r w:rsidRPr="00590037">
        <w:rPr>
          <w:rFonts w:ascii="Times New Roman" w:hAnsi="Times New Roman"/>
          <w:sz w:val="16"/>
          <w:szCs w:val="16"/>
        </w:rPr>
        <w:t xml:space="preserve"> </w:t>
      </w:r>
    </w:p>
  </w:endnote>
  <w:endnote w:id="103">
    <w:p w14:paraId="033EACDC" w14:textId="4EEBCE49" w:rsidR="00EF3537" w:rsidRPr="00590037" w:rsidRDefault="00EF3537" w:rsidP="00EF3537">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Económicos, sociales y culturales. Observación general núm. 13 (1999)</w:t>
      </w:r>
      <w:r w:rsidR="002F79A8" w:rsidRPr="00590037">
        <w:rPr>
          <w:rFonts w:ascii="Times New Roman" w:hAnsi="Times New Roman"/>
          <w:sz w:val="16"/>
          <w:szCs w:val="16"/>
        </w:rPr>
        <w:t>, párr. 1.</w:t>
      </w:r>
    </w:p>
  </w:endnote>
  <w:endnote w:id="104">
    <w:p w14:paraId="3CAE1DA0" w14:textId="73A22E5F" w:rsidR="00F81886" w:rsidRPr="00590037" w:rsidRDefault="00F81886" w:rsidP="004B085D">
      <w:pPr>
        <w:pStyle w:val="EndnoteText"/>
        <w:jc w:val="both"/>
        <w:rPr>
          <w:rFonts w:ascii="Times New Roman" w:hAnsi="Times New Roman"/>
          <w:sz w:val="16"/>
          <w:szCs w:val="16"/>
        </w:rPr>
      </w:pPr>
      <w:r w:rsidRPr="00590037">
        <w:rPr>
          <w:rStyle w:val="EndnoteReference"/>
          <w:sz w:val="16"/>
          <w:szCs w:val="16"/>
        </w:rPr>
        <w:endnoteRef/>
      </w:r>
      <w:r w:rsidR="00C73717">
        <w:rPr>
          <w:rFonts w:ascii="Times New Roman" w:hAnsi="Times New Roman"/>
          <w:sz w:val="16"/>
          <w:szCs w:val="16"/>
        </w:rPr>
        <w:t xml:space="preserve"> </w:t>
      </w:r>
      <w:r w:rsidR="009C1D0B" w:rsidRPr="00590037">
        <w:rPr>
          <w:rFonts w:ascii="Times New Roman" w:hAnsi="Times New Roman"/>
          <w:sz w:val="16"/>
          <w:szCs w:val="16"/>
        </w:rPr>
        <w:t>C</w:t>
      </w:r>
      <w:r w:rsidRPr="00590037">
        <w:rPr>
          <w:rFonts w:ascii="Times New Roman" w:hAnsi="Times New Roman"/>
          <w:sz w:val="16"/>
          <w:szCs w:val="16"/>
        </w:rPr>
        <w:t xml:space="preserve">omité de Derechos Económicos, sociales y culturales. Observación general núm. 16 (2005). Disponible en: </w:t>
      </w:r>
      <w:hyperlink r:id="rId27" w:history="1">
        <w:r w:rsidRPr="00590037">
          <w:rPr>
            <w:rStyle w:val="Hyperlink"/>
            <w:rFonts w:ascii="Times New Roman" w:hAnsi="Times New Roman"/>
            <w:sz w:val="16"/>
            <w:szCs w:val="16"/>
          </w:rPr>
          <w:t>https://tbinternet.ohchr.org/_layouts/15/treatybodyexternal/TBSearch.aspx?Lang=es&amp;TreatyID=9&amp;DocTypeID=11</w:t>
        </w:r>
      </w:hyperlink>
    </w:p>
  </w:endnote>
  <w:endnote w:id="105">
    <w:p w14:paraId="26FEC113" w14:textId="5A8BD70F" w:rsidR="005B76CE" w:rsidRPr="00590037" w:rsidRDefault="005B76CE" w:rsidP="00B429A7">
      <w:pPr>
        <w:pBdr>
          <w:top w:val="nil"/>
          <w:left w:val="nil"/>
          <w:bottom w:val="nil"/>
          <w:right w:val="nil"/>
          <w:between w:val="nil"/>
        </w:pBdr>
        <w:spacing w:after="0"/>
        <w:jc w:val="both"/>
        <w:rPr>
          <w:rFonts w:ascii="Times New Roman" w:hAnsi="Times New Roman" w:cs="Times New Roman"/>
          <w:color w:val="000000"/>
          <w:sz w:val="16"/>
          <w:szCs w:val="16"/>
          <w:lang w:val="es-CO"/>
        </w:rPr>
      </w:pPr>
      <w:r w:rsidRPr="00590037">
        <w:rPr>
          <w:rStyle w:val="EndnoteReference"/>
          <w:rFonts w:cs="Times New Roman"/>
          <w:sz w:val="16"/>
          <w:szCs w:val="16"/>
        </w:rPr>
        <w:endnoteRef/>
      </w:r>
      <w:r w:rsidRPr="00590037">
        <w:rPr>
          <w:rFonts w:ascii="Times New Roman" w:hAnsi="Times New Roman" w:cs="Times New Roman"/>
          <w:sz w:val="16"/>
          <w:szCs w:val="16"/>
          <w:lang w:val="es-CO"/>
        </w:rPr>
        <w:t xml:space="preserve"> </w:t>
      </w:r>
      <w:r w:rsidR="00B429A7" w:rsidRPr="00590037">
        <w:rPr>
          <w:rFonts w:ascii="Times New Roman" w:hAnsi="Times New Roman" w:cs="Times New Roman"/>
          <w:color w:val="000000"/>
          <w:sz w:val="16"/>
          <w:szCs w:val="16"/>
          <w:lang w:val="es-CO"/>
        </w:rPr>
        <w:t xml:space="preserve">La COVID-19 es una enfermedad infectocontagiosa causada por el virus SARS-COV-2, que, en virtud de la magnitud de la expansión del contagio por todo el mundo, ha sido considerada por la Organización Mundial de la Salud (en adelante “OMS”) </w:t>
      </w:r>
      <w:r w:rsidR="00B429A7" w:rsidRPr="00590037">
        <w:rPr>
          <w:rFonts w:ascii="Times New Roman" w:hAnsi="Times New Roman" w:cs="Times New Roman"/>
          <w:b/>
          <w:bCs/>
          <w:color w:val="000000"/>
          <w:sz w:val="16"/>
          <w:szCs w:val="16"/>
          <w:lang w:val="es-CO"/>
        </w:rPr>
        <w:t>como una pandemia</w:t>
      </w:r>
      <w:r w:rsidR="00B429A7" w:rsidRPr="00590037">
        <w:rPr>
          <w:rFonts w:ascii="Times New Roman" w:hAnsi="Times New Roman" w:cs="Times New Roman"/>
          <w:color w:val="000000"/>
          <w:sz w:val="16"/>
          <w:szCs w:val="16"/>
          <w:lang w:val="es-CO"/>
        </w:rPr>
        <w:t xml:space="preserve">. OMS,  </w:t>
      </w:r>
      <w:r w:rsidR="00B429A7" w:rsidRPr="00590037">
        <w:rPr>
          <w:rFonts w:ascii="Times New Roman" w:hAnsi="Times New Roman" w:cs="Times New Roman"/>
          <w:i/>
          <w:color w:val="000000"/>
          <w:sz w:val="16"/>
          <w:szCs w:val="16"/>
          <w:lang w:val="es-CO"/>
        </w:rPr>
        <w:t>Alocución de apertura del Director General de la OMS en la rueda de prensa sobre la COVID-19 celebrada el 11 de marzo de 2020</w:t>
      </w:r>
      <w:r w:rsidR="00B429A7" w:rsidRPr="00590037">
        <w:rPr>
          <w:rFonts w:ascii="Times New Roman" w:hAnsi="Times New Roman" w:cs="Times New Roman"/>
          <w:sz w:val="16"/>
          <w:szCs w:val="16"/>
          <w:lang w:val="es-CO"/>
        </w:rPr>
        <w:t>-</w:t>
      </w:r>
      <w:r w:rsidR="00B429A7" w:rsidRPr="00590037">
        <w:rPr>
          <w:rFonts w:ascii="Times New Roman" w:hAnsi="Times New Roman" w:cs="Times New Roman"/>
          <w:color w:val="000000"/>
          <w:sz w:val="16"/>
          <w:szCs w:val="16"/>
          <w:lang w:val="es-CO"/>
        </w:rPr>
        <w:t xml:space="preserve"> </w:t>
      </w:r>
      <w:r w:rsidR="00B429A7" w:rsidRPr="00590037">
        <w:rPr>
          <w:rFonts w:ascii="Times New Roman" w:hAnsi="Times New Roman" w:cs="Times New Roman"/>
          <w:sz w:val="16"/>
          <w:szCs w:val="16"/>
          <w:lang w:val="es-CO"/>
        </w:rPr>
        <w:t>D</w:t>
      </w:r>
      <w:r w:rsidR="00B429A7" w:rsidRPr="00590037">
        <w:rPr>
          <w:rFonts w:ascii="Times New Roman" w:hAnsi="Times New Roman" w:cs="Times New Roman"/>
          <w:color w:val="000000"/>
          <w:sz w:val="16"/>
          <w:szCs w:val="16"/>
          <w:lang w:val="es-CO"/>
        </w:rPr>
        <w:t xml:space="preserve">isponible en: </w:t>
      </w:r>
      <w:hyperlink r:id="rId28">
        <w:r w:rsidR="00B429A7" w:rsidRPr="00590037">
          <w:rPr>
            <w:rFonts w:ascii="Times New Roman" w:hAnsi="Times New Roman" w:cs="Times New Roman"/>
            <w:sz w:val="16"/>
            <w:szCs w:val="16"/>
            <w:lang w:val="es-CO"/>
          </w:rPr>
          <w:t>https://www.who.int/es/dg/speeches/detail/who-director-general-s-opening-remarks-at-the-media-briefing-on-covid-19---11-march-2020</w:t>
        </w:r>
      </w:hyperlink>
      <w:r w:rsidR="00B429A7" w:rsidRPr="00590037">
        <w:rPr>
          <w:rFonts w:ascii="Times New Roman" w:hAnsi="Times New Roman" w:cs="Times New Roman"/>
          <w:sz w:val="16"/>
          <w:szCs w:val="16"/>
          <w:lang w:val="es-CO"/>
        </w:rPr>
        <w:t xml:space="preserve"> (a</w:t>
      </w:r>
      <w:r w:rsidR="00B429A7" w:rsidRPr="00590037">
        <w:rPr>
          <w:rFonts w:ascii="Times New Roman" w:hAnsi="Times New Roman" w:cs="Times New Roman"/>
          <w:color w:val="000000"/>
          <w:sz w:val="16"/>
          <w:szCs w:val="16"/>
          <w:lang w:val="es-CO"/>
        </w:rPr>
        <w:t xml:space="preserve">cceso el 23 de abril de 2020). </w:t>
      </w:r>
    </w:p>
  </w:endnote>
  <w:endnote w:id="106">
    <w:p w14:paraId="7AD6ABC6" w14:textId="3B2AD2FB" w:rsidR="006B777B" w:rsidRPr="00590037" w:rsidRDefault="006B777B" w:rsidP="00B429A7">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B429A7" w:rsidRPr="00590037">
        <w:rPr>
          <w:rFonts w:ascii="Times New Roman" w:hAnsi="Times New Roman"/>
          <w:sz w:val="16"/>
          <w:szCs w:val="16"/>
        </w:rPr>
        <w:t xml:space="preserve">Comisión Interamerican de Mujeres (CIM), </w:t>
      </w:r>
      <w:r w:rsidR="00B429A7" w:rsidRPr="00590037">
        <w:rPr>
          <w:rFonts w:ascii="Times New Roman" w:hAnsi="Times New Roman"/>
          <w:i/>
          <w:iCs/>
          <w:sz w:val="16"/>
          <w:szCs w:val="16"/>
        </w:rPr>
        <w:t>COVID-19 en la vida de las mujeres: Razones para reconocer los impactos diferenciados</w:t>
      </w:r>
      <w:r w:rsidR="00B429A7" w:rsidRPr="00590037">
        <w:rPr>
          <w:rFonts w:ascii="Times New Roman" w:hAnsi="Times New Roman"/>
          <w:sz w:val="16"/>
          <w:szCs w:val="16"/>
        </w:rPr>
        <w:t xml:space="preserve"> (Abril 2020), pág. 3. Disponible en: </w:t>
      </w:r>
      <w:hyperlink r:id="rId29" w:history="1">
        <w:r w:rsidR="00B429A7" w:rsidRPr="00590037">
          <w:rPr>
            <w:rStyle w:val="Hyperlink"/>
            <w:rFonts w:ascii="Times New Roman" w:hAnsi="Times New Roman"/>
            <w:sz w:val="16"/>
            <w:szCs w:val="16"/>
          </w:rPr>
          <w:t>http://www.oas.org/es/cim/docs/ArgumentarioCOVID19-ES.pdf</w:t>
        </w:r>
      </w:hyperlink>
      <w:r w:rsidR="00B429A7" w:rsidRPr="00590037">
        <w:rPr>
          <w:rFonts w:ascii="Times New Roman" w:hAnsi="Times New Roman"/>
          <w:sz w:val="16"/>
          <w:szCs w:val="16"/>
        </w:rPr>
        <w:t>. [</w:t>
      </w:r>
      <w:r w:rsidR="00B429A7" w:rsidRPr="00590037">
        <w:rPr>
          <w:rFonts w:ascii="Times New Roman" w:hAnsi="Times New Roman"/>
          <w:b/>
          <w:bCs/>
          <w:sz w:val="16"/>
          <w:szCs w:val="16"/>
        </w:rPr>
        <w:t xml:space="preserve">CIM, </w:t>
      </w:r>
      <w:r w:rsidR="00B429A7" w:rsidRPr="00590037">
        <w:rPr>
          <w:rFonts w:ascii="Times New Roman" w:hAnsi="Times New Roman"/>
          <w:b/>
          <w:bCs/>
          <w:i/>
          <w:iCs/>
          <w:sz w:val="16"/>
          <w:szCs w:val="16"/>
        </w:rPr>
        <w:t>COVID-19 en la vida de las mujeres</w:t>
      </w:r>
      <w:r w:rsidR="00B429A7" w:rsidRPr="00590037">
        <w:rPr>
          <w:rFonts w:ascii="Times New Roman" w:hAnsi="Times New Roman"/>
          <w:sz w:val="16"/>
          <w:szCs w:val="16"/>
        </w:rPr>
        <w:t>]</w:t>
      </w:r>
    </w:p>
  </w:endnote>
  <w:endnote w:id="107">
    <w:p w14:paraId="09B2C22D" w14:textId="3B58EDE3" w:rsidR="00BB28F5" w:rsidRPr="00590037" w:rsidRDefault="00BB28F5" w:rsidP="004B085D">
      <w:pPr>
        <w:spacing w:after="0"/>
        <w:jc w:val="both"/>
        <w:rPr>
          <w:rFonts w:ascii="Times New Roman" w:eastAsia="Times New Roman" w:hAnsi="Times New Roman" w:cs="Times New Roman"/>
          <w:sz w:val="16"/>
          <w:szCs w:val="16"/>
          <w:lang w:val="es-ES"/>
        </w:rPr>
      </w:pPr>
      <w:r w:rsidRPr="00590037">
        <w:rPr>
          <w:rStyle w:val="EndnoteReference"/>
          <w:rFonts w:cs="Times New Roman"/>
          <w:sz w:val="16"/>
          <w:szCs w:val="16"/>
        </w:rPr>
        <w:endnoteRef/>
      </w:r>
      <w:r w:rsidRPr="00590037">
        <w:rPr>
          <w:rFonts w:ascii="Times New Roman" w:hAnsi="Times New Roman" w:cs="Times New Roman"/>
          <w:sz w:val="16"/>
          <w:szCs w:val="16"/>
          <w:lang w:val="es-ES"/>
        </w:rPr>
        <w:t xml:space="preserve"> </w:t>
      </w:r>
      <w:r w:rsidRPr="00590037">
        <w:rPr>
          <w:rFonts w:ascii="Times New Roman" w:eastAsia="Times New Roman" w:hAnsi="Times New Roman" w:cs="Times New Roman"/>
          <w:sz w:val="16"/>
          <w:szCs w:val="16"/>
          <w:lang w:val="es-CO"/>
        </w:rPr>
        <w:t xml:space="preserve">Comité de Derechos Económicos, Sociales y Culturales, </w:t>
      </w:r>
      <w:r w:rsidRPr="00590037">
        <w:rPr>
          <w:rFonts w:ascii="Times New Roman" w:eastAsia="Times New Roman" w:hAnsi="Times New Roman" w:cs="Times New Roman"/>
          <w:i/>
          <w:iCs/>
          <w:sz w:val="16"/>
          <w:szCs w:val="16"/>
          <w:lang w:val="es-CO"/>
        </w:rPr>
        <w:t>Pronunciamiento sobre la pandemia del COVID-19 y los derechos económicos, sociales y culturales</w:t>
      </w:r>
      <w:r w:rsidRPr="00590037">
        <w:rPr>
          <w:rFonts w:ascii="Times New Roman" w:eastAsia="Times New Roman" w:hAnsi="Times New Roman" w:cs="Times New Roman"/>
          <w:sz w:val="16"/>
          <w:szCs w:val="16"/>
          <w:lang w:val="es-CO"/>
        </w:rPr>
        <w:t xml:space="preserve"> (abril 6, 2020), UN Doc. </w:t>
      </w:r>
      <w:r w:rsidRPr="00590037">
        <w:rPr>
          <w:rFonts w:ascii="Times New Roman" w:eastAsia="Times New Roman" w:hAnsi="Times New Roman" w:cs="Times New Roman"/>
          <w:sz w:val="16"/>
          <w:szCs w:val="16"/>
          <w:lang w:val="es-ES"/>
        </w:rPr>
        <w:t>E/C.12/2020/1</w:t>
      </w:r>
      <w:r w:rsidR="00DF148D" w:rsidRPr="00590037">
        <w:rPr>
          <w:rFonts w:ascii="Times New Roman" w:eastAsia="Times New Roman" w:hAnsi="Times New Roman" w:cs="Times New Roman"/>
          <w:sz w:val="16"/>
          <w:szCs w:val="16"/>
          <w:lang w:val="es-ES"/>
        </w:rPr>
        <w:t>.</w:t>
      </w:r>
    </w:p>
  </w:endnote>
  <w:endnote w:id="108">
    <w:p w14:paraId="65EC48D5" w14:textId="56E1D1B1" w:rsidR="0056069D" w:rsidRPr="00590037" w:rsidRDefault="0056069D" w:rsidP="004B085D">
      <w:pPr>
        <w:pStyle w:val="paragraph"/>
        <w:spacing w:before="0" w:beforeAutospacing="0" w:after="0" w:afterAutospacing="0"/>
        <w:jc w:val="both"/>
        <w:textAlignment w:val="baseline"/>
        <w:rPr>
          <w:sz w:val="16"/>
          <w:szCs w:val="16"/>
          <w:lang w:val="es-ES"/>
        </w:rPr>
      </w:pPr>
      <w:r w:rsidRPr="00590037">
        <w:rPr>
          <w:rStyle w:val="EndnoteReference"/>
          <w:sz w:val="16"/>
          <w:szCs w:val="16"/>
        </w:rPr>
        <w:endnoteRef/>
      </w:r>
      <w:r w:rsidRPr="00590037">
        <w:rPr>
          <w:sz w:val="16"/>
          <w:szCs w:val="16"/>
          <w:lang w:val="es-ES"/>
        </w:rPr>
        <w:t xml:space="preserve"> </w:t>
      </w:r>
      <w:r w:rsidRPr="00590037">
        <w:rPr>
          <w:rStyle w:val="normaltextrun"/>
          <w:sz w:val="16"/>
          <w:szCs w:val="16"/>
          <w:lang w:val="es-CO"/>
        </w:rPr>
        <w:t xml:space="preserve">Oficina del Alto Comisionado de los Derechos Humanos de Naciones Unidas. </w:t>
      </w:r>
      <w:r w:rsidRPr="00590037">
        <w:rPr>
          <w:rStyle w:val="normaltextrun"/>
          <w:i/>
          <w:iCs/>
          <w:sz w:val="16"/>
          <w:szCs w:val="16"/>
          <w:lang w:val="es-ES"/>
        </w:rPr>
        <w:t>Guía COVID-19 y los Derechos Humanos de Mujeres</w:t>
      </w:r>
      <w:r w:rsidRPr="00590037">
        <w:rPr>
          <w:rStyle w:val="normaltextrun"/>
          <w:sz w:val="16"/>
          <w:szCs w:val="16"/>
          <w:lang w:val="es-CO"/>
        </w:rPr>
        <w:t xml:space="preserve"> 15 de abril de 2020. </w:t>
      </w:r>
      <w:r w:rsidRPr="00590037">
        <w:rPr>
          <w:rStyle w:val="normaltextrun"/>
          <w:sz w:val="16"/>
          <w:szCs w:val="16"/>
          <w:lang w:val="en-US"/>
        </w:rPr>
        <w:t xml:space="preserve">Refiriendo que “Stay-at-home restrictions and other measures restricting the movement of people contribute to an increase in genderbased violence, a finding confirmed by media reports, official statements and information received from OHCHR field presences and human rights defenders in many countries. Women and girls already in abusive situations are more exposed to increased control and restrictions by their abusers, with little or no recourse to seek support”, pág. 1. </w:t>
      </w:r>
      <w:r w:rsidRPr="00590037">
        <w:rPr>
          <w:rStyle w:val="normaltextrun"/>
          <w:sz w:val="16"/>
          <w:szCs w:val="16"/>
          <w:lang w:val="es-CO"/>
        </w:rPr>
        <w:t xml:space="preserve">Disponible en: </w:t>
      </w:r>
      <w:hyperlink r:id="rId30" w:tgtFrame="_blank" w:history="1">
        <w:r w:rsidRPr="00590037">
          <w:rPr>
            <w:rStyle w:val="normaltextrun"/>
            <w:color w:val="0563C1"/>
            <w:sz w:val="16"/>
            <w:szCs w:val="16"/>
            <w:u w:val="single"/>
            <w:lang w:val="es-CO"/>
          </w:rPr>
          <w:t>https://www.ohchr.org/Documents/Issues/Women/COVID-19_and_Womens_Human_Rights.pdf</w:t>
        </w:r>
      </w:hyperlink>
      <w:r w:rsidRPr="00590037">
        <w:rPr>
          <w:rStyle w:val="normaltextrun"/>
          <w:sz w:val="16"/>
          <w:szCs w:val="16"/>
          <w:lang w:val="es-CO"/>
        </w:rPr>
        <w:t>. [</w:t>
      </w:r>
      <w:r w:rsidRPr="00590037">
        <w:rPr>
          <w:rStyle w:val="normaltextrun"/>
          <w:b/>
          <w:bCs/>
          <w:sz w:val="16"/>
          <w:szCs w:val="16"/>
          <w:lang w:val="es-CO"/>
        </w:rPr>
        <w:t xml:space="preserve">Oficina del Alto Comisionado de los Derechos Humanos de Naciones Unidas, </w:t>
      </w:r>
      <w:r w:rsidRPr="00590037">
        <w:rPr>
          <w:rStyle w:val="normaltextrun"/>
          <w:b/>
          <w:bCs/>
          <w:i/>
          <w:iCs/>
          <w:sz w:val="16"/>
          <w:szCs w:val="16"/>
          <w:lang w:val="es-ES"/>
        </w:rPr>
        <w:t>Guía COVID-19 y los Derechos Humanos de Mujeres</w:t>
      </w:r>
      <w:r w:rsidRPr="00590037">
        <w:rPr>
          <w:rStyle w:val="normaltextrun"/>
          <w:sz w:val="16"/>
          <w:szCs w:val="16"/>
          <w:lang w:val="es-CO"/>
        </w:rPr>
        <w:t>].</w:t>
      </w:r>
      <w:r w:rsidRPr="00590037">
        <w:rPr>
          <w:rStyle w:val="eop"/>
          <w:sz w:val="16"/>
          <w:szCs w:val="16"/>
          <w:lang w:val="es-ES"/>
        </w:rPr>
        <w:t> </w:t>
      </w:r>
    </w:p>
  </w:endnote>
  <w:endnote w:id="109">
    <w:p w14:paraId="14BC6A56" w14:textId="3BBCDD84" w:rsidR="0056069D" w:rsidRPr="00590037" w:rsidRDefault="0056069D" w:rsidP="004B085D">
      <w:pPr>
        <w:spacing w:after="0"/>
        <w:rPr>
          <w:rFonts w:ascii="Times New Roman" w:eastAsia="Times New Roman" w:hAnsi="Times New Roman" w:cs="Times New Roman"/>
          <w:sz w:val="16"/>
          <w:szCs w:val="16"/>
          <w:lang w:val="es-ES"/>
        </w:rPr>
      </w:pPr>
      <w:r w:rsidRPr="00590037">
        <w:rPr>
          <w:rStyle w:val="EndnoteReference"/>
          <w:rFonts w:cs="Times New Roman"/>
          <w:sz w:val="16"/>
          <w:szCs w:val="16"/>
        </w:rPr>
        <w:endnoteRef/>
      </w:r>
      <w:r w:rsidRPr="00590037">
        <w:rPr>
          <w:rFonts w:ascii="Times New Roman" w:hAnsi="Times New Roman" w:cs="Times New Roman"/>
          <w:sz w:val="16"/>
          <w:szCs w:val="16"/>
        </w:rPr>
        <w:t xml:space="preserve"> </w:t>
      </w:r>
      <w:r w:rsidRPr="00590037">
        <w:rPr>
          <w:rFonts w:ascii="Times New Roman" w:eastAsia="Times New Roman" w:hAnsi="Times New Roman" w:cs="Times New Roman"/>
          <w:sz w:val="16"/>
          <w:szCs w:val="16"/>
        </w:rPr>
        <w:t xml:space="preserve">Comité CEDAW, </w:t>
      </w:r>
      <w:r w:rsidRPr="00590037">
        <w:rPr>
          <w:rFonts w:ascii="Times New Roman" w:eastAsia="Times New Roman" w:hAnsi="Times New Roman" w:cs="Times New Roman"/>
          <w:i/>
          <w:iCs/>
          <w:sz w:val="16"/>
          <w:szCs w:val="16"/>
        </w:rPr>
        <w:t>Guidance Note on CEDAW and COVID-19</w:t>
      </w:r>
      <w:r w:rsidRPr="00590037">
        <w:rPr>
          <w:rFonts w:ascii="Times New Roman" w:eastAsia="Times New Roman" w:hAnsi="Times New Roman" w:cs="Times New Roman"/>
          <w:sz w:val="16"/>
          <w:szCs w:val="16"/>
        </w:rPr>
        <w:t xml:space="preserve">, abril de 2020. </w:t>
      </w:r>
      <w:r w:rsidRPr="00590037">
        <w:rPr>
          <w:rFonts w:ascii="Times New Roman" w:eastAsia="Times New Roman" w:hAnsi="Times New Roman" w:cs="Times New Roman"/>
          <w:sz w:val="16"/>
          <w:szCs w:val="16"/>
          <w:lang w:val="es-CO"/>
        </w:rPr>
        <w:t xml:space="preserve">En el </w:t>
      </w:r>
      <w:r w:rsidRPr="00590037">
        <w:rPr>
          <w:rFonts w:ascii="Times New Roman" w:eastAsia="Times New Roman" w:hAnsi="Times New Roman" w:cs="Times New Roman"/>
          <w:i/>
          <w:iCs/>
          <w:sz w:val="16"/>
          <w:szCs w:val="16"/>
          <w:lang w:val="es-CO"/>
        </w:rPr>
        <w:t>Guidance Note sobre la CEDAW y el COVID-19</w:t>
      </w:r>
      <w:r w:rsidRPr="00590037">
        <w:rPr>
          <w:rFonts w:ascii="Times New Roman" w:eastAsia="Times New Roman" w:hAnsi="Times New Roman" w:cs="Times New Roman"/>
          <w:sz w:val="16"/>
          <w:szCs w:val="16"/>
          <w:lang w:val="es-CO"/>
        </w:rPr>
        <w:t xml:space="preserve"> este Comité miró con preocupación las desigualdades </w:t>
      </w:r>
      <w:r w:rsidRPr="00590037">
        <w:rPr>
          <w:rFonts w:ascii="Times New Roman" w:eastAsia="Times New Roman" w:hAnsi="Times New Roman" w:cs="Times New Roman"/>
          <w:sz w:val="16"/>
          <w:szCs w:val="16"/>
          <w:u w:val="single"/>
          <w:lang w:val="es-CO"/>
        </w:rPr>
        <w:t>y los riesgos exacerbados de violencia de género y discriminación que la pandemia tienen para las mujeres</w:t>
      </w:r>
      <w:r w:rsidR="00DF148D" w:rsidRPr="00590037">
        <w:rPr>
          <w:rFonts w:ascii="Times New Roman" w:eastAsia="Times New Roman" w:hAnsi="Times New Roman" w:cs="Times New Roman"/>
          <w:sz w:val="16"/>
          <w:szCs w:val="16"/>
          <w:u w:val="single"/>
          <w:lang w:val="es-CO"/>
        </w:rPr>
        <w:t>.</w:t>
      </w:r>
    </w:p>
  </w:endnote>
  <w:endnote w:id="110">
    <w:p w14:paraId="0C604B7E" w14:textId="5DEC9F40" w:rsidR="0005539C" w:rsidRPr="00590037" w:rsidRDefault="0005539C" w:rsidP="004B085D">
      <w:pPr>
        <w:spacing w:after="0"/>
        <w:contextualSpacing/>
        <w:rPr>
          <w:rFonts w:ascii="Times New Roman" w:eastAsia="Times New Roman" w:hAnsi="Times New Roman" w:cs="Times New Roman"/>
          <w:sz w:val="16"/>
          <w:szCs w:val="16"/>
          <w:lang w:val="es-ES"/>
        </w:rPr>
      </w:pPr>
      <w:r w:rsidRPr="00590037">
        <w:rPr>
          <w:rStyle w:val="EndnoteReference"/>
          <w:rFonts w:cs="Times New Roman"/>
          <w:sz w:val="16"/>
          <w:szCs w:val="16"/>
        </w:rPr>
        <w:endnoteRef/>
      </w:r>
      <w:r w:rsidRPr="00590037">
        <w:rPr>
          <w:rFonts w:ascii="Times New Roman" w:hAnsi="Times New Roman" w:cs="Times New Roman"/>
          <w:sz w:val="16"/>
          <w:szCs w:val="16"/>
          <w:lang w:val="es-ES"/>
        </w:rPr>
        <w:t xml:space="preserve"> </w:t>
      </w:r>
      <w:r w:rsidRPr="00590037">
        <w:rPr>
          <w:rFonts w:ascii="Times New Roman" w:eastAsia="Times New Roman" w:hAnsi="Times New Roman" w:cs="Times New Roman"/>
          <w:sz w:val="16"/>
          <w:szCs w:val="16"/>
          <w:lang w:val="es-CO"/>
        </w:rPr>
        <w:t xml:space="preserve">CIDH. </w:t>
      </w:r>
      <w:r w:rsidRPr="00590037">
        <w:rPr>
          <w:rFonts w:ascii="Times New Roman" w:eastAsia="Times New Roman" w:hAnsi="Times New Roman" w:cs="Times New Roman"/>
          <w:i/>
          <w:iCs/>
          <w:sz w:val="16"/>
          <w:szCs w:val="16"/>
          <w:lang w:val="es-US"/>
        </w:rPr>
        <w:t>Resolución No. 1/2020: Pandemia y Derechos Humanos en las Américas</w:t>
      </w:r>
      <w:r w:rsidRPr="00590037">
        <w:rPr>
          <w:rFonts w:ascii="Times New Roman" w:eastAsia="Times New Roman" w:hAnsi="Times New Roman" w:cs="Times New Roman"/>
          <w:sz w:val="16"/>
          <w:szCs w:val="16"/>
          <w:lang w:val="es-US"/>
        </w:rPr>
        <w:t xml:space="preserve">. 10 de abril de 2020, pág. 7. Disponible en: </w:t>
      </w:r>
      <w:hyperlink r:id="rId31" w:tgtFrame="_blank" w:history="1">
        <w:r w:rsidRPr="00590037">
          <w:rPr>
            <w:rFonts w:ascii="Times New Roman" w:eastAsia="Times New Roman" w:hAnsi="Times New Roman" w:cs="Times New Roman"/>
            <w:color w:val="0563C1"/>
            <w:sz w:val="16"/>
            <w:szCs w:val="16"/>
            <w:u w:val="single"/>
            <w:lang w:val="es-US"/>
          </w:rPr>
          <w:t>https://www.oas.org/es/cidh/decisiones/pdf/Resolucion-1-20-es.pdf</w:t>
        </w:r>
      </w:hyperlink>
      <w:r w:rsidRPr="00590037">
        <w:rPr>
          <w:rFonts w:ascii="Times New Roman" w:eastAsia="Times New Roman" w:hAnsi="Times New Roman" w:cs="Times New Roman"/>
          <w:sz w:val="16"/>
          <w:szCs w:val="16"/>
          <w:lang w:val="es-US"/>
        </w:rPr>
        <w:t xml:space="preserve"> </w:t>
      </w:r>
      <w:r w:rsidRPr="00590037">
        <w:rPr>
          <w:rFonts w:ascii="Times New Roman" w:eastAsia="Times New Roman" w:hAnsi="Times New Roman" w:cs="Times New Roman"/>
          <w:sz w:val="16"/>
          <w:szCs w:val="16"/>
          <w:lang w:val="es-CO"/>
        </w:rPr>
        <w:t>[</w:t>
      </w:r>
      <w:r w:rsidRPr="00590037">
        <w:rPr>
          <w:rFonts w:ascii="Times New Roman" w:eastAsia="Times New Roman" w:hAnsi="Times New Roman" w:cs="Times New Roman"/>
          <w:b/>
          <w:bCs/>
          <w:sz w:val="16"/>
          <w:szCs w:val="16"/>
          <w:lang w:val="es-US"/>
        </w:rPr>
        <w:t xml:space="preserve">CIDH. </w:t>
      </w:r>
      <w:r w:rsidRPr="00590037">
        <w:rPr>
          <w:rFonts w:ascii="Times New Roman" w:eastAsia="Times New Roman" w:hAnsi="Times New Roman" w:cs="Times New Roman"/>
          <w:b/>
          <w:bCs/>
          <w:i/>
          <w:iCs/>
          <w:sz w:val="16"/>
          <w:szCs w:val="16"/>
          <w:lang w:val="es-US"/>
        </w:rPr>
        <w:t>Resolución No. 1/2020: Pandemia y Derechos Humanos en las Américas</w:t>
      </w:r>
      <w:r w:rsidRPr="00590037">
        <w:rPr>
          <w:rFonts w:ascii="Times New Roman" w:eastAsia="Times New Roman" w:hAnsi="Times New Roman" w:cs="Times New Roman"/>
          <w:sz w:val="16"/>
          <w:szCs w:val="16"/>
          <w:lang w:val="es-CO"/>
        </w:rPr>
        <w:t>].</w:t>
      </w:r>
    </w:p>
  </w:endnote>
  <w:endnote w:id="111">
    <w:p w14:paraId="7A0E5407" w14:textId="4383AC15" w:rsidR="00DF148D" w:rsidRPr="00590037" w:rsidRDefault="00DF148D" w:rsidP="004B085D">
      <w:pPr>
        <w:pStyle w:val="paragraph"/>
        <w:spacing w:before="0" w:beforeAutospacing="0" w:after="0" w:afterAutospacing="0"/>
        <w:jc w:val="both"/>
        <w:textAlignment w:val="baseline"/>
        <w:rPr>
          <w:sz w:val="16"/>
          <w:szCs w:val="16"/>
          <w:lang w:val="es-ES"/>
        </w:rPr>
      </w:pPr>
      <w:r w:rsidRPr="00590037">
        <w:rPr>
          <w:rStyle w:val="EndnoteReference"/>
          <w:sz w:val="16"/>
          <w:szCs w:val="16"/>
        </w:rPr>
        <w:endnoteRef/>
      </w:r>
      <w:r w:rsidRPr="00590037">
        <w:rPr>
          <w:sz w:val="16"/>
          <w:szCs w:val="16"/>
          <w:lang w:val="es-ES"/>
        </w:rPr>
        <w:t xml:space="preserve"> C</w:t>
      </w:r>
      <w:r w:rsidRPr="00590037">
        <w:rPr>
          <w:rStyle w:val="normaltextrun"/>
          <w:sz w:val="16"/>
          <w:szCs w:val="16"/>
          <w:lang w:val="es-US"/>
        </w:rPr>
        <w:t>omisi</w:t>
      </w:r>
      <w:r w:rsidRPr="00590037">
        <w:rPr>
          <w:rStyle w:val="normaltextrun"/>
          <w:sz w:val="16"/>
          <w:szCs w:val="16"/>
          <w:lang w:val="es-CO"/>
        </w:rPr>
        <w:t xml:space="preserve">ón Interamerican de Mujeres (CIM), </w:t>
      </w:r>
      <w:r w:rsidRPr="00590037">
        <w:rPr>
          <w:rStyle w:val="normaltextrun"/>
          <w:i/>
          <w:iCs/>
          <w:sz w:val="16"/>
          <w:szCs w:val="16"/>
          <w:lang w:val="es-US"/>
        </w:rPr>
        <w:t>COVID-19 en la vida de las mujeres: Razones para reconocer los impactos diferenciados</w:t>
      </w:r>
      <w:r w:rsidRPr="00590037">
        <w:rPr>
          <w:rStyle w:val="normaltextrun"/>
          <w:sz w:val="16"/>
          <w:szCs w:val="16"/>
          <w:lang w:val="es-US"/>
        </w:rPr>
        <w:t xml:space="preserve"> (Abril 2020), pág. 3. </w:t>
      </w:r>
      <w:r w:rsidRPr="00590037">
        <w:rPr>
          <w:rStyle w:val="normaltextrun"/>
          <w:sz w:val="16"/>
          <w:szCs w:val="16"/>
          <w:lang w:val="es-CO"/>
        </w:rPr>
        <w:t xml:space="preserve">Disponible en: </w:t>
      </w:r>
      <w:hyperlink r:id="rId32" w:tgtFrame="_blank" w:history="1">
        <w:r w:rsidRPr="00590037">
          <w:rPr>
            <w:rStyle w:val="normaltextrun"/>
            <w:color w:val="0563C1"/>
            <w:sz w:val="16"/>
            <w:szCs w:val="16"/>
            <w:u w:val="single"/>
            <w:lang w:val="es-US"/>
          </w:rPr>
          <w:t>http://www.oas.org/es/cim/docs/ArgumentarioCOVID19-ES.pdf</w:t>
        </w:r>
      </w:hyperlink>
      <w:r w:rsidRPr="00590037">
        <w:rPr>
          <w:rStyle w:val="normaltextrun"/>
          <w:sz w:val="16"/>
          <w:szCs w:val="16"/>
          <w:lang w:val="es-CO"/>
        </w:rPr>
        <w:t>. [</w:t>
      </w:r>
      <w:r w:rsidRPr="00590037">
        <w:rPr>
          <w:rStyle w:val="findhit"/>
          <w:b/>
          <w:bCs/>
          <w:sz w:val="16"/>
          <w:szCs w:val="16"/>
          <w:lang w:val="es-ES"/>
        </w:rPr>
        <w:t xml:space="preserve">CIM, </w:t>
      </w:r>
      <w:r w:rsidRPr="00590037">
        <w:rPr>
          <w:rStyle w:val="findhit"/>
          <w:b/>
          <w:bCs/>
          <w:i/>
          <w:iCs/>
          <w:sz w:val="16"/>
          <w:szCs w:val="16"/>
          <w:lang w:val="es-US"/>
        </w:rPr>
        <w:t>COVID-19</w:t>
      </w:r>
      <w:r w:rsidRPr="00590037">
        <w:rPr>
          <w:rStyle w:val="normaltextrun"/>
          <w:b/>
          <w:bCs/>
          <w:i/>
          <w:iCs/>
          <w:sz w:val="16"/>
          <w:szCs w:val="16"/>
          <w:lang w:val="es-US"/>
        </w:rPr>
        <w:t xml:space="preserve"> en la vida de las mujeres</w:t>
      </w:r>
      <w:r w:rsidRPr="00590037">
        <w:rPr>
          <w:rStyle w:val="normaltextrun"/>
          <w:sz w:val="16"/>
          <w:szCs w:val="16"/>
          <w:lang w:val="es-CO"/>
        </w:rPr>
        <w:t>]</w:t>
      </w:r>
      <w:r w:rsidRPr="00590037">
        <w:rPr>
          <w:rStyle w:val="eop"/>
          <w:sz w:val="16"/>
          <w:szCs w:val="16"/>
          <w:lang w:val="es-ES"/>
        </w:rPr>
        <w:t> </w:t>
      </w:r>
    </w:p>
  </w:endnote>
  <w:endnote w:id="112">
    <w:p w14:paraId="2E43715F" w14:textId="4E01028C" w:rsidR="00254BF1" w:rsidRPr="00590037" w:rsidRDefault="00254BF1" w:rsidP="00254BF1">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C63DC4" w:rsidRPr="00590037">
        <w:rPr>
          <w:rFonts w:ascii="Times New Roman" w:eastAsia="Times New Roman" w:hAnsi="Times New Roman"/>
          <w:sz w:val="16"/>
          <w:szCs w:val="16"/>
        </w:rPr>
        <w:t xml:space="preserve">Comité de Derechos Económicos, Sociales y Culturales, </w:t>
      </w:r>
      <w:r w:rsidR="00C63DC4" w:rsidRPr="00590037">
        <w:rPr>
          <w:rFonts w:ascii="Times New Roman" w:eastAsia="Times New Roman" w:hAnsi="Times New Roman"/>
          <w:i/>
          <w:iCs/>
          <w:sz w:val="16"/>
          <w:szCs w:val="16"/>
        </w:rPr>
        <w:t>Pronunciamiento sobre la pandemia del COVID-19 y los derechos económicos, sociales y culturales</w:t>
      </w:r>
      <w:r w:rsidR="00C63DC4" w:rsidRPr="00590037">
        <w:rPr>
          <w:rFonts w:ascii="Times New Roman" w:eastAsia="Times New Roman" w:hAnsi="Times New Roman"/>
          <w:sz w:val="16"/>
          <w:szCs w:val="16"/>
        </w:rPr>
        <w:t xml:space="preserve"> (abril 6, 2020), UN Doc. </w:t>
      </w:r>
      <w:r w:rsidR="00C63DC4" w:rsidRPr="00590037">
        <w:rPr>
          <w:rFonts w:ascii="Times New Roman" w:eastAsia="Times New Roman" w:hAnsi="Times New Roman"/>
          <w:sz w:val="16"/>
          <w:szCs w:val="16"/>
          <w:lang w:val="es-ES"/>
        </w:rPr>
        <w:t>E/C.12/2020/1.</w:t>
      </w:r>
    </w:p>
  </w:endnote>
  <w:endnote w:id="113">
    <w:p w14:paraId="611DF8D6" w14:textId="64814355" w:rsidR="00254BF1" w:rsidRPr="00590037" w:rsidRDefault="00254BF1" w:rsidP="00254BF1">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C63DC4" w:rsidRPr="00590037">
        <w:rPr>
          <w:rFonts w:ascii="Times New Roman" w:eastAsia="Times New Roman" w:hAnsi="Times New Roman"/>
          <w:sz w:val="16"/>
          <w:szCs w:val="16"/>
        </w:rPr>
        <w:t xml:space="preserve">Comité de Derechos Económicos, Sociales y Culturales, </w:t>
      </w:r>
      <w:r w:rsidR="00C63DC4" w:rsidRPr="00590037">
        <w:rPr>
          <w:rFonts w:ascii="Times New Roman" w:eastAsia="Times New Roman" w:hAnsi="Times New Roman"/>
          <w:i/>
          <w:iCs/>
          <w:sz w:val="16"/>
          <w:szCs w:val="16"/>
        </w:rPr>
        <w:t>Pronunciamiento sobre la pandemia del COVID-19 y los derechos económicos, sociales y culturales</w:t>
      </w:r>
      <w:r w:rsidR="00C63DC4" w:rsidRPr="00590037">
        <w:rPr>
          <w:rFonts w:ascii="Times New Roman" w:eastAsia="Times New Roman" w:hAnsi="Times New Roman"/>
          <w:sz w:val="16"/>
          <w:szCs w:val="16"/>
        </w:rPr>
        <w:t xml:space="preserve"> (abril 6, 2020), UN Doc. </w:t>
      </w:r>
      <w:r w:rsidR="00C63DC4" w:rsidRPr="00590037">
        <w:rPr>
          <w:rFonts w:ascii="Times New Roman" w:eastAsia="Times New Roman" w:hAnsi="Times New Roman"/>
          <w:sz w:val="16"/>
          <w:szCs w:val="16"/>
          <w:lang w:val="es-ES"/>
        </w:rPr>
        <w:t>E/C.12/2020/1.</w:t>
      </w:r>
    </w:p>
  </w:endnote>
  <w:endnote w:id="114">
    <w:p w14:paraId="3EAF57C0" w14:textId="67277A70" w:rsidR="00BA6EB7" w:rsidRPr="00590037" w:rsidRDefault="00BA6EB7" w:rsidP="004B085D">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Según el UNFPA, esta crisis está teniendo "un impacto considerable en el acceso de las mujeres a la atención sanitaria y, en particular, a los servicios de salud sexual y reproductiva". UNFPA, </w:t>
      </w:r>
      <w:r w:rsidRPr="00590037">
        <w:rPr>
          <w:rFonts w:ascii="Times New Roman" w:hAnsi="Times New Roman"/>
          <w:i/>
          <w:iCs/>
          <w:sz w:val="16"/>
          <w:szCs w:val="16"/>
        </w:rPr>
        <w:t>COVID-19 Situation Report No.4</w:t>
      </w:r>
      <w:r w:rsidRPr="00590037">
        <w:rPr>
          <w:rFonts w:ascii="Times New Roman" w:hAnsi="Times New Roman"/>
          <w:sz w:val="16"/>
          <w:szCs w:val="16"/>
        </w:rPr>
        <w:t xml:space="preserve">, Latin America and the Caribbean Region, Período de reporte, mayo 14 a Junio 2. Disponible en: </w:t>
      </w:r>
      <w:hyperlink r:id="rId33" w:tgtFrame="_blank" w:history="1">
        <w:r w:rsidRPr="00590037">
          <w:rPr>
            <w:rStyle w:val="Hyperlink"/>
            <w:rFonts w:ascii="Times New Roman" w:hAnsi="Times New Roman"/>
            <w:sz w:val="16"/>
            <w:szCs w:val="16"/>
          </w:rPr>
          <w:t>https://www.unfpa.org/sites/default/files/resource-pdf/LACRO_COVID-19_Regional_Sitrep_4_June_5.pdf</w:t>
        </w:r>
      </w:hyperlink>
      <w:r w:rsidRPr="00590037">
        <w:rPr>
          <w:rFonts w:ascii="Times New Roman" w:hAnsi="Times New Roman"/>
          <w:sz w:val="16"/>
          <w:szCs w:val="16"/>
        </w:rPr>
        <w:t>. </w:t>
      </w:r>
    </w:p>
  </w:endnote>
  <w:endnote w:id="115">
    <w:p w14:paraId="0A18890B" w14:textId="50EF1B93" w:rsidR="00BA6EB7" w:rsidRPr="00590037" w:rsidRDefault="00BA6EB7" w:rsidP="004B085D">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CIM, </w:t>
      </w:r>
      <w:r w:rsidRPr="00590037">
        <w:rPr>
          <w:rFonts w:ascii="Times New Roman" w:hAnsi="Times New Roman"/>
          <w:i/>
          <w:iCs/>
          <w:sz w:val="16"/>
          <w:szCs w:val="16"/>
          <w:lang w:val="es-US"/>
        </w:rPr>
        <w:t>COVID-19 en la vida de las mujeres, supra</w:t>
      </w:r>
      <w:r w:rsidRPr="00590037">
        <w:rPr>
          <w:rFonts w:ascii="Times New Roman" w:hAnsi="Times New Roman"/>
          <w:sz w:val="16"/>
          <w:szCs w:val="16"/>
          <w:lang w:val="es-US"/>
        </w:rPr>
        <w:t xml:space="preserve"> nota xiv</w:t>
      </w:r>
      <w:r w:rsidRPr="00590037">
        <w:rPr>
          <w:rFonts w:ascii="Times New Roman" w:hAnsi="Times New Roman"/>
          <w:sz w:val="16"/>
          <w:szCs w:val="16"/>
        </w:rPr>
        <w:t>, pag. 17-18.</w:t>
      </w:r>
      <w:r w:rsidRPr="00590037">
        <w:rPr>
          <w:rFonts w:ascii="Times New Roman" w:hAnsi="Times New Roman"/>
          <w:sz w:val="16"/>
          <w:szCs w:val="16"/>
          <w:lang w:val="es-ES"/>
        </w:rPr>
        <w:t> </w:t>
      </w:r>
    </w:p>
  </w:endnote>
  <w:endnote w:id="116">
    <w:p w14:paraId="3D2DE648" w14:textId="77777777" w:rsidR="006E68B2" w:rsidRPr="00590037" w:rsidRDefault="006E68B2" w:rsidP="006E68B2">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Periódico La Hora (13 de julio de 2020). "Impacto esperado del COVID -19 sobre el acceso a anticonceptivos". Disponible en: https://lahora.gt/impacto-esperado-del-covid-19-sobre-el-acceso-a-anticonceptivos/</w:t>
      </w:r>
    </w:p>
  </w:endnote>
  <w:endnote w:id="117">
    <w:p w14:paraId="24E82423" w14:textId="77777777" w:rsidR="006E68B2" w:rsidRPr="00590037" w:rsidRDefault="006E68B2" w:rsidP="006E68B2">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Periódico Con Criterio (3 de julio de 2020). "Hospitales cierran puertas a embarazadas: &lt;&lt;vuelvan hasta la hora del parto&gt;&gt; Disponible en: http://concriterio.gt/hospitales-cierran-puertas-a-embarazadas-vuelvan-hasta-la-hora-del-parto/</w:t>
      </w:r>
    </w:p>
  </w:endnote>
  <w:endnote w:id="118">
    <w:p w14:paraId="4814B499" w14:textId="77777777" w:rsidR="00F749B8" w:rsidRPr="00590037" w:rsidRDefault="00F749B8" w:rsidP="00F749B8">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Observatorio en Salud Reproductiva (OSAR), </w:t>
      </w:r>
      <w:r w:rsidRPr="00590037">
        <w:rPr>
          <w:rFonts w:ascii="Times New Roman" w:hAnsi="Times New Roman"/>
          <w:i/>
          <w:iCs/>
          <w:sz w:val="16"/>
          <w:szCs w:val="16"/>
        </w:rPr>
        <w:t>Monitoreo de embarazos en adolescentes al 20 de mayo 2020</w:t>
      </w:r>
      <w:r w:rsidRPr="00590037">
        <w:rPr>
          <w:rFonts w:ascii="Times New Roman" w:hAnsi="Times New Roman"/>
          <w:sz w:val="16"/>
          <w:szCs w:val="16"/>
        </w:rPr>
        <w:t xml:space="preserve">, Disponible en: </w:t>
      </w:r>
      <w:hyperlink r:id="rId34" w:tgtFrame="_blank" w:history="1">
        <w:r w:rsidRPr="00590037">
          <w:rPr>
            <w:rStyle w:val="Hyperlink"/>
            <w:rFonts w:ascii="Times New Roman" w:hAnsi="Times New Roman"/>
            <w:sz w:val="16"/>
            <w:szCs w:val="16"/>
          </w:rPr>
          <w:t>https://osarguatemala.org/monitoreo-de-embarazos-en-adolescentes-entre-10-y-19-anos-al-20-de-mayo-2020/</w:t>
        </w:r>
      </w:hyperlink>
      <w:r w:rsidRPr="00590037">
        <w:rPr>
          <w:rFonts w:ascii="Times New Roman" w:hAnsi="Times New Roman"/>
          <w:sz w:val="16"/>
          <w:szCs w:val="16"/>
        </w:rPr>
        <w:t>. Ver también, Prensa Libre, “Guatemala registra casi dos mil embarazos en niñas de 10 a 14 años en este 2020”, 10 de junio de 2020. Disponible en: </w:t>
      </w:r>
    </w:p>
    <w:p w14:paraId="5D613802" w14:textId="77777777" w:rsidR="00F749B8" w:rsidRPr="00590037" w:rsidRDefault="00A23DD1" w:rsidP="00F749B8">
      <w:pPr>
        <w:pStyle w:val="EndnoteText"/>
        <w:jc w:val="both"/>
        <w:rPr>
          <w:rFonts w:ascii="Times New Roman" w:hAnsi="Times New Roman"/>
          <w:sz w:val="16"/>
          <w:szCs w:val="16"/>
        </w:rPr>
      </w:pPr>
      <w:hyperlink r:id="rId35" w:tgtFrame="_blank" w:history="1">
        <w:r w:rsidR="00F749B8" w:rsidRPr="00590037">
          <w:rPr>
            <w:rStyle w:val="Hyperlink"/>
            <w:rFonts w:ascii="Times New Roman" w:hAnsi="Times New Roman"/>
            <w:sz w:val="16"/>
            <w:szCs w:val="16"/>
          </w:rPr>
          <w:t>https://www.prensalibre.com/guatemala/comunitario/guatemala-registra-casi-dos-mil-embarazos-en-ninas-de-10-a-14-anos-en-este-2020/</w:t>
        </w:r>
      </w:hyperlink>
      <w:r w:rsidR="00F749B8" w:rsidRPr="00590037">
        <w:rPr>
          <w:rFonts w:ascii="Times New Roman" w:hAnsi="Times New Roman"/>
          <w:sz w:val="16"/>
          <w:szCs w:val="16"/>
        </w:rPr>
        <w:t> </w:t>
      </w:r>
    </w:p>
    <w:p w14:paraId="75AE8A2D" w14:textId="77777777" w:rsidR="00F749B8" w:rsidRPr="004B085D" w:rsidRDefault="00F749B8" w:rsidP="00F749B8">
      <w:pPr>
        <w:pStyle w:val="EndnoteText"/>
        <w:rPr>
          <w:rFonts w:ascii="Times" w:hAnsi="Times"/>
          <w:sz w:val="16"/>
          <w:szCs w:val="1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
    <w:altName w:val="Times New Roman"/>
    <w:charset w:val="00"/>
    <w:family w:val="roman"/>
    <w:pitch w:val="default"/>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36881228"/>
      <w:docPartObj>
        <w:docPartGallery w:val="Page Numbers (Bottom of Page)"/>
        <w:docPartUnique/>
      </w:docPartObj>
    </w:sdtPr>
    <w:sdtEndPr>
      <w:rPr>
        <w:rStyle w:val="PageNumber"/>
      </w:rPr>
    </w:sdtEndPr>
    <w:sdtContent>
      <w:p w14:paraId="24B23E7F" w14:textId="56CF6291" w:rsidR="00780BBA" w:rsidRDefault="00780BBA" w:rsidP="00942D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0F5EBC" w14:textId="77777777" w:rsidR="00780BBA" w:rsidRDefault="00780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72323825"/>
      <w:docPartObj>
        <w:docPartGallery w:val="Page Numbers (Bottom of Page)"/>
        <w:docPartUnique/>
      </w:docPartObj>
    </w:sdtPr>
    <w:sdtEndPr>
      <w:rPr>
        <w:rStyle w:val="PageNumber"/>
      </w:rPr>
    </w:sdtEndPr>
    <w:sdtContent>
      <w:p w14:paraId="5AAFF74E" w14:textId="65938F1A" w:rsidR="00780BBA" w:rsidRDefault="00780BBA" w:rsidP="00942D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23DD1">
          <w:rPr>
            <w:rStyle w:val="PageNumber"/>
            <w:noProof/>
          </w:rPr>
          <w:t>2</w:t>
        </w:r>
        <w:r>
          <w:rPr>
            <w:rStyle w:val="PageNumber"/>
          </w:rPr>
          <w:fldChar w:fldCharType="end"/>
        </w:r>
      </w:p>
    </w:sdtContent>
  </w:sdt>
  <w:p w14:paraId="2220AD95" w14:textId="77777777" w:rsidR="00780BBA" w:rsidRDefault="00780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82403E" w14:textId="77777777" w:rsidR="00EB61C4" w:rsidRDefault="00EB61C4" w:rsidP="00F81BB1">
      <w:pPr>
        <w:spacing w:after="0" w:line="240" w:lineRule="auto"/>
      </w:pPr>
      <w:r>
        <w:separator/>
      </w:r>
    </w:p>
  </w:footnote>
  <w:footnote w:type="continuationSeparator" w:id="0">
    <w:p w14:paraId="6EF0D63B" w14:textId="77777777" w:rsidR="00EB61C4" w:rsidRDefault="00EB61C4" w:rsidP="00F81BB1">
      <w:pPr>
        <w:spacing w:after="0" w:line="240" w:lineRule="auto"/>
      </w:pPr>
      <w:r>
        <w:continuationSeparator/>
      </w:r>
    </w:p>
  </w:footnote>
  <w:footnote w:type="continuationNotice" w:id="1">
    <w:p w14:paraId="40F7F846" w14:textId="77777777" w:rsidR="00133099" w:rsidRDefault="001330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781E2" w14:textId="0B315586" w:rsidR="00660691" w:rsidRDefault="00660691">
    <w:pPr>
      <w:pStyle w:val="Header"/>
    </w:pPr>
    <w:r>
      <w:rPr>
        <w:noProof/>
        <w:lang w:val="en-GB" w:eastAsia="en-GB"/>
      </w:rPr>
      <w:drawing>
        <wp:inline distT="0" distB="0" distL="0" distR="0" wp14:anchorId="7EF914F3" wp14:editId="34A5A411">
          <wp:extent cx="1570605" cy="511450"/>
          <wp:effectExtent l="0" t="0" r="0" b="3175"/>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R_Spanish Logo_3 Line_Black.png"/>
                  <pic:cNvPicPr/>
                </pic:nvPicPr>
                <pic:blipFill>
                  <a:blip r:embed="rId1">
                    <a:extLst>
                      <a:ext uri="{28A0092B-C50C-407E-A947-70E740481C1C}">
                        <a14:useLocalDpi xmlns:a14="http://schemas.microsoft.com/office/drawing/2010/main" val="0"/>
                      </a:ext>
                    </a:extLst>
                  </a:blip>
                  <a:stretch>
                    <a:fillRect/>
                  </a:stretch>
                </pic:blipFill>
                <pic:spPr>
                  <a:xfrm>
                    <a:off x="0" y="0"/>
                    <a:ext cx="1586333" cy="516572"/>
                  </a:xfrm>
                  <a:prstGeom prst="rect">
                    <a:avLst/>
                  </a:prstGeom>
                </pic:spPr>
              </pic:pic>
            </a:graphicData>
          </a:graphic>
        </wp:inline>
      </w:drawing>
    </w:r>
    <w:r w:rsidR="003950C8">
      <w:t xml:space="preserve">                                                                       </w:t>
    </w:r>
    <w:r w:rsidR="003950C8">
      <w:rPr>
        <w:noProof/>
        <w:lang w:val="en-GB" w:eastAsia="en-GB"/>
      </w:rPr>
      <w:drawing>
        <wp:inline distT="0" distB="0" distL="0" distR="0" wp14:anchorId="165F6D67" wp14:editId="65F4BCB7">
          <wp:extent cx="1551321" cy="716507"/>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TM_Logo2020-01-01 (1).png"/>
                  <pic:cNvPicPr/>
                </pic:nvPicPr>
                <pic:blipFill>
                  <a:blip r:embed="rId2">
                    <a:extLst>
                      <a:ext uri="{28A0092B-C50C-407E-A947-70E740481C1C}">
                        <a14:useLocalDpi xmlns:a14="http://schemas.microsoft.com/office/drawing/2010/main" val="0"/>
                      </a:ext>
                    </a:extLst>
                  </a:blip>
                  <a:stretch>
                    <a:fillRect/>
                  </a:stretch>
                </pic:blipFill>
                <pic:spPr>
                  <a:xfrm>
                    <a:off x="0" y="0"/>
                    <a:ext cx="1555451" cy="718415"/>
                  </a:xfrm>
                  <a:prstGeom prst="rect">
                    <a:avLst/>
                  </a:prstGeom>
                </pic:spPr>
              </pic:pic>
            </a:graphicData>
          </a:graphic>
        </wp:inline>
      </w:drawing>
    </w:r>
  </w:p>
  <w:p w14:paraId="1F7DEEB3" w14:textId="77777777" w:rsidR="003950C8" w:rsidRDefault="003950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39EA"/>
    <w:multiLevelType w:val="hybridMultilevel"/>
    <w:tmpl w:val="653AF82A"/>
    <w:lvl w:ilvl="0" w:tplc="165AFD3E">
      <w:start w:val="1"/>
      <w:numFmt w:val="lowerLetter"/>
      <w:pStyle w:val="Heading2"/>
      <w:lvlText w:val="%1."/>
      <w:lvlJc w:val="left"/>
      <w:pPr>
        <w:ind w:left="1224" w:hanging="720"/>
      </w:pPr>
      <w:rPr>
        <w:rFonts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 w15:restartNumberingAfterBreak="0">
    <w:nsid w:val="04D45856"/>
    <w:multiLevelType w:val="hybridMultilevel"/>
    <w:tmpl w:val="97401370"/>
    <w:lvl w:ilvl="0" w:tplc="F6A8489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3F5F38"/>
    <w:multiLevelType w:val="multilevel"/>
    <w:tmpl w:val="896A22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E72926"/>
    <w:multiLevelType w:val="hybridMultilevel"/>
    <w:tmpl w:val="FB0EEAE4"/>
    <w:lvl w:ilvl="0" w:tplc="2AAC64B6">
      <w:start w:val="1"/>
      <w:numFmt w:val="lowerRoman"/>
      <w:lvlText w:val="%1)"/>
      <w:lvlJc w:val="left"/>
      <w:pPr>
        <w:ind w:left="864" w:hanging="72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4" w15:restartNumberingAfterBreak="0">
    <w:nsid w:val="14A65813"/>
    <w:multiLevelType w:val="hybridMultilevel"/>
    <w:tmpl w:val="86225C5A"/>
    <w:lvl w:ilvl="0" w:tplc="835014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F77D6A"/>
    <w:multiLevelType w:val="multilevel"/>
    <w:tmpl w:val="4576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F129B"/>
    <w:multiLevelType w:val="hybridMultilevel"/>
    <w:tmpl w:val="0ECE6474"/>
    <w:lvl w:ilvl="0" w:tplc="436A95EA">
      <w:start w:val="1"/>
      <w:numFmt w:val="decimal"/>
      <w:pStyle w:val="PreguntaCarta"/>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E100D8A"/>
    <w:multiLevelType w:val="hybridMultilevel"/>
    <w:tmpl w:val="6E182774"/>
    <w:lvl w:ilvl="0" w:tplc="EF0E70EA">
      <w:start w:val="1"/>
      <w:numFmt w:val="upperRoman"/>
      <w:pStyle w:val="Ttulo11"/>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F7D25F6"/>
    <w:multiLevelType w:val="hybridMultilevel"/>
    <w:tmpl w:val="F8F0CC5C"/>
    <w:lvl w:ilvl="0" w:tplc="4B40596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BB92666"/>
    <w:multiLevelType w:val="multilevel"/>
    <w:tmpl w:val="7C5E8F00"/>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4147D7"/>
    <w:multiLevelType w:val="multilevel"/>
    <w:tmpl w:val="7F1244D4"/>
    <w:lvl w:ilvl="0">
      <w:start w:val="10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49367B"/>
    <w:multiLevelType w:val="multilevel"/>
    <w:tmpl w:val="79589D8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32618A"/>
    <w:multiLevelType w:val="hybridMultilevel"/>
    <w:tmpl w:val="D2302CCE"/>
    <w:lvl w:ilvl="0" w:tplc="09FAF6C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A698B"/>
    <w:multiLevelType w:val="hybridMultilevel"/>
    <w:tmpl w:val="8D4AD58C"/>
    <w:lvl w:ilvl="0" w:tplc="685E56D4">
      <w:start w:val="1"/>
      <w:numFmt w:val="decimal"/>
      <w:lvlText w:val="%1."/>
      <w:lvlJc w:val="left"/>
      <w:pPr>
        <w:ind w:left="1289" w:hanging="58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46EF737F"/>
    <w:multiLevelType w:val="hybridMultilevel"/>
    <w:tmpl w:val="78E0BFA0"/>
    <w:lvl w:ilvl="0" w:tplc="F82C727E">
      <w:start w:val="1"/>
      <w:numFmt w:val="decimal"/>
      <w:pStyle w:val="Recomendaciones"/>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F3A2978"/>
    <w:multiLevelType w:val="multilevel"/>
    <w:tmpl w:val="33466A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59531C"/>
    <w:multiLevelType w:val="hybridMultilevel"/>
    <w:tmpl w:val="52A2A050"/>
    <w:lvl w:ilvl="0" w:tplc="90A469E0">
      <w:start w:val="1"/>
      <w:numFmt w:val="decimal"/>
      <w:pStyle w:val="Refdenotaalpie2"/>
      <w:suff w:val="space"/>
      <w:lvlText w:val="%1."/>
      <w:lvlJc w:val="left"/>
      <w:pPr>
        <w:ind w:left="360" w:hanging="360"/>
      </w:pPr>
      <w:rPr>
        <w:b w:val="0"/>
        <w:i w:val="0"/>
        <w:u w:val="no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D10038F"/>
    <w:multiLevelType w:val="hybridMultilevel"/>
    <w:tmpl w:val="51967EBE"/>
    <w:lvl w:ilvl="0" w:tplc="40D8FDA8">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07408A3"/>
    <w:multiLevelType w:val="multilevel"/>
    <w:tmpl w:val="1CCA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0151A2"/>
    <w:multiLevelType w:val="multilevel"/>
    <w:tmpl w:val="D238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E540F1"/>
    <w:multiLevelType w:val="hybridMultilevel"/>
    <w:tmpl w:val="2202203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15:restartNumberingAfterBreak="0">
    <w:nsid w:val="6DE66FF8"/>
    <w:multiLevelType w:val="hybridMultilevel"/>
    <w:tmpl w:val="B734C3A6"/>
    <w:lvl w:ilvl="0" w:tplc="098206DE">
      <w:start w:val="1"/>
      <w:numFmt w:val="decimal"/>
      <w:pStyle w:val="Ttulo21"/>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num w:numId="1">
    <w:abstractNumId w:val="4"/>
  </w:num>
  <w:num w:numId="2">
    <w:abstractNumId w:val="7"/>
  </w:num>
  <w:num w:numId="3">
    <w:abstractNumId w:val="21"/>
  </w:num>
  <w:num w:numId="4">
    <w:abstractNumId w:val="21"/>
    <w:lvlOverride w:ilvl="0">
      <w:startOverride w:val="1"/>
    </w:lvlOverride>
  </w:num>
  <w:num w:numId="5">
    <w:abstractNumId w:val="21"/>
    <w:lvlOverride w:ilvl="0">
      <w:startOverride w:val="1"/>
    </w:lvlOverride>
  </w:num>
  <w:num w:numId="6">
    <w:abstractNumId w:val="6"/>
  </w:num>
  <w:num w:numId="7">
    <w:abstractNumId w:val="14"/>
  </w:num>
  <w:num w:numId="8">
    <w:abstractNumId w:val="21"/>
    <w:lvlOverride w:ilvl="0">
      <w:startOverride w:val="1"/>
    </w:lvlOverride>
  </w:num>
  <w:num w:numId="9">
    <w:abstractNumId w:val="17"/>
  </w:num>
  <w:num w:numId="10">
    <w:abstractNumId w:val="16"/>
  </w:num>
  <w:num w:numId="11">
    <w:abstractNumId w:val="6"/>
  </w:num>
  <w:num w:numId="12">
    <w:abstractNumId w:val="20"/>
  </w:num>
  <w:num w:numId="13">
    <w:abstractNumId w:val="12"/>
  </w:num>
  <w:num w:numId="14">
    <w:abstractNumId w:val="2"/>
  </w:num>
  <w:num w:numId="15">
    <w:abstractNumId w:val="10"/>
  </w:num>
  <w:num w:numId="16">
    <w:abstractNumId w:val="9"/>
  </w:num>
  <w:num w:numId="17">
    <w:abstractNumId w:val="1"/>
  </w:num>
  <w:num w:numId="18">
    <w:abstractNumId w:val="0"/>
  </w:num>
  <w:num w:numId="19">
    <w:abstractNumId w:val="7"/>
    <w:lvlOverride w:ilvl="0">
      <w:startOverride w:val="1"/>
    </w:lvlOverride>
  </w:num>
  <w:num w:numId="20">
    <w:abstractNumId w:val="3"/>
  </w:num>
  <w:num w:numId="21">
    <w:abstractNumId w:val="0"/>
    <w:lvlOverride w:ilvl="0">
      <w:startOverride w:val="1"/>
    </w:lvlOverride>
  </w:num>
  <w:num w:numId="22">
    <w:abstractNumId w:val="0"/>
    <w:lvlOverride w:ilvl="0">
      <w:startOverride w:val="1"/>
    </w:lvlOverride>
  </w:num>
  <w:num w:numId="23">
    <w:abstractNumId w:val="0"/>
    <w:lvlOverride w:ilvl="0">
      <w:startOverride w:val="1"/>
    </w:lvlOverride>
  </w:num>
  <w:num w:numId="24">
    <w:abstractNumId w:val="6"/>
    <w:lvlOverride w:ilvl="0">
      <w:startOverride w:val="1"/>
    </w:lvlOverride>
  </w:num>
  <w:num w:numId="25">
    <w:abstractNumId w:val="13"/>
  </w:num>
  <w:num w:numId="26">
    <w:abstractNumId w:val="18"/>
  </w:num>
  <w:num w:numId="27">
    <w:abstractNumId w:val="19"/>
  </w:num>
  <w:num w:numId="28">
    <w:abstractNumId w:val="8"/>
  </w:num>
  <w:num w:numId="29">
    <w:abstractNumId w:val="5"/>
  </w:num>
  <w:num w:numId="30">
    <w:abstractNumId w:val="15"/>
  </w:num>
  <w:num w:numId="31">
    <w:abstractNumId w:val="11"/>
  </w:num>
  <w:num w:numId="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MReference" w:val="6801660-v5\BOGDMS"/>
    <w:docVar w:name="OfficeIni" w:val="Bogota - Baker &amp; McKenzie Colombia S.A. - ENGLISH.ini"/>
  </w:docVars>
  <w:rsids>
    <w:rsidRoot w:val="004063EE"/>
    <w:rsid w:val="00001320"/>
    <w:rsid w:val="000040E4"/>
    <w:rsid w:val="00004793"/>
    <w:rsid w:val="00004C26"/>
    <w:rsid w:val="00012B88"/>
    <w:rsid w:val="000162FC"/>
    <w:rsid w:val="000213B1"/>
    <w:rsid w:val="00025A3E"/>
    <w:rsid w:val="00026624"/>
    <w:rsid w:val="00026CDF"/>
    <w:rsid w:val="00026ED8"/>
    <w:rsid w:val="00027D9A"/>
    <w:rsid w:val="000329EC"/>
    <w:rsid w:val="0003521C"/>
    <w:rsid w:val="00035740"/>
    <w:rsid w:val="000376AE"/>
    <w:rsid w:val="00040CDF"/>
    <w:rsid w:val="00041F24"/>
    <w:rsid w:val="00042496"/>
    <w:rsid w:val="00044CE7"/>
    <w:rsid w:val="000459AD"/>
    <w:rsid w:val="00045EA7"/>
    <w:rsid w:val="00046B2C"/>
    <w:rsid w:val="00047AD4"/>
    <w:rsid w:val="000545E7"/>
    <w:rsid w:val="0005539C"/>
    <w:rsid w:val="00055D6B"/>
    <w:rsid w:val="00056912"/>
    <w:rsid w:val="00057C98"/>
    <w:rsid w:val="00063AFC"/>
    <w:rsid w:val="00063E1F"/>
    <w:rsid w:val="00065F18"/>
    <w:rsid w:val="0007040E"/>
    <w:rsid w:val="00072F1B"/>
    <w:rsid w:val="00075AA9"/>
    <w:rsid w:val="00077973"/>
    <w:rsid w:val="00083734"/>
    <w:rsid w:val="00085024"/>
    <w:rsid w:val="00087438"/>
    <w:rsid w:val="00091D24"/>
    <w:rsid w:val="000920C7"/>
    <w:rsid w:val="000A0231"/>
    <w:rsid w:val="000A272C"/>
    <w:rsid w:val="000A4142"/>
    <w:rsid w:val="000A59FC"/>
    <w:rsid w:val="000A7B32"/>
    <w:rsid w:val="000A7D27"/>
    <w:rsid w:val="000B17A5"/>
    <w:rsid w:val="000B7C19"/>
    <w:rsid w:val="000B7DE2"/>
    <w:rsid w:val="000C29E6"/>
    <w:rsid w:val="000C3F6E"/>
    <w:rsid w:val="000D2EE1"/>
    <w:rsid w:val="000D6B73"/>
    <w:rsid w:val="000E105C"/>
    <w:rsid w:val="000E1BC4"/>
    <w:rsid w:val="000E6C7D"/>
    <w:rsid w:val="000E7928"/>
    <w:rsid w:val="000F63B7"/>
    <w:rsid w:val="000F6CFD"/>
    <w:rsid w:val="001043AF"/>
    <w:rsid w:val="00110E9E"/>
    <w:rsid w:val="0011422C"/>
    <w:rsid w:val="00114BD9"/>
    <w:rsid w:val="00121628"/>
    <w:rsid w:val="00121876"/>
    <w:rsid w:val="001234AC"/>
    <w:rsid w:val="00123A4D"/>
    <w:rsid w:val="00133099"/>
    <w:rsid w:val="001336B4"/>
    <w:rsid w:val="00133E44"/>
    <w:rsid w:val="001341B5"/>
    <w:rsid w:val="0014169E"/>
    <w:rsid w:val="001424F9"/>
    <w:rsid w:val="00144C98"/>
    <w:rsid w:val="0014534D"/>
    <w:rsid w:val="00146219"/>
    <w:rsid w:val="00150442"/>
    <w:rsid w:val="001542FB"/>
    <w:rsid w:val="001556F1"/>
    <w:rsid w:val="001571BF"/>
    <w:rsid w:val="001603ED"/>
    <w:rsid w:val="00162FEC"/>
    <w:rsid w:val="001636D6"/>
    <w:rsid w:val="00165B17"/>
    <w:rsid w:val="00173C96"/>
    <w:rsid w:val="00176483"/>
    <w:rsid w:val="001801A8"/>
    <w:rsid w:val="001850D8"/>
    <w:rsid w:val="00185412"/>
    <w:rsid w:val="0018598F"/>
    <w:rsid w:val="00192F3A"/>
    <w:rsid w:val="001A0BD2"/>
    <w:rsid w:val="001A4149"/>
    <w:rsid w:val="001A60C7"/>
    <w:rsid w:val="001B0BE5"/>
    <w:rsid w:val="001C0AAD"/>
    <w:rsid w:val="001C363E"/>
    <w:rsid w:val="001C39F4"/>
    <w:rsid w:val="001D1B26"/>
    <w:rsid w:val="001D1F95"/>
    <w:rsid w:val="001D6AE3"/>
    <w:rsid w:val="001D6FF3"/>
    <w:rsid w:val="001E1617"/>
    <w:rsid w:val="001E52F9"/>
    <w:rsid w:val="001F1FAE"/>
    <w:rsid w:val="001F457E"/>
    <w:rsid w:val="001F7800"/>
    <w:rsid w:val="002039DC"/>
    <w:rsid w:val="00206175"/>
    <w:rsid w:val="00212858"/>
    <w:rsid w:val="0021402F"/>
    <w:rsid w:val="00221A51"/>
    <w:rsid w:val="0022559F"/>
    <w:rsid w:val="0022623F"/>
    <w:rsid w:val="00226E83"/>
    <w:rsid w:val="002310C1"/>
    <w:rsid w:val="00234A2E"/>
    <w:rsid w:val="002361A2"/>
    <w:rsid w:val="00240A2E"/>
    <w:rsid w:val="00243149"/>
    <w:rsid w:val="00246D17"/>
    <w:rsid w:val="00251A45"/>
    <w:rsid w:val="0025285A"/>
    <w:rsid w:val="0025336C"/>
    <w:rsid w:val="002541CA"/>
    <w:rsid w:val="00254BF1"/>
    <w:rsid w:val="00257463"/>
    <w:rsid w:val="00260876"/>
    <w:rsid w:val="002610B3"/>
    <w:rsid w:val="002631C0"/>
    <w:rsid w:val="002635E3"/>
    <w:rsid w:val="00263AD4"/>
    <w:rsid w:val="00271911"/>
    <w:rsid w:val="00271EE0"/>
    <w:rsid w:val="00275914"/>
    <w:rsid w:val="00277E27"/>
    <w:rsid w:val="00283A7B"/>
    <w:rsid w:val="002840F6"/>
    <w:rsid w:val="00286234"/>
    <w:rsid w:val="00294C45"/>
    <w:rsid w:val="002A6754"/>
    <w:rsid w:val="002A7FAF"/>
    <w:rsid w:val="002B07B2"/>
    <w:rsid w:val="002B4E74"/>
    <w:rsid w:val="002B6A9F"/>
    <w:rsid w:val="002E0DDD"/>
    <w:rsid w:val="002F124C"/>
    <w:rsid w:val="002F79A8"/>
    <w:rsid w:val="00301CF9"/>
    <w:rsid w:val="00305E31"/>
    <w:rsid w:val="0030623E"/>
    <w:rsid w:val="00310AB8"/>
    <w:rsid w:val="003213A6"/>
    <w:rsid w:val="00322923"/>
    <w:rsid w:val="003235D9"/>
    <w:rsid w:val="00323E50"/>
    <w:rsid w:val="003304E1"/>
    <w:rsid w:val="00331508"/>
    <w:rsid w:val="0033612C"/>
    <w:rsid w:val="003379C5"/>
    <w:rsid w:val="00342F79"/>
    <w:rsid w:val="00344024"/>
    <w:rsid w:val="003461B2"/>
    <w:rsid w:val="00347F90"/>
    <w:rsid w:val="003553AF"/>
    <w:rsid w:val="003579D2"/>
    <w:rsid w:val="00364A6C"/>
    <w:rsid w:val="00364B3B"/>
    <w:rsid w:val="00367DE9"/>
    <w:rsid w:val="00370AB1"/>
    <w:rsid w:val="0037577B"/>
    <w:rsid w:val="00377A6A"/>
    <w:rsid w:val="00381222"/>
    <w:rsid w:val="0038335B"/>
    <w:rsid w:val="00384554"/>
    <w:rsid w:val="0039269F"/>
    <w:rsid w:val="00392C68"/>
    <w:rsid w:val="003950C8"/>
    <w:rsid w:val="00396E7D"/>
    <w:rsid w:val="00397341"/>
    <w:rsid w:val="003974F1"/>
    <w:rsid w:val="003A1AD1"/>
    <w:rsid w:val="003A23EC"/>
    <w:rsid w:val="003A2843"/>
    <w:rsid w:val="003B3390"/>
    <w:rsid w:val="003B5470"/>
    <w:rsid w:val="003B57B3"/>
    <w:rsid w:val="003B6014"/>
    <w:rsid w:val="003B6BBB"/>
    <w:rsid w:val="003C1CEC"/>
    <w:rsid w:val="003C3BF1"/>
    <w:rsid w:val="003D4393"/>
    <w:rsid w:val="003D485A"/>
    <w:rsid w:val="003D7A89"/>
    <w:rsid w:val="003D7CB1"/>
    <w:rsid w:val="003E2F18"/>
    <w:rsid w:val="003E7A08"/>
    <w:rsid w:val="003F0D07"/>
    <w:rsid w:val="003F1B7C"/>
    <w:rsid w:val="003F3310"/>
    <w:rsid w:val="003F591E"/>
    <w:rsid w:val="00402D49"/>
    <w:rsid w:val="0040437E"/>
    <w:rsid w:val="004063EE"/>
    <w:rsid w:val="00406592"/>
    <w:rsid w:val="00406C07"/>
    <w:rsid w:val="00412C3C"/>
    <w:rsid w:val="00425A9A"/>
    <w:rsid w:val="00426C69"/>
    <w:rsid w:val="004307F7"/>
    <w:rsid w:val="00431796"/>
    <w:rsid w:val="0043480E"/>
    <w:rsid w:val="00435DC0"/>
    <w:rsid w:val="0044563F"/>
    <w:rsid w:val="00446C30"/>
    <w:rsid w:val="0045060B"/>
    <w:rsid w:val="00450C95"/>
    <w:rsid w:val="004521CB"/>
    <w:rsid w:val="00452382"/>
    <w:rsid w:val="00455A9E"/>
    <w:rsid w:val="00455DD0"/>
    <w:rsid w:val="00457FB7"/>
    <w:rsid w:val="00460E53"/>
    <w:rsid w:val="0046184B"/>
    <w:rsid w:val="00463C0B"/>
    <w:rsid w:val="004651AD"/>
    <w:rsid w:val="00467A1E"/>
    <w:rsid w:val="00467F67"/>
    <w:rsid w:val="00471B65"/>
    <w:rsid w:val="00476145"/>
    <w:rsid w:val="00480D16"/>
    <w:rsid w:val="00481118"/>
    <w:rsid w:val="00485B52"/>
    <w:rsid w:val="004900EE"/>
    <w:rsid w:val="00493A62"/>
    <w:rsid w:val="00494525"/>
    <w:rsid w:val="00494ECA"/>
    <w:rsid w:val="004A442C"/>
    <w:rsid w:val="004A4852"/>
    <w:rsid w:val="004A7971"/>
    <w:rsid w:val="004B085D"/>
    <w:rsid w:val="004B3C9D"/>
    <w:rsid w:val="004B6D03"/>
    <w:rsid w:val="004C1A78"/>
    <w:rsid w:val="004C417D"/>
    <w:rsid w:val="004C5D68"/>
    <w:rsid w:val="004D09FD"/>
    <w:rsid w:val="004E3248"/>
    <w:rsid w:val="004F2E52"/>
    <w:rsid w:val="004F37AD"/>
    <w:rsid w:val="004F61AE"/>
    <w:rsid w:val="004F77D5"/>
    <w:rsid w:val="004F7D9B"/>
    <w:rsid w:val="005003E0"/>
    <w:rsid w:val="00500C20"/>
    <w:rsid w:val="0050120B"/>
    <w:rsid w:val="00506A39"/>
    <w:rsid w:val="00512A57"/>
    <w:rsid w:val="00514673"/>
    <w:rsid w:val="005146A2"/>
    <w:rsid w:val="00520032"/>
    <w:rsid w:val="00520BB1"/>
    <w:rsid w:val="0052141E"/>
    <w:rsid w:val="00523939"/>
    <w:rsid w:val="005266E4"/>
    <w:rsid w:val="005304D9"/>
    <w:rsid w:val="005309E7"/>
    <w:rsid w:val="00533C7D"/>
    <w:rsid w:val="00542E3B"/>
    <w:rsid w:val="00543B47"/>
    <w:rsid w:val="00550CA7"/>
    <w:rsid w:val="005527B7"/>
    <w:rsid w:val="00553949"/>
    <w:rsid w:val="0056069D"/>
    <w:rsid w:val="00570226"/>
    <w:rsid w:val="0057396A"/>
    <w:rsid w:val="00577CC6"/>
    <w:rsid w:val="00581673"/>
    <w:rsid w:val="00584298"/>
    <w:rsid w:val="00587954"/>
    <w:rsid w:val="00590037"/>
    <w:rsid w:val="00591597"/>
    <w:rsid w:val="0059165C"/>
    <w:rsid w:val="00591DC6"/>
    <w:rsid w:val="00592357"/>
    <w:rsid w:val="00592A89"/>
    <w:rsid w:val="00593DD1"/>
    <w:rsid w:val="0059575B"/>
    <w:rsid w:val="00596C96"/>
    <w:rsid w:val="005A074B"/>
    <w:rsid w:val="005A3E0F"/>
    <w:rsid w:val="005A44DC"/>
    <w:rsid w:val="005A7081"/>
    <w:rsid w:val="005B0505"/>
    <w:rsid w:val="005B12AB"/>
    <w:rsid w:val="005B1B8F"/>
    <w:rsid w:val="005B4AF4"/>
    <w:rsid w:val="005B76CE"/>
    <w:rsid w:val="005B7A82"/>
    <w:rsid w:val="005C007D"/>
    <w:rsid w:val="005C0B96"/>
    <w:rsid w:val="005C0F6E"/>
    <w:rsid w:val="005C3DA0"/>
    <w:rsid w:val="005C75DE"/>
    <w:rsid w:val="005D07EE"/>
    <w:rsid w:val="005D5BA6"/>
    <w:rsid w:val="005E03A4"/>
    <w:rsid w:val="005E6A17"/>
    <w:rsid w:val="005E726C"/>
    <w:rsid w:val="005F41E2"/>
    <w:rsid w:val="005F7A42"/>
    <w:rsid w:val="006060E4"/>
    <w:rsid w:val="00606A40"/>
    <w:rsid w:val="00612623"/>
    <w:rsid w:val="00615572"/>
    <w:rsid w:val="00616365"/>
    <w:rsid w:val="006174EB"/>
    <w:rsid w:val="006228BB"/>
    <w:rsid w:val="0062615D"/>
    <w:rsid w:val="0063414B"/>
    <w:rsid w:val="00634CD2"/>
    <w:rsid w:val="00637F4E"/>
    <w:rsid w:val="00647225"/>
    <w:rsid w:val="0065088C"/>
    <w:rsid w:val="00652359"/>
    <w:rsid w:val="00653106"/>
    <w:rsid w:val="006531F5"/>
    <w:rsid w:val="00653C37"/>
    <w:rsid w:val="00655281"/>
    <w:rsid w:val="00655388"/>
    <w:rsid w:val="00655CA2"/>
    <w:rsid w:val="00657853"/>
    <w:rsid w:val="00660691"/>
    <w:rsid w:val="00660D58"/>
    <w:rsid w:val="0066409B"/>
    <w:rsid w:val="00670352"/>
    <w:rsid w:val="00672386"/>
    <w:rsid w:val="006748F5"/>
    <w:rsid w:val="006761B8"/>
    <w:rsid w:val="00677DAF"/>
    <w:rsid w:val="006809CE"/>
    <w:rsid w:val="00686764"/>
    <w:rsid w:val="00687D00"/>
    <w:rsid w:val="00687F39"/>
    <w:rsid w:val="006901A6"/>
    <w:rsid w:val="006928D4"/>
    <w:rsid w:val="006933CA"/>
    <w:rsid w:val="00694E97"/>
    <w:rsid w:val="006A062B"/>
    <w:rsid w:val="006A2599"/>
    <w:rsid w:val="006A780D"/>
    <w:rsid w:val="006B0777"/>
    <w:rsid w:val="006B7236"/>
    <w:rsid w:val="006B7755"/>
    <w:rsid w:val="006B777B"/>
    <w:rsid w:val="006C2307"/>
    <w:rsid w:val="006C5A29"/>
    <w:rsid w:val="006C5EAF"/>
    <w:rsid w:val="006D21C1"/>
    <w:rsid w:val="006D2C42"/>
    <w:rsid w:val="006D6112"/>
    <w:rsid w:val="006D7B8B"/>
    <w:rsid w:val="006E1998"/>
    <w:rsid w:val="006E2FA7"/>
    <w:rsid w:val="006E34C9"/>
    <w:rsid w:val="006E646A"/>
    <w:rsid w:val="006E68B2"/>
    <w:rsid w:val="006F01DC"/>
    <w:rsid w:val="006F2B50"/>
    <w:rsid w:val="006F7542"/>
    <w:rsid w:val="007003DC"/>
    <w:rsid w:val="007020AE"/>
    <w:rsid w:val="00703464"/>
    <w:rsid w:val="00705099"/>
    <w:rsid w:val="0070647B"/>
    <w:rsid w:val="00715348"/>
    <w:rsid w:val="00717581"/>
    <w:rsid w:val="0072078B"/>
    <w:rsid w:val="0072171E"/>
    <w:rsid w:val="00724A4E"/>
    <w:rsid w:val="00732FBE"/>
    <w:rsid w:val="00734FD9"/>
    <w:rsid w:val="007363FF"/>
    <w:rsid w:val="007424D8"/>
    <w:rsid w:val="007447AE"/>
    <w:rsid w:val="00747DA0"/>
    <w:rsid w:val="007505EB"/>
    <w:rsid w:val="0076044A"/>
    <w:rsid w:val="0076211A"/>
    <w:rsid w:val="00762D42"/>
    <w:rsid w:val="0076682F"/>
    <w:rsid w:val="00773F3D"/>
    <w:rsid w:val="007755F8"/>
    <w:rsid w:val="007756DB"/>
    <w:rsid w:val="00775D9B"/>
    <w:rsid w:val="00780BBA"/>
    <w:rsid w:val="007814CA"/>
    <w:rsid w:val="00783D52"/>
    <w:rsid w:val="007864EC"/>
    <w:rsid w:val="007868E1"/>
    <w:rsid w:val="0078775C"/>
    <w:rsid w:val="0079020E"/>
    <w:rsid w:val="00791627"/>
    <w:rsid w:val="00793393"/>
    <w:rsid w:val="00795468"/>
    <w:rsid w:val="007A430F"/>
    <w:rsid w:val="007A492D"/>
    <w:rsid w:val="007A6E41"/>
    <w:rsid w:val="007A77EE"/>
    <w:rsid w:val="007A7F0B"/>
    <w:rsid w:val="007B1AAF"/>
    <w:rsid w:val="007B4C8E"/>
    <w:rsid w:val="007B528D"/>
    <w:rsid w:val="007C48DB"/>
    <w:rsid w:val="007C64A9"/>
    <w:rsid w:val="007D6FF7"/>
    <w:rsid w:val="007E0930"/>
    <w:rsid w:val="007E0D4B"/>
    <w:rsid w:val="007E1683"/>
    <w:rsid w:val="007E40E1"/>
    <w:rsid w:val="007E46BF"/>
    <w:rsid w:val="007E5CEE"/>
    <w:rsid w:val="007E658F"/>
    <w:rsid w:val="007E73EC"/>
    <w:rsid w:val="007F56C6"/>
    <w:rsid w:val="007F651F"/>
    <w:rsid w:val="007F72C3"/>
    <w:rsid w:val="00802459"/>
    <w:rsid w:val="00805572"/>
    <w:rsid w:val="008059CC"/>
    <w:rsid w:val="00806351"/>
    <w:rsid w:val="0080756A"/>
    <w:rsid w:val="008119DC"/>
    <w:rsid w:val="00815444"/>
    <w:rsid w:val="00815795"/>
    <w:rsid w:val="00815FE2"/>
    <w:rsid w:val="00816CCE"/>
    <w:rsid w:val="00824E60"/>
    <w:rsid w:val="008306BB"/>
    <w:rsid w:val="0083103D"/>
    <w:rsid w:val="00833EA2"/>
    <w:rsid w:val="008364D0"/>
    <w:rsid w:val="0084037C"/>
    <w:rsid w:val="0084241D"/>
    <w:rsid w:val="008447D3"/>
    <w:rsid w:val="00844D51"/>
    <w:rsid w:val="00845B6A"/>
    <w:rsid w:val="008468CC"/>
    <w:rsid w:val="00850AA7"/>
    <w:rsid w:val="00850B4E"/>
    <w:rsid w:val="008611DD"/>
    <w:rsid w:val="008619BA"/>
    <w:rsid w:val="0086338A"/>
    <w:rsid w:val="00864A9F"/>
    <w:rsid w:val="00864D11"/>
    <w:rsid w:val="00867F51"/>
    <w:rsid w:val="008711FE"/>
    <w:rsid w:val="00871CA5"/>
    <w:rsid w:val="0087396E"/>
    <w:rsid w:val="00874C3A"/>
    <w:rsid w:val="0087643B"/>
    <w:rsid w:val="0087671F"/>
    <w:rsid w:val="00876A39"/>
    <w:rsid w:val="0088007E"/>
    <w:rsid w:val="00882FC1"/>
    <w:rsid w:val="00883734"/>
    <w:rsid w:val="00890274"/>
    <w:rsid w:val="00891581"/>
    <w:rsid w:val="00892468"/>
    <w:rsid w:val="008929AB"/>
    <w:rsid w:val="00894800"/>
    <w:rsid w:val="00894F2B"/>
    <w:rsid w:val="008A0C9F"/>
    <w:rsid w:val="008A0CF6"/>
    <w:rsid w:val="008A2A27"/>
    <w:rsid w:val="008A5C5E"/>
    <w:rsid w:val="008A6941"/>
    <w:rsid w:val="008A7760"/>
    <w:rsid w:val="008B1CFE"/>
    <w:rsid w:val="008B1E81"/>
    <w:rsid w:val="008B38A1"/>
    <w:rsid w:val="008B39D9"/>
    <w:rsid w:val="008B60D7"/>
    <w:rsid w:val="008C08F4"/>
    <w:rsid w:val="008C6949"/>
    <w:rsid w:val="008C7657"/>
    <w:rsid w:val="008D3A49"/>
    <w:rsid w:val="008D414C"/>
    <w:rsid w:val="008D59F3"/>
    <w:rsid w:val="008D6EFE"/>
    <w:rsid w:val="008E2B17"/>
    <w:rsid w:val="008E2D4B"/>
    <w:rsid w:val="008E2DF0"/>
    <w:rsid w:val="008E629D"/>
    <w:rsid w:val="008F0E30"/>
    <w:rsid w:val="008F2E28"/>
    <w:rsid w:val="008F3626"/>
    <w:rsid w:val="008F4216"/>
    <w:rsid w:val="008F5837"/>
    <w:rsid w:val="008F6879"/>
    <w:rsid w:val="008F6C38"/>
    <w:rsid w:val="008F6D9E"/>
    <w:rsid w:val="008F7F22"/>
    <w:rsid w:val="009004B2"/>
    <w:rsid w:val="0090073B"/>
    <w:rsid w:val="009010DB"/>
    <w:rsid w:val="009021E3"/>
    <w:rsid w:val="0090459D"/>
    <w:rsid w:val="00905225"/>
    <w:rsid w:val="0090642F"/>
    <w:rsid w:val="00906B49"/>
    <w:rsid w:val="00907CAB"/>
    <w:rsid w:val="0091103B"/>
    <w:rsid w:val="009114B2"/>
    <w:rsid w:val="00913555"/>
    <w:rsid w:val="0091689E"/>
    <w:rsid w:val="009252C2"/>
    <w:rsid w:val="00926236"/>
    <w:rsid w:val="009279CB"/>
    <w:rsid w:val="00931077"/>
    <w:rsid w:val="00932521"/>
    <w:rsid w:val="0093319D"/>
    <w:rsid w:val="00933723"/>
    <w:rsid w:val="00937104"/>
    <w:rsid w:val="009402BB"/>
    <w:rsid w:val="009426EF"/>
    <w:rsid w:val="00942DC8"/>
    <w:rsid w:val="00947524"/>
    <w:rsid w:val="00951611"/>
    <w:rsid w:val="00951B59"/>
    <w:rsid w:val="009523AE"/>
    <w:rsid w:val="00956B12"/>
    <w:rsid w:val="00965FB7"/>
    <w:rsid w:val="00966F73"/>
    <w:rsid w:val="0097738D"/>
    <w:rsid w:val="009869C2"/>
    <w:rsid w:val="00990971"/>
    <w:rsid w:val="00994025"/>
    <w:rsid w:val="00994405"/>
    <w:rsid w:val="009958D1"/>
    <w:rsid w:val="00995D55"/>
    <w:rsid w:val="00995E7C"/>
    <w:rsid w:val="0099783B"/>
    <w:rsid w:val="009A2AF8"/>
    <w:rsid w:val="009A6125"/>
    <w:rsid w:val="009B0479"/>
    <w:rsid w:val="009B6CBD"/>
    <w:rsid w:val="009C0A74"/>
    <w:rsid w:val="009C1398"/>
    <w:rsid w:val="009C1595"/>
    <w:rsid w:val="009C1D0B"/>
    <w:rsid w:val="009C451D"/>
    <w:rsid w:val="009D1573"/>
    <w:rsid w:val="009D1F94"/>
    <w:rsid w:val="009D2617"/>
    <w:rsid w:val="009D45DB"/>
    <w:rsid w:val="009D5063"/>
    <w:rsid w:val="009D70F0"/>
    <w:rsid w:val="009E12DF"/>
    <w:rsid w:val="009E19BA"/>
    <w:rsid w:val="009E4F7B"/>
    <w:rsid w:val="009F17E5"/>
    <w:rsid w:val="009F3CBE"/>
    <w:rsid w:val="009F5DD8"/>
    <w:rsid w:val="009F6A35"/>
    <w:rsid w:val="00A02C63"/>
    <w:rsid w:val="00A055C8"/>
    <w:rsid w:val="00A12342"/>
    <w:rsid w:val="00A125D4"/>
    <w:rsid w:val="00A133EA"/>
    <w:rsid w:val="00A16154"/>
    <w:rsid w:val="00A2044E"/>
    <w:rsid w:val="00A23295"/>
    <w:rsid w:val="00A23DD1"/>
    <w:rsid w:val="00A260EB"/>
    <w:rsid w:val="00A27E5D"/>
    <w:rsid w:val="00A30B15"/>
    <w:rsid w:val="00A40663"/>
    <w:rsid w:val="00A40EE2"/>
    <w:rsid w:val="00A4112F"/>
    <w:rsid w:val="00A455DB"/>
    <w:rsid w:val="00A46793"/>
    <w:rsid w:val="00A46A39"/>
    <w:rsid w:val="00A514BF"/>
    <w:rsid w:val="00A51864"/>
    <w:rsid w:val="00A55A08"/>
    <w:rsid w:val="00A578B6"/>
    <w:rsid w:val="00A57DAE"/>
    <w:rsid w:val="00A60797"/>
    <w:rsid w:val="00A614AD"/>
    <w:rsid w:val="00A671BE"/>
    <w:rsid w:val="00A74015"/>
    <w:rsid w:val="00A76E03"/>
    <w:rsid w:val="00A77B37"/>
    <w:rsid w:val="00A86C9A"/>
    <w:rsid w:val="00A914E3"/>
    <w:rsid w:val="00A962E0"/>
    <w:rsid w:val="00A974FC"/>
    <w:rsid w:val="00A976B6"/>
    <w:rsid w:val="00AA02E5"/>
    <w:rsid w:val="00AA1CD1"/>
    <w:rsid w:val="00AA35E9"/>
    <w:rsid w:val="00AA41BC"/>
    <w:rsid w:val="00AA51BB"/>
    <w:rsid w:val="00AB22E3"/>
    <w:rsid w:val="00AB47E6"/>
    <w:rsid w:val="00AB5D3B"/>
    <w:rsid w:val="00AB737C"/>
    <w:rsid w:val="00AB755B"/>
    <w:rsid w:val="00AB7F98"/>
    <w:rsid w:val="00AC5231"/>
    <w:rsid w:val="00AD00B2"/>
    <w:rsid w:val="00AD1AF1"/>
    <w:rsid w:val="00AD226B"/>
    <w:rsid w:val="00AD2C54"/>
    <w:rsid w:val="00AD60EE"/>
    <w:rsid w:val="00AE07D0"/>
    <w:rsid w:val="00AE4655"/>
    <w:rsid w:val="00B01669"/>
    <w:rsid w:val="00B01E45"/>
    <w:rsid w:val="00B047CB"/>
    <w:rsid w:val="00B04A79"/>
    <w:rsid w:val="00B05586"/>
    <w:rsid w:val="00B11242"/>
    <w:rsid w:val="00B132C9"/>
    <w:rsid w:val="00B13784"/>
    <w:rsid w:val="00B308C6"/>
    <w:rsid w:val="00B32AD7"/>
    <w:rsid w:val="00B34467"/>
    <w:rsid w:val="00B356CF"/>
    <w:rsid w:val="00B3764E"/>
    <w:rsid w:val="00B41D9B"/>
    <w:rsid w:val="00B429A7"/>
    <w:rsid w:val="00B4303C"/>
    <w:rsid w:val="00B44819"/>
    <w:rsid w:val="00B457DD"/>
    <w:rsid w:val="00B5015A"/>
    <w:rsid w:val="00B5114C"/>
    <w:rsid w:val="00B53E71"/>
    <w:rsid w:val="00B54CB3"/>
    <w:rsid w:val="00B67279"/>
    <w:rsid w:val="00B67EB9"/>
    <w:rsid w:val="00B764B5"/>
    <w:rsid w:val="00B77CBC"/>
    <w:rsid w:val="00B82C79"/>
    <w:rsid w:val="00B861AF"/>
    <w:rsid w:val="00B8751F"/>
    <w:rsid w:val="00B87E8A"/>
    <w:rsid w:val="00B905BF"/>
    <w:rsid w:val="00B95218"/>
    <w:rsid w:val="00BA14BD"/>
    <w:rsid w:val="00BA3B03"/>
    <w:rsid w:val="00BA4648"/>
    <w:rsid w:val="00BA68DA"/>
    <w:rsid w:val="00BA6EB7"/>
    <w:rsid w:val="00BB132F"/>
    <w:rsid w:val="00BB152B"/>
    <w:rsid w:val="00BB28F5"/>
    <w:rsid w:val="00BB420B"/>
    <w:rsid w:val="00BB4F08"/>
    <w:rsid w:val="00BB584D"/>
    <w:rsid w:val="00BC208B"/>
    <w:rsid w:val="00BC2D7C"/>
    <w:rsid w:val="00BC365D"/>
    <w:rsid w:val="00BC6B06"/>
    <w:rsid w:val="00BD63BC"/>
    <w:rsid w:val="00BE11D9"/>
    <w:rsid w:val="00BE13B1"/>
    <w:rsid w:val="00BE4233"/>
    <w:rsid w:val="00BE4701"/>
    <w:rsid w:val="00BE520D"/>
    <w:rsid w:val="00BE56AA"/>
    <w:rsid w:val="00BE7410"/>
    <w:rsid w:val="00BF4BCA"/>
    <w:rsid w:val="00C00A5A"/>
    <w:rsid w:val="00C05B2F"/>
    <w:rsid w:val="00C11E32"/>
    <w:rsid w:val="00C139CA"/>
    <w:rsid w:val="00C13D9E"/>
    <w:rsid w:val="00C152D0"/>
    <w:rsid w:val="00C15AD5"/>
    <w:rsid w:val="00C16A4A"/>
    <w:rsid w:val="00C1710D"/>
    <w:rsid w:val="00C1730D"/>
    <w:rsid w:val="00C241CB"/>
    <w:rsid w:val="00C30AD4"/>
    <w:rsid w:val="00C33168"/>
    <w:rsid w:val="00C341E9"/>
    <w:rsid w:val="00C357A1"/>
    <w:rsid w:val="00C35FB0"/>
    <w:rsid w:val="00C3697A"/>
    <w:rsid w:val="00C40616"/>
    <w:rsid w:val="00C40CBE"/>
    <w:rsid w:val="00C4135A"/>
    <w:rsid w:val="00C44E5E"/>
    <w:rsid w:val="00C54543"/>
    <w:rsid w:val="00C559CB"/>
    <w:rsid w:val="00C5624B"/>
    <w:rsid w:val="00C56BDD"/>
    <w:rsid w:val="00C61678"/>
    <w:rsid w:val="00C631C4"/>
    <w:rsid w:val="00C63DC4"/>
    <w:rsid w:val="00C655B4"/>
    <w:rsid w:val="00C66BD1"/>
    <w:rsid w:val="00C70182"/>
    <w:rsid w:val="00C73717"/>
    <w:rsid w:val="00C75DCA"/>
    <w:rsid w:val="00C85325"/>
    <w:rsid w:val="00C86120"/>
    <w:rsid w:val="00C87DE5"/>
    <w:rsid w:val="00C90CC6"/>
    <w:rsid w:val="00C91FA2"/>
    <w:rsid w:val="00C93023"/>
    <w:rsid w:val="00CA3ACA"/>
    <w:rsid w:val="00CA531C"/>
    <w:rsid w:val="00CA7B55"/>
    <w:rsid w:val="00CB1D2F"/>
    <w:rsid w:val="00CB3FF2"/>
    <w:rsid w:val="00CB7F50"/>
    <w:rsid w:val="00CC06FE"/>
    <w:rsid w:val="00CC5867"/>
    <w:rsid w:val="00CC5B1A"/>
    <w:rsid w:val="00CC6107"/>
    <w:rsid w:val="00CD01BF"/>
    <w:rsid w:val="00CD0B15"/>
    <w:rsid w:val="00CD18C2"/>
    <w:rsid w:val="00CD497B"/>
    <w:rsid w:val="00CD56E3"/>
    <w:rsid w:val="00CD64A7"/>
    <w:rsid w:val="00CD787C"/>
    <w:rsid w:val="00CE06DE"/>
    <w:rsid w:val="00CE29F0"/>
    <w:rsid w:val="00CE3B69"/>
    <w:rsid w:val="00CE72DD"/>
    <w:rsid w:val="00CF014A"/>
    <w:rsid w:val="00CF45B4"/>
    <w:rsid w:val="00CF72C6"/>
    <w:rsid w:val="00CF7644"/>
    <w:rsid w:val="00CF7E51"/>
    <w:rsid w:val="00D028FE"/>
    <w:rsid w:val="00D04170"/>
    <w:rsid w:val="00D04F63"/>
    <w:rsid w:val="00D14029"/>
    <w:rsid w:val="00D1667C"/>
    <w:rsid w:val="00D16B1B"/>
    <w:rsid w:val="00D2421B"/>
    <w:rsid w:val="00D24902"/>
    <w:rsid w:val="00D33A77"/>
    <w:rsid w:val="00D35247"/>
    <w:rsid w:val="00D37296"/>
    <w:rsid w:val="00D4161F"/>
    <w:rsid w:val="00D42F08"/>
    <w:rsid w:val="00D4335D"/>
    <w:rsid w:val="00D541C7"/>
    <w:rsid w:val="00D658E2"/>
    <w:rsid w:val="00D670FF"/>
    <w:rsid w:val="00D712A3"/>
    <w:rsid w:val="00D72EBE"/>
    <w:rsid w:val="00D75B68"/>
    <w:rsid w:val="00D77AA3"/>
    <w:rsid w:val="00D802F9"/>
    <w:rsid w:val="00D8381B"/>
    <w:rsid w:val="00D85672"/>
    <w:rsid w:val="00D91751"/>
    <w:rsid w:val="00D95761"/>
    <w:rsid w:val="00D95D02"/>
    <w:rsid w:val="00DA187D"/>
    <w:rsid w:val="00DA3476"/>
    <w:rsid w:val="00DA4D47"/>
    <w:rsid w:val="00DA6E4E"/>
    <w:rsid w:val="00DA7A2A"/>
    <w:rsid w:val="00DB19D6"/>
    <w:rsid w:val="00DB3CCE"/>
    <w:rsid w:val="00DB5B6E"/>
    <w:rsid w:val="00DB64AB"/>
    <w:rsid w:val="00DB7948"/>
    <w:rsid w:val="00DC4330"/>
    <w:rsid w:val="00DE0ED2"/>
    <w:rsid w:val="00DE40BF"/>
    <w:rsid w:val="00DE40EA"/>
    <w:rsid w:val="00DE4231"/>
    <w:rsid w:val="00DE61FF"/>
    <w:rsid w:val="00DF02FD"/>
    <w:rsid w:val="00DF148D"/>
    <w:rsid w:val="00DF14C1"/>
    <w:rsid w:val="00DF1CD3"/>
    <w:rsid w:val="00DF48BB"/>
    <w:rsid w:val="00DF6968"/>
    <w:rsid w:val="00E04F76"/>
    <w:rsid w:val="00E05350"/>
    <w:rsid w:val="00E206EF"/>
    <w:rsid w:val="00E219E7"/>
    <w:rsid w:val="00E246CD"/>
    <w:rsid w:val="00E266FB"/>
    <w:rsid w:val="00E3176F"/>
    <w:rsid w:val="00E33FCB"/>
    <w:rsid w:val="00E405F6"/>
    <w:rsid w:val="00E4411D"/>
    <w:rsid w:val="00E46561"/>
    <w:rsid w:val="00E477DA"/>
    <w:rsid w:val="00E5149F"/>
    <w:rsid w:val="00E5231B"/>
    <w:rsid w:val="00E57346"/>
    <w:rsid w:val="00E6631F"/>
    <w:rsid w:val="00E67A85"/>
    <w:rsid w:val="00E70C15"/>
    <w:rsid w:val="00E71ECF"/>
    <w:rsid w:val="00E72A98"/>
    <w:rsid w:val="00E72F05"/>
    <w:rsid w:val="00E73C04"/>
    <w:rsid w:val="00E77D39"/>
    <w:rsid w:val="00E8090D"/>
    <w:rsid w:val="00E8755F"/>
    <w:rsid w:val="00E93C82"/>
    <w:rsid w:val="00EA0227"/>
    <w:rsid w:val="00EA2D02"/>
    <w:rsid w:val="00EA5620"/>
    <w:rsid w:val="00EA5F7E"/>
    <w:rsid w:val="00EB180C"/>
    <w:rsid w:val="00EB20F3"/>
    <w:rsid w:val="00EB61C4"/>
    <w:rsid w:val="00EC46C2"/>
    <w:rsid w:val="00EC6027"/>
    <w:rsid w:val="00EC683B"/>
    <w:rsid w:val="00EC7E72"/>
    <w:rsid w:val="00ED0443"/>
    <w:rsid w:val="00ED4065"/>
    <w:rsid w:val="00EE07F1"/>
    <w:rsid w:val="00EE3F06"/>
    <w:rsid w:val="00EE3FFA"/>
    <w:rsid w:val="00EE5D0A"/>
    <w:rsid w:val="00EF3537"/>
    <w:rsid w:val="00EF5C47"/>
    <w:rsid w:val="00F05F14"/>
    <w:rsid w:val="00F05F81"/>
    <w:rsid w:val="00F0713F"/>
    <w:rsid w:val="00F07B53"/>
    <w:rsid w:val="00F1098B"/>
    <w:rsid w:val="00F14705"/>
    <w:rsid w:val="00F15245"/>
    <w:rsid w:val="00F20823"/>
    <w:rsid w:val="00F26AB6"/>
    <w:rsid w:val="00F27E50"/>
    <w:rsid w:val="00F32354"/>
    <w:rsid w:val="00F3575E"/>
    <w:rsid w:val="00F364CD"/>
    <w:rsid w:val="00F4676E"/>
    <w:rsid w:val="00F500F5"/>
    <w:rsid w:val="00F50A55"/>
    <w:rsid w:val="00F52558"/>
    <w:rsid w:val="00F62D14"/>
    <w:rsid w:val="00F6355F"/>
    <w:rsid w:val="00F64266"/>
    <w:rsid w:val="00F65A9A"/>
    <w:rsid w:val="00F7253A"/>
    <w:rsid w:val="00F73048"/>
    <w:rsid w:val="00F738B7"/>
    <w:rsid w:val="00F749B8"/>
    <w:rsid w:val="00F75749"/>
    <w:rsid w:val="00F7604A"/>
    <w:rsid w:val="00F764CB"/>
    <w:rsid w:val="00F76BFF"/>
    <w:rsid w:val="00F804E9"/>
    <w:rsid w:val="00F81886"/>
    <w:rsid w:val="00F81BB1"/>
    <w:rsid w:val="00F86229"/>
    <w:rsid w:val="00F93BAA"/>
    <w:rsid w:val="00F95E21"/>
    <w:rsid w:val="00FA22AF"/>
    <w:rsid w:val="00FA3297"/>
    <w:rsid w:val="00FA6C7B"/>
    <w:rsid w:val="00FB42BF"/>
    <w:rsid w:val="00FB5210"/>
    <w:rsid w:val="00FB52C7"/>
    <w:rsid w:val="00FB77F2"/>
    <w:rsid w:val="00FC2666"/>
    <w:rsid w:val="00FC2AF9"/>
    <w:rsid w:val="00FD0DF7"/>
    <w:rsid w:val="00FE0912"/>
    <w:rsid w:val="00FE4A4D"/>
    <w:rsid w:val="00FE62B2"/>
    <w:rsid w:val="00FF2161"/>
    <w:rsid w:val="00FF45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5CE8F"/>
  <w15:chartTrackingRefBased/>
  <w15:docId w15:val="{10825310-9D43-4DC1-8DB2-1357221B5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Ttulo11"/>
    <w:next w:val="Normal"/>
    <w:link w:val="Heading1Char"/>
    <w:uiPriority w:val="9"/>
    <w:qFormat/>
    <w:rsid w:val="00DA187D"/>
    <w:pPr>
      <w:ind w:left="540"/>
      <w:outlineLvl w:val="0"/>
    </w:pPr>
    <w:rPr>
      <w:rFonts w:cstheme="minorHAnsi"/>
      <w:sz w:val="20"/>
      <w:szCs w:val="20"/>
      <w:lang w:val="es-ES"/>
    </w:rPr>
  </w:style>
  <w:style w:type="paragraph" w:styleId="Heading2">
    <w:name w:val="heading 2"/>
    <w:basedOn w:val="Ttulo21"/>
    <w:link w:val="Heading2Char"/>
    <w:uiPriority w:val="9"/>
    <w:qFormat/>
    <w:rsid w:val="0080756A"/>
    <w:pPr>
      <w:numPr>
        <w:numId w:val="18"/>
      </w:numPr>
      <w:outlineLvl w:val="1"/>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1BB1"/>
    <w:pPr>
      <w:tabs>
        <w:tab w:val="center" w:pos="4419"/>
        <w:tab w:val="right" w:pos="8838"/>
      </w:tabs>
      <w:spacing w:after="0" w:line="240" w:lineRule="auto"/>
    </w:pPr>
  </w:style>
  <w:style w:type="character" w:customStyle="1" w:styleId="HeaderChar">
    <w:name w:val="Header Char"/>
    <w:basedOn w:val="DefaultParagraphFont"/>
    <w:link w:val="Header"/>
    <w:uiPriority w:val="99"/>
    <w:rsid w:val="00F81BB1"/>
  </w:style>
  <w:style w:type="paragraph" w:styleId="Footer">
    <w:name w:val="footer"/>
    <w:basedOn w:val="Normal"/>
    <w:link w:val="FooterChar"/>
    <w:uiPriority w:val="99"/>
    <w:unhideWhenUsed/>
    <w:rsid w:val="00F81BB1"/>
    <w:pPr>
      <w:tabs>
        <w:tab w:val="center" w:pos="4419"/>
        <w:tab w:val="right" w:pos="8838"/>
      </w:tabs>
      <w:spacing w:after="0" w:line="240" w:lineRule="auto"/>
    </w:pPr>
  </w:style>
  <w:style w:type="character" w:customStyle="1" w:styleId="FooterChar">
    <w:name w:val="Footer Char"/>
    <w:basedOn w:val="DefaultParagraphFont"/>
    <w:link w:val="Footer"/>
    <w:uiPriority w:val="99"/>
    <w:rsid w:val="00F81BB1"/>
  </w:style>
  <w:style w:type="paragraph" w:customStyle="1" w:styleId="TextoCarta">
    <w:name w:val="Texto Carta"/>
    <w:basedOn w:val="Normal"/>
    <w:link w:val="TextoCartaChar"/>
    <w:qFormat/>
    <w:rsid w:val="00BC6B06"/>
    <w:pPr>
      <w:ind w:firstLine="720"/>
      <w:jc w:val="both"/>
    </w:pPr>
    <w:rPr>
      <w:lang w:val="es-CO"/>
    </w:rPr>
  </w:style>
  <w:style w:type="paragraph" w:styleId="FootnoteText">
    <w:name w:val="footnote text"/>
    <w:basedOn w:val="Normal"/>
    <w:link w:val="FootnoteTextChar"/>
    <w:uiPriority w:val="99"/>
    <w:unhideWhenUsed/>
    <w:rsid w:val="00550CA7"/>
    <w:pPr>
      <w:spacing w:after="0" w:line="240" w:lineRule="auto"/>
      <w:ind w:left="432" w:hanging="432"/>
      <w:jc w:val="both"/>
    </w:pPr>
    <w:rPr>
      <w:sz w:val="18"/>
      <w:szCs w:val="20"/>
    </w:rPr>
  </w:style>
  <w:style w:type="character" w:customStyle="1" w:styleId="TextoCartaChar">
    <w:name w:val="Texto Carta Char"/>
    <w:basedOn w:val="DefaultParagraphFont"/>
    <w:link w:val="TextoCarta"/>
    <w:rsid w:val="00BC6B06"/>
    <w:rPr>
      <w:lang w:val="es-CO"/>
    </w:rPr>
  </w:style>
  <w:style w:type="character" w:customStyle="1" w:styleId="FootnoteTextChar">
    <w:name w:val="Footnote Text Char"/>
    <w:basedOn w:val="DefaultParagraphFont"/>
    <w:link w:val="FootnoteText"/>
    <w:uiPriority w:val="99"/>
    <w:rsid w:val="00550CA7"/>
    <w:rPr>
      <w:sz w:val="18"/>
      <w:szCs w:val="20"/>
    </w:rPr>
  </w:style>
  <w:style w:type="character" w:styleId="FootnoteReference">
    <w:name w:val="footnote reference"/>
    <w:basedOn w:val="DefaultParagraphFont"/>
    <w:link w:val="Refdenotaalpie2"/>
    <w:uiPriority w:val="99"/>
    <w:unhideWhenUsed/>
    <w:rsid w:val="00C44E5E"/>
    <w:rPr>
      <w:vertAlign w:val="superscript"/>
    </w:rPr>
  </w:style>
  <w:style w:type="paragraph" w:styleId="ListParagraph">
    <w:name w:val="List Paragraph"/>
    <w:basedOn w:val="Normal"/>
    <w:uiPriority w:val="34"/>
    <w:qFormat/>
    <w:rsid w:val="007B528D"/>
    <w:pPr>
      <w:ind w:left="720"/>
      <w:contextualSpacing/>
    </w:pPr>
  </w:style>
  <w:style w:type="paragraph" w:customStyle="1" w:styleId="Ttulo11">
    <w:name w:val="Título 11"/>
    <w:basedOn w:val="TextoCarta"/>
    <w:link w:val="Ttulo1Char"/>
    <w:qFormat/>
    <w:rsid w:val="00057C98"/>
    <w:pPr>
      <w:keepNext/>
      <w:numPr>
        <w:numId w:val="2"/>
      </w:numPr>
      <w:spacing w:before="360" w:after="240"/>
      <w:ind w:left="720" w:hanging="576"/>
    </w:pPr>
    <w:rPr>
      <w:b/>
      <w:lang w:val="en-US"/>
    </w:rPr>
  </w:style>
  <w:style w:type="paragraph" w:customStyle="1" w:styleId="Ttulo21">
    <w:name w:val="Título 21"/>
    <w:basedOn w:val="Ttulo11"/>
    <w:link w:val="Ttulo2Char"/>
    <w:qFormat/>
    <w:rsid w:val="00DA6E4E"/>
    <w:pPr>
      <w:numPr>
        <w:numId w:val="3"/>
      </w:numPr>
      <w:spacing w:before="240" w:after="160"/>
      <w:ind w:left="1296" w:hanging="576"/>
    </w:pPr>
    <w:rPr>
      <w:b w:val="0"/>
      <w:u w:val="single"/>
      <w:lang w:val="es-CO"/>
    </w:rPr>
  </w:style>
  <w:style w:type="character" w:customStyle="1" w:styleId="Ttulo1Char">
    <w:name w:val="Título 1 Char"/>
    <w:basedOn w:val="TextoCartaChar"/>
    <w:link w:val="Ttulo11"/>
    <w:rsid w:val="00057C98"/>
    <w:rPr>
      <w:b/>
      <w:lang w:val="es-CO"/>
    </w:rPr>
  </w:style>
  <w:style w:type="paragraph" w:customStyle="1" w:styleId="PreguntaCarta">
    <w:name w:val="Pregunta Carta"/>
    <w:basedOn w:val="TextoCarta"/>
    <w:link w:val="PreguntaCartaChar"/>
    <w:qFormat/>
    <w:rsid w:val="006D7B8B"/>
    <w:pPr>
      <w:numPr>
        <w:numId w:val="6"/>
      </w:numPr>
      <w:ind w:left="1296" w:hanging="576"/>
    </w:pPr>
  </w:style>
  <w:style w:type="character" w:customStyle="1" w:styleId="Ttulo2Char">
    <w:name w:val="Título 2 Char"/>
    <w:basedOn w:val="Ttulo1Char"/>
    <w:link w:val="Ttulo21"/>
    <w:rsid w:val="00DA6E4E"/>
    <w:rPr>
      <w:b w:val="0"/>
      <w:u w:val="single"/>
      <w:lang w:val="es-CO"/>
    </w:rPr>
  </w:style>
  <w:style w:type="paragraph" w:customStyle="1" w:styleId="Recomendaciones">
    <w:name w:val="Recomendaciones"/>
    <w:basedOn w:val="TextoCarta"/>
    <w:link w:val="RecomendacionesChar"/>
    <w:qFormat/>
    <w:rsid w:val="006D7B8B"/>
    <w:pPr>
      <w:numPr>
        <w:numId w:val="7"/>
      </w:numPr>
      <w:ind w:left="1296" w:hanging="576"/>
    </w:pPr>
  </w:style>
  <w:style w:type="character" w:customStyle="1" w:styleId="PreguntaCartaChar">
    <w:name w:val="Pregunta Carta Char"/>
    <w:basedOn w:val="TextoCartaChar"/>
    <w:link w:val="PreguntaCarta"/>
    <w:rsid w:val="006D7B8B"/>
    <w:rPr>
      <w:lang w:val="es-CO"/>
    </w:rPr>
  </w:style>
  <w:style w:type="character" w:customStyle="1" w:styleId="RecomendacionesChar">
    <w:name w:val="Recomendaciones Char"/>
    <w:basedOn w:val="TextoCartaChar"/>
    <w:link w:val="Recomendaciones"/>
    <w:rsid w:val="006D7B8B"/>
    <w:rPr>
      <w:lang w:val="es-CO"/>
    </w:rPr>
  </w:style>
  <w:style w:type="paragraph" w:customStyle="1" w:styleId="Firmas">
    <w:name w:val="Firmas"/>
    <w:basedOn w:val="TextoCarta"/>
    <w:link w:val="FirmasChar"/>
    <w:qFormat/>
    <w:rsid w:val="00243149"/>
    <w:pPr>
      <w:spacing w:after="0"/>
      <w:ind w:firstLine="0"/>
    </w:pPr>
  </w:style>
  <w:style w:type="character" w:customStyle="1" w:styleId="FirmasChar">
    <w:name w:val="Firmas Char"/>
    <w:basedOn w:val="TextoCartaChar"/>
    <w:link w:val="Firmas"/>
    <w:rsid w:val="00243149"/>
    <w:rPr>
      <w:lang w:val="es-CO"/>
    </w:rPr>
  </w:style>
  <w:style w:type="character" w:styleId="CommentReference">
    <w:name w:val="annotation reference"/>
    <w:basedOn w:val="DefaultParagraphFont"/>
    <w:uiPriority w:val="99"/>
    <w:semiHidden/>
    <w:unhideWhenUsed/>
    <w:rsid w:val="00E8090D"/>
    <w:rPr>
      <w:sz w:val="16"/>
      <w:szCs w:val="16"/>
    </w:rPr>
  </w:style>
  <w:style w:type="paragraph" w:customStyle="1" w:styleId="Cita1">
    <w:name w:val="Cita1"/>
    <w:basedOn w:val="TextoCarta"/>
    <w:link w:val="CitaChar"/>
    <w:qFormat/>
    <w:rsid w:val="00E8090D"/>
    <w:pPr>
      <w:ind w:left="720" w:firstLine="0"/>
    </w:pPr>
    <w:rPr>
      <w:i/>
    </w:rPr>
  </w:style>
  <w:style w:type="character" w:customStyle="1" w:styleId="CitaChar">
    <w:name w:val="Cita Char"/>
    <w:basedOn w:val="TextoCartaChar"/>
    <w:link w:val="Cita1"/>
    <w:rsid w:val="00E8090D"/>
    <w:rPr>
      <w:i/>
      <w:lang w:val="es-CO"/>
    </w:rPr>
  </w:style>
  <w:style w:type="paragraph" w:styleId="CommentText">
    <w:name w:val="annotation text"/>
    <w:basedOn w:val="Normal"/>
    <w:link w:val="CommentTextChar"/>
    <w:uiPriority w:val="99"/>
    <w:unhideWhenUsed/>
    <w:rsid w:val="00E8090D"/>
    <w:pPr>
      <w:spacing w:line="240" w:lineRule="auto"/>
    </w:pPr>
    <w:rPr>
      <w:sz w:val="20"/>
      <w:szCs w:val="20"/>
    </w:rPr>
  </w:style>
  <w:style w:type="character" w:customStyle="1" w:styleId="CommentTextChar">
    <w:name w:val="Comment Text Char"/>
    <w:basedOn w:val="DefaultParagraphFont"/>
    <w:link w:val="CommentText"/>
    <w:uiPriority w:val="99"/>
    <w:rsid w:val="00E8090D"/>
    <w:rPr>
      <w:sz w:val="20"/>
      <w:szCs w:val="20"/>
    </w:rPr>
  </w:style>
  <w:style w:type="paragraph" w:styleId="BalloonText">
    <w:name w:val="Balloon Text"/>
    <w:basedOn w:val="Normal"/>
    <w:link w:val="BalloonTextChar"/>
    <w:uiPriority w:val="99"/>
    <w:semiHidden/>
    <w:unhideWhenUsed/>
    <w:rsid w:val="00E809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090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06592"/>
    <w:rPr>
      <w:b/>
      <w:bCs/>
    </w:rPr>
  </w:style>
  <w:style w:type="character" w:customStyle="1" w:styleId="CommentSubjectChar">
    <w:name w:val="Comment Subject Char"/>
    <w:basedOn w:val="CommentTextChar"/>
    <w:link w:val="CommentSubject"/>
    <w:uiPriority w:val="99"/>
    <w:semiHidden/>
    <w:rsid w:val="00406592"/>
    <w:rPr>
      <w:b/>
      <w:bCs/>
      <w:sz w:val="20"/>
      <w:szCs w:val="20"/>
    </w:rPr>
  </w:style>
  <w:style w:type="paragraph" w:styleId="Revision">
    <w:name w:val="Revision"/>
    <w:hidden/>
    <w:uiPriority w:val="99"/>
    <w:semiHidden/>
    <w:rsid w:val="00406592"/>
    <w:pPr>
      <w:spacing w:after="0" w:line="240" w:lineRule="auto"/>
    </w:pPr>
  </w:style>
  <w:style w:type="character" w:styleId="Hyperlink">
    <w:name w:val="Hyperlink"/>
    <w:uiPriority w:val="99"/>
    <w:unhideWhenUsed/>
    <w:rsid w:val="00D541C7"/>
    <w:rPr>
      <w:color w:val="0563C1"/>
      <w:u w:val="single"/>
    </w:rPr>
  </w:style>
  <w:style w:type="paragraph" w:styleId="EndnoteText">
    <w:name w:val="endnote text"/>
    <w:basedOn w:val="Normal"/>
    <w:link w:val="EndnoteTextChar"/>
    <w:uiPriority w:val="99"/>
    <w:unhideWhenUsed/>
    <w:rsid w:val="00AB22E3"/>
    <w:pPr>
      <w:spacing w:after="0" w:line="240" w:lineRule="auto"/>
    </w:pPr>
    <w:rPr>
      <w:rFonts w:ascii="Calibri" w:eastAsia="Calibri" w:hAnsi="Calibri" w:cs="Times New Roman"/>
      <w:sz w:val="20"/>
      <w:szCs w:val="20"/>
      <w:lang w:val="es-CO"/>
    </w:rPr>
  </w:style>
  <w:style w:type="paragraph" w:customStyle="1" w:styleId="Encabezado1">
    <w:name w:val="Encabezado1"/>
    <w:basedOn w:val="Normal"/>
    <w:next w:val="TextoCarta"/>
    <w:qFormat/>
    <w:rsid w:val="00425A9A"/>
    <w:pPr>
      <w:spacing w:after="360"/>
      <w:jc w:val="both"/>
    </w:pPr>
    <w:rPr>
      <w:rFonts w:ascii="Times New Roman" w:hAnsi="Times New Roman"/>
      <w:lang w:val="es-CO"/>
    </w:rPr>
  </w:style>
  <w:style w:type="character" w:customStyle="1" w:styleId="EndnoteTextChar">
    <w:name w:val="Endnote Text Char"/>
    <w:basedOn w:val="DefaultParagraphFont"/>
    <w:link w:val="EndnoteText"/>
    <w:uiPriority w:val="99"/>
    <w:rsid w:val="00AB22E3"/>
    <w:rPr>
      <w:rFonts w:ascii="Calibri" w:eastAsia="Calibri" w:hAnsi="Calibri" w:cs="Times New Roman"/>
      <w:sz w:val="20"/>
      <w:szCs w:val="20"/>
      <w:lang w:val="es-CO"/>
    </w:rPr>
  </w:style>
  <w:style w:type="paragraph" w:customStyle="1" w:styleId="Refdenotaalpie2">
    <w:name w:val="Ref. de nota al pie2"/>
    <w:basedOn w:val="ListParagraph"/>
    <w:link w:val="FootnoteReference"/>
    <w:uiPriority w:val="99"/>
    <w:qFormat/>
    <w:rsid w:val="00AB22E3"/>
    <w:pPr>
      <w:numPr>
        <w:numId w:val="10"/>
      </w:numPr>
      <w:spacing w:after="120" w:line="240" w:lineRule="auto"/>
      <w:contextualSpacing w:val="0"/>
      <w:jc w:val="both"/>
    </w:pPr>
    <w:rPr>
      <w:vertAlign w:val="superscript"/>
    </w:rPr>
  </w:style>
  <w:style w:type="character" w:styleId="EndnoteReference">
    <w:name w:val="endnote reference"/>
    <w:uiPriority w:val="99"/>
    <w:rsid w:val="009426EF"/>
    <w:rPr>
      <w:rFonts w:ascii="Times New Roman" w:hAnsi="Times New Roman"/>
      <w:b/>
      <w:sz w:val="24"/>
      <w:vertAlign w:val="superscript"/>
    </w:rPr>
  </w:style>
  <w:style w:type="character" w:customStyle="1" w:styleId="UnresolvedMention1">
    <w:name w:val="Unresolved Mention1"/>
    <w:basedOn w:val="DefaultParagraphFont"/>
    <w:uiPriority w:val="99"/>
    <w:semiHidden/>
    <w:unhideWhenUsed/>
    <w:rsid w:val="00F50A55"/>
    <w:rPr>
      <w:color w:val="605E5C"/>
      <w:shd w:val="clear" w:color="auto" w:fill="E1DFDD"/>
    </w:rPr>
  </w:style>
  <w:style w:type="character" w:styleId="FollowedHyperlink">
    <w:name w:val="FollowedHyperlink"/>
    <w:basedOn w:val="DefaultParagraphFont"/>
    <w:uiPriority w:val="99"/>
    <w:semiHidden/>
    <w:unhideWhenUsed/>
    <w:rsid w:val="00B54CB3"/>
    <w:rPr>
      <w:color w:val="800080" w:themeColor="followedHyperlink"/>
      <w:u w:val="single"/>
    </w:rPr>
  </w:style>
  <w:style w:type="character" w:customStyle="1" w:styleId="fontstyle01">
    <w:name w:val="fontstyle01"/>
    <w:basedOn w:val="DefaultParagraphFont"/>
    <w:rsid w:val="00E3176F"/>
    <w:rPr>
      <w:rFonts w:ascii="TimesNewRoman" w:hAnsi="TimesNewRoman" w:hint="default"/>
      <w:b w:val="0"/>
      <w:bCs w:val="0"/>
      <w:i w:val="0"/>
      <w:iCs w:val="0"/>
      <w:color w:val="000000"/>
      <w:sz w:val="24"/>
      <w:szCs w:val="24"/>
    </w:rPr>
  </w:style>
  <w:style w:type="character" w:customStyle="1" w:styleId="Heading2Char">
    <w:name w:val="Heading 2 Char"/>
    <w:basedOn w:val="DefaultParagraphFont"/>
    <w:link w:val="Heading2"/>
    <w:uiPriority w:val="9"/>
    <w:rsid w:val="0080756A"/>
    <w:rPr>
      <w:sz w:val="20"/>
      <w:szCs w:val="20"/>
      <w:u w:val="single"/>
      <w:lang w:val="es-CO"/>
    </w:rPr>
  </w:style>
  <w:style w:type="paragraph" w:customStyle="1" w:styleId="paragraph">
    <w:name w:val="paragraph"/>
    <w:basedOn w:val="Normal"/>
    <w:rsid w:val="00B67EB9"/>
    <w:pPr>
      <w:spacing w:before="100" w:beforeAutospacing="1" w:after="100" w:afterAutospacing="1" w:line="240" w:lineRule="auto"/>
    </w:pPr>
    <w:rPr>
      <w:rFonts w:ascii="Times New Roman" w:eastAsia="Times New Roman" w:hAnsi="Times New Roman" w:cs="Times New Roman"/>
      <w:sz w:val="24"/>
      <w:szCs w:val="24"/>
      <w:lang w:val="en-CA"/>
    </w:rPr>
  </w:style>
  <w:style w:type="character" w:customStyle="1" w:styleId="normaltextrun">
    <w:name w:val="normaltextrun"/>
    <w:basedOn w:val="DefaultParagraphFont"/>
    <w:rsid w:val="00B67EB9"/>
  </w:style>
  <w:style w:type="character" w:customStyle="1" w:styleId="eop">
    <w:name w:val="eop"/>
    <w:basedOn w:val="DefaultParagraphFont"/>
    <w:rsid w:val="00B67EB9"/>
  </w:style>
  <w:style w:type="character" w:customStyle="1" w:styleId="highlight">
    <w:name w:val="highlight"/>
    <w:basedOn w:val="DefaultParagraphFont"/>
    <w:rsid w:val="0087396E"/>
  </w:style>
  <w:style w:type="character" w:customStyle="1" w:styleId="UnresolvedMention">
    <w:name w:val="Unresolved Mention"/>
    <w:basedOn w:val="DefaultParagraphFont"/>
    <w:uiPriority w:val="99"/>
    <w:semiHidden/>
    <w:unhideWhenUsed/>
    <w:rsid w:val="00AA02E5"/>
    <w:rPr>
      <w:color w:val="605E5C"/>
      <w:shd w:val="clear" w:color="auto" w:fill="E1DFDD"/>
    </w:rPr>
  </w:style>
  <w:style w:type="character" w:styleId="PageNumber">
    <w:name w:val="page number"/>
    <w:basedOn w:val="DefaultParagraphFont"/>
    <w:uiPriority w:val="99"/>
    <w:semiHidden/>
    <w:unhideWhenUsed/>
    <w:rsid w:val="00780BBA"/>
  </w:style>
  <w:style w:type="character" w:customStyle="1" w:styleId="textrun">
    <w:name w:val="textrun"/>
    <w:basedOn w:val="DefaultParagraphFont"/>
    <w:rsid w:val="00FE62B2"/>
  </w:style>
  <w:style w:type="character" w:customStyle="1" w:styleId="findhit">
    <w:name w:val="findhit"/>
    <w:basedOn w:val="DefaultParagraphFont"/>
    <w:rsid w:val="00DF148D"/>
  </w:style>
  <w:style w:type="character" w:customStyle="1" w:styleId="Heading1Char">
    <w:name w:val="Heading 1 Char"/>
    <w:basedOn w:val="DefaultParagraphFont"/>
    <w:link w:val="Heading1"/>
    <w:uiPriority w:val="9"/>
    <w:rsid w:val="00DA187D"/>
    <w:rPr>
      <w:rFonts w:cstheme="minorHAnsi"/>
      <w:b/>
      <w:sz w:val="20"/>
      <w:szCs w:val="20"/>
      <w:lang w:val="es-ES"/>
    </w:rPr>
  </w:style>
  <w:style w:type="table" w:styleId="TableGrid">
    <w:name w:val="Table Grid"/>
    <w:basedOn w:val="TableNormal"/>
    <w:uiPriority w:val="39"/>
    <w:rsid w:val="00B32A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60EE"/>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semiHidden/>
    <w:unhideWhenUsed/>
    <w:rsid w:val="00B429A7"/>
    <w:pPr>
      <w:spacing w:after="120" w:line="240" w:lineRule="auto"/>
    </w:pPr>
    <w:rPr>
      <w:rFonts w:ascii="Times New Roman" w:eastAsia="Times New Roman" w:hAnsi="Times New Roman" w:cs="Times New Roman"/>
      <w:sz w:val="24"/>
      <w:szCs w:val="24"/>
      <w:lang w:val="es-US" w:eastAsia="es-ES_tradnl"/>
    </w:rPr>
  </w:style>
  <w:style w:type="character" w:customStyle="1" w:styleId="BodyTextChar">
    <w:name w:val="Body Text Char"/>
    <w:basedOn w:val="DefaultParagraphFont"/>
    <w:link w:val="BodyText"/>
    <w:uiPriority w:val="99"/>
    <w:semiHidden/>
    <w:rsid w:val="00B429A7"/>
    <w:rPr>
      <w:rFonts w:ascii="Times New Roman" w:eastAsia="Times New Roman" w:hAnsi="Times New Roman" w:cs="Times New Roman"/>
      <w:sz w:val="24"/>
      <w:szCs w:val="24"/>
      <w:lang w:val="es-U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45853">
      <w:bodyDiv w:val="1"/>
      <w:marLeft w:val="0"/>
      <w:marRight w:val="0"/>
      <w:marTop w:val="0"/>
      <w:marBottom w:val="0"/>
      <w:divBdr>
        <w:top w:val="none" w:sz="0" w:space="0" w:color="auto"/>
        <w:left w:val="none" w:sz="0" w:space="0" w:color="auto"/>
        <w:bottom w:val="none" w:sz="0" w:space="0" w:color="auto"/>
        <w:right w:val="none" w:sz="0" w:space="0" w:color="auto"/>
      </w:divBdr>
    </w:div>
    <w:div w:id="50812672">
      <w:bodyDiv w:val="1"/>
      <w:marLeft w:val="0"/>
      <w:marRight w:val="0"/>
      <w:marTop w:val="0"/>
      <w:marBottom w:val="0"/>
      <w:divBdr>
        <w:top w:val="none" w:sz="0" w:space="0" w:color="auto"/>
        <w:left w:val="none" w:sz="0" w:space="0" w:color="auto"/>
        <w:bottom w:val="none" w:sz="0" w:space="0" w:color="auto"/>
        <w:right w:val="none" w:sz="0" w:space="0" w:color="auto"/>
      </w:divBdr>
    </w:div>
    <w:div w:id="93332325">
      <w:bodyDiv w:val="1"/>
      <w:marLeft w:val="0"/>
      <w:marRight w:val="0"/>
      <w:marTop w:val="0"/>
      <w:marBottom w:val="0"/>
      <w:divBdr>
        <w:top w:val="none" w:sz="0" w:space="0" w:color="auto"/>
        <w:left w:val="none" w:sz="0" w:space="0" w:color="auto"/>
        <w:bottom w:val="none" w:sz="0" w:space="0" w:color="auto"/>
        <w:right w:val="none" w:sz="0" w:space="0" w:color="auto"/>
      </w:divBdr>
    </w:div>
    <w:div w:id="102116539">
      <w:bodyDiv w:val="1"/>
      <w:marLeft w:val="0"/>
      <w:marRight w:val="0"/>
      <w:marTop w:val="0"/>
      <w:marBottom w:val="0"/>
      <w:divBdr>
        <w:top w:val="none" w:sz="0" w:space="0" w:color="auto"/>
        <w:left w:val="none" w:sz="0" w:space="0" w:color="auto"/>
        <w:bottom w:val="none" w:sz="0" w:space="0" w:color="auto"/>
        <w:right w:val="none" w:sz="0" w:space="0" w:color="auto"/>
      </w:divBdr>
      <w:divsChild>
        <w:div w:id="1163278465">
          <w:marLeft w:val="0"/>
          <w:marRight w:val="0"/>
          <w:marTop w:val="0"/>
          <w:marBottom w:val="0"/>
          <w:divBdr>
            <w:top w:val="none" w:sz="0" w:space="0" w:color="auto"/>
            <w:left w:val="none" w:sz="0" w:space="0" w:color="auto"/>
            <w:bottom w:val="none" w:sz="0" w:space="0" w:color="auto"/>
            <w:right w:val="none" w:sz="0" w:space="0" w:color="auto"/>
          </w:divBdr>
          <w:divsChild>
            <w:div w:id="1756240386">
              <w:marLeft w:val="0"/>
              <w:marRight w:val="0"/>
              <w:marTop w:val="0"/>
              <w:marBottom w:val="0"/>
              <w:divBdr>
                <w:top w:val="none" w:sz="0" w:space="0" w:color="auto"/>
                <w:left w:val="none" w:sz="0" w:space="0" w:color="auto"/>
                <w:bottom w:val="none" w:sz="0" w:space="0" w:color="auto"/>
                <w:right w:val="none" w:sz="0" w:space="0" w:color="auto"/>
              </w:divBdr>
            </w:div>
          </w:divsChild>
        </w:div>
        <w:div w:id="688485047">
          <w:marLeft w:val="0"/>
          <w:marRight w:val="0"/>
          <w:marTop w:val="0"/>
          <w:marBottom w:val="0"/>
          <w:divBdr>
            <w:top w:val="none" w:sz="0" w:space="0" w:color="auto"/>
            <w:left w:val="none" w:sz="0" w:space="0" w:color="auto"/>
            <w:bottom w:val="none" w:sz="0" w:space="0" w:color="auto"/>
            <w:right w:val="none" w:sz="0" w:space="0" w:color="auto"/>
          </w:divBdr>
          <w:divsChild>
            <w:div w:id="1298026559">
              <w:marLeft w:val="0"/>
              <w:marRight w:val="0"/>
              <w:marTop w:val="0"/>
              <w:marBottom w:val="0"/>
              <w:divBdr>
                <w:top w:val="none" w:sz="0" w:space="0" w:color="auto"/>
                <w:left w:val="none" w:sz="0" w:space="0" w:color="auto"/>
                <w:bottom w:val="none" w:sz="0" w:space="0" w:color="auto"/>
                <w:right w:val="none" w:sz="0" w:space="0" w:color="auto"/>
              </w:divBdr>
            </w:div>
            <w:div w:id="105500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9165">
      <w:bodyDiv w:val="1"/>
      <w:marLeft w:val="0"/>
      <w:marRight w:val="0"/>
      <w:marTop w:val="0"/>
      <w:marBottom w:val="0"/>
      <w:divBdr>
        <w:top w:val="none" w:sz="0" w:space="0" w:color="auto"/>
        <w:left w:val="none" w:sz="0" w:space="0" w:color="auto"/>
        <w:bottom w:val="none" w:sz="0" w:space="0" w:color="auto"/>
        <w:right w:val="none" w:sz="0" w:space="0" w:color="auto"/>
      </w:divBdr>
    </w:div>
    <w:div w:id="138501420">
      <w:bodyDiv w:val="1"/>
      <w:marLeft w:val="0"/>
      <w:marRight w:val="0"/>
      <w:marTop w:val="0"/>
      <w:marBottom w:val="0"/>
      <w:divBdr>
        <w:top w:val="none" w:sz="0" w:space="0" w:color="auto"/>
        <w:left w:val="none" w:sz="0" w:space="0" w:color="auto"/>
        <w:bottom w:val="none" w:sz="0" w:space="0" w:color="auto"/>
        <w:right w:val="none" w:sz="0" w:space="0" w:color="auto"/>
      </w:divBdr>
    </w:div>
    <w:div w:id="140120001">
      <w:bodyDiv w:val="1"/>
      <w:marLeft w:val="0"/>
      <w:marRight w:val="0"/>
      <w:marTop w:val="0"/>
      <w:marBottom w:val="0"/>
      <w:divBdr>
        <w:top w:val="none" w:sz="0" w:space="0" w:color="auto"/>
        <w:left w:val="none" w:sz="0" w:space="0" w:color="auto"/>
        <w:bottom w:val="none" w:sz="0" w:space="0" w:color="auto"/>
        <w:right w:val="none" w:sz="0" w:space="0" w:color="auto"/>
      </w:divBdr>
    </w:div>
    <w:div w:id="150878772">
      <w:bodyDiv w:val="1"/>
      <w:marLeft w:val="0"/>
      <w:marRight w:val="0"/>
      <w:marTop w:val="0"/>
      <w:marBottom w:val="0"/>
      <w:divBdr>
        <w:top w:val="none" w:sz="0" w:space="0" w:color="auto"/>
        <w:left w:val="none" w:sz="0" w:space="0" w:color="auto"/>
        <w:bottom w:val="none" w:sz="0" w:space="0" w:color="auto"/>
        <w:right w:val="none" w:sz="0" w:space="0" w:color="auto"/>
      </w:divBdr>
    </w:div>
    <w:div w:id="164132900">
      <w:bodyDiv w:val="1"/>
      <w:marLeft w:val="0"/>
      <w:marRight w:val="0"/>
      <w:marTop w:val="0"/>
      <w:marBottom w:val="0"/>
      <w:divBdr>
        <w:top w:val="none" w:sz="0" w:space="0" w:color="auto"/>
        <w:left w:val="none" w:sz="0" w:space="0" w:color="auto"/>
        <w:bottom w:val="none" w:sz="0" w:space="0" w:color="auto"/>
        <w:right w:val="none" w:sz="0" w:space="0" w:color="auto"/>
      </w:divBdr>
    </w:div>
    <w:div w:id="166487739">
      <w:bodyDiv w:val="1"/>
      <w:marLeft w:val="0"/>
      <w:marRight w:val="0"/>
      <w:marTop w:val="0"/>
      <w:marBottom w:val="0"/>
      <w:divBdr>
        <w:top w:val="none" w:sz="0" w:space="0" w:color="auto"/>
        <w:left w:val="none" w:sz="0" w:space="0" w:color="auto"/>
        <w:bottom w:val="none" w:sz="0" w:space="0" w:color="auto"/>
        <w:right w:val="none" w:sz="0" w:space="0" w:color="auto"/>
      </w:divBdr>
      <w:divsChild>
        <w:div w:id="1303927310">
          <w:marLeft w:val="0"/>
          <w:marRight w:val="0"/>
          <w:marTop w:val="0"/>
          <w:marBottom w:val="0"/>
          <w:divBdr>
            <w:top w:val="none" w:sz="0" w:space="0" w:color="auto"/>
            <w:left w:val="none" w:sz="0" w:space="0" w:color="auto"/>
            <w:bottom w:val="none" w:sz="0" w:space="0" w:color="auto"/>
            <w:right w:val="none" w:sz="0" w:space="0" w:color="auto"/>
          </w:divBdr>
          <w:divsChild>
            <w:div w:id="1148013789">
              <w:marLeft w:val="0"/>
              <w:marRight w:val="0"/>
              <w:marTop w:val="0"/>
              <w:marBottom w:val="0"/>
              <w:divBdr>
                <w:top w:val="none" w:sz="0" w:space="0" w:color="auto"/>
                <w:left w:val="none" w:sz="0" w:space="0" w:color="auto"/>
                <w:bottom w:val="none" w:sz="0" w:space="0" w:color="auto"/>
                <w:right w:val="none" w:sz="0" w:space="0" w:color="auto"/>
              </w:divBdr>
            </w:div>
          </w:divsChild>
        </w:div>
        <w:div w:id="936254663">
          <w:marLeft w:val="0"/>
          <w:marRight w:val="0"/>
          <w:marTop w:val="0"/>
          <w:marBottom w:val="0"/>
          <w:divBdr>
            <w:top w:val="none" w:sz="0" w:space="0" w:color="auto"/>
            <w:left w:val="none" w:sz="0" w:space="0" w:color="auto"/>
            <w:bottom w:val="none" w:sz="0" w:space="0" w:color="auto"/>
            <w:right w:val="none" w:sz="0" w:space="0" w:color="auto"/>
          </w:divBdr>
          <w:divsChild>
            <w:div w:id="121982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53847">
      <w:bodyDiv w:val="1"/>
      <w:marLeft w:val="0"/>
      <w:marRight w:val="0"/>
      <w:marTop w:val="0"/>
      <w:marBottom w:val="0"/>
      <w:divBdr>
        <w:top w:val="none" w:sz="0" w:space="0" w:color="auto"/>
        <w:left w:val="none" w:sz="0" w:space="0" w:color="auto"/>
        <w:bottom w:val="none" w:sz="0" w:space="0" w:color="auto"/>
        <w:right w:val="none" w:sz="0" w:space="0" w:color="auto"/>
      </w:divBdr>
      <w:divsChild>
        <w:div w:id="1101754296">
          <w:marLeft w:val="0"/>
          <w:marRight w:val="0"/>
          <w:marTop w:val="0"/>
          <w:marBottom w:val="0"/>
          <w:divBdr>
            <w:top w:val="none" w:sz="0" w:space="0" w:color="auto"/>
            <w:left w:val="none" w:sz="0" w:space="0" w:color="auto"/>
            <w:bottom w:val="none" w:sz="0" w:space="0" w:color="auto"/>
            <w:right w:val="none" w:sz="0" w:space="0" w:color="auto"/>
          </w:divBdr>
        </w:div>
      </w:divsChild>
    </w:div>
    <w:div w:id="199705145">
      <w:bodyDiv w:val="1"/>
      <w:marLeft w:val="0"/>
      <w:marRight w:val="0"/>
      <w:marTop w:val="0"/>
      <w:marBottom w:val="0"/>
      <w:divBdr>
        <w:top w:val="none" w:sz="0" w:space="0" w:color="auto"/>
        <w:left w:val="none" w:sz="0" w:space="0" w:color="auto"/>
        <w:bottom w:val="none" w:sz="0" w:space="0" w:color="auto"/>
        <w:right w:val="none" w:sz="0" w:space="0" w:color="auto"/>
      </w:divBdr>
    </w:div>
    <w:div w:id="293875079">
      <w:bodyDiv w:val="1"/>
      <w:marLeft w:val="0"/>
      <w:marRight w:val="0"/>
      <w:marTop w:val="0"/>
      <w:marBottom w:val="0"/>
      <w:divBdr>
        <w:top w:val="none" w:sz="0" w:space="0" w:color="auto"/>
        <w:left w:val="none" w:sz="0" w:space="0" w:color="auto"/>
        <w:bottom w:val="none" w:sz="0" w:space="0" w:color="auto"/>
        <w:right w:val="none" w:sz="0" w:space="0" w:color="auto"/>
      </w:divBdr>
    </w:div>
    <w:div w:id="304359878">
      <w:bodyDiv w:val="1"/>
      <w:marLeft w:val="0"/>
      <w:marRight w:val="0"/>
      <w:marTop w:val="0"/>
      <w:marBottom w:val="0"/>
      <w:divBdr>
        <w:top w:val="none" w:sz="0" w:space="0" w:color="auto"/>
        <w:left w:val="none" w:sz="0" w:space="0" w:color="auto"/>
        <w:bottom w:val="none" w:sz="0" w:space="0" w:color="auto"/>
        <w:right w:val="none" w:sz="0" w:space="0" w:color="auto"/>
      </w:divBdr>
    </w:div>
    <w:div w:id="324556765">
      <w:bodyDiv w:val="1"/>
      <w:marLeft w:val="0"/>
      <w:marRight w:val="0"/>
      <w:marTop w:val="0"/>
      <w:marBottom w:val="0"/>
      <w:divBdr>
        <w:top w:val="none" w:sz="0" w:space="0" w:color="auto"/>
        <w:left w:val="none" w:sz="0" w:space="0" w:color="auto"/>
        <w:bottom w:val="none" w:sz="0" w:space="0" w:color="auto"/>
        <w:right w:val="none" w:sz="0" w:space="0" w:color="auto"/>
      </w:divBdr>
    </w:div>
    <w:div w:id="340283396">
      <w:bodyDiv w:val="1"/>
      <w:marLeft w:val="0"/>
      <w:marRight w:val="0"/>
      <w:marTop w:val="0"/>
      <w:marBottom w:val="0"/>
      <w:divBdr>
        <w:top w:val="none" w:sz="0" w:space="0" w:color="auto"/>
        <w:left w:val="none" w:sz="0" w:space="0" w:color="auto"/>
        <w:bottom w:val="none" w:sz="0" w:space="0" w:color="auto"/>
        <w:right w:val="none" w:sz="0" w:space="0" w:color="auto"/>
      </w:divBdr>
    </w:div>
    <w:div w:id="378824116">
      <w:bodyDiv w:val="1"/>
      <w:marLeft w:val="0"/>
      <w:marRight w:val="0"/>
      <w:marTop w:val="0"/>
      <w:marBottom w:val="0"/>
      <w:divBdr>
        <w:top w:val="none" w:sz="0" w:space="0" w:color="auto"/>
        <w:left w:val="none" w:sz="0" w:space="0" w:color="auto"/>
        <w:bottom w:val="none" w:sz="0" w:space="0" w:color="auto"/>
        <w:right w:val="none" w:sz="0" w:space="0" w:color="auto"/>
      </w:divBdr>
    </w:div>
    <w:div w:id="402915424">
      <w:bodyDiv w:val="1"/>
      <w:marLeft w:val="0"/>
      <w:marRight w:val="0"/>
      <w:marTop w:val="0"/>
      <w:marBottom w:val="0"/>
      <w:divBdr>
        <w:top w:val="none" w:sz="0" w:space="0" w:color="auto"/>
        <w:left w:val="none" w:sz="0" w:space="0" w:color="auto"/>
        <w:bottom w:val="none" w:sz="0" w:space="0" w:color="auto"/>
        <w:right w:val="none" w:sz="0" w:space="0" w:color="auto"/>
      </w:divBdr>
      <w:divsChild>
        <w:div w:id="1257135945">
          <w:marLeft w:val="0"/>
          <w:marRight w:val="0"/>
          <w:marTop w:val="0"/>
          <w:marBottom w:val="0"/>
          <w:divBdr>
            <w:top w:val="none" w:sz="0" w:space="0" w:color="auto"/>
            <w:left w:val="none" w:sz="0" w:space="0" w:color="auto"/>
            <w:bottom w:val="none" w:sz="0" w:space="0" w:color="auto"/>
            <w:right w:val="none" w:sz="0" w:space="0" w:color="auto"/>
          </w:divBdr>
        </w:div>
        <w:div w:id="486477582">
          <w:marLeft w:val="0"/>
          <w:marRight w:val="0"/>
          <w:marTop w:val="0"/>
          <w:marBottom w:val="0"/>
          <w:divBdr>
            <w:top w:val="none" w:sz="0" w:space="0" w:color="auto"/>
            <w:left w:val="none" w:sz="0" w:space="0" w:color="auto"/>
            <w:bottom w:val="none" w:sz="0" w:space="0" w:color="auto"/>
            <w:right w:val="none" w:sz="0" w:space="0" w:color="auto"/>
          </w:divBdr>
        </w:div>
      </w:divsChild>
    </w:div>
    <w:div w:id="418478859">
      <w:bodyDiv w:val="1"/>
      <w:marLeft w:val="0"/>
      <w:marRight w:val="0"/>
      <w:marTop w:val="0"/>
      <w:marBottom w:val="0"/>
      <w:divBdr>
        <w:top w:val="none" w:sz="0" w:space="0" w:color="auto"/>
        <w:left w:val="none" w:sz="0" w:space="0" w:color="auto"/>
        <w:bottom w:val="none" w:sz="0" w:space="0" w:color="auto"/>
        <w:right w:val="none" w:sz="0" w:space="0" w:color="auto"/>
      </w:divBdr>
    </w:div>
    <w:div w:id="422647529">
      <w:bodyDiv w:val="1"/>
      <w:marLeft w:val="0"/>
      <w:marRight w:val="0"/>
      <w:marTop w:val="0"/>
      <w:marBottom w:val="0"/>
      <w:divBdr>
        <w:top w:val="none" w:sz="0" w:space="0" w:color="auto"/>
        <w:left w:val="none" w:sz="0" w:space="0" w:color="auto"/>
        <w:bottom w:val="none" w:sz="0" w:space="0" w:color="auto"/>
        <w:right w:val="none" w:sz="0" w:space="0" w:color="auto"/>
      </w:divBdr>
    </w:div>
    <w:div w:id="428429646">
      <w:bodyDiv w:val="1"/>
      <w:marLeft w:val="0"/>
      <w:marRight w:val="0"/>
      <w:marTop w:val="0"/>
      <w:marBottom w:val="0"/>
      <w:divBdr>
        <w:top w:val="none" w:sz="0" w:space="0" w:color="auto"/>
        <w:left w:val="none" w:sz="0" w:space="0" w:color="auto"/>
        <w:bottom w:val="none" w:sz="0" w:space="0" w:color="auto"/>
        <w:right w:val="none" w:sz="0" w:space="0" w:color="auto"/>
      </w:divBdr>
    </w:div>
    <w:div w:id="458573020">
      <w:bodyDiv w:val="1"/>
      <w:marLeft w:val="0"/>
      <w:marRight w:val="0"/>
      <w:marTop w:val="0"/>
      <w:marBottom w:val="0"/>
      <w:divBdr>
        <w:top w:val="none" w:sz="0" w:space="0" w:color="auto"/>
        <w:left w:val="none" w:sz="0" w:space="0" w:color="auto"/>
        <w:bottom w:val="none" w:sz="0" w:space="0" w:color="auto"/>
        <w:right w:val="none" w:sz="0" w:space="0" w:color="auto"/>
      </w:divBdr>
    </w:div>
    <w:div w:id="465323222">
      <w:bodyDiv w:val="1"/>
      <w:marLeft w:val="0"/>
      <w:marRight w:val="0"/>
      <w:marTop w:val="0"/>
      <w:marBottom w:val="0"/>
      <w:divBdr>
        <w:top w:val="none" w:sz="0" w:space="0" w:color="auto"/>
        <w:left w:val="none" w:sz="0" w:space="0" w:color="auto"/>
        <w:bottom w:val="none" w:sz="0" w:space="0" w:color="auto"/>
        <w:right w:val="none" w:sz="0" w:space="0" w:color="auto"/>
      </w:divBdr>
      <w:divsChild>
        <w:div w:id="308873124">
          <w:marLeft w:val="0"/>
          <w:marRight w:val="0"/>
          <w:marTop w:val="0"/>
          <w:marBottom w:val="0"/>
          <w:divBdr>
            <w:top w:val="none" w:sz="0" w:space="0" w:color="auto"/>
            <w:left w:val="none" w:sz="0" w:space="0" w:color="auto"/>
            <w:bottom w:val="none" w:sz="0" w:space="0" w:color="auto"/>
            <w:right w:val="none" w:sz="0" w:space="0" w:color="auto"/>
          </w:divBdr>
          <w:divsChild>
            <w:div w:id="37913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268417">
      <w:bodyDiv w:val="1"/>
      <w:marLeft w:val="0"/>
      <w:marRight w:val="0"/>
      <w:marTop w:val="0"/>
      <w:marBottom w:val="0"/>
      <w:divBdr>
        <w:top w:val="none" w:sz="0" w:space="0" w:color="auto"/>
        <w:left w:val="none" w:sz="0" w:space="0" w:color="auto"/>
        <w:bottom w:val="none" w:sz="0" w:space="0" w:color="auto"/>
        <w:right w:val="none" w:sz="0" w:space="0" w:color="auto"/>
      </w:divBdr>
    </w:div>
    <w:div w:id="496768395">
      <w:bodyDiv w:val="1"/>
      <w:marLeft w:val="0"/>
      <w:marRight w:val="0"/>
      <w:marTop w:val="0"/>
      <w:marBottom w:val="0"/>
      <w:divBdr>
        <w:top w:val="none" w:sz="0" w:space="0" w:color="auto"/>
        <w:left w:val="none" w:sz="0" w:space="0" w:color="auto"/>
        <w:bottom w:val="none" w:sz="0" w:space="0" w:color="auto"/>
        <w:right w:val="none" w:sz="0" w:space="0" w:color="auto"/>
      </w:divBdr>
    </w:div>
    <w:div w:id="500584461">
      <w:bodyDiv w:val="1"/>
      <w:marLeft w:val="0"/>
      <w:marRight w:val="0"/>
      <w:marTop w:val="0"/>
      <w:marBottom w:val="0"/>
      <w:divBdr>
        <w:top w:val="none" w:sz="0" w:space="0" w:color="auto"/>
        <w:left w:val="none" w:sz="0" w:space="0" w:color="auto"/>
        <w:bottom w:val="none" w:sz="0" w:space="0" w:color="auto"/>
        <w:right w:val="none" w:sz="0" w:space="0" w:color="auto"/>
      </w:divBdr>
      <w:divsChild>
        <w:div w:id="1077096894">
          <w:marLeft w:val="0"/>
          <w:marRight w:val="0"/>
          <w:marTop w:val="0"/>
          <w:marBottom w:val="0"/>
          <w:divBdr>
            <w:top w:val="none" w:sz="0" w:space="0" w:color="auto"/>
            <w:left w:val="none" w:sz="0" w:space="0" w:color="auto"/>
            <w:bottom w:val="none" w:sz="0" w:space="0" w:color="auto"/>
            <w:right w:val="none" w:sz="0" w:space="0" w:color="auto"/>
          </w:divBdr>
          <w:divsChild>
            <w:div w:id="21442808">
              <w:marLeft w:val="0"/>
              <w:marRight w:val="0"/>
              <w:marTop w:val="0"/>
              <w:marBottom w:val="0"/>
              <w:divBdr>
                <w:top w:val="none" w:sz="0" w:space="0" w:color="auto"/>
                <w:left w:val="none" w:sz="0" w:space="0" w:color="auto"/>
                <w:bottom w:val="none" w:sz="0" w:space="0" w:color="auto"/>
                <w:right w:val="none" w:sz="0" w:space="0" w:color="auto"/>
              </w:divBdr>
            </w:div>
          </w:divsChild>
        </w:div>
        <w:div w:id="725640140">
          <w:marLeft w:val="0"/>
          <w:marRight w:val="0"/>
          <w:marTop w:val="0"/>
          <w:marBottom w:val="0"/>
          <w:divBdr>
            <w:top w:val="none" w:sz="0" w:space="0" w:color="auto"/>
            <w:left w:val="none" w:sz="0" w:space="0" w:color="auto"/>
            <w:bottom w:val="none" w:sz="0" w:space="0" w:color="auto"/>
            <w:right w:val="none" w:sz="0" w:space="0" w:color="auto"/>
          </w:divBdr>
          <w:divsChild>
            <w:div w:id="1843619879">
              <w:marLeft w:val="0"/>
              <w:marRight w:val="0"/>
              <w:marTop w:val="0"/>
              <w:marBottom w:val="0"/>
              <w:divBdr>
                <w:top w:val="none" w:sz="0" w:space="0" w:color="auto"/>
                <w:left w:val="none" w:sz="0" w:space="0" w:color="auto"/>
                <w:bottom w:val="none" w:sz="0" w:space="0" w:color="auto"/>
                <w:right w:val="none" w:sz="0" w:space="0" w:color="auto"/>
              </w:divBdr>
            </w:div>
            <w:div w:id="8057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183782">
      <w:bodyDiv w:val="1"/>
      <w:marLeft w:val="0"/>
      <w:marRight w:val="0"/>
      <w:marTop w:val="0"/>
      <w:marBottom w:val="0"/>
      <w:divBdr>
        <w:top w:val="none" w:sz="0" w:space="0" w:color="auto"/>
        <w:left w:val="none" w:sz="0" w:space="0" w:color="auto"/>
        <w:bottom w:val="none" w:sz="0" w:space="0" w:color="auto"/>
        <w:right w:val="none" w:sz="0" w:space="0" w:color="auto"/>
      </w:divBdr>
    </w:div>
    <w:div w:id="548952364">
      <w:bodyDiv w:val="1"/>
      <w:marLeft w:val="0"/>
      <w:marRight w:val="0"/>
      <w:marTop w:val="0"/>
      <w:marBottom w:val="0"/>
      <w:divBdr>
        <w:top w:val="none" w:sz="0" w:space="0" w:color="auto"/>
        <w:left w:val="none" w:sz="0" w:space="0" w:color="auto"/>
        <w:bottom w:val="none" w:sz="0" w:space="0" w:color="auto"/>
        <w:right w:val="none" w:sz="0" w:space="0" w:color="auto"/>
      </w:divBdr>
      <w:divsChild>
        <w:div w:id="730348482">
          <w:marLeft w:val="0"/>
          <w:marRight w:val="0"/>
          <w:marTop w:val="0"/>
          <w:marBottom w:val="0"/>
          <w:divBdr>
            <w:top w:val="none" w:sz="0" w:space="0" w:color="auto"/>
            <w:left w:val="none" w:sz="0" w:space="0" w:color="auto"/>
            <w:bottom w:val="none" w:sz="0" w:space="0" w:color="auto"/>
            <w:right w:val="none" w:sz="0" w:space="0" w:color="auto"/>
          </w:divBdr>
        </w:div>
      </w:divsChild>
    </w:div>
    <w:div w:id="589200101">
      <w:bodyDiv w:val="1"/>
      <w:marLeft w:val="0"/>
      <w:marRight w:val="0"/>
      <w:marTop w:val="0"/>
      <w:marBottom w:val="0"/>
      <w:divBdr>
        <w:top w:val="none" w:sz="0" w:space="0" w:color="auto"/>
        <w:left w:val="none" w:sz="0" w:space="0" w:color="auto"/>
        <w:bottom w:val="none" w:sz="0" w:space="0" w:color="auto"/>
        <w:right w:val="none" w:sz="0" w:space="0" w:color="auto"/>
      </w:divBdr>
    </w:div>
    <w:div w:id="599917682">
      <w:bodyDiv w:val="1"/>
      <w:marLeft w:val="0"/>
      <w:marRight w:val="0"/>
      <w:marTop w:val="0"/>
      <w:marBottom w:val="0"/>
      <w:divBdr>
        <w:top w:val="none" w:sz="0" w:space="0" w:color="auto"/>
        <w:left w:val="none" w:sz="0" w:space="0" w:color="auto"/>
        <w:bottom w:val="none" w:sz="0" w:space="0" w:color="auto"/>
        <w:right w:val="none" w:sz="0" w:space="0" w:color="auto"/>
      </w:divBdr>
      <w:divsChild>
        <w:div w:id="780144618">
          <w:marLeft w:val="0"/>
          <w:marRight w:val="0"/>
          <w:marTop w:val="0"/>
          <w:marBottom w:val="0"/>
          <w:divBdr>
            <w:top w:val="none" w:sz="0" w:space="0" w:color="auto"/>
            <w:left w:val="none" w:sz="0" w:space="0" w:color="auto"/>
            <w:bottom w:val="none" w:sz="0" w:space="0" w:color="auto"/>
            <w:right w:val="none" w:sz="0" w:space="0" w:color="auto"/>
          </w:divBdr>
          <w:divsChild>
            <w:div w:id="52601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750382">
      <w:bodyDiv w:val="1"/>
      <w:marLeft w:val="0"/>
      <w:marRight w:val="0"/>
      <w:marTop w:val="0"/>
      <w:marBottom w:val="0"/>
      <w:divBdr>
        <w:top w:val="none" w:sz="0" w:space="0" w:color="auto"/>
        <w:left w:val="none" w:sz="0" w:space="0" w:color="auto"/>
        <w:bottom w:val="none" w:sz="0" w:space="0" w:color="auto"/>
        <w:right w:val="none" w:sz="0" w:space="0" w:color="auto"/>
      </w:divBdr>
      <w:divsChild>
        <w:div w:id="1784811545">
          <w:marLeft w:val="0"/>
          <w:marRight w:val="0"/>
          <w:marTop w:val="0"/>
          <w:marBottom w:val="0"/>
          <w:divBdr>
            <w:top w:val="none" w:sz="0" w:space="0" w:color="auto"/>
            <w:left w:val="none" w:sz="0" w:space="0" w:color="auto"/>
            <w:bottom w:val="none" w:sz="0" w:space="0" w:color="auto"/>
            <w:right w:val="none" w:sz="0" w:space="0" w:color="auto"/>
          </w:divBdr>
        </w:div>
      </w:divsChild>
    </w:div>
    <w:div w:id="641427473">
      <w:bodyDiv w:val="1"/>
      <w:marLeft w:val="0"/>
      <w:marRight w:val="0"/>
      <w:marTop w:val="0"/>
      <w:marBottom w:val="0"/>
      <w:divBdr>
        <w:top w:val="none" w:sz="0" w:space="0" w:color="auto"/>
        <w:left w:val="none" w:sz="0" w:space="0" w:color="auto"/>
        <w:bottom w:val="none" w:sz="0" w:space="0" w:color="auto"/>
        <w:right w:val="none" w:sz="0" w:space="0" w:color="auto"/>
      </w:divBdr>
    </w:div>
    <w:div w:id="647054382">
      <w:bodyDiv w:val="1"/>
      <w:marLeft w:val="0"/>
      <w:marRight w:val="0"/>
      <w:marTop w:val="0"/>
      <w:marBottom w:val="0"/>
      <w:divBdr>
        <w:top w:val="none" w:sz="0" w:space="0" w:color="auto"/>
        <w:left w:val="none" w:sz="0" w:space="0" w:color="auto"/>
        <w:bottom w:val="none" w:sz="0" w:space="0" w:color="auto"/>
        <w:right w:val="none" w:sz="0" w:space="0" w:color="auto"/>
      </w:divBdr>
    </w:div>
    <w:div w:id="665092027">
      <w:bodyDiv w:val="1"/>
      <w:marLeft w:val="0"/>
      <w:marRight w:val="0"/>
      <w:marTop w:val="0"/>
      <w:marBottom w:val="0"/>
      <w:divBdr>
        <w:top w:val="none" w:sz="0" w:space="0" w:color="auto"/>
        <w:left w:val="none" w:sz="0" w:space="0" w:color="auto"/>
        <w:bottom w:val="none" w:sz="0" w:space="0" w:color="auto"/>
        <w:right w:val="none" w:sz="0" w:space="0" w:color="auto"/>
      </w:divBdr>
    </w:div>
    <w:div w:id="754060668">
      <w:bodyDiv w:val="1"/>
      <w:marLeft w:val="0"/>
      <w:marRight w:val="0"/>
      <w:marTop w:val="0"/>
      <w:marBottom w:val="0"/>
      <w:divBdr>
        <w:top w:val="none" w:sz="0" w:space="0" w:color="auto"/>
        <w:left w:val="none" w:sz="0" w:space="0" w:color="auto"/>
        <w:bottom w:val="none" w:sz="0" w:space="0" w:color="auto"/>
        <w:right w:val="none" w:sz="0" w:space="0" w:color="auto"/>
      </w:divBdr>
    </w:div>
    <w:div w:id="786972120">
      <w:bodyDiv w:val="1"/>
      <w:marLeft w:val="0"/>
      <w:marRight w:val="0"/>
      <w:marTop w:val="0"/>
      <w:marBottom w:val="0"/>
      <w:divBdr>
        <w:top w:val="none" w:sz="0" w:space="0" w:color="auto"/>
        <w:left w:val="none" w:sz="0" w:space="0" w:color="auto"/>
        <w:bottom w:val="none" w:sz="0" w:space="0" w:color="auto"/>
        <w:right w:val="none" w:sz="0" w:space="0" w:color="auto"/>
      </w:divBdr>
    </w:div>
    <w:div w:id="820774790">
      <w:bodyDiv w:val="1"/>
      <w:marLeft w:val="0"/>
      <w:marRight w:val="0"/>
      <w:marTop w:val="0"/>
      <w:marBottom w:val="0"/>
      <w:divBdr>
        <w:top w:val="none" w:sz="0" w:space="0" w:color="auto"/>
        <w:left w:val="none" w:sz="0" w:space="0" w:color="auto"/>
        <w:bottom w:val="none" w:sz="0" w:space="0" w:color="auto"/>
        <w:right w:val="none" w:sz="0" w:space="0" w:color="auto"/>
      </w:divBdr>
    </w:div>
    <w:div w:id="840123121">
      <w:bodyDiv w:val="1"/>
      <w:marLeft w:val="0"/>
      <w:marRight w:val="0"/>
      <w:marTop w:val="0"/>
      <w:marBottom w:val="0"/>
      <w:divBdr>
        <w:top w:val="none" w:sz="0" w:space="0" w:color="auto"/>
        <w:left w:val="none" w:sz="0" w:space="0" w:color="auto"/>
        <w:bottom w:val="none" w:sz="0" w:space="0" w:color="auto"/>
        <w:right w:val="none" w:sz="0" w:space="0" w:color="auto"/>
      </w:divBdr>
    </w:div>
    <w:div w:id="858618547">
      <w:bodyDiv w:val="1"/>
      <w:marLeft w:val="0"/>
      <w:marRight w:val="0"/>
      <w:marTop w:val="0"/>
      <w:marBottom w:val="0"/>
      <w:divBdr>
        <w:top w:val="none" w:sz="0" w:space="0" w:color="auto"/>
        <w:left w:val="none" w:sz="0" w:space="0" w:color="auto"/>
        <w:bottom w:val="none" w:sz="0" w:space="0" w:color="auto"/>
        <w:right w:val="none" w:sz="0" w:space="0" w:color="auto"/>
      </w:divBdr>
    </w:div>
    <w:div w:id="866330192">
      <w:bodyDiv w:val="1"/>
      <w:marLeft w:val="0"/>
      <w:marRight w:val="0"/>
      <w:marTop w:val="0"/>
      <w:marBottom w:val="0"/>
      <w:divBdr>
        <w:top w:val="none" w:sz="0" w:space="0" w:color="auto"/>
        <w:left w:val="none" w:sz="0" w:space="0" w:color="auto"/>
        <w:bottom w:val="none" w:sz="0" w:space="0" w:color="auto"/>
        <w:right w:val="none" w:sz="0" w:space="0" w:color="auto"/>
      </w:divBdr>
      <w:divsChild>
        <w:div w:id="869076567">
          <w:marLeft w:val="0"/>
          <w:marRight w:val="0"/>
          <w:marTop w:val="0"/>
          <w:marBottom w:val="0"/>
          <w:divBdr>
            <w:top w:val="none" w:sz="0" w:space="0" w:color="auto"/>
            <w:left w:val="none" w:sz="0" w:space="0" w:color="auto"/>
            <w:bottom w:val="none" w:sz="0" w:space="0" w:color="auto"/>
            <w:right w:val="none" w:sz="0" w:space="0" w:color="auto"/>
          </w:divBdr>
        </w:div>
      </w:divsChild>
    </w:div>
    <w:div w:id="877354264">
      <w:bodyDiv w:val="1"/>
      <w:marLeft w:val="0"/>
      <w:marRight w:val="0"/>
      <w:marTop w:val="0"/>
      <w:marBottom w:val="0"/>
      <w:divBdr>
        <w:top w:val="none" w:sz="0" w:space="0" w:color="auto"/>
        <w:left w:val="none" w:sz="0" w:space="0" w:color="auto"/>
        <w:bottom w:val="none" w:sz="0" w:space="0" w:color="auto"/>
        <w:right w:val="none" w:sz="0" w:space="0" w:color="auto"/>
      </w:divBdr>
    </w:div>
    <w:div w:id="877930811">
      <w:bodyDiv w:val="1"/>
      <w:marLeft w:val="0"/>
      <w:marRight w:val="0"/>
      <w:marTop w:val="0"/>
      <w:marBottom w:val="0"/>
      <w:divBdr>
        <w:top w:val="none" w:sz="0" w:space="0" w:color="auto"/>
        <w:left w:val="none" w:sz="0" w:space="0" w:color="auto"/>
        <w:bottom w:val="none" w:sz="0" w:space="0" w:color="auto"/>
        <w:right w:val="none" w:sz="0" w:space="0" w:color="auto"/>
      </w:divBdr>
    </w:div>
    <w:div w:id="896430254">
      <w:bodyDiv w:val="1"/>
      <w:marLeft w:val="0"/>
      <w:marRight w:val="0"/>
      <w:marTop w:val="0"/>
      <w:marBottom w:val="0"/>
      <w:divBdr>
        <w:top w:val="none" w:sz="0" w:space="0" w:color="auto"/>
        <w:left w:val="none" w:sz="0" w:space="0" w:color="auto"/>
        <w:bottom w:val="none" w:sz="0" w:space="0" w:color="auto"/>
        <w:right w:val="none" w:sz="0" w:space="0" w:color="auto"/>
      </w:divBdr>
    </w:div>
    <w:div w:id="935400733">
      <w:bodyDiv w:val="1"/>
      <w:marLeft w:val="0"/>
      <w:marRight w:val="0"/>
      <w:marTop w:val="0"/>
      <w:marBottom w:val="0"/>
      <w:divBdr>
        <w:top w:val="none" w:sz="0" w:space="0" w:color="auto"/>
        <w:left w:val="none" w:sz="0" w:space="0" w:color="auto"/>
        <w:bottom w:val="none" w:sz="0" w:space="0" w:color="auto"/>
        <w:right w:val="none" w:sz="0" w:space="0" w:color="auto"/>
      </w:divBdr>
    </w:div>
    <w:div w:id="943653729">
      <w:bodyDiv w:val="1"/>
      <w:marLeft w:val="0"/>
      <w:marRight w:val="0"/>
      <w:marTop w:val="0"/>
      <w:marBottom w:val="0"/>
      <w:divBdr>
        <w:top w:val="none" w:sz="0" w:space="0" w:color="auto"/>
        <w:left w:val="none" w:sz="0" w:space="0" w:color="auto"/>
        <w:bottom w:val="none" w:sz="0" w:space="0" w:color="auto"/>
        <w:right w:val="none" w:sz="0" w:space="0" w:color="auto"/>
      </w:divBdr>
    </w:div>
    <w:div w:id="976571906">
      <w:bodyDiv w:val="1"/>
      <w:marLeft w:val="0"/>
      <w:marRight w:val="0"/>
      <w:marTop w:val="0"/>
      <w:marBottom w:val="0"/>
      <w:divBdr>
        <w:top w:val="none" w:sz="0" w:space="0" w:color="auto"/>
        <w:left w:val="none" w:sz="0" w:space="0" w:color="auto"/>
        <w:bottom w:val="none" w:sz="0" w:space="0" w:color="auto"/>
        <w:right w:val="none" w:sz="0" w:space="0" w:color="auto"/>
      </w:divBdr>
    </w:div>
    <w:div w:id="1019357533">
      <w:bodyDiv w:val="1"/>
      <w:marLeft w:val="0"/>
      <w:marRight w:val="0"/>
      <w:marTop w:val="0"/>
      <w:marBottom w:val="0"/>
      <w:divBdr>
        <w:top w:val="none" w:sz="0" w:space="0" w:color="auto"/>
        <w:left w:val="none" w:sz="0" w:space="0" w:color="auto"/>
        <w:bottom w:val="none" w:sz="0" w:space="0" w:color="auto"/>
        <w:right w:val="none" w:sz="0" w:space="0" w:color="auto"/>
      </w:divBdr>
      <w:divsChild>
        <w:div w:id="1867601968">
          <w:marLeft w:val="0"/>
          <w:marRight w:val="0"/>
          <w:marTop w:val="0"/>
          <w:marBottom w:val="0"/>
          <w:divBdr>
            <w:top w:val="none" w:sz="0" w:space="0" w:color="auto"/>
            <w:left w:val="none" w:sz="0" w:space="0" w:color="auto"/>
            <w:bottom w:val="none" w:sz="0" w:space="0" w:color="auto"/>
            <w:right w:val="none" w:sz="0" w:space="0" w:color="auto"/>
          </w:divBdr>
        </w:div>
        <w:div w:id="1013189154">
          <w:marLeft w:val="0"/>
          <w:marRight w:val="0"/>
          <w:marTop w:val="0"/>
          <w:marBottom w:val="0"/>
          <w:divBdr>
            <w:top w:val="none" w:sz="0" w:space="0" w:color="auto"/>
            <w:left w:val="none" w:sz="0" w:space="0" w:color="auto"/>
            <w:bottom w:val="none" w:sz="0" w:space="0" w:color="auto"/>
            <w:right w:val="none" w:sz="0" w:space="0" w:color="auto"/>
          </w:divBdr>
        </w:div>
      </w:divsChild>
    </w:div>
    <w:div w:id="1059859491">
      <w:bodyDiv w:val="1"/>
      <w:marLeft w:val="0"/>
      <w:marRight w:val="0"/>
      <w:marTop w:val="0"/>
      <w:marBottom w:val="0"/>
      <w:divBdr>
        <w:top w:val="none" w:sz="0" w:space="0" w:color="auto"/>
        <w:left w:val="none" w:sz="0" w:space="0" w:color="auto"/>
        <w:bottom w:val="none" w:sz="0" w:space="0" w:color="auto"/>
        <w:right w:val="none" w:sz="0" w:space="0" w:color="auto"/>
      </w:divBdr>
    </w:div>
    <w:div w:id="1073236461">
      <w:bodyDiv w:val="1"/>
      <w:marLeft w:val="0"/>
      <w:marRight w:val="0"/>
      <w:marTop w:val="0"/>
      <w:marBottom w:val="0"/>
      <w:divBdr>
        <w:top w:val="none" w:sz="0" w:space="0" w:color="auto"/>
        <w:left w:val="none" w:sz="0" w:space="0" w:color="auto"/>
        <w:bottom w:val="none" w:sz="0" w:space="0" w:color="auto"/>
        <w:right w:val="none" w:sz="0" w:space="0" w:color="auto"/>
      </w:divBdr>
      <w:divsChild>
        <w:div w:id="980886502">
          <w:marLeft w:val="0"/>
          <w:marRight w:val="0"/>
          <w:marTop w:val="0"/>
          <w:marBottom w:val="0"/>
          <w:divBdr>
            <w:top w:val="none" w:sz="0" w:space="0" w:color="auto"/>
            <w:left w:val="none" w:sz="0" w:space="0" w:color="auto"/>
            <w:bottom w:val="none" w:sz="0" w:space="0" w:color="auto"/>
            <w:right w:val="none" w:sz="0" w:space="0" w:color="auto"/>
          </w:divBdr>
        </w:div>
      </w:divsChild>
    </w:div>
    <w:div w:id="1079250212">
      <w:bodyDiv w:val="1"/>
      <w:marLeft w:val="0"/>
      <w:marRight w:val="0"/>
      <w:marTop w:val="0"/>
      <w:marBottom w:val="0"/>
      <w:divBdr>
        <w:top w:val="none" w:sz="0" w:space="0" w:color="auto"/>
        <w:left w:val="none" w:sz="0" w:space="0" w:color="auto"/>
        <w:bottom w:val="none" w:sz="0" w:space="0" w:color="auto"/>
        <w:right w:val="none" w:sz="0" w:space="0" w:color="auto"/>
      </w:divBdr>
    </w:div>
    <w:div w:id="1194072227">
      <w:bodyDiv w:val="1"/>
      <w:marLeft w:val="0"/>
      <w:marRight w:val="0"/>
      <w:marTop w:val="0"/>
      <w:marBottom w:val="0"/>
      <w:divBdr>
        <w:top w:val="none" w:sz="0" w:space="0" w:color="auto"/>
        <w:left w:val="none" w:sz="0" w:space="0" w:color="auto"/>
        <w:bottom w:val="none" w:sz="0" w:space="0" w:color="auto"/>
        <w:right w:val="none" w:sz="0" w:space="0" w:color="auto"/>
      </w:divBdr>
      <w:divsChild>
        <w:div w:id="2022463087">
          <w:marLeft w:val="0"/>
          <w:marRight w:val="0"/>
          <w:marTop w:val="0"/>
          <w:marBottom w:val="0"/>
          <w:divBdr>
            <w:top w:val="none" w:sz="0" w:space="0" w:color="auto"/>
            <w:left w:val="none" w:sz="0" w:space="0" w:color="auto"/>
            <w:bottom w:val="none" w:sz="0" w:space="0" w:color="auto"/>
            <w:right w:val="none" w:sz="0" w:space="0" w:color="auto"/>
          </w:divBdr>
        </w:div>
        <w:div w:id="1877040046">
          <w:marLeft w:val="0"/>
          <w:marRight w:val="0"/>
          <w:marTop w:val="0"/>
          <w:marBottom w:val="0"/>
          <w:divBdr>
            <w:top w:val="none" w:sz="0" w:space="0" w:color="auto"/>
            <w:left w:val="none" w:sz="0" w:space="0" w:color="auto"/>
            <w:bottom w:val="none" w:sz="0" w:space="0" w:color="auto"/>
            <w:right w:val="none" w:sz="0" w:space="0" w:color="auto"/>
          </w:divBdr>
        </w:div>
        <w:div w:id="1055154752">
          <w:marLeft w:val="0"/>
          <w:marRight w:val="0"/>
          <w:marTop w:val="0"/>
          <w:marBottom w:val="0"/>
          <w:divBdr>
            <w:top w:val="none" w:sz="0" w:space="0" w:color="auto"/>
            <w:left w:val="none" w:sz="0" w:space="0" w:color="auto"/>
            <w:bottom w:val="none" w:sz="0" w:space="0" w:color="auto"/>
            <w:right w:val="none" w:sz="0" w:space="0" w:color="auto"/>
          </w:divBdr>
        </w:div>
      </w:divsChild>
    </w:div>
    <w:div w:id="1291474233">
      <w:bodyDiv w:val="1"/>
      <w:marLeft w:val="0"/>
      <w:marRight w:val="0"/>
      <w:marTop w:val="0"/>
      <w:marBottom w:val="0"/>
      <w:divBdr>
        <w:top w:val="none" w:sz="0" w:space="0" w:color="auto"/>
        <w:left w:val="none" w:sz="0" w:space="0" w:color="auto"/>
        <w:bottom w:val="none" w:sz="0" w:space="0" w:color="auto"/>
        <w:right w:val="none" w:sz="0" w:space="0" w:color="auto"/>
      </w:divBdr>
      <w:divsChild>
        <w:div w:id="11229426">
          <w:marLeft w:val="0"/>
          <w:marRight w:val="0"/>
          <w:marTop w:val="0"/>
          <w:marBottom w:val="0"/>
          <w:divBdr>
            <w:top w:val="none" w:sz="0" w:space="0" w:color="auto"/>
            <w:left w:val="none" w:sz="0" w:space="0" w:color="auto"/>
            <w:bottom w:val="none" w:sz="0" w:space="0" w:color="auto"/>
            <w:right w:val="none" w:sz="0" w:space="0" w:color="auto"/>
          </w:divBdr>
        </w:div>
      </w:divsChild>
    </w:div>
    <w:div w:id="1306860555">
      <w:bodyDiv w:val="1"/>
      <w:marLeft w:val="0"/>
      <w:marRight w:val="0"/>
      <w:marTop w:val="0"/>
      <w:marBottom w:val="0"/>
      <w:divBdr>
        <w:top w:val="none" w:sz="0" w:space="0" w:color="auto"/>
        <w:left w:val="none" w:sz="0" w:space="0" w:color="auto"/>
        <w:bottom w:val="none" w:sz="0" w:space="0" w:color="auto"/>
        <w:right w:val="none" w:sz="0" w:space="0" w:color="auto"/>
      </w:divBdr>
    </w:div>
    <w:div w:id="1312633289">
      <w:bodyDiv w:val="1"/>
      <w:marLeft w:val="0"/>
      <w:marRight w:val="0"/>
      <w:marTop w:val="0"/>
      <w:marBottom w:val="0"/>
      <w:divBdr>
        <w:top w:val="none" w:sz="0" w:space="0" w:color="auto"/>
        <w:left w:val="none" w:sz="0" w:space="0" w:color="auto"/>
        <w:bottom w:val="none" w:sz="0" w:space="0" w:color="auto"/>
        <w:right w:val="none" w:sz="0" w:space="0" w:color="auto"/>
      </w:divBdr>
    </w:div>
    <w:div w:id="1349987818">
      <w:bodyDiv w:val="1"/>
      <w:marLeft w:val="0"/>
      <w:marRight w:val="0"/>
      <w:marTop w:val="0"/>
      <w:marBottom w:val="0"/>
      <w:divBdr>
        <w:top w:val="none" w:sz="0" w:space="0" w:color="auto"/>
        <w:left w:val="none" w:sz="0" w:space="0" w:color="auto"/>
        <w:bottom w:val="none" w:sz="0" w:space="0" w:color="auto"/>
        <w:right w:val="none" w:sz="0" w:space="0" w:color="auto"/>
      </w:divBdr>
    </w:div>
    <w:div w:id="1354459294">
      <w:bodyDiv w:val="1"/>
      <w:marLeft w:val="0"/>
      <w:marRight w:val="0"/>
      <w:marTop w:val="0"/>
      <w:marBottom w:val="0"/>
      <w:divBdr>
        <w:top w:val="none" w:sz="0" w:space="0" w:color="auto"/>
        <w:left w:val="none" w:sz="0" w:space="0" w:color="auto"/>
        <w:bottom w:val="none" w:sz="0" w:space="0" w:color="auto"/>
        <w:right w:val="none" w:sz="0" w:space="0" w:color="auto"/>
      </w:divBdr>
    </w:div>
    <w:div w:id="1502501788">
      <w:bodyDiv w:val="1"/>
      <w:marLeft w:val="0"/>
      <w:marRight w:val="0"/>
      <w:marTop w:val="0"/>
      <w:marBottom w:val="0"/>
      <w:divBdr>
        <w:top w:val="none" w:sz="0" w:space="0" w:color="auto"/>
        <w:left w:val="none" w:sz="0" w:space="0" w:color="auto"/>
        <w:bottom w:val="none" w:sz="0" w:space="0" w:color="auto"/>
        <w:right w:val="none" w:sz="0" w:space="0" w:color="auto"/>
      </w:divBdr>
    </w:div>
    <w:div w:id="1536236650">
      <w:bodyDiv w:val="1"/>
      <w:marLeft w:val="0"/>
      <w:marRight w:val="0"/>
      <w:marTop w:val="0"/>
      <w:marBottom w:val="0"/>
      <w:divBdr>
        <w:top w:val="none" w:sz="0" w:space="0" w:color="auto"/>
        <w:left w:val="none" w:sz="0" w:space="0" w:color="auto"/>
        <w:bottom w:val="none" w:sz="0" w:space="0" w:color="auto"/>
        <w:right w:val="none" w:sz="0" w:space="0" w:color="auto"/>
      </w:divBdr>
    </w:div>
    <w:div w:id="1547134643">
      <w:bodyDiv w:val="1"/>
      <w:marLeft w:val="0"/>
      <w:marRight w:val="0"/>
      <w:marTop w:val="0"/>
      <w:marBottom w:val="0"/>
      <w:divBdr>
        <w:top w:val="none" w:sz="0" w:space="0" w:color="auto"/>
        <w:left w:val="none" w:sz="0" w:space="0" w:color="auto"/>
        <w:bottom w:val="none" w:sz="0" w:space="0" w:color="auto"/>
        <w:right w:val="none" w:sz="0" w:space="0" w:color="auto"/>
      </w:divBdr>
      <w:divsChild>
        <w:div w:id="1739983948">
          <w:marLeft w:val="0"/>
          <w:marRight w:val="0"/>
          <w:marTop w:val="0"/>
          <w:marBottom w:val="0"/>
          <w:divBdr>
            <w:top w:val="none" w:sz="0" w:space="0" w:color="auto"/>
            <w:left w:val="none" w:sz="0" w:space="0" w:color="auto"/>
            <w:bottom w:val="none" w:sz="0" w:space="0" w:color="auto"/>
            <w:right w:val="none" w:sz="0" w:space="0" w:color="auto"/>
          </w:divBdr>
        </w:div>
      </w:divsChild>
    </w:div>
    <w:div w:id="1559786168">
      <w:bodyDiv w:val="1"/>
      <w:marLeft w:val="0"/>
      <w:marRight w:val="0"/>
      <w:marTop w:val="0"/>
      <w:marBottom w:val="0"/>
      <w:divBdr>
        <w:top w:val="none" w:sz="0" w:space="0" w:color="auto"/>
        <w:left w:val="none" w:sz="0" w:space="0" w:color="auto"/>
        <w:bottom w:val="none" w:sz="0" w:space="0" w:color="auto"/>
        <w:right w:val="none" w:sz="0" w:space="0" w:color="auto"/>
      </w:divBdr>
    </w:div>
    <w:div w:id="1614438043">
      <w:bodyDiv w:val="1"/>
      <w:marLeft w:val="0"/>
      <w:marRight w:val="0"/>
      <w:marTop w:val="0"/>
      <w:marBottom w:val="0"/>
      <w:divBdr>
        <w:top w:val="none" w:sz="0" w:space="0" w:color="auto"/>
        <w:left w:val="none" w:sz="0" w:space="0" w:color="auto"/>
        <w:bottom w:val="none" w:sz="0" w:space="0" w:color="auto"/>
        <w:right w:val="none" w:sz="0" w:space="0" w:color="auto"/>
      </w:divBdr>
    </w:div>
    <w:div w:id="1648976098">
      <w:bodyDiv w:val="1"/>
      <w:marLeft w:val="0"/>
      <w:marRight w:val="0"/>
      <w:marTop w:val="0"/>
      <w:marBottom w:val="0"/>
      <w:divBdr>
        <w:top w:val="none" w:sz="0" w:space="0" w:color="auto"/>
        <w:left w:val="none" w:sz="0" w:space="0" w:color="auto"/>
        <w:bottom w:val="none" w:sz="0" w:space="0" w:color="auto"/>
        <w:right w:val="none" w:sz="0" w:space="0" w:color="auto"/>
      </w:divBdr>
    </w:div>
    <w:div w:id="1682662125">
      <w:bodyDiv w:val="1"/>
      <w:marLeft w:val="0"/>
      <w:marRight w:val="0"/>
      <w:marTop w:val="0"/>
      <w:marBottom w:val="0"/>
      <w:divBdr>
        <w:top w:val="none" w:sz="0" w:space="0" w:color="auto"/>
        <w:left w:val="none" w:sz="0" w:space="0" w:color="auto"/>
        <w:bottom w:val="none" w:sz="0" w:space="0" w:color="auto"/>
        <w:right w:val="none" w:sz="0" w:space="0" w:color="auto"/>
      </w:divBdr>
    </w:div>
    <w:div w:id="1689286088">
      <w:bodyDiv w:val="1"/>
      <w:marLeft w:val="0"/>
      <w:marRight w:val="0"/>
      <w:marTop w:val="0"/>
      <w:marBottom w:val="0"/>
      <w:divBdr>
        <w:top w:val="none" w:sz="0" w:space="0" w:color="auto"/>
        <w:left w:val="none" w:sz="0" w:space="0" w:color="auto"/>
        <w:bottom w:val="none" w:sz="0" w:space="0" w:color="auto"/>
        <w:right w:val="none" w:sz="0" w:space="0" w:color="auto"/>
      </w:divBdr>
      <w:divsChild>
        <w:div w:id="488519910">
          <w:marLeft w:val="0"/>
          <w:marRight w:val="0"/>
          <w:marTop w:val="0"/>
          <w:marBottom w:val="0"/>
          <w:divBdr>
            <w:top w:val="none" w:sz="0" w:space="0" w:color="auto"/>
            <w:left w:val="none" w:sz="0" w:space="0" w:color="auto"/>
            <w:bottom w:val="none" w:sz="0" w:space="0" w:color="auto"/>
            <w:right w:val="none" w:sz="0" w:space="0" w:color="auto"/>
          </w:divBdr>
        </w:div>
      </w:divsChild>
    </w:div>
    <w:div w:id="1691561083">
      <w:bodyDiv w:val="1"/>
      <w:marLeft w:val="0"/>
      <w:marRight w:val="0"/>
      <w:marTop w:val="0"/>
      <w:marBottom w:val="0"/>
      <w:divBdr>
        <w:top w:val="none" w:sz="0" w:space="0" w:color="auto"/>
        <w:left w:val="none" w:sz="0" w:space="0" w:color="auto"/>
        <w:bottom w:val="none" w:sz="0" w:space="0" w:color="auto"/>
        <w:right w:val="none" w:sz="0" w:space="0" w:color="auto"/>
      </w:divBdr>
    </w:div>
    <w:div w:id="1712532298">
      <w:bodyDiv w:val="1"/>
      <w:marLeft w:val="0"/>
      <w:marRight w:val="0"/>
      <w:marTop w:val="0"/>
      <w:marBottom w:val="0"/>
      <w:divBdr>
        <w:top w:val="none" w:sz="0" w:space="0" w:color="auto"/>
        <w:left w:val="none" w:sz="0" w:space="0" w:color="auto"/>
        <w:bottom w:val="none" w:sz="0" w:space="0" w:color="auto"/>
        <w:right w:val="none" w:sz="0" w:space="0" w:color="auto"/>
      </w:divBdr>
    </w:div>
    <w:div w:id="1787580237">
      <w:bodyDiv w:val="1"/>
      <w:marLeft w:val="0"/>
      <w:marRight w:val="0"/>
      <w:marTop w:val="0"/>
      <w:marBottom w:val="0"/>
      <w:divBdr>
        <w:top w:val="none" w:sz="0" w:space="0" w:color="auto"/>
        <w:left w:val="none" w:sz="0" w:space="0" w:color="auto"/>
        <w:bottom w:val="none" w:sz="0" w:space="0" w:color="auto"/>
        <w:right w:val="none" w:sz="0" w:space="0" w:color="auto"/>
      </w:divBdr>
      <w:divsChild>
        <w:div w:id="1649627301">
          <w:marLeft w:val="0"/>
          <w:marRight w:val="0"/>
          <w:marTop w:val="0"/>
          <w:marBottom w:val="0"/>
          <w:divBdr>
            <w:top w:val="none" w:sz="0" w:space="0" w:color="auto"/>
            <w:left w:val="none" w:sz="0" w:space="0" w:color="auto"/>
            <w:bottom w:val="none" w:sz="0" w:space="0" w:color="auto"/>
            <w:right w:val="none" w:sz="0" w:space="0" w:color="auto"/>
          </w:divBdr>
          <w:divsChild>
            <w:div w:id="196511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60334">
      <w:bodyDiv w:val="1"/>
      <w:marLeft w:val="0"/>
      <w:marRight w:val="0"/>
      <w:marTop w:val="0"/>
      <w:marBottom w:val="0"/>
      <w:divBdr>
        <w:top w:val="none" w:sz="0" w:space="0" w:color="auto"/>
        <w:left w:val="none" w:sz="0" w:space="0" w:color="auto"/>
        <w:bottom w:val="none" w:sz="0" w:space="0" w:color="auto"/>
        <w:right w:val="none" w:sz="0" w:space="0" w:color="auto"/>
      </w:divBdr>
    </w:div>
    <w:div w:id="1796874418">
      <w:bodyDiv w:val="1"/>
      <w:marLeft w:val="0"/>
      <w:marRight w:val="0"/>
      <w:marTop w:val="0"/>
      <w:marBottom w:val="0"/>
      <w:divBdr>
        <w:top w:val="none" w:sz="0" w:space="0" w:color="auto"/>
        <w:left w:val="none" w:sz="0" w:space="0" w:color="auto"/>
        <w:bottom w:val="none" w:sz="0" w:space="0" w:color="auto"/>
        <w:right w:val="none" w:sz="0" w:space="0" w:color="auto"/>
      </w:divBdr>
      <w:divsChild>
        <w:div w:id="2136293823">
          <w:marLeft w:val="0"/>
          <w:marRight w:val="0"/>
          <w:marTop w:val="0"/>
          <w:marBottom w:val="0"/>
          <w:divBdr>
            <w:top w:val="none" w:sz="0" w:space="0" w:color="auto"/>
            <w:left w:val="none" w:sz="0" w:space="0" w:color="auto"/>
            <w:bottom w:val="none" w:sz="0" w:space="0" w:color="auto"/>
            <w:right w:val="none" w:sz="0" w:space="0" w:color="auto"/>
          </w:divBdr>
          <w:divsChild>
            <w:div w:id="125199584">
              <w:marLeft w:val="0"/>
              <w:marRight w:val="0"/>
              <w:marTop w:val="0"/>
              <w:marBottom w:val="0"/>
              <w:divBdr>
                <w:top w:val="none" w:sz="0" w:space="0" w:color="auto"/>
                <w:left w:val="none" w:sz="0" w:space="0" w:color="auto"/>
                <w:bottom w:val="none" w:sz="0" w:space="0" w:color="auto"/>
                <w:right w:val="none" w:sz="0" w:space="0" w:color="auto"/>
              </w:divBdr>
            </w:div>
          </w:divsChild>
        </w:div>
        <w:div w:id="550388763">
          <w:marLeft w:val="0"/>
          <w:marRight w:val="0"/>
          <w:marTop w:val="0"/>
          <w:marBottom w:val="0"/>
          <w:divBdr>
            <w:top w:val="none" w:sz="0" w:space="0" w:color="auto"/>
            <w:left w:val="none" w:sz="0" w:space="0" w:color="auto"/>
            <w:bottom w:val="none" w:sz="0" w:space="0" w:color="auto"/>
            <w:right w:val="none" w:sz="0" w:space="0" w:color="auto"/>
          </w:divBdr>
          <w:divsChild>
            <w:div w:id="159089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729999">
      <w:bodyDiv w:val="1"/>
      <w:marLeft w:val="0"/>
      <w:marRight w:val="0"/>
      <w:marTop w:val="0"/>
      <w:marBottom w:val="0"/>
      <w:divBdr>
        <w:top w:val="none" w:sz="0" w:space="0" w:color="auto"/>
        <w:left w:val="none" w:sz="0" w:space="0" w:color="auto"/>
        <w:bottom w:val="none" w:sz="0" w:space="0" w:color="auto"/>
        <w:right w:val="none" w:sz="0" w:space="0" w:color="auto"/>
      </w:divBdr>
    </w:div>
    <w:div w:id="1819415656">
      <w:bodyDiv w:val="1"/>
      <w:marLeft w:val="0"/>
      <w:marRight w:val="0"/>
      <w:marTop w:val="0"/>
      <w:marBottom w:val="0"/>
      <w:divBdr>
        <w:top w:val="none" w:sz="0" w:space="0" w:color="auto"/>
        <w:left w:val="none" w:sz="0" w:space="0" w:color="auto"/>
        <w:bottom w:val="none" w:sz="0" w:space="0" w:color="auto"/>
        <w:right w:val="none" w:sz="0" w:space="0" w:color="auto"/>
      </w:divBdr>
    </w:div>
    <w:div w:id="1850606910">
      <w:bodyDiv w:val="1"/>
      <w:marLeft w:val="0"/>
      <w:marRight w:val="0"/>
      <w:marTop w:val="0"/>
      <w:marBottom w:val="0"/>
      <w:divBdr>
        <w:top w:val="none" w:sz="0" w:space="0" w:color="auto"/>
        <w:left w:val="none" w:sz="0" w:space="0" w:color="auto"/>
        <w:bottom w:val="none" w:sz="0" w:space="0" w:color="auto"/>
        <w:right w:val="none" w:sz="0" w:space="0" w:color="auto"/>
      </w:divBdr>
    </w:div>
    <w:div w:id="1866795528">
      <w:bodyDiv w:val="1"/>
      <w:marLeft w:val="0"/>
      <w:marRight w:val="0"/>
      <w:marTop w:val="0"/>
      <w:marBottom w:val="0"/>
      <w:divBdr>
        <w:top w:val="none" w:sz="0" w:space="0" w:color="auto"/>
        <w:left w:val="none" w:sz="0" w:space="0" w:color="auto"/>
        <w:bottom w:val="none" w:sz="0" w:space="0" w:color="auto"/>
        <w:right w:val="none" w:sz="0" w:space="0" w:color="auto"/>
      </w:divBdr>
    </w:div>
    <w:div w:id="1876651881">
      <w:bodyDiv w:val="1"/>
      <w:marLeft w:val="0"/>
      <w:marRight w:val="0"/>
      <w:marTop w:val="0"/>
      <w:marBottom w:val="0"/>
      <w:divBdr>
        <w:top w:val="none" w:sz="0" w:space="0" w:color="auto"/>
        <w:left w:val="none" w:sz="0" w:space="0" w:color="auto"/>
        <w:bottom w:val="none" w:sz="0" w:space="0" w:color="auto"/>
        <w:right w:val="none" w:sz="0" w:space="0" w:color="auto"/>
      </w:divBdr>
      <w:divsChild>
        <w:div w:id="1882932405">
          <w:marLeft w:val="0"/>
          <w:marRight w:val="0"/>
          <w:marTop w:val="0"/>
          <w:marBottom w:val="0"/>
          <w:divBdr>
            <w:top w:val="none" w:sz="0" w:space="0" w:color="auto"/>
            <w:left w:val="none" w:sz="0" w:space="0" w:color="auto"/>
            <w:bottom w:val="none" w:sz="0" w:space="0" w:color="auto"/>
            <w:right w:val="none" w:sz="0" w:space="0" w:color="auto"/>
          </w:divBdr>
          <w:divsChild>
            <w:div w:id="48012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95357">
      <w:bodyDiv w:val="1"/>
      <w:marLeft w:val="0"/>
      <w:marRight w:val="0"/>
      <w:marTop w:val="0"/>
      <w:marBottom w:val="0"/>
      <w:divBdr>
        <w:top w:val="none" w:sz="0" w:space="0" w:color="auto"/>
        <w:left w:val="none" w:sz="0" w:space="0" w:color="auto"/>
        <w:bottom w:val="none" w:sz="0" w:space="0" w:color="auto"/>
        <w:right w:val="none" w:sz="0" w:space="0" w:color="auto"/>
      </w:divBdr>
    </w:div>
    <w:div w:id="2000814866">
      <w:bodyDiv w:val="1"/>
      <w:marLeft w:val="0"/>
      <w:marRight w:val="0"/>
      <w:marTop w:val="0"/>
      <w:marBottom w:val="0"/>
      <w:divBdr>
        <w:top w:val="none" w:sz="0" w:space="0" w:color="auto"/>
        <w:left w:val="none" w:sz="0" w:space="0" w:color="auto"/>
        <w:bottom w:val="none" w:sz="0" w:space="0" w:color="auto"/>
        <w:right w:val="none" w:sz="0" w:space="0" w:color="auto"/>
      </w:divBdr>
      <w:divsChild>
        <w:div w:id="205064749">
          <w:marLeft w:val="0"/>
          <w:marRight w:val="0"/>
          <w:marTop w:val="0"/>
          <w:marBottom w:val="0"/>
          <w:divBdr>
            <w:top w:val="none" w:sz="0" w:space="0" w:color="auto"/>
            <w:left w:val="none" w:sz="0" w:space="0" w:color="auto"/>
            <w:bottom w:val="none" w:sz="0" w:space="0" w:color="auto"/>
            <w:right w:val="none" w:sz="0" w:space="0" w:color="auto"/>
          </w:divBdr>
        </w:div>
      </w:divsChild>
    </w:div>
    <w:div w:id="2028094302">
      <w:bodyDiv w:val="1"/>
      <w:marLeft w:val="0"/>
      <w:marRight w:val="0"/>
      <w:marTop w:val="0"/>
      <w:marBottom w:val="0"/>
      <w:divBdr>
        <w:top w:val="none" w:sz="0" w:space="0" w:color="auto"/>
        <w:left w:val="none" w:sz="0" w:space="0" w:color="auto"/>
        <w:bottom w:val="none" w:sz="0" w:space="0" w:color="auto"/>
        <w:right w:val="none" w:sz="0" w:space="0" w:color="auto"/>
      </w:divBdr>
    </w:div>
    <w:div w:id="2059935338">
      <w:bodyDiv w:val="1"/>
      <w:marLeft w:val="0"/>
      <w:marRight w:val="0"/>
      <w:marTop w:val="0"/>
      <w:marBottom w:val="0"/>
      <w:divBdr>
        <w:top w:val="none" w:sz="0" w:space="0" w:color="auto"/>
        <w:left w:val="none" w:sz="0" w:space="0" w:color="auto"/>
        <w:bottom w:val="none" w:sz="0" w:space="0" w:color="auto"/>
        <w:right w:val="none" w:sz="0" w:space="0" w:color="auto"/>
      </w:divBdr>
    </w:div>
    <w:div w:id="2108696670">
      <w:bodyDiv w:val="1"/>
      <w:marLeft w:val="0"/>
      <w:marRight w:val="0"/>
      <w:marTop w:val="0"/>
      <w:marBottom w:val="0"/>
      <w:divBdr>
        <w:top w:val="none" w:sz="0" w:space="0" w:color="auto"/>
        <w:left w:val="none" w:sz="0" w:space="0" w:color="auto"/>
        <w:bottom w:val="none" w:sz="0" w:space="0" w:color="auto"/>
        <w:right w:val="none" w:sz="0" w:space="0" w:color="auto"/>
      </w:divBdr>
      <w:divsChild>
        <w:div w:id="1127239879">
          <w:marLeft w:val="0"/>
          <w:marRight w:val="0"/>
          <w:marTop w:val="0"/>
          <w:marBottom w:val="0"/>
          <w:divBdr>
            <w:top w:val="none" w:sz="0" w:space="0" w:color="auto"/>
            <w:left w:val="none" w:sz="0" w:space="0" w:color="auto"/>
            <w:bottom w:val="none" w:sz="0" w:space="0" w:color="auto"/>
            <w:right w:val="none" w:sz="0" w:space="0" w:color="auto"/>
          </w:divBdr>
        </w:div>
      </w:divsChild>
    </w:div>
    <w:div w:id="2117863456">
      <w:bodyDiv w:val="1"/>
      <w:marLeft w:val="0"/>
      <w:marRight w:val="0"/>
      <w:marTop w:val="0"/>
      <w:marBottom w:val="0"/>
      <w:divBdr>
        <w:top w:val="none" w:sz="0" w:space="0" w:color="auto"/>
        <w:left w:val="none" w:sz="0" w:space="0" w:color="auto"/>
        <w:bottom w:val="none" w:sz="0" w:space="0" w:color="auto"/>
        <w:right w:val="none" w:sz="0" w:space="0" w:color="auto"/>
      </w:divBdr>
      <w:divsChild>
        <w:div w:id="352537441">
          <w:marLeft w:val="0"/>
          <w:marRight w:val="0"/>
          <w:marTop w:val="0"/>
          <w:marBottom w:val="0"/>
          <w:divBdr>
            <w:top w:val="none" w:sz="0" w:space="0" w:color="auto"/>
            <w:left w:val="none" w:sz="0" w:space="0" w:color="auto"/>
            <w:bottom w:val="none" w:sz="0" w:space="0" w:color="auto"/>
            <w:right w:val="none" w:sz="0" w:space="0" w:color="auto"/>
          </w:divBdr>
          <w:divsChild>
            <w:div w:id="185336339">
              <w:marLeft w:val="0"/>
              <w:marRight w:val="0"/>
              <w:marTop w:val="0"/>
              <w:marBottom w:val="0"/>
              <w:divBdr>
                <w:top w:val="none" w:sz="0" w:space="0" w:color="auto"/>
                <w:left w:val="none" w:sz="0" w:space="0" w:color="auto"/>
                <w:bottom w:val="none" w:sz="0" w:space="0" w:color="auto"/>
                <w:right w:val="none" w:sz="0" w:space="0" w:color="auto"/>
              </w:divBdr>
            </w:div>
          </w:divsChild>
        </w:div>
        <w:div w:id="1016082555">
          <w:marLeft w:val="0"/>
          <w:marRight w:val="0"/>
          <w:marTop w:val="0"/>
          <w:marBottom w:val="0"/>
          <w:divBdr>
            <w:top w:val="none" w:sz="0" w:space="0" w:color="auto"/>
            <w:left w:val="none" w:sz="0" w:space="0" w:color="auto"/>
            <w:bottom w:val="none" w:sz="0" w:space="0" w:color="auto"/>
            <w:right w:val="none" w:sz="0" w:space="0" w:color="auto"/>
          </w:divBdr>
          <w:divsChild>
            <w:div w:id="1632007439">
              <w:marLeft w:val="0"/>
              <w:marRight w:val="0"/>
              <w:marTop w:val="0"/>
              <w:marBottom w:val="0"/>
              <w:divBdr>
                <w:top w:val="none" w:sz="0" w:space="0" w:color="auto"/>
                <w:left w:val="none" w:sz="0" w:space="0" w:color="auto"/>
                <w:bottom w:val="none" w:sz="0" w:space="0" w:color="auto"/>
                <w:right w:val="none" w:sz="0" w:space="0" w:color="auto"/>
              </w:divBdr>
            </w:div>
            <w:div w:id="119931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rtinezc@reprorights.org"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martinez@reprorights.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jessicamonterroso@gmail.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rodriguez@reprorights.org"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www.congreso.gob.gt/wp-content/plugins/paso-estado-incidencias/includes/uploads/docs/1528753491_Dictamen%205272.pdf" TargetMode="External"/><Relationship Id="rId13" Type="http://schemas.openxmlformats.org/officeDocument/2006/relationships/hyperlink" Target="https://osarguatemala.org/embarazos-en-adolescentes-del-ano-2015-al-2019/" TargetMode="External"/><Relationship Id="rId18" Type="http://schemas.openxmlformats.org/officeDocument/2006/relationships/hyperlink" Target="https://apps.who.int/iris/bitstream/handle/10665/329887/WHO-RHR-19.21-eng.pdf?ua=1" TargetMode="External"/><Relationship Id="rId26" Type="http://schemas.openxmlformats.org/officeDocument/2006/relationships/hyperlink" Target="https://www.svet.gob.gt/estadistica" TargetMode="External"/><Relationship Id="rId3" Type="http://schemas.openxmlformats.org/officeDocument/2006/relationships/hyperlink" Target="http://www.un.org/depts/los/LEGISLATIONANDTREATIES/PDFFILES/GTM_codigo_penal.pdf" TargetMode="External"/><Relationship Id="rId21" Type="http://schemas.openxmlformats.org/officeDocument/2006/relationships/hyperlink" Target="http://svet.gob.gt/sites/default/files/PROTOCOLO%20DE%20ATENCI%C3%93N%20A%20V%C3%8DCTIMAS%20SOBREVIVIENTES%20DE%20VIOLENCIA%20SEXUAL%20%202017.pdf" TargetMode="External"/><Relationship Id="rId34" Type="http://schemas.openxmlformats.org/officeDocument/2006/relationships/hyperlink" Target="https://osarguatemala.org/monitoreo-de-embarazos-en-adolescentes-entre-10-y-19-anos-al-20-de-mayo-2020/" TargetMode="External"/><Relationship Id="rId7" Type="http://schemas.openxmlformats.org/officeDocument/2006/relationships/hyperlink" Target="https://abortion-policies.srhr.org/documents/countries/02-Guatemala-First-and-Second-Trimester-post-abortion-care-2011.pdf" TargetMode="External"/><Relationship Id="rId12" Type="http://schemas.openxmlformats.org/officeDocument/2006/relationships/hyperlink" Target="https://www.reproductiverights.org/sites/crr.civicactions.net/files/documents/180903%20ST%20Guatemala_5272_SIGNED.pdf" TargetMode="External"/><Relationship Id="rId17" Type="http://schemas.openxmlformats.org/officeDocument/2006/relationships/hyperlink" Target="https://www.who.int/es/news-room/fact-sheets/detail/preventing-unsafe-abortion" TargetMode="External"/><Relationship Id="rId25" Type="http://schemas.openxmlformats.org/officeDocument/2006/relationships/hyperlink" Target="https://www.svet.gob.gt/estadistica" TargetMode="External"/><Relationship Id="rId33" Type="http://schemas.openxmlformats.org/officeDocument/2006/relationships/hyperlink" Target="https://www.unfpa.org/sites/default/files/resource-pdf/LACRO_COVID-19_Regional_Sitrep_4_June_5.pdf" TargetMode="External"/><Relationship Id="rId2" Type="http://schemas.openxmlformats.org/officeDocument/2006/relationships/hyperlink" Target="https://www.unfpa.org/adolescent-pregnancy" TargetMode="External"/><Relationship Id="rId16" Type="http://schemas.openxmlformats.org/officeDocument/2006/relationships/hyperlink" Target="https://osarguatemala.org/wp-content/uploads/2018/05/PLANEA.pdf" TargetMode="External"/><Relationship Id="rId20" Type="http://schemas.openxmlformats.org/officeDocument/2006/relationships/hyperlink" Target="http://www.sipi.siteal.iipe.unesco.org/sites/default/files/sipi_normativa/ley-contra-la-violencia-sexual-explotacion-y-trata-de-personas_-_decreto_9-2009_-guatemala.pdf" TargetMode="External"/><Relationship Id="rId29" Type="http://schemas.openxmlformats.org/officeDocument/2006/relationships/hyperlink" Target="http://www.oas.org/es/cim/docs/ArgumentarioCOVID19-ES.pdf" TargetMode="External"/><Relationship Id="rId1" Type="http://schemas.openxmlformats.org/officeDocument/2006/relationships/hyperlink" Target="http://www.who.int/news-room/fact-sheets/detail/adolescent-pregnancy" TargetMode="External"/><Relationship Id="rId6" Type="http://schemas.openxmlformats.org/officeDocument/2006/relationships/hyperlink" Target="https://issuu.com/svetcomunicacionsocial/docs/rutas_internas0310" TargetMode="External"/><Relationship Id="rId11" Type="http://schemas.openxmlformats.org/officeDocument/2006/relationships/hyperlink" Target="http://www.oacnudh.org.gt/images/CONTENIDOS/Documentos/Estandares_internacionales_aplicables_iniciativa_5272.pdf" TargetMode="External"/><Relationship Id="rId24" Type="http://schemas.openxmlformats.org/officeDocument/2006/relationships/hyperlink" Target="http://www.oas.org/es/cidh/informes/pdfs/ViolenciaMujeresNNA.pdf" TargetMode="External"/><Relationship Id="rId32" Type="http://schemas.openxmlformats.org/officeDocument/2006/relationships/hyperlink" Target="http://www.oas.org/es/cim/docs/ArgumentarioCOVID19-ES.pdf" TargetMode="External"/><Relationship Id="rId5" Type="http://schemas.openxmlformats.org/officeDocument/2006/relationships/hyperlink" Target="https://www.svet.gob.gt/noticias/gobierno-de-guatemala-presenta-ruta-de-atenci%C3%B3n-ni%C3%B1as-embarazadas-menores-de-14-a%C3%B1os" TargetMode="External"/><Relationship Id="rId15" Type="http://schemas.openxmlformats.org/officeDocument/2006/relationships/hyperlink" Target="https://osarguatemala.org/embarazos-y-registro-de-nacimientos-de-madres-adolescentes-ano-2019/" TargetMode="External"/><Relationship Id="rId23" Type="http://schemas.openxmlformats.org/officeDocument/2006/relationships/hyperlink" Target="https://www.plannedparenthoodaction.org/uploads/filer_public/cc/16/cc169bc8-1e15-49b1-a20f-62e0dd4d6c35/ppfa-stolen-lives-spanish.pdf" TargetMode="External"/><Relationship Id="rId28" Type="http://schemas.openxmlformats.org/officeDocument/2006/relationships/hyperlink" Target="https://www.who.int/es/dg/speeches/detail/who-director-general-s-opening-remarks-at-the-media-briefing-on-covid-19---11-march-2020" TargetMode="External"/><Relationship Id="rId10" Type="http://schemas.openxmlformats.org/officeDocument/2006/relationships/hyperlink" Target="https://apps.who.int/iris/bitstream/handle/10665/70914/;jsessionid=CE493DB61901A19222007F33CDC0FDFA?sequence=1" TargetMode="External"/><Relationship Id="rId19" Type="http://schemas.openxmlformats.org/officeDocument/2006/relationships/hyperlink" Target="http://www.un.org/depts/los/LEGISLATIONANDTREATIES/PDFFILES/GTM_codigo_penal.pdf" TargetMode="External"/><Relationship Id="rId31" Type="http://schemas.openxmlformats.org/officeDocument/2006/relationships/hyperlink" Target="https://www.oas.org/es/cidh/decisiones/pdf/Resolucion-1-20-es.pdf" TargetMode="External"/><Relationship Id="rId4" Type="http://schemas.openxmlformats.org/officeDocument/2006/relationships/hyperlink" Target="http://www.sipi.siteal.iipe.unesco.org/sites/default/files/sipi_normativa/ley-contra-la-violencia-sexual-explotacion-y-trata-de-personas_-_decreto_9-2009_-guatemala.pdf" TargetMode="External"/><Relationship Id="rId9" Type="http://schemas.openxmlformats.org/officeDocument/2006/relationships/hyperlink" Target="https://www.hrw.org/es/news/2018/08/31/guatemala-debe-rechazar-la-ley-para-la-proteccion-de-la-vida-y-la-familia;&#223;" TargetMode="External"/><Relationship Id="rId14" Type="http://schemas.openxmlformats.org/officeDocument/2006/relationships/hyperlink" Target="https://osarguatemala.org/embarazos-y-partos-de-madres-entre-10-y-19-2018/" TargetMode="External"/><Relationship Id="rId22" Type="http://schemas.openxmlformats.org/officeDocument/2006/relationships/hyperlink" Target="https://apps.who.int/iris/bitstream/handle/10665/259270/9789241550147-eng.pdf?sequence=1" TargetMode="External"/><Relationship Id="rId27" Type="http://schemas.openxmlformats.org/officeDocument/2006/relationships/hyperlink" Target="https://tbinternet.ohchr.org/_layouts/15/treatybodyexternal/TBSearch.aspx?Lang=es&amp;TreatyID=9&amp;DocTypeID=11" TargetMode="External"/><Relationship Id="rId30" Type="http://schemas.openxmlformats.org/officeDocument/2006/relationships/hyperlink" Target="https://www.ohchr.org/Documents/Issues/Women/COVID-19_and_Womens_Human_Rights.pdf" TargetMode="External"/><Relationship Id="rId35" Type="http://schemas.openxmlformats.org/officeDocument/2006/relationships/hyperlink" Target="https://www.prensalibre.com/guatemala/comunitario/guatemala-registra-casi-dos-mil-embarazos-en-ninas-de-10-a-14-anos-en-este-202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B&amp;M">
  <a:themeElements>
    <a:clrScheme name="B&amp;M">
      <a:dk1>
        <a:srgbClr val="000000"/>
      </a:dk1>
      <a:lt1>
        <a:srgbClr val="FFFFFF"/>
      </a:lt1>
      <a:dk2>
        <a:srgbClr val="5F5F5F"/>
      </a:dk2>
      <a:lt2>
        <a:srgbClr val="C2C3C4"/>
      </a:lt2>
      <a:accent1>
        <a:srgbClr val="EE3135"/>
      </a:accent1>
      <a:accent2>
        <a:srgbClr val="AE132A"/>
      </a:accent2>
      <a:accent3>
        <a:srgbClr val="7A0223"/>
      </a:accent3>
      <a:accent4>
        <a:srgbClr val="002856"/>
      </a:accent4>
      <a:accent5>
        <a:srgbClr val="F58220"/>
      </a:accent5>
      <a:accent6>
        <a:srgbClr val="007B66"/>
      </a:accent6>
      <a:hlink>
        <a:srgbClr val="0000FF"/>
      </a:hlink>
      <a:folHlink>
        <a:srgbClr val="800080"/>
      </a:folHlink>
    </a:clrScheme>
    <a:fontScheme name="B&amp;M">
      <a:majorFont>
        <a:latin typeface="Arial"/>
        <a:ea typeface="PMingLiu"/>
        <a:cs typeface=""/>
        <a:font script="Jpan" typeface="MS Gothic"/>
      </a:majorFont>
      <a:minorFont>
        <a:latin typeface="Times New Roman"/>
        <a:ea typeface="PMingLiU"/>
        <a:cs typeface=""/>
        <a:font script="Jpan" typeface="MS Minch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F03F4-48EA-4A2B-A09A-DEBAD80AF4A6}"/>
</file>

<file path=customXml/itemProps2.xml><?xml version="1.0" encoding="utf-8"?>
<ds:datastoreItem xmlns:ds="http://schemas.openxmlformats.org/officeDocument/2006/customXml" ds:itemID="{A97D0CBE-40ED-442F-9A78-6206137BEFD3}">
  <ds:schemaRefs>
    <ds:schemaRef ds:uri="http://purl.org/dc/terms/"/>
    <ds:schemaRef ds:uri="http://schemas.microsoft.com/office/2006/documentManagement/types"/>
    <ds:schemaRef ds:uri="6f37c757-8667-4c11-b30a-07f43b030caf"/>
    <ds:schemaRef ds:uri="http://schemas.microsoft.com/office/infopath/2007/PartnerControls"/>
    <ds:schemaRef ds:uri="http://purl.org/dc/elements/1.1/"/>
    <ds:schemaRef ds:uri="http://schemas.openxmlformats.org/package/2006/metadata/core-properties"/>
    <ds:schemaRef ds:uri="9a881ee5-d137-4997-abbd-6f7775512a88"/>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B48A1C1-92DE-4B8A-8AEE-5157E537F7CE}">
  <ds:schemaRefs>
    <ds:schemaRef ds:uri="http://schemas.microsoft.com/sharepoint/v3/contenttype/forms"/>
  </ds:schemaRefs>
</ds:datastoreItem>
</file>

<file path=customXml/itemProps4.xml><?xml version="1.0" encoding="utf-8"?>
<ds:datastoreItem xmlns:ds="http://schemas.openxmlformats.org/officeDocument/2006/customXml" ds:itemID="{A12C05A1-A4F6-4AB7-9B5F-BA6C3D4D6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9094</Words>
  <Characters>51837</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Baker &amp; McKenzie</Company>
  <LinksUpToDate>false</LinksUpToDate>
  <CharactersWithSpaces>60810</CharactersWithSpaces>
  <SharedDoc>false</SharedDoc>
  <HLinks>
    <vt:vector size="162" baseType="variant">
      <vt:variant>
        <vt:i4>6946889</vt:i4>
      </vt:variant>
      <vt:variant>
        <vt:i4>54</vt:i4>
      </vt:variant>
      <vt:variant>
        <vt:i4>0</vt:i4>
      </vt:variant>
      <vt:variant>
        <vt:i4>5</vt:i4>
      </vt:variant>
      <vt:variant>
        <vt:lpwstr>https://tbinternet.ohchr.org/_layouts/15/treatybodyexternal/TBSearch.aspx?Lang=es&amp;TreatyID=9&amp;DocTypeID=11</vt:lpwstr>
      </vt:variant>
      <vt:variant>
        <vt:lpwstr/>
      </vt:variant>
      <vt:variant>
        <vt:i4>786438</vt:i4>
      </vt:variant>
      <vt:variant>
        <vt:i4>51</vt:i4>
      </vt:variant>
      <vt:variant>
        <vt:i4>0</vt:i4>
      </vt:variant>
      <vt:variant>
        <vt:i4>5</vt:i4>
      </vt:variant>
      <vt:variant>
        <vt:lpwstr>https://conf-dts1.unog.ch/1 SPA/Tradutek/Derechos_hum_Base/CESCR/00_1_obs_grales_Cte Dchos Ec Soc Cult.html</vt:lpwstr>
      </vt:variant>
      <vt:variant>
        <vt:lpwstr/>
      </vt:variant>
      <vt:variant>
        <vt:i4>2293877</vt:i4>
      </vt:variant>
      <vt:variant>
        <vt:i4>48</vt:i4>
      </vt:variant>
      <vt:variant>
        <vt:i4>0</vt:i4>
      </vt:variant>
      <vt:variant>
        <vt:i4>5</vt:i4>
      </vt:variant>
      <vt:variant>
        <vt:lpwstr>https://osarguatemala.org/wp-content/uploads/2018/05/PLANEA.pdf</vt:lpwstr>
      </vt:variant>
      <vt:variant>
        <vt:lpwstr/>
      </vt:variant>
      <vt:variant>
        <vt:i4>7995435</vt:i4>
      </vt:variant>
      <vt:variant>
        <vt:i4>45</vt:i4>
      </vt:variant>
      <vt:variant>
        <vt:i4>0</vt:i4>
      </vt:variant>
      <vt:variant>
        <vt:i4>5</vt:i4>
      </vt:variant>
      <vt:variant>
        <vt:lpwstr>https://osarguatemala.org/monitoreo-de-embarazos-en-adolescentes-entre-10-y-19-anos-al-20-de-mayo-2020/</vt:lpwstr>
      </vt:variant>
      <vt:variant>
        <vt:lpwstr/>
      </vt:variant>
      <vt:variant>
        <vt:i4>6946889</vt:i4>
      </vt:variant>
      <vt:variant>
        <vt:i4>42</vt:i4>
      </vt:variant>
      <vt:variant>
        <vt:i4>0</vt:i4>
      </vt:variant>
      <vt:variant>
        <vt:i4>5</vt:i4>
      </vt:variant>
      <vt:variant>
        <vt:lpwstr>https://tbinternet.ohchr.org/_layouts/15/treatybodyexternal/TBSearch.aspx?Lang=es&amp;TreatyID=9&amp;DocTypeID=11</vt:lpwstr>
      </vt:variant>
      <vt:variant>
        <vt:lpwstr/>
      </vt:variant>
      <vt:variant>
        <vt:i4>7012386</vt:i4>
      </vt:variant>
      <vt:variant>
        <vt:i4>39</vt:i4>
      </vt:variant>
      <vt:variant>
        <vt:i4>0</vt:i4>
      </vt:variant>
      <vt:variant>
        <vt:i4>5</vt:i4>
      </vt:variant>
      <vt:variant>
        <vt:lpwstr>https://www.svet.gob.gt/estadistica</vt:lpwstr>
      </vt:variant>
      <vt:variant>
        <vt:lpwstr/>
      </vt:variant>
      <vt:variant>
        <vt:i4>7012386</vt:i4>
      </vt:variant>
      <vt:variant>
        <vt:i4>36</vt:i4>
      </vt:variant>
      <vt:variant>
        <vt:i4>0</vt:i4>
      </vt:variant>
      <vt:variant>
        <vt:i4>5</vt:i4>
      </vt:variant>
      <vt:variant>
        <vt:lpwstr>https://www.svet.gob.gt/estadistica</vt:lpwstr>
      </vt:variant>
      <vt:variant>
        <vt:lpwstr/>
      </vt:variant>
      <vt:variant>
        <vt:i4>7995475</vt:i4>
      </vt:variant>
      <vt:variant>
        <vt:i4>33</vt:i4>
      </vt:variant>
      <vt:variant>
        <vt:i4>0</vt:i4>
      </vt:variant>
      <vt:variant>
        <vt:i4>5</vt:i4>
      </vt:variant>
      <vt:variant>
        <vt:lpwstr>https://www.plannedparenthoodaction.org/uploads/filer_public/cc/16/cc169bc8-1e15-49b1-a20f-62e0dd4d6c35/ppfa-stolen-lives-spanish.pdf</vt:lpwstr>
      </vt:variant>
      <vt:variant>
        <vt:lpwstr/>
      </vt:variant>
      <vt:variant>
        <vt:i4>2818163</vt:i4>
      </vt:variant>
      <vt:variant>
        <vt:i4>30</vt:i4>
      </vt:variant>
      <vt:variant>
        <vt:i4>0</vt:i4>
      </vt:variant>
      <vt:variant>
        <vt:i4>5</vt:i4>
      </vt:variant>
      <vt:variant>
        <vt:lpwstr>http://svet.gob.gt/sites/default/files/PROTOCOLO DE ATENCI%C3%93N A V%C3%8DCTIMAS SOBREVIVIENTES DE VIOLENCIA SEXUAL  2017.pdf</vt:lpwstr>
      </vt:variant>
      <vt:variant>
        <vt:lpwstr/>
      </vt:variant>
      <vt:variant>
        <vt:i4>1310824</vt:i4>
      </vt:variant>
      <vt:variant>
        <vt:i4>27</vt:i4>
      </vt:variant>
      <vt:variant>
        <vt:i4>0</vt:i4>
      </vt:variant>
      <vt:variant>
        <vt:i4>5</vt:i4>
      </vt:variant>
      <vt:variant>
        <vt:lpwstr>http://www.sipi.siteal.iipe.unesco.org/sites/default/files/sipi_normativa/ley-contra-la-violencia-sexual-explotacion-y-trata-de-personas_-_decreto_9-2009_-guatemala.pdf</vt:lpwstr>
      </vt:variant>
      <vt:variant>
        <vt:lpwstr/>
      </vt:variant>
      <vt:variant>
        <vt:i4>3604599</vt:i4>
      </vt:variant>
      <vt:variant>
        <vt:i4>24</vt:i4>
      </vt:variant>
      <vt:variant>
        <vt:i4>0</vt:i4>
      </vt:variant>
      <vt:variant>
        <vt:i4>5</vt:i4>
      </vt:variant>
      <vt:variant>
        <vt:lpwstr>http://www.un.org/depts/los/LEGISLATIONANDTREATIES/PDFFILES/GTM_codigo_penal.pdf</vt:lpwstr>
      </vt:variant>
      <vt:variant>
        <vt:lpwstr/>
      </vt:variant>
      <vt:variant>
        <vt:i4>6946889</vt:i4>
      </vt:variant>
      <vt:variant>
        <vt:i4>21</vt:i4>
      </vt:variant>
      <vt:variant>
        <vt:i4>0</vt:i4>
      </vt:variant>
      <vt:variant>
        <vt:i4>5</vt:i4>
      </vt:variant>
      <vt:variant>
        <vt:lpwstr>https://tbinternet.ohchr.org/_layouts/15/treatybodyexternal/TBSearch.aspx?Lang=es&amp;TreatyID=9&amp;DocTypeID=11</vt:lpwstr>
      </vt:variant>
      <vt:variant>
        <vt:lpwstr/>
      </vt:variant>
      <vt:variant>
        <vt:i4>1048582</vt:i4>
      </vt:variant>
      <vt:variant>
        <vt:i4>18</vt:i4>
      </vt:variant>
      <vt:variant>
        <vt:i4>0</vt:i4>
      </vt:variant>
      <vt:variant>
        <vt:i4>5</vt:i4>
      </vt:variant>
      <vt:variant>
        <vt:lpwstr>https://www.hrw.org/es/news/2018/08/31/guatemala-debe-rechazar-la-ley-para-la-proteccion-de-la-vida-y-la-familia</vt:lpwstr>
      </vt:variant>
      <vt:variant>
        <vt:lpwstr/>
      </vt:variant>
      <vt:variant>
        <vt:i4>7798876</vt:i4>
      </vt:variant>
      <vt:variant>
        <vt:i4>15</vt:i4>
      </vt:variant>
      <vt:variant>
        <vt:i4>0</vt:i4>
      </vt:variant>
      <vt:variant>
        <vt:i4>5</vt:i4>
      </vt:variant>
      <vt:variant>
        <vt:lpwstr>https://www.congreso.gob.gt/wp-content/plugins/paso-estado-incidencias/includes/uploads/docs/1528753491_Dictamen 5272.pdf</vt:lpwstr>
      </vt:variant>
      <vt:variant>
        <vt:lpwstr/>
      </vt:variant>
      <vt:variant>
        <vt:i4>7536700</vt:i4>
      </vt:variant>
      <vt:variant>
        <vt:i4>12</vt:i4>
      </vt:variant>
      <vt:variant>
        <vt:i4>0</vt:i4>
      </vt:variant>
      <vt:variant>
        <vt:i4>5</vt:i4>
      </vt:variant>
      <vt:variant>
        <vt:lpwstr>https://abortion-policies.srhr.org/documents/countries/02-Guatemala-First-and-Second-Trimester-post-abortion-care-2011.pdf</vt:lpwstr>
      </vt:variant>
      <vt:variant>
        <vt:lpwstr/>
      </vt:variant>
      <vt:variant>
        <vt:i4>7471104</vt:i4>
      </vt:variant>
      <vt:variant>
        <vt:i4>9</vt:i4>
      </vt:variant>
      <vt:variant>
        <vt:i4>0</vt:i4>
      </vt:variant>
      <vt:variant>
        <vt:i4>5</vt:i4>
      </vt:variant>
      <vt:variant>
        <vt:lpwstr>https://issuu.com/svetcomunicacionsocial/docs/rutas_internas0310</vt:lpwstr>
      </vt:variant>
      <vt:variant>
        <vt:lpwstr/>
      </vt:variant>
      <vt:variant>
        <vt:i4>917518</vt:i4>
      </vt:variant>
      <vt:variant>
        <vt:i4>6</vt:i4>
      </vt:variant>
      <vt:variant>
        <vt:i4>0</vt:i4>
      </vt:variant>
      <vt:variant>
        <vt:i4>5</vt:i4>
      </vt:variant>
      <vt:variant>
        <vt:lpwstr>https://www.svet.gob.gt/noticias/gobierno-de-guatemala-presenta-ruta-de-atenci%C3%B3n-ni%C3%B1as-embarazadas-menores-de-14-a%C3%B1os</vt:lpwstr>
      </vt:variant>
      <vt:variant>
        <vt:lpwstr/>
      </vt:variant>
      <vt:variant>
        <vt:i4>1310824</vt:i4>
      </vt:variant>
      <vt:variant>
        <vt:i4>3</vt:i4>
      </vt:variant>
      <vt:variant>
        <vt:i4>0</vt:i4>
      </vt:variant>
      <vt:variant>
        <vt:i4>5</vt:i4>
      </vt:variant>
      <vt:variant>
        <vt:lpwstr>http://www.sipi.siteal.iipe.unesco.org/sites/default/files/sipi_normativa/ley-contra-la-violencia-sexual-explotacion-y-trata-de-personas_-_decreto_9-2009_-guatemala.pdf</vt:lpwstr>
      </vt:variant>
      <vt:variant>
        <vt:lpwstr/>
      </vt:variant>
      <vt:variant>
        <vt:i4>3604599</vt:i4>
      </vt:variant>
      <vt:variant>
        <vt:i4>0</vt:i4>
      </vt:variant>
      <vt:variant>
        <vt:i4>0</vt:i4>
      </vt:variant>
      <vt:variant>
        <vt:i4>5</vt:i4>
      </vt:variant>
      <vt:variant>
        <vt:lpwstr>http://www.un.org/depts/los/LEGISLATIONANDTREATIES/PDFFILES/GTM_codigo_penal.pdf</vt:lpwstr>
      </vt:variant>
      <vt:variant>
        <vt:lpwstr/>
      </vt:variant>
      <vt:variant>
        <vt:i4>6553624</vt:i4>
      </vt:variant>
      <vt:variant>
        <vt:i4>21</vt:i4>
      </vt:variant>
      <vt:variant>
        <vt:i4>0</vt:i4>
      </vt:variant>
      <vt:variant>
        <vt:i4>5</vt:i4>
      </vt:variant>
      <vt:variant>
        <vt:lpwstr>https://urldefense.com/v3/__https:/www.ohchr.org/sp/NewsEvents/Pages/DisplayNews.aspx?NewsID=25979&amp;LangID=s__;!!Hj9Y_P0nvg!GBwPUK1-JEcTIlzN3il1ysxN9leGOYhJLWHEbY7Ipq5SBo8gkoF5-Vnxcu71hc08TkzKEOK9Kg$</vt:lpwstr>
      </vt:variant>
      <vt:variant>
        <vt:lpwstr/>
      </vt:variant>
      <vt:variant>
        <vt:i4>4718676</vt:i4>
      </vt:variant>
      <vt:variant>
        <vt:i4>18</vt:i4>
      </vt:variant>
      <vt:variant>
        <vt:i4>0</vt:i4>
      </vt:variant>
      <vt:variant>
        <vt:i4>5</vt:i4>
      </vt:variant>
      <vt:variant>
        <vt:lpwstr>https://apps.who.int/iris/bitstream/handle/10665/259270/9789241550147-eng.pdf?sequence=1</vt:lpwstr>
      </vt:variant>
      <vt:variant>
        <vt:lpwstr/>
      </vt:variant>
      <vt:variant>
        <vt:i4>6422572</vt:i4>
      </vt:variant>
      <vt:variant>
        <vt:i4>15</vt:i4>
      </vt:variant>
      <vt:variant>
        <vt:i4>0</vt:i4>
      </vt:variant>
      <vt:variant>
        <vt:i4>5</vt:i4>
      </vt:variant>
      <vt:variant>
        <vt:lpwstr>https://apps.who.int/iris/bitstream/handle/10665/70914/;jsessionid=CE493DB61901A19222007F33CDC0FDFA?sequence=1</vt:lpwstr>
      </vt:variant>
      <vt:variant>
        <vt:lpwstr/>
      </vt:variant>
      <vt:variant>
        <vt:i4>2818166</vt:i4>
      </vt:variant>
      <vt:variant>
        <vt:i4>12</vt:i4>
      </vt:variant>
      <vt:variant>
        <vt:i4>0</vt:i4>
      </vt:variant>
      <vt:variant>
        <vt:i4>5</vt:i4>
      </vt:variant>
      <vt:variant>
        <vt:lpwstr>http://concriterio.gt/hospitales-cierran-puertas-a-embarazadas-vuelvan-hasta-la-hora-del-parto/</vt:lpwstr>
      </vt:variant>
      <vt:variant>
        <vt:lpwstr/>
      </vt:variant>
      <vt:variant>
        <vt:i4>1835038</vt:i4>
      </vt:variant>
      <vt:variant>
        <vt:i4>9</vt:i4>
      </vt:variant>
      <vt:variant>
        <vt:i4>0</vt:i4>
      </vt:variant>
      <vt:variant>
        <vt:i4>5</vt:i4>
      </vt:variant>
      <vt:variant>
        <vt:lpwstr>https://dca.gob.gt/noticias-guatemala-diario-centro-america/testimonial/los-embarazos-no-se-detienen-en-la-pandemia/</vt:lpwstr>
      </vt:variant>
      <vt:variant>
        <vt:lpwstr/>
      </vt:variant>
      <vt:variant>
        <vt:i4>6357045</vt:i4>
      </vt:variant>
      <vt:variant>
        <vt:i4>6</vt:i4>
      </vt:variant>
      <vt:variant>
        <vt:i4>0</vt:i4>
      </vt:variant>
      <vt:variant>
        <vt:i4>5</vt:i4>
      </vt:variant>
      <vt:variant>
        <vt:lpwstr>https://lahora.gt/impacto-esperado-del-covid-19-sobre-el-acceso-a-anticonceptivos/</vt:lpwstr>
      </vt:variant>
      <vt:variant>
        <vt:lpwstr/>
      </vt:variant>
      <vt:variant>
        <vt:i4>3932269</vt:i4>
      </vt:variant>
      <vt:variant>
        <vt:i4>3</vt:i4>
      </vt:variant>
      <vt:variant>
        <vt:i4>0</vt:i4>
      </vt:variant>
      <vt:variant>
        <vt:i4>5</vt:i4>
      </vt:variant>
      <vt:variant>
        <vt:lpwstr>https://dca.gob.gt/noticias-guatemala-diario-centro-america/testimonial/el-impacto-del-covid-19-en-la-vida-de-las-mujeres/</vt:lpwstr>
      </vt:variant>
      <vt:variant>
        <vt:lpwstr/>
      </vt:variant>
      <vt:variant>
        <vt:i4>7995435</vt:i4>
      </vt:variant>
      <vt:variant>
        <vt:i4>0</vt:i4>
      </vt:variant>
      <vt:variant>
        <vt:i4>0</vt:i4>
      </vt:variant>
      <vt:variant>
        <vt:i4>5</vt:i4>
      </vt:variant>
      <vt:variant>
        <vt:lpwstr>https://osarguatemala.org/monitoreo-de-embarazos-en-adolescentes-entre-10-y-19-anos-al-20-de-mayo-2020/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Valencia, Jorge</dc:creator>
  <cp:keywords/>
  <dc:description/>
  <cp:lastModifiedBy>Tolaïni Sabine</cp:lastModifiedBy>
  <cp:revision>2</cp:revision>
  <cp:lastPrinted>2020-08-11T03:24:00Z</cp:lastPrinted>
  <dcterms:created xsi:type="dcterms:W3CDTF">2020-08-21T09:34:00Z</dcterms:created>
  <dcterms:modified xsi:type="dcterms:W3CDTF">2020-08-21T09:34:00Z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