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90283" w14:textId="77777777" w:rsidR="00DC1367"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114300" distB="114300" distL="114300" distR="114300" simplePos="0" relativeHeight="251658240" behindDoc="0" locked="0" layoutInCell="1" hidden="0" allowOverlap="1" wp14:anchorId="01F08132" wp14:editId="02991B28">
            <wp:simplePos x="0" y="0"/>
            <wp:positionH relativeFrom="margin">
              <wp:posOffset>3181350</wp:posOffset>
            </wp:positionH>
            <wp:positionV relativeFrom="margin">
              <wp:posOffset>0</wp:posOffset>
            </wp:positionV>
            <wp:extent cx="2090738" cy="782985"/>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177" b="177"/>
                    <a:stretch>
                      <a:fillRect/>
                    </a:stretch>
                  </pic:blipFill>
                  <pic:spPr>
                    <a:xfrm>
                      <a:off x="0" y="0"/>
                      <a:ext cx="2090738" cy="782985"/>
                    </a:xfrm>
                    <a:prstGeom prst="rect">
                      <a:avLst/>
                    </a:prstGeom>
                    <a:ln/>
                  </pic:spPr>
                </pic:pic>
              </a:graphicData>
            </a:graphic>
          </wp:anchor>
        </w:drawing>
      </w:r>
      <w:r>
        <w:rPr>
          <w:rFonts w:ascii="Times New Roman" w:eastAsia="Times New Roman" w:hAnsi="Times New Roman" w:cs="Times New Roman"/>
          <w:noProof/>
          <w:sz w:val="24"/>
          <w:szCs w:val="24"/>
        </w:rPr>
        <w:drawing>
          <wp:inline distT="114300" distB="114300" distL="114300" distR="114300" wp14:anchorId="46B385A8" wp14:editId="701B4A60">
            <wp:extent cx="2405623" cy="73818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405623" cy="738188"/>
                    </a:xfrm>
                    <a:prstGeom prst="rect">
                      <a:avLst/>
                    </a:prstGeom>
                    <a:ln/>
                  </pic:spPr>
                </pic:pic>
              </a:graphicData>
            </a:graphic>
          </wp:inline>
        </w:drawing>
      </w:r>
    </w:p>
    <w:p w14:paraId="60123341" w14:textId="77777777" w:rsidR="00DC1367" w:rsidRDefault="00DC1367">
      <w:pPr>
        <w:spacing w:line="240" w:lineRule="auto"/>
        <w:rPr>
          <w:rFonts w:ascii="Times New Roman" w:eastAsia="Times New Roman" w:hAnsi="Times New Roman" w:cs="Times New Roman"/>
          <w:sz w:val="24"/>
          <w:szCs w:val="24"/>
        </w:rPr>
      </w:pPr>
    </w:p>
    <w:p w14:paraId="35453262" w14:textId="77777777" w:rsidR="00DC1367" w:rsidRDefault="00DC1367">
      <w:pPr>
        <w:spacing w:line="240" w:lineRule="auto"/>
        <w:rPr>
          <w:rFonts w:ascii="Times New Roman" w:eastAsia="Times New Roman" w:hAnsi="Times New Roman" w:cs="Times New Roman"/>
          <w:sz w:val="24"/>
          <w:szCs w:val="24"/>
        </w:rPr>
      </w:pPr>
    </w:p>
    <w:p w14:paraId="3AAAB76A" w14:textId="77777777" w:rsidR="00DC1367" w:rsidRDefault="00000000">
      <w:pPr>
        <w:spacing w:line="240" w:lineRule="auto"/>
        <w:rPr>
          <w:rFonts w:ascii="Source Sans 3" w:eastAsia="Source Sans 3" w:hAnsi="Source Sans 3" w:cs="Source Sans 3"/>
          <w:sz w:val="24"/>
          <w:szCs w:val="24"/>
        </w:rPr>
      </w:pPr>
      <w:r>
        <w:rPr>
          <w:rFonts w:ascii="Source Sans 3" w:eastAsia="Source Sans 3" w:hAnsi="Source Sans 3" w:cs="Source Sans 3"/>
          <w:sz w:val="24"/>
          <w:szCs w:val="24"/>
        </w:rPr>
        <w:t>Committee for the Elimination of Discrimination against Women</w:t>
      </w:r>
    </w:p>
    <w:p w14:paraId="424B20DE" w14:textId="77777777" w:rsidR="00DC1367" w:rsidRDefault="00000000">
      <w:pPr>
        <w:spacing w:line="240" w:lineRule="auto"/>
        <w:rPr>
          <w:rFonts w:ascii="Source Sans 3" w:eastAsia="Source Sans 3" w:hAnsi="Source Sans 3" w:cs="Source Sans 3"/>
          <w:sz w:val="24"/>
          <w:szCs w:val="24"/>
        </w:rPr>
      </w:pPr>
      <w:r>
        <w:rPr>
          <w:rFonts w:ascii="Source Sans 3" w:eastAsia="Source Sans 3" w:hAnsi="Source Sans 3" w:cs="Source Sans 3"/>
          <w:sz w:val="24"/>
          <w:szCs w:val="24"/>
        </w:rPr>
        <w:t>Human Rights Treaties Division (HRTD)</w:t>
      </w:r>
    </w:p>
    <w:p w14:paraId="5738C9CD" w14:textId="77777777" w:rsidR="00DC1367" w:rsidRDefault="00000000">
      <w:pPr>
        <w:spacing w:line="240" w:lineRule="auto"/>
        <w:rPr>
          <w:rFonts w:ascii="Source Sans 3" w:eastAsia="Source Sans 3" w:hAnsi="Source Sans 3" w:cs="Source Sans 3"/>
          <w:sz w:val="24"/>
          <w:szCs w:val="24"/>
        </w:rPr>
      </w:pPr>
      <w:r>
        <w:rPr>
          <w:rFonts w:ascii="Source Sans 3" w:eastAsia="Source Sans 3" w:hAnsi="Source Sans 3" w:cs="Source Sans 3"/>
          <w:sz w:val="24"/>
          <w:szCs w:val="24"/>
        </w:rPr>
        <w:t>Office of the United Nations High Commissioner for Human Rights (OHCHR)</w:t>
      </w:r>
    </w:p>
    <w:p w14:paraId="38A29F8E" w14:textId="77777777" w:rsidR="00DC1367" w:rsidRDefault="00000000">
      <w:pPr>
        <w:spacing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Palais Wilson - 52, rue des </w:t>
      </w:r>
      <w:proofErr w:type="spellStart"/>
      <w:r>
        <w:rPr>
          <w:rFonts w:ascii="Source Sans 3" w:eastAsia="Source Sans 3" w:hAnsi="Source Sans 3" w:cs="Source Sans 3"/>
          <w:sz w:val="24"/>
          <w:szCs w:val="24"/>
        </w:rPr>
        <w:t>Paquis</w:t>
      </w:r>
      <w:proofErr w:type="spellEnd"/>
    </w:p>
    <w:p w14:paraId="51CFDB82" w14:textId="77777777" w:rsidR="00DC1367" w:rsidRDefault="00000000">
      <w:pPr>
        <w:spacing w:line="240" w:lineRule="auto"/>
        <w:rPr>
          <w:rFonts w:ascii="Source Sans 3" w:eastAsia="Source Sans 3" w:hAnsi="Source Sans 3" w:cs="Source Sans 3"/>
          <w:sz w:val="24"/>
          <w:szCs w:val="24"/>
        </w:rPr>
      </w:pPr>
      <w:r>
        <w:rPr>
          <w:rFonts w:ascii="Source Sans 3" w:eastAsia="Source Sans 3" w:hAnsi="Source Sans 3" w:cs="Source Sans 3"/>
          <w:sz w:val="24"/>
          <w:szCs w:val="24"/>
        </w:rPr>
        <w:t>CH-1201 Geneva, Switzerland</w:t>
      </w:r>
    </w:p>
    <w:p w14:paraId="2E24EAA9" w14:textId="77777777" w:rsidR="00DC1367" w:rsidRDefault="00000000">
      <w:pPr>
        <w:spacing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Submitted through: </w:t>
      </w:r>
      <w:hyperlink r:id="rId9">
        <w:r>
          <w:rPr>
            <w:rFonts w:ascii="Times New Roman" w:eastAsia="Times New Roman" w:hAnsi="Times New Roman" w:cs="Times New Roman"/>
            <w:color w:val="0563C1"/>
            <w:sz w:val="24"/>
            <w:szCs w:val="24"/>
            <w:u w:val="single"/>
          </w:rPr>
          <w:t>https://events.ohchr.org/</w:t>
        </w:r>
      </w:hyperlink>
      <w:r>
        <w:rPr>
          <w:rFonts w:ascii="Source Sans 3" w:eastAsia="Source Sans 3" w:hAnsi="Source Sans 3" w:cs="Source Sans 3"/>
          <w:sz w:val="24"/>
          <w:szCs w:val="24"/>
        </w:rPr>
        <w:t xml:space="preserve"> </w:t>
      </w:r>
    </w:p>
    <w:p w14:paraId="594B2677" w14:textId="77777777" w:rsidR="00DC1367" w:rsidRDefault="00DC1367">
      <w:pPr>
        <w:spacing w:before="200" w:line="240" w:lineRule="auto"/>
        <w:rPr>
          <w:rFonts w:ascii="Source Sans 3" w:eastAsia="Source Sans 3" w:hAnsi="Source Sans 3" w:cs="Source Sans 3"/>
          <w:sz w:val="24"/>
          <w:szCs w:val="24"/>
        </w:rPr>
      </w:pPr>
    </w:p>
    <w:p w14:paraId="330F919A" w14:textId="77777777" w:rsidR="00DC1367" w:rsidRDefault="00000000">
      <w:pPr>
        <w:spacing w:before="200" w:line="240" w:lineRule="auto"/>
        <w:ind w:left="7200"/>
        <w:rPr>
          <w:rFonts w:ascii="Source Sans 3" w:eastAsia="Source Sans 3" w:hAnsi="Source Sans 3" w:cs="Source Sans 3"/>
          <w:b/>
          <w:sz w:val="24"/>
          <w:szCs w:val="24"/>
        </w:rPr>
      </w:pPr>
      <w:r>
        <w:rPr>
          <w:rFonts w:ascii="Source Sans 3" w:eastAsia="Source Sans 3" w:hAnsi="Source Sans 3" w:cs="Source Sans 3"/>
          <w:b/>
          <w:sz w:val="24"/>
          <w:szCs w:val="24"/>
        </w:rPr>
        <w:t>29 September 2025</w:t>
      </w:r>
    </w:p>
    <w:p w14:paraId="775189C6" w14:textId="77777777" w:rsidR="00DC1367" w:rsidRDefault="00000000">
      <w:pPr>
        <w:spacing w:before="200" w:line="240" w:lineRule="auto"/>
        <w:rPr>
          <w:rFonts w:ascii="Source Sans 3" w:eastAsia="Source Sans 3" w:hAnsi="Source Sans 3" w:cs="Source Sans 3"/>
          <w:b/>
          <w:sz w:val="24"/>
          <w:szCs w:val="24"/>
          <w:highlight w:val="white"/>
        </w:rPr>
      </w:pPr>
      <w:r>
        <w:rPr>
          <w:rFonts w:ascii="Source Sans 3" w:eastAsia="Source Sans 3" w:hAnsi="Source Sans 3" w:cs="Source Sans 3"/>
          <w:b/>
          <w:sz w:val="24"/>
          <w:szCs w:val="24"/>
          <w:highlight w:val="white"/>
        </w:rPr>
        <w:t xml:space="preserve">Information on India for consideration by the Committee for the Elimination of Discrimination against Women at the Pre-Sessional Working Group of its 94th Session </w:t>
      </w:r>
      <w:r>
        <w:rPr>
          <w:rFonts w:ascii="Source Sans 3" w:eastAsia="Source Sans 3" w:hAnsi="Source Sans 3" w:cs="Source Sans 3"/>
          <w:b/>
          <w:sz w:val="24"/>
          <w:szCs w:val="24"/>
        </w:rPr>
        <w:t>(27 - 31 October 2025)</w:t>
      </w:r>
    </w:p>
    <w:p w14:paraId="0E1F600D" w14:textId="77777777" w:rsidR="00DC1367" w:rsidRDefault="00000000">
      <w:pPr>
        <w:spacing w:before="200" w:line="240" w:lineRule="auto"/>
        <w:rPr>
          <w:rFonts w:ascii="Source Sans 3" w:eastAsia="Source Sans 3" w:hAnsi="Source Sans 3" w:cs="Source Sans 3"/>
          <w:sz w:val="24"/>
          <w:szCs w:val="24"/>
          <w:highlight w:val="white"/>
        </w:rPr>
      </w:pPr>
      <w:r>
        <w:rPr>
          <w:rFonts w:ascii="Source Sans 3" w:eastAsia="Source Sans 3" w:hAnsi="Source Sans 3" w:cs="Source Sans 3"/>
          <w:b/>
          <w:sz w:val="24"/>
          <w:szCs w:val="24"/>
          <w:highlight w:val="white"/>
        </w:rPr>
        <w:t>Introduction:</w:t>
      </w:r>
    </w:p>
    <w:p w14:paraId="64B49495" w14:textId="77777777" w:rsidR="00DC1367" w:rsidRDefault="00000000">
      <w:pPr>
        <w:widowControl w:val="0"/>
        <w:numPr>
          <w:ilvl w:val="0"/>
          <w:numId w:val="1"/>
        </w:numPr>
        <w:spacing w:before="200" w:line="240" w:lineRule="auto"/>
        <w:rPr>
          <w:rFonts w:ascii="Source Sans 3" w:eastAsia="Source Sans 3" w:hAnsi="Source Sans 3" w:cs="Source Sans 3"/>
          <w:sz w:val="24"/>
          <w:szCs w:val="24"/>
          <w:highlight w:val="white"/>
        </w:rPr>
      </w:pPr>
      <w:r>
        <w:rPr>
          <w:rFonts w:ascii="Source Sans 3" w:eastAsia="Source Sans 3" w:hAnsi="Source Sans 3" w:cs="Source Sans 3"/>
          <w:sz w:val="24"/>
          <w:szCs w:val="24"/>
        </w:rPr>
        <w:t xml:space="preserve">We respectfully present this report regarding the adoption of a list of issues prior to reporting on India by the Committee on the Elimination of Discrimination against Women ("the Committee") during its 94th session (27 - 31 October 2025). This report is submitted jointly by Equality Now and Breakthrough and highlights the issue of online sexual exploitation and abuse in India. </w:t>
      </w:r>
    </w:p>
    <w:p w14:paraId="7EB50B5D" w14:textId="77777777" w:rsidR="00DC1367" w:rsidRDefault="00000000">
      <w:pPr>
        <w:widowControl w:val="0"/>
        <w:numPr>
          <w:ilvl w:val="0"/>
          <w:numId w:val="1"/>
        </w:numPr>
        <w:spacing w:before="200" w:line="240" w:lineRule="auto"/>
        <w:rPr>
          <w:rFonts w:ascii="Times New Roman" w:eastAsia="Times New Roman" w:hAnsi="Times New Roman" w:cs="Times New Roman"/>
          <w:sz w:val="24"/>
          <w:szCs w:val="24"/>
        </w:rPr>
      </w:pPr>
      <w:r>
        <w:rPr>
          <w:rFonts w:ascii="Source Sans 3" w:eastAsia="Source Sans 3" w:hAnsi="Source Sans 3" w:cs="Source Sans 3"/>
          <w:b/>
          <w:sz w:val="24"/>
          <w:szCs w:val="24"/>
        </w:rPr>
        <w:t>Equality Now</w:t>
      </w:r>
      <w:r>
        <w:rPr>
          <w:rFonts w:ascii="Source Sans 3" w:eastAsia="Source Sans 3" w:hAnsi="Source Sans 3" w:cs="Source Sans 3"/>
          <w:sz w:val="24"/>
          <w:szCs w:val="24"/>
        </w:rPr>
        <w:t xml:space="preserve"> is a worldwide human rights </w:t>
      </w:r>
      <w:proofErr w:type="spellStart"/>
      <w:r>
        <w:rPr>
          <w:rFonts w:ascii="Source Sans 3" w:eastAsia="Source Sans 3" w:hAnsi="Source Sans 3" w:cs="Source Sans 3"/>
          <w:sz w:val="24"/>
          <w:szCs w:val="24"/>
        </w:rPr>
        <w:t>organisation</w:t>
      </w:r>
      <w:proofErr w:type="spellEnd"/>
      <w:r>
        <w:rPr>
          <w:rFonts w:ascii="Source Sans 3" w:eastAsia="Source Sans 3" w:hAnsi="Source Sans 3" w:cs="Source Sans 3"/>
          <w:sz w:val="24"/>
          <w:szCs w:val="24"/>
        </w:rPr>
        <w:t xml:space="preserve"> dedicated to securing the legal and systemic change needed to end discrimination against all women and girls, everywhere in the world. Since its inception in 1992, it has played a role in reforming 130 discriminatory laws globally, positively impacting the lives of hundreds of millions of women and girls, their communities and nations, both now and for generations to come. Working with partners at national, regional and global levels, Equality Now draws on deep legal expertise and a diverse range of social, political and cultural perspectives to continue to lead the way in steering, shaping and driving the change needed to achieve enduring gender equality, to the benefit of all. </w:t>
      </w:r>
      <w:r>
        <w:rPr>
          <w:rFonts w:ascii="Source Sans 3" w:eastAsia="Source Sans 3" w:hAnsi="Source Sans 3" w:cs="Source Sans 3"/>
          <w:sz w:val="24"/>
          <w:szCs w:val="24"/>
          <w:highlight w:val="white"/>
        </w:rPr>
        <w:t xml:space="preserve"> </w:t>
      </w:r>
    </w:p>
    <w:p w14:paraId="0281FCEE" w14:textId="77777777" w:rsidR="00DC1367" w:rsidRDefault="00000000">
      <w:pPr>
        <w:numPr>
          <w:ilvl w:val="0"/>
          <w:numId w:val="1"/>
        </w:numPr>
        <w:spacing w:before="200" w:line="240" w:lineRule="auto"/>
        <w:rPr>
          <w:rFonts w:ascii="Times New Roman" w:eastAsia="Times New Roman" w:hAnsi="Times New Roman" w:cs="Times New Roman"/>
          <w:sz w:val="24"/>
          <w:szCs w:val="24"/>
          <w:highlight w:val="white"/>
        </w:rPr>
      </w:pPr>
      <w:r>
        <w:rPr>
          <w:rFonts w:ascii="Source Sans 3" w:eastAsia="Source Sans 3" w:hAnsi="Source Sans 3" w:cs="Source Sans 3"/>
          <w:b/>
          <w:sz w:val="24"/>
          <w:szCs w:val="24"/>
        </w:rPr>
        <w:t xml:space="preserve">Breakthrough </w:t>
      </w:r>
      <w:r>
        <w:rPr>
          <w:rFonts w:ascii="Source Sans 3" w:eastAsia="Source Sans 3" w:hAnsi="Source Sans 3" w:cs="Source Sans 3"/>
          <w:sz w:val="24"/>
          <w:szCs w:val="24"/>
        </w:rPr>
        <w:t xml:space="preserve">works on culture change by shifting social norms that limit women and girls from reaching their full potential. We work with adolescents and young people </w:t>
      </w:r>
      <w:r>
        <w:rPr>
          <w:rFonts w:ascii="Source Sans 3" w:eastAsia="Source Sans 3" w:hAnsi="Source Sans 3" w:cs="Source Sans 3"/>
          <w:sz w:val="24"/>
          <w:szCs w:val="24"/>
        </w:rPr>
        <w:lastRenderedPageBreak/>
        <w:t>aged 11-25 years aiming for an entire generation to shift and push for change. Over time, we have worked with nearly 2.3 million adolescents and young people to encourage aspiration, agency, leadership and negotiation through our work in schools and communities. We have also supported them with media tools that shape public narratives. This has resulted in a generation of young people shifting to think and act in confident, intentional ways. Girls are negotiating to stay in school, delaying marriage, exercising choices around life goals, stepping into non-traditional career paths. Boys are stepping up to contribute, support and uphold equal rights for all. This gives hope that a more equal world is possible for future generations.</w:t>
      </w:r>
    </w:p>
    <w:p w14:paraId="4FD0D99A" w14:textId="77777777" w:rsidR="00DC1367" w:rsidRDefault="00000000">
      <w:pPr>
        <w:widowControl w:val="0"/>
        <w:numPr>
          <w:ilvl w:val="0"/>
          <w:numId w:val="1"/>
        </w:numPr>
        <w:spacing w:before="200"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The issues and practices detailed in our report highlight the challenges that women and girls face from online sexual exploitation and abuse. Under Articles 2(f) and 5(a) of the Convention on the Elimination of All Forms of Discrimination against Women (‘the Convention’), and as also further outlined in the Committee’s General Recommendations 14, 19, 31, 33, and 35, India has an obligation to combat violence against women and girls. We urge the Government of India to take measures to prevent and address the issue of online sexual exploitation and abuse. </w:t>
      </w:r>
    </w:p>
    <w:p w14:paraId="1A38CA0F" w14:textId="77777777" w:rsidR="00DC1367" w:rsidRDefault="00000000">
      <w:pPr>
        <w:widowControl w:val="0"/>
        <w:spacing w:before="200" w:line="240" w:lineRule="auto"/>
        <w:rPr>
          <w:rFonts w:ascii="Source Sans 3" w:eastAsia="Source Sans 3" w:hAnsi="Source Sans 3" w:cs="Source Sans 3"/>
          <w:sz w:val="24"/>
          <w:szCs w:val="24"/>
        </w:rPr>
      </w:pPr>
      <w:r>
        <w:rPr>
          <w:rFonts w:ascii="Source Sans 3" w:eastAsia="Source Sans 3" w:hAnsi="Source Sans 3" w:cs="Source Sans 3"/>
          <w:b/>
          <w:sz w:val="24"/>
          <w:szCs w:val="24"/>
        </w:rPr>
        <w:t>Online Sexual Exploitation and Abuse</w:t>
      </w:r>
    </w:p>
    <w:p w14:paraId="0FAC5527" w14:textId="77777777" w:rsidR="00DC1367" w:rsidRDefault="00000000">
      <w:pPr>
        <w:numPr>
          <w:ilvl w:val="0"/>
          <w:numId w:val="1"/>
        </w:numPr>
        <w:spacing w:before="240" w:after="240"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A significant number of girls, women, and </w:t>
      </w:r>
      <w:proofErr w:type="spellStart"/>
      <w:r>
        <w:rPr>
          <w:rFonts w:ascii="Source Sans 3" w:eastAsia="Source Sans 3" w:hAnsi="Source Sans 3" w:cs="Source Sans 3"/>
          <w:sz w:val="24"/>
          <w:szCs w:val="24"/>
        </w:rPr>
        <w:t>marginalised</w:t>
      </w:r>
      <w:proofErr w:type="spellEnd"/>
      <w:r>
        <w:rPr>
          <w:rFonts w:ascii="Source Sans 3" w:eastAsia="Source Sans 3" w:hAnsi="Source Sans 3" w:cs="Source Sans 3"/>
          <w:sz w:val="24"/>
          <w:szCs w:val="24"/>
        </w:rPr>
        <w:t xml:space="preserve"> communities experience technology facilitated </w:t>
      </w:r>
      <w:proofErr w:type="gramStart"/>
      <w:r>
        <w:rPr>
          <w:rFonts w:ascii="Source Sans 3" w:eastAsia="Source Sans 3" w:hAnsi="Source Sans 3" w:cs="Source Sans 3"/>
          <w:sz w:val="24"/>
          <w:szCs w:val="24"/>
        </w:rPr>
        <w:t>gender based</w:t>
      </w:r>
      <w:proofErr w:type="gramEnd"/>
      <w:r>
        <w:rPr>
          <w:rFonts w:ascii="Source Sans 3" w:eastAsia="Source Sans 3" w:hAnsi="Source Sans 3" w:cs="Source Sans 3"/>
          <w:sz w:val="24"/>
          <w:szCs w:val="24"/>
        </w:rPr>
        <w:t xml:space="preserve"> violence (TFGBV), especially doxing, cyberbullying, cyberstalking, non-consensual intimate image sharing and distribution, amongst other forms, even if they are not active online or have limited access to the digital space. This reality was highlighted further in a study ‘</w:t>
      </w:r>
      <w:r>
        <w:rPr>
          <w:rFonts w:ascii="Source Sans 3" w:eastAsia="Source Sans 3" w:hAnsi="Source Sans 3" w:cs="Source Sans 3"/>
          <w:i/>
          <w:sz w:val="24"/>
          <w:szCs w:val="24"/>
        </w:rPr>
        <w:t xml:space="preserve">Experiencing Technology-facilitated </w:t>
      </w:r>
      <w:proofErr w:type="gramStart"/>
      <w:r>
        <w:rPr>
          <w:rFonts w:ascii="Source Sans 3" w:eastAsia="Source Sans 3" w:hAnsi="Source Sans 3" w:cs="Source Sans 3"/>
          <w:i/>
          <w:sz w:val="24"/>
          <w:szCs w:val="24"/>
        </w:rPr>
        <w:t>gender based</w:t>
      </w:r>
      <w:proofErr w:type="gramEnd"/>
      <w:r>
        <w:rPr>
          <w:rFonts w:ascii="Source Sans 3" w:eastAsia="Source Sans 3" w:hAnsi="Source Sans 3" w:cs="Source Sans 3"/>
          <w:i/>
          <w:sz w:val="24"/>
          <w:szCs w:val="24"/>
        </w:rPr>
        <w:t xml:space="preserve"> violence: Survivor Narratives and Legal Responses’ </w:t>
      </w:r>
      <w:r>
        <w:rPr>
          <w:rFonts w:ascii="Source Sans 3" w:eastAsia="Source Sans 3" w:hAnsi="Source Sans 3" w:cs="Source Sans 3"/>
          <w:sz w:val="24"/>
          <w:szCs w:val="24"/>
        </w:rPr>
        <w:t xml:space="preserve">based on the experiences of survivors, which Breakthrough and Equality Now undertook and are in the process of </w:t>
      </w:r>
      <w:proofErr w:type="spellStart"/>
      <w:r>
        <w:rPr>
          <w:rFonts w:ascii="Source Sans 3" w:eastAsia="Source Sans 3" w:hAnsi="Source Sans 3" w:cs="Source Sans 3"/>
          <w:sz w:val="24"/>
          <w:szCs w:val="24"/>
        </w:rPr>
        <w:t>finalising</w:t>
      </w:r>
      <w:proofErr w:type="spellEnd"/>
      <w:r>
        <w:rPr>
          <w:rFonts w:ascii="Source Sans 3" w:eastAsia="Source Sans 3" w:hAnsi="Source Sans 3" w:cs="Source Sans 3"/>
          <w:sz w:val="24"/>
          <w:szCs w:val="24"/>
        </w:rPr>
        <w:t xml:space="preserve"> the report. </w:t>
      </w:r>
    </w:p>
    <w:p w14:paraId="614B7961" w14:textId="77777777" w:rsidR="00DC1367" w:rsidRDefault="00000000">
      <w:pPr>
        <w:numPr>
          <w:ilvl w:val="0"/>
          <w:numId w:val="1"/>
        </w:numPr>
        <w:spacing w:before="240" w:after="240" w:line="240" w:lineRule="auto"/>
        <w:rPr>
          <w:rFonts w:ascii="Source Sans 3" w:eastAsia="Source Sans 3" w:hAnsi="Source Sans 3" w:cs="Source Sans 3"/>
          <w:sz w:val="24"/>
          <w:szCs w:val="24"/>
        </w:rPr>
      </w:pPr>
      <w:r>
        <w:rPr>
          <w:rFonts w:ascii="Source Sans 3" w:eastAsia="Source Sans 3" w:hAnsi="Source Sans 3" w:cs="Source Sans 3"/>
          <w:sz w:val="24"/>
          <w:szCs w:val="24"/>
        </w:rPr>
        <w:t>The Ministry of Home Affairs established the Indian Cyber Crime Coordination Centre (I4C)</w:t>
      </w:r>
      <w:r>
        <w:rPr>
          <w:rFonts w:ascii="Source Sans 3" w:eastAsia="Source Sans 3" w:hAnsi="Source Sans 3" w:cs="Source Sans 3"/>
          <w:sz w:val="24"/>
          <w:szCs w:val="24"/>
          <w:vertAlign w:val="superscript"/>
        </w:rPr>
        <w:footnoteReference w:id="1"/>
      </w:r>
      <w:r>
        <w:rPr>
          <w:rFonts w:ascii="Source Sans 3" w:eastAsia="Source Sans 3" w:hAnsi="Source Sans 3" w:cs="Source Sans 3"/>
          <w:sz w:val="24"/>
          <w:szCs w:val="24"/>
        </w:rPr>
        <w:t xml:space="preserve"> as a nodal </w:t>
      </w:r>
      <w:proofErr w:type="spellStart"/>
      <w:r>
        <w:rPr>
          <w:rFonts w:ascii="Source Sans 3" w:eastAsia="Source Sans 3" w:hAnsi="Source Sans 3" w:cs="Source Sans 3"/>
          <w:sz w:val="24"/>
          <w:szCs w:val="24"/>
        </w:rPr>
        <w:t>centre</w:t>
      </w:r>
      <w:proofErr w:type="spellEnd"/>
      <w:r>
        <w:rPr>
          <w:rFonts w:ascii="Source Sans 3" w:eastAsia="Source Sans 3" w:hAnsi="Source Sans 3" w:cs="Source Sans 3"/>
          <w:sz w:val="24"/>
          <w:szCs w:val="24"/>
        </w:rPr>
        <w:t xml:space="preserve"> at the national level to deal with </w:t>
      </w:r>
      <w:proofErr w:type="spellStart"/>
      <w:r>
        <w:rPr>
          <w:rFonts w:ascii="Source Sans 3" w:eastAsia="Source Sans 3" w:hAnsi="Source Sans 3" w:cs="Source Sans 3"/>
          <w:sz w:val="24"/>
          <w:szCs w:val="24"/>
        </w:rPr>
        <w:t>cyber crimes</w:t>
      </w:r>
      <w:proofErr w:type="spellEnd"/>
      <w:r>
        <w:rPr>
          <w:rFonts w:ascii="Source Sans 3" w:eastAsia="Source Sans 3" w:hAnsi="Source Sans 3" w:cs="Source Sans 3"/>
          <w:sz w:val="24"/>
          <w:szCs w:val="24"/>
        </w:rPr>
        <w:t xml:space="preserve"> in a coordinated and comprehensive manner. Following this, the Government also set up the </w:t>
      </w:r>
      <w:hyperlink r:id="rId10">
        <w:r>
          <w:rPr>
            <w:rFonts w:ascii="Source Sans 3" w:eastAsia="Source Sans 3" w:hAnsi="Source Sans 3" w:cs="Source Sans 3"/>
            <w:color w:val="467886"/>
            <w:sz w:val="24"/>
            <w:szCs w:val="24"/>
            <w:u w:val="single"/>
          </w:rPr>
          <w:t>National Cybercrime Reporting Portal</w:t>
        </w:r>
      </w:hyperlink>
      <w:r>
        <w:rPr>
          <w:rFonts w:ascii="Source Sans 3" w:eastAsia="Source Sans 3" w:hAnsi="Source Sans 3" w:cs="Source Sans 3"/>
          <w:sz w:val="24"/>
          <w:szCs w:val="24"/>
        </w:rPr>
        <w:t xml:space="preserve"> as a part of this ecosystem. Cybercrimes, as defined in the Portal, may generally be defined as “Any unlawful act where a computer or communication device or computer network is used to commit or facilitate the commission of a crime.” There are 24 categories along with indicative explanations listed under Cybercrimes, </w:t>
      </w:r>
      <w:proofErr w:type="gramStart"/>
      <w:r>
        <w:rPr>
          <w:rFonts w:ascii="Source Sans 3" w:eastAsia="Source Sans 3" w:hAnsi="Source Sans 3" w:cs="Source Sans 3"/>
          <w:sz w:val="24"/>
          <w:szCs w:val="24"/>
        </w:rPr>
        <w:t>including  Child</w:t>
      </w:r>
      <w:proofErr w:type="gramEnd"/>
      <w:r>
        <w:rPr>
          <w:rFonts w:ascii="Source Sans 3" w:eastAsia="Source Sans 3" w:hAnsi="Source Sans 3" w:cs="Source Sans 3"/>
          <w:sz w:val="24"/>
          <w:szCs w:val="24"/>
        </w:rPr>
        <w:t xml:space="preserve"> Pornography/ Child sexually abusive </w:t>
      </w:r>
      <w:r>
        <w:rPr>
          <w:rFonts w:ascii="Source Sans 3" w:eastAsia="Source Sans 3" w:hAnsi="Source Sans 3" w:cs="Source Sans 3"/>
          <w:sz w:val="24"/>
          <w:szCs w:val="24"/>
        </w:rPr>
        <w:lastRenderedPageBreak/>
        <w:t>material (CSAM),</w:t>
      </w:r>
      <w:r>
        <w:rPr>
          <w:rFonts w:ascii="Source Sans 3" w:eastAsia="Source Sans 3" w:hAnsi="Source Sans 3" w:cs="Source Sans 3"/>
          <w:sz w:val="24"/>
          <w:szCs w:val="24"/>
          <w:vertAlign w:val="superscript"/>
        </w:rPr>
        <w:footnoteReference w:id="2"/>
      </w:r>
      <w:r>
        <w:rPr>
          <w:rFonts w:ascii="Source Sans 3" w:eastAsia="Source Sans 3" w:hAnsi="Source Sans 3" w:cs="Source Sans 3"/>
          <w:sz w:val="24"/>
          <w:szCs w:val="24"/>
        </w:rPr>
        <w:t xml:space="preserve"> Cyber Bullying,</w:t>
      </w:r>
      <w:r>
        <w:rPr>
          <w:rFonts w:ascii="Source Sans 3" w:eastAsia="Source Sans 3" w:hAnsi="Source Sans 3" w:cs="Source Sans 3"/>
          <w:sz w:val="24"/>
          <w:szCs w:val="24"/>
          <w:vertAlign w:val="superscript"/>
        </w:rPr>
        <w:footnoteReference w:id="3"/>
      </w:r>
      <w:r>
        <w:rPr>
          <w:rFonts w:ascii="Source Sans 3" w:eastAsia="Source Sans 3" w:hAnsi="Source Sans 3" w:cs="Source Sans 3"/>
          <w:sz w:val="24"/>
          <w:szCs w:val="24"/>
        </w:rPr>
        <w:t xml:space="preserve"> Cyber Stalking, Cyber Grooming</w:t>
      </w:r>
      <w:r>
        <w:rPr>
          <w:rFonts w:ascii="Source Sans 3" w:eastAsia="Source Sans 3" w:hAnsi="Source Sans 3" w:cs="Source Sans 3"/>
          <w:sz w:val="24"/>
          <w:szCs w:val="24"/>
          <w:vertAlign w:val="superscript"/>
        </w:rPr>
        <w:footnoteReference w:id="4"/>
      </w:r>
      <w:r>
        <w:rPr>
          <w:rFonts w:ascii="Source Sans 3" w:eastAsia="Source Sans 3" w:hAnsi="Source Sans 3" w:cs="Source Sans 3"/>
          <w:sz w:val="24"/>
          <w:szCs w:val="24"/>
        </w:rPr>
        <w:t xml:space="preserve"> and Online Sextortion.</w:t>
      </w:r>
      <w:r>
        <w:rPr>
          <w:rFonts w:ascii="Source Sans 3" w:eastAsia="Source Sans 3" w:hAnsi="Source Sans 3" w:cs="Source Sans 3"/>
          <w:sz w:val="24"/>
          <w:szCs w:val="24"/>
          <w:vertAlign w:val="superscript"/>
        </w:rPr>
        <w:footnoteReference w:id="5"/>
      </w:r>
      <w:r>
        <w:rPr>
          <w:rFonts w:ascii="Source Sans 3" w:eastAsia="Source Sans 3" w:hAnsi="Source Sans 3" w:cs="Source Sans 3"/>
          <w:sz w:val="24"/>
          <w:szCs w:val="24"/>
        </w:rPr>
        <w:t xml:space="preserve"> </w:t>
      </w:r>
    </w:p>
    <w:p w14:paraId="277C71A1" w14:textId="77777777" w:rsidR="00DC1367" w:rsidRDefault="00000000">
      <w:pPr>
        <w:numPr>
          <w:ilvl w:val="0"/>
          <w:numId w:val="1"/>
        </w:numPr>
        <w:spacing w:before="240" w:after="240"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 Cybercrimes can be reported through this portal, with a separate user interface/space for reporting crimes against women and children. The Portal also runs a national cybercrime helpline 1930 as part of its initiatives. Complaints can be made on the portal either anonymously or with the complainant’s identifying details, in cases of crimes against women and children. Complaints filed can also be tracked online. However, many lawyers report that the tracking system is non-functional and there have been reported issues regarding the lack of transparency and updated information in terms of the mechanisms of this process. Further, anecdotal data collected by the authors of the submission indicate that very few people are aware of the </w:t>
      </w:r>
      <w:proofErr w:type="gramStart"/>
      <w:r>
        <w:rPr>
          <w:rFonts w:ascii="Source Sans 3" w:eastAsia="Source Sans 3" w:hAnsi="Source Sans 3" w:cs="Source Sans 3"/>
          <w:sz w:val="24"/>
          <w:szCs w:val="24"/>
        </w:rPr>
        <w:t>portal</w:t>
      </w:r>
      <w:proofErr w:type="gramEnd"/>
      <w:r>
        <w:rPr>
          <w:rFonts w:ascii="Source Sans 3" w:eastAsia="Source Sans 3" w:hAnsi="Source Sans 3" w:cs="Source Sans 3"/>
          <w:sz w:val="24"/>
          <w:szCs w:val="24"/>
        </w:rPr>
        <w:t xml:space="preserve"> and its use is largely limited to those with some understanding of technology and digital platforms. If data is collected as to the types and nature of complaints received by the Portal, this is not entirely publicly accessible or easy to access.</w:t>
      </w:r>
      <w:r>
        <w:rPr>
          <w:rFonts w:ascii="Source Sans 3" w:eastAsia="Source Sans 3" w:hAnsi="Source Sans 3" w:cs="Source Sans 3"/>
          <w:sz w:val="24"/>
          <w:szCs w:val="24"/>
          <w:vertAlign w:val="superscript"/>
        </w:rPr>
        <w:footnoteReference w:id="6"/>
      </w:r>
      <w:r>
        <w:rPr>
          <w:rFonts w:ascii="Source Sans 3" w:eastAsia="Source Sans 3" w:hAnsi="Source Sans 3" w:cs="Source Sans 3"/>
          <w:sz w:val="24"/>
          <w:szCs w:val="24"/>
        </w:rPr>
        <w:t xml:space="preserve"> </w:t>
      </w:r>
    </w:p>
    <w:p w14:paraId="6C1FFCD6" w14:textId="77777777" w:rsidR="00DC1367" w:rsidRDefault="00000000">
      <w:pPr>
        <w:numPr>
          <w:ilvl w:val="0"/>
          <w:numId w:val="1"/>
        </w:numPr>
        <w:spacing w:before="240" w:after="240"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In 2016, in partnership with the Ministry of Women and Child Development, the Ministry of Home Affairs developed the Scheme for Cybercrimes Prevention against Women and Children. This initiative includes an online reporting </w:t>
      </w:r>
      <w:proofErr w:type="spellStart"/>
      <w:r>
        <w:rPr>
          <w:rFonts w:ascii="Source Sans 3" w:eastAsia="Source Sans 3" w:hAnsi="Source Sans 3" w:cs="Source Sans 3"/>
          <w:sz w:val="24"/>
          <w:szCs w:val="24"/>
        </w:rPr>
        <w:t>programme</w:t>
      </w:r>
      <w:proofErr w:type="spellEnd"/>
      <w:r>
        <w:rPr>
          <w:rFonts w:ascii="Source Sans 3" w:eastAsia="Source Sans 3" w:hAnsi="Source Sans 3" w:cs="Source Sans 3"/>
          <w:sz w:val="24"/>
          <w:szCs w:val="24"/>
        </w:rPr>
        <w:t xml:space="preserve"> for </w:t>
      </w:r>
      <w:r>
        <w:rPr>
          <w:rFonts w:ascii="Source Sans 3" w:eastAsia="Source Sans 3" w:hAnsi="Source Sans 3" w:cs="Source Sans 3"/>
          <w:sz w:val="24"/>
          <w:szCs w:val="24"/>
        </w:rPr>
        <w:lastRenderedPageBreak/>
        <w:t>addressing and resolving cybercrimes, sanctions for a forensic unit, a capacity-building unit to assist and improve law enforcement responses, a research and development unit to enhance technology, and an awareness creation unit to disseminate education and awareness campaigns.</w:t>
      </w:r>
      <w:r>
        <w:rPr>
          <w:rFonts w:ascii="Source Sans 3" w:eastAsia="Source Sans 3" w:hAnsi="Source Sans 3" w:cs="Source Sans 3"/>
          <w:sz w:val="24"/>
          <w:szCs w:val="24"/>
          <w:vertAlign w:val="superscript"/>
        </w:rPr>
        <w:footnoteReference w:id="7"/>
      </w:r>
    </w:p>
    <w:p w14:paraId="2233854C" w14:textId="77777777" w:rsidR="00DC1367" w:rsidRDefault="00000000">
      <w:pPr>
        <w:numPr>
          <w:ilvl w:val="0"/>
          <w:numId w:val="1"/>
        </w:numPr>
        <w:spacing w:before="240" w:after="240" w:line="240" w:lineRule="auto"/>
        <w:rPr>
          <w:rFonts w:ascii="Source Sans 3" w:eastAsia="Source Sans 3" w:hAnsi="Source Sans 3" w:cs="Source Sans 3"/>
          <w:sz w:val="24"/>
          <w:szCs w:val="24"/>
        </w:rPr>
      </w:pPr>
      <w:r>
        <w:rPr>
          <w:rFonts w:ascii="Source Sans 3" w:eastAsia="Source Sans 3" w:hAnsi="Source Sans 3" w:cs="Source Sans 3"/>
          <w:sz w:val="24"/>
          <w:szCs w:val="24"/>
        </w:rPr>
        <w:t>While courts have also been established in various districts to specifically deal with cybercrimes of all kinds, including online fraud, intellectual property-related crimes, etc., these do not necessarily deal with cases of TFGBV.</w:t>
      </w:r>
      <w:r>
        <w:rPr>
          <w:rFonts w:ascii="Source Sans 3" w:eastAsia="Source Sans 3" w:hAnsi="Source Sans 3" w:cs="Source Sans 3"/>
          <w:sz w:val="24"/>
          <w:szCs w:val="24"/>
          <w:vertAlign w:val="superscript"/>
        </w:rPr>
        <w:footnoteReference w:id="8"/>
      </w:r>
      <w:r>
        <w:rPr>
          <w:rFonts w:ascii="Source Sans 3" w:eastAsia="Source Sans 3" w:hAnsi="Source Sans 3" w:cs="Source Sans 3"/>
          <w:sz w:val="24"/>
          <w:szCs w:val="24"/>
        </w:rPr>
        <w:t xml:space="preserve"> Some states have made efforts to address TFGBV </w:t>
      </w:r>
      <w:proofErr w:type="spellStart"/>
      <w:r>
        <w:rPr>
          <w:rFonts w:ascii="Source Sans 3" w:eastAsia="Source Sans 3" w:hAnsi="Source Sans 3" w:cs="Source Sans 3"/>
          <w:sz w:val="24"/>
          <w:szCs w:val="24"/>
        </w:rPr>
        <w:t>utilising</w:t>
      </w:r>
      <w:proofErr w:type="spellEnd"/>
      <w:r>
        <w:rPr>
          <w:rFonts w:ascii="Source Sans 3" w:eastAsia="Source Sans 3" w:hAnsi="Source Sans 3" w:cs="Source Sans 3"/>
          <w:sz w:val="24"/>
          <w:szCs w:val="24"/>
        </w:rPr>
        <w:t xml:space="preserve"> funds under the Nirbhaya Fund for Safe Cities.</w:t>
      </w:r>
      <w:r>
        <w:rPr>
          <w:rFonts w:ascii="Source Sans 3" w:eastAsia="Source Sans 3" w:hAnsi="Source Sans 3" w:cs="Source Sans 3"/>
          <w:sz w:val="24"/>
          <w:szCs w:val="24"/>
          <w:vertAlign w:val="superscript"/>
        </w:rPr>
        <w:footnoteReference w:id="9"/>
      </w:r>
    </w:p>
    <w:p w14:paraId="2D8D6923" w14:textId="77777777" w:rsidR="00DC1367" w:rsidRDefault="00000000">
      <w:pPr>
        <w:numPr>
          <w:ilvl w:val="0"/>
          <w:numId w:val="1"/>
        </w:numPr>
        <w:spacing w:before="240" w:after="240"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As per the </w:t>
      </w:r>
      <w:proofErr w:type="spellStart"/>
      <w:r>
        <w:rPr>
          <w:rFonts w:ascii="Source Sans 3" w:eastAsia="Source Sans 3" w:hAnsi="Source Sans 3" w:cs="Source Sans 3"/>
          <w:sz w:val="24"/>
          <w:szCs w:val="24"/>
        </w:rPr>
        <w:t>Bharatiya</w:t>
      </w:r>
      <w:proofErr w:type="spellEnd"/>
      <w:r>
        <w:rPr>
          <w:rFonts w:ascii="Source Sans 3" w:eastAsia="Source Sans 3" w:hAnsi="Source Sans 3" w:cs="Source Sans 3"/>
          <w:sz w:val="24"/>
          <w:szCs w:val="24"/>
        </w:rPr>
        <w:t xml:space="preserve"> Nagarik Suraksha Sanhita (BNSS), which has replaced the erstwhile Code of Criminal Procedure, 1973 (CrPC), a crime can be reported to any police station or by calling the Police Control Room number (100). The police cannot refuse to register a First Information Report (FIR) on the grounds of jurisdiction, and the police are duty-bound to register the complaint in the form of a Zero FIR.</w:t>
      </w:r>
      <w:r>
        <w:rPr>
          <w:sz w:val="20"/>
          <w:szCs w:val="20"/>
        </w:rPr>
        <w:t xml:space="preserve"> </w:t>
      </w:r>
      <w:r>
        <w:rPr>
          <w:rFonts w:ascii="Source Sans 3" w:eastAsia="Source Sans 3" w:hAnsi="Source Sans 3" w:cs="Source Sans 3"/>
          <w:sz w:val="24"/>
          <w:szCs w:val="24"/>
        </w:rPr>
        <w:t xml:space="preserve">However, in terms of law, there is no separate treatment of TFGBV and other types of GBV at this stage or any stage of a criminal case. The BNSS sets out procedures that the police and courts must follow in proceedings of a criminal case. It makes minor changes to the criminal procedure by providing that a complainant may not have to go to the police station to report an offence. It also mandates that a female police officer record complaints under Section 75, BNS (Sexual Harassment). However, these changes minimally impact the process of initiating a criminal complaint. While more options to pursue matters online are great initiatives for survivors to secure justice, the modalities of these provisions need to be advertised better, and substantially strengthened, considering the gender digital divide and low digital literacy levels in the country. </w:t>
      </w:r>
    </w:p>
    <w:p w14:paraId="250723DB" w14:textId="77777777" w:rsidR="00DC1367" w:rsidRDefault="00000000">
      <w:pPr>
        <w:numPr>
          <w:ilvl w:val="0"/>
          <w:numId w:val="1"/>
        </w:numPr>
        <w:spacing w:before="240" w:after="240"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Often, there is a need to use clauses from the Information Technology (IT) Act in conjunction with laws such as the Scheduled Caste/Scheduled Tribes (SC/ST) Atrocities Act and relevant sections from the criminal code </w:t>
      </w:r>
      <w:proofErr w:type="spellStart"/>
      <w:r>
        <w:rPr>
          <w:rFonts w:ascii="Source Sans 3" w:eastAsia="Source Sans 3" w:hAnsi="Source Sans 3" w:cs="Source Sans 3"/>
          <w:sz w:val="24"/>
          <w:szCs w:val="24"/>
        </w:rPr>
        <w:t>Bharatiya</w:t>
      </w:r>
      <w:proofErr w:type="spellEnd"/>
      <w:r>
        <w:rPr>
          <w:rFonts w:ascii="Source Sans 3" w:eastAsia="Source Sans 3" w:hAnsi="Source Sans 3" w:cs="Source Sans 3"/>
          <w:sz w:val="24"/>
          <w:szCs w:val="24"/>
        </w:rPr>
        <w:t xml:space="preserve"> Nyaya Sanhita (BNS) to strengthen cases. The current legal landscape is not adequately equipped to explicitly deal with all TFGBV cases and requires lawyers to be exceptionally savvy in devising intrinsic legal solutions to help their most vulnerable clients access justice. </w:t>
      </w:r>
      <w:r>
        <w:rPr>
          <w:rFonts w:ascii="Source Sans 3" w:eastAsia="Source Sans 3" w:hAnsi="Source Sans 3" w:cs="Source Sans 3"/>
          <w:sz w:val="24"/>
          <w:szCs w:val="24"/>
        </w:rPr>
        <w:lastRenderedPageBreak/>
        <w:t>Further, the quashing of Section 66A of the IT Act</w:t>
      </w:r>
      <w:r>
        <w:rPr>
          <w:rFonts w:ascii="Source Sans 3" w:eastAsia="Source Sans 3" w:hAnsi="Source Sans 3" w:cs="Source Sans 3"/>
          <w:sz w:val="24"/>
          <w:szCs w:val="24"/>
          <w:vertAlign w:val="superscript"/>
        </w:rPr>
        <w:footnoteReference w:id="10"/>
      </w:r>
      <w:r>
        <w:rPr>
          <w:rFonts w:ascii="Source Sans 3" w:eastAsia="Source Sans 3" w:hAnsi="Source Sans 3" w:cs="Source Sans 3"/>
          <w:sz w:val="24"/>
          <w:szCs w:val="24"/>
        </w:rPr>
        <w:t xml:space="preserve"> has left a critical gap in the legal landscape. While the rationale for striking down this section on grounds of upholding free speech is well established, there is a need to work towards filling this gap to address the specific ways TFGBV is perpetrated.</w:t>
      </w:r>
    </w:p>
    <w:p w14:paraId="1DF74E9E" w14:textId="77777777" w:rsidR="00DC1367" w:rsidRDefault="00000000">
      <w:pPr>
        <w:numPr>
          <w:ilvl w:val="0"/>
          <w:numId w:val="1"/>
        </w:numPr>
        <w:spacing w:before="240" w:after="240"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Obtaining information from technology platforms and companies regarding TFGBV cases is a challenge. Indian courts have, in the past directed technology platforms and companies to remove access to rape and child sexual abuse material from their platforms. The court also directed these intermediaries to </w:t>
      </w:r>
      <w:proofErr w:type="spellStart"/>
      <w:r>
        <w:rPr>
          <w:rFonts w:ascii="Source Sans 3" w:eastAsia="Source Sans 3" w:hAnsi="Source Sans 3" w:cs="Source Sans 3"/>
          <w:sz w:val="24"/>
          <w:szCs w:val="24"/>
        </w:rPr>
        <w:t>utilise</w:t>
      </w:r>
      <w:proofErr w:type="spellEnd"/>
      <w:r>
        <w:rPr>
          <w:rFonts w:ascii="Source Sans 3" w:eastAsia="Source Sans 3" w:hAnsi="Source Sans 3" w:cs="Source Sans 3"/>
          <w:sz w:val="24"/>
          <w:szCs w:val="24"/>
        </w:rPr>
        <w:t xml:space="preserve"> AI systems to screen and delete content at the point of uploading, if it contained rape or child sexual abuse material.</w:t>
      </w:r>
      <w:r>
        <w:rPr>
          <w:rFonts w:ascii="Source Sans 3" w:eastAsia="Source Sans 3" w:hAnsi="Source Sans 3" w:cs="Source Sans 3"/>
          <w:sz w:val="24"/>
          <w:szCs w:val="24"/>
          <w:vertAlign w:val="superscript"/>
        </w:rPr>
        <w:footnoteReference w:id="11"/>
      </w:r>
      <w:r>
        <w:rPr>
          <w:rFonts w:ascii="Source Sans 3" w:eastAsia="Source Sans 3" w:hAnsi="Source Sans 3" w:cs="Source Sans 3"/>
          <w:sz w:val="24"/>
          <w:szCs w:val="24"/>
        </w:rPr>
        <w:t xml:space="preserve"> </w:t>
      </w:r>
    </w:p>
    <w:p w14:paraId="338FD6DF" w14:textId="77777777" w:rsidR="00DC1367" w:rsidRDefault="00000000">
      <w:pPr>
        <w:numPr>
          <w:ilvl w:val="0"/>
          <w:numId w:val="1"/>
        </w:numPr>
        <w:spacing w:before="240" w:after="240"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According to the Breakthrough and Equality Now study, women are systematically targeted owing to vulnerabilities such as financial distress and a lack of or limited family and social support. While the form of TFGBV did not seem to be determined by the survivor’s identity, in cases where survivors belonged to </w:t>
      </w:r>
      <w:proofErr w:type="spellStart"/>
      <w:r>
        <w:rPr>
          <w:rFonts w:ascii="Source Sans 3" w:eastAsia="Source Sans 3" w:hAnsi="Source Sans 3" w:cs="Source Sans 3"/>
          <w:sz w:val="24"/>
          <w:szCs w:val="24"/>
        </w:rPr>
        <w:t>marginalised</w:t>
      </w:r>
      <w:proofErr w:type="spellEnd"/>
      <w:r>
        <w:rPr>
          <w:rFonts w:ascii="Source Sans 3" w:eastAsia="Source Sans 3" w:hAnsi="Source Sans 3" w:cs="Source Sans 3"/>
          <w:sz w:val="24"/>
          <w:szCs w:val="24"/>
        </w:rPr>
        <w:t xml:space="preserve"> communities such as Scheduled Castes (SC) or Scheduled Tribes (ST), the violence they faced was rooted at the intersection of their gender identity with their caste or tribal identity. </w:t>
      </w:r>
    </w:p>
    <w:p w14:paraId="3032E9D3" w14:textId="77777777" w:rsidR="00DC1367" w:rsidRDefault="00000000">
      <w:pPr>
        <w:numPr>
          <w:ilvl w:val="0"/>
          <w:numId w:val="1"/>
        </w:numPr>
        <w:spacing w:before="240" w:after="240" w:line="240" w:lineRule="auto"/>
        <w:rPr>
          <w:rFonts w:ascii="Source Sans 3" w:eastAsia="Source Sans 3" w:hAnsi="Source Sans 3" w:cs="Source Sans 3"/>
          <w:sz w:val="24"/>
          <w:szCs w:val="24"/>
        </w:rPr>
      </w:pPr>
      <w:r>
        <w:rPr>
          <w:rFonts w:ascii="Source Sans 3" w:eastAsia="Source Sans 3" w:hAnsi="Source Sans 3" w:cs="Source Sans 3"/>
          <w:sz w:val="24"/>
          <w:szCs w:val="24"/>
        </w:rPr>
        <w:t>The findings also highlight the role of the survivor’s social, financial, and cultural privilege in responding to TFGBV, whether in terms of survivors’ capacity to explore alternative redressal mechanisms outside of the legal system or whether to engage with the Indian legal system. Hesitation in filing and pursuing formal police complaints was a common thread across interviews with survivors and experts. The substantial time taken by the legal system, systemic apathy, ignorance, and lack of resources emerged as key factors hindering survivors from approaching the Indian legal system. The same regressive gender norms that detrimentally impact women and gender diverse people offline are reflected in the attitudes of those tasked with the job of helping TFGBV survivors. As expressed to the report’s authors, many survivors shared that instead of opening an investigation to determine the perpetrator, they were often advised by the police to delete their account or withdraw from the digital space altogether.</w:t>
      </w:r>
    </w:p>
    <w:p w14:paraId="2C412210" w14:textId="77777777" w:rsidR="00DC1367" w:rsidRDefault="00000000">
      <w:pPr>
        <w:numPr>
          <w:ilvl w:val="0"/>
          <w:numId w:val="1"/>
        </w:numPr>
        <w:spacing w:before="240" w:after="240" w:line="240" w:lineRule="auto"/>
        <w:rPr>
          <w:rFonts w:ascii="Source Sans 3" w:eastAsia="Source Sans 3" w:hAnsi="Source Sans 3" w:cs="Source Sans 3"/>
          <w:sz w:val="24"/>
          <w:szCs w:val="24"/>
        </w:rPr>
      </w:pPr>
      <w:r>
        <w:rPr>
          <w:rFonts w:ascii="Source Sans 3" w:eastAsia="Source Sans 3" w:hAnsi="Source Sans 3" w:cs="Source Sans 3"/>
          <w:sz w:val="24"/>
          <w:szCs w:val="24"/>
        </w:rPr>
        <w:lastRenderedPageBreak/>
        <w:t xml:space="preserve">Moreover, there is an unspoken gradation of </w:t>
      </w:r>
      <w:proofErr w:type="spellStart"/>
      <w:r>
        <w:rPr>
          <w:rFonts w:ascii="Source Sans 3" w:eastAsia="Source Sans 3" w:hAnsi="Source Sans 3" w:cs="Source Sans 3"/>
          <w:sz w:val="24"/>
          <w:szCs w:val="24"/>
        </w:rPr>
        <w:t>cyber crimes</w:t>
      </w:r>
      <w:proofErr w:type="spellEnd"/>
      <w:r>
        <w:rPr>
          <w:rFonts w:ascii="Source Sans 3" w:eastAsia="Source Sans 3" w:hAnsi="Source Sans 3" w:cs="Source Sans 3"/>
          <w:sz w:val="24"/>
          <w:szCs w:val="24"/>
        </w:rPr>
        <w:t xml:space="preserve"> amongst law enforcement personnel, whereby financial fraud is taken most seriously and more widely understood. </w:t>
      </w:r>
      <w:r>
        <w:rPr>
          <w:rFonts w:ascii="Source Sans 3" w:eastAsia="Source Sans 3" w:hAnsi="Source Sans 3" w:cs="Source Sans 3"/>
          <w:color w:val="444746"/>
          <w:sz w:val="24"/>
          <w:szCs w:val="24"/>
        </w:rPr>
        <w:t>The government has led extensive public interest information campaigns, even in regional languages, to generate awareness around financial digital fraud and digital arrest. It is vital that similar large-scale awareness campaigns are undertaken to build understanding of diverse forms of TFGBV and its lasting impact to strengthen preventive measures to tackle the issue.</w:t>
      </w:r>
      <w:r>
        <w:rPr>
          <w:rFonts w:ascii="Source Sans 3" w:eastAsia="Source Sans 3" w:hAnsi="Source Sans 3" w:cs="Source Sans 3"/>
          <w:sz w:val="24"/>
          <w:szCs w:val="24"/>
        </w:rPr>
        <w:t xml:space="preserve"> Further, a survivor's own social location, financial and legal resources, as well as support mechanisms at their disposal, determine whether a survivor pursues the legal route. </w:t>
      </w:r>
    </w:p>
    <w:p w14:paraId="59C4948E" w14:textId="77777777" w:rsidR="00DC1367" w:rsidRDefault="00000000">
      <w:pPr>
        <w:numPr>
          <w:ilvl w:val="0"/>
          <w:numId w:val="1"/>
        </w:numPr>
        <w:spacing w:before="240" w:after="240"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Systemic redressals remain narrowly focused on the ‘crime’ and its punishment and pay little attention to supporting survivors to deal with their trauma and long-term recovery. </w:t>
      </w:r>
    </w:p>
    <w:p w14:paraId="6583F622" w14:textId="77777777" w:rsidR="00DC1367" w:rsidRDefault="00000000">
      <w:pPr>
        <w:spacing w:before="200" w:line="240" w:lineRule="auto"/>
        <w:rPr>
          <w:rFonts w:ascii="Source Sans 3" w:eastAsia="Source Sans 3" w:hAnsi="Source Sans 3" w:cs="Source Sans 3"/>
          <w:b/>
          <w:i/>
          <w:sz w:val="24"/>
          <w:szCs w:val="24"/>
        </w:rPr>
      </w:pPr>
      <w:r>
        <w:rPr>
          <w:rFonts w:ascii="Source Sans 3" w:eastAsia="Source Sans 3" w:hAnsi="Source Sans 3" w:cs="Source Sans 3"/>
          <w:b/>
          <w:i/>
          <w:sz w:val="24"/>
          <w:szCs w:val="24"/>
        </w:rPr>
        <w:t>Suggested Questions for the State Party</w:t>
      </w:r>
    </w:p>
    <w:p w14:paraId="12865B6F" w14:textId="77777777" w:rsidR="00DC1367" w:rsidRDefault="00DC1367">
      <w:pPr>
        <w:spacing w:before="200" w:line="240" w:lineRule="auto"/>
        <w:rPr>
          <w:rFonts w:ascii="Source Sans 3" w:eastAsia="Source Sans 3" w:hAnsi="Source Sans 3" w:cs="Source Sans 3"/>
          <w:b/>
          <w:sz w:val="24"/>
          <w:szCs w:val="24"/>
        </w:rPr>
      </w:pPr>
    </w:p>
    <w:p w14:paraId="476E6613" w14:textId="77777777" w:rsidR="00DC1367" w:rsidRDefault="00000000">
      <w:pPr>
        <w:spacing w:line="240" w:lineRule="auto"/>
        <w:rPr>
          <w:rFonts w:ascii="Source Sans 3" w:eastAsia="Source Sans 3" w:hAnsi="Source Sans 3" w:cs="Source Sans 3"/>
          <w:sz w:val="24"/>
          <w:szCs w:val="24"/>
        </w:rPr>
      </w:pPr>
      <w:r>
        <w:rPr>
          <w:rFonts w:ascii="Source Sans 3" w:eastAsia="Source Sans 3" w:hAnsi="Source Sans 3" w:cs="Source Sans 3"/>
          <w:sz w:val="24"/>
          <w:szCs w:val="24"/>
        </w:rPr>
        <w:t>We respectfully request that the following questions be raised with the Indian government as part of the List of Issues Prior to Reporting (LOIPR) issued to India:</w:t>
      </w:r>
    </w:p>
    <w:p w14:paraId="714EBBF1" w14:textId="77777777" w:rsidR="00DC1367" w:rsidRDefault="00000000">
      <w:pPr>
        <w:numPr>
          <w:ilvl w:val="0"/>
          <w:numId w:val="2"/>
        </w:numPr>
        <w:spacing w:before="200"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What specific steps will the government take to address TFGBV or online sexual violence against women and gender diverse communities, particularly from </w:t>
      </w:r>
      <w:proofErr w:type="spellStart"/>
      <w:r>
        <w:rPr>
          <w:rFonts w:ascii="Source Sans 3" w:eastAsia="Source Sans 3" w:hAnsi="Source Sans 3" w:cs="Source Sans 3"/>
          <w:sz w:val="24"/>
          <w:szCs w:val="24"/>
        </w:rPr>
        <w:t>marginalised</w:t>
      </w:r>
      <w:proofErr w:type="spellEnd"/>
      <w:r>
        <w:rPr>
          <w:rFonts w:ascii="Source Sans 3" w:eastAsia="Source Sans 3" w:hAnsi="Source Sans 3" w:cs="Source Sans 3"/>
          <w:sz w:val="24"/>
          <w:szCs w:val="24"/>
        </w:rPr>
        <w:t xml:space="preserve"> communities? What kind of legal reforms can the government undertake to ensure all forms of TFGBV are addressed. </w:t>
      </w:r>
    </w:p>
    <w:p w14:paraId="748D12F8" w14:textId="77777777" w:rsidR="00DC1367" w:rsidRDefault="00000000">
      <w:pPr>
        <w:numPr>
          <w:ilvl w:val="0"/>
          <w:numId w:val="2"/>
        </w:numPr>
        <w:spacing w:before="200"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What steps will the government undertake to ensure that all victims of TFGBV are aware of the steps to raise a complaint to law enforcement and have access to justice, irrespective of their status, ethnic or social group, age or gender? </w:t>
      </w:r>
    </w:p>
    <w:p w14:paraId="631DAF0D" w14:textId="77777777" w:rsidR="00DC1367" w:rsidRDefault="00000000">
      <w:pPr>
        <w:numPr>
          <w:ilvl w:val="0"/>
          <w:numId w:val="2"/>
        </w:numPr>
        <w:spacing w:before="200" w:line="240" w:lineRule="auto"/>
        <w:rPr>
          <w:rFonts w:ascii="Source Sans 3" w:eastAsia="Source Sans 3" w:hAnsi="Source Sans 3" w:cs="Source Sans 3"/>
          <w:sz w:val="24"/>
          <w:szCs w:val="24"/>
        </w:rPr>
      </w:pPr>
      <w:r>
        <w:rPr>
          <w:rFonts w:ascii="Source Sans 3" w:eastAsia="Source Sans 3" w:hAnsi="Source Sans 3" w:cs="Source Sans 3"/>
          <w:sz w:val="24"/>
          <w:szCs w:val="24"/>
        </w:rPr>
        <w:t>How does the government intend to hold technology platforms and companies accountable, ensuring that they screen and delete content at the point of uploading, if it contains rape or child sexual abuse materials?</w:t>
      </w:r>
    </w:p>
    <w:p w14:paraId="04D1626A" w14:textId="77777777" w:rsidR="00DC1367" w:rsidRDefault="00000000">
      <w:pPr>
        <w:numPr>
          <w:ilvl w:val="0"/>
          <w:numId w:val="2"/>
        </w:numPr>
        <w:spacing w:before="200"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What steps will the government take to ensure that the Information Technology (IT) </w:t>
      </w:r>
      <w:proofErr w:type="gramStart"/>
      <w:r>
        <w:rPr>
          <w:rFonts w:ascii="Source Sans 3" w:eastAsia="Source Sans 3" w:hAnsi="Source Sans 3" w:cs="Source Sans 3"/>
          <w:sz w:val="24"/>
          <w:szCs w:val="24"/>
        </w:rPr>
        <w:t>Act  and</w:t>
      </w:r>
      <w:proofErr w:type="gramEnd"/>
      <w:r>
        <w:rPr>
          <w:rFonts w:ascii="Source Sans 3" w:eastAsia="Source Sans 3" w:hAnsi="Source Sans 3" w:cs="Source Sans 3"/>
          <w:sz w:val="24"/>
          <w:szCs w:val="24"/>
        </w:rPr>
        <w:t xml:space="preserve"> all other legal provisions are aligned to effectively meet the needs of TGBV survivors?</w:t>
      </w:r>
    </w:p>
    <w:p w14:paraId="6FB92411" w14:textId="77777777" w:rsidR="00DC1367" w:rsidRDefault="00000000">
      <w:pPr>
        <w:numPr>
          <w:ilvl w:val="0"/>
          <w:numId w:val="2"/>
        </w:numPr>
        <w:spacing w:before="200" w:line="240" w:lineRule="auto"/>
        <w:rPr>
          <w:rFonts w:ascii="Source Sans 3" w:eastAsia="Source Sans 3" w:hAnsi="Source Sans 3" w:cs="Source Sans 3"/>
          <w:sz w:val="24"/>
          <w:szCs w:val="24"/>
        </w:rPr>
      </w:pPr>
      <w:r>
        <w:rPr>
          <w:rFonts w:ascii="Source Sans 3" w:eastAsia="Source Sans 3" w:hAnsi="Source Sans 3" w:cs="Source Sans 3"/>
          <w:sz w:val="24"/>
          <w:szCs w:val="24"/>
        </w:rPr>
        <w:t xml:space="preserve">What are the government measures and timeframes to ensure that data disaggregated according to the various forms of TFGBV are collected and </w:t>
      </w:r>
      <w:proofErr w:type="spellStart"/>
      <w:r>
        <w:rPr>
          <w:rFonts w:ascii="Source Sans 3" w:eastAsia="Source Sans 3" w:hAnsi="Source Sans 3" w:cs="Source Sans 3"/>
          <w:sz w:val="24"/>
          <w:szCs w:val="24"/>
        </w:rPr>
        <w:t>utilised</w:t>
      </w:r>
      <w:proofErr w:type="spellEnd"/>
      <w:r>
        <w:rPr>
          <w:rFonts w:ascii="Source Sans 3" w:eastAsia="Source Sans 3" w:hAnsi="Source Sans 3" w:cs="Source Sans 3"/>
          <w:sz w:val="24"/>
          <w:szCs w:val="24"/>
        </w:rPr>
        <w:t xml:space="preserve"> for policy making?</w:t>
      </w:r>
    </w:p>
    <w:p w14:paraId="2CA99CC8" w14:textId="77777777" w:rsidR="00DC1367" w:rsidRDefault="00DC1367">
      <w:pPr>
        <w:spacing w:before="200" w:line="240" w:lineRule="auto"/>
        <w:rPr>
          <w:rFonts w:ascii="Source Sans 3" w:eastAsia="Source Sans 3" w:hAnsi="Source Sans 3" w:cs="Source Sans 3"/>
          <w:b/>
          <w:sz w:val="24"/>
          <w:szCs w:val="24"/>
        </w:rPr>
      </w:pPr>
    </w:p>
    <w:sectPr w:rsidR="00DC1367">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745DC" w14:textId="77777777" w:rsidR="00AF05CF" w:rsidRDefault="00AF05CF">
      <w:pPr>
        <w:spacing w:line="240" w:lineRule="auto"/>
      </w:pPr>
      <w:r>
        <w:separator/>
      </w:r>
    </w:p>
  </w:endnote>
  <w:endnote w:type="continuationSeparator" w:id="0">
    <w:p w14:paraId="49B0FAF5" w14:textId="77777777" w:rsidR="00AF05CF" w:rsidRDefault="00AF05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6BEDDC23-ADB0-3947-8F74-D1A294DAD64C}"/>
  </w:font>
  <w:font w:name="Arial">
    <w:panose1 w:val="020B0604020202020204"/>
    <w:charset w:val="00"/>
    <w:family w:val="swiss"/>
    <w:pitch w:val="variable"/>
    <w:sig w:usb0="E0002EFF" w:usb1="C000785B" w:usb2="00000009" w:usb3="00000000" w:csb0="000001FF" w:csb1="00000000"/>
    <w:embedRegular r:id="rId2" w:fontKey="{E3F5A472-7469-B74A-A52E-74D1ECBE8250}"/>
    <w:embedItalic r:id="rId3" w:fontKey="{0BACE199-606E-454A-A9DD-BA12FE46A42C}"/>
  </w:font>
  <w:font w:name="Source Sans 3">
    <w:panose1 w:val="020B0604020202020204"/>
    <w:charset w:val="00"/>
    <w:family w:val="auto"/>
    <w:pitch w:val="default"/>
    <w:embedRegular r:id="rId4" w:fontKey="{BF46253C-2D3A-D943-80E3-9FBAADC3ABB4}"/>
    <w:embedBold r:id="rId5" w:fontKey="{FE2274AB-E4E3-BB4B-9F1B-D8619D2BC910}"/>
    <w:embedItalic r:id="rId6" w:fontKey="{0B7551A6-C305-224A-852B-8BE6A5C689BD}"/>
    <w:embedBoldItalic r:id="rId7" w:fontKey="{04BE79B4-8DEB-5245-93D6-A993B43AE36A}"/>
  </w:font>
  <w:font w:name="Roboto">
    <w:panose1 w:val="02000000000000000000"/>
    <w:charset w:val="00"/>
    <w:family w:val="auto"/>
    <w:pitch w:val="variable"/>
    <w:sig w:usb0="E0000AFF" w:usb1="5000217F" w:usb2="00000021" w:usb3="00000000" w:csb0="0000019F" w:csb1="00000000"/>
    <w:embedRegular r:id="rId8" w:fontKey="{D6AC88BB-11FE-4449-A1BE-94A9D39BF971}"/>
  </w:font>
  <w:font w:name="Calibri">
    <w:panose1 w:val="020F0502020204030204"/>
    <w:charset w:val="00"/>
    <w:family w:val="swiss"/>
    <w:pitch w:val="variable"/>
    <w:sig w:usb0="E4002EFF" w:usb1="C200247B" w:usb2="00000009" w:usb3="00000000" w:csb0="000001FF" w:csb1="00000000"/>
    <w:embedRegular r:id="rId9" w:fontKey="{226CB9D0-9867-6F40-967F-11785A6F0FC2}"/>
  </w:font>
  <w:font w:name="Cambria">
    <w:panose1 w:val="02040503050406030204"/>
    <w:charset w:val="00"/>
    <w:family w:val="roman"/>
    <w:pitch w:val="variable"/>
    <w:sig w:usb0="E00006FF" w:usb1="420024FF" w:usb2="02000000" w:usb3="00000000" w:csb0="0000019F" w:csb1="00000000"/>
    <w:embedRegular r:id="rId10" w:fontKey="{61F75FAE-9151-0541-B56F-FB788EC92F4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38064" w14:textId="77777777" w:rsidR="00DC1367" w:rsidRDefault="00000000">
    <w:pPr>
      <w:jc w:val="right"/>
    </w:pPr>
    <w:r>
      <w:fldChar w:fldCharType="begin"/>
    </w:r>
    <w:r>
      <w:instrText>PAGE</w:instrText>
    </w:r>
    <w:r>
      <w:fldChar w:fldCharType="separate"/>
    </w:r>
    <w:r w:rsidR="00EF376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ECF7C" w14:textId="77777777" w:rsidR="00AF05CF" w:rsidRDefault="00AF05CF">
      <w:pPr>
        <w:spacing w:line="240" w:lineRule="auto"/>
      </w:pPr>
      <w:r>
        <w:separator/>
      </w:r>
    </w:p>
  </w:footnote>
  <w:footnote w:type="continuationSeparator" w:id="0">
    <w:p w14:paraId="1F98C242" w14:textId="77777777" w:rsidR="00AF05CF" w:rsidRDefault="00AF05CF">
      <w:pPr>
        <w:spacing w:line="240" w:lineRule="auto"/>
      </w:pPr>
      <w:r>
        <w:continuationSeparator/>
      </w:r>
    </w:p>
  </w:footnote>
  <w:footnote w:id="1">
    <w:p w14:paraId="6F05B29C" w14:textId="77777777" w:rsidR="00DC1367"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
        <w:r>
          <w:rPr>
            <w:rFonts w:ascii="Times New Roman" w:eastAsia="Times New Roman" w:hAnsi="Times New Roman" w:cs="Times New Roman"/>
            <w:color w:val="467886"/>
            <w:sz w:val="20"/>
            <w:szCs w:val="20"/>
            <w:u w:val="single"/>
          </w:rPr>
          <w:t>https://cybercrime.gov.in/Webform/cyber_volunteers_concept.aspx</w:t>
        </w:r>
      </w:hyperlink>
      <w:r>
        <w:rPr>
          <w:rFonts w:ascii="Times New Roman" w:eastAsia="Times New Roman" w:hAnsi="Times New Roman" w:cs="Times New Roman"/>
          <w:sz w:val="20"/>
          <w:szCs w:val="20"/>
        </w:rPr>
        <w:t xml:space="preserve"> </w:t>
      </w:r>
    </w:p>
  </w:footnote>
  <w:footnote w:id="2">
    <w:p w14:paraId="48A20DB9" w14:textId="77777777" w:rsidR="00DC1367" w:rsidRDefault="00000000">
      <w:pPr>
        <w:spacing w:line="240" w:lineRule="auto"/>
        <w:rPr>
          <w:sz w:val="20"/>
          <w:szCs w:val="20"/>
        </w:rPr>
      </w:pPr>
      <w:r>
        <w:rPr>
          <w:vertAlign w:val="superscript"/>
        </w:rPr>
        <w:footnoteRef/>
      </w:r>
      <w:r>
        <w:rPr>
          <w:sz w:val="20"/>
          <w:szCs w:val="20"/>
        </w:rPr>
        <w:t xml:space="preserve"> </w:t>
      </w:r>
      <w:r>
        <w:rPr>
          <w:rFonts w:ascii="Roboto" w:eastAsia="Roboto" w:hAnsi="Roboto" w:cs="Roboto"/>
          <w:color w:val="444746"/>
          <w:sz w:val="21"/>
          <w:szCs w:val="21"/>
        </w:rPr>
        <w:t>Child sexually abusive material (CSAM) refers to material containing sexual image in any form, of a child who is abused or sexually exploited. Section 67 (B) of IT Act states that “it is punishable for publishing or transmitting of material depicting children in sexually explicit act, etc. in electronic form.</w:t>
      </w:r>
    </w:p>
  </w:footnote>
  <w:footnote w:id="3">
    <w:p w14:paraId="0BF54036" w14:textId="77777777" w:rsidR="00DC1367" w:rsidRDefault="00000000">
      <w:pPr>
        <w:spacing w:line="240" w:lineRule="auto"/>
        <w:rPr>
          <w:sz w:val="20"/>
          <w:szCs w:val="20"/>
        </w:rPr>
      </w:pPr>
      <w:r>
        <w:rPr>
          <w:vertAlign w:val="superscript"/>
        </w:rPr>
        <w:footnoteRef/>
      </w:r>
      <w:r>
        <w:rPr>
          <w:sz w:val="20"/>
          <w:szCs w:val="20"/>
        </w:rPr>
        <w:t xml:space="preserve"> </w:t>
      </w:r>
      <w:r>
        <w:rPr>
          <w:rFonts w:ascii="Roboto" w:eastAsia="Roboto" w:hAnsi="Roboto" w:cs="Roboto"/>
          <w:color w:val="444746"/>
          <w:sz w:val="21"/>
          <w:szCs w:val="21"/>
        </w:rPr>
        <w:t>A form of harassment or bullying inflicted through the use of electronic or communication devices such as computer, mobile phone, laptop, etc.</w:t>
      </w:r>
    </w:p>
  </w:footnote>
  <w:footnote w:id="4">
    <w:p w14:paraId="5AAD0E77" w14:textId="77777777" w:rsidR="00DC1367" w:rsidRDefault="00000000">
      <w:pPr>
        <w:spacing w:line="240" w:lineRule="auto"/>
        <w:rPr>
          <w:sz w:val="20"/>
          <w:szCs w:val="20"/>
        </w:rPr>
      </w:pPr>
      <w:r>
        <w:rPr>
          <w:vertAlign w:val="superscript"/>
        </w:rPr>
        <w:footnoteRef/>
      </w:r>
      <w:r>
        <w:rPr>
          <w:sz w:val="20"/>
          <w:szCs w:val="20"/>
        </w:rPr>
        <w:t xml:space="preserve"> </w:t>
      </w:r>
      <w:r>
        <w:rPr>
          <w:rFonts w:ascii="Roboto" w:eastAsia="Roboto" w:hAnsi="Roboto" w:cs="Roboto"/>
          <w:color w:val="444746"/>
          <w:sz w:val="21"/>
          <w:szCs w:val="21"/>
          <w:highlight w:val="white"/>
        </w:rPr>
        <w:t>Cyber stalking is the use of electronic communication by a person to follow a person, or attempts to contact a person to foster personal interaction repeatedly despite a clear indication of disinterest by such person; or monitors the internet, email or any other form of electronic communication commits the offence of stalking.</w:t>
      </w:r>
    </w:p>
  </w:footnote>
  <w:footnote w:id="5">
    <w:p w14:paraId="3C10C392" w14:textId="77777777" w:rsidR="00DC1367" w:rsidRDefault="00000000">
      <w:pPr>
        <w:spacing w:line="240" w:lineRule="auto"/>
        <w:rPr>
          <w:sz w:val="20"/>
          <w:szCs w:val="20"/>
        </w:rPr>
      </w:pPr>
      <w:r>
        <w:rPr>
          <w:vertAlign w:val="superscript"/>
        </w:rPr>
        <w:footnoteRef/>
      </w:r>
      <w:r>
        <w:rPr>
          <w:sz w:val="20"/>
          <w:szCs w:val="20"/>
        </w:rPr>
        <w:t xml:space="preserve"> </w:t>
      </w:r>
      <w:r>
        <w:rPr>
          <w:rFonts w:ascii="Roboto" w:eastAsia="Roboto" w:hAnsi="Roboto" w:cs="Roboto"/>
          <w:color w:val="444746"/>
          <w:sz w:val="21"/>
          <w:szCs w:val="21"/>
          <w:highlight w:val="white"/>
        </w:rPr>
        <w:t>Online Sextortion occurs when someone threatens to distribute private and sensitive material using an electronic medium if he/ she doesn’t provide images of a sexual nature, sexual favours, or money.</w:t>
      </w:r>
    </w:p>
  </w:footnote>
  <w:footnote w:id="6">
    <w:p w14:paraId="6A2B97CC" w14:textId="77777777" w:rsidR="00DC1367" w:rsidRDefault="00000000">
      <w:pPr>
        <w:spacing w:line="240" w:lineRule="auto"/>
        <w:rPr>
          <w:sz w:val="20"/>
          <w:szCs w:val="20"/>
        </w:rPr>
      </w:pPr>
      <w:r>
        <w:rPr>
          <w:vertAlign w:val="superscript"/>
        </w:rPr>
        <w:footnoteRef/>
      </w:r>
      <w:r>
        <w:rPr>
          <w:sz w:val="20"/>
          <w:szCs w:val="20"/>
        </w:rPr>
        <w:t xml:space="preserve"> </w:t>
      </w:r>
      <w:r>
        <w:rPr>
          <w:rFonts w:ascii="Roboto" w:eastAsia="Roboto" w:hAnsi="Roboto" w:cs="Roboto"/>
          <w:color w:val="444746"/>
          <w:sz w:val="21"/>
          <w:szCs w:val="21"/>
        </w:rPr>
        <w:t>The National Cybercrime Threat Analytics Unit (NCTAU- https://i4c.mha.gov.in/tau.aspx), set up under the Indian Cybercrime Coordination Centre (14C), “is a platform for Law Enforcement Agencies (LEAs), persons from private sector, academia and research Organisations to work collaboratively in order to analyse all pieces of information relating to Cybercrime. This unit collects Cybercrime feeds from open sources, National Cybercrime Reporting Portal, CERT-In, and other agencies working in this field, analyse it and further disseminates it to the concerned agencies for taking further appropriate action.” The NCTAU data is for authorised official use only and is not a public data repository.  The National Cyber Crime portal also maintains a ‘Suspect Repository’ (</w:t>
      </w:r>
      <w:hyperlink r:id="rId2">
        <w:r>
          <w:rPr>
            <w:rFonts w:ascii="Roboto" w:eastAsia="Roboto" w:hAnsi="Roboto" w:cs="Roboto"/>
            <w:color w:val="1155CC"/>
            <w:sz w:val="21"/>
            <w:szCs w:val="21"/>
            <w:u w:val="single"/>
          </w:rPr>
          <w:t>https://cybercrime.gov.in/Webform/suspect_search_websites.aspx</w:t>
        </w:r>
      </w:hyperlink>
      <w:r>
        <w:rPr>
          <w:rFonts w:ascii="Roboto" w:eastAsia="Roboto" w:hAnsi="Roboto" w:cs="Roboto"/>
          <w:color w:val="444746"/>
          <w:sz w:val="21"/>
          <w:szCs w:val="21"/>
        </w:rPr>
        <w:t>) and ‘Report Suspect’  (</w:t>
      </w:r>
      <w:hyperlink r:id="rId3">
        <w:r>
          <w:rPr>
            <w:rFonts w:ascii="Roboto" w:eastAsia="Roboto" w:hAnsi="Roboto" w:cs="Roboto"/>
            <w:color w:val="1155CC"/>
            <w:sz w:val="21"/>
            <w:szCs w:val="21"/>
            <w:u w:val="single"/>
          </w:rPr>
          <w:t>https://cybercrime.gov.in/Webform/cyber_suspect.aspx</w:t>
        </w:r>
      </w:hyperlink>
      <w:r>
        <w:rPr>
          <w:rFonts w:ascii="Roboto" w:eastAsia="Roboto" w:hAnsi="Roboto" w:cs="Roboto"/>
          <w:color w:val="444746"/>
          <w:sz w:val="21"/>
          <w:szCs w:val="21"/>
        </w:rPr>
        <w:t>) feature which allows citizens to look up cyber identifiers and report suspect identifiers respectively.</w:t>
      </w:r>
    </w:p>
  </w:footnote>
  <w:footnote w:id="7">
    <w:p w14:paraId="256B4C32" w14:textId="77777777" w:rsidR="00DC1367"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4">
        <w:r>
          <w:rPr>
            <w:rFonts w:ascii="Times New Roman" w:eastAsia="Times New Roman" w:hAnsi="Times New Roman" w:cs="Times New Roman"/>
            <w:color w:val="467886"/>
            <w:sz w:val="20"/>
            <w:szCs w:val="20"/>
            <w:u w:val="single"/>
          </w:rPr>
          <w:t>https://www.mha.gov.in/en/division_of_mha/cyber-and-information-security-cis-division/Details-about-CCPWC-CybercrimePrevention-against-Women-and-Children-Scheme</w:t>
        </w:r>
      </w:hyperlink>
      <w:r>
        <w:rPr>
          <w:rFonts w:ascii="Times New Roman" w:eastAsia="Times New Roman" w:hAnsi="Times New Roman" w:cs="Times New Roman"/>
          <w:sz w:val="20"/>
          <w:szCs w:val="20"/>
        </w:rPr>
        <w:t xml:space="preserve"> (Details on disbursal of funds have not been updated since 2018)</w:t>
      </w:r>
    </w:p>
  </w:footnote>
  <w:footnote w:id="8">
    <w:p w14:paraId="2056E0E6" w14:textId="77777777" w:rsidR="00DC1367"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5">
        <w:r>
          <w:rPr>
            <w:rFonts w:ascii="Times New Roman" w:eastAsia="Times New Roman" w:hAnsi="Times New Roman" w:cs="Times New Roman"/>
            <w:color w:val="467886"/>
            <w:sz w:val="20"/>
            <w:szCs w:val="20"/>
            <w:u w:val="single"/>
          </w:rPr>
          <w:t>https://www.dnaindia.com/business/report-first-cyber-court-set-up-in-delhi-1277777</w:t>
        </w:r>
      </w:hyperlink>
      <w:r>
        <w:rPr>
          <w:rFonts w:ascii="Times New Roman" w:eastAsia="Times New Roman" w:hAnsi="Times New Roman" w:cs="Times New Roman"/>
          <w:sz w:val="20"/>
          <w:szCs w:val="20"/>
        </w:rPr>
        <w:t xml:space="preserve"> </w:t>
      </w:r>
    </w:p>
  </w:footnote>
  <w:footnote w:id="9">
    <w:p w14:paraId="3FFE9D03" w14:textId="77777777" w:rsidR="00DC1367"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6">
        <w:r>
          <w:rPr>
            <w:rFonts w:ascii="Times New Roman" w:eastAsia="Times New Roman" w:hAnsi="Times New Roman" w:cs="Times New Roman"/>
            <w:color w:val="467886"/>
            <w:sz w:val="20"/>
            <w:szCs w:val="20"/>
            <w:u w:val="single"/>
          </w:rPr>
          <w:t>https://www.thehindu.com/opinion/op-ed/the-long-wait-for-safety/article61557981.ece</w:t>
        </w:r>
      </w:hyperlink>
      <w:r>
        <w:rPr>
          <w:rFonts w:ascii="Times New Roman" w:eastAsia="Times New Roman" w:hAnsi="Times New Roman" w:cs="Times New Roman"/>
          <w:sz w:val="20"/>
          <w:szCs w:val="20"/>
        </w:rPr>
        <w:t xml:space="preserve"> </w:t>
      </w:r>
    </w:p>
  </w:footnote>
  <w:footnote w:id="10">
    <w:p w14:paraId="25DA648B" w14:textId="77777777" w:rsidR="00DC1367" w:rsidRDefault="00000000">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Section 66A was a provision of India’s Information Technology (IT) Act, 2000 meant to explicitly address TFGBV. It criminalised a broad category of offensive speech. However, it was determined to be unconstitutional and struck down by the Supreme Court of India in the landmark 2015 case of Shreya Singhal Vs Union of India primarily citing violation of fundamental civil liberties.</w:t>
      </w:r>
      <w:r>
        <w:rPr>
          <w:sz w:val="20"/>
          <w:szCs w:val="20"/>
        </w:rPr>
        <w:t xml:space="preserve"> </w:t>
      </w:r>
    </w:p>
  </w:footnote>
  <w:footnote w:id="11">
    <w:p w14:paraId="464FE3EA" w14:textId="77777777" w:rsidR="00DC1367" w:rsidRDefault="00000000">
      <w:pPr>
        <w:spacing w:line="240" w:lineRule="auto"/>
        <w:rPr>
          <w:sz w:val="20"/>
          <w:szCs w:val="20"/>
        </w:rPr>
      </w:pPr>
      <w:r>
        <w:rPr>
          <w:vertAlign w:val="superscript"/>
        </w:rPr>
        <w:footnoteRef/>
      </w:r>
      <w:r>
        <w:rPr>
          <w:sz w:val="20"/>
          <w:szCs w:val="20"/>
        </w:rPr>
        <w:t xml:space="preserve"> </w:t>
      </w:r>
      <w:hyperlink r:id="rId7">
        <w:r>
          <w:rPr>
            <w:rFonts w:ascii="Times New Roman" w:eastAsia="Times New Roman" w:hAnsi="Times New Roman" w:cs="Times New Roman"/>
            <w:color w:val="467886"/>
            <w:sz w:val="20"/>
            <w:szCs w:val="20"/>
            <w:u w:val="single"/>
          </w:rPr>
          <w:t>https://cdn.internetdemocracy.in/idp/assets/downloads/reports/un-srvaw-report/Internet-Democracy-Project-Submission-Online-VAW-2-November-2017-4.pdf</w:t>
        </w:r>
      </w:hyperlink>
      <w:r>
        <w:rPr>
          <w:rFonts w:ascii="Times New Roman" w:eastAsia="Times New Roman" w:hAnsi="Times New Roman" w:cs="Times New Roman"/>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D12A28"/>
    <w:multiLevelType w:val="multilevel"/>
    <w:tmpl w:val="E5687E9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4103927"/>
    <w:multiLevelType w:val="multilevel"/>
    <w:tmpl w:val="AEFC6D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460341298">
    <w:abstractNumId w:val="1"/>
  </w:num>
  <w:num w:numId="2" w16cid:durableId="1599023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367"/>
    <w:rsid w:val="00AF05CF"/>
    <w:rsid w:val="00C87B48"/>
    <w:rsid w:val="00DC1367"/>
    <w:rsid w:val="00EF3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6B44F5"/>
  <w15:docId w15:val="{763C74B0-C172-A840-AA67-4AF6C9D2C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cybercrime.gov.in/" TargetMode="External"/><Relationship Id="rId4" Type="http://schemas.openxmlformats.org/officeDocument/2006/relationships/webSettings" Target="webSettings.xml"/><Relationship Id="rId9" Type="http://schemas.openxmlformats.org/officeDocument/2006/relationships/hyperlink" Target="https://events.ohchr.org/"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3" Type="http://schemas.openxmlformats.org/officeDocument/2006/relationships/hyperlink" Target="https://cybercrime.gov.in/Webform/cyber_suspect.aspx" TargetMode="External"/><Relationship Id="rId7" Type="http://schemas.openxmlformats.org/officeDocument/2006/relationships/hyperlink" Target="https://cdn.internetdemocracy.in/idp/assets/downloads/reports/un-srvaw-report/Internet-Democracy-Project-Submission-Online-VAW-2-November-2017-4.pdf" TargetMode="External"/><Relationship Id="rId2" Type="http://schemas.openxmlformats.org/officeDocument/2006/relationships/hyperlink" Target="https://cybercrime.gov.in/Webform/suspect_search_websites.aspx" TargetMode="External"/><Relationship Id="rId1" Type="http://schemas.openxmlformats.org/officeDocument/2006/relationships/hyperlink" Target="https://cybercrime.gov.in/Webform/cyber_volunteers_concept.aspx" TargetMode="External"/><Relationship Id="rId6" Type="http://schemas.openxmlformats.org/officeDocument/2006/relationships/hyperlink" Target="https://www.thehindu.com/opinion/op-ed/the-long-wait-for-safety/article61557981.ece" TargetMode="External"/><Relationship Id="rId5" Type="http://schemas.openxmlformats.org/officeDocument/2006/relationships/hyperlink" Target="https://www.dnaindia.com/business/report-first-cyber-court-set-up-in-delhi-1277777" TargetMode="External"/><Relationship Id="rId4" Type="http://schemas.openxmlformats.org/officeDocument/2006/relationships/hyperlink" Target="https://www.mha.gov.in/en/division_of_mha/cyber-and-information-security-cis-division/Details-about-CCPWC-CybercrimePrevention-against-Women-and-Children-Sche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1891</Words>
  <Characters>10783</Characters>
  <Application>Microsoft Office Word</Application>
  <DocSecurity>0</DocSecurity>
  <Lines>89</Lines>
  <Paragraphs>25</Paragraphs>
  <ScaleCrop>false</ScaleCrop>
  <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Patsalides</cp:lastModifiedBy>
  <cp:revision>2</cp:revision>
  <dcterms:created xsi:type="dcterms:W3CDTF">2025-09-29T11:59:00Z</dcterms:created>
  <dcterms:modified xsi:type="dcterms:W3CDTF">2025-09-29T11:59:00Z</dcterms:modified>
</cp:coreProperties>
</file>