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C33287" w14:textId="0F1D9BA2" w:rsidR="000C73A3" w:rsidRPr="005D4AA8" w:rsidRDefault="000C73A3" w:rsidP="000C73A3">
      <w:pPr>
        <w:jc w:val="center"/>
        <w:rPr>
          <w:rFonts w:cs="Times New Roman"/>
          <w:b/>
          <w:sz w:val="26"/>
        </w:rPr>
      </w:pPr>
      <w:r w:rsidRPr="005D4AA8">
        <w:rPr>
          <w:rFonts w:cs="Times New Roman"/>
          <w:b/>
          <w:sz w:val="26"/>
        </w:rPr>
        <w:t xml:space="preserve">DPO submission on Disabled Women for the </w:t>
      </w:r>
    </w:p>
    <w:p w14:paraId="6C764001" w14:textId="77777777" w:rsidR="000C73A3" w:rsidRPr="005D4AA8" w:rsidRDefault="000C73A3" w:rsidP="000C73A3">
      <w:pPr>
        <w:jc w:val="center"/>
        <w:rPr>
          <w:rFonts w:cs="Times New Roman"/>
          <w:b/>
          <w:sz w:val="26"/>
        </w:rPr>
      </w:pPr>
    </w:p>
    <w:p w14:paraId="0F8253D6" w14:textId="77777777" w:rsidR="000C73A3" w:rsidRDefault="000C73A3" w:rsidP="000C73A3">
      <w:pPr>
        <w:jc w:val="center"/>
        <w:rPr>
          <w:rFonts w:cs="Times New Roman"/>
          <w:b/>
          <w:sz w:val="26"/>
        </w:rPr>
      </w:pPr>
      <w:r w:rsidRPr="005D4AA8">
        <w:rPr>
          <w:rFonts w:cs="Times New Roman"/>
          <w:b/>
          <w:sz w:val="26"/>
        </w:rPr>
        <w:t xml:space="preserve">Human Rights Committee’s review of the United Kingdom </w:t>
      </w:r>
    </w:p>
    <w:p w14:paraId="4E2D22EC" w14:textId="77777777" w:rsidR="000C73A3" w:rsidRDefault="000C73A3" w:rsidP="000C73A3">
      <w:pPr>
        <w:jc w:val="center"/>
        <w:rPr>
          <w:rFonts w:cs="Times New Roman"/>
          <w:b/>
          <w:sz w:val="26"/>
        </w:rPr>
      </w:pPr>
    </w:p>
    <w:p w14:paraId="34A19C24" w14:textId="299EB2E1" w:rsidR="000C73A3" w:rsidRDefault="000C73A3" w:rsidP="000C73A3">
      <w:pPr>
        <w:jc w:val="center"/>
        <w:rPr>
          <w:rFonts w:cs="Times New Roman"/>
          <w:b/>
          <w:sz w:val="26"/>
        </w:rPr>
      </w:pPr>
      <w:r>
        <w:rPr>
          <w:rFonts w:cs="Times New Roman"/>
          <w:b/>
          <w:noProof/>
          <w:sz w:val="26"/>
        </w:rPr>
        <w:drawing>
          <wp:inline distT="0" distB="0" distL="0" distR="0" wp14:anchorId="48411810" wp14:editId="3A12507D">
            <wp:extent cx="4049916" cy="20142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ion Sense new logo.tiff"/>
                    <pic:cNvPicPr/>
                  </pic:nvPicPr>
                  <pic:blipFill>
                    <a:blip r:embed="rId9">
                      <a:extLst>
                        <a:ext uri="{28A0092B-C50C-407E-A947-70E740481C1C}">
                          <a14:useLocalDpi xmlns:a14="http://schemas.microsoft.com/office/drawing/2010/main" val="0"/>
                        </a:ext>
                      </a:extLst>
                    </a:blip>
                    <a:stretch>
                      <a:fillRect/>
                    </a:stretch>
                  </pic:blipFill>
                  <pic:spPr>
                    <a:xfrm>
                      <a:off x="0" y="0"/>
                      <a:ext cx="4049916" cy="2014244"/>
                    </a:xfrm>
                    <a:prstGeom prst="rect">
                      <a:avLst/>
                    </a:prstGeom>
                  </pic:spPr>
                </pic:pic>
              </a:graphicData>
            </a:graphic>
          </wp:inline>
        </w:drawing>
      </w:r>
    </w:p>
    <w:p w14:paraId="19366D98" w14:textId="77777777" w:rsidR="000C73A3" w:rsidRDefault="000C73A3" w:rsidP="000C73A3">
      <w:pPr>
        <w:jc w:val="center"/>
        <w:rPr>
          <w:rFonts w:cs="Times New Roman"/>
          <w:b/>
          <w:sz w:val="26"/>
        </w:rPr>
      </w:pPr>
      <w:r>
        <w:rPr>
          <w:rFonts w:cs="Times New Roman"/>
          <w:b/>
          <w:sz w:val="26"/>
        </w:rPr>
        <w:t xml:space="preserve">Vision Sense, Jarrow Business Centre, Viking Industrial Park, Jarrow, South Tyneside, England. NE32 3DT </w:t>
      </w:r>
      <w:hyperlink r:id="rId10" w:history="1">
        <w:r w:rsidRPr="00D509C7">
          <w:rPr>
            <w:rStyle w:val="Hyperlink"/>
            <w:rFonts w:cs="Times New Roman"/>
            <w:b/>
            <w:sz w:val="26"/>
          </w:rPr>
          <w:t>www.visionsense.co.uk</w:t>
        </w:r>
      </w:hyperlink>
      <w:r>
        <w:rPr>
          <w:rFonts w:cs="Times New Roman"/>
          <w:b/>
          <w:sz w:val="26"/>
        </w:rPr>
        <w:t xml:space="preserve"> </w:t>
      </w:r>
    </w:p>
    <w:p w14:paraId="6BA68EFE" w14:textId="581722C1" w:rsidR="000C73A3" w:rsidRPr="005D4AA8" w:rsidRDefault="000C73A3" w:rsidP="000C73A3">
      <w:pPr>
        <w:jc w:val="center"/>
        <w:rPr>
          <w:rFonts w:cs="Times New Roman"/>
          <w:b/>
          <w:sz w:val="26"/>
        </w:rPr>
      </w:pPr>
      <w:r>
        <w:rPr>
          <w:rFonts w:cs="Times New Roman"/>
          <w:b/>
          <w:sz w:val="26"/>
        </w:rPr>
        <w:t>Email: justice@visionsense.co.uk</w:t>
      </w:r>
    </w:p>
    <w:p w14:paraId="15D6FAC2" w14:textId="77777777" w:rsidR="000C73A3" w:rsidRPr="005D4AA8" w:rsidRDefault="000C73A3" w:rsidP="000C73A3">
      <w:pPr>
        <w:spacing w:line="276" w:lineRule="auto"/>
        <w:jc w:val="center"/>
        <w:rPr>
          <w:rFonts w:cs="Times New Roman"/>
          <w:b/>
          <w:sz w:val="26"/>
        </w:rPr>
      </w:pPr>
      <w:r w:rsidRPr="005D4AA8">
        <w:rPr>
          <w:rFonts w:cs="Times New Roman"/>
          <w:b/>
          <w:sz w:val="26"/>
        </w:rPr>
        <w:t xml:space="preserve"> </w:t>
      </w:r>
    </w:p>
    <w:p w14:paraId="735E98EC" w14:textId="77777777" w:rsidR="000C73A3" w:rsidRPr="005D4AA8" w:rsidRDefault="000C73A3" w:rsidP="000C73A3">
      <w:pPr>
        <w:spacing w:line="276" w:lineRule="auto"/>
        <w:jc w:val="center"/>
        <w:rPr>
          <w:rFonts w:cs="Times New Roman"/>
          <w:b/>
          <w:sz w:val="26"/>
        </w:rPr>
      </w:pPr>
      <w:r w:rsidRPr="005D4AA8">
        <w:rPr>
          <w:rFonts w:cs="Times New Roman"/>
          <w:b/>
          <w:sz w:val="26"/>
        </w:rPr>
        <w:t>June 2015</w:t>
      </w:r>
    </w:p>
    <w:p w14:paraId="7DE8601A" w14:textId="77777777" w:rsidR="000C73A3" w:rsidRDefault="000C73A3" w:rsidP="006F3C13">
      <w:pPr>
        <w:rPr>
          <w:rFonts w:ascii="Arial" w:hAnsi="Arial" w:cs="Arial"/>
          <w:b/>
        </w:rPr>
      </w:pPr>
    </w:p>
    <w:p w14:paraId="38456FEB" w14:textId="56138431" w:rsidR="006F3C13" w:rsidRPr="006F3C13" w:rsidRDefault="006F3C13" w:rsidP="006F3C13">
      <w:pPr>
        <w:rPr>
          <w:rFonts w:ascii="Arial" w:hAnsi="Arial" w:cs="Arial"/>
          <w:b/>
        </w:rPr>
      </w:pPr>
      <w:r w:rsidRPr="006F3C13">
        <w:rPr>
          <w:rFonts w:ascii="Arial" w:hAnsi="Arial" w:cs="Arial"/>
          <w:b/>
        </w:rPr>
        <w:t xml:space="preserve">Violence, safety and justice </w:t>
      </w:r>
      <w:r>
        <w:rPr>
          <w:rFonts w:ascii="Arial" w:hAnsi="Arial" w:cs="Arial"/>
          <w:b/>
        </w:rPr>
        <w:t>of disabled people</w:t>
      </w:r>
    </w:p>
    <w:p w14:paraId="3130B074" w14:textId="77777777" w:rsidR="006F3C13" w:rsidRDefault="006F3C13" w:rsidP="006F3C13">
      <w:pPr>
        <w:rPr>
          <w:rFonts w:ascii="Arial" w:hAnsi="Arial" w:cs="Arial"/>
        </w:rPr>
      </w:pPr>
    </w:p>
    <w:p w14:paraId="115A0B96" w14:textId="77777777" w:rsidR="00960D9B" w:rsidRDefault="00960D9B" w:rsidP="006F3C13">
      <w:pPr>
        <w:rPr>
          <w:rFonts w:ascii="Arial" w:hAnsi="Arial" w:cs="Arial"/>
        </w:rPr>
      </w:pPr>
    </w:p>
    <w:p w14:paraId="52D64DF3" w14:textId="2E675B7A" w:rsidR="006F3C13" w:rsidRDefault="006F3C13" w:rsidP="006F3C13">
      <w:pPr>
        <w:rPr>
          <w:rFonts w:ascii="Arial" w:hAnsi="Arial" w:cs="Arial"/>
        </w:rPr>
      </w:pPr>
      <w:r>
        <w:rPr>
          <w:rFonts w:ascii="Arial" w:hAnsi="Arial" w:cs="Arial"/>
        </w:rPr>
        <w:t>The focus of these notes for the report are violence and access to safety and justice for disabled people</w:t>
      </w:r>
      <w:r w:rsidR="00960D9B">
        <w:rPr>
          <w:rFonts w:ascii="Arial" w:hAnsi="Arial" w:cs="Arial"/>
        </w:rPr>
        <w:t>, including the right to life</w:t>
      </w:r>
      <w:r>
        <w:rPr>
          <w:rFonts w:ascii="Arial" w:hAnsi="Arial" w:cs="Arial"/>
        </w:rPr>
        <w:t xml:space="preserve">.  </w:t>
      </w:r>
      <w:r w:rsidR="007D4BCC">
        <w:rPr>
          <w:rFonts w:ascii="Arial" w:hAnsi="Arial" w:cs="Arial"/>
        </w:rPr>
        <w:t xml:space="preserve">Whilst these are not the only breaches of </w:t>
      </w:r>
      <w:r w:rsidR="000C73A3">
        <w:rPr>
          <w:rFonts w:ascii="Arial" w:hAnsi="Arial" w:cs="Arial"/>
        </w:rPr>
        <w:t>human rights against disabled people</w:t>
      </w:r>
      <w:r w:rsidR="007D4BCC">
        <w:rPr>
          <w:rFonts w:ascii="Arial" w:hAnsi="Arial" w:cs="Arial"/>
        </w:rPr>
        <w:t xml:space="preserve"> in </w:t>
      </w:r>
      <w:r w:rsidR="000C73A3">
        <w:rPr>
          <w:rFonts w:ascii="Arial" w:hAnsi="Arial" w:cs="Arial"/>
        </w:rPr>
        <w:t>the UK</w:t>
      </w:r>
      <w:r w:rsidR="007D4BCC">
        <w:rPr>
          <w:rFonts w:ascii="Arial" w:hAnsi="Arial" w:cs="Arial"/>
        </w:rPr>
        <w:t xml:space="preserve">, they represent some of the most dangerous and systematic violations of disabled people’s rights.  </w:t>
      </w:r>
      <w:r w:rsidR="00960D9B">
        <w:rPr>
          <w:rFonts w:ascii="Arial" w:hAnsi="Arial" w:cs="Arial"/>
        </w:rPr>
        <w:t xml:space="preserve">Robust, </w:t>
      </w:r>
      <w:r>
        <w:rPr>
          <w:rFonts w:ascii="Arial" w:hAnsi="Arial" w:cs="Arial"/>
        </w:rPr>
        <w:t>peer-reviewed</w:t>
      </w:r>
      <w:r w:rsidR="007D4BCC">
        <w:rPr>
          <w:rFonts w:ascii="Arial" w:hAnsi="Arial" w:cs="Arial"/>
        </w:rPr>
        <w:t>, published research</w:t>
      </w:r>
      <w:r>
        <w:rPr>
          <w:rFonts w:ascii="Arial" w:hAnsi="Arial" w:cs="Arial"/>
        </w:rPr>
        <w:t xml:space="preserve"> evidence is used where available.  </w:t>
      </w:r>
      <w:bookmarkStart w:id="0" w:name="_Toc386038756"/>
    </w:p>
    <w:p w14:paraId="31D0FCE4" w14:textId="77777777" w:rsidR="00960D9B" w:rsidRDefault="00960D9B" w:rsidP="006F3C13">
      <w:pPr>
        <w:rPr>
          <w:rFonts w:ascii="Arial" w:hAnsi="Arial" w:cs="Arial"/>
        </w:rPr>
      </w:pPr>
    </w:p>
    <w:p w14:paraId="2B243327" w14:textId="58210F68" w:rsidR="000C73A3" w:rsidRDefault="000C73A3" w:rsidP="000C73A3">
      <w:pPr>
        <w:rPr>
          <w:rFonts w:ascii="Arial" w:hAnsi="Arial" w:cs="Arial"/>
        </w:rPr>
      </w:pPr>
      <w:r>
        <w:rPr>
          <w:rFonts w:ascii="Arial" w:hAnsi="Arial" w:cs="Arial"/>
        </w:rPr>
        <w:t>This report was p</w:t>
      </w:r>
      <w:bookmarkStart w:id="1" w:name="_GoBack"/>
      <w:bookmarkEnd w:id="1"/>
      <w:r>
        <w:rPr>
          <w:rFonts w:ascii="Arial" w:hAnsi="Arial" w:cs="Arial"/>
        </w:rPr>
        <w:t xml:space="preserve">repared pro bono by Dr. Susie Balderston, Policy &amp; Training Director, Vision Sense (a 100% user-led organisation of disabled people in Tyne &amp; Wear).  </w:t>
      </w:r>
    </w:p>
    <w:p w14:paraId="3A996E2B" w14:textId="77777777" w:rsidR="000C73A3" w:rsidRDefault="000C73A3" w:rsidP="006F3C13">
      <w:pPr>
        <w:rPr>
          <w:rFonts w:ascii="Arial" w:hAnsi="Arial" w:cs="Arial"/>
        </w:rPr>
      </w:pPr>
    </w:p>
    <w:p w14:paraId="0C5C72E5" w14:textId="77777777" w:rsidR="00960D9B" w:rsidRDefault="00960D9B" w:rsidP="006F3C13">
      <w:pPr>
        <w:rPr>
          <w:rFonts w:ascii="Arial" w:hAnsi="Arial" w:cs="Arial"/>
        </w:rPr>
      </w:pPr>
    </w:p>
    <w:p w14:paraId="51B083DF" w14:textId="77777777" w:rsidR="00960D9B" w:rsidRDefault="00960D9B" w:rsidP="006F3C13">
      <w:pPr>
        <w:rPr>
          <w:rFonts w:ascii="Arial" w:hAnsi="Arial" w:cs="Arial"/>
        </w:rPr>
      </w:pPr>
    </w:p>
    <w:p w14:paraId="10234DE1" w14:textId="77777777" w:rsidR="000A4DB1" w:rsidRDefault="000A4DB1" w:rsidP="006F3C13">
      <w:pPr>
        <w:rPr>
          <w:rFonts w:ascii="Arial" w:hAnsi="Arial" w:cs="Arial"/>
        </w:rPr>
      </w:pPr>
    </w:p>
    <w:p w14:paraId="5830E3CE" w14:textId="77777777" w:rsidR="00960D9B" w:rsidRDefault="00960D9B">
      <w:pPr>
        <w:rPr>
          <w:rFonts w:ascii="Arial" w:eastAsia="Times New Roman" w:hAnsi="Arial" w:cs="Arial"/>
          <w:b/>
          <w:bCs/>
          <w:lang w:val="en-GB"/>
        </w:rPr>
      </w:pPr>
      <w:r>
        <w:rPr>
          <w:rFonts w:ascii="Arial" w:hAnsi="Arial" w:cs="Arial"/>
        </w:rPr>
        <w:br w:type="page"/>
      </w:r>
    </w:p>
    <w:p w14:paraId="1E46F707" w14:textId="5E40A3D7" w:rsidR="000A4DB1" w:rsidRPr="0099200D" w:rsidRDefault="0055410A" w:rsidP="0099200D">
      <w:pPr>
        <w:pStyle w:val="Heading3"/>
        <w:rPr>
          <w:rFonts w:ascii="Arial" w:hAnsi="Arial" w:cs="Arial"/>
          <w:sz w:val="24"/>
          <w:szCs w:val="24"/>
        </w:rPr>
      </w:pPr>
      <w:r w:rsidRPr="00404CDD">
        <w:rPr>
          <w:rFonts w:ascii="Arial" w:hAnsi="Arial" w:cs="Arial"/>
          <w:sz w:val="24"/>
          <w:szCs w:val="24"/>
        </w:rPr>
        <w:lastRenderedPageBreak/>
        <w:t>Article 6 - Women with disabilities</w:t>
      </w:r>
      <w:bookmarkEnd w:id="0"/>
    </w:p>
    <w:p w14:paraId="01C520AC" w14:textId="77777777" w:rsidR="00226C6E" w:rsidRDefault="000A4DB1" w:rsidP="00BA02CA">
      <w:pPr>
        <w:pStyle w:val="NormalWeb"/>
        <w:shd w:val="clear" w:color="auto" w:fill="FFFFFF"/>
        <w:spacing w:before="0" w:beforeAutospacing="0" w:after="120" w:afterAutospacing="0" w:line="288" w:lineRule="atLeast"/>
        <w:textAlignment w:val="baseline"/>
        <w:rPr>
          <w:rFonts w:asciiTheme="majorHAnsi" w:hAnsiTheme="majorHAnsi"/>
        </w:rPr>
      </w:pPr>
      <w:r w:rsidRPr="00167E21">
        <w:rPr>
          <w:rFonts w:asciiTheme="majorHAnsi" w:hAnsiTheme="majorHAnsi"/>
        </w:rPr>
        <w:t xml:space="preserve">Gemma Hayter, a disabled woman, was murdered in Warwickshire on 9 August 2010. Gemma was known to services, but did not have a diagnosis label, so did not receive the Police or Local Authority services she needed to protect her right to life under Article 2 of </w:t>
      </w:r>
      <w:r w:rsidR="00167E21" w:rsidRPr="00167E21">
        <w:rPr>
          <w:rFonts w:asciiTheme="majorHAnsi" w:hAnsiTheme="majorHAnsi"/>
          <w:color w:val="000000"/>
        </w:rPr>
        <w:t>ECHR or Article 10 of CRPD</w:t>
      </w:r>
      <w:r w:rsidRPr="00167E21">
        <w:rPr>
          <w:rStyle w:val="FootnoteReference"/>
          <w:rFonts w:asciiTheme="majorHAnsi" w:hAnsiTheme="majorHAnsi"/>
          <w:color w:val="000000"/>
        </w:rPr>
        <w:footnoteReference w:id="1"/>
      </w:r>
      <w:r w:rsidRPr="00167E21">
        <w:rPr>
          <w:rFonts w:asciiTheme="majorHAnsi" w:hAnsiTheme="majorHAnsi"/>
          <w:color w:val="000000"/>
        </w:rPr>
        <w:t xml:space="preserve">.  </w:t>
      </w:r>
      <w:r w:rsidRPr="00167E21">
        <w:rPr>
          <w:rFonts w:asciiTheme="majorHAnsi" w:hAnsiTheme="majorHAnsi"/>
        </w:rPr>
        <w:t>Safety and security risk</w:t>
      </w:r>
      <w:r>
        <w:rPr>
          <w:rFonts w:asciiTheme="majorHAnsi" w:hAnsiTheme="majorHAnsi"/>
        </w:rPr>
        <w:t xml:space="preserve"> </w:t>
      </w:r>
      <w:r w:rsidRPr="00BC54C1">
        <w:rPr>
          <w:rFonts w:asciiTheme="majorHAnsi" w:hAnsiTheme="majorHAnsi"/>
        </w:rPr>
        <w:t xml:space="preserve">assessments were not made before her case was closed and assumptions about her capacity were not tested.  </w:t>
      </w:r>
      <w:r w:rsidR="00960D9B">
        <w:rPr>
          <w:rFonts w:asciiTheme="majorHAnsi" w:hAnsiTheme="majorHAnsi" w:cs="Arial"/>
          <w:bCs/>
          <w:color w:val="545454"/>
          <w:shd w:val="clear" w:color="auto" w:fill="FFFFFF"/>
        </w:rPr>
        <w:t>Francec</w:t>
      </w:r>
      <w:r w:rsidRPr="00BC54C1">
        <w:rPr>
          <w:rFonts w:asciiTheme="majorHAnsi" w:hAnsiTheme="majorHAnsi" w:cs="Arial"/>
          <w:bCs/>
          <w:color w:val="545454"/>
          <w:shd w:val="clear" w:color="auto" w:fill="FFFFFF"/>
        </w:rPr>
        <w:t xml:space="preserve">ca Hardwick, </w:t>
      </w:r>
      <w:r w:rsidRPr="00BC54C1">
        <w:rPr>
          <w:rFonts w:asciiTheme="majorHAnsi" w:hAnsiTheme="majorHAnsi"/>
        </w:rPr>
        <w:t xml:space="preserve">a disabled </w:t>
      </w:r>
      <w:r>
        <w:rPr>
          <w:rFonts w:asciiTheme="majorHAnsi" w:hAnsiTheme="majorHAnsi"/>
        </w:rPr>
        <w:t xml:space="preserve">18 year </w:t>
      </w:r>
      <w:r w:rsidRPr="00BC54C1">
        <w:rPr>
          <w:rFonts w:asciiTheme="majorHAnsi" w:hAnsiTheme="majorHAnsi"/>
        </w:rPr>
        <w:t xml:space="preserve">woman, was </w:t>
      </w:r>
      <w:r>
        <w:rPr>
          <w:rFonts w:asciiTheme="majorHAnsi" w:hAnsiTheme="majorHAnsi"/>
        </w:rPr>
        <w:t xml:space="preserve">unlawfully </w:t>
      </w:r>
      <w:r w:rsidRPr="00BC54C1">
        <w:rPr>
          <w:rFonts w:asciiTheme="majorHAnsi" w:hAnsiTheme="majorHAnsi"/>
        </w:rPr>
        <w:t>killed by her mother</w:t>
      </w:r>
      <w:r>
        <w:rPr>
          <w:rFonts w:asciiTheme="majorHAnsi" w:hAnsiTheme="majorHAnsi"/>
        </w:rPr>
        <w:t>, Fiona Pilkington,</w:t>
      </w:r>
      <w:r w:rsidRPr="00BC54C1">
        <w:rPr>
          <w:rFonts w:asciiTheme="majorHAnsi" w:hAnsiTheme="majorHAnsi"/>
        </w:rPr>
        <w:t xml:space="preserve"> in Leicestershire</w:t>
      </w:r>
      <w:r>
        <w:rPr>
          <w:rFonts w:asciiTheme="majorHAnsi" w:hAnsiTheme="majorHAnsi"/>
        </w:rPr>
        <w:t xml:space="preserve"> in 2009</w:t>
      </w:r>
      <w:r w:rsidRPr="00BC54C1">
        <w:rPr>
          <w:rFonts w:asciiTheme="majorHAnsi" w:hAnsiTheme="majorHAnsi"/>
        </w:rPr>
        <w:t xml:space="preserve">, after Police and services failed to respond to </w:t>
      </w:r>
      <w:r>
        <w:rPr>
          <w:rFonts w:asciiTheme="majorHAnsi" w:hAnsiTheme="majorHAnsi"/>
        </w:rPr>
        <w:t>concerns and regular hate crimes against the family</w:t>
      </w:r>
      <w:r w:rsidRPr="00BC54C1">
        <w:rPr>
          <w:rFonts w:asciiTheme="majorHAnsi" w:hAnsiTheme="majorHAnsi"/>
        </w:rPr>
        <w:t>.  The</w:t>
      </w:r>
      <w:r>
        <w:rPr>
          <w:rFonts w:asciiTheme="majorHAnsi" w:hAnsiTheme="majorHAnsi"/>
        </w:rPr>
        <w:t xml:space="preserve"> safeguarding system is inadequate and does not recognise a large number of low-level triggers</w:t>
      </w:r>
      <w:r>
        <w:rPr>
          <w:rStyle w:val="FootnoteReference"/>
          <w:rFonts w:asciiTheme="majorHAnsi" w:hAnsiTheme="majorHAnsi"/>
        </w:rPr>
        <w:footnoteReference w:id="2"/>
      </w:r>
      <w:r>
        <w:rPr>
          <w:rFonts w:asciiTheme="majorHAnsi" w:hAnsiTheme="majorHAnsi"/>
        </w:rPr>
        <w:t>.  Calls to Police over ten years by Fiona Pilkington were not linked or prioritized</w:t>
      </w:r>
      <w:r>
        <w:rPr>
          <w:rStyle w:val="FootnoteReference"/>
          <w:rFonts w:asciiTheme="majorHAnsi" w:hAnsiTheme="majorHAnsi"/>
        </w:rPr>
        <w:footnoteReference w:id="3"/>
      </w:r>
      <w:r>
        <w:rPr>
          <w:rFonts w:asciiTheme="majorHAnsi" w:hAnsiTheme="majorHAnsi"/>
        </w:rPr>
        <w:t>.</w:t>
      </w:r>
      <w:r w:rsidR="00BA02CA">
        <w:rPr>
          <w:rFonts w:asciiTheme="majorHAnsi" w:hAnsiTheme="majorHAnsi"/>
        </w:rPr>
        <w:t xml:space="preserve">  </w:t>
      </w:r>
    </w:p>
    <w:p w14:paraId="31DE4F04" w14:textId="620A24B1" w:rsidR="007E5CDD" w:rsidRPr="00BA02CA" w:rsidRDefault="00167E21" w:rsidP="00BA02CA">
      <w:pPr>
        <w:pStyle w:val="NormalWeb"/>
        <w:shd w:val="clear" w:color="auto" w:fill="FFFFFF"/>
        <w:spacing w:before="0" w:beforeAutospacing="0" w:after="120" w:afterAutospacing="0" w:line="288" w:lineRule="atLeast"/>
        <w:textAlignment w:val="baseline"/>
        <w:rPr>
          <w:rFonts w:asciiTheme="majorHAnsi" w:hAnsiTheme="majorHAnsi"/>
        </w:rPr>
      </w:pPr>
      <w:r w:rsidRPr="00BA02CA">
        <w:rPr>
          <w:rFonts w:asciiTheme="majorHAnsi" w:hAnsiTheme="majorHAnsi" w:cs="Arial"/>
        </w:rPr>
        <w:t xml:space="preserve">These were not isolated cases.  </w:t>
      </w:r>
      <w:r w:rsidR="00784A22" w:rsidRPr="00BA02CA">
        <w:rPr>
          <w:rFonts w:asciiTheme="majorHAnsi" w:hAnsiTheme="majorHAnsi" w:cs="Arial"/>
        </w:rPr>
        <w:t>Research shows</w:t>
      </w:r>
      <w:r w:rsidR="00B50D15" w:rsidRPr="00BA02CA">
        <w:rPr>
          <w:rFonts w:asciiTheme="majorHAnsi" w:hAnsiTheme="majorHAnsi" w:cs="Arial"/>
        </w:rPr>
        <w:t xml:space="preserve"> that disabled women are </w:t>
      </w:r>
      <w:r w:rsidR="00B50D15" w:rsidRPr="00BA02CA">
        <w:rPr>
          <w:rFonts w:asciiTheme="majorHAnsi" w:hAnsiTheme="majorHAnsi"/>
        </w:rPr>
        <w:t>between twice</w:t>
      </w:r>
      <w:r w:rsidR="00B50D15" w:rsidRPr="00B50D15">
        <w:rPr>
          <w:rStyle w:val="FootnoteReference"/>
          <w:rFonts w:asciiTheme="majorHAnsi" w:hAnsiTheme="majorHAnsi"/>
        </w:rPr>
        <w:footnoteReference w:id="4"/>
      </w:r>
      <w:r w:rsidR="0099200D" w:rsidRPr="00BA02CA">
        <w:rPr>
          <w:rFonts w:asciiTheme="majorHAnsi" w:hAnsiTheme="majorHAnsi"/>
        </w:rPr>
        <w:t>, thrice</w:t>
      </w:r>
      <w:r w:rsidR="0099200D">
        <w:rPr>
          <w:rStyle w:val="FootnoteReference"/>
          <w:rFonts w:asciiTheme="majorHAnsi" w:hAnsiTheme="majorHAnsi"/>
        </w:rPr>
        <w:footnoteReference w:id="5"/>
      </w:r>
      <w:r w:rsidR="00784A22">
        <w:rPr>
          <w:rStyle w:val="FootnoteReference"/>
          <w:rFonts w:asciiTheme="majorHAnsi" w:hAnsiTheme="majorHAnsi"/>
        </w:rPr>
        <w:footnoteReference w:id="6"/>
      </w:r>
      <w:r w:rsidR="00784A22" w:rsidRPr="00BA02CA">
        <w:rPr>
          <w:rFonts w:ascii="Arial" w:hAnsi="Arial" w:cs="Arial"/>
          <w:sz w:val="28"/>
          <w:szCs w:val="28"/>
        </w:rPr>
        <w:t xml:space="preserve"> </w:t>
      </w:r>
      <w:r w:rsidR="00784A22" w:rsidRPr="00BA02CA">
        <w:rPr>
          <w:rFonts w:asciiTheme="majorHAnsi" w:hAnsiTheme="majorHAnsi"/>
        </w:rPr>
        <w:t>or</w:t>
      </w:r>
      <w:r w:rsidR="00B50D15" w:rsidRPr="00BA02CA">
        <w:rPr>
          <w:rFonts w:asciiTheme="majorHAnsi" w:hAnsiTheme="majorHAnsi"/>
        </w:rPr>
        <w:t xml:space="preserve"> four times</w:t>
      </w:r>
      <w:r w:rsidR="00B50D15" w:rsidRPr="00B50D15">
        <w:rPr>
          <w:rStyle w:val="FootnoteReference"/>
          <w:rFonts w:asciiTheme="majorHAnsi" w:hAnsiTheme="majorHAnsi"/>
        </w:rPr>
        <w:footnoteReference w:id="7"/>
      </w:r>
      <w:r w:rsidR="00B50D15" w:rsidRPr="00BA02CA">
        <w:rPr>
          <w:rFonts w:asciiTheme="majorHAnsi" w:hAnsiTheme="majorHAnsi"/>
        </w:rPr>
        <w:t xml:space="preserve"> more likely to experience serious sexual assault than either disabled men</w:t>
      </w:r>
      <w:r w:rsidR="00784A22">
        <w:rPr>
          <w:rStyle w:val="FootnoteReference"/>
          <w:rFonts w:asciiTheme="majorHAnsi" w:hAnsiTheme="majorHAnsi"/>
        </w:rPr>
        <w:footnoteReference w:id="8"/>
      </w:r>
      <w:r w:rsidR="00B50D15" w:rsidRPr="00BA02CA">
        <w:rPr>
          <w:rFonts w:asciiTheme="majorHAnsi" w:hAnsiTheme="majorHAnsi"/>
        </w:rPr>
        <w:t xml:space="preserve"> or non-disabled women, </w:t>
      </w:r>
      <w:r w:rsidR="0099200D" w:rsidRPr="00BA02CA">
        <w:rPr>
          <w:rFonts w:asciiTheme="majorHAnsi" w:hAnsiTheme="majorHAnsi"/>
        </w:rPr>
        <w:t xml:space="preserve">but </w:t>
      </w:r>
      <w:r w:rsidR="00B50D15" w:rsidRPr="00BA02CA">
        <w:rPr>
          <w:rFonts w:asciiTheme="majorHAnsi" w:hAnsiTheme="majorHAnsi"/>
        </w:rPr>
        <w:t>it may be as high as ten times the risk</w:t>
      </w:r>
      <w:r w:rsidR="00B50D15" w:rsidRPr="00B50D15">
        <w:rPr>
          <w:rStyle w:val="FootnoteReference"/>
          <w:rFonts w:asciiTheme="majorHAnsi" w:hAnsiTheme="majorHAnsi"/>
        </w:rPr>
        <w:footnoteReference w:id="9"/>
      </w:r>
      <w:r w:rsidR="00B50D15" w:rsidRPr="00BA02CA">
        <w:rPr>
          <w:rFonts w:asciiTheme="majorHAnsi" w:hAnsiTheme="majorHAnsi"/>
        </w:rPr>
        <w:t xml:space="preserve">. </w:t>
      </w:r>
      <w:r w:rsidR="00226C6E">
        <w:rPr>
          <w:rFonts w:asciiTheme="majorHAnsi" w:hAnsiTheme="majorHAnsi"/>
        </w:rPr>
        <w:t>Almost 60% of safeguarding alerts involving disabled adults are about disabled women.</w:t>
      </w:r>
      <w:r w:rsidR="00226C6E">
        <w:rPr>
          <w:rStyle w:val="FootnoteReference"/>
          <w:rFonts w:asciiTheme="majorHAnsi" w:hAnsiTheme="majorHAnsi"/>
        </w:rPr>
        <w:footnoteReference w:id="10"/>
      </w:r>
      <w:r w:rsidR="00B50D15" w:rsidRPr="00BA02CA">
        <w:rPr>
          <w:rFonts w:asciiTheme="majorHAnsi" w:hAnsiTheme="majorHAnsi"/>
        </w:rPr>
        <w:t>The victim prevalence of rape is reported as being significantly higher for disabled women</w:t>
      </w:r>
      <w:r w:rsidR="00BA02CA">
        <w:rPr>
          <w:rFonts w:asciiTheme="majorHAnsi" w:hAnsiTheme="majorHAnsi"/>
        </w:rPr>
        <w:t xml:space="preserve"> than non-disabled women</w:t>
      </w:r>
      <w:r w:rsidR="00B50D15" w:rsidRPr="00B50D15">
        <w:rPr>
          <w:rStyle w:val="FootnoteReference"/>
          <w:rFonts w:asciiTheme="majorHAnsi" w:hAnsiTheme="majorHAnsi"/>
        </w:rPr>
        <w:footnoteReference w:id="11"/>
      </w:r>
      <w:r w:rsidR="007E5CDD" w:rsidRPr="00BA02CA">
        <w:rPr>
          <w:rFonts w:asciiTheme="majorHAnsi" w:hAnsiTheme="majorHAnsi"/>
        </w:rPr>
        <w:t>. Al</w:t>
      </w:r>
      <w:r w:rsidR="00B50D15" w:rsidRPr="00BA02CA">
        <w:rPr>
          <w:rFonts w:asciiTheme="majorHAnsi" w:hAnsiTheme="majorHAnsi"/>
        </w:rPr>
        <w:t>though the specific figures are not released by the State</w:t>
      </w:r>
      <w:r w:rsidR="007E5CDD" w:rsidRPr="00BA02CA">
        <w:rPr>
          <w:rFonts w:asciiTheme="majorHAnsi" w:hAnsiTheme="majorHAnsi"/>
        </w:rPr>
        <w:t xml:space="preserve">, </w:t>
      </w:r>
      <w:r w:rsidR="007E5CDD" w:rsidRPr="00BA02CA">
        <w:rPr>
          <w:rFonts w:asciiTheme="majorHAnsi" w:hAnsiTheme="majorHAnsi" w:cs="Arial"/>
        </w:rPr>
        <w:t>a report by the Crown Prosecution Service Inspectorate examined 151 cases of rape cases and found that mental health and</w:t>
      </w:r>
      <w:r w:rsidR="007E5CDD" w:rsidRPr="00BA02CA">
        <w:rPr>
          <w:rFonts w:ascii="Arial" w:hAnsi="Arial" w:cs="Arial"/>
          <w:sz w:val="28"/>
          <w:szCs w:val="28"/>
        </w:rPr>
        <w:t xml:space="preserve"> </w:t>
      </w:r>
      <w:r w:rsidR="007E5CDD" w:rsidRPr="00BA02CA">
        <w:rPr>
          <w:rFonts w:asciiTheme="majorHAnsi" w:hAnsiTheme="majorHAnsi" w:cs="Arial"/>
        </w:rPr>
        <w:t>learning difficulties were 'frequently identified'</w:t>
      </w:r>
      <w:r w:rsidR="00BE6F11">
        <w:rPr>
          <w:rFonts w:asciiTheme="majorHAnsi" w:hAnsiTheme="majorHAnsi" w:cs="Arial"/>
        </w:rPr>
        <w:t xml:space="preserve"> </w:t>
      </w:r>
      <w:r w:rsidR="00BE6F11">
        <w:rPr>
          <w:rStyle w:val="FootnoteReference"/>
          <w:rFonts w:asciiTheme="majorHAnsi" w:hAnsiTheme="majorHAnsi" w:cs="Arial"/>
        </w:rPr>
        <w:footnoteReference w:id="12"/>
      </w:r>
      <w:r w:rsidR="00BE6F11">
        <w:rPr>
          <w:rFonts w:asciiTheme="majorHAnsi" w:hAnsiTheme="majorHAnsi"/>
        </w:rPr>
        <w:t xml:space="preserve"> </w:t>
      </w:r>
      <w:r w:rsidR="00BE6F11">
        <w:rPr>
          <w:rFonts w:asciiTheme="majorHAnsi" w:hAnsiTheme="majorHAnsi" w:cs="Arial"/>
        </w:rPr>
        <w:t>and rapes in psychiatric institutions were found by the National Patient Safety Agency, but agencies have not been clear about action taken to protect disabled women from rape</w:t>
      </w:r>
      <w:r w:rsidR="00BE6F11">
        <w:rPr>
          <w:rStyle w:val="FootnoteReference"/>
          <w:rFonts w:asciiTheme="majorHAnsi" w:hAnsiTheme="majorHAnsi" w:cs="Arial"/>
        </w:rPr>
        <w:footnoteReference w:id="13"/>
      </w:r>
      <w:r w:rsidR="00BE6F11">
        <w:rPr>
          <w:rFonts w:asciiTheme="majorHAnsi" w:hAnsiTheme="majorHAnsi" w:cs="Arial"/>
        </w:rPr>
        <w:t xml:space="preserve">. </w:t>
      </w:r>
    </w:p>
    <w:p w14:paraId="3C47E2B0" w14:textId="5139CF9B" w:rsidR="007E5CDD" w:rsidRPr="00D757F8" w:rsidRDefault="007E5CDD" w:rsidP="007E5CDD">
      <w:pPr>
        <w:pStyle w:val="ListParagraph"/>
        <w:spacing w:after="0" w:line="240" w:lineRule="auto"/>
        <w:ind w:left="644"/>
        <w:rPr>
          <w:rFonts w:ascii="Arial" w:hAnsi="Arial" w:cs="Arial"/>
          <w:sz w:val="28"/>
          <w:szCs w:val="28"/>
        </w:rPr>
      </w:pPr>
    </w:p>
    <w:p w14:paraId="2CBC73BA" w14:textId="1B20451D" w:rsidR="006F74F9" w:rsidRDefault="00B50D15" w:rsidP="00784A22">
      <w:pPr>
        <w:rPr>
          <w:rFonts w:asciiTheme="majorHAnsi" w:hAnsiTheme="majorHAnsi"/>
        </w:rPr>
      </w:pPr>
      <w:r w:rsidRPr="00B50D15">
        <w:rPr>
          <w:rFonts w:asciiTheme="majorHAnsi" w:hAnsiTheme="majorHAnsi"/>
        </w:rPr>
        <w:t>Academic research by disabled women in Universities shows the damage and effects on the victims and Survivors</w:t>
      </w:r>
      <w:r w:rsidR="00D66AE4">
        <w:rPr>
          <w:rFonts w:asciiTheme="majorHAnsi" w:hAnsiTheme="majorHAnsi"/>
        </w:rPr>
        <w:t xml:space="preserve"> of rape and hate crime. Women in psychiatric institutions and segregated residential </w:t>
      </w:r>
      <w:r w:rsidR="006F3C13">
        <w:rPr>
          <w:rFonts w:asciiTheme="majorHAnsi" w:hAnsiTheme="majorHAnsi"/>
        </w:rPr>
        <w:t>institutions</w:t>
      </w:r>
      <w:r w:rsidR="00D66AE4">
        <w:rPr>
          <w:rFonts w:asciiTheme="majorHAnsi" w:hAnsiTheme="majorHAnsi"/>
        </w:rPr>
        <w:t xml:space="preserve"> reported the worst risk of escalating and violent treatment</w:t>
      </w:r>
      <w:r w:rsidR="00A67163">
        <w:rPr>
          <w:rFonts w:asciiTheme="majorHAnsi" w:hAnsiTheme="majorHAnsi"/>
        </w:rPr>
        <w:t>, neglect, sexual extortion and rape</w:t>
      </w:r>
      <w:r w:rsidRPr="00B50D15">
        <w:rPr>
          <w:rStyle w:val="FootnoteReference"/>
          <w:rFonts w:asciiTheme="majorHAnsi" w:hAnsiTheme="majorHAnsi"/>
        </w:rPr>
        <w:footnoteReference w:id="14"/>
      </w:r>
      <w:r w:rsidRPr="00B50D15">
        <w:rPr>
          <w:rFonts w:asciiTheme="majorHAnsi" w:hAnsiTheme="majorHAnsi"/>
        </w:rPr>
        <w:t xml:space="preserve">.  </w:t>
      </w:r>
    </w:p>
    <w:p w14:paraId="12634C02" w14:textId="77777777" w:rsidR="006F74F9" w:rsidRDefault="006F74F9" w:rsidP="00784A22">
      <w:pPr>
        <w:rPr>
          <w:rFonts w:asciiTheme="majorHAnsi" w:hAnsiTheme="majorHAnsi"/>
        </w:rPr>
      </w:pPr>
    </w:p>
    <w:p w14:paraId="02724F50" w14:textId="30994F61" w:rsidR="00167E21" w:rsidRPr="00784A22" w:rsidRDefault="00167E21" w:rsidP="00784A22">
      <w:pPr>
        <w:rPr>
          <w:rFonts w:ascii="Arial" w:hAnsi="Arial" w:cs="Arial"/>
          <w:sz w:val="28"/>
          <w:szCs w:val="28"/>
        </w:rPr>
      </w:pPr>
      <w:r>
        <w:rPr>
          <w:rFonts w:asciiTheme="majorHAnsi" w:hAnsiTheme="majorHAnsi"/>
        </w:rPr>
        <w:t>Despite this disproportionate impact of violence neglect and abuse against disabled women and girls, there is only one passing and inadequate mention of violence against disabled women and girls in the State Action Plan</w:t>
      </w:r>
      <w:r>
        <w:rPr>
          <w:rStyle w:val="FootnoteReference"/>
          <w:rFonts w:asciiTheme="majorHAnsi" w:hAnsiTheme="majorHAnsi"/>
        </w:rPr>
        <w:footnoteReference w:id="15"/>
      </w:r>
      <w:r>
        <w:rPr>
          <w:rFonts w:asciiTheme="majorHAnsi" w:hAnsiTheme="majorHAnsi"/>
        </w:rPr>
        <w:t>.</w:t>
      </w:r>
      <w:r w:rsidR="00784A22">
        <w:rPr>
          <w:rFonts w:asciiTheme="majorHAnsi" w:hAnsiTheme="majorHAnsi"/>
        </w:rPr>
        <w:t xml:space="preserve">  Mainstream services after VAWG, even those seen as best practice</w:t>
      </w:r>
      <w:r w:rsidR="00784A22">
        <w:rPr>
          <w:rStyle w:val="FootnoteReference"/>
          <w:rFonts w:asciiTheme="majorHAnsi" w:hAnsiTheme="majorHAnsi"/>
        </w:rPr>
        <w:footnoteReference w:id="16"/>
      </w:r>
      <w:r w:rsidR="00784A22">
        <w:rPr>
          <w:rFonts w:asciiTheme="majorHAnsi" w:hAnsiTheme="majorHAnsi"/>
        </w:rPr>
        <w:t>, do not serve disabled women</w:t>
      </w:r>
      <w:r w:rsidR="00784A22">
        <w:rPr>
          <w:rStyle w:val="FootnoteReference"/>
          <w:rFonts w:asciiTheme="majorHAnsi" w:hAnsiTheme="majorHAnsi"/>
        </w:rPr>
        <w:footnoteReference w:id="17"/>
      </w:r>
      <w:r w:rsidR="0096442F">
        <w:rPr>
          <w:rFonts w:asciiTheme="majorHAnsi" w:hAnsiTheme="majorHAnsi"/>
        </w:rPr>
        <w:t xml:space="preserve"> and disabled women cannot easily </w:t>
      </w:r>
      <w:r w:rsidR="00D41A93">
        <w:rPr>
          <w:rFonts w:asciiTheme="majorHAnsi" w:hAnsiTheme="majorHAnsi"/>
        </w:rPr>
        <w:t xml:space="preserve">access support or </w:t>
      </w:r>
      <w:r w:rsidR="0096442F">
        <w:rPr>
          <w:rFonts w:asciiTheme="majorHAnsi" w:hAnsiTheme="majorHAnsi"/>
        </w:rPr>
        <w:t>escape violence</w:t>
      </w:r>
      <w:r w:rsidR="00D41A93">
        <w:rPr>
          <w:rStyle w:val="FootnoteReference"/>
          <w:rFonts w:asciiTheme="majorHAnsi" w:hAnsiTheme="majorHAnsi"/>
        </w:rPr>
        <w:footnoteReference w:id="18"/>
      </w:r>
      <w:r w:rsidR="00784A22">
        <w:rPr>
          <w:rFonts w:asciiTheme="majorHAnsi" w:hAnsiTheme="majorHAnsi"/>
        </w:rPr>
        <w:t>.</w:t>
      </w:r>
    </w:p>
    <w:p w14:paraId="5E2AA483" w14:textId="77777777" w:rsidR="00D87F9B" w:rsidRDefault="00D87F9B" w:rsidP="00167E21">
      <w:pPr>
        <w:pStyle w:val="NormalWeb"/>
        <w:shd w:val="clear" w:color="auto" w:fill="FFFFFF"/>
        <w:spacing w:before="0" w:beforeAutospacing="0" w:after="120" w:afterAutospacing="0" w:line="288" w:lineRule="atLeast"/>
        <w:textAlignment w:val="baseline"/>
        <w:rPr>
          <w:rFonts w:asciiTheme="majorHAnsi" w:hAnsiTheme="majorHAnsi"/>
        </w:rPr>
      </w:pPr>
    </w:p>
    <w:p w14:paraId="24F614E7" w14:textId="2CDAD91A" w:rsidR="00D87F9B" w:rsidRPr="00D87F9B" w:rsidRDefault="00D87F9B" w:rsidP="00167E21">
      <w:pPr>
        <w:pStyle w:val="NormalWeb"/>
        <w:shd w:val="clear" w:color="auto" w:fill="FFFFFF"/>
        <w:spacing w:before="0" w:beforeAutospacing="0" w:after="120" w:afterAutospacing="0" w:line="288" w:lineRule="atLeast"/>
        <w:textAlignment w:val="baseline"/>
        <w:rPr>
          <w:rFonts w:asciiTheme="majorHAnsi" w:hAnsiTheme="majorHAnsi"/>
          <w:b/>
          <w:color w:val="000000"/>
          <w:sz w:val="28"/>
          <w:szCs w:val="28"/>
        </w:rPr>
      </w:pPr>
      <w:r w:rsidRPr="00D87F9B">
        <w:rPr>
          <w:rFonts w:asciiTheme="majorHAnsi" w:hAnsiTheme="majorHAnsi"/>
          <w:b/>
          <w:sz w:val="28"/>
          <w:szCs w:val="28"/>
        </w:rPr>
        <w:t xml:space="preserve">Q. How will the State address its systematic violation and failure to protect </w:t>
      </w:r>
      <w:r w:rsidR="0096442F">
        <w:rPr>
          <w:rFonts w:asciiTheme="majorHAnsi" w:hAnsiTheme="majorHAnsi"/>
          <w:b/>
          <w:sz w:val="28"/>
          <w:szCs w:val="28"/>
        </w:rPr>
        <w:t>disabled women</w:t>
      </w:r>
      <w:r w:rsidR="006F74F9">
        <w:rPr>
          <w:rFonts w:asciiTheme="majorHAnsi" w:hAnsiTheme="majorHAnsi"/>
          <w:b/>
          <w:sz w:val="28"/>
          <w:szCs w:val="28"/>
        </w:rPr>
        <w:t xml:space="preserve"> and ensure that rape against disabled women is </w:t>
      </w:r>
      <w:r w:rsidR="0096442F">
        <w:rPr>
          <w:rFonts w:asciiTheme="majorHAnsi" w:hAnsiTheme="majorHAnsi"/>
          <w:b/>
          <w:sz w:val="28"/>
          <w:szCs w:val="28"/>
        </w:rPr>
        <w:t>recognised and prosecuted</w:t>
      </w:r>
      <w:r w:rsidR="006F74F9">
        <w:rPr>
          <w:rFonts w:asciiTheme="majorHAnsi" w:hAnsiTheme="majorHAnsi"/>
          <w:b/>
          <w:sz w:val="28"/>
          <w:szCs w:val="28"/>
        </w:rPr>
        <w:t xml:space="preserve"> </w:t>
      </w:r>
      <w:r w:rsidR="0096442F">
        <w:rPr>
          <w:rFonts w:asciiTheme="majorHAnsi" w:hAnsiTheme="majorHAnsi"/>
          <w:b/>
          <w:sz w:val="28"/>
          <w:szCs w:val="28"/>
        </w:rPr>
        <w:t xml:space="preserve">appropriately </w:t>
      </w:r>
      <w:r w:rsidR="006F74F9">
        <w:rPr>
          <w:rFonts w:asciiTheme="majorHAnsi" w:hAnsiTheme="majorHAnsi"/>
          <w:b/>
          <w:sz w:val="28"/>
          <w:szCs w:val="28"/>
        </w:rPr>
        <w:t xml:space="preserve">as a </w:t>
      </w:r>
      <w:r w:rsidR="0096442F">
        <w:rPr>
          <w:rFonts w:asciiTheme="majorHAnsi" w:hAnsiTheme="majorHAnsi"/>
          <w:b/>
          <w:sz w:val="28"/>
          <w:szCs w:val="28"/>
        </w:rPr>
        <w:t xml:space="preserve">hostility related </w:t>
      </w:r>
      <w:r w:rsidR="006F74F9">
        <w:rPr>
          <w:rFonts w:asciiTheme="majorHAnsi" w:hAnsiTheme="majorHAnsi"/>
          <w:b/>
          <w:sz w:val="28"/>
          <w:szCs w:val="28"/>
        </w:rPr>
        <w:t>disability issue</w:t>
      </w:r>
      <w:r w:rsidR="006F74F9">
        <w:rPr>
          <w:rStyle w:val="FootnoteReference"/>
          <w:rFonts w:asciiTheme="majorHAnsi" w:hAnsiTheme="majorHAnsi"/>
          <w:b/>
          <w:sz w:val="28"/>
          <w:szCs w:val="28"/>
        </w:rPr>
        <w:footnoteReference w:id="19"/>
      </w:r>
      <w:r w:rsidRPr="00D87F9B">
        <w:rPr>
          <w:rFonts w:asciiTheme="majorHAnsi" w:hAnsiTheme="majorHAnsi"/>
          <w:b/>
          <w:sz w:val="28"/>
          <w:szCs w:val="28"/>
        </w:rPr>
        <w:t>?</w:t>
      </w:r>
    </w:p>
    <w:p w14:paraId="4D920C0F" w14:textId="082D496F" w:rsidR="00A67163" w:rsidRPr="00D87F9B" w:rsidRDefault="000A4DB1" w:rsidP="000A4DB1">
      <w:pPr>
        <w:pStyle w:val="NormalWeb"/>
        <w:shd w:val="clear" w:color="auto" w:fill="FFFFFF"/>
        <w:spacing w:after="120" w:line="288" w:lineRule="atLeast"/>
        <w:textAlignment w:val="baseline"/>
        <w:rPr>
          <w:rFonts w:asciiTheme="majorHAnsi" w:hAnsiTheme="majorHAnsi"/>
          <w:b/>
          <w:color w:val="000000"/>
          <w:sz w:val="28"/>
          <w:szCs w:val="28"/>
        </w:rPr>
      </w:pPr>
      <w:r w:rsidRPr="00D87F9B">
        <w:rPr>
          <w:rFonts w:asciiTheme="majorHAnsi" w:hAnsiTheme="majorHAnsi"/>
          <w:b/>
          <w:color w:val="000000"/>
          <w:sz w:val="28"/>
          <w:szCs w:val="28"/>
        </w:rPr>
        <w:t>Q. How will the S</w:t>
      </w:r>
      <w:r w:rsidR="008C4CEA" w:rsidRPr="00D87F9B">
        <w:rPr>
          <w:rFonts w:asciiTheme="majorHAnsi" w:hAnsiTheme="majorHAnsi"/>
          <w:b/>
          <w:color w:val="000000"/>
          <w:sz w:val="28"/>
          <w:szCs w:val="28"/>
        </w:rPr>
        <w:t xml:space="preserve">tate ensure that the Police and CPS </w:t>
      </w:r>
      <w:r w:rsidRPr="00D87F9B">
        <w:rPr>
          <w:rFonts w:asciiTheme="majorHAnsi" w:hAnsiTheme="majorHAnsi"/>
          <w:b/>
          <w:color w:val="000000"/>
          <w:sz w:val="28"/>
          <w:szCs w:val="28"/>
        </w:rPr>
        <w:t>improve their investigation</w:t>
      </w:r>
      <w:r w:rsidR="008C4CEA" w:rsidRPr="00D87F9B">
        <w:rPr>
          <w:rFonts w:asciiTheme="majorHAnsi" w:hAnsiTheme="majorHAnsi"/>
          <w:b/>
          <w:color w:val="000000"/>
          <w:sz w:val="28"/>
          <w:szCs w:val="28"/>
        </w:rPr>
        <w:t xml:space="preserve"> and prose</w:t>
      </w:r>
      <w:r w:rsidRPr="00D87F9B">
        <w:rPr>
          <w:rFonts w:asciiTheme="majorHAnsi" w:hAnsiTheme="majorHAnsi"/>
          <w:b/>
          <w:color w:val="000000"/>
          <w:sz w:val="28"/>
          <w:szCs w:val="28"/>
        </w:rPr>
        <w:t>cution</w:t>
      </w:r>
      <w:r w:rsidR="008C4CEA" w:rsidRPr="00D87F9B">
        <w:rPr>
          <w:rFonts w:asciiTheme="majorHAnsi" w:hAnsiTheme="majorHAnsi"/>
          <w:b/>
          <w:color w:val="000000"/>
          <w:sz w:val="28"/>
          <w:szCs w:val="28"/>
        </w:rPr>
        <w:t xml:space="preserve"> in local authority safeguarding cases involving violence and neglect </w:t>
      </w:r>
      <w:r w:rsidRPr="00D87F9B">
        <w:rPr>
          <w:rFonts w:asciiTheme="majorHAnsi" w:hAnsiTheme="majorHAnsi"/>
          <w:b/>
          <w:color w:val="000000"/>
          <w:sz w:val="28"/>
          <w:szCs w:val="28"/>
        </w:rPr>
        <w:t>against</w:t>
      </w:r>
      <w:r w:rsidR="008C4CEA" w:rsidRPr="00D87F9B">
        <w:rPr>
          <w:rFonts w:asciiTheme="majorHAnsi" w:hAnsiTheme="majorHAnsi"/>
          <w:b/>
          <w:color w:val="000000"/>
          <w:sz w:val="28"/>
          <w:szCs w:val="28"/>
        </w:rPr>
        <w:t xml:space="preserve"> disabled women</w:t>
      </w:r>
      <w:r w:rsidRPr="00D87F9B">
        <w:rPr>
          <w:rFonts w:asciiTheme="majorHAnsi" w:hAnsiTheme="majorHAnsi"/>
          <w:b/>
          <w:color w:val="000000"/>
          <w:sz w:val="28"/>
          <w:szCs w:val="28"/>
        </w:rPr>
        <w:t xml:space="preserve"> and ensure the s.146 Criminal Justice Act provisions of hostility on the grounds of disability are consistently flagged</w:t>
      </w:r>
      <w:r w:rsidR="008C4CEA" w:rsidRPr="00D87F9B">
        <w:rPr>
          <w:rFonts w:asciiTheme="majorHAnsi" w:hAnsiTheme="majorHAnsi"/>
          <w:b/>
          <w:color w:val="000000"/>
          <w:sz w:val="28"/>
          <w:szCs w:val="28"/>
        </w:rPr>
        <w:t>?</w:t>
      </w:r>
      <w:bookmarkStart w:id="2" w:name="_Toc386038757"/>
    </w:p>
    <w:p w14:paraId="688C0D6F" w14:textId="435473C8" w:rsidR="000A4DB1" w:rsidRPr="00D87F9B" w:rsidRDefault="000A4DB1" w:rsidP="000A4DB1">
      <w:pPr>
        <w:pStyle w:val="NormalWeb"/>
        <w:shd w:val="clear" w:color="auto" w:fill="FFFFFF"/>
        <w:spacing w:after="120" w:line="288" w:lineRule="atLeast"/>
        <w:textAlignment w:val="baseline"/>
        <w:rPr>
          <w:rFonts w:asciiTheme="majorHAnsi" w:hAnsiTheme="majorHAnsi"/>
          <w:b/>
          <w:color w:val="000000"/>
          <w:sz w:val="28"/>
          <w:szCs w:val="28"/>
        </w:rPr>
      </w:pPr>
      <w:r w:rsidRPr="00D87F9B">
        <w:rPr>
          <w:rFonts w:asciiTheme="majorHAnsi" w:hAnsiTheme="majorHAnsi"/>
          <w:b/>
          <w:color w:val="000000"/>
          <w:sz w:val="28"/>
          <w:szCs w:val="28"/>
        </w:rPr>
        <w:t xml:space="preserve">Q. Why does England not fund or support any specialist provision for disabled women and girls after violence?  </w:t>
      </w:r>
      <w:r w:rsidR="00960D9B" w:rsidRPr="00D87F9B">
        <w:rPr>
          <w:rFonts w:asciiTheme="majorHAnsi" w:hAnsiTheme="majorHAnsi"/>
          <w:b/>
          <w:color w:val="000000"/>
          <w:sz w:val="28"/>
          <w:szCs w:val="28"/>
        </w:rPr>
        <w:t>What improvements will be made to address the inadequate</w:t>
      </w:r>
      <w:r w:rsidRPr="00D87F9B">
        <w:rPr>
          <w:rFonts w:asciiTheme="majorHAnsi" w:hAnsiTheme="majorHAnsi"/>
          <w:b/>
          <w:color w:val="000000"/>
          <w:sz w:val="28"/>
          <w:szCs w:val="28"/>
        </w:rPr>
        <w:t xml:space="preserve"> one mention of disabled women and girls in the state Action Plan on VAWG?</w:t>
      </w:r>
    </w:p>
    <w:p w14:paraId="76671135" w14:textId="759EF27B" w:rsidR="0055410A" w:rsidRPr="00AD01F3" w:rsidRDefault="00167E21" w:rsidP="00AD01F3">
      <w:pPr>
        <w:rPr>
          <w:rFonts w:ascii="Arial" w:eastAsia="Times New Roman" w:hAnsi="Arial" w:cs="Arial"/>
          <w:b/>
          <w:bCs/>
          <w:lang w:val="en-GB"/>
        </w:rPr>
      </w:pPr>
      <w:r>
        <w:rPr>
          <w:rFonts w:ascii="Arial" w:hAnsi="Arial" w:cs="Arial"/>
        </w:rPr>
        <w:br w:type="page"/>
      </w:r>
      <w:r w:rsidR="0055410A" w:rsidRPr="00AD01F3">
        <w:rPr>
          <w:rFonts w:ascii="Arial" w:hAnsi="Arial" w:cs="Arial"/>
          <w:b/>
        </w:rPr>
        <w:t>Article 7 - Children with disabilities</w:t>
      </w:r>
      <w:bookmarkEnd w:id="2"/>
    </w:p>
    <w:p w14:paraId="6BF29D8B" w14:textId="68CDE2A8" w:rsidR="007C3E1B" w:rsidRPr="00F30313" w:rsidRDefault="00B50D15" w:rsidP="007C3E1B">
      <w:pPr>
        <w:spacing w:before="100" w:beforeAutospacing="1" w:after="100" w:afterAutospacing="1"/>
        <w:outlineLvl w:val="1"/>
        <w:rPr>
          <w:rFonts w:asciiTheme="majorHAnsi" w:hAnsiTheme="majorHAnsi"/>
        </w:rPr>
      </w:pPr>
      <w:r w:rsidRPr="00F30313">
        <w:rPr>
          <w:rFonts w:asciiTheme="majorHAnsi" w:eastAsia="Times New Roman" w:hAnsiTheme="majorHAnsi" w:cs="Arial"/>
          <w:lang w:val="en-GB" w:eastAsia="en-GB"/>
        </w:rPr>
        <w:t xml:space="preserve">International </w:t>
      </w:r>
      <w:r w:rsidR="00F30313" w:rsidRPr="00F30313">
        <w:rPr>
          <w:rFonts w:asciiTheme="majorHAnsi" w:eastAsia="Times New Roman" w:hAnsiTheme="majorHAnsi" w:cs="Arial"/>
          <w:lang w:val="en-GB" w:eastAsia="en-GB"/>
        </w:rPr>
        <w:t>research</w:t>
      </w:r>
      <w:r w:rsidRPr="00F30313">
        <w:rPr>
          <w:rFonts w:asciiTheme="majorHAnsi" w:eastAsia="Times New Roman" w:hAnsiTheme="majorHAnsi" w:cs="Arial"/>
          <w:lang w:val="en-GB" w:eastAsia="en-GB"/>
        </w:rPr>
        <w:t xml:space="preserve"> show disabled children are </w:t>
      </w:r>
      <w:r w:rsidR="00F30313" w:rsidRPr="00F30313">
        <w:rPr>
          <w:rFonts w:asciiTheme="majorHAnsi" w:eastAsia="Times New Roman" w:hAnsiTheme="majorHAnsi" w:cs="Arial"/>
          <w:lang w:val="en-GB" w:eastAsia="en-GB"/>
        </w:rPr>
        <w:t xml:space="preserve">3.5 times more likely to experience violence and </w:t>
      </w:r>
      <w:r w:rsidR="00F30313" w:rsidRPr="00F30313">
        <w:rPr>
          <w:rStyle w:val="FootnoteReference"/>
          <w:rFonts w:asciiTheme="majorHAnsi" w:eastAsia="Times New Roman" w:hAnsiTheme="majorHAnsi" w:cs="Arial"/>
          <w:lang w:val="en-GB" w:eastAsia="en-GB"/>
        </w:rPr>
        <w:footnoteReference w:id="20"/>
      </w:r>
      <w:r w:rsidR="00F30313" w:rsidRPr="00F30313">
        <w:rPr>
          <w:rFonts w:asciiTheme="majorHAnsi" w:eastAsia="Times New Roman" w:hAnsiTheme="majorHAnsi" w:cs="Arial"/>
          <w:lang w:val="en-GB" w:eastAsia="en-GB"/>
        </w:rPr>
        <w:t>3.4</w:t>
      </w:r>
      <w:r w:rsidRPr="00F30313">
        <w:rPr>
          <w:rFonts w:asciiTheme="majorHAnsi" w:eastAsia="Times New Roman" w:hAnsiTheme="majorHAnsi" w:cs="Arial"/>
          <w:lang w:val="en-GB" w:eastAsia="en-GB"/>
        </w:rPr>
        <w:t xml:space="preserve"> times more likely to be </w:t>
      </w:r>
      <w:r w:rsidR="00F30313" w:rsidRPr="00F30313">
        <w:rPr>
          <w:rFonts w:asciiTheme="majorHAnsi" w:eastAsia="Times New Roman" w:hAnsiTheme="majorHAnsi" w:cs="Arial"/>
          <w:lang w:val="en-GB" w:eastAsia="en-GB"/>
        </w:rPr>
        <w:t>mal-treated and neglected</w:t>
      </w:r>
      <w:r w:rsidRPr="00F30313">
        <w:rPr>
          <w:rFonts w:asciiTheme="majorHAnsi" w:eastAsia="Times New Roman" w:hAnsiTheme="majorHAnsi" w:cs="Arial"/>
          <w:lang w:val="en-GB" w:eastAsia="en-GB"/>
        </w:rPr>
        <w:t xml:space="preserve"> than non-disabled children</w:t>
      </w:r>
      <w:r w:rsidR="00F30313" w:rsidRPr="00F30313">
        <w:rPr>
          <w:rStyle w:val="FootnoteReference"/>
          <w:rFonts w:asciiTheme="majorHAnsi" w:eastAsia="Times New Roman" w:hAnsiTheme="majorHAnsi" w:cs="Arial"/>
          <w:lang w:val="en-GB" w:eastAsia="en-GB"/>
        </w:rPr>
        <w:footnoteReference w:id="21"/>
      </w:r>
      <w:r w:rsidRPr="00F30313">
        <w:rPr>
          <w:rFonts w:asciiTheme="majorHAnsi" w:eastAsia="Times New Roman" w:hAnsiTheme="majorHAnsi" w:cs="Arial"/>
          <w:lang w:val="en-GB" w:eastAsia="en-GB"/>
        </w:rPr>
        <w:t>.</w:t>
      </w:r>
      <w:r w:rsidRPr="00F30313">
        <w:rPr>
          <w:rFonts w:asciiTheme="majorHAnsi" w:hAnsiTheme="majorHAnsi"/>
        </w:rPr>
        <w:t xml:space="preserve"> </w:t>
      </w:r>
      <w:r w:rsidR="007C3E1B" w:rsidRPr="00F30313">
        <w:rPr>
          <w:rFonts w:asciiTheme="majorHAnsi" w:hAnsiTheme="majorHAnsi"/>
        </w:rPr>
        <w:t>Disability is disproportionately associated with all forms of child abuse especially emotional abuse and neglect but there is still under reporting</w:t>
      </w:r>
      <w:r w:rsidR="007C3E1B" w:rsidRPr="00F30313">
        <w:rPr>
          <w:rStyle w:val="FootnoteReference"/>
          <w:rFonts w:asciiTheme="majorHAnsi" w:hAnsiTheme="majorHAnsi"/>
        </w:rPr>
        <w:footnoteReference w:id="22"/>
      </w:r>
      <w:r w:rsidR="007C3E1B" w:rsidRPr="00F30313">
        <w:rPr>
          <w:rFonts w:asciiTheme="majorHAnsi" w:hAnsiTheme="majorHAnsi"/>
        </w:rPr>
        <w:t xml:space="preserve">. The impact of gender on the relationship between disability and abuse is </w:t>
      </w:r>
      <w:r w:rsidR="00F30313" w:rsidRPr="00F30313">
        <w:rPr>
          <w:rFonts w:asciiTheme="majorHAnsi" w:hAnsiTheme="majorHAnsi"/>
        </w:rPr>
        <w:t>not yet</w:t>
      </w:r>
      <w:r w:rsidR="007C3E1B" w:rsidRPr="00F30313">
        <w:rPr>
          <w:rFonts w:asciiTheme="majorHAnsi" w:hAnsiTheme="majorHAnsi"/>
        </w:rPr>
        <w:t xml:space="preserve"> understood.  </w:t>
      </w:r>
    </w:p>
    <w:p w14:paraId="3D4C076C" w14:textId="2F3D1042" w:rsidR="00B610DB" w:rsidRPr="00F30313" w:rsidRDefault="00AE77D6" w:rsidP="007C3E1B">
      <w:pPr>
        <w:spacing w:before="100" w:beforeAutospacing="1" w:after="100" w:afterAutospacing="1"/>
        <w:outlineLvl w:val="1"/>
        <w:rPr>
          <w:rFonts w:asciiTheme="majorHAnsi" w:eastAsia="Times New Roman" w:hAnsiTheme="majorHAnsi" w:cs="Arial"/>
          <w:lang w:val="en-GB" w:eastAsia="en-GB"/>
        </w:rPr>
      </w:pPr>
      <w:r w:rsidRPr="00F30313">
        <w:rPr>
          <w:rFonts w:asciiTheme="majorHAnsi" w:eastAsia="Times New Roman" w:hAnsiTheme="majorHAnsi" w:cs="Arial"/>
          <w:lang w:val="en-GB" w:eastAsia="en-GB"/>
        </w:rPr>
        <w:t xml:space="preserve">Only 10% of </w:t>
      </w:r>
      <w:r w:rsidR="00B50D15" w:rsidRPr="00F30313">
        <w:rPr>
          <w:rFonts w:asciiTheme="majorHAnsi" w:eastAsia="Times New Roman" w:hAnsiTheme="majorHAnsi" w:cs="Arial"/>
          <w:lang w:val="en-GB" w:eastAsia="en-GB"/>
        </w:rPr>
        <w:t>A</w:t>
      </w:r>
      <w:r w:rsidRPr="00F30313">
        <w:rPr>
          <w:rFonts w:asciiTheme="majorHAnsi" w:eastAsia="Times New Roman" w:hAnsiTheme="majorHAnsi" w:cs="Arial"/>
          <w:lang w:val="en-GB" w:eastAsia="en-GB"/>
        </w:rPr>
        <w:t xml:space="preserve">rea </w:t>
      </w:r>
      <w:r w:rsidR="00B50D15" w:rsidRPr="00F30313">
        <w:rPr>
          <w:rFonts w:asciiTheme="majorHAnsi" w:eastAsia="Times New Roman" w:hAnsiTheme="majorHAnsi" w:cs="Arial"/>
          <w:lang w:val="en-GB" w:eastAsia="en-GB"/>
        </w:rPr>
        <w:t>C</w:t>
      </w:r>
      <w:r w:rsidRPr="00F30313">
        <w:rPr>
          <w:rFonts w:asciiTheme="majorHAnsi" w:eastAsia="Times New Roman" w:hAnsiTheme="majorHAnsi" w:cs="Arial"/>
          <w:lang w:val="en-GB" w:eastAsia="en-GB"/>
        </w:rPr>
        <w:t xml:space="preserve">hild </w:t>
      </w:r>
      <w:r w:rsidR="00B50D15" w:rsidRPr="00F30313">
        <w:rPr>
          <w:rFonts w:asciiTheme="majorHAnsi" w:eastAsia="Times New Roman" w:hAnsiTheme="majorHAnsi" w:cs="Arial"/>
          <w:lang w:val="en-GB" w:eastAsia="en-GB"/>
        </w:rPr>
        <w:t>P</w:t>
      </w:r>
      <w:r w:rsidRPr="00F30313">
        <w:rPr>
          <w:rFonts w:asciiTheme="majorHAnsi" w:eastAsia="Times New Roman" w:hAnsiTheme="majorHAnsi" w:cs="Arial"/>
          <w:lang w:val="en-GB" w:eastAsia="en-GB"/>
        </w:rPr>
        <w:t xml:space="preserve">rotection </w:t>
      </w:r>
      <w:r w:rsidR="00B50D15" w:rsidRPr="00F30313">
        <w:rPr>
          <w:rFonts w:asciiTheme="majorHAnsi" w:eastAsia="Times New Roman" w:hAnsiTheme="majorHAnsi" w:cs="Arial"/>
          <w:lang w:val="en-GB" w:eastAsia="en-GB"/>
        </w:rPr>
        <w:t>C</w:t>
      </w:r>
      <w:r w:rsidRPr="00F30313">
        <w:rPr>
          <w:rFonts w:asciiTheme="majorHAnsi" w:eastAsia="Times New Roman" w:hAnsiTheme="majorHAnsi" w:cs="Arial"/>
          <w:lang w:val="en-GB" w:eastAsia="en-GB"/>
        </w:rPr>
        <w:t>ommittee</w:t>
      </w:r>
      <w:r w:rsidR="00B50D15" w:rsidRPr="00F30313">
        <w:rPr>
          <w:rFonts w:asciiTheme="majorHAnsi" w:eastAsia="Times New Roman" w:hAnsiTheme="majorHAnsi" w:cs="Arial"/>
          <w:lang w:val="en-GB" w:eastAsia="en-GB"/>
        </w:rPr>
        <w:t xml:space="preserve">s </w:t>
      </w:r>
      <w:r w:rsidRPr="00F30313">
        <w:rPr>
          <w:rFonts w:asciiTheme="majorHAnsi" w:eastAsia="Times New Roman" w:hAnsiTheme="majorHAnsi" w:cs="Arial"/>
          <w:lang w:val="en-GB" w:eastAsia="en-GB"/>
        </w:rPr>
        <w:t>supply figures about</w:t>
      </w:r>
      <w:r w:rsidR="00B50D15" w:rsidRPr="00F30313">
        <w:rPr>
          <w:rFonts w:asciiTheme="majorHAnsi" w:eastAsia="Times New Roman" w:hAnsiTheme="majorHAnsi" w:cs="Arial"/>
          <w:lang w:val="en-GB" w:eastAsia="en-GB"/>
        </w:rPr>
        <w:t xml:space="preserve"> impairment </w:t>
      </w:r>
      <w:r w:rsidRPr="00F30313">
        <w:rPr>
          <w:rFonts w:asciiTheme="majorHAnsi" w:eastAsia="Times New Roman" w:hAnsiTheme="majorHAnsi" w:cs="Arial"/>
          <w:lang w:val="en-GB" w:eastAsia="en-GB"/>
        </w:rPr>
        <w:t>of</w:t>
      </w:r>
      <w:r w:rsidR="00B50D15" w:rsidRPr="00F30313">
        <w:rPr>
          <w:rFonts w:asciiTheme="majorHAnsi" w:eastAsia="Times New Roman" w:hAnsiTheme="majorHAnsi" w:cs="Arial"/>
          <w:lang w:val="en-GB" w:eastAsia="en-GB"/>
        </w:rPr>
        <w:t xml:space="preserve"> children placed on child protection registers</w:t>
      </w:r>
      <w:r w:rsidRPr="00F30313">
        <w:rPr>
          <w:rFonts w:asciiTheme="majorHAnsi" w:eastAsia="Times New Roman" w:hAnsiTheme="majorHAnsi" w:cs="Arial"/>
          <w:lang w:val="en-GB" w:eastAsia="en-GB"/>
        </w:rPr>
        <w:t xml:space="preserve"> in England</w:t>
      </w:r>
      <w:r w:rsidRPr="00F30313">
        <w:rPr>
          <w:rStyle w:val="FootnoteReference"/>
          <w:rFonts w:asciiTheme="majorHAnsi" w:eastAsia="Times New Roman" w:hAnsiTheme="majorHAnsi" w:cs="Arial"/>
          <w:lang w:val="en-GB" w:eastAsia="en-GB"/>
        </w:rPr>
        <w:footnoteReference w:id="23"/>
      </w:r>
      <w:r w:rsidR="00A67163" w:rsidRPr="00F30313">
        <w:rPr>
          <w:rFonts w:asciiTheme="majorHAnsi" w:eastAsia="Times New Roman" w:hAnsiTheme="majorHAnsi" w:cs="Arial"/>
          <w:lang w:val="en-GB" w:eastAsia="en-GB"/>
        </w:rPr>
        <w:t>.</w:t>
      </w:r>
      <w:r w:rsidR="002B0D7D" w:rsidRPr="00F30313">
        <w:rPr>
          <w:rFonts w:asciiTheme="majorHAnsi" w:eastAsia="Times New Roman" w:hAnsiTheme="majorHAnsi" w:cs="Arial"/>
          <w:lang w:val="en-GB" w:eastAsia="en-GB"/>
        </w:rPr>
        <w:t xml:space="preserve"> In England, an OFSTED review found that services did not understand the needs of a disabled girl of Pakistani heritage and another death professionals focussed on a boy’s cerebral palsy rather the neglect.  Nine of the looked after children in the review died. Of these, three </w:t>
      </w:r>
      <w:r w:rsidR="00D66AE4" w:rsidRPr="00F30313">
        <w:rPr>
          <w:rFonts w:asciiTheme="majorHAnsi" w:eastAsia="Times New Roman" w:hAnsiTheme="majorHAnsi" w:cs="Arial"/>
          <w:lang w:val="en-GB" w:eastAsia="en-GB"/>
        </w:rPr>
        <w:t>took their own lives and</w:t>
      </w:r>
      <w:r w:rsidR="002B0D7D" w:rsidRPr="00F30313">
        <w:rPr>
          <w:rFonts w:asciiTheme="majorHAnsi" w:eastAsia="Times New Roman" w:hAnsiTheme="majorHAnsi" w:cs="Arial"/>
          <w:lang w:val="en-GB" w:eastAsia="en-GB"/>
        </w:rPr>
        <w:t xml:space="preserve"> two died from natural causes associated with their d</w:t>
      </w:r>
      <w:r w:rsidR="00D66AE4" w:rsidRPr="00F30313">
        <w:rPr>
          <w:rFonts w:asciiTheme="majorHAnsi" w:eastAsia="Times New Roman" w:hAnsiTheme="majorHAnsi" w:cs="Arial"/>
          <w:lang w:val="en-GB" w:eastAsia="en-GB"/>
        </w:rPr>
        <w:t>isability or medical condition</w:t>
      </w:r>
      <w:r w:rsidR="00D66AE4" w:rsidRPr="00F30313">
        <w:rPr>
          <w:rStyle w:val="FootnoteReference"/>
          <w:rFonts w:asciiTheme="majorHAnsi" w:eastAsia="Times New Roman" w:hAnsiTheme="majorHAnsi" w:cs="Arial"/>
          <w:lang w:val="en-GB" w:eastAsia="en-GB"/>
        </w:rPr>
        <w:footnoteReference w:id="24"/>
      </w:r>
      <w:r w:rsidR="00D66AE4" w:rsidRPr="00F30313">
        <w:rPr>
          <w:rFonts w:asciiTheme="majorHAnsi" w:eastAsia="Times New Roman" w:hAnsiTheme="majorHAnsi" w:cs="Arial"/>
          <w:lang w:val="en-GB" w:eastAsia="en-GB"/>
        </w:rPr>
        <w:t xml:space="preserve">.  </w:t>
      </w:r>
    </w:p>
    <w:p w14:paraId="339D0056" w14:textId="043A0027" w:rsidR="004673AE" w:rsidRPr="00F30313" w:rsidRDefault="00B610DB" w:rsidP="00B610DB">
      <w:pPr>
        <w:spacing w:before="100" w:beforeAutospacing="1" w:after="100" w:afterAutospacing="1"/>
        <w:outlineLvl w:val="1"/>
        <w:rPr>
          <w:rFonts w:asciiTheme="majorHAnsi" w:eastAsia="Times New Roman" w:hAnsiTheme="majorHAnsi" w:cs="Arial"/>
          <w:lang w:val="en-GB" w:eastAsia="en-GB"/>
        </w:rPr>
      </w:pPr>
      <w:r w:rsidRPr="00F30313">
        <w:rPr>
          <w:rFonts w:asciiTheme="majorHAnsi" w:eastAsia="Times New Roman" w:hAnsiTheme="majorHAnsi" w:cs="Arial"/>
          <w:lang w:val="en-GB" w:eastAsia="en-GB"/>
        </w:rPr>
        <w:t>Children and young people living away from their home area, especially those in 52 week a year residential school placements are at greatest risk of violence and abuse</w:t>
      </w:r>
      <w:r w:rsidRPr="00F30313">
        <w:rPr>
          <w:rStyle w:val="FootnoteReference"/>
          <w:rFonts w:asciiTheme="majorHAnsi" w:eastAsia="Times New Roman" w:hAnsiTheme="majorHAnsi" w:cs="Arial"/>
          <w:lang w:val="en-GB" w:eastAsia="en-GB"/>
        </w:rPr>
        <w:footnoteReference w:id="25"/>
      </w:r>
      <w:r w:rsidRPr="00F30313">
        <w:rPr>
          <w:rFonts w:asciiTheme="majorHAnsi" w:eastAsia="Times New Roman" w:hAnsiTheme="majorHAnsi" w:cs="Arial"/>
          <w:lang w:val="en-GB" w:eastAsia="en-GB"/>
        </w:rPr>
        <w:t>; this is compounded because they have few external cont</w:t>
      </w:r>
      <w:r w:rsidR="009B31DA" w:rsidRPr="00F30313">
        <w:rPr>
          <w:rFonts w:asciiTheme="majorHAnsi" w:eastAsia="Times New Roman" w:hAnsiTheme="majorHAnsi" w:cs="Arial"/>
          <w:lang w:val="en-GB" w:eastAsia="en-GB"/>
        </w:rPr>
        <w:t>ac</w:t>
      </w:r>
      <w:r w:rsidRPr="00F30313">
        <w:rPr>
          <w:rFonts w:asciiTheme="majorHAnsi" w:eastAsia="Times New Roman" w:hAnsiTheme="majorHAnsi" w:cs="Arial"/>
          <w:lang w:val="en-GB" w:eastAsia="en-GB"/>
        </w:rPr>
        <w:t xml:space="preserve">ts and less family support. </w:t>
      </w:r>
      <w:r w:rsidR="004673AE" w:rsidRPr="00F30313">
        <w:rPr>
          <w:rFonts w:asciiTheme="majorHAnsi" w:eastAsia="Times New Roman" w:hAnsiTheme="majorHAnsi" w:cs="Arial"/>
          <w:lang w:val="en-GB" w:eastAsia="en-GB"/>
        </w:rPr>
        <w:t xml:space="preserve"> </w:t>
      </w:r>
      <w:r w:rsidR="009B31DA" w:rsidRPr="00F30313">
        <w:rPr>
          <w:rFonts w:asciiTheme="majorHAnsi" w:eastAsia="Times New Roman" w:hAnsiTheme="majorHAnsi" w:cs="Arial"/>
          <w:lang w:val="en-GB" w:eastAsia="en-GB"/>
        </w:rPr>
        <w:t xml:space="preserve">Commissioners do not yet split the provider packages of personal assistance support, communication and mobility aids and adaptions, residential housing and educational support, to help ensure the safety of disabled children and young people.    </w:t>
      </w:r>
    </w:p>
    <w:p w14:paraId="2A67D0C5" w14:textId="2E575B78" w:rsidR="009B31DA" w:rsidRPr="009B31DA" w:rsidRDefault="009B31DA" w:rsidP="00B610DB">
      <w:pPr>
        <w:spacing w:before="100" w:beforeAutospacing="1" w:after="100" w:afterAutospacing="1"/>
        <w:outlineLvl w:val="1"/>
        <w:rPr>
          <w:rFonts w:ascii="Arial" w:eastAsia="Times New Roman" w:hAnsi="Arial" w:cs="Arial"/>
          <w:b/>
          <w:lang w:val="en-GB" w:eastAsia="en-GB"/>
        </w:rPr>
      </w:pPr>
      <w:r>
        <w:rPr>
          <w:rFonts w:ascii="Arial" w:eastAsia="Times New Roman" w:hAnsi="Arial" w:cs="Arial"/>
          <w:b/>
          <w:lang w:val="en-GB" w:eastAsia="en-GB"/>
        </w:rPr>
        <w:t xml:space="preserve">Q. </w:t>
      </w:r>
      <w:r w:rsidRPr="009B31DA">
        <w:rPr>
          <w:rFonts w:ascii="Arial" w:eastAsia="Times New Roman" w:hAnsi="Arial" w:cs="Arial"/>
          <w:b/>
          <w:lang w:val="en-GB" w:eastAsia="en-GB"/>
        </w:rPr>
        <w:t>When will the State end</w:t>
      </w:r>
      <w:r w:rsidR="004673AE" w:rsidRPr="009B31DA">
        <w:rPr>
          <w:rFonts w:ascii="Arial" w:eastAsia="Times New Roman" w:hAnsi="Arial" w:cs="Arial"/>
          <w:b/>
          <w:lang w:val="en-GB" w:eastAsia="en-GB"/>
        </w:rPr>
        <w:t xml:space="preserve"> residential school placements ou</w:t>
      </w:r>
      <w:r w:rsidRPr="009B31DA">
        <w:rPr>
          <w:rFonts w:ascii="Arial" w:eastAsia="Times New Roman" w:hAnsi="Arial" w:cs="Arial"/>
          <w:b/>
          <w:lang w:val="en-GB" w:eastAsia="en-GB"/>
        </w:rPr>
        <w:t>t of area for disabled children</w:t>
      </w:r>
      <w:r w:rsidR="00A67163">
        <w:rPr>
          <w:rFonts w:ascii="Arial" w:eastAsia="Times New Roman" w:hAnsi="Arial" w:cs="Arial"/>
          <w:b/>
          <w:lang w:val="en-GB" w:eastAsia="en-GB"/>
        </w:rPr>
        <w:t xml:space="preserve"> and ensure adequate and timely mental health support is provided for children and young people to prevent them taking their own lives</w:t>
      </w:r>
      <w:r w:rsidRPr="009B31DA">
        <w:rPr>
          <w:rFonts w:ascii="Arial" w:eastAsia="Times New Roman" w:hAnsi="Arial" w:cs="Arial"/>
          <w:b/>
          <w:lang w:val="en-GB" w:eastAsia="en-GB"/>
        </w:rPr>
        <w:t>?</w:t>
      </w:r>
      <w:r w:rsidR="004673AE" w:rsidRPr="009B31DA">
        <w:rPr>
          <w:rFonts w:ascii="Arial" w:eastAsia="Times New Roman" w:hAnsi="Arial" w:cs="Arial"/>
          <w:b/>
          <w:lang w:val="en-GB" w:eastAsia="en-GB"/>
        </w:rPr>
        <w:t xml:space="preserve"> </w:t>
      </w:r>
    </w:p>
    <w:p w14:paraId="629C26BD" w14:textId="03641319" w:rsidR="009B31DA" w:rsidRPr="009B31DA" w:rsidRDefault="009B31DA" w:rsidP="00B610DB">
      <w:pPr>
        <w:spacing w:before="100" w:beforeAutospacing="1" w:after="100" w:afterAutospacing="1"/>
        <w:outlineLvl w:val="1"/>
        <w:rPr>
          <w:rFonts w:ascii="Arial" w:eastAsia="Times New Roman" w:hAnsi="Arial" w:cs="Arial"/>
          <w:b/>
          <w:lang w:val="en-GB" w:eastAsia="en-GB"/>
        </w:rPr>
      </w:pPr>
      <w:r>
        <w:rPr>
          <w:rFonts w:ascii="Arial" w:eastAsia="Times New Roman" w:hAnsi="Arial" w:cs="Arial"/>
          <w:b/>
          <w:lang w:val="en-GB" w:eastAsia="en-GB"/>
        </w:rPr>
        <w:t xml:space="preserve">Q. </w:t>
      </w:r>
      <w:r w:rsidRPr="009B31DA">
        <w:rPr>
          <w:rFonts w:ascii="Arial" w:eastAsia="Times New Roman" w:hAnsi="Arial" w:cs="Arial"/>
          <w:b/>
          <w:lang w:val="en-GB" w:eastAsia="en-GB"/>
        </w:rPr>
        <w:t>When will the state provide f</w:t>
      </w:r>
      <w:r w:rsidR="004673AE" w:rsidRPr="009B31DA">
        <w:rPr>
          <w:rFonts w:ascii="Arial" w:eastAsia="Times New Roman" w:hAnsi="Arial" w:cs="Arial"/>
          <w:b/>
          <w:lang w:val="en-GB" w:eastAsia="en-GB"/>
        </w:rPr>
        <w:t xml:space="preserve">amilies </w:t>
      </w:r>
      <w:r w:rsidR="00F30313">
        <w:rPr>
          <w:rFonts w:ascii="Arial" w:eastAsia="Times New Roman" w:hAnsi="Arial" w:cs="Arial"/>
          <w:b/>
          <w:lang w:val="en-GB" w:eastAsia="en-GB"/>
        </w:rPr>
        <w:t xml:space="preserve">(including kinship carers) </w:t>
      </w:r>
      <w:r w:rsidRPr="009B31DA">
        <w:rPr>
          <w:rFonts w:ascii="Arial" w:eastAsia="Times New Roman" w:hAnsi="Arial" w:cs="Arial"/>
          <w:b/>
          <w:lang w:val="en-GB" w:eastAsia="en-GB"/>
        </w:rPr>
        <w:t>with</w:t>
      </w:r>
      <w:r w:rsidR="004673AE" w:rsidRPr="009B31DA">
        <w:rPr>
          <w:rFonts w:ascii="Arial" w:eastAsia="Times New Roman" w:hAnsi="Arial" w:cs="Arial"/>
          <w:b/>
          <w:lang w:val="en-GB" w:eastAsia="en-GB"/>
        </w:rPr>
        <w:t xml:space="preserve"> adequate support to have their children at home</w:t>
      </w:r>
      <w:r w:rsidRPr="009B31DA">
        <w:rPr>
          <w:rFonts w:ascii="Arial" w:eastAsia="Times New Roman" w:hAnsi="Arial" w:cs="Arial"/>
          <w:b/>
          <w:lang w:val="en-GB" w:eastAsia="en-GB"/>
        </w:rPr>
        <w:t xml:space="preserve">, so that disabled children </w:t>
      </w:r>
      <w:r w:rsidR="00F30313">
        <w:rPr>
          <w:rFonts w:ascii="Arial" w:eastAsia="Times New Roman" w:hAnsi="Arial" w:cs="Arial"/>
          <w:b/>
          <w:lang w:val="en-GB" w:eastAsia="en-GB"/>
        </w:rPr>
        <w:t xml:space="preserve">can be safe and </w:t>
      </w:r>
      <w:r w:rsidRPr="009B31DA">
        <w:rPr>
          <w:rFonts w:ascii="Arial" w:eastAsia="Times New Roman" w:hAnsi="Arial" w:cs="Arial"/>
          <w:b/>
          <w:lang w:val="en-GB" w:eastAsia="en-GB"/>
        </w:rPr>
        <w:t xml:space="preserve">do not have to stay at school 52 weeks a year?  </w:t>
      </w:r>
    </w:p>
    <w:p w14:paraId="0A024F8B" w14:textId="22502C1F" w:rsidR="00167E21" w:rsidRPr="0099200D" w:rsidRDefault="009B31DA" w:rsidP="0099200D">
      <w:pPr>
        <w:spacing w:before="100" w:beforeAutospacing="1" w:after="100" w:afterAutospacing="1"/>
        <w:outlineLvl w:val="1"/>
        <w:rPr>
          <w:rFonts w:ascii="Arial" w:eastAsia="Times New Roman" w:hAnsi="Arial" w:cs="Arial"/>
          <w:b/>
          <w:lang w:val="en-GB" w:eastAsia="en-GB"/>
        </w:rPr>
      </w:pPr>
      <w:r>
        <w:rPr>
          <w:rFonts w:ascii="Arial" w:eastAsia="Times New Roman" w:hAnsi="Arial" w:cs="Arial"/>
          <w:b/>
          <w:lang w:val="en-GB" w:eastAsia="en-GB"/>
        </w:rPr>
        <w:t xml:space="preserve">Q. </w:t>
      </w:r>
      <w:r w:rsidRPr="009B31DA">
        <w:rPr>
          <w:rFonts w:ascii="Arial" w:eastAsia="Times New Roman" w:hAnsi="Arial" w:cs="Arial"/>
          <w:b/>
          <w:lang w:val="en-GB" w:eastAsia="en-GB"/>
        </w:rPr>
        <w:t>When will the state provide e</w:t>
      </w:r>
      <w:r w:rsidR="004673AE" w:rsidRPr="009B31DA">
        <w:rPr>
          <w:rFonts w:ascii="Arial" w:eastAsia="Times New Roman" w:hAnsi="Arial" w:cs="Arial"/>
          <w:b/>
          <w:lang w:val="en-GB" w:eastAsia="en-GB"/>
        </w:rPr>
        <w:t xml:space="preserve">very child in residential schooling </w:t>
      </w:r>
      <w:r w:rsidRPr="009B31DA">
        <w:rPr>
          <w:rFonts w:ascii="Arial" w:eastAsia="Times New Roman" w:hAnsi="Arial" w:cs="Arial"/>
          <w:b/>
          <w:lang w:val="en-GB" w:eastAsia="en-GB"/>
        </w:rPr>
        <w:t xml:space="preserve">with </w:t>
      </w:r>
      <w:r w:rsidR="00F30313">
        <w:rPr>
          <w:rFonts w:ascii="Arial" w:eastAsia="Times New Roman" w:hAnsi="Arial" w:cs="Arial"/>
          <w:b/>
          <w:lang w:val="en-GB" w:eastAsia="en-GB"/>
        </w:rPr>
        <w:t xml:space="preserve">safety </w:t>
      </w:r>
      <w:r w:rsidRPr="009B31DA">
        <w:rPr>
          <w:rFonts w:ascii="Arial" w:eastAsia="Times New Roman" w:hAnsi="Arial" w:cs="Arial"/>
          <w:b/>
          <w:lang w:val="en-GB" w:eastAsia="en-GB"/>
        </w:rPr>
        <w:t>and ensure d</w:t>
      </w:r>
      <w:r w:rsidR="004673AE" w:rsidRPr="009B31DA">
        <w:rPr>
          <w:rFonts w:ascii="Arial" w:eastAsia="Times New Roman" w:hAnsi="Arial" w:cs="Arial"/>
          <w:b/>
          <w:lang w:val="en-GB" w:eastAsia="en-GB"/>
        </w:rPr>
        <w:t xml:space="preserve">isabled children and/or </w:t>
      </w:r>
      <w:r w:rsidR="00F30313">
        <w:rPr>
          <w:rFonts w:ascii="Arial" w:eastAsia="Times New Roman" w:hAnsi="Arial" w:cs="Arial"/>
          <w:b/>
          <w:lang w:val="en-GB" w:eastAsia="en-GB"/>
        </w:rPr>
        <w:t>an</w:t>
      </w:r>
      <w:r w:rsidRPr="009B31DA">
        <w:rPr>
          <w:rFonts w:ascii="Arial" w:eastAsia="Times New Roman" w:hAnsi="Arial" w:cs="Arial"/>
          <w:b/>
          <w:lang w:val="en-GB" w:eastAsia="en-GB"/>
        </w:rPr>
        <w:t xml:space="preserve"> independent advocate</w:t>
      </w:r>
      <w:r w:rsidR="004673AE" w:rsidRPr="009B31DA">
        <w:rPr>
          <w:rFonts w:ascii="Arial" w:eastAsia="Times New Roman" w:hAnsi="Arial" w:cs="Arial"/>
          <w:b/>
          <w:lang w:val="en-GB" w:eastAsia="en-GB"/>
        </w:rPr>
        <w:t xml:space="preserve"> </w:t>
      </w:r>
      <w:r w:rsidR="00F30313">
        <w:rPr>
          <w:rFonts w:ascii="Arial" w:eastAsia="Times New Roman" w:hAnsi="Arial" w:cs="Arial"/>
          <w:b/>
          <w:lang w:val="en-GB" w:eastAsia="en-GB"/>
        </w:rPr>
        <w:t>are at least</w:t>
      </w:r>
      <w:r w:rsidR="004673AE" w:rsidRPr="009B31DA">
        <w:rPr>
          <w:rFonts w:ascii="Arial" w:eastAsia="Times New Roman" w:hAnsi="Arial" w:cs="Arial"/>
          <w:b/>
          <w:lang w:val="en-GB" w:eastAsia="en-GB"/>
        </w:rPr>
        <w:t xml:space="preserve"> involved in </w:t>
      </w:r>
      <w:r w:rsidRPr="009B31DA">
        <w:rPr>
          <w:rFonts w:ascii="Arial" w:eastAsia="Times New Roman" w:hAnsi="Arial" w:cs="Arial"/>
          <w:b/>
          <w:lang w:val="en-GB" w:eastAsia="en-GB"/>
        </w:rPr>
        <w:t xml:space="preserve">decisions and </w:t>
      </w:r>
      <w:r w:rsidR="004673AE" w:rsidRPr="009B31DA">
        <w:rPr>
          <w:rFonts w:ascii="Arial" w:eastAsia="Times New Roman" w:hAnsi="Arial" w:cs="Arial"/>
          <w:b/>
          <w:lang w:val="en-GB" w:eastAsia="en-GB"/>
        </w:rPr>
        <w:t>case conference proceedings</w:t>
      </w:r>
      <w:r w:rsidR="00F30313">
        <w:rPr>
          <w:rFonts w:ascii="Arial" w:eastAsia="Times New Roman" w:hAnsi="Arial" w:cs="Arial"/>
          <w:b/>
          <w:lang w:val="en-GB" w:eastAsia="en-GB"/>
        </w:rPr>
        <w:t xml:space="preserve"> about them</w:t>
      </w:r>
      <w:r w:rsidRPr="009B31DA">
        <w:rPr>
          <w:rFonts w:ascii="Arial" w:eastAsia="Times New Roman" w:hAnsi="Arial" w:cs="Arial"/>
          <w:b/>
          <w:lang w:val="en-GB" w:eastAsia="en-GB"/>
        </w:rPr>
        <w:t>?</w:t>
      </w:r>
      <w:r w:rsidR="00B70C27" w:rsidRPr="009B31DA">
        <w:rPr>
          <w:rStyle w:val="FootnoteReference"/>
          <w:rFonts w:ascii="Arial" w:eastAsia="Times New Roman" w:hAnsi="Arial" w:cs="Arial"/>
          <w:b/>
          <w:lang w:val="en-GB" w:eastAsia="en-GB"/>
        </w:rPr>
        <w:footnoteReference w:id="26"/>
      </w:r>
      <w:r w:rsidR="004673AE" w:rsidRPr="009B31DA">
        <w:rPr>
          <w:rFonts w:ascii="Arial" w:eastAsia="Times New Roman" w:hAnsi="Arial" w:cs="Arial"/>
          <w:b/>
          <w:lang w:val="en-GB" w:eastAsia="en-GB"/>
        </w:rPr>
        <w:t xml:space="preserve">.  </w:t>
      </w:r>
      <w:bookmarkStart w:id="3" w:name="_Toc386038760"/>
      <w:r w:rsidR="00167E21">
        <w:rPr>
          <w:rFonts w:ascii="Arial" w:hAnsi="Arial" w:cs="Arial"/>
        </w:rPr>
        <w:br w:type="page"/>
      </w:r>
    </w:p>
    <w:p w14:paraId="78E1B766" w14:textId="1F39DDE5" w:rsidR="0055410A" w:rsidRPr="00404CDD" w:rsidRDefault="0055410A" w:rsidP="0055410A">
      <w:pPr>
        <w:pStyle w:val="Heading3"/>
        <w:rPr>
          <w:rFonts w:ascii="Arial" w:hAnsi="Arial" w:cs="Arial"/>
          <w:sz w:val="24"/>
          <w:szCs w:val="24"/>
        </w:rPr>
      </w:pPr>
      <w:r w:rsidRPr="00404CDD">
        <w:rPr>
          <w:rFonts w:ascii="Arial" w:hAnsi="Arial" w:cs="Arial"/>
          <w:sz w:val="24"/>
          <w:szCs w:val="24"/>
        </w:rPr>
        <w:t>Article 10 - Right to life</w:t>
      </w:r>
      <w:bookmarkEnd w:id="3"/>
    </w:p>
    <w:p w14:paraId="7FB400CB" w14:textId="77777777" w:rsidR="0099200D" w:rsidRDefault="0099200D" w:rsidP="00E64684">
      <w:pPr>
        <w:pStyle w:val="NormalWeb"/>
        <w:shd w:val="clear" w:color="auto" w:fill="FFFFFF"/>
        <w:spacing w:before="0" w:beforeAutospacing="0" w:after="0" w:afterAutospacing="0" w:line="285" w:lineRule="atLeast"/>
        <w:rPr>
          <w:rFonts w:ascii="Arial" w:hAnsi="Arial" w:cs="Arial"/>
        </w:rPr>
      </w:pPr>
    </w:p>
    <w:p w14:paraId="189CD1A5" w14:textId="17D6FFDF" w:rsidR="00E64684" w:rsidRPr="00F30313" w:rsidRDefault="00167E21" w:rsidP="00F30313">
      <w:pPr>
        <w:pStyle w:val="NormalWeb"/>
        <w:shd w:val="clear" w:color="auto" w:fill="FFFFFF"/>
        <w:spacing w:before="0" w:beforeAutospacing="0" w:after="0" w:afterAutospacing="0" w:line="276" w:lineRule="auto"/>
        <w:rPr>
          <w:rFonts w:asciiTheme="majorHAnsi" w:hAnsiTheme="majorHAnsi" w:cs="Arial"/>
        </w:rPr>
      </w:pPr>
      <w:r w:rsidRPr="00F30313">
        <w:rPr>
          <w:rFonts w:asciiTheme="majorHAnsi" w:hAnsiTheme="majorHAnsi" w:cs="Arial"/>
        </w:rPr>
        <w:t>There have been four attempts to remove the right to life of disabled people and people with terminal illness in England and Wales since 2002, mostly promoted by Lord Joffe</w:t>
      </w:r>
      <w:r w:rsidRPr="00F30313">
        <w:rPr>
          <w:rStyle w:val="FootnoteReference"/>
          <w:rFonts w:asciiTheme="majorHAnsi" w:hAnsiTheme="majorHAnsi" w:cs="Arial"/>
        </w:rPr>
        <w:footnoteReference w:id="27"/>
      </w:r>
      <w:r w:rsidRPr="00F30313">
        <w:rPr>
          <w:rFonts w:asciiTheme="majorHAnsi" w:hAnsiTheme="majorHAnsi" w:cs="Arial"/>
        </w:rPr>
        <w:t xml:space="preserve"> and Lord Falconer</w:t>
      </w:r>
      <w:r w:rsidRPr="00F30313">
        <w:rPr>
          <w:rStyle w:val="FootnoteReference"/>
          <w:rFonts w:asciiTheme="majorHAnsi" w:hAnsiTheme="majorHAnsi" w:cs="Arial"/>
        </w:rPr>
        <w:footnoteReference w:id="28"/>
      </w:r>
      <w:r w:rsidRPr="00F30313">
        <w:rPr>
          <w:rFonts w:asciiTheme="majorHAnsi" w:hAnsiTheme="majorHAnsi" w:cs="Arial"/>
        </w:rPr>
        <w:t xml:space="preserve">.  </w:t>
      </w:r>
      <w:r w:rsidR="00F61AC0" w:rsidRPr="00F30313">
        <w:rPr>
          <w:rFonts w:asciiTheme="majorHAnsi" w:hAnsiTheme="majorHAnsi" w:cs="Arial"/>
        </w:rPr>
        <w:t>The</w:t>
      </w:r>
      <w:r w:rsidR="009F4ED0">
        <w:rPr>
          <w:rFonts w:asciiTheme="majorHAnsi" w:hAnsiTheme="majorHAnsi" w:cs="Arial"/>
        </w:rPr>
        <w:t xml:space="preserve">re is Private Members Bill tabled for debate in the Houses of Parliament for September 11 2015.  </w:t>
      </w:r>
    </w:p>
    <w:p w14:paraId="0F9DFD8B" w14:textId="77777777" w:rsidR="00E64684" w:rsidRPr="00F30313" w:rsidRDefault="00E64684" w:rsidP="00F30313">
      <w:pPr>
        <w:pStyle w:val="NormalWeb"/>
        <w:shd w:val="clear" w:color="auto" w:fill="FFFFFF"/>
        <w:spacing w:before="0" w:beforeAutospacing="0" w:after="0" w:afterAutospacing="0" w:line="276" w:lineRule="auto"/>
        <w:rPr>
          <w:rFonts w:asciiTheme="majorHAnsi" w:hAnsiTheme="majorHAnsi" w:cs="Arial"/>
        </w:rPr>
      </w:pPr>
    </w:p>
    <w:p w14:paraId="510C1E88" w14:textId="11BE943F" w:rsidR="00E64684" w:rsidRPr="00F30313" w:rsidRDefault="00F61AC0" w:rsidP="00F30313">
      <w:pPr>
        <w:pStyle w:val="NormalWeb"/>
        <w:shd w:val="clear" w:color="auto" w:fill="FFFFFF"/>
        <w:spacing w:before="0" w:beforeAutospacing="0" w:after="0" w:afterAutospacing="0" w:line="276" w:lineRule="auto"/>
        <w:rPr>
          <w:rFonts w:asciiTheme="majorHAnsi" w:hAnsiTheme="majorHAnsi" w:cs="Arial"/>
          <w:color w:val="333333"/>
          <w:sz w:val="21"/>
          <w:szCs w:val="21"/>
        </w:rPr>
      </w:pPr>
      <w:r w:rsidRPr="00F30313">
        <w:rPr>
          <w:rFonts w:asciiTheme="majorHAnsi" w:eastAsiaTheme="minorEastAsia" w:hAnsiTheme="majorHAnsi" w:cs="Arial"/>
          <w:color w:val="282828"/>
          <w:lang w:eastAsia="en-US"/>
        </w:rPr>
        <w:t>Given the lack of mental capacity safeguards in place in England and Wales, the State does not protect disabled people and people with a mental health service need or people without capacity with sufficient safeguards to ensure their safety</w:t>
      </w:r>
      <w:r w:rsidR="00E64684" w:rsidRPr="00F30313">
        <w:rPr>
          <w:rFonts w:asciiTheme="majorHAnsi" w:eastAsiaTheme="minorEastAsia" w:hAnsiTheme="majorHAnsi" w:cs="Arial"/>
          <w:color w:val="282828"/>
          <w:lang w:eastAsia="en-US"/>
        </w:rPr>
        <w:t>.  Capacity assessments do not adequately account for depression or mental illness</w:t>
      </w:r>
      <w:r w:rsidR="00E64684" w:rsidRPr="00F30313">
        <w:rPr>
          <w:rStyle w:val="FootnoteReference"/>
          <w:rFonts w:asciiTheme="majorHAnsi" w:eastAsiaTheme="minorEastAsia" w:hAnsiTheme="majorHAnsi" w:cs="Arial"/>
          <w:color w:val="282828"/>
          <w:lang w:eastAsia="en-US"/>
        </w:rPr>
        <w:footnoteReference w:id="29"/>
      </w:r>
      <w:r w:rsidR="00E64684" w:rsidRPr="00F30313">
        <w:rPr>
          <w:rFonts w:asciiTheme="majorHAnsi" w:eastAsiaTheme="minorEastAsia" w:hAnsiTheme="majorHAnsi" w:cs="Arial"/>
          <w:color w:val="282828"/>
          <w:lang w:eastAsia="en-US"/>
        </w:rPr>
        <w:t>. The State should not consider legislating in favour of Assisted Suicide and should rely on the Court of Protection Judgement of Lord Justice Baker</w:t>
      </w:r>
      <w:r w:rsidR="00E64684" w:rsidRPr="00F30313">
        <w:rPr>
          <w:rStyle w:val="FootnoteReference"/>
          <w:rFonts w:asciiTheme="majorHAnsi" w:eastAsiaTheme="minorEastAsia" w:hAnsiTheme="majorHAnsi" w:cs="Arial"/>
          <w:color w:val="282828"/>
          <w:lang w:eastAsia="en-US"/>
        </w:rPr>
        <w:footnoteReference w:id="30"/>
      </w:r>
      <w:r w:rsidR="00E64684" w:rsidRPr="00F30313">
        <w:rPr>
          <w:rFonts w:asciiTheme="majorHAnsi" w:eastAsiaTheme="minorEastAsia" w:hAnsiTheme="majorHAnsi" w:cs="Arial"/>
          <w:color w:val="282828"/>
          <w:lang w:eastAsia="en-US"/>
        </w:rPr>
        <w:t>.</w:t>
      </w:r>
    </w:p>
    <w:p w14:paraId="58FC2D28" w14:textId="77777777" w:rsidR="00E64684" w:rsidRPr="00F30313" w:rsidRDefault="00E64684" w:rsidP="00F30313">
      <w:pPr>
        <w:spacing w:line="276" w:lineRule="auto"/>
        <w:rPr>
          <w:rFonts w:asciiTheme="majorHAnsi" w:eastAsia="Times New Roman" w:hAnsiTheme="majorHAnsi" w:cs="Times New Roman"/>
          <w:sz w:val="20"/>
          <w:szCs w:val="20"/>
        </w:rPr>
      </w:pPr>
    </w:p>
    <w:p w14:paraId="10D5275C" w14:textId="378F5CAA" w:rsidR="00D87F9B" w:rsidRPr="00F30313" w:rsidRDefault="00F61AC0" w:rsidP="00F30313">
      <w:pPr>
        <w:pStyle w:val="NormalWeb"/>
        <w:shd w:val="clear" w:color="auto" w:fill="FFFFFF"/>
        <w:spacing w:before="0" w:beforeAutospacing="0" w:after="0" w:afterAutospacing="0" w:line="276" w:lineRule="auto"/>
        <w:rPr>
          <w:rFonts w:asciiTheme="majorHAnsi" w:eastAsiaTheme="minorEastAsia" w:hAnsiTheme="majorHAnsi" w:cs="Arial"/>
          <w:color w:val="282828"/>
          <w:lang w:eastAsia="en-US"/>
        </w:rPr>
      </w:pPr>
      <w:r w:rsidRPr="00F30313">
        <w:rPr>
          <w:rFonts w:asciiTheme="majorHAnsi" w:eastAsiaTheme="minorEastAsia" w:hAnsiTheme="majorHAnsi" w:cs="Arial"/>
          <w:color w:val="282828"/>
          <w:lang w:eastAsia="en-US"/>
        </w:rPr>
        <w:t>The Royal College of General Practitioners have previously said that terminal illness prognosis which reaches longer than days from death, is unreliable in determining length of life</w:t>
      </w:r>
      <w:r w:rsidRPr="00F30313">
        <w:rPr>
          <w:rStyle w:val="FootnoteReference"/>
          <w:rFonts w:asciiTheme="majorHAnsi" w:eastAsiaTheme="minorEastAsia" w:hAnsiTheme="majorHAnsi" w:cs="Arial"/>
          <w:color w:val="282828"/>
          <w:lang w:eastAsia="en-US"/>
        </w:rPr>
        <w:footnoteReference w:id="31"/>
      </w:r>
      <w:r w:rsidRPr="00F30313">
        <w:rPr>
          <w:rFonts w:asciiTheme="majorHAnsi" w:eastAsiaTheme="minorEastAsia" w:hAnsiTheme="majorHAnsi" w:cs="Arial"/>
          <w:color w:val="282828"/>
          <w:lang w:eastAsia="en-US"/>
        </w:rPr>
        <w:t>.  No evidence later than this improves this position.  Moves by the State to legislate for Assisted Dying are in contrave</w:t>
      </w:r>
      <w:r w:rsidR="00E64684" w:rsidRPr="00F30313">
        <w:rPr>
          <w:rFonts w:asciiTheme="majorHAnsi" w:eastAsiaTheme="minorEastAsia" w:hAnsiTheme="majorHAnsi" w:cs="Arial"/>
          <w:color w:val="282828"/>
          <w:lang w:eastAsia="en-US"/>
        </w:rPr>
        <w:t xml:space="preserve">ntion of Article 10 of CRPD and PACE.  </w:t>
      </w:r>
      <w:r w:rsidR="00894756" w:rsidRPr="00F30313">
        <w:rPr>
          <w:rFonts w:asciiTheme="majorHAnsi" w:hAnsiTheme="majorHAnsi" w:cs="Arial"/>
        </w:rPr>
        <w:t xml:space="preserve">The Care Minister, </w:t>
      </w:r>
      <w:r w:rsidR="00894756" w:rsidRPr="00F30313">
        <w:rPr>
          <w:rFonts w:asciiTheme="majorHAnsi" w:eastAsiaTheme="minorEastAsia" w:hAnsiTheme="majorHAnsi" w:cs="Arial"/>
          <w:color w:val="282828"/>
          <w:lang w:eastAsia="en-US"/>
        </w:rPr>
        <w:t xml:space="preserve">Norman Lamb, has already indicated he would vote in favour of assisted suicide.  </w:t>
      </w:r>
      <w:r w:rsidR="00D87F9B" w:rsidRPr="00F30313">
        <w:rPr>
          <w:rFonts w:asciiTheme="majorHAnsi" w:eastAsiaTheme="minorEastAsia" w:hAnsiTheme="majorHAnsi" w:cs="Arial"/>
          <w:color w:val="282828"/>
          <w:lang w:eastAsia="en-US"/>
        </w:rPr>
        <w:t>Previous representations by disabled people and their organisations to the House of Lords have been unheeded in the new Bill.</w:t>
      </w:r>
    </w:p>
    <w:p w14:paraId="5C9E9024" w14:textId="5F55B8E2" w:rsidR="000A4DB1" w:rsidRPr="00F30313" w:rsidRDefault="00960D9B" w:rsidP="00F30313">
      <w:pPr>
        <w:pStyle w:val="NormalWeb"/>
        <w:spacing w:line="276" w:lineRule="auto"/>
        <w:rPr>
          <w:rFonts w:asciiTheme="majorHAnsi" w:hAnsiTheme="majorHAnsi"/>
          <w:color w:val="000000"/>
        </w:rPr>
      </w:pPr>
      <w:r w:rsidRPr="00F30313">
        <w:rPr>
          <w:rFonts w:asciiTheme="majorHAnsi" w:hAnsiTheme="majorHAnsi" w:cs="Arial"/>
        </w:rPr>
        <w:t xml:space="preserve">In England and Wales, Coroner’s have been the amongst the most responsive to making recommendations to prevent future deaths.  However, disabled people are still disproportionately represented in Coroner’s Act Rule 43 reports.  </w:t>
      </w:r>
      <w:r w:rsidR="000A4DB1" w:rsidRPr="00F30313">
        <w:rPr>
          <w:rFonts w:asciiTheme="majorHAnsi" w:hAnsiTheme="majorHAnsi"/>
          <w:color w:val="000000"/>
        </w:rPr>
        <w:t xml:space="preserve">Organisations which fail to respond to Coroner’s recommendations under Rule 43, to prevent future deaths, </w:t>
      </w:r>
      <w:r w:rsidRPr="00F30313">
        <w:rPr>
          <w:rFonts w:asciiTheme="majorHAnsi" w:hAnsiTheme="majorHAnsi"/>
          <w:color w:val="000000"/>
        </w:rPr>
        <w:t>are not</w:t>
      </w:r>
      <w:r w:rsidR="000A4DB1" w:rsidRPr="00F30313">
        <w:rPr>
          <w:rFonts w:asciiTheme="majorHAnsi" w:hAnsiTheme="majorHAnsi"/>
          <w:color w:val="000000"/>
        </w:rPr>
        <w:t xml:space="preserve"> subject to sanction</w:t>
      </w:r>
      <w:r w:rsidRPr="00F30313">
        <w:rPr>
          <w:rFonts w:asciiTheme="majorHAnsi" w:hAnsiTheme="majorHAnsi"/>
          <w:color w:val="000000"/>
        </w:rPr>
        <w:t xml:space="preserve"> for their lack of response or action</w:t>
      </w:r>
      <w:r w:rsidR="000A4DB1" w:rsidRPr="00F30313">
        <w:rPr>
          <w:rFonts w:asciiTheme="majorHAnsi" w:hAnsiTheme="majorHAnsi"/>
          <w:color w:val="000000"/>
        </w:rPr>
        <w:t xml:space="preserve">.  In 2012, 88 reports were issued by Coroners to prevent future deaths in hospital, 27 reports related to lessons that could be learned from mental health related deaths, 14 related to care home deaths and 13 related to deaths in custody, many of which involved disabled people. In all, NHS hospitals and Trusts were involved in 120 </w:t>
      </w:r>
      <w:r w:rsidRPr="00F30313">
        <w:rPr>
          <w:rFonts w:asciiTheme="majorHAnsi" w:hAnsiTheme="majorHAnsi"/>
          <w:color w:val="000000"/>
        </w:rPr>
        <w:t xml:space="preserve">of the </w:t>
      </w:r>
      <w:r w:rsidR="000A4DB1" w:rsidRPr="00F30313">
        <w:rPr>
          <w:rFonts w:asciiTheme="majorHAnsi" w:hAnsiTheme="majorHAnsi"/>
          <w:color w:val="000000"/>
        </w:rPr>
        <w:t>Rule 43 Coroner’s reports</w:t>
      </w:r>
      <w:r w:rsidRPr="00F30313">
        <w:rPr>
          <w:rFonts w:asciiTheme="majorHAnsi" w:hAnsiTheme="majorHAnsi"/>
          <w:color w:val="000000"/>
        </w:rPr>
        <w:t>,</w:t>
      </w:r>
      <w:r w:rsidR="000A4DB1" w:rsidRPr="00F30313">
        <w:rPr>
          <w:rFonts w:asciiTheme="majorHAnsi" w:hAnsiTheme="majorHAnsi"/>
          <w:color w:val="000000"/>
        </w:rPr>
        <w:t xml:space="preserve"> 4 related to Police procedure deaths, 19 related to private companies.  In 2012, 18 organisations have failed to report to the Coroner in the 56 day deadline, including Leicester (where Francecca Hardwick lived) and other Councils. </w:t>
      </w:r>
    </w:p>
    <w:p w14:paraId="15BE0436" w14:textId="77777777" w:rsidR="0099200D" w:rsidRPr="00F30313" w:rsidRDefault="0099200D" w:rsidP="00F30313">
      <w:pPr>
        <w:pStyle w:val="NormalWeb"/>
        <w:spacing w:line="276" w:lineRule="auto"/>
        <w:rPr>
          <w:rFonts w:asciiTheme="majorHAnsi" w:hAnsiTheme="majorHAnsi"/>
          <w:color w:val="000000"/>
        </w:rPr>
      </w:pPr>
    </w:p>
    <w:p w14:paraId="35B44F34" w14:textId="77777777" w:rsidR="0099200D" w:rsidRDefault="0099200D" w:rsidP="00960D9B">
      <w:pPr>
        <w:pStyle w:val="NormalWeb"/>
        <w:rPr>
          <w:rFonts w:ascii="Trebuchet MS" w:hAnsi="Trebuchet MS"/>
          <w:color w:val="000000"/>
        </w:rPr>
      </w:pPr>
    </w:p>
    <w:p w14:paraId="614F5195" w14:textId="77777777" w:rsidR="0099200D" w:rsidRDefault="0099200D" w:rsidP="00960D9B">
      <w:pPr>
        <w:pStyle w:val="NormalWeb"/>
        <w:rPr>
          <w:rFonts w:ascii="Trebuchet MS" w:hAnsi="Trebuchet MS"/>
          <w:color w:val="000000"/>
        </w:rPr>
      </w:pPr>
    </w:p>
    <w:p w14:paraId="3AF9BD36" w14:textId="77777777" w:rsidR="0099200D" w:rsidRDefault="0099200D" w:rsidP="00960D9B">
      <w:pPr>
        <w:pStyle w:val="NormalWeb"/>
        <w:rPr>
          <w:rFonts w:ascii="Trebuchet MS" w:hAnsi="Trebuchet MS"/>
          <w:color w:val="000000"/>
        </w:rPr>
      </w:pPr>
    </w:p>
    <w:p w14:paraId="19DC92AB" w14:textId="77777777" w:rsidR="0099200D" w:rsidRPr="00960D9B" w:rsidRDefault="0099200D" w:rsidP="00960D9B">
      <w:pPr>
        <w:pStyle w:val="NormalWeb"/>
        <w:rPr>
          <w:rFonts w:ascii="Arial" w:hAnsi="Arial" w:cs="Arial"/>
        </w:rPr>
      </w:pPr>
    </w:p>
    <w:p w14:paraId="0CE622C5" w14:textId="0A1FFF26" w:rsidR="0099200D" w:rsidRPr="00F23BC1" w:rsidRDefault="0099200D" w:rsidP="0099200D">
      <w:pPr>
        <w:rPr>
          <w:rFonts w:asciiTheme="majorHAnsi" w:hAnsiTheme="majorHAnsi" w:cs="Arial"/>
          <w:b/>
        </w:rPr>
      </w:pPr>
      <w:r w:rsidRPr="00F23BC1">
        <w:rPr>
          <w:rFonts w:asciiTheme="majorHAnsi" w:hAnsiTheme="majorHAnsi" w:cs="Arial"/>
          <w:b/>
        </w:rPr>
        <w:t xml:space="preserve">Q. Will the State urgently stop plans to </w:t>
      </w:r>
      <w:r w:rsidR="009F4ED0">
        <w:rPr>
          <w:rFonts w:asciiTheme="majorHAnsi" w:hAnsiTheme="majorHAnsi" w:cs="Arial"/>
          <w:b/>
        </w:rPr>
        <w:t>introduce an</w:t>
      </w:r>
      <w:r w:rsidRPr="00F23BC1">
        <w:rPr>
          <w:rFonts w:asciiTheme="majorHAnsi" w:hAnsiTheme="majorHAnsi" w:cs="Arial"/>
          <w:b/>
        </w:rPr>
        <w:t xml:space="preserve"> Assisted Dying Bill as it is inconsistent with Article 10 of CRPD</w:t>
      </w:r>
      <w:r w:rsidR="00F23BC1">
        <w:rPr>
          <w:rFonts w:asciiTheme="majorHAnsi" w:hAnsiTheme="majorHAnsi" w:cs="Arial"/>
          <w:b/>
        </w:rPr>
        <w:t xml:space="preserve"> and the EU PACE statement on the Right to Life</w:t>
      </w:r>
      <w:r w:rsidRPr="00F23BC1">
        <w:rPr>
          <w:rFonts w:asciiTheme="majorHAnsi" w:hAnsiTheme="majorHAnsi" w:cs="Arial"/>
          <w:b/>
        </w:rPr>
        <w:t>?</w:t>
      </w:r>
    </w:p>
    <w:p w14:paraId="73D08660" w14:textId="77777777" w:rsidR="0099200D" w:rsidRPr="00F23BC1" w:rsidRDefault="0099200D" w:rsidP="0099200D">
      <w:pPr>
        <w:rPr>
          <w:rFonts w:asciiTheme="majorHAnsi" w:hAnsiTheme="majorHAnsi" w:cs="Arial"/>
          <w:b/>
        </w:rPr>
      </w:pPr>
    </w:p>
    <w:p w14:paraId="21C01487" w14:textId="6A381D9B" w:rsidR="0099200D" w:rsidRPr="00F23BC1" w:rsidRDefault="0099200D" w:rsidP="0099200D">
      <w:pPr>
        <w:rPr>
          <w:rFonts w:asciiTheme="majorHAnsi" w:eastAsia="Times New Roman" w:hAnsiTheme="majorHAnsi" w:cs="Times New Roman"/>
          <w:b/>
        </w:rPr>
      </w:pPr>
      <w:r w:rsidRPr="00F23BC1">
        <w:rPr>
          <w:rFonts w:asciiTheme="majorHAnsi" w:hAnsiTheme="majorHAnsi" w:cs="Arial"/>
          <w:b/>
        </w:rPr>
        <w:t xml:space="preserve">Q. </w:t>
      </w:r>
      <w:r w:rsidRPr="00F23BC1">
        <w:rPr>
          <w:rFonts w:asciiTheme="majorHAnsi" w:eastAsia="Times New Roman" w:hAnsiTheme="majorHAnsi" w:cs="Times New Roman"/>
          <w:b/>
          <w:color w:val="111111"/>
          <w:shd w:val="clear" w:color="auto" w:fill="FFFFFF"/>
        </w:rPr>
        <w:t>Will the CRPD Committee</w:t>
      </w:r>
      <w:r w:rsidRPr="00F23BC1">
        <w:rPr>
          <w:rStyle w:val="FootnoteReference"/>
          <w:rFonts w:asciiTheme="majorHAnsi" w:eastAsia="Times New Roman" w:hAnsiTheme="majorHAnsi" w:cs="Times New Roman"/>
          <w:b/>
          <w:color w:val="111111"/>
          <w:shd w:val="clear" w:color="auto" w:fill="FFFFFF"/>
        </w:rPr>
        <w:footnoteReference w:id="32"/>
      </w:r>
      <w:r w:rsidRPr="00F23BC1">
        <w:rPr>
          <w:rFonts w:asciiTheme="majorHAnsi" w:eastAsia="Times New Roman" w:hAnsiTheme="majorHAnsi" w:cs="Times New Roman"/>
          <w:b/>
          <w:color w:val="111111"/>
          <w:shd w:val="clear" w:color="auto" w:fill="FFFFFF"/>
        </w:rPr>
        <w:t xml:space="preserve"> </w:t>
      </w:r>
      <w:r w:rsidR="00F23BC1" w:rsidRPr="00F23BC1">
        <w:rPr>
          <w:rFonts w:asciiTheme="majorHAnsi" w:eastAsia="Times New Roman" w:hAnsiTheme="majorHAnsi" w:cs="Times New Roman"/>
          <w:b/>
          <w:color w:val="111111"/>
          <w:shd w:val="clear" w:color="auto" w:fill="FFFFFF"/>
        </w:rPr>
        <w:t>assist disabled people to</w:t>
      </w:r>
      <w:r w:rsidRPr="00F23BC1">
        <w:rPr>
          <w:rFonts w:asciiTheme="majorHAnsi" w:eastAsia="Times New Roman" w:hAnsiTheme="majorHAnsi" w:cs="Times New Roman"/>
          <w:b/>
          <w:color w:val="111111"/>
          <w:shd w:val="clear" w:color="auto" w:fill="FFFFFF"/>
        </w:rPr>
        <w:t xml:space="preserve"> prevent the significant expansion or re-emergence of human rights problems</w:t>
      </w:r>
      <w:r w:rsidR="00F23BC1" w:rsidRPr="00F23BC1">
        <w:rPr>
          <w:rFonts w:asciiTheme="majorHAnsi" w:eastAsia="Times New Roman" w:hAnsiTheme="majorHAnsi" w:cs="Times New Roman"/>
          <w:b/>
          <w:color w:val="111111"/>
          <w:shd w:val="clear" w:color="auto" w:fill="FFFFFF"/>
        </w:rPr>
        <w:t>,</w:t>
      </w:r>
      <w:r w:rsidRPr="00F23BC1">
        <w:rPr>
          <w:rFonts w:asciiTheme="majorHAnsi" w:eastAsia="Times New Roman" w:hAnsiTheme="majorHAnsi" w:cs="Times New Roman"/>
          <w:b/>
          <w:color w:val="111111"/>
          <w:shd w:val="clear" w:color="auto" w:fill="FFFFFF"/>
        </w:rPr>
        <w:t xml:space="preserve"> by urgently making a statement to Parliament about the incompatibility of the Bill</w:t>
      </w:r>
      <w:r w:rsidRPr="00F23BC1">
        <w:rPr>
          <w:rStyle w:val="FootnoteReference"/>
          <w:rFonts w:asciiTheme="majorHAnsi" w:eastAsia="Times New Roman" w:hAnsiTheme="majorHAnsi" w:cs="Times New Roman"/>
          <w:b/>
          <w:color w:val="111111"/>
          <w:shd w:val="clear" w:color="auto" w:fill="FFFFFF"/>
        </w:rPr>
        <w:footnoteReference w:id="33"/>
      </w:r>
      <w:r w:rsidRPr="00F23BC1">
        <w:rPr>
          <w:rFonts w:asciiTheme="majorHAnsi" w:eastAsia="Times New Roman" w:hAnsiTheme="majorHAnsi" w:cs="Times New Roman"/>
          <w:b/>
          <w:color w:val="111111"/>
          <w:shd w:val="clear" w:color="auto" w:fill="FFFFFF"/>
        </w:rPr>
        <w:t xml:space="preserve"> with Article 2 of ECHR and Article 10 of CRPD?    </w:t>
      </w:r>
    </w:p>
    <w:p w14:paraId="35CEE11B" w14:textId="0542E706" w:rsidR="000A4DB1" w:rsidRPr="00F23BC1" w:rsidRDefault="000A4DB1" w:rsidP="00960D9B">
      <w:pPr>
        <w:pStyle w:val="NormalWeb"/>
        <w:shd w:val="clear" w:color="auto" w:fill="FFFFFF"/>
        <w:spacing w:after="120" w:line="288" w:lineRule="atLeast"/>
        <w:textAlignment w:val="baseline"/>
        <w:rPr>
          <w:rFonts w:asciiTheme="majorHAnsi" w:hAnsiTheme="majorHAnsi"/>
          <w:b/>
          <w:color w:val="000000"/>
        </w:rPr>
      </w:pPr>
      <w:r w:rsidRPr="00F23BC1">
        <w:rPr>
          <w:rFonts w:asciiTheme="majorHAnsi" w:hAnsiTheme="majorHAnsi"/>
          <w:b/>
          <w:color w:val="000000"/>
        </w:rPr>
        <w:t>Q. How will the state ensure sanctions over Councils</w:t>
      </w:r>
      <w:r w:rsidR="00894756" w:rsidRPr="00F23BC1">
        <w:rPr>
          <w:rFonts w:asciiTheme="majorHAnsi" w:hAnsiTheme="majorHAnsi"/>
          <w:b/>
          <w:color w:val="000000"/>
        </w:rPr>
        <w:t>, Police forces, organisations and private companies</w:t>
      </w:r>
      <w:r w:rsidRPr="00F23BC1">
        <w:rPr>
          <w:rFonts w:asciiTheme="majorHAnsi" w:hAnsiTheme="majorHAnsi"/>
          <w:b/>
          <w:color w:val="000000"/>
        </w:rPr>
        <w:t xml:space="preserve"> that do not respond to Coroners </w:t>
      </w:r>
      <w:r w:rsidR="00894756" w:rsidRPr="00F23BC1">
        <w:rPr>
          <w:rFonts w:asciiTheme="majorHAnsi" w:hAnsiTheme="majorHAnsi"/>
          <w:b/>
          <w:color w:val="000000"/>
        </w:rPr>
        <w:t xml:space="preserve">Rule 43 </w:t>
      </w:r>
      <w:r w:rsidRPr="00F23BC1">
        <w:rPr>
          <w:rFonts w:asciiTheme="majorHAnsi" w:hAnsiTheme="majorHAnsi"/>
          <w:b/>
          <w:color w:val="000000"/>
        </w:rPr>
        <w:t>recommendations</w:t>
      </w:r>
      <w:r w:rsidR="00960D9B" w:rsidRPr="00F23BC1">
        <w:rPr>
          <w:rFonts w:asciiTheme="majorHAnsi" w:hAnsiTheme="majorHAnsi"/>
          <w:b/>
          <w:color w:val="000000"/>
        </w:rPr>
        <w:t>, to prevent further deaths of disabled people</w:t>
      </w:r>
      <w:r w:rsidR="00894756" w:rsidRPr="00F23BC1">
        <w:rPr>
          <w:rFonts w:asciiTheme="majorHAnsi" w:hAnsiTheme="majorHAnsi"/>
          <w:b/>
          <w:color w:val="000000"/>
        </w:rPr>
        <w:t xml:space="preserve"> </w:t>
      </w:r>
      <w:r w:rsidRPr="00F23BC1">
        <w:rPr>
          <w:rFonts w:asciiTheme="majorHAnsi" w:hAnsiTheme="majorHAnsi"/>
          <w:b/>
          <w:color w:val="000000"/>
        </w:rPr>
        <w:t xml:space="preserve">and </w:t>
      </w:r>
      <w:r w:rsidR="00894756" w:rsidRPr="00F23BC1">
        <w:rPr>
          <w:rFonts w:asciiTheme="majorHAnsi" w:hAnsiTheme="majorHAnsi"/>
          <w:b/>
          <w:color w:val="000000"/>
        </w:rPr>
        <w:t xml:space="preserve">ensure the organisations are </w:t>
      </w:r>
      <w:r w:rsidRPr="00F23BC1">
        <w:rPr>
          <w:rFonts w:asciiTheme="majorHAnsi" w:hAnsiTheme="majorHAnsi"/>
          <w:b/>
          <w:color w:val="000000"/>
        </w:rPr>
        <w:t>not contracted to run other state commissioned care or health services with disabled people</w:t>
      </w:r>
      <w:r w:rsidR="00894756" w:rsidRPr="00F23BC1">
        <w:rPr>
          <w:rFonts w:asciiTheme="majorHAnsi" w:hAnsiTheme="majorHAnsi"/>
          <w:b/>
          <w:color w:val="000000"/>
        </w:rPr>
        <w:t xml:space="preserve"> if they have not met the Coroner’s recommendations</w:t>
      </w:r>
      <w:r w:rsidRPr="00F23BC1">
        <w:rPr>
          <w:rFonts w:asciiTheme="majorHAnsi" w:hAnsiTheme="majorHAnsi"/>
          <w:b/>
          <w:color w:val="000000"/>
        </w:rPr>
        <w:t xml:space="preserve">?  </w:t>
      </w:r>
    </w:p>
    <w:p w14:paraId="4C0A4508" w14:textId="77777777" w:rsidR="00F23BC1" w:rsidRDefault="00F23BC1">
      <w:pPr>
        <w:rPr>
          <w:rFonts w:ascii="Arial" w:eastAsia="Times New Roman" w:hAnsi="Arial" w:cs="Arial"/>
          <w:b/>
          <w:bCs/>
          <w:lang w:val="en-GB"/>
        </w:rPr>
      </w:pPr>
      <w:bookmarkStart w:id="4" w:name="_Toc386038763"/>
      <w:r>
        <w:rPr>
          <w:rFonts w:ascii="Arial" w:hAnsi="Arial" w:cs="Arial"/>
        </w:rPr>
        <w:br w:type="page"/>
      </w:r>
    </w:p>
    <w:p w14:paraId="1B066B78" w14:textId="05D4B401" w:rsidR="0055410A" w:rsidRDefault="0055410A" w:rsidP="0055410A">
      <w:pPr>
        <w:pStyle w:val="Heading3"/>
        <w:rPr>
          <w:rFonts w:ascii="Arial" w:hAnsi="Arial" w:cs="Arial"/>
          <w:sz w:val="24"/>
          <w:szCs w:val="24"/>
        </w:rPr>
      </w:pPr>
      <w:r w:rsidRPr="00404CDD">
        <w:rPr>
          <w:rFonts w:ascii="Arial" w:hAnsi="Arial" w:cs="Arial"/>
          <w:sz w:val="24"/>
          <w:szCs w:val="24"/>
        </w:rPr>
        <w:t>Article 13 - Access to justice</w:t>
      </w:r>
      <w:bookmarkEnd w:id="4"/>
    </w:p>
    <w:p w14:paraId="0668F8F1" w14:textId="77777777" w:rsidR="006E30A6" w:rsidRPr="006E30A6" w:rsidRDefault="006E30A6" w:rsidP="006E30A6"/>
    <w:p w14:paraId="5903D20D" w14:textId="6A0B3ED2" w:rsidR="001140E5" w:rsidRDefault="001140E5" w:rsidP="00927D77">
      <w:pPr>
        <w:spacing w:line="276" w:lineRule="auto"/>
        <w:rPr>
          <w:rFonts w:ascii="Calibri" w:hAnsi="Calibri"/>
        </w:rPr>
      </w:pPr>
      <w:bookmarkStart w:id="5" w:name="_Toc386038764"/>
      <w:r w:rsidRPr="00927D77">
        <w:rPr>
          <w:rFonts w:ascii="Calibri" w:hAnsi="Calibri"/>
        </w:rPr>
        <w:t>Figures were not found for the number of safeguarding cases in England where disabled people received justice</w:t>
      </w:r>
      <w:r w:rsidR="006E30A6">
        <w:rPr>
          <w:rFonts w:ascii="Calibri" w:hAnsi="Calibri"/>
        </w:rPr>
        <w:t xml:space="preserve"> – there is a lack of joined up work between Police and Local Authorities and offences against disabled people are often not afforded justice.  </w:t>
      </w:r>
    </w:p>
    <w:p w14:paraId="088C14B9" w14:textId="77777777" w:rsidR="009F4ED0" w:rsidRPr="00927D77" w:rsidRDefault="009F4ED0" w:rsidP="00927D77">
      <w:pPr>
        <w:spacing w:line="276" w:lineRule="auto"/>
        <w:rPr>
          <w:rFonts w:ascii="Calibri" w:hAnsi="Calibri"/>
        </w:rPr>
      </w:pPr>
    </w:p>
    <w:p w14:paraId="22A059E7" w14:textId="4C4D9B81" w:rsidR="006E30A6" w:rsidRPr="00927D77" w:rsidRDefault="001140E5" w:rsidP="006E30A6">
      <w:pPr>
        <w:pStyle w:val="NormalWeb"/>
        <w:shd w:val="clear" w:color="auto" w:fill="FFFFFF"/>
        <w:spacing w:before="192" w:beforeAutospacing="0" w:after="0" w:afterAutospacing="0" w:line="276" w:lineRule="auto"/>
        <w:textAlignment w:val="baseline"/>
        <w:rPr>
          <w:rFonts w:asciiTheme="majorHAnsi" w:hAnsiTheme="majorHAnsi"/>
          <w:color w:val="393F4A"/>
        </w:rPr>
      </w:pPr>
      <w:r w:rsidRPr="00927D77">
        <w:rPr>
          <w:rFonts w:ascii="Calibri" w:hAnsi="Calibri"/>
        </w:rPr>
        <w:t xml:space="preserve">In </w:t>
      </w:r>
      <w:r w:rsidR="00DA0C5D" w:rsidRPr="00927D77">
        <w:rPr>
          <w:rFonts w:ascii="Calibri" w:hAnsi="Calibri"/>
        </w:rPr>
        <w:t>tackling violence</w:t>
      </w:r>
      <w:r w:rsidRPr="00927D77">
        <w:rPr>
          <w:rFonts w:ascii="Calibri" w:hAnsi="Calibri"/>
        </w:rPr>
        <w:t xml:space="preserve"> against disabled people, there is a failure to provide justice.  In the year to March 2012, there were an average of 63,000 disablist hate crimes</w:t>
      </w:r>
      <w:r w:rsidRPr="00927D77">
        <w:rPr>
          <w:rStyle w:val="FootnoteReference"/>
          <w:rFonts w:ascii="Calibri" w:hAnsi="Calibri"/>
        </w:rPr>
        <w:footnoteReference w:id="34"/>
      </w:r>
      <w:r w:rsidRPr="00927D77">
        <w:rPr>
          <w:rFonts w:ascii="Calibri" w:hAnsi="Calibri"/>
        </w:rPr>
        <w:t>, but only 1841 cases of disability-aggravated hostility were reported to Police</w:t>
      </w:r>
      <w:r w:rsidRPr="00927D77">
        <w:rPr>
          <w:rStyle w:val="FootnoteReference"/>
          <w:rFonts w:ascii="Calibri" w:hAnsi="Calibri"/>
        </w:rPr>
        <w:footnoteReference w:id="35"/>
      </w:r>
      <w:r w:rsidRPr="00927D77">
        <w:rPr>
          <w:rFonts w:ascii="Calibri" w:hAnsi="Calibri"/>
        </w:rPr>
        <w:t>.  Despite 61% of the recorded disablist hate crime cases involving injury, only 579 cases were referred for prosecution in England and Wales</w:t>
      </w:r>
      <w:r w:rsidRPr="00927D77">
        <w:rPr>
          <w:rStyle w:val="FootnoteReference"/>
          <w:rFonts w:ascii="Calibri" w:hAnsi="Calibri"/>
        </w:rPr>
        <w:footnoteReference w:id="36"/>
      </w:r>
      <w:r w:rsidRPr="00927D77">
        <w:rPr>
          <w:rFonts w:ascii="Calibri" w:hAnsi="Calibri"/>
        </w:rPr>
        <w:t>.  The remainder had the files closed, marked no further action or marked as ‘no crime’ where insufficient evidence had been gained.  The uplift in tariff for offenders convicted of offences with an element of aggravated hostility against a disabled person was applied in only 349 convictions in the year to March</w:t>
      </w:r>
      <w:r w:rsidRPr="00927D77">
        <w:rPr>
          <w:rStyle w:val="FootnoteReference"/>
          <w:rFonts w:ascii="Calibri" w:hAnsi="Calibri"/>
        </w:rPr>
        <w:footnoteReference w:id="37"/>
      </w:r>
      <w:r w:rsidRPr="00927D77">
        <w:rPr>
          <w:rFonts w:ascii="Calibri" w:hAnsi="Calibri"/>
        </w:rPr>
        <w:t xml:space="preserve">.  </w:t>
      </w:r>
      <w:r w:rsidR="00DA0C5D" w:rsidRPr="00927D77">
        <w:rPr>
          <w:rFonts w:ascii="Calibri" w:hAnsi="Calibri"/>
        </w:rPr>
        <w:t>T</w:t>
      </w:r>
      <w:r w:rsidRPr="00927D77">
        <w:rPr>
          <w:rFonts w:ascii="Calibri" w:hAnsi="Calibri"/>
        </w:rPr>
        <w:t xml:space="preserve">he Crown Prosecution Service’s own Inspectorate (2013) found </w:t>
      </w:r>
      <w:r w:rsidR="00DA0C5D" w:rsidRPr="00927D77">
        <w:rPr>
          <w:rFonts w:ascii="Calibri" w:hAnsi="Calibri"/>
        </w:rPr>
        <w:t>that in</w:t>
      </w:r>
      <w:r w:rsidRPr="00927D77">
        <w:rPr>
          <w:rFonts w:ascii="Calibri" w:hAnsi="Calibri"/>
        </w:rPr>
        <w:t xml:space="preserve"> at least 19% of crimes eligible to be flagged</w:t>
      </w:r>
      <w:r w:rsidR="00DA0C5D" w:rsidRPr="00927D77">
        <w:rPr>
          <w:rFonts w:ascii="Calibri" w:hAnsi="Calibri"/>
        </w:rPr>
        <w:t>, the offenses had not been labelled correctly</w:t>
      </w:r>
      <w:r w:rsidRPr="00927D77">
        <w:rPr>
          <w:rStyle w:val="FootnoteReference"/>
          <w:rFonts w:ascii="Calibri" w:hAnsi="Calibri"/>
        </w:rPr>
        <w:footnoteReference w:id="38"/>
      </w:r>
      <w:r w:rsidR="006E30A6">
        <w:rPr>
          <w:rFonts w:ascii="Calibri" w:hAnsi="Calibri"/>
        </w:rPr>
        <w:t xml:space="preserve"> and this had reduced to 11%</w:t>
      </w:r>
      <w:r w:rsidR="006E30A6">
        <w:rPr>
          <w:rStyle w:val="FootnoteReference"/>
          <w:rFonts w:ascii="Calibri" w:hAnsi="Calibri"/>
        </w:rPr>
        <w:footnoteReference w:id="39"/>
      </w:r>
      <w:r w:rsidR="006E30A6">
        <w:rPr>
          <w:rFonts w:ascii="Calibri" w:hAnsi="Calibri"/>
        </w:rPr>
        <w:t xml:space="preserve"> in 2015, but is still too high and </w:t>
      </w:r>
      <w:r w:rsidRPr="00927D77">
        <w:rPr>
          <w:rFonts w:ascii="Calibri" w:hAnsi="Calibri"/>
        </w:rPr>
        <w:t xml:space="preserve">due to errors in the six Crown Prosecution Service offices in England and Wales.  </w:t>
      </w:r>
      <w:r w:rsidR="006E30A6">
        <w:rPr>
          <w:rFonts w:ascii="Calibri" w:hAnsi="Calibri"/>
        </w:rPr>
        <w:t xml:space="preserve">By 2013, </w:t>
      </w:r>
      <w:r w:rsidR="00DA0C5D" w:rsidRPr="00927D77">
        <w:rPr>
          <w:rFonts w:ascii="Calibri" w:hAnsi="Calibri"/>
        </w:rPr>
        <w:t>In</w:t>
      </w:r>
      <w:r w:rsidRPr="00927D77">
        <w:rPr>
          <w:rFonts w:ascii="Calibri" w:hAnsi="Calibri"/>
        </w:rPr>
        <w:t xml:space="preserve"> Crown Court sentences for assault motivated by hatred, cases on the grounds of disability accounted for successful prosecutions in only 0.5% of cases</w:t>
      </w:r>
      <w:r w:rsidR="00DA0C5D" w:rsidRPr="00927D77">
        <w:rPr>
          <w:rStyle w:val="FootnoteReference"/>
          <w:rFonts w:ascii="Calibri" w:hAnsi="Calibri"/>
        </w:rPr>
        <w:footnoteReference w:id="40"/>
      </w:r>
      <w:r w:rsidRPr="00927D77">
        <w:rPr>
          <w:rFonts w:ascii="Calibri" w:hAnsi="Calibri"/>
        </w:rPr>
        <w:t xml:space="preserve"> though the </w:t>
      </w:r>
      <w:r w:rsidR="009F4ED0">
        <w:rPr>
          <w:rFonts w:ascii="Calibri" w:hAnsi="Calibri"/>
        </w:rPr>
        <w:t>figures as to how many of these were over-turned on appeal are still not published</w:t>
      </w:r>
      <w:r w:rsidRPr="00927D77">
        <w:rPr>
          <w:rFonts w:ascii="Calibri" w:hAnsi="Calibri"/>
        </w:rPr>
        <w:t xml:space="preserve">.  </w:t>
      </w:r>
      <w:r w:rsidR="00DA0C5D" w:rsidRPr="00927D77">
        <w:rPr>
          <w:rFonts w:ascii="Calibri" w:hAnsi="Calibri"/>
        </w:rPr>
        <w:t xml:space="preserve">In </w:t>
      </w:r>
      <w:r w:rsidR="006E30A6">
        <w:rPr>
          <w:rFonts w:ascii="Calibri" w:hAnsi="Calibri"/>
        </w:rPr>
        <w:t>the USA</w:t>
      </w:r>
      <w:r w:rsidR="00DA0C5D" w:rsidRPr="00927D77">
        <w:rPr>
          <w:rFonts w:ascii="Calibri" w:hAnsi="Calibri"/>
        </w:rPr>
        <w:t>, up to</w:t>
      </w:r>
      <w:r w:rsidRPr="00927D77">
        <w:rPr>
          <w:rFonts w:ascii="Calibri" w:hAnsi="Calibri"/>
        </w:rPr>
        <w:t xml:space="preserve"> </w:t>
      </w:r>
      <w:r w:rsidR="00DA0C5D" w:rsidRPr="00927D77">
        <w:rPr>
          <w:rFonts w:ascii="Calibri" w:hAnsi="Calibri"/>
        </w:rPr>
        <w:t xml:space="preserve">61% of </w:t>
      </w:r>
      <w:r w:rsidRPr="00927D77">
        <w:rPr>
          <w:rFonts w:ascii="Calibri" w:hAnsi="Calibri"/>
        </w:rPr>
        <w:t>offenders prosecuted in 2009 had their sentence reduced on appeal</w:t>
      </w:r>
      <w:r w:rsidR="00DA0C5D" w:rsidRPr="00927D77">
        <w:rPr>
          <w:rStyle w:val="FootnoteReference"/>
          <w:rFonts w:ascii="Calibri" w:hAnsi="Calibri"/>
        </w:rPr>
        <w:footnoteReference w:id="41"/>
      </w:r>
      <w:r w:rsidRPr="00927D77">
        <w:rPr>
          <w:rFonts w:ascii="Calibri" w:hAnsi="Calibri"/>
        </w:rPr>
        <w:t xml:space="preserve"> </w:t>
      </w:r>
      <w:r w:rsidR="00DA0C5D" w:rsidRPr="00927D77">
        <w:rPr>
          <w:rFonts w:ascii="Calibri" w:hAnsi="Calibri"/>
        </w:rPr>
        <w:t>but current figures for this are not available in England</w:t>
      </w:r>
      <w:r w:rsidRPr="00927D77">
        <w:rPr>
          <w:rFonts w:ascii="Calibri" w:hAnsi="Calibri"/>
        </w:rPr>
        <w:t xml:space="preserve">. </w:t>
      </w:r>
      <w:r w:rsidR="00DA0C5D" w:rsidRPr="00927D77">
        <w:rPr>
          <w:rFonts w:ascii="Calibri" w:hAnsi="Calibri"/>
        </w:rPr>
        <w:t xml:space="preserve">So the high attrition rate </w:t>
      </w:r>
      <w:r w:rsidRPr="00927D77">
        <w:rPr>
          <w:rFonts w:ascii="Calibri" w:hAnsi="Calibri"/>
        </w:rPr>
        <w:t>from incidence to conviction, a lack of consistent criminal justice monitoring and unequal responses to these crimes by service area</w:t>
      </w:r>
      <w:r w:rsidR="00DA0C5D" w:rsidRPr="00927D77">
        <w:rPr>
          <w:rFonts w:ascii="Calibri" w:hAnsi="Calibri"/>
        </w:rPr>
        <w:t xml:space="preserve"> constitutes a serious and systemic violation of the </w:t>
      </w:r>
      <w:r w:rsidR="00DA0C5D" w:rsidRPr="006E30A6">
        <w:rPr>
          <w:rFonts w:ascii="Calibri" w:hAnsi="Calibri"/>
        </w:rPr>
        <w:t>CRPD Article 13</w:t>
      </w:r>
      <w:r w:rsidRPr="006E30A6">
        <w:rPr>
          <w:rFonts w:ascii="Calibri" w:hAnsi="Calibri"/>
        </w:rPr>
        <w:t xml:space="preserve">. </w:t>
      </w:r>
      <w:r w:rsidR="006E30A6" w:rsidRPr="006E30A6">
        <w:rPr>
          <w:rFonts w:asciiTheme="majorHAnsi" w:hAnsiTheme="majorHAnsi"/>
        </w:rPr>
        <w:t>In May 2015, the Criminal Justice Joint Inspection Review of Disability Hate Crime Follow-Up found that only one of their previous recommendations had been partly met</w:t>
      </w:r>
      <w:r w:rsidR="006E30A6">
        <w:rPr>
          <w:rFonts w:asciiTheme="majorHAnsi" w:hAnsiTheme="majorHAnsi"/>
        </w:rPr>
        <w:t xml:space="preserve"> in the two years between reports</w:t>
      </w:r>
      <w:r w:rsidR="006E30A6">
        <w:rPr>
          <w:rStyle w:val="FootnoteReference"/>
          <w:rFonts w:asciiTheme="majorHAnsi" w:hAnsiTheme="majorHAnsi"/>
        </w:rPr>
        <w:footnoteReference w:id="42"/>
      </w:r>
      <w:r w:rsidR="006E30A6" w:rsidRPr="006E30A6">
        <w:rPr>
          <w:rFonts w:asciiTheme="majorHAnsi" w:hAnsiTheme="majorHAnsi"/>
        </w:rPr>
        <w:t>.</w:t>
      </w:r>
      <w:r w:rsidR="006E30A6">
        <w:rPr>
          <w:rFonts w:asciiTheme="majorHAnsi" w:hAnsiTheme="majorHAnsi"/>
          <w:color w:val="393F4A"/>
        </w:rPr>
        <w:t xml:space="preserve">  </w:t>
      </w:r>
    </w:p>
    <w:p w14:paraId="2C2D3CA8" w14:textId="4E2CAAC6" w:rsidR="001140E5" w:rsidRPr="00927D77" w:rsidRDefault="001140E5" w:rsidP="00927D77">
      <w:pPr>
        <w:spacing w:line="276" w:lineRule="auto"/>
        <w:rPr>
          <w:rFonts w:ascii="Calibri" w:hAnsi="Calibri"/>
        </w:rPr>
      </w:pPr>
    </w:p>
    <w:p w14:paraId="0E1C8246" w14:textId="4C75E53D" w:rsidR="00ED5311" w:rsidRPr="00927D77" w:rsidRDefault="00DA0C5D" w:rsidP="00927D77">
      <w:pPr>
        <w:pStyle w:val="NormalWeb"/>
        <w:shd w:val="clear" w:color="auto" w:fill="FFFFFF"/>
        <w:spacing w:before="192" w:beforeAutospacing="0" w:after="0" w:afterAutospacing="0" w:line="276" w:lineRule="auto"/>
        <w:textAlignment w:val="baseline"/>
        <w:rPr>
          <w:rFonts w:ascii="Calibri" w:hAnsi="Calibri"/>
        </w:rPr>
      </w:pPr>
      <w:r w:rsidRPr="00927D77">
        <w:rPr>
          <w:rFonts w:ascii="Calibri" w:hAnsi="Calibri"/>
        </w:rPr>
        <w:t>Fewer than 15% of disabled people who are entitled to them receive access to ‘special measures’ to allow them to access justice</w:t>
      </w:r>
      <w:r w:rsidRPr="00927D77">
        <w:rPr>
          <w:rStyle w:val="FootnoteReference"/>
          <w:rFonts w:ascii="Calibri" w:hAnsi="Calibri"/>
        </w:rPr>
        <w:footnoteReference w:id="43"/>
      </w:r>
      <w:r w:rsidRPr="00927D77">
        <w:rPr>
          <w:rFonts w:ascii="Calibri" w:hAnsi="Calibri"/>
        </w:rPr>
        <w:t xml:space="preserve">.   </w:t>
      </w:r>
    </w:p>
    <w:p w14:paraId="08BB2BFE" w14:textId="6448E636" w:rsidR="00A94DB1" w:rsidRPr="006E30A6" w:rsidRDefault="00A94DB1" w:rsidP="00927D77">
      <w:pPr>
        <w:pStyle w:val="NormalWeb"/>
        <w:shd w:val="clear" w:color="auto" w:fill="FFFFFF"/>
        <w:spacing w:before="192" w:beforeAutospacing="0" w:after="0" w:afterAutospacing="0" w:line="276" w:lineRule="auto"/>
        <w:textAlignment w:val="baseline"/>
        <w:rPr>
          <w:rFonts w:asciiTheme="majorHAnsi" w:hAnsiTheme="majorHAnsi"/>
        </w:rPr>
      </w:pPr>
      <w:r w:rsidRPr="006E30A6">
        <w:rPr>
          <w:rFonts w:asciiTheme="majorHAnsi" w:hAnsiTheme="majorHAnsi"/>
        </w:rPr>
        <w:t xml:space="preserve">Frances Andrade, </w:t>
      </w:r>
      <w:r w:rsidRPr="006E30A6">
        <w:rPr>
          <w:rFonts w:asciiTheme="majorHAnsi" w:eastAsiaTheme="minorEastAsia" w:hAnsiTheme="majorHAnsi"/>
          <w:lang w:eastAsia="en-US"/>
        </w:rPr>
        <w:t xml:space="preserve">Tracy Shelvey and </w:t>
      </w:r>
      <w:r w:rsidRPr="006E30A6">
        <w:rPr>
          <w:rFonts w:asciiTheme="majorHAnsi" w:hAnsiTheme="majorHAnsi"/>
        </w:rPr>
        <w:t>Anne-Marie Ellement have all taken their own lives since 2009 after being traumatised by their treatment after reporting rapes</w:t>
      </w:r>
      <w:r w:rsidRPr="006E30A6">
        <w:rPr>
          <w:rStyle w:val="FootnoteReference"/>
          <w:rFonts w:asciiTheme="majorHAnsi" w:hAnsiTheme="majorHAnsi"/>
        </w:rPr>
        <w:footnoteReference w:id="44"/>
      </w:r>
      <w:r w:rsidRPr="006E30A6">
        <w:rPr>
          <w:rFonts w:asciiTheme="majorHAnsi" w:hAnsiTheme="majorHAnsi"/>
        </w:rPr>
        <w:t xml:space="preserve">; their mental health service need because of their treatment at the hands of the criminal justice system should have afforded them protection under Article 13. </w:t>
      </w:r>
    </w:p>
    <w:p w14:paraId="3E44E7D8" w14:textId="77777777" w:rsidR="00927D77" w:rsidRDefault="00927D77" w:rsidP="001140E5">
      <w:pPr>
        <w:spacing w:line="480" w:lineRule="auto"/>
        <w:rPr>
          <w:rFonts w:ascii="Calibri" w:hAnsi="Calibri"/>
        </w:rPr>
      </w:pPr>
    </w:p>
    <w:p w14:paraId="6C8449F7" w14:textId="0DDFE47F" w:rsidR="00DA0C5D" w:rsidRDefault="00DA0C5D" w:rsidP="00DA0C5D">
      <w:pPr>
        <w:pStyle w:val="ListParagraph"/>
        <w:numPr>
          <w:ilvl w:val="0"/>
          <w:numId w:val="17"/>
        </w:numPr>
        <w:rPr>
          <w:rFonts w:ascii="Arial" w:hAnsi="Arial" w:cs="Arial"/>
          <w:b/>
          <w:sz w:val="28"/>
          <w:szCs w:val="28"/>
        </w:rPr>
      </w:pPr>
      <w:r>
        <w:rPr>
          <w:rFonts w:ascii="Arial" w:hAnsi="Arial" w:cs="Arial"/>
          <w:b/>
          <w:sz w:val="28"/>
          <w:szCs w:val="28"/>
        </w:rPr>
        <w:t xml:space="preserve">When will the State take action against </w:t>
      </w:r>
      <w:r w:rsidRPr="006F74F9">
        <w:rPr>
          <w:rFonts w:ascii="Arial" w:hAnsi="Arial" w:cs="Arial"/>
          <w:b/>
          <w:sz w:val="28"/>
          <w:szCs w:val="28"/>
        </w:rPr>
        <w:t xml:space="preserve">public authorities </w:t>
      </w:r>
      <w:r>
        <w:rPr>
          <w:rFonts w:ascii="Arial" w:hAnsi="Arial" w:cs="Arial"/>
          <w:b/>
          <w:sz w:val="28"/>
          <w:szCs w:val="28"/>
        </w:rPr>
        <w:t xml:space="preserve">which </w:t>
      </w:r>
      <w:r w:rsidRPr="006F74F9">
        <w:rPr>
          <w:rFonts w:ascii="Arial" w:hAnsi="Arial" w:cs="Arial"/>
          <w:b/>
          <w:sz w:val="28"/>
          <w:szCs w:val="28"/>
        </w:rPr>
        <w:t xml:space="preserve">have </w:t>
      </w:r>
      <w:r>
        <w:rPr>
          <w:rFonts w:ascii="Arial" w:hAnsi="Arial" w:cs="Arial"/>
          <w:b/>
          <w:sz w:val="28"/>
          <w:szCs w:val="28"/>
        </w:rPr>
        <w:t xml:space="preserve">not </w:t>
      </w:r>
      <w:r w:rsidRPr="006F74F9">
        <w:rPr>
          <w:rFonts w:ascii="Arial" w:hAnsi="Arial" w:cs="Arial"/>
          <w:b/>
          <w:sz w:val="28"/>
          <w:szCs w:val="28"/>
        </w:rPr>
        <w:t>implemented the recommendations of the EHRC Inquiry</w:t>
      </w:r>
      <w:r w:rsidRPr="006F74F9">
        <w:rPr>
          <w:rStyle w:val="FootnoteReference"/>
          <w:rFonts w:ascii="Arial" w:hAnsi="Arial" w:cs="Arial"/>
          <w:b/>
          <w:sz w:val="28"/>
          <w:szCs w:val="28"/>
        </w:rPr>
        <w:footnoteReference w:id="45"/>
      </w:r>
      <w:r w:rsidRPr="006F74F9">
        <w:rPr>
          <w:rFonts w:ascii="Arial" w:hAnsi="Arial" w:cs="Arial"/>
          <w:b/>
          <w:sz w:val="28"/>
          <w:szCs w:val="28"/>
        </w:rPr>
        <w:t xml:space="preserve"> into Disability-Related Harassment and </w:t>
      </w:r>
      <w:r>
        <w:rPr>
          <w:rFonts w:ascii="Arial" w:hAnsi="Arial" w:cs="Arial"/>
          <w:b/>
          <w:sz w:val="28"/>
          <w:szCs w:val="28"/>
        </w:rPr>
        <w:t xml:space="preserve">satisfied </w:t>
      </w:r>
      <w:r w:rsidRPr="006F74F9">
        <w:rPr>
          <w:rFonts w:ascii="Arial" w:hAnsi="Arial" w:cs="Arial"/>
          <w:b/>
          <w:sz w:val="28"/>
          <w:szCs w:val="28"/>
        </w:rPr>
        <w:t xml:space="preserve">their Public Sector Equality Duty in relation to </w:t>
      </w:r>
      <w:r w:rsidR="00F73323">
        <w:rPr>
          <w:rFonts w:ascii="Arial" w:hAnsi="Arial" w:cs="Arial"/>
          <w:b/>
          <w:sz w:val="28"/>
          <w:szCs w:val="28"/>
        </w:rPr>
        <w:t xml:space="preserve">access to justice </w:t>
      </w:r>
      <w:r>
        <w:rPr>
          <w:rFonts w:ascii="Arial" w:hAnsi="Arial" w:cs="Arial"/>
          <w:b/>
          <w:sz w:val="28"/>
          <w:szCs w:val="28"/>
        </w:rPr>
        <w:t xml:space="preserve">for </w:t>
      </w:r>
      <w:r w:rsidRPr="006F74F9">
        <w:rPr>
          <w:rFonts w:ascii="Arial" w:hAnsi="Arial" w:cs="Arial"/>
          <w:b/>
          <w:sz w:val="28"/>
          <w:szCs w:val="28"/>
        </w:rPr>
        <w:t xml:space="preserve">disabled people? </w:t>
      </w:r>
    </w:p>
    <w:p w14:paraId="5BB48599" w14:textId="514CC87A" w:rsidR="00A94DB1" w:rsidRDefault="00A94DB1" w:rsidP="00F73323">
      <w:pPr>
        <w:pStyle w:val="ListParagraph"/>
        <w:ind w:left="0"/>
        <w:rPr>
          <w:rFonts w:ascii="Arial" w:hAnsi="Arial" w:cs="Arial"/>
          <w:b/>
          <w:sz w:val="28"/>
          <w:szCs w:val="28"/>
        </w:rPr>
      </w:pPr>
      <w:r>
        <w:rPr>
          <w:rFonts w:ascii="Arial" w:hAnsi="Arial" w:cs="Arial"/>
          <w:b/>
          <w:sz w:val="28"/>
          <w:szCs w:val="28"/>
        </w:rPr>
        <w:t>Q. How will the state afford protection</w:t>
      </w:r>
      <w:r w:rsidR="00F73323">
        <w:rPr>
          <w:rFonts w:ascii="Arial" w:hAnsi="Arial" w:cs="Arial"/>
          <w:b/>
          <w:sz w:val="28"/>
          <w:szCs w:val="28"/>
        </w:rPr>
        <w:t xml:space="preserve"> and support</w:t>
      </w:r>
      <w:r>
        <w:rPr>
          <w:rFonts w:ascii="Arial" w:hAnsi="Arial" w:cs="Arial"/>
          <w:b/>
          <w:sz w:val="28"/>
          <w:szCs w:val="28"/>
        </w:rPr>
        <w:t xml:space="preserve"> for disabled women who report sexual violence and rape, during their contact with the</w:t>
      </w:r>
      <w:r w:rsidR="00927D77">
        <w:rPr>
          <w:rFonts w:ascii="Arial" w:hAnsi="Arial" w:cs="Arial"/>
          <w:b/>
          <w:sz w:val="28"/>
          <w:szCs w:val="28"/>
        </w:rPr>
        <w:t xml:space="preserve"> Police, Courts and other public bodies (such as HM Forces) investigating the incidents and offences?</w:t>
      </w:r>
    </w:p>
    <w:p w14:paraId="614D9A53" w14:textId="1FD53486" w:rsidR="00F73323" w:rsidRDefault="00F73323" w:rsidP="00F73323">
      <w:pPr>
        <w:pStyle w:val="ListParagraph"/>
        <w:ind w:left="0"/>
        <w:rPr>
          <w:rFonts w:ascii="Arial" w:hAnsi="Arial" w:cs="Arial"/>
          <w:b/>
          <w:sz w:val="28"/>
          <w:szCs w:val="28"/>
        </w:rPr>
      </w:pPr>
      <w:r>
        <w:rPr>
          <w:rFonts w:ascii="Arial" w:hAnsi="Arial" w:cs="Arial"/>
          <w:b/>
          <w:sz w:val="28"/>
          <w:szCs w:val="28"/>
        </w:rPr>
        <w:t xml:space="preserve">Q. Will the state ensure that, especially in personal violence or rape cases, that disabled people in the criminal justice system are given access to special measures throughout the process and a Victim Advocate or Barrister to represent them?  </w:t>
      </w:r>
    </w:p>
    <w:p w14:paraId="61E84507" w14:textId="3A683BFD" w:rsidR="006E30A6" w:rsidRDefault="00AC55B1" w:rsidP="00F73323">
      <w:pPr>
        <w:pStyle w:val="ListParagraph"/>
        <w:ind w:left="0"/>
        <w:rPr>
          <w:rFonts w:ascii="Arial" w:hAnsi="Arial" w:cs="Arial"/>
          <w:b/>
          <w:sz w:val="28"/>
          <w:szCs w:val="28"/>
        </w:rPr>
      </w:pPr>
      <w:r>
        <w:rPr>
          <w:rFonts w:ascii="Arial" w:hAnsi="Arial" w:cs="Arial"/>
          <w:b/>
          <w:sz w:val="28"/>
          <w:szCs w:val="28"/>
        </w:rPr>
        <w:t>Q. When will the state ensure that the recommendations of the Criminal Justice Joint Inspection Review into Disability Hate Crime are implemented?</w:t>
      </w:r>
    </w:p>
    <w:p w14:paraId="66EB7EA9" w14:textId="77777777" w:rsidR="00F73323" w:rsidRDefault="00F73323" w:rsidP="00F73323">
      <w:pPr>
        <w:pStyle w:val="ListParagraph"/>
        <w:ind w:left="0"/>
        <w:rPr>
          <w:rFonts w:ascii="Arial" w:hAnsi="Arial" w:cs="Arial"/>
          <w:b/>
          <w:sz w:val="28"/>
          <w:szCs w:val="28"/>
        </w:rPr>
      </w:pPr>
    </w:p>
    <w:p w14:paraId="5E7CC442" w14:textId="77777777" w:rsidR="001140E5" w:rsidRPr="002A62B2" w:rsidRDefault="001140E5" w:rsidP="001140E5">
      <w:pPr>
        <w:spacing w:line="276" w:lineRule="auto"/>
        <w:rPr>
          <w:rFonts w:ascii="Calibri" w:hAnsi="Calibri"/>
        </w:rPr>
      </w:pPr>
    </w:p>
    <w:p w14:paraId="7381FFE6" w14:textId="77777777" w:rsidR="001140E5" w:rsidRDefault="001140E5" w:rsidP="001140E5">
      <w:pPr>
        <w:spacing w:line="276" w:lineRule="auto"/>
      </w:pPr>
    </w:p>
    <w:p w14:paraId="38666D3E" w14:textId="77777777" w:rsidR="0099200D" w:rsidRDefault="0099200D">
      <w:pPr>
        <w:rPr>
          <w:rFonts w:ascii="Arial" w:eastAsia="Times New Roman" w:hAnsi="Arial" w:cs="Arial"/>
          <w:b/>
          <w:bCs/>
          <w:lang w:val="en-GB"/>
        </w:rPr>
      </w:pPr>
      <w:r>
        <w:rPr>
          <w:rFonts w:ascii="Arial" w:hAnsi="Arial" w:cs="Arial"/>
        </w:rPr>
        <w:br w:type="page"/>
      </w:r>
    </w:p>
    <w:p w14:paraId="3331A562" w14:textId="117B0B1F" w:rsidR="0055410A" w:rsidRPr="00404CDD" w:rsidRDefault="0055410A" w:rsidP="0055410A">
      <w:pPr>
        <w:pStyle w:val="Heading3"/>
        <w:rPr>
          <w:rFonts w:ascii="Arial" w:hAnsi="Arial" w:cs="Arial"/>
          <w:sz w:val="24"/>
          <w:szCs w:val="24"/>
        </w:rPr>
      </w:pPr>
      <w:r w:rsidRPr="00404CDD">
        <w:rPr>
          <w:rFonts w:ascii="Arial" w:hAnsi="Arial" w:cs="Arial"/>
          <w:sz w:val="24"/>
          <w:szCs w:val="24"/>
        </w:rPr>
        <w:t>Article 14 - Liberty and security of person</w:t>
      </w:r>
      <w:bookmarkEnd w:id="5"/>
    </w:p>
    <w:p w14:paraId="38862FB0" w14:textId="7E0C3F78" w:rsidR="00F445D8" w:rsidRDefault="00F445D8" w:rsidP="00ED5311">
      <w:pPr>
        <w:pStyle w:val="NormalWeb"/>
        <w:rPr>
          <w:rFonts w:ascii="Arial" w:hAnsi="Arial" w:cs="Arial"/>
        </w:rPr>
      </w:pPr>
      <w:r>
        <w:rPr>
          <w:rFonts w:ascii="Arial" w:hAnsi="Arial" w:cs="Arial"/>
        </w:rPr>
        <w:t xml:space="preserve">Young women who have been removed from their parents for their own wellbeing and are looked after by the State in care, constitute </w:t>
      </w:r>
      <w:r w:rsidR="007B56C3">
        <w:rPr>
          <w:rFonts w:ascii="Arial" w:hAnsi="Arial" w:cs="Arial"/>
        </w:rPr>
        <w:t xml:space="preserve">61% of </w:t>
      </w:r>
      <w:r w:rsidR="000763BA">
        <w:rPr>
          <w:rFonts w:ascii="Arial" w:hAnsi="Arial" w:cs="Arial"/>
        </w:rPr>
        <w:t>girls in custody, compared to 35% of boys</w:t>
      </w:r>
      <w:r w:rsidR="000763BA">
        <w:rPr>
          <w:rStyle w:val="FootnoteReference"/>
          <w:rFonts w:ascii="Arial" w:hAnsi="Arial" w:cs="Arial"/>
        </w:rPr>
        <w:footnoteReference w:id="46"/>
      </w:r>
      <w:r w:rsidR="000763BA">
        <w:rPr>
          <w:rFonts w:ascii="Arial" w:hAnsi="Arial" w:cs="Arial"/>
        </w:rPr>
        <w:t>, despite only 1% of children in England being in care</w:t>
      </w:r>
      <w:r>
        <w:rPr>
          <w:rFonts w:ascii="Arial" w:hAnsi="Arial" w:cs="Arial"/>
        </w:rPr>
        <w:t xml:space="preserve">.  There is a </w:t>
      </w:r>
      <w:r w:rsidR="000763BA">
        <w:rPr>
          <w:rFonts w:ascii="Arial" w:hAnsi="Arial" w:cs="Arial"/>
        </w:rPr>
        <w:t xml:space="preserve">clear </w:t>
      </w:r>
      <w:r>
        <w:rPr>
          <w:rFonts w:ascii="Arial" w:hAnsi="Arial" w:cs="Arial"/>
        </w:rPr>
        <w:t>pathway after child abuse</w:t>
      </w:r>
      <w:r w:rsidR="000763BA">
        <w:rPr>
          <w:rFonts w:ascii="Arial" w:hAnsi="Arial" w:cs="Arial"/>
        </w:rPr>
        <w:t>, neglect</w:t>
      </w:r>
      <w:r>
        <w:rPr>
          <w:rFonts w:ascii="Arial" w:hAnsi="Arial" w:cs="Arial"/>
        </w:rPr>
        <w:t xml:space="preserve"> and domestic violence which </w:t>
      </w:r>
      <w:r w:rsidR="000763BA">
        <w:rPr>
          <w:rFonts w:ascii="Arial" w:hAnsi="Arial" w:cs="Arial"/>
        </w:rPr>
        <w:t xml:space="preserve">creates </w:t>
      </w:r>
      <w:r w:rsidR="006D774D">
        <w:rPr>
          <w:rFonts w:ascii="Arial" w:hAnsi="Arial" w:cs="Arial"/>
        </w:rPr>
        <w:t xml:space="preserve">impairment, </w:t>
      </w:r>
      <w:r w:rsidR="000763BA">
        <w:rPr>
          <w:rFonts w:ascii="Arial" w:hAnsi="Arial" w:cs="Arial"/>
        </w:rPr>
        <w:t xml:space="preserve">mental health problems and social care need, but leads to </w:t>
      </w:r>
      <w:r w:rsidR="007E54CF">
        <w:rPr>
          <w:rFonts w:ascii="Arial" w:hAnsi="Arial" w:cs="Arial"/>
        </w:rPr>
        <w:t xml:space="preserve">disabled </w:t>
      </w:r>
      <w:r w:rsidR="000763BA">
        <w:rPr>
          <w:rFonts w:ascii="Arial" w:hAnsi="Arial" w:cs="Arial"/>
        </w:rPr>
        <w:t xml:space="preserve">girls being in the criminal justice </w:t>
      </w:r>
      <w:r w:rsidR="007E54CF">
        <w:rPr>
          <w:rFonts w:ascii="Arial" w:hAnsi="Arial" w:cs="Arial"/>
        </w:rPr>
        <w:t>detention and custody</w:t>
      </w:r>
      <w:r w:rsidR="000763BA">
        <w:rPr>
          <w:rFonts w:ascii="Arial" w:hAnsi="Arial" w:cs="Arial"/>
        </w:rPr>
        <w:t xml:space="preserve"> disproportionately</w:t>
      </w:r>
      <w:r w:rsidR="007E54CF">
        <w:rPr>
          <w:rFonts w:ascii="Arial" w:hAnsi="Arial" w:cs="Arial"/>
        </w:rPr>
        <w:t>, for less serious offences than boys and men</w:t>
      </w:r>
      <w:r w:rsidR="000763BA">
        <w:rPr>
          <w:rFonts w:ascii="Arial" w:hAnsi="Arial" w:cs="Arial"/>
        </w:rPr>
        <w:t xml:space="preserve">. This means that disabled women (for example, with autism, </w:t>
      </w:r>
      <w:r w:rsidR="006D774D">
        <w:rPr>
          <w:rFonts w:ascii="Arial" w:hAnsi="Arial" w:cs="Arial"/>
        </w:rPr>
        <w:t>learning disabilities, mental health service need or challenging behaviour)  are often detained many miles from home without social contact, after offences from shop-lifting food to assault against perpetrators of violence, where the girl is arrested.  The criminal justice system is male focussed</w:t>
      </w:r>
      <w:r w:rsidR="00ED5311">
        <w:rPr>
          <w:rStyle w:val="FootnoteReference"/>
          <w:rFonts w:ascii="Arial" w:hAnsi="Arial" w:cs="Arial"/>
        </w:rPr>
        <w:footnoteReference w:id="47"/>
      </w:r>
      <w:r w:rsidR="006D774D">
        <w:rPr>
          <w:rFonts w:ascii="Arial" w:hAnsi="Arial" w:cs="Arial"/>
        </w:rPr>
        <w:t xml:space="preserve">, which mean few drug or anti-violence interventions are available to rehabilitate young women and girls leaving them without the ability to leave detention and rebuild their lives. </w:t>
      </w:r>
      <w:r w:rsidR="007B56C3">
        <w:rPr>
          <w:rFonts w:ascii="Arial" w:hAnsi="Arial" w:cs="Arial"/>
        </w:rPr>
        <w:t>The Care Act 2014 raised the age for the e</w:t>
      </w:r>
      <w:r w:rsidR="000763BA">
        <w:rPr>
          <w:rFonts w:ascii="Arial" w:hAnsi="Arial" w:cs="Arial"/>
        </w:rPr>
        <w:t>nding of care provision for looked after children by the S</w:t>
      </w:r>
      <w:r w:rsidR="007B56C3">
        <w:rPr>
          <w:rFonts w:ascii="Arial" w:hAnsi="Arial" w:cs="Arial"/>
        </w:rPr>
        <w:t xml:space="preserve">tate to 18, from 16, which was welcome.  </w:t>
      </w:r>
      <w:r w:rsidR="006D774D">
        <w:rPr>
          <w:rFonts w:ascii="Arial" w:hAnsi="Arial" w:cs="Arial"/>
        </w:rPr>
        <w:t>Recommendations have already been made</w:t>
      </w:r>
      <w:r w:rsidR="006D774D">
        <w:rPr>
          <w:rStyle w:val="FootnoteReference"/>
          <w:rFonts w:ascii="Arial" w:hAnsi="Arial" w:cs="Arial"/>
        </w:rPr>
        <w:footnoteReference w:id="48"/>
      </w:r>
      <w:r w:rsidR="006D774D">
        <w:rPr>
          <w:rFonts w:ascii="Arial" w:hAnsi="Arial" w:cs="Arial"/>
        </w:rPr>
        <w:t xml:space="preserve">, which the Government has not yet enacted. </w:t>
      </w:r>
      <w:r w:rsidR="007E54CF">
        <w:rPr>
          <w:rFonts w:ascii="Arial" w:hAnsi="Arial" w:cs="Arial"/>
        </w:rPr>
        <w:t xml:space="preserve">However, these recommendations regard people with the label of learning difficulty and autism, rather than all disabled people and mental health service or care survivors.  </w:t>
      </w:r>
    </w:p>
    <w:p w14:paraId="4C79BA37" w14:textId="5D6BEE79" w:rsidR="0099200D" w:rsidRDefault="00AE77D6" w:rsidP="0055410A">
      <w:pPr>
        <w:pStyle w:val="NormalWeb"/>
        <w:rPr>
          <w:rFonts w:ascii="Arial" w:hAnsi="Arial" w:cs="Arial"/>
        </w:rPr>
      </w:pPr>
      <w:r>
        <w:rPr>
          <w:rFonts w:ascii="Arial" w:hAnsi="Arial" w:cs="Arial"/>
        </w:rPr>
        <w:t>Independent Mental Capacity Advocates are an initiative designed to ensure liberty and security for disabled people</w:t>
      </w:r>
      <w:r w:rsidR="009F4ED0">
        <w:rPr>
          <w:rFonts w:ascii="Arial" w:hAnsi="Arial" w:cs="Arial"/>
        </w:rPr>
        <w:t>, but does not reach the level of protection under the Human Rights Act, 1998</w:t>
      </w:r>
      <w:r>
        <w:rPr>
          <w:rFonts w:ascii="Arial" w:hAnsi="Arial" w:cs="Arial"/>
        </w:rPr>
        <w:t xml:space="preserve">. </w:t>
      </w:r>
    </w:p>
    <w:p w14:paraId="7A5D7F77" w14:textId="4E2B1DE6" w:rsidR="0055410A" w:rsidRDefault="009F4ED0" w:rsidP="0055410A">
      <w:pPr>
        <w:pStyle w:val="NormalWeb"/>
        <w:rPr>
          <w:rFonts w:ascii="Arial" w:hAnsi="Arial" w:cs="Arial"/>
        </w:rPr>
      </w:pPr>
      <w:r>
        <w:rPr>
          <w:rFonts w:ascii="Arial" w:hAnsi="Arial" w:cs="Arial"/>
        </w:rPr>
        <w:t>Only 1,482 cases received Mental Capacity Act advocacy</w:t>
      </w:r>
      <w:r w:rsidR="00AE77D6">
        <w:rPr>
          <w:rFonts w:ascii="Arial" w:hAnsi="Arial" w:cs="Arial"/>
        </w:rPr>
        <w:t xml:space="preserve"> in 2011-2012</w:t>
      </w:r>
      <w:r w:rsidR="00D720B2">
        <w:rPr>
          <w:rFonts w:ascii="Arial" w:hAnsi="Arial" w:cs="Arial"/>
        </w:rPr>
        <w:t xml:space="preserve"> and there was a f</w:t>
      </w:r>
      <w:r w:rsidR="00D720B2" w:rsidRPr="00D720B2">
        <w:rPr>
          <w:rFonts w:ascii="Arial" w:hAnsi="Arial" w:cs="Arial"/>
        </w:rPr>
        <w:t xml:space="preserve">all </w:t>
      </w:r>
      <w:r w:rsidR="00D720B2">
        <w:rPr>
          <w:rFonts w:ascii="Arial" w:hAnsi="Arial" w:cs="Arial"/>
        </w:rPr>
        <w:t>of 3% in the use of</w:t>
      </w:r>
      <w:r w:rsidR="00D720B2" w:rsidRPr="00D720B2">
        <w:rPr>
          <w:rFonts w:ascii="Arial" w:hAnsi="Arial" w:cs="Arial"/>
        </w:rPr>
        <w:t xml:space="preserve"> advocates in </w:t>
      </w:r>
      <w:r w:rsidR="00D720B2">
        <w:rPr>
          <w:rFonts w:ascii="Arial" w:hAnsi="Arial" w:cs="Arial"/>
        </w:rPr>
        <w:t xml:space="preserve">Deprivation of Liberty safeguard </w:t>
      </w:r>
      <w:r w:rsidR="00D720B2" w:rsidRPr="00D720B2">
        <w:rPr>
          <w:rFonts w:ascii="Arial" w:hAnsi="Arial" w:cs="Arial"/>
        </w:rPr>
        <w:t>cases</w:t>
      </w:r>
      <w:r w:rsidR="00A67163">
        <w:rPr>
          <w:rStyle w:val="FootnoteReference"/>
          <w:rFonts w:ascii="Arial" w:hAnsi="Arial" w:cs="Arial"/>
        </w:rPr>
        <w:footnoteReference w:id="49"/>
      </w:r>
      <w:r w:rsidR="0099200D">
        <w:rPr>
          <w:rFonts w:ascii="Arial" w:hAnsi="Arial" w:cs="Arial"/>
        </w:rPr>
        <w:t>,both areas were reduced</w:t>
      </w:r>
      <w:r w:rsidR="00A67163">
        <w:rPr>
          <w:rFonts w:ascii="Arial" w:hAnsi="Arial" w:cs="Arial"/>
        </w:rPr>
        <w:t xml:space="preserve"> from previous years.  </w:t>
      </w:r>
      <w:r w:rsidR="00894756">
        <w:rPr>
          <w:rFonts w:ascii="Arial" w:hAnsi="Arial" w:cs="Arial"/>
        </w:rPr>
        <w:t xml:space="preserve">The numbers of advocacy instructions for safeguarding cases is still too low; there were </w:t>
      </w:r>
      <w:r w:rsidR="00D720B2">
        <w:rPr>
          <w:rFonts w:ascii="Arial" w:hAnsi="Arial" w:cs="Arial"/>
        </w:rPr>
        <w:t>61,642</w:t>
      </w:r>
      <w:r w:rsidR="00D720B2">
        <w:rPr>
          <w:rStyle w:val="FootnoteReference"/>
          <w:rFonts w:ascii="Arial" w:hAnsi="Arial" w:cs="Arial"/>
        </w:rPr>
        <w:footnoteReference w:id="50"/>
      </w:r>
      <w:r w:rsidR="00894756">
        <w:rPr>
          <w:rFonts w:ascii="Arial" w:hAnsi="Arial" w:cs="Arial"/>
        </w:rPr>
        <w:t xml:space="preserve"> completed safeguarding cases </w:t>
      </w:r>
      <w:r w:rsidR="00D720B2">
        <w:rPr>
          <w:rFonts w:ascii="Arial" w:hAnsi="Arial" w:cs="Arial"/>
        </w:rPr>
        <w:t xml:space="preserve">where further action was required </w:t>
      </w:r>
      <w:r w:rsidR="00894756">
        <w:rPr>
          <w:rFonts w:ascii="Arial" w:hAnsi="Arial" w:cs="Arial"/>
        </w:rPr>
        <w:t>in 2012-2013</w:t>
      </w:r>
      <w:r w:rsidR="00D720B2">
        <w:rPr>
          <w:rFonts w:ascii="Arial" w:hAnsi="Arial" w:cs="Arial"/>
        </w:rPr>
        <w:t>, but less than 3% of the disabled people involved in these cases had advocate representation</w:t>
      </w:r>
      <w:r w:rsidR="00894756">
        <w:rPr>
          <w:rFonts w:ascii="Arial" w:hAnsi="Arial" w:cs="Arial"/>
        </w:rPr>
        <w:t>.</w:t>
      </w:r>
      <w:r w:rsidR="00894756" w:rsidRPr="00894756">
        <w:t xml:space="preserve"> </w:t>
      </w:r>
      <w:r w:rsidR="00894756" w:rsidRPr="00894756">
        <w:rPr>
          <w:rFonts w:ascii="Arial" w:hAnsi="Arial" w:cs="Arial"/>
        </w:rPr>
        <w:t xml:space="preserve">55% of councils reduced the number of IMCA instructions they made in safeguarding cases </w:t>
      </w:r>
      <w:r w:rsidR="00894756">
        <w:rPr>
          <w:rFonts w:ascii="Arial" w:hAnsi="Arial" w:cs="Arial"/>
        </w:rPr>
        <w:t>in 2012</w:t>
      </w:r>
      <w:r w:rsidR="00894756" w:rsidRPr="00894756">
        <w:rPr>
          <w:rFonts w:ascii="Arial" w:hAnsi="Arial" w:cs="Arial"/>
        </w:rPr>
        <w:t>.</w:t>
      </w:r>
    </w:p>
    <w:p w14:paraId="4E8A78F9" w14:textId="057F75A0" w:rsidR="009F4ED0" w:rsidRDefault="009F4ED0" w:rsidP="0055410A">
      <w:pPr>
        <w:pStyle w:val="NormalWeb"/>
        <w:rPr>
          <w:rFonts w:ascii="Arial" w:hAnsi="Arial" w:cs="Arial"/>
        </w:rPr>
      </w:pPr>
      <w:r>
        <w:rPr>
          <w:rFonts w:ascii="Arial" w:hAnsi="Arial" w:cs="Arial"/>
        </w:rPr>
        <w:t>For disabled people deprived of their liberty by a Tribunal (where they have been accused of sexual offences</w:t>
      </w:r>
      <w:r w:rsidR="004B39C0">
        <w:rPr>
          <w:rFonts w:ascii="Arial" w:hAnsi="Arial" w:cs="Arial"/>
        </w:rPr>
        <w:t xml:space="preserve"> or violence</w:t>
      </w:r>
      <w:r>
        <w:rPr>
          <w:rFonts w:ascii="Arial" w:hAnsi="Arial" w:cs="Arial"/>
        </w:rPr>
        <w:t>, for example, but there has not been a criminal justice trial), they may be placed on the Sex Offenders Register without trial or ability to defend themselves.  Their case is reviewed by a Tribunal</w:t>
      </w:r>
      <w:r w:rsidR="004B39C0">
        <w:rPr>
          <w:rFonts w:ascii="Arial" w:hAnsi="Arial" w:cs="Arial"/>
        </w:rPr>
        <w:t xml:space="preserve">, but the Tribunal does not have the power to ‘step them down’ from high secure hospital accommodation (forensics) to community living, which means that, although it is a small number of women affected (usually women with the label of learning difficulty), there is little or no chance of them ever completing their sentence or being released – a much worse system than a fair trial with a determinate sentence given for convicted offenders.  Providers of this high- or medium- secure accommodation often provide it out of the area where the person lives, reducing the chances of them retaining family and social contact.  The provider can cancel section 17 leave for any reason without oversight by a Tribunal or Court, meaning that disabled women can be denied their liberty with no recourse.  In many cases, the treatment (and advocacy if provided) is also paid for by the provider of detention – private companies which have a vested interest in the accommodation being continued for their financial gain.  </w:t>
      </w:r>
    </w:p>
    <w:p w14:paraId="3FC42CBB" w14:textId="77777777" w:rsidR="004B39C0" w:rsidRDefault="004B39C0" w:rsidP="0055410A">
      <w:pPr>
        <w:pStyle w:val="NormalWeb"/>
        <w:rPr>
          <w:rFonts w:ascii="Arial" w:hAnsi="Arial" w:cs="Arial"/>
        </w:rPr>
      </w:pPr>
    </w:p>
    <w:p w14:paraId="2209AF9A" w14:textId="7282B61F" w:rsidR="00894756" w:rsidRDefault="004B39C0" w:rsidP="0055410A">
      <w:pPr>
        <w:pStyle w:val="NormalWeb"/>
        <w:rPr>
          <w:rFonts w:ascii="Arial" w:hAnsi="Arial" w:cs="Arial"/>
          <w:b/>
        </w:rPr>
      </w:pPr>
      <w:r>
        <w:rPr>
          <w:rFonts w:ascii="Arial" w:hAnsi="Arial" w:cs="Arial"/>
          <w:b/>
        </w:rPr>
        <w:t>Q. When will the S</w:t>
      </w:r>
      <w:r w:rsidR="00894756" w:rsidRPr="00D720B2">
        <w:rPr>
          <w:rFonts w:ascii="Arial" w:hAnsi="Arial" w:cs="Arial"/>
          <w:b/>
        </w:rPr>
        <w:t>tate place a Duty on local authorities</w:t>
      </w:r>
      <w:r w:rsidR="0099200D">
        <w:rPr>
          <w:rFonts w:ascii="Arial" w:hAnsi="Arial" w:cs="Arial"/>
          <w:b/>
        </w:rPr>
        <w:t xml:space="preserve">, </w:t>
      </w:r>
      <w:r w:rsidR="00894756" w:rsidRPr="00D720B2">
        <w:rPr>
          <w:rFonts w:ascii="Arial" w:hAnsi="Arial" w:cs="Arial"/>
          <w:b/>
        </w:rPr>
        <w:t>Police</w:t>
      </w:r>
      <w:r w:rsidR="0099200D">
        <w:rPr>
          <w:rFonts w:ascii="Arial" w:hAnsi="Arial" w:cs="Arial"/>
          <w:b/>
        </w:rPr>
        <w:t>, public bodies and private providers</w:t>
      </w:r>
      <w:r w:rsidR="00894756" w:rsidRPr="00D720B2">
        <w:rPr>
          <w:rFonts w:ascii="Arial" w:hAnsi="Arial" w:cs="Arial"/>
          <w:b/>
        </w:rPr>
        <w:t xml:space="preserve"> to instruct an </w:t>
      </w:r>
      <w:r>
        <w:rPr>
          <w:rFonts w:ascii="Arial" w:hAnsi="Arial" w:cs="Arial"/>
          <w:b/>
        </w:rPr>
        <w:t xml:space="preserve">independent </w:t>
      </w:r>
      <w:r w:rsidR="00894756" w:rsidRPr="00D720B2">
        <w:rPr>
          <w:rFonts w:ascii="Arial" w:hAnsi="Arial" w:cs="Arial"/>
          <w:b/>
        </w:rPr>
        <w:t>advocate</w:t>
      </w:r>
      <w:r w:rsidR="00D720B2" w:rsidRPr="00D720B2">
        <w:rPr>
          <w:rFonts w:ascii="Arial" w:hAnsi="Arial" w:cs="Arial"/>
          <w:b/>
        </w:rPr>
        <w:t xml:space="preserve"> </w:t>
      </w:r>
      <w:r w:rsidR="0099200D">
        <w:rPr>
          <w:rFonts w:ascii="Arial" w:hAnsi="Arial" w:cs="Arial"/>
          <w:b/>
        </w:rPr>
        <w:t xml:space="preserve">when a person may or does lack capacity </w:t>
      </w:r>
      <w:r w:rsidR="00D720B2" w:rsidRPr="00D720B2">
        <w:rPr>
          <w:rFonts w:ascii="Arial" w:hAnsi="Arial" w:cs="Arial"/>
          <w:b/>
        </w:rPr>
        <w:t xml:space="preserve">in safeguarding </w:t>
      </w:r>
      <w:r w:rsidR="0099200D">
        <w:rPr>
          <w:rFonts w:ascii="Arial" w:hAnsi="Arial" w:cs="Arial"/>
          <w:b/>
        </w:rPr>
        <w:t>investigations</w:t>
      </w:r>
      <w:r w:rsidR="00D720B2">
        <w:rPr>
          <w:rFonts w:ascii="Arial" w:hAnsi="Arial" w:cs="Arial"/>
          <w:b/>
        </w:rPr>
        <w:t>, change in accommodation</w:t>
      </w:r>
      <w:r w:rsidR="0099200D">
        <w:rPr>
          <w:rFonts w:ascii="Arial" w:hAnsi="Arial" w:cs="Arial"/>
          <w:b/>
        </w:rPr>
        <w:t>, protective measures</w:t>
      </w:r>
      <w:r w:rsidR="00D720B2">
        <w:rPr>
          <w:rFonts w:ascii="Arial" w:hAnsi="Arial" w:cs="Arial"/>
          <w:b/>
        </w:rPr>
        <w:t xml:space="preserve"> or care reviews</w:t>
      </w:r>
      <w:r w:rsidR="00894756" w:rsidRPr="00D720B2">
        <w:rPr>
          <w:rFonts w:ascii="Arial" w:hAnsi="Arial" w:cs="Arial"/>
          <w:b/>
        </w:rPr>
        <w:t xml:space="preserve">?  </w:t>
      </w:r>
    </w:p>
    <w:p w14:paraId="7F6EDCC1" w14:textId="70F1A487" w:rsidR="006D774D" w:rsidRDefault="006D774D" w:rsidP="0055410A">
      <w:pPr>
        <w:pStyle w:val="NormalWeb"/>
        <w:rPr>
          <w:rFonts w:ascii="Arial" w:hAnsi="Arial" w:cs="Arial"/>
          <w:b/>
        </w:rPr>
      </w:pPr>
      <w:r>
        <w:rPr>
          <w:rFonts w:ascii="Arial" w:hAnsi="Arial" w:cs="Arial"/>
          <w:b/>
        </w:rPr>
        <w:t>Q. When will the State place a Duty on local authorities, NHS Commissioners and Courts to ensure custodial or rehabilitation arrangements for young women who have been in care, takes account of maintaining local community contact, being the least restrictive option and diversion (using Community Treatment Orders rather than custody for people who have been in care) and ends out of area custody or treatment whenever possible?</w:t>
      </w:r>
    </w:p>
    <w:p w14:paraId="1EEBF7DE" w14:textId="4BD21B72" w:rsidR="004B39C0" w:rsidRDefault="004B39C0" w:rsidP="0055410A">
      <w:pPr>
        <w:pStyle w:val="NormalWeb"/>
        <w:rPr>
          <w:rFonts w:ascii="Arial" w:hAnsi="Arial" w:cs="Arial"/>
          <w:b/>
        </w:rPr>
      </w:pPr>
      <w:r>
        <w:rPr>
          <w:rFonts w:ascii="Arial" w:hAnsi="Arial" w:cs="Arial"/>
          <w:b/>
        </w:rPr>
        <w:t xml:space="preserve">Q. When will the State provide a fair trial and remove incarceration without a release date for disabled people </w:t>
      </w:r>
      <w:r w:rsidR="00AC55B1">
        <w:rPr>
          <w:rFonts w:ascii="Arial" w:hAnsi="Arial" w:cs="Arial"/>
          <w:b/>
        </w:rPr>
        <w:t xml:space="preserve">currently </w:t>
      </w:r>
      <w:r>
        <w:rPr>
          <w:rFonts w:ascii="Arial" w:hAnsi="Arial" w:cs="Arial"/>
          <w:b/>
        </w:rPr>
        <w:t>detained in medium or high secure settings without a fair trial and Court conviction?</w:t>
      </w:r>
    </w:p>
    <w:p w14:paraId="20DAA814" w14:textId="77777777" w:rsidR="006D774D" w:rsidRDefault="006D774D" w:rsidP="0055410A">
      <w:pPr>
        <w:pStyle w:val="NormalWeb"/>
        <w:rPr>
          <w:rFonts w:ascii="Arial" w:hAnsi="Arial" w:cs="Arial"/>
          <w:b/>
        </w:rPr>
      </w:pPr>
    </w:p>
    <w:p w14:paraId="3147259F" w14:textId="77777777" w:rsidR="0099200D" w:rsidRPr="00D720B2" w:rsidRDefault="0099200D" w:rsidP="0055410A">
      <w:pPr>
        <w:pStyle w:val="NormalWeb"/>
        <w:rPr>
          <w:rFonts w:ascii="Arial" w:hAnsi="Arial" w:cs="Arial"/>
          <w:b/>
        </w:rPr>
      </w:pPr>
    </w:p>
    <w:p w14:paraId="44C3376C" w14:textId="77777777" w:rsidR="0099200D" w:rsidRDefault="0099200D">
      <w:pPr>
        <w:rPr>
          <w:rFonts w:ascii="Arial" w:eastAsia="Times New Roman" w:hAnsi="Arial" w:cs="Arial"/>
          <w:b/>
          <w:bCs/>
          <w:lang w:val="en-GB"/>
        </w:rPr>
      </w:pPr>
      <w:bookmarkStart w:id="6" w:name="_Toc386038765"/>
      <w:r>
        <w:rPr>
          <w:rFonts w:ascii="Arial" w:hAnsi="Arial" w:cs="Arial"/>
        </w:rPr>
        <w:br w:type="page"/>
      </w:r>
    </w:p>
    <w:p w14:paraId="650081B9" w14:textId="1FDEE350" w:rsidR="0055410A" w:rsidRPr="00404CDD" w:rsidRDefault="0055410A" w:rsidP="0055410A">
      <w:pPr>
        <w:pStyle w:val="Heading3"/>
        <w:rPr>
          <w:rFonts w:ascii="Arial" w:hAnsi="Arial" w:cs="Arial"/>
          <w:sz w:val="24"/>
          <w:szCs w:val="24"/>
        </w:rPr>
      </w:pPr>
      <w:r w:rsidRPr="00404CDD">
        <w:rPr>
          <w:rFonts w:ascii="Arial" w:hAnsi="Arial" w:cs="Arial"/>
          <w:sz w:val="24"/>
          <w:szCs w:val="24"/>
        </w:rPr>
        <w:t>Article 15 - Freedom from torture or cruel, inhuman or degrading treatment or punishment</w:t>
      </w:r>
      <w:bookmarkEnd w:id="6"/>
    </w:p>
    <w:p w14:paraId="406A6CE8" w14:textId="77777777" w:rsidR="00927D77" w:rsidRPr="00664AF5" w:rsidRDefault="00927D77" w:rsidP="00927D77">
      <w:pPr>
        <w:rPr>
          <w:rFonts w:ascii="Calibri" w:hAnsi="Calibri"/>
        </w:rPr>
      </w:pPr>
      <w:r>
        <w:rPr>
          <w:rFonts w:ascii="Arial" w:hAnsi="Arial" w:cs="Arial"/>
        </w:rPr>
        <w:t>Violence from ‘care’ providers, particularly in segregated institutions is still a major problem in England  today</w:t>
      </w:r>
      <w:r>
        <w:rPr>
          <w:rStyle w:val="FootnoteReference"/>
          <w:rFonts w:ascii="Arial" w:hAnsi="Arial" w:cs="Arial"/>
        </w:rPr>
        <w:footnoteReference w:id="51"/>
      </w:r>
      <w:r>
        <w:rPr>
          <w:rFonts w:ascii="Arial" w:hAnsi="Arial" w:cs="Arial"/>
        </w:rPr>
        <w:t>; as the Inquiries into Winterbourne View (despite many warnings)</w:t>
      </w:r>
      <w:r>
        <w:rPr>
          <w:rStyle w:val="FootnoteReference"/>
          <w:rFonts w:ascii="Arial" w:hAnsi="Arial" w:cs="Arial"/>
        </w:rPr>
        <w:footnoteReference w:id="52"/>
      </w:r>
      <w:r>
        <w:rPr>
          <w:rFonts w:ascii="Arial" w:hAnsi="Arial" w:cs="Arial"/>
        </w:rPr>
        <w:t xml:space="preserve"> and the death of Connor Sparrowhawk</w:t>
      </w:r>
      <w:r>
        <w:rPr>
          <w:rStyle w:val="FootnoteReference"/>
          <w:rFonts w:ascii="Arial" w:hAnsi="Arial" w:cs="Arial"/>
        </w:rPr>
        <w:footnoteReference w:id="53"/>
      </w:r>
      <w:r>
        <w:rPr>
          <w:rFonts w:ascii="Arial" w:hAnsi="Arial" w:cs="Arial"/>
        </w:rPr>
        <w:t xml:space="preserve"> show.  Between 47,410 and 54,430 disabled people experienced alleged abuse in temporary or permanent residential care, health, or supported accommodation, compared to 42,590 alleged abuses in their own home</w:t>
      </w:r>
      <w:r>
        <w:rPr>
          <w:rStyle w:val="FootnoteReference"/>
          <w:rFonts w:ascii="Arial" w:hAnsi="Arial" w:cs="Arial"/>
        </w:rPr>
        <w:footnoteReference w:id="54"/>
      </w:r>
      <w:r>
        <w:rPr>
          <w:rFonts w:ascii="Arial" w:hAnsi="Arial" w:cs="Arial"/>
        </w:rPr>
        <w:t xml:space="preserve"> (but many more disabled people live at home than in institutions, so the representation is disproportionate).  Despite this problem, neither the EHRC nor the Care Quality Commission have included violence in residential or institutional settings in their excellent Inquiries. In 2008, the </w:t>
      </w:r>
      <w:r w:rsidRPr="00997F73">
        <w:rPr>
          <w:rFonts w:ascii="Calibri" w:hAnsi="Calibri"/>
        </w:rPr>
        <w:t>Healthcare Commission audit</w:t>
      </w:r>
      <w:r>
        <w:rPr>
          <w:rFonts w:ascii="Calibri" w:hAnsi="Calibri"/>
        </w:rPr>
        <w:t>ed</w:t>
      </w:r>
      <w:r w:rsidRPr="00997F73">
        <w:rPr>
          <w:rFonts w:ascii="Calibri" w:hAnsi="Calibri"/>
        </w:rPr>
        <w:t xml:space="preserve"> institutions, after serious </w:t>
      </w:r>
      <w:r>
        <w:rPr>
          <w:rFonts w:ascii="Calibri" w:hAnsi="Calibri"/>
        </w:rPr>
        <w:t>sexual violence and torture</w:t>
      </w:r>
      <w:r w:rsidRPr="00997F73">
        <w:rPr>
          <w:rFonts w:ascii="Calibri" w:hAnsi="Calibri"/>
        </w:rPr>
        <w:t xml:space="preserve"> was uncovered in </w:t>
      </w:r>
      <w:r>
        <w:rPr>
          <w:rFonts w:ascii="Calibri" w:hAnsi="Calibri"/>
        </w:rPr>
        <w:t>hospitals</w:t>
      </w:r>
      <w:r w:rsidRPr="00997F73">
        <w:rPr>
          <w:rFonts w:ascii="Calibri" w:hAnsi="Calibri"/>
        </w:rPr>
        <w:t xml:space="preserve">.  </w:t>
      </w:r>
      <w:r>
        <w:rPr>
          <w:rFonts w:ascii="Calibri" w:hAnsi="Calibri"/>
        </w:rPr>
        <w:t>Still, some hospitals, private providers running health services and public bodies do not report written complaints against them and many have over 500 complaints or episodes upheld against them; many of these involve disabled people</w:t>
      </w:r>
      <w:r>
        <w:rPr>
          <w:rStyle w:val="FootnoteReference"/>
          <w:rFonts w:ascii="Calibri" w:hAnsi="Calibri"/>
        </w:rPr>
        <w:footnoteReference w:id="55"/>
      </w:r>
      <w:r>
        <w:rPr>
          <w:rFonts w:ascii="Calibri" w:hAnsi="Calibri"/>
        </w:rPr>
        <w:t>.  As a result, the</w:t>
      </w:r>
      <w:r w:rsidRPr="00997F73">
        <w:rPr>
          <w:rFonts w:ascii="Calibri" w:hAnsi="Calibri"/>
        </w:rPr>
        <w:t xml:space="preserve"> Department of Health planned to move 4,000 people with learning difficulties out of NHS campuses and long stay hospitals </w:t>
      </w:r>
      <w:r>
        <w:rPr>
          <w:rFonts w:ascii="Calibri" w:hAnsi="Calibri"/>
        </w:rPr>
        <w:t xml:space="preserve">with more than 100 beds </w:t>
      </w:r>
      <w:r w:rsidRPr="00997F73">
        <w:rPr>
          <w:rFonts w:ascii="Calibri" w:hAnsi="Calibri"/>
        </w:rPr>
        <w:t xml:space="preserve">by 2010.  In its audit </w:t>
      </w:r>
      <w:r>
        <w:rPr>
          <w:rFonts w:ascii="Calibri" w:hAnsi="Calibri"/>
        </w:rPr>
        <w:t xml:space="preserve">of </w:t>
      </w:r>
      <w:r w:rsidRPr="00997F73">
        <w:rPr>
          <w:rFonts w:ascii="Calibri" w:hAnsi="Calibri"/>
        </w:rPr>
        <w:t>findings, the Healthcare Commission found,</w:t>
      </w:r>
      <w:r>
        <w:rPr>
          <w:rFonts w:ascii="Calibri" w:hAnsi="Calibri"/>
        </w:rPr>
        <w:t xml:space="preserve"> </w:t>
      </w:r>
      <w:r w:rsidRPr="00997F73">
        <w:rPr>
          <w:rFonts w:ascii="Calibri" w:hAnsi="Calibri"/>
        </w:rPr>
        <w:t>“There appears to be a lack of awareness of what constitutes abuse, and we remain concerned that this leads to under reporting of incidents with the potential for abusive practices being allowed to continue unchallenged.</w:t>
      </w:r>
      <w:r>
        <w:rPr>
          <w:rFonts w:ascii="Calibri" w:hAnsi="Calibri"/>
        </w:rPr>
        <w:t>”(</w:t>
      </w:r>
      <w:r w:rsidRPr="00997F73">
        <w:rPr>
          <w:rFonts w:ascii="Calibri" w:hAnsi="Calibri"/>
        </w:rPr>
        <w:t>2009, p50).</w:t>
      </w:r>
      <w:r w:rsidRPr="001140E5">
        <w:rPr>
          <w:rFonts w:ascii="Arial" w:hAnsi="Arial" w:cs="Arial"/>
        </w:rPr>
        <w:t xml:space="preserve"> </w:t>
      </w:r>
      <w:r>
        <w:rPr>
          <w:rFonts w:ascii="Arial" w:hAnsi="Arial" w:cs="Arial"/>
        </w:rPr>
        <w:t>The failure of the state to investigate and prevent violence against disabled people in institutions and segregated residential settings has meant the situation has not improved since this was raised as a concern in 1998</w:t>
      </w:r>
      <w:r>
        <w:rPr>
          <w:rStyle w:val="FootnoteReference"/>
          <w:rFonts w:ascii="Arial" w:hAnsi="Arial" w:cs="Arial"/>
        </w:rPr>
        <w:footnoteReference w:id="56"/>
      </w:r>
      <w:r>
        <w:rPr>
          <w:rFonts w:ascii="Arial" w:hAnsi="Arial" w:cs="Arial"/>
        </w:rPr>
        <w:t>; this amounts to a systematic violation of the CRPD.</w:t>
      </w:r>
    </w:p>
    <w:p w14:paraId="7D1C10E2" w14:textId="77777777" w:rsidR="006F3C13" w:rsidRPr="00927D77" w:rsidRDefault="006F3C13" w:rsidP="006F3C13">
      <w:pPr>
        <w:pStyle w:val="NormalWeb"/>
        <w:rPr>
          <w:rFonts w:asciiTheme="majorHAnsi" w:hAnsiTheme="majorHAnsi"/>
          <w:b/>
          <w:sz w:val="28"/>
          <w:szCs w:val="28"/>
        </w:rPr>
      </w:pPr>
      <w:r w:rsidRPr="00927D77">
        <w:rPr>
          <w:rFonts w:asciiTheme="majorHAnsi" w:hAnsiTheme="majorHAnsi" w:cs="Arial"/>
          <w:b/>
          <w:sz w:val="28"/>
          <w:szCs w:val="28"/>
        </w:rPr>
        <w:t xml:space="preserve">Q.  When will segregated residential institutions or assessment centres be closed so that the risk of abuse and violence for disabled people can be reduced and disabled people can claim the right to a family and community life? </w:t>
      </w:r>
    </w:p>
    <w:p w14:paraId="6CB7F7F6" w14:textId="68B09592" w:rsidR="00927D77" w:rsidRPr="00927D77" w:rsidRDefault="00927D77" w:rsidP="00927D77">
      <w:pPr>
        <w:pStyle w:val="ListParagraph"/>
        <w:numPr>
          <w:ilvl w:val="0"/>
          <w:numId w:val="16"/>
        </w:numPr>
        <w:rPr>
          <w:rFonts w:asciiTheme="majorHAnsi" w:hAnsiTheme="majorHAnsi" w:cs="Arial"/>
          <w:b/>
          <w:sz w:val="28"/>
          <w:szCs w:val="28"/>
        </w:rPr>
      </w:pPr>
      <w:r w:rsidRPr="00927D77">
        <w:rPr>
          <w:rFonts w:asciiTheme="majorHAnsi" w:hAnsiTheme="majorHAnsi" w:cs="Arial"/>
          <w:b/>
          <w:sz w:val="28"/>
          <w:szCs w:val="28"/>
        </w:rPr>
        <w:t>Will the State recognise, investigate and tackle the disproportionate and systematic violation of the CRPD shown in the violence against disabled people in institutions and segregated residential care?</w:t>
      </w:r>
    </w:p>
    <w:p w14:paraId="11BFB5FC" w14:textId="77777777" w:rsidR="006F3C13" w:rsidRPr="00404CDD" w:rsidRDefault="006F3C13" w:rsidP="0055410A">
      <w:pPr>
        <w:pStyle w:val="NormalWeb"/>
        <w:rPr>
          <w:rFonts w:ascii="Arial" w:hAnsi="Arial" w:cs="Arial"/>
        </w:rPr>
      </w:pPr>
    </w:p>
    <w:p w14:paraId="4168D1EF" w14:textId="77777777" w:rsidR="0055410A" w:rsidRPr="00404CDD" w:rsidRDefault="0055410A" w:rsidP="0055410A">
      <w:pPr>
        <w:pStyle w:val="Heading2"/>
        <w:rPr>
          <w:rFonts w:ascii="Arial" w:hAnsi="Arial" w:cs="Arial"/>
          <w:sz w:val="24"/>
          <w:szCs w:val="24"/>
        </w:rPr>
      </w:pPr>
    </w:p>
    <w:p w14:paraId="1B837C44" w14:textId="77777777" w:rsidR="00F23BC1" w:rsidRDefault="00F23BC1">
      <w:pPr>
        <w:rPr>
          <w:rFonts w:ascii="Arial" w:eastAsia="Times New Roman" w:hAnsi="Arial" w:cs="Arial"/>
          <w:b/>
          <w:bCs/>
          <w:lang w:val="en-GB"/>
        </w:rPr>
      </w:pPr>
      <w:bookmarkStart w:id="7" w:name="_Toc386038766"/>
      <w:r>
        <w:rPr>
          <w:rFonts w:ascii="Arial" w:hAnsi="Arial" w:cs="Arial"/>
        </w:rPr>
        <w:br w:type="page"/>
      </w:r>
    </w:p>
    <w:p w14:paraId="6D4A87ED" w14:textId="4A578B30" w:rsidR="0055410A" w:rsidRPr="00404CDD" w:rsidRDefault="0055410A" w:rsidP="0055410A">
      <w:pPr>
        <w:pStyle w:val="Heading3"/>
        <w:rPr>
          <w:rFonts w:ascii="Arial" w:hAnsi="Arial" w:cs="Arial"/>
          <w:sz w:val="24"/>
          <w:szCs w:val="24"/>
        </w:rPr>
      </w:pPr>
      <w:r w:rsidRPr="00404CDD">
        <w:rPr>
          <w:rFonts w:ascii="Arial" w:hAnsi="Arial" w:cs="Arial"/>
          <w:sz w:val="24"/>
          <w:szCs w:val="24"/>
        </w:rPr>
        <w:t>Article 16 - Freedom from exploitation, violence and abuse</w:t>
      </w:r>
      <w:bookmarkEnd w:id="7"/>
    </w:p>
    <w:p w14:paraId="16267EDE" w14:textId="77777777" w:rsidR="00226C6E" w:rsidRDefault="00226C6E" w:rsidP="00226C6E">
      <w:pPr>
        <w:spacing w:line="360" w:lineRule="auto"/>
        <w:rPr>
          <w:rFonts w:ascii="Calibri" w:hAnsi="Calibri"/>
        </w:rPr>
      </w:pPr>
    </w:p>
    <w:p w14:paraId="6ECF8037" w14:textId="77777777" w:rsidR="000C1F12" w:rsidRDefault="000C1F12" w:rsidP="00927D77">
      <w:pPr>
        <w:spacing w:line="276" w:lineRule="auto"/>
        <w:rPr>
          <w:rFonts w:ascii="Calibri" w:hAnsi="Calibri"/>
        </w:rPr>
      </w:pPr>
      <w:r>
        <w:rPr>
          <w:rFonts w:ascii="Calibri" w:hAnsi="Calibri"/>
        </w:rPr>
        <w:t>Disabled adults in England are significantly more likely to experience violent crime and hate crime than non-disabled people in the last 12 months.</w:t>
      </w:r>
      <w:r>
        <w:rPr>
          <w:rStyle w:val="FootnoteReference"/>
          <w:rFonts w:ascii="Calibri" w:hAnsi="Calibri"/>
        </w:rPr>
        <w:footnoteReference w:id="57"/>
      </w:r>
      <w:r>
        <w:rPr>
          <w:rFonts w:ascii="Calibri" w:hAnsi="Calibri"/>
        </w:rPr>
        <w:t xml:space="preserve"> There we</w:t>
      </w:r>
      <w:r w:rsidR="00226C6E">
        <w:rPr>
          <w:rFonts w:ascii="Calibri" w:hAnsi="Calibri"/>
        </w:rPr>
        <w:t>re an estimated 197,980 safeguarding alerts for adults in 2012-2013, from 172,130 total alerts for Councils who reported their figures, a 19% increase on 2011-2012</w:t>
      </w:r>
      <w:r w:rsidR="00226C6E">
        <w:rPr>
          <w:rStyle w:val="FootnoteReference"/>
          <w:rFonts w:ascii="Calibri" w:hAnsi="Calibri"/>
        </w:rPr>
        <w:footnoteReference w:id="58"/>
      </w:r>
      <w:r w:rsidR="00226C6E">
        <w:rPr>
          <w:rFonts w:ascii="Calibri" w:hAnsi="Calibri"/>
        </w:rPr>
        <w:t xml:space="preserve">. </w:t>
      </w:r>
      <w:r>
        <w:rPr>
          <w:rFonts w:ascii="Calibri" w:hAnsi="Calibri"/>
        </w:rPr>
        <w:t xml:space="preserve">Of these, 19,030 were repeat referrals; the sort of cases which can result in deaths and Serious Case Reviews.  </w:t>
      </w:r>
    </w:p>
    <w:p w14:paraId="4A990C56" w14:textId="77777777" w:rsidR="000C1F12" w:rsidRDefault="000C1F12" w:rsidP="00927D77">
      <w:pPr>
        <w:spacing w:line="276" w:lineRule="auto"/>
        <w:rPr>
          <w:rFonts w:ascii="Calibri" w:hAnsi="Calibri"/>
        </w:rPr>
      </w:pPr>
    </w:p>
    <w:p w14:paraId="28390857" w14:textId="77777777" w:rsidR="001140E5" w:rsidRDefault="00226C6E" w:rsidP="00927D77">
      <w:pPr>
        <w:spacing w:line="276" w:lineRule="auto"/>
        <w:rPr>
          <w:rFonts w:ascii="Calibri" w:hAnsi="Calibri"/>
        </w:rPr>
      </w:pPr>
      <w:r>
        <w:rPr>
          <w:rFonts w:ascii="Calibri" w:hAnsi="Calibri"/>
        </w:rPr>
        <w:t>In the year to March 2013, there were 72,000 crimes on the grounds of a person’s disability in England and Wales</w:t>
      </w:r>
      <w:r>
        <w:rPr>
          <w:rStyle w:val="FootnoteReference"/>
          <w:rFonts w:ascii="Calibri" w:hAnsi="Calibri"/>
        </w:rPr>
        <w:footnoteReference w:id="59"/>
      </w:r>
      <w:r>
        <w:rPr>
          <w:rFonts w:ascii="Calibri" w:hAnsi="Calibri"/>
        </w:rPr>
        <w:t>.  This is 8 incidents per 10,000 population (Coleman et al, 2013).  However, o</w:t>
      </w:r>
      <w:r w:rsidRPr="00B00AB9">
        <w:rPr>
          <w:rFonts w:ascii="Calibri" w:hAnsi="Calibri"/>
        </w:rPr>
        <w:t xml:space="preserve">nly 4% </w:t>
      </w:r>
      <w:r>
        <w:rPr>
          <w:rFonts w:ascii="Calibri" w:hAnsi="Calibri"/>
        </w:rPr>
        <w:t>of people included in the CSEW were disabled people who reported being</w:t>
      </w:r>
      <w:r w:rsidRPr="00B00AB9">
        <w:rPr>
          <w:rFonts w:ascii="Calibri" w:hAnsi="Calibri"/>
        </w:rPr>
        <w:t xml:space="preserve"> victims of hostility aggravated crimes on the basis of their identity (Nocon, Iganski &amp; Lagou, 2011, p21).</w:t>
      </w:r>
      <w:r w:rsidRPr="00F90A54">
        <w:t xml:space="preserve"> </w:t>
      </w:r>
      <w:r w:rsidR="007D4BCC" w:rsidRPr="0092468E">
        <w:rPr>
          <w:rFonts w:ascii="Calibri" w:hAnsi="Calibri"/>
        </w:rPr>
        <w:t xml:space="preserve">The annual Crime Survey of England and Wales reaches 30,000 people, but </w:t>
      </w:r>
      <w:r w:rsidR="007D4BCC">
        <w:rPr>
          <w:rFonts w:ascii="Calibri" w:hAnsi="Calibri"/>
        </w:rPr>
        <w:t>should be extended to be</w:t>
      </w:r>
      <w:r w:rsidR="007D4BCC" w:rsidRPr="0092468E">
        <w:rPr>
          <w:rFonts w:ascii="Calibri" w:hAnsi="Calibri"/>
        </w:rPr>
        <w:t xml:space="preserve"> inclusive of </w:t>
      </w:r>
      <w:r w:rsidR="007D4BCC">
        <w:rPr>
          <w:rFonts w:ascii="Calibri" w:hAnsi="Calibri"/>
        </w:rPr>
        <w:t xml:space="preserve">more </w:t>
      </w:r>
      <w:r w:rsidR="007D4BCC" w:rsidRPr="0092468E">
        <w:rPr>
          <w:rFonts w:ascii="Calibri" w:hAnsi="Calibri"/>
        </w:rPr>
        <w:t>disabled people in a range of formats (including B</w:t>
      </w:r>
      <w:r w:rsidR="007D4BCC">
        <w:rPr>
          <w:rFonts w:ascii="Calibri" w:hAnsi="Calibri"/>
        </w:rPr>
        <w:t xml:space="preserve">raille, Easy Words or Pictures) and </w:t>
      </w:r>
      <w:r w:rsidR="007D4BCC" w:rsidRPr="0092468E">
        <w:rPr>
          <w:rFonts w:ascii="Calibri" w:hAnsi="Calibri"/>
        </w:rPr>
        <w:t>people in residential institutions or hospitals, who are more likely to be disabled people</w:t>
      </w:r>
      <w:r w:rsidR="007D4BCC">
        <w:rPr>
          <w:rFonts w:ascii="Calibri" w:hAnsi="Calibri"/>
        </w:rPr>
        <w:t>; disabled people are under-represented in the survey</w:t>
      </w:r>
      <w:r w:rsidR="007D4BCC" w:rsidRPr="0092468E">
        <w:rPr>
          <w:rFonts w:ascii="Calibri" w:hAnsi="Calibri"/>
        </w:rPr>
        <w:t xml:space="preserve">.   </w:t>
      </w:r>
    </w:p>
    <w:p w14:paraId="5D1075C0" w14:textId="71C0FFDC" w:rsidR="00927D77" w:rsidRDefault="000C1F12" w:rsidP="00927D77">
      <w:pPr>
        <w:spacing w:line="276" w:lineRule="auto"/>
      </w:pPr>
      <w:r>
        <w:t>Robust research shows that the more severe poverty disabled people live in, the more violent crime and hate crime they experience</w:t>
      </w:r>
      <w:r>
        <w:rPr>
          <w:rStyle w:val="FootnoteReference"/>
        </w:rPr>
        <w:footnoteReference w:id="60"/>
      </w:r>
      <w:r>
        <w:t xml:space="preserve">.  </w:t>
      </w:r>
      <w:r w:rsidR="00076E8D">
        <w:t xml:space="preserve">The cumulative impact of current Government cuts on the income of disabled people are disproportionate.  They are a loss on average of £4,410 per person - this is 9 times more than the burden placed on most other citizens. People with severe disabilities lose an average of </w:t>
      </w:r>
      <w:r>
        <w:t xml:space="preserve">£8,832 per person - this is 19 </w:t>
      </w:r>
      <w:r w:rsidR="00076E8D">
        <w:t>times more than the burden placed on most other citizens</w:t>
      </w:r>
      <w:r w:rsidR="00076E8D">
        <w:rPr>
          <w:rStyle w:val="FootnoteReference"/>
        </w:rPr>
        <w:footnoteReference w:id="61"/>
      </w:r>
      <w:r w:rsidR="00076E8D">
        <w:t xml:space="preserve">.  </w:t>
      </w:r>
      <w:r>
        <w:t>This poverty increase is correlated significantly to an increase in violence</w:t>
      </w:r>
      <w:r w:rsidR="004B39C0">
        <w:t xml:space="preserve"> and hate crime</w:t>
      </w:r>
      <w:r>
        <w:rPr>
          <w:rStyle w:val="FootnoteReference"/>
        </w:rPr>
        <w:footnoteReference w:id="62"/>
      </w:r>
      <w:r>
        <w:t xml:space="preserve">.  </w:t>
      </w:r>
    </w:p>
    <w:p w14:paraId="2B4E4556" w14:textId="77777777" w:rsidR="00927D77" w:rsidRDefault="00927D77" w:rsidP="00927D77">
      <w:pPr>
        <w:spacing w:line="276" w:lineRule="auto"/>
      </w:pPr>
    </w:p>
    <w:p w14:paraId="790E3BB1" w14:textId="5B82283B" w:rsidR="00664AF5" w:rsidRPr="00927D77" w:rsidRDefault="00F23BC1" w:rsidP="00927D77">
      <w:pPr>
        <w:spacing w:line="276" w:lineRule="auto"/>
      </w:pPr>
      <w:r>
        <w:rPr>
          <w:rFonts w:ascii="Arial" w:hAnsi="Arial" w:cs="Arial"/>
        </w:rPr>
        <w:t>Internationally, t</w:t>
      </w:r>
      <w:r w:rsidR="00B50D15">
        <w:rPr>
          <w:rFonts w:ascii="Arial" w:hAnsi="Arial" w:cs="Arial"/>
        </w:rPr>
        <w:t xml:space="preserve">he prevalence of violence against disabled people </w:t>
      </w:r>
      <w:r>
        <w:rPr>
          <w:rFonts w:ascii="Arial" w:hAnsi="Arial" w:cs="Arial"/>
        </w:rPr>
        <w:t>is at least between 1.5 times and four times higher than for non-disabled people</w:t>
      </w:r>
      <w:r>
        <w:rPr>
          <w:rStyle w:val="FootnoteReference"/>
          <w:rFonts w:ascii="Arial" w:hAnsi="Arial" w:cs="Arial"/>
        </w:rPr>
        <w:footnoteReference w:id="63"/>
      </w:r>
      <w:r w:rsidR="00B50D15">
        <w:rPr>
          <w:rFonts w:ascii="Arial" w:hAnsi="Arial" w:cs="Arial"/>
        </w:rPr>
        <w:t xml:space="preserve"> </w:t>
      </w:r>
      <w:r>
        <w:rPr>
          <w:rStyle w:val="FootnoteReference"/>
          <w:rFonts w:ascii="Arial" w:hAnsi="Arial" w:cs="Arial"/>
        </w:rPr>
        <w:footnoteReference w:id="64"/>
      </w:r>
      <w:r w:rsidR="00B50D15">
        <w:rPr>
          <w:rFonts w:ascii="Arial" w:hAnsi="Arial" w:cs="Arial"/>
        </w:rPr>
        <w:t xml:space="preserve">; </w:t>
      </w:r>
      <w:r>
        <w:rPr>
          <w:rFonts w:ascii="Arial" w:hAnsi="Arial" w:cs="Arial"/>
        </w:rPr>
        <w:t>partner and family</w:t>
      </w:r>
      <w:r w:rsidR="007D4BCC">
        <w:rPr>
          <w:rFonts w:ascii="Arial" w:hAnsi="Arial" w:cs="Arial"/>
        </w:rPr>
        <w:t xml:space="preserve"> </w:t>
      </w:r>
      <w:r>
        <w:rPr>
          <w:rFonts w:ascii="Arial" w:hAnsi="Arial" w:cs="Arial"/>
        </w:rPr>
        <w:t>violence against disabled people is more than double that for non-disabled people in Britain</w:t>
      </w:r>
      <w:r w:rsidR="00784A22">
        <w:rPr>
          <w:rStyle w:val="FootnoteReference"/>
          <w:rFonts w:ascii="Arial" w:hAnsi="Arial" w:cs="Arial"/>
        </w:rPr>
        <w:footnoteReference w:id="65"/>
      </w:r>
      <w:r>
        <w:rPr>
          <w:rFonts w:ascii="Arial" w:hAnsi="Arial" w:cs="Arial"/>
        </w:rPr>
        <w:t xml:space="preserve">.  </w:t>
      </w:r>
    </w:p>
    <w:p w14:paraId="3A369C0C" w14:textId="77777777" w:rsidR="002A62B2" w:rsidRDefault="002A62B2" w:rsidP="00927D77">
      <w:pPr>
        <w:pStyle w:val="NormalWeb"/>
        <w:spacing w:line="276" w:lineRule="auto"/>
        <w:rPr>
          <w:rFonts w:ascii="Arial" w:hAnsi="Arial" w:cs="Arial"/>
        </w:rPr>
      </w:pPr>
      <w:r>
        <w:rPr>
          <w:rFonts w:ascii="Arial" w:hAnsi="Arial" w:cs="Arial"/>
        </w:rPr>
        <w:t>In May 2014, the Law Commission has refused to recommend provision of legislation in England and Wales to protect disabled people against incitement to violence</w:t>
      </w:r>
      <w:r>
        <w:rPr>
          <w:rStyle w:val="FootnoteReference"/>
          <w:rFonts w:ascii="Arial" w:hAnsi="Arial" w:cs="Arial"/>
        </w:rPr>
        <w:footnoteReference w:id="66"/>
      </w:r>
      <w:r>
        <w:rPr>
          <w:rFonts w:ascii="Arial" w:hAnsi="Arial" w:cs="Arial"/>
        </w:rPr>
        <w:t>.  No specific offence of hate crime on the grounds of disability will be created, despite calls from disabled people and their families.  This means that disabled people still enjoy fewer legal protections and less recognition of hatred and violence towards them than other protected groups.</w:t>
      </w:r>
    </w:p>
    <w:p w14:paraId="4C34820B" w14:textId="6301FECE" w:rsidR="002A62B2" w:rsidRPr="00927D77" w:rsidRDefault="002A62B2" w:rsidP="002A62B2">
      <w:pPr>
        <w:pStyle w:val="ListParagraph"/>
        <w:ind w:left="0"/>
        <w:rPr>
          <w:rFonts w:asciiTheme="majorHAnsi" w:hAnsiTheme="majorHAnsi" w:cs="Arial"/>
          <w:b/>
          <w:sz w:val="28"/>
          <w:szCs w:val="24"/>
        </w:rPr>
      </w:pPr>
      <w:r w:rsidRPr="00927D77">
        <w:rPr>
          <w:rFonts w:asciiTheme="majorHAnsi" w:hAnsiTheme="majorHAnsi" w:cs="Arial"/>
          <w:b/>
          <w:sz w:val="28"/>
          <w:szCs w:val="24"/>
        </w:rPr>
        <w:t>Q. When will disabled people</w:t>
      </w:r>
      <w:r w:rsidR="00927D77" w:rsidRPr="00927D77">
        <w:rPr>
          <w:rFonts w:asciiTheme="majorHAnsi" w:hAnsiTheme="majorHAnsi" w:cs="Arial"/>
          <w:b/>
          <w:sz w:val="28"/>
          <w:szCs w:val="24"/>
        </w:rPr>
        <w:t xml:space="preserve">’s organisations and women’s refuges outside of </w:t>
      </w:r>
      <w:r w:rsidRPr="00927D77">
        <w:rPr>
          <w:rFonts w:asciiTheme="majorHAnsi" w:hAnsiTheme="majorHAnsi" w:cs="Arial"/>
          <w:b/>
          <w:sz w:val="28"/>
          <w:szCs w:val="24"/>
        </w:rPr>
        <w:t xml:space="preserve">the capital, be resourced </w:t>
      </w:r>
      <w:r w:rsidR="00927D77" w:rsidRPr="00927D77">
        <w:rPr>
          <w:rFonts w:asciiTheme="majorHAnsi" w:hAnsiTheme="majorHAnsi" w:cs="Arial"/>
          <w:b/>
          <w:sz w:val="28"/>
          <w:szCs w:val="24"/>
        </w:rPr>
        <w:t xml:space="preserve">by the State </w:t>
      </w:r>
      <w:r w:rsidRPr="00927D77">
        <w:rPr>
          <w:rFonts w:asciiTheme="majorHAnsi" w:hAnsiTheme="majorHAnsi" w:cs="Arial"/>
          <w:b/>
          <w:sz w:val="28"/>
          <w:szCs w:val="24"/>
        </w:rPr>
        <w:t xml:space="preserve">to assist our members to live free from violence and abuse </w:t>
      </w:r>
      <w:r w:rsidR="00927D77" w:rsidRPr="00927D77">
        <w:rPr>
          <w:rFonts w:asciiTheme="majorHAnsi" w:hAnsiTheme="majorHAnsi" w:cs="Arial"/>
          <w:b/>
          <w:sz w:val="28"/>
          <w:szCs w:val="24"/>
        </w:rPr>
        <w:t xml:space="preserve">and to report and recover from instances of violence, exploitation and abuse </w:t>
      </w:r>
      <w:r w:rsidRPr="00927D77">
        <w:rPr>
          <w:rFonts w:asciiTheme="majorHAnsi" w:hAnsiTheme="majorHAnsi" w:cs="Arial"/>
          <w:b/>
          <w:sz w:val="28"/>
          <w:szCs w:val="24"/>
        </w:rPr>
        <w:t>(social and educational action under the CRPD)?</w:t>
      </w:r>
    </w:p>
    <w:p w14:paraId="3ACE8EAC" w14:textId="1F095B3E" w:rsidR="00927D77" w:rsidRPr="00927D77" w:rsidRDefault="00927D77" w:rsidP="00927D77">
      <w:pPr>
        <w:pStyle w:val="NormalWeb"/>
        <w:rPr>
          <w:rFonts w:asciiTheme="majorHAnsi" w:hAnsiTheme="majorHAnsi" w:cs="Arial"/>
          <w:b/>
          <w:sz w:val="28"/>
        </w:rPr>
      </w:pPr>
      <w:r w:rsidRPr="00927D77">
        <w:rPr>
          <w:rFonts w:asciiTheme="majorHAnsi" w:hAnsiTheme="majorHAnsi" w:cs="Arial"/>
          <w:b/>
          <w:sz w:val="28"/>
        </w:rPr>
        <w:t xml:space="preserve">Q. When will the State implement effective legislation to ensure that instances of disablist hate crime is investigated and, where appropriate, prosecuted?  </w:t>
      </w:r>
    </w:p>
    <w:p w14:paraId="3FA25769" w14:textId="77777777" w:rsidR="0055410A" w:rsidRPr="00404CDD" w:rsidRDefault="0055410A" w:rsidP="0055410A">
      <w:pPr>
        <w:pStyle w:val="Heading2"/>
        <w:rPr>
          <w:rFonts w:ascii="Arial" w:hAnsi="Arial" w:cs="Arial"/>
          <w:sz w:val="24"/>
          <w:szCs w:val="24"/>
        </w:rPr>
      </w:pPr>
    </w:p>
    <w:p w14:paraId="321DDA1A" w14:textId="77777777" w:rsidR="00927D77" w:rsidRDefault="00927D77">
      <w:pPr>
        <w:rPr>
          <w:rFonts w:asciiTheme="majorHAnsi" w:eastAsia="Times New Roman" w:hAnsiTheme="majorHAnsi" w:cs="Times New Roman"/>
          <w:b/>
          <w:lang w:val="en-GB" w:eastAsia="en-GB"/>
        </w:rPr>
      </w:pPr>
      <w:r>
        <w:rPr>
          <w:rFonts w:asciiTheme="majorHAnsi" w:hAnsiTheme="majorHAnsi"/>
          <w:b/>
        </w:rPr>
        <w:br w:type="page"/>
      </w:r>
    </w:p>
    <w:p w14:paraId="5738BA28" w14:textId="5E991740" w:rsidR="00B70C27" w:rsidRPr="00EA0217" w:rsidRDefault="00B70C27" w:rsidP="00B70C27">
      <w:pPr>
        <w:pStyle w:val="NormalWeb"/>
        <w:rPr>
          <w:rFonts w:asciiTheme="majorHAnsi" w:hAnsiTheme="majorHAnsi"/>
          <w:b/>
        </w:rPr>
      </w:pPr>
      <w:r>
        <w:rPr>
          <w:rFonts w:asciiTheme="majorHAnsi" w:hAnsiTheme="majorHAnsi"/>
          <w:b/>
        </w:rPr>
        <w:t>Article 23 – Respect for the home and the family</w:t>
      </w:r>
    </w:p>
    <w:p w14:paraId="364A79A8" w14:textId="77777777" w:rsidR="00B70C27" w:rsidRDefault="00B70C27" w:rsidP="00B70C27">
      <w:pPr>
        <w:pStyle w:val="NormalWeb"/>
        <w:rPr>
          <w:rFonts w:asciiTheme="majorHAnsi" w:hAnsiTheme="majorHAnsi"/>
        </w:rPr>
      </w:pPr>
      <w:r>
        <w:rPr>
          <w:rFonts w:asciiTheme="majorHAnsi" w:hAnsiTheme="majorHAnsi"/>
        </w:rPr>
        <w:t>People with learning disabilities are more likely to be involved in child protection proceedings</w:t>
      </w:r>
      <w:r>
        <w:rPr>
          <w:rStyle w:val="FootnoteReference"/>
          <w:rFonts w:asciiTheme="majorHAnsi" w:hAnsiTheme="majorHAnsi"/>
        </w:rPr>
        <w:footnoteReference w:id="67"/>
      </w:r>
      <w:r>
        <w:rPr>
          <w:rFonts w:asciiTheme="majorHAnsi" w:hAnsiTheme="majorHAnsi"/>
        </w:rPr>
        <w:t xml:space="preserve"> and have their children removed than other parents, despite there being no evidence that IQ has any affect on parenting ability; in England, socio-economic disadvantage, poverty and stigma means a reduction in family life for disabled women and their children</w:t>
      </w:r>
      <w:r w:rsidRPr="00EA0217">
        <w:rPr>
          <w:rFonts w:asciiTheme="majorHAnsi" w:hAnsiTheme="majorHAnsi"/>
        </w:rPr>
        <w:t xml:space="preserve"> </w:t>
      </w:r>
      <w:r w:rsidRPr="00580C40">
        <w:rPr>
          <w:rFonts w:asciiTheme="majorHAnsi" w:hAnsiTheme="majorHAnsi"/>
        </w:rPr>
        <w:t>faced by this group</w:t>
      </w:r>
      <w:r>
        <w:rPr>
          <w:rFonts w:asciiTheme="majorHAnsi" w:hAnsiTheme="majorHAnsi"/>
        </w:rPr>
        <w:t>.</w:t>
      </w:r>
      <w:r>
        <w:rPr>
          <w:rStyle w:val="FootnoteReference"/>
          <w:rFonts w:asciiTheme="majorHAnsi" w:hAnsiTheme="majorHAnsi"/>
        </w:rPr>
        <w:footnoteReference w:id="68"/>
      </w:r>
      <w:r w:rsidRPr="00580C40">
        <w:rPr>
          <w:rFonts w:asciiTheme="majorHAnsi" w:hAnsiTheme="majorHAnsi"/>
        </w:rPr>
        <w:t xml:space="preserve"> </w:t>
      </w:r>
      <w:r>
        <w:rPr>
          <w:rFonts w:asciiTheme="majorHAnsi" w:hAnsiTheme="majorHAnsi"/>
        </w:rPr>
        <w:t xml:space="preserve">. Up to 22% </w:t>
      </w:r>
      <w:r w:rsidRPr="00580C40">
        <w:rPr>
          <w:rFonts w:asciiTheme="majorHAnsi" w:hAnsiTheme="majorHAnsi"/>
        </w:rPr>
        <w:t>of parents involved in child protection conferences and care proceedings have a learning disability</w:t>
      </w:r>
      <w:r>
        <w:rPr>
          <w:rStyle w:val="FootnoteReference"/>
          <w:rFonts w:asciiTheme="majorHAnsi" w:hAnsiTheme="majorHAnsi"/>
        </w:rPr>
        <w:footnoteReference w:id="69"/>
      </w:r>
      <w:r w:rsidRPr="00580C40">
        <w:rPr>
          <w:rFonts w:asciiTheme="majorHAnsi" w:hAnsiTheme="majorHAnsi"/>
        </w:rPr>
        <w:t xml:space="preserve">. </w:t>
      </w:r>
    </w:p>
    <w:p w14:paraId="06180A71" w14:textId="6FD49992" w:rsidR="00BE0B7B" w:rsidRPr="00BE0B7B" w:rsidRDefault="00BE0B7B" w:rsidP="00BE0B7B">
      <w:pPr>
        <w:pStyle w:val="NormalWeb"/>
        <w:rPr>
          <w:rFonts w:asciiTheme="majorHAnsi" w:hAnsiTheme="majorHAnsi"/>
        </w:rPr>
      </w:pPr>
      <w:r>
        <w:rPr>
          <w:rFonts w:asciiTheme="majorHAnsi" w:hAnsiTheme="majorHAnsi"/>
        </w:rPr>
        <w:t>Ordinary Residence Disputes affect disabled people’s right to a home and family life and to move freely between areas, when there are disputes about their care package.  64 disputes have been sent to the Secretary of State in the last 3 years, but there may be up to 500 disabled people affected by this problem at any time</w:t>
      </w:r>
      <w:r>
        <w:rPr>
          <w:rStyle w:val="FootnoteReference"/>
          <w:rFonts w:asciiTheme="majorHAnsi" w:hAnsiTheme="majorHAnsi"/>
        </w:rPr>
        <w:footnoteReference w:id="70"/>
      </w:r>
      <w:r>
        <w:rPr>
          <w:rFonts w:asciiTheme="majorHAnsi" w:hAnsiTheme="majorHAnsi"/>
        </w:rPr>
        <w:t xml:space="preserve">.  The Care Act 2014 has </w:t>
      </w:r>
      <w:r w:rsidR="00927D77">
        <w:rPr>
          <w:rFonts w:asciiTheme="majorHAnsi" w:hAnsiTheme="majorHAnsi"/>
        </w:rPr>
        <w:t xml:space="preserve">partly </w:t>
      </w:r>
      <w:r>
        <w:rPr>
          <w:rFonts w:asciiTheme="majorHAnsi" w:hAnsiTheme="majorHAnsi"/>
        </w:rPr>
        <w:t>addressed this but the regulations are not clear and comprehensive enough to prevent current or future Ordinary Residence Disputes, or to ensure, “c</w:t>
      </w:r>
      <w:r w:rsidRPr="00BE0B7B">
        <w:rPr>
          <w:rFonts w:asciiTheme="majorHAnsi" w:hAnsiTheme="majorHAnsi"/>
        </w:rPr>
        <w:t>ontrol by the individual over day-to-day life (including over care and support, or support, provided to the individual and the</w:t>
      </w:r>
      <w:r>
        <w:rPr>
          <w:rFonts w:asciiTheme="majorHAnsi" w:hAnsiTheme="majorHAnsi"/>
        </w:rPr>
        <w:t xml:space="preserve"> way in which it is provided)</w:t>
      </w:r>
      <w:r>
        <w:rPr>
          <w:rStyle w:val="FootnoteReference"/>
          <w:rFonts w:asciiTheme="majorHAnsi" w:hAnsiTheme="majorHAnsi"/>
        </w:rPr>
        <w:footnoteReference w:id="71"/>
      </w:r>
      <w:r w:rsidR="00927D77">
        <w:rPr>
          <w:rFonts w:asciiTheme="majorHAnsi" w:hAnsiTheme="majorHAnsi"/>
        </w:rPr>
        <w:t>.</w:t>
      </w:r>
    </w:p>
    <w:p w14:paraId="3D15FB9A" w14:textId="77777777" w:rsidR="00BE0B7B" w:rsidRPr="00BE0B7B" w:rsidRDefault="00BE0B7B" w:rsidP="00BE0B7B">
      <w:pPr>
        <w:pStyle w:val="NormalWeb"/>
        <w:rPr>
          <w:rFonts w:asciiTheme="majorHAnsi" w:hAnsiTheme="majorHAnsi"/>
        </w:rPr>
      </w:pPr>
    </w:p>
    <w:p w14:paraId="2562A653" w14:textId="77777777" w:rsidR="00BE0B7B" w:rsidRPr="00580C40" w:rsidRDefault="00BE0B7B" w:rsidP="00B70C27">
      <w:pPr>
        <w:pStyle w:val="NormalWeb"/>
        <w:rPr>
          <w:rFonts w:asciiTheme="majorHAnsi" w:hAnsiTheme="majorHAnsi"/>
        </w:rPr>
      </w:pPr>
    </w:p>
    <w:p w14:paraId="2C938D57" w14:textId="77777777" w:rsidR="00B70C27" w:rsidRPr="00404CDD" w:rsidRDefault="00B70C27" w:rsidP="00B70C27">
      <w:pPr>
        <w:pStyle w:val="NormalWeb"/>
        <w:rPr>
          <w:rFonts w:ascii="Arial" w:hAnsi="Arial" w:cs="Arial"/>
        </w:rPr>
      </w:pPr>
    </w:p>
    <w:p w14:paraId="02343AD6" w14:textId="77777777" w:rsidR="0055410A" w:rsidRDefault="0055410A" w:rsidP="0055410A">
      <w:pPr>
        <w:spacing w:before="100" w:beforeAutospacing="1" w:after="100" w:afterAutospacing="1"/>
        <w:rPr>
          <w:rFonts w:ascii="Arial" w:eastAsia="Times New Roman" w:hAnsi="Arial" w:cs="Arial"/>
          <w:lang w:eastAsia="en-GB"/>
        </w:rPr>
      </w:pPr>
      <w:r w:rsidRPr="00404CDD">
        <w:rPr>
          <w:rFonts w:ascii="Arial" w:eastAsia="Times New Roman" w:hAnsi="Arial" w:cs="Arial"/>
          <w:lang w:eastAsia="en-GB"/>
        </w:rPr>
        <w:t> </w:t>
      </w:r>
    </w:p>
    <w:p w14:paraId="15A2808E" w14:textId="77777777" w:rsidR="00927D77" w:rsidRDefault="00927D77" w:rsidP="0055410A">
      <w:pPr>
        <w:spacing w:before="100" w:beforeAutospacing="1" w:after="100" w:afterAutospacing="1"/>
        <w:rPr>
          <w:rFonts w:ascii="Arial" w:eastAsia="Times New Roman" w:hAnsi="Arial" w:cs="Arial"/>
          <w:lang w:eastAsia="en-GB"/>
        </w:rPr>
      </w:pPr>
    </w:p>
    <w:p w14:paraId="162A89AD" w14:textId="77777777" w:rsidR="00927D77" w:rsidRDefault="00927D77" w:rsidP="0055410A">
      <w:pPr>
        <w:spacing w:before="100" w:beforeAutospacing="1" w:after="100" w:afterAutospacing="1"/>
        <w:rPr>
          <w:rFonts w:ascii="Arial" w:eastAsia="Times New Roman" w:hAnsi="Arial" w:cs="Arial"/>
          <w:lang w:eastAsia="en-GB"/>
        </w:rPr>
      </w:pPr>
    </w:p>
    <w:p w14:paraId="78F06D43" w14:textId="77777777" w:rsidR="00927D77" w:rsidRDefault="00927D77" w:rsidP="0055410A">
      <w:pPr>
        <w:spacing w:before="100" w:beforeAutospacing="1" w:after="100" w:afterAutospacing="1"/>
        <w:rPr>
          <w:rFonts w:ascii="Arial" w:eastAsia="Times New Roman" w:hAnsi="Arial" w:cs="Arial"/>
          <w:lang w:eastAsia="en-GB"/>
        </w:rPr>
      </w:pPr>
    </w:p>
    <w:p w14:paraId="3A9CA51E" w14:textId="77777777" w:rsidR="00927D77" w:rsidRDefault="00927D77" w:rsidP="0055410A">
      <w:pPr>
        <w:spacing w:before="100" w:beforeAutospacing="1" w:after="100" w:afterAutospacing="1"/>
        <w:rPr>
          <w:rFonts w:ascii="Arial" w:eastAsia="Times New Roman" w:hAnsi="Arial" w:cs="Arial"/>
          <w:lang w:eastAsia="en-GB"/>
        </w:rPr>
      </w:pPr>
    </w:p>
    <w:p w14:paraId="26773A74" w14:textId="77777777" w:rsidR="00927D77" w:rsidRDefault="00927D77" w:rsidP="0055410A">
      <w:pPr>
        <w:spacing w:before="100" w:beforeAutospacing="1" w:after="100" w:afterAutospacing="1"/>
        <w:rPr>
          <w:rFonts w:ascii="Arial" w:eastAsia="Times New Roman" w:hAnsi="Arial" w:cs="Arial"/>
          <w:lang w:eastAsia="en-GB"/>
        </w:rPr>
      </w:pPr>
    </w:p>
    <w:p w14:paraId="470A43B7" w14:textId="77777777" w:rsidR="00927D77" w:rsidRPr="00404CDD" w:rsidRDefault="00927D77" w:rsidP="0055410A">
      <w:pPr>
        <w:spacing w:before="100" w:beforeAutospacing="1" w:after="100" w:afterAutospacing="1"/>
        <w:rPr>
          <w:rFonts w:ascii="Arial" w:eastAsia="Times New Roman" w:hAnsi="Arial" w:cs="Arial"/>
          <w:lang w:eastAsia="en-GB"/>
        </w:rPr>
      </w:pPr>
    </w:p>
    <w:p w14:paraId="46BB0CDF" w14:textId="77777777" w:rsidR="0055410A" w:rsidRPr="00404CDD" w:rsidRDefault="0055410A" w:rsidP="0055410A">
      <w:pPr>
        <w:pStyle w:val="Heading3"/>
        <w:rPr>
          <w:rFonts w:ascii="Arial" w:hAnsi="Arial" w:cs="Arial"/>
          <w:sz w:val="24"/>
          <w:szCs w:val="24"/>
        </w:rPr>
      </w:pPr>
      <w:bookmarkStart w:id="8" w:name="_Toc386038783"/>
      <w:r w:rsidRPr="00404CDD">
        <w:rPr>
          <w:rFonts w:ascii="Arial" w:hAnsi="Arial" w:cs="Arial"/>
          <w:sz w:val="24"/>
          <w:szCs w:val="24"/>
        </w:rPr>
        <w:t>Article 33 - National implementation and monitoring</w:t>
      </w:r>
      <w:bookmarkEnd w:id="8"/>
    </w:p>
    <w:p w14:paraId="47AD20E2" w14:textId="57D35624" w:rsidR="000C1F12" w:rsidRDefault="000C1F12" w:rsidP="00FF79C5">
      <w:pPr>
        <w:pStyle w:val="NormalWeb"/>
        <w:rPr>
          <w:rFonts w:ascii="Arial" w:hAnsi="Arial" w:cs="Arial"/>
        </w:rPr>
      </w:pPr>
      <w:r>
        <w:rPr>
          <w:rFonts w:ascii="Arial" w:hAnsi="Arial" w:cs="Arial"/>
        </w:rPr>
        <w:t>In 2013, the Government disbanded Equality 2025 Committee, through which disabled people influenced Government</w:t>
      </w:r>
      <w:r>
        <w:rPr>
          <w:rStyle w:val="FootnoteReference"/>
          <w:rFonts w:ascii="Arial" w:hAnsi="Arial" w:cs="Arial"/>
        </w:rPr>
        <w:footnoteReference w:id="72"/>
      </w:r>
      <w:r>
        <w:rPr>
          <w:rFonts w:ascii="Arial" w:hAnsi="Arial" w:cs="Arial"/>
        </w:rPr>
        <w:t xml:space="preserve">, there is no resourced, independent review function of Government action to prevent or tackle violence by disabled people’s organisations.   </w:t>
      </w:r>
    </w:p>
    <w:p w14:paraId="57B116CA" w14:textId="77777777" w:rsidR="004B39C0" w:rsidRDefault="004B39C0" w:rsidP="00FF79C5">
      <w:pPr>
        <w:pStyle w:val="NormalWeb"/>
        <w:rPr>
          <w:rFonts w:ascii="Arial" w:hAnsi="Arial" w:cs="Arial"/>
        </w:rPr>
      </w:pPr>
    </w:p>
    <w:p w14:paraId="0828534F" w14:textId="0E10BD51" w:rsidR="00F73323" w:rsidRPr="00404CDD" w:rsidRDefault="00F73323" w:rsidP="00FF79C5">
      <w:pPr>
        <w:pStyle w:val="NormalWeb"/>
        <w:rPr>
          <w:rFonts w:ascii="Arial" w:hAnsi="Arial" w:cs="Arial"/>
        </w:rPr>
      </w:pPr>
      <w:r>
        <w:rPr>
          <w:rFonts w:ascii="Arial" w:hAnsi="Arial" w:cs="Arial"/>
        </w:rPr>
        <w:t xml:space="preserve">This report was delivered pro bono by disabled people and their organisations, which received no statutory funding to deliver the report.  </w:t>
      </w:r>
    </w:p>
    <w:sectPr w:rsidR="00F73323" w:rsidRPr="00404CDD" w:rsidSect="0099200D">
      <w:footerReference w:type="even" r:id="rId11"/>
      <w:footerReference w:type="default" r:id="rId12"/>
      <w:pgSz w:w="11900" w:h="16840"/>
      <w:pgMar w:top="709" w:right="1410" w:bottom="568"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0B2BFB" w14:textId="77777777" w:rsidR="006E30A6" w:rsidRDefault="006E30A6" w:rsidP="00B50D15">
      <w:r>
        <w:separator/>
      </w:r>
    </w:p>
  </w:endnote>
  <w:endnote w:type="continuationSeparator" w:id="0">
    <w:p w14:paraId="345AB62E" w14:textId="77777777" w:rsidR="006E30A6" w:rsidRDefault="006E30A6" w:rsidP="00B50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Trebuchet MS">
    <w:panose1 w:val="020B0603020202020204"/>
    <w:charset w:val="00"/>
    <w:family w:val="auto"/>
    <w:pitch w:val="variable"/>
    <w:sig w:usb0="00000287" w:usb1="00000000" w:usb2="00000000" w:usb3="00000000" w:csb0="0000009F" w:csb1="00000000"/>
  </w:font>
  <w:font w:name="Source Sans Pro">
    <w:altName w:val="Times New Roman"/>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0EB88" w14:textId="77777777" w:rsidR="000C73A3" w:rsidRDefault="000C73A3" w:rsidP="00D509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0F9AF0" w14:textId="77777777" w:rsidR="000C73A3" w:rsidRDefault="000C73A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89440" w14:textId="77777777" w:rsidR="000C73A3" w:rsidRDefault="000C73A3" w:rsidP="00D509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0D5F">
      <w:rPr>
        <w:rStyle w:val="PageNumber"/>
        <w:noProof/>
      </w:rPr>
      <w:t>1</w:t>
    </w:r>
    <w:r>
      <w:rPr>
        <w:rStyle w:val="PageNumber"/>
      </w:rPr>
      <w:fldChar w:fldCharType="end"/>
    </w:r>
  </w:p>
  <w:p w14:paraId="13B89313" w14:textId="63FB4BD7" w:rsidR="000C73A3" w:rsidRDefault="000C73A3">
    <w:pPr>
      <w:pStyle w:val="Footer"/>
    </w:pPr>
    <w:r>
      <w:t xml:space="preserve">Prepared by www.visionsense.co.uk 2015.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C115E" w14:textId="77777777" w:rsidR="006E30A6" w:rsidRDefault="006E30A6" w:rsidP="00B50D15">
      <w:r>
        <w:separator/>
      </w:r>
    </w:p>
  </w:footnote>
  <w:footnote w:type="continuationSeparator" w:id="0">
    <w:p w14:paraId="1F4454D4" w14:textId="77777777" w:rsidR="006E30A6" w:rsidRDefault="006E30A6" w:rsidP="00B50D15">
      <w:r>
        <w:continuationSeparator/>
      </w:r>
    </w:p>
  </w:footnote>
  <w:footnote w:id="1">
    <w:p w14:paraId="298CD787" w14:textId="77777777" w:rsidR="006E30A6" w:rsidRPr="00960D9B" w:rsidRDefault="006E30A6" w:rsidP="000A4DB1">
      <w:pPr>
        <w:pStyle w:val="FootnoteText"/>
      </w:pPr>
      <w:r w:rsidRPr="00960D9B">
        <w:rPr>
          <w:rStyle w:val="FootnoteReference"/>
        </w:rPr>
        <w:footnoteRef/>
      </w:r>
      <w:r w:rsidRPr="00960D9B">
        <w:t xml:space="preserve"> Davison, O. (2009) Coroners Report from Inquest into the Deaths of Fiona Pilkington and Francecca Hardwick 17-28 September 2009. Loughborough: HM Coroner. </w:t>
      </w:r>
    </w:p>
  </w:footnote>
  <w:footnote w:id="2">
    <w:p w14:paraId="5FDFEC47" w14:textId="66A04ADF" w:rsidR="006E30A6" w:rsidRPr="00960D9B" w:rsidRDefault="006E30A6" w:rsidP="000A4DB1">
      <w:pPr>
        <w:pStyle w:val="FootnoteText"/>
      </w:pPr>
      <w:r w:rsidRPr="00960D9B">
        <w:rPr>
          <w:rStyle w:val="FootnoteReference"/>
        </w:rPr>
        <w:footnoteRef/>
      </w:r>
      <w:r w:rsidRPr="00960D9B">
        <w:t xml:space="preserve"> Warwickshire Safeguarding Adults Partnership (2011) Serious Case Review into the Murder of Gemma Hayter, Public Summary. Available from: </w:t>
      </w:r>
      <w:hyperlink r:id="rId1" w:history="1">
        <w:r w:rsidRPr="00960D9B">
          <w:rPr>
            <w:rStyle w:val="Hyperlink"/>
          </w:rPr>
          <w:t>http://www.warwickshire.gov.uk/Web/corporate/wccweb.nsf/Links/0C9B7D1DF19DA51680257944003F4A04/$file/GH+SCR+Public+Summary+(APPROVED+19.10.11).pdf</w:t>
        </w:r>
      </w:hyperlink>
    </w:p>
  </w:footnote>
  <w:footnote w:id="3">
    <w:p w14:paraId="2C7844D6" w14:textId="77777777" w:rsidR="006E30A6" w:rsidRPr="00960D9B" w:rsidRDefault="006E30A6" w:rsidP="000A4DB1">
      <w:pPr>
        <w:pStyle w:val="FootnoteText"/>
      </w:pPr>
      <w:r w:rsidRPr="00960D9B">
        <w:rPr>
          <w:rStyle w:val="FootnoteReference"/>
        </w:rPr>
        <w:footnoteRef/>
      </w:r>
      <w:r w:rsidRPr="00960D9B">
        <w:t xml:space="preserve"> Davison, O. (2009) Coroners Report from Inquest into the Deaths of Fiona Pilkington and Francecca Hardwick 17-28 September 2009. Loughborough: HM Coroner.</w:t>
      </w:r>
    </w:p>
  </w:footnote>
  <w:footnote w:id="4">
    <w:p w14:paraId="19C80A7C" w14:textId="77777777" w:rsidR="006E30A6" w:rsidRPr="00960D9B" w:rsidRDefault="006E30A6" w:rsidP="00B50D15">
      <w:pPr>
        <w:pStyle w:val="FootnoteText"/>
      </w:pPr>
      <w:r w:rsidRPr="00960D9B">
        <w:rPr>
          <w:rStyle w:val="FootnoteReference"/>
        </w:rPr>
        <w:footnoteRef/>
      </w:r>
      <w:r w:rsidRPr="00960D9B">
        <w:t xml:space="preserve"> Smith, D.L. (2008) Disability, Gender and Intimate Partner Violence: Relationships from the Behavioral Risk Factor Surveillance System. </w:t>
      </w:r>
      <w:r w:rsidRPr="008A4524">
        <w:t>Sexuality and Disability</w:t>
      </w:r>
      <w:r w:rsidRPr="00960D9B">
        <w:t xml:space="preserve"> 26(1), pp.15-28.</w:t>
      </w:r>
    </w:p>
  </w:footnote>
  <w:footnote w:id="5">
    <w:p w14:paraId="5E1182B1" w14:textId="0CDAE3CF" w:rsidR="006E30A6" w:rsidRDefault="006E30A6">
      <w:pPr>
        <w:pStyle w:val="FootnoteText"/>
      </w:pPr>
      <w:r>
        <w:rPr>
          <w:rStyle w:val="FootnoteReference"/>
        </w:rPr>
        <w:footnoteRef/>
      </w:r>
      <w:r>
        <w:t xml:space="preserve"> European Parliament (2007), Committee on Women's rights and gender equality, Report on the Situation of Women with  Disabilities in the European Union (2006/2277/(INI)). </w:t>
      </w:r>
    </w:p>
  </w:footnote>
  <w:footnote w:id="6">
    <w:p w14:paraId="10F55E29" w14:textId="455CE972" w:rsidR="006E30A6" w:rsidRDefault="006E30A6">
      <w:pPr>
        <w:pStyle w:val="FootnoteText"/>
      </w:pPr>
      <w:r>
        <w:rPr>
          <w:rStyle w:val="FootnoteReference"/>
        </w:rPr>
        <w:footnoteRef/>
      </w:r>
      <w:r>
        <w:t xml:space="preserve"> </w:t>
      </w:r>
      <w:r w:rsidRPr="00784A22">
        <w:t>Finney A (2006) Domestic violence, sexual assault and stalking: findings from the 2004/05 British Crime Survey.  Home Office Report 12/06</w:t>
      </w:r>
      <w:r>
        <w:t>.</w:t>
      </w:r>
    </w:p>
  </w:footnote>
  <w:footnote w:id="7">
    <w:p w14:paraId="2A46E966" w14:textId="77777777" w:rsidR="006E30A6" w:rsidRPr="00960D9B" w:rsidRDefault="006E30A6" w:rsidP="00B50D15">
      <w:pPr>
        <w:pStyle w:val="FootnoteText"/>
      </w:pPr>
      <w:r w:rsidRPr="00960D9B">
        <w:rPr>
          <w:rStyle w:val="FootnoteReference"/>
        </w:rPr>
        <w:footnoteRef/>
      </w:r>
      <w:r w:rsidRPr="00960D9B">
        <w:t xml:space="preserve"> Casteel, C., Martin, S.L., Smith, J.B. (2008) National Study of Physical and Sexual Assault Among Women with Disabilities.  </w:t>
      </w:r>
      <w:r w:rsidRPr="00960D9B">
        <w:rPr>
          <w:i/>
        </w:rPr>
        <w:t>Injury Prevention</w:t>
      </w:r>
      <w:r w:rsidRPr="00960D9B">
        <w:t xml:space="preserve"> 14, pp.87-90.</w:t>
      </w:r>
    </w:p>
  </w:footnote>
  <w:footnote w:id="8">
    <w:p w14:paraId="22E5A2C2" w14:textId="699AE2AA" w:rsidR="006E30A6" w:rsidRPr="00784A22" w:rsidRDefault="006E30A6">
      <w:pPr>
        <w:pStyle w:val="FootnoteText"/>
      </w:pPr>
      <w:r w:rsidRPr="00784A22">
        <w:rPr>
          <w:rStyle w:val="FootnoteReference"/>
        </w:rPr>
        <w:footnoteRef/>
      </w:r>
      <w:r>
        <w:t xml:space="preserve"> </w:t>
      </w:r>
      <w:r w:rsidRPr="00784A22">
        <w:t>EHRC (2012) Individual, family and social life. Briefing Paper No. 2. Measurement Framework Series.</w:t>
      </w:r>
    </w:p>
  </w:footnote>
  <w:footnote w:id="9">
    <w:p w14:paraId="7D74CA4A" w14:textId="77777777" w:rsidR="006E30A6" w:rsidRPr="004673AE" w:rsidRDefault="006E30A6" w:rsidP="00B50D15">
      <w:pPr>
        <w:pStyle w:val="FootnoteText"/>
        <w:rPr>
          <w:sz w:val="22"/>
          <w:szCs w:val="22"/>
        </w:rPr>
      </w:pPr>
      <w:r w:rsidRPr="00960D9B">
        <w:rPr>
          <w:rStyle w:val="FootnoteReference"/>
        </w:rPr>
        <w:footnoteRef/>
      </w:r>
      <w:r w:rsidRPr="00960D9B">
        <w:t xml:space="preserve"> Viermö, V. (2004) Violence Against Disabled Women.  In Kristiansen, K., Traustadóttir, R. (Eds.) </w:t>
      </w:r>
      <w:r w:rsidRPr="00960D9B">
        <w:rPr>
          <w:i/>
        </w:rPr>
        <w:t>Gender and Disability Research in the Nordic Countries</w:t>
      </w:r>
      <w:r w:rsidRPr="00960D9B">
        <w:t>.  Lund: Student Litteratur. Ch.14, pp.327-346.</w:t>
      </w:r>
    </w:p>
  </w:footnote>
  <w:footnote w:id="10">
    <w:p w14:paraId="3A2E76D7" w14:textId="2438E79B" w:rsidR="006E30A6" w:rsidRDefault="006E30A6">
      <w:pPr>
        <w:pStyle w:val="FootnoteText"/>
      </w:pPr>
      <w:r>
        <w:rPr>
          <w:rStyle w:val="FootnoteReference"/>
        </w:rPr>
        <w:footnoteRef/>
      </w:r>
      <w:r>
        <w:t xml:space="preserve"> Health and Social Care Information Centre Abuse of Vulnerable Adults in England (2013) Final Report, Experimental Statistics. London. </w:t>
      </w:r>
      <w:r>
        <w:tab/>
      </w:r>
    </w:p>
  </w:footnote>
  <w:footnote w:id="11">
    <w:p w14:paraId="048169BB" w14:textId="77777777" w:rsidR="006E30A6" w:rsidRPr="004673AE" w:rsidRDefault="006E30A6" w:rsidP="00B50D15">
      <w:pPr>
        <w:pStyle w:val="FootnoteText"/>
        <w:rPr>
          <w:sz w:val="22"/>
          <w:szCs w:val="22"/>
        </w:rPr>
      </w:pPr>
      <w:r w:rsidRPr="004673AE">
        <w:rPr>
          <w:rStyle w:val="FootnoteReference"/>
          <w:sz w:val="22"/>
          <w:szCs w:val="22"/>
        </w:rPr>
        <w:footnoteRef/>
      </w:r>
      <w:r w:rsidRPr="004673AE">
        <w:rPr>
          <w:sz w:val="22"/>
          <w:szCs w:val="22"/>
        </w:rPr>
        <w:t xml:space="preserve"> Office of National Statistics (2013) </w:t>
      </w:r>
      <w:r w:rsidRPr="004673AE">
        <w:rPr>
          <w:i/>
          <w:sz w:val="22"/>
          <w:szCs w:val="22"/>
        </w:rPr>
        <w:t xml:space="preserve">Crime in England and Wales, Year Ending March 2013:  Statistical Bulletin.  </w:t>
      </w:r>
      <w:r w:rsidRPr="004673AE">
        <w:rPr>
          <w:sz w:val="22"/>
          <w:szCs w:val="22"/>
        </w:rPr>
        <w:t xml:space="preserve">London: HMSO [online].  Available from: </w:t>
      </w:r>
      <w:hyperlink r:id="rId2" w:history="1">
        <w:r w:rsidRPr="004673AE">
          <w:rPr>
            <w:rStyle w:val="Hyperlink"/>
            <w:sz w:val="22"/>
            <w:szCs w:val="22"/>
          </w:rPr>
          <w:t>http://www.ons.gov.uk/ons/dcp171778_318761.pdf</w:t>
        </w:r>
      </w:hyperlink>
      <w:r w:rsidRPr="004673AE">
        <w:rPr>
          <w:rStyle w:val="Hyperlink"/>
          <w:sz w:val="22"/>
          <w:szCs w:val="22"/>
        </w:rPr>
        <w:t xml:space="preserve"> </w:t>
      </w:r>
      <w:r w:rsidRPr="004673AE">
        <w:rPr>
          <w:sz w:val="22"/>
          <w:szCs w:val="22"/>
        </w:rPr>
        <w:t xml:space="preserve"> [Accessed 3 September 2013].</w:t>
      </w:r>
    </w:p>
  </w:footnote>
  <w:footnote w:id="12">
    <w:p w14:paraId="156F19C0" w14:textId="77777777" w:rsidR="006E30A6" w:rsidRDefault="006E30A6" w:rsidP="00BE6F11">
      <w:pPr>
        <w:pStyle w:val="FootnoteText"/>
      </w:pPr>
      <w:r>
        <w:rPr>
          <w:rStyle w:val="FootnoteReference"/>
        </w:rPr>
        <w:footnoteRef/>
      </w:r>
      <w:r>
        <w:t xml:space="preserve"> </w:t>
      </w:r>
      <w:hyperlink r:id="rId3" w:anchor=".U4hi75SwKzA" w:history="1">
        <w:r w:rsidRPr="004F76AD">
          <w:rPr>
            <w:rStyle w:val="Hyperlink"/>
          </w:rPr>
          <w:t>http://www.justiceinspectorates.gov.uk/cjji/inspections/joint-inspection-into-the-investigation-and-prosecution-of-cases-involving-allegations-of-rape/#.U4hi75SwKzA</w:t>
        </w:r>
      </w:hyperlink>
    </w:p>
  </w:footnote>
  <w:footnote w:id="13">
    <w:p w14:paraId="7AF2026E" w14:textId="25BB0AB0" w:rsidR="006E30A6" w:rsidRDefault="006E30A6">
      <w:pPr>
        <w:pStyle w:val="FootnoteText"/>
      </w:pPr>
      <w:r>
        <w:rPr>
          <w:rStyle w:val="FootnoteReference"/>
        </w:rPr>
        <w:footnoteRef/>
      </w:r>
      <w:r>
        <w:t xml:space="preserve"> </w:t>
      </w:r>
      <w:r w:rsidRPr="00750701">
        <w:rPr>
          <w:rFonts w:asciiTheme="majorHAnsi" w:hAnsiTheme="majorHAnsi"/>
          <w:sz w:val="22"/>
          <w:szCs w:val="22"/>
        </w:rPr>
        <w:t xml:space="preserve">National Patient Safety Agency (2007) </w:t>
      </w:r>
      <w:r w:rsidRPr="00750701">
        <w:rPr>
          <w:rFonts w:asciiTheme="majorHAnsi" w:hAnsiTheme="majorHAnsi"/>
          <w:i/>
          <w:sz w:val="22"/>
          <w:szCs w:val="22"/>
        </w:rPr>
        <w:t>Patient Safety Incident Reports in the NHS</w:t>
      </w:r>
      <w:r>
        <w:rPr>
          <w:rFonts w:asciiTheme="majorHAnsi" w:hAnsiTheme="majorHAnsi"/>
          <w:sz w:val="22"/>
          <w:szCs w:val="22"/>
        </w:rPr>
        <w:t>.</w:t>
      </w:r>
      <w:r w:rsidRPr="00750701">
        <w:rPr>
          <w:rFonts w:asciiTheme="majorHAnsi" w:hAnsiTheme="majorHAnsi"/>
          <w:sz w:val="22"/>
          <w:szCs w:val="22"/>
        </w:rPr>
        <w:t xml:space="preserve"> National Reporting and Learning System Data Summary 7. </w:t>
      </w:r>
      <w:r>
        <w:rPr>
          <w:rFonts w:asciiTheme="majorHAnsi" w:hAnsiTheme="majorHAnsi"/>
          <w:sz w:val="22"/>
          <w:szCs w:val="22"/>
        </w:rPr>
        <w:t xml:space="preserve"> London: The Stationery Office.</w:t>
      </w:r>
    </w:p>
  </w:footnote>
  <w:footnote w:id="14">
    <w:p w14:paraId="73C1CD53" w14:textId="77777777" w:rsidR="006E30A6" w:rsidRPr="004673AE" w:rsidRDefault="006E30A6" w:rsidP="004673AE">
      <w:pPr>
        <w:rPr>
          <w:rFonts w:eastAsia="Calibri" w:cs="Calibri"/>
          <w:sz w:val="22"/>
          <w:szCs w:val="22"/>
        </w:rPr>
      </w:pPr>
      <w:r w:rsidRPr="004673AE">
        <w:rPr>
          <w:rStyle w:val="FootnoteReference"/>
          <w:sz w:val="22"/>
          <w:szCs w:val="22"/>
        </w:rPr>
        <w:footnoteRef/>
      </w:r>
      <w:r w:rsidRPr="004673AE">
        <w:rPr>
          <w:sz w:val="22"/>
          <w:szCs w:val="22"/>
        </w:rPr>
        <w:t xml:space="preserve"> </w:t>
      </w:r>
      <w:r w:rsidRPr="004673AE">
        <w:rPr>
          <w:rFonts w:cs="Calibri"/>
          <w:color w:val="000000"/>
          <w:sz w:val="22"/>
          <w:szCs w:val="22"/>
        </w:rPr>
        <w:t xml:space="preserve">Balderston, S. (2013) </w:t>
      </w:r>
      <w:r w:rsidRPr="004673AE">
        <w:rPr>
          <w:rFonts w:cs="Calibri"/>
          <w:sz w:val="22"/>
          <w:szCs w:val="22"/>
        </w:rPr>
        <w:t xml:space="preserve">Victimised again? Intersectionality and Injustice in disabled women’s lives after hate crime and rape.  In Texler Segal, M., Demos, V. (Eds) Advances in Gender Research Volume 18a – Gendered Violence: Macro and Micro Settings.  Cambridge MA: Emerald Publishing USA.            </w:t>
      </w:r>
    </w:p>
  </w:footnote>
  <w:footnote w:id="15">
    <w:p w14:paraId="4C3C45AE" w14:textId="77777777" w:rsidR="006E30A6" w:rsidRPr="00960D9B" w:rsidRDefault="006E30A6" w:rsidP="00167E21">
      <w:pPr>
        <w:pStyle w:val="FootnoteText"/>
      </w:pPr>
      <w:r w:rsidRPr="00960D9B">
        <w:rPr>
          <w:rStyle w:val="FootnoteReference"/>
        </w:rPr>
        <w:footnoteRef/>
      </w:r>
      <w:r w:rsidRPr="00960D9B">
        <w:t xml:space="preserve"> </w:t>
      </w:r>
      <w:r w:rsidRPr="00960D9B">
        <w:rPr>
          <w:color w:val="000000" w:themeColor="text1"/>
        </w:rPr>
        <w:t xml:space="preserve">Home Office (2011) Call to End Violence Against Women and Girls: Action Plan [online]. Available from: </w:t>
      </w:r>
      <w:hyperlink r:id="rId4" w:history="1">
        <w:r w:rsidRPr="00960D9B">
          <w:rPr>
            <w:rStyle w:val="Hyperlink"/>
            <w:color w:val="000000" w:themeColor="text1"/>
          </w:rPr>
          <w:t>http://www.homeoffice.gov.uk/publications/crime/call-end-violence-women-girls/vawg-action-plan?view=Binary</w:t>
        </w:r>
      </w:hyperlink>
      <w:r w:rsidRPr="00960D9B">
        <w:rPr>
          <w:color w:val="000000" w:themeColor="text1"/>
        </w:rPr>
        <w:t xml:space="preserve">  [</w:t>
      </w:r>
      <w:r w:rsidRPr="00960D9B">
        <w:rPr>
          <w:rStyle w:val="Hyperlink"/>
          <w:color w:val="000000" w:themeColor="text1"/>
        </w:rPr>
        <w:t>Accessed 29 June 2011].</w:t>
      </w:r>
    </w:p>
  </w:footnote>
  <w:footnote w:id="16">
    <w:p w14:paraId="35C01281" w14:textId="43910011" w:rsidR="006E30A6" w:rsidRDefault="006E30A6">
      <w:pPr>
        <w:pStyle w:val="FootnoteText"/>
      </w:pPr>
      <w:r>
        <w:rPr>
          <w:rStyle w:val="FootnoteReference"/>
        </w:rPr>
        <w:footnoteRef/>
      </w:r>
      <w:r>
        <w:t xml:space="preserve"> Walby, S., Olive, P., Towers, J., Francis, B., Strid, S., Krizsán, A., Lombardo, E., May-Chahal, C., Franzway, S., Sugarman, D. &amp; Agarwal, B. (2013) Overview of the worldwide best practices for rape prevention and for assisting women victims of rape. EuropeanParliament.</w:t>
      </w:r>
    </w:p>
  </w:footnote>
  <w:footnote w:id="17">
    <w:p w14:paraId="5B3BAD5C" w14:textId="66202138" w:rsidR="006E30A6" w:rsidRPr="00784A22" w:rsidRDefault="006E30A6">
      <w:pPr>
        <w:pStyle w:val="FootnoteText"/>
      </w:pPr>
      <w:r w:rsidRPr="00784A22">
        <w:rPr>
          <w:rStyle w:val="FootnoteReference"/>
        </w:rPr>
        <w:footnoteRef/>
      </w:r>
      <w:r w:rsidRPr="00784A22">
        <w:t xml:space="preserve"> Robinson, A., Hudson, K. (2011) Different Yet Complementary: Two Approaches to Supporting Victims of Sexual Violence in the UK. </w:t>
      </w:r>
      <w:r w:rsidRPr="00784A22">
        <w:rPr>
          <w:i/>
        </w:rPr>
        <w:t xml:space="preserve">Criminology and Criminal Justice </w:t>
      </w:r>
      <w:r w:rsidRPr="00784A22">
        <w:t>11(5), pp.515-533.</w:t>
      </w:r>
    </w:p>
  </w:footnote>
  <w:footnote w:id="18">
    <w:p w14:paraId="24753571" w14:textId="31073E99" w:rsidR="006E30A6" w:rsidRDefault="006E30A6">
      <w:pPr>
        <w:pStyle w:val="FootnoteText"/>
      </w:pPr>
      <w:r>
        <w:rPr>
          <w:rStyle w:val="FootnoteReference"/>
        </w:rPr>
        <w:footnoteRef/>
      </w:r>
      <w:r>
        <w:t xml:space="preserve"> </w:t>
      </w:r>
      <w:r w:rsidRPr="00D41A93">
        <w:t xml:space="preserve">Hague et al., </w:t>
      </w:r>
      <w:r>
        <w:t xml:space="preserve">(2008) </w:t>
      </w:r>
      <w:r w:rsidRPr="00D41A93">
        <w:t xml:space="preserve">Making the Links: Disabled women and domestic violence. Available from: </w:t>
      </w:r>
      <w:hyperlink r:id="rId5" w:history="1">
        <w:r w:rsidRPr="004F76AD">
          <w:rPr>
            <w:rStyle w:val="Hyperlink"/>
          </w:rPr>
          <w:t>http://www.womensaid.org.uk/domestic-violence-articles.asp?itemid=1722&amp;itemTitle=Making+the+links%3A+disabled+women+and+domestic+violence&amp;section=00010001002200080001&amp;sectionTitle=Articles%3A+disabled+women</w:t>
        </w:r>
      </w:hyperlink>
    </w:p>
  </w:footnote>
  <w:footnote w:id="19">
    <w:p w14:paraId="063E9EF6" w14:textId="750A7D4A" w:rsidR="006E30A6" w:rsidRDefault="006E30A6">
      <w:pPr>
        <w:pStyle w:val="FootnoteText"/>
      </w:pPr>
      <w:r>
        <w:rPr>
          <w:rStyle w:val="FootnoteReference"/>
        </w:rPr>
        <w:footnoteRef/>
      </w:r>
      <w:r>
        <w:t xml:space="preserve"> EHRC (2011) Hidden in Plain Sight: Inquiry into Disability-related harassment p.128</w:t>
      </w:r>
      <w:r w:rsidRPr="006F74F9">
        <w:t>.</w:t>
      </w:r>
    </w:p>
  </w:footnote>
  <w:footnote w:id="20">
    <w:p w14:paraId="6453B7A2" w14:textId="77777777" w:rsidR="006E30A6" w:rsidRDefault="006E30A6" w:rsidP="00F30313">
      <w:pPr>
        <w:pStyle w:val="FootnoteText"/>
      </w:pPr>
      <w:r>
        <w:rPr>
          <w:rStyle w:val="FootnoteReference"/>
        </w:rPr>
        <w:footnoteRef/>
      </w:r>
      <w:r>
        <w:t xml:space="preserve"> Jones, L., Bellis, M. A., Wood, S., Hughes, K., McCoy, E., Eckley, L.,Officer, A. (2012). Prevalence and risk of violence against children with disabilities: A systematic review and meta-analysis of observational studies. Lancet, 380, 899-907.</w:t>
      </w:r>
    </w:p>
  </w:footnote>
  <w:footnote w:id="21">
    <w:p w14:paraId="298C1882" w14:textId="1ECBF472" w:rsidR="006E30A6" w:rsidRDefault="006E30A6" w:rsidP="00F30313">
      <w:pPr>
        <w:pStyle w:val="FootnoteText"/>
      </w:pPr>
      <w:r>
        <w:rPr>
          <w:rStyle w:val="FootnoteReference"/>
        </w:rPr>
        <w:footnoteRef/>
      </w:r>
      <w:r>
        <w:t xml:space="preserve"> Sullivan, P.M., Knutson, J.F. (2000) Maltreatment and disabilities: a population-based epidemiological study. Child Abuse Neglect (10):1257-73.</w:t>
      </w:r>
    </w:p>
  </w:footnote>
  <w:footnote w:id="22">
    <w:p w14:paraId="0675D8E1" w14:textId="72B87B15" w:rsidR="006E30A6" w:rsidRDefault="006E30A6">
      <w:pPr>
        <w:pStyle w:val="FootnoteText"/>
      </w:pPr>
      <w:r>
        <w:rPr>
          <w:rStyle w:val="FootnoteReference"/>
        </w:rPr>
        <w:footnoteRef/>
      </w:r>
      <w:r>
        <w:t xml:space="preserve"> Stalker, K., Green Lister, P., Lerpiniere, J. and McArthur, K. (2010) Child protection and the needs and rights of disabled children and young people: A scoping study. Accessed from: </w:t>
      </w:r>
      <w:hyperlink r:id="rId6" w:history="1">
        <w:r w:rsidRPr="004F76AD">
          <w:rPr>
            <w:rStyle w:val="Hyperlink"/>
          </w:rPr>
          <w:t>http://strathprints.strath.ac.uk/27036/1/child_protection_abridged_report.pdf</w:t>
        </w:r>
      </w:hyperlink>
    </w:p>
  </w:footnote>
  <w:footnote w:id="23">
    <w:p w14:paraId="7BD55E26" w14:textId="6D11E33E" w:rsidR="006E30A6" w:rsidRDefault="006E30A6" w:rsidP="00AE77D6">
      <w:pPr>
        <w:pStyle w:val="FootnoteText"/>
      </w:pPr>
      <w:r>
        <w:rPr>
          <w:rStyle w:val="FootnoteReference"/>
        </w:rPr>
        <w:footnoteRef/>
      </w:r>
      <w:r>
        <w:t xml:space="preserve"> Stalker, K., Green Lister, P., Lerpiniere, J. and McArthur, K. (2010) Child protection and the needs and rights of disabled children and young people: A scoping study. Accessed from: </w:t>
      </w:r>
      <w:hyperlink r:id="rId7" w:history="1">
        <w:r w:rsidRPr="004F76AD">
          <w:rPr>
            <w:rStyle w:val="Hyperlink"/>
          </w:rPr>
          <w:t>http://strathprints.strath.ac.uk/27036/1/child_protection_abridged_report.pdf</w:t>
        </w:r>
      </w:hyperlink>
    </w:p>
  </w:footnote>
  <w:footnote w:id="24">
    <w:p w14:paraId="03BF90C4" w14:textId="313D6433" w:rsidR="006E30A6" w:rsidRDefault="006E30A6">
      <w:pPr>
        <w:pStyle w:val="FootnoteText"/>
      </w:pPr>
      <w:r>
        <w:rPr>
          <w:rStyle w:val="FootnoteReference"/>
        </w:rPr>
        <w:footnoteRef/>
      </w:r>
      <w:r>
        <w:t xml:space="preserve"> OFSTED (2010) Learning lessons from serious case reviews.  Available from: </w:t>
      </w:r>
      <w:r w:rsidRPr="00D66AE4">
        <w:t>http://www.workingtogetheronline.co.uk/documents/Learning%20lessons%20from%20serious%20case%20reviews%2020092010.pdf</w:t>
      </w:r>
    </w:p>
  </w:footnote>
  <w:footnote w:id="25">
    <w:p w14:paraId="1B930789" w14:textId="747307B5" w:rsidR="006E30A6" w:rsidRDefault="006E30A6">
      <w:pPr>
        <w:pStyle w:val="FootnoteText"/>
      </w:pPr>
      <w:r>
        <w:rPr>
          <w:rStyle w:val="FootnoteReference"/>
        </w:rPr>
        <w:footnoteRef/>
      </w:r>
      <w:r>
        <w:t xml:space="preserve"> Stalker, K., Green Lister, P., Lerpiniere, J. and McArthur, K. (2010) Child protection and the needs and rights of disabled children and young people: A scoping study. Accessed from: </w:t>
      </w:r>
      <w:hyperlink r:id="rId8" w:history="1">
        <w:r w:rsidRPr="004F76AD">
          <w:rPr>
            <w:rStyle w:val="Hyperlink"/>
          </w:rPr>
          <w:t>http://strathprints.strath.ac.uk/27036/1/child_protection_abridged_report.pdf</w:t>
        </w:r>
      </w:hyperlink>
    </w:p>
  </w:footnote>
  <w:footnote w:id="26">
    <w:p w14:paraId="4958F31A" w14:textId="77777777" w:rsidR="006E30A6" w:rsidRPr="00B70C27" w:rsidRDefault="006E30A6" w:rsidP="00B70C27">
      <w:pPr>
        <w:rPr>
          <w:rFonts w:eastAsia="Times New Roman" w:cs="Times New Roman"/>
          <w:sz w:val="20"/>
          <w:szCs w:val="20"/>
          <w:lang w:val="en-GB"/>
        </w:rPr>
      </w:pPr>
      <w:r>
        <w:rPr>
          <w:rStyle w:val="FootnoteReference"/>
        </w:rPr>
        <w:footnoteRef/>
      </w:r>
      <w:r>
        <w:t xml:space="preserve"> </w:t>
      </w:r>
      <w:r w:rsidRPr="00B70C27">
        <w:rPr>
          <w:rFonts w:eastAsia="Times New Roman" w:cs="Times New Roman"/>
          <w:color w:val="555555"/>
          <w:sz w:val="23"/>
          <w:szCs w:val="23"/>
          <w:shd w:val="clear" w:color="auto" w:fill="FFFFFF"/>
          <w:lang w:val="en-GB"/>
        </w:rPr>
        <w:t>Franklin A, Sloper P (2009), “Supporting the participation of disabled children and young people in decision making”, </w:t>
      </w:r>
      <w:r w:rsidRPr="00B70C27">
        <w:rPr>
          <w:rFonts w:eastAsia="Times New Roman" w:cs="Times New Roman"/>
          <w:i/>
          <w:iCs/>
          <w:color w:val="555555"/>
          <w:sz w:val="23"/>
          <w:szCs w:val="23"/>
          <w:bdr w:val="none" w:sz="0" w:space="0" w:color="auto" w:frame="1"/>
          <w:shd w:val="clear" w:color="auto" w:fill="FFFFFF"/>
          <w:lang w:val="en-GB"/>
        </w:rPr>
        <w:t>Children and Society</w:t>
      </w:r>
      <w:r w:rsidRPr="00B70C27">
        <w:rPr>
          <w:rFonts w:eastAsia="Times New Roman" w:cs="Times New Roman"/>
          <w:color w:val="555555"/>
          <w:sz w:val="23"/>
          <w:szCs w:val="23"/>
          <w:shd w:val="clear" w:color="auto" w:fill="FFFFFF"/>
          <w:lang w:val="en-GB"/>
        </w:rPr>
        <w:t> 23, 1, pp3-15</w:t>
      </w:r>
    </w:p>
    <w:p w14:paraId="1276E5EE" w14:textId="49C4ECD4" w:rsidR="006E30A6" w:rsidRDefault="006E30A6">
      <w:pPr>
        <w:pStyle w:val="FootnoteText"/>
      </w:pPr>
    </w:p>
  </w:footnote>
  <w:footnote w:id="27">
    <w:p w14:paraId="39373E38" w14:textId="367F0BDE" w:rsidR="006E30A6" w:rsidRPr="00167E21" w:rsidRDefault="006E30A6" w:rsidP="00167E21">
      <w:pPr>
        <w:rPr>
          <w:rFonts w:eastAsia="Times New Roman" w:cs="Times New Roman"/>
          <w:lang w:val="en-GB"/>
        </w:rPr>
      </w:pPr>
      <w:r w:rsidRPr="00167E21">
        <w:rPr>
          <w:rStyle w:val="FootnoteReference"/>
        </w:rPr>
        <w:footnoteRef/>
      </w:r>
      <w:r w:rsidRPr="00167E21">
        <w:t xml:space="preserve"> </w:t>
      </w:r>
      <w:r>
        <w:t xml:space="preserve">cf. </w:t>
      </w:r>
      <w:r w:rsidRPr="00167E21">
        <w:rPr>
          <w:rFonts w:eastAsia="Times New Roman" w:cs="Arial"/>
          <w:color w:val="222222"/>
          <w:shd w:val="clear" w:color="auto" w:fill="FFFFFF"/>
          <w:lang w:val="en-GB"/>
        </w:rPr>
        <w:t>Assisted Dying for the Terminally Ill Bill [HL</w:t>
      </w:r>
      <w:r>
        <w:rPr>
          <w:rFonts w:eastAsia="Times New Roman" w:cs="Arial"/>
          <w:color w:val="222222"/>
          <w:shd w:val="clear" w:color="auto" w:fill="FFFFFF"/>
          <w:lang w:val="en-GB"/>
        </w:rPr>
        <w:t>24</w:t>
      </w:r>
      <w:r w:rsidRPr="00167E21">
        <w:rPr>
          <w:rFonts w:eastAsia="Times New Roman" w:cs="Arial"/>
          <w:color w:val="222222"/>
          <w:shd w:val="clear" w:color="auto" w:fill="FFFFFF"/>
          <w:lang w:val="en-GB"/>
        </w:rPr>
        <w:t>] 2006</w:t>
      </w:r>
    </w:p>
  </w:footnote>
  <w:footnote w:id="28">
    <w:p w14:paraId="6FFD8890" w14:textId="27FBEB58" w:rsidR="006E30A6" w:rsidRPr="00167E21" w:rsidRDefault="006E30A6">
      <w:pPr>
        <w:pStyle w:val="FootnoteText"/>
      </w:pPr>
      <w:r w:rsidRPr="00167E21">
        <w:rPr>
          <w:rStyle w:val="FootnoteReference"/>
        </w:rPr>
        <w:footnoteRef/>
      </w:r>
      <w:r w:rsidRPr="00167E21">
        <w:t xml:space="preserve"> Assisted Dying Bill [HL] 2013</w:t>
      </w:r>
    </w:p>
  </w:footnote>
  <w:footnote w:id="29">
    <w:p w14:paraId="74C62661" w14:textId="49540BD0" w:rsidR="006E30A6" w:rsidRDefault="006E30A6" w:rsidP="00E64684">
      <w:pPr>
        <w:pStyle w:val="FootnoteText"/>
      </w:pPr>
      <w:r>
        <w:rPr>
          <w:rStyle w:val="FootnoteReference"/>
        </w:rPr>
        <w:footnoteRef/>
      </w:r>
      <w:r>
        <w:t xml:space="preserve"> Prevalence of depression and anxiety in terminally ill patients pursuing aid in dying from physicians,  BMJ 2008;337:a1682</w:t>
      </w:r>
    </w:p>
  </w:footnote>
  <w:footnote w:id="30">
    <w:p w14:paraId="664D28F2" w14:textId="1DBDE23C" w:rsidR="006E30A6" w:rsidRPr="00E64684" w:rsidRDefault="006E30A6" w:rsidP="00E64684">
      <w:pPr>
        <w:rPr>
          <w:rFonts w:eastAsia="Times New Roman" w:cs="Times New Roman"/>
          <w:sz w:val="22"/>
          <w:szCs w:val="22"/>
          <w:lang w:val="en-GB"/>
        </w:rPr>
      </w:pPr>
      <w:r>
        <w:rPr>
          <w:rStyle w:val="FootnoteReference"/>
        </w:rPr>
        <w:footnoteRef/>
      </w:r>
      <w:r>
        <w:t xml:space="preserve"> </w:t>
      </w:r>
      <w:r w:rsidRPr="00E64684">
        <w:rPr>
          <w:rFonts w:eastAsia="Times New Roman" w:cs="Times New Roman"/>
          <w:color w:val="000000"/>
          <w:sz w:val="22"/>
          <w:szCs w:val="22"/>
          <w:shd w:val="clear" w:color="auto" w:fill="FFFFFF"/>
          <w:lang w:val="en-GB"/>
        </w:rPr>
        <w:t>Re M; W v M (2011) EWHC 2443 (COP)</w:t>
      </w:r>
    </w:p>
  </w:footnote>
  <w:footnote w:id="31">
    <w:p w14:paraId="53C4BE21" w14:textId="4D255772" w:rsidR="006E30A6" w:rsidRDefault="006E30A6">
      <w:pPr>
        <w:pStyle w:val="FootnoteText"/>
      </w:pPr>
      <w:r>
        <w:rPr>
          <w:rStyle w:val="FootnoteReference"/>
        </w:rPr>
        <w:footnoteRef/>
      </w:r>
      <w:r>
        <w:t xml:space="preserve"> </w:t>
      </w:r>
      <w:r w:rsidRPr="00F61AC0">
        <w:t xml:space="preserve">House of Lords </w:t>
      </w:r>
      <w:r>
        <w:t>Report (Session 2004-05) 86-I.</w:t>
      </w:r>
    </w:p>
  </w:footnote>
  <w:footnote w:id="32">
    <w:p w14:paraId="60E03810" w14:textId="77777777" w:rsidR="006E30A6" w:rsidRDefault="006E30A6" w:rsidP="0099200D">
      <w:pPr>
        <w:pStyle w:val="FootnoteText"/>
      </w:pPr>
      <w:r>
        <w:rPr>
          <w:rStyle w:val="FootnoteReference"/>
        </w:rPr>
        <w:footnoteRef/>
      </w:r>
      <w:r>
        <w:t xml:space="preserve"> </w:t>
      </w:r>
      <w:r>
        <w:rPr>
          <w:rFonts w:ascii="Source Sans Pro" w:eastAsia="Times New Roman" w:hAnsi="Source Sans Pro" w:cs="Times New Roman"/>
          <w:color w:val="111111"/>
          <w:shd w:val="clear" w:color="auto" w:fill="FFFFFF"/>
        </w:rPr>
        <w:t>UN Doc. CRPD/C/5/4, 2 September 2011, para. 26</w:t>
      </w:r>
    </w:p>
  </w:footnote>
  <w:footnote w:id="33">
    <w:p w14:paraId="14D3A06C" w14:textId="77777777" w:rsidR="006E30A6" w:rsidRDefault="006E30A6" w:rsidP="0099200D">
      <w:pPr>
        <w:pStyle w:val="FootnoteText"/>
      </w:pPr>
      <w:r>
        <w:rPr>
          <w:rStyle w:val="FootnoteReference"/>
        </w:rPr>
        <w:footnoteRef/>
      </w:r>
      <w:r>
        <w:t xml:space="preserve"> </w:t>
      </w:r>
      <w:r w:rsidRPr="00167E21">
        <w:t>Assisted Dying Bi</w:t>
      </w:r>
      <w:r>
        <w:t>ll [HL] 2013</w:t>
      </w:r>
    </w:p>
  </w:footnote>
  <w:footnote w:id="34">
    <w:p w14:paraId="19E47C53" w14:textId="5CACAFDB" w:rsidR="006E30A6" w:rsidRDefault="006E30A6">
      <w:pPr>
        <w:pStyle w:val="FootnoteText"/>
      </w:pPr>
      <w:r>
        <w:rPr>
          <w:rStyle w:val="FootnoteReference"/>
        </w:rPr>
        <w:footnoteRef/>
      </w:r>
      <w:r>
        <w:t xml:space="preserve"> Crime Survey of England and Wales.</w:t>
      </w:r>
    </w:p>
  </w:footnote>
  <w:footnote w:id="35">
    <w:p w14:paraId="196E4441" w14:textId="1D0C7F4B" w:rsidR="006E30A6" w:rsidRDefault="006E30A6">
      <w:pPr>
        <w:pStyle w:val="FootnoteText"/>
      </w:pPr>
      <w:r>
        <w:rPr>
          <w:rStyle w:val="FootnoteReference"/>
        </w:rPr>
        <w:footnoteRef/>
      </w:r>
      <w:r>
        <w:t xml:space="preserve"> </w:t>
      </w:r>
      <w:r w:rsidRPr="00DA0C5D">
        <w:t xml:space="preserve">Association of Chief Police Officers (2013) </w:t>
      </w:r>
      <w:r w:rsidRPr="00DA0C5D">
        <w:rPr>
          <w:i/>
        </w:rPr>
        <w:t>Annual Hate Crime ACPO Figures: Version 1</w:t>
      </w:r>
      <w:r w:rsidRPr="00DA0C5D">
        <w:t xml:space="preserve">.  London: ACPO [online].   Available from:  </w:t>
      </w:r>
      <w:hyperlink r:id="rId9" w:history="1">
        <w:r w:rsidRPr="00DA0C5D">
          <w:rPr>
            <w:rStyle w:val="Hyperlink"/>
          </w:rPr>
          <w:t>http://www.report-it.org.uk/files/2012 13_annual_hate_crime_acpo_figuresv1.pdf</w:t>
        </w:r>
      </w:hyperlink>
      <w:r w:rsidRPr="00DA0C5D">
        <w:t xml:space="preserve">  [Accessed 2 January 2014].</w:t>
      </w:r>
    </w:p>
  </w:footnote>
  <w:footnote w:id="36">
    <w:p w14:paraId="7DE7CA7E" w14:textId="6FFFE7D1" w:rsidR="006E30A6" w:rsidRDefault="006E30A6">
      <w:pPr>
        <w:pStyle w:val="FootnoteText"/>
      </w:pPr>
      <w:r>
        <w:rPr>
          <w:rStyle w:val="FootnoteReference"/>
        </w:rPr>
        <w:footnoteRef/>
      </w:r>
      <w:r>
        <w:t xml:space="preserve"> Crown Prosecution Service Statistics, 2013</w:t>
      </w:r>
    </w:p>
  </w:footnote>
  <w:footnote w:id="37">
    <w:p w14:paraId="655B68B6" w14:textId="5CA6CD37" w:rsidR="006E30A6" w:rsidRDefault="006E30A6">
      <w:pPr>
        <w:pStyle w:val="FootnoteText"/>
      </w:pPr>
      <w:r>
        <w:rPr>
          <w:rStyle w:val="FootnoteReference"/>
        </w:rPr>
        <w:footnoteRef/>
      </w:r>
      <w:r>
        <w:t xml:space="preserve"> </w:t>
      </w:r>
      <w:r w:rsidRPr="0075002C">
        <w:rPr>
          <w:rFonts w:asciiTheme="majorHAnsi" w:hAnsiTheme="majorHAnsi"/>
          <w:sz w:val="22"/>
          <w:szCs w:val="22"/>
        </w:rPr>
        <w:t>Hansard (2013) HC</w:t>
      </w:r>
      <w:r>
        <w:rPr>
          <w:rFonts w:asciiTheme="majorHAnsi" w:hAnsiTheme="majorHAnsi"/>
          <w:sz w:val="22"/>
          <w:szCs w:val="22"/>
        </w:rPr>
        <w:t>, WA, 22 April 2013</w:t>
      </w:r>
      <w:r w:rsidRPr="0075002C">
        <w:rPr>
          <w:rFonts w:asciiTheme="majorHAnsi" w:hAnsiTheme="majorHAnsi"/>
          <w:sz w:val="22"/>
          <w:szCs w:val="22"/>
        </w:rPr>
        <w:t xml:space="preserve"> [151873], Column 657</w:t>
      </w:r>
      <w:r>
        <w:rPr>
          <w:rFonts w:asciiTheme="majorHAnsi" w:hAnsiTheme="majorHAnsi"/>
          <w:sz w:val="22"/>
          <w:szCs w:val="22"/>
        </w:rPr>
        <w:t>-658</w:t>
      </w:r>
      <w:r w:rsidRPr="0075002C">
        <w:rPr>
          <w:rFonts w:asciiTheme="majorHAnsi" w:hAnsiTheme="majorHAnsi"/>
          <w:sz w:val="22"/>
          <w:szCs w:val="22"/>
        </w:rPr>
        <w:t>W</w:t>
      </w:r>
      <w:r>
        <w:rPr>
          <w:rFonts w:asciiTheme="majorHAnsi" w:hAnsiTheme="majorHAnsi"/>
          <w:sz w:val="22"/>
          <w:szCs w:val="22"/>
        </w:rPr>
        <w:t>.</w:t>
      </w:r>
    </w:p>
  </w:footnote>
  <w:footnote w:id="38">
    <w:p w14:paraId="24859779" w14:textId="2F06640A" w:rsidR="006E30A6" w:rsidRDefault="006E30A6">
      <w:pPr>
        <w:pStyle w:val="FootnoteText"/>
      </w:pPr>
      <w:r>
        <w:rPr>
          <w:rStyle w:val="FootnoteReference"/>
        </w:rPr>
        <w:footnoteRef/>
      </w:r>
      <w:r>
        <w:t xml:space="preserve"> </w:t>
      </w:r>
      <w:r w:rsidRPr="006409CB">
        <w:rPr>
          <w:rFonts w:asciiTheme="majorHAnsi" w:hAnsiTheme="majorHAnsi"/>
          <w:sz w:val="22"/>
          <w:szCs w:val="22"/>
        </w:rPr>
        <w:t xml:space="preserve">Crown Prosecution Service Inspectorate (2013) </w:t>
      </w:r>
      <w:r w:rsidRPr="006409CB">
        <w:rPr>
          <w:rFonts w:asciiTheme="majorHAnsi" w:hAnsiTheme="majorHAnsi"/>
          <w:i/>
          <w:sz w:val="22"/>
          <w:szCs w:val="22"/>
        </w:rPr>
        <w:t>#005/2013 – A Joint Review of Disability Hate Crime: Living in a Different World</w:t>
      </w:r>
      <w:r w:rsidRPr="006409CB">
        <w:rPr>
          <w:rFonts w:asciiTheme="majorHAnsi" w:hAnsiTheme="majorHAnsi"/>
          <w:sz w:val="22"/>
          <w:szCs w:val="22"/>
        </w:rPr>
        <w:t xml:space="preserve"> [online].  Available from: </w:t>
      </w:r>
      <w:hyperlink r:id="rId10" w:history="1">
        <w:r w:rsidRPr="006409CB">
          <w:rPr>
            <w:rStyle w:val="Hyperlink"/>
            <w:rFonts w:asciiTheme="majorHAnsi" w:hAnsiTheme="majorHAnsi"/>
            <w:sz w:val="22"/>
            <w:szCs w:val="22"/>
          </w:rPr>
          <w:t>http://www.hmcpsi.gov.uk/cjji</w:t>
        </w:r>
      </w:hyperlink>
      <w:r w:rsidRPr="006409CB">
        <w:rPr>
          <w:rFonts w:asciiTheme="majorHAnsi" w:hAnsiTheme="majorHAnsi"/>
          <w:sz w:val="22"/>
          <w:szCs w:val="22"/>
        </w:rPr>
        <w:t xml:space="preserve">  [Accessed 10 January 2014].</w:t>
      </w:r>
    </w:p>
  </w:footnote>
  <w:footnote w:id="39">
    <w:p w14:paraId="0ADF5019" w14:textId="704689CA" w:rsidR="006E30A6" w:rsidRDefault="006E30A6">
      <w:pPr>
        <w:pStyle w:val="FootnoteText"/>
      </w:pPr>
      <w:r>
        <w:rPr>
          <w:rStyle w:val="FootnoteReference"/>
        </w:rPr>
        <w:footnoteRef/>
      </w:r>
      <w:r>
        <w:t xml:space="preserve"> Criminal Justice Joint Inspection (2015) Joint Review of Disability Hate Crime Follow-Up.  Available from: </w:t>
      </w:r>
      <w:hyperlink r:id="rId11" w:history="1">
        <w:r w:rsidRPr="00D509C7">
          <w:rPr>
            <w:rStyle w:val="Hyperlink"/>
          </w:rPr>
          <w:t>www.justiceinspectorates.gov.uk</w:t>
        </w:r>
      </w:hyperlink>
    </w:p>
  </w:footnote>
  <w:footnote w:id="40">
    <w:p w14:paraId="6DE26B96" w14:textId="76CCFE67" w:rsidR="006E30A6" w:rsidRDefault="006E30A6">
      <w:pPr>
        <w:pStyle w:val="FootnoteText"/>
      </w:pPr>
      <w:r>
        <w:rPr>
          <w:rStyle w:val="FootnoteReference"/>
        </w:rPr>
        <w:footnoteRef/>
      </w:r>
      <w:r>
        <w:t xml:space="preserve"> Sentencing Council (2013) Cases to March 2013.</w:t>
      </w:r>
    </w:p>
  </w:footnote>
  <w:footnote w:id="41">
    <w:p w14:paraId="78F091EC" w14:textId="04DAA47C" w:rsidR="006E30A6" w:rsidRDefault="006E30A6">
      <w:pPr>
        <w:pStyle w:val="FootnoteText"/>
      </w:pPr>
      <w:r>
        <w:rPr>
          <w:rStyle w:val="FootnoteReference"/>
        </w:rPr>
        <w:footnoteRef/>
      </w:r>
      <w:r>
        <w:t xml:space="preserve"> </w:t>
      </w:r>
      <w:r w:rsidRPr="0012776A">
        <w:rPr>
          <w:rFonts w:asciiTheme="majorHAnsi" w:hAnsiTheme="majorHAnsi"/>
          <w:sz w:val="22"/>
          <w:szCs w:val="22"/>
        </w:rPr>
        <w:t xml:space="preserve">Sherry, M. (2010) </w:t>
      </w:r>
      <w:r w:rsidRPr="0012776A">
        <w:rPr>
          <w:rFonts w:asciiTheme="majorHAnsi" w:hAnsiTheme="majorHAnsi"/>
          <w:i/>
          <w:sz w:val="22"/>
          <w:szCs w:val="22"/>
        </w:rPr>
        <w:t>Disability Hate Crimes: Does Anyone Really Hate Disabled People?</w:t>
      </w:r>
      <w:r w:rsidRPr="0012776A">
        <w:rPr>
          <w:rFonts w:asciiTheme="majorHAnsi" w:hAnsiTheme="majorHAnsi"/>
          <w:sz w:val="22"/>
          <w:szCs w:val="22"/>
        </w:rPr>
        <w:t xml:space="preserve">  Ashgate: Farnham.</w:t>
      </w:r>
    </w:p>
  </w:footnote>
  <w:footnote w:id="42">
    <w:p w14:paraId="37104662" w14:textId="77777777" w:rsidR="006E30A6" w:rsidRDefault="006E30A6" w:rsidP="006E30A6">
      <w:pPr>
        <w:pStyle w:val="FootnoteText"/>
      </w:pPr>
      <w:r>
        <w:rPr>
          <w:rStyle w:val="FootnoteReference"/>
        </w:rPr>
        <w:footnoteRef/>
      </w:r>
      <w:r>
        <w:t xml:space="preserve"> Criminal Justice Joint Inspection (2015) Joint Review of Disability Hate Crime Follow-Up.  Available from: </w:t>
      </w:r>
      <w:hyperlink r:id="rId12" w:history="1">
        <w:r w:rsidRPr="00D509C7">
          <w:rPr>
            <w:rStyle w:val="Hyperlink"/>
          </w:rPr>
          <w:t>www.justiceinspectorates.gov.uk</w:t>
        </w:r>
      </w:hyperlink>
    </w:p>
    <w:p w14:paraId="58537A1B" w14:textId="73484873" w:rsidR="006E30A6" w:rsidRDefault="006E30A6">
      <w:pPr>
        <w:pStyle w:val="FootnoteText"/>
      </w:pPr>
    </w:p>
  </w:footnote>
  <w:footnote w:id="43">
    <w:p w14:paraId="6341D1DF" w14:textId="4E101063" w:rsidR="006E30A6" w:rsidRDefault="006E30A6">
      <w:pPr>
        <w:pStyle w:val="FootnoteText"/>
      </w:pPr>
      <w:r>
        <w:rPr>
          <w:rStyle w:val="FootnoteReference"/>
        </w:rPr>
        <w:footnoteRef/>
      </w:r>
      <w:r>
        <w:t xml:space="preserve"> </w:t>
      </w:r>
      <w:r w:rsidRPr="00224E7C">
        <w:rPr>
          <w:rFonts w:asciiTheme="majorHAnsi" w:hAnsiTheme="majorHAnsi"/>
          <w:sz w:val="22"/>
          <w:szCs w:val="22"/>
        </w:rPr>
        <w:t xml:space="preserve">Burton, M., Evans, R., Sanders, A. (2006) Are Special Measures for Vulnerable and Intimidated Witnesses Working? Evidence from the Criminal Justice Agencies. Report No. 01/06 [online].  Available from:  </w:t>
      </w:r>
      <w:hyperlink r:id="rId13" w:history="1">
        <w:r w:rsidRPr="00224E7C">
          <w:rPr>
            <w:rStyle w:val="Hyperlink"/>
            <w:rFonts w:asciiTheme="majorHAnsi" w:hAnsiTheme="majorHAnsi"/>
            <w:sz w:val="22"/>
            <w:szCs w:val="22"/>
          </w:rPr>
          <w:t>http://www.homeoffice.gov.uk/rds</w:t>
        </w:r>
      </w:hyperlink>
      <w:r w:rsidRPr="00224E7C">
        <w:rPr>
          <w:rFonts w:asciiTheme="majorHAnsi" w:hAnsiTheme="majorHAnsi"/>
          <w:sz w:val="22"/>
          <w:szCs w:val="22"/>
        </w:rPr>
        <w:t xml:space="preserve">  [Accessed 14 April 2011].</w:t>
      </w:r>
    </w:p>
  </w:footnote>
  <w:footnote w:id="44">
    <w:p w14:paraId="626B0142" w14:textId="183F781D" w:rsidR="006E30A6" w:rsidRDefault="006E30A6">
      <w:pPr>
        <w:pStyle w:val="FootnoteText"/>
      </w:pPr>
      <w:r>
        <w:rPr>
          <w:rStyle w:val="FootnoteReference"/>
        </w:rPr>
        <w:footnoteRef/>
      </w:r>
      <w:r>
        <w:t xml:space="preserve"> Calder, J. (2013) Suicide and Sexual Assault Investigation.</w:t>
      </w:r>
    </w:p>
  </w:footnote>
  <w:footnote w:id="45">
    <w:p w14:paraId="2A167A2C" w14:textId="77777777" w:rsidR="006E30A6" w:rsidRDefault="006E30A6" w:rsidP="00DA0C5D">
      <w:pPr>
        <w:pStyle w:val="FootnoteText"/>
      </w:pPr>
      <w:r>
        <w:rPr>
          <w:rStyle w:val="FootnoteReference"/>
        </w:rPr>
        <w:footnoteRef/>
      </w:r>
      <w:r>
        <w:t xml:space="preserve"> Hidden in Plain Sight: Inquiry into Disability-related harassment pg128: EHRC August 2011</w:t>
      </w:r>
    </w:p>
  </w:footnote>
  <w:footnote w:id="46">
    <w:p w14:paraId="73AE194C" w14:textId="3C3B8B4C" w:rsidR="006E30A6" w:rsidRDefault="006E30A6">
      <w:pPr>
        <w:pStyle w:val="FootnoteText"/>
      </w:pPr>
      <w:r>
        <w:rPr>
          <w:rStyle w:val="FootnoteReference"/>
        </w:rPr>
        <w:footnoteRef/>
      </w:r>
      <w:r>
        <w:t xml:space="preserve"> Prison Reform Trust (2014)Transforming Lives: Reducing Women’s Imprisonment.  London: Prison Reform Trust and Soroptimist International.  </w:t>
      </w:r>
    </w:p>
  </w:footnote>
  <w:footnote w:id="47">
    <w:p w14:paraId="240BF45A" w14:textId="3A5598BF" w:rsidR="006E30A6" w:rsidRDefault="006E30A6" w:rsidP="00ED5311">
      <w:pPr>
        <w:pStyle w:val="FootnoteText"/>
      </w:pPr>
      <w:r>
        <w:rPr>
          <w:rStyle w:val="FootnoteReference"/>
        </w:rPr>
        <w:footnoteRef/>
      </w:r>
      <w:r>
        <w:t xml:space="preserve"> Prison Review Team (2011) Review of the Northern Ireland Prison Service: Conditions, management and oversight of all prisons Belfast: Prison Review Team</w:t>
      </w:r>
    </w:p>
  </w:footnote>
  <w:footnote w:id="48">
    <w:p w14:paraId="64D82D94" w14:textId="22A95B66" w:rsidR="006E30A6" w:rsidRDefault="006E30A6" w:rsidP="007E54CF">
      <w:pPr>
        <w:pStyle w:val="FootnoteText"/>
      </w:pPr>
      <w:r>
        <w:rPr>
          <w:rStyle w:val="FootnoteReference"/>
        </w:rPr>
        <w:footnoteRef/>
      </w:r>
      <w:r>
        <w:t xml:space="preserve"> Bubb, S. (2014) Winterbourne View – Time For Change: Transforming the commissioning of services for people with learning disabilities and/or autism. Available from: www.england.nhs.uk/11/26/learning-disabilities-action</w:t>
      </w:r>
    </w:p>
  </w:footnote>
  <w:footnote w:id="49">
    <w:p w14:paraId="6C990D5D" w14:textId="7A876678" w:rsidR="006E30A6" w:rsidRDefault="006E30A6">
      <w:pPr>
        <w:pStyle w:val="FootnoteText"/>
      </w:pPr>
      <w:r>
        <w:rPr>
          <w:rStyle w:val="FootnoteReference"/>
        </w:rPr>
        <w:footnoteRef/>
      </w:r>
      <w:r>
        <w:t xml:space="preserve"> Department of Health (2013) Annual Report on IMCA services. Available from: </w:t>
      </w:r>
      <w:hyperlink r:id="rId14" w:history="1">
        <w:r w:rsidRPr="004F76AD">
          <w:rPr>
            <w:rStyle w:val="Hyperlink"/>
          </w:rPr>
          <w:t>https://www.gov.uk/government/uploads/system/uploads/attachment_data/file/280884/The_Sixth_Year_of_the_Independent_Mental_Capacity_Advocacy_v6.pdf</w:t>
        </w:r>
      </w:hyperlink>
    </w:p>
  </w:footnote>
  <w:footnote w:id="50">
    <w:p w14:paraId="7A5DEC9E" w14:textId="09167A7A" w:rsidR="006E30A6" w:rsidRDefault="006E30A6">
      <w:pPr>
        <w:pStyle w:val="FootnoteText"/>
      </w:pPr>
      <w:r>
        <w:rPr>
          <w:rStyle w:val="FootnoteReference"/>
        </w:rPr>
        <w:footnoteRef/>
      </w:r>
      <w:r>
        <w:t xml:space="preserve"> Health and Social Care Information Centre (2013) Abuse of Vulnerable Adults in England, Final Report.  Available from: </w:t>
      </w:r>
      <w:hyperlink r:id="rId15" w:history="1">
        <w:r w:rsidRPr="004F76AD">
          <w:rPr>
            <w:rStyle w:val="Hyperlink"/>
          </w:rPr>
          <w:t>http://www.hscic.gov.uk/catalogue/PUB13499/abus-vuln-adul-eng-12-13-fin-rep.pdf</w:t>
        </w:r>
      </w:hyperlink>
    </w:p>
    <w:p w14:paraId="62640717" w14:textId="77777777" w:rsidR="006E30A6" w:rsidRDefault="006E30A6">
      <w:pPr>
        <w:pStyle w:val="FootnoteText"/>
      </w:pPr>
    </w:p>
  </w:footnote>
  <w:footnote w:id="51">
    <w:p w14:paraId="4DE0E463" w14:textId="77777777" w:rsidR="006E30A6" w:rsidRPr="0096442F" w:rsidRDefault="006E30A6" w:rsidP="00927D77">
      <w:pPr>
        <w:pStyle w:val="FootnoteText"/>
        <w:rPr>
          <w:rFonts w:cs="Arial"/>
        </w:rPr>
      </w:pPr>
      <w:r>
        <w:rPr>
          <w:rStyle w:val="FootnoteReference"/>
        </w:rPr>
        <w:footnoteRef/>
      </w:r>
      <w:r>
        <w:t xml:space="preserve"> </w:t>
      </w:r>
      <w:r w:rsidRPr="0096442F">
        <w:rPr>
          <w:rFonts w:cs="Arial"/>
        </w:rPr>
        <w:t>Hoong Sin</w:t>
      </w:r>
      <w:r>
        <w:rPr>
          <w:rFonts w:cs="Arial"/>
        </w:rPr>
        <w:t>, C.</w:t>
      </w:r>
      <w:r w:rsidRPr="0096442F">
        <w:rPr>
          <w:rFonts w:cs="Arial"/>
        </w:rPr>
        <w:t xml:space="preserve">, Hedges, </w:t>
      </w:r>
      <w:r>
        <w:rPr>
          <w:rFonts w:cs="Arial"/>
        </w:rPr>
        <w:t xml:space="preserve">A., </w:t>
      </w:r>
      <w:r w:rsidRPr="0096442F">
        <w:rPr>
          <w:rFonts w:cs="Arial"/>
        </w:rPr>
        <w:t xml:space="preserve">Cook, </w:t>
      </w:r>
      <w:r>
        <w:rPr>
          <w:rFonts w:cs="Arial"/>
        </w:rPr>
        <w:t xml:space="preserve">C. </w:t>
      </w:r>
      <w:r w:rsidRPr="0096442F">
        <w:rPr>
          <w:rFonts w:cs="Arial"/>
        </w:rPr>
        <w:t>Mguni</w:t>
      </w:r>
      <w:r>
        <w:rPr>
          <w:rFonts w:cs="Arial"/>
        </w:rPr>
        <w:t>, N.,</w:t>
      </w:r>
      <w:r w:rsidRPr="0096442F">
        <w:rPr>
          <w:rFonts w:cs="Arial"/>
        </w:rPr>
        <w:t xml:space="preserve"> Comber, </w:t>
      </w:r>
      <w:r>
        <w:rPr>
          <w:rFonts w:cs="Arial"/>
        </w:rPr>
        <w:t xml:space="preserve">N. (2009) </w:t>
      </w:r>
      <w:r w:rsidRPr="0096442F">
        <w:rPr>
          <w:rFonts w:cs="Arial"/>
        </w:rPr>
        <w:t>Office for Public Management. Disabled people’s experiences o targeted violence and</w:t>
      </w:r>
      <w:r>
        <w:rPr>
          <w:rFonts w:cs="Arial"/>
        </w:rPr>
        <w:t xml:space="preserve"> hostility. Research Report 21. </w:t>
      </w:r>
    </w:p>
  </w:footnote>
  <w:footnote w:id="52">
    <w:p w14:paraId="47A67737" w14:textId="77777777" w:rsidR="006E30A6" w:rsidRDefault="006E30A6" w:rsidP="00927D77">
      <w:pPr>
        <w:pStyle w:val="FootnoteText"/>
      </w:pPr>
      <w:r>
        <w:rPr>
          <w:rStyle w:val="FootnoteReference"/>
        </w:rPr>
        <w:footnoteRef/>
      </w:r>
      <w:r>
        <w:t xml:space="preserve"> F</w:t>
      </w:r>
      <w:r>
        <w:rPr>
          <w:rFonts w:asciiTheme="majorHAnsi" w:hAnsiTheme="majorHAnsi"/>
          <w:sz w:val="22"/>
          <w:szCs w:val="22"/>
        </w:rPr>
        <w:t xml:space="preserve">lynn, M., </w:t>
      </w:r>
      <w:r w:rsidRPr="00411170">
        <w:rPr>
          <w:rFonts w:asciiTheme="majorHAnsi" w:hAnsiTheme="majorHAnsi"/>
          <w:sz w:val="22"/>
          <w:szCs w:val="22"/>
        </w:rPr>
        <w:t xml:space="preserve">Citarella, F. (2012) </w:t>
      </w:r>
      <w:r w:rsidRPr="00411170">
        <w:rPr>
          <w:rFonts w:asciiTheme="majorHAnsi" w:hAnsiTheme="majorHAnsi"/>
          <w:i/>
          <w:sz w:val="22"/>
          <w:szCs w:val="22"/>
        </w:rPr>
        <w:t>Winterbourne View Hospital: A Serious Case Review</w:t>
      </w:r>
      <w:r w:rsidRPr="00411170">
        <w:rPr>
          <w:rFonts w:asciiTheme="majorHAnsi" w:hAnsiTheme="majorHAnsi"/>
          <w:sz w:val="22"/>
          <w:szCs w:val="22"/>
        </w:rPr>
        <w:t>.</w:t>
      </w:r>
      <w:r>
        <w:rPr>
          <w:rFonts w:asciiTheme="majorHAnsi" w:hAnsiTheme="majorHAnsi"/>
          <w:sz w:val="22"/>
          <w:szCs w:val="22"/>
        </w:rPr>
        <w:t xml:space="preserve"> </w:t>
      </w:r>
      <w:r w:rsidRPr="00411170">
        <w:rPr>
          <w:rFonts w:asciiTheme="majorHAnsi" w:hAnsiTheme="majorHAnsi"/>
          <w:sz w:val="22"/>
          <w:szCs w:val="22"/>
        </w:rPr>
        <w:t xml:space="preserve"> </w:t>
      </w:r>
      <w:r>
        <w:rPr>
          <w:rFonts w:asciiTheme="majorHAnsi" w:hAnsiTheme="majorHAnsi"/>
          <w:sz w:val="22"/>
          <w:szCs w:val="22"/>
        </w:rPr>
        <w:t xml:space="preserve">Gloucester: </w:t>
      </w:r>
      <w:r w:rsidRPr="00411170">
        <w:rPr>
          <w:rFonts w:asciiTheme="majorHAnsi" w:hAnsiTheme="majorHAnsi"/>
          <w:sz w:val="22"/>
          <w:szCs w:val="22"/>
        </w:rPr>
        <w:t>South Gloucestershire Safeguarding Adults Board</w:t>
      </w:r>
      <w:r>
        <w:rPr>
          <w:rFonts w:asciiTheme="majorHAnsi" w:hAnsiTheme="majorHAnsi"/>
          <w:sz w:val="22"/>
          <w:szCs w:val="22"/>
        </w:rPr>
        <w:t>.</w:t>
      </w:r>
    </w:p>
  </w:footnote>
  <w:footnote w:id="53">
    <w:p w14:paraId="58385D3C" w14:textId="77777777" w:rsidR="006E30A6" w:rsidRDefault="006E30A6" w:rsidP="00927D77">
      <w:pPr>
        <w:pStyle w:val="FootnoteText"/>
      </w:pPr>
      <w:r>
        <w:rPr>
          <w:rStyle w:val="FootnoteReference"/>
        </w:rPr>
        <w:footnoteRef/>
      </w:r>
      <w:r>
        <w:t xml:space="preserve"> </w:t>
      </w:r>
      <w:r w:rsidRPr="00664AF5">
        <w:t>http://www.southernhealth.nhs.uk/news/report-into-death-sparrowhawk/</w:t>
      </w:r>
    </w:p>
  </w:footnote>
  <w:footnote w:id="54">
    <w:p w14:paraId="055DA1FD" w14:textId="77777777" w:rsidR="006E30A6" w:rsidRDefault="006E30A6" w:rsidP="00927D77">
      <w:pPr>
        <w:pStyle w:val="FootnoteText"/>
      </w:pPr>
      <w:r>
        <w:rPr>
          <w:rStyle w:val="FootnoteReference"/>
        </w:rPr>
        <w:footnoteRef/>
      </w:r>
      <w:r>
        <w:t xml:space="preserve"> Health and Social Care Information Centre Abuse of Vulnerable Adults in England (2013) Final Report, Experimental Statistics. London. AVA table 5a.</w:t>
      </w:r>
    </w:p>
  </w:footnote>
  <w:footnote w:id="55">
    <w:p w14:paraId="741C1C8E" w14:textId="77777777" w:rsidR="006E30A6" w:rsidRDefault="006E30A6" w:rsidP="00927D77">
      <w:pPr>
        <w:pStyle w:val="FootnoteText"/>
      </w:pPr>
      <w:r>
        <w:rPr>
          <w:rStyle w:val="FootnoteReference"/>
        </w:rPr>
        <w:footnoteRef/>
      </w:r>
      <w:r>
        <w:t xml:space="preserve"> Health and Social Care Information Centre 2013. </w:t>
      </w:r>
    </w:p>
  </w:footnote>
  <w:footnote w:id="56">
    <w:p w14:paraId="758075E2" w14:textId="77777777" w:rsidR="006E30A6" w:rsidRDefault="006E30A6" w:rsidP="00927D77">
      <w:pPr>
        <w:pStyle w:val="FootnoteText"/>
      </w:pPr>
      <w:r>
        <w:rPr>
          <w:rStyle w:val="FootnoteReference"/>
        </w:rPr>
        <w:footnoteRef/>
      </w:r>
      <w:r>
        <w:t xml:space="preserve"> </w:t>
      </w:r>
      <w:r w:rsidRPr="00664AF5">
        <w:t xml:space="preserve">Brown, H., Stein, J. (1998) Implementing Adult Protection Policies in Kent and East Sussex. </w:t>
      </w:r>
      <w:r w:rsidRPr="00664AF5">
        <w:rPr>
          <w:i/>
        </w:rPr>
        <w:t>Journal of Social Policy</w:t>
      </w:r>
      <w:r w:rsidRPr="00664AF5">
        <w:t xml:space="preserve"> 27(3), pp.371-396.</w:t>
      </w:r>
    </w:p>
  </w:footnote>
  <w:footnote w:id="57">
    <w:p w14:paraId="20C1EA85" w14:textId="527F9CE6" w:rsidR="006E30A6" w:rsidRDefault="006E30A6">
      <w:pPr>
        <w:pStyle w:val="FootnoteText"/>
      </w:pPr>
      <w:r>
        <w:rPr>
          <w:rStyle w:val="FootnoteReference"/>
        </w:rPr>
        <w:footnoteRef/>
      </w:r>
      <w:r>
        <w:t xml:space="preserve"> Emerson, E., Roulstone, A. (2014) Developing an Evidence Base for Violent and Disablist Hate Crime in Britain: Findings from the Life Opportunities Survey. Journal of Interpersonal Violence, pp.1-19</w:t>
      </w:r>
    </w:p>
  </w:footnote>
  <w:footnote w:id="58">
    <w:p w14:paraId="3AE48F73" w14:textId="77777777" w:rsidR="006E30A6" w:rsidRDefault="006E30A6" w:rsidP="00226C6E">
      <w:pPr>
        <w:pStyle w:val="FootnoteText"/>
      </w:pPr>
      <w:r>
        <w:rPr>
          <w:rStyle w:val="FootnoteReference"/>
        </w:rPr>
        <w:footnoteRef/>
      </w:r>
      <w:r>
        <w:t xml:space="preserve"> Health and Social Care Information Centre Abuse of Vulnerable Adults in England (2013) Final Report, Experimental Statistics. London. </w:t>
      </w:r>
      <w:r>
        <w:tab/>
      </w:r>
      <w:r>
        <w:tab/>
      </w:r>
      <w:r>
        <w:tab/>
      </w:r>
      <w:r>
        <w:tab/>
      </w:r>
      <w:r>
        <w:tab/>
      </w:r>
    </w:p>
  </w:footnote>
  <w:footnote w:id="59">
    <w:p w14:paraId="6D5FFAD4" w14:textId="77777777" w:rsidR="006E30A6" w:rsidRDefault="006E30A6" w:rsidP="00226C6E">
      <w:pPr>
        <w:pStyle w:val="FootnoteText"/>
      </w:pPr>
      <w:r>
        <w:rPr>
          <w:rStyle w:val="FootnoteReference"/>
        </w:rPr>
        <w:footnoteRef/>
      </w:r>
      <w:r>
        <w:t xml:space="preserve"> Crime Survey of England and Wales (2013).  </w:t>
      </w:r>
    </w:p>
  </w:footnote>
  <w:footnote w:id="60">
    <w:p w14:paraId="03166B48" w14:textId="77777777" w:rsidR="006E30A6" w:rsidRDefault="006E30A6" w:rsidP="000C1F12">
      <w:pPr>
        <w:pStyle w:val="FootnoteText"/>
      </w:pPr>
      <w:r>
        <w:rPr>
          <w:rStyle w:val="FootnoteReference"/>
        </w:rPr>
        <w:footnoteRef/>
      </w:r>
      <w:r>
        <w:t xml:space="preserve"> Emerson, E., Roulstone, A. (2014) Developing an Evidence Base for Violent and Disablist Hate Crime in Britain: Findings from the Life Opportunities Survey. Journal of Interpersonal Violence, pp.1-19. </w:t>
      </w:r>
    </w:p>
  </w:footnote>
  <w:footnote w:id="61">
    <w:p w14:paraId="06BB9975" w14:textId="77624238" w:rsidR="006E30A6" w:rsidRDefault="006E30A6">
      <w:pPr>
        <w:pStyle w:val="FootnoteText"/>
      </w:pPr>
      <w:r>
        <w:rPr>
          <w:rStyle w:val="FootnoteReference"/>
        </w:rPr>
        <w:footnoteRef/>
      </w:r>
      <w:r>
        <w:t xml:space="preserve"> Duffy, S. (2013) A Fair Society? Centre for Welfare Reform. Available from: </w:t>
      </w:r>
      <w:hyperlink r:id="rId16" w:history="1">
        <w:r w:rsidRPr="004F76AD">
          <w:rPr>
            <w:rStyle w:val="Hyperlink"/>
          </w:rPr>
          <w:t>http://www.centreforwelfarereform.org/uploads/attachment/354/a-fair-society.pdf</w:t>
        </w:r>
      </w:hyperlink>
    </w:p>
  </w:footnote>
  <w:footnote w:id="62">
    <w:p w14:paraId="0DF2A79F" w14:textId="0BC8FCD3" w:rsidR="006E30A6" w:rsidRDefault="006E30A6">
      <w:pPr>
        <w:pStyle w:val="FootnoteText"/>
      </w:pPr>
      <w:r>
        <w:rPr>
          <w:rStyle w:val="FootnoteReference"/>
        </w:rPr>
        <w:footnoteRef/>
      </w:r>
      <w:r>
        <w:t xml:space="preserve"> Emerson, E., Roulstone, A. (2014) Developing an Evidence Base for Violent and Disablist Hate Crime in Britain: Findings from the Life Opportunities Survey. Journal of Interpersonal Violence, pp.1-19</w:t>
      </w:r>
    </w:p>
  </w:footnote>
  <w:footnote w:id="63">
    <w:p w14:paraId="403D71A9" w14:textId="4DF9AFC7" w:rsidR="006E30A6" w:rsidRDefault="006E30A6" w:rsidP="00F23BC1">
      <w:pPr>
        <w:pStyle w:val="FootnoteText"/>
      </w:pPr>
      <w:r>
        <w:rPr>
          <w:rStyle w:val="FootnoteReference"/>
        </w:rPr>
        <w:footnoteRef/>
      </w:r>
      <w:r>
        <w:t xml:space="preserve"> Hughes, K., Bellis, M. A., Jones, L., Wood, S., Bates, G., Eckley, L., Officer, A. (2012). Prevalence and risk of violence against adults with disabilities: A systematic review and meta-analysis of observational studies. Lancet, 379, 1621-1629.</w:t>
      </w:r>
    </w:p>
  </w:footnote>
  <w:footnote w:id="64">
    <w:p w14:paraId="50AD0CA2" w14:textId="6F0C1248" w:rsidR="006E30A6" w:rsidRDefault="006E30A6" w:rsidP="00F23BC1">
      <w:pPr>
        <w:pStyle w:val="FootnoteText"/>
      </w:pPr>
      <w:r>
        <w:rPr>
          <w:rStyle w:val="FootnoteReference"/>
        </w:rPr>
        <w:footnoteRef/>
      </w:r>
      <w:r>
        <w:t xml:space="preserve"> Jones, L., Bellis, M. A., Wood, S., Hughes, K., McCoy, E., Eckley, L.,Officer, A. (2012). Prevalence and risk of violence against children with disabilities: A systematic review and meta-analysis of observational studies. Lancet, 380, 899-907</w:t>
      </w:r>
    </w:p>
  </w:footnote>
  <w:footnote w:id="65">
    <w:p w14:paraId="1749F982" w14:textId="232E14BA" w:rsidR="006E30A6" w:rsidRDefault="006E30A6">
      <w:pPr>
        <w:pStyle w:val="FootnoteText"/>
      </w:pPr>
      <w:r>
        <w:rPr>
          <w:rStyle w:val="FootnoteReference"/>
        </w:rPr>
        <w:footnoteRef/>
      </w:r>
      <w:r>
        <w:t xml:space="preserve"> </w:t>
      </w:r>
      <w:r w:rsidRPr="006F74F9">
        <w:t>EHRC (2012) Individual, family and social life. Briefing Paper No. 2. Measurement Framework Series.</w:t>
      </w:r>
    </w:p>
  </w:footnote>
  <w:footnote w:id="66">
    <w:p w14:paraId="5C0D574B" w14:textId="77777777" w:rsidR="006E30A6" w:rsidRDefault="006E30A6" w:rsidP="002A62B2">
      <w:pPr>
        <w:pStyle w:val="FootnoteText"/>
      </w:pPr>
      <w:r>
        <w:rPr>
          <w:rStyle w:val="FootnoteReference"/>
        </w:rPr>
        <w:footnoteRef/>
      </w:r>
      <w:r>
        <w:t xml:space="preserve"> Law Commission (2014) Hate Crime: Should the Current Offences be Extended? </w:t>
      </w:r>
      <w:hyperlink r:id="rId17" w:history="1">
        <w:r w:rsidRPr="004F76AD">
          <w:rPr>
            <w:rStyle w:val="Hyperlink"/>
          </w:rPr>
          <w:t>http://lawcommission.justice.gov.uk/docs/lc348_hate_crime.pdf</w:t>
        </w:r>
      </w:hyperlink>
    </w:p>
    <w:p w14:paraId="06DAB769" w14:textId="77777777" w:rsidR="006E30A6" w:rsidRDefault="006E30A6" w:rsidP="002A62B2">
      <w:pPr>
        <w:pStyle w:val="FootnoteText"/>
      </w:pPr>
    </w:p>
  </w:footnote>
  <w:footnote w:id="67">
    <w:p w14:paraId="6229F5CD" w14:textId="77777777" w:rsidR="006E30A6" w:rsidRPr="004673AE" w:rsidRDefault="006E30A6" w:rsidP="00B70C27">
      <w:pPr>
        <w:pStyle w:val="FootnoteText"/>
        <w:rPr>
          <w:sz w:val="22"/>
          <w:szCs w:val="22"/>
        </w:rPr>
      </w:pPr>
      <w:r w:rsidRPr="004673AE">
        <w:rPr>
          <w:rStyle w:val="FootnoteReference"/>
          <w:sz w:val="22"/>
          <w:szCs w:val="22"/>
        </w:rPr>
        <w:footnoteRef/>
      </w:r>
      <w:r w:rsidRPr="004673AE">
        <w:rPr>
          <w:sz w:val="22"/>
          <w:szCs w:val="22"/>
        </w:rPr>
        <w:t xml:space="preserve"> Featherstone B, Fraser C, Ashley C, Ledwards P (2010), Advocacy for parents and carers involved with children’s services: making a difference to working in partnership?, Child &amp; Family Social Work, 16:266-275.</w:t>
      </w:r>
    </w:p>
  </w:footnote>
  <w:footnote w:id="68">
    <w:p w14:paraId="49D870D2" w14:textId="4A146AED" w:rsidR="006E30A6" w:rsidRPr="00927D77" w:rsidRDefault="006E30A6" w:rsidP="00B70C27">
      <w:pPr>
        <w:pStyle w:val="FootnoteText"/>
        <w:rPr>
          <w:sz w:val="22"/>
          <w:szCs w:val="22"/>
        </w:rPr>
      </w:pPr>
      <w:r w:rsidRPr="004673AE">
        <w:rPr>
          <w:rStyle w:val="FootnoteReference"/>
          <w:sz w:val="22"/>
          <w:szCs w:val="22"/>
        </w:rPr>
        <w:footnoteRef/>
      </w:r>
      <w:r w:rsidRPr="004673AE">
        <w:rPr>
          <w:sz w:val="22"/>
          <w:szCs w:val="22"/>
        </w:rPr>
        <w:t xml:space="preserve"> Cleaver, H., Unell, I., Aldgate, J. (2011) Child abuse: Parental mental illness, learning disability, substance misuse and domestic violence 2nd edition. London:TSO.  Avai</w:t>
      </w:r>
      <w:r>
        <w:rPr>
          <w:sz w:val="22"/>
          <w:szCs w:val="22"/>
        </w:rPr>
        <w:t>l</w:t>
      </w:r>
      <w:r w:rsidRPr="004673AE">
        <w:rPr>
          <w:sz w:val="22"/>
          <w:szCs w:val="22"/>
        </w:rPr>
        <w:t>able from: https://www.gov.uk/government/uploads/system/uploads/attachment_data/file/182095/DFE-00108-2011-Childrens_Needs_Parenting_Capacity.pdf</w:t>
      </w:r>
    </w:p>
  </w:footnote>
  <w:footnote w:id="69">
    <w:p w14:paraId="0F6CFE89" w14:textId="77777777" w:rsidR="006E30A6" w:rsidRDefault="006E30A6" w:rsidP="00B70C27">
      <w:pPr>
        <w:pStyle w:val="FootnoteText"/>
      </w:pPr>
      <w:r>
        <w:rPr>
          <w:rStyle w:val="FootnoteReference"/>
        </w:rPr>
        <w:footnoteRef/>
      </w:r>
      <w:r>
        <w:t xml:space="preserve"> Brandon, M., Bailey, S., Belderson, P., Gardner, R., Sidebottom, P., Dodsworth, </w:t>
      </w:r>
    </w:p>
    <w:p w14:paraId="636D83DE" w14:textId="77777777" w:rsidR="006E30A6" w:rsidRDefault="006E30A6" w:rsidP="00B70C27">
      <w:pPr>
        <w:pStyle w:val="FootnoteText"/>
      </w:pPr>
      <w:r>
        <w:t xml:space="preserve">J., Warren, C. and Black, J. (2009) Understanding Serious Case Reviews and their </w:t>
      </w:r>
    </w:p>
    <w:p w14:paraId="7B68BB07" w14:textId="77777777" w:rsidR="006E30A6" w:rsidRDefault="006E30A6" w:rsidP="00B70C27">
      <w:pPr>
        <w:pStyle w:val="FootnoteText"/>
      </w:pPr>
      <w:r>
        <w:t>Impact: A Biennial Analysis of Serious Case Reviews 2005–7. London: Department for Children, Schools and Families.</w:t>
      </w:r>
    </w:p>
  </w:footnote>
  <w:footnote w:id="70">
    <w:p w14:paraId="4CF1AA5F" w14:textId="1439AFB8" w:rsidR="006E30A6" w:rsidRPr="00BE0B7B" w:rsidRDefault="006E30A6" w:rsidP="00BE0B7B">
      <w:pPr>
        <w:rPr>
          <w:rFonts w:ascii="Times" w:eastAsia="Times New Roman" w:hAnsi="Times" w:cs="Times New Roman"/>
          <w:sz w:val="20"/>
          <w:szCs w:val="20"/>
          <w:lang w:val="en-GB"/>
        </w:rPr>
      </w:pPr>
      <w:r>
        <w:rPr>
          <w:rStyle w:val="FootnoteReference"/>
        </w:rPr>
        <w:footnoteRef/>
      </w:r>
      <w:r>
        <w:t xml:space="preserve"> Lord Low of Dalston.  </w:t>
      </w:r>
      <w:r w:rsidRPr="00BE0B7B">
        <w:t>HL Deb, 22 July 2013, c1080</w:t>
      </w:r>
    </w:p>
  </w:footnote>
  <w:footnote w:id="71">
    <w:p w14:paraId="2723672B" w14:textId="77777777" w:rsidR="006E30A6" w:rsidRPr="00BE0B7B" w:rsidRDefault="006E30A6" w:rsidP="00927D77">
      <w:pPr>
        <w:pStyle w:val="NormalWeb"/>
        <w:spacing w:before="0" w:beforeAutospacing="0" w:after="0" w:afterAutospacing="0"/>
        <w:rPr>
          <w:rFonts w:asciiTheme="majorHAnsi" w:hAnsiTheme="majorHAnsi"/>
        </w:rPr>
      </w:pPr>
      <w:r>
        <w:rPr>
          <w:rStyle w:val="FootnoteReference"/>
        </w:rPr>
        <w:footnoteRef/>
      </w:r>
      <w:r>
        <w:t xml:space="preserve"> </w:t>
      </w:r>
      <w:r>
        <w:rPr>
          <w:rFonts w:asciiTheme="majorHAnsi" w:hAnsiTheme="majorHAnsi"/>
        </w:rPr>
        <w:t xml:space="preserve">Care Act, 2014 Clause 1(2c) </w:t>
      </w:r>
    </w:p>
    <w:p w14:paraId="2F757DC8" w14:textId="1887A721" w:rsidR="006E30A6" w:rsidRDefault="006E30A6">
      <w:pPr>
        <w:pStyle w:val="FootnoteText"/>
      </w:pPr>
    </w:p>
  </w:footnote>
  <w:footnote w:id="72">
    <w:p w14:paraId="619C8D53" w14:textId="77777777" w:rsidR="006E30A6" w:rsidRDefault="006E30A6" w:rsidP="000C1F12">
      <w:pPr>
        <w:pStyle w:val="FootnoteText"/>
      </w:pPr>
      <w:r>
        <w:rPr>
          <w:rStyle w:val="FootnoteReference"/>
        </w:rPr>
        <w:footnoteRef/>
      </w:r>
      <w:r>
        <w:t xml:space="preserve"> </w:t>
      </w:r>
      <w:r w:rsidRPr="00BE6F11">
        <w:t>http://odi.dwp.gov.uk/docs/fulfilling-potential/independent-review-of-equality-2025.pdf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E6851"/>
    <w:multiLevelType w:val="hybridMultilevel"/>
    <w:tmpl w:val="69D8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CA14EC"/>
    <w:multiLevelType w:val="multilevel"/>
    <w:tmpl w:val="B1CC4C3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29207D3E"/>
    <w:multiLevelType w:val="hybridMultilevel"/>
    <w:tmpl w:val="41023DCA"/>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3">
    <w:nsid w:val="42404AE3"/>
    <w:multiLevelType w:val="multilevel"/>
    <w:tmpl w:val="6A70C3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43380E46"/>
    <w:multiLevelType w:val="multilevel"/>
    <w:tmpl w:val="A1D2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BA159A"/>
    <w:multiLevelType w:val="hybridMultilevel"/>
    <w:tmpl w:val="B18CC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F00BDF"/>
    <w:multiLevelType w:val="multilevel"/>
    <w:tmpl w:val="16984D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5D833AC1"/>
    <w:multiLevelType w:val="hybridMultilevel"/>
    <w:tmpl w:val="D206D7D4"/>
    <w:lvl w:ilvl="0" w:tplc="930E15EE">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60F55AF3"/>
    <w:multiLevelType w:val="hybridMultilevel"/>
    <w:tmpl w:val="E2A0CD00"/>
    <w:lvl w:ilvl="0" w:tplc="04090015">
      <w:start w:val="17"/>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3655D00"/>
    <w:multiLevelType w:val="hybridMultilevel"/>
    <w:tmpl w:val="603C43D0"/>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6633188"/>
    <w:multiLevelType w:val="hybridMultilevel"/>
    <w:tmpl w:val="44827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74E693E"/>
    <w:multiLevelType w:val="hybridMultilevel"/>
    <w:tmpl w:val="6144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5D6CA2"/>
    <w:multiLevelType w:val="hybridMultilevel"/>
    <w:tmpl w:val="8E04BE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D31211"/>
    <w:multiLevelType w:val="multilevel"/>
    <w:tmpl w:val="729424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F0C74AF"/>
    <w:multiLevelType w:val="multilevel"/>
    <w:tmpl w:val="B4E2E4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F9500F9"/>
    <w:multiLevelType w:val="multilevel"/>
    <w:tmpl w:val="EA80CA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nsid w:val="7B5255A4"/>
    <w:multiLevelType w:val="hybridMultilevel"/>
    <w:tmpl w:val="33BAE540"/>
    <w:lvl w:ilvl="0" w:tplc="04090015">
      <w:start w:val="17"/>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10"/>
  </w:num>
  <w:num w:numId="3">
    <w:abstractNumId w:val="7"/>
  </w:num>
  <w:num w:numId="4">
    <w:abstractNumId w:val="5"/>
  </w:num>
  <w:num w:numId="5">
    <w:abstractNumId w:val="14"/>
  </w:num>
  <w:num w:numId="6">
    <w:abstractNumId w:val="1"/>
  </w:num>
  <w:num w:numId="7">
    <w:abstractNumId w:val="3"/>
  </w:num>
  <w:num w:numId="8">
    <w:abstractNumId w:val="15"/>
  </w:num>
  <w:num w:numId="9">
    <w:abstractNumId w:val="6"/>
  </w:num>
  <w:num w:numId="10">
    <w:abstractNumId w:val="0"/>
  </w:num>
  <w:num w:numId="11">
    <w:abstractNumId w:val="9"/>
  </w:num>
  <w:num w:numId="12">
    <w:abstractNumId w:val="2"/>
  </w:num>
  <w:num w:numId="13">
    <w:abstractNumId w:val="13"/>
  </w:num>
  <w:num w:numId="14">
    <w:abstractNumId w:val="12"/>
  </w:num>
  <w:num w:numId="15">
    <w:abstractNumId w:val="4"/>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10A"/>
    <w:rsid w:val="000763BA"/>
    <w:rsid w:val="00076E8D"/>
    <w:rsid w:val="000A21FC"/>
    <w:rsid w:val="000A4DB1"/>
    <w:rsid w:val="000C1F12"/>
    <w:rsid w:val="000C73A3"/>
    <w:rsid w:val="001140E5"/>
    <w:rsid w:val="00167E21"/>
    <w:rsid w:val="001A2806"/>
    <w:rsid w:val="001F437D"/>
    <w:rsid w:val="00226C6E"/>
    <w:rsid w:val="002A62B2"/>
    <w:rsid w:val="002B0D7D"/>
    <w:rsid w:val="00404CDD"/>
    <w:rsid w:val="00463882"/>
    <w:rsid w:val="004673AE"/>
    <w:rsid w:val="004B39C0"/>
    <w:rsid w:val="004E4657"/>
    <w:rsid w:val="0055410A"/>
    <w:rsid w:val="00580C40"/>
    <w:rsid w:val="00664AF5"/>
    <w:rsid w:val="006954E3"/>
    <w:rsid w:val="006D774D"/>
    <w:rsid w:val="006E30A6"/>
    <w:rsid w:val="006F3C13"/>
    <w:rsid w:val="006F74F9"/>
    <w:rsid w:val="00761EAD"/>
    <w:rsid w:val="00771338"/>
    <w:rsid w:val="00784A22"/>
    <w:rsid w:val="007B56C3"/>
    <w:rsid w:val="007C3E1B"/>
    <w:rsid w:val="007D4BCC"/>
    <w:rsid w:val="007E54CF"/>
    <w:rsid w:val="007E5CDD"/>
    <w:rsid w:val="00894756"/>
    <w:rsid w:val="008A4524"/>
    <w:rsid w:val="008C4CEA"/>
    <w:rsid w:val="008E6272"/>
    <w:rsid w:val="00927D77"/>
    <w:rsid w:val="00946411"/>
    <w:rsid w:val="00960D9B"/>
    <w:rsid w:val="0096442F"/>
    <w:rsid w:val="0099200D"/>
    <w:rsid w:val="009B31DA"/>
    <w:rsid w:val="009F4ED0"/>
    <w:rsid w:val="00A1084B"/>
    <w:rsid w:val="00A51F52"/>
    <w:rsid w:val="00A67163"/>
    <w:rsid w:val="00A94DB1"/>
    <w:rsid w:val="00AC55B1"/>
    <w:rsid w:val="00AD01F3"/>
    <w:rsid w:val="00AE77D6"/>
    <w:rsid w:val="00B50D15"/>
    <w:rsid w:val="00B610DB"/>
    <w:rsid w:val="00B70C27"/>
    <w:rsid w:val="00BA02CA"/>
    <w:rsid w:val="00BC54C1"/>
    <w:rsid w:val="00BE0B7B"/>
    <w:rsid w:val="00BE6F11"/>
    <w:rsid w:val="00C720EA"/>
    <w:rsid w:val="00D11906"/>
    <w:rsid w:val="00D41A93"/>
    <w:rsid w:val="00D66AE4"/>
    <w:rsid w:val="00D720B2"/>
    <w:rsid w:val="00D87F9B"/>
    <w:rsid w:val="00D9138D"/>
    <w:rsid w:val="00DA0C5D"/>
    <w:rsid w:val="00E60D5F"/>
    <w:rsid w:val="00E64684"/>
    <w:rsid w:val="00EA0217"/>
    <w:rsid w:val="00ED5311"/>
    <w:rsid w:val="00F23BC1"/>
    <w:rsid w:val="00F30313"/>
    <w:rsid w:val="00F445D8"/>
    <w:rsid w:val="00F61AC0"/>
    <w:rsid w:val="00F73323"/>
    <w:rsid w:val="00FD3AD1"/>
    <w:rsid w:val="00FF7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BBED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79C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55410A"/>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unhideWhenUsed/>
    <w:qFormat/>
    <w:rsid w:val="0055410A"/>
    <w:pPr>
      <w:keepNext/>
      <w:spacing w:before="240" w:after="60" w:line="276" w:lineRule="auto"/>
      <w:outlineLvl w:val="2"/>
    </w:pPr>
    <w:rPr>
      <w:rFonts w:ascii="Cambria" w:eastAsia="Times New Roman" w:hAnsi="Cambria" w:cs="Times New Roman"/>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9C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5410A"/>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55410A"/>
    <w:rPr>
      <w:rFonts w:ascii="Cambria" w:eastAsia="Times New Roman" w:hAnsi="Cambria" w:cs="Times New Roman"/>
      <w:b/>
      <w:bCs/>
      <w:sz w:val="26"/>
      <w:szCs w:val="26"/>
      <w:lang w:val="en-GB"/>
    </w:rPr>
  </w:style>
  <w:style w:type="paragraph" w:styleId="ListParagraph">
    <w:name w:val="List Paragraph"/>
    <w:basedOn w:val="Normal"/>
    <w:link w:val="ListParagraphChar"/>
    <w:uiPriority w:val="34"/>
    <w:qFormat/>
    <w:rsid w:val="0055410A"/>
    <w:pPr>
      <w:spacing w:after="200" w:line="276" w:lineRule="auto"/>
      <w:ind w:left="720"/>
      <w:contextualSpacing/>
    </w:pPr>
    <w:rPr>
      <w:rFonts w:ascii="Calibri" w:eastAsia="Calibri" w:hAnsi="Calibri" w:cs="Times New Roman"/>
      <w:sz w:val="22"/>
      <w:szCs w:val="22"/>
      <w:lang w:val="en-GB"/>
    </w:rPr>
  </w:style>
  <w:style w:type="character" w:customStyle="1" w:styleId="ListParagraphChar">
    <w:name w:val="List Paragraph Char"/>
    <w:link w:val="ListParagraph"/>
    <w:uiPriority w:val="34"/>
    <w:rsid w:val="00B50D15"/>
    <w:rPr>
      <w:rFonts w:ascii="Calibri" w:eastAsia="Calibri" w:hAnsi="Calibri" w:cs="Times New Roman"/>
      <w:sz w:val="22"/>
      <w:szCs w:val="22"/>
      <w:lang w:val="en-GB"/>
    </w:rPr>
  </w:style>
  <w:style w:type="paragraph" w:styleId="NormalWeb">
    <w:name w:val="Normal (Web)"/>
    <w:basedOn w:val="Normal"/>
    <w:uiPriority w:val="99"/>
    <w:unhideWhenUsed/>
    <w:rsid w:val="0055410A"/>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uiPriority w:val="99"/>
    <w:unhideWhenUsed/>
    <w:rsid w:val="00761EAD"/>
    <w:rPr>
      <w:color w:val="0000FF"/>
      <w:u w:val="single"/>
    </w:rPr>
  </w:style>
  <w:style w:type="character" w:customStyle="1" w:styleId="apple-converted-space">
    <w:name w:val="apple-converted-space"/>
    <w:rsid w:val="00761EAD"/>
  </w:style>
  <w:style w:type="character" w:styleId="Strong">
    <w:name w:val="Strong"/>
    <w:basedOn w:val="DefaultParagraphFont"/>
    <w:uiPriority w:val="22"/>
    <w:qFormat/>
    <w:rsid w:val="00761EAD"/>
    <w:rPr>
      <w:b/>
      <w:bCs/>
    </w:rPr>
  </w:style>
  <w:style w:type="character" w:styleId="FollowedHyperlink">
    <w:name w:val="FollowedHyperlink"/>
    <w:basedOn w:val="DefaultParagraphFont"/>
    <w:uiPriority w:val="99"/>
    <w:semiHidden/>
    <w:unhideWhenUsed/>
    <w:rsid w:val="00761EAD"/>
    <w:rPr>
      <w:color w:val="800080" w:themeColor="followedHyperlink"/>
      <w:u w:val="single"/>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 Text Char1, Char,Footnot"/>
    <w:basedOn w:val="Normal"/>
    <w:link w:val="FootnoteTextChar"/>
    <w:uiPriority w:val="99"/>
    <w:unhideWhenUsed/>
    <w:rsid w:val="00B50D15"/>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 Text Char1 Char, Char Char"/>
    <w:basedOn w:val="DefaultParagraphFont"/>
    <w:link w:val="FootnoteText"/>
    <w:uiPriority w:val="99"/>
    <w:rsid w:val="00B50D15"/>
  </w:style>
  <w:style w:type="character" w:styleId="FootnoteReference">
    <w:name w:val="footnote reference"/>
    <w:aliases w:val="Footnotes refss,Odwołanie przypisu,Footnote symbol,Footnote Reference Number,Appel note de bas de p,Appel note de bas de p + (Asian) Batang,Black,(NECG) Footnote Reference,Nota"/>
    <w:basedOn w:val="DefaultParagraphFont"/>
    <w:uiPriority w:val="99"/>
    <w:unhideWhenUsed/>
    <w:rsid w:val="00B50D15"/>
    <w:rPr>
      <w:vertAlign w:val="superscript"/>
    </w:rPr>
  </w:style>
  <w:style w:type="paragraph" w:styleId="BalloonText">
    <w:name w:val="Balloon Text"/>
    <w:basedOn w:val="Normal"/>
    <w:link w:val="BalloonTextChar"/>
    <w:uiPriority w:val="99"/>
    <w:semiHidden/>
    <w:unhideWhenUsed/>
    <w:rsid w:val="00B50D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0D15"/>
    <w:rPr>
      <w:rFonts w:ascii="Lucida Grande" w:hAnsi="Lucida Grande" w:cs="Lucida Grande"/>
      <w:sz w:val="18"/>
      <w:szCs w:val="18"/>
    </w:rPr>
  </w:style>
  <w:style w:type="character" w:customStyle="1" w:styleId="FootnoteReference1">
    <w:name w:val="Footnote Reference1"/>
    <w:rsid w:val="00B50D15"/>
    <w:rPr>
      <w:color w:val="000000"/>
      <w:sz w:val="20"/>
      <w:vertAlign w:val="superscript"/>
    </w:rPr>
  </w:style>
  <w:style w:type="paragraph" w:customStyle="1" w:styleId="FootnoteText1">
    <w:name w:val="Footnote Text1"/>
    <w:rsid w:val="00B50D15"/>
    <w:pPr>
      <w:spacing w:after="200"/>
    </w:pPr>
    <w:rPr>
      <w:rFonts w:ascii="Arial" w:eastAsia="ヒラギノ角ゴ Pro W3" w:hAnsi="Arial" w:cs="Times New Roman"/>
      <w:color w:val="000000"/>
      <w:sz w:val="20"/>
      <w:szCs w:val="20"/>
      <w:lang w:eastAsia="en-GB"/>
    </w:rPr>
  </w:style>
  <w:style w:type="character" w:customStyle="1" w:styleId="Hyperlink1">
    <w:name w:val="Hyperlink1"/>
    <w:rsid w:val="00B50D15"/>
    <w:rPr>
      <w:color w:val="0000FE"/>
      <w:sz w:val="20"/>
      <w:u w:val="single"/>
    </w:rPr>
  </w:style>
  <w:style w:type="character" w:styleId="Emphasis">
    <w:name w:val="Emphasis"/>
    <w:basedOn w:val="DefaultParagraphFont"/>
    <w:uiPriority w:val="20"/>
    <w:qFormat/>
    <w:rsid w:val="00BC54C1"/>
    <w:rPr>
      <w:i/>
      <w:iCs/>
    </w:rPr>
  </w:style>
  <w:style w:type="paragraph" w:styleId="Header">
    <w:name w:val="header"/>
    <w:basedOn w:val="Normal"/>
    <w:link w:val="HeaderChar"/>
    <w:uiPriority w:val="99"/>
    <w:unhideWhenUsed/>
    <w:rsid w:val="000C73A3"/>
    <w:pPr>
      <w:tabs>
        <w:tab w:val="center" w:pos="4320"/>
        <w:tab w:val="right" w:pos="8640"/>
      </w:tabs>
    </w:pPr>
  </w:style>
  <w:style w:type="character" w:customStyle="1" w:styleId="HeaderChar">
    <w:name w:val="Header Char"/>
    <w:basedOn w:val="DefaultParagraphFont"/>
    <w:link w:val="Header"/>
    <w:uiPriority w:val="99"/>
    <w:rsid w:val="000C73A3"/>
  </w:style>
  <w:style w:type="paragraph" w:styleId="Footer">
    <w:name w:val="footer"/>
    <w:basedOn w:val="Normal"/>
    <w:link w:val="FooterChar"/>
    <w:uiPriority w:val="99"/>
    <w:unhideWhenUsed/>
    <w:rsid w:val="000C73A3"/>
    <w:pPr>
      <w:tabs>
        <w:tab w:val="center" w:pos="4320"/>
        <w:tab w:val="right" w:pos="8640"/>
      </w:tabs>
    </w:pPr>
  </w:style>
  <w:style w:type="character" w:customStyle="1" w:styleId="FooterChar">
    <w:name w:val="Footer Char"/>
    <w:basedOn w:val="DefaultParagraphFont"/>
    <w:link w:val="Footer"/>
    <w:uiPriority w:val="99"/>
    <w:rsid w:val="000C73A3"/>
  </w:style>
  <w:style w:type="character" w:styleId="PageNumber">
    <w:name w:val="page number"/>
    <w:basedOn w:val="DefaultParagraphFont"/>
    <w:uiPriority w:val="99"/>
    <w:semiHidden/>
    <w:unhideWhenUsed/>
    <w:rsid w:val="000C73A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79C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55410A"/>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unhideWhenUsed/>
    <w:qFormat/>
    <w:rsid w:val="0055410A"/>
    <w:pPr>
      <w:keepNext/>
      <w:spacing w:before="240" w:after="60" w:line="276" w:lineRule="auto"/>
      <w:outlineLvl w:val="2"/>
    </w:pPr>
    <w:rPr>
      <w:rFonts w:ascii="Cambria" w:eastAsia="Times New Roman" w:hAnsi="Cambria" w:cs="Times New Roman"/>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9C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5410A"/>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55410A"/>
    <w:rPr>
      <w:rFonts w:ascii="Cambria" w:eastAsia="Times New Roman" w:hAnsi="Cambria" w:cs="Times New Roman"/>
      <w:b/>
      <w:bCs/>
      <w:sz w:val="26"/>
      <w:szCs w:val="26"/>
      <w:lang w:val="en-GB"/>
    </w:rPr>
  </w:style>
  <w:style w:type="paragraph" w:styleId="ListParagraph">
    <w:name w:val="List Paragraph"/>
    <w:basedOn w:val="Normal"/>
    <w:link w:val="ListParagraphChar"/>
    <w:uiPriority w:val="34"/>
    <w:qFormat/>
    <w:rsid w:val="0055410A"/>
    <w:pPr>
      <w:spacing w:after="200" w:line="276" w:lineRule="auto"/>
      <w:ind w:left="720"/>
      <w:contextualSpacing/>
    </w:pPr>
    <w:rPr>
      <w:rFonts w:ascii="Calibri" w:eastAsia="Calibri" w:hAnsi="Calibri" w:cs="Times New Roman"/>
      <w:sz w:val="22"/>
      <w:szCs w:val="22"/>
      <w:lang w:val="en-GB"/>
    </w:rPr>
  </w:style>
  <w:style w:type="character" w:customStyle="1" w:styleId="ListParagraphChar">
    <w:name w:val="List Paragraph Char"/>
    <w:link w:val="ListParagraph"/>
    <w:uiPriority w:val="34"/>
    <w:rsid w:val="00B50D15"/>
    <w:rPr>
      <w:rFonts w:ascii="Calibri" w:eastAsia="Calibri" w:hAnsi="Calibri" w:cs="Times New Roman"/>
      <w:sz w:val="22"/>
      <w:szCs w:val="22"/>
      <w:lang w:val="en-GB"/>
    </w:rPr>
  </w:style>
  <w:style w:type="paragraph" w:styleId="NormalWeb">
    <w:name w:val="Normal (Web)"/>
    <w:basedOn w:val="Normal"/>
    <w:uiPriority w:val="99"/>
    <w:unhideWhenUsed/>
    <w:rsid w:val="0055410A"/>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uiPriority w:val="99"/>
    <w:unhideWhenUsed/>
    <w:rsid w:val="00761EAD"/>
    <w:rPr>
      <w:color w:val="0000FF"/>
      <w:u w:val="single"/>
    </w:rPr>
  </w:style>
  <w:style w:type="character" w:customStyle="1" w:styleId="apple-converted-space">
    <w:name w:val="apple-converted-space"/>
    <w:rsid w:val="00761EAD"/>
  </w:style>
  <w:style w:type="character" w:styleId="Strong">
    <w:name w:val="Strong"/>
    <w:basedOn w:val="DefaultParagraphFont"/>
    <w:uiPriority w:val="22"/>
    <w:qFormat/>
    <w:rsid w:val="00761EAD"/>
    <w:rPr>
      <w:b/>
      <w:bCs/>
    </w:rPr>
  </w:style>
  <w:style w:type="character" w:styleId="FollowedHyperlink">
    <w:name w:val="FollowedHyperlink"/>
    <w:basedOn w:val="DefaultParagraphFont"/>
    <w:uiPriority w:val="99"/>
    <w:semiHidden/>
    <w:unhideWhenUsed/>
    <w:rsid w:val="00761EAD"/>
    <w:rPr>
      <w:color w:val="800080" w:themeColor="followedHyperlink"/>
      <w:u w:val="single"/>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 Text Char1, Char,Footnot"/>
    <w:basedOn w:val="Normal"/>
    <w:link w:val="FootnoteTextChar"/>
    <w:uiPriority w:val="99"/>
    <w:unhideWhenUsed/>
    <w:rsid w:val="00B50D15"/>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 Text Char1 Char, Char Char"/>
    <w:basedOn w:val="DefaultParagraphFont"/>
    <w:link w:val="FootnoteText"/>
    <w:uiPriority w:val="99"/>
    <w:rsid w:val="00B50D15"/>
  </w:style>
  <w:style w:type="character" w:styleId="FootnoteReference">
    <w:name w:val="footnote reference"/>
    <w:aliases w:val="Footnotes refss,Odwołanie przypisu,Footnote symbol,Footnote Reference Number,Appel note de bas de p,Appel note de bas de p + (Asian) Batang,Black,(NECG) Footnote Reference,Nota"/>
    <w:basedOn w:val="DefaultParagraphFont"/>
    <w:uiPriority w:val="99"/>
    <w:unhideWhenUsed/>
    <w:rsid w:val="00B50D15"/>
    <w:rPr>
      <w:vertAlign w:val="superscript"/>
    </w:rPr>
  </w:style>
  <w:style w:type="paragraph" w:styleId="BalloonText">
    <w:name w:val="Balloon Text"/>
    <w:basedOn w:val="Normal"/>
    <w:link w:val="BalloonTextChar"/>
    <w:uiPriority w:val="99"/>
    <w:semiHidden/>
    <w:unhideWhenUsed/>
    <w:rsid w:val="00B50D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0D15"/>
    <w:rPr>
      <w:rFonts w:ascii="Lucida Grande" w:hAnsi="Lucida Grande" w:cs="Lucida Grande"/>
      <w:sz w:val="18"/>
      <w:szCs w:val="18"/>
    </w:rPr>
  </w:style>
  <w:style w:type="character" w:customStyle="1" w:styleId="FootnoteReference1">
    <w:name w:val="Footnote Reference1"/>
    <w:rsid w:val="00B50D15"/>
    <w:rPr>
      <w:color w:val="000000"/>
      <w:sz w:val="20"/>
      <w:vertAlign w:val="superscript"/>
    </w:rPr>
  </w:style>
  <w:style w:type="paragraph" w:customStyle="1" w:styleId="FootnoteText1">
    <w:name w:val="Footnote Text1"/>
    <w:rsid w:val="00B50D15"/>
    <w:pPr>
      <w:spacing w:after="200"/>
    </w:pPr>
    <w:rPr>
      <w:rFonts w:ascii="Arial" w:eastAsia="ヒラギノ角ゴ Pro W3" w:hAnsi="Arial" w:cs="Times New Roman"/>
      <w:color w:val="000000"/>
      <w:sz w:val="20"/>
      <w:szCs w:val="20"/>
      <w:lang w:eastAsia="en-GB"/>
    </w:rPr>
  </w:style>
  <w:style w:type="character" w:customStyle="1" w:styleId="Hyperlink1">
    <w:name w:val="Hyperlink1"/>
    <w:rsid w:val="00B50D15"/>
    <w:rPr>
      <w:color w:val="0000FE"/>
      <w:sz w:val="20"/>
      <w:u w:val="single"/>
    </w:rPr>
  </w:style>
  <w:style w:type="character" w:styleId="Emphasis">
    <w:name w:val="Emphasis"/>
    <w:basedOn w:val="DefaultParagraphFont"/>
    <w:uiPriority w:val="20"/>
    <w:qFormat/>
    <w:rsid w:val="00BC54C1"/>
    <w:rPr>
      <w:i/>
      <w:iCs/>
    </w:rPr>
  </w:style>
  <w:style w:type="paragraph" w:styleId="Header">
    <w:name w:val="header"/>
    <w:basedOn w:val="Normal"/>
    <w:link w:val="HeaderChar"/>
    <w:uiPriority w:val="99"/>
    <w:unhideWhenUsed/>
    <w:rsid w:val="000C73A3"/>
    <w:pPr>
      <w:tabs>
        <w:tab w:val="center" w:pos="4320"/>
        <w:tab w:val="right" w:pos="8640"/>
      </w:tabs>
    </w:pPr>
  </w:style>
  <w:style w:type="character" w:customStyle="1" w:styleId="HeaderChar">
    <w:name w:val="Header Char"/>
    <w:basedOn w:val="DefaultParagraphFont"/>
    <w:link w:val="Header"/>
    <w:uiPriority w:val="99"/>
    <w:rsid w:val="000C73A3"/>
  </w:style>
  <w:style w:type="paragraph" w:styleId="Footer">
    <w:name w:val="footer"/>
    <w:basedOn w:val="Normal"/>
    <w:link w:val="FooterChar"/>
    <w:uiPriority w:val="99"/>
    <w:unhideWhenUsed/>
    <w:rsid w:val="000C73A3"/>
    <w:pPr>
      <w:tabs>
        <w:tab w:val="center" w:pos="4320"/>
        <w:tab w:val="right" w:pos="8640"/>
      </w:tabs>
    </w:pPr>
  </w:style>
  <w:style w:type="character" w:customStyle="1" w:styleId="FooterChar">
    <w:name w:val="Footer Char"/>
    <w:basedOn w:val="DefaultParagraphFont"/>
    <w:link w:val="Footer"/>
    <w:uiPriority w:val="99"/>
    <w:rsid w:val="000C73A3"/>
  </w:style>
  <w:style w:type="character" w:styleId="PageNumber">
    <w:name w:val="page number"/>
    <w:basedOn w:val="DefaultParagraphFont"/>
    <w:uiPriority w:val="99"/>
    <w:semiHidden/>
    <w:unhideWhenUsed/>
    <w:rsid w:val="000C7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272447">
      <w:bodyDiv w:val="1"/>
      <w:marLeft w:val="0"/>
      <w:marRight w:val="0"/>
      <w:marTop w:val="0"/>
      <w:marBottom w:val="0"/>
      <w:divBdr>
        <w:top w:val="none" w:sz="0" w:space="0" w:color="auto"/>
        <w:left w:val="none" w:sz="0" w:space="0" w:color="auto"/>
        <w:bottom w:val="none" w:sz="0" w:space="0" w:color="auto"/>
        <w:right w:val="none" w:sz="0" w:space="0" w:color="auto"/>
      </w:divBdr>
    </w:div>
    <w:div w:id="323751617">
      <w:bodyDiv w:val="1"/>
      <w:marLeft w:val="0"/>
      <w:marRight w:val="0"/>
      <w:marTop w:val="0"/>
      <w:marBottom w:val="0"/>
      <w:divBdr>
        <w:top w:val="none" w:sz="0" w:space="0" w:color="auto"/>
        <w:left w:val="none" w:sz="0" w:space="0" w:color="auto"/>
        <w:bottom w:val="none" w:sz="0" w:space="0" w:color="auto"/>
        <w:right w:val="none" w:sz="0" w:space="0" w:color="auto"/>
      </w:divBdr>
      <w:divsChild>
        <w:div w:id="914514892">
          <w:marLeft w:val="0"/>
          <w:marRight w:val="0"/>
          <w:marTop w:val="0"/>
          <w:marBottom w:val="0"/>
          <w:divBdr>
            <w:top w:val="none" w:sz="0" w:space="0" w:color="auto"/>
            <w:left w:val="none" w:sz="0" w:space="0" w:color="auto"/>
            <w:bottom w:val="none" w:sz="0" w:space="0" w:color="auto"/>
            <w:right w:val="none" w:sz="0" w:space="0" w:color="auto"/>
          </w:divBdr>
        </w:div>
        <w:div w:id="804540642">
          <w:marLeft w:val="0"/>
          <w:marRight w:val="0"/>
          <w:marTop w:val="0"/>
          <w:marBottom w:val="0"/>
          <w:divBdr>
            <w:top w:val="none" w:sz="0" w:space="0" w:color="auto"/>
            <w:left w:val="none" w:sz="0" w:space="0" w:color="auto"/>
            <w:bottom w:val="none" w:sz="0" w:space="0" w:color="auto"/>
            <w:right w:val="none" w:sz="0" w:space="0" w:color="auto"/>
          </w:divBdr>
        </w:div>
      </w:divsChild>
    </w:div>
    <w:div w:id="488904957">
      <w:bodyDiv w:val="1"/>
      <w:marLeft w:val="0"/>
      <w:marRight w:val="0"/>
      <w:marTop w:val="0"/>
      <w:marBottom w:val="0"/>
      <w:divBdr>
        <w:top w:val="none" w:sz="0" w:space="0" w:color="auto"/>
        <w:left w:val="none" w:sz="0" w:space="0" w:color="auto"/>
        <w:bottom w:val="none" w:sz="0" w:space="0" w:color="auto"/>
        <w:right w:val="none" w:sz="0" w:space="0" w:color="auto"/>
      </w:divBdr>
    </w:div>
    <w:div w:id="495727456">
      <w:bodyDiv w:val="1"/>
      <w:marLeft w:val="0"/>
      <w:marRight w:val="0"/>
      <w:marTop w:val="0"/>
      <w:marBottom w:val="0"/>
      <w:divBdr>
        <w:top w:val="none" w:sz="0" w:space="0" w:color="auto"/>
        <w:left w:val="none" w:sz="0" w:space="0" w:color="auto"/>
        <w:bottom w:val="none" w:sz="0" w:space="0" w:color="auto"/>
        <w:right w:val="none" w:sz="0" w:space="0" w:color="auto"/>
      </w:divBdr>
    </w:div>
    <w:div w:id="569924145">
      <w:bodyDiv w:val="1"/>
      <w:marLeft w:val="0"/>
      <w:marRight w:val="0"/>
      <w:marTop w:val="0"/>
      <w:marBottom w:val="0"/>
      <w:divBdr>
        <w:top w:val="none" w:sz="0" w:space="0" w:color="auto"/>
        <w:left w:val="none" w:sz="0" w:space="0" w:color="auto"/>
        <w:bottom w:val="none" w:sz="0" w:space="0" w:color="auto"/>
        <w:right w:val="none" w:sz="0" w:space="0" w:color="auto"/>
      </w:divBdr>
    </w:div>
    <w:div w:id="618876132">
      <w:bodyDiv w:val="1"/>
      <w:marLeft w:val="0"/>
      <w:marRight w:val="0"/>
      <w:marTop w:val="0"/>
      <w:marBottom w:val="0"/>
      <w:divBdr>
        <w:top w:val="none" w:sz="0" w:space="0" w:color="auto"/>
        <w:left w:val="none" w:sz="0" w:space="0" w:color="auto"/>
        <w:bottom w:val="none" w:sz="0" w:space="0" w:color="auto"/>
        <w:right w:val="none" w:sz="0" w:space="0" w:color="auto"/>
      </w:divBdr>
    </w:div>
    <w:div w:id="663626651">
      <w:bodyDiv w:val="1"/>
      <w:marLeft w:val="0"/>
      <w:marRight w:val="0"/>
      <w:marTop w:val="0"/>
      <w:marBottom w:val="0"/>
      <w:divBdr>
        <w:top w:val="none" w:sz="0" w:space="0" w:color="auto"/>
        <w:left w:val="none" w:sz="0" w:space="0" w:color="auto"/>
        <w:bottom w:val="none" w:sz="0" w:space="0" w:color="auto"/>
        <w:right w:val="none" w:sz="0" w:space="0" w:color="auto"/>
      </w:divBdr>
    </w:div>
    <w:div w:id="732314559">
      <w:bodyDiv w:val="1"/>
      <w:marLeft w:val="0"/>
      <w:marRight w:val="0"/>
      <w:marTop w:val="0"/>
      <w:marBottom w:val="0"/>
      <w:divBdr>
        <w:top w:val="none" w:sz="0" w:space="0" w:color="auto"/>
        <w:left w:val="none" w:sz="0" w:space="0" w:color="auto"/>
        <w:bottom w:val="none" w:sz="0" w:space="0" w:color="auto"/>
        <w:right w:val="none" w:sz="0" w:space="0" w:color="auto"/>
      </w:divBdr>
      <w:divsChild>
        <w:div w:id="1936744916">
          <w:marLeft w:val="75"/>
          <w:marRight w:val="75"/>
          <w:marTop w:val="0"/>
          <w:marBottom w:val="0"/>
          <w:divBdr>
            <w:top w:val="single" w:sz="36" w:space="8" w:color="006699"/>
            <w:left w:val="none" w:sz="0" w:space="8" w:color="auto"/>
            <w:bottom w:val="none" w:sz="0" w:space="8" w:color="auto"/>
            <w:right w:val="none" w:sz="0" w:space="8" w:color="auto"/>
          </w:divBdr>
        </w:div>
      </w:divsChild>
    </w:div>
    <w:div w:id="825048814">
      <w:bodyDiv w:val="1"/>
      <w:marLeft w:val="0"/>
      <w:marRight w:val="0"/>
      <w:marTop w:val="0"/>
      <w:marBottom w:val="0"/>
      <w:divBdr>
        <w:top w:val="none" w:sz="0" w:space="0" w:color="auto"/>
        <w:left w:val="none" w:sz="0" w:space="0" w:color="auto"/>
        <w:bottom w:val="none" w:sz="0" w:space="0" w:color="auto"/>
        <w:right w:val="none" w:sz="0" w:space="0" w:color="auto"/>
      </w:divBdr>
    </w:div>
    <w:div w:id="875384486">
      <w:bodyDiv w:val="1"/>
      <w:marLeft w:val="0"/>
      <w:marRight w:val="0"/>
      <w:marTop w:val="0"/>
      <w:marBottom w:val="0"/>
      <w:divBdr>
        <w:top w:val="none" w:sz="0" w:space="0" w:color="auto"/>
        <w:left w:val="none" w:sz="0" w:space="0" w:color="auto"/>
        <w:bottom w:val="none" w:sz="0" w:space="0" w:color="auto"/>
        <w:right w:val="none" w:sz="0" w:space="0" w:color="auto"/>
      </w:divBdr>
    </w:div>
    <w:div w:id="1089346981">
      <w:bodyDiv w:val="1"/>
      <w:marLeft w:val="0"/>
      <w:marRight w:val="0"/>
      <w:marTop w:val="0"/>
      <w:marBottom w:val="0"/>
      <w:divBdr>
        <w:top w:val="none" w:sz="0" w:space="0" w:color="auto"/>
        <w:left w:val="none" w:sz="0" w:space="0" w:color="auto"/>
        <w:bottom w:val="none" w:sz="0" w:space="0" w:color="auto"/>
        <w:right w:val="none" w:sz="0" w:space="0" w:color="auto"/>
      </w:divBdr>
    </w:div>
    <w:div w:id="1211266381">
      <w:bodyDiv w:val="1"/>
      <w:marLeft w:val="0"/>
      <w:marRight w:val="0"/>
      <w:marTop w:val="0"/>
      <w:marBottom w:val="0"/>
      <w:divBdr>
        <w:top w:val="none" w:sz="0" w:space="0" w:color="auto"/>
        <w:left w:val="none" w:sz="0" w:space="0" w:color="auto"/>
        <w:bottom w:val="none" w:sz="0" w:space="0" w:color="auto"/>
        <w:right w:val="none" w:sz="0" w:space="0" w:color="auto"/>
      </w:divBdr>
    </w:div>
    <w:div w:id="1388261988">
      <w:bodyDiv w:val="1"/>
      <w:marLeft w:val="0"/>
      <w:marRight w:val="0"/>
      <w:marTop w:val="0"/>
      <w:marBottom w:val="0"/>
      <w:divBdr>
        <w:top w:val="none" w:sz="0" w:space="0" w:color="auto"/>
        <w:left w:val="none" w:sz="0" w:space="0" w:color="auto"/>
        <w:bottom w:val="none" w:sz="0" w:space="0" w:color="auto"/>
        <w:right w:val="none" w:sz="0" w:space="0" w:color="auto"/>
      </w:divBdr>
    </w:div>
    <w:div w:id="1621916561">
      <w:bodyDiv w:val="1"/>
      <w:marLeft w:val="0"/>
      <w:marRight w:val="0"/>
      <w:marTop w:val="0"/>
      <w:marBottom w:val="0"/>
      <w:divBdr>
        <w:top w:val="none" w:sz="0" w:space="0" w:color="auto"/>
        <w:left w:val="none" w:sz="0" w:space="0" w:color="auto"/>
        <w:bottom w:val="none" w:sz="0" w:space="0" w:color="auto"/>
        <w:right w:val="none" w:sz="0" w:space="0" w:color="auto"/>
      </w:divBdr>
    </w:div>
    <w:div w:id="1713190012">
      <w:bodyDiv w:val="1"/>
      <w:marLeft w:val="0"/>
      <w:marRight w:val="0"/>
      <w:marTop w:val="0"/>
      <w:marBottom w:val="0"/>
      <w:divBdr>
        <w:top w:val="none" w:sz="0" w:space="0" w:color="auto"/>
        <w:left w:val="none" w:sz="0" w:space="0" w:color="auto"/>
        <w:bottom w:val="none" w:sz="0" w:space="0" w:color="auto"/>
        <w:right w:val="none" w:sz="0" w:space="0" w:color="auto"/>
      </w:divBdr>
    </w:div>
    <w:div w:id="2010711099">
      <w:bodyDiv w:val="1"/>
      <w:marLeft w:val="0"/>
      <w:marRight w:val="0"/>
      <w:marTop w:val="0"/>
      <w:marBottom w:val="0"/>
      <w:divBdr>
        <w:top w:val="none" w:sz="0" w:space="0" w:color="auto"/>
        <w:left w:val="none" w:sz="0" w:space="0" w:color="auto"/>
        <w:bottom w:val="none" w:sz="0" w:space="0" w:color="auto"/>
        <w:right w:val="none" w:sz="0" w:space="0" w:color="auto"/>
      </w:divBdr>
    </w:div>
    <w:div w:id="20578505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visionsense.co.uk" TargetMode="Externa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tiff"/></Relationships>
</file>

<file path=word/_rels/footnotes.xml.rels><?xml version="1.0" encoding="UTF-8" standalone="yes"?>
<Relationships xmlns="http://schemas.openxmlformats.org/package/2006/relationships"><Relationship Id="rId11" Type="http://schemas.openxmlformats.org/officeDocument/2006/relationships/hyperlink" Target="http://www.justiceinspectorates.gov.uk" TargetMode="External"/><Relationship Id="rId12" Type="http://schemas.openxmlformats.org/officeDocument/2006/relationships/hyperlink" Target="http://www.justiceinspectorates.gov.uk" TargetMode="External"/><Relationship Id="rId13" Type="http://schemas.openxmlformats.org/officeDocument/2006/relationships/hyperlink" Target="http://www.homeoffice.gov.uk/rds" TargetMode="External"/><Relationship Id="rId14" Type="http://schemas.openxmlformats.org/officeDocument/2006/relationships/hyperlink" Target="https://www.gov.uk/government/uploads/system/uploads/attachment_data/file/280884/The_Sixth_Year_of_the_Independent_Mental_Capacity_Advocacy_v6.pdf" TargetMode="External"/><Relationship Id="rId15" Type="http://schemas.openxmlformats.org/officeDocument/2006/relationships/hyperlink" Target="http://www.hscic.gov.uk/catalogue/PUB13499/abus-vuln-adul-eng-12-13-fin-rep.pdf" TargetMode="External"/><Relationship Id="rId16" Type="http://schemas.openxmlformats.org/officeDocument/2006/relationships/hyperlink" Target="http://www.centreforwelfarereform.org/uploads/attachment/354/a-fair-society.pdf" TargetMode="External"/><Relationship Id="rId17" Type="http://schemas.openxmlformats.org/officeDocument/2006/relationships/hyperlink" Target="http://lawcommission.justice.gov.uk/docs/lc348_hate_crime.pdf" TargetMode="External"/><Relationship Id="rId1" Type="http://schemas.openxmlformats.org/officeDocument/2006/relationships/hyperlink" Target="http://www.warwickshire.gov.uk/Web/corporate/wccweb.nsf/Links/0C9B7D1DF19DA51680257944003F4A04/$file/GH+SCR+Public+Summary+(APPROVED+19.10.11).pdf" TargetMode="External"/><Relationship Id="rId2" Type="http://schemas.openxmlformats.org/officeDocument/2006/relationships/hyperlink" Target="http://www.ons.gov.uk/ons/dcp171778_318761.pdf" TargetMode="External"/><Relationship Id="rId3" Type="http://schemas.openxmlformats.org/officeDocument/2006/relationships/hyperlink" Target="http://www.justiceinspectorates.gov.uk/cjji/inspections/joint-inspection-into-the-investigation-and-prosecution-of-cases-involving-allegations-of-rape/" TargetMode="External"/><Relationship Id="rId4" Type="http://schemas.openxmlformats.org/officeDocument/2006/relationships/hyperlink" Target="http://www.homeoffice.gov.uk/publications/crime/call-end-violence-women-girls/vawg-action-plan?view=Binary" TargetMode="External"/><Relationship Id="rId5" Type="http://schemas.openxmlformats.org/officeDocument/2006/relationships/hyperlink" Target="http://www.womensaid.org.uk/domestic-violence-articles.asp?itemid=1722&amp;itemTitle=Making+the+links%3A+disabled+women+and+domestic+violence&amp;section=00010001002200080001&amp;sectionTitle=Articles%3A+disabled+women" TargetMode="External"/><Relationship Id="rId6" Type="http://schemas.openxmlformats.org/officeDocument/2006/relationships/hyperlink" Target="http://strathprints.strath.ac.uk/27036/1/child_protection_abridged_report.pdf" TargetMode="External"/><Relationship Id="rId7" Type="http://schemas.openxmlformats.org/officeDocument/2006/relationships/hyperlink" Target="http://strathprints.strath.ac.uk/27036/1/child_protection_abridged_report.pdf" TargetMode="External"/><Relationship Id="rId8" Type="http://schemas.openxmlformats.org/officeDocument/2006/relationships/hyperlink" Target="http://strathprints.strath.ac.uk/27036/1/child_protection_abridged_report.pdf" TargetMode="External"/><Relationship Id="rId9" Type="http://schemas.openxmlformats.org/officeDocument/2006/relationships/hyperlink" Target="http://www.report-it.org.uk/files/2012-13_annual_hate_crime_acpo_figuresv1.pdf" TargetMode="External"/><Relationship Id="rId10" Type="http://schemas.openxmlformats.org/officeDocument/2006/relationships/hyperlink" Target="http://www.hmcpsi.gov.uk/cj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662770-EFD0-4D79-99E0-3A7F9E18A212}"/>
</file>

<file path=customXml/itemProps2.xml><?xml version="1.0" encoding="utf-8"?>
<ds:datastoreItem xmlns:ds="http://schemas.openxmlformats.org/officeDocument/2006/customXml" ds:itemID="{4E1DF42E-280C-4149-918B-43102D795639}"/>
</file>

<file path=customXml/itemProps3.xml><?xml version="1.0" encoding="utf-8"?>
<ds:datastoreItem xmlns:ds="http://schemas.openxmlformats.org/officeDocument/2006/customXml" ds:itemID="{E84D485C-3E1A-C34B-B084-456D289A43AA}"/>
</file>

<file path=customXml/itemProps4.xml><?xml version="1.0" encoding="utf-8"?>
<ds:datastoreItem xmlns:ds="http://schemas.openxmlformats.org/officeDocument/2006/customXml" ds:itemID="{56682455-7349-4CC5-B565-AD10FAE1705A}"/>
</file>

<file path=docProps/app.xml><?xml version="1.0" encoding="utf-8"?>
<Properties xmlns="http://schemas.openxmlformats.org/officeDocument/2006/extended-properties" xmlns:vt="http://schemas.openxmlformats.org/officeDocument/2006/docPropsVTypes">
  <Template>Normal.dotm</Template>
  <TotalTime>0</TotalTime>
  <Pages>17</Pages>
  <Words>4125</Words>
  <Characters>20421</Characters>
  <Application>Microsoft Macintosh Word</Application>
  <DocSecurity>0</DocSecurity>
  <Lines>1074</Lines>
  <Paragraphs>310</Paragraphs>
  <ScaleCrop>false</ScaleCrop>
  <Company/>
  <LinksUpToDate>false</LinksUpToDate>
  <CharactersWithSpaces>24236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Balderston</dc:creator>
  <cp:keywords/>
  <dc:description/>
  <cp:lastModifiedBy>Susie Balderston</cp:lastModifiedBy>
  <cp:revision>2</cp:revision>
  <cp:lastPrinted>2014-05-29T08:25:00Z</cp:lastPrinted>
  <dcterms:created xsi:type="dcterms:W3CDTF">2015-06-15T15:31:00Z</dcterms:created>
  <dcterms:modified xsi:type="dcterms:W3CDTF">2015-06-15T15:31:00Z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