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C412B" w14:textId="59406814" w:rsidR="00D4363F" w:rsidRDefault="003F757E" w:rsidP="00D4363F">
      <w:pPr>
        <w:rPr>
          <w:rFonts w:cs="Arial"/>
          <w:rtl/>
        </w:rPr>
      </w:pPr>
      <w:r w:rsidRPr="00302271">
        <w:rPr>
          <w:b/>
          <w:bCs/>
          <w:lang w:val="es-ES"/>
        </w:rPr>
        <w:t>Forum méditerranéen pour la pro</w:t>
      </w:r>
      <w:r w:rsidR="00AB3C1D" w:rsidRPr="00302271">
        <w:rPr>
          <w:b/>
          <w:bCs/>
          <w:lang w:val="es-ES"/>
        </w:rPr>
        <w:t xml:space="preserve">motion des droits du </w:t>
      </w:r>
      <w:proofErr w:type="gramStart"/>
      <w:r w:rsidR="00AB3C1D" w:rsidRPr="00302271">
        <w:rPr>
          <w:b/>
          <w:bCs/>
          <w:lang w:val="es-ES"/>
        </w:rPr>
        <w:t xml:space="preserve">citoyen </w:t>
      </w:r>
      <w:r w:rsidR="00D4363F" w:rsidRPr="00302271">
        <w:rPr>
          <w:lang w:val="es-ES"/>
        </w:rPr>
        <w:t xml:space="preserve"> tiene</w:t>
      </w:r>
      <w:proofErr w:type="gramEnd"/>
      <w:r w:rsidR="00D4363F" w:rsidRPr="00302271">
        <w:rPr>
          <w:lang w:val="es-ES"/>
        </w:rPr>
        <w:t xml:space="preserve"> el honor de presentar esta contribución al Comité sobre los Derechos de las Personas con Discapacidad, en el marco de la evaluación de la aplicación de la Convención sobre los Derechos de las Personas con Discapacidad en el Estado de Qatar</w:t>
      </w:r>
      <w:r w:rsidR="00D4363F">
        <w:rPr>
          <w:rFonts w:cs="Arial"/>
          <w:rtl/>
        </w:rPr>
        <w:t>.</w:t>
      </w:r>
    </w:p>
    <w:p w14:paraId="381CD14F" w14:textId="77777777" w:rsidR="00D4363F" w:rsidRDefault="00D4363F" w:rsidP="00D4363F">
      <w:pPr>
        <w:jc w:val="right"/>
        <w:rPr>
          <w:rFonts w:cs="Arial"/>
          <w:rtl/>
        </w:rPr>
      </w:pPr>
      <w:r w:rsidRPr="00302271">
        <w:rPr>
          <w:lang w:val="es-ES"/>
        </w:rPr>
        <w:t>El Foro subraya la importancia de pasar de un enfoque general de políticas públicas a un enfoque basado en derechos humanos, que garantice la igualdad efectiva, la no discriminación y la plena participación</w:t>
      </w:r>
      <w:r>
        <w:rPr>
          <w:rFonts w:cs="Arial"/>
          <w:rtl/>
        </w:rPr>
        <w:t>.</w:t>
      </w:r>
    </w:p>
    <w:p w14:paraId="44969EDE" w14:textId="77777777" w:rsidR="00D4363F" w:rsidRDefault="00D4363F" w:rsidP="00D4363F">
      <w:pPr>
        <w:jc w:val="right"/>
        <w:rPr>
          <w:rFonts w:cs="Arial"/>
          <w:rtl/>
        </w:rPr>
      </w:pPr>
      <w:r>
        <w:rPr>
          <w:rFonts w:cs="Arial"/>
          <w:rtl/>
        </w:rPr>
        <w:t xml:space="preserve">1. </w:t>
      </w:r>
      <w:r w:rsidRPr="00302271">
        <w:rPr>
          <w:lang w:val="es-ES"/>
        </w:rPr>
        <w:t>Marco jurídico y obligaciones internacionales</w:t>
      </w:r>
    </w:p>
    <w:p w14:paraId="61598E87" w14:textId="77777777" w:rsidR="00D4363F" w:rsidRDefault="00D4363F" w:rsidP="00D4363F">
      <w:pPr>
        <w:jc w:val="right"/>
        <w:rPr>
          <w:rFonts w:cs="Arial"/>
          <w:rtl/>
        </w:rPr>
      </w:pPr>
      <w:r w:rsidRPr="00302271">
        <w:rPr>
          <w:lang w:val="es-ES"/>
        </w:rPr>
        <w:t>El Estado de Qatar, como Estado Parte en la Convención, está obligado a cumplir, entre otras, las siguientes disposiciones</w:t>
      </w:r>
      <w:r>
        <w:rPr>
          <w:rFonts w:cs="Arial"/>
          <w:rtl/>
        </w:rPr>
        <w:t>:</w:t>
      </w:r>
    </w:p>
    <w:p w14:paraId="43BDAFC1" w14:textId="77777777" w:rsidR="00D4363F" w:rsidRDefault="00D4363F" w:rsidP="00D4363F">
      <w:pPr>
        <w:jc w:val="right"/>
        <w:rPr>
          <w:rFonts w:cs="Arial"/>
          <w:rtl/>
        </w:rPr>
      </w:pPr>
      <w:r w:rsidRPr="00302271">
        <w:rPr>
          <w:lang w:val="es-ES"/>
        </w:rPr>
        <w:t>Artículo 5: Igualdad y no discriminación</w:t>
      </w:r>
    </w:p>
    <w:p w14:paraId="5F0C495E" w14:textId="77777777" w:rsidR="00D4363F" w:rsidRDefault="00D4363F" w:rsidP="00D4363F">
      <w:pPr>
        <w:jc w:val="right"/>
        <w:rPr>
          <w:rFonts w:cs="Arial"/>
          <w:rtl/>
        </w:rPr>
      </w:pPr>
      <w:r w:rsidRPr="00302271">
        <w:rPr>
          <w:lang w:val="es-ES"/>
        </w:rPr>
        <w:t>Artículo 9: Accesibilidad</w:t>
      </w:r>
    </w:p>
    <w:p w14:paraId="75677536" w14:textId="77777777" w:rsidR="00D4363F" w:rsidRDefault="00D4363F" w:rsidP="00D4363F">
      <w:pPr>
        <w:jc w:val="right"/>
        <w:rPr>
          <w:rFonts w:cs="Arial"/>
          <w:rtl/>
        </w:rPr>
      </w:pPr>
      <w:r w:rsidRPr="00302271">
        <w:rPr>
          <w:lang w:val="es-ES"/>
        </w:rPr>
        <w:t>Artículo 12: Reconocimiento de la personalidad jurídica</w:t>
      </w:r>
    </w:p>
    <w:p w14:paraId="1D087F32" w14:textId="77777777" w:rsidR="00D4363F" w:rsidRDefault="00D4363F" w:rsidP="00D4363F">
      <w:pPr>
        <w:jc w:val="right"/>
        <w:rPr>
          <w:rFonts w:cs="Arial"/>
          <w:rtl/>
        </w:rPr>
      </w:pPr>
      <w:r w:rsidRPr="00302271">
        <w:rPr>
          <w:lang w:val="es-ES"/>
        </w:rPr>
        <w:t>Artículo 24: Educación inclusiva</w:t>
      </w:r>
    </w:p>
    <w:p w14:paraId="6A046E43" w14:textId="77777777" w:rsidR="00D4363F" w:rsidRDefault="00D4363F" w:rsidP="00D4363F">
      <w:pPr>
        <w:jc w:val="right"/>
        <w:rPr>
          <w:rFonts w:cs="Arial"/>
          <w:rtl/>
        </w:rPr>
      </w:pPr>
      <w:r w:rsidRPr="00302271">
        <w:rPr>
          <w:lang w:val="es-ES"/>
        </w:rPr>
        <w:t>Artículo 27: Trabajo y empleo</w:t>
      </w:r>
    </w:p>
    <w:p w14:paraId="4706FD05" w14:textId="77777777" w:rsidR="00D4363F" w:rsidRDefault="00D4363F" w:rsidP="00D4363F">
      <w:pPr>
        <w:jc w:val="right"/>
        <w:rPr>
          <w:rFonts w:cs="Arial"/>
          <w:rtl/>
        </w:rPr>
      </w:pPr>
      <w:r w:rsidRPr="00302271">
        <w:rPr>
          <w:lang w:val="es-ES"/>
        </w:rPr>
        <w:t>Sin embargo, la aplicación práctica de estas obligaciones aún presenta importantes desafíos estructurales</w:t>
      </w:r>
      <w:r>
        <w:rPr>
          <w:rFonts w:cs="Arial"/>
          <w:rtl/>
        </w:rPr>
        <w:t>.</w:t>
      </w:r>
    </w:p>
    <w:p w14:paraId="72258C3E" w14:textId="77777777" w:rsidR="00D4363F" w:rsidRDefault="00D4363F" w:rsidP="00D4363F">
      <w:pPr>
        <w:jc w:val="right"/>
        <w:rPr>
          <w:rFonts w:cs="Arial"/>
          <w:rtl/>
        </w:rPr>
      </w:pPr>
      <w:r>
        <w:rPr>
          <w:rFonts w:cs="Arial"/>
          <w:rtl/>
        </w:rPr>
        <w:t xml:space="preserve">2. </w:t>
      </w:r>
      <w:r w:rsidRPr="00302271">
        <w:rPr>
          <w:lang w:val="es-ES"/>
        </w:rPr>
        <w:t>Principales áreas de preocupación</w:t>
      </w:r>
    </w:p>
    <w:p w14:paraId="25822827" w14:textId="77777777" w:rsidR="00D4363F" w:rsidRDefault="00D4363F" w:rsidP="00D4363F">
      <w:pPr>
        <w:jc w:val="right"/>
        <w:rPr>
          <w:rFonts w:cs="Arial"/>
          <w:rtl/>
        </w:rPr>
      </w:pPr>
      <w:r w:rsidRPr="00302271">
        <w:rPr>
          <w:lang w:val="es-ES"/>
        </w:rPr>
        <w:t>a. Accesibilidad (Artículo 9 CRPD)</w:t>
      </w:r>
    </w:p>
    <w:p w14:paraId="0D4B1CCA" w14:textId="77777777" w:rsidR="00D4363F" w:rsidRDefault="00D4363F" w:rsidP="00D4363F">
      <w:pPr>
        <w:jc w:val="right"/>
        <w:rPr>
          <w:rFonts w:cs="Arial"/>
          <w:rtl/>
        </w:rPr>
      </w:pPr>
      <w:r w:rsidRPr="00302271">
        <w:rPr>
          <w:lang w:val="es-ES"/>
        </w:rPr>
        <w:t>El Foro observa que persisten obstáculos en el acceso a</w:t>
      </w:r>
      <w:r>
        <w:rPr>
          <w:rFonts w:cs="Arial"/>
          <w:rtl/>
        </w:rPr>
        <w:t>:</w:t>
      </w:r>
    </w:p>
    <w:p w14:paraId="159C22D7" w14:textId="77777777" w:rsidR="00D4363F" w:rsidRDefault="00D4363F" w:rsidP="00D4363F">
      <w:pPr>
        <w:jc w:val="right"/>
        <w:rPr>
          <w:rFonts w:cs="Arial"/>
          <w:rtl/>
        </w:rPr>
      </w:pPr>
      <w:r w:rsidRPr="00302271">
        <w:rPr>
          <w:lang w:val="es-ES"/>
        </w:rPr>
        <w:t>Infraestructuras públicas</w:t>
      </w:r>
    </w:p>
    <w:p w14:paraId="21F14116" w14:textId="77777777" w:rsidR="00D4363F" w:rsidRDefault="00D4363F" w:rsidP="00D4363F">
      <w:pPr>
        <w:jc w:val="right"/>
        <w:rPr>
          <w:rFonts w:cs="Arial"/>
          <w:rtl/>
        </w:rPr>
      </w:pPr>
      <w:r w:rsidRPr="00302271">
        <w:rPr>
          <w:lang w:val="es-ES"/>
        </w:rPr>
        <w:t>Transporte</w:t>
      </w:r>
    </w:p>
    <w:p w14:paraId="3F5ABE90" w14:textId="77777777" w:rsidR="00D4363F" w:rsidRDefault="00D4363F" w:rsidP="00D4363F">
      <w:pPr>
        <w:jc w:val="right"/>
        <w:rPr>
          <w:rFonts w:cs="Arial"/>
          <w:rtl/>
        </w:rPr>
      </w:pPr>
      <w:r w:rsidRPr="00302271">
        <w:rPr>
          <w:lang w:val="es-ES"/>
        </w:rPr>
        <w:t>Servicios digitales</w:t>
      </w:r>
    </w:p>
    <w:p w14:paraId="174D5E6D" w14:textId="77777777" w:rsidR="00D4363F" w:rsidRDefault="00D4363F" w:rsidP="00D4363F">
      <w:pPr>
        <w:jc w:val="right"/>
        <w:rPr>
          <w:rFonts w:cs="Arial"/>
          <w:rtl/>
        </w:rPr>
      </w:pPr>
      <w:r w:rsidRPr="00302271">
        <w:rPr>
          <w:lang w:val="es-ES"/>
        </w:rPr>
        <w:t>lo que limita la participación plena de las personas con discapacidad en la vida pública</w:t>
      </w:r>
      <w:r>
        <w:rPr>
          <w:rFonts w:cs="Arial"/>
          <w:rtl/>
        </w:rPr>
        <w:t>.</w:t>
      </w:r>
    </w:p>
    <w:p w14:paraId="0E2C3359" w14:textId="77777777" w:rsidR="00D4363F" w:rsidRDefault="00D4363F" w:rsidP="00D4363F">
      <w:pPr>
        <w:jc w:val="right"/>
        <w:rPr>
          <w:rFonts w:cs="Arial"/>
          <w:rtl/>
        </w:rPr>
      </w:pPr>
      <w:r w:rsidRPr="00302271">
        <w:rPr>
          <w:lang w:val="es-ES"/>
        </w:rPr>
        <w:t>b. Derecho al trabajo (Artículo 27 CRPD)</w:t>
      </w:r>
    </w:p>
    <w:p w14:paraId="50BA9634" w14:textId="77777777" w:rsidR="00D4363F" w:rsidRDefault="00D4363F" w:rsidP="00D4363F">
      <w:pPr>
        <w:jc w:val="right"/>
        <w:rPr>
          <w:rFonts w:cs="Arial"/>
          <w:rtl/>
        </w:rPr>
      </w:pPr>
      <w:r w:rsidRPr="00302271">
        <w:rPr>
          <w:lang w:val="es-ES"/>
        </w:rPr>
        <w:t>A pesar de ciertas iniciativas, la inclusión de las personas con discapacidad en el mercado laboral sigue siendo limitada, con ausencia de medidas efectivas de acción positiva</w:t>
      </w:r>
      <w:r>
        <w:rPr>
          <w:rFonts w:cs="Arial"/>
          <w:rtl/>
        </w:rPr>
        <w:t>.</w:t>
      </w:r>
    </w:p>
    <w:p w14:paraId="21211D90" w14:textId="77777777" w:rsidR="00D4363F" w:rsidRDefault="00D4363F" w:rsidP="00D4363F">
      <w:pPr>
        <w:jc w:val="right"/>
        <w:rPr>
          <w:rFonts w:cs="Arial"/>
          <w:rtl/>
        </w:rPr>
      </w:pPr>
      <w:r w:rsidRPr="00302271">
        <w:rPr>
          <w:lang w:val="es-ES"/>
        </w:rPr>
        <w:t>c. Educación inclusiva (Artículo 24 CRPD)</w:t>
      </w:r>
    </w:p>
    <w:p w14:paraId="0E77DA88" w14:textId="77777777" w:rsidR="00D4363F" w:rsidRDefault="00D4363F" w:rsidP="00D4363F">
      <w:pPr>
        <w:jc w:val="right"/>
        <w:rPr>
          <w:rFonts w:cs="Arial"/>
          <w:rtl/>
        </w:rPr>
      </w:pPr>
      <w:r w:rsidRPr="00302271">
        <w:rPr>
          <w:lang w:val="es-ES"/>
        </w:rPr>
        <w:lastRenderedPageBreak/>
        <w:t>La generalización de la educación inclusiva sigue enfrentando dificultades relacionadas con</w:t>
      </w:r>
      <w:r>
        <w:rPr>
          <w:rFonts w:cs="Arial"/>
          <w:rtl/>
        </w:rPr>
        <w:t>:</w:t>
      </w:r>
    </w:p>
    <w:p w14:paraId="2707563E" w14:textId="77777777" w:rsidR="00D4363F" w:rsidRDefault="00D4363F" w:rsidP="00D4363F">
      <w:pPr>
        <w:jc w:val="right"/>
        <w:rPr>
          <w:rFonts w:cs="Arial"/>
          <w:rtl/>
        </w:rPr>
      </w:pPr>
      <w:r w:rsidRPr="00302271">
        <w:rPr>
          <w:lang w:val="es-ES"/>
        </w:rPr>
        <w:t>Falta de personal especializado</w:t>
      </w:r>
    </w:p>
    <w:p w14:paraId="5F846343" w14:textId="77777777" w:rsidR="00D4363F" w:rsidRDefault="00D4363F" w:rsidP="00D4363F">
      <w:pPr>
        <w:jc w:val="right"/>
        <w:rPr>
          <w:rFonts w:cs="Arial"/>
          <w:rtl/>
        </w:rPr>
      </w:pPr>
      <w:r w:rsidRPr="00302271">
        <w:rPr>
          <w:lang w:val="es-ES"/>
        </w:rPr>
        <w:t>Insuficiente adaptación pedagógica</w:t>
      </w:r>
    </w:p>
    <w:p w14:paraId="74E0D9E7" w14:textId="77777777" w:rsidR="00D4363F" w:rsidRDefault="00D4363F" w:rsidP="00D4363F">
      <w:pPr>
        <w:jc w:val="right"/>
        <w:rPr>
          <w:rFonts w:cs="Arial"/>
          <w:rtl/>
        </w:rPr>
      </w:pPr>
      <w:r w:rsidRPr="00302271">
        <w:rPr>
          <w:lang w:val="es-ES"/>
        </w:rPr>
        <w:t>Recursos limitados en instituciones educativas</w:t>
      </w:r>
    </w:p>
    <w:p w14:paraId="71146794" w14:textId="77777777" w:rsidR="00D4363F" w:rsidRDefault="00D4363F" w:rsidP="00D4363F">
      <w:pPr>
        <w:jc w:val="right"/>
        <w:rPr>
          <w:rFonts w:cs="Arial"/>
          <w:rtl/>
        </w:rPr>
      </w:pPr>
      <w:r w:rsidRPr="00302271">
        <w:rPr>
          <w:lang w:val="es-ES"/>
        </w:rPr>
        <w:t>d. Reconocimiento de la capacidad jurídica (Artículo 12 CRPD)</w:t>
      </w:r>
    </w:p>
    <w:p w14:paraId="36D691ED" w14:textId="77777777" w:rsidR="00D4363F" w:rsidRDefault="00D4363F" w:rsidP="00D4363F">
      <w:pPr>
        <w:jc w:val="right"/>
        <w:rPr>
          <w:rFonts w:cs="Arial"/>
          <w:rtl/>
        </w:rPr>
      </w:pPr>
      <w:r w:rsidRPr="00302271">
        <w:rPr>
          <w:lang w:val="es-ES"/>
        </w:rPr>
        <w:t>El Foro expresa su preocupación por la existencia de prácticas que pueden limitar el reconocimiento pleno de las personas con discapacidad como sujetos de derechos con plena capacidad jurídica</w:t>
      </w:r>
      <w:r>
        <w:rPr>
          <w:rFonts w:cs="Arial"/>
          <w:rtl/>
        </w:rPr>
        <w:t>.</w:t>
      </w:r>
    </w:p>
    <w:p w14:paraId="60A8FFFF" w14:textId="77777777" w:rsidR="00D4363F" w:rsidRDefault="00D4363F" w:rsidP="00D4363F">
      <w:pPr>
        <w:jc w:val="right"/>
        <w:rPr>
          <w:rFonts w:cs="Arial"/>
          <w:rtl/>
        </w:rPr>
      </w:pPr>
      <w:r w:rsidRPr="00302271">
        <w:rPr>
          <w:lang w:val="es-ES"/>
        </w:rPr>
        <w:t>e. Discriminación interseccional</w:t>
      </w:r>
    </w:p>
    <w:p w14:paraId="4E71BDBE" w14:textId="77777777" w:rsidR="00D4363F" w:rsidRDefault="00D4363F" w:rsidP="00D4363F">
      <w:pPr>
        <w:jc w:val="right"/>
        <w:rPr>
          <w:rFonts w:cs="Arial"/>
          <w:rtl/>
        </w:rPr>
      </w:pPr>
      <w:r w:rsidRPr="00302271">
        <w:rPr>
          <w:lang w:val="es-ES"/>
        </w:rPr>
        <w:t>Las mujeres y niñas con discapacidad, así como las personas con discapacidad migrantes, enfrentan formas múltiples y agravadas de discriminación</w:t>
      </w:r>
      <w:r>
        <w:rPr>
          <w:rFonts w:cs="Arial"/>
          <w:rtl/>
        </w:rPr>
        <w:t>.</w:t>
      </w:r>
    </w:p>
    <w:p w14:paraId="7C88EF45" w14:textId="77777777" w:rsidR="00D4363F" w:rsidRDefault="00D4363F" w:rsidP="00D4363F">
      <w:pPr>
        <w:jc w:val="right"/>
        <w:rPr>
          <w:rFonts w:cs="Arial"/>
          <w:rtl/>
        </w:rPr>
      </w:pPr>
      <w:r>
        <w:rPr>
          <w:rFonts w:cs="Arial"/>
          <w:rtl/>
        </w:rPr>
        <w:t xml:space="preserve">3. </w:t>
      </w:r>
      <w:r w:rsidRPr="00302271">
        <w:rPr>
          <w:lang w:val="es-ES"/>
        </w:rPr>
        <w:t>Recomendaciones</w:t>
      </w:r>
    </w:p>
    <w:p w14:paraId="2C5034AF" w14:textId="77777777" w:rsidR="00D4363F" w:rsidRDefault="00D4363F" w:rsidP="00D4363F">
      <w:pPr>
        <w:jc w:val="right"/>
        <w:rPr>
          <w:rFonts w:cs="Arial"/>
          <w:rtl/>
        </w:rPr>
      </w:pPr>
      <w:r w:rsidRPr="00302271">
        <w:rPr>
          <w:lang w:val="es-ES"/>
        </w:rPr>
        <w:t>El Foro Mediterráneo para la Promoción de los Derechos del Ciudadano recomienda al Estado de Qatar</w:t>
      </w:r>
      <w:r>
        <w:rPr>
          <w:rFonts w:cs="Arial"/>
          <w:rtl/>
        </w:rPr>
        <w:t>:</w:t>
      </w:r>
    </w:p>
    <w:p w14:paraId="1C01F8C4" w14:textId="77777777" w:rsidR="00D4363F" w:rsidRDefault="00D4363F" w:rsidP="00D4363F">
      <w:pPr>
        <w:jc w:val="right"/>
        <w:rPr>
          <w:rFonts w:cs="Arial"/>
          <w:rtl/>
        </w:rPr>
      </w:pPr>
      <w:r w:rsidRPr="00302271">
        <w:rPr>
          <w:lang w:val="es-ES"/>
        </w:rPr>
        <w:t>Fortalecer la implementación del Artículo 9 CRPD, garantizando accesibilidad universal en todos los espacios públicos y privados</w:t>
      </w:r>
      <w:r>
        <w:rPr>
          <w:rFonts w:cs="Arial"/>
          <w:rtl/>
        </w:rPr>
        <w:t>.</w:t>
      </w:r>
    </w:p>
    <w:p w14:paraId="12B12CDB" w14:textId="77777777" w:rsidR="00D4363F" w:rsidRDefault="00D4363F" w:rsidP="00D4363F">
      <w:pPr>
        <w:jc w:val="right"/>
        <w:rPr>
          <w:rFonts w:cs="Arial"/>
          <w:rtl/>
        </w:rPr>
      </w:pPr>
      <w:r w:rsidRPr="00302271">
        <w:rPr>
          <w:lang w:val="es-ES"/>
        </w:rPr>
        <w:t>Aplicar efectivamente el Artículo 27 CRPD, mediante políticas de empleo inclusivas y medidas de acción positiva</w:t>
      </w:r>
      <w:r>
        <w:rPr>
          <w:rFonts w:cs="Arial"/>
          <w:rtl/>
        </w:rPr>
        <w:t>.</w:t>
      </w:r>
    </w:p>
    <w:p w14:paraId="32128322" w14:textId="77777777" w:rsidR="00D4363F" w:rsidRDefault="00D4363F" w:rsidP="00D4363F">
      <w:pPr>
        <w:jc w:val="right"/>
        <w:rPr>
          <w:rFonts w:cs="Arial"/>
          <w:rtl/>
        </w:rPr>
      </w:pPr>
      <w:r w:rsidRPr="00302271">
        <w:rPr>
          <w:lang w:val="es-ES"/>
        </w:rPr>
        <w:t>Acelerar la implementación del Artículo 24 CRPD, asegurando un sistema de educación inclusiva con recursos adecuados</w:t>
      </w:r>
      <w:r>
        <w:rPr>
          <w:rFonts w:cs="Arial"/>
          <w:rtl/>
        </w:rPr>
        <w:t>.</w:t>
      </w:r>
    </w:p>
    <w:p w14:paraId="0B3D8453" w14:textId="77777777" w:rsidR="00D4363F" w:rsidRDefault="00D4363F" w:rsidP="00D4363F">
      <w:pPr>
        <w:jc w:val="right"/>
        <w:rPr>
          <w:rFonts w:cs="Arial"/>
          <w:rtl/>
        </w:rPr>
      </w:pPr>
      <w:r w:rsidRPr="00302271">
        <w:rPr>
          <w:lang w:val="es-ES"/>
        </w:rPr>
        <w:t>Armonizar la legislación nacional con el Artículo 12 CRPD, garantizando el reconocimiento pleno de la capacidad jurídica</w:t>
      </w:r>
      <w:r>
        <w:rPr>
          <w:rFonts w:cs="Arial"/>
          <w:rtl/>
        </w:rPr>
        <w:t>.</w:t>
      </w:r>
    </w:p>
    <w:p w14:paraId="520A16E1" w14:textId="77777777" w:rsidR="00D4363F" w:rsidRDefault="00D4363F" w:rsidP="00D4363F">
      <w:pPr>
        <w:jc w:val="right"/>
        <w:rPr>
          <w:rFonts w:cs="Arial"/>
          <w:rtl/>
        </w:rPr>
      </w:pPr>
      <w:r w:rsidRPr="00302271">
        <w:rPr>
          <w:lang w:val="es-ES"/>
        </w:rPr>
        <w:t>Reforzar la protección contra la discriminación múltiple, especialmente hacia mujeres y niñas con discapacidad</w:t>
      </w:r>
      <w:r>
        <w:rPr>
          <w:rFonts w:cs="Arial"/>
          <w:rtl/>
        </w:rPr>
        <w:t>.</w:t>
      </w:r>
    </w:p>
    <w:p w14:paraId="681C8E74" w14:textId="77777777" w:rsidR="00D4363F" w:rsidRDefault="00D4363F" w:rsidP="00D4363F">
      <w:pPr>
        <w:jc w:val="right"/>
        <w:rPr>
          <w:rFonts w:cs="Arial"/>
          <w:rtl/>
        </w:rPr>
      </w:pPr>
      <w:r w:rsidRPr="00302271">
        <w:rPr>
          <w:lang w:val="es-ES"/>
        </w:rPr>
        <w:t>Garantizar la participación efectiva de las organizaciones de personas con discapacidad en la elaboración y evaluación de políticas públicas</w:t>
      </w:r>
      <w:r>
        <w:rPr>
          <w:rFonts w:cs="Arial"/>
          <w:rtl/>
        </w:rPr>
        <w:t>.</w:t>
      </w:r>
    </w:p>
    <w:p w14:paraId="2A91D461" w14:textId="77777777" w:rsidR="00D4363F" w:rsidRDefault="00D4363F" w:rsidP="00D4363F">
      <w:pPr>
        <w:jc w:val="right"/>
        <w:rPr>
          <w:rFonts w:cs="Arial"/>
          <w:rtl/>
        </w:rPr>
      </w:pPr>
      <w:r>
        <w:rPr>
          <w:rFonts w:cs="Arial"/>
          <w:rtl/>
        </w:rPr>
        <w:t xml:space="preserve">4. </w:t>
      </w:r>
      <w:r w:rsidRPr="00302271">
        <w:rPr>
          <w:lang w:val="es-ES"/>
        </w:rPr>
        <w:t>Cooperación con mecanismos internacionales</w:t>
      </w:r>
    </w:p>
    <w:p w14:paraId="378D57B8" w14:textId="77777777" w:rsidR="00D4363F" w:rsidRDefault="00D4363F" w:rsidP="00D4363F">
      <w:pPr>
        <w:jc w:val="right"/>
        <w:rPr>
          <w:rFonts w:cs="Arial"/>
          <w:rtl/>
        </w:rPr>
      </w:pPr>
      <w:r w:rsidRPr="00302271">
        <w:rPr>
          <w:lang w:val="es-ES"/>
        </w:rPr>
        <w:t xml:space="preserve">El Foro insta al Estado de Qatar a fortalecer su cooperación con el Comité CRPD de las Naciones Unidas, mediante informes transparentes y la </w:t>
      </w:r>
      <w:proofErr w:type="gramStart"/>
      <w:r w:rsidRPr="00302271">
        <w:rPr>
          <w:lang w:val="es-ES"/>
        </w:rPr>
        <w:t>participación activa</w:t>
      </w:r>
      <w:proofErr w:type="gramEnd"/>
      <w:r w:rsidRPr="00302271">
        <w:rPr>
          <w:lang w:val="es-ES"/>
        </w:rPr>
        <w:t xml:space="preserve"> de la sociedad civil en el seguimiento de la Convención</w:t>
      </w:r>
      <w:r>
        <w:rPr>
          <w:rFonts w:cs="Arial"/>
          <w:rtl/>
        </w:rPr>
        <w:t>.</w:t>
      </w:r>
    </w:p>
    <w:p w14:paraId="446AF673" w14:textId="77777777" w:rsidR="00D4363F" w:rsidRDefault="00D4363F" w:rsidP="00D4363F">
      <w:pPr>
        <w:jc w:val="right"/>
        <w:rPr>
          <w:rFonts w:cs="Arial"/>
          <w:rtl/>
        </w:rPr>
      </w:pPr>
      <w:r>
        <w:rPr>
          <w:rFonts w:ascii="Segoe UI Emoji" w:hAnsi="Segoe UI Emoji" w:cs="Segoe UI Emoji"/>
        </w:rPr>
        <w:t>🟥</w:t>
      </w:r>
      <w:r w:rsidRPr="00302271">
        <w:rPr>
          <w:lang w:val="es-ES"/>
        </w:rPr>
        <w:t xml:space="preserve"> Conclusión</w:t>
      </w:r>
    </w:p>
    <w:p w14:paraId="567D73FD" w14:textId="77777777" w:rsidR="00D4363F" w:rsidRPr="00302271" w:rsidRDefault="00D4363F" w:rsidP="00D4363F">
      <w:pPr>
        <w:jc w:val="right"/>
        <w:rPr>
          <w:lang w:val="es-ES"/>
        </w:rPr>
      </w:pPr>
      <w:r w:rsidRPr="00302271">
        <w:rPr>
          <w:lang w:val="es-ES"/>
        </w:rPr>
        <w:lastRenderedPageBreak/>
        <w:t>El Foro considera que la plena aplicación de la Convención, basada en un enfoque de derechos humanos y no de asistencia, es esencial para garantizar la inclusión real y la igualdad efectiva de las personas con discapacidad en el Estado de Qatar</w:t>
      </w:r>
      <w:r>
        <w:rPr>
          <w:rFonts w:cs="Arial"/>
          <w:rtl/>
        </w:rPr>
        <w:t>.</w:t>
      </w:r>
    </w:p>
    <w:sectPr w:rsidR="00D4363F" w:rsidRPr="00302271" w:rsidSect="00DA136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721C9" w14:textId="77777777" w:rsidR="00AF41A4" w:rsidRDefault="00AF41A4">
      <w:pPr>
        <w:spacing w:after="0" w:line="240" w:lineRule="auto"/>
      </w:pPr>
    </w:p>
  </w:endnote>
  <w:endnote w:type="continuationSeparator" w:id="0">
    <w:p w14:paraId="40C45584" w14:textId="77777777" w:rsidR="00AF41A4" w:rsidRDefault="00AF41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69E65" w14:textId="77777777" w:rsidR="00AF41A4" w:rsidRDefault="00AF41A4">
      <w:pPr>
        <w:spacing w:after="0" w:line="240" w:lineRule="auto"/>
      </w:pPr>
    </w:p>
  </w:footnote>
  <w:footnote w:type="continuationSeparator" w:id="0">
    <w:p w14:paraId="4BE2E700" w14:textId="77777777" w:rsidR="00AF41A4" w:rsidRDefault="00AF41A4">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63F"/>
    <w:rsid w:val="001F468D"/>
    <w:rsid w:val="00302271"/>
    <w:rsid w:val="003F757E"/>
    <w:rsid w:val="00793F43"/>
    <w:rsid w:val="00AB3C1D"/>
    <w:rsid w:val="00AF41A4"/>
    <w:rsid w:val="00C779B6"/>
    <w:rsid w:val="00D3616D"/>
    <w:rsid w:val="00D4363F"/>
    <w:rsid w:val="00DA1369"/>
    <w:rsid w:val="00E063D4"/>
    <w:rsid w:val="00F77E5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3C47DA"/>
  <w15:chartTrackingRefBased/>
  <w15:docId w15:val="{3E61FEB2-7437-4C4D-862B-9077279EC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436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36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36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36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36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36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36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36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36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6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36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36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36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36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36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36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36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363F"/>
    <w:rPr>
      <w:rFonts w:eastAsiaTheme="majorEastAsia" w:cstheme="majorBidi"/>
      <w:color w:val="272727" w:themeColor="text1" w:themeTint="D8"/>
    </w:rPr>
  </w:style>
  <w:style w:type="paragraph" w:styleId="Title">
    <w:name w:val="Title"/>
    <w:basedOn w:val="Normal"/>
    <w:next w:val="Normal"/>
    <w:link w:val="TitleChar"/>
    <w:uiPriority w:val="10"/>
    <w:qFormat/>
    <w:rsid w:val="00D436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36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36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36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363F"/>
    <w:pPr>
      <w:spacing w:before="160"/>
      <w:jc w:val="center"/>
    </w:pPr>
    <w:rPr>
      <w:i/>
      <w:iCs/>
      <w:color w:val="404040" w:themeColor="text1" w:themeTint="BF"/>
    </w:rPr>
  </w:style>
  <w:style w:type="character" w:customStyle="1" w:styleId="QuoteChar">
    <w:name w:val="Quote Char"/>
    <w:basedOn w:val="DefaultParagraphFont"/>
    <w:link w:val="Quote"/>
    <w:uiPriority w:val="29"/>
    <w:rsid w:val="00D4363F"/>
    <w:rPr>
      <w:i/>
      <w:iCs/>
      <w:color w:val="404040" w:themeColor="text1" w:themeTint="BF"/>
    </w:rPr>
  </w:style>
  <w:style w:type="paragraph" w:styleId="ListParagraph">
    <w:name w:val="List Paragraph"/>
    <w:basedOn w:val="Normal"/>
    <w:uiPriority w:val="34"/>
    <w:qFormat/>
    <w:rsid w:val="00D4363F"/>
    <w:pPr>
      <w:ind w:left="720"/>
      <w:contextualSpacing/>
    </w:pPr>
  </w:style>
  <w:style w:type="character" w:styleId="IntenseEmphasis">
    <w:name w:val="Intense Emphasis"/>
    <w:basedOn w:val="DefaultParagraphFont"/>
    <w:uiPriority w:val="21"/>
    <w:qFormat/>
    <w:rsid w:val="00D4363F"/>
    <w:rPr>
      <w:i/>
      <w:iCs/>
      <w:color w:val="0F4761" w:themeColor="accent1" w:themeShade="BF"/>
    </w:rPr>
  </w:style>
  <w:style w:type="paragraph" w:styleId="IntenseQuote">
    <w:name w:val="Intense Quote"/>
    <w:basedOn w:val="Normal"/>
    <w:next w:val="Normal"/>
    <w:link w:val="IntenseQuoteChar"/>
    <w:uiPriority w:val="30"/>
    <w:qFormat/>
    <w:rsid w:val="00D436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363F"/>
    <w:rPr>
      <w:i/>
      <w:iCs/>
      <w:color w:val="0F4761" w:themeColor="accent1" w:themeShade="BF"/>
    </w:rPr>
  </w:style>
  <w:style w:type="character" w:styleId="IntenseReference">
    <w:name w:val="Intense Reference"/>
    <w:basedOn w:val="DefaultParagraphFont"/>
    <w:uiPriority w:val="32"/>
    <w:qFormat/>
    <w:rsid w:val="00D4363F"/>
    <w:rPr>
      <w:b/>
      <w:bCs/>
      <w:smallCaps/>
      <w:color w:val="0F4761" w:themeColor="accent1" w:themeShade="BF"/>
      <w:spacing w:val="5"/>
    </w:rPr>
  </w:style>
  <w:style w:type="paragraph" w:styleId="Header">
    <w:name w:val="header"/>
    <w:basedOn w:val="Normal"/>
    <w:link w:val="HeaderChar"/>
    <w:uiPriority w:val="99"/>
    <w:unhideWhenUsed/>
    <w:rsid w:val="00F77E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E52"/>
  </w:style>
  <w:style w:type="paragraph" w:styleId="Footer">
    <w:name w:val="footer"/>
    <w:basedOn w:val="Normal"/>
    <w:link w:val="FooterChar"/>
    <w:uiPriority w:val="99"/>
    <w:unhideWhenUsed/>
    <w:rsid w:val="00F77E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2026-07-13T07:52:46+00:00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738E70F-8E4E-49D7-9E61-2342E2D11D91}">
  <ds:schemaRefs>
    <ds:schemaRef ds:uri="http://schemas.microsoft.com/sharepoint/v3/contenttype/forms"/>
  </ds:schemaRefs>
</ds:datastoreItem>
</file>

<file path=customXml/itemProps2.xml><?xml version="1.0" encoding="utf-8"?>
<ds:datastoreItem xmlns:ds="http://schemas.openxmlformats.org/officeDocument/2006/customXml" ds:itemID="{2B7DC5F3-1AD3-4469-802F-2C3E003012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A4BFBF-5F25-4DAD-BB9A-4A82E4048FD1}">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528</Words>
  <Characters>3013</Characters>
  <Application>Microsoft Office Word</Application>
  <DocSecurity>0</DocSecurity>
  <Lines>25</Lines>
  <Paragraphs>7</Paragraphs>
  <ScaleCrop>false</ScaleCrop>
  <Company/>
  <LinksUpToDate>false</LinksUpToDate>
  <CharactersWithSpaces>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مراد لفقيهن</dc:creator>
  <cp:keywords/>
  <dc:description/>
  <cp:lastModifiedBy>Robert OUKO</cp:lastModifiedBy>
  <cp:revision>3</cp:revision>
  <dcterms:created xsi:type="dcterms:W3CDTF">2026-07-13T07:52:00Z</dcterms:created>
  <dcterms:modified xsi:type="dcterms:W3CDTF">2026-08-14T10:42:00Z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docLang">
    <vt:lpwstr>es</vt:lpwstr>
  </property>
  <property fmtid="{D5CDD505-2E9C-101B-9397-08002B2CF9AE}" pid="4" name="MediaServiceImageTags">
    <vt:lpwstr/>
  </property>
</Properties>
</file>