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D358C8" w14:textId="6CC3920B" w:rsidR="00615E7B" w:rsidRDefault="00615E7B" w:rsidP="00615E7B">
      <w:pPr>
        <w:jc w:val="center"/>
        <w:rPr>
          <w:rFonts w:ascii="Times New Roman" w:hAnsi="Times New Roman" w:cs="Times New Roman"/>
          <w:b/>
          <w:bCs/>
          <w:color w:val="FF0000"/>
          <w:sz w:val="28"/>
          <w:szCs w:val="28"/>
        </w:rPr>
      </w:pPr>
      <w:r w:rsidRPr="00615E7B">
        <w:rPr>
          <w:rFonts w:ascii="Times New Roman" w:hAnsi="Times New Roman" w:cs="Times New Roman"/>
          <w:b/>
          <w:bCs/>
          <w:color w:val="2F5496" w:themeColor="accent5" w:themeShade="BF"/>
          <w:sz w:val="28"/>
          <w:szCs w:val="28"/>
        </w:rPr>
        <w:t xml:space="preserve">Maat </w:t>
      </w:r>
      <w:r>
        <w:rPr>
          <w:rFonts w:ascii="Times New Roman" w:hAnsi="Times New Roman" w:cs="Times New Roman"/>
          <w:b/>
          <w:bCs/>
          <w:color w:val="2F5496" w:themeColor="accent5" w:themeShade="BF"/>
          <w:sz w:val="28"/>
          <w:szCs w:val="28"/>
        </w:rPr>
        <w:t xml:space="preserve">for Peace’ </w:t>
      </w:r>
      <w:r w:rsidRPr="00615E7B">
        <w:rPr>
          <w:rFonts w:ascii="Times New Roman" w:hAnsi="Times New Roman" w:cs="Times New Roman"/>
          <w:b/>
          <w:bCs/>
          <w:color w:val="2F5496" w:themeColor="accent5" w:themeShade="BF"/>
          <w:sz w:val="28"/>
          <w:szCs w:val="28"/>
        </w:rPr>
        <w:t xml:space="preserve">Report to </w:t>
      </w:r>
      <w:r>
        <w:rPr>
          <w:rFonts w:ascii="Times New Roman" w:hAnsi="Times New Roman" w:cs="Times New Roman"/>
          <w:b/>
          <w:bCs/>
          <w:color w:val="2F5496" w:themeColor="accent5" w:themeShade="BF"/>
          <w:sz w:val="28"/>
          <w:szCs w:val="28"/>
        </w:rPr>
        <w:t xml:space="preserve">The </w:t>
      </w:r>
      <w:r w:rsidRPr="00615E7B">
        <w:rPr>
          <w:rFonts w:ascii="Times New Roman" w:hAnsi="Times New Roman" w:cs="Times New Roman"/>
          <w:b/>
          <w:bCs/>
          <w:color w:val="2F5496" w:themeColor="accent5" w:themeShade="BF"/>
          <w:sz w:val="28"/>
          <w:szCs w:val="28"/>
        </w:rPr>
        <w:t xml:space="preserve">United Nations Human Rights Committee on </w:t>
      </w:r>
      <w:r w:rsidRPr="00615E7B">
        <w:rPr>
          <w:rFonts w:ascii="Times New Roman" w:hAnsi="Times New Roman" w:cs="Times New Roman"/>
          <w:b/>
          <w:bCs/>
          <w:color w:val="FF0000"/>
          <w:sz w:val="28"/>
          <w:szCs w:val="28"/>
        </w:rPr>
        <w:t>The Hashemite Kingdom of Jordan</w:t>
      </w:r>
    </w:p>
    <w:p w14:paraId="3AACE996" w14:textId="2FC5B5B1" w:rsidR="00615E7B" w:rsidRPr="00615E7B" w:rsidRDefault="00615E7B" w:rsidP="00615E7B">
      <w:pPr>
        <w:pBdr>
          <w:bottom w:val="single" w:sz="18" w:space="1" w:color="auto"/>
        </w:pBdr>
        <w:jc w:val="center"/>
        <w:rPr>
          <w:rFonts w:ascii="Times New Roman" w:hAnsi="Times New Roman" w:cs="Times New Roman"/>
          <w:b/>
          <w:bCs/>
          <w:sz w:val="24"/>
          <w:szCs w:val="24"/>
        </w:rPr>
      </w:pPr>
      <w:r w:rsidRPr="00615E7B">
        <w:rPr>
          <w:rFonts w:ascii="Times New Roman" w:hAnsi="Times New Roman" w:cs="Times New Roman"/>
          <w:b/>
          <w:bCs/>
          <w:sz w:val="24"/>
          <w:szCs w:val="24"/>
        </w:rPr>
        <w:t>January 2025</w:t>
      </w:r>
    </w:p>
    <w:p w14:paraId="6A01EA30" w14:textId="77777777" w:rsidR="00615E7B" w:rsidRPr="00615E7B" w:rsidRDefault="00615E7B" w:rsidP="00615E7B">
      <w:pPr>
        <w:jc w:val="both"/>
        <w:rPr>
          <w:rFonts w:ascii="Times New Roman" w:hAnsi="Times New Roman" w:cs="Times New Roman"/>
          <w:sz w:val="24"/>
          <w:szCs w:val="24"/>
        </w:rPr>
      </w:pPr>
      <w:r w:rsidRPr="00615E7B">
        <w:rPr>
          <w:rFonts w:ascii="Times New Roman" w:hAnsi="Times New Roman" w:cs="Times New Roman"/>
          <w:sz w:val="24"/>
          <w:szCs w:val="24"/>
        </w:rPr>
        <w:t>Jordan signed the International Covenant on Civil and Political Rights (CCPR), referred to throughout this report as the “Covenant,” on June 30, 1972, and ratified it on May 28, 1975. By virtue of this ratification, Jordan is committed to protecting and promoting the civil and political rights of all its citizens and foreign residents within its territory without any form of discrimination. Jordan is obligated to submit periodic reports to the United Nations Human Rights Committee (referred to as the “Committee”) to clarify the extent of its implementation of the obligations stipulated in the Covenant. However, these reports have been submitted irregularly and with significant delays; the last periodic report, the fifth, was submitted in July 2016, although its original submission date was set for October 2014.</w:t>
      </w:r>
      <w:r w:rsidRPr="00615E7B">
        <w:rPr>
          <w:rStyle w:val="FootnoteReference"/>
          <w:rFonts w:ascii="Times New Roman" w:hAnsi="Times New Roman" w:cs="Times New Roman"/>
          <w:sz w:val="24"/>
          <w:szCs w:val="24"/>
        </w:rPr>
        <w:footnoteReference w:id="1"/>
      </w:r>
    </w:p>
    <w:p w14:paraId="66822540" w14:textId="77777777" w:rsidR="00615E7B" w:rsidRPr="00615E7B" w:rsidRDefault="00615E7B" w:rsidP="00615E7B">
      <w:pPr>
        <w:jc w:val="both"/>
        <w:rPr>
          <w:rFonts w:ascii="Times New Roman" w:hAnsi="Times New Roman" w:cs="Times New Roman"/>
          <w:sz w:val="24"/>
          <w:szCs w:val="24"/>
        </w:rPr>
      </w:pPr>
      <w:r w:rsidRPr="00615E7B">
        <w:rPr>
          <w:rFonts w:ascii="Times New Roman" w:hAnsi="Times New Roman" w:cs="Times New Roman"/>
          <w:sz w:val="24"/>
          <w:szCs w:val="24"/>
        </w:rPr>
        <w:t>Despite efforts in this regard, Jordan has faced increasing criticism in recent years regarding violations of the civil and political rights of citizens and foreign residents, resulting from certain policies and practices adopted by the authorities. In this context, Maat for Peace, Development and Human Rights submits this report to the Human Rights Committee, coinciding with Jordan’s inclusion among the target countries required to submit a list of issues prior to reporting during the Committee’s 143rd session, scheduled to take place from March 3 to 28, 2025.</w:t>
      </w:r>
      <w:r w:rsidRPr="00615E7B">
        <w:rPr>
          <w:rStyle w:val="FootnoteReference"/>
          <w:rFonts w:ascii="Times New Roman" w:hAnsi="Times New Roman" w:cs="Times New Roman"/>
          <w:sz w:val="24"/>
          <w:szCs w:val="24"/>
        </w:rPr>
        <w:footnoteReference w:id="2"/>
      </w:r>
      <w:r w:rsidRPr="00615E7B">
        <w:rPr>
          <w:rFonts w:ascii="Times New Roman" w:hAnsi="Times New Roman" w:cs="Times New Roman"/>
          <w:sz w:val="24"/>
          <w:szCs w:val="24"/>
        </w:rPr>
        <w:t xml:space="preserve"> This report focuses on assessing Jordan’s compliance with the provisions of the Covenant, highlighting significant shortcomings, and providing specific recommendations to address them. It also aims to support the Committee in conducting an objective assessment of Jordan’s situation during the upcoming session.</w:t>
      </w:r>
    </w:p>
    <w:p w14:paraId="29DC0515" w14:textId="77777777" w:rsidR="00615E7B" w:rsidRPr="00615E7B" w:rsidRDefault="00615E7B" w:rsidP="00615E7B">
      <w:pPr>
        <w:jc w:val="both"/>
        <w:rPr>
          <w:rFonts w:ascii="Times New Roman" w:hAnsi="Times New Roman" w:cs="Times New Roman"/>
          <w:b/>
          <w:bCs/>
          <w:color w:val="ED0000"/>
          <w:sz w:val="28"/>
          <w:szCs w:val="28"/>
        </w:rPr>
      </w:pPr>
      <w:r w:rsidRPr="00615E7B">
        <w:rPr>
          <w:rFonts w:ascii="Times New Roman" w:hAnsi="Times New Roman" w:cs="Times New Roman"/>
          <w:b/>
          <w:bCs/>
          <w:color w:val="ED0000"/>
          <w:sz w:val="28"/>
          <w:szCs w:val="28"/>
        </w:rPr>
        <w:t>Equality and Non-Discrimination (Article 3)</w:t>
      </w:r>
    </w:p>
    <w:p w14:paraId="78BBC1A1" w14:textId="77777777" w:rsidR="00615E7B" w:rsidRPr="00615E7B" w:rsidRDefault="00615E7B" w:rsidP="00615E7B">
      <w:pPr>
        <w:jc w:val="both"/>
        <w:rPr>
          <w:rFonts w:ascii="Times New Roman" w:hAnsi="Times New Roman" w:cs="Times New Roman"/>
          <w:sz w:val="24"/>
          <w:szCs w:val="24"/>
        </w:rPr>
      </w:pPr>
      <w:r w:rsidRPr="00615E7B">
        <w:rPr>
          <w:rFonts w:ascii="Times New Roman" w:hAnsi="Times New Roman" w:cs="Times New Roman"/>
          <w:sz w:val="24"/>
          <w:szCs w:val="24"/>
        </w:rPr>
        <w:t>Gender equality is one of the fundamental goals for achieving sustainable development in Jordan, as the Kingdom seeks to enhance the role of women in various social, economic, and political fields. Recent years have seen tangible progress in improving the status of women and enabling their effective participation in societal development through the updating of laws and policies in alignment with relevant international standards, particularly the provisions contained in Article 3 of the Convention.</w:t>
      </w:r>
    </w:p>
    <w:p w14:paraId="560036DF" w14:textId="77777777" w:rsidR="00615E7B" w:rsidRDefault="00615E7B" w:rsidP="00615E7B">
      <w:pPr>
        <w:jc w:val="both"/>
        <w:rPr>
          <w:rFonts w:ascii="Times New Roman" w:hAnsi="Times New Roman" w:cs="Times New Roman"/>
          <w:sz w:val="24"/>
          <w:szCs w:val="24"/>
        </w:rPr>
      </w:pPr>
      <w:r w:rsidRPr="00615E7B">
        <w:rPr>
          <w:rFonts w:ascii="Times New Roman" w:hAnsi="Times New Roman" w:cs="Times New Roman"/>
          <w:sz w:val="24"/>
          <w:szCs w:val="24"/>
        </w:rPr>
        <w:lastRenderedPageBreak/>
        <w:t>Reports issued by the World Bank indicate that Jordan has made remarkable progress on the Women, Business and the Law Index for 2024, with the country’s ranking rising to 59.4 points out of 100, compared to 46.9 points in 2023. The Kingdom also achieved a full score (100%) regarding laws related to women’s wages and restrictions on their ability to establish and manage businesses. This improvement is attributed to amendments introduced to Labor Law No. 10 of 2023, which, as of May 2023, explicitly prohibit discrimination based on gender in employment and prevent harassment in the workplace, imposing severe penalties on perpetrators.</w:t>
      </w:r>
      <w:r w:rsidRPr="00615E7B">
        <w:rPr>
          <w:rStyle w:val="FootnoteReference"/>
          <w:rFonts w:ascii="Times New Roman" w:hAnsi="Times New Roman" w:cs="Times New Roman"/>
          <w:sz w:val="24"/>
          <w:szCs w:val="24"/>
        </w:rPr>
        <w:footnoteReference w:id="3"/>
      </w:r>
    </w:p>
    <w:p w14:paraId="72E9A4DF" w14:textId="77777777" w:rsidR="00D913CB" w:rsidRPr="00D913CB" w:rsidRDefault="00D913CB" w:rsidP="00D913CB">
      <w:pPr>
        <w:jc w:val="both"/>
        <w:rPr>
          <w:rFonts w:ascii="Times New Roman" w:hAnsi="Times New Roman" w:cs="Times New Roman"/>
          <w:b/>
          <w:bCs/>
          <w:sz w:val="24"/>
          <w:szCs w:val="24"/>
        </w:rPr>
      </w:pPr>
      <w:r w:rsidRPr="00D913CB">
        <w:rPr>
          <w:rFonts w:ascii="Times New Roman" w:hAnsi="Times New Roman" w:cs="Times New Roman"/>
          <w:b/>
          <w:bCs/>
          <w:sz w:val="24"/>
          <w:szCs w:val="24"/>
        </w:rPr>
        <w:t>Proposed issues:</w:t>
      </w:r>
    </w:p>
    <w:p w14:paraId="0866F64D" w14:textId="77777777" w:rsidR="00D913CB" w:rsidRPr="00D913CB" w:rsidRDefault="00D913CB" w:rsidP="00D913CB">
      <w:pPr>
        <w:jc w:val="both"/>
        <w:rPr>
          <w:rFonts w:ascii="Times New Roman" w:hAnsi="Times New Roman" w:cs="Times New Roman"/>
          <w:b/>
          <w:bCs/>
          <w:sz w:val="24"/>
          <w:szCs w:val="24"/>
        </w:rPr>
      </w:pPr>
      <w:r w:rsidRPr="00D913CB">
        <w:rPr>
          <w:rFonts w:ascii="Times New Roman" w:hAnsi="Times New Roman" w:cs="Times New Roman"/>
          <w:b/>
          <w:bCs/>
          <w:sz w:val="24"/>
          <w:szCs w:val="24"/>
        </w:rPr>
        <w:t>Maat seeks information from the State party on the following issues:</w:t>
      </w:r>
    </w:p>
    <w:p w14:paraId="7103A20A" w14:textId="6017C8BE" w:rsidR="00D913CB" w:rsidRPr="00D913CB" w:rsidRDefault="00D913CB" w:rsidP="00D913CB">
      <w:pPr>
        <w:pStyle w:val="ListParagraph"/>
        <w:numPr>
          <w:ilvl w:val="0"/>
          <w:numId w:val="42"/>
        </w:numPr>
        <w:jc w:val="both"/>
        <w:rPr>
          <w:rFonts w:ascii="Times New Roman" w:hAnsi="Times New Roman" w:cs="Times New Roman"/>
          <w:sz w:val="24"/>
          <w:szCs w:val="24"/>
        </w:rPr>
      </w:pPr>
      <w:r w:rsidRPr="00D913CB">
        <w:rPr>
          <w:rFonts w:ascii="Times New Roman" w:hAnsi="Times New Roman" w:cs="Times New Roman"/>
          <w:sz w:val="24"/>
          <w:szCs w:val="24"/>
        </w:rPr>
        <w:t>What are the executive measures that ensure the effective implementation of the Jordanian Labor Law No. 10 of 2023?</w:t>
      </w:r>
    </w:p>
    <w:p w14:paraId="336C5112" w14:textId="2F9B69FA" w:rsidR="00D913CB" w:rsidRPr="00D913CB" w:rsidRDefault="00D913CB" w:rsidP="00D913CB">
      <w:pPr>
        <w:pStyle w:val="ListParagraph"/>
        <w:numPr>
          <w:ilvl w:val="0"/>
          <w:numId w:val="42"/>
        </w:numPr>
        <w:jc w:val="both"/>
        <w:rPr>
          <w:rFonts w:ascii="Times New Roman" w:hAnsi="Times New Roman" w:cs="Times New Roman"/>
          <w:sz w:val="24"/>
          <w:szCs w:val="24"/>
        </w:rPr>
      </w:pPr>
      <w:r w:rsidRPr="00D913CB">
        <w:rPr>
          <w:rFonts w:ascii="Times New Roman" w:hAnsi="Times New Roman" w:cs="Times New Roman"/>
          <w:sz w:val="24"/>
          <w:szCs w:val="24"/>
        </w:rPr>
        <w:t>Do the new amendments to the Labor Law ensure that cases of discrimination on the basis of gender, disability or social status are addressed?</w:t>
      </w:r>
    </w:p>
    <w:p w14:paraId="5139B4A5" w14:textId="735DEB81" w:rsidR="00D913CB" w:rsidRPr="00D913CB" w:rsidRDefault="00D913CB" w:rsidP="00D913CB">
      <w:pPr>
        <w:pStyle w:val="ListParagraph"/>
        <w:numPr>
          <w:ilvl w:val="0"/>
          <w:numId w:val="42"/>
        </w:numPr>
        <w:jc w:val="both"/>
        <w:rPr>
          <w:rFonts w:ascii="Times New Roman" w:hAnsi="Times New Roman" w:cs="Times New Roman"/>
          <w:sz w:val="24"/>
          <w:szCs w:val="24"/>
        </w:rPr>
      </w:pPr>
      <w:r w:rsidRPr="00D913CB">
        <w:rPr>
          <w:rFonts w:ascii="Times New Roman" w:hAnsi="Times New Roman" w:cs="Times New Roman"/>
          <w:sz w:val="24"/>
          <w:szCs w:val="24"/>
        </w:rPr>
        <w:t>What measures have the Jordanian authorities taken to raise awareness of workers’ rights in different sectors about their rights related to equality and non-discrimination?</w:t>
      </w:r>
    </w:p>
    <w:p w14:paraId="6145ECBD" w14:textId="77777777" w:rsidR="00615E7B" w:rsidRPr="00615E7B" w:rsidRDefault="00615E7B" w:rsidP="00615E7B">
      <w:pPr>
        <w:jc w:val="both"/>
        <w:rPr>
          <w:rFonts w:ascii="Times New Roman" w:hAnsi="Times New Roman" w:cs="Times New Roman"/>
          <w:b/>
          <w:bCs/>
          <w:color w:val="ED0000"/>
          <w:sz w:val="28"/>
          <w:szCs w:val="28"/>
        </w:rPr>
      </w:pPr>
      <w:r w:rsidRPr="00615E7B">
        <w:rPr>
          <w:rFonts w:ascii="Times New Roman" w:hAnsi="Times New Roman" w:cs="Times New Roman"/>
          <w:b/>
          <w:bCs/>
          <w:color w:val="ED0000"/>
          <w:sz w:val="28"/>
          <w:szCs w:val="28"/>
        </w:rPr>
        <w:t>Right to Life (Article 6)</w:t>
      </w:r>
    </w:p>
    <w:p w14:paraId="529805CC" w14:textId="77777777" w:rsidR="00615E7B" w:rsidRPr="00615E7B" w:rsidRDefault="00615E7B" w:rsidP="00615E7B">
      <w:pPr>
        <w:jc w:val="both"/>
        <w:rPr>
          <w:rFonts w:ascii="Times New Roman" w:hAnsi="Times New Roman" w:cs="Times New Roman"/>
          <w:sz w:val="24"/>
          <w:szCs w:val="24"/>
        </w:rPr>
      </w:pPr>
      <w:r w:rsidRPr="00615E7B">
        <w:rPr>
          <w:rFonts w:ascii="Times New Roman" w:hAnsi="Times New Roman" w:cs="Times New Roman"/>
          <w:sz w:val="24"/>
          <w:szCs w:val="24"/>
        </w:rPr>
        <w:t>Maat notes the significant prevalence of suicide within Jordanian society, which represents a grave violation of the right to life—one of the basic rights guaranteed by various international provisions, most notably Article 6 of the Covenant. Despite the government's efforts to address this phenomenon, the increasing number of suicide cases in Jordan underscores the urgent need to strengthen preventive measures and address the root causes that drive individuals, particularly young people and adolescents, to take this tragic step.</w:t>
      </w:r>
    </w:p>
    <w:p w14:paraId="2D23359B" w14:textId="77777777" w:rsidR="00615E7B" w:rsidRPr="00615E7B" w:rsidRDefault="00615E7B" w:rsidP="00615E7B">
      <w:pPr>
        <w:jc w:val="both"/>
        <w:rPr>
          <w:rFonts w:ascii="Times New Roman" w:hAnsi="Times New Roman" w:cs="Times New Roman"/>
          <w:sz w:val="24"/>
          <w:szCs w:val="24"/>
        </w:rPr>
      </w:pPr>
      <w:r w:rsidRPr="00615E7B">
        <w:rPr>
          <w:rFonts w:ascii="Times New Roman" w:hAnsi="Times New Roman" w:cs="Times New Roman"/>
          <w:sz w:val="24"/>
          <w:szCs w:val="24"/>
        </w:rPr>
        <w:t>In this context, reports indicate a troubling increase in suicide cases in Jordan, particularly among young people and adolescents. During the first ten months of 2024,</w:t>
      </w:r>
      <w:r w:rsidRPr="00615E7B">
        <w:rPr>
          <w:rStyle w:val="FootnoteReference"/>
          <w:rFonts w:ascii="Times New Roman" w:hAnsi="Times New Roman" w:cs="Times New Roman"/>
          <w:sz w:val="24"/>
          <w:szCs w:val="24"/>
        </w:rPr>
        <w:footnoteReference w:id="4"/>
      </w:r>
      <w:r w:rsidRPr="00615E7B">
        <w:rPr>
          <w:rFonts w:ascii="Times New Roman" w:hAnsi="Times New Roman" w:cs="Times New Roman"/>
          <w:sz w:val="24"/>
          <w:szCs w:val="24"/>
        </w:rPr>
        <w:t xml:space="preserve"> 87 suicide cases were recorded, compared to 65 cases in 2023, with the breakdown comprising 45 men and 20 women. Studies reveal that the causes of suicide in Jordan are varied: 25% of those who died by suicide suffered from mental illnesses, while 20% were linked to family disputes, and another 20% were associated with severe financial crises.</w:t>
      </w:r>
      <w:r w:rsidRPr="00615E7B">
        <w:rPr>
          <w:rStyle w:val="FootnoteReference"/>
          <w:rFonts w:ascii="Times New Roman" w:hAnsi="Times New Roman" w:cs="Times New Roman"/>
          <w:sz w:val="24"/>
          <w:szCs w:val="24"/>
        </w:rPr>
        <w:footnoteReference w:id="5"/>
      </w:r>
    </w:p>
    <w:p w14:paraId="3ACC54A0" w14:textId="77777777" w:rsidR="00615E7B" w:rsidRPr="00615E7B" w:rsidRDefault="00615E7B" w:rsidP="00615E7B">
      <w:pPr>
        <w:jc w:val="both"/>
        <w:rPr>
          <w:rFonts w:ascii="Times New Roman" w:hAnsi="Times New Roman" w:cs="Times New Roman"/>
          <w:sz w:val="24"/>
          <w:szCs w:val="24"/>
        </w:rPr>
      </w:pPr>
      <w:r w:rsidRPr="00615E7B">
        <w:rPr>
          <w:rFonts w:ascii="Times New Roman" w:hAnsi="Times New Roman" w:cs="Times New Roman"/>
          <w:sz w:val="24"/>
          <w:szCs w:val="24"/>
        </w:rPr>
        <w:lastRenderedPageBreak/>
        <w:t>Maat has also noted that Abdoun Bridge, located west of the capital Amman, has become a common site for suicides, with numerous incidents occurring there due to its height and design. Over the years, there have been increasing demands on social media for radical solutions to prevent the bridge from being used as a means of suicide, but these efforts have been largely unsuccessful. Additionally, Maat reviewed reports confirming that, similar to many countries in the Middle East, suicides in Jordan are not always officially documented as such. Instead, they are often recorded under alternative causes like "cleaning a weapon," "taking an incorrect dose of medication," or "a traffic accident," suggesting that the official statistics may underrepresent the actual number of suicides.</w:t>
      </w:r>
      <w:r w:rsidRPr="00615E7B">
        <w:rPr>
          <w:rStyle w:val="FootnoteReference"/>
          <w:rFonts w:ascii="Times New Roman" w:hAnsi="Times New Roman" w:cs="Times New Roman"/>
          <w:sz w:val="24"/>
          <w:szCs w:val="24"/>
        </w:rPr>
        <w:footnoteReference w:id="6"/>
      </w:r>
    </w:p>
    <w:p w14:paraId="4BD74562" w14:textId="77777777" w:rsidR="00615E7B" w:rsidRPr="00615E7B" w:rsidRDefault="00615E7B" w:rsidP="00615E7B">
      <w:pPr>
        <w:jc w:val="both"/>
        <w:rPr>
          <w:rFonts w:ascii="Times New Roman" w:hAnsi="Times New Roman" w:cs="Times New Roman"/>
          <w:sz w:val="24"/>
          <w:szCs w:val="24"/>
        </w:rPr>
      </w:pPr>
      <w:r w:rsidRPr="00615E7B">
        <w:rPr>
          <w:rFonts w:ascii="Times New Roman" w:hAnsi="Times New Roman" w:cs="Times New Roman"/>
          <w:sz w:val="24"/>
          <w:szCs w:val="24"/>
        </w:rPr>
        <w:t>In a related incident, in November 2023, a 21-year-old Bangladeshi woman working in a Jordanian factory that produces clothing for global brands took her own life due to the harsh and inhumane working conditions she endured. Reports indicate that she faced immense job pressure, verbal and physical abuse from supervisors, and was subjected to long working hours of up to 16 hours a day. She also experienced sexual harassment and intimidation, along with a deduction of 15 days from her salary a month before her death. On the day of her suicide, after she fell ill and requested to return to her residence, a supervisor verbally assaulted her, demanded she remove her clothing, and ordered her to "go back to her country." This tragic incident marked the second suicide within the Jordanian garment industry in a few months, underscoring the urgent need to improve working conditions and protect workers from violations.</w:t>
      </w:r>
      <w:r w:rsidRPr="00615E7B">
        <w:rPr>
          <w:rStyle w:val="FootnoteReference"/>
          <w:rFonts w:ascii="Times New Roman" w:hAnsi="Times New Roman" w:cs="Times New Roman"/>
          <w:sz w:val="24"/>
          <w:szCs w:val="24"/>
        </w:rPr>
        <w:footnoteReference w:id="7"/>
      </w:r>
      <w:r w:rsidRPr="00615E7B">
        <w:rPr>
          <w:rFonts w:ascii="Times New Roman" w:hAnsi="Times New Roman" w:cs="Times New Roman"/>
          <w:sz w:val="24"/>
          <w:szCs w:val="24"/>
        </w:rPr>
        <w:t xml:space="preserve"> </w:t>
      </w:r>
    </w:p>
    <w:p w14:paraId="1C8D907A" w14:textId="77777777" w:rsidR="00615E7B" w:rsidRDefault="00615E7B" w:rsidP="00615E7B">
      <w:pPr>
        <w:jc w:val="both"/>
        <w:rPr>
          <w:rFonts w:ascii="Times New Roman" w:hAnsi="Times New Roman" w:cs="Times New Roman"/>
          <w:sz w:val="24"/>
          <w:szCs w:val="24"/>
        </w:rPr>
      </w:pPr>
      <w:r w:rsidRPr="00615E7B">
        <w:rPr>
          <w:rFonts w:ascii="Times New Roman" w:hAnsi="Times New Roman" w:cs="Times New Roman"/>
          <w:sz w:val="24"/>
          <w:szCs w:val="24"/>
        </w:rPr>
        <w:t>These alarming phenomena hinder Jordan from fully implementing its obligations under Article 6 of the Covenant, which necessitates enhancing existing measures to address these issues effectively.</w:t>
      </w:r>
    </w:p>
    <w:p w14:paraId="2372AACA" w14:textId="77777777" w:rsidR="00D913CB" w:rsidRPr="00D913CB" w:rsidRDefault="00D913CB" w:rsidP="00D913CB">
      <w:pPr>
        <w:jc w:val="both"/>
        <w:rPr>
          <w:rFonts w:ascii="Times New Roman" w:hAnsi="Times New Roman" w:cs="Times New Roman"/>
          <w:b/>
          <w:bCs/>
          <w:sz w:val="24"/>
          <w:szCs w:val="24"/>
        </w:rPr>
      </w:pPr>
      <w:r w:rsidRPr="00D913CB">
        <w:rPr>
          <w:rFonts w:ascii="Times New Roman" w:hAnsi="Times New Roman" w:cs="Times New Roman"/>
          <w:b/>
          <w:bCs/>
          <w:sz w:val="24"/>
          <w:szCs w:val="24"/>
        </w:rPr>
        <w:t>Proposed issues:</w:t>
      </w:r>
    </w:p>
    <w:p w14:paraId="010EC14E" w14:textId="77777777" w:rsidR="00D913CB" w:rsidRPr="00D913CB" w:rsidRDefault="00D913CB" w:rsidP="00D913CB">
      <w:pPr>
        <w:jc w:val="both"/>
        <w:rPr>
          <w:rFonts w:ascii="Times New Roman" w:hAnsi="Times New Roman" w:cs="Times New Roman"/>
          <w:b/>
          <w:bCs/>
          <w:sz w:val="24"/>
          <w:szCs w:val="24"/>
        </w:rPr>
      </w:pPr>
      <w:r w:rsidRPr="00D913CB">
        <w:rPr>
          <w:rFonts w:ascii="Times New Roman" w:hAnsi="Times New Roman" w:cs="Times New Roman"/>
          <w:b/>
          <w:bCs/>
          <w:sz w:val="24"/>
          <w:szCs w:val="24"/>
        </w:rPr>
        <w:t>Maat seeks information from the State party regarding the following issues:</w:t>
      </w:r>
    </w:p>
    <w:p w14:paraId="2E1A9079" w14:textId="6BBD3EA5" w:rsidR="00D913CB" w:rsidRPr="00D913CB" w:rsidRDefault="00D913CB" w:rsidP="00D913CB">
      <w:pPr>
        <w:pStyle w:val="ListParagraph"/>
        <w:numPr>
          <w:ilvl w:val="0"/>
          <w:numId w:val="43"/>
        </w:numPr>
        <w:jc w:val="both"/>
        <w:rPr>
          <w:rFonts w:ascii="Times New Roman" w:hAnsi="Times New Roman" w:cs="Times New Roman"/>
          <w:sz w:val="24"/>
          <w:szCs w:val="24"/>
        </w:rPr>
      </w:pPr>
      <w:r w:rsidRPr="00D913CB">
        <w:rPr>
          <w:rFonts w:ascii="Times New Roman" w:hAnsi="Times New Roman" w:cs="Times New Roman"/>
          <w:sz w:val="24"/>
          <w:szCs w:val="24"/>
        </w:rPr>
        <w:t>Is there a clear national strategy to reduce the spread of suicide within Jordanian society, especially among youth and adolescents?</w:t>
      </w:r>
    </w:p>
    <w:p w14:paraId="4C254235" w14:textId="1CD395D6" w:rsidR="00D913CB" w:rsidRPr="00D913CB" w:rsidRDefault="00D913CB" w:rsidP="00D913CB">
      <w:pPr>
        <w:pStyle w:val="ListParagraph"/>
        <w:numPr>
          <w:ilvl w:val="0"/>
          <w:numId w:val="43"/>
        </w:numPr>
        <w:jc w:val="both"/>
        <w:rPr>
          <w:rFonts w:ascii="Times New Roman" w:hAnsi="Times New Roman" w:cs="Times New Roman"/>
          <w:sz w:val="24"/>
          <w:szCs w:val="24"/>
        </w:rPr>
      </w:pPr>
      <w:r w:rsidRPr="00D913CB">
        <w:rPr>
          <w:rFonts w:ascii="Times New Roman" w:hAnsi="Times New Roman" w:cs="Times New Roman"/>
          <w:sz w:val="24"/>
          <w:szCs w:val="24"/>
        </w:rPr>
        <w:t>Are there radical solutions to prevent the use of Abdoun Bridge as a means of suicide?</w:t>
      </w:r>
    </w:p>
    <w:p w14:paraId="295CD515" w14:textId="22FC9567" w:rsidR="00D913CB" w:rsidRPr="00D913CB" w:rsidRDefault="00D913CB" w:rsidP="00D913CB">
      <w:pPr>
        <w:pStyle w:val="ListParagraph"/>
        <w:numPr>
          <w:ilvl w:val="0"/>
          <w:numId w:val="43"/>
        </w:numPr>
        <w:jc w:val="both"/>
        <w:rPr>
          <w:rFonts w:ascii="Times New Roman" w:hAnsi="Times New Roman" w:cs="Times New Roman"/>
          <w:sz w:val="24"/>
          <w:szCs w:val="24"/>
        </w:rPr>
      </w:pPr>
      <w:r w:rsidRPr="00D913CB">
        <w:rPr>
          <w:rFonts w:ascii="Times New Roman" w:hAnsi="Times New Roman" w:cs="Times New Roman"/>
          <w:sz w:val="24"/>
          <w:szCs w:val="24"/>
        </w:rPr>
        <w:t>What measures have the Jordanian authorities taken to reduce the spread of suicide among migrant workers, especially among women?</w:t>
      </w:r>
    </w:p>
    <w:p w14:paraId="7DEC63EB" w14:textId="77777777" w:rsidR="00615E7B" w:rsidRPr="00615E7B" w:rsidRDefault="00615E7B" w:rsidP="00615E7B">
      <w:pPr>
        <w:jc w:val="both"/>
        <w:rPr>
          <w:rFonts w:ascii="Times New Roman" w:hAnsi="Times New Roman" w:cs="Times New Roman"/>
          <w:b/>
          <w:bCs/>
          <w:color w:val="ED0000"/>
          <w:sz w:val="28"/>
          <w:szCs w:val="28"/>
        </w:rPr>
      </w:pPr>
      <w:r w:rsidRPr="00615E7B">
        <w:rPr>
          <w:rFonts w:ascii="Times New Roman" w:hAnsi="Times New Roman" w:cs="Times New Roman"/>
          <w:b/>
          <w:bCs/>
          <w:color w:val="ED0000"/>
          <w:sz w:val="28"/>
          <w:szCs w:val="28"/>
        </w:rPr>
        <w:t>Protection from Torture (Article 7)</w:t>
      </w:r>
    </w:p>
    <w:p w14:paraId="70C23923" w14:textId="77777777" w:rsidR="00615E7B" w:rsidRPr="00615E7B" w:rsidRDefault="00615E7B" w:rsidP="00615E7B">
      <w:pPr>
        <w:jc w:val="both"/>
        <w:rPr>
          <w:rFonts w:ascii="Times New Roman" w:hAnsi="Times New Roman" w:cs="Times New Roman"/>
          <w:sz w:val="24"/>
          <w:szCs w:val="24"/>
        </w:rPr>
      </w:pPr>
      <w:r w:rsidRPr="00615E7B">
        <w:rPr>
          <w:rFonts w:ascii="Times New Roman" w:hAnsi="Times New Roman" w:cs="Times New Roman"/>
          <w:sz w:val="24"/>
          <w:szCs w:val="24"/>
        </w:rPr>
        <w:lastRenderedPageBreak/>
        <w:t>Paragraph (2) of Article 8 of the Jordanian Constitution explicitly prohibits torture, stating: “No person who is arrested, detained, imprisoned, or whose freedom is restricted in any form shall be subjected to torture, physical or mental harm, or to detention in places other than those specified by law. Any statement obtained under duress, torture, or threat shall not be considered valid.”</w:t>
      </w:r>
      <w:r w:rsidRPr="00615E7B">
        <w:rPr>
          <w:rStyle w:val="FootnoteReference"/>
          <w:rFonts w:ascii="Times New Roman" w:hAnsi="Times New Roman" w:cs="Times New Roman"/>
          <w:sz w:val="24"/>
          <w:szCs w:val="24"/>
        </w:rPr>
        <w:footnoteReference w:id="8"/>
      </w:r>
      <w:r w:rsidRPr="00615E7B">
        <w:rPr>
          <w:rFonts w:ascii="Times New Roman" w:hAnsi="Times New Roman" w:cs="Times New Roman"/>
          <w:sz w:val="24"/>
          <w:szCs w:val="24"/>
        </w:rPr>
        <w:t xml:space="preserve"> In terms of defining torture, Article 208 of the Jordanian Penal Code No. 16 of 1960, as amended by Law No. 8 of 2011, states: “Torture is any act that results in severe pain or suffering, whether physical or mental, intentionally inflicted on a person for the purpose of obtaining information or a confession from him or another person, punishing him for an act he or another person has committed or is suspected of having committed, or intimidating or coercing that person or another person.” Torture is defined as any act that inflicts severe pain or suffering, whether physical or mental, intentionally inflicted on a person for the purpose of obtaining information or a confession, punishing an individual for an act committed or suspected, or intimidating or coercing that individual or another person. Furthermore, torture encompasses acts that cause pain or suffering based on any form of discrimination, or those instigated, approved, or acquiesced to by an official or any person acting in an official capacity. Jordanian legislator prescribes imprisonment for such acts, with penalties ranging from six months to three years.</w:t>
      </w:r>
      <w:r w:rsidRPr="00615E7B">
        <w:rPr>
          <w:rStyle w:val="FootnoteReference"/>
          <w:rFonts w:ascii="Times New Roman" w:hAnsi="Times New Roman" w:cs="Times New Roman"/>
          <w:sz w:val="24"/>
          <w:szCs w:val="24"/>
        </w:rPr>
        <w:footnoteReference w:id="9"/>
      </w:r>
    </w:p>
    <w:p w14:paraId="6616DCD6" w14:textId="1F462EB6" w:rsidR="00615E7B" w:rsidRPr="00615E7B" w:rsidRDefault="00615E7B" w:rsidP="00615E7B">
      <w:pPr>
        <w:jc w:val="both"/>
        <w:rPr>
          <w:rFonts w:ascii="Times New Roman" w:hAnsi="Times New Roman" w:cs="Times New Roman"/>
          <w:sz w:val="24"/>
          <w:szCs w:val="24"/>
        </w:rPr>
      </w:pPr>
      <w:r w:rsidRPr="00615E7B">
        <w:rPr>
          <w:rFonts w:ascii="Times New Roman" w:hAnsi="Times New Roman" w:cs="Times New Roman"/>
          <w:sz w:val="24"/>
          <w:szCs w:val="24"/>
        </w:rPr>
        <w:t>However, Maat notes that the definition of torture under Jordanian law does not encompass all forms of torture, particularly excluding inhuman or degrading treatment and those involved in perpetrating such acts. In the absence of direct intent to torture, certain actions may be categorized as abuse or ill-treatment rather than torture, resulting in lesser penalties. Moreover, Jordanian law does not explicitly guarantee the absolute prohibition of torture, despite this being a requirement under the United Nations Convention against Torture and Other Cruel, Inhuman or Degrading Treatment or Punishment, which Jordan ratified in 1991. The Convention mandates that states provide fundamental legal guarantees to detainees, including the right to legal counsel and the ability to contact family members. Maat further highlights that the Jordanian Penal Code lacks provisions that classify acts of torture as criminal offenses instead of mere misdemeanors. The penalties prescribed for torture are insufficiently severe to reflect the gravity of the crime, limiting deterrence effectiveness and obstructing victims' access to justice.</w:t>
      </w:r>
    </w:p>
    <w:p w14:paraId="1622F7F4" w14:textId="77777777" w:rsidR="00615E7B" w:rsidRDefault="00615E7B" w:rsidP="00615E7B">
      <w:pPr>
        <w:jc w:val="both"/>
        <w:rPr>
          <w:rFonts w:ascii="Times New Roman" w:hAnsi="Times New Roman" w:cs="Times New Roman"/>
          <w:sz w:val="24"/>
          <w:szCs w:val="24"/>
        </w:rPr>
      </w:pPr>
      <w:r w:rsidRPr="00615E7B">
        <w:rPr>
          <w:rFonts w:ascii="Times New Roman" w:hAnsi="Times New Roman" w:cs="Times New Roman"/>
          <w:sz w:val="24"/>
          <w:szCs w:val="24"/>
        </w:rPr>
        <w:t>Maat argues that the narrow interpretation of torture within Jordanian law hinders effective adherence to Article 7 of the Covenant and the United Nations Convention against Torture.</w:t>
      </w:r>
    </w:p>
    <w:p w14:paraId="03E6EDB6" w14:textId="77777777" w:rsidR="00D913CB" w:rsidRPr="00D913CB" w:rsidRDefault="00D913CB" w:rsidP="00D913CB">
      <w:pPr>
        <w:jc w:val="both"/>
        <w:rPr>
          <w:rFonts w:ascii="Times New Roman" w:hAnsi="Times New Roman" w:cs="Times New Roman"/>
          <w:b/>
          <w:bCs/>
          <w:sz w:val="24"/>
          <w:szCs w:val="24"/>
        </w:rPr>
      </w:pPr>
      <w:r w:rsidRPr="00D913CB">
        <w:rPr>
          <w:rFonts w:ascii="Times New Roman" w:hAnsi="Times New Roman" w:cs="Times New Roman"/>
          <w:b/>
          <w:bCs/>
          <w:sz w:val="24"/>
          <w:szCs w:val="24"/>
        </w:rPr>
        <w:t>Proposed issues:</w:t>
      </w:r>
    </w:p>
    <w:p w14:paraId="4D3A1584" w14:textId="77777777" w:rsidR="00D913CB" w:rsidRPr="00D913CB" w:rsidRDefault="00D913CB" w:rsidP="00D913CB">
      <w:pPr>
        <w:jc w:val="both"/>
        <w:rPr>
          <w:rFonts w:ascii="Times New Roman" w:hAnsi="Times New Roman" w:cs="Times New Roman"/>
          <w:b/>
          <w:bCs/>
          <w:sz w:val="24"/>
          <w:szCs w:val="24"/>
        </w:rPr>
      </w:pPr>
      <w:r w:rsidRPr="00D913CB">
        <w:rPr>
          <w:rFonts w:ascii="Times New Roman" w:hAnsi="Times New Roman" w:cs="Times New Roman"/>
          <w:b/>
          <w:bCs/>
          <w:sz w:val="24"/>
          <w:szCs w:val="24"/>
        </w:rPr>
        <w:lastRenderedPageBreak/>
        <w:t>Maat seeks information from the State party regarding the following issues:</w:t>
      </w:r>
    </w:p>
    <w:p w14:paraId="48583DD9" w14:textId="5C843150" w:rsidR="00D913CB" w:rsidRPr="00D913CB" w:rsidRDefault="00D913CB" w:rsidP="00D913CB">
      <w:pPr>
        <w:pStyle w:val="ListParagraph"/>
        <w:numPr>
          <w:ilvl w:val="0"/>
          <w:numId w:val="44"/>
        </w:numPr>
        <w:jc w:val="both"/>
        <w:rPr>
          <w:rFonts w:ascii="Times New Roman" w:hAnsi="Times New Roman" w:cs="Times New Roman"/>
          <w:sz w:val="24"/>
          <w:szCs w:val="24"/>
        </w:rPr>
      </w:pPr>
      <w:r w:rsidRPr="00D913CB">
        <w:rPr>
          <w:rFonts w:ascii="Times New Roman" w:hAnsi="Times New Roman" w:cs="Times New Roman"/>
          <w:sz w:val="24"/>
          <w:szCs w:val="24"/>
        </w:rPr>
        <w:t>Are there any actual steps taken by the Jordanian authorities to redefine torture in Jordanian law to include all forms of torture, as well as the parties potentially involved in committing such acts?</w:t>
      </w:r>
    </w:p>
    <w:p w14:paraId="6F577BF4" w14:textId="329E79B0" w:rsidR="00D913CB" w:rsidRPr="00D913CB" w:rsidRDefault="00D913CB" w:rsidP="00D913CB">
      <w:pPr>
        <w:pStyle w:val="ListParagraph"/>
        <w:numPr>
          <w:ilvl w:val="0"/>
          <w:numId w:val="44"/>
        </w:numPr>
        <w:jc w:val="both"/>
        <w:rPr>
          <w:rFonts w:ascii="Times New Roman" w:hAnsi="Times New Roman" w:cs="Times New Roman"/>
          <w:sz w:val="24"/>
          <w:szCs w:val="24"/>
        </w:rPr>
      </w:pPr>
      <w:r w:rsidRPr="00D913CB">
        <w:rPr>
          <w:rFonts w:ascii="Times New Roman" w:hAnsi="Times New Roman" w:cs="Times New Roman"/>
          <w:sz w:val="24"/>
          <w:szCs w:val="24"/>
        </w:rPr>
        <w:t>Are there legislative reforms aimed at amending the penalties prescribed for the crime of torture that are not commensurate with the seriousness of the crime</w:t>
      </w:r>
      <w:r>
        <w:rPr>
          <w:rFonts w:ascii="Times New Roman" w:hAnsi="Times New Roman" w:cs="Times New Roman"/>
          <w:sz w:val="24"/>
          <w:szCs w:val="24"/>
        </w:rPr>
        <w:t>?</w:t>
      </w:r>
    </w:p>
    <w:p w14:paraId="568F08EE" w14:textId="77777777" w:rsidR="00615E7B" w:rsidRPr="00615E7B" w:rsidRDefault="00615E7B" w:rsidP="00615E7B">
      <w:pPr>
        <w:jc w:val="both"/>
        <w:rPr>
          <w:rFonts w:ascii="Times New Roman" w:hAnsi="Times New Roman" w:cs="Times New Roman"/>
          <w:b/>
          <w:bCs/>
          <w:color w:val="ED0000"/>
          <w:sz w:val="28"/>
          <w:szCs w:val="28"/>
        </w:rPr>
      </w:pPr>
      <w:r w:rsidRPr="00615E7B">
        <w:rPr>
          <w:rFonts w:ascii="Times New Roman" w:hAnsi="Times New Roman" w:cs="Times New Roman"/>
          <w:b/>
          <w:bCs/>
          <w:color w:val="ED0000"/>
          <w:sz w:val="28"/>
          <w:szCs w:val="28"/>
        </w:rPr>
        <w:t>Prevention of Slavery and Human Trafficking (Article 8)</w:t>
      </w:r>
    </w:p>
    <w:p w14:paraId="485682A1" w14:textId="77777777" w:rsidR="00615E7B" w:rsidRPr="00615E7B" w:rsidRDefault="00615E7B" w:rsidP="00615E7B">
      <w:pPr>
        <w:jc w:val="both"/>
        <w:rPr>
          <w:rFonts w:ascii="Times New Roman" w:hAnsi="Times New Roman" w:cs="Times New Roman"/>
          <w:sz w:val="24"/>
          <w:szCs w:val="24"/>
        </w:rPr>
      </w:pPr>
      <w:r w:rsidRPr="00615E7B">
        <w:rPr>
          <w:rFonts w:ascii="Times New Roman" w:hAnsi="Times New Roman" w:cs="Times New Roman"/>
          <w:sz w:val="24"/>
          <w:szCs w:val="24"/>
        </w:rPr>
        <w:t>In November 2024, the Jordanian Ministry of Justice launched the National Strategy to Combat Human Trafficking for the years 2024-2027. This strategy aims to provide the necessary mechanisms to address human trafficking at both national and international levels, prevent perpetrators from evading punishment, and ensure the protection and assistance of victims. It also seeks to implement a preventive criminal policy to eradicate human trafficking. To strengthen these efforts, amendments were made to the Anti-Trafficking in Persons Law under the amended law of 2021, which tightens penalties for offenders to achieve both general and specific deterrence. Additionally, a new regulation for the Shelter System for Victims of Human Trafficking (No. 46 of 2023) was issued, alongside the Victims of Human Trafficking Assistance Fund (No. 6 of 2023), enhancing support and protection for victims. Furthermore, a memorandum of understanding was signed with the Jordanian Bar Association to provide free legal advice and assistance to trafficking victims.</w:t>
      </w:r>
      <w:r w:rsidRPr="00615E7B">
        <w:rPr>
          <w:rStyle w:val="FootnoteReference"/>
          <w:rFonts w:ascii="Times New Roman" w:hAnsi="Times New Roman" w:cs="Times New Roman"/>
          <w:sz w:val="24"/>
          <w:szCs w:val="24"/>
        </w:rPr>
        <w:footnoteReference w:id="10"/>
      </w:r>
    </w:p>
    <w:p w14:paraId="39DE311B" w14:textId="64BBC550" w:rsidR="00615E7B" w:rsidRPr="00615E7B" w:rsidRDefault="00615E7B" w:rsidP="00615E7B">
      <w:pPr>
        <w:jc w:val="both"/>
        <w:rPr>
          <w:rFonts w:ascii="Times New Roman" w:hAnsi="Times New Roman" w:cs="Times New Roman"/>
          <w:sz w:val="24"/>
          <w:szCs w:val="24"/>
        </w:rPr>
      </w:pPr>
      <w:r w:rsidRPr="00615E7B">
        <w:rPr>
          <w:rFonts w:ascii="Times New Roman" w:hAnsi="Times New Roman" w:cs="Times New Roman"/>
          <w:sz w:val="24"/>
          <w:szCs w:val="24"/>
        </w:rPr>
        <w:t>Despite Maat’s appreciation for these initiatives, reports indicate that challenges in combating human trafficking in Jordan persist. A significant issue is the requirement for refugees registered with the United Nations High Commissioner for Refugees (totaling over 717,430) to renounce their registration in order to enter the labor market. Additionally, the employer-linked visa system places excessive power in the hands of employers, increasing the vulnerabilities that lead to the exploitation and abuse of migrant workers and hindering authorities’ efforts to identify and protect victims of human trafficking. In this context, Maat reviewed testimonies from Iraqi workers in Jordan, who reported exploitation by employers, receiving low wages compared to their counterparts, and being forced to work long hours beyond their capacity. Additionally, reports documented the exploitation of Syrian refugees, including the trafficking of Syrian women and girls for forced marriages, as well as the forced labor of Syrian children in agriculture, product sales, and begging. Reports also indicate that women working in restaurants and nightclubs—</w:t>
      </w:r>
      <w:r w:rsidRPr="00615E7B">
        <w:rPr>
          <w:rFonts w:ascii="Times New Roman" w:hAnsi="Times New Roman" w:cs="Times New Roman"/>
          <w:sz w:val="24"/>
          <w:szCs w:val="24"/>
        </w:rPr>
        <w:lastRenderedPageBreak/>
        <w:t>particularly those from Lebanese, North African, and Eastern European backgrounds, along with Jordanian women—were exploited in sex trafficking crimes.</w:t>
      </w:r>
    </w:p>
    <w:p w14:paraId="1C0EB1C0" w14:textId="77777777" w:rsidR="00615E7B" w:rsidRDefault="00615E7B" w:rsidP="00615E7B">
      <w:pPr>
        <w:jc w:val="both"/>
        <w:rPr>
          <w:rFonts w:ascii="Times New Roman" w:hAnsi="Times New Roman" w:cs="Times New Roman"/>
          <w:sz w:val="24"/>
          <w:szCs w:val="24"/>
        </w:rPr>
      </w:pPr>
      <w:r w:rsidRPr="00615E7B">
        <w:rPr>
          <w:rFonts w:ascii="Times New Roman" w:hAnsi="Times New Roman" w:cs="Times New Roman"/>
          <w:sz w:val="24"/>
          <w:szCs w:val="24"/>
        </w:rPr>
        <w:t>These challenges underscore the urgent need for additional measures to enhance legal and social protections for vulnerable groups in Jordan, especially migrants, to ensure the effective implementation of Article 8 of the Covenant and other laws aimed at combating all forms of human trafficking.</w:t>
      </w:r>
    </w:p>
    <w:p w14:paraId="3F05462D" w14:textId="77777777" w:rsidR="00D913CB" w:rsidRPr="00D913CB" w:rsidRDefault="00D913CB" w:rsidP="00D913CB">
      <w:pPr>
        <w:jc w:val="both"/>
        <w:rPr>
          <w:rFonts w:ascii="Times New Roman" w:hAnsi="Times New Roman" w:cs="Times New Roman"/>
          <w:b/>
          <w:bCs/>
          <w:sz w:val="24"/>
          <w:szCs w:val="24"/>
        </w:rPr>
      </w:pPr>
      <w:r w:rsidRPr="00D913CB">
        <w:rPr>
          <w:rFonts w:ascii="Times New Roman" w:hAnsi="Times New Roman" w:cs="Times New Roman"/>
          <w:b/>
          <w:bCs/>
          <w:sz w:val="24"/>
          <w:szCs w:val="24"/>
        </w:rPr>
        <w:t>Proposed issues:</w:t>
      </w:r>
    </w:p>
    <w:p w14:paraId="4861FD1F" w14:textId="77777777" w:rsidR="00D913CB" w:rsidRPr="00D913CB" w:rsidRDefault="00D913CB" w:rsidP="00D913CB">
      <w:pPr>
        <w:jc w:val="both"/>
        <w:rPr>
          <w:rFonts w:ascii="Times New Roman" w:hAnsi="Times New Roman" w:cs="Times New Roman"/>
          <w:b/>
          <w:bCs/>
          <w:sz w:val="24"/>
          <w:szCs w:val="24"/>
        </w:rPr>
      </w:pPr>
      <w:r w:rsidRPr="00D913CB">
        <w:rPr>
          <w:rFonts w:ascii="Times New Roman" w:hAnsi="Times New Roman" w:cs="Times New Roman"/>
          <w:b/>
          <w:bCs/>
          <w:sz w:val="24"/>
          <w:szCs w:val="24"/>
        </w:rPr>
        <w:t>Maat seeks information from the State party on the following issues:</w:t>
      </w:r>
    </w:p>
    <w:p w14:paraId="723860C1" w14:textId="090712F0" w:rsidR="00D913CB" w:rsidRPr="00D913CB" w:rsidRDefault="00D913CB" w:rsidP="00D913CB">
      <w:pPr>
        <w:pStyle w:val="ListParagraph"/>
        <w:numPr>
          <w:ilvl w:val="0"/>
          <w:numId w:val="45"/>
        </w:numPr>
        <w:jc w:val="both"/>
        <w:rPr>
          <w:rFonts w:ascii="Times New Roman" w:hAnsi="Times New Roman" w:cs="Times New Roman"/>
          <w:sz w:val="24"/>
          <w:szCs w:val="24"/>
        </w:rPr>
      </w:pPr>
      <w:r w:rsidRPr="00D913CB">
        <w:rPr>
          <w:rFonts w:ascii="Times New Roman" w:hAnsi="Times New Roman" w:cs="Times New Roman"/>
          <w:sz w:val="24"/>
          <w:szCs w:val="24"/>
        </w:rPr>
        <w:t>How are the Jordanian authorities addressing the challenges facing efforts to combat human trafficking in Jordan?</w:t>
      </w:r>
    </w:p>
    <w:p w14:paraId="4E328185" w14:textId="747971D0" w:rsidR="00D913CB" w:rsidRPr="00D913CB" w:rsidRDefault="00D913CB" w:rsidP="00D913CB">
      <w:pPr>
        <w:pStyle w:val="ListParagraph"/>
        <w:numPr>
          <w:ilvl w:val="0"/>
          <w:numId w:val="45"/>
        </w:numPr>
        <w:jc w:val="both"/>
        <w:rPr>
          <w:rFonts w:ascii="Times New Roman" w:hAnsi="Times New Roman" w:cs="Times New Roman"/>
          <w:sz w:val="24"/>
          <w:szCs w:val="24"/>
        </w:rPr>
      </w:pPr>
      <w:r w:rsidRPr="00D913CB">
        <w:rPr>
          <w:rFonts w:ascii="Times New Roman" w:hAnsi="Times New Roman" w:cs="Times New Roman"/>
          <w:sz w:val="24"/>
          <w:szCs w:val="24"/>
        </w:rPr>
        <w:t>What measures are being taken by the Jordanian authorities to amend the visa system that places too much power in the hands of employers, leading to the exploitation and abuse of migrant workers?</w:t>
      </w:r>
    </w:p>
    <w:p w14:paraId="7AC5DD86" w14:textId="77777777" w:rsidR="00615E7B" w:rsidRPr="00615E7B" w:rsidRDefault="00615E7B" w:rsidP="00615E7B">
      <w:pPr>
        <w:jc w:val="both"/>
        <w:rPr>
          <w:rFonts w:ascii="Times New Roman" w:hAnsi="Times New Roman" w:cs="Times New Roman"/>
          <w:b/>
          <w:bCs/>
          <w:color w:val="ED0000"/>
          <w:sz w:val="28"/>
          <w:szCs w:val="28"/>
        </w:rPr>
      </w:pPr>
      <w:r w:rsidRPr="00615E7B">
        <w:rPr>
          <w:rFonts w:ascii="Times New Roman" w:hAnsi="Times New Roman" w:cs="Times New Roman"/>
          <w:b/>
          <w:bCs/>
          <w:color w:val="ED0000"/>
          <w:sz w:val="28"/>
          <w:szCs w:val="28"/>
        </w:rPr>
        <w:t>Right to a Fair Trial (Article 14)</w:t>
      </w:r>
    </w:p>
    <w:p w14:paraId="13D06886" w14:textId="77777777" w:rsidR="00615E7B" w:rsidRPr="00615E7B" w:rsidRDefault="00615E7B" w:rsidP="00615E7B">
      <w:pPr>
        <w:jc w:val="both"/>
        <w:rPr>
          <w:rFonts w:ascii="Times New Roman" w:hAnsi="Times New Roman" w:cs="Times New Roman"/>
          <w:sz w:val="24"/>
          <w:szCs w:val="24"/>
        </w:rPr>
      </w:pPr>
      <w:r w:rsidRPr="00615E7B">
        <w:rPr>
          <w:rFonts w:ascii="Times New Roman" w:hAnsi="Times New Roman" w:cs="Times New Roman"/>
          <w:sz w:val="24"/>
          <w:szCs w:val="24"/>
        </w:rPr>
        <w:t>The right to a fair trial is a fundamental right guaranteed by international conventions, including the Covenant, encompassing guarantees of fair and transparent litigation and respect for the rights of the accused throughout all stages of the trial. Jordanian laws, including the Constitution, emphasize this right by providing a legal framework that ensures equality before the judiciary and adheres to international standards for fair trials. In this regard, Jordanian courts conducted 133,581 remote trial sessions in 2023, compared to 72,918 sessions in 2022. Furthermore, 15 new courtrooms were established in correctional and rehabilitation centers, and 20 new courtrooms were added, reflecting progress in judicial infrastructure to facilitate access to justice. Maat also noted a significant increase in the number of beneficiaries of both compulsory and optional legal aid services in courts and the Public Prosecution during 2023, with the total rising to 2,222 compared to 1,580 in 2022. This increase is attributed to enhancements made to the legal aid system, which improved access to legal support services for vulnerable groups in Jordan.</w:t>
      </w:r>
      <w:r w:rsidRPr="00615E7B">
        <w:rPr>
          <w:rStyle w:val="FootnoteReference"/>
          <w:rFonts w:ascii="Times New Roman" w:hAnsi="Times New Roman" w:cs="Times New Roman"/>
          <w:sz w:val="24"/>
          <w:szCs w:val="24"/>
        </w:rPr>
        <w:footnoteReference w:id="11"/>
      </w:r>
    </w:p>
    <w:p w14:paraId="3D46A67C" w14:textId="77777777" w:rsidR="00615E7B" w:rsidRDefault="00615E7B" w:rsidP="00615E7B">
      <w:pPr>
        <w:jc w:val="both"/>
        <w:rPr>
          <w:rFonts w:ascii="Times New Roman" w:hAnsi="Times New Roman" w:cs="Times New Roman"/>
          <w:sz w:val="24"/>
          <w:szCs w:val="24"/>
        </w:rPr>
      </w:pPr>
      <w:r w:rsidRPr="00615E7B">
        <w:rPr>
          <w:rFonts w:ascii="Times New Roman" w:hAnsi="Times New Roman" w:cs="Times New Roman"/>
          <w:sz w:val="24"/>
          <w:szCs w:val="24"/>
        </w:rPr>
        <w:t xml:space="preserve">However, despite these positive developments, Maat has observed numerous violations of fair trial guarantees, which clearly contravene the provisions of Article 14 of the Covenant. In May 2023, Jordanian security forces arrested three citizens—H.J., E.J., and </w:t>
      </w:r>
      <w:proofErr w:type="spellStart"/>
      <w:r w:rsidRPr="00615E7B">
        <w:rPr>
          <w:rFonts w:ascii="Times New Roman" w:hAnsi="Times New Roman" w:cs="Times New Roman"/>
          <w:sz w:val="24"/>
          <w:szCs w:val="24"/>
        </w:rPr>
        <w:t>Kh.M</w:t>
      </w:r>
      <w:proofErr w:type="spellEnd"/>
      <w:r w:rsidRPr="00615E7B">
        <w:rPr>
          <w:rFonts w:ascii="Times New Roman" w:hAnsi="Times New Roman" w:cs="Times New Roman"/>
          <w:sz w:val="24"/>
          <w:szCs w:val="24"/>
        </w:rPr>
        <w:t xml:space="preserve">.—on charges of attempting to transfer weapons to Palestine. Reports reviewed by Maat indicate that their trial before the </w:t>
      </w:r>
      <w:r w:rsidRPr="00615E7B">
        <w:rPr>
          <w:rFonts w:ascii="Times New Roman" w:hAnsi="Times New Roman" w:cs="Times New Roman"/>
          <w:sz w:val="24"/>
          <w:szCs w:val="24"/>
        </w:rPr>
        <w:lastRenderedPageBreak/>
        <w:t>Jordanian State Security Court was plagued by several violations of fair trial guarantees. The authorities denied their release on bail, and they were held in a ward overcrowded with high-risk criminal prisoners, including murderers, rapists, and drug dealers, which violates Article 11 of the Correctional and Rehabilitation Centers Law, mandating the separation of detainees awaiting trial from convicted individuals. Family visits were also restricted to communication through a glass barrier and a phone under security surveillance. Moreover, there were repeated instances of prosecution witnesses being absent from sessions without clear justification, the most recent occurring in November 2024, which resulted in the case being postponed and the trial unnecessarily prolonged.</w:t>
      </w:r>
      <w:r w:rsidRPr="00615E7B">
        <w:rPr>
          <w:rStyle w:val="FootnoteReference"/>
          <w:rFonts w:ascii="Times New Roman" w:hAnsi="Times New Roman" w:cs="Times New Roman"/>
          <w:sz w:val="24"/>
          <w:szCs w:val="24"/>
        </w:rPr>
        <w:footnoteReference w:id="12"/>
      </w:r>
    </w:p>
    <w:p w14:paraId="630A5189" w14:textId="77777777" w:rsidR="00D913CB" w:rsidRPr="00D913CB" w:rsidRDefault="00D913CB" w:rsidP="00D913CB">
      <w:pPr>
        <w:jc w:val="both"/>
        <w:rPr>
          <w:rFonts w:ascii="Times New Roman" w:hAnsi="Times New Roman" w:cs="Times New Roman"/>
          <w:b/>
          <w:bCs/>
          <w:sz w:val="24"/>
          <w:szCs w:val="24"/>
        </w:rPr>
      </w:pPr>
      <w:r w:rsidRPr="00D913CB">
        <w:rPr>
          <w:rFonts w:ascii="Times New Roman" w:hAnsi="Times New Roman" w:cs="Times New Roman"/>
          <w:b/>
          <w:bCs/>
          <w:sz w:val="24"/>
          <w:szCs w:val="24"/>
        </w:rPr>
        <w:t>Proposed issues:</w:t>
      </w:r>
    </w:p>
    <w:p w14:paraId="1DE6DAF9" w14:textId="77777777" w:rsidR="00D913CB" w:rsidRPr="00D913CB" w:rsidRDefault="00D913CB" w:rsidP="00D913CB">
      <w:pPr>
        <w:jc w:val="both"/>
        <w:rPr>
          <w:rFonts w:ascii="Times New Roman" w:hAnsi="Times New Roman" w:cs="Times New Roman"/>
          <w:b/>
          <w:bCs/>
          <w:sz w:val="24"/>
          <w:szCs w:val="24"/>
        </w:rPr>
      </w:pPr>
      <w:r w:rsidRPr="00D913CB">
        <w:rPr>
          <w:rFonts w:ascii="Times New Roman" w:hAnsi="Times New Roman" w:cs="Times New Roman"/>
          <w:b/>
          <w:bCs/>
          <w:sz w:val="24"/>
          <w:szCs w:val="24"/>
        </w:rPr>
        <w:t>Maat seeks information from the State party on the following issues:</w:t>
      </w:r>
    </w:p>
    <w:p w14:paraId="3C6B5301" w14:textId="58369696" w:rsidR="00D913CB" w:rsidRPr="00D913CB" w:rsidRDefault="00D913CB" w:rsidP="00D913CB">
      <w:pPr>
        <w:pStyle w:val="ListParagraph"/>
        <w:numPr>
          <w:ilvl w:val="0"/>
          <w:numId w:val="46"/>
        </w:numPr>
        <w:jc w:val="both"/>
        <w:rPr>
          <w:rFonts w:ascii="Times New Roman" w:hAnsi="Times New Roman" w:cs="Times New Roman"/>
          <w:sz w:val="24"/>
          <w:szCs w:val="24"/>
        </w:rPr>
      </w:pPr>
      <w:r w:rsidRPr="00D913CB">
        <w:rPr>
          <w:rFonts w:ascii="Times New Roman" w:hAnsi="Times New Roman" w:cs="Times New Roman"/>
          <w:sz w:val="24"/>
          <w:szCs w:val="24"/>
        </w:rPr>
        <w:t>Do the Jordanian authorities intend to take further steps to ensure that trials before the State Security Court fully comply with international fair trial standards, particularly with regard to the rights of defendants such as release on bail?</w:t>
      </w:r>
    </w:p>
    <w:p w14:paraId="7C5C3150" w14:textId="13F81789" w:rsidR="00D913CB" w:rsidRPr="00D913CB" w:rsidRDefault="00D913CB" w:rsidP="00D913CB">
      <w:pPr>
        <w:pStyle w:val="ListParagraph"/>
        <w:numPr>
          <w:ilvl w:val="0"/>
          <w:numId w:val="46"/>
        </w:numPr>
        <w:jc w:val="both"/>
        <w:rPr>
          <w:rFonts w:ascii="Times New Roman" w:hAnsi="Times New Roman" w:cs="Times New Roman"/>
          <w:sz w:val="24"/>
          <w:szCs w:val="24"/>
        </w:rPr>
      </w:pPr>
      <w:r w:rsidRPr="00D913CB">
        <w:rPr>
          <w:rFonts w:ascii="Times New Roman" w:hAnsi="Times New Roman" w:cs="Times New Roman"/>
          <w:sz w:val="24"/>
          <w:szCs w:val="24"/>
        </w:rPr>
        <w:t>What measures is the Jordanian government taking to ensure an adequate trial environment, particularly with regard to the detention of defendants in separate locations from convicted persons, in accordance with Article 11 of the Correctional and Rehabilitation Centers Law?</w:t>
      </w:r>
    </w:p>
    <w:p w14:paraId="69779CC1" w14:textId="30163DC1" w:rsidR="00D913CB" w:rsidRPr="00D913CB" w:rsidRDefault="00D913CB" w:rsidP="00D913CB">
      <w:pPr>
        <w:pStyle w:val="ListParagraph"/>
        <w:numPr>
          <w:ilvl w:val="0"/>
          <w:numId w:val="46"/>
        </w:numPr>
        <w:jc w:val="both"/>
        <w:rPr>
          <w:rFonts w:ascii="Times New Roman" w:hAnsi="Times New Roman" w:cs="Times New Roman"/>
          <w:sz w:val="24"/>
          <w:szCs w:val="24"/>
        </w:rPr>
      </w:pPr>
      <w:r w:rsidRPr="00D913CB">
        <w:rPr>
          <w:rFonts w:ascii="Times New Roman" w:hAnsi="Times New Roman" w:cs="Times New Roman"/>
          <w:sz w:val="24"/>
          <w:szCs w:val="24"/>
        </w:rPr>
        <w:t>How does the Jordanian government ensure access to justice for citizens in remote or underprivileged areas, particularly with regard to the use of modern technologies such as remote trials, and are they implemented comprehensively for all defendants?</w:t>
      </w:r>
    </w:p>
    <w:p w14:paraId="5A6DB9AA" w14:textId="77777777" w:rsidR="00615E7B" w:rsidRPr="0092371C" w:rsidRDefault="00615E7B" w:rsidP="00615E7B">
      <w:pPr>
        <w:jc w:val="both"/>
        <w:rPr>
          <w:rFonts w:ascii="Times New Roman" w:hAnsi="Times New Roman" w:cs="Times New Roman"/>
          <w:b/>
          <w:bCs/>
          <w:color w:val="ED0000"/>
          <w:sz w:val="28"/>
          <w:szCs w:val="28"/>
        </w:rPr>
      </w:pPr>
      <w:r w:rsidRPr="0092371C">
        <w:rPr>
          <w:rFonts w:ascii="Times New Roman" w:hAnsi="Times New Roman" w:cs="Times New Roman"/>
          <w:b/>
          <w:bCs/>
          <w:color w:val="ED0000"/>
          <w:sz w:val="28"/>
          <w:szCs w:val="28"/>
        </w:rPr>
        <w:t>Freedom of Opinion and Expression (Article 19)</w:t>
      </w:r>
    </w:p>
    <w:p w14:paraId="3E7887B3" w14:textId="77777777" w:rsidR="00615E7B" w:rsidRPr="00615E7B" w:rsidRDefault="00615E7B" w:rsidP="0092371C">
      <w:pPr>
        <w:jc w:val="both"/>
        <w:rPr>
          <w:rFonts w:ascii="Times New Roman" w:hAnsi="Times New Roman" w:cs="Times New Roman"/>
          <w:sz w:val="24"/>
          <w:szCs w:val="24"/>
        </w:rPr>
      </w:pPr>
      <w:r w:rsidRPr="00615E7B">
        <w:rPr>
          <w:rFonts w:ascii="Times New Roman" w:hAnsi="Times New Roman" w:cs="Times New Roman"/>
          <w:sz w:val="24"/>
          <w:szCs w:val="24"/>
        </w:rPr>
        <w:t>Freedom of opinion and expression is a fundamental right enshrined in international conventions and the Jordanian Constitution, serving as a crucial pillar for strengthening democracy and ensuring intellectual pluralism. However, this freedom faces increasing challenges in Jordan due to legislation that restricts spaces for expression. The expansion of laws criminalizing the exercise of this right has imposed severe restrictions on journalists and human rights defenders, representing a significant retreat from the international obligations ratified by Jordan, particularly those outlined in Article 19 of the Covenant.</w:t>
      </w:r>
    </w:p>
    <w:p w14:paraId="30FAA8CF" w14:textId="128D7804" w:rsidR="00615E7B" w:rsidRPr="00615E7B" w:rsidRDefault="00615E7B" w:rsidP="0092371C">
      <w:pPr>
        <w:jc w:val="both"/>
        <w:rPr>
          <w:rFonts w:ascii="Times New Roman" w:hAnsi="Times New Roman" w:cs="Times New Roman"/>
          <w:sz w:val="24"/>
          <w:szCs w:val="24"/>
        </w:rPr>
      </w:pPr>
      <w:r w:rsidRPr="00615E7B">
        <w:rPr>
          <w:rFonts w:ascii="Times New Roman" w:hAnsi="Times New Roman" w:cs="Times New Roman"/>
          <w:sz w:val="24"/>
          <w:szCs w:val="24"/>
        </w:rPr>
        <w:t xml:space="preserve">In this context, Maat has reviewed reports indicating that the Cybercrime Law No. 17 of 2023 was enacted without adequate consultations with key stakeholders, such as political parties, media professionals, and civil society organizations. The provisions of the law significantly broaden the </w:t>
      </w:r>
      <w:r w:rsidRPr="00615E7B">
        <w:rPr>
          <w:rFonts w:ascii="Times New Roman" w:hAnsi="Times New Roman" w:cs="Times New Roman"/>
          <w:sz w:val="24"/>
          <w:szCs w:val="24"/>
        </w:rPr>
        <w:lastRenderedPageBreak/>
        <w:t>scope of criminality through the use of vague and interpretable terms, such as “spreading false news,” “inciting sedition,” “inciting immorality,” and “character assassination.” These terms are imprecise and undefined, failing to comply with Article 19 of the International Covenant on Civil and Political Rights, which mandates that restrictions on freedom of expression be clearly articulated in legislation and adhere to the principles of necessity and proportionality. Consequently, Jordanian authorities have been granted extensive powers to penalize individuals for exercising their right to freedom of expression.</w:t>
      </w:r>
    </w:p>
    <w:p w14:paraId="1B2ACB51" w14:textId="5408F3B2" w:rsidR="00615E7B" w:rsidRDefault="00615E7B" w:rsidP="0092371C">
      <w:pPr>
        <w:jc w:val="both"/>
        <w:rPr>
          <w:rFonts w:ascii="Times New Roman" w:hAnsi="Times New Roman" w:cs="Times New Roman"/>
          <w:sz w:val="24"/>
          <w:szCs w:val="24"/>
        </w:rPr>
      </w:pPr>
      <w:r w:rsidRPr="00615E7B">
        <w:rPr>
          <w:rFonts w:ascii="Times New Roman" w:hAnsi="Times New Roman" w:cs="Times New Roman"/>
          <w:sz w:val="24"/>
          <w:szCs w:val="24"/>
        </w:rPr>
        <w:t>Since the law's implementation in September 2023, it has significantly curtailed freedom of opinion and expression in Jordan, with numerous citizens, including journalists and human rights defenders, facing charges under its provisions. In February 2024, lawyer and human rights defender M.A. was detained for posts on the X platform criticizing trade agreements between Arab countries and Israel. In July 2024, he was charged with “inciting strife or discord” under Article 17 of the Cybercrime Law and fined 5,000 Jordanian dinars (approximately $7,000). In the same month, journalist A.H. was arrested following an appeals court ruling in August 2023, which convicted him of “inciting sectarian strife” due to a Facebook post that criticized the authorities’ response to fuel price protests in late 2022.</w:t>
      </w:r>
    </w:p>
    <w:p w14:paraId="5ECD814F" w14:textId="77777777" w:rsidR="00D913CB" w:rsidRPr="00D913CB" w:rsidRDefault="00D913CB" w:rsidP="00D913CB">
      <w:pPr>
        <w:jc w:val="both"/>
        <w:rPr>
          <w:rFonts w:ascii="Times New Roman" w:hAnsi="Times New Roman" w:cs="Times New Roman"/>
          <w:b/>
          <w:bCs/>
          <w:sz w:val="24"/>
          <w:szCs w:val="24"/>
        </w:rPr>
      </w:pPr>
      <w:r w:rsidRPr="00D913CB">
        <w:rPr>
          <w:rFonts w:ascii="Times New Roman" w:hAnsi="Times New Roman" w:cs="Times New Roman"/>
          <w:b/>
          <w:bCs/>
          <w:sz w:val="24"/>
          <w:szCs w:val="24"/>
        </w:rPr>
        <w:t>Proposed issues:</w:t>
      </w:r>
    </w:p>
    <w:p w14:paraId="0CE6A66B" w14:textId="77777777" w:rsidR="00D913CB" w:rsidRPr="00D913CB" w:rsidRDefault="00D913CB" w:rsidP="00D913CB">
      <w:pPr>
        <w:jc w:val="both"/>
        <w:rPr>
          <w:rFonts w:ascii="Times New Roman" w:hAnsi="Times New Roman" w:cs="Times New Roman"/>
          <w:b/>
          <w:bCs/>
          <w:sz w:val="24"/>
          <w:szCs w:val="24"/>
        </w:rPr>
      </w:pPr>
      <w:r w:rsidRPr="00D913CB">
        <w:rPr>
          <w:rFonts w:ascii="Times New Roman" w:hAnsi="Times New Roman" w:cs="Times New Roman"/>
          <w:b/>
          <w:bCs/>
          <w:sz w:val="24"/>
          <w:szCs w:val="24"/>
        </w:rPr>
        <w:t>Maat seeks information from the State party on the following issues:</w:t>
      </w:r>
    </w:p>
    <w:p w14:paraId="078B0DDF" w14:textId="06D6D15B" w:rsidR="00D913CB" w:rsidRPr="00D913CB" w:rsidRDefault="00D913CB" w:rsidP="00D913CB">
      <w:pPr>
        <w:pStyle w:val="ListParagraph"/>
        <w:numPr>
          <w:ilvl w:val="0"/>
          <w:numId w:val="47"/>
        </w:numPr>
        <w:jc w:val="both"/>
        <w:rPr>
          <w:rFonts w:ascii="Times New Roman" w:hAnsi="Times New Roman" w:cs="Times New Roman"/>
          <w:sz w:val="24"/>
          <w:szCs w:val="24"/>
        </w:rPr>
      </w:pPr>
      <w:r w:rsidRPr="00D913CB">
        <w:rPr>
          <w:rFonts w:ascii="Times New Roman" w:hAnsi="Times New Roman" w:cs="Times New Roman"/>
          <w:sz w:val="24"/>
          <w:szCs w:val="24"/>
        </w:rPr>
        <w:t>What steps can the Jordanian government take to ensure that legislation relating to freedom of opinion and expression is consistent with Article 19 of the International Covenant on Civil and Political Rights, and limits restrictions that may unjustifiably restrict this right?</w:t>
      </w:r>
    </w:p>
    <w:p w14:paraId="7C9FE3EC" w14:textId="441FBCEA" w:rsidR="00D913CB" w:rsidRPr="00D913CB" w:rsidRDefault="00D913CB" w:rsidP="00D913CB">
      <w:pPr>
        <w:pStyle w:val="ListParagraph"/>
        <w:numPr>
          <w:ilvl w:val="0"/>
          <w:numId w:val="47"/>
        </w:numPr>
        <w:jc w:val="both"/>
        <w:rPr>
          <w:rFonts w:ascii="Times New Roman" w:hAnsi="Times New Roman" w:cs="Times New Roman"/>
          <w:sz w:val="24"/>
          <w:szCs w:val="24"/>
        </w:rPr>
      </w:pPr>
      <w:r w:rsidRPr="00D913CB">
        <w:rPr>
          <w:rFonts w:ascii="Times New Roman" w:hAnsi="Times New Roman" w:cs="Times New Roman"/>
          <w:sz w:val="24"/>
          <w:szCs w:val="24"/>
        </w:rPr>
        <w:t>Are there plans by the Jordanian authorities to ensure greater community participation in the development of future legislation, particularly on the Cybercrime Law?</w:t>
      </w:r>
    </w:p>
    <w:p w14:paraId="7CA9230E" w14:textId="45B4C3C4" w:rsidR="00D913CB" w:rsidRPr="00D913CB" w:rsidRDefault="00D913CB" w:rsidP="00D913CB">
      <w:pPr>
        <w:pStyle w:val="ListParagraph"/>
        <w:numPr>
          <w:ilvl w:val="0"/>
          <w:numId w:val="47"/>
        </w:numPr>
        <w:jc w:val="both"/>
        <w:rPr>
          <w:rFonts w:ascii="Times New Roman" w:hAnsi="Times New Roman" w:cs="Times New Roman"/>
          <w:sz w:val="24"/>
          <w:szCs w:val="24"/>
        </w:rPr>
      </w:pPr>
      <w:r w:rsidRPr="00D913CB">
        <w:rPr>
          <w:rFonts w:ascii="Times New Roman" w:hAnsi="Times New Roman" w:cs="Times New Roman"/>
          <w:sz w:val="24"/>
          <w:szCs w:val="24"/>
        </w:rPr>
        <w:t>What measures can be taken to ensure that the application of the Cybercrime Law does not restrict the fundamental rights of journalists and human rights defenders, particularly with regard to legal threats such as detention and fines?</w:t>
      </w:r>
    </w:p>
    <w:p w14:paraId="53C6AC28" w14:textId="77777777" w:rsidR="00615E7B" w:rsidRPr="0092371C" w:rsidRDefault="00615E7B" w:rsidP="00615E7B">
      <w:pPr>
        <w:jc w:val="both"/>
        <w:rPr>
          <w:rFonts w:ascii="Times New Roman" w:hAnsi="Times New Roman" w:cs="Times New Roman"/>
          <w:b/>
          <w:bCs/>
          <w:color w:val="ED0000"/>
          <w:sz w:val="28"/>
          <w:szCs w:val="28"/>
        </w:rPr>
      </w:pPr>
      <w:r w:rsidRPr="0092371C">
        <w:rPr>
          <w:rFonts w:ascii="Times New Roman" w:hAnsi="Times New Roman" w:cs="Times New Roman"/>
          <w:b/>
          <w:bCs/>
          <w:color w:val="ED0000"/>
          <w:sz w:val="28"/>
          <w:szCs w:val="28"/>
        </w:rPr>
        <w:t>Freedom of Peaceful Assembly (Article 21)</w:t>
      </w:r>
    </w:p>
    <w:p w14:paraId="07C74A2F" w14:textId="77777777" w:rsidR="00615E7B" w:rsidRPr="00615E7B" w:rsidRDefault="00615E7B" w:rsidP="0092371C">
      <w:pPr>
        <w:jc w:val="both"/>
        <w:rPr>
          <w:rFonts w:ascii="Times New Roman" w:hAnsi="Times New Roman" w:cs="Times New Roman"/>
          <w:sz w:val="24"/>
          <w:szCs w:val="24"/>
        </w:rPr>
      </w:pPr>
      <w:r w:rsidRPr="00615E7B">
        <w:rPr>
          <w:rFonts w:ascii="Times New Roman" w:hAnsi="Times New Roman" w:cs="Times New Roman"/>
          <w:sz w:val="24"/>
          <w:szCs w:val="24"/>
        </w:rPr>
        <w:t xml:space="preserve">Since October 2023, Jordan has experienced a surge of weekly popular protests in solidarity with Gaza and in opposition to Israeli aggression against Palestinian civilians. These protests have been met with widespread arrests by Jordanian security forces, with estimates indicating that over 1,500 protesters were detained between October 2023 and April 2024. The authorities have invoked the </w:t>
      </w:r>
      <w:r w:rsidRPr="00615E7B">
        <w:rPr>
          <w:rFonts w:ascii="Times New Roman" w:hAnsi="Times New Roman" w:cs="Times New Roman"/>
          <w:sz w:val="24"/>
          <w:szCs w:val="24"/>
        </w:rPr>
        <w:lastRenderedPageBreak/>
        <w:t>2023 Cybercrime Law, noted for its restrictive nature, to charge peaceful protesters with “illegal gatherings” and “resisting security forces.”</w:t>
      </w:r>
      <w:r w:rsidRPr="00615E7B">
        <w:rPr>
          <w:rStyle w:val="FootnoteReference"/>
          <w:rFonts w:ascii="Times New Roman" w:hAnsi="Times New Roman" w:cs="Times New Roman"/>
          <w:sz w:val="24"/>
          <w:szCs w:val="24"/>
        </w:rPr>
        <w:footnoteReference w:id="13"/>
      </w:r>
    </w:p>
    <w:p w14:paraId="0375A3C7" w14:textId="77777777" w:rsidR="00615E7B" w:rsidRPr="00615E7B" w:rsidRDefault="00615E7B" w:rsidP="0092371C">
      <w:pPr>
        <w:jc w:val="both"/>
        <w:rPr>
          <w:rFonts w:ascii="Times New Roman" w:hAnsi="Times New Roman" w:cs="Times New Roman"/>
          <w:sz w:val="24"/>
          <w:szCs w:val="24"/>
        </w:rPr>
      </w:pPr>
      <w:r w:rsidRPr="00615E7B">
        <w:rPr>
          <w:rFonts w:ascii="Times New Roman" w:hAnsi="Times New Roman" w:cs="Times New Roman"/>
          <w:sz w:val="24"/>
          <w:szCs w:val="24"/>
        </w:rPr>
        <w:t>In April 2024, Jordanian authorities deported two Syrian refugees, A.M., 24, and W.A., 31, preventing their future return to Jordan due to their participation in demonstrations against Israeli actions in Gaza. Reports indicate that the two young men were not referred to any judicial body or formally charged with any crime. They were subjected to multiple violations, including a lack of information regarding the reasons for their arrest or deportation, denial of the opportunity to appeal their arrest or deportation, and interrogation without legal representation.</w:t>
      </w:r>
      <w:r w:rsidRPr="00615E7B">
        <w:rPr>
          <w:rStyle w:val="FootnoteReference"/>
          <w:rFonts w:ascii="Times New Roman" w:hAnsi="Times New Roman" w:cs="Times New Roman"/>
          <w:sz w:val="24"/>
          <w:szCs w:val="24"/>
        </w:rPr>
        <w:footnoteReference w:id="14"/>
      </w:r>
      <w:r w:rsidRPr="00615E7B">
        <w:rPr>
          <w:rFonts w:ascii="Times New Roman" w:hAnsi="Times New Roman" w:cs="Times New Roman"/>
          <w:sz w:val="24"/>
          <w:szCs w:val="24"/>
        </w:rPr>
        <w:t xml:space="preserve"> Maat considers this deportation a serious violation, particularly given the risks to their lives amid the ongoing armed conflict and instability in Syria since March 2011.</w:t>
      </w:r>
      <w:r w:rsidRPr="00615E7B">
        <w:rPr>
          <w:rStyle w:val="FootnoteReference"/>
          <w:rFonts w:ascii="Times New Roman" w:hAnsi="Times New Roman" w:cs="Times New Roman"/>
          <w:sz w:val="24"/>
          <w:szCs w:val="24"/>
        </w:rPr>
        <w:footnoteReference w:id="15"/>
      </w:r>
    </w:p>
    <w:p w14:paraId="0BC5A669" w14:textId="77777777" w:rsidR="00D913CB" w:rsidRPr="00D913CB" w:rsidRDefault="00D913CB" w:rsidP="00D913CB">
      <w:pPr>
        <w:rPr>
          <w:rFonts w:asciiTheme="majorBidi" w:hAnsiTheme="majorBidi" w:cstheme="majorBidi"/>
          <w:b/>
          <w:bCs/>
          <w:sz w:val="24"/>
          <w:szCs w:val="24"/>
        </w:rPr>
      </w:pPr>
      <w:r w:rsidRPr="00D913CB">
        <w:rPr>
          <w:rFonts w:asciiTheme="majorBidi" w:hAnsiTheme="majorBidi" w:cstheme="majorBidi"/>
          <w:b/>
          <w:bCs/>
          <w:sz w:val="24"/>
          <w:szCs w:val="24"/>
        </w:rPr>
        <w:t>Proposed issues:</w:t>
      </w:r>
    </w:p>
    <w:p w14:paraId="388DCF61" w14:textId="77777777" w:rsidR="00D913CB" w:rsidRPr="00D913CB" w:rsidRDefault="00D913CB" w:rsidP="00D913CB">
      <w:pPr>
        <w:rPr>
          <w:rFonts w:asciiTheme="majorBidi" w:hAnsiTheme="majorBidi" w:cstheme="majorBidi"/>
          <w:b/>
          <w:bCs/>
          <w:sz w:val="24"/>
          <w:szCs w:val="24"/>
        </w:rPr>
      </w:pPr>
      <w:r w:rsidRPr="00D913CB">
        <w:rPr>
          <w:rFonts w:asciiTheme="majorBidi" w:hAnsiTheme="majorBidi" w:cstheme="majorBidi"/>
          <w:b/>
          <w:bCs/>
          <w:sz w:val="24"/>
          <w:szCs w:val="24"/>
        </w:rPr>
        <w:t>Maat seeks information from the State party on the following issues:</w:t>
      </w:r>
    </w:p>
    <w:p w14:paraId="33598FC9" w14:textId="339E2548" w:rsidR="00D913CB" w:rsidRPr="00D913CB" w:rsidRDefault="00D913CB" w:rsidP="00D913CB">
      <w:pPr>
        <w:pStyle w:val="ListParagraph"/>
        <w:numPr>
          <w:ilvl w:val="0"/>
          <w:numId w:val="48"/>
        </w:numPr>
        <w:rPr>
          <w:rFonts w:asciiTheme="majorBidi" w:hAnsiTheme="majorBidi" w:cstheme="majorBidi"/>
          <w:sz w:val="24"/>
          <w:szCs w:val="24"/>
        </w:rPr>
      </w:pPr>
      <w:r w:rsidRPr="00D913CB">
        <w:rPr>
          <w:rFonts w:asciiTheme="majorBidi" w:hAnsiTheme="majorBidi" w:cstheme="majorBidi"/>
          <w:sz w:val="24"/>
          <w:szCs w:val="24"/>
        </w:rPr>
        <w:t>How do the Jordanian authorities justify the use of the 2023 Cybercrime Law to restrict freedom of peaceful assembly and expression, and do they consider this law to be in line with Jordan’s international human rights obligations?</w:t>
      </w:r>
    </w:p>
    <w:p w14:paraId="0DEDD9CE" w14:textId="57D373AE" w:rsidR="00D913CB" w:rsidRPr="00D913CB" w:rsidRDefault="00D913CB" w:rsidP="00D913CB">
      <w:pPr>
        <w:pStyle w:val="ListParagraph"/>
        <w:numPr>
          <w:ilvl w:val="0"/>
          <w:numId w:val="48"/>
        </w:numPr>
        <w:rPr>
          <w:rFonts w:asciiTheme="majorBidi" w:hAnsiTheme="majorBidi" w:cstheme="majorBidi"/>
          <w:sz w:val="24"/>
          <w:szCs w:val="24"/>
        </w:rPr>
      </w:pPr>
      <w:r w:rsidRPr="00D913CB">
        <w:rPr>
          <w:rFonts w:asciiTheme="majorBidi" w:hAnsiTheme="majorBidi" w:cstheme="majorBidi"/>
          <w:sz w:val="24"/>
          <w:szCs w:val="24"/>
        </w:rPr>
        <w:t>How do the Jordanian authorities respond to violations of detainees’ rights, such as not informing them of the reasons for their arrest or deportation, and denying them the opportunity to appeal the decision of arrest or deportation? And how do the authorities ensure that these measures are in line with international standards?</w:t>
      </w:r>
    </w:p>
    <w:p w14:paraId="6FC6308C" w14:textId="1DF10106" w:rsidR="006B1AFB" w:rsidRPr="00D913CB" w:rsidRDefault="00D913CB" w:rsidP="00D913CB">
      <w:pPr>
        <w:pStyle w:val="ListParagraph"/>
        <w:numPr>
          <w:ilvl w:val="0"/>
          <w:numId w:val="48"/>
        </w:numPr>
        <w:jc w:val="both"/>
        <w:rPr>
          <w:rFonts w:asciiTheme="majorBidi" w:hAnsiTheme="majorBidi" w:cstheme="majorBidi"/>
          <w:sz w:val="24"/>
          <w:szCs w:val="24"/>
          <w:rtl/>
        </w:rPr>
      </w:pPr>
      <w:r w:rsidRPr="00D913CB">
        <w:rPr>
          <w:rFonts w:asciiTheme="majorBidi" w:hAnsiTheme="majorBidi" w:cstheme="majorBidi"/>
          <w:sz w:val="24"/>
          <w:szCs w:val="24"/>
        </w:rPr>
        <w:t>What measures have the Jordanian authorities taken to ensure that protesters or detainees are not subjected to any form of intimidation or ill-treatment during protests or while in detention?</w:t>
      </w:r>
    </w:p>
    <w:sectPr w:rsidR="006B1AFB" w:rsidRPr="00D913CB" w:rsidSect="00786D2C">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30283F" w14:textId="77777777" w:rsidR="00E47C87" w:rsidRDefault="00E47C87" w:rsidP="004F6D5A">
      <w:pPr>
        <w:spacing w:after="0" w:line="240" w:lineRule="auto"/>
      </w:pPr>
      <w:r>
        <w:separator/>
      </w:r>
    </w:p>
  </w:endnote>
  <w:endnote w:type="continuationSeparator" w:id="0">
    <w:p w14:paraId="47111836" w14:textId="77777777" w:rsidR="00E47C87" w:rsidRDefault="00E47C87" w:rsidP="004F6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6"/>
      <w:gridCol w:w="567"/>
      <w:gridCol w:w="1276"/>
      <w:gridCol w:w="536"/>
      <w:gridCol w:w="1812"/>
      <w:gridCol w:w="412"/>
      <w:gridCol w:w="4272"/>
    </w:tblGrid>
    <w:tr w:rsidR="00646A53" w14:paraId="228E00F9" w14:textId="77777777" w:rsidTr="007A601B">
      <w:trPr>
        <w:jc w:val="center"/>
      </w:trPr>
      <w:tc>
        <w:tcPr>
          <w:tcW w:w="646" w:type="pct"/>
          <w:vMerge w:val="restart"/>
          <w:vAlign w:val="center"/>
        </w:tcPr>
        <w:p w14:paraId="289FA700" w14:textId="77777777" w:rsidR="00646A53" w:rsidRDefault="00646A53" w:rsidP="00646A53">
          <w:pPr>
            <w:spacing w:after="60"/>
            <w:jc w:val="center"/>
            <w:rPr>
              <w:noProof/>
              <w:rtl/>
            </w:rPr>
          </w:pPr>
          <w:r>
            <w:rPr>
              <w:rFonts w:hint="cs"/>
              <w:noProof/>
              <w:lang w:val="en-GB" w:eastAsia="en-GB"/>
            </w:rPr>
            <w:drawing>
              <wp:inline distT="0" distB="0" distL="0" distR="0" wp14:anchorId="6E1055C6" wp14:editId="03B771DD">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0FD67016" w14:textId="77777777" w:rsidR="00646A53" w:rsidRDefault="00646A53" w:rsidP="00646A53">
          <w:pPr>
            <w:spacing w:after="60"/>
            <w:rPr>
              <w:rFonts w:ascii="Times New Roman" w:hAnsi="Times New Roman" w:cs="Times New Roman"/>
              <w:b/>
              <w:bCs/>
              <w:color w:val="000066"/>
              <w:sz w:val="20"/>
              <w:szCs w:val="20"/>
            </w:rPr>
          </w:pPr>
        </w:p>
        <w:p w14:paraId="3096C19A" w14:textId="77777777" w:rsidR="00646A53" w:rsidRPr="00EB74DC" w:rsidRDefault="00646A53" w:rsidP="00646A53">
          <w:pPr>
            <w:spacing w:after="60"/>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46A53" w14:paraId="2DF3C675" w14:textId="77777777" w:rsidTr="007A601B">
      <w:trPr>
        <w:jc w:val="center"/>
      </w:trPr>
      <w:tc>
        <w:tcPr>
          <w:tcW w:w="646" w:type="pct"/>
          <w:vMerge/>
        </w:tcPr>
        <w:p w14:paraId="3CC803A2" w14:textId="77777777" w:rsidR="00646A53" w:rsidRDefault="00646A53" w:rsidP="00646A53">
          <w:pPr>
            <w:jc w:val="center"/>
            <w:rPr>
              <w:b/>
              <w:bCs/>
              <w:noProof/>
              <w:lang w:bidi="ar-EG"/>
            </w:rPr>
          </w:pPr>
        </w:p>
      </w:tc>
      <w:tc>
        <w:tcPr>
          <w:tcW w:w="278" w:type="pct"/>
          <w:vMerge w:val="restart"/>
          <w:vAlign w:val="center"/>
        </w:tcPr>
        <w:p w14:paraId="60403A03" w14:textId="77777777" w:rsidR="00646A53" w:rsidRPr="000F15D5" w:rsidRDefault="00646A53" w:rsidP="00646A53">
          <w:pPr>
            <w:jc w:val="center"/>
            <w:rPr>
              <w:b/>
              <w:bCs/>
              <w:lang w:bidi="ar-EG"/>
            </w:rPr>
          </w:pPr>
          <w:r>
            <w:rPr>
              <w:b/>
              <w:bCs/>
              <w:noProof/>
              <w:lang w:val="en-GB" w:eastAsia="en-GB"/>
            </w:rPr>
            <w:drawing>
              <wp:inline distT="0" distB="0" distL="0" distR="0" wp14:anchorId="2F97D22D" wp14:editId="6E66C63C">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1AFE6EF7" w14:textId="77777777" w:rsidR="00646A53" w:rsidRPr="000F15D5" w:rsidRDefault="00646A53" w:rsidP="00646A53">
          <w:pPr>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148 Misr Helwan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r w:rsidRPr="000F15D5">
            <w:rPr>
              <w:rFonts w:asciiTheme="majorBidi" w:eastAsia="Times New Roman" w:hAnsiTheme="majorBidi" w:cstheme="majorBidi"/>
              <w:color w:val="000000"/>
              <w:sz w:val="18"/>
              <w:szCs w:val="18"/>
            </w:rPr>
            <w:t xml:space="preserve">Sq,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Maadi,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46A53" w14:paraId="21D64D10" w14:textId="77777777" w:rsidTr="007A601B">
      <w:trPr>
        <w:jc w:val="center"/>
      </w:trPr>
      <w:tc>
        <w:tcPr>
          <w:tcW w:w="646" w:type="pct"/>
          <w:vMerge/>
        </w:tcPr>
        <w:p w14:paraId="7C115057" w14:textId="77777777" w:rsidR="00646A53" w:rsidRDefault="00646A53" w:rsidP="00646A53">
          <w:pPr>
            <w:jc w:val="center"/>
            <w:rPr>
              <w:lang w:bidi="ar-EG"/>
            </w:rPr>
          </w:pPr>
        </w:p>
      </w:tc>
      <w:tc>
        <w:tcPr>
          <w:tcW w:w="278" w:type="pct"/>
          <w:vMerge/>
          <w:vAlign w:val="center"/>
        </w:tcPr>
        <w:p w14:paraId="3F4411A4" w14:textId="77777777" w:rsidR="00646A53" w:rsidRDefault="00646A53" w:rsidP="00646A53">
          <w:pPr>
            <w:jc w:val="center"/>
            <w:rPr>
              <w:lang w:bidi="ar-EG"/>
            </w:rPr>
          </w:pPr>
        </w:p>
      </w:tc>
      <w:tc>
        <w:tcPr>
          <w:tcW w:w="4076" w:type="pct"/>
          <w:gridSpan w:val="5"/>
          <w:vAlign w:val="center"/>
        </w:tcPr>
        <w:p w14:paraId="31659A1E" w14:textId="77777777" w:rsidR="00646A53" w:rsidRPr="000F15D5" w:rsidRDefault="00646A53" w:rsidP="00646A53">
          <w:pPr>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Corniche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Maadi Tower,38th Floor, Tower B, Cairo, Egypt</w:t>
          </w:r>
        </w:p>
      </w:tc>
    </w:tr>
    <w:tr w:rsidR="00646A53" w14:paraId="7F46E2BA" w14:textId="77777777" w:rsidTr="007A601B">
      <w:trPr>
        <w:jc w:val="center"/>
      </w:trPr>
      <w:tc>
        <w:tcPr>
          <w:tcW w:w="646" w:type="pct"/>
          <w:vMerge/>
        </w:tcPr>
        <w:p w14:paraId="35572253" w14:textId="77777777" w:rsidR="00646A53" w:rsidRDefault="00646A53" w:rsidP="00646A53">
          <w:pPr>
            <w:jc w:val="center"/>
            <w:rPr>
              <w:noProof/>
              <w:lang w:bidi="ar-EG"/>
            </w:rPr>
          </w:pPr>
        </w:p>
      </w:tc>
      <w:tc>
        <w:tcPr>
          <w:tcW w:w="278" w:type="pct"/>
          <w:vAlign w:val="center"/>
        </w:tcPr>
        <w:p w14:paraId="6ACC96E0" w14:textId="77777777" w:rsidR="00646A53" w:rsidRDefault="00646A53" w:rsidP="00646A53">
          <w:pPr>
            <w:jc w:val="center"/>
            <w:rPr>
              <w:lang w:bidi="ar-EG"/>
            </w:rPr>
          </w:pPr>
          <w:r>
            <w:rPr>
              <w:noProof/>
              <w:lang w:val="en-GB" w:eastAsia="en-GB"/>
            </w:rPr>
            <w:drawing>
              <wp:inline distT="0" distB="0" distL="0" distR="0" wp14:anchorId="77CFED58" wp14:editId="7ED14B6A">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45C50F94" w14:textId="77777777" w:rsidR="00646A53" w:rsidRPr="000F15D5" w:rsidRDefault="00646A53" w:rsidP="00646A53">
          <w:pPr>
            <w:rPr>
              <w:sz w:val="18"/>
              <w:szCs w:val="18"/>
              <w:lang w:bidi="ar-EG"/>
            </w:rPr>
          </w:pPr>
          <w:r w:rsidRPr="000F15D5">
            <w:rPr>
              <w:rFonts w:ascii="Tahoma" w:hAnsi="Tahoma" w:cs="Tahoma"/>
              <w:color w:val="000000"/>
              <w:sz w:val="18"/>
              <w:szCs w:val="18"/>
              <w:shd w:val="clear" w:color="auto" w:fill="FFFFFF"/>
            </w:rPr>
            <w:t>490 El Maadi</w:t>
          </w:r>
          <w:r w:rsidRPr="000F15D5">
            <w:rPr>
              <w:sz w:val="18"/>
              <w:szCs w:val="18"/>
              <w:lang w:bidi="ar-EG"/>
            </w:rPr>
            <w:t xml:space="preserve"> </w:t>
          </w:r>
        </w:p>
      </w:tc>
      <w:tc>
        <w:tcPr>
          <w:tcW w:w="1152" w:type="pct"/>
          <w:gridSpan w:val="2"/>
          <w:vAlign w:val="center"/>
        </w:tcPr>
        <w:p w14:paraId="33F37283" w14:textId="77777777" w:rsidR="00646A53" w:rsidRPr="000F15D5" w:rsidRDefault="00646A53" w:rsidP="00646A53">
          <w:pPr>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1D7CEBF3" w14:textId="77777777" w:rsidR="00646A53" w:rsidRPr="00A20672" w:rsidRDefault="00646A53" w:rsidP="00646A53">
          <w:pPr>
            <w:rPr>
              <w:b/>
              <w:bCs/>
              <w:sz w:val="18"/>
              <w:szCs w:val="18"/>
              <w:lang w:bidi="ar-EG"/>
            </w:rPr>
          </w:pPr>
          <w:r>
            <w:rPr>
              <w:b/>
              <w:bCs/>
              <w:noProof/>
              <w:sz w:val="18"/>
              <w:szCs w:val="18"/>
              <w:lang w:val="en-GB" w:eastAsia="en-GB"/>
            </w:rPr>
            <w:drawing>
              <wp:inline distT="0" distB="0" distL="0" distR="0" wp14:anchorId="3E472ADA" wp14:editId="4B43C516">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5C749361" w14:textId="77777777" w:rsidR="00646A53" w:rsidRPr="000F15D5" w:rsidRDefault="00646A53" w:rsidP="00646A53">
          <w:pPr>
            <w:rPr>
              <w:sz w:val="18"/>
              <w:szCs w:val="18"/>
              <w:lang w:bidi="ar-EG"/>
            </w:rPr>
          </w:pPr>
          <w:r w:rsidRPr="0086433E">
            <w:rPr>
              <w:rStyle w:val="apple-style-span"/>
              <w:color w:val="000000"/>
              <w:sz w:val="20"/>
              <w:szCs w:val="20"/>
            </w:rPr>
            <w:t>maat@maatpeace.org</w:t>
          </w:r>
        </w:p>
      </w:tc>
    </w:tr>
    <w:tr w:rsidR="00646A53" w14:paraId="20A66BA8" w14:textId="77777777" w:rsidTr="007A601B">
      <w:trPr>
        <w:jc w:val="center"/>
      </w:trPr>
      <w:tc>
        <w:tcPr>
          <w:tcW w:w="646" w:type="pct"/>
          <w:vMerge/>
        </w:tcPr>
        <w:p w14:paraId="5D74E863" w14:textId="77777777" w:rsidR="00646A53" w:rsidRDefault="00646A53" w:rsidP="00646A53">
          <w:pPr>
            <w:jc w:val="center"/>
            <w:rPr>
              <w:noProof/>
              <w:lang w:bidi="ar-EG"/>
            </w:rPr>
          </w:pPr>
        </w:p>
      </w:tc>
      <w:tc>
        <w:tcPr>
          <w:tcW w:w="278" w:type="pct"/>
          <w:vAlign w:val="center"/>
        </w:tcPr>
        <w:p w14:paraId="690410AE" w14:textId="77777777" w:rsidR="00646A53" w:rsidRDefault="00646A53" w:rsidP="00646A53">
          <w:pPr>
            <w:jc w:val="center"/>
            <w:rPr>
              <w:noProof/>
              <w:lang w:bidi="ar-EG"/>
            </w:rPr>
          </w:pPr>
          <w:r>
            <w:rPr>
              <w:noProof/>
              <w:lang w:val="en-GB" w:eastAsia="en-GB"/>
            </w:rPr>
            <w:drawing>
              <wp:inline distT="0" distB="0" distL="0" distR="0" wp14:anchorId="01ECB94F" wp14:editId="718DB6C8">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5C00C092" w14:textId="77777777" w:rsidR="00646A53" w:rsidRPr="00DE0507" w:rsidRDefault="00646A53" w:rsidP="00646A53">
          <w:pPr>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23E88751" w14:textId="77777777" w:rsidR="00646A53" w:rsidRPr="00DE0507" w:rsidRDefault="00646A53" w:rsidP="00646A53">
          <w:pPr>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2A9C05F2" w14:textId="77777777" w:rsidR="00646A53" w:rsidRDefault="00646A53" w:rsidP="00646A53">
          <w:pPr>
            <w:rPr>
              <w:b/>
              <w:bCs/>
              <w:noProof/>
              <w:sz w:val="18"/>
              <w:szCs w:val="18"/>
              <w:lang w:bidi="ar-EG"/>
            </w:rPr>
          </w:pPr>
          <w:r w:rsidRPr="005C2948">
            <w:rPr>
              <w:rFonts w:asciiTheme="majorBidi" w:hAnsiTheme="majorBidi" w:cstheme="majorBidi"/>
              <w:b/>
              <w:bCs/>
              <w:noProof/>
              <w:color w:val="000000"/>
              <w:sz w:val="18"/>
              <w:szCs w:val="18"/>
              <w:shd w:val="clear" w:color="auto" w:fill="FFFFFF"/>
              <w:lang w:val="en-GB" w:eastAsia="en-GB"/>
            </w:rPr>
            <w:drawing>
              <wp:inline distT="0" distB="0" distL="0" distR="0" wp14:anchorId="64AA0181" wp14:editId="6908A387">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3E9CCE62" w14:textId="77777777" w:rsidR="00646A53" w:rsidRPr="0086433E" w:rsidRDefault="00646A53" w:rsidP="00646A53">
          <w:pPr>
            <w:rPr>
              <w:rStyle w:val="apple-style-span"/>
              <w:color w:val="000000"/>
              <w:sz w:val="20"/>
              <w:szCs w:val="20"/>
            </w:rPr>
          </w:pPr>
          <w:r w:rsidRPr="0086433E">
            <w:rPr>
              <w:rStyle w:val="apple-style-span"/>
              <w:b/>
              <w:bCs/>
              <w:color w:val="000000" w:themeColor="text1"/>
              <w:sz w:val="18"/>
              <w:szCs w:val="18"/>
            </w:rPr>
            <w:t>+201226521170</w:t>
          </w:r>
        </w:p>
      </w:tc>
    </w:tr>
  </w:tbl>
  <w:p w14:paraId="48FDA0F5" w14:textId="3EA43699" w:rsidR="00646A53" w:rsidRPr="00646A53" w:rsidRDefault="00646A53" w:rsidP="00646A53">
    <w:pPr>
      <w:pStyle w:val="Footer"/>
      <w:rPr>
        <w:sz w:val="2"/>
        <w:szCs w:val="2"/>
      </w:rPr>
    </w:pPr>
    <w:r>
      <w:rPr>
        <w:noProof/>
        <w:lang w:val="en-GB" w:eastAsia="en-GB"/>
      </w:rPr>
      <w:drawing>
        <wp:anchor distT="0" distB="0" distL="114300" distR="114300" simplePos="0" relativeHeight="251659264" behindDoc="0" locked="0" layoutInCell="1" allowOverlap="1" wp14:anchorId="0B7660F1" wp14:editId="5771AA6F">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F92BCC" w14:textId="77777777" w:rsidR="00E47C87" w:rsidRDefault="00E47C87" w:rsidP="004F6D5A">
      <w:pPr>
        <w:spacing w:after="0" w:line="240" w:lineRule="auto"/>
      </w:pPr>
      <w:r>
        <w:separator/>
      </w:r>
    </w:p>
  </w:footnote>
  <w:footnote w:type="continuationSeparator" w:id="0">
    <w:p w14:paraId="4291C81C" w14:textId="77777777" w:rsidR="00E47C87" w:rsidRDefault="00E47C87" w:rsidP="004F6D5A">
      <w:pPr>
        <w:spacing w:after="0" w:line="240" w:lineRule="auto"/>
      </w:pPr>
      <w:r>
        <w:continuationSeparator/>
      </w:r>
    </w:p>
  </w:footnote>
  <w:footnote w:id="1">
    <w:p w14:paraId="6CBB904F" w14:textId="09CDCE58" w:rsidR="00615E7B" w:rsidRPr="005A63E3" w:rsidRDefault="00615E7B" w:rsidP="00615E7B">
      <w:pPr>
        <w:pStyle w:val="FootnoteText"/>
        <w:rPr>
          <w:rFonts w:asciiTheme="majorBidi" w:hAnsiTheme="majorBidi" w:cstheme="majorBidi"/>
          <w:sz w:val="16"/>
          <w:szCs w:val="16"/>
        </w:rPr>
      </w:pPr>
      <w:r w:rsidRPr="005A63E3">
        <w:rPr>
          <w:rStyle w:val="FootnoteReference"/>
          <w:rFonts w:asciiTheme="majorBidi" w:hAnsiTheme="majorBidi" w:cstheme="majorBidi"/>
          <w:sz w:val="16"/>
          <w:szCs w:val="16"/>
        </w:rPr>
        <w:footnoteRef/>
      </w:r>
      <w:r w:rsidRPr="005A63E3">
        <w:rPr>
          <w:rFonts w:asciiTheme="majorBidi" w:hAnsiTheme="majorBidi" w:cstheme="majorBidi"/>
          <w:sz w:val="16"/>
          <w:szCs w:val="16"/>
        </w:rPr>
        <w:t xml:space="preserve"> Ratification, Reporting &amp; Documentation for Jordan, </w:t>
      </w:r>
      <w:r>
        <w:rPr>
          <w:rFonts w:asciiTheme="majorBidi" w:hAnsiTheme="majorBidi" w:cstheme="majorBidi"/>
          <w:sz w:val="16"/>
          <w:szCs w:val="16"/>
        </w:rPr>
        <w:t>OHCHR</w:t>
      </w:r>
      <w:r w:rsidRPr="005A63E3">
        <w:rPr>
          <w:rFonts w:asciiTheme="majorBidi" w:hAnsiTheme="majorBidi" w:cstheme="majorBidi"/>
          <w:sz w:val="16"/>
          <w:szCs w:val="16"/>
        </w:rPr>
        <w:t xml:space="preserve">, </w:t>
      </w:r>
      <w:hyperlink r:id="rId1">
        <w:r w:rsidRPr="005A63E3">
          <w:rPr>
            <w:rFonts w:asciiTheme="majorBidi" w:hAnsiTheme="majorBidi" w:cstheme="majorBidi"/>
            <w:color w:val="1155CC"/>
            <w:sz w:val="16"/>
            <w:szCs w:val="16"/>
            <w:u w:val="single"/>
          </w:rPr>
          <w:t>https://2h.ae/wfUt</w:t>
        </w:r>
      </w:hyperlink>
    </w:p>
  </w:footnote>
  <w:footnote w:id="2">
    <w:p w14:paraId="729C160A" w14:textId="77777777" w:rsidR="00615E7B" w:rsidRPr="005A63E3" w:rsidRDefault="00615E7B" w:rsidP="00615E7B">
      <w:pPr>
        <w:spacing w:after="0" w:line="240" w:lineRule="auto"/>
        <w:rPr>
          <w:rFonts w:asciiTheme="majorBidi" w:hAnsiTheme="majorBidi" w:cstheme="majorBidi"/>
          <w:sz w:val="16"/>
          <w:szCs w:val="16"/>
        </w:rPr>
      </w:pPr>
      <w:r w:rsidRPr="005A63E3">
        <w:rPr>
          <w:rStyle w:val="FootnoteReference"/>
          <w:rFonts w:asciiTheme="majorBidi" w:hAnsiTheme="majorBidi" w:cstheme="majorBidi"/>
          <w:sz w:val="16"/>
          <w:szCs w:val="16"/>
        </w:rPr>
        <w:footnoteRef/>
      </w:r>
      <w:r w:rsidRPr="005A63E3">
        <w:rPr>
          <w:rFonts w:asciiTheme="majorBidi" w:hAnsiTheme="majorBidi" w:cstheme="majorBidi"/>
          <w:sz w:val="16"/>
          <w:szCs w:val="16"/>
        </w:rPr>
        <w:t xml:space="preserve"> List of issues prior to reporting (LOIPR), International Covenant on Civil and Political Rights 143 Session (03 Mar 2025 - 28 Mar 2025), </w:t>
      </w:r>
      <w:hyperlink r:id="rId2">
        <w:r w:rsidRPr="005A63E3">
          <w:rPr>
            <w:rFonts w:asciiTheme="majorBidi" w:hAnsiTheme="majorBidi" w:cstheme="majorBidi"/>
            <w:color w:val="1155CC"/>
            <w:sz w:val="16"/>
            <w:szCs w:val="16"/>
            <w:u w:val="single"/>
          </w:rPr>
          <w:t>https://2h.ae/OouY</w:t>
        </w:r>
      </w:hyperlink>
      <w:r w:rsidRPr="005A63E3">
        <w:rPr>
          <w:rFonts w:asciiTheme="majorBidi" w:hAnsiTheme="majorBidi" w:cstheme="majorBidi"/>
          <w:sz w:val="16"/>
          <w:szCs w:val="16"/>
        </w:rPr>
        <w:t xml:space="preserve"> </w:t>
      </w:r>
    </w:p>
  </w:footnote>
  <w:footnote w:id="3">
    <w:p w14:paraId="69067AD6" w14:textId="77777777" w:rsidR="00615E7B" w:rsidRPr="005A63E3" w:rsidRDefault="00615E7B" w:rsidP="00615E7B">
      <w:pPr>
        <w:pStyle w:val="FootnoteText"/>
        <w:rPr>
          <w:rFonts w:asciiTheme="majorBidi" w:hAnsiTheme="majorBidi" w:cstheme="majorBidi"/>
          <w:sz w:val="16"/>
          <w:szCs w:val="16"/>
        </w:rPr>
      </w:pPr>
      <w:r w:rsidRPr="005A63E3">
        <w:rPr>
          <w:rStyle w:val="FootnoteReference"/>
          <w:rFonts w:asciiTheme="majorBidi" w:hAnsiTheme="majorBidi" w:cstheme="majorBidi"/>
          <w:sz w:val="16"/>
          <w:szCs w:val="16"/>
        </w:rPr>
        <w:footnoteRef/>
      </w:r>
      <w:r w:rsidRPr="005A63E3">
        <w:rPr>
          <w:rFonts w:asciiTheme="majorBidi" w:hAnsiTheme="majorBidi" w:cstheme="majorBidi"/>
          <w:sz w:val="16"/>
          <w:szCs w:val="16"/>
        </w:rPr>
        <w:t xml:space="preserve"> Jordan advances 12.5 places in the index of reforms that support gender equality, Kingdom, </w:t>
      </w:r>
      <w:hyperlink r:id="rId3" w:history="1">
        <w:r w:rsidRPr="005A63E3">
          <w:rPr>
            <w:rStyle w:val="Hyperlink"/>
            <w:rFonts w:asciiTheme="majorBidi" w:hAnsiTheme="majorBidi" w:cstheme="majorBidi"/>
            <w:sz w:val="16"/>
            <w:szCs w:val="16"/>
          </w:rPr>
          <w:t>https://2h.ae/WUfO</w:t>
        </w:r>
      </w:hyperlink>
      <w:r w:rsidRPr="005A63E3">
        <w:rPr>
          <w:rFonts w:asciiTheme="majorBidi" w:hAnsiTheme="majorBidi" w:cstheme="majorBidi"/>
          <w:sz w:val="16"/>
          <w:szCs w:val="16"/>
        </w:rPr>
        <w:t xml:space="preserve"> </w:t>
      </w:r>
    </w:p>
  </w:footnote>
  <w:footnote w:id="4">
    <w:p w14:paraId="38A351AA" w14:textId="77777777" w:rsidR="00615E7B" w:rsidRPr="005A63E3" w:rsidRDefault="00615E7B" w:rsidP="00615E7B">
      <w:pPr>
        <w:pStyle w:val="FootnoteText"/>
        <w:rPr>
          <w:rFonts w:asciiTheme="majorBidi" w:hAnsiTheme="majorBidi" w:cstheme="majorBidi"/>
          <w:sz w:val="16"/>
          <w:szCs w:val="16"/>
        </w:rPr>
      </w:pPr>
      <w:r w:rsidRPr="005A63E3">
        <w:rPr>
          <w:rStyle w:val="FootnoteReference"/>
          <w:rFonts w:asciiTheme="majorBidi" w:hAnsiTheme="majorBidi" w:cstheme="majorBidi"/>
          <w:sz w:val="16"/>
          <w:szCs w:val="16"/>
        </w:rPr>
        <w:footnoteRef/>
      </w:r>
      <w:r w:rsidRPr="005A63E3">
        <w:rPr>
          <w:rFonts w:asciiTheme="majorBidi" w:hAnsiTheme="majorBidi" w:cstheme="majorBidi"/>
          <w:sz w:val="16"/>
          <w:szCs w:val="16"/>
        </w:rPr>
        <w:t xml:space="preserve"> 87 suicide cases recorded in the first 10 months of 2024 in Jordan, Roya, </w:t>
      </w:r>
      <w:hyperlink r:id="rId4" w:history="1">
        <w:r w:rsidRPr="005A63E3">
          <w:rPr>
            <w:rStyle w:val="Hyperlink"/>
            <w:rFonts w:asciiTheme="majorBidi" w:hAnsiTheme="majorBidi" w:cstheme="majorBidi"/>
            <w:sz w:val="16"/>
            <w:szCs w:val="16"/>
          </w:rPr>
          <w:t>https://royanews.tv/news/339086</w:t>
        </w:r>
      </w:hyperlink>
      <w:r w:rsidRPr="005A63E3">
        <w:rPr>
          <w:rFonts w:asciiTheme="majorBidi" w:hAnsiTheme="majorBidi" w:cstheme="majorBidi"/>
          <w:sz w:val="16"/>
          <w:szCs w:val="16"/>
        </w:rPr>
        <w:t xml:space="preserve"> </w:t>
      </w:r>
    </w:p>
  </w:footnote>
  <w:footnote w:id="5">
    <w:p w14:paraId="6C80AC24" w14:textId="77777777" w:rsidR="00615E7B" w:rsidRPr="005A63E3" w:rsidRDefault="00615E7B" w:rsidP="00615E7B">
      <w:pPr>
        <w:pStyle w:val="FootnoteText"/>
        <w:rPr>
          <w:rFonts w:asciiTheme="majorBidi" w:hAnsiTheme="majorBidi" w:cstheme="majorBidi"/>
          <w:sz w:val="16"/>
          <w:szCs w:val="16"/>
        </w:rPr>
      </w:pPr>
      <w:r w:rsidRPr="005A63E3">
        <w:rPr>
          <w:rStyle w:val="FootnoteReference"/>
          <w:rFonts w:asciiTheme="majorBidi" w:hAnsiTheme="majorBidi" w:cstheme="majorBidi"/>
          <w:sz w:val="16"/>
          <w:szCs w:val="16"/>
        </w:rPr>
        <w:footnoteRef/>
      </w:r>
      <w:r w:rsidRPr="005A63E3">
        <w:rPr>
          <w:rFonts w:asciiTheme="majorBidi" w:hAnsiTheme="majorBidi" w:cstheme="majorBidi"/>
          <w:sz w:val="16"/>
          <w:szCs w:val="16"/>
        </w:rPr>
        <w:t xml:space="preserve"> Abdoun Bridge, the destination of suicides in Jordan, Independent Arabia, </w:t>
      </w:r>
      <w:hyperlink r:id="rId5" w:history="1">
        <w:r w:rsidRPr="005A63E3">
          <w:rPr>
            <w:rStyle w:val="Hyperlink"/>
            <w:rFonts w:asciiTheme="majorBidi" w:hAnsiTheme="majorBidi" w:cstheme="majorBidi"/>
            <w:sz w:val="16"/>
            <w:szCs w:val="16"/>
          </w:rPr>
          <w:t>https://2h.ae/phvo</w:t>
        </w:r>
      </w:hyperlink>
      <w:r w:rsidRPr="005A63E3">
        <w:rPr>
          <w:rFonts w:asciiTheme="majorBidi" w:hAnsiTheme="majorBidi" w:cstheme="majorBidi"/>
          <w:sz w:val="16"/>
          <w:szCs w:val="16"/>
        </w:rPr>
        <w:t xml:space="preserve"> </w:t>
      </w:r>
    </w:p>
  </w:footnote>
  <w:footnote w:id="6">
    <w:p w14:paraId="1F58C290" w14:textId="77777777" w:rsidR="00615E7B" w:rsidRPr="005A63E3" w:rsidRDefault="00615E7B" w:rsidP="00615E7B">
      <w:pPr>
        <w:pStyle w:val="FootnoteText"/>
        <w:rPr>
          <w:rFonts w:asciiTheme="majorBidi" w:hAnsiTheme="majorBidi" w:cstheme="majorBidi"/>
          <w:sz w:val="16"/>
          <w:szCs w:val="16"/>
        </w:rPr>
      </w:pPr>
      <w:r w:rsidRPr="005A63E3">
        <w:rPr>
          <w:rStyle w:val="FootnoteReference"/>
          <w:rFonts w:asciiTheme="majorBidi" w:hAnsiTheme="majorBidi" w:cstheme="majorBidi"/>
          <w:sz w:val="16"/>
          <w:szCs w:val="16"/>
        </w:rPr>
        <w:footnoteRef/>
      </w:r>
      <w:r w:rsidRPr="005A63E3">
        <w:rPr>
          <w:rFonts w:asciiTheme="majorBidi" w:hAnsiTheme="majorBidi" w:cstheme="majorBidi"/>
          <w:sz w:val="16"/>
          <w:szCs w:val="16"/>
        </w:rPr>
        <w:t xml:space="preserve"> Psychiatric Consultant: Suicide numbers in Jordan are higher than those counted, Roya, </w:t>
      </w:r>
      <w:hyperlink r:id="rId6" w:history="1">
        <w:r w:rsidRPr="005A63E3">
          <w:rPr>
            <w:rStyle w:val="Hyperlink"/>
            <w:rFonts w:asciiTheme="majorBidi" w:hAnsiTheme="majorBidi" w:cstheme="majorBidi"/>
            <w:sz w:val="16"/>
            <w:szCs w:val="16"/>
          </w:rPr>
          <w:t>https://royanews.tv/news/339089</w:t>
        </w:r>
      </w:hyperlink>
      <w:r w:rsidRPr="005A63E3">
        <w:rPr>
          <w:rFonts w:asciiTheme="majorBidi" w:hAnsiTheme="majorBidi" w:cstheme="majorBidi"/>
          <w:sz w:val="16"/>
          <w:szCs w:val="16"/>
        </w:rPr>
        <w:t xml:space="preserve"> </w:t>
      </w:r>
    </w:p>
  </w:footnote>
  <w:footnote w:id="7">
    <w:p w14:paraId="2B2CCDEE" w14:textId="77777777" w:rsidR="00615E7B" w:rsidRPr="005A63E3" w:rsidRDefault="00615E7B" w:rsidP="00615E7B">
      <w:pPr>
        <w:pStyle w:val="FootnoteText"/>
        <w:rPr>
          <w:rFonts w:asciiTheme="majorBidi" w:hAnsiTheme="majorBidi" w:cstheme="majorBidi"/>
          <w:sz w:val="16"/>
          <w:szCs w:val="16"/>
        </w:rPr>
      </w:pPr>
      <w:r w:rsidRPr="005A63E3">
        <w:rPr>
          <w:rStyle w:val="FootnoteReference"/>
          <w:rFonts w:asciiTheme="majorBidi" w:hAnsiTheme="majorBidi" w:cstheme="majorBidi"/>
          <w:sz w:val="16"/>
          <w:szCs w:val="16"/>
        </w:rPr>
        <w:footnoteRef/>
      </w:r>
      <w:r w:rsidRPr="005A63E3">
        <w:rPr>
          <w:rFonts w:asciiTheme="majorBidi" w:hAnsiTheme="majorBidi" w:cstheme="majorBidi"/>
          <w:sz w:val="16"/>
          <w:szCs w:val="16"/>
        </w:rPr>
        <w:t xml:space="preserve"> Jordanian Needle Craft Labour Abuses: Tureza Akter’s Suicide, impact policies, </w:t>
      </w:r>
      <w:hyperlink r:id="rId7">
        <w:r w:rsidRPr="005A63E3">
          <w:rPr>
            <w:rFonts w:asciiTheme="majorBidi" w:hAnsiTheme="majorBidi" w:cstheme="majorBidi"/>
            <w:color w:val="1155CC"/>
            <w:sz w:val="16"/>
            <w:szCs w:val="16"/>
            <w:u w:val="single"/>
          </w:rPr>
          <w:t>https://2h.ae/vSfu</w:t>
        </w:r>
      </w:hyperlink>
    </w:p>
  </w:footnote>
  <w:footnote w:id="8">
    <w:p w14:paraId="70E4DF1A" w14:textId="77777777" w:rsidR="00615E7B" w:rsidRPr="005A63E3" w:rsidRDefault="00615E7B" w:rsidP="00615E7B">
      <w:pPr>
        <w:pStyle w:val="FootnoteText"/>
        <w:rPr>
          <w:rFonts w:asciiTheme="majorBidi" w:hAnsiTheme="majorBidi" w:cstheme="majorBidi"/>
          <w:sz w:val="16"/>
          <w:szCs w:val="16"/>
        </w:rPr>
      </w:pPr>
      <w:r w:rsidRPr="005A63E3">
        <w:rPr>
          <w:rStyle w:val="FootnoteReference"/>
          <w:rFonts w:asciiTheme="majorBidi" w:hAnsiTheme="majorBidi" w:cstheme="majorBidi"/>
          <w:sz w:val="16"/>
          <w:szCs w:val="16"/>
        </w:rPr>
        <w:footnoteRef/>
      </w:r>
      <w:r w:rsidRPr="005A63E3">
        <w:rPr>
          <w:rFonts w:asciiTheme="majorBidi" w:hAnsiTheme="majorBidi" w:cstheme="majorBidi"/>
          <w:sz w:val="16"/>
          <w:szCs w:val="16"/>
        </w:rPr>
        <w:t xml:space="preserve"> Jordanian Constitution 1952 (amended 2016), </w:t>
      </w:r>
      <w:hyperlink r:id="rId8" w:history="1">
        <w:r w:rsidRPr="005A63E3">
          <w:rPr>
            <w:rStyle w:val="Hyperlink"/>
            <w:rFonts w:asciiTheme="majorBidi" w:hAnsiTheme="majorBidi" w:cstheme="majorBidi"/>
            <w:sz w:val="16"/>
            <w:szCs w:val="16"/>
          </w:rPr>
          <w:t>https://2h.ae/SkXj</w:t>
        </w:r>
      </w:hyperlink>
      <w:r w:rsidRPr="005A63E3">
        <w:rPr>
          <w:rFonts w:asciiTheme="majorBidi" w:hAnsiTheme="majorBidi" w:cstheme="majorBidi"/>
          <w:sz w:val="16"/>
          <w:szCs w:val="16"/>
        </w:rPr>
        <w:t xml:space="preserve"> </w:t>
      </w:r>
    </w:p>
  </w:footnote>
  <w:footnote w:id="9">
    <w:p w14:paraId="174FD8C4" w14:textId="77777777" w:rsidR="00615E7B" w:rsidRPr="005A63E3" w:rsidRDefault="00615E7B" w:rsidP="00615E7B">
      <w:pPr>
        <w:pStyle w:val="FootnoteText"/>
        <w:rPr>
          <w:rFonts w:asciiTheme="majorBidi" w:hAnsiTheme="majorBidi" w:cstheme="majorBidi"/>
          <w:sz w:val="16"/>
          <w:szCs w:val="16"/>
        </w:rPr>
      </w:pPr>
      <w:r w:rsidRPr="005A63E3">
        <w:rPr>
          <w:rStyle w:val="FootnoteReference"/>
          <w:rFonts w:asciiTheme="majorBidi" w:hAnsiTheme="majorBidi" w:cstheme="majorBidi"/>
          <w:sz w:val="16"/>
          <w:szCs w:val="16"/>
        </w:rPr>
        <w:footnoteRef/>
      </w:r>
      <w:r w:rsidRPr="005A63E3">
        <w:rPr>
          <w:rFonts w:asciiTheme="majorBidi" w:hAnsiTheme="majorBidi" w:cstheme="majorBidi"/>
          <w:sz w:val="16"/>
          <w:szCs w:val="16"/>
        </w:rPr>
        <w:t xml:space="preserve"> Jordanian Penal Code, </w:t>
      </w:r>
      <w:hyperlink r:id="rId9" w:history="1">
        <w:r w:rsidRPr="005A63E3">
          <w:rPr>
            <w:rStyle w:val="Hyperlink"/>
            <w:rFonts w:asciiTheme="majorBidi" w:hAnsiTheme="majorBidi" w:cstheme="majorBidi"/>
            <w:sz w:val="16"/>
            <w:szCs w:val="16"/>
          </w:rPr>
          <w:t>https://2h.ae/xTAD</w:t>
        </w:r>
      </w:hyperlink>
      <w:r w:rsidRPr="005A63E3">
        <w:rPr>
          <w:rFonts w:asciiTheme="majorBidi" w:hAnsiTheme="majorBidi" w:cstheme="majorBidi"/>
          <w:sz w:val="16"/>
          <w:szCs w:val="16"/>
        </w:rPr>
        <w:t xml:space="preserve"> </w:t>
      </w:r>
    </w:p>
  </w:footnote>
  <w:footnote w:id="10">
    <w:p w14:paraId="21E1F443" w14:textId="77777777" w:rsidR="00615E7B" w:rsidRPr="005A63E3" w:rsidRDefault="00615E7B" w:rsidP="00615E7B">
      <w:pPr>
        <w:pStyle w:val="FootnoteText"/>
        <w:rPr>
          <w:rFonts w:asciiTheme="majorBidi" w:hAnsiTheme="majorBidi" w:cstheme="majorBidi"/>
          <w:sz w:val="16"/>
          <w:szCs w:val="16"/>
        </w:rPr>
      </w:pPr>
      <w:r w:rsidRPr="005A63E3">
        <w:rPr>
          <w:rStyle w:val="FootnoteReference"/>
          <w:rFonts w:asciiTheme="majorBidi" w:hAnsiTheme="majorBidi" w:cstheme="majorBidi"/>
          <w:sz w:val="16"/>
          <w:szCs w:val="16"/>
        </w:rPr>
        <w:footnoteRef/>
      </w:r>
      <w:r w:rsidRPr="005A63E3">
        <w:rPr>
          <w:rFonts w:asciiTheme="majorBidi" w:hAnsiTheme="majorBidi" w:cstheme="majorBidi"/>
          <w:sz w:val="16"/>
          <w:szCs w:val="16"/>
        </w:rPr>
        <w:t xml:space="preserve"> Launching the National Strategy to Combat Human Trafficking in Jordan, United Nations Media Center, </w:t>
      </w:r>
      <w:hyperlink r:id="rId10" w:history="1">
        <w:r w:rsidRPr="005A63E3">
          <w:rPr>
            <w:rStyle w:val="Hyperlink"/>
            <w:rFonts w:asciiTheme="majorBidi" w:hAnsiTheme="majorBidi" w:cstheme="majorBidi"/>
            <w:sz w:val="16"/>
            <w:szCs w:val="16"/>
          </w:rPr>
          <w:t>https://2h.ae/Obfa</w:t>
        </w:r>
      </w:hyperlink>
      <w:r w:rsidRPr="005A63E3">
        <w:rPr>
          <w:rFonts w:asciiTheme="majorBidi" w:hAnsiTheme="majorBidi" w:cstheme="majorBidi"/>
          <w:sz w:val="16"/>
          <w:szCs w:val="16"/>
        </w:rPr>
        <w:t xml:space="preserve"> </w:t>
      </w:r>
    </w:p>
  </w:footnote>
  <w:footnote w:id="11">
    <w:p w14:paraId="4D0BBDF0" w14:textId="77777777" w:rsidR="00615E7B" w:rsidRPr="005A63E3" w:rsidRDefault="00615E7B" w:rsidP="00615E7B">
      <w:pPr>
        <w:pStyle w:val="FootnoteText"/>
        <w:rPr>
          <w:rFonts w:asciiTheme="majorBidi" w:hAnsiTheme="majorBidi" w:cstheme="majorBidi"/>
          <w:sz w:val="16"/>
          <w:szCs w:val="16"/>
        </w:rPr>
      </w:pPr>
      <w:r w:rsidRPr="005A63E3">
        <w:rPr>
          <w:rStyle w:val="FootnoteReference"/>
          <w:rFonts w:asciiTheme="majorBidi" w:hAnsiTheme="majorBidi" w:cstheme="majorBidi"/>
          <w:sz w:val="16"/>
          <w:szCs w:val="16"/>
        </w:rPr>
        <w:footnoteRef/>
      </w:r>
      <w:r w:rsidRPr="005A63E3">
        <w:rPr>
          <w:rFonts w:asciiTheme="majorBidi" w:hAnsiTheme="majorBidi" w:cstheme="majorBidi"/>
          <w:sz w:val="16"/>
          <w:szCs w:val="16"/>
        </w:rPr>
        <w:t xml:space="preserve"> The twentieth annual report on the situation of human rights in the Hashemite Kingdom of Jordan for the year 2023, National Center for Human Rights, </w:t>
      </w:r>
      <w:hyperlink r:id="rId11" w:history="1">
        <w:r w:rsidRPr="005A63E3">
          <w:rPr>
            <w:rStyle w:val="Hyperlink"/>
            <w:rFonts w:asciiTheme="majorBidi" w:hAnsiTheme="majorBidi" w:cstheme="majorBidi"/>
            <w:sz w:val="16"/>
            <w:szCs w:val="16"/>
          </w:rPr>
          <w:t>https://2h.ae/Xghj</w:t>
        </w:r>
      </w:hyperlink>
      <w:r w:rsidRPr="005A63E3">
        <w:rPr>
          <w:rFonts w:asciiTheme="majorBidi" w:hAnsiTheme="majorBidi" w:cstheme="majorBidi"/>
          <w:sz w:val="16"/>
          <w:szCs w:val="16"/>
        </w:rPr>
        <w:t xml:space="preserve"> </w:t>
      </w:r>
    </w:p>
  </w:footnote>
  <w:footnote w:id="12">
    <w:p w14:paraId="568281D1" w14:textId="77777777" w:rsidR="00615E7B" w:rsidRPr="005A63E3" w:rsidRDefault="00615E7B" w:rsidP="00615E7B">
      <w:pPr>
        <w:pStyle w:val="FootnoteText"/>
        <w:rPr>
          <w:rFonts w:asciiTheme="majorBidi" w:hAnsiTheme="majorBidi" w:cstheme="majorBidi"/>
          <w:sz w:val="16"/>
          <w:szCs w:val="16"/>
        </w:rPr>
      </w:pPr>
      <w:r w:rsidRPr="005A63E3">
        <w:rPr>
          <w:rStyle w:val="FootnoteReference"/>
          <w:rFonts w:asciiTheme="majorBidi" w:hAnsiTheme="majorBidi" w:cstheme="majorBidi"/>
          <w:sz w:val="16"/>
          <w:szCs w:val="16"/>
        </w:rPr>
        <w:footnoteRef/>
      </w:r>
      <w:r w:rsidRPr="005A63E3">
        <w:rPr>
          <w:rFonts w:asciiTheme="majorBidi" w:hAnsiTheme="majorBidi" w:cstheme="majorBidi"/>
          <w:sz w:val="16"/>
          <w:szCs w:val="16"/>
        </w:rPr>
        <w:t xml:space="preserve"> “State Security” in Jordan postpones the trial session for detainees in the case of “supporting the resistance,” Arabi 21, </w:t>
      </w:r>
      <w:hyperlink r:id="rId12" w:history="1">
        <w:r w:rsidRPr="005A63E3">
          <w:rPr>
            <w:rStyle w:val="Hyperlink"/>
            <w:rFonts w:asciiTheme="majorBidi" w:hAnsiTheme="majorBidi" w:cstheme="majorBidi"/>
            <w:sz w:val="16"/>
            <w:szCs w:val="16"/>
          </w:rPr>
          <w:t>https://2h.ae/hjKv</w:t>
        </w:r>
      </w:hyperlink>
      <w:r w:rsidRPr="005A63E3">
        <w:rPr>
          <w:rFonts w:asciiTheme="majorBidi" w:hAnsiTheme="majorBidi" w:cstheme="majorBidi"/>
          <w:sz w:val="16"/>
          <w:szCs w:val="16"/>
        </w:rPr>
        <w:t xml:space="preserve"> </w:t>
      </w:r>
    </w:p>
  </w:footnote>
  <w:footnote w:id="13">
    <w:p w14:paraId="34D4AAD3" w14:textId="77777777" w:rsidR="00615E7B" w:rsidRPr="005A63E3" w:rsidRDefault="00615E7B" w:rsidP="00615E7B">
      <w:pPr>
        <w:pStyle w:val="FootnoteText"/>
        <w:rPr>
          <w:rFonts w:asciiTheme="majorBidi" w:hAnsiTheme="majorBidi" w:cstheme="majorBidi"/>
          <w:sz w:val="16"/>
          <w:szCs w:val="16"/>
        </w:rPr>
      </w:pPr>
      <w:r w:rsidRPr="005A63E3">
        <w:rPr>
          <w:rStyle w:val="FootnoteReference"/>
          <w:rFonts w:asciiTheme="majorBidi" w:hAnsiTheme="majorBidi" w:cstheme="majorBidi"/>
          <w:sz w:val="16"/>
          <w:szCs w:val="16"/>
        </w:rPr>
        <w:footnoteRef/>
      </w:r>
      <w:r w:rsidRPr="005A63E3">
        <w:rPr>
          <w:rFonts w:asciiTheme="majorBidi" w:hAnsiTheme="majorBidi" w:cstheme="majorBidi"/>
          <w:sz w:val="16"/>
          <w:szCs w:val="16"/>
        </w:rPr>
        <w:t xml:space="preserve">  A ‘dark period’ of repression: Jordanian authorities arrest thousands in year since October 7, </w:t>
      </w:r>
      <w:proofErr w:type="spellStart"/>
      <w:r w:rsidRPr="005A63E3">
        <w:rPr>
          <w:rFonts w:asciiTheme="majorBidi" w:hAnsiTheme="majorBidi" w:cstheme="majorBidi"/>
          <w:sz w:val="16"/>
          <w:szCs w:val="16"/>
        </w:rPr>
        <w:t>mondoweiss</w:t>
      </w:r>
      <w:proofErr w:type="spellEnd"/>
      <w:r w:rsidRPr="005A63E3">
        <w:rPr>
          <w:rFonts w:asciiTheme="majorBidi" w:hAnsiTheme="majorBidi" w:cstheme="majorBidi"/>
          <w:sz w:val="16"/>
          <w:szCs w:val="16"/>
        </w:rPr>
        <w:t xml:space="preserve">, </w:t>
      </w:r>
      <w:hyperlink r:id="rId13">
        <w:r w:rsidRPr="005A63E3">
          <w:rPr>
            <w:rFonts w:asciiTheme="majorBidi" w:hAnsiTheme="majorBidi" w:cstheme="majorBidi"/>
            <w:color w:val="1155CC"/>
            <w:sz w:val="16"/>
            <w:szCs w:val="16"/>
            <w:u w:val="single"/>
          </w:rPr>
          <w:t>https://2h.ae/uSpU</w:t>
        </w:r>
      </w:hyperlink>
      <w:r w:rsidRPr="005A63E3">
        <w:rPr>
          <w:rFonts w:asciiTheme="majorBidi" w:hAnsiTheme="majorBidi" w:cstheme="majorBidi"/>
          <w:sz w:val="16"/>
          <w:szCs w:val="16"/>
        </w:rPr>
        <w:t xml:space="preserve"> </w:t>
      </w:r>
    </w:p>
  </w:footnote>
  <w:footnote w:id="14">
    <w:p w14:paraId="5DAA3DC9" w14:textId="77777777" w:rsidR="00615E7B" w:rsidRPr="005A63E3" w:rsidRDefault="00615E7B" w:rsidP="00615E7B">
      <w:pPr>
        <w:pStyle w:val="FootnoteText"/>
        <w:rPr>
          <w:rFonts w:asciiTheme="majorBidi" w:hAnsiTheme="majorBidi" w:cstheme="majorBidi"/>
          <w:sz w:val="16"/>
          <w:szCs w:val="16"/>
        </w:rPr>
      </w:pPr>
      <w:r w:rsidRPr="005A63E3">
        <w:rPr>
          <w:rStyle w:val="FootnoteReference"/>
          <w:rFonts w:asciiTheme="majorBidi" w:hAnsiTheme="majorBidi" w:cstheme="majorBidi"/>
          <w:sz w:val="16"/>
          <w:szCs w:val="16"/>
        </w:rPr>
        <w:footnoteRef/>
      </w:r>
      <w:r w:rsidRPr="005A63E3">
        <w:rPr>
          <w:rFonts w:asciiTheme="majorBidi" w:hAnsiTheme="majorBidi" w:cstheme="majorBidi"/>
          <w:sz w:val="16"/>
          <w:szCs w:val="16"/>
        </w:rPr>
        <w:t xml:space="preserve"> Continuing arrests and repression of those in solidarity with the Gaza Strip in Jordan, Palestinian Refugee Portal, </w:t>
      </w:r>
      <w:hyperlink r:id="rId14" w:history="1">
        <w:r w:rsidRPr="005A63E3">
          <w:rPr>
            <w:rStyle w:val="Hyperlink"/>
            <w:rFonts w:asciiTheme="majorBidi" w:hAnsiTheme="majorBidi" w:cstheme="majorBidi"/>
            <w:sz w:val="16"/>
            <w:szCs w:val="16"/>
          </w:rPr>
          <w:t>https://2h.ae/XRhw</w:t>
        </w:r>
      </w:hyperlink>
      <w:r w:rsidRPr="005A63E3">
        <w:rPr>
          <w:rFonts w:asciiTheme="majorBidi" w:hAnsiTheme="majorBidi" w:cstheme="majorBidi"/>
          <w:sz w:val="16"/>
          <w:szCs w:val="16"/>
          <w:rtl/>
        </w:rPr>
        <w:t xml:space="preserve"> </w:t>
      </w:r>
    </w:p>
  </w:footnote>
  <w:footnote w:id="15">
    <w:p w14:paraId="67113FC1" w14:textId="689916B4" w:rsidR="00615E7B" w:rsidRPr="005A63E3" w:rsidRDefault="00615E7B" w:rsidP="00615E7B">
      <w:pPr>
        <w:pStyle w:val="FootnoteText"/>
        <w:rPr>
          <w:rFonts w:asciiTheme="majorBidi" w:hAnsiTheme="majorBidi" w:cstheme="majorBidi"/>
          <w:sz w:val="16"/>
          <w:szCs w:val="16"/>
        </w:rPr>
      </w:pPr>
      <w:r w:rsidRPr="005A63E3">
        <w:rPr>
          <w:rStyle w:val="FootnoteReference"/>
          <w:rFonts w:asciiTheme="majorBidi" w:hAnsiTheme="majorBidi" w:cstheme="majorBidi"/>
          <w:sz w:val="16"/>
          <w:szCs w:val="16"/>
        </w:rPr>
        <w:footnoteRef/>
      </w:r>
      <w:r w:rsidRPr="005A63E3">
        <w:rPr>
          <w:rFonts w:asciiTheme="majorBidi" w:hAnsiTheme="majorBidi" w:cstheme="majorBidi"/>
          <w:sz w:val="16"/>
          <w:szCs w:val="16"/>
        </w:rPr>
        <w:t xml:space="preserve"> Syrians arrested amid Gaza protests face deportation from Jordan, </w:t>
      </w:r>
      <w:r w:rsidR="0092371C" w:rsidRPr="005A63E3">
        <w:rPr>
          <w:rFonts w:asciiTheme="majorBidi" w:hAnsiTheme="majorBidi" w:cstheme="majorBidi"/>
          <w:sz w:val="16"/>
          <w:szCs w:val="16"/>
        </w:rPr>
        <w:t>Syria</w:t>
      </w:r>
      <w:r w:rsidRPr="005A63E3">
        <w:rPr>
          <w:rFonts w:asciiTheme="majorBidi" w:hAnsiTheme="majorBidi" w:cstheme="majorBidi"/>
          <w:sz w:val="16"/>
          <w:szCs w:val="16"/>
        </w:rPr>
        <w:t xml:space="preserve"> direct, </w:t>
      </w:r>
      <w:hyperlink r:id="rId15">
        <w:r w:rsidRPr="005A63E3">
          <w:rPr>
            <w:rFonts w:asciiTheme="majorBidi" w:hAnsiTheme="majorBidi" w:cstheme="majorBidi"/>
            <w:color w:val="1155CC"/>
            <w:sz w:val="16"/>
            <w:szCs w:val="16"/>
            <w:u w:val="single"/>
          </w:rPr>
          <w:t>https://2h.ae/zrhJ</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CCF735" w14:textId="18E60A97" w:rsidR="0058685C" w:rsidRPr="0058685C" w:rsidRDefault="0058685C" w:rsidP="0058685C">
    <w:pPr>
      <w:pStyle w:val="Header"/>
    </w:pPr>
    <w:r>
      <w:rPr>
        <w:noProof/>
        <w:lang w:val="en-GB" w:eastAsia="en-GB"/>
      </w:rPr>
      <w:drawing>
        <wp:inline distT="0" distB="0" distL="0" distR="0" wp14:anchorId="4C31023F" wp14:editId="0F2FF7FE">
          <wp:extent cx="1471930" cy="1143000"/>
          <wp:effectExtent l="0" t="0" r="0" b="0"/>
          <wp:docPr id="5" name="صورة 1"/>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E25F2"/>
    <w:multiLevelType w:val="hybridMultilevel"/>
    <w:tmpl w:val="D8A4C192"/>
    <w:lvl w:ilvl="0" w:tplc="F0FED06C">
      <w:numFmt w:val="bullet"/>
      <w:lvlText w:val="•"/>
      <w:lvlJc w:val="left"/>
      <w:pPr>
        <w:ind w:left="720" w:hanging="360"/>
      </w:pPr>
      <w:rPr>
        <w:rFonts w:ascii="Times New Roman" w:eastAsiaTheme="minorHAnsi" w:hAnsi="Times New Roman" w:cs="Times New Roman" w:hint="default"/>
        <w:b w:val="0"/>
        <w:color w:val="auto"/>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24699"/>
    <w:multiLevelType w:val="hybridMultilevel"/>
    <w:tmpl w:val="5AC6C20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226DBF"/>
    <w:multiLevelType w:val="hybridMultilevel"/>
    <w:tmpl w:val="E9920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FC1C07"/>
    <w:multiLevelType w:val="hybridMultilevel"/>
    <w:tmpl w:val="A76E9C24"/>
    <w:lvl w:ilvl="0" w:tplc="B5505BD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F073E80"/>
    <w:multiLevelType w:val="hybridMultilevel"/>
    <w:tmpl w:val="EA429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612F5C"/>
    <w:multiLevelType w:val="hybridMultilevel"/>
    <w:tmpl w:val="E5B014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813640"/>
    <w:multiLevelType w:val="hybridMultilevel"/>
    <w:tmpl w:val="845C2A7E"/>
    <w:lvl w:ilvl="0" w:tplc="FDC2A49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E84018"/>
    <w:multiLevelType w:val="hybridMultilevel"/>
    <w:tmpl w:val="19BA3DF2"/>
    <w:lvl w:ilvl="0" w:tplc="E8C43CDC">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9938A0"/>
    <w:multiLevelType w:val="hybridMultilevel"/>
    <w:tmpl w:val="318E69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CA52769"/>
    <w:multiLevelType w:val="hybridMultilevel"/>
    <w:tmpl w:val="77D25404"/>
    <w:lvl w:ilvl="0" w:tplc="04090001">
      <w:start w:val="1"/>
      <w:numFmt w:val="bullet"/>
      <w:lvlText w:val=""/>
      <w:lvlJc w:val="left"/>
      <w:pPr>
        <w:ind w:left="1080" w:hanging="720"/>
      </w:pPr>
      <w:rPr>
        <w:rFonts w:ascii="Symbol" w:hAnsi="Symbol" w:hint="default"/>
      </w:rPr>
    </w:lvl>
    <w:lvl w:ilvl="1" w:tplc="A8322572">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3557E8"/>
    <w:multiLevelType w:val="hybridMultilevel"/>
    <w:tmpl w:val="60AAE6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10A41F1"/>
    <w:multiLevelType w:val="hybridMultilevel"/>
    <w:tmpl w:val="B358EB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4173DFC"/>
    <w:multiLevelType w:val="hybridMultilevel"/>
    <w:tmpl w:val="3F4EF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6455AFD"/>
    <w:multiLevelType w:val="hybridMultilevel"/>
    <w:tmpl w:val="D666BB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8F62A5B"/>
    <w:multiLevelType w:val="hybridMultilevel"/>
    <w:tmpl w:val="63289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9733F2"/>
    <w:multiLevelType w:val="hybridMultilevel"/>
    <w:tmpl w:val="6298D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C47589E"/>
    <w:multiLevelType w:val="hybridMultilevel"/>
    <w:tmpl w:val="D90C5B4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CE469F9"/>
    <w:multiLevelType w:val="hybridMultilevel"/>
    <w:tmpl w:val="6E402D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DF425DC"/>
    <w:multiLevelType w:val="hybridMultilevel"/>
    <w:tmpl w:val="54E68E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4B96ABB"/>
    <w:multiLevelType w:val="hybridMultilevel"/>
    <w:tmpl w:val="5D18C316"/>
    <w:lvl w:ilvl="0" w:tplc="1152C8B4">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7092316"/>
    <w:multiLevelType w:val="hybridMultilevel"/>
    <w:tmpl w:val="8CCE5CE0"/>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C6950D4"/>
    <w:multiLevelType w:val="hybridMultilevel"/>
    <w:tmpl w:val="27FA0B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F026491"/>
    <w:multiLevelType w:val="hybridMultilevel"/>
    <w:tmpl w:val="9A7029F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43FA11BD"/>
    <w:multiLevelType w:val="hybridMultilevel"/>
    <w:tmpl w:val="892CF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67B27A1"/>
    <w:multiLevelType w:val="hybridMultilevel"/>
    <w:tmpl w:val="0E7C2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6D63ED5"/>
    <w:multiLevelType w:val="hybridMultilevel"/>
    <w:tmpl w:val="48C64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75133F0"/>
    <w:multiLevelType w:val="hybridMultilevel"/>
    <w:tmpl w:val="CD1EA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0B6001"/>
    <w:multiLevelType w:val="hybridMultilevel"/>
    <w:tmpl w:val="BEAE8F96"/>
    <w:lvl w:ilvl="0" w:tplc="04090001">
      <w:start w:val="1"/>
      <w:numFmt w:val="bullet"/>
      <w:lvlText w:val=""/>
      <w:lvlJc w:val="left"/>
      <w:pPr>
        <w:ind w:left="720" w:hanging="360"/>
      </w:pPr>
      <w:rPr>
        <w:rFonts w:ascii="Symbol" w:hAnsi="Symbol"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A735A69"/>
    <w:multiLevelType w:val="hybridMultilevel"/>
    <w:tmpl w:val="4F6670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4B9272BF"/>
    <w:multiLevelType w:val="hybridMultilevel"/>
    <w:tmpl w:val="91BA2F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4C3C531E"/>
    <w:multiLevelType w:val="hybridMultilevel"/>
    <w:tmpl w:val="C290C4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C7557F5"/>
    <w:multiLevelType w:val="hybridMultilevel"/>
    <w:tmpl w:val="4364A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98E564D"/>
    <w:multiLevelType w:val="hybridMultilevel"/>
    <w:tmpl w:val="9C9EC0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17C0FCF"/>
    <w:multiLevelType w:val="hybridMultilevel"/>
    <w:tmpl w:val="3496C198"/>
    <w:lvl w:ilvl="0" w:tplc="0409000F">
      <w:start w:val="1"/>
      <w:numFmt w:val="decimal"/>
      <w:lvlText w:val="%1."/>
      <w:lvlJc w:val="left"/>
      <w:pPr>
        <w:ind w:left="720" w:hanging="360"/>
      </w:pPr>
      <w:rPr>
        <w:rFonts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3784443"/>
    <w:multiLevelType w:val="hybridMultilevel"/>
    <w:tmpl w:val="F370B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5F65EF3"/>
    <w:multiLevelType w:val="hybridMultilevel"/>
    <w:tmpl w:val="5F722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655D76"/>
    <w:multiLevelType w:val="hybridMultilevel"/>
    <w:tmpl w:val="721A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877A9A"/>
    <w:multiLevelType w:val="hybridMultilevel"/>
    <w:tmpl w:val="81307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AFB628E"/>
    <w:multiLevelType w:val="hybridMultilevel"/>
    <w:tmpl w:val="75501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B5435CD"/>
    <w:multiLevelType w:val="hybridMultilevel"/>
    <w:tmpl w:val="6E08A2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6D397D5D"/>
    <w:multiLevelType w:val="hybridMultilevel"/>
    <w:tmpl w:val="302E9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5120721"/>
    <w:multiLevelType w:val="hybridMultilevel"/>
    <w:tmpl w:val="7D244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7DB6F36"/>
    <w:multiLevelType w:val="hybridMultilevel"/>
    <w:tmpl w:val="549E8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8675EC1"/>
    <w:multiLevelType w:val="hybridMultilevel"/>
    <w:tmpl w:val="94285A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BAF2F59"/>
    <w:multiLevelType w:val="hybridMultilevel"/>
    <w:tmpl w:val="547A62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5" w15:restartNumberingAfterBreak="0">
    <w:nsid w:val="7C325036"/>
    <w:multiLevelType w:val="hybridMultilevel"/>
    <w:tmpl w:val="DD94F04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D142B4F"/>
    <w:multiLevelType w:val="hybridMultilevel"/>
    <w:tmpl w:val="7A56D4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7F3F59E1"/>
    <w:multiLevelType w:val="hybridMultilevel"/>
    <w:tmpl w:val="C556F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18969025">
    <w:abstractNumId w:val="20"/>
  </w:num>
  <w:num w:numId="2" w16cid:durableId="319427900">
    <w:abstractNumId w:val="6"/>
  </w:num>
  <w:num w:numId="3" w16cid:durableId="483819352">
    <w:abstractNumId w:val="1"/>
  </w:num>
  <w:num w:numId="4" w16cid:durableId="1550531087">
    <w:abstractNumId w:val="16"/>
  </w:num>
  <w:num w:numId="5" w16cid:durableId="365302262">
    <w:abstractNumId w:val="4"/>
  </w:num>
  <w:num w:numId="6" w16cid:durableId="1490904455">
    <w:abstractNumId w:val="35"/>
  </w:num>
  <w:num w:numId="7" w16cid:durableId="1975796718">
    <w:abstractNumId w:val="41"/>
  </w:num>
  <w:num w:numId="8" w16cid:durableId="168910388">
    <w:abstractNumId w:val="45"/>
  </w:num>
  <w:num w:numId="9" w16cid:durableId="864364265">
    <w:abstractNumId w:val="33"/>
  </w:num>
  <w:num w:numId="10" w16cid:durableId="1110662610">
    <w:abstractNumId w:val="36"/>
  </w:num>
  <w:num w:numId="11" w16cid:durableId="48504678">
    <w:abstractNumId w:val="27"/>
  </w:num>
  <w:num w:numId="12" w16cid:durableId="1057243330">
    <w:abstractNumId w:val="44"/>
  </w:num>
  <w:num w:numId="13" w16cid:durableId="113838224">
    <w:abstractNumId w:val="25"/>
  </w:num>
  <w:num w:numId="14" w16cid:durableId="1819300015">
    <w:abstractNumId w:val="9"/>
  </w:num>
  <w:num w:numId="15" w16cid:durableId="1354769003">
    <w:abstractNumId w:val="31"/>
  </w:num>
  <w:num w:numId="16" w16cid:durableId="765884069">
    <w:abstractNumId w:val="17"/>
  </w:num>
  <w:num w:numId="17" w16cid:durableId="1830708544">
    <w:abstractNumId w:val="0"/>
  </w:num>
  <w:num w:numId="18" w16cid:durableId="1195772453">
    <w:abstractNumId w:val="22"/>
  </w:num>
  <w:num w:numId="19" w16cid:durableId="116266373">
    <w:abstractNumId w:val="3"/>
  </w:num>
  <w:num w:numId="20" w16cid:durableId="1165899663">
    <w:abstractNumId w:val="12"/>
  </w:num>
  <w:num w:numId="21" w16cid:durableId="1921870603">
    <w:abstractNumId w:val="47"/>
  </w:num>
  <w:num w:numId="22" w16cid:durableId="1106846340">
    <w:abstractNumId w:val="15"/>
  </w:num>
  <w:num w:numId="23" w16cid:durableId="1120413215">
    <w:abstractNumId w:val="19"/>
  </w:num>
  <w:num w:numId="24" w16cid:durableId="884490536">
    <w:abstractNumId w:val="34"/>
  </w:num>
  <w:num w:numId="25" w16cid:durableId="1098991049">
    <w:abstractNumId w:val="39"/>
  </w:num>
  <w:num w:numId="26" w16cid:durableId="631596808">
    <w:abstractNumId w:val="10"/>
  </w:num>
  <w:num w:numId="27" w16cid:durableId="1306087360">
    <w:abstractNumId w:val="8"/>
  </w:num>
  <w:num w:numId="28" w16cid:durableId="909191109">
    <w:abstractNumId w:val="28"/>
  </w:num>
  <w:num w:numId="29" w16cid:durableId="556204899">
    <w:abstractNumId w:val="29"/>
  </w:num>
  <w:num w:numId="30" w16cid:durableId="1668284805">
    <w:abstractNumId w:val="18"/>
  </w:num>
  <w:num w:numId="31" w16cid:durableId="1777868951">
    <w:abstractNumId w:val="26"/>
  </w:num>
  <w:num w:numId="32" w16cid:durableId="1614898655">
    <w:abstractNumId w:val="7"/>
  </w:num>
  <w:num w:numId="33" w16cid:durableId="364449577">
    <w:abstractNumId w:val="14"/>
  </w:num>
  <w:num w:numId="34" w16cid:durableId="248081818">
    <w:abstractNumId w:val="42"/>
  </w:num>
  <w:num w:numId="35" w16cid:durableId="1742749116">
    <w:abstractNumId w:val="40"/>
  </w:num>
  <w:num w:numId="36" w16cid:durableId="1632056943">
    <w:abstractNumId w:val="30"/>
  </w:num>
  <w:num w:numId="37" w16cid:durableId="16198188">
    <w:abstractNumId w:val="38"/>
  </w:num>
  <w:num w:numId="38" w16cid:durableId="995642619">
    <w:abstractNumId w:val="23"/>
  </w:num>
  <w:num w:numId="39" w16cid:durableId="1951429902">
    <w:abstractNumId w:val="46"/>
  </w:num>
  <w:num w:numId="40" w16cid:durableId="1660618793">
    <w:abstractNumId w:val="24"/>
  </w:num>
  <w:num w:numId="41" w16cid:durableId="1059128693">
    <w:abstractNumId w:val="2"/>
  </w:num>
  <w:num w:numId="42" w16cid:durableId="358094192">
    <w:abstractNumId w:val="5"/>
  </w:num>
  <w:num w:numId="43" w16cid:durableId="1710913578">
    <w:abstractNumId w:val="21"/>
  </w:num>
  <w:num w:numId="44" w16cid:durableId="546988899">
    <w:abstractNumId w:val="11"/>
  </w:num>
  <w:num w:numId="45" w16cid:durableId="1597978456">
    <w:abstractNumId w:val="37"/>
  </w:num>
  <w:num w:numId="46" w16cid:durableId="1055546356">
    <w:abstractNumId w:val="32"/>
  </w:num>
  <w:num w:numId="47" w16cid:durableId="854804788">
    <w:abstractNumId w:val="13"/>
  </w:num>
  <w:num w:numId="48" w16cid:durableId="418797936">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650"/>
    <w:rsid w:val="00015BCC"/>
    <w:rsid w:val="00042C6F"/>
    <w:rsid w:val="0004495D"/>
    <w:rsid w:val="0004619A"/>
    <w:rsid w:val="00046C49"/>
    <w:rsid w:val="00086352"/>
    <w:rsid w:val="00093D9F"/>
    <w:rsid w:val="000A0E24"/>
    <w:rsid w:val="000B5D57"/>
    <w:rsid w:val="000B6F75"/>
    <w:rsid w:val="000C7C14"/>
    <w:rsid w:val="00101544"/>
    <w:rsid w:val="00114CCA"/>
    <w:rsid w:val="00156C09"/>
    <w:rsid w:val="001668A8"/>
    <w:rsid w:val="00196443"/>
    <w:rsid w:val="001A6E66"/>
    <w:rsid w:val="001B13EB"/>
    <w:rsid w:val="001B450B"/>
    <w:rsid w:val="001D532C"/>
    <w:rsid w:val="001D6213"/>
    <w:rsid w:val="001F47FD"/>
    <w:rsid w:val="002257CD"/>
    <w:rsid w:val="002305C5"/>
    <w:rsid w:val="00284AAE"/>
    <w:rsid w:val="0028723E"/>
    <w:rsid w:val="002876FE"/>
    <w:rsid w:val="002D0B34"/>
    <w:rsid w:val="002D5B01"/>
    <w:rsid w:val="002D65A3"/>
    <w:rsid w:val="002D7273"/>
    <w:rsid w:val="003216C7"/>
    <w:rsid w:val="00326F85"/>
    <w:rsid w:val="003319F3"/>
    <w:rsid w:val="003439F7"/>
    <w:rsid w:val="00360DAB"/>
    <w:rsid w:val="00372B51"/>
    <w:rsid w:val="0038184B"/>
    <w:rsid w:val="00383811"/>
    <w:rsid w:val="003A0EBE"/>
    <w:rsid w:val="003A1F96"/>
    <w:rsid w:val="003A60A9"/>
    <w:rsid w:val="003A745E"/>
    <w:rsid w:val="003B7C83"/>
    <w:rsid w:val="00401F8D"/>
    <w:rsid w:val="004055DB"/>
    <w:rsid w:val="004134D4"/>
    <w:rsid w:val="00414D42"/>
    <w:rsid w:val="00434DDB"/>
    <w:rsid w:val="00436AE3"/>
    <w:rsid w:val="004650D2"/>
    <w:rsid w:val="00477C56"/>
    <w:rsid w:val="00484A19"/>
    <w:rsid w:val="00490571"/>
    <w:rsid w:val="004F28E4"/>
    <w:rsid w:val="004F6D5A"/>
    <w:rsid w:val="004F6EC6"/>
    <w:rsid w:val="004F7950"/>
    <w:rsid w:val="005025C7"/>
    <w:rsid w:val="00505CB3"/>
    <w:rsid w:val="005132DF"/>
    <w:rsid w:val="0051677C"/>
    <w:rsid w:val="00531689"/>
    <w:rsid w:val="00531CED"/>
    <w:rsid w:val="005612DD"/>
    <w:rsid w:val="00566EF4"/>
    <w:rsid w:val="0058685C"/>
    <w:rsid w:val="005A38AA"/>
    <w:rsid w:val="005B3A8D"/>
    <w:rsid w:val="005C3446"/>
    <w:rsid w:val="005E2E96"/>
    <w:rsid w:val="006105E2"/>
    <w:rsid w:val="00615E7B"/>
    <w:rsid w:val="00640577"/>
    <w:rsid w:val="006412F6"/>
    <w:rsid w:val="00644334"/>
    <w:rsid w:val="00644785"/>
    <w:rsid w:val="00646A53"/>
    <w:rsid w:val="006807A3"/>
    <w:rsid w:val="00690C3F"/>
    <w:rsid w:val="00693967"/>
    <w:rsid w:val="006B1AFB"/>
    <w:rsid w:val="006F5D15"/>
    <w:rsid w:val="00713444"/>
    <w:rsid w:val="00713F2B"/>
    <w:rsid w:val="00720C57"/>
    <w:rsid w:val="00741D51"/>
    <w:rsid w:val="0074772B"/>
    <w:rsid w:val="0075015E"/>
    <w:rsid w:val="00755B2C"/>
    <w:rsid w:val="00771104"/>
    <w:rsid w:val="00786D2C"/>
    <w:rsid w:val="007A3C77"/>
    <w:rsid w:val="007B5697"/>
    <w:rsid w:val="007C2144"/>
    <w:rsid w:val="007C3E73"/>
    <w:rsid w:val="007E38ED"/>
    <w:rsid w:val="007E56C8"/>
    <w:rsid w:val="007F62CB"/>
    <w:rsid w:val="00823531"/>
    <w:rsid w:val="00823F46"/>
    <w:rsid w:val="00826C6D"/>
    <w:rsid w:val="00843A10"/>
    <w:rsid w:val="008566A8"/>
    <w:rsid w:val="00860C1C"/>
    <w:rsid w:val="00871BB0"/>
    <w:rsid w:val="00875304"/>
    <w:rsid w:val="008823E1"/>
    <w:rsid w:val="00884133"/>
    <w:rsid w:val="008A0867"/>
    <w:rsid w:val="008F2641"/>
    <w:rsid w:val="0091285A"/>
    <w:rsid w:val="0092371C"/>
    <w:rsid w:val="009337BF"/>
    <w:rsid w:val="009412A9"/>
    <w:rsid w:val="009850AD"/>
    <w:rsid w:val="00990858"/>
    <w:rsid w:val="009B028E"/>
    <w:rsid w:val="009C623E"/>
    <w:rsid w:val="009D1F8F"/>
    <w:rsid w:val="009E290C"/>
    <w:rsid w:val="00A162C1"/>
    <w:rsid w:val="00A3448D"/>
    <w:rsid w:val="00A37636"/>
    <w:rsid w:val="00A537CE"/>
    <w:rsid w:val="00A63977"/>
    <w:rsid w:val="00A64F85"/>
    <w:rsid w:val="00A81650"/>
    <w:rsid w:val="00A81860"/>
    <w:rsid w:val="00A83C1E"/>
    <w:rsid w:val="00AB2EAB"/>
    <w:rsid w:val="00AF7FD1"/>
    <w:rsid w:val="00B01D47"/>
    <w:rsid w:val="00B23185"/>
    <w:rsid w:val="00B35D5B"/>
    <w:rsid w:val="00B36D64"/>
    <w:rsid w:val="00B50DC2"/>
    <w:rsid w:val="00B53978"/>
    <w:rsid w:val="00B66916"/>
    <w:rsid w:val="00B76BA7"/>
    <w:rsid w:val="00BA7411"/>
    <w:rsid w:val="00BB10FB"/>
    <w:rsid w:val="00BB2414"/>
    <w:rsid w:val="00BB2E0C"/>
    <w:rsid w:val="00BC2D2E"/>
    <w:rsid w:val="00BC41A1"/>
    <w:rsid w:val="00BE6F35"/>
    <w:rsid w:val="00BF1B11"/>
    <w:rsid w:val="00C0706B"/>
    <w:rsid w:val="00C26FE4"/>
    <w:rsid w:val="00C34E13"/>
    <w:rsid w:val="00C47923"/>
    <w:rsid w:val="00C86D0C"/>
    <w:rsid w:val="00CC193E"/>
    <w:rsid w:val="00CC2F15"/>
    <w:rsid w:val="00CC606D"/>
    <w:rsid w:val="00CD3720"/>
    <w:rsid w:val="00CD5381"/>
    <w:rsid w:val="00D01C6A"/>
    <w:rsid w:val="00D11899"/>
    <w:rsid w:val="00D500E7"/>
    <w:rsid w:val="00D56CB6"/>
    <w:rsid w:val="00D57B63"/>
    <w:rsid w:val="00D674C8"/>
    <w:rsid w:val="00D913CB"/>
    <w:rsid w:val="00DB04A9"/>
    <w:rsid w:val="00DB5AB9"/>
    <w:rsid w:val="00DC35AC"/>
    <w:rsid w:val="00DE35AB"/>
    <w:rsid w:val="00DF3596"/>
    <w:rsid w:val="00E12DC0"/>
    <w:rsid w:val="00E3117B"/>
    <w:rsid w:val="00E4520A"/>
    <w:rsid w:val="00E45A93"/>
    <w:rsid w:val="00E47C87"/>
    <w:rsid w:val="00E55456"/>
    <w:rsid w:val="00E820AA"/>
    <w:rsid w:val="00E94DD0"/>
    <w:rsid w:val="00E9641B"/>
    <w:rsid w:val="00EA2C34"/>
    <w:rsid w:val="00EA4670"/>
    <w:rsid w:val="00EB7424"/>
    <w:rsid w:val="00ED3ED2"/>
    <w:rsid w:val="00ED7702"/>
    <w:rsid w:val="00EF597D"/>
    <w:rsid w:val="00F533B4"/>
    <w:rsid w:val="00F56B3D"/>
    <w:rsid w:val="00F60E10"/>
    <w:rsid w:val="00F715CB"/>
    <w:rsid w:val="00F72F2C"/>
    <w:rsid w:val="00F8429A"/>
    <w:rsid w:val="00F871C7"/>
    <w:rsid w:val="00F94355"/>
    <w:rsid w:val="00FA13E3"/>
    <w:rsid w:val="00FA5CD7"/>
    <w:rsid w:val="00FE66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58E1D3"/>
  <w15:chartTrackingRefBased/>
  <w15:docId w15:val="{E4AEE0B2-DA05-4C24-9857-515E84AA2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60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4F6D5A"/>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4F6D5A"/>
    <w:rPr>
      <w:sz w:val="20"/>
      <w:szCs w:val="20"/>
    </w:rPr>
  </w:style>
  <w:style w:type="character" w:styleId="FootnoteReference">
    <w:name w:val="footnote reference"/>
    <w:aliases w:val="4_G,4_GA"/>
    <w:basedOn w:val="DefaultParagraphFont"/>
    <w:uiPriority w:val="99"/>
    <w:unhideWhenUsed/>
    <w:qFormat/>
    <w:rsid w:val="004F6D5A"/>
    <w:rPr>
      <w:vertAlign w:val="superscript"/>
    </w:rPr>
  </w:style>
  <w:style w:type="character" w:styleId="Hyperlink">
    <w:name w:val="Hyperlink"/>
    <w:basedOn w:val="DefaultParagraphFont"/>
    <w:uiPriority w:val="99"/>
    <w:unhideWhenUsed/>
    <w:rsid w:val="004F6D5A"/>
    <w:rPr>
      <w:color w:val="0563C1" w:themeColor="hyperlink"/>
      <w:u w:val="single"/>
    </w:rPr>
  </w:style>
  <w:style w:type="character" w:styleId="FollowedHyperlink">
    <w:name w:val="FollowedHyperlink"/>
    <w:basedOn w:val="DefaultParagraphFont"/>
    <w:uiPriority w:val="99"/>
    <w:semiHidden/>
    <w:unhideWhenUsed/>
    <w:rsid w:val="009D1F8F"/>
    <w:rPr>
      <w:color w:val="954F72" w:themeColor="followedHyperlink"/>
      <w:u w:val="single"/>
    </w:rPr>
  </w:style>
  <w:style w:type="paragraph" w:styleId="ListParagraph">
    <w:name w:val="List Paragraph"/>
    <w:basedOn w:val="Normal"/>
    <w:link w:val="ListParagraphChar"/>
    <w:uiPriority w:val="34"/>
    <w:qFormat/>
    <w:rsid w:val="00AF7FD1"/>
    <w:pPr>
      <w:ind w:left="720"/>
      <w:contextualSpacing/>
    </w:pPr>
  </w:style>
  <w:style w:type="paragraph" w:styleId="Header">
    <w:name w:val="header"/>
    <w:basedOn w:val="Normal"/>
    <w:link w:val="HeaderChar"/>
    <w:uiPriority w:val="99"/>
    <w:unhideWhenUsed/>
    <w:rsid w:val="005868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85C"/>
  </w:style>
  <w:style w:type="paragraph" w:styleId="Footer">
    <w:name w:val="footer"/>
    <w:basedOn w:val="Normal"/>
    <w:link w:val="FooterChar"/>
    <w:uiPriority w:val="99"/>
    <w:unhideWhenUsed/>
    <w:rsid w:val="005868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85C"/>
  </w:style>
  <w:style w:type="table" w:styleId="TableGrid">
    <w:name w:val="Table Grid"/>
    <w:basedOn w:val="TableNormal"/>
    <w:uiPriority w:val="39"/>
    <w:rsid w:val="00646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646A53"/>
  </w:style>
  <w:style w:type="character" w:customStyle="1" w:styleId="UnresolvedMention1">
    <w:name w:val="Unresolved Mention1"/>
    <w:basedOn w:val="DefaultParagraphFont"/>
    <w:uiPriority w:val="99"/>
    <w:semiHidden/>
    <w:unhideWhenUsed/>
    <w:rsid w:val="007E56C8"/>
    <w:rPr>
      <w:color w:val="605E5C"/>
      <w:shd w:val="clear" w:color="auto" w:fill="E1DFDD"/>
    </w:rPr>
  </w:style>
  <w:style w:type="character" w:customStyle="1" w:styleId="ListParagraphChar">
    <w:name w:val="List Paragraph Char"/>
    <w:link w:val="ListParagraph"/>
    <w:uiPriority w:val="34"/>
    <w:rsid w:val="00E55456"/>
  </w:style>
  <w:style w:type="paragraph" w:styleId="HTMLPreformatted">
    <w:name w:val="HTML Preformatted"/>
    <w:basedOn w:val="Normal"/>
    <w:link w:val="HTMLPreformattedChar"/>
    <w:uiPriority w:val="99"/>
    <w:unhideWhenUsed/>
    <w:rsid w:val="009850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850AD"/>
    <w:rPr>
      <w:rFonts w:ascii="Courier New" w:eastAsia="Times New Roman" w:hAnsi="Courier New" w:cs="Courier New"/>
      <w:sz w:val="20"/>
      <w:szCs w:val="20"/>
    </w:rPr>
  </w:style>
  <w:style w:type="character" w:customStyle="1" w:styleId="y2iqfc">
    <w:name w:val="y2iqfc"/>
    <w:basedOn w:val="DefaultParagraphFont"/>
    <w:rsid w:val="009850AD"/>
  </w:style>
  <w:style w:type="character" w:styleId="CommentReference">
    <w:name w:val="annotation reference"/>
    <w:basedOn w:val="DefaultParagraphFont"/>
    <w:uiPriority w:val="99"/>
    <w:semiHidden/>
    <w:unhideWhenUsed/>
    <w:rsid w:val="009850AD"/>
    <w:rPr>
      <w:sz w:val="16"/>
      <w:szCs w:val="16"/>
    </w:rPr>
  </w:style>
  <w:style w:type="paragraph" w:styleId="CommentText">
    <w:name w:val="annotation text"/>
    <w:basedOn w:val="Normal"/>
    <w:link w:val="CommentTextChar"/>
    <w:uiPriority w:val="99"/>
    <w:semiHidden/>
    <w:unhideWhenUsed/>
    <w:rsid w:val="009850AD"/>
    <w:pPr>
      <w:bidi/>
      <w:spacing w:after="200" w:line="240" w:lineRule="auto"/>
      <w:ind w:left="300" w:hanging="357"/>
    </w:pPr>
    <w:rPr>
      <w:rFonts w:eastAsiaTheme="minorEastAsia"/>
      <w:sz w:val="20"/>
      <w:szCs w:val="20"/>
    </w:rPr>
  </w:style>
  <w:style w:type="character" w:customStyle="1" w:styleId="CommentTextChar">
    <w:name w:val="Comment Text Char"/>
    <w:basedOn w:val="DefaultParagraphFont"/>
    <w:link w:val="CommentText"/>
    <w:uiPriority w:val="99"/>
    <w:semiHidden/>
    <w:rsid w:val="009850AD"/>
    <w:rPr>
      <w:rFonts w:eastAsiaTheme="minorEastAsia"/>
      <w:sz w:val="20"/>
      <w:szCs w:val="20"/>
    </w:rPr>
  </w:style>
  <w:style w:type="character" w:styleId="UnresolvedMention">
    <w:name w:val="Unresolved Mention"/>
    <w:basedOn w:val="DefaultParagraphFont"/>
    <w:uiPriority w:val="99"/>
    <w:semiHidden/>
    <w:unhideWhenUsed/>
    <w:rsid w:val="006105E2"/>
    <w:rPr>
      <w:color w:val="605E5C"/>
      <w:shd w:val="clear" w:color="auto" w:fill="E1DFDD"/>
    </w:rPr>
  </w:style>
  <w:style w:type="table" w:styleId="GridTable5Dark-Accent1">
    <w:name w:val="Grid Table 5 Dark Accent 1"/>
    <w:basedOn w:val="TableNormal"/>
    <w:uiPriority w:val="50"/>
    <w:rsid w:val="00D500E7"/>
    <w:pPr>
      <w:spacing w:before="100" w:beforeAutospacing="1" w:after="0" w:afterAutospacing="1"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841083">
      <w:bodyDiv w:val="1"/>
      <w:marLeft w:val="0"/>
      <w:marRight w:val="0"/>
      <w:marTop w:val="0"/>
      <w:marBottom w:val="0"/>
      <w:divBdr>
        <w:top w:val="none" w:sz="0" w:space="0" w:color="auto"/>
        <w:left w:val="none" w:sz="0" w:space="0" w:color="auto"/>
        <w:bottom w:val="none" w:sz="0" w:space="0" w:color="auto"/>
        <w:right w:val="none" w:sz="0" w:space="0" w:color="auto"/>
      </w:divBdr>
    </w:div>
    <w:div w:id="664556909">
      <w:bodyDiv w:val="1"/>
      <w:marLeft w:val="0"/>
      <w:marRight w:val="0"/>
      <w:marTop w:val="0"/>
      <w:marBottom w:val="0"/>
      <w:divBdr>
        <w:top w:val="none" w:sz="0" w:space="0" w:color="auto"/>
        <w:left w:val="none" w:sz="0" w:space="0" w:color="auto"/>
        <w:bottom w:val="none" w:sz="0" w:space="0" w:color="auto"/>
        <w:right w:val="none" w:sz="0" w:space="0" w:color="auto"/>
      </w:divBdr>
    </w:div>
    <w:div w:id="1346781868">
      <w:bodyDiv w:val="1"/>
      <w:marLeft w:val="0"/>
      <w:marRight w:val="0"/>
      <w:marTop w:val="0"/>
      <w:marBottom w:val="0"/>
      <w:divBdr>
        <w:top w:val="none" w:sz="0" w:space="0" w:color="auto"/>
        <w:left w:val="none" w:sz="0" w:space="0" w:color="auto"/>
        <w:bottom w:val="none" w:sz="0" w:space="0" w:color="auto"/>
        <w:right w:val="none" w:sz="0" w:space="0" w:color="auto"/>
      </w:divBdr>
    </w:div>
    <w:div w:id="1655446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2h.ae/SkXj" TargetMode="External"/><Relationship Id="rId13" Type="http://schemas.openxmlformats.org/officeDocument/2006/relationships/hyperlink" Target="https://2h.ae/uSpU" TargetMode="External"/><Relationship Id="rId3" Type="http://schemas.openxmlformats.org/officeDocument/2006/relationships/hyperlink" Target="https://2h.ae/WUfO" TargetMode="External"/><Relationship Id="rId7" Type="http://schemas.openxmlformats.org/officeDocument/2006/relationships/hyperlink" Target="https://2h.ae/vSfu" TargetMode="External"/><Relationship Id="rId12" Type="http://schemas.openxmlformats.org/officeDocument/2006/relationships/hyperlink" Target="https://2h.ae/hjKv" TargetMode="External"/><Relationship Id="rId2" Type="http://schemas.openxmlformats.org/officeDocument/2006/relationships/hyperlink" Target="https://2h.ae/OouY" TargetMode="External"/><Relationship Id="rId1" Type="http://schemas.openxmlformats.org/officeDocument/2006/relationships/hyperlink" Target="https://2h.ae/wfUt" TargetMode="External"/><Relationship Id="rId6" Type="http://schemas.openxmlformats.org/officeDocument/2006/relationships/hyperlink" Target="https://royanews.tv/news/339089" TargetMode="External"/><Relationship Id="rId11" Type="http://schemas.openxmlformats.org/officeDocument/2006/relationships/hyperlink" Target="https://2h.ae/Xghj" TargetMode="External"/><Relationship Id="rId5" Type="http://schemas.openxmlformats.org/officeDocument/2006/relationships/hyperlink" Target="https://2h.ae/phvo" TargetMode="External"/><Relationship Id="rId15" Type="http://schemas.openxmlformats.org/officeDocument/2006/relationships/hyperlink" Target="https://2h.ae/zrhJ" TargetMode="External"/><Relationship Id="rId10" Type="http://schemas.openxmlformats.org/officeDocument/2006/relationships/hyperlink" Target="https://2h.ae/Obfa" TargetMode="External"/><Relationship Id="rId4" Type="http://schemas.openxmlformats.org/officeDocument/2006/relationships/hyperlink" Target="https://royanews.tv/news/339086" TargetMode="External"/><Relationship Id="rId9" Type="http://schemas.openxmlformats.org/officeDocument/2006/relationships/hyperlink" Target="https://2h.ae/xTAD" TargetMode="External"/><Relationship Id="rId14" Type="http://schemas.openxmlformats.org/officeDocument/2006/relationships/hyperlink" Target="https://2h.ae/XRhw"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2025-01-06T16:15:02+00:00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2F798CFA-3D8E-489F-8992-A7625FD7A28B}">
  <ds:schemaRefs>
    <ds:schemaRef ds:uri="http://schemas.openxmlformats.org/officeDocument/2006/bibliography"/>
  </ds:schemaRefs>
</ds:datastoreItem>
</file>

<file path=customXml/itemProps2.xml><?xml version="1.0" encoding="utf-8"?>
<ds:datastoreItem xmlns:ds="http://schemas.openxmlformats.org/officeDocument/2006/customXml" ds:itemID="{536D7202-EB01-4933-956F-EA434732658B}"/>
</file>

<file path=customXml/itemProps3.xml><?xml version="1.0" encoding="utf-8"?>
<ds:datastoreItem xmlns:ds="http://schemas.openxmlformats.org/officeDocument/2006/customXml" ds:itemID="{264543EA-A67A-467D-99C3-7FB91115B4B1}"/>
</file>

<file path=customXml/itemProps4.xml><?xml version="1.0" encoding="utf-8"?>
<ds:datastoreItem xmlns:ds="http://schemas.openxmlformats.org/officeDocument/2006/customXml" ds:itemID="{CA0F74B9-7DD8-4A40-8493-4840FFE25AE8}"/>
</file>

<file path=docProps/app.xml><?xml version="1.0" encoding="utf-8"?>
<Properties xmlns="http://schemas.openxmlformats.org/officeDocument/2006/extended-properties" xmlns:vt="http://schemas.openxmlformats.org/officeDocument/2006/docPropsVTypes">
  <Template>Normal</Template>
  <TotalTime>7</TotalTime>
  <Pages>9</Pages>
  <Words>3274</Words>
  <Characters>18665</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Mira Farash</cp:lastModifiedBy>
  <cp:revision>4</cp:revision>
  <dcterms:created xsi:type="dcterms:W3CDTF">2025-01-06T11:37:00Z</dcterms:created>
  <dcterms:modified xsi:type="dcterms:W3CDTF">2025-01-06T16:06:00Z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a082c0eeaec495607543bb366324cad789a8f1398e9c10fe1a33a8fa08a1c73f</vt:lpwstr>
  </property>
  <property fmtid="{D5CDD505-2E9C-101B-9397-08002B2CF9AE}" pid="3" name="ContentTypeId">
    <vt:lpwstr>0x0101004100868408537B4FA2A9FA4AC7F0070F</vt:lpwstr>
  </property>
</Properties>
</file>