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03465D" w14:textId="77777777" w:rsidR="001B4D70" w:rsidRDefault="005D51BF">
      <w:pPr>
        <w:spacing w:line="360" w:lineRule="auto"/>
        <w:jc w:val="both"/>
        <w:rPr>
          <w:b/>
          <w:bCs/>
          <w:sz w:val="28"/>
          <w:szCs w:val="28"/>
        </w:rPr>
      </w:pPr>
      <w:r>
        <w:rPr>
          <w:b/>
          <w:bCs/>
          <w:sz w:val="28"/>
          <w:szCs w:val="28"/>
        </w:rPr>
        <w:t xml:space="preserve">Contribution to the List of Issues Prior to Reporting (LOIPR) for Brazil in the context of its review by the Committee against Torture </w:t>
      </w:r>
    </w:p>
    <w:p w14:paraId="5EAF4808" w14:textId="77777777" w:rsidR="001B4D70" w:rsidRDefault="001B4D70">
      <w:pPr>
        <w:spacing w:line="360" w:lineRule="auto"/>
        <w:jc w:val="both"/>
        <w:rPr>
          <w:b/>
          <w:bCs/>
          <w:sz w:val="28"/>
          <w:szCs w:val="28"/>
        </w:rPr>
      </w:pPr>
    </w:p>
    <w:p w14:paraId="056B4AA1" w14:textId="77777777" w:rsidR="001B4D70" w:rsidRDefault="005D51BF">
      <w:pPr>
        <w:spacing w:line="360" w:lineRule="auto"/>
        <w:jc w:val="right"/>
        <w:rPr>
          <w:i/>
          <w:iCs/>
        </w:rPr>
      </w:pPr>
      <w:r>
        <w:rPr>
          <w:i/>
          <w:iCs/>
        </w:rPr>
        <w:t>16th January 2026</w:t>
      </w:r>
    </w:p>
    <w:p w14:paraId="001AAF4D" w14:textId="77777777" w:rsidR="001B4D70" w:rsidRDefault="001B4D70">
      <w:pPr>
        <w:spacing w:line="360" w:lineRule="auto"/>
        <w:jc w:val="both"/>
        <w:rPr>
          <w:b/>
          <w:bCs/>
          <w:sz w:val="28"/>
          <w:szCs w:val="28"/>
        </w:rPr>
      </w:pPr>
    </w:p>
    <w:p w14:paraId="1AC3C1EA" w14:textId="77777777" w:rsidR="001B4D70" w:rsidRDefault="005D51BF">
      <w:pPr>
        <w:spacing w:line="360" w:lineRule="auto"/>
        <w:jc w:val="both"/>
        <w:rPr>
          <w:b/>
          <w:bCs/>
          <w:i/>
          <w:iCs/>
          <w:sz w:val="18"/>
          <w:szCs w:val="18"/>
        </w:rPr>
      </w:pPr>
      <w:r>
        <w:rPr>
          <w:b/>
          <w:bCs/>
          <w:i/>
          <w:iCs/>
          <w:sz w:val="18"/>
          <w:szCs w:val="18"/>
        </w:rPr>
        <w:t>Organizations:</w:t>
      </w:r>
    </w:p>
    <w:tbl>
      <w:tblPr>
        <w:tblStyle w:val="a"/>
        <w:tblW w:w="90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80"/>
        <w:gridCol w:w="6420"/>
      </w:tblGrid>
      <w:tr w:rsidR="001B4D70" w14:paraId="01DBF703" w14:textId="77777777">
        <w:tc>
          <w:tcPr>
            <w:tcW w:w="2580" w:type="dxa"/>
            <w:tcMar>
              <w:top w:w="100" w:type="dxa"/>
              <w:left w:w="100" w:type="dxa"/>
              <w:bottom w:w="100" w:type="dxa"/>
              <w:right w:w="100" w:type="dxa"/>
            </w:tcMar>
          </w:tcPr>
          <w:p w14:paraId="62F2F68A" w14:textId="77777777" w:rsidR="001B4D70" w:rsidRDefault="001B4D70">
            <w:pPr>
              <w:widowControl w:val="0"/>
              <w:pBdr>
                <w:top w:val="nil"/>
                <w:left w:val="nil"/>
                <w:bottom w:val="nil"/>
                <w:right w:val="nil"/>
                <w:between w:val="nil"/>
              </w:pBdr>
              <w:spacing w:line="240" w:lineRule="auto"/>
              <w:rPr>
                <w:b/>
                <w:bCs/>
              </w:rPr>
            </w:pPr>
          </w:p>
          <w:p w14:paraId="1DE8EDC4" w14:textId="77777777" w:rsidR="001B4D70" w:rsidRDefault="005D51BF">
            <w:pPr>
              <w:widowControl w:val="0"/>
              <w:pBdr>
                <w:top w:val="nil"/>
                <w:left w:val="nil"/>
                <w:bottom w:val="nil"/>
                <w:right w:val="nil"/>
                <w:between w:val="nil"/>
              </w:pBdr>
              <w:spacing w:line="240" w:lineRule="auto"/>
              <w:rPr>
                <w:b/>
                <w:bCs/>
              </w:rPr>
            </w:pPr>
            <w:r>
              <w:rPr>
                <w:b/>
                <w:bCs/>
                <w:noProof/>
              </w:rPr>
              <w:drawing>
                <wp:inline distT="114300" distB="114300" distL="114300" distR="114300" wp14:anchorId="48A68479" wp14:editId="3734E8E7">
                  <wp:extent cx="1414463" cy="615707"/>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7"/>
                          <a:srcRect/>
                          <a:stretch>
                            <a:fillRect/>
                          </a:stretch>
                        </pic:blipFill>
                        <pic:spPr>
                          <a:xfrm>
                            <a:off x="0" y="0"/>
                            <a:ext cx="1414463" cy="615707"/>
                          </a:xfrm>
                          <a:prstGeom prst="rect">
                            <a:avLst/>
                          </a:prstGeom>
                          <a:ln/>
                        </pic:spPr>
                      </pic:pic>
                    </a:graphicData>
                  </a:graphic>
                </wp:inline>
              </w:drawing>
            </w:r>
          </w:p>
        </w:tc>
        <w:tc>
          <w:tcPr>
            <w:tcW w:w="6420" w:type="dxa"/>
            <w:tcMar>
              <w:top w:w="100" w:type="dxa"/>
              <w:left w:w="100" w:type="dxa"/>
              <w:bottom w:w="100" w:type="dxa"/>
              <w:right w:w="100" w:type="dxa"/>
            </w:tcMar>
          </w:tcPr>
          <w:p w14:paraId="0BF645AF" w14:textId="77777777" w:rsidR="001B4D70" w:rsidRDefault="005D51BF">
            <w:pPr>
              <w:spacing w:line="240" w:lineRule="auto"/>
              <w:jc w:val="both"/>
              <w:rPr>
                <w:rFonts w:ascii="Calibri" w:eastAsia="Calibri" w:hAnsi="Calibri" w:cs="Calibri"/>
                <w:b/>
                <w:bCs/>
                <w:sz w:val="20"/>
                <w:szCs w:val="20"/>
              </w:rPr>
            </w:pPr>
            <w:r>
              <w:rPr>
                <w:rFonts w:ascii="Calibri" w:eastAsia="Calibri" w:hAnsi="Calibri" w:cs="Calibri"/>
                <w:sz w:val="20"/>
                <w:szCs w:val="20"/>
              </w:rPr>
              <w:t>Conectas Human Rights is a civil society organization whose mission is the realization of human rights and the fight against inequalities, with the aim of building a just, free, and democratic society from a Global South perspective. Operating both nationally and internationally, we propose solutions, prevent setbacks, and denounce human rights violations in order to foster transformative change.</w:t>
            </w:r>
          </w:p>
        </w:tc>
      </w:tr>
      <w:tr w:rsidR="001B4D70" w14:paraId="08A4FDCD" w14:textId="77777777">
        <w:trPr>
          <w:trHeight w:val="1365"/>
        </w:trPr>
        <w:tc>
          <w:tcPr>
            <w:tcW w:w="2580" w:type="dxa"/>
            <w:tcMar>
              <w:top w:w="100" w:type="dxa"/>
              <w:left w:w="100" w:type="dxa"/>
              <w:bottom w:w="100" w:type="dxa"/>
              <w:right w:w="100" w:type="dxa"/>
            </w:tcMar>
          </w:tcPr>
          <w:p w14:paraId="6E9FD68C" w14:textId="77777777" w:rsidR="001B4D70" w:rsidRDefault="005D51BF">
            <w:pPr>
              <w:widowControl w:val="0"/>
              <w:pBdr>
                <w:top w:val="nil"/>
                <w:left w:val="nil"/>
                <w:bottom w:val="nil"/>
                <w:right w:val="nil"/>
                <w:between w:val="nil"/>
              </w:pBdr>
              <w:spacing w:line="240" w:lineRule="auto"/>
              <w:rPr>
                <w:b/>
                <w:bCs/>
              </w:rPr>
            </w:pPr>
            <w:r>
              <w:rPr>
                <w:b/>
                <w:bCs/>
                <w:noProof/>
              </w:rPr>
              <w:drawing>
                <wp:inline distT="114300" distB="114300" distL="114300" distR="114300" wp14:anchorId="03D7C2AF" wp14:editId="0754621C">
                  <wp:extent cx="1514475" cy="619562"/>
                  <wp:effectExtent l="0" t="0" r="0" b="0"/>
                  <wp:docPr id="1"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l="5917" t="20558" b="24850"/>
                          <a:stretch>
                            <a:fillRect/>
                          </a:stretch>
                        </pic:blipFill>
                        <pic:spPr>
                          <a:xfrm>
                            <a:off x="0" y="0"/>
                            <a:ext cx="1514475" cy="619562"/>
                          </a:xfrm>
                          <a:prstGeom prst="rect">
                            <a:avLst/>
                          </a:prstGeom>
                          <a:ln/>
                        </pic:spPr>
                      </pic:pic>
                    </a:graphicData>
                  </a:graphic>
                </wp:inline>
              </w:drawing>
            </w:r>
          </w:p>
        </w:tc>
        <w:tc>
          <w:tcPr>
            <w:tcW w:w="6420" w:type="dxa"/>
            <w:tcMar>
              <w:top w:w="100" w:type="dxa"/>
              <w:left w:w="100" w:type="dxa"/>
              <w:bottom w:w="100" w:type="dxa"/>
              <w:right w:w="100" w:type="dxa"/>
            </w:tcMar>
          </w:tcPr>
          <w:p w14:paraId="04F6BC5D" w14:textId="77777777" w:rsidR="001B4D70" w:rsidRDefault="005D51BF">
            <w:pPr>
              <w:widowControl w:val="0"/>
              <w:pBdr>
                <w:top w:val="nil"/>
                <w:left w:val="nil"/>
                <w:bottom w:val="nil"/>
                <w:right w:val="nil"/>
                <w:between w:val="nil"/>
              </w:pBdr>
              <w:spacing w:line="240" w:lineRule="auto"/>
              <w:jc w:val="both"/>
              <w:rPr>
                <w:rFonts w:ascii="Calibri" w:eastAsia="Calibri" w:hAnsi="Calibri" w:cs="Calibri"/>
                <w:sz w:val="20"/>
                <w:szCs w:val="20"/>
              </w:rPr>
            </w:pPr>
            <w:r>
              <w:rPr>
                <w:rFonts w:ascii="Calibri" w:eastAsia="Calibri" w:hAnsi="Calibri" w:cs="Calibri"/>
                <w:sz w:val="20"/>
                <w:szCs w:val="20"/>
              </w:rPr>
              <w:t>Global Justice works to protect and promote human rights and to strengthen civil society and democracy, with the aim of building a society that fully guarantees social, political, and civil rights, free from racism, sexism, and all forms of discrimination.</w:t>
            </w:r>
          </w:p>
        </w:tc>
      </w:tr>
      <w:tr w:rsidR="001B4D70" w14:paraId="3460073F" w14:textId="77777777">
        <w:trPr>
          <w:trHeight w:val="1886"/>
        </w:trPr>
        <w:tc>
          <w:tcPr>
            <w:tcW w:w="2580" w:type="dxa"/>
            <w:tcMar>
              <w:top w:w="100" w:type="dxa"/>
              <w:left w:w="100" w:type="dxa"/>
              <w:bottom w:w="100" w:type="dxa"/>
              <w:right w:w="100" w:type="dxa"/>
            </w:tcMar>
          </w:tcPr>
          <w:p w14:paraId="3CA955EC" w14:textId="77777777" w:rsidR="001B4D70" w:rsidRDefault="005D51BF">
            <w:pPr>
              <w:widowControl w:val="0"/>
              <w:spacing w:line="240" w:lineRule="auto"/>
              <w:rPr>
                <w:b/>
                <w:bCs/>
              </w:rPr>
            </w:pPr>
            <w:r>
              <w:rPr>
                <w:b/>
                <w:bCs/>
                <w:noProof/>
              </w:rPr>
              <w:drawing>
                <wp:inline distT="114300" distB="114300" distL="114300" distR="114300" wp14:anchorId="4B4477EE" wp14:editId="1CB9C24D">
                  <wp:extent cx="1513194" cy="907917"/>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1513194" cy="907917"/>
                          </a:xfrm>
                          <a:prstGeom prst="rect">
                            <a:avLst/>
                          </a:prstGeom>
                          <a:ln/>
                        </pic:spPr>
                      </pic:pic>
                    </a:graphicData>
                  </a:graphic>
                </wp:inline>
              </w:drawing>
            </w:r>
          </w:p>
        </w:tc>
        <w:tc>
          <w:tcPr>
            <w:tcW w:w="6420" w:type="dxa"/>
            <w:tcMar>
              <w:top w:w="100" w:type="dxa"/>
              <w:left w:w="100" w:type="dxa"/>
              <w:bottom w:w="100" w:type="dxa"/>
              <w:right w:w="100" w:type="dxa"/>
            </w:tcMar>
          </w:tcPr>
          <w:p w14:paraId="47521E45" w14:textId="77777777" w:rsidR="001B4D70" w:rsidRDefault="005D51BF">
            <w:pPr>
              <w:widowControl w:val="0"/>
              <w:spacing w:line="240" w:lineRule="auto"/>
              <w:jc w:val="both"/>
              <w:rPr>
                <w:rFonts w:ascii="Calibri" w:eastAsia="Calibri" w:hAnsi="Calibri" w:cs="Calibri"/>
                <w:sz w:val="20"/>
                <w:szCs w:val="20"/>
              </w:rPr>
            </w:pPr>
            <w:r>
              <w:rPr>
                <w:rFonts w:ascii="Calibri" w:eastAsia="Calibri" w:hAnsi="Calibri" w:cs="Calibri"/>
                <w:sz w:val="20"/>
                <w:szCs w:val="20"/>
              </w:rPr>
              <w:t>The World Organisation Against Torture (OMCT) is an international human rights organization that forms part of the largest global network combating torture and ill-treatment, bringing together over 200 organizations across all continents. The OMCT engages in documenting and reporting cases of torture, protecting victims and human rights defenders, and promoting compliance with international human rights standards.</w:t>
            </w:r>
          </w:p>
        </w:tc>
      </w:tr>
      <w:tr w:rsidR="001B4D70" w14:paraId="7DDD73C0" w14:textId="77777777">
        <w:tc>
          <w:tcPr>
            <w:tcW w:w="2580" w:type="dxa"/>
            <w:tcMar>
              <w:top w:w="100" w:type="dxa"/>
              <w:left w:w="100" w:type="dxa"/>
              <w:bottom w:w="100" w:type="dxa"/>
              <w:right w:w="100" w:type="dxa"/>
            </w:tcMar>
          </w:tcPr>
          <w:p w14:paraId="6302CEFB" w14:textId="77777777" w:rsidR="001B4D70" w:rsidRDefault="005D51BF">
            <w:pPr>
              <w:spacing w:before="100"/>
              <w:ind w:left="140"/>
              <w:jc w:val="center"/>
              <w:rPr>
                <w:b/>
                <w:bCs/>
              </w:rPr>
            </w:pPr>
            <w:r>
              <w:rPr>
                <w:noProof/>
              </w:rPr>
              <w:drawing>
                <wp:inline distT="114300" distB="114300" distL="114300" distR="114300" wp14:anchorId="1D5FB979" wp14:editId="7C5B24F4">
                  <wp:extent cx="1385888" cy="71437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1385888" cy="714375"/>
                          </a:xfrm>
                          <a:prstGeom prst="rect">
                            <a:avLst/>
                          </a:prstGeom>
                          <a:ln/>
                        </pic:spPr>
                      </pic:pic>
                    </a:graphicData>
                  </a:graphic>
                </wp:inline>
              </w:drawing>
            </w:r>
          </w:p>
        </w:tc>
        <w:tc>
          <w:tcPr>
            <w:tcW w:w="6420" w:type="dxa"/>
            <w:tcMar>
              <w:top w:w="100" w:type="dxa"/>
              <w:left w:w="100" w:type="dxa"/>
              <w:bottom w:w="100" w:type="dxa"/>
              <w:right w:w="100" w:type="dxa"/>
            </w:tcMar>
          </w:tcPr>
          <w:p w14:paraId="7DCB5DE1" w14:textId="77777777" w:rsidR="001B4D70" w:rsidRDefault="005D51BF">
            <w:pPr>
              <w:widowControl w:val="0"/>
              <w:pBdr>
                <w:top w:val="nil"/>
                <w:left w:val="nil"/>
                <w:bottom w:val="nil"/>
                <w:right w:val="nil"/>
                <w:between w:val="nil"/>
              </w:pBdr>
              <w:spacing w:line="240" w:lineRule="auto"/>
              <w:jc w:val="both"/>
              <w:rPr>
                <w:rFonts w:ascii="Calibri" w:eastAsia="Calibri" w:hAnsi="Calibri" w:cs="Calibri"/>
                <w:b/>
                <w:bCs/>
                <w:sz w:val="20"/>
                <w:szCs w:val="20"/>
              </w:rPr>
            </w:pPr>
            <w:r>
              <w:rPr>
                <w:rFonts w:ascii="Calibri" w:eastAsia="Calibri" w:hAnsi="Calibri" w:cs="Calibri"/>
                <w:sz w:val="20"/>
                <w:szCs w:val="20"/>
              </w:rPr>
              <w:t>The National Agenda for Decarceration is a national movement that brings together families of incarcerated individuals and survivors of the prison system, working to strengthen connections among families of the imprisoned, prison survivors, and other human rights movements in Brazil. The organization engages in communication initiatives, strategic litigation, legal guidance, event organization, campaign development, and provides various forms of support to local movements.</w:t>
            </w:r>
          </w:p>
        </w:tc>
      </w:tr>
      <w:tr w:rsidR="001B4D70" w14:paraId="268A7828" w14:textId="77777777">
        <w:tc>
          <w:tcPr>
            <w:tcW w:w="2580" w:type="dxa"/>
            <w:tcMar>
              <w:top w:w="100" w:type="dxa"/>
              <w:left w:w="100" w:type="dxa"/>
              <w:bottom w:w="100" w:type="dxa"/>
              <w:right w:w="100" w:type="dxa"/>
            </w:tcMar>
          </w:tcPr>
          <w:p w14:paraId="33AE860F" w14:textId="77777777" w:rsidR="001B4D70" w:rsidRDefault="001B4D70">
            <w:pPr>
              <w:widowControl w:val="0"/>
              <w:pBdr>
                <w:top w:val="nil"/>
                <w:left w:val="nil"/>
                <w:bottom w:val="nil"/>
                <w:right w:val="nil"/>
                <w:between w:val="nil"/>
              </w:pBdr>
              <w:spacing w:line="240" w:lineRule="auto"/>
              <w:rPr>
                <w:b/>
                <w:bCs/>
              </w:rPr>
            </w:pPr>
          </w:p>
          <w:p w14:paraId="4959CA49" w14:textId="77777777" w:rsidR="001B4D70" w:rsidRDefault="001B4D70">
            <w:pPr>
              <w:widowControl w:val="0"/>
              <w:pBdr>
                <w:top w:val="nil"/>
                <w:left w:val="nil"/>
                <w:bottom w:val="nil"/>
                <w:right w:val="nil"/>
                <w:between w:val="nil"/>
              </w:pBdr>
              <w:spacing w:line="240" w:lineRule="auto"/>
              <w:rPr>
                <w:b/>
                <w:bCs/>
              </w:rPr>
            </w:pPr>
          </w:p>
          <w:p w14:paraId="14B22E62" w14:textId="77777777" w:rsidR="001B4D70" w:rsidRDefault="005D51BF">
            <w:pPr>
              <w:widowControl w:val="0"/>
              <w:pBdr>
                <w:top w:val="nil"/>
                <w:left w:val="nil"/>
                <w:bottom w:val="nil"/>
                <w:right w:val="nil"/>
                <w:between w:val="nil"/>
              </w:pBdr>
              <w:spacing w:line="240" w:lineRule="auto"/>
              <w:rPr>
                <w:b/>
                <w:bCs/>
              </w:rPr>
            </w:pPr>
            <w:r>
              <w:rPr>
                <w:b/>
                <w:bCs/>
                <w:noProof/>
              </w:rPr>
              <w:drawing>
                <wp:inline distT="114300" distB="114300" distL="114300" distR="114300" wp14:anchorId="4FA5A837" wp14:editId="21331E53">
                  <wp:extent cx="1504950" cy="4953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1504950" cy="495300"/>
                          </a:xfrm>
                          <a:prstGeom prst="rect">
                            <a:avLst/>
                          </a:prstGeom>
                          <a:ln/>
                        </pic:spPr>
                      </pic:pic>
                    </a:graphicData>
                  </a:graphic>
                </wp:inline>
              </w:drawing>
            </w:r>
          </w:p>
        </w:tc>
        <w:tc>
          <w:tcPr>
            <w:tcW w:w="6420" w:type="dxa"/>
            <w:tcMar>
              <w:top w:w="100" w:type="dxa"/>
              <w:left w:w="100" w:type="dxa"/>
              <w:bottom w:w="100" w:type="dxa"/>
              <w:right w:w="100" w:type="dxa"/>
            </w:tcMar>
          </w:tcPr>
          <w:p w14:paraId="12AA339B" w14:textId="77777777" w:rsidR="001B4D70" w:rsidRDefault="005D51BF">
            <w:pPr>
              <w:widowControl w:val="0"/>
              <w:pBdr>
                <w:top w:val="nil"/>
                <w:left w:val="nil"/>
                <w:bottom w:val="nil"/>
                <w:right w:val="nil"/>
                <w:between w:val="nil"/>
              </w:pBdr>
              <w:spacing w:line="240" w:lineRule="auto"/>
              <w:jc w:val="both"/>
              <w:rPr>
                <w:rFonts w:ascii="Calibri" w:eastAsia="Calibri" w:hAnsi="Calibri" w:cs="Calibri"/>
                <w:sz w:val="20"/>
                <w:szCs w:val="20"/>
              </w:rPr>
            </w:pPr>
            <w:r>
              <w:rPr>
                <w:rFonts w:ascii="Calibri" w:eastAsia="Calibri" w:hAnsi="Calibri" w:cs="Calibri"/>
                <w:sz w:val="20"/>
                <w:szCs w:val="20"/>
              </w:rPr>
              <w:t>The Institute for the Study of Religion (ISER) is a secular Brazilian civil society organization that conducts research, studies, and social interventions in two strategic areas: Religion and Public Space, and Rights and the Justice System. We focus on producing high-quality knowledge, influencing public debate, and fostering social engagement with an emphasis on religion, always in support of a just, inclusive, and sustainable society. ISER has a strong and established track record in addressing state viol</w:t>
            </w:r>
            <w:r>
              <w:rPr>
                <w:rFonts w:ascii="Calibri" w:eastAsia="Calibri" w:hAnsi="Calibri" w:cs="Calibri"/>
                <w:sz w:val="20"/>
                <w:szCs w:val="20"/>
              </w:rPr>
              <w:t>ence, both in combating mass incarceration and in confronting police violence.</w:t>
            </w:r>
          </w:p>
        </w:tc>
      </w:tr>
      <w:tr w:rsidR="001B4D70" w14:paraId="5CE571E0" w14:textId="77777777">
        <w:tc>
          <w:tcPr>
            <w:tcW w:w="2580" w:type="dxa"/>
            <w:tcMar>
              <w:top w:w="100" w:type="dxa"/>
              <w:left w:w="100" w:type="dxa"/>
              <w:bottom w:w="100" w:type="dxa"/>
              <w:right w:w="100" w:type="dxa"/>
            </w:tcMar>
          </w:tcPr>
          <w:p w14:paraId="29306EE0" w14:textId="77777777" w:rsidR="001B4D70" w:rsidRDefault="001B4D70">
            <w:pPr>
              <w:widowControl w:val="0"/>
              <w:pBdr>
                <w:top w:val="nil"/>
                <w:left w:val="nil"/>
                <w:bottom w:val="nil"/>
                <w:right w:val="nil"/>
                <w:between w:val="nil"/>
              </w:pBdr>
              <w:spacing w:line="240" w:lineRule="auto"/>
              <w:rPr>
                <w:b/>
                <w:bCs/>
              </w:rPr>
            </w:pPr>
          </w:p>
          <w:p w14:paraId="421A40C5" w14:textId="77777777" w:rsidR="001B4D70" w:rsidRDefault="001B4D70">
            <w:pPr>
              <w:widowControl w:val="0"/>
              <w:pBdr>
                <w:top w:val="nil"/>
                <w:left w:val="nil"/>
                <w:bottom w:val="nil"/>
                <w:right w:val="nil"/>
                <w:between w:val="nil"/>
              </w:pBdr>
              <w:spacing w:line="240" w:lineRule="auto"/>
              <w:rPr>
                <w:b/>
                <w:bCs/>
              </w:rPr>
            </w:pPr>
          </w:p>
          <w:p w14:paraId="0433A4A8" w14:textId="77777777" w:rsidR="001B4D70" w:rsidRDefault="005D51BF">
            <w:pPr>
              <w:widowControl w:val="0"/>
              <w:pBdr>
                <w:top w:val="nil"/>
                <w:left w:val="nil"/>
                <w:bottom w:val="nil"/>
                <w:right w:val="nil"/>
                <w:between w:val="nil"/>
              </w:pBdr>
              <w:spacing w:line="240" w:lineRule="auto"/>
              <w:rPr>
                <w:b/>
                <w:bCs/>
              </w:rPr>
            </w:pPr>
            <w:r>
              <w:rPr>
                <w:b/>
                <w:bCs/>
                <w:noProof/>
              </w:rPr>
              <w:lastRenderedPageBreak/>
              <w:drawing>
                <wp:inline distT="114300" distB="114300" distL="114300" distR="114300" wp14:anchorId="411F0F8C" wp14:editId="5FA44CF1">
                  <wp:extent cx="1535529" cy="1099403"/>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l="10606" r="12121"/>
                          <a:stretch>
                            <a:fillRect/>
                          </a:stretch>
                        </pic:blipFill>
                        <pic:spPr>
                          <a:xfrm>
                            <a:off x="0" y="0"/>
                            <a:ext cx="1535529" cy="1099403"/>
                          </a:xfrm>
                          <a:prstGeom prst="rect">
                            <a:avLst/>
                          </a:prstGeom>
                          <a:ln/>
                        </pic:spPr>
                      </pic:pic>
                    </a:graphicData>
                  </a:graphic>
                </wp:inline>
              </w:drawing>
            </w:r>
          </w:p>
        </w:tc>
        <w:tc>
          <w:tcPr>
            <w:tcW w:w="6420" w:type="dxa"/>
            <w:tcMar>
              <w:top w:w="100" w:type="dxa"/>
              <w:left w:w="100" w:type="dxa"/>
              <w:bottom w:w="100" w:type="dxa"/>
              <w:right w:w="100" w:type="dxa"/>
            </w:tcMar>
          </w:tcPr>
          <w:p w14:paraId="4C406166" w14:textId="77777777" w:rsidR="001B4D70" w:rsidRDefault="005D51BF">
            <w:pPr>
              <w:widowControl w:val="0"/>
              <w:spacing w:line="240" w:lineRule="auto"/>
              <w:jc w:val="both"/>
              <w:rPr>
                <w:rFonts w:ascii="Calibri" w:eastAsia="Calibri" w:hAnsi="Calibri" w:cs="Calibri"/>
                <w:b/>
                <w:bCs/>
                <w:sz w:val="20"/>
                <w:szCs w:val="20"/>
              </w:rPr>
            </w:pPr>
            <w:r>
              <w:rPr>
                <w:rFonts w:ascii="Calibri" w:eastAsia="Calibri" w:hAnsi="Calibri" w:cs="Calibri"/>
                <w:sz w:val="20"/>
                <w:szCs w:val="20"/>
              </w:rPr>
              <w:lastRenderedPageBreak/>
              <w:t xml:space="preserve">The Center for the Defense of the Rights of Children and Adolescents of Ceará (CEDECA Ceará) is a non-governmental, non-profit, and anti-racist organization, founded in 1995 during Brazil’s period of redemocratization. Its mission is to defend the rights of children and adolescents, particularly when violated by the action or omission of the State. Its vision is to strengthen democratic culture, enhance social oversight of public policies, and provide </w:t>
            </w:r>
            <w:r>
              <w:rPr>
                <w:rFonts w:ascii="Calibri" w:eastAsia="Calibri" w:hAnsi="Calibri" w:cs="Calibri"/>
                <w:sz w:val="20"/>
                <w:szCs w:val="20"/>
              </w:rPr>
              <w:lastRenderedPageBreak/>
              <w:t>legal and social protection to ensure the realization of human rights. CEDECA Ceará’s activities include: a) support for children and adolescents, b) monitoring of public policies, c) advocacy and strategic litigation, d) rights-based communication, and e) human rights education. Its institutional cause is the “Elimination of violence against children and adolescents and the guarantee of justice and reparation of their rights when violated.”</w:t>
            </w:r>
          </w:p>
        </w:tc>
      </w:tr>
      <w:tr w:rsidR="001B4D70" w14:paraId="02A6A18F" w14:textId="77777777">
        <w:trPr>
          <w:trHeight w:val="3135"/>
        </w:trPr>
        <w:tc>
          <w:tcPr>
            <w:tcW w:w="2580" w:type="dxa"/>
            <w:tcMar>
              <w:top w:w="100" w:type="dxa"/>
              <w:left w:w="100" w:type="dxa"/>
              <w:bottom w:w="100" w:type="dxa"/>
              <w:right w:w="100" w:type="dxa"/>
            </w:tcMar>
          </w:tcPr>
          <w:p w14:paraId="694E86D3" w14:textId="77777777" w:rsidR="001B4D70" w:rsidRDefault="005D51BF">
            <w:pPr>
              <w:widowControl w:val="0"/>
              <w:pBdr>
                <w:top w:val="nil"/>
                <w:left w:val="nil"/>
                <w:bottom w:val="nil"/>
                <w:right w:val="nil"/>
                <w:between w:val="nil"/>
              </w:pBdr>
              <w:spacing w:line="240" w:lineRule="auto"/>
              <w:jc w:val="both"/>
              <w:rPr>
                <w:rFonts w:ascii="Calibri" w:eastAsia="Calibri" w:hAnsi="Calibri" w:cs="Calibri"/>
                <w:sz w:val="20"/>
                <w:szCs w:val="20"/>
              </w:rPr>
            </w:pPr>
            <w:r>
              <w:rPr>
                <w:noProof/>
              </w:rPr>
              <w:lastRenderedPageBreak/>
              <w:drawing>
                <wp:anchor distT="114300" distB="114300" distL="114300" distR="114300" simplePos="0" relativeHeight="251658240" behindDoc="1" locked="0" layoutInCell="1" hidden="0" allowOverlap="1" wp14:anchorId="3D28A6A6" wp14:editId="5B8DF3C3">
                  <wp:simplePos x="0" y="0"/>
                  <wp:positionH relativeFrom="column">
                    <wp:posOffset>47626</wp:posOffset>
                  </wp:positionH>
                  <wp:positionV relativeFrom="paragraph">
                    <wp:posOffset>47626</wp:posOffset>
                  </wp:positionV>
                  <wp:extent cx="1504950" cy="1511300"/>
                  <wp:effectExtent l="0" t="0" r="0" b="0"/>
                  <wp:wrapNone/>
                  <wp:docPr id="7"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3"/>
                          <a:srcRect/>
                          <a:stretch>
                            <a:fillRect/>
                          </a:stretch>
                        </pic:blipFill>
                        <pic:spPr>
                          <a:xfrm>
                            <a:off x="0" y="0"/>
                            <a:ext cx="1504950" cy="1511300"/>
                          </a:xfrm>
                          <a:prstGeom prst="rect">
                            <a:avLst/>
                          </a:prstGeom>
                          <a:ln/>
                        </pic:spPr>
                      </pic:pic>
                    </a:graphicData>
                  </a:graphic>
                </wp:anchor>
              </w:drawing>
            </w:r>
          </w:p>
          <w:p w14:paraId="04972E70" w14:textId="77777777" w:rsidR="001B4D70" w:rsidRDefault="001B4D70">
            <w:pPr>
              <w:widowControl w:val="0"/>
              <w:pBdr>
                <w:top w:val="nil"/>
                <w:left w:val="nil"/>
                <w:bottom w:val="nil"/>
                <w:right w:val="nil"/>
                <w:between w:val="nil"/>
              </w:pBdr>
              <w:spacing w:line="240" w:lineRule="auto"/>
              <w:jc w:val="both"/>
              <w:rPr>
                <w:rFonts w:ascii="Calibri" w:eastAsia="Calibri" w:hAnsi="Calibri" w:cs="Calibri"/>
                <w:sz w:val="20"/>
                <w:szCs w:val="20"/>
              </w:rPr>
            </w:pPr>
          </w:p>
          <w:p w14:paraId="36DD33BD" w14:textId="77777777" w:rsidR="001B4D70" w:rsidRDefault="001B4D70">
            <w:pPr>
              <w:widowControl w:val="0"/>
              <w:pBdr>
                <w:top w:val="nil"/>
                <w:left w:val="nil"/>
                <w:bottom w:val="nil"/>
                <w:right w:val="nil"/>
                <w:between w:val="nil"/>
              </w:pBdr>
              <w:spacing w:line="240" w:lineRule="auto"/>
              <w:jc w:val="both"/>
              <w:rPr>
                <w:rFonts w:ascii="Calibri" w:eastAsia="Calibri" w:hAnsi="Calibri" w:cs="Calibri"/>
                <w:sz w:val="20"/>
                <w:szCs w:val="20"/>
              </w:rPr>
            </w:pPr>
          </w:p>
        </w:tc>
        <w:tc>
          <w:tcPr>
            <w:tcW w:w="6420" w:type="dxa"/>
            <w:tcMar>
              <w:top w:w="100" w:type="dxa"/>
              <w:left w:w="100" w:type="dxa"/>
              <w:bottom w:w="100" w:type="dxa"/>
              <w:right w:w="100" w:type="dxa"/>
            </w:tcMar>
          </w:tcPr>
          <w:p w14:paraId="5F16A436" w14:textId="77777777" w:rsidR="001B4D70" w:rsidRDefault="005D51BF">
            <w:pPr>
              <w:widowControl w:val="0"/>
              <w:pBdr>
                <w:top w:val="nil"/>
                <w:left w:val="nil"/>
                <w:bottom w:val="nil"/>
                <w:right w:val="nil"/>
                <w:between w:val="nil"/>
              </w:pBdr>
              <w:spacing w:line="240" w:lineRule="auto"/>
              <w:jc w:val="both"/>
              <w:rPr>
                <w:rFonts w:ascii="Calibri" w:eastAsia="Calibri" w:hAnsi="Calibri" w:cs="Calibri"/>
                <w:sz w:val="20"/>
                <w:szCs w:val="20"/>
              </w:rPr>
            </w:pPr>
            <w:r>
              <w:rPr>
                <w:rFonts w:ascii="Calibri" w:eastAsia="Calibri" w:hAnsi="Calibri" w:cs="Calibri"/>
                <w:sz w:val="20"/>
                <w:szCs w:val="20"/>
              </w:rPr>
              <w:t>The Coalition for Socio-Education is a network comprising 53 non-governmental organizations, collectives, State Fronts for Decarceration, Public Defenders’ Offices, State and National Mechanisms for the Prevention and Combat of Torture, researchers, and specialists working within the Socio-Educational System (Brazil’s juvenile justice system). Its primary objective is the unconditional defense of the human rights of adolescents and youth within the socio-educational system. The Coalition is committed to pro</w:t>
            </w:r>
            <w:r>
              <w:rPr>
                <w:rFonts w:ascii="Calibri" w:eastAsia="Calibri" w:hAnsi="Calibri" w:cs="Calibri"/>
                <w:sz w:val="20"/>
                <w:szCs w:val="20"/>
              </w:rPr>
              <w:t>moting a socio-educational approach centered on adolescent protagonism, fostering collaboration with civil society and territorial collectives, strengthening and implementing national and international protection standards, and ensuring the protection and promotion of the rights of adolescents and youth within the Brazilian Socio-Educational System.</w:t>
            </w:r>
          </w:p>
        </w:tc>
      </w:tr>
      <w:tr w:rsidR="001B4D70" w14:paraId="4BE9D1ED" w14:textId="77777777">
        <w:trPr>
          <w:trHeight w:val="3135"/>
        </w:trPr>
        <w:tc>
          <w:tcPr>
            <w:tcW w:w="2580" w:type="dxa"/>
            <w:tcMar>
              <w:top w:w="100" w:type="dxa"/>
              <w:left w:w="100" w:type="dxa"/>
              <w:bottom w:w="100" w:type="dxa"/>
              <w:right w:w="100" w:type="dxa"/>
            </w:tcMar>
          </w:tcPr>
          <w:p w14:paraId="4D909AAE" w14:textId="77777777" w:rsidR="001B4D70" w:rsidRDefault="005D51BF">
            <w:pPr>
              <w:widowControl w:val="0"/>
              <w:pBdr>
                <w:top w:val="nil"/>
                <w:left w:val="nil"/>
                <w:bottom w:val="nil"/>
                <w:right w:val="nil"/>
                <w:between w:val="nil"/>
              </w:pBdr>
              <w:spacing w:line="240" w:lineRule="auto"/>
              <w:jc w:val="center"/>
              <w:rPr>
                <w:rFonts w:ascii="Calibri" w:eastAsia="Calibri" w:hAnsi="Calibri" w:cs="Calibri"/>
                <w:sz w:val="20"/>
                <w:szCs w:val="20"/>
              </w:rPr>
            </w:pPr>
            <w:r>
              <w:rPr>
                <w:rFonts w:ascii="Calibri" w:eastAsia="Calibri" w:hAnsi="Calibri" w:cs="Calibri"/>
                <w:noProof/>
                <w:sz w:val="20"/>
                <w:szCs w:val="20"/>
              </w:rPr>
              <w:drawing>
                <wp:inline distT="114300" distB="114300" distL="114300" distR="114300" wp14:anchorId="6FCD684A" wp14:editId="3626C0AA">
                  <wp:extent cx="1352550" cy="869752"/>
                  <wp:effectExtent l="0" t="0" r="0" b="0"/>
                  <wp:docPr id="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4"/>
                          <a:srcRect l="6857" t="18658" r="12000" b="19805"/>
                          <a:stretch>
                            <a:fillRect/>
                          </a:stretch>
                        </pic:blipFill>
                        <pic:spPr>
                          <a:xfrm>
                            <a:off x="0" y="0"/>
                            <a:ext cx="1352550" cy="869752"/>
                          </a:xfrm>
                          <a:prstGeom prst="rect">
                            <a:avLst/>
                          </a:prstGeom>
                          <a:ln/>
                        </pic:spPr>
                      </pic:pic>
                    </a:graphicData>
                  </a:graphic>
                </wp:inline>
              </w:drawing>
            </w:r>
          </w:p>
        </w:tc>
        <w:tc>
          <w:tcPr>
            <w:tcW w:w="6420" w:type="dxa"/>
            <w:tcMar>
              <w:top w:w="100" w:type="dxa"/>
              <w:left w:w="100" w:type="dxa"/>
              <w:bottom w:w="100" w:type="dxa"/>
              <w:right w:w="100" w:type="dxa"/>
            </w:tcMar>
          </w:tcPr>
          <w:p w14:paraId="3F8AD3BD" w14:textId="77777777" w:rsidR="001B4D70" w:rsidRDefault="005D51BF">
            <w:pPr>
              <w:widowControl w:val="0"/>
              <w:pBdr>
                <w:top w:val="nil"/>
                <w:left w:val="nil"/>
                <w:bottom w:val="nil"/>
                <w:right w:val="nil"/>
                <w:between w:val="nil"/>
              </w:pBdr>
              <w:spacing w:line="240" w:lineRule="auto"/>
              <w:jc w:val="both"/>
              <w:rPr>
                <w:rFonts w:ascii="Calibri" w:eastAsia="Calibri" w:hAnsi="Calibri" w:cs="Calibri"/>
                <w:sz w:val="20"/>
                <w:szCs w:val="20"/>
              </w:rPr>
            </w:pPr>
            <w:r>
              <w:rPr>
                <w:rFonts w:ascii="Calibri" w:eastAsia="Calibri" w:hAnsi="Calibri" w:cs="Calibri"/>
                <w:sz w:val="20"/>
                <w:szCs w:val="20"/>
              </w:rPr>
              <w:t>GAJOP – Legal Advisory Office for Popular Organizations is a civil society organization with over four decades of experience defending human rights in Pernambuco, Brazil, and operates a Center for the Defense of Children and Adolescents with significant engagement in the Socio-Educational System (SSE). GAJOP has a strong track record in addressing torture, institutional violence, and violations of the rights of adolescents deprived of liberty, combining legal, political, and educational interventions. The o</w:t>
            </w:r>
            <w:r>
              <w:rPr>
                <w:rFonts w:ascii="Calibri" w:eastAsia="Calibri" w:hAnsi="Calibri" w:cs="Calibri"/>
                <w:sz w:val="20"/>
                <w:szCs w:val="20"/>
              </w:rPr>
              <w:t>rganization conducts advocacy actions in support of SINASE, the reduction of juvenile incarceration, and the strengthening of socio-education as a State public policy. GAJOP participates in national networks and coalitions, contributing to the development of guidelines, resolutions, and recommendations in the field of childhood and adolescence. It also works to enhance social participation, supporting councils, organizations, and movements in the defense of the rights of adolescents subject to socio-educati</w:t>
            </w:r>
            <w:r>
              <w:rPr>
                <w:rFonts w:ascii="Calibri" w:eastAsia="Calibri" w:hAnsi="Calibri" w:cs="Calibri"/>
                <w:sz w:val="20"/>
                <w:szCs w:val="20"/>
              </w:rPr>
              <w:t>onal measures.</w:t>
            </w:r>
          </w:p>
        </w:tc>
      </w:tr>
    </w:tbl>
    <w:p w14:paraId="642749E3" w14:textId="77777777" w:rsidR="001B4D70" w:rsidRDefault="001B4D70">
      <w:pPr>
        <w:spacing w:after="200" w:line="360" w:lineRule="auto"/>
        <w:jc w:val="both"/>
        <w:rPr>
          <w:b/>
          <w:bCs/>
        </w:rPr>
      </w:pPr>
    </w:p>
    <w:p w14:paraId="524A6CAB" w14:textId="77777777" w:rsidR="001B4D70" w:rsidRDefault="001B4D70">
      <w:pPr>
        <w:spacing w:after="200" w:line="360" w:lineRule="auto"/>
        <w:jc w:val="both"/>
        <w:rPr>
          <w:b/>
          <w:bCs/>
        </w:rPr>
      </w:pPr>
    </w:p>
    <w:p w14:paraId="0C37C8D8" w14:textId="77777777" w:rsidR="001B4D70" w:rsidRDefault="001B4D70">
      <w:pPr>
        <w:spacing w:after="200" w:line="360" w:lineRule="auto"/>
        <w:jc w:val="both"/>
        <w:rPr>
          <w:b/>
          <w:bCs/>
        </w:rPr>
      </w:pPr>
    </w:p>
    <w:p w14:paraId="5320CF73" w14:textId="77777777" w:rsidR="001B4D70" w:rsidRDefault="001B4D70">
      <w:pPr>
        <w:spacing w:after="200" w:line="360" w:lineRule="auto"/>
        <w:jc w:val="both"/>
        <w:rPr>
          <w:b/>
          <w:bCs/>
        </w:rPr>
      </w:pPr>
    </w:p>
    <w:p w14:paraId="2CC34579" w14:textId="77777777" w:rsidR="001B4D70" w:rsidRDefault="001B4D70">
      <w:pPr>
        <w:spacing w:after="200" w:line="360" w:lineRule="auto"/>
        <w:jc w:val="both"/>
        <w:rPr>
          <w:b/>
          <w:bCs/>
        </w:rPr>
      </w:pPr>
    </w:p>
    <w:p w14:paraId="5A4CEC80" w14:textId="77777777" w:rsidR="001B4D70" w:rsidRDefault="001B4D70">
      <w:pPr>
        <w:spacing w:after="200" w:line="360" w:lineRule="auto"/>
        <w:jc w:val="both"/>
        <w:rPr>
          <w:b/>
          <w:bCs/>
        </w:rPr>
      </w:pPr>
    </w:p>
    <w:p w14:paraId="5419D785" w14:textId="77777777" w:rsidR="001B4D70" w:rsidRDefault="001B4D70">
      <w:pPr>
        <w:spacing w:after="200" w:line="360" w:lineRule="auto"/>
        <w:jc w:val="both"/>
        <w:rPr>
          <w:b/>
          <w:bCs/>
        </w:rPr>
      </w:pPr>
    </w:p>
    <w:p w14:paraId="7E6DEE2B" w14:textId="77777777" w:rsidR="001B4D70" w:rsidRDefault="001B4D70">
      <w:pPr>
        <w:spacing w:after="200" w:line="360" w:lineRule="auto"/>
        <w:jc w:val="both"/>
        <w:rPr>
          <w:b/>
          <w:bCs/>
        </w:rPr>
      </w:pPr>
    </w:p>
    <w:p w14:paraId="5A56D431" w14:textId="77777777" w:rsidR="001B4D70" w:rsidRDefault="005D51BF">
      <w:pPr>
        <w:numPr>
          <w:ilvl w:val="0"/>
          <w:numId w:val="2"/>
        </w:numPr>
        <w:spacing w:after="200" w:line="360" w:lineRule="auto"/>
        <w:jc w:val="both"/>
        <w:rPr>
          <w:b/>
          <w:bCs/>
        </w:rPr>
      </w:pPr>
      <w:r>
        <w:rPr>
          <w:b/>
          <w:bCs/>
        </w:rPr>
        <w:t>On the Definition of the Crime of Torture</w:t>
      </w:r>
    </w:p>
    <w:p w14:paraId="50173D48" w14:textId="77777777" w:rsidR="001B4D70" w:rsidRDefault="005D51BF">
      <w:pPr>
        <w:spacing w:before="240" w:after="240" w:line="360" w:lineRule="auto"/>
        <w:ind w:firstLine="700"/>
        <w:jc w:val="both"/>
      </w:pPr>
      <w:r>
        <w:lastRenderedPageBreak/>
        <w:t>It is well known that, in 1988, the Brazilian State ratified the United Nations Convention Against Torture and Other Cruel, Inhuman or Degrading Treatment or Punishment (1984), and subsequently enacted it through Decree No. 40 of 1991</w:t>
      </w:r>
      <w:r>
        <w:rPr>
          <w:vertAlign w:val="superscript"/>
        </w:rPr>
        <w:footnoteReference w:id="1"/>
      </w:r>
      <w:r>
        <w:t>. Further regarding international regulations, Brazil is subsequently a signatory to the Optional Protocol to the Convention Against Torture and Other Cruel, Inhuman or Degrading Treatment or Punishment, which was enacted through Decree No. 6,085 of 2007</w:t>
      </w:r>
      <w:r>
        <w:rPr>
          <w:vertAlign w:val="superscript"/>
        </w:rPr>
        <w:footnoteReference w:id="2"/>
      </w:r>
      <w:r>
        <w:t>.</w:t>
      </w:r>
    </w:p>
    <w:p w14:paraId="2696D910" w14:textId="77777777" w:rsidR="001B4D70" w:rsidRDefault="005D51BF">
      <w:pPr>
        <w:spacing w:before="240" w:after="240" w:line="360" w:lineRule="auto"/>
        <w:ind w:firstLine="700"/>
        <w:jc w:val="both"/>
      </w:pPr>
      <w:r>
        <w:t>At the national level, the Brazilian State enacted Federal Law No. 9,455 in 1997</w:t>
      </w:r>
      <w:r>
        <w:rPr>
          <w:vertAlign w:val="superscript"/>
        </w:rPr>
        <w:footnoteReference w:id="3"/>
      </w:r>
      <w:r>
        <w:t>, which defines the crime of torture. Only 22 years after the enactment of the United Nations Convention Against Torture, did the country establish Law No. 12,847 of 2013.</w:t>
      </w:r>
      <w:r>
        <w:rPr>
          <w:vertAlign w:val="superscript"/>
        </w:rPr>
        <w:footnoteReference w:id="4"/>
      </w:r>
      <w:r>
        <w:t>, establishing the structures of the National System for the Prevention and Combat of Torture, the National Committee for the Prevention and Combat of Torture, and the National Mechanism for the Prevention and Combat of Torture, and providing for other related measures.</w:t>
      </w:r>
    </w:p>
    <w:p w14:paraId="0411EF7E" w14:textId="77777777" w:rsidR="001B4D70" w:rsidRDefault="005D51BF">
      <w:pPr>
        <w:spacing w:before="240" w:after="240" w:line="360" w:lineRule="auto"/>
        <w:ind w:firstLine="700"/>
        <w:jc w:val="both"/>
      </w:pPr>
      <w:r>
        <w:t>Pursuant to Article 18 of the 1988 Federal Constitution, the Federative Republic of Brazil has a political-administrative organization comprising the following federative entities: the Union, the States, the Federal District, and the Municipalities, all of which are autonomous and have constitutionally defined competencies. It is also important to emphasize that Brazil is a continental country; accordingly, the execution of public policies, services, and mechanisms for the prevention and combat of torture r</w:t>
      </w:r>
      <w:r>
        <w:t>equires a decentralized approach, the necessity of federative coordination and collaboration, and the strategic role of the Union, the 26 Brazilian states, and the Federal District in the implementation of laws, regulations, and international treaties.</w:t>
      </w:r>
    </w:p>
    <w:p w14:paraId="3F1D5C7C" w14:textId="77777777" w:rsidR="001B4D70" w:rsidRDefault="005D51BF">
      <w:pPr>
        <w:spacing w:before="240" w:after="240" w:line="360" w:lineRule="auto"/>
        <w:ind w:firstLine="700"/>
        <w:jc w:val="both"/>
      </w:pPr>
      <w:r>
        <w:t>It is worth noting that in 2017, Brazil published the “Federative Pact for the Prevention and Combat of Torture”</w:t>
      </w:r>
      <w:r>
        <w:rPr>
          <w:vertAlign w:val="superscript"/>
        </w:rPr>
        <w:footnoteReference w:id="5"/>
      </w:r>
      <w:r>
        <w:t xml:space="preserve"> for the implementation of Law No. 12,847 and the need to strengthen and establish State and Federal District Committees and Mechanisms for the Prevention and Combat of Torture. Furthermore, the recommendations of the United Nations Special Rapporteur on Torture and Other Cruel, Inhuman or Degrading Treatment or Punishment, as well as those of the Subcommittee on Prevention of Torture and Other Cruel, Inhuman or Degrading Treatment or Punishment (SPT), issued in 2016, were taken into consideration.</w:t>
      </w:r>
    </w:p>
    <w:p w14:paraId="6471E539" w14:textId="77777777" w:rsidR="001B4D70" w:rsidRDefault="005D51BF">
      <w:pPr>
        <w:spacing w:before="240" w:after="240" w:line="360" w:lineRule="auto"/>
        <w:ind w:firstLine="700"/>
        <w:jc w:val="both"/>
      </w:pPr>
      <w:r>
        <w:lastRenderedPageBreak/>
        <w:t>Despite this entire legislative framework, there exists a significant gap between the established norms and the reality experienced by the Brazilian population, as outlined in the following sections. This document is endorsed by the civil society organizations that actively participated in and monitored, in 2023, the review of Brazil’s second periodic report on the implementation of the Convention Against Torture, conducted by this Honorable United Nations Committee. Accordingly, we will demonstrate how ess</w:t>
      </w:r>
      <w:r>
        <w:t>ential the continued engagement and monitoring by the CAT remain regarding the issues identified during the 2023 review, which persist as human rights violations in Brazil today.</w:t>
      </w:r>
    </w:p>
    <w:p w14:paraId="0073B64B" w14:textId="77777777" w:rsidR="001B4D70" w:rsidRDefault="005D51BF">
      <w:pPr>
        <w:spacing w:after="200" w:line="360" w:lineRule="auto"/>
        <w:ind w:firstLine="720"/>
        <w:jc w:val="both"/>
      </w:pPr>
      <w:r>
        <w:t>There is a contradiction between Federal Law No. 9,455/1997 and the Inter-American Convention to Prevent and Punish Torture (IACPPT), which lies in the nature of the active subject of the crime and the scope of the conduct defined. The Inter-American Convention (Articles 2 and 3) defines torture as a crime committed exclusively by State agents (public officials acting in the exercise of their functions) or by private individuals acting under their orders or instigation. Internationally, torture is understoo</w:t>
      </w:r>
      <w:r>
        <w:t>d as an abuse of State power against the individual.</w:t>
      </w:r>
    </w:p>
    <w:p w14:paraId="72251503" w14:textId="77777777" w:rsidR="001B4D70" w:rsidRDefault="005D51BF">
      <w:pPr>
        <w:spacing w:after="200" w:line="360" w:lineRule="auto"/>
        <w:ind w:firstLine="720"/>
        <w:jc w:val="both"/>
      </w:pPr>
      <w:r>
        <w:t>By contrast, Law No. 9,455/1997 predominantly classifies torture as a common crime, which may be committed by any person (private individual or public agent). Under Brazilian law, the status of a public agent is not an essential element of the crime, but rather a circumstance for increasing the penalty (Art. 1, § 4, I). Thus, while the focus of the Convention and other international treaties is to combat institutional violence (State violence against the citizen), Brazilian law allows crimes already defined</w:t>
      </w:r>
      <w:r>
        <w:t xml:space="preserve"> under the penal code to be categorized as torture.</w:t>
      </w:r>
    </w:p>
    <w:p w14:paraId="13A41605" w14:textId="77777777" w:rsidR="001B4D70" w:rsidRDefault="005D51BF">
      <w:pPr>
        <w:spacing w:after="200" w:line="360" w:lineRule="auto"/>
        <w:ind w:left="2267"/>
        <w:jc w:val="both"/>
        <w:rPr>
          <w:b/>
          <w:bCs/>
        </w:rPr>
      </w:pPr>
      <w:r>
        <w:rPr>
          <w:b/>
          <w:bCs/>
        </w:rPr>
        <w:t>Suggested questions to be addressed to the Brazilian State:</w:t>
      </w:r>
    </w:p>
    <w:p w14:paraId="18ED7B7C" w14:textId="77777777" w:rsidR="001B4D70" w:rsidRDefault="005D51BF">
      <w:pPr>
        <w:spacing w:after="200" w:line="360" w:lineRule="auto"/>
        <w:ind w:left="2267"/>
        <w:jc w:val="both"/>
      </w:pPr>
      <w:r>
        <w:t>1.1 In this context, taking into account the observations made by the Committee in its 2023 Concluding Observations, what measures has the Brazilian State adopted since then to amend the classification of Federal Law No. 9,455/1997?</w:t>
      </w:r>
    </w:p>
    <w:p w14:paraId="69A70A54" w14:textId="77777777" w:rsidR="001B4D70" w:rsidRDefault="005D51BF">
      <w:pPr>
        <w:spacing w:after="200" w:line="360" w:lineRule="auto"/>
        <w:ind w:left="2267"/>
        <w:jc w:val="both"/>
      </w:pPr>
      <w:r>
        <w:t>1.2 Has the Brazilian State engaged in legislative processes on this issue or prepared Technical Notes to support the amendment of the classification under Law No. 9,455/1997?</w:t>
      </w:r>
    </w:p>
    <w:p w14:paraId="484420E4" w14:textId="77777777" w:rsidR="001B4D70" w:rsidRDefault="001B4D70">
      <w:pPr>
        <w:spacing w:after="200" w:line="360" w:lineRule="auto"/>
        <w:ind w:left="2267"/>
        <w:jc w:val="both"/>
      </w:pPr>
    </w:p>
    <w:p w14:paraId="78AEA5A3" w14:textId="77777777" w:rsidR="001B4D70" w:rsidRDefault="005D51BF">
      <w:pPr>
        <w:numPr>
          <w:ilvl w:val="0"/>
          <w:numId w:val="2"/>
        </w:numPr>
        <w:spacing w:after="200" w:line="360" w:lineRule="auto"/>
        <w:jc w:val="both"/>
        <w:rPr>
          <w:b/>
          <w:bCs/>
        </w:rPr>
      </w:pPr>
      <w:r>
        <w:rPr>
          <w:b/>
          <w:bCs/>
        </w:rPr>
        <w:t>On the Application of the Statute of Limitations to Crimes Committed by the State</w:t>
      </w:r>
    </w:p>
    <w:p w14:paraId="5F15641C" w14:textId="77777777" w:rsidR="001B4D70" w:rsidRDefault="005D51BF">
      <w:pPr>
        <w:spacing w:after="200" w:line="360" w:lineRule="auto"/>
        <w:ind w:firstLine="720"/>
        <w:jc w:val="both"/>
      </w:pPr>
      <w:r>
        <w:lastRenderedPageBreak/>
        <w:t>The application of the statute of limitations in cases of human rights violations committed by public agents within the Brazilian prison system reveals a structural weakness in institutional accountability. The statute of limitations, as a legal mechanism, is intended to ensure legal certainty and to prevent proceedings from being prolonged indefinitely. However, within the prison context, it often functions as a mechanism of impunity, since many reports of violence, ill-treatment, and abuse committed by St</w:t>
      </w:r>
      <w:r>
        <w:t>ate agents are not properly investigated or prosecuted in a timely manner. The delays in investigations, combined with a lack of institutional prioritization, result in numerous cases being archived or considered “time-barred.”</w:t>
      </w:r>
      <w:r>
        <w:rPr>
          <w:vertAlign w:val="superscript"/>
        </w:rPr>
        <w:footnoteReference w:id="6"/>
      </w:r>
      <w:r>
        <w:t xml:space="preserve"> Thus, regardless of the time elapsed, the State has the duty to investigate, prosecute, and punish those responsible for acts of torture.</w:t>
      </w:r>
    </w:p>
    <w:p w14:paraId="52AE76CA" w14:textId="77777777" w:rsidR="001B4D70" w:rsidRDefault="005D51BF">
      <w:pPr>
        <w:spacing w:after="200" w:line="360" w:lineRule="auto"/>
        <w:ind w:left="2267"/>
        <w:jc w:val="both"/>
        <w:rPr>
          <w:b/>
          <w:bCs/>
        </w:rPr>
      </w:pPr>
      <w:r>
        <w:rPr>
          <w:b/>
          <w:bCs/>
        </w:rPr>
        <w:t>Suggested question to be addressed to the Brazilian State:</w:t>
      </w:r>
    </w:p>
    <w:p w14:paraId="0A0FFD73" w14:textId="77777777" w:rsidR="001B4D70" w:rsidRDefault="005D51BF">
      <w:pPr>
        <w:spacing w:after="200" w:line="360" w:lineRule="auto"/>
        <w:ind w:left="2267"/>
        <w:jc w:val="both"/>
      </w:pPr>
      <w:r>
        <w:t>2.1 Considering the concern outlined above and the recommendation expressly made by the Committee in its 2023 Concluding Observations, particularly in paragraph 9, which addresses the statute of limitations for crimes of torture in Brazil, currently set at 20 years, what measures has the Brazilian State adopted to ensure the non-applicability of the statute of limitations to this crime, in accordance with international human rights protection standards?</w:t>
      </w:r>
    </w:p>
    <w:p w14:paraId="227AE4FE" w14:textId="77777777" w:rsidR="001B4D70" w:rsidRDefault="005D51BF">
      <w:pPr>
        <w:spacing w:after="200" w:line="360" w:lineRule="auto"/>
        <w:ind w:firstLine="720"/>
        <w:jc w:val="both"/>
      </w:pPr>
      <w:r>
        <w:t>In addition to the statute of limitations, justifications for unlawfulness are frequently invoked, particularly the doctrines of self-defense and the strict fulfillment of legal duty, both provided for in the Penal Code, to justify and exempt security agents from criminal liability in cases of lethal force resulting in human rights violations. In recent years, numerous legislative proposals aimed at expanding the scope of such justifications in cases of police lethality have progressed in the Brazilian Parl</w:t>
      </w:r>
      <w:r>
        <w:t>iament—what civil society has termed a “license to kill.” Some states, such as Rio de Janeiro, have enacted legislation that rewards police officers based on the number of deaths caused in the line of duty.</w:t>
      </w:r>
    </w:p>
    <w:p w14:paraId="5FAFB14C" w14:textId="77777777" w:rsidR="001B4D70" w:rsidRDefault="001B4D70">
      <w:pPr>
        <w:spacing w:after="200" w:line="432" w:lineRule="auto"/>
        <w:ind w:left="2260"/>
        <w:jc w:val="both"/>
        <w:rPr>
          <w:b/>
          <w:bCs/>
        </w:rPr>
      </w:pPr>
    </w:p>
    <w:p w14:paraId="7231A652" w14:textId="77777777" w:rsidR="001B4D70" w:rsidRDefault="001B4D70">
      <w:pPr>
        <w:spacing w:after="200" w:line="432" w:lineRule="auto"/>
        <w:ind w:left="2260"/>
        <w:jc w:val="both"/>
        <w:rPr>
          <w:b/>
          <w:bCs/>
        </w:rPr>
      </w:pPr>
    </w:p>
    <w:p w14:paraId="75C67F56" w14:textId="77777777" w:rsidR="001B4D70" w:rsidRDefault="005D51BF">
      <w:pPr>
        <w:spacing w:after="200" w:line="432" w:lineRule="auto"/>
        <w:ind w:left="2260"/>
        <w:jc w:val="both"/>
        <w:rPr>
          <w:b/>
          <w:bCs/>
        </w:rPr>
      </w:pPr>
      <w:r>
        <w:rPr>
          <w:b/>
          <w:bCs/>
        </w:rPr>
        <w:t>Suggested questions to be addressed to the Brazilian State:</w:t>
      </w:r>
    </w:p>
    <w:p w14:paraId="5B1007A4" w14:textId="77777777" w:rsidR="001B4D70" w:rsidRDefault="005D51BF">
      <w:pPr>
        <w:spacing w:after="200" w:line="360" w:lineRule="auto"/>
        <w:ind w:left="2267"/>
        <w:jc w:val="both"/>
        <w:rPr>
          <w:b/>
          <w:bCs/>
        </w:rPr>
      </w:pPr>
      <w:r>
        <w:lastRenderedPageBreak/>
        <w:t>2.2 Does the Brazilian State make public data available regarding the application of justifications for unlawfulness in cases of police lethality?</w:t>
      </w:r>
    </w:p>
    <w:p w14:paraId="11021318" w14:textId="77777777" w:rsidR="001B4D70" w:rsidRDefault="005D51BF">
      <w:pPr>
        <w:spacing w:after="200" w:line="360" w:lineRule="auto"/>
        <w:ind w:left="2267"/>
        <w:jc w:val="both"/>
      </w:pPr>
      <w:r>
        <w:t>2.3 What monitoring mechanisms are being developed to assess whether these justifications are being used systematically to avoid accountability?</w:t>
      </w:r>
    </w:p>
    <w:p w14:paraId="17A34481" w14:textId="77777777" w:rsidR="001B4D70" w:rsidRDefault="005D51BF">
      <w:pPr>
        <w:spacing w:after="200" w:line="360" w:lineRule="auto"/>
        <w:ind w:left="2267"/>
        <w:jc w:val="both"/>
      </w:pPr>
      <w:r>
        <w:t>2.4 Are there provisions for periodic reports that allow civil society to monitor the impact of these practices on impunity for public agents?</w:t>
      </w:r>
    </w:p>
    <w:p w14:paraId="6D87D8F6" w14:textId="77777777" w:rsidR="001B4D70" w:rsidRDefault="005D51BF">
      <w:pPr>
        <w:spacing w:after="200" w:line="360" w:lineRule="auto"/>
        <w:ind w:left="2267"/>
        <w:jc w:val="both"/>
      </w:pPr>
      <w:r>
        <w:t>2.5 What control mechanisms are being adopted to prevent the abusive use of justifications for unlawfulness, such as self-defense and strict fulfillment of legal duty, in cases of police lethality?</w:t>
      </w:r>
    </w:p>
    <w:p w14:paraId="0F9B35E1" w14:textId="77777777" w:rsidR="001B4D70" w:rsidRDefault="005D51BF">
      <w:pPr>
        <w:spacing w:after="200" w:line="360" w:lineRule="auto"/>
        <w:ind w:left="2267"/>
        <w:jc w:val="both"/>
      </w:pPr>
      <w:r>
        <w:t>2.6 Does the Brazilian State intend to review or regulate, in a more transparent manner, the criteria for applying these justifications, ensuring they are not used to cover up human rights violations?</w:t>
      </w:r>
    </w:p>
    <w:p w14:paraId="506EAA6A" w14:textId="77777777" w:rsidR="001B4D70" w:rsidRDefault="005D51BF">
      <w:pPr>
        <w:spacing w:after="200" w:line="360" w:lineRule="auto"/>
        <w:ind w:left="2267"/>
        <w:jc w:val="both"/>
      </w:pPr>
      <w:r>
        <w:t>2.7 Is there a plan to establish independent review bodies to verify whether the invocation of self-defense or strict fulfillment of legal duty is genuinely applicable in each case?</w:t>
      </w:r>
    </w:p>
    <w:p w14:paraId="408C8EC2" w14:textId="77777777" w:rsidR="001B4D70" w:rsidRDefault="005D51BF">
      <w:pPr>
        <w:spacing w:after="200" w:line="360" w:lineRule="auto"/>
        <w:ind w:left="2267"/>
        <w:jc w:val="both"/>
      </w:pPr>
      <w:r>
        <w:t>2.8 Does the State consider the creation of specific protocols to investigate deaths resulting from police action, in accordance with the Minnesota Protocol?</w:t>
      </w:r>
    </w:p>
    <w:p w14:paraId="6B4D71AE" w14:textId="77777777" w:rsidR="001B4D70" w:rsidRDefault="005D51BF">
      <w:pPr>
        <w:spacing w:after="200" w:line="360" w:lineRule="auto"/>
        <w:ind w:left="2267"/>
        <w:jc w:val="both"/>
      </w:pPr>
      <w:r>
        <w:t>2.9 Does the Brazilian State intend to expand the legal grounds for justifications of unlawfulness for public security forces? Given police lethality in Brazil and the need for oversight mechanisms, what evidence would justify legislative amendments in this regard?</w:t>
      </w:r>
    </w:p>
    <w:p w14:paraId="150F0BD0" w14:textId="77777777" w:rsidR="001B4D70" w:rsidRDefault="001B4D70">
      <w:pPr>
        <w:spacing w:after="200" w:line="360" w:lineRule="auto"/>
        <w:ind w:left="2267"/>
        <w:jc w:val="both"/>
      </w:pPr>
    </w:p>
    <w:p w14:paraId="7D44D7BE" w14:textId="77777777" w:rsidR="001B4D70" w:rsidRDefault="001B4D70">
      <w:pPr>
        <w:spacing w:after="200" w:line="360" w:lineRule="auto"/>
        <w:ind w:left="2267"/>
        <w:jc w:val="both"/>
      </w:pPr>
    </w:p>
    <w:p w14:paraId="5515822B" w14:textId="77777777" w:rsidR="001B4D70" w:rsidRDefault="001B4D70">
      <w:pPr>
        <w:spacing w:after="200" w:line="360" w:lineRule="auto"/>
        <w:ind w:left="2267"/>
        <w:jc w:val="both"/>
      </w:pPr>
    </w:p>
    <w:p w14:paraId="352F860F" w14:textId="77777777" w:rsidR="001B4D70" w:rsidRDefault="001B4D70">
      <w:pPr>
        <w:spacing w:after="200" w:line="360" w:lineRule="auto"/>
        <w:ind w:left="2267"/>
        <w:jc w:val="both"/>
      </w:pPr>
    </w:p>
    <w:p w14:paraId="7B36D080" w14:textId="77777777" w:rsidR="001B4D70" w:rsidRDefault="001B4D70">
      <w:pPr>
        <w:spacing w:after="200" w:line="360" w:lineRule="auto"/>
        <w:ind w:left="2267"/>
        <w:jc w:val="both"/>
      </w:pPr>
    </w:p>
    <w:p w14:paraId="00E9C3A7" w14:textId="77777777" w:rsidR="001B4D70" w:rsidRDefault="005D51BF">
      <w:pPr>
        <w:spacing w:after="200" w:line="360" w:lineRule="auto"/>
        <w:jc w:val="both"/>
      </w:pPr>
      <w:r>
        <w:rPr>
          <w:b/>
          <w:bCs/>
        </w:rPr>
        <w:t>3. Legal Safeguards</w:t>
      </w:r>
    </w:p>
    <w:p w14:paraId="2303889B" w14:textId="77777777" w:rsidR="001B4D70" w:rsidRDefault="005D51BF">
      <w:pPr>
        <w:spacing w:after="200" w:line="360" w:lineRule="auto"/>
        <w:ind w:firstLine="720"/>
        <w:jc w:val="both"/>
      </w:pPr>
      <w:r>
        <w:lastRenderedPageBreak/>
        <w:t>Having reached their tenth anniversary in 2025, custody hearings still face structural and legislative challenges. The widespread virtualization disregards the exceptional circumstances established in Resolution No. 213 of the National Council of Justice (CNJ)</w:t>
      </w:r>
      <w:r>
        <w:rPr>
          <w:vertAlign w:val="superscript"/>
        </w:rPr>
        <w:footnoteReference w:id="7"/>
      </w:r>
      <w:r>
        <w:t>, while the institution is falsely cited as a cause of public insecurity. It is important to emphasize that the de-physicalization of Custody Hearings creates multiple obstacles to the rights of persons deprived of liberty: it interferes with the possibility of effective oversight, results in a loss of independent data collection, hampers the investigation of torture allegations, affects the exercise of the right to a full defense, and increases barriers to ensuring that information regarding work and housi</w:t>
      </w:r>
      <w:r>
        <w:t>ng conditions is properly recorded in case files.</w:t>
      </w:r>
    </w:p>
    <w:p w14:paraId="599C58DB" w14:textId="77777777" w:rsidR="001B4D70" w:rsidRDefault="005D51BF">
      <w:pPr>
        <w:spacing w:after="200" w:line="360" w:lineRule="auto"/>
        <w:ind w:firstLine="720"/>
        <w:jc w:val="both"/>
      </w:pPr>
      <w:r>
        <w:t>The recent Federal Law No. 15,272/2025, which addresses the circumstances recommending the conversion of arrest in flagrante delicto into preventive detention, the collection of biological material for obtaining and storing the genetic profile of the detainee, and the criteria for assessing the dangerousness of the individual for the granting of preventive detention, including during custody hearings, reflects a shift in the logic of detention as an exceptional measure. It recommends the conversion of arres</w:t>
      </w:r>
      <w:r>
        <w:t>t in flagrante delicto into preventive detention in various cases, such as repeated offenses even in non-violent crimes committed by socially vulnerable individuals, including petty theft or drug users, representing a distortion of this legal instrument and a regression. Custody hearings are the result of civil society advocacy and constitute fundamental tools for the prevention and combat of torture and mass incarceration, capable of preventing the perpetuation of violence within the prison and police syst</w:t>
      </w:r>
      <w:r>
        <w:t xml:space="preserve">ems when abuses against the detainee are identified. </w:t>
      </w:r>
    </w:p>
    <w:p w14:paraId="5E09B7E4" w14:textId="77777777" w:rsidR="001B4D70" w:rsidRDefault="005D51BF">
      <w:pPr>
        <w:spacing w:after="200" w:line="432" w:lineRule="auto"/>
        <w:ind w:left="2260"/>
        <w:jc w:val="both"/>
        <w:rPr>
          <w:b/>
          <w:bCs/>
        </w:rPr>
      </w:pPr>
      <w:r>
        <w:rPr>
          <w:b/>
          <w:bCs/>
        </w:rPr>
        <w:t>Suggested questions to be addressed to the Brazilian State:</w:t>
      </w:r>
    </w:p>
    <w:p w14:paraId="35E07E65" w14:textId="77777777" w:rsidR="001B4D70" w:rsidRDefault="005D51BF">
      <w:pPr>
        <w:spacing w:after="200" w:line="360" w:lineRule="auto"/>
        <w:ind w:left="2267"/>
        <w:jc w:val="both"/>
      </w:pPr>
      <w:r>
        <w:t>3.1 What strategies have been adopted by the Brazilian government to address the virtualization of custody hearings, which the Committee identified in 2023 as incompatible with Resolution No. 213 of the National Council of Justice (CNJ)?</w:t>
      </w:r>
    </w:p>
    <w:p w14:paraId="005DB6FF" w14:textId="77777777" w:rsidR="001B4D70" w:rsidRDefault="005D51BF">
      <w:pPr>
        <w:spacing w:after="200" w:line="360" w:lineRule="auto"/>
        <w:ind w:left="2267"/>
        <w:jc w:val="both"/>
      </w:pPr>
      <w:r>
        <w:t>3.2 How has the State acted to ensure the effectiveness of the essential functions of custody hearings, particularly in the prevention of torture and other ill-treatment, and in verifying the legality and necessity of continued detention?</w:t>
      </w:r>
    </w:p>
    <w:p w14:paraId="264200FF" w14:textId="77777777" w:rsidR="001B4D70" w:rsidRDefault="005D51BF">
      <w:pPr>
        <w:spacing w:after="200" w:line="360" w:lineRule="auto"/>
        <w:ind w:left="2267"/>
        <w:jc w:val="both"/>
      </w:pPr>
      <w:r>
        <w:t xml:space="preserve">3.3 Was the approval of Law No. 15,272/2025, which reformed custody hearings in a manner contrary to international </w:t>
      </w:r>
      <w:r>
        <w:lastRenderedPageBreak/>
        <w:t>recommendations to the Brazilian State, preceded by a social and economic impact assessment, particularly considering the potential increase in incarceration? What is the justification for this legislative reform?</w:t>
      </w:r>
    </w:p>
    <w:p w14:paraId="4D2CFE7E" w14:textId="77777777" w:rsidR="001B4D70" w:rsidRDefault="005D51BF">
      <w:pPr>
        <w:spacing w:after="200" w:line="360" w:lineRule="auto"/>
        <w:jc w:val="both"/>
      </w:pPr>
      <w:r>
        <w:rPr>
          <w:b/>
          <w:bCs/>
        </w:rPr>
        <w:t>4.</w:t>
      </w:r>
      <w:r>
        <w:rPr>
          <w:b/>
          <w:bCs/>
        </w:rPr>
        <w:tab/>
        <w:t>Mechanisms for the Investigation of Complaints</w:t>
      </w:r>
    </w:p>
    <w:p w14:paraId="522C176A" w14:textId="77777777" w:rsidR="001B4D70" w:rsidRDefault="005D51BF">
      <w:pPr>
        <w:spacing w:after="200" w:line="360" w:lineRule="auto"/>
        <w:ind w:firstLine="720"/>
        <w:jc w:val="both"/>
      </w:pPr>
      <w:r>
        <w:t>In Brazilian prison and socio-educational units, there are no complaint channels that allow the accounts of persons deprived of liberty and their families to reach the competent authorities. It should be emphasized that such channels are critically important for the investigation of crimes, the protection of the rights of torture victims, the prevention of violence and institutional racism, as well as for holding perpetrators accountable for their actions. These complaint and investigation mechanisms are es</w:t>
      </w:r>
      <w:r>
        <w:t>pecially relevant given the low number of public officials assigned by the Secretariat of Penitentiary Administration, the Secretariat of Justice, the Secretariat of Public Security, socio-educational system management bodies, and the Public Defender’s Offices of the states, which generally do not have an effective procedure for processing and forwarding complaints and are not present on a daily basis in prison or socio-educational units.</w:t>
      </w:r>
    </w:p>
    <w:p w14:paraId="008B3014" w14:textId="77777777" w:rsidR="001B4D70" w:rsidRDefault="005D51BF">
      <w:pPr>
        <w:spacing w:after="200" w:line="432" w:lineRule="auto"/>
        <w:ind w:left="2260"/>
        <w:jc w:val="both"/>
        <w:rPr>
          <w:b/>
          <w:bCs/>
        </w:rPr>
      </w:pPr>
      <w:r>
        <w:rPr>
          <w:b/>
          <w:bCs/>
        </w:rPr>
        <w:t>Suggested questions to be addressed to the Brazilian State:</w:t>
      </w:r>
    </w:p>
    <w:p w14:paraId="76C01853" w14:textId="77777777" w:rsidR="001B4D70" w:rsidRDefault="005D51BF">
      <w:pPr>
        <w:spacing w:after="200" w:line="360" w:lineRule="auto"/>
        <w:ind w:left="2267"/>
        <w:jc w:val="both"/>
      </w:pPr>
      <w:r>
        <w:t>4.1 Has the Brazilian State established institutional mechanisms that enable complaints and ensure the accountability of public agents operating within the penal and socio-educational systems who engage in ethnic-racial, gender-based, or other forms of discrimination against LGBTI+ persons and/or persons with disabilities, in accordance with current legislation? If so, which mechanisms?</w:t>
      </w:r>
    </w:p>
    <w:p w14:paraId="427216AC" w14:textId="77777777" w:rsidR="001B4D70" w:rsidRDefault="005D51BF">
      <w:pPr>
        <w:spacing w:after="200" w:line="360" w:lineRule="auto"/>
        <w:ind w:left="2267"/>
        <w:jc w:val="both"/>
      </w:pPr>
      <w:r>
        <w:t>4.2 Is there a structured flow of information regarding the existence of complaints and accountability proceedings for crimes of torture, ethnically or racially motivated crimes, and crimes committed against LGBTI+ persons and/or persons with disabilities by public agents within the penal and socio-educational cycle? If so, please provide data from the last two years.</w:t>
      </w:r>
    </w:p>
    <w:p w14:paraId="2DDCA6DE" w14:textId="77777777" w:rsidR="001B4D70" w:rsidRDefault="005D51BF">
      <w:pPr>
        <w:spacing w:after="200" w:line="360" w:lineRule="auto"/>
        <w:ind w:left="2267"/>
        <w:jc w:val="both"/>
      </w:pPr>
      <w:r>
        <w:t>4.3 Are information and indicators regarding complaints and accountability processes made publicly available to ensure transparency and accountability?</w:t>
      </w:r>
    </w:p>
    <w:p w14:paraId="04FA5916" w14:textId="77777777" w:rsidR="001B4D70" w:rsidRDefault="005D51BF">
      <w:pPr>
        <w:spacing w:after="200" w:line="360" w:lineRule="auto"/>
        <w:ind w:left="2267"/>
        <w:jc w:val="both"/>
      </w:pPr>
      <w:r>
        <w:lastRenderedPageBreak/>
        <w:t xml:space="preserve">4.4 Is the Brazilian State implementing effective measures to establish and continuously update a national registry of torture cases, compiling and publishing statistical data on the number of complaints of torture and ill-treatment and the investigative measures adopted, disaggregated by vulnerable groups, with an ethnic-racial, gender, and sexuality perspective, among others? </w:t>
      </w:r>
    </w:p>
    <w:p w14:paraId="13384A95" w14:textId="77777777" w:rsidR="001B4D70" w:rsidRDefault="001B4D70">
      <w:pPr>
        <w:spacing w:after="200" w:line="360" w:lineRule="auto"/>
        <w:ind w:left="2267"/>
        <w:jc w:val="both"/>
      </w:pPr>
    </w:p>
    <w:p w14:paraId="7191E255" w14:textId="77777777" w:rsidR="001B4D70" w:rsidRDefault="005D51BF">
      <w:pPr>
        <w:spacing w:after="200" w:line="360" w:lineRule="auto"/>
        <w:ind w:firstLine="720"/>
        <w:jc w:val="both"/>
      </w:pPr>
      <w:r>
        <w:t>The Public Prosecutor’s Office plays an essential role in the complaints system related to the Brazilian prison environment, acting as a guardian of the law and of the fundamental rights of persons deprived of liberty. In principle, its role should begin with the receipt of complaints submitted by detainees, their families, lawyers, or civil society organizations reporting situations of torture, ill-treatment, racial discrimination, or degrading conditions in prison facilities.</w:t>
      </w:r>
    </w:p>
    <w:p w14:paraId="04A4DD87" w14:textId="77777777" w:rsidR="001B4D70" w:rsidRDefault="005D51BF">
      <w:pPr>
        <w:spacing w:after="200" w:line="360" w:lineRule="auto"/>
        <w:ind w:firstLine="720"/>
        <w:jc w:val="both"/>
      </w:pPr>
      <w:r>
        <w:t xml:space="preserve">However, in practice, it has been observed that the Public Prosecutor’s Office has not actively engaged in this process. Its actions have been largely limited to reports and inspections of a predominantly formal nature, which do not prioritize direct hearings with persons deprived of liberty or their families. This approach reveals an institutional preference not to engage decisively in the defense of the rights of detainees, instead prioritizing other functions such as criminal prosecution and litigation. </w:t>
      </w:r>
      <w:r>
        <w:t>This choice contributes to the fragility of complaint mechanisms and to the perpetuation of human rights violations within the prison system.</w:t>
      </w:r>
    </w:p>
    <w:p w14:paraId="43D34741" w14:textId="77777777" w:rsidR="001B4D70" w:rsidRDefault="005D51BF">
      <w:pPr>
        <w:spacing w:after="200" w:line="432" w:lineRule="auto"/>
        <w:ind w:left="2260"/>
        <w:jc w:val="both"/>
        <w:rPr>
          <w:b/>
          <w:bCs/>
        </w:rPr>
      </w:pPr>
      <w:r>
        <w:rPr>
          <w:b/>
          <w:bCs/>
        </w:rPr>
        <w:t>Suggested questions to be addressed to the Brazilian State:</w:t>
      </w:r>
    </w:p>
    <w:p w14:paraId="1B615FD5" w14:textId="77777777" w:rsidR="001B4D70" w:rsidRDefault="005D51BF">
      <w:pPr>
        <w:spacing w:before="240" w:after="200" w:line="360" w:lineRule="auto"/>
        <w:ind w:left="2267"/>
        <w:jc w:val="both"/>
      </w:pPr>
      <w:r>
        <w:t>4.4 How does the Brazilian State intend to ensure that officials of the Public Prosecutor’s Office fulfill their institutional mandate, fully exercising their oversight and monitoring functions regarding complaints and accountability proceedings for crimes of torture, racial crimes, and violations against LGBTI+ persons and/or persons with disabilities committed by public agents within the penal cycle?</w:t>
      </w:r>
    </w:p>
    <w:p w14:paraId="01A63258" w14:textId="77777777" w:rsidR="001B4D70" w:rsidRDefault="005D51BF">
      <w:pPr>
        <w:spacing w:before="240" w:after="200" w:line="360" w:lineRule="auto"/>
        <w:ind w:left="2267"/>
        <w:jc w:val="both"/>
      </w:pPr>
      <w:r>
        <w:t>4.5 Considering that the inaction of the Public Prosecutor’s Office contributes to the maintenance of the unconstitutional state of affairs declared in Direct Action of Unconstitutionality No. 347,</w:t>
      </w:r>
      <w:r>
        <w:rPr>
          <w:vertAlign w:val="superscript"/>
        </w:rPr>
        <w:footnoteReference w:id="8"/>
      </w:r>
      <w:r>
        <w:t xml:space="preserve"> this raises the </w:t>
      </w:r>
      <w:r>
        <w:lastRenderedPageBreak/>
        <w:t>question of whether the Brazilian State has considered establishing a new body or system that would effectively and comprehensively exercise oversight over the prison system, given that such a measure could constitute an institutional response to the insufficiency of current practices, ensuring greater rigor in the investigation of complaints, the accountability of public agents, and the protection of the fundamental rights of persons deprived of liberty.</w:t>
      </w:r>
    </w:p>
    <w:p w14:paraId="5FE603C7" w14:textId="77777777" w:rsidR="001B4D70" w:rsidRDefault="001B4D70">
      <w:pPr>
        <w:spacing w:before="240" w:after="200" w:line="360" w:lineRule="auto"/>
        <w:ind w:left="2267"/>
        <w:jc w:val="both"/>
      </w:pPr>
    </w:p>
    <w:p w14:paraId="162BD0C6" w14:textId="77777777" w:rsidR="001B4D70" w:rsidRDefault="001B4D70">
      <w:pPr>
        <w:spacing w:before="240" w:after="200" w:line="360" w:lineRule="auto"/>
        <w:jc w:val="both"/>
      </w:pPr>
    </w:p>
    <w:p w14:paraId="29F4F4F4" w14:textId="77777777" w:rsidR="001B4D70" w:rsidRDefault="005D51BF">
      <w:pPr>
        <w:spacing w:after="200" w:line="360" w:lineRule="auto"/>
        <w:jc w:val="both"/>
      </w:pPr>
      <w:r>
        <w:rPr>
          <w:b/>
          <w:bCs/>
        </w:rPr>
        <w:t>5. Perpetuation of the Lack of Accountability for Institutional Violence</w:t>
      </w:r>
    </w:p>
    <w:p w14:paraId="3565F0E2" w14:textId="77777777" w:rsidR="001B4D70" w:rsidRDefault="005D51BF">
      <w:pPr>
        <w:spacing w:after="200" w:line="360" w:lineRule="auto"/>
        <w:ind w:firstLine="720"/>
        <w:jc w:val="both"/>
      </w:pPr>
      <w:r>
        <w:t>Under current Brazilian legislation, certain members of a crime victim’s family may participate in the corresponding investigation as co-plaintiffs, assisting the Public Prosecutor’s Office in the criminal investigation. This provision is established in the Brazilian Code of Criminal Procedure (CPP)</w:t>
      </w:r>
      <w:r>
        <w:rPr>
          <w:vertAlign w:val="superscript"/>
        </w:rPr>
        <w:footnoteReference w:id="9"/>
      </w:r>
      <w:r>
        <w:t>. It is also established in Resolution No. 243/2021 of the National Council of the Public Prosecutor’s Office, which institutes the Institutional Policy for the Comprehensive Protection, Promotion of Rights, and Support to Victims of the Public Prosecutor’s Office.</w:t>
      </w:r>
      <w:r>
        <w:rPr>
          <w:vertAlign w:val="superscript"/>
        </w:rPr>
        <w:footnoteReference w:id="10"/>
      </w:r>
      <w:r>
        <w:t xml:space="preserve"> These provisions underscore the need for the effective participation of family members in proceedings, in accordance with the Minnesota Protocol; however, these rights have been systematically violated by institutions in Brazil. In practice, not only is family participation in the process often prevented, but many families also report a complete lack of information regarding the procedural status of their cases, in addition to judicial delays that </w:t>
      </w:r>
      <w:r>
        <w:lastRenderedPageBreak/>
        <w:t>result in the statute of limitations and revictimization, p</w:t>
      </w:r>
      <w:r>
        <w:t>articularly when the cases involve persons in custody or in conflict with the law.</w:t>
      </w:r>
    </w:p>
    <w:p w14:paraId="22D6E971" w14:textId="77777777" w:rsidR="001B4D70" w:rsidRDefault="005D51BF">
      <w:pPr>
        <w:spacing w:after="200" w:line="432" w:lineRule="auto"/>
        <w:ind w:left="2260"/>
        <w:jc w:val="both"/>
        <w:rPr>
          <w:b/>
          <w:bCs/>
        </w:rPr>
      </w:pPr>
      <w:r>
        <w:rPr>
          <w:b/>
          <w:bCs/>
        </w:rPr>
        <w:t>Suggested questions to be addressed to the Brazilian State:</w:t>
      </w:r>
    </w:p>
    <w:p w14:paraId="29C657A3" w14:textId="77777777" w:rsidR="001B4D70" w:rsidRDefault="005D51BF">
      <w:pPr>
        <w:spacing w:before="240" w:after="200" w:line="360" w:lineRule="auto"/>
        <w:ind w:left="2267"/>
        <w:jc w:val="both"/>
      </w:pPr>
      <w:r>
        <w:t>5.1 What concrete measures are being adopted to ensure that the family members of victims can fully exercise their role as co-plaintiffs, as provided for in the Brazilian Code of Criminal Procedure (CPP)?</w:t>
      </w:r>
    </w:p>
    <w:p w14:paraId="391CDBE9" w14:textId="77777777" w:rsidR="001B4D70" w:rsidRDefault="005D51BF">
      <w:pPr>
        <w:spacing w:before="240" w:after="200" w:line="360" w:lineRule="auto"/>
        <w:ind w:left="2267"/>
        <w:jc w:val="both"/>
      </w:pPr>
      <w:r>
        <w:t>5.2 How does the State ensure that family members receive clear and accessible information regarding the procedural progress of their cases?</w:t>
      </w:r>
    </w:p>
    <w:p w14:paraId="232D4F5D" w14:textId="77777777" w:rsidR="001B4D70" w:rsidRDefault="005D51BF">
      <w:pPr>
        <w:spacing w:before="240" w:after="200" w:line="360" w:lineRule="auto"/>
        <w:ind w:left="2267"/>
        <w:jc w:val="both"/>
      </w:pPr>
      <w:r>
        <w:t>5.3 What official channels exist for families to report obstacles to their participation in proceedings?</w:t>
      </w:r>
    </w:p>
    <w:p w14:paraId="1C4A74D6" w14:textId="77777777" w:rsidR="001B4D70" w:rsidRDefault="005D51BF">
      <w:pPr>
        <w:spacing w:before="240" w:after="200" w:line="360" w:lineRule="auto"/>
        <w:ind w:left="2267"/>
        <w:jc w:val="both"/>
      </w:pPr>
      <w:r>
        <w:t>5.4 Do the Public Prosecutor’s Office and the Judiciary have specific protocols to ensure that family members are informed about each stage of the investigation and trial?</w:t>
      </w:r>
    </w:p>
    <w:p w14:paraId="6F70E53F" w14:textId="77777777" w:rsidR="001B4D70" w:rsidRDefault="005D51BF">
      <w:pPr>
        <w:spacing w:before="240" w:after="200" w:line="360" w:lineRule="auto"/>
        <w:ind w:left="2267"/>
        <w:jc w:val="both"/>
      </w:pPr>
      <w:r>
        <w:t>5.5 What external control mechanisms are being implemented to monitor whether the rights of families are being respected?</w:t>
      </w:r>
    </w:p>
    <w:p w14:paraId="591781DE" w14:textId="77777777" w:rsidR="001B4D70" w:rsidRDefault="005D51BF">
      <w:pPr>
        <w:spacing w:before="240" w:after="200" w:line="360" w:lineRule="auto"/>
        <w:ind w:left="2267"/>
        <w:jc w:val="both"/>
      </w:pPr>
      <w:r>
        <w:t>5.6 How does Brazil intend to align its practices with the Minnesota Protocol, which requires transparency and effective participation?</w:t>
      </w:r>
    </w:p>
    <w:p w14:paraId="75DE15B6" w14:textId="77777777" w:rsidR="001B4D70" w:rsidRDefault="005D51BF">
      <w:pPr>
        <w:spacing w:before="240" w:after="200" w:line="360" w:lineRule="auto"/>
        <w:ind w:left="2267"/>
        <w:jc w:val="both"/>
      </w:pPr>
      <w:r>
        <w:t>5.7 What measures are being taken to reduce judicial delays in cases of serious human rights violations?</w:t>
      </w:r>
    </w:p>
    <w:p w14:paraId="63F3CED1" w14:textId="77777777" w:rsidR="001B4D70" w:rsidRDefault="005D51BF">
      <w:pPr>
        <w:spacing w:before="240" w:after="200" w:line="360" w:lineRule="auto"/>
        <w:ind w:left="2267"/>
        <w:jc w:val="both"/>
      </w:pPr>
      <w:r>
        <w:t>5.11 Does the Brazilian State have mechanisms or strategies to prevent crimes against life from reaching the statute of limitations without trial?</w:t>
      </w:r>
    </w:p>
    <w:p w14:paraId="1B5210C1" w14:textId="77777777" w:rsidR="001B4D70" w:rsidRDefault="005D51BF">
      <w:pPr>
        <w:spacing w:before="240" w:after="200" w:line="360" w:lineRule="auto"/>
        <w:ind w:left="2267"/>
        <w:jc w:val="both"/>
      </w:pPr>
      <w:r>
        <w:t>5.12 Are there legislative or administrative reforms planned to accelerate investigations and proceedings involving victims and their families?</w:t>
      </w:r>
    </w:p>
    <w:p w14:paraId="36597403" w14:textId="77777777" w:rsidR="001B4D70" w:rsidRDefault="005D51BF">
      <w:pPr>
        <w:spacing w:after="200" w:line="360" w:lineRule="auto"/>
        <w:ind w:firstLine="720"/>
        <w:jc w:val="both"/>
      </w:pPr>
      <w:r>
        <w:t xml:space="preserve">In Brazil, Law No. 13,491 of 2017 expanded the jurisdiction of the Military Justice system to investigate and adjudicate crimes established in exceptional criminal legislation, such as abuse of authority, torture, and illegal possession of firearms, as provided in Article 9, item II, of the Military Penal Code (CPM). In this context, it is observed that the investigation </w:t>
      </w:r>
      <w:r>
        <w:lastRenderedPageBreak/>
        <w:t>of crimes committed by military personnel, whether members of the Armed Forces or the police, remains under the responsibility of the internal Internal Affairs Divisions of these institutions. These bodies are tasked with determining whether there is sufficient evidence to initiate an inquiry or file criminal charges, which raises questions regarding the independence and impartiality of such proceedings, given that the investigation is conducted internally by the same corps to which the accused belong.</w:t>
      </w:r>
    </w:p>
    <w:p w14:paraId="20C45DE6" w14:textId="77777777" w:rsidR="001B4D70" w:rsidRDefault="005D51BF">
      <w:pPr>
        <w:spacing w:after="200" w:line="518" w:lineRule="auto"/>
        <w:ind w:left="2260"/>
        <w:jc w:val="both"/>
        <w:rPr>
          <w:b/>
          <w:bCs/>
        </w:rPr>
      </w:pPr>
      <w:r>
        <w:rPr>
          <w:b/>
          <w:bCs/>
        </w:rPr>
        <w:t>Suggested questions to be addressed to the Brazilian State:</w:t>
      </w:r>
    </w:p>
    <w:p w14:paraId="28530CFC" w14:textId="77777777" w:rsidR="001B4D70" w:rsidRDefault="005D51BF">
      <w:pPr>
        <w:spacing w:after="200" w:line="360" w:lineRule="auto"/>
        <w:ind w:left="2267"/>
        <w:jc w:val="both"/>
      </w:pPr>
      <w:r>
        <w:t>5.13 Considering the current structure of Military Justice in Brazil, what measures have been adopted to ensure that investigations and accountability proceedings are conducted independently and impartially, without influence from hierarchical superiors over judgments and decisions?</w:t>
      </w:r>
    </w:p>
    <w:p w14:paraId="1525DD84" w14:textId="77777777" w:rsidR="001B4D70" w:rsidRDefault="005D51BF">
      <w:pPr>
        <w:spacing w:after="200" w:line="360" w:lineRule="auto"/>
        <w:ind w:left="2267"/>
        <w:jc w:val="both"/>
      </w:pPr>
      <w:r>
        <w:t>5.14 Are there specific mechanisms in place to ensure that security agents are held accountable in a fair manner, with penalties proportionate to the severity of the crimes committed?</w:t>
      </w:r>
    </w:p>
    <w:p w14:paraId="68AFCCBE" w14:textId="77777777" w:rsidR="001B4D70" w:rsidRDefault="005D51BF">
      <w:pPr>
        <w:spacing w:after="200" w:line="360" w:lineRule="auto"/>
        <w:ind w:left="2267"/>
        <w:jc w:val="both"/>
      </w:pPr>
      <w:r>
        <w:t>5.15 How has the Brazilian State addressed impunity resulting from the application of military legislation in cases of excessive use of force or lethality during civil policing activities?</w:t>
      </w:r>
    </w:p>
    <w:p w14:paraId="3B4E9347" w14:textId="77777777" w:rsidR="001B4D70" w:rsidRDefault="005D51BF">
      <w:pPr>
        <w:spacing w:after="200" w:line="360" w:lineRule="auto"/>
        <w:ind w:firstLine="720"/>
        <w:jc w:val="both"/>
      </w:pPr>
      <w:r>
        <w:t>External oversight of police activity in Brazil constitutes a constitutional function assigned to the Public Prosecutor’s Office, as provided in Article 129, item VII, of the Federal Constitution. This provision establishes that the Office is responsible for supervising police operations, ensuring that their activities comply with the law, fundamental rights, and democratic principles. Such oversight is carried out through various actions, including requesting the initiation of inquiries, monitoring investi</w:t>
      </w:r>
      <w:r>
        <w:t>gations, inspecting the custody conditions of persons deprived of liberty, conducting inspections in detention facilities at police stations and prisons, and initiating judicial measures in cases of irregularities. The Public Prosecutor’s Office also has the authority to request investigative procedures, initiate its own investigative proceedings, and hold public agents accountable for unlawful practices such as torture, abuse of authority, or excessive use of force. It is important to note that external ov</w:t>
      </w:r>
      <w:r>
        <w:t>ersight should not be confused with strictly formal or bureaucratic actions. A consistent and robust institutional approach is required, with the capacity and competence to prevent violent police actions, halt ongoing human rights violations, and ensure the accountability of public security agents implicated in patterns of state violence through serious and independent investigations.</w:t>
      </w:r>
    </w:p>
    <w:p w14:paraId="5074E71B" w14:textId="77777777" w:rsidR="001B4D70" w:rsidRDefault="005D51BF">
      <w:pPr>
        <w:spacing w:after="200" w:line="360" w:lineRule="auto"/>
        <w:ind w:firstLine="720"/>
        <w:jc w:val="both"/>
      </w:pPr>
      <w:r>
        <w:lastRenderedPageBreak/>
        <w:t>However, it is observed that there is insufficient institutional investment to enable the Public Prosecutor’s Office to fully exercise its function of balancing the coercive power of security forces with the protection of individual rights. In practice, the institution has been predominantly focused on criminal prosecution, remaining distant from civil society and its demand for effective protection against state abuses. This approach contributes to a deficit of public trust, as the Public Prosecutor’s Offi</w:t>
      </w:r>
      <w:r>
        <w:t>ce, which should be recognized as a guardian of citizenship and a recourse body for the population, has not fulfilled this role satisfactorily.</w:t>
      </w:r>
    </w:p>
    <w:p w14:paraId="2FD2C842" w14:textId="77777777" w:rsidR="001B4D70" w:rsidRDefault="005D51BF">
      <w:pPr>
        <w:spacing w:before="240" w:after="200" w:line="360" w:lineRule="auto"/>
        <w:ind w:left="2267"/>
        <w:jc w:val="both"/>
      </w:pPr>
      <w:r>
        <w:t>5.3 What institutional measures has the State implemented to strengthen the oversight of police and prison activities by the Public Prosecutor’s Office and the Public Defender’s Office, preventing capture by corporate or political interests? What measures have been adopted to ensure the independence and autonomy of professionals in the Public Prosecutor’s Office and Public Defender’s Office who carry out external oversight of police activities and the defense of human rights, particularly collective rights?</w:t>
      </w:r>
    </w:p>
    <w:p w14:paraId="44595076" w14:textId="77777777" w:rsidR="001B4D70" w:rsidRDefault="005D51BF">
      <w:pPr>
        <w:spacing w:before="240" w:after="200" w:line="360" w:lineRule="auto"/>
        <w:ind w:left="2267"/>
        <w:jc w:val="both"/>
      </w:pPr>
      <w:r>
        <w:t>5.4 How can the State ensure greater transparency in the exercise of oversight and monitoring functions, including the preparation of reports and inspections conducted by the Public Prosecutor’s Office?</w:t>
      </w:r>
    </w:p>
    <w:p w14:paraId="31709975" w14:textId="77777777" w:rsidR="001B4D70" w:rsidRDefault="005D51BF">
      <w:pPr>
        <w:spacing w:before="240" w:after="200" w:line="360" w:lineRule="auto"/>
        <w:ind w:left="2267"/>
        <w:jc w:val="both"/>
      </w:pPr>
      <w:r>
        <w:t>5.5 How can the Brazilian State guarantee that civil society has broad, transparent, and effective access to information regarding human rights violations investigated and produced by the Public Prosecutor’s Office? Is there a defined strategy for civil society participation?</w:t>
      </w:r>
    </w:p>
    <w:p w14:paraId="47BBE822" w14:textId="77777777" w:rsidR="001B4D70" w:rsidRDefault="005D51BF">
      <w:pPr>
        <w:spacing w:before="240" w:after="200" w:line="360" w:lineRule="auto"/>
        <w:ind w:left="2267"/>
        <w:jc w:val="both"/>
      </w:pPr>
      <w:r>
        <w:t>5.6 What social participation mechanisms could be created or expanded by the State to allow civil society organizations, families of detainees, and human rights entities to collaborate in the external oversight of police and prison activities?</w:t>
      </w:r>
    </w:p>
    <w:p w14:paraId="0EC536E6" w14:textId="77777777" w:rsidR="001B4D70" w:rsidRDefault="001B4D70">
      <w:pPr>
        <w:spacing w:before="240" w:after="200" w:line="360" w:lineRule="auto"/>
        <w:ind w:left="2267"/>
        <w:jc w:val="both"/>
      </w:pPr>
    </w:p>
    <w:p w14:paraId="3ED7C12A" w14:textId="77777777" w:rsidR="001B4D70" w:rsidRDefault="001B4D70">
      <w:pPr>
        <w:spacing w:before="240" w:after="200" w:line="360" w:lineRule="auto"/>
        <w:ind w:left="2267"/>
        <w:jc w:val="both"/>
      </w:pPr>
    </w:p>
    <w:p w14:paraId="761A3728" w14:textId="77777777" w:rsidR="001B4D70" w:rsidRDefault="001B4D70">
      <w:pPr>
        <w:spacing w:before="240" w:after="200" w:line="360" w:lineRule="auto"/>
        <w:ind w:left="2267"/>
        <w:jc w:val="both"/>
      </w:pPr>
    </w:p>
    <w:p w14:paraId="66C2DDA2" w14:textId="77777777" w:rsidR="001B4D70" w:rsidRDefault="005D51BF">
      <w:pPr>
        <w:spacing w:after="200" w:line="360" w:lineRule="auto"/>
        <w:jc w:val="both"/>
      </w:pPr>
      <w:r>
        <w:rPr>
          <w:b/>
          <w:bCs/>
        </w:rPr>
        <w:t>6. Excessive Use of Force by Law Enforcement Agents and Military Personnel</w:t>
      </w:r>
    </w:p>
    <w:p w14:paraId="5CBD8377" w14:textId="77777777" w:rsidR="001B4D70" w:rsidRDefault="005D51BF">
      <w:pPr>
        <w:spacing w:after="200" w:line="360" w:lineRule="auto"/>
        <w:ind w:firstLine="720"/>
        <w:jc w:val="both"/>
      </w:pPr>
      <w:r>
        <w:lastRenderedPageBreak/>
        <w:t>The persistent use of excessive force, particularly lethal force, by law enforcement agents and military personnel in the context of security operations aimed at combating organized crime remains a reality in Brazil. According to the 19th Brazilian Public Security Yearbook, in 2024 alone, Brazil recorded 44,127 intentional violent deaths (MVI).</w:t>
      </w:r>
      <w:r>
        <w:rPr>
          <w:vertAlign w:val="superscript"/>
        </w:rPr>
        <w:footnoteReference w:id="11"/>
      </w:r>
      <w:r>
        <w:t>. Among the victims, 79% were Black individuals. The majority of those killed were men, accounting for 91.1% of the cases.</w:t>
      </w:r>
    </w:p>
    <w:p w14:paraId="6D69507B" w14:textId="77777777" w:rsidR="001B4D70" w:rsidRDefault="005D51BF">
      <w:pPr>
        <w:spacing w:after="200" w:line="360" w:lineRule="auto"/>
        <w:ind w:firstLine="720"/>
        <w:jc w:val="both"/>
      </w:pPr>
      <w:r>
        <w:t>In this context, in October 2025, the so-called Operation Contenção took place, the deadliest operation in Brazil’s history, marked in recent decades by the normalization of state violence against Black and favela populations. The massacre, carried out in Rio de Janeiro (in the Penha and Alemão complexes), resulted in the deaths of more than 122 people</w:t>
      </w:r>
      <w:r>
        <w:rPr>
          <w:vertAlign w:val="superscript"/>
        </w:rPr>
        <w:footnoteReference w:id="12"/>
      </w:r>
      <w:r>
        <w:t>. According to investigations by the Public Prosecutor’s Office, there is consistent evidence of the misuse of force recorded by the portable operational cameras (POCs) used by the Military Police (PMs), including reports of crimes such as embezzlement, unlawful entry, illegal coercion, robbery, and refusal to obey a superior order (insubordination)</w:t>
      </w:r>
      <w:r>
        <w:rPr>
          <w:vertAlign w:val="superscript"/>
        </w:rPr>
        <w:footnoteReference w:id="13"/>
      </w:r>
      <w:r>
        <w:t>. The irregularities are reportedly related primarily to entry into homes without a court order, illegal coercion of residents, the excessive and disproportionate use of lethal force, failures in preserving crime scenes, and attempts to conceal or misuse body-worn cameras.</w:t>
      </w:r>
    </w:p>
    <w:p w14:paraId="7C41803B" w14:textId="77777777" w:rsidR="001B4D70" w:rsidRDefault="005D51BF">
      <w:pPr>
        <w:spacing w:after="200" w:line="360" w:lineRule="auto"/>
        <w:ind w:left="2267"/>
        <w:jc w:val="both"/>
      </w:pPr>
      <w:r>
        <w:t>6.1 What measures is the State adopting to reduce the excessive use of force, particularly the use of lethal force, by law enforcement agents, including military and civil police officers, during security operations?</w:t>
      </w:r>
    </w:p>
    <w:p w14:paraId="77E159E1" w14:textId="77777777" w:rsidR="001B4D70" w:rsidRDefault="005D51BF">
      <w:pPr>
        <w:spacing w:after="200" w:line="360" w:lineRule="auto"/>
        <w:ind w:left="2267"/>
        <w:jc w:val="both"/>
      </w:pPr>
      <w:r>
        <w:t>6.2 Could the State describe the ongoing initiatives to monitor and control the use of machine guns and rifles in operations conducted in densely populated areas?</w:t>
      </w:r>
    </w:p>
    <w:p w14:paraId="1B421616" w14:textId="77777777" w:rsidR="001B4D70" w:rsidRDefault="005D51BF">
      <w:pPr>
        <w:spacing w:after="200" w:line="360" w:lineRule="auto"/>
        <w:ind w:left="2267"/>
        <w:jc w:val="both"/>
      </w:pPr>
      <w:r>
        <w:t>6.3 Could the State indicate what measures are being adopted to ensure independent and effective investigations into deaths resulting from police interventions and to guarantee the accountability of the officers involved?</w:t>
      </w:r>
    </w:p>
    <w:p w14:paraId="5155FB85" w14:textId="77777777" w:rsidR="001B4D70" w:rsidRDefault="005D51BF">
      <w:pPr>
        <w:spacing w:after="200" w:line="360" w:lineRule="auto"/>
        <w:ind w:firstLine="720"/>
        <w:jc w:val="both"/>
      </w:pPr>
      <w:r>
        <w:t xml:space="preserve">Decree No. 12,341 of 23 December 2024, which regulates the use of force and less-lethal instruments by public security agents, although intended to establish guidelines for the </w:t>
      </w:r>
      <w:r>
        <w:lastRenderedPageBreak/>
        <w:t>use of force, has revealed significant limitations in its effectiveness due to the absence of practical regulations</w:t>
      </w:r>
      <w:r>
        <w:rPr>
          <w:vertAlign w:val="superscript"/>
        </w:rPr>
        <w:footnoteReference w:id="14"/>
      </w:r>
      <w:r>
        <w:t>. In this context, Ordinance No. 855/2025, issued by the Ministry of Justice with the purpose of complementing the aforementioned decree, represented a setback in relation to international human rights standards.</w:t>
      </w:r>
      <w:r>
        <w:rPr>
          <w:vertAlign w:val="superscript"/>
        </w:rPr>
        <w:footnoteReference w:id="15"/>
      </w:r>
    </w:p>
    <w:p w14:paraId="6A9EF9A0" w14:textId="77777777" w:rsidR="001B4D70" w:rsidRDefault="005D51BF">
      <w:pPr>
        <w:spacing w:after="200" w:line="360" w:lineRule="auto"/>
        <w:ind w:firstLine="720"/>
        <w:jc w:val="both"/>
      </w:pPr>
      <w:r>
        <w:t>Among the most critical points are the insufficient guidance on the use of lethal weapons, the absence of directives on non-violent means of conflict containment, the lack of minimum standards for the use of less-lethal weapons in prison facilities, and, in contravention of international law, the provision for the use of electroshock weapons in prison units.</w:t>
      </w:r>
    </w:p>
    <w:p w14:paraId="6FDB66EF" w14:textId="77777777" w:rsidR="001B4D70" w:rsidRDefault="005D51BF">
      <w:pPr>
        <w:spacing w:after="200" w:line="360" w:lineRule="auto"/>
        <w:ind w:left="2125"/>
        <w:jc w:val="both"/>
      </w:pPr>
      <w:r>
        <w:t>6.3 In this context, what measures has the Brazilian State adopted to repeal or revise Ordinance No. 855/2025 in order to align it with international human rights standards?</w:t>
      </w:r>
    </w:p>
    <w:p w14:paraId="4F08C9AC" w14:textId="77777777" w:rsidR="001B4D70" w:rsidRDefault="005D51BF">
      <w:pPr>
        <w:spacing w:after="200" w:line="360" w:lineRule="auto"/>
        <w:ind w:left="2125"/>
        <w:jc w:val="both"/>
      </w:pPr>
      <w:r>
        <w:t>6.4 Has the Brazilian State prepared Technical Notes or other normative instruments aimed at supporting the modification of the aforementioned Ordinance, ensuring greater compatibility with international standards on the use of force and prison security?</w:t>
      </w:r>
    </w:p>
    <w:p w14:paraId="1F2DA63A" w14:textId="77777777" w:rsidR="001B4D70" w:rsidRDefault="001B4D70">
      <w:pPr>
        <w:spacing w:after="200" w:line="360" w:lineRule="auto"/>
        <w:ind w:left="2125"/>
        <w:jc w:val="both"/>
      </w:pPr>
    </w:p>
    <w:p w14:paraId="354EB146" w14:textId="77777777" w:rsidR="001B4D70" w:rsidRDefault="005D51BF">
      <w:pPr>
        <w:spacing w:after="200" w:line="360" w:lineRule="auto"/>
        <w:ind w:left="2125"/>
        <w:jc w:val="both"/>
      </w:pPr>
      <w:r>
        <w:t>6.5 Is the State currently preparing or reviewing its protocols on the use of force, and lethal and less-lethal weapons, and what measures are being adopted to align security operations with these standards?</w:t>
      </w:r>
    </w:p>
    <w:p w14:paraId="26F398BB" w14:textId="77777777" w:rsidR="001B4D70" w:rsidRDefault="005D51BF">
      <w:pPr>
        <w:spacing w:after="200" w:line="360" w:lineRule="auto"/>
        <w:ind w:left="2125"/>
        <w:jc w:val="both"/>
      </w:pPr>
      <w:r>
        <w:t>6.6 What is the State’s justification for the provision allowing the use of tasers in prison units, considering the recommendations of international bodies regarding the use of force and lethal weapons? Furthermore, what monitoring and evaluation mechanisms does the State employ to ensure that the use of tasers and other equipment does not violate human rights or endanger the physical integrity of persons deprived of liberty?</w:t>
      </w:r>
    </w:p>
    <w:p w14:paraId="6A3710A7" w14:textId="77777777" w:rsidR="001B4D70" w:rsidRDefault="005D51BF">
      <w:pPr>
        <w:spacing w:after="200" w:line="360" w:lineRule="auto"/>
        <w:jc w:val="both"/>
        <w:rPr>
          <w:b/>
          <w:bCs/>
        </w:rPr>
      </w:pPr>
      <w:r>
        <w:rPr>
          <w:b/>
          <w:bCs/>
        </w:rPr>
        <w:t>7. Confessions Obtained Under Torture</w:t>
      </w:r>
    </w:p>
    <w:p w14:paraId="5D86C4E3" w14:textId="77777777" w:rsidR="001B4D70" w:rsidRDefault="005D51BF">
      <w:pPr>
        <w:spacing w:after="200" w:line="360" w:lineRule="auto"/>
        <w:ind w:firstLine="720"/>
        <w:jc w:val="both"/>
      </w:pPr>
      <w:r>
        <w:t xml:space="preserve">Specialized literature and official reports demonstrate that the practice of torture in Brazil remains a structural problem, including the extraction of confessions through physical </w:t>
      </w:r>
      <w:r>
        <w:lastRenderedPageBreak/>
        <w:t>and psychological violence. During inspections conducted by the National Mechanism for the Prevention and Combat of Torture (MNPCT), situations were recorded in which detainees reported being coerced into signing documents or admitting disciplinary infractions following assaults</w:t>
      </w:r>
      <w:r>
        <w:rPr>
          <w:vertAlign w:val="superscript"/>
        </w:rPr>
        <w:footnoteReference w:id="16"/>
      </w:r>
      <w:r>
        <w:t>. The 2019 Annual Report prepared by the MNPCT, for example, states that “disciplinary measures are applied without the right to adversarial proceedings and full defense, with reports of confessions obtained through physical</w:t>
      </w:r>
      <w:r>
        <w:rPr>
          <w:vertAlign w:val="superscript"/>
        </w:rPr>
        <w:footnoteReference w:id="17"/>
      </w:r>
      <w:r>
        <w:t xml:space="preserve"> and psychological violence”</w:t>
      </w:r>
      <w:r>
        <w:rPr>
          <w:vertAlign w:val="superscript"/>
        </w:rPr>
        <w:footnoteReference w:id="18"/>
      </w:r>
      <w:r>
        <w:t>.</w:t>
      </w:r>
    </w:p>
    <w:p w14:paraId="163C19BA" w14:textId="77777777" w:rsidR="001B4D70" w:rsidRDefault="005D51BF">
      <w:pPr>
        <w:spacing w:after="200" w:line="360" w:lineRule="auto"/>
        <w:ind w:firstLine="720"/>
        <w:jc w:val="both"/>
      </w:pPr>
      <w:r>
        <w:t>These findings are consistent with recent decisions of the Superior Court of Justice (STJ), which recognized the illegality of confessions obtained under torture in police operations. In December 2024, the Fifth Panel acquitted a defendant in the state of São Paulo after determining that his confession had been extracted through assaults recorded by body-worn cameras and confirmed by a forensic medical report. The court emphasized that “the extrajudicial confession is the moment of greatest risk of torture,</w:t>
      </w:r>
      <w:r>
        <w:t xml:space="preserve"> as the detainee is under the total control of the police and without effective protection mechanisms.” Such practices directly violate the United Nations Convention against Torture and the Mandela Rules, which prohibit the use of statements obtained through violence.</w:t>
      </w:r>
    </w:p>
    <w:p w14:paraId="1AB39F35" w14:textId="77777777" w:rsidR="001B4D70" w:rsidRDefault="005D51BF">
      <w:pPr>
        <w:spacing w:after="200" w:line="360" w:lineRule="auto"/>
        <w:ind w:left="2125"/>
        <w:jc w:val="both"/>
      </w:pPr>
      <w:r>
        <w:t>7.1 What protocols are being implemented to ensure that confessions obtained through physical or psychological violence are rendered invalid in judicial proceedings?</w:t>
      </w:r>
    </w:p>
    <w:p w14:paraId="77EF754A" w14:textId="77777777" w:rsidR="001B4D70" w:rsidRDefault="005D51BF">
      <w:pPr>
        <w:spacing w:after="200" w:line="360" w:lineRule="auto"/>
        <w:ind w:left="2125"/>
        <w:jc w:val="both"/>
      </w:pPr>
      <w:r>
        <w:t>7.2 Is the State considering the adoption of mandatory audiovisual recording mechanisms during police interrogations to prevent abuses and ensure transparency?</w:t>
      </w:r>
    </w:p>
    <w:p w14:paraId="38738B33" w14:textId="77777777" w:rsidR="001B4D70" w:rsidRDefault="005D51BF">
      <w:pPr>
        <w:spacing w:after="200" w:line="360" w:lineRule="auto"/>
        <w:ind w:left="2125"/>
        <w:jc w:val="both"/>
      </w:pPr>
      <w:r>
        <w:t>7.3 What measures are being taken to hold public agents accountable for acts of torture, including cases involving the extraction of confessions through violence?</w:t>
      </w:r>
    </w:p>
    <w:p w14:paraId="43AFEBFC" w14:textId="77777777" w:rsidR="001B4D70" w:rsidRDefault="005D51BF">
      <w:pPr>
        <w:spacing w:after="200" w:line="360" w:lineRule="auto"/>
        <w:ind w:left="2125"/>
        <w:jc w:val="both"/>
      </w:pPr>
      <w:r>
        <w:t>7.4 Does the Brazilian State intend to establish independent investigative bodies for cases of torture, to prevent them from being investigated solely by the corps to which the perpetrators belong?</w:t>
      </w:r>
    </w:p>
    <w:p w14:paraId="4EFCEED3" w14:textId="77777777" w:rsidR="001B4D70" w:rsidRDefault="005D51BF">
      <w:pPr>
        <w:spacing w:after="200" w:line="360" w:lineRule="auto"/>
        <w:ind w:left="2125"/>
        <w:jc w:val="both"/>
      </w:pPr>
      <w:r>
        <w:lastRenderedPageBreak/>
        <w:t>7.5 What actions are being planned to align national practices with the decisions of the STJ and international human rights bodies?</w:t>
      </w:r>
    </w:p>
    <w:p w14:paraId="5862EB0B" w14:textId="77777777" w:rsidR="001B4D70" w:rsidRDefault="005D51BF">
      <w:pPr>
        <w:spacing w:after="200" w:line="360" w:lineRule="auto"/>
        <w:ind w:left="2125"/>
        <w:jc w:val="both"/>
      </w:pPr>
      <w:r>
        <w:t>7.6 Are there provisions for periodic and public reports on the application of sanctions to agents who violate the United Nations Convention against Torture?</w:t>
      </w:r>
    </w:p>
    <w:p w14:paraId="65DFEF64" w14:textId="77777777" w:rsidR="001B4D70" w:rsidRDefault="001B4D70">
      <w:pPr>
        <w:spacing w:after="200" w:line="360" w:lineRule="auto"/>
        <w:ind w:left="2125"/>
        <w:jc w:val="both"/>
      </w:pPr>
    </w:p>
    <w:p w14:paraId="5AEFCCD5" w14:textId="77777777" w:rsidR="001B4D70" w:rsidRDefault="005D51BF">
      <w:pPr>
        <w:spacing w:after="200" w:line="360" w:lineRule="auto"/>
        <w:jc w:val="both"/>
        <w:rPr>
          <w:b/>
          <w:bCs/>
        </w:rPr>
      </w:pPr>
      <w:r>
        <w:rPr>
          <w:b/>
          <w:bCs/>
        </w:rPr>
        <w:t>8. On the Insufficiency of Remedies in Cases of Serious Human Rights Violations</w:t>
      </w:r>
    </w:p>
    <w:p w14:paraId="3C91EABC" w14:textId="77777777" w:rsidR="001B4D70" w:rsidRDefault="005D51BF">
      <w:pPr>
        <w:spacing w:after="200" w:line="360" w:lineRule="auto"/>
        <w:ind w:firstLine="720"/>
        <w:jc w:val="both"/>
      </w:pPr>
      <w:r>
        <w:t>The forms of remedy currently available in Brazil do not adequately meet the demands of most collectives and movements of families of victims of lethal violence, particularly victims of police and prison lethality. This is due to the fact that the primary measure employed by the State continues to be financial compensation (or indemnification) in isolation. While such compensation is necessary, it must be linked to other measures that comprise the concept of full reparation, in accordance with international</w:t>
      </w:r>
      <w:r>
        <w:t xml:space="preserve"> human rights standards.</w:t>
      </w:r>
      <w:r>
        <w:rPr>
          <w:vertAlign w:val="superscript"/>
        </w:rPr>
        <w:footnoteReference w:id="19"/>
      </w:r>
    </w:p>
    <w:p w14:paraId="44E70297" w14:textId="77777777" w:rsidR="001B4D70" w:rsidRDefault="005D51BF">
      <w:pPr>
        <w:spacing w:after="200" w:line="360" w:lineRule="auto"/>
        <w:ind w:firstLine="720"/>
        <w:jc w:val="both"/>
      </w:pPr>
      <w:r>
        <w:t>Many family members report that compensations are sometimes manipulated so that they no longer seek other forms of reparation or the accountability of the State and its agents, or even refrain from speaking publicly about the violations that occurred. This has an impact on the organizational and mobilization capacity of families who become human rights defenders. Furthermore, they emphasize that “no amount of money could ever compensate for the immeasurable and irreparable pain caused by the loss of a loved</w:t>
      </w:r>
      <w:r>
        <w:t xml:space="preserve"> one due to state violence.”</w:t>
      </w:r>
      <w:r>
        <w:rPr>
          <w:vertAlign w:val="superscript"/>
        </w:rPr>
        <w:footnoteReference w:id="20"/>
      </w:r>
      <w:r>
        <w:t xml:space="preserve"> It is essential to demand actions that go beyond financial compensation, aiming to establish public policies that preserve memory, guarantee rights, and interrupt the logic of exclusion and genocide of the Black population.</w:t>
      </w:r>
    </w:p>
    <w:p w14:paraId="6D5B41F4" w14:textId="77777777" w:rsidR="001B4D70" w:rsidRDefault="005D51BF">
      <w:pPr>
        <w:spacing w:after="200" w:line="360" w:lineRule="auto"/>
        <w:ind w:left="2267"/>
        <w:jc w:val="both"/>
      </w:pPr>
      <w:r>
        <w:t>8.1 What protocols and procedures has the State adopted for the investigation and accountability of cases involving the excessive use of force by state agents, as well as to ensure adequate reparation to the victims and their families?</w:t>
      </w:r>
    </w:p>
    <w:p w14:paraId="60FE2B72" w14:textId="77777777" w:rsidR="001B4D70" w:rsidRDefault="005D51BF">
      <w:pPr>
        <w:spacing w:after="200" w:line="360" w:lineRule="auto"/>
        <w:ind w:left="2267"/>
        <w:jc w:val="both"/>
      </w:pPr>
      <w:r>
        <w:lastRenderedPageBreak/>
        <w:t>8.2 Beyond financial compensation, what concrete measures does the State take to ensure the full reparation of victims and their families in accordance with international human rights standards?</w:t>
      </w:r>
    </w:p>
    <w:p w14:paraId="11D58D5B" w14:textId="77777777" w:rsidR="001B4D70" w:rsidRDefault="005D51BF">
      <w:pPr>
        <w:spacing w:after="200" w:line="360" w:lineRule="auto"/>
        <w:ind w:left="2267"/>
        <w:jc w:val="both"/>
      </w:pPr>
      <w:r>
        <w:t>8.3 Considering Article 14 of the Convention, what measures and public policies has the State implemented to guarantee victims the right to obtain adequate reparation and compensation, as well as the means necessary for their complete rehabilitation?</w:t>
      </w:r>
    </w:p>
    <w:p w14:paraId="489CA6D6" w14:textId="77777777" w:rsidR="001B4D70" w:rsidRDefault="005D51BF">
      <w:pPr>
        <w:spacing w:after="200" w:line="360" w:lineRule="auto"/>
        <w:ind w:left="2267"/>
        <w:jc w:val="both"/>
      </w:pPr>
      <w:r>
        <w:t>8.4 What symbolic reparation policies, such as public apologies, memorials, and official recognition of violations, has the Brazilian State already implemented?</w:t>
      </w:r>
    </w:p>
    <w:p w14:paraId="3CB94439" w14:textId="77777777" w:rsidR="001B4D70" w:rsidRDefault="005D51BF">
      <w:pPr>
        <w:spacing w:after="200" w:line="360" w:lineRule="auto"/>
        <w:ind w:left="2267"/>
        <w:jc w:val="both"/>
      </w:pPr>
      <w:r>
        <w:t>8.5 What psychological, social, and community support programs and public policies has the State ensured for the families of victims of state violence, as part of full reparation?</w:t>
      </w:r>
    </w:p>
    <w:p w14:paraId="2A7B0870" w14:textId="77777777" w:rsidR="001B4D70" w:rsidRDefault="005D51BF">
      <w:pPr>
        <w:spacing w:after="200" w:line="360" w:lineRule="auto"/>
        <w:ind w:left="2267"/>
        <w:jc w:val="both"/>
      </w:pPr>
      <w:r>
        <w:t>8.6 What measures are being planned to expand the modalities of reparation, going beyond financial compensation, in accordance with international human rights standards?</w:t>
      </w:r>
    </w:p>
    <w:p w14:paraId="4CFF8056" w14:textId="77777777" w:rsidR="001B4D70" w:rsidRDefault="001B4D70">
      <w:pPr>
        <w:spacing w:after="200" w:line="360" w:lineRule="auto"/>
        <w:ind w:left="2267"/>
        <w:jc w:val="both"/>
      </w:pPr>
    </w:p>
    <w:p w14:paraId="00EB404F" w14:textId="77777777" w:rsidR="001B4D70" w:rsidRDefault="005D51BF">
      <w:pPr>
        <w:spacing w:after="200" w:line="360" w:lineRule="auto"/>
        <w:jc w:val="both"/>
        <w:rPr>
          <w:b/>
          <w:bCs/>
        </w:rPr>
      </w:pPr>
      <w:r>
        <w:rPr>
          <w:b/>
          <w:bCs/>
        </w:rPr>
        <w:t>9. Inhuman and Degrading Conditions of Detention</w:t>
      </w:r>
    </w:p>
    <w:p w14:paraId="5C0EBABD" w14:textId="77777777" w:rsidR="001B4D70" w:rsidRDefault="005D51BF">
      <w:pPr>
        <w:spacing w:after="200" w:line="360" w:lineRule="auto"/>
        <w:ind w:firstLine="720"/>
        <w:jc w:val="both"/>
      </w:pPr>
      <w:r>
        <w:t>The Brazilian prison system faces a structural crisis characterized by systematic human rights violations. Overcrowding is one of the most serious problems in the inspected facilities, with some units housing a number of inmates far exceeding their official capacity, resulting in unhealthy and degrading environments. This situation compromises not only the physical health of persons deprived of liberty but also their psychological integrity, facilitating the spread of diseases and intensifying internal conf</w:t>
      </w:r>
      <w:r>
        <w:t>licts. Furthermore, the precarious food conditions must be highlighted, with reports of hunger and irregular meal provision, as documented by the National Mechanism for the Prevention and Combat of Torture (MNPCT)</w:t>
      </w:r>
      <w:r>
        <w:rPr>
          <w:vertAlign w:val="superscript"/>
        </w:rPr>
        <w:footnoteReference w:id="21"/>
      </w:r>
      <w:r>
        <w:t xml:space="preserve"> and reported by the family members of persons deprived of liberty</w:t>
      </w:r>
      <w:r>
        <w:rPr>
          <w:vertAlign w:val="superscript"/>
        </w:rPr>
        <w:footnoteReference w:id="22"/>
      </w:r>
      <w:r>
        <w:t xml:space="preserve">. These meals are often </w:t>
      </w:r>
      <w:r>
        <w:lastRenderedPageBreak/>
        <w:t>insufficient in quantity and nutritional quality, constituting a direct violation of the human right to adequate food.</w:t>
      </w:r>
    </w:p>
    <w:p w14:paraId="3C1ECCAA" w14:textId="77777777" w:rsidR="001B4D70" w:rsidRDefault="005D51BF">
      <w:pPr>
        <w:spacing w:after="200" w:line="360" w:lineRule="auto"/>
        <w:ind w:firstLine="720"/>
        <w:jc w:val="both"/>
      </w:pPr>
      <w:r>
        <w:t>Another recurring issue highlighted in the Annual Report published by the MNPCT is the finding of torture and ill-treatment practices, both physical and psychological, including the abusive use of less-lethal weapons within prison facilities.</w:t>
      </w:r>
      <w:r>
        <w:rPr>
          <w:vertAlign w:val="superscript"/>
        </w:rPr>
        <w:footnoteReference w:id="23"/>
      </w:r>
      <w:r>
        <w:t xml:space="preserve"> There are also reports of conditions analogous to slavery, in which detainees are subjected to labor without remuneration or under degrading conditions, in contrast to the legal provision that work should serve as a means of resocialization. The lack of adequate access to healthcare, education, and legal assistance further reinforces social exclusion and limits the possibilities for the reintegration of inmates into society. In this regard, the reports reveal not only the structural failure of the prison s</w:t>
      </w:r>
      <w:r>
        <w:t>ystem but also the urgent need for public policies aimed at reducing the prison population and implementing penal alternatives that are consistent with the principles of human dignity and social justice.</w:t>
      </w:r>
    </w:p>
    <w:p w14:paraId="049E5932" w14:textId="77777777" w:rsidR="001B4D70" w:rsidRDefault="001B4D70">
      <w:pPr>
        <w:spacing w:after="200" w:line="360" w:lineRule="auto"/>
        <w:ind w:firstLine="720"/>
        <w:jc w:val="both"/>
      </w:pPr>
    </w:p>
    <w:p w14:paraId="49D098EC" w14:textId="77777777" w:rsidR="001B4D70" w:rsidRDefault="005D51BF">
      <w:pPr>
        <w:spacing w:after="200" w:line="360" w:lineRule="auto"/>
        <w:jc w:val="both"/>
        <w:rPr>
          <w:b/>
          <w:bCs/>
        </w:rPr>
      </w:pPr>
      <w:r>
        <w:rPr>
          <w:b/>
          <w:bCs/>
        </w:rPr>
        <w:t>9.1. ADPF 347 and the Response to the State of Unconstitutionality</w:t>
      </w:r>
    </w:p>
    <w:p w14:paraId="628773B1" w14:textId="77777777" w:rsidR="001B4D70" w:rsidRDefault="005D51BF">
      <w:pPr>
        <w:spacing w:after="200" w:line="360" w:lineRule="auto"/>
        <w:ind w:firstLine="720"/>
        <w:jc w:val="both"/>
      </w:pPr>
      <w:r>
        <w:t>With the judgment of Arguição de Descumprimento de Preceito Fundamental (ADPF) No. 347 (see note 3 in Section 4), the Brazilian State committed to addressing the so-called “state of unconstitutionality” in prisons nationwide. The Supreme Court mandated alignment across all branches and levels of government to enable concrete actions capable of reducing incarceration, improving the provision of services within detention facilities, providing assistance to persons nearing release or already released, and ensu</w:t>
      </w:r>
      <w:r>
        <w:t>ring adequate reparation.</w:t>
      </w:r>
    </w:p>
    <w:p w14:paraId="016E44F7" w14:textId="77777777" w:rsidR="001B4D70" w:rsidRDefault="005D51BF">
      <w:pPr>
        <w:spacing w:after="200" w:line="360" w:lineRule="auto"/>
        <w:ind w:firstLine="720"/>
        <w:jc w:val="both"/>
      </w:pPr>
      <w:r>
        <w:t>In this regard, the creation of a national plan and state-level plans to address the state of unconstitutionality was mandated, later referred to as “Pena Justa”. Although the Supreme Federal Court (STF) emphasized the need for this strategy to be developed with broad social participation, according to the organizations that subscribe to this report and have been monitoring this process from its inception, this did not occur satisfactorily at any stage, whether national or state-level. Particularly regardin</w:t>
      </w:r>
      <w:r>
        <w:t>g the state-level stage, there were frequent reports of the exclusion of organized civil society, as well as detainees and their families, from the spaces where each state’s plan was developed and decided. While these state plans were meant to align with the national plan, they allowed for considerable adaptation, taking into account that the contexts vary significantly across regions and states.</w:t>
      </w:r>
    </w:p>
    <w:p w14:paraId="7E586E46" w14:textId="77777777" w:rsidR="001B4D70" w:rsidRDefault="005D51BF">
      <w:pPr>
        <w:spacing w:after="200" w:line="360" w:lineRule="auto"/>
        <w:ind w:firstLine="720"/>
        <w:jc w:val="both"/>
      </w:pPr>
      <w:r>
        <w:lastRenderedPageBreak/>
        <w:t>Despite being an opportunity for action and the result of collective civil society efforts over recent years, the “Pena Justa” plan has already proven to be an insufficient strategy with regard to concrete measures, particularly those concerning reparation and guarantees of non-repetition of the state of unconstitutionality.</w:t>
      </w:r>
    </w:p>
    <w:p w14:paraId="218B7CA0" w14:textId="77777777" w:rsidR="001B4D70" w:rsidRDefault="005D51BF">
      <w:pPr>
        <w:spacing w:after="200" w:line="360" w:lineRule="auto"/>
        <w:ind w:firstLine="720"/>
        <w:jc w:val="both"/>
      </w:pPr>
      <w:r>
        <w:t>One of the cornerstones of the National Plan, which is intended to guide the actions and plans of the states, is the creation or strengthening of Committees and Mechanisms for the Prevention of Torture. Their explicit inclusion in the Plan has the potential to ensure a greater commitment by the Brazilian State—and all its federative units—to combating torture and other cruel, inhuman, or degrading treatment. The Pena Justa Plan recognizes that the Committees and Mechanisms for the Prevention and Combat of T</w:t>
      </w:r>
      <w:r>
        <w:t>orture are essential for monitoring violations in places of deprivation of liberty and relies, among other legal bases, on the United Nations Convention against Torture and Other Cruel, Inhuman or Degrading Treatment or Punishment and its Optional Protocol, both of which have been incorporated into Brazilian law.</w:t>
      </w:r>
    </w:p>
    <w:p w14:paraId="7F38DB9D" w14:textId="77777777" w:rsidR="001B4D70" w:rsidRDefault="005D51BF">
      <w:pPr>
        <w:spacing w:after="200" w:line="360" w:lineRule="auto"/>
        <w:ind w:firstLine="720"/>
        <w:jc w:val="both"/>
      </w:pPr>
      <w:r>
        <w:t>Even so, many states have not included this measure in their plans, either completely ignoring it or justifying the inaction of local competent authorities with unfounded arguments. Furthermore, attention must be drawn to the absence of guidelines regarding the implementation of this measure, in order to ensure that these bodies, once established, are effective.</w:t>
      </w:r>
    </w:p>
    <w:p w14:paraId="434E1FE7" w14:textId="77777777" w:rsidR="001B4D70" w:rsidRDefault="005D51BF">
      <w:pPr>
        <w:spacing w:after="200" w:line="360" w:lineRule="auto"/>
        <w:ind w:firstLine="720"/>
        <w:jc w:val="both"/>
      </w:pPr>
      <w:r>
        <w:t>Historically, various civil society organizations have advocated for the legal, budgetary, and institutional autonomy of these mechanisms; that their establishment be enacted by law, in accordance with the OPCAT, and with adequate operational conditions, including resources, infrastructure, and independence. Furthermore, the Committees should primarily include civil society representatives, elected by their peers, with public and open meetings to ensure transparency and effective social participation, and n</w:t>
      </w:r>
      <w:r>
        <w:t>o members of security forces should be part of their composition, as has occurred in some states.</w:t>
      </w:r>
    </w:p>
    <w:p w14:paraId="272AC327" w14:textId="77777777" w:rsidR="001B4D70" w:rsidRDefault="001B4D70">
      <w:pPr>
        <w:spacing w:after="200" w:line="360" w:lineRule="auto"/>
        <w:ind w:firstLine="720"/>
        <w:jc w:val="both"/>
      </w:pPr>
    </w:p>
    <w:p w14:paraId="2E8D67AA" w14:textId="77777777" w:rsidR="001B4D70" w:rsidRDefault="005D51BF">
      <w:pPr>
        <w:spacing w:after="200" w:line="360" w:lineRule="auto"/>
        <w:jc w:val="both"/>
        <w:rPr>
          <w:b/>
          <w:bCs/>
        </w:rPr>
      </w:pPr>
      <w:r>
        <w:rPr>
          <w:b/>
          <w:bCs/>
        </w:rPr>
        <w:t>9.1.1. Lack of Commitment by Other Actors to the Implementation of the Pena Justa Plan</w:t>
      </w:r>
    </w:p>
    <w:p w14:paraId="01CEBCF4" w14:textId="77777777" w:rsidR="001B4D70" w:rsidRDefault="005D51BF">
      <w:pPr>
        <w:spacing w:after="200" w:line="360" w:lineRule="auto"/>
        <w:ind w:firstLine="720"/>
        <w:jc w:val="both"/>
      </w:pPr>
      <w:r>
        <w:t xml:space="preserve">Although it established a binding obligation for all federative entities and their respective branches—Executive, Legislative, and Judiciary, at both the state and federal levels—to coordinate in an integrated manner to overcome the recognized state of unconstitutionality in the prison system, in practice the opposite is observed: several recent </w:t>
      </w:r>
      <w:r>
        <w:lastRenderedPageBreak/>
        <w:t>legislative and administrative measures run counter to the spirit of the decision. These include the elimination of temporary releases, the mandatory completion of criminological evaluations, the extension of time required for regime progression, changes to the custody hearing law, including the virtualization of sessions and the imposition of increasing restrictions on granting release, threats to the already limited independent forensic model in São Paulo through a bill in the ALESP seeking to transfer it</w:t>
      </w:r>
      <w:r>
        <w:t>s responsibilities to the Civil Police, reports of an increase in intimate searches in prison facilities following the STF decision in Agravo em Recurso Extraordinário No. 959620, the creation of a habitual criminality category, reinforcing punitive trends, and the tightening of penalties and creation of new criminal types, exacerbating system overcrowding.</w:t>
      </w:r>
    </w:p>
    <w:p w14:paraId="73338819" w14:textId="77777777" w:rsidR="001B4D70" w:rsidRDefault="005D51BF">
      <w:pPr>
        <w:spacing w:after="200" w:line="360" w:lineRule="auto"/>
        <w:ind w:firstLine="720"/>
        <w:jc w:val="both"/>
      </w:pPr>
      <w:r>
        <w:t>These examples demonstrate that the STF decision in ADPF 347 has not been adequately observed, particularly by the Legislative Branch, which is also a strategic actor mobilized under the National Plan, but which has contributed little or nothing to overcoming the violations perpetrated by the State itself.</w:t>
      </w:r>
    </w:p>
    <w:p w14:paraId="1AF90E6A" w14:textId="77777777" w:rsidR="001B4D70" w:rsidRDefault="001B4D70">
      <w:pPr>
        <w:spacing w:after="200" w:line="360" w:lineRule="auto"/>
        <w:ind w:firstLine="720"/>
        <w:jc w:val="both"/>
      </w:pPr>
    </w:p>
    <w:p w14:paraId="5FAAAF21" w14:textId="77777777" w:rsidR="001B4D70" w:rsidRDefault="005D51BF">
      <w:pPr>
        <w:spacing w:after="200" w:line="360" w:lineRule="auto"/>
        <w:jc w:val="both"/>
        <w:rPr>
          <w:b/>
          <w:bCs/>
        </w:rPr>
      </w:pPr>
      <w:r>
        <w:rPr>
          <w:b/>
          <w:bCs/>
        </w:rPr>
        <w:t>9.1.2. Need for Institutional Integration and Commitment</w:t>
      </w:r>
    </w:p>
    <w:p w14:paraId="320D6ECA" w14:textId="77777777" w:rsidR="001B4D70" w:rsidRDefault="005D51BF">
      <w:pPr>
        <w:spacing w:after="200" w:line="360" w:lineRule="auto"/>
        <w:jc w:val="both"/>
      </w:pPr>
      <w:r>
        <w:t xml:space="preserve"> </w:t>
      </w:r>
      <w:r>
        <w:tab/>
        <w:t>It is understood that a genuine response to the state of unconstitutionality in the prison system will only be possible if there is effective commitment from the Legislative Branch, at both federal and state levels, grounded in an understanding of political-criminal responsibility in the formulation of policies. It is urgent that the design and implementation of public policies be cohesive and aligned with constitutional principles as well as Brazil’s international commitments, both domestically and before</w:t>
      </w:r>
      <w:r>
        <w:t xml:space="preserve"> the international community.</w:t>
      </w:r>
    </w:p>
    <w:p w14:paraId="48600124" w14:textId="77777777" w:rsidR="001B4D70" w:rsidRDefault="005D51BF">
      <w:pPr>
        <w:spacing w:after="200" w:line="360" w:lineRule="auto"/>
        <w:ind w:firstLine="720"/>
        <w:jc w:val="both"/>
      </w:pPr>
      <w:r>
        <w:t>Thus, these obligations cannot be limited to the drafting of formal plans. An effective commitment to structural public policies, new legislation, and a judicial interpretation that incorporates the paradigm of structural litigation is indispensable in order to transform the reality of Brazil’s penal and prison system.</w:t>
      </w:r>
    </w:p>
    <w:p w14:paraId="2618A00A" w14:textId="77777777" w:rsidR="001B4D70" w:rsidRDefault="005D51BF">
      <w:pPr>
        <w:spacing w:after="200" w:line="360" w:lineRule="auto"/>
        <w:ind w:left="2267"/>
        <w:jc w:val="both"/>
      </w:pPr>
      <w:r>
        <w:t>9.1 What concrete measures are being taken to reduce overcrowding in prison facilities, beyond the construction of new facilities, while ensuring respect for official capacity?</w:t>
      </w:r>
    </w:p>
    <w:p w14:paraId="19C070EF" w14:textId="77777777" w:rsidR="001B4D70" w:rsidRDefault="005D51BF">
      <w:pPr>
        <w:spacing w:after="200" w:line="360" w:lineRule="auto"/>
        <w:ind w:left="2267"/>
        <w:jc w:val="both"/>
      </w:pPr>
      <w:r>
        <w:t>9.2 How will the State ensure the regular provision of meals in sufficient quantity and nutritional quality for persons deprived of liberty?</w:t>
      </w:r>
    </w:p>
    <w:p w14:paraId="06B93760" w14:textId="77777777" w:rsidR="001B4D70" w:rsidRDefault="005D51BF">
      <w:pPr>
        <w:spacing w:after="200" w:line="360" w:lineRule="auto"/>
        <w:ind w:left="2267"/>
        <w:jc w:val="both"/>
      </w:pPr>
      <w:r>
        <w:lastRenderedPageBreak/>
        <w:t>9.3 What penal alternatives and precautionary measures other than imprisonment are being implemented by the Brazilian State to reduce the prison population?</w:t>
      </w:r>
    </w:p>
    <w:p w14:paraId="0A8E1A59" w14:textId="77777777" w:rsidR="001B4D70" w:rsidRDefault="005D51BF">
      <w:pPr>
        <w:spacing w:after="200" w:line="360" w:lineRule="auto"/>
        <w:ind w:left="2267"/>
        <w:jc w:val="both"/>
      </w:pPr>
      <w:r>
        <w:t>9.4 What measures are being taken to ensure that prison labor is remunerated and carried out under dignified conditions, in accordance with the law?</w:t>
      </w:r>
    </w:p>
    <w:p w14:paraId="08956BDA" w14:textId="77777777" w:rsidR="001B4D70" w:rsidRDefault="005D51BF">
      <w:pPr>
        <w:spacing w:after="200" w:line="360" w:lineRule="auto"/>
        <w:ind w:left="2267"/>
        <w:jc w:val="both"/>
      </w:pPr>
      <w:r>
        <w:t>9.5 How will the State ensure regular and adequate medical care for persons deprived of liberty, preventing the spread of diseases?</w:t>
      </w:r>
    </w:p>
    <w:p w14:paraId="6757416A" w14:textId="77777777" w:rsidR="001B4D70" w:rsidRDefault="005D51BF">
      <w:pPr>
        <w:spacing w:after="200" w:line="360" w:lineRule="auto"/>
        <w:ind w:left="2267"/>
        <w:jc w:val="both"/>
      </w:pPr>
      <w:r>
        <w:t>9.6 Is there a plan to establish national programs for penal alternatives that reduce incarceration as the primary response to crime?</w:t>
      </w:r>
    </w:p>
    <w:p w14:paraId="19757AB1" w14:textId="77777777" w:rsidR="001B4D70" w:rsidRDefault="005D51BF">
      <w:pPr>
        <w:spacing w:after="200" w:line="360" w:lineRule="auto"/>
        <w:ind w:left="2267"/>
        <w:jc w:val="both"/>
      </w:pPr>
      <w:r>
        <w:t>9.7 How does Brazil intend to align its prison practices with international human rights standards, such as the Mandela Rules?</w:t>
      </w:r>
    </w:p>
    <w:p w14:paraId="4AF0A374" w14:textId="77777777" w:rsidR="001B4D70" w:rsidRDefault="005D51BF">
      <w:pPr>
        <w:spacing w:after="200" w:line="360" w:lineRule="auto"/>
        <w:ind w:left="2267"/>
        <w:jc w:val="both"/>
      </w:pPr>
      <w:r>
        <w:t>9.8 What measures are being adopted to ensure that the three branches of government act coherently and in accordance with the parameters established by ADPF 347, in order to contribute to its objectives, particularly the reparation and non-repetition of the state of unconstitutionality in the Brazilian prison system?</w:t>
      </w:r>
    </w:p>
    <w:p w14:paraId="0CBB7A1A" w14:textId="77777777" w:rsidR="001B4D70" w:rsidRDefault="005D51BF">
      <w:pPr>
        <w:spacing w:after="200" w:line="360" w:lineRule="auto"/>
        <w:jc w:val="both"/>
        <w:rPr>
          <w:b/>
          <w:bCs/>
        </w:rPr>
      </w:pPr>
      <w:r>
        <w:rPr>
          <w:b/>
          <w:bCs/>
        </w:rPr>
        <w:t>10. Juvenile Justice System</w:t>
      </w:r>
    </w:p>
    <w:p w14:paraId="0F47EC93" w14:textId="77777777" w:rsidR="001B4D70" w:rsidRDefault="005D51BF">
      <w:pPr>
        <w:spacing w:after="200" w:line="360" w:lineRule="auto"/>
        <w:jc w:val="both"/>
      </w:pPr>
      <w:r>
        <w:rPr>
          <w:b/>
          <w:bCs/>
        </w:rPr>
        <w:tab/>
      </w:r>
      <w:r>
        <w:t>It is well established that the “Doctrine of Full Protection” was internationally enshrined in the United Nations Convention on the Rights of the Child (1989) and the Universal Declaration of the Rights of the Child (1959), and was formally adopted by Brazil through Article 227 of the Federal Constitution, Federal Law No. 8,069 of 1990—which established the Statute of the Child and Adolescent—and Law No. 12,594 of 2012, which established the National System of Socio-Educational Assistance for juvenile accou</w:t>
      </w:r>
      <w:r>
        <w:t>ntability. This paradigm established a guarantee-based and universalist conception, whereby: a) all children and adolescents are “subjects of rights”, b) they have “absolute priority” in the allocation of public policies, and c) they are recognized as being in a “peculiar developmental situation”.</w:t>
      </w:r>
    </w:p>
    <w:p w14:paraId="554B6E8F" w14:textId="77777777" w:rsidR="001B4D70" w:rsidRDefault="005D51BF">
      <w:pPr>
        <w:spacing w:after="200" w:line="360" w:lineRule="auto"/>
        <w:ind w:firstLine="720"/>
        <w:jc w:val="both"/>
      </w:pPr>
      <w:r>
        <w:t xml:space="preserve">Regrettably, Brazil has a historical and institutionalized context of torture and ill-treatment that affects adolescents in Detention Units. The United Nations Committee Against Torture (CAT), following its review of Brazil’s second periodic report, conducted on 19 and 20 </w:t>
      </w:r>
      <w:r>
        <w:lastRenderedPageBreak/>
        <w:t>April 2023,</w:t>
      </w:r>
      <w:r>
        <w:rPr>
          <w:vertAlign w:val="superscript"/>
        </w:rPr>
        <w:footnoteReference w:id="24"/>
      </w:r>
      <w:r>
        <w:t>, identified some of the most severe human rights violations in the context of the Juvenile Justice System:</w:t>
      </w:r>
    </w:p>
    <w:p w14:paraId="49DD55C4" w14:textId="77777777" w:rsidR="001B4D70" w:rsidRDefault="005D51BF">
      <w:pPr>
        <w:numPr>
          <w:ilvl w:val="0"/>
          <w:numId w:val="1"/>
        </w:numPr>
        <w:spacing w:line="240" w:lineRule="auto"/>
        <w:jc w:val="both"/>
      </w:pPr>
      <w:r>
        <w:t>Alternative measures to deprivation of liberty were not effectively implemented, which, among other consequences, results in a large number of adolescents—particularly Afro-Brazilian youth—being subjected to custodial measures;</w:t>
      </w:r>
    </w:p>
    <w:p w14:paraId="4B3016AC" w14:textId="77777777" w:rsidR="001B4D70" w:rsidRDefault="005D51BF">
      <w:pPr>
        <w:numPr>
          <w:ilvl w:val="0"/>
          <w:numId w:val="1"/>
        </w:numPr>
        <w:spacing w:line="240" w:lineRule="auto"/>
        <w:jc w:val="both"/>
      </w:pPr>
      <w:r>
        <w:t>Concern was expressed regarding bills proposing to reduce the age of criminal responsibility from 18 to 16 years, as well as those seeking to increase the maximum duration of custodial sentences for minors from 3 to 10 years;</w:t>
      </w:r>
    </w:p>
    <w:p w14:paraId="0EE28F7E" w14:textId="77777777" w:rsidR="001B4D70" w:rsidRDefault="005D51BF">
      <w:pPr>
        <w:numPr>
          <w:ilvl w:val="0"/>
          <w:numId w:val="1"/>
        </w:numPr>
        <w:spacing w:line="240" w:lineRule="auto"/>
        <w:jc w:val="both"/>
      </w:pPr>
      <w:r>
        <w:t>Reports of institutional violence against adolescents, resulting in the deaths of adolescents in detention;</w:t>
      </w:r>
    </w:p>
    <w:p w14:paraId="24A7816F" w14:textId="77777777" w:rsidR="001B4D70" w:rsidRDefault="005D51BF">
      <w:pPr>
        <w:numPr>
          <w:ilvl w:val="0"/>
          <w:numId w:val="1"/>
        </w:numPr>
        <w:spacing w:line="240" w:lineRule="auto"/>
        <w:jc w:val="both"/>
      </w:pPr>
      <w:r>
        <w:t>Deplorable sanitary conditions and severe overcrowding in many juvenile justice facilities;</w:t>
      </w:r>
    </w:p>
    <w:p w14:paraId="491D3CB1" w14:textId="77777777" w:rsidR="001B4D70" w:rsidRDefault="005D51BF">
      <w:pPr>
        <w:numPr>
          <w:ilvl w:val="0"/>
          <w:numId w:val="1"/>
        </w:numPr>
        <w:spacing w:line="240" w:lineRule="auto"/>
        <w:jc w:val="both"/>
      </w:pPr>
      <w:r>
        <w:t>Cases of adolescents deprived of liberty alongside adults, as well as instances of sexual violence and abuse against children deprived of liberty, especially girls;</w:t>
      </w:r>
    </w:p>
    <w:p w14:paraId="01AE2314" w14:textId="77777777" w:rsidR="001B4D70" w:rsidRDefault="005D51BF">
      <w:pPr>
        <w:numPr>
          <w:ilvl w:val="0"/>
          <w:numId w:val="1"/>
        </w:numPr>
        <w:spacing w:line="240" w:lineRule="auto"/>
        <w:jc w:val="both"/>
      </w:pPr>
      <w:r>
        <w:t>Excessive and prolonged use of pre-trial detention and solitary confinement for adolescents;</w:t>
      </w:r>
    </w:p>
    <w:p w14:paraId="10846267" w14:textId="77777777" w:rsidR="001B4D70" w:rsidRDefault="005D51BF">
      <w:pPr>
        <w:numPr>
          <w:ilvl w:val="0"/>
          <w:numId w:val="1"/>
        </w:numPr>
        <w:spacing w:after="200" w:line="240" w:lineRule="auto"/>
        <w:jc w:val="both"/>
      </w:pPr>
      <w:r>
        <w:t>Insufficient number of juvenile courts and specialized judges to operate effectively within the juvenile justice system.</w:t>
      </w:r>
    </w:p>
    <w:p w14:paraId="41BFBC5F" w14:textId="77777777" w:rsidR="001B4D70" w:rsidRDefault="001B4D70">
      <w:pPr>
        <w:spacing w:after="200" w:line="360" w:lineRule="auto"/>
        <w:jc w:val="both"/>
        <w:rPr>
          <w:rFonts w:ascii="Roboto" w:eastAsia="Roboto" w:hAnsi="Roboto" w:cs="Roboto"/>
          <w:b/>
          <w:bCs/>
          <w:sz w:val="21"/>
          <w:szCs w:val="21"/>
          <w:shd w:val="clear" w:color="auto" w:fill="EFF6FF"/>
        </w:rPr>
      </w:pPr>
    </w:p>
    <w:p w14:paraId="73AA66C5" w14:textId="77777777" w:rsidR="001B4D70" w:rsidRDefault="005D51BF">
      <w:pPr>
        <w:spacing w:after="200" w:line="360" w:lineRule="auto"/>
        <w:ind w:firstLine="720"/>
        <w:jc w:val="both"/>
      </w:pPr>
      <w:r>
        <w:t>The most recent survey by the National System of Socio-Educational Assistance (SINASE), conducted by the Ministry of Human Rights and Citizenship (MDHC), indicates that in 2024, Brazil recorded a total of 12,506 (twelve thousand five hundred and six) adolescents under restriction and deprivation of liberty. This figure represents an increase of 8.2% compared to 2023, when 11,556 (eleven thousand five hundred and fifty-six) were recorded. Regarding the demographic profile, the juvenile system is composed pre</w:t>
      </w:r>
      <w:r>
        <w:t>dominantly of cisgender boys (93.1%), followed by cisgender girls (4%), transgender boys (0.3%), and transgender girls (0.2%). In terms of race, the data indicate a majority of Black adolescents (72.9%), followed by White adolescents (23.8%).</w:t>
      </w:r>
      <w:r>
        <w:rPr>
          <w:vertAlign w:val="superscript"/>
        </w:rPr>
        <w:footnoteReference w:id="25"/>
      </w:r>
    </w:p>
    <w:p w14:paraId="6B3580BC" w14:textId="77777777" w:rsidR="001B4D70" w:rsidRDefault="005D51BF">
      <w:pPr>
        <w:spacing w:after="200" w:line="360" w:lineRule="auto"/>
        <w:ind w:firstLine="720"/>
        <w:jc w:val="both"/>
      </w:pPr>
      <w:r>
        <w:t>According to the same survey, regarding the nature of the socio-educational measures applied to youth in conflict with the law, the majority of adolescents in the juvenile accountability system are subject to full deprivation of liberty (internment – 8,584 adolescents, representing 68.6% of the total), whereas a minority are under partial restriction of liberty (semi-liberty – 1,240 adolescents, representing 9.9%). It is important to highlight the lack of access to relevant public information and the absenc</w:t>
      </w:r>
      <w:r>
        <w:t xml:space="preserve">e of transparency regarding data on the </w:t>
      </w:r>
      <w:r>
        <w:lastRenderedPageBreak/>
        <w:t>application of open measures, that is, measures served in freedom (assisted liberty and community service).</w:t>
      </w:r>
    </w:p>
    <w:p w14:paraId="7E989F29" w14:textId="77777777" w:rsidR="001B4D70" w:rsidRDefault="005D51BF">
      <w:pPr>
        <w:spacing w:after="200" w:line="360" w:lineRule="auto"/>
        <w:ind w:firstLine="720"/>
        <w:jc w:val="both"/>
      </w:pPr>
      <w:r>
        <w:t>The Socio-Educational Inspection Panel, conducted by the National Justice Council (CNJ), indicates that there are 419 Socio-Educational Units in Brazil. Of this total, it was recorded that only 14 units had a protocol or regulation on the use of force, according to the most recent data from the 6th two-month period of 2025.</w:t>
      </w:r>
      <w:r>
        <w:rPr>
          <w:vertAlign w:val="superscript"/>
        </w:rPr>
        <w:footnoteReference w:id="26"/>
      </w:r>
    </w:p>
    <w:p w14:paraId="401ED344" w14:textId="77777777" w:rsidR="001B4D70" w:rsidRDefault="005D51BF">
      <w:pPr>
        <w:spacing w:after="200" w:line="360" w:lineRule="auto"/>
        <w:ind w:firstLine="720"/>
        <w:jc w:val="both"/>
      </w:pPr>
      <w:r>
        <w:t>It should be noted that Law No. 8,069 of 1990 (the Statute of the Child and Adolescent), CNADA Resolution No. 119 of 2006 (National Council for the Rights of Children and Adolescents), and Law No. 12,594 of 2012 (SINASE) all establish that Socio-Educational Units serving adolescents must have adequate infrastructure and sanitary conditions, and must not resemble facilities of the adult prison system. However, in Brazil, there are still numerous units that fail to meet this standard</w:t>
      </w:r>
      <w:r>
        <w:rPr>
          <w:vertAlign w:val="superscript"/>
        </w:rPr>
        <w:footnoteReference w:id="27"/>
      </w:r>
      <w:r>
        <w:t>. For example, in the state of Ceará, considering the 18 (eighteen) units designated for the implementation of socio-educational measures, only 4 (four) units comply with the regulatory guidelines, with the facilities of these units having been established in 1976.</w:t>
      </w:r>
      <w:r>
        <w:rPr>
          <w:vertAlign w:val="superscript"/>
        </w:rPr>
        <w:footnoteReference w:id="28"/>
      </w:r>
    </w:p>
    <w:p w14:paraId="799BBCC7" w14:textId="77777777" w:rsidR="001B4D70" w:rsidRDefault="005D51BF">
      <w:pPr>
        <w:spacing w:after="200" w:line="360" w:lineRule="auto"/>
        <w:ind w:firstLine="720"/>
        <w:jc w:val="both"/>
      </w:pPr>
      <w:r>
        <w:t>Brazilian socio-educational units for adolescents serving internment measures exhibit serious human rights violations. Among the most recurrent problems are the extended periods during which youth remain confined to cells without access to educational or recreational activities, undermining the socio-educational purpose of the measures and reinforcing a purely punitive logic. This is compounded by frequent reports of lack of access to education and healthcare, in clear contravention of the provisions of Law</w:t>
      </w:r>
      <w:r>
        <w:t xml:space="preserve"> No. 12,594/2012, which establishes the National Socio-Educational Service System (SINASE) and mandates comprehensive and educational care as the central axis of measure implementation. Another major challenge has been the operation of the socio-educational placement regulation center in certain states.</w:t>
      </w:r>
      <w:r>
        <w:rPr>
          <w:vertAlign w:val="superscript"/>
        </w:rPr>
        <w:footnoteReference w:id="29"/>
      </w:r>
    </w:p>
    <w:p w14:paraId="66A61FC4" w14:textId="77777777" w:rsidR="001B4D70" w:rsidRDefault="005D51BF">
      <w:pPr>
        <w:spacing w:after="200" w:line="360" w:lineRule="auto"/>
        <w:ind w:firstLine="720"/>
        <w:jc w:val="both"/>
      </w:pPr>
      <w:r>
        <w:lastRenderedPageBreak/>
        <w:t>Another recurrent aspect in official documents is the finding of institutional violence and practices that constitute torture, including physical assaults, the abusive use of mechanical and/or chemical restraints, and prolonged isolation, situations observed by the National Mechanism for the Prevention and Combat of Torture (MNPCT) during inspections carried out in the units</w:t>
      </w:r>
      <w:r>
        <w:rPr>
          <w:vertAlign w:val="superscript"/>
        </w:rPr>
        <w:footnoteReference w:id="30"/>
      </w:r>
      <w:r>
        <w:t>, as well as other national bodies and entities, such as the inspections conducted in 2025 in the state of Ceará by the Socio-Education Coalition and the National Human Rights Council (CNDH)</w:t>
      </w:r>
      <w:r>
        <w:rPr>
          <w:vertAlign w:val="superscript"/>
        </w:rPr>
        <w:footnoteReference w:id="31"/>
      </w:r>
      <w:r>
        <w:t xml:space="preserve">. </w:t>
      </w:r>
    </w:p>
    <w:p w14:paraId="0E1D9D9D" w14:textId="77777777" w:rsidR="001B4D70" w:rsidRDefault="005D51BF">
      <w:pPr>
        <w:spacing w:after="200" w:line="360" w:lineRule="auto"/>
        <w:ind w:firstLine="720"/>
        <w:jc w:val="both"/>
      </w:pPr>
      <w:r>
        <w:t>The research “Lives by a Thread”, conducted by the Committee for the Prevention and Combat of Violence of the Legislative Assembly of the State of Ceará (ALECE), indicates that 74.2% of the adolescents surveyed experienced some form of violence during the implementation of socio-educational measures involving deprivation of liberty, highlighting that torture and ill-treatment remain prevalent practices within the units.</w:t>
      </w:r>
      <w:r>
        <w:rPr>
          <w:vertAlign w:val="superscript"/>
        </w:rPr>
        <w:footnoteReference w:id="32"/>
      </w:r>
      <w:r>
        <w:t xml:space="preserve"> </w:t>
      </w:r>
    </w:p>
    <w:p w14:paraId="213449BB" w14:textId="77777777" w:rsidR="001B4D70" w:rsidRDefault="005D51BF">
      <w:pPr>
        <w:spacing w:after="200" w:line="360" w:lineRule="auto"/>
        <w:ind w:firstLine="720"/>
        <w:jc w:val="both"/>
      </w:pPr>
      <w:r>
        <w:t>Beyond the practices of torture and physical abuse, it is important to highlight the practices that cause and exacerbate mental health conditions in deprivation of liberty units. According to the Monitoring of the Socio-Educational System of Ceará, published by the Center for the Defense of Children and Adolescents (CEDECA Ceará), the main factors contributing to mental health issues, according to the adolescents themselves, relate to: the very situation of deprivation of liberty; isolation as a disciplinar</w:t>
      </w:r>
      <w:r>
        <w:t>y measure; judgment or criticism by socio-educational staff; instances of violence within the center perpetrated by other adolescents and/or staff; and general insecurity within the unit. The environment is a significant social determinant in the context of mental health. The state of deprivation of liberty itself, the unsanitary conditions, poor ventilation, isolation, and constant physical and psychological violence are factors that cause and intensify suffering and mental disorders. As a response to ment</w:t>
      </w:r>
      <w:r>
        <w:t>al health conditions, an excessive use of psychiatric medications among adolescents has been observed. The research further indicates that 94% of socio-educational centers in Ceará reported adolescents using such medications.</w:t>
      </w:r>
      <w:r>
        <w:rPr>
          <w:vertAlign w:val="superscript"/>
        </w:rPr>
        <w:footnoteReference w:id="33"/>
      </w:r>
    </w:p>
    <w:p w14:paraId="6DFD5F86" w14:textId="77777777" w:rsidR="001B4D70" w:rsidRDefault="005D51BF">
      <w:pPr>
        <w:spacing w:after="200" w:line="360" w:lineRule="auto"/>
        <w:ind w:firstLine="720"/>
        <w:jc w:val="both"/>
      </w:pPr>
      <w:r>
        <w:t xml:space="preserve">These forms of violence specifically affect cisgender girls and transgender adolescents. For example, in Ceará, the socio-educational unit designed exclusively for this </w:t>
      </w:r>
      <w:r>
        <w:lastRenderedPageBreak/>
        <w:t>population repeatedly presents indications of physical torture, caused by the improper use of handcuffs on adolescent girls; a worsening of mental health conditions, with a widespread scenario of self-harm and chemical restraint through excessive use of psychotropic medications; and cases of sexual violence</w:t>
      </w:r>
      <w:r>
        <w:rPr>
          <w:vertAlign w:val="superscript"/>
        </w:rPr>
        <w:footnoteReference w:id="34"/>
      </w:r>
      <w:r>
        <w:t>.</w:t>
      </w:r>
    </w:p>
    <w:p w14:paraId="2C469AA8" w14:textId="77777777" w:rsidR="001B4D70" w:rsidRDefault="005D51BF">
      <w:pPr>
        <w:spacing w:after="200" w:line="360" w:lineRule="auto"/>
        <w:ind w:firstLine="720"/>
        <w:jc w:val="both"/>
      </w:pPr>
      <w:r>
        <w:t>Desde 2015, o Estado brasileiro responde às medidas cautelares aplicadas pela Comissão Interamericana de Direitos Humanos (CIDH) diante do contexto de graves violações de direitos humanos no Sistema Socioeducativo do Ceará</w:t>
      </w:r>
      <w:r>
        <w:rPr>
          <w:vertAlign w:val="superscript"/>
        </w:rPr>
        <w:footnoteReference w:id="35"/>
      </w:r>
      <w:r>
        <w:t>. Even after ten years, the State has not fully complied with all the measures imposed. The context of serious violations, precarious infrastructure in many socio-educational units, lack of access to formal education, and the increase in mental health issues reflects that there is still much progress to be made to ensure the rights of these individuals.</w:t>
      </w:r>
    </w:p>
    <w:p w14:paraId="2BA7E5FD" w14:textId="77777777" w:rsidR="001B4D70" w:rsidRDefault="005D51BF">
      <w:pPr>
        <w:spacing w:after="200" w:line="360" w:lineRule="auto"/>
        <w:ind w:firstLine="720"/>
        <w:jc w:val="both"/>
      </w:pPr>
      <w:r>
        <w:t>Despite this scenario, in recent years, several bills under consideration in the National Congress have been identified by experts and human rights organizations as threats to the pedagogical and protective character of the Brazilian socio-educational system. Among these are proposals for the privatization of the system, others seeking to extend the maximum duration of detention for adolescents who have committed serious offenses, thereby bringing the socio-educational regime closer to the logic of the adul</w:t>
      </w:r>
      <w:r>
        <w:t>t prison system, as well as bills aiming to lower the age of criminal responsibility, which would transfer adolescents to the ordinary prison system.</w:t>
      </w:r>
      <w:r>
        <w:rPr>
          <w:vertAlign w:val="superscript"/>
        </w:rPr>
        <w:footnoteReference w:id="36"/>
      </w:r>
    </w:p>
    <w:p w14:paraId="632EF546" w14:textId="77777777" w:rsidR="001B4D70" w:rsidRDefault="005D51BF">
      <w:pPr>
        <w:spacing w:after="200" w:line="360" w:lineRule="auto"/>
        <w:ind w:firstLine="720"/>
        <w:jc w:val="both"/>
      </w:pPr>
      <w:r>
        <w:t>In 2025, a serious attack on the rights of adolescents in conflict with the law occurred, with the processing of Bill No. 1,473 of 2025 in the National Congress, presented by Senator Fabiano Contarato (Workers’ Party), which seeks amendments to the Child and Adolescent Statute (ECA) – Law No. 8,069 of 1990 – and to the Brazilian Penal Code</w:t>
      </w:r>
      <w:r>
        <w:rPr>
          <w:vertAlign w:val="superscript"/>
        </w:rPr>
        <w:footnoteReference w:id="37"/>
      </w:r>
      <w:r>
        <w:t>.</w:t>
      </w:r>
    </w:p>
    <w:p w14:paraId="1B845A85" w14:textId="77777777" w:rsidR="001B4D70" w:rsidRDefault="005D51BF">
      <w:pPr>
        <w:spacing w:before="240" w:after="240" w:line="360" w:lineRule="auto"/>
        <w:ind w:firstLine="700"/>
        <w:jc w:val="both"/>
      </w:pPr>
      <w:r>
        <w:lastRenderedPageBreak/>
        <w:t>The Bill amends Article 121 of the ECA, removing the reference to the principle of brevity among the guidelines that govern the application of the measure of detention. It now provides that the continuation of detention, without a predetermined term, shall be reviewed annually, rather than at a maximum interval of six months. The three-year limit is excepted in cases of offenses committed with violence or serious threat, establishing a maximum period of up to five (5) years. In cases of intentional offenses</w:t>
      </w:r>
      <w:r>
        <w:t xml:space="preserve"> against sexual dignity or that result in death, the term shall be applied in double. In this sense, Bill 1,473 creates the possibility of detentions that, in practice, may encompass the entirety of adolescence. An adolescent detained at the age of twelve could remain confined until the age of eighteen, experiencing the full period of adolescence in a detention regime.</w:t>
      </w:r>
    </w:p>
    <w:p w14:paraId="3F915CDC" w14:textId="77777777" w:rsidR="001B4D70" w:rsidRDefault="005D51BF">
      <w:pPr>
        <w:spacing w:before="240" w:after="240" w:line="360" w:lineRule="auto"/>
        <w:ind w:firstLine="700"/>
        <w:jc w:val="both"/>
      </w:pPr>
      <w:r>
        <w:t>It is understood that detention must constitute a measure restricting liberty, subject to the principles of brevity, exceptionality, and respect for the special condition of the person in development. Article 35 of the National System of Socio-Educational Assistance (SINASE, Law No. 12,594 of 2012) reaffirms these same principles, adding that of minimal intervention.</w:t>
      </w:r>
    </w:p>
    <w:p w14:paraId="46A434C5" w14:textId="77777777" w:rsidR="001B4D70" w:rsidRDefault="005D51BF">
      <w:pPr>
        <w:spacing w:before="240" w:after="240" w:line="360" w:lineRule="auto"/>
        <w:ind w:firstLine="700"/>
        <w:jc w:val="both"/>
      </w:pPr>
      <w:r>
        <w:t>The principle of brevity is supported by international instruments such as the United Nations Standard Minimum Rules for the Administration of Juvenile Justice (Beijing Rules) and the United Nations Guidelines for the Prevention of Juvenile Delinquency (Riyadh Guidelines). These instruments establish that deprivation of liberty should be a measure of last resort and for the shortest possible period. By weakening or eliminating the principle of brevity, the bill violates the international obligations assumed</w:t>
      </w:r>
      <w:r>
        <w:t xml:space="preserve"> by the State and promotes a punitive juvenile justice model, diverging from the paradigm of comprehensive protection.</w:t>
      </w:r>
    </w:p>
    <w:p w14:paraId="24894308" w14:textId="77777777" w:rsidR="001B4D70" w:rsidRDefault="005D51BF">
      <w:pPr>
        <w:spacing w:after="200" w:line="360" w:lineRule="auto"/>
        <w:ind w:firstLine="720"/>
        <w:jc w:val="both"/>
      </w:pPr>
      <w:r>
        <w:t>Such initiatives represent a significant regression, as they disregard the principles of comprehensive protection and absolute priority enshrined in the Brazilian Child and Adolescent Statute (ECA) and the Federal Constitution. They further weaken the socio-educational function of the system and increase the risks of social exclusion and juvenile recidivism.</w:t>
      </w:r>
      <w:r>
        <w:rPr>
          <w:vertAlign w:val="superscript"/>
        </w:rPr>
        <w:footnoteReference w:id="38"/>
      </w:r>
    </w:p>
    <w:p w14:paraId="40DD5F1A" w14:textId="77777777" w:rsidR="001B4D70" w:rsidRDefault="005D51BF">
      <w:pPr>
        <w:spacing w:after="200" w:line="360" w:lineRule="auto"/>
        <w:ind w:left="2267"/>
        <w:jc w:val="both"/>
      </w:pPr>
      <w:r>
        <w:t xml:space="preserve">10.1 What protocols and procedures for the prevention and combat of torture are currently in place and implemented by public authorities and units serving adolescents within the Brazilian Juvenile Justice System? Is there a transparency portal or public access to information regarding the registration of data on torture and ill-treatment in </w:t>
      </w:r>
      <w:r>
        <w:lastRenderedPageBreak/>
        <w:t>deprivation of liberty units, as well as the corresponding investigation and accountability processes?</w:t>
      </w:r>
    </w:p>
    <w:p w14:paraId="07963015" w14:textId="77777777" w:rsidR="001B4D70" w:rsidRDefault="005D51BF">
      <w:pPr>
        <w:spacing w:after="200" w:line="360" w:lineRule="auto"/>
        <w:ind w:left="2267"/>
        <w:jc w:val="both"/>
      </w:pPr>
      <w:r>
        <w:t>10.2 Does the Brazilian State have a plan, program, or action aimed at the closure or regularization of deprivation of liberty units for adolescents that operate irregularly, in violation of or failing to comply with the standards established by international treaties and applicable national legislation?</w:t>
      </w:r>
    </w:p>
    <w:p w14:paraId="27BF3B9F" w14:textId="77777777" w:rsidR="001B4D70" w:rsidRDefault="005D51BF">
      <w:pPr>
        <w:spacing w:after="200" w:line="360" w:lineRule="auto"/>
        <w:ind w:left="2267"/>
        <w:jc w:val="both"/>
      </w:pPr>
      <w:r>
        <w:t>10.3 Are adolescent persons who are pregnant, breastfeeding, mothers, or responsible for a child up to 12 years of age being granted the right to have their deprivation of liberty measures re-evaluated for the purpose of possible substitution with a non-custodial measure, suspension, or remission, as established in Habeas Corpus No. 143,641?</w:t>
      </w:r>
      <w:r>
        <w:rPr>
          <w:vertAlign w:val="superscript"/>
        </w:rPr>
        <w:footnoteReference w:id="39"/>
      </w:r>
    </w:p>
    <w:p w14:paraId="6E5EF9C2" w14:textId="77777777" w:rsidR="001B4D70" w:rsidRDefault="005D51BF">
      <w:pPr>
        <w:spacing w:after="200" w:line="360" w:lineRule="auto"/>
        <w:ind w:left="2267"/>
        <w:jc w:val="both"/>
      </w:pPr>
      <w:r>
        <w:t>10.4 What actions are being implemented by the Brazilian State to ensure compliance with the Resolution of the National Council for the Rights of the Child and Adolescent (CONANDA) No. 233 of 2022, which establishes guidelines and standards for socio-educational care for adolescent girls deprived of liberty within the National System for Socio-Educational Services, taking into account gender and sexuality considerations?</w:t>
      </w:r>
      <w:r>
        <w:rPr>
          <w:vertAlign w:val="superscript"/>
        </w:rPr>
        <w:footnoteReference w:id="40"/>
      </w:r>
    </w:p>
    <w:p w14:paraId="4CA06DC1" w14:textId="77777777" w:rsidR="001B4D70" w:rsidRDefault="005D51BF">
      <w:pPr>
        <w:spacing w:after="200" w:line="360" w:lineRule="auto"/>
        <w:ind w:left="2267"/>
        <w:jc w:val="both"/>
      </w:pPr>
      <w:r>
        <w:t>10.5 What actions, programs, or projects are being implemented to ensure the enforcement of Resolution No. 348 of 2020 of the National Council of Justice (CNJ), aimed at promoting human rights and addressing gender-based violence, specifically regarding the care of LGBTQIAPN+ adolescents deprived of liberty within the Brazilian Juvenile Justice System?</w:t>
      </w:r>
      <w:r>
        <w:rPr>
          <w:vertAlign w:val="superscript"/>
        </w:rPr>
        <w:footnoteReference w:id="41"/>
      </w:r>
    </w:p>
    <w:p w14:paraId="419F5CB4" w14:textId="77777777" w:rsidR="001B4D70" w:rsidRDefault="005D51BF">
      <w:pPr>
        <w:spacing w:after="200" w:line="360" w:lineRule="auto"/>
        <w:ind w:left="2267"/>
        <w:jc w:val="both"/>
      </w:pPr>
      <w:r>
        <w:t>10.6 Has the Brazilian State ensured the exclusive hiring of female staff for Juvenile Detention Units that serve adolescent girls?</w:t>
      </w:r>
    </w:p>
    <w:p w14:paraId="19B44C32" w14:textId="77777777" w:rsidR="001B4D70" w:rsidRDefault="005D51BF">
      <w:pPr>
        <w:spacing w:after="200" w:line="360" w:lineRule="auto"/>
        <w:ind w:left="2267"/>
        <w:jc w:val="both"/>
      </w:pPr>
      <w:r>
        <w:lastRenderedPageBreak/>
        <w:t>10.7 In recent years, how many cases of deaths in Socio-Educational Units have families of the victims been able to access justice, including measures of State accountability and reparations?</w:t>
      </w:r>
    </w:p>
    <w:p w14:paraId="34DBD5BC" w14:textId="77777777" w:rsidR="001B4D70" w:rsidRDefault="005D51BF">
      <w:pPr>
        <w:spacing w:after="200" w:line="360" w:lineRule="auto"/>
        <w:ind w:left="2267"/>
        <w:jc w:val="both"/>
      </w:pPr>
      <w:r>
        <w:t>10.8 What measures are being implemented to guarantee that adolescents serving socio-educational measures in closed settings have access to, and participation in, compulsory basic education, as well as pedagogical and recreational activities, in accordance with applicable regulations?</w:t>
      </w:r>
    </w:p>
    <w:p w14:paraId="70A35048" w14:textId="77777777" w:rsidR="001B4D70" w:rsidRDefault="005D51BF">
      <w:pPr>
        <w:spacing w:after="200" w:line="360" w:lineRule="auto"/>
        <w:ind w:left="2267"/>
        <w:jc w:val="both"/>
      </w:pPr>
      <w:r>
        <w:t>10.9 How does the Brazilian State ensure that the time of confinement is used to promote educational activities and not merely isolation?</w:t>
      </w:r>
    </w:p>
    <w:p w14:paraId="444BC2D5" w14:textId="77777777" w:rsidR="001B4D70" w:rsidRDefault="005D51BF">
      <w:pPr>
        <w:spacing w:after="200" w:line="360" w:lineRule="auto"/>
        <w:ind w:left="2267"/>
        <w:jc w:val="both"/>
      </w:pPr>
      <w:r>
        <w:t>10.10 Does the State intend to create specific protocols to monitor and promote access to physical and mental health services within socio-educational units, as well as implement suicide prevention programs and actions?</w:t>
      </w:r>
    </w:p>
    <w:p w14:paraId="297E35C7" w14:textId="77777777" w:rsidR="001B4D70" w:rsidRDefault="005D51BF">
      <w:pPr>
        <w:spacing w:after="200" w:line="360" w:lineRule="auto"/>
        <w:ind w:left="2267"/>
        <w:jc w:val="both"/>
      </w:pPr>
      <w:r>
        <w:t>10.11 What mechanisms are being adopted to prevent torture, ill-treatment, and the abusive use of mechanical or chemical restraints, or prolonged isolation?</w:t>
      </w:r>
    </w:p>
    <w:p w14:paraId="69E1E94F" w14:textId="77777777" w:rsidR="001B4D70" w:rsidRDefault="005D51BF">
      <w:pPr>
        <w:spacing w:after="200" w:line="360" w:lineRule="auto"/>
        <w:ind w:left="2267"/>
        <w:jc w:val="both"/>
      </w:pPr>
      <w:r>
        <w:t>10.12 How does the Brazilian State assess the impact of legislative proposals aiming to extend the maximum period of adolescent detention, bringing the socio-educational regime closer to the adult prison system?</w:t>
      </w:r>
    </w:p>
    <w:p w14:paraId="1AC0699F" w14:textId="77777777" w:rsidR="001B4D70" w:rsidRDefault="005D51BF">
      <w:pPr>
        <w:spacing w:after="200" w:line="360" w:lineRule="auto"/>
        <w:ind w:left="2267"/>
        <w:jc w:val="both"/>
      </w:pPr>
      <w:r>
        <w:t>10.13 Does the Brazilian State consider that lowering the age of criminal responsibility aligns with the principles of full protection and absolute priority established in the Statute of the Child and Adolescent (ECA)?</w:t>
      </w:r>
    </w:p>
    <w:p w14:paraId="62A0BE25" w14:textId="77777777" w:rsidR="001B4D70" w:rsidRDefault="005D51BF">
      <w:pPr>
        <w:spacing w:after="200" w:line="360" w:lineRule="auto"/>
        <w:ind w:left="2267"/>
        <w:jc w:val="both"/>
      </w:pPr>
      <w:r>
        <w:t>10.14 What measures are being taken to ensure that legislative proposals do not further undermine the pedagogical and protective character of the socio-educational system?</w:t>
      </w:r>
    </w:p>
    <w:p w14:paraId="4BAB72EC" w14:textId="77777777" w:rsidR="001B4D70" w:rsidRDefault="005D51BF">
      <w:pPr>
        <w:spacing w:after="200" w:line="360" w:lineRule="auto"/>
        <w:ind w:left="2267"/>
        <w:jc w:val="both"/>
      </w:pPr>
      <w:r>
        <w:t>10.15 Are there public policies in place to strengthen alternatives to incarceration, reducing the risks of social exclusion and juvenile recidivism?</w:t>
      </w:r>
    </w:p>
    <w:p w14:paraId="0B64ADA4" w14:textId="77777777" w:rsidR="001B4D70" w:rsidRDefault="005D51BF">
      <w:pPr>
        <w:spacing w:after="200" w:line="360" w:lineRule="auto"/>
        <w:ind w:left="2267"/>
        <w:jc w:val="both"/>
      </w:pPr>
      <w:r>
        <w:lastRenderedPageBreak/>
        <w:t>10.16 How does the Brazilian State guarantee dignified conditions regarding infrastructure, health, nutrition, education, and family/community interaction in socio-educational units, in light of recurrent reports of overcrowding and precarious conditions?</w:t>
      </w:r>
    </w:p>
    <w:p w14:paraId="30662141" w14:textId="77777777" w:rsidR="001B4D70" w:rsidRDefault="005D51BF">
      <w:pPr>
        <w:spacing w:after="200" w:line="360" w:lineRule="auto"/>
        <w:ind w:left="2267"/>
        <w:jc w:val="both"/>
      </w:pPr>
      <w:r>
        <w:t>10.17 How does the State ensure comprehensive attention to the mental health of adolescents serving socio-educational measures, avoiding excessive medicalization or punitive use of psychotropic drugs?</w:t>
      </w:r>
    </w:p>
    <w:p w14:paraId="591688B0" w14:textId="77777777" w:rsidR="001B4D70" w:rsidRDefault="005D51BF">
      <w:pPr>
        <w:spacing w:after="200" w:line="360" w:lineRule="auto"/>
        <w:ind w:left="2267"/>
        <w:jc w:val="both"/>
      </w:pPr>
      <w:r>
        <w:t>10.18 How does the Brazilian State intend to implement reporting mechanisms for adolescents and their families within the Socio-Educational System, such as channels for investigating suspicions, complaints, and/or situations of institutional violence against adolescents?</w:t>
      </w:r>
    </w:p>
    <w:p w14:paraId="5086AC1E" w14:textId="77777777" w:rsidR="001B4D70" w:rsidRDefault="005D51BF">
      <w:pPr>
        <w:spacing w:after="200" w:line="360" w:lineRule="auto"/>
        <w:ind w:left="2267"/>
        <w:jc w:val="both"/>
      </w:pPr>
      <w:r>
        <w:t>10.19 Do the authorities responsible for adolescents in detention comply with guidelines and regulations regarding the use of force, including police operations and the use of restraints within the units?</w:t>
      </w:r>
    </w:p>
    <w:p w14:paraId="5985CF1E" w14:textId="77777777" w:rsidR="001B4D70" w:rsidRDefault="001B4D70">
      <w:pPr>
        <w:spacing w:after="200" w:line="360" w:lineRule="auto"/>
        <w:ind w:left="2267"/>
        <w:jc w:val="both"/>
      </w:pPr>
    </w:p>
    <w:p w14:paraId="7D679207" w14:textId="77777777" w:rsidR="001B4D70" w:rsidRDefault="005D51BF">
      <w:pPr>
        <w:spacing w:after="200" w:line="360" w:lineRule="auto"/>
        <w:jc w:val="both"/>
        <w:rPr>
          <w:b/>
          <w:bCs/>
        </w:rPr>
      </w:pPr>
      <w:r>
        <w:rPr>
          <w:b/>
          <w:bCs/>
        </w:rPr>
        <w:t>11. Application of Disciplinary Measures to Persons Deprived of Liberty</w:t>
      </w:r>
    </w:p>
    <w:p w14:paraId="095A1879" w14:textId="77777777" w:rsidR="001B4D70" w:rsidRDefault="005D51BF">
      <w:pPr>
        <w:spacing w:after="200" w:line="360" w:lineRule="auto"/>
        <w:ind w:firstLine="720"/>
        <w:jc w:val="both"/>
      </w:pPr>
      <w:r>
        <w:t>Reports from the National Mechanism for the Prevention and Combat of Torture (MNPCT) indicate that disciplinary measures applied within the Brazilian prison system are frequently abusive and violate human rights. Solitary confinement emerges as one of the primary forms of punishment, often imposed for durations far exceeding internationally recommended limits, constituting cruel, inhuman, and degrading treatment.</w:t>
      </w:r>
      <w:r>
        <w:rPr>
          <w:vertAlign w:val="superscript"/>
        </w:rPr>
        <w:footnoteReference w:id="42"/>
      </w:r>
      <w:r>
        <w:t xml:space="preserve"> Additionally, there is widespread misuse of less-lethal weapons as a form of punishment, the implementation of collective sanctions such as suspension of visits, restriction of outdoor exercise, and confiscation of personal belongings—practices explicitly prohibited under international standards.</w:t>
      </w:r>
      <w:r>
        <w:rPr>
          <w:vertAlign w:val="superscript"/>
        </w:rPr>
        <w:footnoteReference w:id="43"/>
      </w:r>
      <w:r>
        <w:t xml:space="preserve"> Family members have also reported the arbitrary and disproportionate application of the “serious infraction” sanction, provided for under the Brazilian Law of Penal Executions, without legal justification or due process</w:t>
      </w:r>
      <w:r>
        <w:rPr>
          <w:vertAlign w:val="superscript"/>
        </w:rPr>
        <w:footnoteReference w:id="44"/>
      </w:r>
      <w:r>
        <w:t>.</w:t>
      </w:r>
    </w:p>
    <w:p w14:paraId="60698C3B" w14:textId="77777777" w:rsidR="001B4D70" w:rsidRDefault="005D51BF">
      <w:pPr>
        <w:spacing w:after="200" w:line="360" w:lineRule="auto"/>
        <w:ind w:firstLine="720"/>
        <w:jc w:val="both"/>
      </w:pPr>
      <w:r>
        <w:lastRenderedPageBreak/>
        <w:t>Furthermore, there is no effective administrative legal representation provided by attorneys from the respective Secretariats for Penitentiary Administration, due to insufficient staffing levels stemming from limited recruitment and the lack of competitive public hiring processes. This situation further exacerbates the lack of legal protection, as the Public Defender’s Office, given its structural limitations in relation to the size of the incarcerated population, is unable to ensure adequate legal assistan</w:t>
      </w:r>
      <w:r>
        <w:t>ce</w:t>
      </w:r>
      <w:r>
        <w:rPr>
          <w:vertAlign w:val="superscript"/>
        </w:rPr>
        <w:footnoteReference w:id="45"/>
      </w:r>
      <w:r>
        <w:t>. The Internal Investigative Commission and the Administrative Disciplinary Proceedings (PAD) are likewise ineffective and render partial decisions, in violation of the principle of full due process and the right to a full defense.</w:t>
      </w:r>
      <w:r>
        <w:rPr>
          <w:vertAlign w:val="superscript"/>
        </w:rPr>
        <w:footnoteReference w:id="46"/>
      </w:r>
      <w:r>
        <w:t xml:space="preserve"> The reports further indicate that many disciplinary measures are not reported to the Judiciary or to the Public Prosecutor’s Office, which undermines external oversight and perpetuates abuses.</w:t>
      </w:r>
      <w:r>
        <w:rPr>
          <w:vertAlign w:val="superscript"/>
        </w:rPr>
        <w:footnoteReference w:id="47"/>
      </w:r>
      <w:r>
        <w:t xml:space="preserve"> In summary, the MNPCT demonstrates that Brazil’s prison disciplinary system operates in non-compliance with international standards, reinforcing a repressive logic and generating severe psychological and social impacts on the incarcerated population.</w:t>
      </w:r>
    </w:p>
    <w:p w14:paraId="4C35AF11" w14:textId="77777777" w:rsidR="001B4D70" w:rsidRDefault="005D51BF">
      <w:pPr>
        <w:spacing w:after="200" w:line="360" w:lineRule="auto"/>
        <w:ind w:left="2267"/>
        <w:jc w:val="both"/>
      </w:pPr>
      <w:r>
        <w:t>11.1 How does the Brazilian State regulate and oversee the use of less-lethal weapons within prison units, in order to prevent their use as a form of punishment?</w:t>
      </w:r>
    </w:p>
    <w:p w14:paraId="4289EDC7" w14:textId="77777777" w:rsidR="001B4D70" w:rsidRDefault="005D51BF">
      <w:pPr>
        <w:spacing w:after="200" w:line="360" w:lineRule="auto"/>
        <w:ind w:left="2267"/>
        <w:jc w:val="both"/>
      </w:pPr>
      <w:r>
        <w:t>11.2 How will the State ensure that prohibited practices—such as collective punishments (suspension of visits, restriction of outdoor time, and confiscation of personal belongings)—are definitively eliminated from the prison system?</w:t>
      </w:r>
    </w:p>
    <w:p w14:paraId="4073B386" w14:textId="77777777" w:rsidR="001B4D70" w:rsidRDefault="005D51BF">
      <w:pPr>
        <w:spacing w:after="200" w:line="360" w:lineRule="auto"/>
        <w:ind w:left="2267"/>
        <w:jc w:val="both"/>
      </w:pPr>
      <w:r>
        <w:t>11.3 What measures are being taken to increase the number of attorneys within the Secretariats for Penitentiary Administration and to strengthen the Public Defender’s Office, thereby ensuring adequate legal assistance for the incarcerated population?</w:t>
      </w:r>
    </w:p>
    <w:p w14:paraId="31BAF96B" w14:textId="77777777" w:rsidR="001B4D70" w:rsidRDefault="005D51BF">
      <w:pPr>
        <w:spacing w:after="200" w:line="360" w:lineRule="auto"/>
        <w:ind w:left="2267"/>
        <w:jc w:val="both"/>
      </w:pPr>
      <w:r>
        <w:t>11.4 Does the Brazilian State envisage reforming Administrative Disciplinary Proceedings (PAD) to ensure impartiality and full respect for the right to a full defense and due process?</w:t>
      </w:r>
    </w:p>
    <w:p w14:paraId="6CFF3A43" w14:textId="77777777" w:rsidR="001B4D70" w:rsidRDefault="005D51BF">
      <w:pPr>
        <w:spacing w:after="200" w:line="360" w:lineRule="auto"/>
        <w:ind w:left="2267"/>
        <w:jc w:val="both"/>
      </w:pPr>
      <w:r>
        <w:lastRenderedPageBreak/>
        <w:t>11.5 What protocols are being implemented to ensure that all disciplinary measures are reported to the Judiciary and to the Public Prosecutor’s Office, thereby strengthening external oversight?</w:t>
      </w:r>
    </w:p>
    <w:p w14:paraId="166B059E" w14:textId="77777777" w:rsidR="001B4D70" w:rsidRDefault="005D51BF">
      <w:pPr>
        <w:spacing w:after="200" w:line="360" w:lineRule="auto"/>
        <w:ind w:left="2267"/>
        <w:jc w:val="both"/>
      </w:pPr>
      <w:r>
        <w:t>11.6 How has the Brazilian State monitored the imposition of sanctions for “serious offences” within the prison system? Are there protocols to standardize the conduct classified as serious offences and to ensure their adjudication by the Judiciary? If so, please specify.</w:t>
      </w:r>
    </w:p>
    <w:p w14:paraId="22C339D2" w14:textId="77777777" w:rsidR="001B4D70" w:rsidRDefault="001B4D70">
      <w:pPr>
        <w:spacing w:after="200" w:line="360" w:lineRule="auto"/>
        <w:ind w:left="2267"/>
        <w:jc w:val="both"/>
      </w:pPr>
    </w:p>
    <w:p w14:paraId="368DE257" w14:textId="77777777" w:rsidR="001B4D70" w:rsidRDefault="005D51BF">
      <w:pPr>
        <w:spacing w:after="200" w:line="360" w:lineRule="auto"/>
        <w:jc w:val="both"/>
      </w:pPr>
      <w:r>
        <w:rPr>
          <w:b/>
          <w:bCs/>
        </w:rPr>
        <w:t>12. Deaths in Deprivation of Liberty</w:t>
      </w:r>
    </w:p>
    <w:p w14:paraId="7C30EE28" w14:textId="77777777" w:rsidR="001B4D70" w:rsidRDefault="005D51BF">
      <w:pPr>
        <w:spacing w:after="200" w:line="360" w:lineRule="auto"/>
        <w:ind w:firstLine="720"/>
        <w:jc w:val="both"/>
      </w:pPr>
      <w:r>
        <w:t>The Brazilian prison system reflects a context of illness and death that extends beyond prison walls, revealing serious failures in the protection of human dignity. In addition to structural violence, the absence of accurate information and of State accountability regarding these deaths is particularly notable. One of the most significant findings of the analyses conducted by the National Council of Justice (CNJ) points to ‘common issues and illegalities’ in the management of deaths across different types o</w:t>
      </w:r>
      <w:r>
        <w:t>f custodial facilities and in the extramural monitoring and surveillance mechanisms. Among the recurrent problems are deficiencies in the reporting and registration of deaths, insufficient guarantees of rights for persons in custody and their families, and weaknesses in the production of statistical data on deaths occurring in prison facilities, psychiatric hospitalization institutions, or during temporary releases.</w:t>
      </w:r>
      <w:r>
        <w:rPr>
          <w:vertAlign w:val="superscript"/>
        </w:rPr>
        <w:footnoteReference w:id="48"/>
      </w:r>
      <w:r>
        <w:t xml:space="preserve"> </w:t>
      </w:r>
    </w:p>
    <w:p w14:paraId="7C2D6A77" w14:textId="77777777" w:rsidR="001B4D70" w:rsidRDefault="005D51BF">
      <w:pPr>
        <w:spacing w:after="200" w:line="360" w:lineRule="auto"/>
        <w:ind w:firstLine="720"/>
        <w:jc w:val="both"/>
      </w:pPr>
      <w:r>
        <w:t xml:space="preserve">With regard to the deaths of adolescents while serving socio-educational measures involving restriction or deprivation of liberty, the 2023 National Survey of SINASE recorded 22 adolescent deaths, of which 10 occurred within socio-educational facilities (45.5%) and 12 outside such facilities (54.5%). In terms of gender identity, 19 of the deaths involved cisgender boys and 3 involved cisgender girls. Regarding racial profile, the majority were Black adolescents (18 deaths, corresponding to 81.8%), followed </w:t>
      </w:r>
      <w:r>
        <w:t xml:space="preserve">by White adolescents (4 deaths, corresponding to 18.2%). As to the causes of death, the survey indicates that 59.1% (13 deaths) were due to suicide, including 8 adolescents held under closed institutionalization measures and 5 under semi-open measures; 13.6% (3 deaths) resulted from conflicts with another adolescent; and 27.3% (6 deaths) were due to other causes. This context </w:t>
      </w:r>
      <w:r>
        <w:lastRenderedPageBreak/>
        <w:t xml:space="preserve">demonstrates that Black adolescents—both boys and girls—continue to be the primary targets of lethal violence and the lack of mental </w:t>
      </w:r>
      <w:r>
        <w:t>health care, even while under State custody.</w:t>
      </w:r>
    </w:p>
    <w:p w14:paraId="755A53D5" w14:textId="77777777" w:rsidR="001B4D70" w:rsidRDefault="005D51BF">
      <w:pPr>
        <w:spacing w:after="200" w:line="360" w:lineRule="auto"/>
        <w:ind w:firstLine="720"/>
        <w:jc w:val="both"/>
      </w:pPr>
      <w:r>
        <w:t>Another relevant concern is the abandonment of adolescents following the completion of socio-educational measures. According to the study ‘Vidas por um fio’ (‘Lives by a Thread’), conducted by the Committee for Combating and Preventing Violence of the Legislative Assembly of the State of Ceará (ALECE)—previously referenced in this document—between 2016 and 2021, 502 young people who had undergone socio-educational measures involving deprivation of liberty in Ceará died, with 83% of them being victims of hom</w:t>
      </w:r>
      <w:r>
        <w:t>icide.</w:t>
      </w:r>
      <w:r>
        <w:rPr>
          <w:vertAlign w:val="superscript"/>
        </w:rPr>
        <w:footnoteReference w:id="49"/>
      </w:r>
      <w:r>
        <w:t>.</w:t>
      </w:r>
    </w:p>
    <w:p w14:paraId="254F1548" w14:textId="77777777" w:rsidR="001B4D70" w:rsidRDefault="005D51BF">
      <w:pPr>
        <w:spacing w:after="200" w:line="360" w:lineRule="auto"/>
        <w:ind w:left="2267"/>
        <w:jc w:val="both"/>
      </w:pPr>
      <w:r>
        <w:t>12.1 What mechanisms has the Brazilian State instituted to ensure accurate, transparent, and publicly available records regarding deaths in custody, including their causes?</w:t>
      </w:r>
    </w:p>
    <w:p w14:paraId="65F02B38" w14:textId="77777777" w:rsidR="001B4D70" w:rsidRDefault="001B4D70">
      <w:pPr>
        <w:spacing w:after="200" w:line="360" w:lineRule="auto"/>
        <w:ind w:left="2267"/>
        <w:jc w:val="both"/>
      </w:pPr>
    </w:p>
    <w:p w14:paraId="49B6E8CC" w14:textId="77777777" w:rsidR="001B4D70" w:rsidRDefault="005D51BF">
      <w:pPr>
        <w:spacing w:after="200" w:line="360" w:lineRule="auto"/>
        <w:ind w:left="2267"/>
        <w:jc w:val="both"/>
      </w:pPr>
      <w:r>
        <w:t>12.2 Are statistical data concerning deaths occurring in prisons, psychiatric hospitals, and during temporary releases systematized and made accessible to society in an easily usable format?</w:t>
      </w:r>
    </w:p>
    <w:p w14:paraId="090DB1B4" w14:textId="77777777" w:rsidR="001B4D70" w:rsidRDefault="005D51BF">
      <w:pPr>
        <w:spacing w:after="200" w:line="360" w:lineRule="auto"/>
        <w:ind w:left="2267"/>
        <w:jc w:val="both"/>
      </w:pPr>
      <w:r>
        <w:t>12.3 Does the Brazilian State carry out continuous monitoring of deaths in custody, ensuring effective oversight and accountability mechanisms?</w:t>
      </w:r>
    </w:p>
    <w:p w14:paraId="6D6706D4" w14:textId="77777777" w:rsidR="001B4D70" w:rsidRDefault="005D51BF">
      <w:pPr>
        <w:spacing w:after="200" w:line="360" w:lineRule="auto"/>
        <w:ind w:left="2267"/>
        <w:jc w:val="both"/>
      </w:pPr>
      <w:r>
        <w:t>12.4 How does the State ensure that families receive clear, immediate, and comprehensive information regarding the deaths of persons deprived of liberty? Is there any institutional follow-up to ensure that families receive adequate guidance on rights and legal procedures related to the death?</w:t>
      </w:r>
    </w:p>
    <w:p w14:paraId="247DD4F3" w14:textId="77777777" w:rsidR="001B4D70" w:rsidRDefault="005D51BF">
      <w:pPr>
        <w:spacing w:after="200" w:line="360" w:lineRule="auto"/>
        <w:ind w:left="2267"/>
        <w:jc w:val="both"/>
      </w:pPr>
      <w:r>
        <w:t>12.5 What protocols have been established to ensure dignity in the handling of bodies and in the exercise of families’ right to mourn, including institutional support for transport or repatriation when necessary?</w:t>
      </w:r>
    </w:p>
    <w:p w14:paraId="0A5F3157" w14:textId="77777777" w:rsidR="001B4D70" w:rsidRDefault="005D51BF">
      <w:pPr>
        <w:spacing w:after="200" w:line="360" w:lineRule="auto"/>
        <w:ind w:left="2267"/>
        <w:jc w:val="both"/>
      </w:pPr>
      <w:r>
        <w:t>12.6 Does the Brazilian State include civil society and human rights organizations in oversight processes and in the monitoring of the management of deaths in custody?</w:t>
      </w:r>
    </w:p>
    <w:p w14:paraId="00F49FE4" w14:textId="77777777" w:rsidR="001B4D70" w:rsidRDefault="005D51BF">
      <w:pPr>
        <w:spacing w:after="200" w:line="360" w:lineRule="auto"/>
        <w:ind w:left="2267"/>
        <w:jc w:val="both"/>
      </w:pPr>
      <w:r>
        <w:lastRenderedPageBreak/>
        <w:t>12.7 Is there systematic transparency and public disclosure of data concerning deaths of persons deprived of liberty in Brazil? According to available official records, what is the socioeconomic, ethnic-racial, andage profile of those individuals?</w:t>
      </w:r>
    </w:p>
    <w:p w14:paraId="43A693AB" w14:textId="77777777" w:rsidR="001B4D70" w:rsidRDefault="005D51BF">
      <w:pPr>
        <w:spacing w:after="200" w:line="360" w:lineRule="auto"/>
        <w:ind w:left="2267"/>
        <w:jc w:val="both"/>
      </w:pPr>
      <w:r>
        <w:t>12.8 What measures will the Brazilian State adopt to reduce the number of deaths of adolescents and young people—predominantly Black youth—who are serving socio-educational measures?</w:t>
      </w:r>
    </w:p>
    <w:p w14:paraId="687BD68B" w14:textId="77777777" w:rsidR="001B4D70" w:rsidRDefault="001B4D70">
      <w:pPr>
        <w:spacing w:after="200" w:line="360" w:lineRule="auto"/>
        <w:ind w:left="2267"/>
        <w:jc w:val="both"/>
      </w:pPr>
    </w:p>
    <w:p w14:paraId="71E28C7A" w14:textId="77777777" w:rsidR="001B4D70" w:rsidRDefault="005D51BF">
      <w:pPr>
        <w:spacing w:after="200" w:line="360" w:lineRule="auto"/>
        <w:jc w:val="both"/>
        <w:rPr>
          <w:b/>
          <w:bCs/>
        </w:rPr>
      </w:pPr>
      <w:r>
        <w:rPr>
          <w:b/>
          <w:bCs/>
        </w:rPr>
        <w:t>13. Therapeutic Communities</w:t>
      </w:r>
    </w:p>
    <w:p w14:paraId="1B341970" w14:textId="77777777" w:rsidR="001B4D70" w:rsidRDefault="005D51BF">
      <w:pPr>
        <w:spacing w:after="200" w:line="360" w:lineRule="auto"/>
        <w:ind w:firstLine="720"/>
        <w:jc w:val="both"/>
      </w:pPr>
      <w:r>
        <w:t>Therapeutic Communities are predominantly private and faith-based institutions that isolate individuals who use alcohol and other drugs, often operating in remote rural areas and, in many cases, receiving public funding</w:t>
      </w:r>
      <w:r>
        <w:rPr>
          <w:vertAlign w:val="superscript"/>
        </w:rPr>
        <w:footnoteReference w:id="50"/>
      </w:r>
      <w:r>
        <w:t>. Their operating model is based on a ‘three-pillar’ approach: strict discipline, the imposition of religious practices, and so-called ‘labour therapy’, which frequently disguises forced, unpaid, and degrading work aimed at maintaining the institution itself. These facilities may be characterized as a hybrid between an asylum and a prison, displaying systematic human rights violations and indications of torture in 100% of the units inspected in 2025 by the National Mechanism for the Prevention and Combat of</w:t>
      </w:r>
      <w:r>
        <w:t xml:space="preserve"> Torture (MNPCT).</w:t>
      </w:r>
      <w:r>
        <w:rPr>
          <w:vertAlign w:val="superscript"/>
        </w:rPr>
        <w:footnoteReference w:id="51"/>
      </w:r>
      <w:r>
        <w:t xml:space="preserve"> The body identified practices such as physical punishments, beatings, and humiliation; the use of chemical restraint and the administration of medication by individuals without technical training (including other residents or volunteers); and so-called ‘rescue’ practices that amount to kidnapping and unlawful deprivation of liberty, whereby individuals are removed from the streets or from their homes without consent.</w:t>
      </w:r>
    </w:p>
    <w:p w14:paraId="38C08D91" w14:textId="77777777" w:rsidR="001B4D70" w:rsidRDefault="005D51BF">
      <w:pPr>
        <w:spacing w:after="200" w:line="360" w:lineRule="auto"/>
        <w:ind w:firstLine="720"/>
        <w:jc w:val="both"/>
      </w:pPr>
      <w:r>
        <w:t xml:space="preserve">Approximately 82% of Therapeutic Communities are affiliated with religious organizations, predominantly evangelical. There are strong indications of religious violence, characterized by the compulsory participation in services and prayers under threat of punishment, intolerance, and disrespect for sexual orientation and gender identity—particularly against the LGBTI+ population—as well as the replacement of scientific methods </w:t>
      </w:r>
      <w:r>
        <w:lastRenderedPageBreak/>
        <w:t>with exclusively moral and spiritual criteria, in addition to discriminatory practices with a pronounced ethnic-racial bias.</w:t>
      </w:r>
    </w:p>
    <w:p w14:paraId="4E03D023" w14:textId="77777777" w:rsidR="001B4D70" w:rsidRDefault="005D51BF">
      <w:pPr>
        <w:spacing w:after="200" w:line="360" w:lineRule="auto"/>
        <w:ind w:firstLine="720"/>
        <w:jc w:val="both"/>
      </w:pPr>
      <w:r>
        <w:t>Common features of these institutions include their location in isolated rural areas, intended to hinder escape and communication; social and family isolation through severe restrictions or prohibitions on visits and telephone calls; violations of correspondence; the retention of personal documents; and, in some cases, the appropriation by the institution of residents’ social benefits (such as Bolsa Família).</w:t>
      </w:r>
      <w:r>
        <w:rPr>
          <w:vertAlign w:val="superscript"/>
        </w:rPr>
        <w:footnoteReference w:id="52"/>
      </w:r>
    </w:p>
    <w:p w14:paraId="0354AE1A" w14:textId="77777777" w:rsidR="001B4D70" w:rsidRDefault="005D51BF">
      <w:pPr>
        <w:spacing w:after="200" w:line="360" w:lineRule="auto"/>
        <w:ind w:firstLine="720"/>
        <w:jc w:val="both"/>
      </w:pPr>
      <w:r>
        <w:t>Under the current administration, the principal body responsible for supporting Therapeutic Communities (TCs) is the National Secretariat for Drug Policy and Asset Management (SENAD), linked to the Ministry of Justice and Public Security. However, both the National Health Council (CNS) and the Federal Public Prosecutor’s Office (MPF) have strongly criticized this support, stating that public funding for TCs is inconsistent with the principles of Psychiatric Reform and the anti-asylum movement.</w:t>
      </w:r>
    </w:p>
    <w:p w14:paraId="62A7D7B0" w14:textId="77777777" w:rsidR="001B4D70" w:rsidRDefault="005D51BF">
      <w:pPr>
        <w:spacing w:after="200" w:line="360" w:lineRule="auto"/>
        <w:ind w:left="2267"/>
        <w:jc w:val="both"/>
      </w:pPr>
      <w:r>
        <w:t>13.1 What criteria are used to grant public funding to Therapeutic Communities (TCs), in light of the MNPCT’s reports of systematic human rights violations?</w:t>
      </w:r>
    </w:p>
    <w:p w14:paraId="5C0A5647" w14:textId="77777777" w:rsidR="001B4D70" w:rsidRDefault="005D51BF">
      <w:pPr>
        <w:spacing w:after="200" w:line="360" w:lineRule="auto"/>
        <w:ind w:left="2267"/>
        <w:jc w:val="both"/>
      </w:pPr>
      <w:r>
        <w:t>13.2 What oversight and audit mechanisms exist to ensure that public resources are not allocated to institutions that engage in torture, forced labour, or abduction?</w:t>
      </w:r>
    </w:p>
    <w:p w14:paraId="139CBC62" w14:textId="77777777" w:rsidR="001B4D70" w:rsidRDefault="005D51BF">
      <w:pPr>
        <w:spacing w:after="200" w:line="360" w:lineRule="auto"/>
        <w:ind w:left="2267"/>
        <w:jc w:val="both"/>
      </w:pPr>
      <w:r>
        <w:t>13.3 Are there concrete actions or measures to redirect these resources to public mental health and psychosocial care services grounded in scientific evidence? If so, please specify.</w:t>
      </w:r>
    </w:p>
    <w:p w14:paraId="7EF3C63A" w14:textId="77777777" w:rsidR="001B4D70" w:rsidRDefault="005D51BF">
      <w:pPr>
        <w:spacing w:after="200" w:line="360" w:lineRule="auto"/>
        <w:ind w:left="2267"/>
        <w:jc w:val="both"/>
      </w:pPr>
      <w:r>
        <w:t>13.4 How does the State intend to respond to the MNPCT’s finding that 100% of the TCs inspected in 2025 showed indications of torture?</w:t>
      </w:r>
    </w:p>
    <w:p w14:paraId="69089BF9" w14:textId="77777777" w:rsidR="001B4D70" w:rsidRDefault="005D51BF">
      <w:pPr>
        <w:spacing w:after="200" w:line="360" w:lineRule="auto"/>
        <w:ind w:left="2267"/>
        <w:jc w:val="both"/>
      </w:pPr>
      <w:r>
        <w:t>13.5 What immediate measures will be taken to protect residents from practices such as physical punishment, irregular chemical restraint, and abduction?</w:t>
      </w:r>
    </w:p>
    <w:p w14:paraId="0A5497DF" w14:textId="77777777" w:rsidR="001B4D70" w:rsidRDefault="005D51BF">
      <w:pPr>
        <w:spacing w:after="200" w:line="360" w:lineRule="auto"/>
        <w:ind w:left="2267"/>
        <w:jc w:val="both"/>
      </w:pPr>
      <w:r>
        <w:t>13.6 Is there a national plan to replace the TC model with alternatives based on care in the community and harm reduction, in full respect of human rights and human dignity?</w:t>
      </w:r>
    </w:p>
    <w:p w14:paraId="6A52F584" w14:textId="77777777" w:rsidR="001B4D70" w:rsidRDefault="005D51BF">
      <w:pPr>
        <w:spacing w:after="200" w:line="360" w:lineRule="auto"/>
        <w:ind w:left="2267"/>
        <w:jc w:val="both"/>
      </w:pPr>
      <w:r>
        <w:lastRenderedPageBreak/>
        <w:t>13.7 How does the State ensure that treatment for individuals with alcohol- and drug-related problems is guided by science, ethics, and public health, rather than by religious or moral criteria?</w:t>
      </w:r>
    </w:p>
    <w:p w14:paraId="0BA1A8F1" w14:textId="77777777" w:rsidR="001B4D70" w:rsidRDefault="005D51BF">
      <w:pPr>
        <w:spacing w:after="200" w:line="360" w:lineRule="auto"/>
        <w:ind w:left="2267"/>
        <w:jc w:val="both"/>
      </w:pPr>
      <w:r>
        <w:t>13.8 What policies are being implemented to strengthen the Psychosocial Care Network (RAPS) and Psychosocial Care Centres (CAPS) as alternatives to TCs?</w:t>
      </w:r>
    </w:p>
    <w:p w14:paraId="53DACCD0" w14:textId="77777777" w:rsidR="001B4D70" w:rsidRDefault="005D51BF">
      <w:pPr>
        <w:spacing w:after="200" w:line="360" w:lineRule="auto"/>
        <w:ind w:left="2267"/>
        <w:jc w:val="both"/>
      </w:pPr>
      <w:r>
        <w:t>13.9 Is there any plan to expand the training and hiring of mental health professionals in order to reduce reliance on private, faith-based institutions?</w:t>
      </w:r>
    </w:p>
    <w:p w14:paraId="0BF0284C" w14:textId="77777777" w:rsidR="001B4D70" w:rsidRDefault="005D51BF">
      <w:pPr>
        <w:spacing w:after="200" w:line="360" w:lineRule="auto"/>
        <w:ind w:left="2267"/>
        <w:jc w:val="both"/>
      </w:pPr>
      <w:r>
        <w:t>13.10 What objective criteria does SENAD use to justify the allocation of public funds to TCs, in light of the evidence of human rights violations?</w:t>
      </w:r>
    </w:p>
    <w:p w14:paraId="1746B232" w14:textId="77777777" w:rsidR="001B4D70" w:rsidRDefault="001B4D70">
      <w:pPr>
        <w:spacing w:after="200" w:line="360" w:lineRule="auto"/>
        <w:ind w:left="2267"/>
        <w:jc w:val="both"/>
      </w:pPr>
    </w:p>
    <w:p w14:paraId="0E2EDFB0" w14:textId="77777777" w:rsidR="001B4D70" w:rsidRDefault="005D51BF">
      <w:pPr>
        <w:spacing w:after="200" w:line="360" w:lineRule="auto"/>
        <w:jc w:val="both"/>
        <w:rPr>
          <w:b/>
          <w:bCs/>
        </w:rPr>
      </w:pPr>
      <w:r>
        <w:rPr>
          <w:b/>
          <w:bCs/>
        </w:rPr>
        <w:t>14. Privatized Deprivation of Liberty Facilities</w:t>
      </w:r>
    </w:p>
    <w:p w14:paraId="37482D44" w14:textId="77777777" w:rsidR="001B4D70" w:rsidRDefault="005D51BF">
      <w:pPr>
        <w:spacing w:after="200" w:line="360" w:lineRule="auto"/>
        <w:ind w:firstLine="720"/>
        <w:jc w:val="both"/>
      </w:pPr>
      <w:r>
        <w:t>According to data from the National Human Rights Observatory platform (2024), Brazil had more than 909,000 individuals registered in the National Prison Information System (Sisdepen) and, for the eighth consecutive year, remained the country with the third largest prison population in the world. The data also indicate a sustained year-on-year increase in the number of persons deprived of liberty, with the prison population growing fourfold between 2000 and 2024. Sisdepen data further show that the prison po</w:t>
      </w:r>
      <w:r>
        <w:t>pulation is predominantly male (94%), and that 69% are Black individuals with low levels of formal education.</w:t>
      </w:r>
      <w:r>
        <w:rPr>
          <w:vertAlign w:val="superscript"/>
        </w:rPr>
        <w:footnoteReference w:id="53"/>
      </w:r>
    </w:p>
    <w:p w14:paraId="66FD6ABC" w14:textId="77777777" w:rsidR="001B4D70" w:rsidRDefault="005D51BF">
      <w:pPr>
        <w:spacing w:after="200" w:line="360" w:lineRule="auto"/>
        <w:ind w:firstLine="720"/>
        <w:jc w:val="both"/>
      </w:pPr>
      <w:r>
        <w:t>In this context, the growing number of persons deprived of liberty is also associated with the increasing expansion of privatized detention facilities through public–private partnerships (PPPs). However, this trend entails significant structural risks to the protection of the human rights of persons deprived of liberty. Such risks stem, first and foremost, from the dilution—and potential blurring—of lines of responsibility between the State and private actors, which complicates the attribution of accountabi</w:t>
      </w:r>
      <w:r>
        <w:t>lity for acts of torture, ill-treatment, or other conduct incompatible with articles 2, 11, and 16 of the Convention</w:t>
      </w:r>
    </w:p>
    <w:p w14:paraId="22F490C1" w14:textId="77777777" w:rsidR="001B4D70" w:rsidRDefault="005D51BF">
      <w:pPr>
        <w:spacing w:after="200" w:line="360" w:lineRule="auto"/>
        <w:ind w:firstLine="720"/>
        <w:jc w:val="both"/>
      </w:pPr>
      <w:r>
        <w:t xml:space="preserve">Furthermore, one of the most serious concerns arises from the profit-maximization logic, which creates structural incentives to reduce costs in sensitive and essential areas, such </w:t>
      </w:r>
      <w:r>
        <w:lastRenderedPageBreak/>
        <w:t>as food, health care, hygiene, internal security, staff training, and material conditions of detention, thereby restricting access to human rights and undermining the effective implementation of public policies.</w:t>
      </w:r>
    </w:p>
    <w:p w14:paraId="1B620984" w14:textId="77777777" w:rsidR="001B4D70" w:rsidRDefault="005D51BF">
      <w:pPr>
        <w:spacing w:after="200" w:line="360" w:lineRule="auto"/>
        <w:ind w:left="2267"/>
        <w:jc w:val="both"/>
      </w:pPr>
      <w:r>
        <w:t>14.1 Are there formal protocols for the investigation and accountability of human rights violations committed by private staff in prison units?</w:t>
      </w:r>
    </w:p>
    <w:p w14:paraId="1B13D8C8" w14:textId="77777777" w:rsidR="001B4D70" w:rsidRDefault="005D51BF">
      <w:pPr>
        <w:spacing w:after="200" w:line="360" w:lineRule="auto"/>
        <w:ind w:left="2267"/>
        <w:jc w:val="both"/>
      </w:pPr>
      <w:r>
        <w:t>14.2 What measures does the State adopt to ensure that public–private management arrangements fully comply with articles 2, 11, and 16 of the Convention against Torture?</w:t>
      </w:r>
    </w:p>
    <w:p w14:paraId="6370439A" w14:textId="77777777" w:rsidR="001B4D70" w:rsidRDefault="005D51BF">
      <w:pPr>
        <w:spacing w:after="200" w:line="360" w:lineRule="auto"/>
        <w:ind w:left="2267"/>
        <w:jc w:val="both"/>
      </w:pPr>
      <w:r>
        <w:t>14.3 Is there a civil or criminal accountability mechanism for private companies that fail to comply with international standards?</w:t>
      </w:r>
    </w:p>
    <w:p w14:paraId="64DE47B4" w14:textId="77777777" w:rsidR="001B4D70" w:rsidRDefault="005D51BF">
      <w:pPr>
        <w:spacing w:after="200" w:line="360" w:lineRule="auto"/>
        <w:ind w:left="2267"/>
        <w:jc w:val="both"/>
      </w:pPr>
      <w:r>
        <w:t>14.4 How does the State ensure that essential services provided under public–private partnerships (including food, health care, hygiene, security, and material conditions of detention) uphold the dignity and human rights of persons deprived of liberty?</w:t>
      </w:r>
    </w:p>
    <w:p w14:paraId="3E71BFA6" w14:textId="77777777" w:rsidR="001B4D70" w:rsidRDefault="005D51BF">
      <w:pPr>
        <w:spacing w:after="200" w:line="360" w:lineRule="auto"/>
        <w:ind w:left="2267"/>
        <w:jc w:val="both"/>
      </w:pPr>
      <w:r>
        <w:t>14.5 How many public–private partnership contracts for the management of prison facilities are currently active in Brazil? Are there plans to expand or reduce these contracts? If so, which ones, and for what reasons?</w:t>
      </w:r>
    </w:p>
    <w:p w14:paraId="2CD2156D" w14:textId="77777777" w:rsidR="001B4D70" w:rsidRDefault="001B4D70">
      <w:pPr>
        <w:spacing w:after="200" w:line="360" w:lineRule="auto"/>
        <w:ind w:left="2267"/>
        <w:jc w:val="both"/>
      </w:pPr>
    </w:p>
    <w:p w14:paraId="128CD370" w14:textId="77777777" w:rsidR="001B4D70" w:rsidRDefault="005D51BF">
      <w:pPr>
        <w:spacing w:after="200" w:line="360" w:lineRule="auto"/>
        <w:jc w:val="both"/>
        <w:rPr>
          <w:b/>
          <w:bCs/>
        </w:rPr>
      </w:pPr>
      <w:r>
        <w:rPr>
          <w:b/>
          <w:bCs/>
        </w:rPr>
        <w:t>15. Mechanisms for the Prevention and Combat of Torture</w:t>
      </w:r>
    </w:p>
    <w:p w14:paraId="3F982530" w14:textId="77777777" w:rsidR="001B4D70" w:rsidRDefault="005D51BF">
      <w:pPr>
        <w:spacing w:after="200" w:line="360" w:lineRule="auto"/>
        <w:ind w:firstLine="720"/>
        <w:jc w:val="both"/>
      </w:pPr>
      <w:r>
        <w:t>The National Mechanism for the Prevention and Combat of Torture (MNPCT) has, for several years, operated with only six experts, despite the legal requirement that it be composed of eleven specialists</w:t>
      </w:r>
      <w:r>
        <w:rPr>
          <w:vertAlign w:val="superscript"/>
        </w:rPr>
        <w:footnoteReference w:id="54"/>
      </w:r>
      <w:r>
        <w:t>. Nevertheless, the Mechanism has continued to conduct inspections in places of deprivation of liberty across the country, producing reports and key documents that consolidate allegations of torture and other cruel, inhuman, or degrading treatment. Many of these allegations reach the Mechanism through the families of persons who are imprisoned or institutionalized, who are often the only individuals with direct access to places of confinement.</w:t>
      </w:r>
    </w:p>
    <w:p w14:paraId="4AD77070" w14:textId="77777777" w:rsidR="001B4D70" w:rsidRDefault="005D51BF">
      <w:pPr>
        <w:spacing w:after="200" w:line="360" w:lineRule="auto"/>
        <w:ind w:firstLine="720"/>
        <w:jc w:val="both"/>
      </w:pPr>
      <w:r>
        <w:t xml:space="preserve">However, significant challenges persist in ensuring, through the work of the current National Committee for the Prevention and Combat of Torture (CNPCT) and the Coordination </w:t>
      </w:r>
      <w:r>
        <w:lastRenderedPageBreak/>
        <w:t>for the Combat of Torture established within the Ministry of Human Rights and Citizenship (MDHC), which the MNPCT’s recommendations are effectively implemented and yield concrete results.</w:t>
      </w:r>
    </w:p>
    <w:p w14:paraId="460155E6" w14:textId="77777777" w:rsidR="001B4D70" w:rsidRDefault="005D51BF">
      <w:pPr>
        <w:spacing w:after="200" w:line="360" w:lineRule="auto"/>
        <w:ind w:left="2267"/>
        <w:jc w:val="both"/>
      </w:pPr>
      <w:r>
        <w:t>15.1 What formal mechanisms does the State have in place to ensure that the recommendations issued by the National Mechanism for the Prevention and Combat of Torture (MNPCT) are effectively implemented by the responsible authorities? Furthermore, what procedures does the State use to monitor compliance with MNPCT recommendations?</w:t>
      </w:r>
    </w:p>
    <w:p w14:paraId="3C4930E5" w14:textId="77777777" w:rsidR="001B4D70" w:rsidRDefault="005D51BF">
      <w:pPr>
        <w:spacing w:after="200" w:line="360" w:lineRule="auto"/>
        <w:ind w:left="2267"/>
        <w:jc w:val="both"/>
      </w:pPr>
      <w:r>
        <w:t>15.2 The National Mechanism for the Prevention and Combat of Torture (MNPCT) currently has only six specialists. Does the State consider this number sufficient to conduct comprehensive inspections across all places of deprivation of liberty in the country and to ensure adequate follow-up on the implementation of recommendations?</w:t>
      </w:r>
    </w:p>
    <w:p w14:paraId="5EE5A0F3" w14:textId="77777777" w:rsidR="001B4D70" w:rsidRDefault="005D51BF">
      <w:pPr>
        <w:spacing w:after="200" w:line="360" w:lineRule="auto"/>
        <w:ind w:firstLine="720"/>
        <w:jc w:val="both"/>
      </w:pPr>
      <w:r>
        <w:t xml:space="preserve">Despite the advances achieved with the establishment of the National System for the Prevention and Combat of Torture (SNPCT), the current context still reflects significant institutional fragility. Given the country’s territorial extent and the large number of places of deprivation of liberty, including prisons, therapeutic communities, and socio-educational facilities, it is necessary to establish and ensure the full functioning of committees and mechanisms in each federative unit. However, the mechanisms </w:t>
      </w:r>
      <w:r>
        <w:t>that have been created remain poorly coordinated, and the committees have demonstrated limited effectiveness, proving unable to monitor and ensure the implementation of the recommendations issued. This situation directly undermines the prevention and combat of torture at the local level.</w:t>
      </w:r>
      <w:r>
        <w:rPr>
          <w:vertAlign w:val="superscript"/>
        </w:rPr>
        <w:footnoteReference w:id="55"/>
      </w:r>
    </w:p>
    <w:p w14:paraId="2A5C695D" w14:textId="77777777" w:rsidR="001B4D70" w:rsidRDefault="005D51BF">
      <w:pPr>
        <w:spacing w:after="200" w:line="360" w:lineRule="auto"/>
        <w:ind w:firstLine="720"/>
        <w:jc w:val="both"/>
      </w:pPr>
      <w:r>
        <w:t>In addition, the limited coordination between the Ministry of Human Rights and Citizenship (MDHC) and state-level executive authorities, the absence of systematic monitoring of the national policy, and the lack of stable and structuring legislation, preferably enacted by the Legislature, undermine the continuity and legitimacy of the actions undertaken. Furthermore, the lack of budgetary and institutional autonomy, combined with insufficient minimum infrastructure, hampers the proper functioning of the resp</w:t>
      </w:r>
      <w:r>
        <w:t>onsible bodies, thereby perpetuating the system’s vulnerability.</w:t>
      </w:r>
    </w:p>
    <w:p w14:paraId="3642DB85" w14:textId="77777777" w:rsidR="001B4D70" w:rsidRDefault="005D51BF">
      <w:pPr>
        <w:spacing w:after="200" w:line="360" w:lineRule="auto"/>
        <w:ind w:left="2267"/>
        <w:jc w:val="both"/>
      </w:pPr>
      <w:r>
        <w:lastRenderedPageBreak/>
        <w:t>15.3 What measures and actions has the State undertaken to effectively coordinate national and state mechanisms for the prevention and combat of torture, ensuring alignment among the committees and responsible bodies?</w:t>
      </w:r>
    </w:p>
    <w:p w14:paraId="3DEC42C6" w14:textId="77777777" w:rsidR="001B4D70" w:rsidRDefault="005D51BF">
      <w:pPr>
        <w:spacing w:after="200" w:line="360" w:lineRule="auto"/>
        <w:ind w:left="2267"/>
        <w:jc w:val="both"/>
      </w:pPr>
      <w:r>
        <w:t>15.4 What strategies is the Ministry of Human Rights and Citizenship (MDHC) implementing to strengthen cooperation with state-level executive authorities in the prevention of, and response to, torture?</w:t>
      </w:r>
    </w:p>
    <w:p w14:paraId="2BCA8E62" w14:textId="77777777" w:rsidR="001B4D70" w:rsidRDefault="005D51BF">
      <w:pPr>
        <w:spacing w:after="200" w:line="360" w:lineRule="auto"/>
        <w:ind w:left="2267"/>
        <w:jc w:val="both"/>
      </w:pPr>
      <w:r>
        <w:t>15.5 Does the Brazilian State carry out systematic and effective monitoring of the national policy for the prevention of torture? If so, what actions, protocols, and follow-up mechanisms are adopted?</w:t>
      </w:r>
    </w:p>
    <w:p w14:paraId="14C50106" w14:textId="77777777" w:rsidR="001B4D70" w:rsidRDefault="005D51BF">
      <w:pPr>
        <w:spacing w:after="200" w:line="360" w:lineRule="auto"/>
        <w:ind w:left="2267"/>
        <w:jc w:val="both"/>
      </w:pPr>
      <w:r>
        <w:t>15.6 How does the State ensure that national recommendations are incorporated and effectively implemented at the state and municipal levels?</w:t>
      </w:r>
    </w:p>
    <w:p w14:paraId="64C4F83A" w14:textId="77777777" w:rsidR="001B4D70" w:rsidRDefault="001B4D70">
      <w:pPr>
        <w:spacing w:after="200" w:line="360" w:lineRule="auto"/>
        <w:ind w:left="2267"/>
        <w:jc w:val="both"/>
      </w:pPr>
    </w:p>
    <w:p w14:paraId="7373B9FC" w14:textId="77777777" w:rsidR="001B4D70" w:rsidRDefault="005D51BF">
      <w:pPr>
        <w:spacing w:after="200" w:line="360" w:lineRule="auto"/>
        <w:ind w:left="2267"/>
        <w:jc w:val="both"/>
      </w:pPr>
      <w:r>
        <w:t>15.7 What actions has the State adopted or proposed to ensure the continuity, legitimacy, and effectiveness of policies and measures for the prevention and combat of torture throughout the country?</w:t>
      </w:r>
    </w:p>
    <w:p w14:paraId="39B2EE7C" w14:textId="77777777" w:rsidR="001B4D70" w:rsidRDefault="005D51BF">
      <w:pPr>
        <w:spacing w:after="200" w:line="360" w:lineRule="auto"/>
        <w:ind w:left="2267"/>
        <w:jc w:val="both"/>
      </w:pPr>
      <w:r>
        <w:t>15.8 In what manner does the Brazilian State guarantee full institutional autonomy to mechanisms for the prevention and combat of torture, so as to ensure their functional and operational independence?</w:t>
      </w:r>
    </w:p>
    <w:p w14:paraId="2073E14B" w14:textId="77777777" w:rsidR="001B4D70" w:rsidRDefault="005D51BF">
      <w:pPr>
        <w:spacing w:after="200" w:line="360" w:lineRule="auto"/>
        <w:ind w:left="2267"/>
        <w:jc w:val="both"/>
      </w:pPr>
      <w:r>
        <w:t>15.9 Does the State ensure and guarantee budgetary autonomy for the bodies responsible for the prevention and combat of torture, including sufficient resources for operations, inspections, monitoring, and the implementation of recommendations? What specific measures have been adopted to ensure such autonomy?</w:t>
      </w:r>
    </w:p>
    <w:p w14:paraId="1896B059" w14:textId="77777777" w:rsidR="001B4D70" w:rsidRDefault="005D51BF">
      <w:pPr>
        <w:spacing w:after="200" w:line="360" w:lineRule="auto"/>
        <w:ind w:left="2267"/>
        <w:jc w:val="both"/>
      </w:pPr>
      <w:r>
        <w:t xml:space="preserve">15.10 What measures will the Brazilian State adopt in cases of deliberate non-compliance by states with the requirement, established under the “Pena Justa” Plan, to create state-level committees and mechanisms? </w:t>
      </w:r>
    </w:p>
    <w:p w14:paraId="67F7FF5A" w14:textId="77777777" w:rsidR="001B4D70" w:rsidRDefault="005D51BF">
      <w:pPr>
        <w:spacing w:after="200" w:line="360" w:lineRule="auto"/>
        <w:ind w:firstLine="720"/>
        <w:jc w:val="both"/>
      </w:pPr>
      <w:r>
        <w:t xml:space="preserve">At present, multiple forms of non-compliance with the Optional Protocol to the Convention against Torture (OPCAT) can be observed at both the federal and state levels, </w:t>
      </w:r>
      <w:r>
        <w:lastRenderedPageBreak/>
        <w:t>affecting Committees and Mechanisms alike. Key concerns, particularly with regard to composition, independence, and autonomy, include the final selection of experts being carried out directly by the governor, as occurred in the State of Pernambuco in 2025; the predominance of seats allocated to State representatives within Committees, including the participation of police officers and managers of places of deprivation of liberty, as in the case of Sergipe; the institutional attachment of Mechanisms to secre</w:t>
      </w:r>
      <w:r>
        <w:t>tariats responsible for the administration of places of deprivation of liberty, which undermines their independence and has led to situations of workplace harassment against experts; staffing levels below the minimum recommended by OPCAT, as in Maranhão, which currently has only two experts; as well as low salaries and the lack of minimum material infrastructure required for the proper performance of their functions.</w:t>
      </w:r>
    </w:p>
    <w:p w14:paraId="300C024D" w14:textId="77777777" w:rsidR="001B4D70" w:rsidRDefault="005D51BF">
      <w:pPr>
        <w:spacing w:after="200" w:line="360" w:lineRule="auto"/>
        <w:ind w:firstLine="720"/>
        <w:jc w:val="both"/>
      </w:pPr>
      <w:r>
        <w:t>The case of the State of Ceará is emblematic in illustrating how the Brazilian State has failed to ensure efforts toward the establishment of autonomous structures and mechanisms, as well as their proper functioning. Following a decade of sustained advocacy by civil society in Ceará to secure the approval of the draft legislation, and in the context of numerous serious allegations of torture and ill-treatment in places of deprivation of liberty, as documented by local and national bodies, State Law No. 18,6</w:t>
      </w:r>
      <w:r>
        <w:t>60 was adopted by the Legislative Assembly in December 2023. This law established the State System for the Prevention and Combat of Torture (SEPTC), institutionalized the State Committee, and created the State Mechanism (MEPCT).</w:t>
      </w:r>
      <w:r>
        <w:rPr>
          <w:color w:val="0A0A0A"/>
          <w:highlight w:val="white"/>
          <w:vertAlign w:val="superscript"/>
        </w:rPr>
        <w:footnoteReference w:id="56"/>
      </w:r>
      <w:r>
        <w:t xml:space="preserve"> </w:t>
      </w:r>
      <w:r>
        <w:rPr>
          <w:vertAlign w:val="superscript"/>
        </w:rPr>
        <w:footnoteReference w:id="57"/>
      </w:r>
    </w:p>
    <w:p w14:paraId="57C11F4F" w14:textId="77777777" w:rsidR="001B4D70" w:rsidRDefault="005D51BF">
      <w:pPr>
        <w:spacing w:after="200" w:line="360" w:lineRule="auto"/>
        <w:ind w:firstLine="720"/>
        <w:jc w:val="both"/>
      </w:pPr>
      <w:r>
        <w:t>During the first semester of 2024, civil society organizations, justice system institutions (the Public Defender’s Office and the Public Prosecutor’s Office), and members of the Legislative Branch (the Human Rights Committee of the Legislative Assembly) carried out the full selection process for the six independent experts to serve on the State Mechanism. The outcome of this process was formally endorsed and published in the Official Gazette by the State Government. However, more than two years after the en</w:t>
      </w:r>
      <w:r>
        <w:t xml:space="preserve">actment of the law, the Government of the State of Ceará (Executive Branch) remains in non-compliance with both </w:t>
      </w:r>
      <w:r>
        <w:lastRenderedPageBreak/>
        <w:t>domestic legislation and international treaties. To date, in the State of Ceará, none of the three prevention and combat of torture structures are operational</w:t>
      </w:r>
      <w:r>
        <w:rPr>
          <w:vertAlign w:val="superscript"/>
        </w:rPr>
        <w:footnoteReference w:id="58"/>
      </w:r>
      <w:r>
        <w:t>.</w:t>
      </w:r>
    </w:p>
    <w:p w14:paraId="26DB03A6" w14:textId="77777777" w:rsidR="001B4D70" w:rsidRDefault="005D51BF">
      <w:pPr>
        <w:spacing w:after="200" w:line="360" w:lineRule="auto"/>
        <w:ind w:firstLine="720"/>
        <w:jc w:val="both"/>
      </w:pPr>
      <w:r>
        <w:t>It should also be noted that no mechanism, including the National Mechanism, has autonomy to propose or manage its own budget. All mechanisms depend on authorization to carry out missions, undertake travel for inter-institutional coordination, and perform other activities, remaining subordinate to State bodies that do not always provide basic infrastructure and that fail to respect the Mechanisms’ autonomy in the execution of their mandates.</w:t>
      </w:r>
    </w:p>
    <w:p w14:paraId="3B27CB00" w14:textId="77777777" w:rsidR="001B4D70" w:rsidRDefault="005D51BF">
      <w:pPr>
        <w:spacing w:after="200" w:line="360" w:lineRule="auto"/>
        <w:ind w:left="2267"/>
        <w:jc w:val="both"/>
      </w:pPr>
      <w:r>
        <w:t>15.11 How does the State select experts to serve on Committees and Mechanisms for the prevention of torture? How is the composition of participation by State representatives and civil society determined?</w:t>
      </w:r>
    </w:p>
    <w:p w14:paraId="00A394B9" w14:textId="77777777" w:rsidR="001B4D70" w:rsidRDefault="005D51BF">
      <w:pPr>
        <w:spacing w:after="200" w:line="360" w:lineRule="auto"/>
        <w:ind w:left="2267"/>
        <w:jc w:val="both"/>
      </w:pPr>
      <w:r>
        <w:t>15.12 What is the current number of professionals serving in each active torture prevention Mechanism, and how does the State assess whether this number is sufficient for the fulfilment of each body’s mandated functions?</w:t>
      </w:r>
    </w:p>
    <w:p w14:paraId="1E8D28E5" w14:textId="77777777" w:rsidR="001B4D70" w:rsidRDefault="005D51BF">
      <w:pPr>
        <w:spacing w:after="200" w:line="360" w:lineRule="auto"/>
        <w:ind w:left="2267"/>
        <w:jc w:val="both"/>
      </w:pPr>
      <w:r>
        <w:t>15.13 How does the State determine salaries, benefits, and working conditions for professionals serving within the torture prevention Mechanisms?</w:t>
      </w:r>
    </w:p>
    <w:p w14:paraId="286688B3" w14:textId="77777777" w:rsidR="001B4D70" w:rsidRDefault="005D51BF">
      <w:pPr>
        <w:spacing w:after="200" w:line="360" w:lineRule="auto"/>
        <w:ind w:left="2267"/>
        <w:jc w:val="both"/>
      </w:pPr>
      <w:r>
        <w:t>15.14 Has the Brazilian State complied with Recommendation No. 13 of the National Committee for the Prevention and Combat of Torture, published on 24 April 2024, with regard to working conditions?</w:t>
      </w:r>
      <w:r>
        <w:rPr>
          <w:vertAlign w:val="superscript"/>
        </w:rPr>
        <w:footnoteReference w:id="59"/>
      </w:r>
    </w:p>
    <w:p w14:paraId="00970027" w14:textId="77777777" w:rsidR="001B4D70" w:rsidRDefault="001B4D70">
      <w:pPr>
        <w:spacing w:after="200" w:line="360" w:lineRule="auto"/>
        <w:ind w:left="2267"/>
        <w:jc w:val="both"/>
      </w:pPr>
    </w:p>
    <w:p w14:paraId="3BED8E14" w14:textId="77777777" w:rsidR="001B4D70" w:rsidRDefault="005D51BF">
      <w:pPr>
        <w:spacing w:after="200" w:line="360" w:lineRule="auto"/>
        <w:ind w:firstLine="720"/>
        <w:jc w:val="both"/>
      </w:pPr>
      <w:r>
        <w:t xml:space="preserve">With regard to Committees, the situation is equally concerning. In several states, authorities have chosen to establish Committees instead of creating independent Mechanisms, thereby weakening the overall effectiveness of the National System for the Prevention and Combat of Torture. At present, multiple Committees have been established, </w:t>
      </w:r>
      <w:r>
        <w:lastRenderedPageBreak/>
        <w:t xml:space="preserve">all of which include representatives of security forces or of the administration of places of deprivation of liberty within their composition. Many of these bodies were created or regulated exclusively through Executive Branch decrees, without legislative endorsement or meaningful participation by civil society, which undermines their normative stability. </w:t>
      </w:r>
    </w:p>
    <w:p w14:paraId="2370766A" w14:textId="77777777" w:rsidR="001B4D70" w:rsidRDefault="005D51BF">
      <w:pPr>
        <w:spacing w:after="200" w:line="360" w:lineRule="auto"/>
        <w:ind w:left="2267"/>
        <w:jc w:val="both"/>
      </w:pPr>
      <w:r>
        <w:t>15.15 Have the existing Committees been able to effectively fulfil their mandate to prevent and combat torture?</w:t>
      </w:r>
    </w:p>
    <w:p w14:paraId="2C7B7F60" w14:textId="77777777" w:rsidR="001B4D70" w:rsidRDefault="005D51BF">
      <w:pPr>
        <w:spacing w:after="200" w:line="360" w:lineRule="auto"/>
        <w:ind w:left="2267"/>
        <w:jc w:val="both"/>
      </w:pPr>
      <w:r>
        <w:t>15.16 What indicators are used by the Brazilian State, and which stakeholders are involved, to assess the performance of the state-level and national Committees?</w:t>
      </w:r>
    </w:p>
    <w:p w14:paraId="18D24890" w14:textId="77777777" w:rsidR="001B4D70" w:rsidRDefault="005D51BF">
      <w:pPr>
        <w:spacing w:after="200" w:line="360" w:lineRule="auto"/>
        <w:ind w:left="2267"/>
        <w:jc w:val="both"/>
      </w:pPr>
      <w:r>
        <w:t>15.17 How does the Brazilian State strengthen the autonomy of Committees in the face of potential conflicts of interest involving representatives of the administration of places of deprivation of liberty?</w:t>
      </w:r>
    </w:p>
    <w:p w14:paraId="5636891D" w14:textId="77777777" w:rsidR="001B4D70" w:rsidRDefault="005D51BF">
      <w:pPr>
        <w:spacing w:after="200" w:line="360" w:lineRule="auto"/>
        <w:ind w:left="2267"/>
        <w:jc w:val="both"/>
      </w:pPr>
      <w:r>
        <w:t>15.18 Have the states of the federation complied with Recommendation No. 13 of the National Committee for the Prevention and Combat of Torture, published on 24 April 2024, which establishes guidelines for the creation and strengthening of Committees and Mechanisms?</w:t>
      </w:r>
    </w:p>
    <w:p w14:paraId="0536FE59" w14:textId="77777777" w:rsidR="001B4D70" w:rsidRDefault="005D51BF">
      <w:pPr>
        <w:spacing w:after="200" w:line="360" w:lineRule="auto"/>
        <w:ind w:left="2267"/>
        <w:jc w:val="both"/>
      </w:pPr>
      <w:r>
        <w:t>15.19 How does the Brazilian State seek to ensure that Committees have a solid legislative basis, avoiding exclusive reliance on executive decrees at the state level? How has coordination with the states of the federation and with civil society been carried out?</w:t>
      </w:r>
    </w:p>
    <w:p w14:paraId="29C84385" w14:textId="77777777" w:rsidR="001B4D70" w:rsidRDefault="005D51BF">
      <w:pPr>
        <w:spacing w:after="200" w:line="360" w:lineRule="auto"/>
        <w:ind w:left="2267"/>
        <w:jc w:val="both"/>
      </w:pPr>
      <w:r>
        <w:t>15.20 What mechanisms have been created to ensure greater normative and institutional stability for state Committees?</w:t>
      </w:r>
    </w:p>
    <w:p w14:paraId="02D31F16" w14:textId="77777777" w:rsidR="001B4D70" w:rsidRDefault="005D51BF">
      <w:pPr>
        <w:spacing w:after="200" w:line="360" w:lineRule="auto"/>
        <w:ind w:left="2267"/>
        <w:jc w:val="both"/>
      </w:pPr>
      <w:r>
        <w:t>15.21 In what manner does the Brazilian State intend to promote a reduction in the predominance of security force representatives within state Committees?</w:t>
      </w:r>
    </w:p>
    <w:p w14:paraId="785C3354" w14:textId="77777777" w:rsidR="001B4D70" w:rsidRDefault="005D51BF">
      <w:pPr>
        <w:spacing w:after="200" w:line="360" w:lineRule="auto"/>
        <w:ind w:firstLine="720"/>
        <w:jc w:val="both"/>
      </w:pPr>
      <w:r>
        <w:t>During the Bolsonaro administration, Presidential Decree No. 9,831 of 2019 made the work of experts of the National Mechanism for the Prevention and Combat of Torture (MNPCT) conditional upon the performance of an unpaid ‘relevant public function’, which, in practice, rendered the Mechanism’s activities unfeasible. Following the judgment of the Claim of Non-Compliance with a Fundamental Precept (ADPF) No. 607, in which the Federal Supreme Court (STF) determined that the mandates of MNPCT experts must be ind</w:t>
      </w:r>
      <w:r>
        <w:t xml:space="preserve">ependent and </w:t>
      </w:r>
      <w:r>
        <w:lastRenderedPageBreak/>
        <w:t>remunerated, this provision was revoked only after the issuance of Presidential Decree No. 11,254 of 2022.</w:t>
      </w:r>
    </w:p>
    <w:p w14:paraId="042A2165" w14:textId="77777777" w:rsidR="001B4D70" w:rsidRDefault="005D51BF">
      <w:pPr>
        <w:spacing w:after="200" w:line="360" w:lineRule="auto"/>
        <w:ind w:firstLine="720"/>
        <w:jc w:val="both"/>
      </w:pPr>
      <w:r>
        <w:t>However, the provision that restricts the autonomy of states remains in force, as article 4, paragraph 1, establishes that state-level Committees and Mechanisms may only integrate the National System for the Prevention and Combat of Torture (SNPCT) through a specific instrument of adherence, subject to the then Ministry of Women, Family and Human Rights. It should be noted that a significant portion of the aforementioned decree remains in effect, continuing to impact the structure and independence of tortur</w:t>
      </w:r>
      <w:r>
        <w:t>e prevention and combat mechanisms in the country.</w:t>
      </w:r>
    </w:p>
    <w:p w14:paraId="5F4FDE41" w14:textId="77777777" w:rsidR="001B4D70" w:rsidRDefault="005D51BF">
      <w:pPr>
        <w:spacing w:after="200" w:line="360" w:lineRule="auto"/>
        <w:ind w:left="2267"/>
        <w:jc w:val="both"/>
      </w:pPr>
      <w:r>
        <w:t>15.21 What concrete steps has the Brazilian State taken to revoke Decree No. 9,831/2019?</w:t>
      </w:r>
    </w:p>
    <w:p w14:paraId="160E5728" w14:textId="77777777" w:rsidR="001B4D70" w:rsidRDefault="005D51BF">
      <w:pPr>
        <w:spacing w:after="200" w:line="360" w:lineRule="auto"/>
        <w:ind w:left="2267"/>
        <w:jc w:val="both"/>
      </w:pPr>
      <w:r>
        <w:t>15.22 What legislative measures has the State promoted to safeguard the SNPCT against future normative backsliding?</w:t>
      </w:r>
    </w:p>
    <w:p w14:paraId="3F325074" w14:textId="77777777" w:rsidR="001B4D70" w:rsidRDefault="001B4D70">
      <w:pPr>
        <w:spacing w:after="200" w:line="360" w:lineRule="auto"/>
        <w:jc w:val="both"/>
        <w:rPr>
          <w:b/>
          <w:bCs/>
        </w:rPr>
      </w:pPr>
    </w:p>
    <w:p w14:paraId="08455174" w14:textId="77777777" w:rsidR="001B4D70" w:rsidRDefault="001B4D70">
      <w:pPr>
        <w:spacing w:after="200" w:line="360" w:lineRule="auto"/>
        <w:jc w:val="both"/>
        <w:rPr>
          <w:b/>
          <w:bCs/>
        </w:rPr>
      </w:pPr>
    </w:p>
    <w:p w14:paraId="6652846A" w14:textId="77777777" w:rsidR="001B4D70" w:rsidRDefault="001B4D70">
      <w:pPr>
        <w:spacing w:after="200" w:line="360" w:lineRule="auto"/>
        <w:jc w:val="both"/>
        <w:rPr>
          <w:b/>
          <w:bCs/>
        </w:rPr>
      </w:pPr>
    </w:p>
    <w:p w14:paraId="06AEB5F8" w14:textId="77777777" w:rsidR="001B4D70" w:rsidRDefault="005D51BF">
      <w:pPr>
        <w:spacing w:after="200" w:line="360" w:lineRule="auto"/>
        <w:jc w:val="both"/>
        <w:rPr>
          <w:b/>
          <w:bCs/>
        </w:rPr>
      </w:pPr>
      <w:r>
        <w:rPr>
          <w:b/>
          <w:bCs/>
        </w:rPr>
        <w:t>16. Situations Concerning Indigenous Peoples and Traditional Communities, the LGBTI+ Population, Migrants, Refugees, and Persons with Disabilities</w:t>
      </w:r>
    </w:p>
    <w:p w14:paraId="7787AE4D" w14:textId="77777777" w:rsidR="001B4D70" w:rsidRDefault="005D51BF">
      <w:pPr>
        <w:spacing w:after="200" w:line="360" w:lineRule="auto"/>
        <w:ind w:firstLine="720"/>
        <w:jc w:val="both"/>
        <w:rPr>
          <w:b/>
          <w:bCs/>
        </w:rPr>
      </w:pPr>
      <w:r>
        <w:rPr>
          <w:b/>
          <w:bCs/>
        </w:rPr>
        <w:t>16.1 Indigenous Peoples and Traditional Communities</w:t>
      </w:r>
    </w:p>
    <w:p w14:paraId="2B36BD8E" w14:textId="77777777" w:rsidR="001B4D70" w:rsidRDefault="005D51BF">
      <w:pPr>
        <w:spacing w:after="200" w:line="360" w:lineRule="auto"/>
        <w:jc w:val="both"/>
      </w:pPr>
      <w:r>
        <w:rPr>
          <w:b/>
          <w:bCs/>
        </w:rPr>
        <w:tab/>
      </w:r>
      <w:r>
        <w:t>The situation of Indigenous peoples and traditional communities in Brazil is profoundly shaped by historical and contemporary processes of structural racism, ethnic-racial discrimination, denial of territorial rights, and State omission and violence. Despite constitutional recognition of their cultural and territorial rights, as well as their right to self-determination, the actions of the Brazilian State have often been insufficient or contradictory, particularly in contexts involving land disputes, econom</w:t>
      </w:r>
      <w:r>
        <w:t>ic exploitation, and public security policies. These dynamics further expose such groups, which are frequently treated, not only by private actors but also by the State itself, particularly by the Legislative Branch, as obstacles to the country’s ‘development’.</w:t>
      </w:r>
      <w:r>
        <w:rPr>
          <w:vertAlign w:val="superscript"/>
        </w:rPr>
        <w:footnoteReference w:id="60"/>
      </w:r>
    </w:p>
    <w:p w14:paraId="6E12B48B" w14:textId="77777777" w:rsidR="001B4D70" w:rsidRDefault="005D51BF">
      <w:pPr>
        <w:spacing w:after="200" w:line="360" w:lineRule="auto"/>
        <w:jc w:val="both"/>
      </w:pPr>
      <w:r>
        <w:lastRenderedPageBreak/>
        <w:tab/>
        <w:t xml:space="preserve">In this context, exposure to torture and other cruel, inhuman, or degrading treatment frequently arises in the course of police operations in Indigenous or Quilombola territories, whether demarcated or not; forced evictions of Romani (Gypsy) communities and families; violent police approaches; arbitrary detentions; and the State’s deliberate omission in the face of threats and attacks by third parties. Furthermore, the absence of prior, free, and informed consultation; the disregard for languages, ways of </w:t>
      </w:r>
      <w:r>
        <w:t>life, and traditional authorities; and negligence in ensuring access to basic services operate as mechanisms of institutionalized dehumanization.</w:t>
      </w:r>
      <w:r>
        <w:rPr>
          <w:vertAlign w:val="superscript"/>
        </w:rPr>
        <w:footnoteReference w:id="61"/>
      </w:r>
    </w:p>
    <w:p w14:paraId="5EA52F08" w14:textId="77777777" w:rsidR="001B4D70" w:rsidRDefault="005D51BF">
      <w:pPr>
        <w:spacing w:after="200" w:line="360" w:lineRule="auto"/>
        <w:jc w:val="both"/>
      </w:pPr>
      <w:r>
        <w:tab/>
        <w:t>The lived reality of Indigenous peoples and traditional communities in Brazil demonstrates that torture and other cruel, inhuman, or degrading treatment are not confined to formal places of deprivation of liberty, but are also manifested in the violent governance of territories and in the State’s everyday actions. Addressing these practices requires a structural approach that integrates land demarcation and titling, accountability for public officials, the strengthening of oversight mechanisms and social p</w:t>
      </w:r>
      <w:r>
        <w:t>articipation, and the effective incorporation of an intercultural and anti-racist perspective into public policies. Such measures are essential as a form of reparation and to ensure the non-repetition of these violations.</w:t>
      </w:r>
    </w:p>
    <w:p w14:paraId="020A2D89" w14:textId="77777777" w:rsidR="001B4D70" w:rsidRDefault="005D51BF">
      <w:pPr>
        <w:spacing w:after="200" w:line="360" w:lineRule="auto"/>
        <w:ind w:left="2267"/>
        <w:jc w:val="both"/>
      </w:pPr>
      <w:r>
        <w:t>16.1.1 What concrete measures has the Brazilian State adopted to prevent, investigate, and provide redress for practices of torture and other cruel, inhuman, or degrading treatment against Indigenous peoples, Quilombola communities, and Romani (Gypsy) communities, particularly in the context of police actions, public security operations, and territorial conflicts? How has an intercultural perspective been applied?</w:t>
      </w:r>
    </w:p>
    <w:p w14:paraId="5B819C43" w14:textId="77777777" w:rsidR="001B4D70" w:rsidRDefault="005D51BF">
      <w:pPr>
        <w:spacing w:after="200" w:line="360" w:lineRule="auto"/>
        <w:ind w:left="2267"/>
        <w:jc w:val="both"/>
      </w:pPr>
      <w:r>
        <w:t>16.1.2 Considering that State omission in protecting the territorial rights of Indigenous peoples and other traditional and specific groups is a key driver of violence against these populations, how many, and which, Indigenous and Quilombola lands are currently undergoing demarcation or titling processes? What are the reasons why the demarcation or titling processes for these lands have not yet been concluded?</w:t>
      </w:r>
    </w:p>
    <w:p w14:paraId="165498BA" w14:textId="77777777" w:rsidR="001B4D70" w:rsidRDefault="005D51BF">
      <w:pPr>
        <w:spacing w:after="200" w:line="360" w:lineRule="auto"/>
        <w:ind w:left="2267"/>
        <w:jc w:val="both"/>
      </w:pPr>
      <w:r>
        <w:lastRenderedPageBreak/>
        <w:t>16.1.3 What is the updated timetable for the demarcation and titling of Indigenous and Quilombola lands, and how does the State ensure that this process is transparent and participatory?</w:t>
      </w:r>
    </w:p>
    <w:p w14:paraId="4673CEA4" w14:textId="77777777" w:rsidR="001B4D70" w:rsidRDefault="005D51BF">
      <w:pPr>
        <w:spacing w:after="200" w:line="360" w:lineRule="auto"/>
        <w:ind w:left="2267"/>
        <w:jc w:val="both"/>
      </w:pPr>
      <w:r>
        <w:t>16.1.4 How does the State intend to ensure that forced evictions do not occur in areas claimed by traditional communities while demarcation processes are ongoing?</w:t>
      </w:r>
    </w:p>
    <w:p w14:paraId="63CB56D2" w14:textId="77777777" w:rsidR="001B4D70" w:rsidRDefault="005D51BF">
      <w:pPr>
        <w:spacing w:after="200" w:line="360" w:lineRule="auto"/>
        <w:ind w:left="2267"/>
        <w:jc w:val="both"/>
      </w:pPr>
      <w:r>
        <w:t>16.1.5 What reparations measures are being offered to communities that have suffered forced evictions or institutional violence?</w:t>
      </w:r>
    </w:p>
    <w:p w14:paraId="0ACEB00D" w14:textId="77777777" w:rsidR="001B4D70" w:rsidRDefault="005D51BF">
      <w:pPr>
        <w:spacing w:after="200" w:line="360" w:lineRule="auto"/>
        <w:ind w:left="2267"/>
        <w:jc w:val="both"/>
      </w:pPr>
      <w:r>
        <w:t>16.1.6 How does the State ensure the non-repetition of such practices by incorporating an intercultural and anti-racist perspective into public policies?</w:t>
      </w:r>
    </w:p>
    <w:p w14:paraId="36449C91" w14:textId="77777777" w:rsidR="001B4D70" w:rsidRDefault="005D51BF">
      <w:pPr>
        <w:spacing w:after="200" w:line="360" w:lineRule="auto"/>
        <w:ind w:left="2267"/>
        <w:jc w:val="both"/>
      </w:pPr>
      <w:r>
        <w:t>16.1.7 How does the Brazilian State integrate an anti-racist, intercultural, and human rights-based approach into public security, criminal justice, and territorial protection policies, in order to prevent criminalization, excessive use of force, and institutional practices that result in cruel, inhuman, or degrading treatment against these groups?</w:t>
      </w:r>
    </w:p>
    <w:p w14:paraId="01374936" w14:textId="77777777" w:rsidR="001B4D70" w:rsidRDefault="005D51BF">
      <w:pPr>
        <w:spacing w:after="200" w:line="360" w:lineRule="auto"/>
        <w:ind w:left="2267"/>
        <w:jc w:val="both"/>
      </w:pPr>
      <w:r>
        <w:t>16.1.8 What disaggregated data does the Brazilian State produce and publicly disclose on institutional violence, including torture and other cruel, inhuman, or degrading treatment, perpetrated against Indigenous peoples, Quilombola communities, and Romani communities? How are these data used to inform public policies, the training of State agents, and accountability and non-repetition mechanisms?</w:t>
      </w:r>
    </w:p>
    <w:p w14:paraId="41004AA0" w14:textId="77777777" w:rsidR="001B4D70" w:rsidRDefault="005D51BF">
      <w:pPr>
        <w:spacing w:after="200" w:line="360" w:lineRule="auto"/>
        <w:ind w:left="2267"/>
        <w:jc w:val="both"/>
      </w:pPr>
      <w:r>
        <w:t>16.1.9 How does the State ensure that police operational protocols respect human rights and the cultural diversity of Indigenous peoples and traditional communities?</w:t>
      </w:r>
    </w:p>
    <w:p w14:paraId="433BA3D5" w14:textId="77777777" w:rsidR="001B4D70" w:rsidRDefault="005D51BF">
      <w:pPr>
        <w:spacing w:after="200" w:line="360" w:lineRule="auto"/>
        <w:ind w:left="2267"/>
        <w:jc w:val="both"/>
      </w:pPr>
      <w:r>
        <w:t>16.1.10 What independent monitoring mechanisms exist to assess the conduct of security forces in traditional territories?</w:t>
      </w:r>
    </w:p>
    <w:p w14:paraId="62090129" w14:textId="77777777" w:rsidR="001B4D70" w:rsidRDefault="005D51BF">
      <w:pPr>
        <w:spacing w:after="200" w:line="360" w:lineRule="auto"/>
        <w:ind w:left="2267"/>
        <w:jc w:val="both"/>
      </w:pPr>
      <w:r>
        <w:t>16.1.11 In light of the absence of a dedicated category for the self-identification of persons of Romani ethnicity in Brazil, how does the State intend to map this population in order to develop effective public policies that reflect the realities experienced in each territory?</w:t>
      </w:r>
    </w:p>
    <w:p w14:paraId="0E7E797C" w14:textId="77777777" w:rsidR="001B4D70" w:rsidRDefault="005D51BF">
      <w:pPr>
        <w:spacing w:after="200" w:line="360" w:lineRule="auto"/>
        <w:ind w:left="2267"/>
        <w:jc w:val="both"/>
      </w:pPr>
      <w:r>
        <w:lastRenderedPageBreak/>
        <w:t>16.1.12 How does the State ensure that Indigenous peoples and traditional communities have effective access to reporting and protection mechanisms against institutional violence, while respecting their cultural, territorial, and linguistic specificities, ensuring the participation of their representative organizations, and protecting community leaders against reprisals?</w:t>
      </w:r>
    </w:p>
    <w:p w14:paraId="250739A1" w14:textId="77777777" w:rsidR="001B4D70" w:rsidRDefault="001B4D70">
      <w:pPr>
        <w:spacing w:after="200" w:line="360" w:lineRule="auto"/>
        <w:ind w:left="2267"/>
        <w:jc w:val="both"/>
      </w:pPr>
    </w:p>
    <w:p w14:paraId="213A9614" w14:textId="77777777" w:rsidR="001B4D70" w:rsidRDefault="005D51BF">
      <w:pPr>
        <w:spacing w:after="200" w:line="360" w:lineRule="auto"/>
        <w:ind w:firstLine="720"/>
        <w:jc w:val="both"/>
        <w:rPr>
          <w:b/>
          <w:bCs/>
        </w:rPr>
      </w:pPr>
      <w:r>
        <w:rPr>
          <w:b/>
          <w:bCs/>
        </w:rPr>
        <w:t>16.2 LGBTI+ Population</w:t>
      </w:r>
    </w:p>
    <w:p w14:paraId="5F9C46C5" w14:textId="77777777" w:rsidR="001B4D70" w:rsidRDefault="005D51BF">
      <w:pPr>
        <w:spacing w:after="200" w:line="360" w:lineRule="auto"/>
        <w:jc w:val="both"/>
      </w:pPr>
      <w:r>
        <w:tab/>
        <w:t>Brazil remains the most dangerous country in the world for the LGBTI+ population. According to data compiled by the Grupo Gay da Bahia, in 2024 a total of 291 violent deaths were recorded nationwide, representing 34 more cases than in the previous year, including 273 homicides and 18 suicides. On average, one LGBTI+ person is violently killed every 30 hours.</w:t>
      </w:r>
      <w:r>
        <w:rPr>
          <w:vertAlign w:val="superscript"/>
        </w:rPr>
        <w:footnoteReference w:id="62"/>
      </w:r>
    </w:p>
    <w:p w14:paraId="0953D4AD" w14:textId="77777777" w:rsidR="001B4D70" w:rsidRDefault="005D51BF">
      <w:pPr>
        <w:spacing w:after="200" w:line="360" w:lineRule="auto"/>
        <w:jc w:val="both"/>
      </w:pPr>
      <w:r>
        <w:tab/>
        <w:t>It should be underscored that these violent deaths are predominantly perpetrated through physical and/or psychological torture. The aforementioned survey indicates that killings of LGBTI+ persons follow a pattern of extreme cruelty, most frequently involving edged weapons (22.36%), followed by firearms (21.65%), beatings with or without objects (14.09%), asphyxiation (7.22%), burning (2.07%), dismemberment (1.72%), and other unspecified causes (30.24%).</w:t>
      </w:r>
    </w:p>
    <w:p w14:paraId="7012B3E8" w14:textId="77777777" w:rsidR="001B4D70" w:rsidRDefault="005D51BF">
      <w:pPr>
        <w:spacing w:after="200" w:line="360" w:lineRule="auto"/>
        <w:jc w:val="both"/>
      </w:pPr>
      <w:r>
        <w:rPr>
          <w:b/>
          <w:bCs/>
        </w:rPr>
        <w:tab/>
      </w:r>
      <w:r>
        <w:t>Although the Supreme Federal Court, in 2019, framed acts of homophobia and transphobia under Brazil’s Anti-Racism Law (Law No. 7,716/1989) due to legislative omission in enacting specific legislation aimed at prosecuting and holding such conduct accountable, the number of victims continues to rise and cases of violent deaths have become increasingly severe. The National Congress has not only remained inactive over the years in protecting the rights of the LGBTI+ population, even following the Supreme Court’</w:t>
      </w:r>
      <w:r>
        <w:t xml:space="preserve">s ruling, but has also actively contributed to the dissemination of hate speech and anti-gender narratives, </w:t>
      </w:r>
      <w:r>
        <w:lastRenderedPageBreak/>
        <w:t>particularly targeting transgender persons. Between 2019 and 2023 alone, more than 60 anti-trans bills were introduced.</w:t>
      </w:r>
      <w:r>
        <w:rPr>
          <w:vertAlign w:val="superscript"/>
        </w:rPr>
        <w:footnoteReference w:id="63"/>
      </w:r>
      <w:r>
        <w:t xml:space="preserve"> </w:t>
      </w:r>
      <w:r>
        <w:rPr>
          <w:vertAlign w:val="superscript"/>
        </w:rPr>
        <w:footnoteReference w:id="64"/>
      </w:r>
      <w:r>
        <w:t xml:space="preserve"> </w:t>
      </w:r>
      <w:r>
        <w:rPr>
          <w:vertAlign w:val="superscript"/>
        </w:rPr>
        <w:footnoteReference w:id="65"/>
      </w:r>
    </w:p>
    <w:p w14:paraId="188CBAED" w14:textId="77777777" w:rsidR="001B4D70" w:rsidRDefault="005D51BF">
      <w:pPr>
        <w:spacing w:after="200" w:line="360" w:lineRule="auto"/>
        <w:jc w:val="both"/>
      </w:pPr>
      <w:r>
        <w:tab/>
        <w:t>Although most violent deaths affecting this population have been perpetrated by private individuals, the State plays a fundamental role in promoting and protecting the rights of LGBTI+ persons.</w:t>
      </w:r>
    </w:p>
    <w:p w14:paraId="69EBE273" w14:textId="77777777" w:rsidR="001B4D70" w:rsidRDefault="005D51BF">
      <w:pPr>
        <w:spacing w:after="200" w:line="360" w:lineRule="auto"/>
        <w:ind w:firstLine="720"/>
        <w:jc w:val="both"/>
      </w:pPr>
      <w:r>
        <w:t>For this reason, the National Council of Justice issued Resolution No. 348 (2020), which establishes guidelines and procedures to ensure the appropriate treatment of LGBTI+ persons in custody. While this constitutes an important initiative, its implementation continues to face significant challenges. Moreover, the full trajectory of a person in custody must be taken into account, from apprehension until presentation before the Judiciary and thereafter. In this regard, training and the application of these s</w:t>
      </w:r>
      <w:r>
        <w:t>ame guidelines must also extend to public security agents, who, in many cases, are themselves perpetrators of different forms of violence against the LGBTI+ population, ranging from the most subtle to the most extreme.</w:t>
      </w:r>
      <w:r>
        <w:rPr>
          <w:vertAlign w:val="superscript"/>
        </w:rPr>
        <w:footnoteReference w:id="66"/>
      </w:r>
      <w:r>
        <w:t xml:space="preserve"> </w:t>
      </w:r>
      <w:r>
        <w:rPr>
          <w:vertAlign w:val="superscript"/>
        </w:rPr>
        <w:footnoteReference w:id="67"/>
      </w:r>
    </w:p>
    <w:p w14:paraId="195B3324" w14:textId="77777777" w:rsidR="001B4D70" w:rsidRDefault="005D51BF">
      <w:pPr>
        <w:spacing w:after="200" w:line="360" w:lineRule="auto"/>
        <w:ind w:firstLine="720"/>
        <w:jc w:val="both"/>
      </w:pPr>
      <w:r>
        <w:t xml:space="preserve">In the context of deprivation of liberty, the invisibility of the LGBTI+ population is further exacerbated, resulting in heightened vulnerability and rights violations. There are reports of family members being denied visitation rights due to discrimination based on gender identity and sexual orientation. There are also allegations that lesbian and bisexual women, as well as trans men, are separated from their partners within prison facilities as a form of retaliation. In addition, trans women held in male </w:t>
      </w:r>
      <w:r>
        <w:t>facilities are reportedly segregated and placed in cells with greater exposure to harsh weather conditions, as well as subjected to other cruel, inhuman, or degrading treatment or punishment.</w:t>
      </w:r>
      <w:r>
        <w:rPr>
          <w:vertAlign w:val="superscript"/>
        </w:rPr>
        <w:footnoteReference w:id="68"/>
      </w:r>
    </w:p>
    <w:p w14:paraId="5AC5ABFE" w14:textId="77777777" w:rsidR="001B4D70" w:rsidRDefault="005D51BF">
      <w:pPr>
        <w:spacing w:after="200" w:line="360" w:lineRule="auto"/>
        <w:ind w:left="2267"/>
        <w:jc w:val="both"/>
      </w:pPr>
      <w:r>
        <w:t>16.2.1 What concrete measures are being adopted to ensure the full implementation of National Council of Justice Resolution No. 348 (2020) across all prison facilities in the country?</w:t>
      </w:r>
    </w:p>
    <w:p w14:paraId="6C6406CA" w14:textId="77777777" w:rsidR="001B4D70" w:rsidRDefault="005D51BF">
      <w:pPr>
        <w:spacing w:after="200" w:line="360" w:lineRule="auto"/>
        <w:ind w:left="2267"/>
        <w:jc w:val="both"/>
      </w:pPr>
      <w:r>
        <w:lastRenderedPageBreak/>
        <w:t>16.2.2 How does the State monitor and evaluate compliance with the guidelines established by the National Council of Justice regarding the treatment of LGBTI+ persons in custody?</w:t>
      </w:r>
    </w:p>
    <w:p w14:paraId="54655337" w14:textId="77777777" w:rsidR="001B4D70" w:rsidRDefault="005D51BF">
      <w:pPr>
        <w:spacing w:after="200" w:line="360" w:lineRule="auto"/>
        <w:ind w:left="2267"/>
        <w:jc w:val="both"/>
      </w:pPr>
      <w:r>
        <w:t>16.2.3 Is there any accountability mechanism for public officials who fail to comply with, or who violate, the provisions of this Resolution?</w:t>
      </w:r>
    </w:p>
    <w:p w14:paraId="4E364B1B" w14:textId="77777777" w:rsidR="001B4D70" w:rsidRDefault="005D51BF">
      <w:pPr>
        <w:spacing w:after="200" w:line="360" w:lineRule="auto"/>
        <w:ind w:left="2267"/>
        <w:jc w:val="both"/>
      </w:pPr>
      <w:r>
        <w:t>16.2.4 What actions or measures is the Brazilian State taking to reduce the number of violent deaths affecting the LGBTI+ population?</w:t>
      </w:r>
    </w:p>
    <w:p w14:paraId="13EC3AC1" w14:textId="77777777" w:rsidR="001B4D70" w:rsidRDefault="005D51BF">
      <w:pPr>
        <w:spacing w:after="200" w:line="360" w:lineRule="auto"/>
        <w:ind w:left="2267"/>
        <w:jc w:val="both"/>
      </w:pPr>
      <w:r>
        <w:t>16.2.5 Does the State maintain systematized data on human rights violations against LGBTI+ persons within the prison system? If so, how are these data made available to society?</w:t>
      </w:r>
    </w:p>
    <w:p w14:paraId="6896BFD3" w14:textId="77777777" w:rsidR="001B4D70" w:rsidRDefault="005D51BF">
      <w:pPr>
        <w:spacing w:after="200" w:line="360" w:lineRule="auto"/>
        <w:ind w:left="2267"/>
        <w:jc w:val="both"/>
      </w:pPr>
      <w:r>
        <w:t>16.2.6 Are there accessible and safe channels for reporting violence or discrimination against LGBTI+ persons in custody, and how does the State ensure the protection of those who report?</w:t>
      </w:r>
    </w:p>
    <w:p w14:paraId="7A49E6F4" w14:textId="77777777" w:rsidR="001B4D70" w:rsidRDefault="005D51BF">
      <w:pPr>
        <w:spacing w:after="200" w:line="360" w:lineRule="auto"/>
        <w:ind w:left="2267"/>
        <w:jc w:val="both"/>
      </w:pPr>
      <w:r>
        <w:t>16.2.7 What protocols or procedures has the Brazilian State adopted to prevent torture and other cruel, inhuman, or degrading treatment against LGBTI+ persons in custody or otherwise deprived of liberty by security agents, including those responsible for frontline policing?</w:t>
      </w:r>
    </w:p>
    <w:p w14:paraId="002E0EAA" w14:textId="77777777" w:rsidR="001B4D70" w:rsidRDefault="005D51BF">
      <w:pPr>
        <w:spacing w:after="200" w:line="360" w:lineRule="auto"/>
        <w:ind w:left="2267"/>
        <w:jc w:val="both"/>
      </w:pPr>
      <w:r>
        <w:t>16.2.8 What concrete measures has the Brazilian State adopted to prevent legislative backsliding and to promote the rights of the LGBTI+ population?</w:t>
      </w:r>
    </w:p>
    <w:p w14:paraId="01F53227" w14:textId="77777777" w:rsidR="001B4D70" w:rsidRDefault="001B4D70">
      <w:pPr>
        <w:spacing w:after="200" w:line="360" w:lineRule="auto"/>
        <w:ind w:left="2267"/>
        <w:jc w:val="both"/>
      </w:pPr>
    </w:p>
    <w:p w14:paraId="3691C3F5" w14:textId="77777777" w:rsidR="001B4D70" w:rsidRDefault="005D51BF">
      <w:pPr>
        <w:spacing w:after="200" w:line="360" w:lineRule="auto"/>
        <w:ind w:firstLine="720"/>
        <w:jc w:val="both"/>
        <w:rPr>
          <w:b/>
          <w:bCs/>
        </w:rPr>
      </w:pPr>
      <w:r>
        <w:rPr>
          <w:b/>
          <w:bCs/>
        </w:rPr>
        <w:t>16.3 Migrants and Refugees</w:t>
      </w:r>
    </w:p>
    <w:p w14:paraId="1117624A" w14:textId="77777777" w:rsidR="001B4D70" w:rsidRDefault="005D51BF">
      <w:pPr>
        <w:spacing w:after="200" w:line="360" w:lineRule="auto"/>
        <w:jc w:val="both"/>
      </w:pPr>
      <w:r>
        <w:tab/>
        <w:t>The presence of migrants and refugees in Brazil occurs within a context marked by multiple structural vulnerabilities, intersecting race, ethnicity, class, gender, nationality, and documentation status. Although the country has a normative framework that is formally aligned with human rights standards, including Federal Law No. 13,345/2017 and the Migration Law, in practice significant barriers to the enjoyment of fundamental rights persist, including access to housing, health care, justice, employment, am</w:t>
      </w:r>
      <w:r>
        <w:t xml:space="preserve">ong others. The precariousness of living conditions, combined with social stigmatization and the criminalization of human mobility, creates a context in which these individuals are frequently perceived as ‘suspicious’ and </w:t>
      </w:r>
      <w:r>
        <w:lastRenderedPageBreak/>
        <w:t>treated as undesirable, particularly in the case of non-white persons, and more specifically those of African origin, thereby increasing their exposure to repressive State action.</w:t>
      </w:r>
      <w:r>
        <w:rPr>
          <w:vertAlign w:val="superscript"/>
        </w:rPr>
        <w:footnoteReference w:id="69"/>
      </w:r>
    </w:p>
    <w:p w14:paraId="492271B2" w14:textId="77777777" w:rsidR="001B4D70" w:rsidRDefault="005D51BF">
      <w:pPr>
        <w:spacing w:after="200" w:line="360" w:lineRule="auto"/>
        <w:jc w:val="both"/>
      </w:pPr>
      <w:r>
        <w:tab/>
        <w:t>As a result, migrants and refugees become targets of institutional violence, particularly in spaces of control and custody, including border areas, reception centres, police stations, and prison facilities. The absence of support networks, the lack of access to interpreters or translators, limited knowledge of their rights, and fear of reprisals or deportation contribute to the silencing of reports of abusive practices. Torture and other cruel, inhuman, or degrading treatment may manifest in different form</w:t>
      </w:r>
      <w:r>
        <w:t>s, including through excessive use of force by security agents, as well as through negligence, humiliation, denial of rights, and State omission</w:t>
      </w:r>
      <w:r>
        <w:rPr>
          <w:vertAlign w:val="superscript"/>
        </w:rPr>
        <w:footnoteReference w:id="70"/>
      </w:r>
      <w:r>
        <w:t xml:space="preserve">. </w:t>
      </w:r>
    </w:p>
    <w:p w14:paraId="49709813" w14:textId="77777777" w:rsidR="001B4D70" w:rsidRDefault="005D51BF">
      <w:pPr>
        <w:spacing w:after="200" w:line="360" w:lineRule="auto"/>
        <w:ind w:firstLine="720"/>
        <w:jc w:val="both"/>
      </w:pPr>
      <w:r>
        <w:t>Addressing torture and other cruel, inhuman, or degrading treatment in this context requires not only formal accountability mechanisms, but, above all, public policies that ensure comprehensive protection, social participation, and effective access to rights, recognizing migration as a legitimate social phenomenon rather than a threat to public order.</w:t>
      </w:r>
    </w:p>
    <w:p w14:paraId="7F86E5A5" w14:textId="77777777" w:rsidR="001B4D70" w:rsidRDefault="005D51BF">
      <w:pPr>
        <w:spacing w:after="200" w:line="360" w:lineRule="auto"/>
        <w:ind w:left="2267"/>
        <w:jc w:val="both"/>
      </w:pPr>
      <w:r>
        <w:t>16.3.1 What concrete measures has the Brazilian State adopted to prevent, identify, and hold perpetrators accountable for practices of torture and other cruel, inhuman, or degrading treatment against migrants and refugees, particularly in spaces of State control such as border areas, reception centres, police stations, and prison facilities?</w:t>
      </w:r>
    </w:p>
    <w:p w14:paraId="7524D57D" w14:textId="77777777" w:rsidR="001B4D70" w:rsidRDefault="005D51BF">
      <w:pPr>
        <w:spacing w:after="200" w:line="360" w:lineRule="auto"/>
        <w:ind w:left="2267"/>
        <w:jc w:val="both"/>
      </w:pPr>
      <w:r>
        <w:t>16.3.2 How does the State ensure that migrants and refugees have effective access to safe, independent, and accessible reporting mechanisms, including guarantees of non-retaliation, linguistic support, and legal assistance, in cases of violations committed by public officials?</w:t>
      </w:r>
    </w:p>
    <w:p w14:paraId="211F01A4" w14:textId="77777777" w:rsidR="001B4D70" w:rsidRDefault="005D51BF">
      <w:pPr>
        <w:spacing w:after="200" w:line="360" w:lineRule="auto"/>
        <w:ind w:left="2267"/>
        <w:jc w:val="both"/>
      </w:pPr>
      <w:r>
        <w:t>16.3.3 In what ways do migration, public security, and deprivation of liberty policies incorporate a human rights and non-discrimination approach, taking into account ethnic-racial, gender, nationality, and migration status factors, in order to prevent institutional practices of violence, including degrading treatment?</w:t>
      </w:r>
    </w:p>
    <w:p w14:paraId="3D8EB357" w14:textId="77777777" w:rsidR="001B4D70" w:rsidRDefault="005D51BF">
      <w:pPr>
        <w:spacing w:after="200" w:line="360" w:lineRule="auto"/>
        <w:ind w:left="2267"/>
        <w:jc w:val="both"/>
      </w:pPr>
      <w:r>
        <w:lastRenderedPageBreak/>
        <w:t>16.3.4 What data does the Brazilian State produce and publicly disclose on institutional violence, including torture and other cruel, inhuman, or degrading treatment against migrants and refugees, and how are these data used to inform public policies, the training of State agents, and accountability mechanisms?</w:t>
      </w:r>
    </w:p>
    <w:p w14:paraId="2682E461" w14:textId="77777777" w:rsidR="001B4D70" w:rsidRDefault="001B4D70">
      <w:pPr>
        <w:spacing w:after="200" w:line="360" w:lineRule="auto"/>
        <w:ind w:left="2267"/>
        <w:jc w:val="both"/>
      </w:pPr>
    </w:p>
    <w:p w14:paraId="06801391" w14:textId="77777777" w:rsidR="001B4D70" w:rsidRDefault="005D51BF">
      <w:pPr>
        <w:spacing w:after="200" w:line="360" w:lineRule="auto"/>
        <w:ind w:firstLine="720"/>
        <w:jc w:val="both"/>
        <w:rPr>
          <w:b/>
          <w:bCs/>
        </w:rPr>
      </w:pPr>
      <w:r>
        <w:rPr>
          <w:b/>
          <w:bCs/>
        </w:rPr>
        <w:t>16.4 Persons with Disabilities</w:t>
      </w:r>
    </w:p>
    <w:p w14:paraId="7A7B493C" w14:textId="77777777" w:rsidR="001B4D70" w:rsidRDefault="005D51BF">
      <w:pPr>
        <w:spacing w:after="200" w:line="360" w:lineRule="auto"/>
        <w:jc w:val="both"/>
      </w:pPr>
      <w:r>
        <w:tab/>
        <w:t>Despite important normative advances, such as the Convention on the Rights of Persons with Disabilities and the Brazilian Law on the Inclusion of Persons with Disabilities (Federal Law No. 13,146/2015), the implementation of these guarantees remains limited, particularly in the areas of health, social assistance, education, urban mobility, and the justice system. Disability, when combined with other social markers such as race, ethnicity, gender, socioeconomic conditions, or deprivation of liberty, intensi</w:t>
      </w:r>
      <w:r>
        <w:t>fies exclusion and increases exposure to negligent State action. In such contexts, torture and other cruel, inhuman, or degrading treatment may manifest through inappropriate physical restraints, excessive use of force, compulsory institutionalization, forced medicalization, and prolonged confinement in public or private institutions.</w:t>
      </w:r>
      <w:r>
        <w:rPr>
          <w:vertAlign w:val="superscript"/>
        </w:rPr>
        <w:footnoteReference w:id="71"/>
      </w:r>
    </w:p>
    <w:p w14:paraId="66B57F67" w14:textId="77777777" w:rsidR="001B4D70" w:rsidRDefault="005D51BF">
      <w:pPr>
        <w:spacing w:after="200" w:line="360" w:lineRule="auto"/>
        <w:jc w:val="both"/>
      </w:pPr>
      <w:r>
        <w:tab/>
        <w:t>State omission is also evidenced through the denial of care and accessible infrastructure, as well as abandonment in custodial settings, psychiatric hospitals, prison units, and social assistance services. The invisibility of these violations contributes to their normalization and to the limited accountability of the actors involved.</w:t>
      </w:r>
      <w:r>
        <w:rPr>
          <w:vertAlign w:val="superscript"/>
        </w:rPr>
        <w:footnoteReference w:id="72"/>
      </w:r>
    </w:p>
    <w:p w14:paraId="5BE56EF4" w14:textId="77777777" w:rsidR="001B4D70" w:rsidRDefault="005D51BF">
      <w:pPr>
        <w:spacing w:after="200" w:line="360" w:lineRule="auto"/>
        <w:jc w:val="both"/>
      </w:pPr>
      <w:r>
        <w:tab/>
        <w:t>Addressing these violations requires overcoming tutelary and segregationist models, as well as the asylum-based logic. It demands the strengthening of public policies grounded in human rights, together with the guarantee of meaningful participation by persons with disabilities themselves and their representative organizations in policy design and oversight.</w:t>
      </w:r>
    </w:p>
    <w:p w14:paraId="0BDE6CFF" w14:textId="77777777" w:rsidR="001B4D70" w:rsidRDefault="005D51BF">
      <w:pPr>
        <w:spacing w:after="200" w:line="360" w:lineRule="auto"/>
        <w:ind w:left="2267"/>
        <w:jc w:val="both"/>
      </w:pPr>
      <w:r>
        <w:t xml:space="preserve">16.4.1 What specific measures have been implemented to train public officials, particularly in the areas of health, public security, justice, and social assistance, on the prevention of torture and other cruel, inhuman, or degrading treatment against persons with disabilities, with </w:t>
      </w:r>
      <w:r>
        <w:lastRenderedPageBreak/>
        <w:t>an emphasis on eliminating ableist practices and ensuring respect for autonomy and dignity?</w:t>
      </w:r>
    </w:p>
    <w:p w14:paraId="6F082AC1" w14:textId="77777777" w:rsidR="001B4D70" w:rsidRDefault="005D51BF">
      <w:pPr>
        <w:spacing w:after="200" w:line="360" w:lineRule="auto"/>
        <w:ind w:left="2267"/>
        <w:jc w:val="both"/>
      </w:pPr>
      <w:r>
        <w:t>16.4.2 What legislative, administrative, and judicial measures have been adopted to prevent acts of torture and other cruel, inhuman, or degrading treatment against persons with disabilities, particularly in the context of institutionalization, involuntary hospitalization, physical or chemical restraints, and isolation within health services, social assistance services, and places of deprivation of liberty?</w:t>
      </w:r>
    </w:p>
    <w:p w14:paraId="275D3031" w14:textId="77777777" w:rsidR="001B4D70" w:rsidRDefault="005D51BF">
      <w:pPr>
        <w:spacing w:after="200" w:line="360" w:lineRule="auto"/>
        <w:ind w:left="2267"/>
        <w:jc w:val="both"/>
      </w:pPr>
      <w:r>
        <w:t>16.4.3 What policies are being implemented to ensure dignified and accessible services within the justice, health, and social assistance sectors, including the provision of interpreters, assistive technologies, and reasonable accommodations for incarcerated persons with disabilities?</w:t>
      </w:r>
    </w:p>
    <w:p w14:paraId="3D0E87DD" w14:textId="77777777" w:rsidR="001B4D70" w:rsidRDefault="005D51BF">
      <w:pPr>
        <w:spacing w:after="200" w:line="360" w:lineRule="auto"/>
        <w:ind w:left="2267"/>
        <w:jc w:val="both"/>
      </w:pPr>
      <w:r>
        <w:t>16.4.4 What investments are planned to ensure accessible and inclusive mobility, eliminating physical and communication barriers within the prison system?</w:t>
      </w:r>
    </w:p>
    <w:p w14:paraId="717F0EBC" w14:textId="77777777" w:rsidR="001B4D70" w:rsidRDefault="005D51BF">
      <w:pPr>
        <w:spacing w:after="200" w:line="360" w:lineRule="auto"/>
        <w:ind w:left="2267"/>
        <w:jc w:val="both"/>
      </w:pPr>
      <w:r>
        <w:t>16.4.5 What disaggregated data does the Brazilian State produce and publish on institutional violence, including torture and other cruel, inhuman, or degrading treatment against persons with disabilities, and how are these data used to inform public policies, the training of State agents, and accountability and non-repetition mechanisms?</w:t>
      </w:r>
    </w:p>
    <w:p w14:paraId="32654041" w14:textId="77777777" w:rsidR="001B4D70" w:rsidRDefault="005D51BF">
      <w:pPr>
        <w:spacing w:after="200" w:line="360" w:lineRule="auto"/>
        <w:ind w:firstLine="720"/>
        <w:jc w:val="both"/>
        <w:rPr>
          <w:b/>
          <w:bCs/>
        </w:rPr>
      </w:pPr>
      <w:r>
        <w:rPr>
          <w:b/>
          <w:bCs/>
        </w:rPr>
        <w:t>17. Human Rights Defenders</w:t>
      </w:r>
    </w:p>
    <w:p w14:paraId="715EBE20" w14:textId="77777777" w:rsidR="001B4D70" w:rsidRDefault="005D51BF">
      <w:pPr>
        <w:spacing w:after="160" w:line="360" w:lineRule="auto"/>
        <w:ind w:firstLine="720"/>
        <w:jc w:val="both"/>
      </w:pPr>
      <w:r>
        <w:t>Brazil continues to be a dangerous country for those who defend human rights. Between 2023 and 2024, 486 human rights defenders were subjected to various forms of attacks and violations. More than 80% of these cases, approximately 81%, involved environmental and territorial defenders, namely those who protect land, natural resources, and Indigenous rights.</w:t>
      </w:r>
      <w:r>
        <w:rPr>
          <w:vertAlign w:val="superscript"/>
        </w:rPr>
        <w:footnoteReference w:id="73"/>
      </w:r>
    </w:p>
    <w:p w14:paraId="5AB0BA86" w14:textId="77777777" w:rsidR="001B4D70" w:rsidRDefault="005D51BF">
      <w:pPr>
        <w:spacing w:after="160" w:line="360" w:lineRule="auto"/>
        <w:ind w:firstLine="720"/>
        <w:jc w:val="both"/>
      </w:pPr>
      <w:r>
        <w:t xml:space="preserve">Although there is a slight downward trend in the overall number of violations compared to previous years, the situation remains deeply alarming. Human rights defenders continue to face threats, criminalization, physical assaults, attempted killings, and even assassinations. In </w:t>
      </w:r>
      <w:r>
        <w:lastRenderedPageBreak/>
        <w:t>addition, many are subjected to defamation and delegitimization campaigns aimed at silencing their work and discouraging others from speaking out.</w:t>
      </w:r>
    </w:p>
    <w:p w14:paraId="48F08BE8" w14:textId="77777777" w:rsidR="001B4D70" w:rsidRDefault="005D51BF">
      <w:pPr>
        <w:spacing w:after="160" w:line="360" w:lineRule="auto"/>
        <w:ind w:firstLine="720"/>
        <w:jc w:val="both"/>
      </w:pPr>
      <w:r>
        <w:t>Among the recorded cases of killings, approximately 55 occurred during this period; some were perpetrated not only by organized criminal groups, but also by members of the Armed Forces and the Civil Police. This reflects a broader climate of violence and impunity that continues to affect many regions of Brazil, particularly those impacted by illegal mining, land grabbing, and drug trafficking.</w:t>
      </w:r>
    </w:p>
    <w:p w14:paraId="4F342C55" w14:textId="77777777" w:rsidR="001B4D70" w:rsidRDefault="005D51BF">
      <w:pPr>
        <w:spacing w:after="160" w:line="360" w:lineRule="auto"/>
        <w:ind w:firstLine="720"/>
        <w:jc w:val="both"/>
      </w:pPr>
      <w:r>
        <w:t>Organized criminal networks often operate in collusion with local power structures, targeting community leaders and activists who challenge their control over territories and resources. This persistent violence not only threatens defenders’ lives, but also weakens democratic institutions, undermines the rule of law, and perpetuates a widespread climate of fear and silence.</w:t>
      </w:r>
    </w:p>
    <w:p w14:paraId="1F9585AF" w14:textId="77777777" w:rsidR="001B4D70" w:rsidRDefault="005D51BF">
      <w:pPr>
        <w:spacing w:after="160" w:line="360" w:lineRule="auto"/>
        <w:ind w:firstLine="720"/>
        <w:jc w:val="both"/>
      </w:pPr>
      <w:r>
        <w:t>In recent years, significant efforts have been undertaken to institutionalize a National Plan for the Protection of Human Rights Defenders, aimed at ensuring coordinated action among federal, state, and municipal authorities. The draft plan, developed by the Sales Pimenta Technical Working Group following extensive social participation and public consultations, was submitted to the Government in December 2024.</w:t>
      </w:r>
    </w:p>
    <w:p w14:paraId="46364505" w14:textId="77777777" w:rsidR="001B4D70" w:rsidRDefault="005D51BF">
      <w:pPr>
        <w:spacing w:after="160" w:line="360" w:lineRule="auto"/>
        <w:ind w:firstLine="720"/>
        <w:jc w:val="both"/>
      </w:pPr>
      <w:r>
        <w:t>As a result of sustained advocacy by human rights organizations and defenders themselves, the Plan has now been formally adopted. On 5 November 2025, Decree No. 12,710/2025 was published in the Official Gazette of the Union, establishing the National Plan for the Protection of Human Rights Defenders, a historic step toward strengthening institutionalized protection in the country.</w:t>
      </w:r>
    </w:p>
    <w:p w14:paraId="2B029E5E" w14:textId="77777777" w:rsidR="001B4D70" w:rsidRDefault="005D51BF">
      <w:pPr>
        <w:spacing w:after="160" w:line="360" w:lineRule="auto"/>
        <w:ind w:firstLine="720"/>
        <w:jc w:val="both"/>
      </w:pPr>
      <w:r>
        <w:t>The establishment of the Plan constitutes a significant milestone in consolidating a stable and adequately resourced public policy, including inter-ministerial coordination mechanisms and channels for civil society participation. It has the potential to enhance the protection of those working to defend human rights, environmental rights, and freedom of expression throughout the national territory. Nonetheless, the effective implementation of the Plan continues to face challenges, including ensuring sufficie</w:t>
      </w:r>
      <w:r>
        <w:t>nt resources, expanding territorial coverage, and guaranteeing that protection mechanisms operate in a continuous and coordinated manner.</w:t>
      </w:r>
    </w:p>
    <w:p w14:paraId="1E8255EA" w14:textId="77777777" w:rsidR="001B4D70" w:rsidRDefault="005D51BF">
      <w:pPr>
        <w:spacing w:after="160" w:line="360" w:lineRule="auto"/>
        <w:ind w:left="2160"/>
        <w:jc w:val="both"/>
      </w:pPr>
      <w:r>
        <w:t>17.1 What measures is the Brazilian State adopting to prevent, investigate, and ensure accountability for acts of violence, intimidation, or threats against human rights defenders, communicators, and environmental defenders?</w:t>
      </w:r>
    </w:p>
    <w:p w14:paraId="0926BCB7" w14:textId="77777777" w:rsidR="001B4D70" w:rsidRDefault="005D51BF">
      <w:pPr>
        <w:spacing w:after="160" w:line="360" w:lineRule="auto"/>
        <w:ind w:left="2160"/>
        <w:jc w:val="both"/>
      </w:pPr>
      <w:r>
        <w:lastRenderedPageBreak/>
        <w:t>17.2 What steps is the Brazilian State taking to implement the National Plan for the Protection of Human Rights Defenders, established by Decree No. 12,710/2025?</w:t>
      </w:r>
    </w:p>
    <w:p w14:paraId="2E226FA1" w14:textId="77777777" w:rsidR="001B4D70" w:rsidRDefault="005D51BF">
      <w:pPr>
        <w:spacing w:after="160" w:line="360" w:lineRule="auto"/>
        <w:ind w:left="2160"/>
        <w:jc w:val="both"/>
      </w:pPr>
      <w:r>
        <w:t>17.3 What concrete measures has the Brazilian State adopted to ensure sufficient resources, effective inter-ministerial coordination, and broad territorial coverage for the protection of human rights defenders?</w:t>
      </w:r>
    </w:p>
    <w:p w14:paraId="7A214156" w14:textId="77777777" w:rsidR="001B4D70" w:rsidRDefault="001B4D70">
      <w:pPr>
        <w:spacing w:after="160" w:line="360" w:lineRule="auto"/>
        <w:ind w:left="2160"/>
        <w:jc w:val="both"/>
      </w:pPr>
    </w:p>
    <w:p w14:paraId="68D475E1" w14:textId="77777777" w:rsidR="001B4D70" w:rsidRDefault="005D51BF">
      <w:pPr>
        <w:spacing w:after="200" w:line="360" w:lineRule="auto"/>
        <w:jc w:val="both"/>
        <w:rPr>
          <w:b/>
          <w:bCs/>
        </w:rPr>
      </w:pPr>
      <w:r>
        <w:rPr>
          <w:b/>
          <w:bCs/>
        </w:rPr>
        <w:t>18. Access to Abortion</w:t>
      </w:r>
    </w:p>
    <w:p w14:paraId="39BB1979" w14:textId="77777777" w:rsidR="001B4D70" w:rsidRDefault="005D51BF">
      <w:pPr>
        <w:spacing w:after="200" w:line="360" w:lineRule="auto"/>
        <w:jc w:val="both"/>
      </w:pPr>
      <w:r>
        <w:tab/>
        <w:t xml:space="preserve">In Brazil, abortion remains legal only under three circumstances: in cases of sexual violence, when there is a risk to the life of the pregnant person, and in cases of fetal anencephaly. However, there have been persistent attempts within the National Congress to roll back this right. In 2024, the Chamber of Deputies approved an urgent procedure request for Bill No. 1,904/2024, which seeks to equate abortion performed after 22 weeks of gestation with the crime of homicide, increasing penalties to up to 20 </w:t>
      </w:r>
      <w:r>
        <w:t>years of imprisonment, even in cases where the pregnancy results from rape. Public pressure ultimately prevented the bill from being put to a vote.</w:t>
      </w:r>
    </w:p>
    <w:p w14:paraId="59CCFD8A" w14:textId="77777777" w:rsidR="001B4D70" w:rsidRDefault="005D51BF">
      <w:pPr>
        <w:spacing w:after="200" w:line="360" w:lineRule="auto"/>
        <w:ind w:firstLine="720"/>
        <w:jc w:val="both"/>
      </w:pPr>
      <w:r>
        <w:t>In 2025, the most significant threat emerged in the form of Legislative Decree Bill (PDL) No. 3/2025, which seeks to suspend Resolution No. 258/2024 of the National Council for the Rights of Children and Adolescents (CONANDA). The Resolution sets out guidelines for the care of children and adolescents who are victims of sexual violence, including access to legal abortion. Although it does not introduce any legislative innovation and merely regulates provisions that have been established by law for more than</w:t>
      </w:r>
      <w:r>
        <w:t xml:space="preserve"> 80 years, the Resolution has faced strong opposition since its proposal. There are, however, no concrete records indicating that the Government is working to implement it. Meanwhile, Brazil records an average of 20,000 girls aged 14 and under becoming mothers each year, 75% of whom are Black. In addition, </w:t>
      </w:r>
      <w:r>
        <w:lastRenderedPageBreak/>
        <w:t>the highest fertility rates among girls aged 10 to 14 between 2014 and 2023 were recorded in Indigenous territories.</w:t>
      </w:r>
      <w:r>
        <w:rPr>
          <w:vertAlign w:val="superscript"/>
        </w:rPr>
        <w:footnoteReference w:id="74"/>
      </w:r>
      <w:r>
        <w:t xml:space="preserve"> </w:t>
      </w:r>
      <w:r>
        <w:rPr>
          <w:vertAlign w:val="superscript"/>
        </w:rPr>
        <w:footnoteReference w:id="75"/>
      </w:r>
      <w:r>
        <w:t xml:space="preserve"> </w:t>
      </w:r>
      <w:r>
        <w:rPr>
          <w:vertAlign w:val="superscript"/>
        </w:rPr>
        <w:footnoteReference w:id="76"/>
      </w:r>
      <w:r>
        <w:t xml:space="preserve"> </w:t>
      </w:r>
      <w:r>
        <w:rPr>
          <w:vertAlign w:val="superscript"/>
        </w:rPr>
        <w:footnoteReference w:id="77"/>
      </w:r>
      <w:r>
        <w:t>.</w:t>
      </w:r>
    </w:p>
    <w:p w14:paraId="28277505" w14:textId="77777777" w:rsidR="001B4D70" w:rsidRDefault="005D51BF">
      <w:pPr>
        <w:spacing w:after="200" w:line="360" w:lineRule="auto"/>
        <w:ind w:left="2267"/>
        <w:jc w:val="both"/>
      </w:pPr>
      <w:r>
        <w:t>18.1 What steps is the Brazilian State taking to implement CONANDA Resolution No. 258/2024?</w:t>
      </w:r>
    </w:p>
    <w:p w14:paraId="0CC10B26" w14:textId="77777777" w:rsidR="001B4D70" w:rsidRDefault="005D51BF">
      <w:pPr>
        <w:spacing w:after="200" w:line="360" w:lineRule="auto"/>
        <w:ind w:left="2267"/>
        <w:jc w:val="both"/>
      </w:pPr>
      <w:r>
        <w:t>18.2 What other policies aimed at reducing and preventing child and adolescent pregnancy has the Brazilian State adopted, or does it intend to adopt?</w:t>
      </w:r>
    </w:p>
    <w:p w14:paraId="64D56B79" w14:textId="77777777" w:rsidR="001B4D70" w:rsidRDefault="005D51BF">
      <w:pPr>
        <w:spacing w:after="200" w:line="360" w:lineRule="auto"/>
        <w:ind w:left="2267"/>
        <w:jc w:val="both"/>
      </w:pPr>
      <w:r>
        <w:t>18.3 What measures is the Brazilian State taking to expand access to legal abortion, including by increasing the availability of services in all regions of the country?</w:t>
      </w:r>
    </w:p>
    <w:p w14:paraId="6A88E369" w14:textId="77777777" w:rsidR="001B4D70" w:rsidRDefault="005D51BF">
      <w:pPr>
        <w:spacing w:after="200" w:line="360" w:lineRule="auto"/>
        <w:ind w:left="2267"/>
        <w:jc w:val="both"/>
      </w:pPr>
      <w:r>
        <w:t>18.4 Is the Brazilian State adopting differentiated measures specifically targeting Black and Indigenous girls, who are disproportionately affected by child pregnancy and statutory rape?</w:t>
      </w:r>
    </w:p>
    <w:p w14:paraId="208926E9" w14:textId="77777777" w:rsidR="001B4D70" w:rsidRDefault="005D51BF">
      <w:pPr>
        <w:spacing w:after="200" w:line="360" w:lineRule="auto"/>
        <w:ind w:left="2267"/>
        <w:jc w:val="both"/>
      </w:pPr>
      <w:r>
        <w:t>18.5 What has the federal Government done to deter attempts to roll back the right to access legal abortion?</w:t>
      </w:r>
    </w:p>
    <w:sectPr w:rsidR="001B4D7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B1DA4" w14:textId="77777777" w:rsidR="005D51BF" w:rsidRDefault="005D51BF">
      <w:pPr>
        <w:spacing w:line="240" w:lineRule="auto"/>
      </w:pPr>
      <w:r>
        <w:separator/>
      </w:r>
    </w:p>
  </w:endnote>
  <w:endnote w:type="continuationSeparator" w:id="0">
    <w:p w14:paraId="147F6F7E" w14:textId="77777777" w:rsidR="005D51BF" w:rsidRDefault="005D51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4BA59DA-FC69-473D-9F19-D94853C67849}"/>
    <w:embedBold r:id="rId2" w:fontKey="{D12A3892-3AF8-461D-B5EB-89EE93B6C3ED}"/>
  </w:font>
  <w:font w:name="Roboto">
    <w:charset w:val="00"/>
    <w:family w:val="auto"/>
    <w:pitch w:val="variable"/>
    <w:sig w:usb0="E0000AFF" w:usb1="5000217F" w:usb2="00000021" w:usb3="00000000" w:csb0="0000019F" w:csb1="00000000"/>
    <w:embedBold r:id="rId3" w:fontKey="{CC7F7827-DFC9-4186-9B40-A32FAF7F3E9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6183AFD6-00B5-4E96-B33E-17C680A53882}"/>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D6186" w14:textId="77777777" w:rsidR="005D51BF" w:rsidRDefault="005D51BF">
      <w:pPr>
        <w:spacing w:line="240" w:lineRule="auto"/>
      </w:pPr>
      <w:r>
        <w:separator/>
      </w:r>
    </w:p>
  </w:footnote>
  <w:footnote w:type="continuationSeparator" w:id="0">
    <w:p w14:paraId="73C8F329" w14:textId="77777777" w:rsidR="005D51BF" w:rsidRDefault="005D51BF">
      <w:pPr>
        <w:spacing w:line="240" w:lineRule="auto"/>
      </w:pPr>
      <w:r>
        <w:continuationSeparator/>
      </w:r>
    </w:p>
  </w:footnote>
  <w:footnote w:id="1">
    <w:p w14:paraId="57D85000" w14:textId="77777777" w:rsidR="001B4D70" w:rsidRDefault="005D51BF">
      <w:pPr>
        <w:spacing w:line="240" w:lineRule="auto"/>
        <w:jc w:val="both"/>
        <w:rPr>
          <w:sz w:val="18"/>
          <w:szCs w:val="18"/>
        </w:rPr>
      </w:pPr>
      <w:r>
        <w:rPr>
          <w:vertAlign w:val="superscript"/>
        </w:rPr>
        <w:footnoteRef/>
      </w:r>
      <w:r>
        <w:rPr>
          <w:sz w:val="18"/>
          <w:szCs w:val="18"/>
        </w:rPr>
        <w:t xml:space="preserve"> Available at: &lt;</w:t>
      </w:r>
      <w:hyperlink r:id="rId1">
        <w:r>
          <w:rPr>
            <w:color w:val="1155CC"/>
            <w:sz w:val="18"/>
            <w:szCs w:val="18"/>
            <w:u w:val="single"/>
          </w:rPr>
          <w:t>https://www.planalto.gov.br/ccivil_03/decreto/1990-1994/d0040.htm</w:t>
        </w:r>
      </w:hyperlink>
      <w:r>
        <w:rPr>
          <w:sz w:val="18"/>
          <w:szCs w:val="18"/>
        </w:rPr>
        <w:t>&gt;. Accessed on: 12/01/2026.</w:t>
      </w:r>
    </w:p>
  </w:footnote>
  <w:footnote w:id="2">
    <w:p w14:paraId="2081F382" w14:textId="77777777" w:rsidR="001B4D70" w:rsidRDefault="005D51BF">
      <w:pPr>
        <w:spacing w:line="240" w:lineRule="auto"/>
        <w:jc w:val="both"/>
        <w:rPr>
          <w:sz w:val="18"/>
          <w:szCs w:val="18"/>
        </w:rPr>
      </w:pPr>
      <w:r>
        <w:rPr>
          <w:vertAlign w:val="superscript"/>
        </w:rPr>
        <w:footnoteRef/>
      </w:r>
      <w:r>
        <w:rPr>
          <w:sz w:val="18"/>
          <w:szCs w:val="18"/>
        </w:rPr>
        <w:t>Available at: &lt;</w:t>
      </w:r>
      <w:hyperlink r:id="rId2">
        <w:r>
          <w:rPr>
            <w:color w:val="1155CC"/>
            <w:sz w:val="18"/>
            <w:szCs w:val="18"/>
            <w:u w:val="single"/>
          </w:rPr>
          <w:t>https://www.planalto.gov.br/ccivil_03/_ato2007-2010/2007/decreto/d6085.htm</w:t>
        </w:r>
      </w:hyperlink>
      <w:r>
        <w:rPr>
          <w:sz w:val="18"/>
          <w:szCs w:val="18"/>
        </w:rPr>
        <w:t>&gt;. Accessed on: 12/01/2026.</w:t>
      </w:r>
    </w:p>
  </w:footnote>
  <w:footnote w:id="3">
    <w:p w14:paraId="34677E18" w14:textId="77777777" w:rsidR="001B4D70" w:rsidRDefault="005D51BF">
      <w:pPr>
        <w:spacing w:line="240" w:lineRule="auto"/>
        <w:jc w:val="both"/>
        <w:rPr>
          <w:sz w:val="18"/>
          <w:szCs w:val="18"/>
        </w:rPr>
      </w:pPr>
      <w:r>
        <w:rPr>
          <w:vertAlign w:val="superscript"/>
        </w:rPr>
        <w:footnoteRef/>
      </w:r>
      <w:r>
        <w:rPr>
          <w:sz w:val="18"/>
          <w:szCs w:val="18"/>
        </w:rPr>
        <w:t xml:space="preserve"> Available at: &lt;</w:t>
      </w:r>
      <w:hyperlink r:id="rId3">
        <w:r>
          <w:rPr>
            <w:color w:val="1155CC"/>
            <w:sz w:val="18"/>
            <w:szCs w:val="18"/>
            <w:u w:val="single"/>
          </w:rPr>
          <w:t>https://www.planalto.gov.br/ccivil_03/leis/l9455.htm</w:t>
        </w:r>
      </w:hyperlink>
      <w:r>
        <w:rPr>
          <w:sz w:val="18"/>
          <w:szCs w:val="18"/>
        </w:rPr>
        <w:t>&gt;. Accessed on: 12/01/2026.</w:t>
      </w:r>
    </w:p>
  </w:footnote>
  <w:footnote w:id="4">
    <w:p w14:paraId="015D3D95" w14:textId="77777777" w:rsidR="001B4D70" w:rsidRDefault="005D51BF">
      <w:pPr>
        <w:spacing w:line="240" w:lineRule="auto"/>
        <w:jc w:val="both"/>
        <w:rPr>
          <w:sz w:val="18"/>
          <w:szCs w:val="18"/>
        </w:rPr>
      </w:pPr>
      <w:r>
        <w:rPr>
          <w:vertAlign w:val="superscript"/>
        </w:rPr>
        <w:footnoteRef/>
      </w:r>
      <w:r>
        <w:rPr>
          <w:sz w:val="18"/>
          <w:szCs w:val="18"/>
        </w:rPr>
        <w:t>Available at: &lt;</w:t>
      </w:r>
      <w:hyperlink r:id="rId4">
        <w:r>
          <w:rPr>
            <w:color w:val="1155CC"/>
            <w:sz w:val="18"/>
            <w:szCs w:val="18"/>
            <w:u w:val="single"/>
          </w:rPr>
          <w:t>https://www.planalto.gov.br/ccivil_03/_Ato2011-2014/2013/Lei/L12847.htm</w:t>
        </w:r>
      </w:hyperlink>
      <w:r>
        <w:rPr>
          <w:sz w:val="18"/>
          <w:szCs w:val="18"/>
        </w:rPr>
        <w:t>&gt;. Accessed on: 12/01/2026.</w:t>
      </w:r>
    </w:p>
  </w:footnote>
  <w:footnote w:id="5">
    <w:p w14:paraId="71102EF4" w14:textId="77777777" w:rsidR="001B4D70" w:rsidRDefault="005D51BF">
      <w:pPr>
        <w:spacing w:line="240" w:lineRule="auto"/>
        <w:jc w:val="both"/>
        <w:rPr>
          <w:sz w:val="18"/>
          <w:szCs w:val="18"/>
        </w:rPr>
      </w:pPr>
      <w:r>
        <w:rPr>
          <w:vertAlign w:val="superscript"/>
        </w:rPr>
        <w:footnoteRef/>
      </w:r>
      <w:r>
        <w:rPr>
          <w:sz w:val="18"/>
          <w:szCs w:val="18"/>
        </w:rPr>
        <w:t>Available at: &lt;</w:t>
      </w:r>
      <w:hyperlink r:id="rId5">
        <w:r>
          <w:rPr>
            <w:color w:val="1155CC"/>
            <w:sz w:val="18"/>
            <w:szCs w:val="18"/>
            <w:u w:val="single"/>
          </w:rPr>
          <w:t>https://www.gov.br/mdh/pt-br/acesso-a-informacao/institucional/portarias/portaria-no-346-de-19-de-setembro-de-2017</w:t>
        </w:r>
      </w:hyperlink>
      <w:r>
        <w:rPr>
          <w:sz w:val="18"/>
          <w:szCs w:val="18"/>
        </w:rPr>
        <w:t>&gt;. Accessed on: 12/01/2026.</w:t>
      </w:r>
    </w:p>
  </w:footnote>
  <w:footnote w:id="6">
    <w:p w14:paraId="14E63ED4" w14:textId="77777777" w:rsidR="001B4D70" w:rsidRDefault="005D51BF">
      <w:pPr>
        <w:spacing w:line="240" w:lineRule="auto"/>
        <w:jc w:val="both"/>
        <w:rPr>
          <w:sz w:val="18"/>
          <w:szCs w:val="18"/>
        </w:rPr>
      </w:pPr>
      <w:r>
        <w:rPr>
          <w:vertAlign w:val="superscript"/>
        </w:rPr>
        <w:footnoteRef/>
      </w:r>
      <w:r>
        <w:rPr>
          <w:sz w:val="18"/>
          <w:szCs w:val="18"/>
        </w:rPr>
        <w:t xml:space="preserve">Available at: </w:t>
      </w:r>
      <w:hyperlink r:id="rId6">
        <w:r>
          <w:rPr>
            <w:color w:val="1155CC"/>
            <w:sz w:val="18"/>
            <w:szCs w:val="18"/>
            <w:u w:val="single"/>
          </w:rPr>
          <w:t>https://www.conjur.com.br/2013-abr-16/alguns-crimes-responsabilizacoes-massacre-carandiru-prescreveram/</w:t>
        </w:r>
      </w:hyperlink>
      <w:r>
        <w:rPr>
          <w:sz w:val="18"/>
          <w:szCs w:val="18"/>
        </w:rPr>
        <w:t xml:space="preserve"> and </w:t>
      </w:r>
      <w:hyperlink r:id="rId7">
        <w:r>
          <w:rPr>
            <w:color w:val="1155CC"/>
            <w:sz w:val="18"/>
            <w:szCs w:val="18"/>
            <w:u w:val="single"/>
          </w:rPr>
          <w:t>https://ponte.org/massacre-do-carandiru-esta-cada-vez-mais-perto-da-impunidade-por-indulto-ou-prescricao/</w:t>
        </w:r>
      </w:hyperlink>
      <w:r>
        <w:rPr>
          <w:sz w:val="18"/>
          <w:szCs w:val="18"/>
        </w:rPr>
        <w:t xml:space="preserve"> Accessed on 7 jan. 2026.</w:t>
      </w:r>
    </w:p>
  </w:footnote>
  <w:footnote w:id="7">
    <w:p w14:paraId="60051784" w14:textId="77777777" w:rsidR="001B4D70" w:rsidRDefault="005D51BF">
      <w:pPr>
        <w:spacing w:line="240" w:lineRule="auto"/>
        <w:rPr>
          <w:sz w:val="18"/>
          <w:szCs w:val="18"/>
        </w:rPr>
      </w:pPr>
      <w:r>
        <w:rPr>
          <w:vertAlign w:val="superscript"/>
        </w:rPr>
        <w:footnoteRef/>
      </w:r>
      <w:r>
        <w:rPr>
          <w:sz w:val="18"/>
          <w:szCs w:val="18"/>
        </w:rPr>
        <w:t xml:space="preserve"> Available at: </w:t>
      </w:r>
      <w:hyperlink r:id="rId8">
        <w:r>
          <w:rPr>
            <w:color w:val="1155CC"/>
            <w:sz w:val="18"/>
            <w:szCs w:val="18"/>
            <w:u w:val="single"/>
          </w:rPr>
          <w:t>https://atos.cnj.jus.br/atos/detalhar/2234</w:t>
        </w:r>
      </w:hyperlink>
      <w:r>
        <w:rPr>
          <w:sz w:val="18"/>
          <w:szCs w:val="18"/>
        </w:rPr>
        <w:t xml:space="preserve"> . Accessed on 7 jan. 2026.</w:t>
      </w:r>
    </w:p>
  </w:footnote>
  <w:footnote w:id="8">
    <w:p w14:paraId="3E640E40" w14:textId="77777777" w:rsidR="001B4D70" w:rsidRDefault="005D51BF">
      <w:pPr>
        <w:spacing w:line="240" w:lineRule="auto"/>
        <w:rPr>
          <w:sz w:val="18"/>
          <w:szCs w:val="18"/>
        </w:rPr>
      </w:pPr>
      <w:r>
        <w:rPr>
          <w:vertAlign w:val="superscript"/>
        </w:rPr>
        <w:footnoteRef/>
      </w:r>
      <w:r>
        <w:rPr>
          <w:sz w:val="18"/>
          <w:szCs w:val="18"/>
        </w:rPr>
        <w:t xml:space="preserve"> Direct Action of Unconstitutionality No. 347 represents a historic legal landmark in Brazil, in which the Brazilian Supreme Court recognized the “unconstitutional state of affairs” in the Brazilian prison system. This constitutes a structural litigation case that benefited from the contribution of several human rights organizations acting as amicus curiae. The case was adjudicated in 2024, establishing the obligation of the Executive and Judicial branches to develop a national plan capable of addressing an</w:t>
      </w:r>
      <w:r>
        <w:rPr>
          <w:sz w:val="18"/>
          <w:szCs w:val="18"/>
        </w:rPr>
        <w:t>d overcoming the serious violations identified. The decision also required all Brazilian states to develop plans specific to their local realities, based on the national plan. For further details, see Section 9.1 of this report.</w:t>
      </w:r>
    </w:p>
  </w:footnote>
  <w:footnote w:id="9">
    <w:p w14:paraId="1F838B4A" w14:textId="77777777" w:rsidR="001B4D70" w:rsidRDefault="005D51BF">
      <w:pPr>
        <w:spacing w:line="240" w:lineRule="auto"/>
        <w:jc w:val="both"/>
        <w:rPr>
          <w:sz w:val="18"/>
          <w:szCs w:val="18"/>
        </w:rPr>
      </w:pPr>
      <w:r>
        <w:rPr>
          <w:vertAlign w:val="superscript"/>
        </w:rPr>
        <w:footnoteRef/>
      </w:r>
      <w:r>
        <w:rPr>
          <w:sz w:val="18"/>
          <w:szCs w:val="18"/>
        </w:rPr>
        <w:t>Article 31 provides that, in the event of death or judicially declared absence, the right to lodge a complaint or to continue the proceedings shall pass to the spouse, ascendant, descendant, or sibling, excluding other family members. Depending on the family configuration, this may constitute an obstacle to the effective and meaningful participation of the family in the proceedings. The Code of Criminal Procedure further provides that, at all stages of public criminal proceedings, the victim or his or her l</w:t>
      </w:r>
      <w:r>
        <w:rPr>
          <w:sz w:val="18"/>
          <w:szCs w:val="18"/>
        </w:rPr>
        <w:t>egal representative may intervene as an assistant to the Public Prosecutor’s Office, or, in their absence, any of the persons referred to in Article 31. The assistant shall be admitted until the judgment becomes final and shall take the case in the condition in which it stands. The assistant is permitted to propose evidentiary measures, request questions to witnesses, participate in oral arguments, and submit written pleadings in appeals filed by the Public Prosecutor’s Office, or by the assistant themselve</w:t>
      </w:r>
      <w:r>
        <w:rPr>
          <w:sz w:val="18"/>
          <w:szCs w:val="18"/>
        </w:rPr>
        <w:t>s, in the cases provided for in Article 598 of the same Code. Article 598 addresses the possibility of filing an appeal in crimes falling within the jurisdiction of the Jury Court (intentional crimes against life) or of a single judge, where the Public Prosecutor’s Office does not lodge an appeal against the judgment within the statutory time limit, even if the party has not been formally admitted as an assistant, albeit without suspensive effect.</w:t>
      </w:r>
    </w:p>
  </w:footnote>
  <w:footnote w:id="10">
    <w:p w14:paraId="148347CA" w14:textId="77777777" w:rsidR="001B4D70" w:rsidRDefault="005D51BF">
      <w:pPr>
        <w:spacing w:line="240" w:lineRule="auto"/>
        <w:rPr>
          <w:sz w:val="18"/>
          <w:szCs w:val="18"/>
        </w:rPr>
      </w:pPr>
      <w:r>
        <w:rPr>
          <w:vertAlign w:val="superscript"/>
        </w:rPr>
        <w:footnoteRef/>
      </w:r>
      <w:r>
        <w:rPr>
          <w:sz w:val="18"/>
          <w:szCs w:val="18"/>
        </w:rPr>
        <w:t xml:space="preserve"> Available at: </w:t>
      </w:r>
      <w:hyperlink r:id="rId9">
        <w:r>
          <w:rPr>
            <w:color w:val="1155CC"/>
            <w:sz w:val="18"/>
            <w:szCs w:val="18"/>
            <w:u w:val="single"/>
          </w:rPr>
          <w:t>https://www.cnmp.mp.br/portal/images/Resolucoes/2021/Resoluo-n-243-2021.pdf</w:t>
        </w:r>
      </w:hyperlink>
      <w:r>
        <w:rPr>
          <w:sz w:val="18"/>
          <w:szCs w:val="18"/>
        </w:rPr>
        <w:t xml:space="preserve"> . Accessed on: 7 jan. 2026.</w:t>
      </w:r>
    </w:p>
  </w:footnote>
  <w:footnote w:id="11">
    <w:p w14:paraId="0B65C2D0" w14:textId="77777777" w:rsidR="001B4D70" w:rsidRDefault="005D51BF">
      <w:pPr>
        <w:spacing w:line="240" w:lineRule="auto"/>
        <w:jc w:val="both"/>
        <w:rPr>
          <w:sz w:val="18"/>
          <w:szCs w:val="18"/>
        </w:rPr>
      </w:pPr>
      <w:r>
        <w:rPr>
          <w:vertAlign w:val="superscript"/>
        </w:rPr>
        <w:footnoteRef/>
      </w:r>
      <w:r>
        <w:rPr>
          <w:sz w:val="18"/>
          <w:szCs w:val="18"/>
        </w:rPr>
        <w:t xml:space="preserve"> Available at: </w:t>
      </w:r>
      <w:hyperlink r:id="rId10">
        <w:r>
          <w:rPr>
            <w:color w:val="1155CC"/>
            <w:sz w:val="18"/>
            <w:szCs w:val="18"/>
            <w:u w:val="single"/>
          </w:rPr>
          <w:t>https://forumseguranca.org.br/wp-content/uploads/2025/07/anuario-2025.pdf</w:t>
        </w:r>
      </w:hyperlink>
      <w:r>
        <w:rPr>
          <w:sz w:val="18"/>
          <w:szCs w:val="18"/>
        </w:rPr>
        <w:t xml:space="preserve"> Accessed on: 17/12/2025.</w:t>
      </w:r>
    </w:p>
  </w:footnote>
  <w:footnote w:id="12">
    <w:p w14:paraId="59EF6267" w14:textId="77777777" w:rsidR="001B4D70" w:rsidRDefault="005D51BF">
      <w:pPr>
        <w:spacing w:line="240" w:lineRule="auto"/>
        <w:jc w:val="both"/>
        <w:rPr>
          <w:sz w:val="18"/>
          <w:szCs w:val="18"/>
        </w:rPr>
      </w:pPr>
      <w:r>
        <w:rPr>
          <w:vertAlign w:val="superscript"/>
        </w:rPr>
        <w:footnoteRef/>
      </w:r>
      <w:r>
        <w:rPr>
          <w:sz w:val="18"/>
          <w:szCs w:val="18"/>
        </w:rPr>
        <w:t xml:space="preserve"> Available at: </w:t>
      </w:r>
      <w:hyperlink r:id="rId11">
        <w:r>
          <w:rPr>
            <w:color w:val="1155CC"/>
            <w:sz w:val="18"/>
            <w:szCs w:val="18"/>
            <w:u w:val="single"/>
          </w:rPr>
          <w:t>https://www.cnnbrasil.com.br/nacional/sudeste/rj/acao-mais-letal-da-historia-do-rj-supera-em-mortes-o-massacre-do-carandiru/</w:t>
        </w:r>
      </w:hyperlink>
      <w:r>
        <w:rPr>
          <w:sz w:val="18"/>
          <w:szCs w:val="18"/>
        </w:rPr>
        <w:t xml:space="preserve"> Accessed on: 17/12/ 2025.</w:t>
      </w:r>
    </w:p>
  </w:footnote>
  <w:footnote w:id="13">
    <w:p w14:paraId="4F9EF623" w14:textId="77777777" w:rsidR="001B4D70" w:rsidRDefault="005D51BF">
      <w:pPr>
        <w:spacing w:line="240" w:lineRule="auto"/>
        <w:jc w:val="both"/>
        <w:rPr>
          <w:sz w:val="18"/>
          <w:szCs w:val="18"/>
        </w:rPr>
      </w:pPr>
      <w:r>
        <w:rPr>
          <w:vertAlign w:val="superscript"/>
        </w:rPr>
        <w:footnoteRef/>
      </w:r>
      <w:r>
        <w:rPr>
          <w:sz w:val="18"/>
          <w:szCs w:val="18"/>
        </w:rPr>
        <w:t xml:space="preserve"> Available at: </w:t>
      </w:r>
      <w:hyperlink r:id="rId12">
        <w:r>
          <w:rPr>
            <w:color w:val="1155CC"/>
            <w:sz w:val="18"/>
            <w:szCs w:val="18"/>
            <w:u w:val="single"/>
          </w:rPr>
          <w:t>https://agenciabrasil.ebc.com.br/justica/noticia/2025-12/mprj-faz-novas-denuncias-contra-pms-por-crimes-na-operacao-contencao</w:t>
        </w:r>
      </w:hyperlink>
      <w:r>
        <w:rPr>
          <w:sz w:val="18"/>
          <w:szCs w:val="18"/>
        </w:rPr>
        <w:t xml:space="preserve"> Accessed on: 19/12/2025.</w:t>
      </w:r>
    </w:p>
  </w:footnote>
  <w:footnote w:id="14">
    <w:p w14:paraId="20558C0F" w14:textId="77777777" w:rsidR="001B4D70" w:rsidRDefault="005D51BF">
      <w:pPr>
        <w:spacing w:line="240" w:lineRule="auto"/>
        <w:rPr>
          <w:sz w:val="18"/>
          <w:szCs w:val="18"/>
        </w:rPr>
      </w:pPr>
      <w:r>
        <w:rPr>
          <w:vertAlign w:val="superscript"/>
        </w:rPr>
        <w:footnoteRef/>
      </w:r>
      <w:r>
        <w:rPr>
          <w:sz w:val="18"/>
          <w:szCs w:val="18"/>
        </w:rPr>
        <w:t xml:space="preserve"> Available at: </w:t>
      </w:r>
      <w:hyperlink r:id="rId13">
        <w:r>
          <w:rPr>
            <w:color w:val="1155CC"/>
            <w:sz w:val="18"/>
            <w:szCs w:val="18"/>
            <w:u w:val="single"/>
          </w:rPr>
          <w:t>https://www2.camara.leg.br/legin/fed/decret/2024/decreto-12341-23-dezembro-2024-796804-publicacaooriginal-173910-pe.html</w:t>
        </w:r>
      </w:hyperlink>
      <w:r>
        <w:rPr>
          <w:sz w:val="18"/>
          <w:szCs w:val="18"/>
        </w:rPr>
        <w:t xml:space="preserve"> Accessed on: 18/12/2025.</w:t>
      </w:r>
    </w:p>
  </w:footnote>
  <w:footnote w:id="15">
    <w:p w14:paraId="0CEAF225" w14:textId="77777777" w:rsidR="001B4D70" w:rsidRDefault="005D51BF">
      <w:pPr>
        <w:spacing w:line="240" w:lineRule="auto"/>
        <w:rPr>
          <w:sz w:val="18"/>
          <w:szCs w:val="18"/>
        </w:rPr>
      </w:pPr>
      <w:r>
        <w:rPr>
          <w:vertAlign w:val="superscript"/>
        </w:rPr>
        <w:footnoteRef/>
      </w:r>
      <w:r>
        <w:rPr>
          <w:sz w:val="18"/>
          <w:szCs w:val="18"/>
        </w:rPr>
        <w:t xml:space="preserve"> Available at: </w:t>
      </w:r>
      <w:hyperlink r:id="rId14">
        <w:r>
          <w:rPr>
            <w:color w:val="1155CC"/>
            <w:sz w:val="18"/>
            <w:szCs w:val="18"/>
            <w:u w:val="single"/>
          </w:rPr>
          <w:t>https://static.poder360.com.br/2025/01/Portaria-855-2025-Uso-da-Forca-MJSP-justica-e-seguranca-publica.pdf</w:t>
        </w:r>
      </w:hyperlink>
      <w:r>
        <w:rPr>
          <w:sz w:val="18"/>
          <w:szCs w:val="18"/>
        </w:rPr>
        <w:t xml:space="preserve"> Accessed on:18/12/2025.</w:t>
      </w:r>
    </w:p>
  </w:footnote>
  <w:footnote w:id="16">
    <w:p w14:paraId="2C582EFD" w14:textId="77777777" w:rsidR="001B4D70" w:rsidRDefault="005D51BF">
      <w:pPr>
        <w:spacing w:line="240" w:lineRule="auto"/>
        <w:rPr>
          <w:sz w:val="18"/>
          <w:szCs w:val="18"/>
        </w:rPr>
      </w:pPr>
      <w:r>
        <w:rPr>
          <w:vertAlign w:val="superscript"/>
        </w:rPr>
        <w:footnoteRef/>
      </w:r>
      <w:r>
        <w:rPr>
          <w:sz w:val="18"/>
          <w:szCs w:val="18"/>
        </w:rPr>
        <w:t xml:space="preserve"> Available at: </w:t>
      </w:r>
      <w:hyperlink r:id="rId15">
        <w:r>
          <w:rPr>
            <w:color w:val="1155CC"/>
            <w:sz w:val="18"/>
            <w:szCs w:val="18"/>
            <w:u w:val="single"/>
          </w:rPr>
          <w:t>https://mnpctbrasil.wordpress.com/relatorios/</w:t>
        </w:r>
      </w:hyperlink>
      <w:r>
        <w:rPr>
          <w:sz w:val="18"/>
          <w:szCs w:val="18"/>
        </w:rPr>
        <w:t xml:space="preserve"> . Accessed on: 7 jan. 2026.</w:t>
      </w:r>
    </w:p>
  </w:footnote>
  <w:footnote w:id="17">
    <w:p w14:paraId="4E0F6691" w14:textId="77777777" w:rsidR="001B4D70" w:rsidRDefault="005D51BF">
      <w:pPr>
        <w:spacing w:line="240" w:lineRule="auto"/>
        <w:jc w:val="both"/>
        <w:rPr>
          <w:sz w:val="18"/>
          <w:szCs w:val="18"/>
        </w:rPr>
      </w:pPr>
      <w:r>
        <w:rPr>
          <w:vertAlign w:val="superscript"/>
        </w:rPr>
        <w:footnoteRef/>
      </w:r>
      <w:r>
        <w:rPr>
          <w:sz w:val="18"/>
          <w:szCs w:val="18"/>
        </w:rPr>
        <w:t xml:space="preserve"> “Quinta Turma reconhece tortura em abordagem da PM de São Paulo e absolve réu acusado de tráfico de drogas.” Available at: </w:t>
      </w:r>
      <w:hyperlink r:id="rId16">
        <w:r>
          <w:rPr>
            <w:color w:val="1155CC"/>
            <w:sz w:val="18"/>
            <w:szCs w:val="18"/>
            <w:u w:val="single"/>
          </w:rPr>
          <w:t>https://www.stj.jus.br/sites/portalp/Paginas/Comunicacao/Noticias/2024/13122024-Quinta-Turma-reconhece-tortura-em-abordagem-da-PM-de-Sao-Paulo-e-absolve-reu-acusado-de-trafico-de-drogas.aspx</w:t>
        </w:r>
      </w:hyperlink>
      <w:r>
        <w:rPr>
          <w:sz w:val="18"/>
          <w:szCs w:val="18"/>
        </w:rPr>
        <w:t xml:space="preserve"> . Accessed on: 7 jan. 2026.</w:t>
      </w:r>
    </w:p>
  </w:footnote>
  <w:footnote w:id="18">
    <w:p w14:paraId="3FDEAD88" w14:textId="77777777" w:rsidR="001B4D70" w:rsidRDefault="005D51BF">
      <w:pPr>
        <w:spacing w:line="240" w:lineRule="auto"/>
        <w:jc w:val="both"/>
        <w:rPr>
          <w:sz w:val="18"/>
          <w:szCs w:val="18"/>
        </w:rPr>
      </w:pPr>
      <w:r>
        <w:rPr>
          <w:vertAlign w:val="superscript"/>
        </w:rPr>
        <w:footnoteRef/>
      </w:r>
      <w:r>
        <w:rPr>
          <w:sz w:val="18"/>
          <w:szCs w:val="18"/>
        </w:rPr>
        <w:t xml:space="preserve">MNPCT. Relatório Bianual 2018-2019. Available at: </w:t>
      </w:r>
      <w:hyperlink r:id="rId17">
        <w:r>
          <w:rPr>
            <w:color w:val="1155CC"/>
            <w:sz w:val="18"/>
            <w:szCs w:val="18"/>
            <w:u w:val="single"/>
          </w:rPr>
          <w:t>https://mnpctbrasil.wordpress.com/wp-content/uploads/2021/02/relatorio-bianual-2018-2019-mnpct.pdf</w:t>
        </w:r>
      </w:hyperlink>
      <w:r>
        <w:rPr>
          <w:sz w:val="18"/>
          <w:szCs w:val="18"/>
        </w:rPr>
        <w:t xml:space="preserve"> . Accessed on: 7 jan. 2026.</w:t>
      </w:r>
    </w:p>
  </w:footnote>
  <w:footnote w:id="19">
    <w:p w14:paraId="5CB4009D" w14:textId="77777777" w:rsidR="001B4D70" w:rsidRDefault="005D51BF">
      <w:pPr>
        <w:spacing w:line="240" w:lineRule="auto"/>
        <w:jc w:val="both"/>
        <w:rPr>
          <w:sz w:val="18"/>
          <w:szCs w:val="18"/>
        </w:rPr>
      </w:pPr>
      <w:r>
        <w:rPr>
          <w:vertAlign w:val="superscript"/>
        </w:rPr>
        <w:footnoteRef/>
      </w:r>
      <w:r>
        <w:rPr>
          <w:sz w:val="18"/>
          <w:szCs w:val="18"/>
        </w:rPr>
        <w:t>See Report 1, ‘Premises and Fundamental Concepts for the Study and Practice of Reparations for State Violence: Summary of Research Findings and Diagnoses on the Responses of the São Paulo Judiciary in Individual Lawsuits’, and Report 2, ‘Reparations According to Social Movements, Legislative Proposals, and Collective Legal Actions’, produced under the Reparations Project of the Centre for Forensic Anthropology and Archaeology of the Federal University of São Paulo. Available at: https://unifesp.br/reitoria/</w:t>
      </w:r>
      <w:r>
        <w:rPr>
          <w:sz w:val="18"/>
          <w:szCs w:val="18"/>
        </w:rPr>
        <w:t>caaf/projetos/projeto-reparacoes</w:t>
      </w:r>
    </w:p>
    <w:p w14:paraId="00886872" w14:textId="77777777" w:rsidR="001B4D70" w:rsidRDefault="005D51BF">
      <w:pPr>
        <w:spacing w:line="240" w:lineRule="auto"/>
        <w:jc w:val="both"/>
        <w:rPr>
          <w:sz w:val="18"/>
          <w:szCs w:val="18"/>
        </w:rPr>
      </w:pPr>
      <w:r>
        <w:rPr>
          <w:sz w:val="18"/>
          <w:szCs w:val="18"/>
        </w:rPr>
        <w:t>. Accessed on: 7 January 2025.</w:t>
      </w:r>
    </w:p>
  </w:footnote>
  <w:footnote w:id="20">
    <w:p w14:paraId="0C1B95FD" w14:textId="77777777" w:rsidR="001B4D70" w:rsidRDefault="005D51BF">
      <w:pPr>
        <w:spacing w:line="240" w:lineRule="auto"/>
        <w:jc w:val="both"/>
        <w:rPr>
          <w:sz w:val="18"/>
          <w:szCs w:val="18"/>
        </w:rPr>
      </w:pPr>
      <w:r>
        <w:rPr>
          <w:vertAlign w:val="superscript"/>
        </w:rPr>
        <w:footnoteRef/>
      </w:r>
      <w:r>
        <w:rPr>
          <w:sz w:val="18"/>
          <w:szCs w:val="18"/>
        </w:rPr>
        <w:t>Section 4.5, ‘Recognition of the Limitations and Stigmatizing Effects of Pecuniary Compensation and the Adoption of Non-Monetary Reparation Measures’, Report No. 1, Centre for Forensic Anthropology and Archaeology (CAAF), pp. 97–98.</w:t>
      </w:r>
    </w:p>
  </w:footnote>
  <w:footnote w:id="21">
    <w:p w14:paraId="1955C3B6" w14:textId="77777777" w:rsidR="001B4D70" w:rsidRDefault="005D51BF">
      <w:pPr>
        <w:spacing w:line="240" w:lineRule="auto"/>
        <w:jc w:val="both"/>
        <w:rPr>
          <w:sz w:val="18"/>
          <w:szCs w:val="18"/>
        </w:rPr>
      </w:pPr>
      <w:r>
        <w:rPr>
          <w:vertAlign w:val="superscript"/>
        </w:rPr>
        <w:footnoteRef/>
      </w:r>
      <w:r>
        <w:rPr>
          <w:sz w:val="18"/>
          <w:szCs w:val="18"/>
        </w:rPr>
        <w:t xml:space="preserve"> “Relatório denuncia tortura e violações em unidades prisionais de São Paulo”. Available at: </w:t>
      </w:r>
      <w:hyperlink r:id="rId18">
        <w:r>
          <w:rPr>
            <w:color w:val="1155CC"/>
            <w:sz w:val="18"/>
            <w:szCs w:val="18"/>
            <w:u w:val="single"/>
          </w:rPr>
          <w:t>https://www.cnnbrasil.com.br/nacional/relatorio-denuncia-tortura-e-violacoes-em-unidades-prisionais-de-sao-paulo/</w:t>
        </w:r>
      </w:hyperlink>
      <w:r>
        <w:rPr>
          <w:sz w:val="18"/>
          <w:szCs w:val="18"/>
        </w:rPr>
        <w:t xml:space="preserve"> . Accessed on: 8 jan. 2026.</w:t>
      </w:r>
    </w:p>
  </w:footnote>
  <w:footnote w:id="22">
    <w:p w14:paraId="0A41CFF6" w14:textId="77777777" w:rsidR="001B4D70" w:rsidRDefault="005D51BF">
      <w:pPr>
        <w:spacing w:line="240" w:lineRule="auto"/>
        <w:rPr>
          <w:sz w:val="18"/>
          <w:szCs w:val="18"/>
        </w:rPr>
      </w:pPr>
      <w:r>
        <w:rPr>
          <w:vertAlign w:val="superscript"/>
        </w:rPr>
        <w:footnoteRef/>
      </w:r>
      <w:r>
        <w:rPr>
          <w:sz w:val="18"/>
          <w:szCs w:val="18"/>
        </w:rPr>
        <w:t xml:space="preserve">  “Fome é ferramenta de punição em presídios, apontam familiares de detentos”. Available at: </w:t>
      </w:r>
      <w:hyperlink r:id="rId19" w:anchor=":~:text=Fome%20%C3%A9%20ferramenta%20de%20puni%C3%A7%C3%A3o,de%20detentos%20%7C%20Contraponto%20Digit@l">
        <w:r>
          <w:rPr>
            <w:color w:val="1155CC"/>
            <w:sz w:val="18"/>
            <w:szCs w:val="18"/>
            <w:u w:val="single"/>
          </w:rPr>
          <w:t>https://contrapontodigital.pucsp.br/noticias/fome-e-ferramenta-de-punicao-em-presidios-apontam-familiares-de-detentos#:~:text=Fome%20%C3%A9%20ferramenta%20de%20puni%C3%A7%C3%A3o,de%20detentos%20%7C%20Contraponto%20Digit@l</w:t>
        </w:r>
      </w:hyperlink>
      <w:r>
        <w:rPr>
          <w:sz w:val="18"/>
          <w:szCs w:val="18"/>
        </w:rPr>
        <w:t xml:space="preserve"> Accessed on: 06/1/2026.</w:t>
      </w:r>
    </w:p>
  </w:footnote>
  <w:footnote w:id="23">
    <w:p w14:paraId="19D3B9FE" w14:textId="77777777" w:rsidR="001B4D70" w:rsidRDefault="005D51BF">
      <w:pPr>
        <w:spacing w:line="240" w:lineRule="auto"/>
        <w:jc w:val="both"/>
        <w:rPr>
          <w:sz w:val="18"/>
          <w:szCs w:val="18"/>
        </w:rPr>
      </w:pPr>
      <w:r>
        <w:rPr>
          <w:vertAlign w:val="superscript"/>
        </w:rPr>
        <w:footnoteRef/>
      </w:r>
      <w:r>
        <w:rPr>
          <w:sz w:val="18"/>
          <w:szCs w:val="18"/>
        </w:rPr>
        <w:t xml:space="preserve"> MNPCT. Relatório Anual de 2023. Available at:  </w:t>
      </w:r>
      <w:hyperlink r:id="rId20">
        <w:r>
          <w:rPr>
            <w:color w:val="1155CC"/>
            <w:sz w:val="18"/>
            <w:szCs w:val="18"/>
            <w:u w:val="single"/>
          </w:rPr>
          <w:t>https://mnpctbrasil.wordpress.com/wp-content/uploads/2025/05/relatorio-anual-2023.pdf</w:t>
        </w:r>
      </w:hyperlink>
      <w:r>
        <w:rPr>
          <w:sz w:val="18"/>
          <w:szCs w:val="18"/>
        </w:rPr>
        <w:t xml:space="preserve"> Accessed on: 5/1/2026</w:t>
      </w:r>
    </w:p>
  </w:footnote>
  <w:footnote w:id="24">
    <w:p w14:paraId="6A930825" w14:textId="77777777" w:rsidR="001B4D70" w:rsidRDefault="005D51BF">
      <w:pPr>
        <w:spacing w:line="240" w:lineRule="auto"/>
        <w:rPr>
          <w:sz w:val="18"/>
          <w:szCs w:val="18"/>
        </w:rPr>
      </w:pPr>
      <w:r>
        <w:rPr>
          <w:vertAlign w:val="superscript"/>
        </w:rPr>
        <w:footnoteRef/>
      </w:r>
      <w:r>
        <w:rPr>
          <w:sz w:val="20"/>
          <w:szCs w:val="20"/>
        </w:rPr>
        <w:t xml:space="preserve"> </w:t>
      </w:r>
      <w:r>
        <w:rPr>
          <w:sz w:val="18"/>
          <w:szCs w:val="18"/>
        </w:rPr>
        <w:t>Available at: &lt;</w:t>
      </w:r>
      <w:hyperlink r:id="rId21">
        <w:r>
          <w:rPr>
            <w:color w:val="1155CC"/>
            <w:sz w:val="18"/>
            <w:szCs w:val="18"/>
            <w:u w:val="single"/>
          </w:rPr>
          <w:t>https://tbinternet.ohchr.org/_layouts/15/treatybodyexternal/Download.aspx?symbolno=CAT%2FC%2FBRA%2FCO%2F2&amp;Lang=en</w:t>
        </w:r>
      </w:hyperlink>
      <w:r>
        <w:rPr>
          <w:sz w:val="18"/>
          <w:szCs w:val="18"/>
        </w:rPr>
        <w:t>&gt;. Accessed on: 14/01/2026.</w:t>
      </w:r>
    </w:p>
  </w:footnote>
  <w:footnote w:id="25">
    <w:p w14:paraId="25AC64D9" w14:textId="77777777" w:rsidR="001B4D70" w:rsidRDefault="005D51BF">
      <w:pPr>
        <w:spacing w:line="240" w:lineRule="auto"/>
        <w:jc w:val="both"/>
        <w:rPr>
          <w:sz w:val="18"/>
          <w:szCs w:val="18"/>
        </w:rPr>
      </w:pPr>
      <w:r>
        <w:rPr>
          <w:vertAlign w:val="superscript"/>
        </w:rPr>
        <w:footnoteRef/>
      </w:r>
      <w:r>
        <w:rPr>
          <w:sz w:val="18"/>
          <w:szCs w:val="18"/>
        </w:rPr>
        <w:t>Available at: &lt;</w:t>
      </w:r>
      <w:hyperlink r:id="rId22">
        <w:r>
          <w:rPr>
            <w:color w:val="1155CC"/>
            <w:sz w:val="18"/>
            <w:szCs w:val="18"/>
            <w:u w:val="single"/>
          </w:rPr>
          <w:t>https://www.gov.br/mdh/pt-br/navegue-por-temas/crianca-e-adolescente/copy_of_levantamento2024SINASE.php.pdf</w:t>
        </w:r>
      </w:hyperlink>
      <w:r>
        <w:rPr>
          <w:sz w:val="18"/>
          <w:szCs w:val="18"/>
        </w:rPr>
        <w:t>&gt;. Accessed on: 14/01/2026.</w:t>
      </w:r>
    </w:p>
  </w:footnote>
  <w:footnote w:id="26">
    <w:p w14:paraId="61A59C1E" w14:textId="77777777" w:rsidR="001B4D70" w:rsidRDefault="005D51BF">
      <w:pPr>
        <w:spacing w:line="240" w:lineRule="auto"/>
        <w:rPr>
          <w:sz w:val="18"/>
          <w:szCs w:val="18"/>
        </w:rPr>
      </w:pPr>
      <w:r>
        <w:rPr>
          <w:vertAlign w:val="superscript"/>
        </w:rPr>
        <w:footnoteRef/>
      </w:r>
      <w:r>
        <w:rPr>
          <w:sz w:val="18"/>
          <w:szCs w:val="18"/>
        </w:rPr>
        <w:t xml:space="preserve"> Available at: &lt;</w:t>
      </w:r>
      <w:hyperlink r:id="rId23">
        <w:r>
          <w:rPr>
            <w:color w:val="1155CC"/>
            <w:sz w:val="18"/>
            <w:szCs w:val="18"/>
            <w:u w:val="single"/>
          </w:rPr>
          <w:t>https://paineisanalytics.cnj.jus.br/single/?appid=a12c1a54-541f-4fd7-bbdf-afba0ca89a98&amp;sheet=38ee8b5f-07ae-4f87-bf3c-cd9304f01bcc&amp;theme=CNIUPS&amp;lang=pt-BR&amp;opt=ctxmenu,currsel</w:t>
        </w:r>
      </w:hyperlink>
      <w:r>
        <w:rPr>
          <w:sz w:val="18"/>
          <w:szCs w:val="18"/>
        </w:rPr>
        <w:t>&gt;. Accessed on: 14/01/2026.</w:t>
      </w:r>
    </w:p>
  </w:footnote>
  <w:footnote w:id="27">
    <w:p w14:paraId="29630916" w14:textId="77777777" w:rsidR="001B4D70" w:rsidRDefault="005D51BF">
      <w:pPr>
        <w:spacing w:line="240" w:lineRule="auto"/>
        <w:jc w:val="both"/>
        <w:rPr>
          <w:sz w:val="18"/>
          <w:szCs w:val="18"/>
        </w:rPr>
      </w:pPr>
      <w:r>
        <w:rPr>
          <w:vertAlign w:val="superscript"/>
        </w:rPr>
        <w:footnoteRef/>
      </w:r>
      <w:r>
        <w:rPr>
          <w:sz w:val="18"/>
          <w:szCs w:val="18"/>
        </w:rPr>
        <w:t>During a visit conducted by the National Human Rights Council (CNDH), unsanitary conditions were documented in cells, wings, and dormitories, including the presence of rats and cockroaches, filth and humidity, the absence of natural or mechanical ventilation, and inadequate lighting. The visit also identified a lack of unrestricted access to potable water and inadequate sanitary facilities, including the use of holes in the ground as toilets in some units. Available at: https://www.gov.br/participamaisbrasi</w:t>
      </w:r>
      <w:r>
        <w:rPr>
          <w:sz w:val="18"/>
          <w:szCs w:val="18"/>
        </w:rPr>
        <w:t>l/blob/baixar/76983</w:t>
      </w:r>
    </w:p>
    <w:p w14:paraId="576050D4" w14:textId="77777777" w:rsidR="001B4D70" w:rsidRDefault="005D51BF">
      <w:pPr>
        <w:spacing w:line="240" w:lineRule="auto"/>
        <w:jc w:val="both"/>
        <w:rPr>
          <w:sz w:val="18"/>
          <w:szCs w:val="18"/>
        </w:rPr>
      </w:pPr>
      <w:r>
        <w:rPr>
          <w:sz w:val="18"/>
          <w:szCs w:val="18"/>
        </w:rPr>
        <w:t>. Accessed on: 14 January 2026.</w:t>
      </w:r>
    </w:p>
  </w:footnote>
  <w:footnote w:id="28">
    <w:p w14:paraId="2509CBEE" w14:textId="77777777" w:rsidR="001B4D70" w:rsidRDefault="005D51BF">
      <w:pPr>
        <w:spacing w:line="240" w:lineRule="auto"/>
        <w:jc w:val="both"/>
        <w:rPr>
          <w:sz w:val="18"/>
          <w:szCs w:val="18"/>
        </w:rPr>
      </w:pPr>
      <w:r>
        <w:rPr>
          <w:vertAlign w:val="superscript"/>
        </w:rPr>
        <w:footnoteRef/>
      </w:r>
      <w:r>
        <w:rPr>
          <w:sz w:val="18"/>
          <w:szCs w:val="18"/>
        </w:rPr>
        <w:t>Available at: &lt;</w:t>
      </w:r>
      <w:hyperlink r:id="rId24">
        <w:r>
          <w:rPr>
            <w:color w:val="1155CC"/>
            <w:sz w:val="18"/>
            <w:szCs w:val="18"/>
            <w:u w:val="single"/>
          </w:rPr>
          <w:t>https://cedecaceara.org.br//wp-content/uploads/2024/08/2023-5o-Relatorio-do-monitoramento-do-sistema-socioeducativo-cearense-meio-fechado.pdf</w:t>
        </w:r>
      </w:hyperlink>
      <w:r>
        <w:rPr>
          <w:sz w:val="18"/>
          <w:szCs w:val="18"/>
        </w:rPr>
        <w:t>&gt;. Accessed on: 14/01/2026.</w:t>
      </w:r>
    </w:p>
  </w:footnote>
  <w:footnote w:id="29">
    <w:p w14:paraId="03E1270E" w14:textId="77777777" w:rsidR="001B4D70" w:rsidRDefault="005D51BF">
      <w:pPr>
        <w:spacing w:line="240" w:lineRule="auto"/>
        <w:jc w:val="both"/>
        <w:rPr>
          <w:sz w:val="18"/>
          <w:szCs w:val="18"/>
        </w:rPr>
      </w:pPr>
      <w:r>
        <w:rPr>
          <w:vertAlign w:val="superscript"/>
        </w:rPr>
        <w:footnoteRef/>
      </w:r>
      <w:r>
        <w:rPr>
          <w:sz w:val="18"/>
          <w:szCs w:val="18"/>
        </w:rPr>
        <w:t>In August 2020, the Federal Supreme Court (STF), in its judgment in Collective Habeas Corpus (HC) No. 143,988, ordered the elimination of overcrowding in socio-educational facilities nationwide. This landmark decision recognized that adolescents deprived of liberty must have their minimum rights ensured. In practice, however, what has been observed, for example in the State of Rio de Janeiro, is a reduction in overcrowding accompanied by the denial of adolescents’ right to family and community life, as adol</w:t>
      </w:r>
      <w:r>
        <w:rPr>
          <w:sz w:val="18"/>
          <w:szCs w:val="18"/>
        </w:rPr>
        <w:t>escents are transferred to facilities located far from their families and territories, often at distances exceeding 300 kilometres. This effectively undermines family contact, including visitation, which constitutes a fundamental right in the execution of socio-educational measures.</w:t>
      </w:r>
    </w:p>
  </w:footnote>
  <w:footnote w:id="30">
    <w:p w14:paraId="6FA40366" w14:textId="77777777" w:rsidR="001B4D70" w:rsidRDefault="005D51BF">
      <w:pPr>
        <w:spacing w:line="240" w:lineRule="auto"/>
        <w:jc w:val="both"/>
        <w:rPr>
          <w:sz w:val="18"/>
          <w:szCs w:val="18"/>
        </w:rPr>
      </w:pPr>
      <w:r>
        <w:rPr>
          <w:vertAlign w:val="superscript"/>
        </w:rPr>
        <w:footnoteRef/>
      </w:r>
      <w:r>
        <w:rPr>
          <w:sz w:val="18"/>
          <w:szCs w:val="18"/>
        </w:rPr>
        <w:t xml:space="preserve">Available at: </w:t>
      </w:r>
      <w:hyperlink r:id="rId25">
        <w:r>
          <w:rPr>
            <w:color w:val="1155CC"/>
            <w:sz w:val="18"/>
            <w:szCs w:val="18"/>
            <w:u w:val="single"/>
          </w:rPr>
          <w:t>https://conectas.org/noticias/tortura-e-pratica-sistematica-em-prisoes-centros-de-saude-e-unidades-socioeducativas-de-sao-paulo-revela-orgao-nacional/</w:t>
        </w:r>
      </w:hyperlink>
      <w:r>
        <w:rPr>
          <w:sz w:val="18"/>
          <w:szCs w:val="18"/>
        </w:rPr>
        <w:t xml:space="preserve">  Accessed on: 5/1/2026.</w:t>
      </w:r>
    </w:p>
  </w:footnote>
  <w:footnote w:id="31">
    <w:p w14:paraId="02234C8E" w14:textId="77777777" w:rsidR="001B4D70" w:rsidRDefault="005D51BF">
      <w:pPr>
        <w:spacing w:line="240" w:lineRule="auto"/>
        <w:rPr>
          <w:sz w:val="18"/>
          <w:szCs w:val="18"/>
        </w:rPr>
      </w:pPr>
      <w:r>
        <w:rPr>
          <w:vertAlign w:val="superscript"/>
        </w:rPr>
        <w:footnoteRef/>
      </w:r>
      <w:r>
        <w:rPr>
          <w:sz w:val="18"/>
          <w:szCs w:val="18"/>
        </w:rPr>
        <w:t xml:space="preserve"> Available at: </w:t>
      </w:r>
      <w:hyperlink r:id="rId26">
        <w:r>
          <w:rPr>
            <w:color w:val="1155CC"/>
            <w:sz w:val="18"/>
            <w:szCs w:val="18"/>
            <w:u w:val="single"/>
          </w:rPr>
          <w:t>https://coalizaopelasocioeducacao.com/cndh-confirma-violacoes-em-unidades-socioeducativas-do-ceara-ja-denunciadas-pela-coalizao/</w:t>
        </w:r>
      </w:hyperlink>
      <w:r>
        <w:rPr>
          <w:sz w:val="18"/>
          <w:szCs w:val="18"/>
        </w:rPr>
        <w:t xml:space="preserve"> . Accessed on: 14/1/2026.</w:t>
      </w:r>
    </w:p>
  </w:footnote>
  <w:footnote w:id="32">
    <w:p w14:paraId="1F3C97AA" w14:textId="77777777" w:rsidR="001B4D70" w:rsidRDefault="005D51BF">
      <w:pPr>
        <w:spacing w:line="240" w:lineRule="auto"/>
        <w:rPr>
          <w:sz w:val="18"/>
          <w:szCs w:val="18"/>
        </w:rPr>
      </w:pPr>
      <w:r>
        <w:rPr>
          <w:vertAlign w:val="superscript"/>
        </w:rPr>
        <w:footnoteRef/>
      </w:r>
      <w:r>
        <w:rPr>
          <w:sz w:val="18"/>
          <w:szCs w:val="18"/>
        </w:rPr>
        <w:t xml:space="preserve"> Available at: </w:t>
      </w:r>
      <w:hyperlink r:id="rId27">
        <w:r>
          <w:rPr>
            <w:color w:val="1155CC"/>
            <w:sz w:val="18"/>
            <w:szCs w:val="18"/>
            <w:u w:val="single"/>
          </w:rPr>
          <w:t>https://cadavidaimporta.com.br/wp-content/uploads/2024/12/pesquisa-vidas-por-um-fio.pdf</w:t>
        </w:r>
      </w:hyperlink>
      <w:r>
        <w:rPr>
          <w:sz w:val="18"/>
          <w:szCs w:val="18"/>
        </w:rPr>
        <w:t xml:space="preserve"> . Accessed on: 14/1/2026.</w:t>
      </w:r>
    </w:p>
  </w:footnote>
  <w:footnote w:id="33">
    <w:p w14:paraId="72931173" w14:textId="77777777" w:rsidR="001B4D70" w:rsidRDefault="005D51BF">
      <w:pPr>
        <w:spacing w:line="240" w:lineRule="auto"/>
        <w:rPr>
          <w:sz w:val="18"/>
          <w:szCs w:val="18"/>
        </w:rPr>
      </w:pPr>
      <w:r>
        <w:rPr>
          <w:vertAlign w:val="superscript"/>
        </w:rPr>
        <w:footnoteRef/>
      </w:r>
      <w:r>
        <w:rPr>
          <w:sz w:val="18"/>
          <w:szCs w:val="18"/>
        </w:rPr>
        <w:t xml:space="preserve"> Available at: </w:t>
      </w:r>
      <w:hyperlink r:id="rId28">
        <w:r>
          <w:rPr>
            <w:color w:val="1155CC"/>
            <w:sz w:val="18"/>
            <w:szCs w:val="18"/>
            <w:u w:val="single"/>
          </w:rPr>
          <w:t>https://cedecaceara.org.br//wp-content/uploads/2024/08/2023-5o-Relatorio-do-monitoramento-do-sistema-socioeducativo-cearense-meio-fechado.pdf</w:t>
        </w:r>
      </w:hyperlink>
      <w:r>
        <w:rPr>
          <w:sz w:val="18"/>
          <w:szCs w:val="18"/>
        </w:rPr>
        <w:t xml:space="preserve"> . Accessed on: 15/1/2026.</w:t>
      </w:r>
    </w:p>
  </w:footnote>
  <w:footnote w:id="34">
    <w:p w14:paraId="0F115E91" w14:textId="77777777" w:rsidR="001B4D70" w:rsidRDefault="005D51BF">
      <w:pPr>
        <w:spacing w:line="240" w:lineRule="auto"/>
        <w:rPr>
          <w:sz w:val="18"/>
          <w:szCs w:val="18"/>
        </w:rPr>
      </w:pPr>
      <w:r>
        <w:rPr>
          <w:vertAlign w:val="superscript"/>
        </w:rPr>
        <w:footnoteRef/>
      </w:r>
      <w:r>
        <w:rPr>
          <w:sz w:val="18"/>
          <w:szCs w:val="18"/>
        </w:rPr>
        <w:t xml:space="preserve"> Available at: </w:t>
      </w:r>
      <w:hyperlink r:id="rId29">
        <w:r>
          <w:rPr>
            <w:color w:val="1155CC"/>
            <w:sz w:val="18"/>
            <w:szCs w:val="18"/>
            <w:u w:val="single"/>
          </w:rPr>
          <w:t>https://cedecaceara.org.br//wp-content/uploads/2024/08/2023-Relatorio-Visita-de-inspecao-do-centro-socioeducativo-feminino-Aldaci-Barbosa-2023.pdf</w:t>
        </w:r>
      </w:hyperlink>
      <w:r>
        <w:rPr>
          <w:sz w:val="18"/>
          <w:szCs w:val="18"/>
        </w:rPr>
        <w:t xml:space="preserve"> . Accessed on: 15/1/12026.</w:t>
      </w:r>
    </w:p>
  </w:footnote>
  <w:footnote w:id="35">
    <w:p w14:paraId="2865A8D5" w14:textId="77777777" w:rsidR="001B4D70" w:rsidRDefault="005D51BF">
      <w:pPr>
        <w:spacing w:line="240" w:lineRule="auto"/>
        <w:jc w:val="both"/>
        <w:rPr>
          <w:sz w:val="18"/>
          <w:szCs w:val="18"/>
        </w:rPr>
      </w:pPr>
      <w:r>
        <w:rPr>
          <w:vertAlign w:val="superscript"/>
        </w:rPr>
        <w:footnoteRef/>
      </w:r>
      <w:r>
        <w:rPr>
          <w:sz w:val="18"/>
          <w:szCs w:val="18"/>
        </w:rPr>
        <w:t>In the absence of effective responses from local and national authorities, the Centre for the Defence of Children and Adolescents (CEDECA Ceará), the Permanent Forum of Non-Governmental Organizations for the Defence of the Rights of Children and Adolescents (Fórum DCA Ceará), and the National Association of Centres for the Defence of Children and Adolescents (ANCED) reported the situation of Ceará’s socio-educational system to the Inter-American Commission on Human Rights (IACHR) in 2015.</w:t>
      </w:r>
    </w:p>
  </w:footnote>
  <w:footnote w:id="36">
    <w:p w14:paraId="5F0ACA25" w14:textId="77777777" w:rsidR="001B4D70" w:rsidRDefault="005D51BF">
      <w:pPr>
        <w:spacing w:line="240" w:lineRule="auto"/>
        <w:jc w:val="both"/>
        <w:rPr>
          <w:sz w:val="18"/>
          <w:szCs w:val="18"/>
        </w:rPr>
      </w:pPr>
      <w:r>
        <w:rPr>
          <w:vertAlign w:val="superscript"/>
        </w:rPr>
        <w:footnoteRef/>
      </w:r>
      <w:r>
        <w:rPr>
          <w:sz w:val="18"/>
          <w:szCs w:val="18"/>
        </w:rPr>
        <w:t>The main legislative proposals currently under consideration that affect adolescents in conflict with the law include Constitutional Amendment Proposal (PEC) No. 171/1993, which provides for lowering the age of criminal responsibility from 18 to 16 in cases of serious crimes. This proposal has already been approved in two rounds in the Chamber of Deputies and is currently pending review in the Federal Senate. Another key initiative is Bill (PL) No. 1,473/2025, introduced by Senator Fabiano Contarato (PT-ES)</w:t>
      </w:r>
      <w:r>
        <w:rPr>
          <w:sz w:val="18"/>
          <w:szCs w:val="18"/>
        </w:rPr>
        <w:t>, which proposes increasing the maximum period of institutionalization for adolescents from three to up to five years, and up to ten years in cases involving acts equivalent to heinous crimes.</w:t>
      </w:r>
    </w:p>
  </w:footnote>
  <w:footnote w:id="37">
    <w:p w14:paraId="3BF9D452" w14:textId="77777777" w:rsidR="001B4D70" w:rsidRDefault="005D51BF">
      <w:pPr>
        <w:spacing w:line="240" w:lineRule="auto"/>
        <w:rPr>
          <w:sz w:val="18"/>
          <w:szCs w:val="18"/>
        </w:rPr>
      </w:pPr>
      <w:r>
        <w:rPr>
          <w:vertAlign w:val="superscript"/>
        </w:rPr>
        <w:footnoteRef/>
      </w:r>
      <w:r>
        <w:rPr>
          <w:sz w:val="18"/>
          <w:szCs w:val="18"/>
        </w:rPr>
        <w:t xml:space="preserve"> Available at: </w:t>
      </w:r>
      <w:hyperlink r:id="rId30">
        <w:r>
          <w:rPr>
            <w:color w:val="1155CC"/>
            <w:sz w:val="18"/>
            <w:szCs w:val="18"/>
            <w:u w:val="single"/>
          </w:rPr>
          <w:t>https://coalizaopelasocioeducacao.com/pl-1473-2025-aumento-tempo-internacao-adolescentes/</w:t>
        </w:r>
      </w:hyperlink>
      <w:r>
        <w:rPr>
          <w:sz w:val="18"/>
          <w:szCs w:val="18"/>
        </w:rPr>
        <w:t xml:space="preserve"> Accessed on: 14/01/2026.</w:t>
      </w:r>
    </w:p>
  </w:footnote>
  <w:footnote w:id="38">
    <w:p w14:paraId="7A531052" w14:textId="77777777" w:rsidR="001B4D70" w:rsidRDefault="005D51BF">
      <w:pPr>
        <w:spacing w:line="240" w:lineRule="auto"/>
        <w:rPr>
          <w:sz w:val="18"/>
          <w:szCs w:val="18"/>
        </w:rPr>
      </w:pPr>
      <w:r>
        <w:rPr>
          <w:vertAlign w:val="superscript"/>
        </w:rPr>
        <w:footnoteRef/>
      </w:r>
      <w:r>
        <w:rPr>
          <w:sz w:val="18"/>
          <w:szCs w:val="18"/>
        </w:rPr>
        <w:t xml:space="preserve"> Available at: </w:t>
      </w:r>
      <w:hyperlink r:id="rId31">
        <w:r>
          <w:rPr>
            <w:color w:val="1155CC"/>
            <w:sz w:val="18"/>
            <w:szCs w:val="18"/>
            <w:u w:val="single"/>
          </w:rPr>
          <w:t>https://www.planalto.gov.br/ccivil_03/leis/l8069.htm</w:t>
        </w:r>
      </w:hyperlink>
      <w:r>
        <w:rPr>
          <w:sz w:val="18"/>
          <w:szCs w:val="18"/>
        </w:rPr>
        <w:t xml:space="preserve"> . Accessed on: 8 jan. 2026.</w:t>
      </w:r>
    </w:p>
  </w:footnote>
  <w:footnote w:id="39">
    <w:p w14:paraId="5FA62561" w14:textId="77777777" w:rsidR="001B4D70" w:rsidRDefault="005D51BF">
      <w:pPr>
        <w:spacing w:line="240" w:lineRule="auto"/>
        <w:jc w:val="both"/>
        <w:rPr>
          <w:sz w:val="18"/>
          <w:szCs w:val="18"/>
        </w:rPr>
      </w:pPr>
      <w:r>
        <w:rPr>
          <w:vertAlign w:val="superscript"/>
        </w:rPr>
        <w:footnoteRef/>
      </w:r>
      <w:r>
        <w:rPr>
          <w:sz w:val="18"/>
          <w:szCs w:val="18"/>
        </w:rPr>
        <w:t xml:space="preserve"> Available at: </w:t>
      </w:r>
      <w:hyperlink r:id="rId32">
        <w:r>
          <w:rPr>
            <w:color w:val="1155CC"/>
            <w:sz w:val="18"/>
            <w:szCs w:val="18"/>
            <w:u w:val="single"/>
          </w:rPr>
          <w:t>https://www.stf.jus.br/arquivo/cms/noticianoticiastf/anexo/hc143641final3pdfvoto.pdf</w:t>
        </w:r>
      </w:hyperlink>
      <w:r>
        <w:rPr>
          <w:sz w:val="18"/>
          <w:szCs w:val="18"/>
        </w:rPr>
        <w:t xml:space="preserve"> Accessed on: 14/01/2026.</w:t>
      </w:r>
    </w:p>
  </w:footnote>
  <w:footnote w:id="40">
    <w:p w14:paraId="03F4E35E" w14:textId="77777777" w:rsidR="001B4D70" w:rsidRDefault="005D51BF">
      <w:pPr>
        <w:spacing w:line="240" w:lineRule="auto"/>
        <w:jc w:val="both"/>
        <w:rPr>
          <w:sz w:val="18"/>
          <w:szCs w:val="18"/>
        </w:rPr>
      </w:pPr>
      <w:r>
        <w:rPr>
          <w:vertAlign w:val="superscript"/>
        </w:rPr>
        <w:footnoteRef/>
      </w:r>
      <w:r>
        <w:rPr>
          <w:sz w:val="18"/>
          <w:szCs w:val="18"/>
        </w:rPr>
        <w:t xml:space="preserve">Available at: </w:t>
      </w:r>
      <w:hyperlink r:id="rId33">
        <w:r>
          <w:rPr>
            <w:color w:val="1155CC"/>
            <w:sz w:val="18"/>
            <w:szCs w:val="18"/>
            <w:u w:val="single"/>
          </w:rPr>
          <w:t>https://www.gov.br/participamaisbrasil/resolucao-do-conanda-n-233-de-30-de-dezembro-de-2022</w:t>
        </w:r>
      </w:hyperlink>
      <w:r>
        <w:rPr>
          <w:sz w:val="18"/>
          <w:szCs w:val="18"/>
        </w:rPr>
        <w:t xml:space="preserve"> Accessed on: 14/01/2026.</w:t>
      </w:r>
    </w:p>
  </w:footnote>
  <w:footnote w:id="41">
    <w:p w14:paraId="64C33A8E" w14:textId="77777777" w:rsidR="001B4D70" w:rsidRDefault="005D51BF">
      <w:pPr>
        <w:spacing w:line="240" w:lineRule="auto"/>
        <w:jc w:val="both"/>
        <w:rPr>
          <w:sz w:val="20"/>
          <w:szCs w:val="20"/>
        </w:rPr>
      </w:pPr>
      <w:r>
        <w:rPr>
          <w:vertAlign w:val="superscript"/>
        </w:rPr>
        <w:footnoteRef/>
      </w:r>
      <w:r>
        <w:rPr>
          <w:sz w:val="20"/>
          <w:szCs w:val="20"/>
        </w:rPr>
        <w:t xml:space="preserve">Available at: </w:t>
      </w:r>
      <w:hyperlink r:id="rId34">
        <w:r>
          <w:rPr>
            <w:color w:val="1155CC"/>
            <w:sz w:val="20"/>
            <w:szCs w:val="20"/>
            <w:u w:val="single"/>
          </w:rPr>
          <w:t>https://www.cnj.jus.br/wp-content/uploads/2023/02/pessoas-lgbti-socioeducativo-cartilha-para-implementacao-resolucao-348-2020.pdf</w:t>
        </w:r>
      </w:hyperlink>
      <w:r>
        <w:rPr>
          <w:sz w:val="20"/>
          <w:szCs w:val="20"/>
        </w:rPr>
        <w:t>. Accessed on: 14/01/2026.</w:t>
      </w:r>
    </w:p>
  </w:footnote>
  <w:footnote w:id="42">
    <w:p w14:paraId="30AA3646" w14:textId="77777777" w:rsidR="001B4D70" w:rsidRDefault="005D51BF">
      <w:pPr>
        <w:spacing w:line="240" w:lineRule="auto"/>
        <w:jc w:val="both"/>
        <w:rPr>
          <w:sz w:val="18"/>
          <w:szCs w:val="18"/>
        </w:rPr>
      </w:pPr>
      <w:r>
        <w:rPr>
          <w:vertAlign w:val="superscript"/>
        </w:rPr>
        <w:footnoteRef/>
      </w:r>
      <w:r>
        <w:rPr>
          <w:sz w:val="18"/>
          <w:szCs w:val="18"/>
        </w:rPr>
        <w:t xml:space="preserve"> MNPCT. Relatórios anuais. Available at: </w:t>
      </w:r>
      <w:hyperlink r:id="rId35">
        <w:r>
          <w:rPr>
            <w:color w:val="1155CC"/>
            <w:sz w:val="18"/>
            <w:szCs w:val="18"/>
            <w:u w:val="single"/>
          </w:rPr>
          <w:t>https://mnpctbrasil.wordpress.com/relatorios/</w:t>
        </w:r>
      </w:hyperlink>
      <w:r>
        <w:rPr>
          <w:sz w:val="18"/>
          <w:szCs w:val="18"/>
        </w:rPr>
        <w:t xml:space="preserve"> . Accessed on: 8 jan. 2026. </w:t>
      </w:r>
    </w:p>
  </w:footnote>
  <w:footnote w:id="43">
    <w:p w14:paraId="0CF0E95C" w14:textId="77777777" w:rsidR="001B4D70" w:rsidRDefault="005D51BF">
      <w:pPr>
        <w:spacing w:line="240" w:lineRule="auto"/>
        <w:jc w:val="both"/>
        <w:rPr>
          <w:sz w:val="18"/>
          <w:szCs w:val="18"/>
        </w:rPr>
      </w:pPr>
      <w:r>
        <w:rPr>
          <w:vertAlign w:val="superscript"/>
        </w:rPr>
        <w:footnoteRef/>
      </w:r>
      <w:r>
        <w:rPr>
          <w:sz w:val="18"/>
          <w:szCs w:val="18"/>
        </w:rPr>
        <w:t>There are no state-level or federal use-of-force protocols aligned with international legal standards.</w:t>
      </w:r>
    </w:p>
  </w:footnote>
  <w:footnote w:id="44">
    <w:p w14:paraId="11351E4E" w14:textId="77777777" w:rsidR="001B4D70" w:rsidRDefault="005D51BF">
      <w:pPr>
        <w:spacing w:line="240" w:lineRule="auto"/>
        <w:rPr>
          <w:sz w:val="18"/>
          <w:szCs w:val="18"/>
        </w:rPr>
      </w:pPr>
      <w:r>
        <w:rPr>
          <w:vertAlign w:val="superscript"/>
        </w:rPr>
        <w:footnoteRef/>
      </w:r>
      <w:r>
        <w:rPr>
          <w:sz w:val="18"/>
          <w:szCs w:val="18"/>
        </w:rPr>
        <w:t xml:space="preserve"> Available at: </w:t>
      </w:r>
      <w:hyperlink r:id="rId36">
        <w:r>
          <w:rPr>
            <w:color w:val="1155CC"/>
            <w:sz w:val="18"/>
            <w:szCs w:val="18"/>
            <w:u w:val="single"/>
          </w:rPr>
          <w:t>https://www.planalto.gov.br/ccivil_03/leis/l7210.htm</w:t>
        </w:r>
      </w:hyperlink>
      <w:r>
        <w:rPr>
          <w:sz w:val="18"/>
          <w:szCs w:val="18"/>
        </w:rPr>
        <w:t xml:space="preserve"> . Accessed on: 8 jan. 2026.</w:t>
      </w:r>
    </w:p>
  </w:footnote>
  <w:footnote w:id="45">
    <w:p w14:paraId="3DD84C6F" w14:textId="77777777" w:rsidR="001B4D70" w:rsidRDefault="005D51BF">
      <w:pPr>
        <w:spacing w:line="240" w:lineRule="auto"/>
        <w:jc w:val="both"/>
        <w:rPr>
          <w:sz w:val="18"/>
          <w:szCs w:val="18"/>
        </w:rPr>
      </w:pPr>
      <w:r>
        <w:rPr>
          <w:vertAlign w:val="superscript"/>
        </w:rPr>
        <w:footnoteRef/>
      </w:r>
      <w:r>
        <w:rPr>
          <w:sz w:val="18"/>
          <w:szCs w:val="18"/>
        </w:rPr>
        <w:t>Brazil, Federal Public Prosecutor’s Office (Ministério Público Federal). Annual Reports. Available at: https://www.mpf.mp.br/pfdc/comissoes-e-rts/prevencao-e-combate-a-tortura/mnpct/relatorios-anuais</w:t>
      </w:r>
    </w:p>
    <w:p w14:paraId="2DF91DB6" w14:textId="77777777" w:rsidR="001B4D70" w:rsidRDefault="005D51BF">
      <w:pPr>
        <w:spacing w:line="240" w:lineRule="auto"/>
        <w:jc w:val="both"/>
        <w:rPr>
          <w:sz w:val="18"/>
          <w:szCs w:val="18"/>
        </w:rPr>
      </w:pPr>
      <w:r>
        <w:rPr>
          <w:sz w:val="18"/>
          <w:szCs w:val="18"/>
        </w:rPr>
        <w:t>. Accessed on: 8 January 2026.</w:t>
      </w:r>
    </w:p>
  </w:footnote>
  <w:footnote w:id="46">
    <w:p w14:paraId="48F58B5C" w14:textId="77777777" w:rsidR="001B4D70" w:rsidRDefault="005D51BF">
      <w:pPr>
        <w:spacing w:line="240" w:lineRule="auto"/>
        <w:jc w:val="both"/>
        <w:rPr>
          <w:sz w:val="18"/>
          <w:szCs w:val="18"/>
        </w:rPr>
      </w:pPr>
      <w:r>
        <w:rPr>
          <w:vertAlign w:val="superscript"/>
        </w:rPr>
        <w:footnoteRef/>
      </w:r>
      <w:r>
        <w:rPr>
          <w:sz w:val="18"/>
          <w:szCs w:val="18"/>
        </w:rPr>
        <w:t>These are internal commissions composed of staff from the prison institution itself (including prison police and correctional officers), tasked with investigating and adjudicating disciplinary infractions committed by persons deprived of liberty, such as non-compliance with internal rules.</w:t>
      </w:r>
    </w:p>
  </w:footnote>
  <w:footnote w:id="47">
    <w:p w14:paraId="0EF023C3" w14:textId="77777777" w:rsidR="001B4D70" w:rsidRDefault="005D51BF">
      <w:pPr>
        <w:spacing w:line="240" w:lineRule="auto"/>
        <w:jc w:val="both"/>
        <w:rPr>
          <w:sz w:val="18"/>
          <w:szCs w:val="18"/>
        </w:rPr>
      </w:pPr>
      <w:r>
        <w:rPr>
          <w:vertAlign w:val="superscript"/>
        </w:rPr>
        <w:footnoteRef/>
      </w:r>
      <w:r>
        <w:rPr>
          <w:sz w:val="18"/>
          <w:szCs w:val="18"/>
        </w:rPr>
        <w:t xml:space="preserve">Relatório Bianual 2020-2021. Available at: </w:t>
      </w:r>
      <w:hyperlink r:id="rId37">
        <w:r>
          <w:rPr>
            <w:color w:val="1155CC"/>
            <w:sz w:val="18"/>
            <w:szCs w:val="18"/>
            <w:u w:val="single"/>
          </w:rPr>
          <w:t>https://mnpctbrasil.wordpress.com/wp-content/uploads/2022/05/relatocc81rio-bienal-2020-2021-versao-final-3.pdf</w:t>
        </w:r>
      </w:hyperlink>
      <w:r>
        <w:rPr>
          <w:sz w:val="18"/>
          <w:szCs w:val="18"/>
        </w:rPr>
        <w:t xml:space="preserve"> Accessed on: 6/1/2026</w:t>
      </w:r>
    </w:p>
  </w:footnote>
  <w:footnote w:id="48">
    <w:p w14:paraId="2D98B36D" w14:textId="77777777" w:rsidR="001B4D70" w:rsidRDefault="005D51BF">
      <w:pPr>
        <w:spacing w:line="240" w:lineRule="auto"/>
        <w:jc w:val="both"/>
        <w:rPr>
          <w:sz w:val="18"/>
          <w:szCs w:val="18"/>
        </w:rPr>
      </w:pPr>
      <w:r>
        <w:rPr>
          <w:vertAlign w:val="superscript"/>
        </w:rPr>
        <w:footnoteRef/>
      </w:r>
      <w:r>
        <w:rPr>
          <w:sz w:val="18"/>
          <w:szCs w:val="18"/>
        </w:rPr>
        <w:t>The study ‘Prison Lethality: A Matter of Justice and Public Health’ was published in 2023 and presents nationwide data on deaths in custody in Brazil. Excerpt from page 313. The full report is available at: https://www.cnj.jus.br/wp-content/uploads/2023/05/5ajp-letalidade-prisional-11-05-23-relatorio-v2.pdf</w:t>
      </w:r>
    </w:p>
    <w:p w14:paraId="5628304B" w14:textId="77777777" w:rsidR="001B4D70" w:rsidRDefault="005D51BF">
      <w:pPr>
        <w:spacing w:line="240" w:lineRule="auto"/>
        <w:jc w:val="both"/>
        <w:rPr>
          <w:sz w:val="18"/>
          <w:szCs w:val="18"/>
        </w:rPr>
      </w:pPr>
      <w:r>
        <w:rPr>
          <w:sz w:val="18"/>
          <w:szCs w:val="18"/>
        </w:rPr>
        <w:t xml:space="preserve">. Accessed on: 5 January 2026. </w:t>
      </w:r>
    </w:p>
  </w:footnote>
  <w:footnote w:id="49">
    <w:p w14:paraId="5ED182F6" w14:textId="77777777" w:rsidR="001B4D70" w:rsidRDefault="005D51BF">
      <w:pPr>
        <w:spacing w:line="240" w:lineRule="auto"/>
        <w:rPr>
          <w:sz w:val="18"/>
          <w:szCs w:val="18"/>
        </w:rPr>
      </w:pPr>
      <w:r>
        <w:rPr>
          <w:vertAlign w:val="superscript"/>
        </w:rPr>
        <w:footnoteRef/>
      </w:r>
      <w:r>
        <w:rPr>
          <w:sz w:val="18"/>
          <w:szCs w:val="18"/>
        </w:rPr>
        <w:t xml:space="preserve"> Available at: </w:t>
      </w:r>
      <w:hyperlink r:id="rId38">
        <w:r>
          <w:rPr>
            <w:color w:val="1155CC"/>
            <w:sz w:val="18"/>
            <w:szCs w:val="18"/>
            <w:u w:val="single"/>
          </w:rPr>
          <w:t>https://diariodonordeste.verdesmares.com.br/seguranca/em-6-anos-502-jovens-que-passaram-pelo-sistema-socioeducativo-no-ceara-morreramapontapesquisa-1.3583068</w:t>
        </w:r>
      </w:hyperlink>
      <w:r>
        <w:rPr>
          <w:sz w:val="18"/>
          <w:szCs w:val="18"/>
        </w:rPr>
        <w:t xml:space="preserve"> . Accessed on: 15/1/2026.</w:t>
      </w:r>
    </w:p>
  </w:footnote>
  <w:footnote w:id="50">
    <w:p w14:paraId="269A0FC7" w14:textId="77777777" w:rsidR="001B4D70" w:rsidRDefault="005D51BF">
      <w:pPr>
        <w:spacing w:line="240" w:lineRule="auto"/>
        <w:jc w:val="both"/>
        <w:rPr>
          <w:sz w:val="18"/>
          <w:szCs w:val="18"/>
        </w:rPr>
      </w:pPr>
      <w:r>
        <w:rPr>
          <w:vertAlign w:val="superscript"/>
        </w:rPr>
        <w:footnoteRef/>
      </w:r>
      <w:r>
        <w:rPr>
          <w:sz w:val="18"/>
          <w:szCs w:val="18"/>
        </w:rPr>
        <w:t>According to a survey conducted by Conectas Human Rights and the Brazilian Center for Analysis and Planning (CEBRAP), between 2017 and 2020 the average total annual public expenditure on Therapeutic Communities amounted to approximately BRL 148 million. The full study is available at: https://conectas.org/publicacao/financiamento-publico-de-comunidades-terapeuticas-brasileiras-entre-2017-e-2020/#wpcf7-f18339-o1</w:t>
      </w:r>
    </w:p>
    <w:p w14:paraId="7F5C1B28" w14:textId="77777777" w:rsidR="001B4D70" w:rsidRDefault="005D51BF">
      <w:pPr>
        <w:spacing w:line="240" w:lineRule="auto"/>
        <w:jc w:val="both"/>
        <w:rPr>
          <w:sz w:val="18"/>
          <w:szCs w:val="18"/>
        </w:rPr>
      </w:pPr>
      <w:r>
        <w:rPr>
          <w:sz w:val="18"/>
          <w:szCs w:val="18"/>
        </w:rPr>
        <w:t>. Accessed on: 8 January 2026.</w:t>
      </w:r>
    </w:p>
  </w:footnote>
  <w:footnote w:id="51">
    <w:p w14:paraId="0B8AD3E2" w14:textId="77777777" w:rsidR="001B4D70" w:rsidRDefault="005D51BF">
      <w:pPr>
        <w:spacing w:line="240" w:lineRule="auto"/>
        <w:jc w:val="both"/>
        <w:rPr>
          <w:sz w:val="18"/>
          <w:szCs w:val="18"/>
        </w:rPr>
      </w:pPr>
      <w:r>
        <w:rPr>
          <w:vertAlign w:val="superscript"/>
        </w:rPr>
        <w:footnoteRef/>
      </w:r>
      <w:r>
        <w:rPr>
          <w:sz w:val="18"/>
          <w:szCs w:val="18"/>
        </w:rPr>
        <w:t xml:space="preserve"> MNPCT. Relatório “As comunidades terapêuticas em evidência: o que dizem as avaliações e fiscalizações do Estado brasileiro?” Available at: </w:t>
      </w:r>
      <w:hyperlink r:id="rId39">
        <w:r>
          <w:rPr>
            <w:color w:val="1155CC"/>
            <w:sz w:val="18"/>
            <w:szCs w:val="18"/>
            <w:u w:val="single"/>
          </w:rPr>
          <w:t>https://mnpctbrasil.wordpress.com/wp-content/uploads/2025/03/cts-em-evidencia_corrigido.pdf</w:t>
        </w:r>
      </w:hyperlink>
      <w:r>
        <w:rPr>
          <w:sz w:val="18"/>
          <w:szCs w:val="18"/>
        </w:rPr>
        <w:t xml:space="preserve"> . Accessed on: 8 jan. 2026.</w:t>
      </w:r>
    </w:p>
  </w:footnote>
  <w:footnote w:id="52">
    <w:p w14:paraId="67EF2C70" w14:textId="77777777" w:rsidR="001B4D70" w:rsidRDefault="005D51BF">
      <w:pPr>
        <w:spacing w:line="240" w:lineRule="auto"/>
        <w:jc w:val="both"/>
        <w:rPr>
          <w:sz w:val="18"/>
          <w:szCs w:val="18"/>
        </w:rPr>
      </w:pPr>
      <w:r>
        <w:rPr>
          <w:vertAlign w:val="superscript"/>
        </w:rPr>
        <w:footnoteRef/>
      </w:r>
      <w:r>
        <w:rPr>
          <w:sz w:val="18"/>
          <w:szCs w:val="18"/>
        </w:rPr>
        <w:t>A Federal Government income transfer programme for families in situations of social vulnerability.</w:t>
      </w:r>
    </w:p>
  </w:footnote>
  <w:footnote w:id="53">
    <w:p w14:paraId="5D88AC63" w14:textId="77777777" w:rsidR="001B4D70" w:rsidRDefault="005D51BF">
      <w:pPr>
        <w:spacing w:line="240" w:lineRule="auto"/>
        <w:jc w:val="both"/>
        <w:rPr>
          <w:sz w:val="18"/>
          <w:szCs w:val="18"/>
        </w:rPr>
      </w:pPr>
      <w:r>
        <w:rPr>
          <w:vertAlign w:val="superscript"/>
        </w:rPr>
        <w:footnoteRef/>
      </w:r>
      <w:r>
        <w:rPr>
          <w:sz w:val="18"/>
          <w:szCs w:val="18"/>
        </w:rPr>
        <w:t xml:space="preserve">Available at: </w:t>
      </w:r>
      <w:hyperlink r:id="rId40">
        <w:r>
          <w:rPr>
            <w:color w:val="1155CC"/>
            <w:sz w:val="18"/>
            <w:szCs w:val="18"/>
            <w:u w:val="single"/>
          </w:rPr>
          <w:t>https://experience.arcgis.com/experience/54febd2948d54d68a1a462581f89d920/page/PPL---Quantas-pessoas-est%C3%A3o-privadas-de-liberdade-no-Brasil%3F</w:t>
        </w:r>
      </w:hyperlink>
      <w:r>
        <w:rPr>
          <w:sz w:val="18"/>
          <w:szCs w:val="18"/>
        </w:rPr>
        <w:t xml:space="preserve">  Accessed on: 5 jan. de 2026. </w:t>
      </w:r>
    </w:p>
  </w:footnote>
  <w:footnote w:id="54">
    <w:p w14:paraId="5F4A3ACA" w14:textId="77777777" w:rsidR="001B4D70" w:rsidRDefault="005D51BF">
      <w:pPr>
        <w:spacing w:line="240" w:lineRule="auto"/>
        <w:jc w:val="both"/>
        <w:rPr>
          <w:sz w:val="18"/>
          <w:szCs w:val="18"/>
        </w:rPr>
      </w:pPr>
      <w:r>
        <w:rPr>
          <w:vertAlign w:val="superscript"/>
        </w:rPr>
        <w:footnoteRef/>
      </w:r>
      <w:r>
        <w:rPr>
          <w:sz w:val="18"/>
          <w:szCs w:val="18"/>
        </w:rPr>
        <w:t xml:space="preserve">Lei Federal n. 12.847/2013. Available at: </w:t>
      </w:r>
      <w:hyperlink r:id="rId41">
        <w:r>
          <w:rPr>
            <w:color w:val="1155CC"/>
            <w:sz w:val="18"/>
            <w:szCs w:val="18"/>
            <w:u w:val="single"/>
          </w:rPr>
          <w:t>https://www.planalto.gov.br/ccivil_03/_ato2011-2014/2013/lei/l12847.htm</w:t>
        </w:r>
      </w:hyperlink>
      <w:r>
        <w:rPr>
          <w:sz w:val="18"/>
          <w:szCs w:val="18"/>
        </w:rPr>
        <w:t xml:space="preserve"> . Accessed on: 8 jan. 2026.</w:t>
      </w:r>
    </w:p>
  </w:footnote>
  <w:footnote w:id="55">
    <w:p w14:paraId="3DBE35A5" w14:textId="77777777" w:rsidR="001B4D70" w:rsidRDefault="005D51BF">
      <w:pPr>
        <w:spacing w:line="240" w:lineRule="auto"/>
        <w:jc w:val="both"/>
        <w:rPr>
          <w:sz w:val="18"/>
          <w:szCs w:val="18"/>
        </w:rPr>
      </w:pPr>
      <w:r>
        <w:rPr>
          <w:vertAlign w:val="superscript"/>
        </w:rPr>
        <w:footnoteRef/>
      </w:r>
      <w:r>
        <w:rPr>
          <w:sz w:val="18"/>
          <w:szCs w:val="18"/>
        </w:rPr>
        <w:t>In this regard, reference should be made to the information set out in section 9.1 concerning the strategy adopted that gave rise to the ‘Pena Justa’ Plan. Despite the judicial determination and the submission of state-level plans, not all states provided for the establishment of these bodies, in clear non-compliance with existing legislation, international protocols, and the Supreme Court’s own decision.</w:t>
      </w:r>
    </w:p>
  </w:footnote>
  <w:footnote w:id="56">
    <w:p w14:paraId="451CC1C0" w14:textId="77777777" w:rsidR="001B4D70" w:rsidRDefault="005D51BF">
      <w:pPr>
        <w:spacing w:line="240" w:lineRule="auto"/>
        <w:jc w:val="both"/>
        <w:rPr>
          <w:sz w:val="18"/>
          <w:szCs w:val="18"/>
        </w:rPr>
      </w:pPr>
      <w:r>
        <w:rPr>
          <w:vertAlign w:val="superscript"/>
        </w:rPr>
        <w:footnoteRef/>
      </w:r>
      <w:r>
        <w:rPr>
          <w:sz w:val="18"/>
          <w:szCs w:val="18"/>
        </w:rPr>
        <w:t>Available at: &lt;</w:t>
      </w:r>
      <w:hyperlink r:id="rId42">
        <w:r>
          <w:rPr>
            <w:color w:val="1155CC"/>
            <w:sz w:val="18"/>
            <w:szCs w:val="18"/>
            <w:u w:val="single"/>
          </w:rPr>
          <w:t>https://diariodonordeste.verdesmares.com.br/seguranca/estado-cria-mecanismo-de-prevencao-e-combate-a-tortura-para-fiscalizar-privacoes-a-liberdade-no-ceara-1.3462234/leia-mais-1.3462241/%C3%B3rg%C3%A3os-de-controle-alertam-sobre-ind%C3%ADcios-de-tortura-nos-pres%C3%ADdios-do-ce-desde-2019-veja-hist%C3%B3rico-7.4930896</w:t>
        </w:r>
      </w:hyperlink>
      <w:r>
        <w:rPr>
          <w:sz w:val="18"/>
          <w:szCs w:val="18"/>
        </w:rPr>
        <w:t>&gt;. Accessed on: 14/01/2026.</w:t>
      </w:r>
    </w:p>
  </w:footnote>
  <w:footnote w:id="57">
    <w:p w14:paraId="7B41AF2C" w14:textId="77777777" w:rsidR="001B4D70" w:rsidRDefault="005D51BF">
      <w:pPr>
        <w:spacing w:line="240" w:lineRule="auto"/>
        <w:jc w:val="both"/>
        <w:rPr>
          <w:sz w:val="18"/>
          <w:szCs w:val="18"/>
        </w:rPr>
      </w:pPr>
      <w:r>
        <w:rPr>
          <w:vertAlign w:val="superscript"/>
        </w:rPr>
        <w:footnoteRef/>
      </w:r>
      <w:r>
        <w:rPr>
          <w:sz w:val="18"/>
          <w:szCs w:val="18"/>
        </w:rPr>
        <w:t>Available at: &lt;</w:t>
      </w:r>
      <w:hyperlink r:id="rId43">
        <w:r>
          <w:rPr>
            <w:color w:val="1155CC"/>
            <w:sz w:val="18"/>
            <w:szCs w:val="18"/>
            <w:u w:val="single"/>
          </w:rPr>
          <w:t>https://belt.al.ce.gov.br/index.php/legislacao-do-ceara/organizacao-tematica/direitos-humanos-e-cidadania/item/8689-lei-n-18-660-de-27-12-23-d-o-29-12-23</w:t>
        </w:r>
      </w:hyperlink>
      <w:r>
        <w:rPr>
          <w:sz w:val="18"/>
          <w:szCs w:val="18"/>
        </w:rPr>
        <w:t xml:space="preserve">; </w:t>
      </w:r>
      <w:hyperlink r:id="rId44" w:anchor=":~:text=A%20Defensoria%20P%C3%BAblica%20do%20Cear%C3%A1%20(DPCE)%20vai,Executivo%20para%20san%C3%A7%C3%A3o%20do%20governador%20Elmano%20de">
        <w:r>
          <w:rPr>
            <w:color w:val="1155CC"/>
            <w:sz w:val="18"/>
            <w:szCs w:val="18"/>
            <w:u w:val="single"/>
          </w:rPr>
          <w:t>https://www.defensoria.ce.def.br/noticia/defensoria-fara-parte-do-sistema-de-prevencao-e-combate-a-tortura-do-ceara-criacao-foi-aprovada-por-lei-pela-assembleia/#:~:text=A%20Defensoria%20P%C3%BAblica%20do%20Cear%C3%A1%20(DPCE)%20vai,Executivo%20para%20san%C3%A7%C3%A3o%20do%20governador%20Elmano%20de</w:t>
        </w:r>
      </w:hyperlink>
      <w:r>
        <w:rPr>
          <w:sz w:val="18"/>
          <w:szCs w:val="18"/>
        </w:rPr>
        <w:t>&gt;. Accessed on: 14/01/2026.</w:t>
      </w:r>
    </w:p>
  </w:footnote>
  <w:footnote w:id="58">
    <w:p w14:paraId="21EA35AE" w14:textId="77777777" w:rsidR="001B4D70" w:rsidRDefault="005D51BF">
      <w:pPr>
        <w:spacing w:line="240" w:lineRule="auto"/>
        <w:jc w:val="both"/>
        <w:rPr>
          <w:sz w:val="18"/>
          <w:szCs w:val="18"/>
        </w:rPr>
      </w:pPr>
      <w:r>
        <w:rPr>
          <w:vertAlign w:val="superscript"/>
        </w:rPr>
        <w:footnoteRef/>
      </w:r>
      <w:r>
        <w:rPr>
          <w:sz w:val="18"/>
          <w:szCs w:val="18"/>
        </w:rPr>
        <w:t>Justiça Global, the Centre for the Defence of Children and Adolescents of Ceará (CEDECA Ceará), and other civil society organizations submitted a joint advocacy letter to the United Nations Committee against Torture and the Subcommittee on Prevention of Torture. The purpose was to request an official position regarding the inactivity of the State Mechanism for the Prevention and Combat of Torture in the State of Ceará and the vacancy of posts within the State Committee for the Prevention and Combat of Tortu</w:t>
      </w:r>
      <w:r>
        <w:rPr>
          <w:sz w:val="18"/>
          <w:szCs w:val="18"/>
        </w:rPr>
        <w:t xml:space="preserve">re. Despite the establishment of the State System for the Prevention and Combat of Torture, regulated by State Law No. 18,660/2023, the body remains non-operational due to the failure to swear in the individuals elected to the expert positions. Available at: </w:t>
      </w:r>
      <w:hyperlink r:id="rId45">
        <w:r>
          <w:rPr>
            <w:color w:val="1155CC"/>
            <w:sz w:val="18"/>
            <w:szCs w:val="18"/>
            <w:u w:val="single"/>
          </w:rPr>
          <w:t>https://www.global.org.br/blog/justica-global-e-cedeca-do-ceara-acionam-onu-por-omissao-na-prevencao-e-combate-a-tortura-no-estado/</w:t>
        </w:r>
      </w:hyperlink>
      <w:r>
        <w:rPr>
          <w:sz w:val="18"/>
          <w:szCs w:val="18"/>
        </w:rPr>
        <w:t xml:space="preserve"> . Accessed on: 14 January 2025.</w:t>
      </w:r>
    </w:p>
    <w:p w14:paraId="311A1014" w14:textId="77777777" w:rsidR="001B4D70" w:rsidRDefault="001B4D70">
      <w:pPr>
        <w:spacing w:line="240" w:lineRule="auto"/>
        <w:rPr>
          <w:sz w:val="20"/>
          <w:szCs w:val="20"/>
        </w:rPr>
      </w:pPr>
    </w:p>
  </w:footnote>
  <w:footnote w:id="59">
    <w:p w14:paraId="4FE7AE20" w14:textId="77777777" w:rsidR="001B4D70" w:rsidRDefault="005D51BF">
      <w:pPr>
        <w:spacing w:line="240" w:lineRule="auto"/>
        <w:rPr>
          <w:sz w:val="18"/>
          <w:szCs w:val="18"/>
        </w:rPr>
      </w:pPr>
      <w:r>
        <w:rPr>
          <w:vertAlign w:val="superscript"/>
        </w:rPr>
        <w:footnoteRef/>
      </w:r>
      <w:r>
        <w:rPr>
          <w:sz w:val="18"/>
          <w:szCs w:val="18"/>
        </w:rPr>
        <w:t xml:space="preserve"> Available at: </w:t>
      </w:r>
      <w:hyperlink r:id="rId46">
        <w:r>
          <w:rPr>
            <w:color w:val="1155CC"/>
            <w:sz w:val="18"/>
            <w:szCs w:val="18"/>
            <w:u w:val="single"/>
          </w:rPr>
          <w:t>https://www.gov.br/participamaisbrasil/recomendacao-n-13-de-24-de-abril-de-2024</w:t>
        </w:r>
      </w:hyperlink>
      <w:r>
        <w:rPr>
          <w:sz w:val="18"/>
          <w:szCs w:val="18"/>
        </w:rPr>
        <w:t xml:space="preserve"> Accessed on: 22 de dezembro de 2025.</w:t>
      </w:r>
    </w:p>
  </w:footnote>
  <w:footnote w:id="60">
    <w:p w14:paraId="060FD9D2" w14:textId="77777777" w:rsidR="001B4D70" w:rsidRDefault="005D51BF">
      <w:pPr>
        <w:spacing w:line="240" w:lineRule="auto"/>
        <w:jc w:val="both"/>
        <w:rPr>
          <w:sz w:val="18"/>
          <w:szCs w:val="18"/>
        </w:rPr>
      </w:pPr>
      <w:r>
        <w:rPr>
          <w:vertAlign w:val="superscript"/>
        </w:rPr>
        <w:footnoteRef/>
      </w:r>
      <w:r>
        <w:rPr>
          <w:sz w:val="18"/>
          <w:szCs w:val="18"/>
        </w:rPr>
        <w:t xml:space="preserve"> !Aprovada em dois turnos, PEC do marco temporal vai à Câmara” ,Available at: </w:t>
      </w:r>
      <w:hyperlink r:id="rId47">
        <w:r>
          <w:rPr>
            <w:color w:val="1155CC"/>
            <w:sz w:val="18"/>
            <w:szCs w:val="18"/>
            <w:u w:val="single"/>
          </w:rPr>
          <w:t>https://www12.senado.leg.br/noticias/materias/2025/12/09/aprovada-em-dois-turnos-pec-do-marco-temporal-vai-a-camara</w:t>
        </w:r>
      </w:hyperlink>
      <w:r>
        <w:rPr>
          <w:sz w:val="18"/>
          <w:szCs w:val="18"/>
        </w:rPr>
        <w:t xml:space="preserve"> . Accessed on: 12 jan. 2026.</w:t>
      </w:r>
    </w:p>
  </w:footnote>
  <w:footnote w:id="61">
    <w:p w14:paraId="2923F8C0" w14:textId="77777777" w:rsidR="001B4D70" w:rsidRDefault="005D51BF">
      <w:pPr>
        <w:spacing w:line="240" w:lineRule="auto"/>
        <w:jc w:val="both"/>
        <w:rPr>
          <w:sz w:val="18"/>
          <w:szCs w:val="18"/>
        </w:rPr>
      </w:pPr>
      <w:r>
        <w:rPr>
          <w:vertAlign w:val="superscript"/>
        </w:rPr>
        <w:footnoteRef/>
      </w:r>
      <w:r>
        <w:rPr>
          <w:sz w:val="18"/>
          <w:szCs w:val="18"/>
        </w:rPr>
        <w:t xml:space="preserve"> “Comunidade cigana brasileira sofre com preconceitos e restrição de direitos, diz relatora da ONU.” Available at: </w:t>
      </w:r>
      <w:hyperlink r:id="rId48">
        <w:r>
          <w:rPr>
            <w:color w:val="1155CC"/>
            <w:sz w:val="18"/>
            <w:szCs w:val="18"/>
            <w:u w:val="single"/>
          </w:rPr>
          <w:t>https://brasil.un.org/pt-br/72598-comunidade-cigana-brasileira-sofre-com-preconceitos-e-restri%C3%A7%C3%A3o-de-direitos-diz-relatora-da</w:t>
        </w:r>
      </w:hyperlink>
      <w:r>
        <w:rPr>
          <w:sz w:val="18"/>
          <w:szCs w:val="18"/>
        </w:rPr>
        <w:t xml:space="preserve"> . Accessed on: 12 jan. 2026.</w:t>
      </w:r>
    </w:p>
  </w:footnote>
  <w:footnote w:id="62">
    <w:p w14:paraId="640A9EB6" w14:textId="77777777" w:rsidR="001B4D70" w:rsidRDefault="005D51BF">
      <w:pPr>
        <w:spacing w:line="240" w:lineRule="auto"/>
        <w:jc w:val="both"/>
        <w:rPr>
          <w:sz w:val="18"/>
          <w:szCs w:val="18"/>
        </w:rPr>
      </w:pPr>
      <w:r>
        <w:rPr>
          <w:vertAlign w:val="superscript"/>
        </w:rPr>
        <w:footnoteRef/>
      </w:r>
      <w:r>
        <w:rPr>
          <w:sz w:val="18"/>
          <w:szCs w:val="18"/>
        </w:rPr>
        <w:t xml:space="preserve">Grupo Gay da Bahia (2024): Observatório da Violência. Available at: </w:t>
      </w:r>
      <w:hyperlink r:id="rId49">
        <w:r>
          <w:rPr>
            <w:color w:val="1155CC"/>
            <w:sz w:val="18"/>
            <w:szCs w:val="18"/>
            <w:u w:val="single"/>
          </w:rPr>
          <w:t>https://grupogaydabahia.com.br/mortes-violentas-de-lgbt-no-brasil-2024/</w:t>
        </w:r>
      </w:hyperlink>
      <w:r>
        <w:rPr>
          <w:sz w:val="18"/>
          <w:szCs w:val="18"/>
        </w:rPr>
        <w:t xml:space="preserve"> . Accessed on: 9 jan. 2026.</w:t>
      </w:r>
    </w:p>
  </w:footnote>
  <w:footnote w:id="63">
    <w:p w14:paraId="06779878" w14:textId="77777777" w:rsidR="001B4D70" w:rsidRDefault="005D51BF">
      <w:pPr>
        <w:spacing w:line="240" w:lineRule="auto"/>
        <w:rPr>
          <w:sz w:val="18"/>
          <w:szCs w:val="18"/>
        </w:rPr>
      </w:pPr>
      <w:r>
        <w:rPr>
          <w:vertAlign w:val="superscript"/>
        </w:rPr>
        <w:footnoteRef/>
      </w:r>
      <w:r>
        <w:rPr>
          <w:sz w:val="18"/>
          <w:szCs w:val="18"/>
        </w:rPr>
        <w:t xml:space="preserve"> “STF enquadra homofobia e transfobia como crimes de racismo ao reconhecer omissão legislativa” Available at: </w:t>
      </w:r>
      <w:hyperlink r:id="rId50">
        <w:r>
          <w:rPr>
            <w:color w:val="1155CC"/>
            <w:sz w:val="18"/>
            <w:szCs w:val="18"/>
            <w:u w:val="single"/>
          </w:rPr>
          <w:t>https://noticias.stf.jus.br/postsnoticias/stf-enquadra-homofobia-e-transfobia-como-crimes-de-racismo-ao-reconhecer-omissao-legislativa/</w:t>
        </w:r>
      </w:hyperlink>
      <w:r>
        <w:rPr>
          <w:sz w:val="18"/>
          <w:szCs w:val="18"/>
        </w:rPr>
        <w:t xml:space="preserve"> . Accessed on: 9 jan. 2026.</w:t>
      </w:r>
    </w:p>
  </w:footnote>
  <w:footnote w:id="64">
    <w:p w14:paraId="3520D9BC" w14:textId="77777777" w:rsidR="001B4D70" w:rsidRDefault="005D51BF">
      <w:pPr>
        <w:spacing w:line="240" w:lineRule="auto"/>
        <w:jc w:val="both"/>
        <w:rPr>
          <w:sz w:val="18"/>
          <w:szCs w:val="18"/>
        </w:rPr>
      </w:pPr>
      <w:r>
        <w:rPr>
          <w:vertAlign w:val="superscript"/>
        </w:rPr>
        <w:footnoteRef/>
      </w:r>
      <w:r>
        <w:rPr>
          <w:sz w:val="18"/>
          <w:szCs w:val="18"/>
        </w:rPr>
        <w:t xml:space="preserve"> “Violência contra população LGBT cresceu mais de 1.000% na última década, mostra Atlas da Violência”. Available at: </w:t>
      </w:r>
      <w:hyperlink r:id="rId51">
        <w:r>
          <w:rPr>
            <w:color w:val="1155CC"/>
            <w:sz w:val="18"/>
            <w:szCs w:val="18"/>
            <w:u w:val="single"/>
          </w:rPr>
          <w:t>https://oglobo.globo.com/brasil/noticia/2025/05/13/violencia-contra-populacao-lgbt-cresceu-mais-de-1000percent-na-ultima-decada-mostra-atlas-da-violencia.ghtml</w:t>
        </w:r>
      </w:hyperlink>
      <w:r>
        <w:rPr>
          <w:sz w:val="18"/>
          <w:szCs w:val="18"/>
        </w:rPr>
        <w:t xml:space="preserve"> . Accessed on: 9 jan. 2026.</w:t>
      </w:r>
    </w:p>
  </w:footnote>
  <w:footnote w:id="65">
    <w:p w14:paraId="484DC63B" w14:textId="77777777" w:rsidR="001B4D70" w:rsidRDefault="005D51BF">
      <w:pPr>
        <w:spacing w:line="240" w:lineRule="auto"/>
        <w:jc w:val="both"/>
        <w:rPr>
          <w:sz w:val="18"/>
          <w:szCs w:val="18"/>
        </w:rPr>
      </w:pPr>
      <w:r>
        <w:rPr>
          <w:vertAlign w:val="superscript"/>
        </w:rPr>
        <w:footnoteRef/>
      </w:r>
      <w:r>
        <w:rPr>
          <w:sz w:val="18"/>
          <w:szCs w:val="18"/>
        </w:rPr>
        <w:t xml:space="preserve"> FGV Rio. “Desinformação, conservadorismo e narrativas transfóbicas orientam projetos de lei com conteúdo antitrans entre 2019 e 2023”, Available at: </w:t>
      </w:r>
      <w:hyperlink r:id="rId52">
        <w:r>
          <w:rPr>
            <w:color w:val="1155CC"/>
            <w:sz w:val="18"/>
            <w:szCs w:val="18"/>
            <w:u w:val="single"/>
          </w:rPr>
          <w:t>https://midiademocracia.fgv.br/node/103</w:t>
        </w:r>
      </w:hyperlink>
      <w:r>
        <w:rPr>
          <w:sz w:val="18"/>
          <w:szCs w:val="18"/>
        </w:rPr>
        <w:t xml:space="preserve"> . Accessed on: 9 jan. 2026.</w:t>
      </w:r>
    </w:p>
  </w:footnote>
  <w:footnote w:id="66">
    <w:p w14:paraId="6ABAA377" w14:textId="77777777" w:rsidR="001B4D70" w:rsidRDefault="005D51BF">
      <w:pPr>
        <w:spacing w:line="240" w:lineRule="auto"/>
        <w:rPr>
          <w:sz w:val="18"/>
          <w:szCs w:val="18"/>
        </w:rPr>
      </w:pPr>
      <w:r>
        <w:rPr>
          <w:vertAlign w:val="superscript"/>
        </w:rPr>
        <w:footnoteRef/>
      </w:r>
      <w:r>
        <w:rPr>
          <w:sz w:val="18"/>
          <w:szCs w:val="18"/>
        </w:rPr>
        <w:t xml:space="preserve"> Available at: </w:t>
      </w:r>
      <w:hyperlink r:id="rId53">
        <w:r>
          <w:rPr>
            <w:color w:val="1155CC"/>
            <w:sz w:val="18"/>
            <w:szCs w:val="18"/>
            <w:u w:val="single"/>
          </w:rPr>
          <w:t>https://atos.cnj.jus.br/atos/detalhar/3519</w:t>
        </w:r>
      </w:hyperlink>
      <w:r>
        <w:rPr>
          <w:sz w:val="18"/>
          <w:szCs w:val="18"/>
        </w:rPr>
        <w:t xml:space="preserve"> . Accessed on: 9 jan. 2026.</w:t>
      </w:r>
    </w:p>
  </w:footnote>
  <w:footnote w:id="67">
    <w:p w14:paraId="151E0ADD" w14:textId="77777777" w:rsidR="001B4D70" w:rsidRDefault="005D51BF">
      <w:pPr>
        <w:spacing w:line="240" w:lineRule="auto"/>
        <w:jc w:val="both"/>
        <w:rPr>
          <w:sz w:val="18"/>
          <w:szCs w:val="18"/>
        </w:rPr>
      </w:pPr>
      <w:r>
        <w:rPr>
          <w:vertAlign w:val="superscript"/>
        </w:rPr>
        <w:footnoteRef/>
      </w:r>
      <w:r>
        <w:rPr>
          <w:sz w:val="18"/>
          <w:szCs w:val="18"/>
        </w:rPr>
        <w:t xml:space="preserve"> See ‘Police Officers Are Poorly Prepared to Deal with LGBTphobia, Study Finds’. Available at: https://agenciabrasil.ebc.com.br/direitos-humanos/noticia/2024-05/policiais-estao-pouco-preparados-para-lidar-com-lgbtfobia-diz-estudo; see also ‘What Makes the Luana Barbosa Case So Alarming?’. Available at: </w:t>
      </w:r>
      <w:hyperlink r:id="rId54">
        <w:r>
          <w:rPr>
            <w:color w:val="1155CC"/>
            <w:sz w:val="18"/>
            <w:szCs w:val="18"/>
            <w:u w:val="single"/>
          </w:rPr>
          <w:t>https://diplomatique.org.br/o-que-faz-o-caso-luana-barbosa-tao-assustador/</w:t>
        </w:r>
      </w:hyperlink>
      <w:r>
        <w:rPr>
          <w:sz w:val="18"/>
          <w:szCs w:val="18"/>
        </w:rPr>
        <w:t xml:space="preserve"> . Accessed on: 9 January 2026.</w:t>
      </w:r>
    </w:p>
  </w:footnote>
  <w:footnote w:id="68">
    <w:p w14:paraId="3C9372B6" w14:textId="77777777" w:rsidR="001B4D70" w:rsidRDefault="005D51BF">
      <w:pPr>
        <w:spacing w:line="240" w:lineRule="auto"/>
        <w:jc w:val="both"/>
        <w:rPr>
          <w:sz w:val="18"/>
          <w:szCs w:val="18"/>
        </w:rPr>
      </w:pPr>
      <w:r>
        <w:rPr>
          <w:vertAlign w:val="superscript"/>
        </w:rPr>
        <w:footnoteRef/>
      </w:r>
      <w:r>
        <w:rPr>
          <w:sz w:val="18"/>
          <w:szCs w:val="18"/>
        </w:rPr>
        <w:t xml:space="preserve"> ANTRA. “Não existe cadeia humanizada: estudo sobre a população LGBTI+ em privação de liberdade”. Available at: </w:t>
      </w:r>
      <w:hyperlink r:id="rId55">
        <w:r>
          <w:rPr>
            <w:color w:val="1155CC"/>
            <w:sz w:val="18"/>
            <w:szCs w:val="18"/>
            <w:u w:val="single"/>
          </w:rPr>
          <w:t>https://antrabrasil.org/wp-content/uploads/2020/12/nao-existe-cadeia-humanizada-nf.pdf</w:t>
        </w:r>
      </w:hyperlink>
      <w:r>
        <w:rPr>
          <w:sz w:val="18"/>
          <w:szCs w:val="18"/>
        </w:rPr>
        <w:t xml:space="preserve"> . Accessed on: 9 jan. 2026.</w:t>
      </w:r>
    </w:p>
  </w:footnote>
  <w:footnote w:id="69">
    <w:p w14:paraId="7FA49352" w14:textId="77777777" w:rsidR="001B4D70" w:rsidRDefault="005D51BF">
      <w:pPr>
        <w:spacing w:line="240" w:lineRule="auto"/>
        <w:jc w:val="both"/>
        <w:rPr>
          <w:sz w:val="18"/>
          <w:szCs w:val="18"/>
        </w:rPr>
      </w:pPr>
      <w:r>
        <w:rPr>
          <w:vertAlign w:val="superscript"/>
        </w:rPr>
        <w:footnoteRef/>
      </w:r>
      <w:r>
        <w:rPr>
          <w:sz w:val="18"/>
          <w:szCs w:val="18"/>
        </w:rPr>
        <w:t xml:space="preserve"> “Especialistas apontam padrão de violência policial contra imigrantes africanos no Brasil”. Available at: </w:t>
      </w:r>
      <w:hyperlink r:id="rId56">
        <w:r>
          <w:rPr>
            <w:color w:val="1155CC"/>
            <w:sz w:val="18"/>
            <w:szCs w:val="18"/>
            <w:u w:val="single"/>
          </w:rPr>
          <w:t>https://almapreta.com.br/sessao/cotidiano/especialistas-apontam-padrao-de-violencia-policial-contra-imigrantes-africanos-no-brasil/</w:t>
        </w:r>
      </w:hyperlink>
      <w:r>
        <w:rPr>
          <w:sz w:val="18"/>
          <w:szCs w:val="18"/>
        </w:rPr>
        <w:t xml:space="preserve"> . See also “A violência letal de Estado que atinge imigrantes africanos no Brasil”, Available at: </w:t>
      </w:r>
      <w:hyperlink r:id="rId57">
        <w:r>
          <w:rPr>
            <w:color w:val="1155CC"/>
            <w:sz w:val="18"/>
            <w:szCs w:val="18"/>
            <w:u w:val="single"/>
          </w:rPr>
          <w:t>https://migramundo.com/a-violencia-letal-de-estado-que-atinge-imigrantes-africanos-no-brasil/</w:t>
        </w:r>
      </w:hyperlink>
      <w:r>
        <w:rPr>
          <w:sz w:val="18"/>
          <w:szCs w:val="18"/>
        </w:rPr>
        <w:t xml:space="preserve"> . Acessos em 12 jan. 2026.</w:t>
      </w:r>
    </w:p>
  </w:footnote>
  <w:footnote w:id="70">
    <w:p w14:paraId="67B49D82" w14:textId="77777777" w:rsidR="001B4D70" w:rsidRDefault="005D51BF">
      <w:pPr>
        <w:spacing w:line="240" w:lineRule="auto"/>
        <w:jc w:val="both"/>
        <w:rPr>
          <w:sz w:val="18"/>
          <w:szCs w:val="18"/>
        </w:rPr>
      </w:pPr>
      <w:r>
        <w:rPr>
          <w:vertAlign w:val="superscript"/>
        </w:rPr>
        <w:footnoteRef/>
      </w:r>
      <w:r>
        <w:rPr>
          <w:sz w:val="18"/>
          <w:szCs w:val="18"/>
        </w:rPr>
        <w:t xml:space="preserve"> “Policiais atingem imigrantes com arma de choque durante apreensão em SP.” Available at: </w:t>
      </w:r>
      <w:hyperlink r:id="rId58">
        <w:r>
          <w:rPr>
            <w:color w:val="1155CC"/>
            <w:sz w:val="18"/>
            <w:szCs w:val="18"/>
            <w:u w:val="single"/>
          </w:rPr>
          <w:t>https://www.cnnbrasil.com.br/nacional/sudeste/sp/policiais-atingem-imigrantes-com-arma-de-choque-durante-apreensao-em-sp/</w:t>
        </w:r>
      </w:hyperlink>
      <w:r>
        <w:rPr>
          <w:sz w:val="18"/>
          <w:szCs w:val="18"/>
        </w:rPr>
        <w:t xml:space="preserve"> . Accessed on: 12 jan. 2026.</w:t>
      </w:r>
    </w:p>
  </w:footnote>
  <w:footnote w:id="71">
    <w:p w14:paraId="170B73A6" w14:textId="77777777" w:rsidR="001B4D70" w:rsidRDefault="005D51BF">
      <w:pPr>
        <w:spacing w:line="240" w:lineRule="auto"/>
        <w:jc w:val="both"/>
        <w:rPr>
          <w:sz w:val="18"/>
          <w:szCs w:val="18"/>
        </w:rPr>
      </w:pPr>
      <w:r>
        <w:rPr>
          <w:vertAlign w:val="superscript"/>
        </w:rPr>
        <w:footnoteRef/>
      </w:r>
      <w:r>
        <w:rPr>
          <w:sz w:val="18"/>
          <w:szCs w:val="18"/>
        </w:rPr>
        <w:t xml:space="preserve"> Available at: </w:t>
      </w:r>
      <w:hyperlink r:id="rId59">
        <w:r>
          <w:rPr>
            <w:color w:val="1155CC"/>
            <w:sz w:val="18"/>
            <w:szCs w:val="18"/>
            <w:u w:val="single"/>
          </w:rPr>
          <w:t>https://www.planalto.gov.br/ccivil_03/_ato2015-2018/2015/lei/l13146.htm</w:t>
        </w:r>
      </w:hyperlink>
      <w:r>
        <w:rPr>
          <w:sz w:val="18"/>
          <w:szCs w:val="18"/>
        </w:rPr>
        <w:t xml:space="preserve"> . Accessed on: 12 jan. 2026.</w:t>
      </w:r>
    </w:p>
  </w:footnote>
  <w:footnote w:id="72">
    <w:p w14:paraId="2D605E9A" w14:textId="77777777" w:rsidR="001B4D70" w:rsidRDefault="005D51BF">
      <w:pPr>
        <w:spacing w:line="240" w:lineRule="auto"/>
        <w:jc w:val="both"/>
        <w:rPr>
          <w:sz w:val="18"/>
          <w:szCs w:val="18"/>
        </w:rPr>
      </w:pPr>
      <w:r>
        <w:rPr>
          <w:vertAlign w:val="superscript"/>
        </w:rPr>
        <w:footnoteRef/>
      </w:r>
      <w:r>
        <w:rPr>
          <w:sz w:val="18"/>
          <w:szCs w:val="18"/>
        </w:rPr>
        <w:t xml:space="preserve"> Brasil bate recorde de registros de violação contra pessoas com deficiência em 2023. Available at: </w:t>
      </w:r>
      <w:hyperlink r:id="rId60">
        <w:r>
          <w:rPr>
            <w:color w:val="1155CC"/>
            <w:sz w:val="18"/>
            <w:szCs w:val="18"/>
            <w:u w:val="single"/>
          </w:rPr>
          <w:t>https://www.brasildefato.com.br/2023/11/01/brasil-bate-recorde-de-registros-de-violacao-contra-pessoas-com-deficiencia-em-2023/</w:t>
        </w:r>
      </w:hyperlink>
      <w:r>
        <w:rPr>
          <w:sz w:val="18"/>
          <w:szCs w:val="18"/>
        </w:rPr>
        <w:t xml:space="preserve"> . Accessed on: 12 jan. 2026.</w:t>
      </w:r>
    </w:p>
  </w:footnote>
  <w:footnote w:id="73">
    <w:p w14:paraId="651A15BB" w14:textId="77777777" w:rsidR="001B4D70" w:rsidRDefault="005D51BF">
      <w:pPr>
        <w:spacing w:line="240" w:lineRule="auto"/>
        <w:jc w:val="both"/>
        <w:rPr>
          <w:sz w:val="18"/>
          <w:szCs w:val="18"/>
        </w:rPr>
      </w:pPr>
      <w:r>
        <w:rPr>
          <w:vertAlign w:val="superscript"/>
        </w:rPr>
        <w:footnoteRef/>
      </w:r>
      <w:r>
        <w:rPr>
          <w:sz w:val="20"/>
          <w:szCs w:val="20"/>
        </w:rPr>
        <w:t xml:space="preserve"> </w:t>
      </w:r>
      <w:r>
        <w:rPr>
          <w:sz w:val="18"/>
          <w:szCs w:val="18"/>
        </w:rPr>
        <w:t xml:space="preserve">Terra de Direitos et Justiçia GlobaL, Na Linha de Frente, Violencia contra defensoras e defensores de direitos humanos no Brasil 2023-2024, available at: </w:t>
      </w:r>
      <w:hyperlink r:id="rId61">
        <w:r>
          <w:rPr>
            <w:color w:val="1155CC"/>
            <w:sz w:val="18"/>
            <w:szCs w:val="18"/>
            <w:u w:val="single"/>
          </w:rPr>
          <w:t>https://www.global.org.br/wp/wp-content/uploads/2025/08/20250808-Na-Linha-de-Frente-2-ed-1.pdf</w:t>
        </w:r>
      </w:hyperlink>
      <w:r>
        <w:rPr>
          <w:sz w:val="18"/>
          <w:szCs w:val="18"/>
        </w:rPr>
        <w:t xml:space="preserve"> </w:t>
      </w:r>
    </w:p>
  </w:footnote>
  <w:footnote w:id="74">
    <w:p w14:paraId="34C09454" w14:textId="77777777" w:rsidR="001B4D70" w:rsidRDefault="005D51BF">
      <w:pPr>
        <w:spacing w:line="240" w:lineRule="auto"/>
        <w:jc w:val="both"/>
        <w:rPr>
          <w:sz w:val="18"/>
          <w:szCs w:val="18"/>
        </w:rPr>
      </w:pPr>
      <w:r>
        <w:rPr>
          <w:vertAlign w:val="superscript"/>
        </w:rPr>
        <w:footnoteRef/>
      </w:r>
      <w:r>
        <w:rPr>
          <w:sz w:val="18"/>
          <w:szCs w:val="18"/>
        </w:rPr>
        <w:t xml:space="preserve"> Available at: </w:t>
      </w:r>
      <w:hyperlink r:id="rId62">
        <w:r>
          <w:rPr>
            <w:color w:val="1155CC"/>
            <w:sz w:val="18"/>
            <w:szCs w:val="18"/>
            <w:u w:val="single"/>
          </w:rPr>
          <w:t>https://www.in.gov.br/en/web/dou/-/resolucao-n-258-de-23-de-dezembro-de-2024-605843803</w:t>
        </w:r>
      </w:hyperlink>
      <w:r>
        <w:rPr>
          <w:sz w:val="18"/>
          <w:szCs w:val="18"/>
        </w:rPr>
        <w:t xml:space="preserve"> . Accessed on: 9 jan. 2026 .</w:t>
      </w:r>
    </w:p>
  </w:footnote>
  <w:footnote w:id="75">
    <w:p w14:paraId="5B073BD9" w14:textId="77777777" w:rsidR="001B4D70" w:rsidRDefault="005D51BF">
      <w:pPr>
        <w:spacing w:line="240" w:lineRule="auto"/>
        <w:jc w:val="both"/>
        <w:rPr>
          <w:sz w:val="18"/>
          <w:szCs w:val="18"/>
        </w:rPr>
      </w:pPr>
      <w:r>
        <w:rPr>
          <w:vertAlign w:val="superscript"/>
        </w:rPr>
        <w:footnoteRef/>
      </w:r>
      <w:r>
        <w:rPr>
          <w:sz w:val="18"/>
          <w:szCs w:val="18"/>
        </w:rPr>
        <w:t xml:space="preserve">  BERGAMO, Mônica. Gravidez precoce: 57 meninas de 10 a 14 anos dão à luz todos os dias no Brasil. Folha de S. Paulo, 2025. Available at: </w:t>
      </w:r>
      <w:hyperlink r:id="rId63">
        <w:r>
          <w:rPr>
            <w:color w:val="1155CC"/>
            <w:sz w:val="18"/>
            <w:szCs w:val="18"/>
            <w:u w:val="single"/>
          </w:rPr>
          <w:t>http/www1.folha.uol.com.br/colunas/monicabergamo/2025/08/gravidez-precoce-57-meninas-de-10-a-14-anos-dao-a-luz-todos-os-dias-no-brasil.shtml</w:t>
        </w:r>
      </w:hyperlink>
      <w:hyperlink r:id="rId64">
        <w:r>
          <w:rPr>
            <w:sz w:val="18"/>
            <w:szCs w:val="18"/>
          </w:rPr>
          <w:t xml:space="preserve"> . Accessed on: 9 jan. 2026.</w:t>
        </w:r>
      </w:hyperlink>
      <w:hyperlink r:id="rId65">
        <w:r>
          <w:rPr>
            <w:color w:val="1155CC"/>
            <w:sz w:val="18"/>
            <w:szCs w:val="18"/>
            <w:u w:val="single"/>
          </w:rPr>
          <w:t>s:/</w:t>
        </w:r>
      </w:hyperlink>
    </w:p>
  </w:footnote>
  <w:footnote w:id="76">
    <w:p w14:paraId="3F8FCBCC" w14:textId="77777777" w:rsidR="001B4D70" w:rsidRDefault="005D51BF">
      <w:pPr>
        <w:spacing w:line="240" w:lineRule="auto"/>
        <w:jc w:val="both"/>
        <w:rPr>
          <w:sz w:val="18"/>
          <w:szCs w:val="18"/>
        </w:rPr>
      </w:pPr>
      <w:r>
        <w:rPr>
          <w:vertAlign w:val="superscript"/>
        </w:rPr>
        <w:footnoteRef/>
      </w:r>
      <w:r>
        <w:rPr>
          <w:sz w:val="18"/>
          <w:szCs w:val="18"/>
        </w:rPr>
        <w:t xml:space="preserve"> COLLUCI, Claudia. A cada dia, 26 menores de 14 anos se tornam mães no país; 20% se declaram casadas. Folha de S. Paulo, 2025. Available at: </w:t>
      </w:r>
      <w:hyperlink r:id="rId66">
        <w:r>
          <w:rPr>
            <w:color w:val="1155CC"/>
            <w:sz w:val="18"/>
            <w:szCs w:val="18"/>
            <w:u w:val="single"/>
          </w:rPr>
          <w:t>https://www1.folha.uol.com.br/equilibrioesaude/2024/06/a-cada-dia-26-meninas-menores-de-14-anos-se-tornam-maes-no-pais-20-se-declaram-casadas.shtml</w:t>
        </w:r>
      </w:hyperlink>
      <w:r>
        <w:rPr>
          <w:sz w:val="18"/>
          <w:szCs w:val="18"/>
        </w:rPr>
        <w:t xml:space="preserve"> . Accessed on: 9 jan. 2026.</w:t>
      </w:r>
    </w:p>
  </w:footnote>
  <w:footnote w:id="77">
    <w:p w14:paraId="0A8A3465" w14:textId="77777777" w:rsidR="001B4D70" w:rsidRDefault="005D51BF">
      <w:pPr>
        <w:spacing w:line="240" w:lineRule="auto"/>
        <w:jc w:val="both"/>
        <w:rPr>
          <w:sz w:val="18"/>
          <w:szCs w:val="18"/>
        </w:rPr>
      </w:pPr>
      <w:r>
        <w:rPr>
          <w:vertAlign w:val="superscript"/>
        </w:rPr>
        <w:footnoteRef/>
      </w:r>
      <w:r>
        <w:rPr>
          <w:sz w:val="18"/>
          <w:szCs w:val="18"/>
        </w:rPr>
        <w:t xml:space="preserve"> LOURENÇO, Juliana. Maiores taxas de fecundidade estão em territórios indígenas. </w:t>
      </w:r>
      <w:hyperlink r:id="rId67">
        <w:r>
          <w:rPr>
            <w:color w:val="1155CC"/>
            <w:sz w:val="18"/>
            <w:szCs w:val="18"/>
            <w:u w:val="single"/>
          </w:rPr>
          <w:t>https://azmina.com.br/reportagens/maiores-taxas-de-gestacoes-entre-meninas-de-10-a-14-anos-estao-em-territorios-indigenas/</w:t>
        </w:r>
      </w:hyperlink>
      <w:r>
        <w:rPr>
          <w:sz w:val="18"/>
          <w:szCs w:val="18"/>
        </w:rPr>
        <w:t xml:space="preserve"> . Accessed on: 9 jan. 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FA0E2D"/>
    <w:multiLevelType w:val="multilevel"/>
    <w:tmpl w:val="FF7003B0"/>
    <w:lvl w:ilvl="0">
      <w:start w:val="1"/>
      <w:numFmt w:val="decimal"/>
      <w:lvlText w:val="%1)"/>
      <w:lvlJc w:val="left"/>
      <w:pPr>
        <w:ind w:left="2880" w:hanging="360"/>
      </w:pPr>
      <w:rPr>
        <w:u w:val="none"/>
      </w:rPr>
    </w:lvl>
    <w:lvl w:ilvl="1">
      <w:start w:val="1"/>
      <w:numFmt w:val="lowerLetter"/>
      <w:lvlText w:val="%2)"/>
      <w:lvlJc w:val="left"/>
      <w:pPr>
        <w:ind w:left="3600" w:hanging="360"/>
      </w:pPr>
      <w:rPr>
        <w:u w:val="none"/>
      </w:rPr>
    </w:lvl>
    <w:lvl w:ilvl="2">
      <w:start w:val="1"/>
      <w:numFmt w:val="lowerRoman"/>
      <w:lvlText w:val="%3)"/>
      <w:lvlJc w:val="right"/>
      <w:pPr>
        <w:ind w:left="4320" w:hanging="360"/>
      </w:pPr>
      <w:rPr>
        <w:u w:val="none"/>
      </w:rPr>
    </w:lvl>
    <w:lvl w:ilvl="3">
      <w:start w:val="1"/>
      <w:numFmt w:val="decimal"/>
      <w:lvlText w:val="(%4)"/>
      <w:lvlJc w:val="left"/>
      <w:pPr>
        <w:ind w:left="5040" w:hanging="360"/>
      </w:pPr>
      <w:rPr>
        <w:u w:val="none"/>
      </w:rPr>
    </w:lvl>
    <w:lvl w:ilvl="4">
      <w:start w:val="1"/>
      <w:numFmt w:val="lowerLetter"/>
      <w:lvlText w:val="(%5)"/>
      <w:lvlJc w:val="left"/>
      <w:pPr>
        <w:ind w:left="5760" w:hanging="360"/>
      </w:pPr>
      <w:rPr>
        <w:u w:val="none"/>
      </w:rPr>
    </w:lvl>
    <w:lvl w:ilvl="5">
      <w:start w:val="1"/>
      <w:numFmt w:val="lowerRoman"/>
      <w:lvlText w:val="(%6)"/>
      <w:lvlJc w:val="right"/>
      <w:pPr>
        <w:ind w:left="6480" w:hanging="360"/>
      </w:pPr>
      <w:rPr>
        <w:u w:val="none"/>
      </w:rPr>
    </w:lvl>
    <w:lvl w:ilvl="6">
      <w:start w:val="1"/>
      <w:numFmt w:val="decimal"/>
      <w:lvlText w:val="%7."/>
      <w:lvlJc w:val="left"/>
      <w:pPr>
        <w:ind w:left="7200" w:hanging="360"/>
      </w:pPr>
      <w:rPr>
        <w:u w:val="none"/>
      </w:rPr>
    </w:lvl>
    <w:lvl w:ilvl="7">
      <w:start w:val="1"/>
      <w:numFmt w:val="lowerLetter"/>
      <w:lvlText w:val="%8."/>
      <w:lvlJc w:val="left"/>
      <w:pPr>
        <w:ind w:left="7920" w:hanging="360"/>
      </w:pPr>
      <w:rPr>
        <w:u w:val="none"/>
      </w:rPr>
    </w:lvl>
    <w:lvl w:ilvl="8">
      <w:start w:val="1"/>
      <w:numFmt w:val="lowerRoman"/>
      <w:lvlText w:val="%9."/>
      <w:lvlJc w:val="right"/>
      <w:pPr>
        <w:ind w:left="8640" w:hanging="360"/>
      </w:pPr>
      <w:rPr>
        <w:u w:val="none"/>
      </w:rPr>
    </w:lvl>
  </w:abstractNum>
  <w:abstractNum w:abstractNumId="1" w15:restartNumberingAfterBreak="0">
    <w:nsid w:val="7E7224ED"/>
    <w:multiLevelType w:val="multilevel"/>
    <w:tmpl w:val="AD08914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06289886">
    <w:abstractNumId w:val="0"/>
  </w:num>
  <w:num w:numId="2" w16cid:durableId="16358651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D70"/>
    <w:rsid w:val="00093D88"/>
    <w:rsid w:val="001B4D70"/>
    <w:rsid w:val="005D51BF"/>
    <w:rsid w:val="00E25307"/>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663F8"/>
  <w15:docId w15:val="{E9AE4D59-C8D7-4BE8-8A97-C3838276B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Header">
    <w:name w:val="header"/>
    <w:basedOn w:val="Normal"/>
    <w:link w:val="HeaderChar"/>
    <w:uiPriority w:val="99"/>
    <w:unhideWhenUsed/>
    <w:rsid w:val="00E25307"/>
    <w:pPr>
      <w:tabs>
        <w:tab w:val="center" w:pos="4513"/>
        <w:tab w:val="right" w:pos="9026"/>
      </w:tabs>
      <w:spacing w:line="240" w:lineRule="auto"/>
    </w:pPr>
  </w:style>
  <w:style w:type="character" w:customStyle="1" w:styleId="HeaderChar">
    <w:name w:val="Header Char"/>
    <w:basedOn w:val="DefaultParagraphFont"/>
    <w:link w:val="Header"/>
    <w:uiPriority w:val="99"/>
    <w:rsid w:val="00E25307"/>
  </w:style>
  <w:style w:type="paragraph" w:styleId="Footer">
    <w:name w:val="footer"/>
    <w:basedOn w:val="Normal"/>
    <w:link w:val="FooterChar"/>
    <w:uiPriority w:val="99"/>
    <w:unhideWhenUsed/>
    <w:rsid w:val="00E25307"/>
    <w:pPr>
      <w:tabs>
        <w:tab w:val="center" w:pos="4513"/>
        <w:tab w:val="right" w:pos="9026"/>
      </w:tabs>
      <w:spacing w:line="240" w:lineRule="auto"/>
    </w:pPr>
  </w:style>
  <w:style w:type="character" w:customStyle="1" w:styleId="FooterChar">
    <w:name w:val="Footer Char"/>
    <w:basedOn w:val="DefaultParagraphFont"/>
    <w:link w:val="Footer"/>
    <w:uiPriority w:val="99"/>
    <w:rsid w:val="00E253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26" Type="http://schemas.openxmlformats.org/officeDocument/2006/relationships/hyperlink" Target="https://coalizaopelasocioeducacao.com/cndh-confirma-violacoes-em-unidades-socioeducativas-do-ceara-ja-denunciadas-pela-coalizao/" TargetMode="External"/><Relationship Id="rId21" Type="http://schemas.openxmlformats.org/officeDocument/2006/relationships/hyperlink" Target="https://tbinternet.ohchr.org/_layouts/15/treatybodyexternal/Download.aspx?symbolno=CAT%2FC%2FBRA%2FCO%2F2&amp;Lang=en" TargetMode="External"/><Relationship Id="rId34" Type="http://schemas.openxmlformats.org/officeDocument/2006/relationships/hyperlink" Target="https://www.cnj.jus.br/wp-content/uploads/2023/02/pessoas-lgbti-socioeducativo-cartilha-para-implementacao-resolucao-348-2020.pdf" TargetMode="External"/><Relationship Id="rId42" Type="http://schemas.openxmlformats.org/officeDocument/2006/relationships/hyperlink" Target="https://diariodonordeste.verdesmares.com.br/seguranca/estado-cria-mecanismo-de-prevencao-e-combate-a-tortura-para-fiscalizar-privacoes-a-liberdade-no-ceara-1.3462234/leia-mais-1.3462241/%C3%B3rg%C3%A3os-de-controle-alertam-sobre-ind%C3%ADcios-de-tortura-nos-pres%C3%ADdios-do-ce-desde-2019-veja-hist%C3%B3rico-7.4930896" TargetMode="External"/><Relationship Id="rId47" Type="http://schemas.openxmlformats.org/officeDocument/2006/relationships/hyperlink" Target="https://www12.senado.leg.br/noticias/materias/2025/12/09/aprovada-em-dois-turnos-pec-do-marco-temporal-vai-a-camara" TargetMode="External"/><Relationship Id="rId50" Type="http://schemas.openxmlformats.org/officeDocument/2006/relationships/hyperlink" Target="https://noticias.stf.jus.br/postsnoticias/stf-enquadra-homofobia-e-transfobia-como-crimes-de-racismo-ao-reconhecer-omissao-legislativa/" TargetMode="External"/><Relationship Id="rId55" Type="http://schemas.openxmlformats.org/officeDocument/2006/relationships/hyperlink" Target="https://antrabrasil.org/wp-content/uploads/2020/12/nao-existe-cadeia-humanizada-nf.pdf" TargetMode="External"/><Relationship Id="rId63" Type="http://schemas.openxmlformats.org/officeDocument/2006/relationships/hyperlink" Target="https://www1.folha.uol.com.br/colunas/monicabergamo/2025/08/gravidez-precoce-57-meninas-de-10-a-14-anos-dao-a-luz-todos-os-dias-no-brasil.shtml" TargetMode="External"/><Relationship Id="rId7" Type="http://schemas.openxmlformats.org/officeDocument/2006/relationships/hyperlink" Target="https://ponte.org/massacre-do-carandiru-esta-cada-vez-mais-perto-da-impunidade-por-indulto-ou-prescricao/" TargetMode="External"/><Relationship Id="rId2" Type="http://schemas.openxmlformats.org/officeDocument/2006/relationships/hyperlink" Target="https://www.planalto.gov.br/ccivil_03/_ato2007-2010/2007/decreto/d6085.htm" TargetMode="External"/><Relationship Id="rId16" Type="http://schemas.openxmlformats.org/officeDocument/2006/relationships/hyperlink" Target="https://www.stj.jus.br/sites/portalp/Paginas/Comunicacao/Noticias/2024/13122024-Quinta-Turma-reconhece-tortura-em-abordagem-da-PM-de-Sao-Paulo-e-absolve-reu-acusado-de-trafico-de-drogas.aspx" TargetMode="External"/><Relationship Id="rId29" Type="http://schemas.openxmlformats.org/officeDocument/2006/relationships/hyperlink" Target="https://cedecaceara.org.br//wp-content/uploads/2024/08/2023-Relatorio-Visita-de-inspecao-do-centro-socioeducativo-feminino-Aldaci-Barbosa-2023.pdf" TargetMode="External"/><Relationship Id="rId11" Type="http://schemas.openxmlformats.org/officeDocument/2006/relationships/hyperlink" Target="https://www.cnnbrasil.com.br/nacional/sudeste/rj/acao-mais-letal-da-historia-do-rj-supera-em-mortes-o-massacre-do-carandiru/" TargetMode="External"/><Relationship Id="rId24" Type="http://schemas.openxmlformats.org/officeDocument/2006/relationships/hyperlink" Target="https://cedecaceara.org.br//wp-content/uploads/2024/08/2023-5o-Relatorio-do-monitoramento-do-sistema-socioeducativo-cearense-meio-fechado.pdf" TargetMode="External"/><Relationship Id="rId32" Type="http://schemas.openxmlformats.org/officeDocument/2006/relationships/hyperlink" Target="https://www.stf.jus.br/arquivo/cms/noticianoticiastf/anexo/hc143641final3pdfvoto.pdf" TargetMode="External"/><Relationship Id="rId37" Type="http://schemas.openxmlformats.org/officeDocument/2006/relationships/hyperlink" Target="https://mnpctbrasil.wordpress.com/wp-content/uploads/2022/05/relatocc81rio-bienal-2020-2021-versao-final-3.pdf" TargetMode="External"/><Relationship Id="rId40" Type="http://schemas.openxmlformats.org/officeDocument/2006/relationships/hyperlink" Target="https://experience.arcgis.com/experience/54febd2948d54d68a1a462581f89d920/page/PPL---Quantas-pessoas-est%C3%A3o-privadas-de-liberdade-no-Brasil%3F" TargetMode="External"/><Relationship Id="rId45" Type="http://schemas.openxmlformats.org/officeDocument/2006/relationships/hyperlink" Target="https://www.global.org.br/blog/justica-global-e-cedeca-do-ceara-acionam-onu-por-omissao-na-prevencao-e-combate-a-tortura-no-estado/" TargetMode="External"/><Relationship Id="rId53" Type="http://schemas.openxmlformats.org/officeDocument/2006/relationships/hyperlink" Target="https://atos.cnj.jus.br/atos/detalhar/3519" TargetMode="External"/><Relationship Id="rId58" Type="http://schemas.openxmlformats.org/officeDocument/2006/relationships/hyperlink" Target="https://www.cnnbrasil.com.br/nacional/sudeste/sp/policiais-atingem-imigrantes-com-arma-de-choque-durante-apreensao-em-sp/" TargetMode="External"/><Relationship Id="rId66" Type="http://schemas.openxmlformats.org/officeDocument/2006/relationships/hyperlink" Target="https://www1.folha.uol.com.br/equilibrioesaude/2024/06/a-cada-dia-26-meninas-menores-de-14-anos-se-tornam-maes-no-pais-20-se-declaram-casadas.shtml" TargetMode="External"/><Relationship Id="rId5" Type="http://schemas.openxmlformats.org/officeDocument/2006/relationships/hyperlink" Target="https://www.gov.br/mdh/pt-br/acesso-a-informacao/institucional/portarias/portaria-no-346-de-19-de-setembro-de-2017" TargetMode="External"/><Relationship Id="rId61" Type="http://schemas.openxmlformats.org/officeDocument/2006/relationships/hyperlink" Target="https://www.global.org.br/wp/wp-content/uploads/2025/08/20250808-Na-Linha-de-Frente-2-ed-1.pdf" TargetMode="External"/><Relationship Id="rId19" Type="http://schemas.openxmlformats.org/officeDocument/2006/relationships/hyperlink" Target="https://contrapontodigital.pucsp.br/noticias/fome-e-ferramenta-de-punicao-em-presidios-apontam-familiares-de-detentos" TargetMode="External"/><Relationship Id="rId14" Type="http://schemas.openxmlformats.org/officeDocument/2006/relationships/hyperlink" Target="https://static.poder360.com.br/2025/01/Portaria-855-2025-Uso-da-Forca-MJSP-justica-e-seguranca-publica.pdf" TargetMode="External"/><Relationship Id="rId22" Type="http://schemas.openxmlformats.org/officeDocument/2006/relationships/hyperlink" Target="https://www.gov.br/mdh/pt-br/navegue-por-temas/crianca-e-adolescente/copy_of_levantamento2024SINASE.php.pdf" TargetMode="External"/><Relationship Id="rId27" Type="http://schemas.openxmlformats.org/officeDocument/2006/relationships/hyperlink" Target="https://cadavidaimporta.com.br/wp-content/uploads/2024/12/pesquisa-vidas-por-um-fio.pdf" TargetMode="External"/><Relationship Id="rId30" Type="http://schemas.openxmlformats.org/officeDocument/2006/relationships/hyperlink" Target="https://coalizaopelasocioeducacao.com/pl-1473-2025-aumento-tempo-internacao-adolescentes/" TargetMode="External"/><Relationship Id="rId35" Type="http://schemas.openxmlformats.org/officeDocument/2006/relationships/hyperlink" Target="https://mnpctbrasil.wordpress.com/relatorios/" TargetMode="External"/><Relationship Id="rId43" Type="http://schemas.openxmlformats.org/officeDocument/2006/relationships/hyperlink" Target="https://belt.al.ce.gov.br/index.php/legislacao-do-ceara/organizacao-tematica/direitos-humanos-e-cidadania/item/8689-lei-n-18-660-de-27-12-23-d-o-29-12-23" TargetMode="External"/><Relationship Id="rId48" Type="http://schemas.openxmlformats.org/officeDocument/2006/relationships/hyperlink" Target="https://brasil.un.org/pt-br/72598-comunidade-cigana-brasileira-sofre-com-preconceitos-e-restri%C3%A7%C3%A3o-de-direitos-diz-relatora-da" TargetMode="External"/><Relationship Id="rId56" Type="http://schemas.openxmlformats.org/officeDocument/2006/relationships/hyperlink" Target="https://almapreta.com.br/sessao/cotidiano/especialistas-apontam-padrao-de-violencia-policial-contra-imigrantes-africanos-no-brasil/" TargetMode="External"/><Relationship Id="rId64" Type="http://schemas.openxmlformats.org/officeDocument/2006/relationships/hyperlink" Target="https://www1.folha.uol.com.br/colunas/monicabergamo/2025/08/gravidez-precoce-57-meninas-de-10-a-14-anos-dao-a-luz-todos-os-dias-no-brasil.shtml" TargetMode="External"/><Relationship Id="rId8" Type="http://schemas.openxmlformats.org/officeDocument/2006/relationships/hyperlink" Target="https://atos.cnj.jus.br/atos/detalhar/2234" TargetMode="External"/><Relationship Id="rId51" Type="http://schemas.openxmlformats.org/officeDocument/2006/relationships/hyperlink" Target="https://oglobo.globo.com/brasil/noticia/2025/05/13/violencia-contra-populacao-lgbt-cresceu-mais-de-1000percent-na-ultima-decada-mostra-atlas-da-violencia.ghtml" TargetMode="External"/><Relationship Id="rId3" Type="http://schemas.openxmlformats.org/officeDocument/2006/relationships/hyperlink" Target="https://www.planalto.gov.br/ccivil_03/leis/l9455.htm" TargetMode="External"/><Relationship Id="rId12" Type="http://schemas.openxmlformats.org/officeDocument/2006/relationships/hyperlink" Target="https://agenciabrasil.ebc.com.br/justica/noticia/2025-12/mprj-faz-novas-denuncias-contra-pms-por-crimes-na-operacao-contencao" TargetMode="External"/><Relationship Id="rId17" Type="http://schemas.openxmlformats.org/officeDocument/2006/relationships/hyperlink" Target="https://mnpctbrasil.wordpress.com/wp-content/uploads/2021/02/relatorio-bianual-2018-2019-mnpct.pdf" TargetMode="External"/><Relationship Id="rId25" Type="http://schemas.openxmlformats.org/officeDocument/2006/relationships/hyperlink" Target="https://conectas.org/noticias/tortura-e-pratica-sistematica-em-prisoes-centros-de-saude-e-unidades-socioeducativas-de-sao-paulo-revela-orgao-nacional/" TargetMode="External"/><Relationship Id="rId33" Type="http://schemas.openxmlformats.org/officeDocument/2006/relationships/hyperlink" Target="https://www.gov.br/participamaisbrasil/resolucao-do-conanda-n-233-de-30-de-dezembro-de-2022" TargetMode="External"/><Relationship Id="rId38" Type="http://schemas.openxmlformats.org/officeDocument/2006/relationships/hyperlink" Target="https://diariodonordeste.verdesmares.com.br/seguranca/em-6-anos-502-jovens-que-passaram-pelo-sistema-socioeducativo-no-ceara-morreramapontapesquisa-1.3583068" TargetMode="External"/><Relationship Id="rId46" Type="http://schemas.openxmlformats.org/officeDocument/2006/relationships/hyperlink" Target="https://www.gov.br/participamaisbrasil/recomendacao-n-13-de-24-de-abril-de-2024" TargetMode="External"/><Relationship Id="rId59" Type="http://schemas.openxmlformats.org/officeDocument/2006/relationships/hyperlink" Target="https://www.planalto.gov.br/ccivil_03/_ato2015-2018/2015/lei/l13146.htm" TargetMode="External"/><Relationship Id="rId67" Type="http://schemas.openxmlformats.org/officeDocument/2006/relationships/hyperlink" Target="https://azmina.com.br/reportagens/maiores-taxas-de-gestacoes-entre-meninas-de-10-a-14-anos-estao-em-territorios-indigenas/" TargetMode="External"/><Relationship Id="rId20" Type="http://schemas.openxmlformats.org/officeDocument/2006/relationships/hyperlink" Target="https://mnpctbrasil.wordpress.com/wp-content/uploads/2025/05/relatorio-anual-2023.pdf" TargetMode="External"/><Relationship Id="rId41" Type="http://schemas.openxmlformats.org/officeDocument/2006/relationships/hyperlink" Target="https://www.planalto.gov.br/ccivil_03/_ato2011-2014/2013/lei/l12847.htm" TargetMode="External"/><Relationship Id="rId54" Type="http://schemas.openxmlformats.org/officeDocument/2006/relationships/hyperlink" Target="https://diplomatique.org.br/o-que-faz-o-caso-luana-barbosa-tao-assustador/" TargetMode="External"/><Relationship Id="rId62" Type="http://schemas.openxmlformats.org/officeDocument/2006/relationships/hyperlink" Target="https://www.in.gov.br/en/web/dou/-/resolucao-n-258-de-23-de-dezembro-de-2024-605843803" TargetMode="External"/><Relationship Id="rId1" Type="http://schemas.openxmlformats.org/officeDocument/2006/relationships/hyperlink" Target="https://www.planalto.gov.br/ccivil_03/decreto/1990-1994/d0040.htm" TargetMode="External"/><Relationship Id="rId6" Type="http://schemas.openxmlformats.org/officeDocument/2006/relationships/hyperlink" Target="https://www.conjur.com.br/2013-abr-16/alguns-crimes-responsabilizacoes-massacre-carandiru-prescreveram/" TargetMode="External"/><Relationship Id="rId15" Type="http://schemas.openxmlformats.org/officeDocument/2006/relationships/hyperlink" Target="https://mnpctbrasil.wordpress.com/relatorios/" TargetMode="External"/><Relationship Id="rId23" Type="http://schemas.openxmlformats.org/officeDocument/2006/relationships/hyperlink" Target="https://paineisanalytics.cnj.jus.br/single/?appid=a12c1a54-541f-4fd7-bbdf-afba0ca89a98&amp;sheet=38ee8b5f-07ae-4f87-bf3c-cd9304f01bcc&amp;theme=CNIUPS&amp;lang=pt-BR&amp;opt=ctxmenu,currsel" TargetMode="External"/><Relationship Id="rId28" Type="http://schemas.openxmlformats.org/officeDocument/2006/relationships/hyperlink" Target="https://cedecaceara.org.br//wp-content/uploads/2024/08/2023-5o-Relatorio-do-monitoramento-do-sistema-socioeducativo-cearense-meio-fechado.pdf" TargetMode="External"/><Relationship Id="rId36" Type="http://schemas.openxmlformats.org/officeDocument/2006/relationships/hyperlink" Target="https://www.planalto.gov.br/ccivil_03/leis/l7210.htm" TargetMode="External"/><Relationship Id="rId49" Type="http://schemas.openxmlformats.org/officeDocument/2006/relationships/hyperlink" Target="https://grupogaydabahia.com.br/mortes-violentas-de-lgbt-no-brasil-2024/" TargetMode="External"/><Relationship Id="rId57" Type="http://schemas.openxmlformats.org/officeDocument/2006/relationships/hyperlink" Target="https://migramundo.com/a-violencia-letal-de-estado-que-atinge-imigrantes-africanos-no-brasil/" TargetMode="External"/><Relationship Id="rId10" Type="http://schemas.openxmlformats.org/officeDocument/2006/relationships/hyperlink" Target="https://forumseguranca.org.br/wp-content/uploads/2025/07/anuario-2025.pdf" TargetMode="External"/><Relationship Id="rId31" Type="http://schemas.openxmlformats.org/officeDocument/2006/relationships/hyperlink" Target="https://www.planalto.gov.br/ccivil_03/leis/l8069.htm" TargetMode="External"/><Relationship Id="rId44" Type="http://schemas.openxmlformats.org/officeDocument/2006/relationships/hyperlink" Target="https://www.defensoria.ce.def.br/noticia/defensoria-fara-parte-do-sistema-de-prevencao-e-combate-a-tortura-do-ceara-criacao-foi-aprovada-por-lei-pela-assembleia/" TargetMode="External"/><Relationship Id="rId52" Type="http://schemas.openxmlformats.org/officeDocument/2006/relationships/hyperlink" Target="https://midiademocracia.fgv.br/node/103" TargetMode="External"/><Relationship Id="rId60" Type="http://schemas.openxmlformats.org/officeDocument/2006/relationships/hyperlink" Target="https://www.brasildefato.com.br/2023/11/01/brasil-bate-recorde-de-registros-de-violacao-contra-pessoas-com-deficiencia-em-2023/" TargetMode="External"/><Relationship Id="rId65" Type="http://schemas.openxmlformats.org/officeDocument/2006/relationships/hyperlink" Target="https://www1.folha.uol.com.br/colunas/monicabergamo/2025/08/gravidez-precoce-57-meninas-de-10-a-14-anos-dao-a-luz-todos-os-dias-no-brasil.shtml" TargetMode="External"/><Relationship Id="rId4" Type="http://schemas.openxmlformats.org/officeDocument/2006/relationships/hyperlink" Target="https://www.planalto.gov.br/ccivil_03/_Ato2011-2014/2013/Lei/L12847.htm" TargetMode="External"/><Relationship Id="rId9" Type="http://schemas.openxmlformats.org/officeDocument/2006/relationships/hyperlink" Target="https://www.cnmp.mp.br/portal/images/Resolucoes/2021/Resoluo-n-243-2021.pdf" TargetMode="External"/><Relationship Id="rId13" Type="http://schemas.openxmlformats.org/officeDocument/2006/relationships/hyperlink" Target="https://www2.camara.leg.br/legin/fed/decret/2024/decreto-12341-23-dezembro-2024-796804-publicacaooriginal-173910-pe.html" TargetMode="External"/><Relationship Id="rId18" Type="http://schemas.openxmlformats.org/officeDocument/2006/relationships/hyperlink" Target="https://www.cnnbrasil.com.br/nacional/relatorio-denuncia-tortura-e-violacoes-em-unidades-prisionais-de-sao-paulo/" TargetMode="External"/><Relationship Id="rId39" Type="http://schemas.openxmlformats.org/officeDocument/2006/relationships/hyperlink" Target="https://mnpctbrasil.wordpress.com/wp-content/uploads/2025/03/cts-em-evidencia_corrigid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ec4471c69014bc60dfea23ed1dc22885">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092186715981cc1a9e0215788ab14117"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2026-02-20T11:14:35+00:00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2026-02-20T11:14:35+00:00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2026-02-20T11:14:35+00:00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DD2A90BD-B5E9-4A54-B2E2-C138170DF9B5}"/>
</file>

<file path=customXml/itemProps2.xml><?xml version="1.0" encoding="utf-8"?>
<ds:datastoreItem xmlns:ds="http://schemas.openxmlformats.org/officeDocument/2006/customXml" ds:itemID="{47CE09E7-7266-43D2-BD33-AD0348C141CF}"/>
</file>

<file path=customXml/itemProps3.xml><?xml version="1.0" encoding="utf-8"?>
<ds:datastoreItem xmlns:ds="http://schemas.openxmlformats.org/officeDocument/2006/customXml" ds:itemID="{648F8D64-6CA9-4684-B5A3-12618E547EED}"/>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54</Pages>
  <Words>16874</Words>
  <Characters>96184</Characters>
  <Application>Microsoft Office Word</Application>
  <DocSecurity>4</DocSecurity>
  <Lines>801</Lines>
  <Paragraphs>225</Paragraphs>
  <ScaleCrop>false</ScaleCrop>
  <Company/>
  <LinksUpToDate>false</LinksUpToDate>
  <CharactersWithSpaces>112833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Youssef Hamdan</dc:creator>
  <cp:lastModifiedBy>Youssef Hamdan</cp:lastModifiedBy>
  <cp:revision>2</cp:revision>
  <dcterms:created xsi:type="dcterms:W3CDTF">2026-01-18T11:42:00Z</dcterms:created>
  <dcterms:modified xsi:type="dcterms:W3CDTF">2026-01-18T11:42:00Z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