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D53390" w14:textId="729A657D" w:rsidR="00B75C49" w:rsidRPr="00A518C6" w:rsidRDefault="00B36B0B" w:rsidP="006841E0">
      <w:pPr>
        <w:widowControl w:val="0"/>
        <w:autoSpaceDE w:val="0"/>
        <w:autoSpaceDN w:val="0"/>
        <w:adjustRightInd w:val="0"/>
        <w:rPr>
          <w:rFonts w:asciiTheme="majorHAnsi" w:hAnsiTheme="majorHAnsi" w:cstheme="majorHAnsi"/>
          <w:b/>
          <w:bCs/>
          <w:color w:val="434343"/>
          <w:sz w:val="22"/>
          <w:szCs w:val="22"/>
        </w:rPr>
      </w:pPr>
      <w:r w:rsidRPr="00A518C6">
        <w:rPr>
          <w:rFonts w:asciiTheme="majorHAnsi" w:hAnsiTheme="majorHAnsi" w:cstheme="majorHAnsi"/>
          <w:sz w:val="22"/>
          <w:szCs w:val="22"/>
        </w:rPr>
        <w:t xml:space="preserve">Ms. Daniela Buchmann </w:t>
      </w:r>
      <w:r w:rsidRPr="00A518C6">
        <w:rPr>
          <w:rFonts w:asciiTheme="majorHAnsi" w:hAnsiTheme="majorHAnsi" w:cstheme="majorHAnsi"/>
          <w:sz w:val="22"/>
          <w:szCs w:val="22"/>
        </w:rPr>
        <w:br/>
      </w:r>
      <w:r w:rsidR="00B75C49" w:rsidRPr="00A518C6">
        <w:rPr>
          <w:rFonts w:asciiTheme="majorHAnsi" w:hAnsiTheme="majorHAnsi" w:cstheme="majorHAnsi"/>
          <w:sz w:val="22"/>
          <w:szCs w:val="22"/>
        </w:rPr>
        <w:t xml:space="preserve">Committee on the </w:t>
      </w:r>
      <w:r w:rsidR="00F1713B" w:rsidRPr="00A518C6">
        <w:rPr>
          <w:rFonts w:asciiTheme="majorHAnsi" w:hAnsiTheme="majorHAnsi" w:cstheme="majorHAnsi"/>
          <w:sz w:val="22"/>
          <w:szCs w:val="22"/>
        </w:rPr>
        <w:t xml:space="preserve">Elimination of Discrimination against Women </w:t>
      </w:r>
    </w:p>
    <w:p w14:paraId="35D53391" w14:textId="56DE7CFB" w:rsidR="00B75C49" w:rsidRPr="00A518C6" w:rsidRDefault="00B75C49" w:rsidP="006841E0">
      <w:pPr>
        <w:widowControl w:val="0"/>
        <w:autoSpaceDE w:val="0"/>
        <w:autoSpaceDN w:val="0"/>
        <w:adjustRightInd w:val="0"/>
        <w:rPr>
          <w:rFonts w:asciiTheme="majorHAnsi" w:hAnsiTheme="majorHAnsi" w:cstheme="majorHAnsi"/>
          <w:sz w:val="22"/>
          <w:szCs w:val="22"/>
        </w:rPr>
      </w:pPr>
      <w:r w:rsidRPr="00A518C6">
        <w:rPr>
          <w:rFonts w:asciiTheme="majorHAnsi" w:hAnsiTheme="majorHAnsi" w:cstheme="majorHAnsi"/>
          <w:sz w:val="22"/>
          <w:szCs w:val="22"/>
        </w:rPr>
        <w:t xml:space="preserve">Human </w:t>
      </w:r>
      <w:r w:rsidR="003B0E56" w:rsidRPr="00A518C6">
        <w:rPr>
          <w:rFonts w:asciiTheme="majorHAnsi" w:hAnsiTheme="majorHAnsi" w:cstheme="majorHAnsi"/>
          <w:sz w:val="22"/>
          <w:szCs w:val="22"/>
        </w:rPr>
        <w:t>Rights Treaties Division (HRTD)</w:t>
      </w:r>
    </w:p>
    <w:p w14:paraId="35D53392" w14:textId="77777777" w:rsidR="00B75C49" w:rsidRPr="00A518C6" w:rsidRDefault="00B75C49" w:rsidP="006841E0">
      <w:pPr>
        <w:widowControl w:val="0"/>
        <w:autoSpaceDE w:val="0"/>
        <w:autoSpaceDN w:val="0"/>
        <w:adjustRightInd w:val="0"/>
        <w:rPr>
          <w:rFonts w:asciiTheme="majorHAnsi" w:hAnsiTheme="majorHAnsi" w:cstheme="majorHAnsi"/>
          <w:sz w:val="22"/>
          <w:szCs w:val="22"/>
        </w:rPr>
      </w:pPr>
      <w:r w:rsidRPr="00A518C6">
        <w:rPr>
          <w:rFonts w:asciiTheme="majorHAnsi" w:hAnsiTheme="majorHAnsi" w:cstheme="majorHAnsi"/>
          <w:sz w:val="22"/>
          <w:szCs w:val="22"/>
        </w:rPr>
        <w:t>Office of the United Nations High Commis</w:t>
      </w:r>
      <w:r w:rsidR="003B0E56" w:rsidRPr="00A518C6">
        <w:rPr>
          <w:rFonts w:asciiTheme="majorHAnsi" w:hAnsiTheme="majorHAnsi" w:cstheme="majorHAnsi"/>
          <w:sz w:val="22"/>
          <w:szCs w:val="22"/>
        </w:rPr>
        <w:t>sioner for Human Rights (OHCHR)</w:t>
      </w:r>
    </w:p>
    <w:p w14:paraId="35D53393" w14:textId="77777777" w:rsidR="00B75C49" w:rsidRPr="00A518C6" w:rsidRDefault="00B75C49" w:rsidP="006841E0">
      <w:pPr>
        <w:widowControl w:val="0"/>
        <w:autoSpaceDE w:val="0"/>
        <w:autoSpaceDN w:val="0"/>
        <w:adjustRightInd w:val="0"/>
        <w:rPr>
          <w:rFonts w:asciiTheme="majorHAnsi" w:hAnsiTheme="majorHAnsi" w:cstheme="majorHAnsi"/>
          <w:sz w:val="22"/>
          <w:szCs w:val="22"/>
          <w:lang w:val="fr-FR"/>
        </w:rPr>
      </w:pPr>
      <w:r w:rsidRPr="00A518C6">
        <w:rPr>
          <w:rFonts w:asciiTheme="majorHAnsi" w:hAnsiTheme="majorHAnsi" w:cstheme="majorHAnsi"/>
          <w:sz w:val="22"/>
          <w:szCs w:val="22"/>
          <w:lang w:val="fr-FR"/>
        </w:rPr>
        <w:t>Pal</w:t>
      </w:r>
      <w:r w:rsidR="003B0E56" w:rsidRPr="00A518C6">
        <w:rPr>
          <w:rFonts w:asciiTheme="majorHAnsi" w:hAnsiTheme="majorHAnsi" w:cstheme="majorHAnsi"/>
          <w:sz w:val="22"/>
          <w:szCs w:val="22"/>
          <w:lang w:val="fr-FR"/>
        </w:rPr>
        <w:t>ais Wilson - 52, rue des Pâquis</w:t>
      </w:r>
    </w:p>
    <w:p w14:paraId="35D53394" w14:textId="77777777" w:rsidR="00B75C49" w:rsidRPr="00A518C6" w:rsidRDefault="00B75C49" w:rsidP="006841E0">
      <w:pPr>
        <w:widowControl w:val="0"/>
        <w:autoSpaceDE w:val="0"/>
        <w:autoSpaceDN w:val="0"/>
        <w:adjustRightInd w:val="0"/>
        <w:rPr>
          <w:rFonts w:asciiTheme="majorHAnsi" w:hAnsiTheme="majorHAnsi" w:cstheme="majorHAnsi"/>
          <w:sz w:val="22"/>
          <w:szCs w:val="22"/>
          <w:lang w:val="fr-FR"/>
        </w:rPr>
      </w:pPr>
      <w:r w:rsidRPr="00A518C6">
        <w:rPr>
          <w:rFonts w:asciiTheme="majorHAnsi" w:hAnsiTheme="majorHAnsi" w:cstheme="majorHAnsi"/>
          <w:sz w:val="22"/>
          <w:szCs w:val="22"/>
          <w:lang w:val="fr-FR"/>
        </w:rPr>
        <w:t xml:space="preserve">CH-1201 Geneva </w:t>
      </w:r>
    </w:p>
    <w:p w14:paraId="35D53395" w14:textId="77777777" w:rsidR="00B75C49" w:rsidRPr="00A518C6" w:rsidRDefault="00B75C49" w:rsidP="006841E0">
      <w:pPr>
        <w:widowControl w:val="0"/>
        <w:autoSpaceDE w:val="0"/>
        <w:autoSpaceDN w:val="0"/>
        <w:adjustRightInd w:val="0"/>
        <w:rPr>
          <w:rFonts w:asciiTheme="majorHAnsi" w:hAnsiTheme="majorHAnsi" w:cstheme="majorHAnsi"/>
          <w:sz w:val="22"/>
          <w:szCs w:val="22"/>
        </w:rPr>
      </w:pPr>
      <w:r w:rsidRPr="00A518C6">
        <w:rPr>
          <w:rFonts w:asciiTheme="majorHAnsi" w:hAnsiTheme="majorHAnsi" w:cstheme="majorHAnsi"/>
          <w:sz w:val="22"/>
          <w:szCs w:val="22"/>
        </w:rPr>
        <w:t>Switzerland</w:t>
      </w:r>
    </w:p>
    <w:p w14:paraId="35D53396" w14:textId="253B121E" w:rsidR="00B75C49" w:rsidRPr="00A518C6" w:rsidRDefault="00B75C49" w:rsidP="006841E0">
      <w:pPr>
        <w:widowControl w:val="0"/>
        <w:autoSpaceDE w:val="0"/>
        <w:autoSpaceDN w:val="0"/>
        <w:adjustRightInd w:val="0"/>
        <w:rPr>
          <w:rStyle w:val="Hyperlink"/>
          <w:rFonts w:asciiTheme="majorHAnsi" w:hAnsiTheme="majorHAnsi" w:cstheme="majorHAnsi"/>
          <w:color w:val="auto"/>
          <w:sz w:val="22"/>
          <w:szCs w:val="22"/>
          <w:u w:val="none"/>
        </w:rPr>
      </w:pPr>
      <w:r w:rsidRPr="00A518C6">
        <w:rPr>
          <w:rFonts w:asciiTheme="majorHAnsi" w:hAnsiTheme="majorHAnsi" w:cstheme="majorHAnsi"/>
          <w:sz w:val="22"/>
          <w:szCs w:val="22"/>
        </w:rPr>
        <w:t>By E-mail:</w:t>
      </w:r>
      <w:r w:rsidR="00056759" w:rsidRPr="00A518C6">
        <w:rPr>
          <w:rFonts w:asciiTheme="majorHAnsi" w:hAnsiTheme="majorHAnsi" w:cstheme="majorHAnsi"/>
          <w:sz w:val="22"/>
          <w:szCs w:val="22"/>
        </w:rPr>
        <w:t xml:space="preserve"> </w:t>
      </w:r>
      <w:r w:rsidR="002F1473" w:rsidRPr="00A518C6">
        <w:rPr>
          <w:rFonts w:asciiTheme="majorHAnsi" w:hAnsiTheme="majorHAnsi" w:cstheme="majorHAnsi"/>
          <w:sz w:val="22"/>
          <w:szCs w:val="22"/>
        </w:rPr>
        <w:t xml:space="preserve"> </w:t>
      </w:r>
      <w:hyperlink r:id="rId11" w:history="1">
        <w:r w:rsidR="002F1473" w:rsidRPr="00A518C6">
          <w:rPr>
            <w:rStyle w:val="Hyperlink1"/>
            <w:rFonts w:asciiTheme="majorHAnsi" w:hAnsiTheme="majorHAnsi" w:cstheme="majorHAnsi"/>
            <w:sz w:val="22"/>
            <w:szCs w:val="22"/>
          </w:rPr>
          <w:t>cedaw@ohchr.org</w:t>
        </w:r>
      </w:hyperlink>
      <w:r w:rsidR="002F1473" w:rsidRPr="00A518C6">
        <w:rPr>
          <w:rFonts w:asciiTheme="majorHAnsi" w:hAnsiTheme="majorHAnsi" w:cstheme="majorHAnsi"/>
          <w:sz w:val="22"/>
          <w:szCs w:val="22"/>
        </w:rPr>
        <w:t xml:space="preserve"> /</w:t>
      </w:r>
      <w:hyperlink r:id="rId12" w:history="1">
        <w:r w:rsidR="002F1473" w:rsidRPr="00A518C6">
          <w:rPr>
            <w:rStyle w:val="Hyperlink"/>
            <w:rFonts w:asciiTheme="majorHAnsi" w:hAnsiTheme="majorHAnsi" w:cstheme="majorHAnsi"/>
            <w:sz w:val="22"/>
            <w:szCs w:val="22"/>
          </w:rPr>
          <w:t>dbuchmann@ohchr.org</w:t>
        </w:r>
      </w:hyperlink>
      <w:r w:rsidR="00917994" w:rsidRPr="00A518C6">
        <w:rPr>
          <w:rStyle w:val="Hyperlink"/>
          <w:rFonts w:asciiTheme="majorHAnsi" w:hAnsiTheme="majorHAnsi" w:cstheme="majorHAnsi"/>
          <w:sz w:val="22"/>
          <w:szCs w:val="22"/>
        </w:rPr>
        <w:t xml:space="preserve">   </w:t>
      </w:r>
    </w:p>
    <w:p w14:paraId="35D53398" w14:textId="77777777" w:rsidR="004A1347" w:rsidRPr="00A518C6" w:rsidRDefault="004A1347" w:rsidP="006841E0">
      <w:pPr>
        <w:widowControl w:val="0"/>
        <w:autoSpaceDE w:val="0"/>
        <w:autoSpaceDN w:val="0"/>
        <w:adjustRightInd w:val="0"/>
        <w:rPr>
          <w:rFonts w:asciiTheme="majorHAnsi" w:hAnsiTheme="majorHAnsi" w:cstheme="majorHAnsi"/>
          <w:sz w:val="22"/>
          <w:szCs w:val="22"/>
        </w:rPr>
      </w:pPr>
    </w:p>
    <w:p w14:paraId="36752AA6" w14:textId="54E0A195" w:rsidR="00C52FC8" w:rsidRPr="00A518C6" w:rsidRDefault="00B75C49" w:rsidP="006841E0">
      <w:pPr>
        <w:widowControl w:val="0"/>
        <w:autoSpaceDE w:val="0"/>
        <w:autoSpaceDN w:val="0"/>
        <w:adjustRightInd w:val="0"/>
        <w:spacing w:after="240"/>
        <w:rPr>
          <w:rFonts w:asciiTheme="majorHAnsi" w:hAnsiTheme="majorHAnsi" w:cstheme="majorHAnsi"/>
          <w:sz w:val="22"/>
          <w:szCs w:val="22"/>
        </w:rPr>
      </w:pPr>
      <w:r w:rsidRPr="00A518C6">
        <w:rPr>
          <w:rFonts w:asciiTheme="majorHAnsi" w:hAnsiTheme="majorHAnsi" w:cstheme="majorHAnsi"/>
          <w:sz w:val="22"/>
          <w:szCs w:val="22"/>
        </w:rPr>
        <w:t>Re</w:t>
      </w:r>
      <w:r w:rsidR="00D92D5F" w:rsidRPr="00A518C6">
        <w:rPr>
          <w:rFonts w:asciiTheme="majorHAnsi" w:hAnsiTheme="majorHAnsi" w:cstheme="majorHAnsi"/>
          <w:sz w:val="22"/>
          <w:szCs w:val="22"/>
        </w:rPr>
        <w:t xml:space="preserve">: </w:t>
      </w:r>
      <w:r w:rsidR="006841E0" w:rsidRPr="00A518C6">
        <w:rPr>
          <w:rFonts w:asciiTheme="majorHAnsi" w:hAnsiTheme="majorHAnsi" w:cstheme="majorHAnsi"/>
          <w:sz w:val="22"/>
          <w:szCs w:val="22"/>
        </w:rPr>
        <w:t>Qatar– 73rd State Party Review (1 July 2019 – 19 July 2019)</w:t>
      </w:r>
      <w:r w:rsidR="006841E0" w:rsidRPr="00A518C6" w:rsidDel="001512FC">
        <w:rPr>
          <w:rFonts w:asciiTheme="majorHAnsi" w:hAnsiTheme="majorHAnsi" w:cstheme="majorHAnsi"/>
          <w:sz w:val="22"/>
          <w:szCs w:val="22"/>
        </w:rPr>
        <w:t xml:space="preserve"> </w:t>
      </w:r>
      <w:r w:rsidR="006841E0"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p>
    <w:p w14:paraId="35D5339B" w14:textId="209BE40C" w:rsidR="00B75C49" w:rsidRPr="00A518C6" w:rsidRDefault="00C52FC8" w:rsidP="006841E0">
      <w:pPr>
        <w:widowControl w:val="0"/>
        <w:autoSpaceDE w:val="0"/>
        <w:autoSpaceDN w:val="0"/>
        <w:adjustRightInd w:val="0"/>
        <w:rPr>
          <w:rFonts w:asciiTheme="majorHAnsi" w:hAnsiTheme="majorHAnsi" w:cstheme="majorHAnsi"/>
          <w:sz w:val="22"/>
          <w:szCs w:val="22"/>
        </w:rPr>
      </w:pP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r>
      <w:r w:rsidR="00B75C49" w:rsidRPr="00A518C6">
        <w:rPr>
          <w:rFonts w:asciiTheme="majorHAnsi" w:hAnsiTheme="majorHAnsi" w:cstheme="majorHAnsi"/>
          <w:sz w:val="22"/>
          <w:szCs w:val="22"/>
        </w:rPr>
        <w:tab/>
      </w:r>
      <w:r w:rsidR="006841E0" w:rsidRPr="00A518C6">
        <w:rPr>
          <w:rFonts w:asciiTheme="majorHAnsi" w:hAnsiTheme="majorHAnsi" w:cstheme="majorHAnsi"/>
          <w:sz w:val="22"/>
          <w:szCs w:val="22"/>
        </w:rPr>
        <w:t>10</w:t>
      </w:r>
      <w:r w:rsidR="00D6379D" w:rsidRPr="00A518C6">
        <w:rPr>
          <w:rFonts w:asciiTheme="majorHAnsi" w:hAnsiTheme="majorHAnsi" w:cstheme="majorHAnsi"/>
          <w:sz w:val="22"/>
          <w:szCs w:val="22"/>
        </w:rPr>
        <w:t xml:space="preserve"> </w:t>
      </w:r>
      <w:r w:rsidR="006841E0" w:rsidRPr="00A518C6">
        <w:rPr>
          <w:rFonts w:asciiTheme="majorHAnsi" w:hAnsiTheme="majorHAnsi" w:cstheme="majorHAnsi"/>
          <w:sz w:val="22"/>
          <w:szCs w:val="22"/>
        </w:rPr>
        <w:t>June</w:t>
      </w:r>
      <w:r w:rsidR="008E673D" w:rsidRPr="00A518C6">
        <w:rPr>
          <w:rFonts w:asciiTheme="majorHAnsi" w:hAnsiTheme="majorHAnsi" w:cstheme="majorHAnsi"/>
          <w:sz w:val="22"/>
          <w:szCs w:val="22"/>
        </w:rPr>
        <w:t xml:space="preserve"> 201</w:t>
      </w:r>
      <w:r w:rsidR="00B36B0B" w:rsidRPr="00A518C6">
        <w:rPr>
          <w:rFonts w:asciiTheme="majorHAnsi" w:hAnsiTheme="majorHAnsi" w:cstheme="majorHAnsi"/>
          <w:sz w:val="22"/>
          <w:szCs w:val="22"/>
        </w:rPr>
        <w:t>9</w:t>
      </w:r>
    </w:p>
    <w:p w14:paraId="35D5339C" w14:textId="77777777" w:rsidR="00B75C49" w:rsidRPr="00A518C6" w:rsidRDefault="00B75C49" w:rsidP="006841E0">
      <w:pPr>
        <w:widowControl w:val="0"/>
        <w:autoSpaceDE w:val="0"/>
        <w:autoSpaceDN w:val="0"/>
        <w:adjustRightInd w:val="0"/>
        <w:rPr>
          <w:rFonts w:asciiTheme="majorHAnsi" w:hAnsiTheme="majorHAnsi" w:cstheme="majorHAnsi"/>
          <w:sz w:val="22"/>
          <w:szCs w:val="22"/>
        </w:rPr>
      </w:pPr>
    </w:p>
    <w:p w14:paraId="35D5339D" w14:textId="77777777" w:rsidR="00B75C49" w:rsidRPr="00A518C6" w:rsidRDefault="00B75C49" w:rsidP="006841E0">
      <w:pPr>
        <w:widowControl w:val="0"/>
        <w:autoSpaceDE w:val="0"/>
        <w:autoSpaceDN w:val="0"/>
        <w:adjustRightInd w:val="0"/>
        <w:rPr>
          <w:rFonts w:asciiTheme="majorHAnsi" w:hAnsiTheme="majorHAnsi" w:cstheme="majorHAnsi"/>
          <w:sz w:val="22"/>
          <w:szCs w:val="22"/>
        </w:rPr>
      </w:pPr>
      <w:r w:rsidRPr="00A518C6">
        <w:rPr>
          <w:rFonts w:asciiTheme="majorHAnsi" w:hAnsiTheme="majorHAnsi" w:cstheme="majorHAnsi"/>
          <w:sz w:val="22"/>
          <w:szCs w:val="22"/>
        </w:rPr>
        <w:t>Distinguished Committee Members,</w:t>
      </w:r>
    </w:p>
    <w:p w14:paraId="35D5339E" w14:textId="77777777" w:rsidR="009C1D72" w:rsidRPr="00A518C6" w:rsidRDefault="009C1D72" w:rsidP="006841E0">
      <w:pPr>
        <w:widowControl w:val="0"/>
        <w:autoSpaceDE w:val="0"/>
        <w:autoSpaceDN w:val="0"/>
        <w:adjustRightInd w:val="0"/>
        <w:rPr>
          <w:rFonts w:asciiTheme="majorHAnsi" w:hAnsiTheme="majorHAnsi" w:cstheme="majorHAnsi"/>
          <w:sz w:val="22"/>
          <w:szCs w:val="22"/>
        </w:rPr>
      </w:pPr>
    </w:p>
    <w:p w14:paraId="14B0E43A" w14:textId="7F718E80" w:rsidR="00513A7B" w:rsidRPr="00A518C6" w:rsidRDefault="009C1D72" w:rsidP="006841E0">
      <w:pPr>
        <w:widowControl w:val="0"/>
        <w:autoSpaceDE w:val="0"/>
        <w:autoSpaceDN w:val="0"/>
        <w:adjustRightInd w:val="0"/>
        <w:rPr>
          <w:rFonts w:asciiTheme="majorHAnsi" w:hAnsiTheme="majorHAnsi" w:cstheme="majorHAnsi"/>
          <w:sz w:val="22"/>
          <w:szCs w:val="22"/>
        </w:rPr>
      </w:pPr>
      <w:r w:rsidRPr="00A518C6">
        <w:rPr>
          <w:rFonts w:asciiTheme="majorHAnsi" w:hAnsiTheme="majorHAnsi" w:cstheme="majorHAnsi"/>
          <w:sz w:val="22"/>
          <w:szCs w:val="22"/>
        </w:rPr>
        <w:tab/>
      </w:r>
      <w:r w:rsidR="004417A1" w:rsidRPr="00A518C6">
        <w:rPr>
          <w:rFonts w:asciiTheme="majorHAnsi" w:hAnsiTheme="majorHAnsi" w:cstheme="majorHAnsi"/>
          <w:sz w:val="22"/>
          <w:szCs w:val="22"/>
        </w:rPr>
        <w:t xml:space="preserve">We respectfully submit this letter in advance of the Committee on the Elimination of Discrimination against Women’s (CEDAW) discussion on </w:t>
      </w:r>
      <w:r w:rsidR="0063757B" w:rsidRPr="00A518C6">
        <w:rPr>
          <w:rFonts w:asciiTheme="majorHAnsi" w:hAnsiTheme="majorHAnsi" w:cstheme="majorHAnsi"/>
          <w:sz w:val="22"/>
          <w:szCs w:val="22"/>
        </w:rPr>
        <w:t xml:space="preserve">Qatar </w:t>
      </w:r>
      <w:r w:rsidR="004417A1" w:rsidRPr="00A518C6">
        <w:rPr>
          <w:rFonts w:asciiTheme="majorHAnsi" w:hAnsiTheme="majorHAnsi" w:cstheme="majorHAnsi"/>
          <w:sz w:val="22"/>
          <w:szCs w:val="22"/>
        </w:rPr>
        <w:t>at its 73</w:t>
      </w:r>
      <w:r w:rsidR="004417A1" w:rsidRPr="00A518C6">
        <w:rPr>
          <w:rFonts w:asciiTheme="majorHAnsi" w:hAnsiTheme="majorHAnsi" w:cstheme="majorHAnsi"/>
          <w:sz w:val="22"/>
          <w:szCs w:val="22"/>
          <w:vertAlign w:val="superscript"/>
        </w:rPr>
        <w:t>st</w:t>
      </w:r>
      <w:r w:rsidR="004417A1" w:rsidRPr="00A518C6">
        <w:rPr>
          <w:rFonts w:asciiTheme="majorHAnsi" w:hAnsiTheme="majorHAnsi" w:cstheme="majorHAnsi"/>
          <w:sz w:val="22"/>
          <w:szCs w:val="22"/>
        </w:rPr>
        <w:t xml:space="preserve"> pre-sessional working group from 1 July 2019 - 19 July 2019.  The co-submitting organizations are greatly concerned about gender discrimination in the </w:t>
      </w:r>
      <w:r w:rsidR="00CC761E" w:rsidRPr="00A518C6">
        <w:rPr>
          <w:rFonts w:asciiTheme="majorHAnsi" w:hAnsiTheme="majorHAnsi" w:cstheme="majorHAnsi"/>
          <w:sz w:val="22"/>
          <w:szCs w:val="22"/>
        </w:rPr>
        <w:t>nationality law of Qatar.</w:t>
      </w:r>
      <w:r w:rsidR="004417A1" w:rsidRPr="00A518C6">
        <w:rPr>
          <w:rFonts w:asciiTheme="majorHAnsi" w:hAnsiTheme="majorHAnsi" w:cstheme="majorHAnsi"/>
          <w:sz w:val="22"/>
          <w:szCs w:val="22"/>
        </w:rPr>
        <w:t xml:space="preserve"> This letter will focus on continued violations of women’s nationality rights in </w:t>
      </w:r>
      <w:r w:rsidR="00CC761E" w:rsidRPr="00A518C6">
        <w:rPr>
          <w:rFonts w:asciiTheme="majorHAnsi" w:hAnsiTheme="majorHAnsi" w:cstheme="majorHAnsi"/>
          <w:sz w:val="22"/>
          <w:szCs w:val="22"/>
        </w:rPr>
        <w:t xml:space="preserve">Qatar </w:t>
      </w:r>
      <w:r w:rsidR="004417A1" w:rsidRPr="00A518C6">
        <w:rPr>
          <w:rFonts w:asciiTheme="majorHAnsi" w:hAnsiTheme="majorHAnsi" w:cstheme="majorHAnsi"/>
          <w:sz w:val="22"/>
          <w:szCs w:val="22"/>
        </w:rPr>
        <w:t xml:space="preserve">in direct violation of Articles 2 (non-discrimination, including in policy measures) and 9 (nationality), resulting in further violations of </w:t>
      </w:r>
      <w:r w:rsidR="00CC761E" w:rsidRPr="00A518C6">
        <w:rPr>
          <w:rFonts w:asciiTheme="majorHAnsi" w:hAnsiTheme="majorHAnsi" w:cstheme="majorHAnsi"/>
          <w:sz w:val="22"/>
          <w:szCs w:val="22"/>
        </w:rPr>
        <w:t xml:space="preserve">CEDAW articles, including </w:t>
      </w:r>
      <w:r w:rsidR="004417A1" w:rsidRPr="00A518C6">
        <w:rPr>
          <w:rFonts w:asciiTheme="majorHAnsi" w:hAnsiTheme="majorHAnsi" w:cstheme="majorHAnsi"/>
          <w:sz w:val="22"/>
          <w:szCs w:val="22"/>
        </w:rPr>
        <w:t xml:space="preserve">articles 3 (Guarantee of Basic Human Rights and Fundamental Freedoms), 13-a and b (Economic and Social Benefits), and 16-1 b and d (Marriage and Family Life) of the Convention on the Elimination of All Forms of Discrimination against Women. </w:t>
      </w:r>
    </w:p>
    <w:p w14:paraId="3C3BECD7" w14:textId="1EC5D4D7" w:rsidR="001A113D" w:rsidRPr="00A518C6" w:rsidRDefault="001511AE" w:rsidP="006841E0">
      <w:pPr>
        <w:pStyle w:val="NormalWeb"/>
        <w:shd w:val="clear" w:color="auto" w:fill="FFFFFF"/>
        <w:rPr>
          <w:rFonts w:asciiTheme="majorHAnsi" w:hAnsiTheme="majorHAnsi" w:cstheme="majorHAnsi"/>
          <w:sz w:val="22"/>
          <w:szCs w:val="22"/>
        </w:rPr>
      </w:pPr>
      <w:r w:rsidRPr="00A518C6">
        <w:rPr>
          <w:rFonts w:asciiTheme="majorHAnsi" w:eastAsia="SimSun" w:hAnsiTheme="majorHAnsi" w:cstheme="majorHAnsi"/>
          <w:sz w:val="22"/>
          <w:szCs w:val="22"/>
        </w:rPr>
        <w:tab/>
      </w:r>
      <w:r w:rsidR="00296FA1" w:rsidRPr="00A518C6">
        <w:rPr>
          <w:rFonts w:asciiTheme="majorHAnsi" w:hAnsiTheme="majorHAnsi" w:cstheme="majorHAnsi"/>
          <w:sz w:val="22"/>
          <w:szCs w:val="22"/>
        </w:rPr>
        <w:t xml:space="preserve">The </w:t>
      </w:r>
      <w:hyperlink r:id="rId13" w:history="1">
        <w:r w:rsidR="00296FA1" w:rsidRPr="00A518C6">
          <w:rPr>
            <w:rStyle w:val="Hyperlink"/>
            <w:rFonts w:asciiTheme="majorHAnsi" w:hAnsiTheme="majorHAnsi" w:cstheme="majorHAnsi"/>
            <w:sz w:val="22"/>
            <w:szCs w:val="22"/>
          </w:rPr>
          <w:t>Global Campaign for Equal Nationality Rights</w:t>
        </w:r>
      </w:hyperlink>
      <w:r w:rsidR="00296FA1" w:rsidRPr="00A518C6">
        <w:rPr>
          <w:rFonts w:asciiTheme="majorHAnsi" w:hAnsiTheme="majorHAnsi" w:cstheme="majorHAnsi"/>
          <w:sz w:val="22"/>
          <w:szCs w:val="22"/>
        </w:rPr>
        <w:t xml:space="preserve"> mobilizes international action </w:t>
      </w:r>
      <w:r w:rsidR="001C4BA6" w:rsidRPr="00A518C6">
        <w:rPr>
          <w:rFonts w:asciiTheme="majorHAnsi" w:hAnsiTheme="majorHAnsi" w:cstheme="majorHAnsi"/>
          <w:sz w:val="22"/>
          <w:szCs w:val="22"/>
        </w:rPr>
        <w:t>to end gender discrimination in</w:t>
      </w:r>
      <w:r w:rsidR="00296FA1" w:rsidRPr="00A518C6">
        <w:rPr>
          <w:rFonts w:asciiTheme="majorHAnsi" w:hAnsiTheme="majorHAnsi" w:cstheme="majorHAnsi"/>
          <w:sz w:val="22"/>
          <w:szCs w:val="22"/>
        </w:rPr>
        <w:t xml:space="preserve"> nationality laws, through its coalition of national and international organizations and activists, including Steering Committee members Equality Now, Equal Rights Trust, the Institute on Statelessness and Inclusion, </w:t>
      </w:r>
      <w:r w:rsidR="001C4BA6" w:rsidRPr="00A518C6">
        <w:rPr>
          <w:rFonts w:asciiTheme="majorHAnsi" w:hAnsiTheme="majorHAnsi" w:cstheme="majorHAnsi"/>
          <w:sz w:val="22"/>
          <w:szCs w:val="22"/>
        </w:rPr>
        <w:t xml:space="preserve">Women’s Learning Partnership, </w:t>
      </w:r>
      <w:r w:rsidR="00296FA1" w:rsidRPr="00A518C6">
        <w:rPr>
          <w:rFonts w:asciiTheme="majorHAnsi" w:hAnsiTheme="majorHAnsi" w:cstheme="majorHAnsi"/>
          <w:sz w:val="22"/>
          <w:szCs w:val="22"/>
        </w:rPr>
        <w:t>and Women’s Refugee Commission.</w:t>
      </w:r>
      <w:r w:rsidR="00296FA1" w:rsidRPr="00A518C6">
        <w:rPr>
          <w:rFonts w:asciiTheme="majorHAnsi" w:eastAsia="Times New Roman,SimSun" w:hAnsiTheme="majorHAnsi" w:cstheme="majorHAnsi"/>
          <w:sz w:val="22"/>
          <w:szCs w:val="22"/>
        </w:rPr>
        <w:t xml:space="preserve"> </w:t>
      </w:r>
      <w:r w:rsidR="00B36B0B" w:rsidRPr="00A518C6">
        <w:rPr>
          <w:rFonts w:asciiTheme="majorHAnsi" w:hAnsiTheme="majorHAnsi" w:cstheme="majorHAnsi"/>
          <w:sz w:val="22"/>
          <w:szCs w:val="22"/>
        </w:rPr>
        <w:t xml:space="preserve">The </w:t>
      </w:r>
      <w:hyperlink r:id="rId14" w:history="1">
        <w:r w:rsidR="00B36B0B" w:rsidRPr="00A518C6">
          <w:rPr>
            <w:rStyle w:val="Hyperlink"/>
            <w:rFonts w:asciiTheme="majorHAnsi" w:hAnsiTheme="majorHAnsi" w:cstheme="majorHAnsi"/>
            <w:sz w:val="22"/>
            <w:szCs w:val="22"/>
          </w:rPr>
          <w:t>Institute on Statelessness and Inclusion</w:t>
        </w:r>
      </w:hyperlink>
      <w:r w:rsidR="00B36B0B" w:rsidRPr="00A518C6">
        <w:rPr>
          <w:rFonts w:asciiTheme="majorHAnsi" w:hAnsiTheme="majorHAnsi" w:cstheme="majorHAnsi"/>
          <w:sz w:val="22"/>
          <w:szCs w:val="22"/>
        </w:rPr>
        <w:t xml:space="preserve"> is an independent non-profit organization dedicated to </w:t>
      </w:r>
      <w:r w:rsidR="00FB0A05" w:rsidRPr="00A518C6">
        <w:rPr>
          <w:rFonts w:asciiTheme="majorHAnsi" w:hAnsiTheme="majorHAnsi" w:cstheme="majorHAnsi"/>
          <w:sz w:val="22"/>
          <w:szCs w:val="22"/>
        </w:rPr>
        <w:t>promoting</w:t>
      </w:r>
      <w:r w:rsidR="00B36B0B" w:rsidRPr="00A518C6">
        <w:rPr>
          <w:rFonts w:asciiTheme="majorHAnsi" w:hAnsiTheme="majorHAnsi" w:cstheme="majorHAnsi"/>
          <w:sz w:val="22"/>
          <w:szCs w:val="22"/>
        </w:rPr>
        <w:t xml:space="preserve"> </w:t>
      </w:r>
      <w:r w:rsidR="00FB0A05" w:rsidRPr="00A518C6">
        <w:rPr>
          <w:rFonts w:asciiTheme="majorHAnsi" w:hAnsiTheme="majorHAnsi" w:cstheme="majorHAnsi"/>
          <w:sz w:val="22"/>
          <w:szCs w:val="22"/>
        </w:rPr>
        <w:t>inclusive societies by realising and protecting the right to a nationality for all</w:t>
      </w:r>
      <w:r w:rsidR="00B36B0B" w:rsidRPr="00A518C6">
        <w:rPr>
          <w:rFonts w:asciiTheme="majorHAnsi" w:hAnsiTheme="majorHAnsi" w:cstheme="majorHAnsi"/>
          <w:sz w:val="22"/>
          <w:szCs w:val="22"/>
        </w:rPr>
        <w:t>.</w:t>
      </w:r>
      <w:r w:rsidR="001130B6" w:rsidRPr="00A518C6">
        <w:rPr>
          <w:rFonts w:asciiTheme="majorHAnsi" w:hAnsiTheme="majorHAnsi" w:cstheme="majorHAnsi"/>
          <w:sz w:val="22"/>
          <w:szCs w:val="22"/>
        </w:rPr>
        <w:t xml:space="preserve"> </w:t>
      </w:r>
      <w:hyperlink r:id="rId15" w:history="1">
        <w:r w:rsidR="001130B6" w:rsidRPr="00A518C6">
          <w:rPr>
            <w:rStyle w:val="Hyperlink"/>
            <w:rFonts w:asciiTheme="majorHAnsi" w:hAnsiTheme="majorHAnsi" w:cstheme="majorHAnsi"/>
            <w:sz w:val="22"/>
            <w:szCs w:val="22"/>
          </w:rPr>
          <w:t>Equality Now</w:t>
        </w:r>
      </w:hyperlink>
      <w:r w:rsidR="001130B6" w:rsidRPr="00A518C6">
        <w:rPr>
          <w:rFonts w:asciiTheme="majorHAnsi" w:hAnsiTheme="majorHAnsi" w:cstheme="majorHAnsi"/>
          <w:sz w:val="22"/>
          <w:szCs w:val="22"/>
        </w:rPr>
        <w:t xml:space="preserve"> is an international human rights organization with ECOSOC status working to protect and promote the rights of women and girls worldwide since 1992, including through our membership network comprised of individuals and organizations in over 190 countries.</w:t>
      </w:r>
    </w:p>
    <w:p w14:paraId="31CEA987" w14:textId="54194B6E" w:rsidR="001A113D" w:rsidRPr="00A518C6" w:rsidRDefault="001A113D" w:rsidP="006841E0">
      <w:pPr>
        <w:pBdr>
          <w:top w:val="nil"/>
          <w:left w:val="nil"/>
          <w:bottom w:val="nil"/>
          <w:right w:val="nil"/>
          <w:between w:val="nil"/>
        </w:pBdr>
        <w:ind w:firstLine="720"/>
        <w:contextualSpacing/>
        <w:rPr>
          <w:rFonts w:asciiTheme="majorHAnsi" w:hAnsiTheme="majorHAnsi" w:cstheme="majorHAnsi"/>
          <w:color w:val="000000"/>
          <w:sz w:val="22"/>
          <w:szCs w:val="22"/>
        </w:rPr>
      </w:pPr>
      <w:r w:rsidRPr="00A518C6">
        <w:rPr>
          <w:rFonts w:asciiTheme="majorHAnsi" w:hAnsiTheme="majorHAnsi" w:cstheme="majorHAnsi"/>
          <w:color w:val="000000"/>
          <w:sz w:val="22"/>
          <w:szCs w:val="22"/>
        </w:rPr>
        <w:t>In 2009, Qatar became a state party to the Convention on the Elimination of All Forms of Discrimination against Women (CEDAW)</w:t>
      </w:r>
      <w:r w:rsidR="00CC761E" w:rsidRPr="00A518C6">
        <w:rPr>
          <w:rFonts w:asciiTheme="majorHAnsi" w:hAnsiTheme="majorHAnsi" w:cstheme="majorHAnsi"/>
          <w:color w:val="000000"/>
          <w:sz w:val="22"/>
          <w:szCs w:val="22"/>
        </w:rPr>
        <w:t>, though retained a reservation to Article 9(2).</w:t>
      </w:r>
      <w:r w:rsidRPr="00A518C6">
        <w:rPr>
          <w:rFonts w:asciiTheme="majorHAnsi" w:hAnsiTheme="majorHAnsi" w:cstheme="majorHAnsi"/>
          <w:color w:val="000000"/>
          <w:sz w:val="22"/>
          <w:szCs w:val="22"/>
        </w:rPr>
        <w:t xml:space="preserve"> The co-submitters note, however that paragraph 6 of General recommendation 21, made by the Committee on the Elimination of Discrimination against Women, at its 13th session in 1994 states that:</w:t>
      </w:r>
    </w:p>
    <w:p w14:paraId="604A6546" w14:textId="77777777" w:rsidR="001A113D" w:rsidRPr="00A518C6" w:rsidRDefault="001A113D" w:rsidP="006841E0">
      <w:pPr>
        <w:rPr>
          <w:rFonts w:asciiTheme="majorHAnsi" w:hAnsiTheme="majorHAnsi" w:cstheme="majorHAnsi"/>
          <w:sz w:val="22"/>
          <w:szCs w:val="22"/>
        </w:rPr>
      </w:pPr>
    </w:p>
    <w:p w14:paraId="211C2857" w14:textId="77777777" w:rsidR="001A113D" w:rsidRPr="00A518C6" w:rsidRDefault="001A113D" w:rsidP="006841E0">
      <w:pPr>
        <w:ind w:left="720"/>
        <w:rPr>
          <w:rFonts w:asciiTheme="majorHAnsi" w:hAnsiTheme="majorHAnsi" w:cstheme="majorHAnsi"/>
          <w:sz w:val="22"/>
          <w:szCs w:val="22"/>
        </w:rPr>
      </w:pPr>
      <w:r w:rsidRPr="00A518C6">
        <w:rPr>
          <w:rFonts w:asciiTheme="majorHAnsi" w:hAnsiTheme="majorHAnsi" w:cstheme="majorHAnsi"/>
          <w:i/>
          <w:sz w:val="22"/>
          <w:szCs w:val="22"/>
        </w:rPr>
        <w:t xml:space="preserve">Nationality is critical to full participation in society. [...] Without status as nationals or citizens, women are deprived of the right to [...] access to public benefits and a choice of </w:t>
      </w:r>
      <w:r w:rsidRPr="00A518C6">
        <w:rPr>
          <w:rFonts w:asciiTheme="majorHAnsi" w:hAnsiTheme="majorHAnsi" w:cstheme="majorHAnsi"/>
          <w:i/>
          <w:sz w:val="22"/>
          <w:szCs w:val="22"/>
        </w:rPr>
        <w:lastRenderedPageBreak/>
        <w:t>residence. Nationality should be capable of change by an adult woman and should not be arbitrarily removed because of marriage or dissolution of marriage or because her husband or father changes his nationality.</w:t>
      </w:r>
      <w:r w:rsidRPr="00A518C6">
        <w:rPr>
          <w:rFonts w:asciiTheme="majorHAnsi" w:hAnsiTheme="majorHAnsi" w:cstheme="majorHAnsi"/>
          <w:sz w:val="22"/>
          <w:szCs w:val="22"/>
          <w:vertAlign w:val="superscript"/>
        </w:rPr>
        <w:footnoteReference w:id="1"/>
      </w:r>
    </w:p>
    <w:p w14:paraId="50445963" w14:textId="77777777" w:rsidR="001A113D" w:rsidRPr="00A518C6" w:rsidRDefault="001A113D" w:rsidP="006841E0">
      <w:pPr>
        <w:rPr>
          <w:rFonts w:asciiTheme="majorHAnsi" w:hAnsiTheme="majorHAnsi" w:cstheme="majorHAnsi"/>
          <w:sz w:val="22"/>
          <w:szCs w:val="22"/>
        </w:rPr>
      </w:pPr>
    </w:p>
    <w:p w14:paraId="494024EA" w14:textId="5EE19E58" w:rsidR="001A113D" w:rsidRPr="00A518C6" w:rsidRDefault="001A113D" w:rsidP="006841E0">
      <w:pPr>
        <w:pBdr>
          <w:top w:val="nil"/>
          <w:left w:val="nil"/>
          <w:bottom w:val="nil"/>
          <w:right w:val="nil"/>
          <w:between w:val="nil"/>
        </w:pBdr>
        <w:contextualSpacing/>
        <w:rPr>
          <w:rFonts w:asciiTheme="majorHAnsi" w:hAnsiTheme="majorHAnsi" w:cstheme="majorHAnsi"/>
          <w:color w:val="000000"/>
          <w:sz w:val="22"/>
          <w:szCs w:val="22"/>
        </w:rPr>
      </w:pPr>
      <w:bookmarkStart w:id="0" w:name="_gjdgxs" w:colFirst="0" w:colLast="0"/>
      <w:bookmarkEnd w:id="0"/>
      <w:r w:rsidRPr="00A518C6">
        <w:rPr>
          <w:rFonts w:asciiTheme="majorHAnsi" w:hAnsiTheme="majorHAnsi" w:cstheme="majorHAnsi"/>
          <w:color w:val="000000"/>
          <w:sz w:val="22"/>
          <w:szCs w:val="22"/>
        </w:rPr>
        <w:t>Additionally, as stated by the CEDAW, Article 9 among others is “</w:t>
      </w:r>
      <w:r w:rsidRPr="00A518C6">
        <w:rPr>
          <w:rFonts w:asciiTheme="majorHAnsi" w:hAnsiTheme="majorHAnsi" w:cstheme="majorHAnsi"/>
          <w:i/>
          <w:color w:val="000000"/>
          <w:sz w:val="22"/>
          <w:szCs w:val="22"/>
        </w:rPr>
        <w:t>central to the object and purpose of the Convention and that the reservations impact negatively on the enjoyment by women of their rights.</w:t>
      </w:r>
      <w:r w:rsidRPr="00A518C6">
        <w:rPr>
          <w:rFonts w:asciiTheme="majorHAnsi" w:hAnsiTheme="majorHAnsi" w:cstheme="majorHAnsi"/>
          <w:color w:val="000000"/>
          <w:sz w:val="22"/>
          <w:szCs w:val="22"/>
        </w:rPr>
        <w:t xml:space="preserve">” Therefore, the maintenance of nationality laws which discriminate </w:t>
      </w:r>
      <w:proofErr w:type="gramStart"/>
      <w:r w:rsidRPr="00A518C6">
        <w:rPr>
          <w:rFonts w:asciiTheme="majorHAnsi" w:hAnsiTheme="majorHAnsi" w:cstheme="majorHAnsi"/>
          <w:color w:val="000000"/>
          <w:sz w:val="22"/>
          <w:szCs w:val="22"/>
        </w:rPr>
        <w:t>on the basis of</w:t>
      </w:r>
      <w:proofErr w:type="gramEnd"/>
      <w:r w:rsidRPr="00A518C6">
        <w:rPr>
          <w:rFonts w:asciiTheme="majorHAnsi" w:hAnsiTheme="majorHAnsi" w:cstheme="majorHAnsi"/>
          <w:color w:val="000000"/>
          <w:sz w:val="22"/>
          <w:szCs w:val="22"/>
        </w:rPr>
        <w:t xml:space="preserve"> gender are themselves in conflict with the object and purpose of the CEDAW and with the general obligation of all state parties to “</w:t>
      </w:r>
      <w:r w:rsidRPr="00A518C6">
        <w:rPr>
          <w:rFonts w:asciiTheme="majorHAnsi" w:hAnsiTheme="majorHAnsi" w:cstheme="majorHAnsi"/>
          <w:i/>
          <w:color w:val="000000"/>
          <w:sz w:val="22"/>
          <w:szCs w:val="22"/>
        </w:rPr>
        <w:t>agree to pursue by all appropriate means and without delay a policy of eliminating discrimination against women</w:t>
      </w:r>
      <w:r w:rsidRPr="00A518C6">
        <w:rPr>
          <w:rFonts w:asciiTheme="majorHAnsi" w:hAnsiTheme="majorHAnsi" w:cstheme="majorHAnsi"/>
          <w:color w:val="000000"/>
          <w:sz w:val="22"/>
          <w:szCs w:val="22"/>
        </w:rPr>
        <w:t>.”</w:t>
      </w:r>
      <w:r w:rsidRPr="00A518C6">
        <w:rPr>
          <w:rFonts w:asciiTheme="majorHAnsi" w:hAnsiTheme="majorHAnsi" w:cstheme="majorHAnsi"/>
          <w:color w:val="000000"/>
          <w:sz w:val="22"/>
          <w:szCs w:val="22"/>
          <w:vertAlign w:val="superscript"/>
        </w:rPr>
        <w:footnoteReference w:id="2"/>
      </w:r>
    </w:p>
    <w:p w14:paraId="3CD508F6" w14:textId="77777777" w:rsidR="001A113D" w:rsidRPr="00A518C6" w:rsidRDefault="001A113D" w:rsidP="006841E0">
      <w:pPr>
        <w:rPr>
          <w:rFonts w:asciiTheme="majorHAnsi" w:hAnsiTheme="majorHAnsi" w:cstheme="majorHAnsi"/>
          <w:b/>
          <w:sz w:val="22"/>
          <w:szCs w:val="22"/>
        </w:rPr>
      </w:pPr>
    </w:p>
    <w:p w14:paraId="53C5AB0B" w14:textId="77777777" w:rsidR="001A113D" w:rsidRPr="00A518C6" w:rsidRDefault="001A113D" w:rsidP="006841E0">
      <w:pPr>
        <w:rPr>
          <w:rFonts w:asciiTheme="majorHAnsi" w:hAnsiTheme="majorHAnsi" w:cstheme="majorHAnsi"/>
          <w:b/>
          <w:sz w:val="22"/>
          <w:szCs w:val="22"/>
        </w:rPr>
      </w:pPr>
      <w:r w:rsidRPr="00A518C6">
        <w:rPr>
          <w:rFonts w:asciiTheme="majorHAnsi" w:hAnsiTheme="majorHAnsi" w:cstheme="majorHAnsi"/>
          <w:b/>
          <w:sz w:val="22"/>
          <w:szCs w:val="22"/>
        </w:rPr>
        <w:t>Gender Discrimination in Qatar’s nationality laws</w:t>
      </w:r>
    </w:p>
    <w:p w14:paraId="613FB17E" w14:textId="77777777" w:rsidR="001A113D" w:rsidRPr="00A518C6" w:rsidRDefault="001A113D" w:rsidP="006841E0">
      <w:pPr>
        <w:rPr>
          <w:rFonts w:asciiTheme="majorHAnsi" w:hAnsiTheme="majorHAnsi" w:cstheme="majorHAnsi"/>
          <w:sz w:val="22"/>
          <w:szCs w:val="22"/>
        </w:rPr>
      </w:pPr>
    </w:p>
    <w:p w14:paraId="181E8845" w14:textId="60E333F2" w:rsidR="001A113D" w:rsidRPr="00A518C6" w:rsidRDefault="001A113D" w:rsidP="006841E0">
      <w:pPr>
        <w:pBdr>
          <w:top w:val="nil"/>
          <w:left w:val="nil"/>
          <w:bottom w:val="nil"/>
          <w:right w:val="nil"/>
          <w:between w:val="nil"/>
        </w:pBdr>
        <w:ind w:firstLine="360"/>
        <w:contextualSpacing/>
        <w:rPr>
          <w:rFonts w:asciiTheme="majorHAnsi" w:hAnsiTheme="majorHAnsi" w:cstheme="majorHAnsi"/>
          <w:color w:val="000000"/>
          <w:sz w:val="22"/>
          <w:szCs w:val="22"/>
        </w:rPr>
      </w:pPr>
      <w:r w:rsidRPr="00A518C6">
        <w:rPr>
          <w:rFonts w:asciiTheme="majorHAnsi" w:hAnsiTheme="majorHAnsi" w:cstheme="majorHAnsi"/>
          <w:color w:val="000000"/>
          <w:sz w:val="22"/>
          <w:szCs w:val="22"/>
        </w:rPr>
        <w:t>According to Qatar’s Nationality Act No. 38 of 2005, a Qatari woman cannot confer nationality on her children under any circumstances, while Qatari men automatically confer nationality on their children whether they are born abroad or in the country. Article 1.4 of the law states,</w:t>
      </w:r>
      <w:r w:rsidRPr="00A518C6">
        <w:rPr>
          <w:rFonts w:asciiTheme="majorHAnsi" w:hAnsiTheme="majorHAnsi" w:cstheme="majorHAnsi"/>
          <w:i/>
          <w:color w:val="000000"/>
          <w:sz w:val="22"/>
          <w:szCs w:val="22"/>
        </w:rPr>
        <w:t xml:space="preserve"> “Any person born in Qatar or in a foreign country to a Qatari father in accordance with the preceding Articles.”</w:t>
      </w:r>
      <w:r w:rsidR="006841E0" w:rsidRPr="00A518C6">
        <w:rPr>
          <w:rFonts w:asciiTheme="majorHAnsi" w:hAnsiTheme="majorHAnsi" w:cstheme="majorHAnsi"/>
          <w:color w:val="000000"/>
          <w:sz w:val="22"/>
          <w:szCs w:val="22"/>
        </w:rPr>
        <w:t xml:space="preserve"> </w:t>
      </w:r>
      <w:r w:rsidRPr="00A518C6">
        <w:rPr>
          <w:rFonts w:asciiTheme="majorHAnsi" w:hAnsiTheme="majorHAnsi" w:cstheme="majorHAnsi"/>
          <w:color w:val="000000"/>
          <w:sz w:val="22"/>
          <w:szCs w:val="22"/>
        </w:rPr>
        <w:t xml:space="preserve">Article 2 of the nationality law grants priority for </w:t>
      </w:r>
      <w:proofErr w:type="spellStart"/>
      <w:r w:rsidRPr="00A518C6">
        <w:rPr>
          <w:rFonts w:asciiTheme="majorHAnsi" w:hAnsiTheme="majorHAnsi" w:cstheme="majorHAnsi"/>
          <w:color w:val="000000"/>
          <w:sz w:val="22"/>
          <w:szCs w:val="22"/>
        </w:rPr>
        <w:t>naturalisation</w:t>
      </w:r>
      <w:proofErr w:type="spellEnd"/>
      <w:r w:rsidRPr="00A518C6">
        <w:rPr>
          <w:rFonts w:asciiTheme="majorHAnsi" w:hAnsiTheme="majorHAnsi" w:cstheme="majorHAnsi"/>
          <w:color w:val="000000"/>
          <w:sz w:val="22"/>
          <w:szCs w:val="22"/>
        </w:rPr>
        <w:t xml:space="preserve"> to persons whose mother is Qatari, however this process remains discriminatory and discretionary. </w:t>
      </w:r>
    </w:p>
    <w:p w14:paraId="2627C5F2" w14:textId="77777777" w:rsidR="006841E0" w:rsidRPr="00A518C6" w:rsidRDefault="006841E0" w:rsidP="006841E0">
      <w:pPr>
        <w:pBdr>
          <w:top w:val="nil"/>
          <w:left w:val="nil"/>
          <w:bottom w:val="nil"/>
          <w:right w:val="nil"/>
          <w:between w:val="nil"/>
        </w:pBdr>
        <w:ind w:firstLine="360"/>
        <w:contextualSpacing/>
        <w:rPr>
          <w:rFonts w:asciiTheme="majorHAnsi" w:hAnsiTheme="majorHAnsi" w:cstheme="majorHAnsi"/>
          <w:color w:val="000000"/>
          <w:sz w:val="22"/>
          <w:szCs w:val="22"/>
        </w:rPr>
      </w:pPr>
    </w:p>
    <w:p w14:paraId="54D23CD3" w14:textId="074CBE28" w:rsidR="001A113D" w:rsidRPr="00A518C6" w:rsidRDefault="001A113D" w:rsidP="006841E0">
      <w:pPr>
        <w:pBdr>
          <w:top w:val="nil"/>
          <w:left w:val="nil"/>
          <w:bottom w:val="nil"/>
          <w:right w:val="nil"/>
          <w:between w:val="nil"/>
        </w:pBdr>
        <w:ind w:firstLine="360"/>
        <w:contextualSpacing/>
        <w:rPr>
          <w:rFonts w:asciiTheme="majorHAnsi" w:hAnsiTheme="majorHAnsi" w:cstheme="majorHAnsi"/>
          <w:color w:val="000000"/>
          <w:sz w:val="22"/>
          <w:szCs w:val="22"/>
        </w:rPr>
      </w:pPr>
      <w:r w:rsidRPr="00A518C6">
        <w:rPr>
          <w:rFonts w:asciiTheme="majorHAnsi" w:hAnsiTheme="majorHAnsi" w:cstheme="majorHAnsi"/>
          <w:color w:val="000000"/>
          <w:sz w:val="22"/>
          <w:szCs w:val="22"/>
        </w:rPr>
        <w:t xml:space="preserve">In addition, Qatari women have no opportunity to confer nationality on their foreign spouses, and their </w:t>
      </w:r>
      <w:proofErr w:type="spellStart"/>
      <w:r w:rsidRPr="00A518C6">
        <w:rPr>
          <w:rFonts w:asciiTheme="majorHAnsi" w:hAnsiTheme="majorHAnsi" w:cstheme="majorHAnsi"/>
          <w:color w:val="000000"/>
          <w:sz w:val="22"/>
          <w:szCs w:val="22"/>
        </w:rPr>
        <w:t>naturalisation</w:t>
      </w:r>
      <w:proofErr w:type="spellEnd"/>
      <w:r w:rsidRPr="00A518C6">
        <w:rPr>
          <w:rFonts w:asciiTheme="majorHAnsi" w:hAnsiTheme="majorHAnsi" w:cstheme="majorHAnsi"/>
          <w:color w:val="000000"/>
          <w:sz w:val="22"/>
          <w:szCs w:val="22"/>
        </w:rPr>
        <w:t xml:space="preserve"> procedures are not facilitated.  Under Article 5 of the 2005 Nationality Act, wives of Qatari men however – whether Qatari by birth or naturalized - benefit from facilitated </w:t>
      </w:r>
      <w:proofErr w:type="spellStart"/>
      <w:r w:rsidRPr="00A518C6">
        <w:rPr>
          <w:rFonts w:asciiTheme="majorHAnsi" w:hAnsiTheme="majorHAnsi" w:cstheme="majorHAnsi"/>
          <w:color w:val="000000"/>
          <w:sz w:val="22"/>
          <w:szCs w:val="22"/>
        </w:rPr>
        <w:t>naturalisation</w:t>
      </w:r>
      <w:proofErr w:type="spellEnd"/>
      <w:r w:rsidRPr="00A518C6">
        <w:rPr>
          <w:rFonts w:asciiTheme="majorHAnsi" w:hAnsiTheme="majorHAnsi" w:cstheme="majorHAnsi"/>
          <w:color w:val="000000"/>
          <w:sz w:val="22"/>
          <w:szCs w:val="22"/>
        </w:rPr>
        <w:t>.</w:t>
      </w:r>
      <w:r w:rsidRPr="00A518C6">
        <w:rPr>
          <w:rFonts w:asciiTheme="majorHAnsi" w:hAnsiTheme="majorHAnsi" w:cstheme="majorHAnsi"/>
          <w:color w:val="000000"/>
          <w:sz w:val="22"/>
          <w:szCs w:val="22"/>
          <w:vertAlign w:val="superscript"/>
        </w:rPr>
        <w:footnoteReference w:id="3"/>
      </w:r>
    </w:p>
    <w:p w14:paraId="2074519B" w14:textId="77777777" w:rsidR="001A113D" w:rsidRPr="00A518C6" w:rsidRDefault="001A113D" w:rsidP="006841E0">
      <w:pPr>
        <w:pBdr>
          <w:top w:val="nil"/>
          <w:left w:val="nil"/>
          <w:bottom w:val="nil"/>
          <w:right w:val="nil"/>
          <w:between w:val="nil"/>
        </w:pBdr>
        <w:ind w:left="720" w:hanging="720"/>
        <w:rPr>
          <w:rFonts w:asciiTheme="majorHAnsi" w:hAnsiTheme="majorHAnsi" w:cstheme="majorHAnsi"/>
          <w:color w:val="000000"/>
          <w:sz w:val="22"/>
          <w:szCs w:val="22"/>
        </w:rPr>
      </w:pPr>
    </w:p>
    <w:p w14:paraId="296B70D1" w14:textId="77777777" w:rsidR="001A113D" w:rsidRPr="00A518C6" w:rsidRDefault="001A113D" w:rsidP="006841E0">
      <w:pPr>
        <w:pBdr>
          <w:top w:val="nil"/>
          <w:left w:val="nil"/>
          <w:bottom w:val="nil"/>
          <w:right w:val="nil"/>
          <w:between w:val="nil"/>
        </w:pBdr>
        <w:ind w:firstLine="360"/>
        <w:contextualSpacing/>
        <w:rPr>
          <w:rFonts w:asciiTheme="majorHAnsi" w:hAnsiTheme="majorHAnsi" w:cstheme="majorHAnsi"/>
          <w:color w:val="000000"/>
          <w:sz w:val="22"/>
          <w:szCs w:val="22"/>
        </w:rPr>
      </w:pPr>
      <w:r w:rsidRPr="00A518C6">
        <w:rPr>
          <w:rFonts w:asciiTheme="majorHAnsi" w:hAnsiTheme="majorHAnsi" w:cstheme="majorHAnsi"/>
          <w:color w:val="000000"/>
          <w:sz w:val="22"/>
          <w:szCs w:val="22"/>
        </w:rPr>
        <w:t xml:space="preserve">These provisions render the Qatari nationality law the most restrictive and discriminatory towards women in the world. While 24 other countries discriminate against women in their ability to pass on nationality to their children, none of these countries have a blanket prohibition in place. The clear discriminatory nature of the law, in contravention of international standards, is detrimental to the legal status of women in the country, as well as being contrary to the Qatari constitution. Its Article 35 states that </w:t>
      </w:r>
      <w:r w:rsidRPr="00A518C6">
        <w:rPr>
          <w:rFonts w:asciiTheme="majorHAnsi" w:hAnsiTheme="majorHAnsi" w:cstheme="majorHAnsi"/>
          <w:i/>
          <w:color w:val="000000"/>
          <w:sz w:val="22"/>
          <w:szCs w:val="22"/>
        </w:rPr>
        <w:t>“All persons are equal before the law and there shall be no discrimination whatsoever on grounds of sex, race, language, or religion.”</w:t>
      </w:r>
      <w:r w:rsidRPr="00A518C6">
        <w:rPr>
          <w:rFonts w:asciiTheme="majorHAnsi" w:hAnsiTheme="majorHAnsi" w:cstheme="majorHAnsi"/>
          <w:i/>
          <w:color w:val="000000"/>
          <w:sz w:val="22"/>
          <w:szCs w:val="22"/>
          <w:vertAlign w:val="superscript"/>
        </w:rPr>
        <w:footnoteReference w:id="4"/>
      </w:r>
    </w:p>
    <w:p w14:paraId="19D3BCAC" w14:textId="77777777" w:rsidR="001A113D" w:rsidRPr="00A518C6" w:rsidRDefault="001A113D" w:rsidP="006841E0">
      <w:pPr>
        <w:pBdr>
          <w:top w:val="nil"/>
          <w:left w:val="nil"/>
          <w:bottom w:val="nil"/>
          <w:right w:val="nil"/>
          <w:between w:val="nil"/>
        </w:pBdr>
        <w:ind w:left="720" w:hanging="720"/>
        <w:rPr>
          <w:rFonts w:asciiTheme="majorHAnsi" w:hAnsiTheme="majorHAnsi" w:cstheme="majorHAnsi"/>
          <w:color w:val="000000"/>
          <w:sz w:val="22"/>
          <w:szCs w:val="22"/>
        </w:rPr>
      </w:pPr>
    </w:p>
    <w:p w14:paraId="6AF9D58B" w14:textId="1084701C" w:rsidR="001A113D" w:rsidRPr="00A518C6" w:rsidRDefault="001A113D" w:rsidP="006841E0">
      <w:pPr>
        <w:pBdr>
          <w:top w:val="nil"/>
          <w:left w:val="nil"/>
          <w:bottom w:val="nil"/>
          <w:right w:val="nil"/>
          <w:between w:val="nil"/>
        </w:pBdr>
        <w:ind w:firstLine="360"/>
        <w:contextualSpacing/>
        <w:rPr>
          <w:rFonts w:asciiTheme="majorHAnsi" w:hAnsiTheme="majorHAnsi" w:cstheme="majorHAnsi"/>
          <w:color w:val="000000"/>
          <w:sz w:val="22"/>
          <w:szCs w:val="22"/>
        </w:rPr>
      </w:pPr>
      <w:r w:rsidRPr="00A518C6">
        <w:rPr>
          <w:rFonts w:asciiTheme="majorHAnsi" w:hAnsiTheme="majorHAnsi" w:cstheme="majorHAnsi"/>
          <w:color w:val="000000"/>
          <w:sz w:val="22"/>
          <w:szCs w:val="22"/>
        </w:rPr>
        <w:t xml:space="preserve">Secondly, such gender discrimination in the nationality law results in a range of other human rights violations, impacting children, women and their foreign male spouses.  These include, the denial of the right to a nationality and resultant statelessness; lack of access to </w:t>
      </w:r>
      <w:r w:rsidRPr="00A518C6">
        <w:rPr>
          <w:rFonts w:asciiTheme="majorHAnsi" w:hAnsiTheme="majorHAnsi" w:cstheme="majorHAnsi"/>
          <w:color w:val="000000"/>
          <w:sz w:val="22"/>
          <w:szCs w:val="22"/>
        </w:rPr>
        <w:lastRenderedPageBreak/>
        <w:t>public education, healthcare and other services; increased risk of gender-based violence and impeded family reunification.</w:t>
      </w:r>
      <w:r w:rsidRPr="00A518C6">
        <w:rPr>
          <w:rFonts w:asciiTheme="majorHAnsi" w:hAnsiTheme="majorHAnsi" w:cstheme="majorHAnsi"/>
          <w:color w:val="000000"/>
          <w:sz w:val="22"/>
          <w:szCs w:val="22"/>
          <w:vertAlign w:val="superscript"/>
        </w:rPr>
        <w:footnoteReference w:id="5"/>
      </w:r>
      <w:r w:rsidRPr="00A518C6">
        <w:rPr>
          <w:rFonts w:asciiTheme="majorHAnsi" w:hAnsiTheme="majorHAnsi" w:cstheme="majorHAnsi"/>
          <w:color w:val="000000"/>
          <w:sz w:val="22"/>
          <w:szCs w:val="22"/>
        </w:rPr>
        <w:t xml:space="preserve">  For example, when foreign men are denied access to their Qatari spouses’ nationality, they may be forced to live away from their children due to challenges in acquiring residency permits and obstacles to employment, or they may try to take the children away from the mother and back to their own country.</w:t>
      </w:r>
    </w:p>
    <w:p w14:paraId="6370E700" w14:textId="77777777" w:rsidR="006841E0" w:rsidRPr="00A518C6" w:rsidRDefault="006841E0" w:rsidP="006841E0">
      <w:pPr>
        <w:rPr>
          <w:rFonts w:asciiTheme="majorHAnsi" w:hAnsiTheme="majorHAnsi" w:cstheme="majorHAnsi"/>
          <w:b/>
          <w:sz w:val="22"/>
          <w:szCs w:val="22"/>
        </w:rPr>
      </w:pPr>
    </w:p>
    <w:p w14:paraId="5F0288E7" w14:textId="19336330" w:rsidR="001A113D" w:rsidRPr="00A518C6" w:rsidRDefault="006841E0" w:rsidP="006841E0">
      <w:pPr>
        <w:rPr>
          <w:rFonts w:asciiTheme="majorHAnsi" w:hAnsiTheme="majorHAnsi" w:cstheme="majorHAnsi"/>
          <w:b/>
          <w:sz w:val="22"/>
          <w:szCs w:val="22"/>
        </w:rPr>
      </w:pPr>
      <w:r w:rsidRPr="00A518C6">
        <w:rPr>
          <w:rFonts w:asciiTheme="majorHAnsi" w:hAnsiTheme="majorHAnsi" w:cstheme="majorHAnsi"/>
          <w:b/>
          <w:sz w:val="22"/>
          <w:szCs w:val="22"/>
        </w:rPr>
        <w:t>T</w:t>
      </w:r>
      <w:r w:rsidR="001A113D" w:rsidRPr="00A518C6">
        <w:rPr>
          <w:rFonts w:asciiTheme="majorHAnsi" w:hAnsiTheme="majorHAnsi" w:cstheme="majorHAnsi"/>
          <w:b/>
          <w:sz w:val="22"/>
          <w:szCs w:val="22"/>
        </w:rPr>
        <w:t>hreatened family separation following the GCC dispute: an open wound</w:t>
      </w:r>
    </w:p>
    <w:p w14:paraId="7F4AE8D2" w14:textId="77777777" w:rsidR="001A113D" w:rsidRPr="00A518C6" w:rsidRDefault="001A113D" w:rsidP="006841E0">
      <w:pPr>
        <w:rPr>
          <w:rFonts w:asciiTheme="majorHAnsi" w:hAnsiTheme="majorHAnsi" w:cstheme="majorHAnsi"/>
          <w:sz w:val="22"/>
          <w:szCs w:val="22"/>
        </w:rPr>
      </w:pPr>
    </w:p>
    <w:p w14:paraId="2469B8E1" w14:textId="77777777" w:rsidR="001A113D" w:rsidRPr="00A518C6" w:rsidRDefault="001A113D" w:rsidP="006841E0">
      <w:pPr>
        <w:pBdr>
          <w:top w:val="nil"/>
          <w:left w:val="nil"/>
          <w:bottom w:val="nil"/>
          <w:right w:val="nil"/>
          <w:between w:val="nil"/>
        </w:pBdr>
        <w:ind w:firstLine="360"/>
        <w:contextualSpacing/>
        <w:rPr>
          <w:rFonts w:asciiTheme="majorHAnsi" w:hAnsiTheme="majorHAnsi" w:cstheme="majorHAnsi"/>
          <w:color w:val="000000"/>
          <w:sz w:val="22"/>
          <w:szCs w:val="22"/>
        </w:rPr>
      </w:pPr>
      <w:r w:rsidRPr="00A518C6">
        <w:rPr>
          <w:rFonts w:asciiTheme="majorHAnsi" w:hAnsiTheme="majorHAnsi" w:cstheme="majorHAnsi"/>
          <w:color w:val="000000"/>
          <w:sz w:val="22"/>
          <w:szCs w:val="22"/>
        </w:rPr>
        <w:t>The diplomatic crisis with GCC countries combined with Qatari women’s inability to confer nationality on children and spouses on an equal basis with Qatari men resulted in threats to family unity and other hardships. Children and spouses of Qatari women who are denied access to Qatari citizenship and who hold the nationality of other GCC countries feared expulsion from Qatar or an inability to return to the country. One Qatari woman married to a Bahraini man reported that her family could not visit her husband’s relatives, stating:</w:t>
      </w:r>
    </w:p>
    <w:p w14:paraId="06E645C4" w14:textId="77777777" w:rsidR="001A113D" w:rsidRPr="00A518C6" w:rsidRDefault="001A113D" w:rsidP="006841E0">
      <w:pPr>
        <w:rPr>
          <w:rFonts w:asciiTheme="majorHAnsi" w:hAnsiTheme="majorHAnsi" w:cstheme="majorHAnsi"/>
          <w:sz w:val="22"/>
          <w:szCs w:val="22"/>
        </w:rPr>
      </w:pPr>
    </w:p>
    <w:p w14:paraId="4B0F2241" w14:textId="77777777" w:rsidR="001A113D" w:rsidRPr="00A518C6" w:rsidRDefault="001A113D" w:rsidP="001130B6">
      <w:pPr>
        <w:pBdr>
          <w:top w:val="nil"/>
          <w:left w:val="nil"/>
          <w:bottom w:val="nil"/>
          <w:right w:val="nil"/>
          <w:between w:val="nil"/>
        </w:pBdr>
        <w:ind w:left="810" w:hanging="90"/>
        <w:rPr>
          <w:rFonts w:asciiTheme="majorHAnsi" w:hAnsiTheme="majorHAnsi" w:cstheme="majorHAnsi"/>
          <w:color w:val="000000"/>
          <w:sz w:val="22"/>
          <w:szCs w:val="22"/>
        </w:rPr>
      </w:pPr>
      <w:r w:rsidRPr="00A518C6">
        <w:rPr>
          <w:rFonts w:asciiTheme="majorHAnsi" w:hAnsiTheme="majorHAnsi" w:cstheme="majorHAnsi"/>
          <w:i/>
          <w:color w:val="000000"/>
          <w:sz w:val="22"/>
          <w:szCs w:val="22"/>
        </w:rPr>
        <w:t>“We are afraid to try and go to Bahrain because my husband and children might be banned from coming back to Qatar.”</w:t>
      </w:r>
      <w:r w:rsidRPr="00A518C6">
        <w:rPr>
          <w:rFonts w:asciiTheme="majorHAnsi" w:hAnsiTheme="majorHAnsi" w:cstheme="majorHAnsi"/>
          <w:i/>
          <w:color w:val="000000"/>
          <w:sz w:val="22"/>
          <w:szCs w:val="22"/>
          <w:vertAlign w:val="superscript"/>
        </w:rPr>
        <w:footnoteReference w:id="6"/>
      </w:r>
    </w:p>
    <w:p w14:paraId="1EA1FE58" w14:textId="77777777" w:rsidR="001A113D" w:rsidRPr="00A518C6" w:rsidRDefault="001A113D" w:rsidP="006841E0">
      <w:pPr>
        <w:pBdr>
          <w:top w:val="nil"/>
          <w:left w:val="nil"/>
          <w:bottom w:val="nil"/>
          <w:right w:val="nil"/>
          <w:between w:val="nil"/>
        </w:pBdr>
        <w:ind w:left="720" w:hanging="720"/>
        <w:rPr>
          <w:rFonts w:asciiTheme="majorHAnsi" w:hAnsiTheme="majorHAnsi" w:cstheme="majorHAnsi"/>
          <w:color w:val="000000"/>
          <w:sz w:val="22"/>
          <w:szCs w:val="22"/>
        </w:rPr>
      </w:pPr>
    </w:p>
    <w:p w14:paraId="47A72A91" w14:textId="77777777" w:rsidR="001A113D" w:rsidRPr="00A518C6" w:rsidRDefault="001A113D" w:rsidP="006841E0">
      <w:pPr>
        <w:pBdr>
          <w:top w:val="nil"/>
          <w:left w:val="nil"/>
          <w:bottom w:val="nil"/>
          <w:right w:val="nil"/>
          <w:between w:val="nil"/>
        </w:pBdr>
        <w:ind w:firstLine="720"/>
        <w:rPr>
          <w:rFonts w:asciiTheme="majorHAnsi" w:hAnsiTheme="majorHAnsi" w:cstheme="majorHAnsi"/>
          <w:color w:val="000000"/>
          <w:sz w:val="22"/>
          <w:szCs w:val="22"/>
        </w:rPr>
      </w:pPr>
      <w:r w:rsidRPr="00A518C6">
        <w:rPr>
          <w:rFonts w:asciiTheme="majorHAnsi" w:hAnsiTheme="majorHAnsi" w:cstheme="majorHAnsi"/>
          <w:color w:val="000000"/>
          <w:sz w:val="22"/>
          <w:szCs w:val="22"/>
        </w:rPr>
        <w:t>In order to address the threat of family separation caused by the diplomatic crisis and the inability of Qatari women to confer nationality on an equal basis with men, the government implemented a new policy permitting permanent residency status to the children and spouses of Qatari women.</w:t>
      </w:r>
      <w:r w:rsidRPr="00A518C6">
        <w:rPr>
          <w:rFonts w:asciiTheme="majorHAnsi" w:hAnsiTheme="majorHAnsi" w:cstheme="majorHAnsi"/>
          <w:color w:val="000000"/>
          <w:sz w:val="22"/>
          <w:szCs w:val="22"/>
          <w:vertAlign w:val="superscript"/>
        </w:rPr>
        <w:footnoteReference w:id="7"/>
      </w:r>
      <w:r w:rsidRPr="00A518C6">
        <w:rPr>
          <w:rFonts w:asciiTheme="majorHAnsi" w:hAnsiTheme="majorHAnsi" w:cstheme="majorHAnsi"/>
          <w:color w:val="000000"/>
          <w:sz w:val="22"/>
          <w:szCs w:val="22"/>
        </w:rPr>
        <w:t xml:space="preserve"> Though a positive development for affected families, the children and spouses of Qatari women continue to be denied access to a range of rights and privileges as a result of Qatari women’s inability to confer nationality on an equal basis with men. </w:t>
      </w:r>
    </w:p>
    <w:p w14:paraId="7318EA25" w14:textId="77777777" w:rsidR="001A113D" w:rsidRPr="00A518C6" w:rsidRDefault="001A113D" w:rsidP="006841E0">
      <w:pPr>
        <w:pBdr>
          <w:top w:val="nil"/>
          <w:left w:val="nil"/>
          <w:bottom w:val="nil"/>
          <w:right w:val="nil"/>
          <w:between w:val="nil"/>
        </w:pBdr>
        <w:ind w:left="720" w:hanging="720"/>
        <w:rPr>
          <w:rFonts w:asciiTheme="majorHAnsi" w:hAnsiTheme="majorHAnsi" w:cstheme="majorHAnsi"/>
          <w:color w:val="000000"/>
          <w:sz w:val="22"/>
          <w:szCs w:val="22"/>
        </w:rPr>
      </w:pPr>
    </w:p>
    <w:p w14:paraId="49AD5FC3" w14:textId="77777777" w:rsidR="001A113D" w:rsidRPr="00A518C6" w:rsidRDefault="001A113D" w:rsidP="006841E0">
      <w:pPr>
        <w:rPr>
          <w:rFonts w:asciiTheme="majorHAnsi" w:hAnsiTheme="majorHAnsi" w:cstheme="majorHAnsi"/>
          <w:b/>
          <w:sz w:val="22"/>
          <w:szCs w:val="22"/>
        </w:rPr>
      </w:pPr>
      <w:r w:rsidRPr="00A518C6">
        <w:rPr>
          <w:rFonts w:asciiTheme="majorHAnsi" w:hAnsiTheme="majorHAnsi" w:cstheme="majorHAnsi"/>
          <w:b/>
          <w:sz w:val="22"/>
          <w:szCs w:val="22"/>
        </w:rPr>
        <w:t>Recommendations</w:t>
      </w:r>
    </w:p>
    <w:p w14:paraId="1B3F8A5E" w14:textId="77777777" w:rsidR="001A113D" w:rsidRPr="00A518C6" w:rsidRDefault="001A113D" w:rsidP="006841E0">
      <w:pPr>
        <w:rPr>
          <w:rFonts w:asciiTheme="majorHAnsi" w:hAnsiTheme="majorHAnsi" w:cstheme="majorHAnsi"/>
          <w:sz w:val="22"/>
          <w:szCs w:val="22"/>
        </w:rPr>
      </w:pPr>
    </w:p>
    <w:p w14:paraId="338C1301" w14:textId="357DE49E" w:rsidR="001A113D" w:rsidRPr="00A518C6" w:rsidRDefault="006841E0" w:rsidP="006841E0">
      <w:pPr>
        <w:ind w:firstLine="720"/>
        <w:rPr>
          <w:rFonts w:asciiTheme="majorHAnsi" w:hAnsiTheme="majorHAnsi" w:cstheme="majorHAnsi"/>
          <w:sz w:val="22"/>
          <w:szCs w:val="22"/>
        </w:rPr>
      </w:pPr>
      <w:r w:rsidRPr="00A518C6">
        <w:rPr>
          <w:rFonts w:asciiTheme="majorHAnsi" w:hAnsiTheme="majorHAnsi" w:cstheme="majorHAnsi"/>
          <w:sz w:val="22"/>
          <w:szCs w:val="22"/>
        </w:rPr>
        <w:t xml:space="preserve">In the context of the issues raised in this submission, and drawing the Committee’s attention </w:t>
      </w:r>
      <w:proofErr w:type="gramStart"/>
      <w:r w:rsidRPr="00A518C6">
        <w:rPr>
          <w:rFonts w:asciiTheme="majorHAnsi" w:hAnsiTheme="majorHAnsi" w:cstheme="majorHAnsi"/>
          <w:sz w:val="22"/>
          <w:szCs w:val="22"/>
        </w:rPr>
        <w:t>in particular to</w:t>
      </w:r>
      <w:proofErr w:type="gramEnd"/>
      <w:r w:rsidRPr="00A518C6">
        <w:rPr>
          <w:rFonts w:asciiTheme="majorHAnsi" w:hAnsiTheme="majorHAnsi" w:cstheme="majorHAnsi"/>
          <w:sz w:val="22"/>
          <w:szCs w:val="22"/>
        </w:rPr>
        <w:t xml:space="preserve"> the failure of Qatar to implement the previous recommendations of the Committee, the co-submitting organizations respectfully urge the Committee to recommend that the government of Qatar:</w:t>
      </w:r>
    </w:p>
    <w:p w14:paraId="49C7F967" w14:textId="77777777" w:rsidR="006841E0" w:rsidRPr="00A518C6" w:rsidRDefault="006841E0" w:rsidP="006841E0">
      <w:pPr>
        <w:rPr>
          <w:rFonts w:asciiTheme="majorHAnsi" w:hAnsiTheme="majorHAnsi" w:cstheme="majorHAnsi"/>
          <w:sz w:val="22"/>
          <w:szCs w:val="22"/>
        </w:rPr>
      </w:pPr>
    </w:p>
    <w:p w14:paraId="1FC1C988" w14:textId="3B1CA808" w:rsidR="001A113D" w:rsidRPr="00A518C6" w:rsidRDefault="001A113D" w:rsidP="006841E0">
      <w:pPr>
        <w:numPr>
          <w:ilvl w:val="0"/>
          <w:numId w:val="5"/>
        </w:numPr>
        <w:pBdr>
          <w:top w:val="nil"/>
          <w:left w:val="nil"/>
          <w:bottom w:val="nil"/>
          <w:right w:val="nil"/>
          <w:between w:val="nil"/>
        </w:pBdr>
        <w:ind w:left="1418"/>
        <w:rPr>
          <w:rFonts w:asciiTheme="majorHAnsi" w:hAnsiTheme="majorHAnsi" w:cstheme="majorHAnsi"/>
          <w:color w:val="000000"/>
          <w:sz w:val="22"/>
          <w:szCs w:val="22"/>
        </w:rPr>
      </w:pPr>
      <w:r w:rsidRPr="00A518C6">
        <w:rPr>
          <w:rFonts w:asciiTheme="majorHAnsi" w:hAnsiTheme="majorHAnsi" w:cstheme="majorHAnsi"/>
          <w:color w:val="000000"/>
          <w:sz w:val="22"/>
          <w:szCs w:val="22"/>
        </w:rPr>
        <w:t xml:space="preserve">Ensure that all necessary steps are taken to amend the </w:t>
      </w:r>
      <w:r w:rsidR="006841E0" w:rsidRPr="00A518C6">
        <w:rPr>
          <w:rFonts w:asciiTheme="majorHAnsi" w:hAnsiTheme="majorHAnsi" w:cstheme="majorHAnsi"/>
          <w:color w:val="000000"/>
          <w:sz w:val="22"/>
          <w:szCs w:val="22"/>
        </w:rPr>
        <w:t>nationality l</w:t>
      </w:r>
      <w:r w:rsidRPr="00A518C6">
        <w:rPr>
          <w:rFonts w:asciiTheme="majorHAnsi" w:hAnsiTheme="majorHAnsi" w:cstheme="majorHAnsi"/>
          <w:color w:val="000000"/>
          <w:sz w:val="22"/>
          <w:szCs w:val="22"/>
        </w:rPr>
        <w:t>aw to enable Qatari women to transfer nationality to their children and spouses without restriction, on an equal basis to men, in accordance with international standards and the Constitution of Qatar.</w:t>
      </w:r>
    </w:p>
    <w:p w14:paraId="685D3AC6" w14:textId="77777777" w:rsidR="001A113D" w:rsidRPr="00A518C6" w:rsidRDefault="001A113D" w:rsidP="006841E0">
      <w:pPr>
        <w:pBdr>
          <w:top w:val="nil"/>
          <w:left w:val="nil"/>
          <w:bottom w:val="nil"/>
          <w:right w:val="nil"/>
          <w:between w:val="nil"/>
        </w:pBdr>
        <w:ind w:left="1418"/>
        <w:rPr>
          <w:rFonts w:asciiTheme="majorHAnsi" w:hAnsiTheme="majorHAnsi" w:cstheme="majorHAnsi"/>
          <w:color w:val="000000"/>
          <w:sz w:val="22"/>
          <w:szCs w:val="22"/>
        </w:rPr>
      </w:pPr>
    </w:p>
    <w:p w14:paraId="294DF5E5" w14:textId="21FD9BC5" w:rsidR="001A113D" w:rsidRPr="00A518C6" w:rsidRDefault="001A113D" w:rsidP="006841E0">
      <w:pPr>
        <w:numPr>
          <w:ilvl w:val="0"/>
          <w:numId w:val="5"/>
        </w:numPr>
        <w:pBdr>
          <w:top w:val="nil"/>
          <w:left w:val="nil"/>
          <w:bottom w:val="nil"/>
          <w:right w:val="nil"/>
          <w:between w:val="nil"/>
        </w:pBdr>
        <w:ind w:left="1418"/>
        <w:rPr>
          <w:rFonts w:asciiTheme="majorHAnsi" w:hAnsiTheme="majorHAnsi" w:cstheme="majorHAnsi"/>
          <w:color w:val="000000"/>
          <w:sz w:val="22"/>
          <w:szCs w:val="22"/>
        </w:rPr>
      </w:pPr>
      <w:r w:rsidRPr="00A518C6">
        <w:rPr>
          <w:rFonts w:asciiTheme="majorHAnsi" w:hAnsiTheme="majorHAnsi" w:cstheme="majorHAnsi"/>
          <w:color w:val="000000"/>
          <w:sz w:val="22"/>
          <w:szCs w:val="22"/>
        </w:rPr>
        <w:t>Remove Qatar’s reservation to and ensure full compliance with the entirety of CEDAW</w:t>
      </w:r>
      <w:r w:rsidRPr="00A518C6">
        <w:rPr>
          <w:rFonts w:asciiTheme="majorHAnsi" w:hAnsiTheme="majorHAnsi" w:cstheme="majorHAnsi"/>
          <w:sz w:val="22"/>
          <w:szCs w:val="22"/>
        </w:rPr>
        <w:t xml:space="preserve"> </w:t>
      </w:r>
      <w:r w:rsidRPr="00A518C6">
        <w:rPr>
          <w:rFonts w:asciiTheme="majorHAnsi" w:hAnsiTheme="majorHAnsi" w:cstheme="majorHAnsi"/>
          <w:color w:val="000000"/>
          <w:sz w:val="22"/>
          <w:szCs w:val="22"/>
        </w:rPr>
        <w:t>Article 9.</w:t>
      </w:r>
    </w:p>
    <w:p w14:paraId="7E5958E7" w14:textId="3C5070DF" w:rsidR="00F1713B" w:rsidRPr="00A518C6" w:rsidRDefault="00F1713B" w:rsidP="006841E0">
      <w:pPr>
        <w:pStyle w:val="ListParagraph"/>
        <w:ind w:left="1100"/>
        <w:rPr>
          <w:rFonts w:asciiTheme="majorHAnsi" w:hAnsiTheme="majorHAnsi" w:cstheme="majorHAnsi"/>
          <w:sz w:val="22"/>
          <w:szCs w:val="22"/>
        </w:rPr>
      </w:pPr>
    </w:p>
    <w:p w14:paraId="35D533BA" w14:textId="2752D784" w:rsidR="00C04D22" w:rsidRPr="00A518C6" w:rsidRDefault="00C04D22" w:rsidP="006841E0">
      <w:pPr>
        <w:widowControl w:val="0"/>
        <w:autoSpaceDE w:val="0"/>
        <w:autoSpaceDN w:val="0"/>
        <w:adjustRightInd w:val="0"/>
        <w:spacing w:after="240"/>
        <w:ind w:firstLine="720"/>
        <w:rPr>
          <w:rFonts w:asciiTheme="majorHAnsi" w:hAnsiTheme="majorHAnsi" w:cstheme="majorHAnsi"/>
          <w:sz w:val="22"/>
          <w:szCs w:val="22"/>
        </w:rPr>
      </w:pPr>
      <w:r w:rsidRPr="00A518C6">
        <w:rPr>
          <w:rFonts w:asciiTheme="majorHAnsi" w:hAnsiTheme="majorHAnsi" w:cstheme="majorHAnsi"/>
          <w:sz w:val="22"/>
          <w:szCs w:val="22"/>
        </w:rPr>
        <w:t>Thank you very much for your kind attention, and please do not hesitate to contact us if we can provide further information.</w:t>
      </w:r>
    </w:p>
    <w:p w14:paraId="3022B5C0" w14:textId="3EA35593" w:rsidR="001130B6" w:rsidRPr="00A518C6" w:rsidRDefault="001130B6" w:rsidP="006841E0">
      <w:pPr>
        <w:widowControl w:val="0"/>
        <w:autoSpaceDE w:val="0"/>
        <w:autoSpaceDN w:val="0"/>
        <w:adjustRightInd w:val="0"/>
        <w:spacing w:after="240"/>
        <w:ind w:firstLine="720"/>
        <w:rPr>
          <w:rFonts w:asciiTheme="majorHAnsi" w:hAnsiTheme="majorHAnsi" w:cstheme="majorHAnsi"/>
          <w:sz w:val="22"/>
          <w:szCs w:val="22"/>
        </w:rPr>
      </w:pPr>
      <w:r w:rsidRPr="00A518C6">
        <w:rPr>
          <w:rFonts w:asciiTheme="majorHAnsi" w:hAnsiTheme="majorHAnsi" w:cstheme="majorHAnsi"/>
          <w:sz w:val="22"/>
          <w:szCs w:val="22"/>
        </w:rPr>
        <w:t>Sincerely,</w:t>
      </w:r>
    </w:p>
    <w:p w14:paraId="35D533BB" w14:textId="0D2F2327" w:rsidR="007B7EFF" w:rsidRPr="00A518C6" w:rsidRDefault="001130B6" w:rsidP="006841E0">
      <w:pPr>
        <w:widowControl w:val="0"/>
        <w:autoSpaceDE w:val="0"/>
        <w:autoSpaceDN w:val="0"/>
        <w:adjustRightInd w:val="0"/>
        <w:spacing w:after="240"/>
        <w:rPr>
          <w:rFonts w:asciiTheme="majorHAnsi" w:hAnsiTheme="majorHAnsi" w:cstheme="majorHAnsi"/>
          <w:sz w:val="22"/>
          <w:szCs w:val="22"/>
        </w:rPr>
      </w:pPr>
      <w:r w:rsidRPr="00A518C6">
        <w:rPr>
          <w:rFonts w:asciiTheme="majorHAnsi" w:hAnsiTheme="majorHAnsi" w:cstheme="majorHAnsi"/>
          <w:noProof/>
          <w:sz w:val="22"/>
          <w:szCs w:val="22"/>
        </w:rPr>
        <w:drawing>
          <wp:anchor distT="0" distB="0" distL="114300" distR="114300" simplePos="0" relativeHeight="251658240" behindDoc="1" locked="0" layoutInCell="1" allowOverlap="1" wp14:anchorId="3B2F5084" wp14:editId="23A34BD6">
            <wp:simplePos x="0" y="0"/>
            <wp:positionH relativeFrom="column">
              <wp:posOffset>1461305</wp:posOffset>
            </wp:positionH>
            <wp:positionV relativeFrom="paragraph">
              <wp:posOffset>334629</wp:posOffset>
            </wp:positionV>
            <wp:extent cx="2245488" cy="603856"/>
            <wp:effectExtent l="0" t="0" r="254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Laura van Waas.jpg"/>
                    <pic:cNvPicPr/>
                  </pic:nvPicPr>
                  <pic:blipFill>
                    <a:blip r:embed="rId16"/>
                    <a:stretch>
                      <a:fillRect/>
                    </a:stretch>
                  </pic:blipFill>
                  <pic:spPr>
                    <a:xfrm>
                      <a:off x="0" y="0"/>
                      <a:ext cx="2258259" cy="607290"/>
                    </a:xfrm>
                    <a:prstGeom prst="rect">
                      <a:avLst/>
                    </a:prstGeom>
                  </pic:spPr>
                </pic:pic>
              </a:graphicData>
            </a:graphic>
            <wp14:sizeRelH relativeFrom="page">
              <wp14:pctWidth>0</wp14:pctWidth>
            </wp14:sizeRelH>
            <wp14:sizeRelV relativeFrom="page">
              <wp14:pctHeight>0</wp14:pctHeight>
            </wp14:sizeRelV>
          </wp:anchor>
        </w:drawing>
      </w:r>
      <w:r w:rsidRPr="00A518C6">
        <w:rPr>
          <w:rFonts w:asciiTheme="majorHAnsi" w:hAnsiTheme="majorHAnsi" w:cstheme="majorHAnsi"/>
          <w:noProof/>
          <w:sz w:val="22"/>
          <w:szCs w:val="22"/>
        </w:rPr>
        <w:drawing>
          <wp:anchor distT="0" distB="0" distL="114300" distR="114300" simplePos="0" relativeHeight="251660288" behindDoc="1" locked="0" layoutInCell="1" allowOverlap="1" wp14:anchorId="205E6C5E" wp14:editId="3673A7AD">
            <wp:simplePos x="0" y="0"/>
            <wp:positionH relativeFrom="column">
              <wp:posOffset>3857223</wp:posOffset>
            </wp:positionH>
            <wp:positionV relativeFrom="paragraph">
              <wp:posOffset>346107</wp:posOffset>
            </wp:positionV>
            <wp:extent cx="1053465" cy="71183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3465" cy="711835"/>
                    </a:xfrm>
                    <a:prstGeom prst="rect">
                      <a:avLst/>
                    </a:prstGeom>
                    <a:noFill/>
                    <a:ln>
                      <a:noFill/>
                    </a:ln>
                  </pic:spPr>
                </pic:pic>
              </a:graphicData>
            </a:graphic>
          </wp:anchor>
        </w:drawing>
      </w:r>
      <w:r w:rsidR="00E747AD" w:rsidRPr="00A518C6">
        <w:rPr>
          <w:rFonts w:asciiTheme="majorHAnsi" w:hAnsiTheme="majorHAnsi" w:cstheme="majorHAnsi"/>
          <w:noProof/>
          <w:sz w:val="22"/>
          <w:szCs w:val="22"/>
        </w:rPr>
        <w:drawing>
          <wp:anchor distT="0" distB="0" distL="114300" distR="114300" simplePos="0" relativeHeight="251659264" behindDoc="1" locked="0" layoutInCell="1" allowOverlap="1" wp14:anchorId="1E72D90A" wp14:editId="64C4BC85">
            <wp:simplePos x="0" y="0"/>
            <wp:positionH relativeFrom="column">
              <wp:posOffset>8255</wp:posOffset>
            </wp:positionH>
            <wp:positionV relativeFrom="paragraph">
              <wp:posOffset>386715</wp:posOffset>
            </wp:positionV>
            <wp:extent cx="1887220" cy="680085"/>
            <wp:effectExtent l="0" t="0" r="0" b="5715"/>
            <wp:wrapTight wrapText="bothSides">
              <wp:wrapPolygon edited="0">
                <wp:start x="0" y="0"/>
                <wp:lineTo x="0" y="21176"/>
                <wp:lineTo x="21367" y="21176"/>
                <wp:lineTo x="2136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7220" cy="680085"/>
                    </a:xfrm>
                    <a:prstGeom prst="rect">
                      <a:avLst/>
                    </a:prstGeom>
                    <a:noFill/>
                    <a:ln>
                      <a:noFill/>
                    </a:ln>
                  </pic:spPr>
                </pic:pic>
              </a:graphicData>
            </a:graphic>
          </wp:anchor>
        </w:drawing>
      </w:r>
      <w:r w:rsidR="00C04D22" w:rsidRPr="00A518C6">
        <w:rPr>
          <w:rFonts w:asciiTheme="majorHAnsi" w:hAnsiTheme="majorHAnsi" w:cstheme="majorHAnsi"/>
          <w:sz w:val="22"/>
          <w:szCs w:val="22"/>
        </w:rPr>
        <w:tab/>
      </w:r>
      <w:r w:rsidR="00C04D22" w:rsidRPr="00A518C6">
        <w:rPr>
          <w:rFonts w:asciiTheme="majorHAnsi" w:hAnsiTheme="majorHAnsi" w:cstheme="majorHAnsi"/>
          <w:sz w:val="22"/>
          <w:szCs w:val="22"/>
        </w:rPr>
        <w:tab/>
      </w:r>
      <w:r w:rsidR="00C04D22" w:rsidRPr="00A518C6">
        <w:rPr>
          <w:rFonts w:asciiTheme="majorHAnsi" w:hAnsiTheme="majorHAnsi" w:cstheme="majorHAnsi"/>
          <w:sz w:val="22"/>
          <w:szCs w:val="22"/>
        </w:rPr>
        <w:tab/>
      </w:r>
      <w:r w:rsidR="00C04D22" w:rsidRPr="00A518C6">
        <w:rPr>
          <w:rFonts w:asciiTheme="majorHAnsi" w:hAnsiTheme="majorHAnsi" w:cstheme="majorHAnsi"/>
          <w:sz w:val="22"/>
          <w:szCs w:val="22"/>
        </w:rPr>
        <w:tab/>
      </w:r>
      <w:r w:rsidR="00C04D22" w:rsidRPr="00A518C6">
        <w:rPr>
          <w:rFonts w:asciiTheme="majorHAnsi" w:hAnsiTheme="majorHAnsi" w:cstheme="majorHAnsi"/>
          <w:sz w:val="22"/>
          <w:szCs w:val="22"/>
        </w:rPr>
        <w:tab/>
      </w:r>
      <w:r w:rsidR="00C04D22" w:rsidRPr="00A518C6">
        <w:rPr>
          <w:rFonts w:asciiTheme="majorHAnsi" w:hAnsiTheme="majorHAnsi" w:cstheme="majorHAnsi"/>
          <w:sz w:val="22"/>
          <w:szCs w:val="22"/>
        </w:rPr>
        <w:tab/>
      </w:r>
      <w:r w:rsidR="00CF55BC" w:rsidRPr="00A518C6">
        <w:rPr>
          <w:rFonts w:asciiTheme="majorHAnsi" w:hAnsiTheme="majorHAnsi" w:cstheme="majorHAnsi"/>
          <w:sz w:val="22"/>
          <w:szCs w:val="22"/>
        </w:rPr>
        <w:tab/>
      </w:r>
    </w:p>
    <w:p w14:paraId="31023EF9" w14:textId="62904F18" w:rsidR="00296FA1" w:rsidRPr="00A518C6" w:rsidRDefault="001130B6" w:rsidP="006841E0">
      <w:pPr>
        <w:widowControl w:val="0"/>
        <w:autoSpaceDE w:val="0"/>
        <w:autoSpaceDN w:val="0"/>
        <w:adjustRightInd w:val="0"/>
        <w:rPr>
          <w:rFonts w:asciiTheme="majorHAnsi" w:hAnsiTheme="majorHAnsi" w:cstheme="majorHAnsi"/>
          <w:sz w:val="22"/>
          <w:szCs w:val="22"/>
        </w:rPr>
      </w:pPr>
      <w:r w:rsidRPr="00A518C6">
        <w:rPr>
          <w:rFonts w:asciiTheme="majorHAnsi" w:hAnsiTheme="majorHAnsi" w:cstheme="majorHAnsi"/>
          <w:sz w:val="22"/>
          <w:szCs w:val="22"/>
        </w:rPr>
        <w:br/>
      </w:r>
      <w:r w:rsidR="00296FA1" w:rsidRPr="00A518C6">
        <w:rPr>
          <w:rFonts w:asciiTheme="majorHAnsi" w:hAnsiTheme="majorHAnsi" w:cstheme="majorHAnsi"/>
          <w:sz w:val="22"/>
          <w:szCs w:val="22"/>
        </w:rPr>
        <w:t>Catherine Harrington</w:t>
      </w:r>
      <w:r w:rsidR="00A074FC" w:rsidRPr="00A518C6">
        <w:rPr>
          <w:rFonts w:asciiTheme="majorHAnsi" w:hAnsiTheme="majorHAnsi" w:cstheme="majorHAnsi"/>
          <w:sz w:val="22"/>
          <w:szCs w:val="22"/>
        </w:rPr>
        <w:tab/>
      </w:r>
      <w:r w:rsidR="00A074FC" w:rsidRPr="00A518C6">
        <w:rPr>
          <w:rFonts w:asciiTheme="majorHAnsi" w:hAnsiTheme="majorHAnsi" w:cstheme="majorHAnsi"/>
          <w:sz w:val="22"/>
          <w:szCs w:val="22"/>
        </w:rPr>
        <w:tab/>
      </w:r>
      <w:r w:rsidR="00553802" w:rsidRPr="00A518C6">
        <w:rPr>
          <w:rFonts w:asciiTheme="majorHAnsi" w:hAnsiTheme="majorHAnsi" w:cstheme="majorHAnsi"/>
          <w:sz w:val="22"/>
          <w:szCs w:val="22"/>
        </w:rPr>
        <w:t>Laura van Waas</w:t>
      </w:r>
      <w:r w:rsidRPr="00A518C6">
        <w:rPr>
          <w:rFonts w:asciiTheme="majorHAnsi" w:hAnsiTheme="majorHAnsi" w:cstheme="majorHAnsi"/>
          <w:sz w:val="22"/>
          <w:szCs w:val="22"/>
        </w:rPr>
        <w:tab/>
      </w:r>
      <w:r w:rsidRPr="00A518C6">
        <w:rPr>
          <w:rFonts w:asciiTheme="majorHAnsi" w:hAnsiTheme="majorHAnsi" w:cstheme="majorHAnsi"/>
          <w:sz w:val="22"/>
          <w:szCs w:val="22"/>
        </w:rPr>
        <w:tab/>
      </w:r>
      <w:r w:rsidRPr="00A518C6">
        <w:rPr>
          <w:rFonts w:asciiTheme="majorHAnsi" w:hAnsiTheme="majorHAnsi" w:cstheme="majorHAnsi"/>
          <w:sz w:val="22"/>
          <w:szCs w:val="22"/>
        </w:rPr>
        <w:tab/>
        <w:t>Yasm</w:t>
      </w:r>
      <w:r w:rsidR="00CA3B7E">
        <w:rPr>
          <w:rFonts w:asciiTheme="majorHAnsi" w:hAnsiTheme="majorHAnsi" w:cstheme="majorHAnsi"/>
          <w:sz w:val="22"/>
          <w:szCs w:val="22"/>
        </w:rPr>
        <w:t>een</w:t>
      </w:r>
      <w:r w:rsidRPr="00A518C6">
        <w:rPr>
          <w:rFonts w:asciiTheme="majorHAnsi" w:hAnsiTheme="majorHAnsi" w:cstheme="majorHAnsi"/>
          <w:sz w:val="22"/>
          <w:szCs w:val="22"/>
        </w:rPr>
        <w:t xml:space="preserve"> </w:t>
      </w:r>
      <w:r w:rsidR="00CA3B7E">
        <w:rPr>
          <w:rFonts w:asciiTheme="majorHAnsi" w:hAnsiTheme="majorHAnsi" w:cstheme="majorHAnsi"/>
          <w:sz w:val="22"/>
          <w:szCs w:val="22"/>
        </w:rPr>
        <w:t>Hassan</w:t>
      </w:r>
      <w:bookmarkStart w:id="1" w:name="_GoBack"/>
      <w:bookmarkEnd w:id="1"/>
    </w:p>
    <w:p w14:paraId="43955B5C" w14:textId="02E9A28D" w:rsidR="00296FA1" w:rsidRPr="00A518C6" w:rsidRDefault="00E718BC" w:rsidP="006841E0">
      <w:pPr>
        <w:tabs>
          <w:tab w:val="left" w:pos="900"/>
        </w:tabs>
        <w:rPr>
          <w:rFonts w:asciiTheme="majorHAnsi" w:hAnsiTheme="majorHAnsi" w:cstheme="majorHAnsi"/>
          <w:sz w:val="22"/>
          <w:szCs w:val="22"/>
        </w:rPr>
      </w:pPr>
      <w:r w:rsidRPr="00A518C6">
        <w:rPr>
          <w:rFonts w:asciiTheme="majorHAnsi" w:hAnsiTheme="majorHAnsi" w:cstheme="majorHAnsi"/>
          <w:sz w:val="22"/>
          <w:szCs w:val="22"/>
        </w:rPr>
        <w:t>Campaign Manager</w:t>
      </w:r>
      <w:r w:rsidR="005F598A" w:rsidRPr="00A518C6">
        <w:rPr>
          <w:rFonts w:asciiTheme="majorHAnsi" w:hAnsiTheme="majorHAnsi" w:cstheme="majorHAnsi"/>
          <w:sz w:val="22"/>
          <w:szCs w:val="22"/>
        </w:rPr>
        <w:tab/>
      </w:r>
      <w:r w:rsidR="005F598A" w:rsidRPr="00A518C6">
        <w:rPr>
          <w:rFonts w:asciiTheme="majorHAnsi" w:hAnsiTheme="majorHAnsi" w:cstheme="majorHAnsi"/>
          <w:sz w:val="22"/>
          <w:szCs w:val="22"/>
        </w:rPr>
        <w:tab/>
      </w:r>
      <w:r w:rsidR="00553802" w:rsidRPr="00A518C6">
        <w:rPr>
          <w:rFonts w:asciiTheme="majorHAnsi" w:hAnsiTheme="majorHAnsi" w:cstheme="majorHAnsi"/>
          <w:sz w:val="22"/>
          <w:szCs w:val="22"/>
        </w:rPr>
        <w:t>Co-Director</w:t>
      </w:r>
      <w:r w:rsidR="001130B6" w:rsidRPr="00A518C6">
        <w:rPr>
          <w:rFonts w:asciiTheme="majorHAnsi" w:hAnsiTheme="majorHAnsi" w:cstheme="majorHAnsi"/>
          <w:sz w:val="22"/>
          <w:szCs w:val="22"/>
        </w:rPr>
        <w:tab/>
      </w:r>
      <w:r w:rsidR="001130B6" w:rsidRPr="00A518C6">
        <w:rPr>
          <w:rFonts w:asciiTheme="majorHAnsi" w:hAnsiTheme="majorHAnsi" w:cstheme="majorHAnsi"/>
          <w:sz w:val="22"/>
          <w:szCs w:val="22"/>
        </w:rPr>
        <w:tab/>
      </w:r>
      <w:r w:rsidR="001130B6" w:rsidRPr="00A518C6">
        <w:rPr>
          <w:rFonts w:asciiTheme="majorHAnsi" w:hAnsiTheme="majorHAnsi" w:cstheme="majorHAnsi"/>
          <w:sz w:val="22"/>
          <w:szCs w:val="22"/>
        </w:rPr>
        <w:tab/>
        <w:t>Global Executive Director</w:t>
      </w:r>
    </w:p>
    <w:p w14:paraId="3127FAF8" w14:textId="2A4C5ADE" w:rsidR="00182B2A" w:rsidRPr="00A518C6" w:rsidRDefault="00E718BC" w:rsidP="006841E0">
      <w:pPr>
        <w:tabs>
          <w:tab w:val="left" w:pos="900"/>
        </w:tabs>
        <w:rPr>
          <w:rFonts w:asciiTheme="majorHAnsi" w:hAnsiTheme="majorHAnsi" w:cstheme="majorHAnsi"/>
          <w:sz w:val="22"/>
          <w:szCs w:val="22"/>
        </w:rPr>
      </w:pPr>
      <w:r w:rsidRPr="00A518C6">
        <w:rPr>
          <w:rFonts w:asciiTheme="majorHAnsi" w:hAnsiTheme="majorHAnsi" w:cstheme="majorHAnsi"/>
          <w:sz w:val="22"/>
          <w:szCs w:val="22"/>
        </w:rPr>
        <w:t>Global Campaign for</w:t>
      </w:r>
      <w:r w:rsidR="005F598A" w:rsidRPr="00A518C6">
        <w:rPr>
          <w:rFonts w:asciiTheme="majorHAnsi" w:hAnsiTheme="majorHAnsi" w:cstheme="majorHAnsi"/>
          <w:sz w:val="22"/>
          <w:szCs w:val="22"/>
        </w:rPr>
        <w:tab/>
      </w:r>
      <w:r w:rsidR="005F598A" w:rsidRPr="00A518C6">
        <w:rPr>
          <w:rFonts w:asciiTheme="majorHAnsi" w:hAnsiTheme="majorHAnsi" w:cstheme="majorHAnsi"/>
          <w:sz w:val="22"/>
          <w:szCs w:val="22"/>
        </w:rPr>
        <w:tab/>
      </w:r>
      <w:r w:rsidR="00641ADE" w:rsidRPr="00A518C6">
        <w:rPr>
          <w:rFonts w:asciiTheme="majorHAnsi" w:hAnsiTheme="majorHAnsi" w:cstheme="majorHAnsi"/>
          <w:sz w:val="22"/>
          <w:szCs w:val="22"/>
        </w:rPr>
        <w:t xml:space="preserve">Institute on Statelessness </w:t>
      </w:r>
      <w:r w:rsidR="001130B6" w:rsidRPr="00A518C6">
        <w:rPr>
          <w:rFonts w:asciiTheme="majorHAnsi" w:hAnsiTheme="majorHAnsi" w:cstheme="majorHAnsi"/>
          <w:sz w:val="22"/>
          <w:szCs w:val="22"/>
        </w:rPr>
        <w:tab/>
        <w:t>Equality Now</w:t>
      </w:r>
    </w:p>
    <w:p w14:paraId="0B84432F" w14:textId="1323C55A" w:rsidR="001130B6" w:rsidRPr="00A518C6" w:rsidRDefault="001130B6" w:rsidP="006841E0">
      <w:pPr>
        <w:tabs>
          <w:tab w:val="left" w:pos="900"/>
        </w:tabs>
        <w:rPr>
          <w:rFonts w:asciiTheme="majorHAnsi" w:hAnsiTheme="majorHAnsi" w:cstheme="majorHAnsi"/>
          <w:sz w:val="22"/>
          <w:szCs w:val="22"/>
        </w:rPr>
      </w:pPr>
      <w:r w:rsidRPr="00A518C6">
        <w:rPr>
          <w:rFonts w:asciiTheme="majorHAnsi" w:hAnsiTheme="majorHAnsi" w:cstheme="majorHAnsi"/>
          <w:sz w:val="22"/>
          <w:szCs w:val="22"/>
        </w:rPr>
        <w:t>Equal Nationality Rights</w:t>
      </w:r>
      <w:r w:rsidRPr="00A518C6">
        <w:rPr>
          <w:rFonts w:asciiTheme="majorHAnsi" w:hAnsiTheme="majorHAnsi" w:cstheme="majorHAnsi"/>
          <w:sz w:val="22"/>
          <w:szCs w:val="22"/>
        </w:rPr>
        <w:tab/>
      </w:r>
      <w:r w:rsidRPr="00A518C6">
        <w:rPr>
          <w:rFonts w:asciiTheme="majorHAnsi" w:hAnsiTheme="majorHAnsi" w:cstheme="majorHAnsi"/>
          <w:sz w:val="22"/>
          <w:szCs w:val="22"/>
        </w:rPr>
        <w:tab/>
        <w:t>and Inclusion</w:t>
      </w:r>
    </w:p>
    <w:sectPr w:rsidR="001130B6" w:rsidRPr="00A518C6" w:rsidSect="00EE687B">
      <w:headerReference w:type="default" r:id="rId19"/>
      <w:footerReference w:type="even" r:id="rId20"/>
      <w:footerReference w:type="default" r:id="rId21"/>
      <w:pgSz w:w="12240" w:h="15840"/>
      <w:pgMar w:top="2157"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E6AEF" w14:textId="77777777" w:rsidR="00F90132" w:rsidRDefault="00F90132" w:rsidP="00044638">
      <w:r>
        <w:separator/>
      </w:r>
    </w:p>
  </w:endnote>
  <w:endnote w:type="continuationSeparator" w:id="0">
    <w:p w14:paraId="04658151" w14:textId="77777777" w:rsidR="00F90132" w:rsidRDefault="00F90132" w:rsidP="0004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Lucida Grande">
    <w:altName w:val="Segoe UI"/>
    <w:charset w:val="00"/>
    <w:family w:val="auto"/>
    <w:pitch w:val="variable"/>
    <w:sig w:usb0="E1000AEF" w:usb1="5000A1FF" w:usb2="00000000" w:usb3="00000000" w:csb0="000001BF"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SimSu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533D2" w14:textId="77777777" w:rsidR="005F598A" w:rsidRDefault="005F598A" w:rsidP="005441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D533D3" w14:textId="77777777" w:rsidR="005F598A" w:rsidRDefault="005F59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533D4" w14:textId="6FFA2364" w:rsidR="005F598A" w:rsidRDefault="005F598A" w:rsidP="005441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35DF">
      <w:rPr>
        <w:rStyle w:val="PageNumber"/>
        <w:noProof/>
      </w:rPr>
      <w:t>5</w:t>
    </w:r>
    <w:r>
      <w:rPr>
        <w:rStyle w:val="PageNumber"/>
      </w:rPr>
      <w:fldChar w:fldCharType="end"/>
    </w:r>
  </w:p>
  <w:p w14:paraId="35D533D5" w14:textId="77777777" w:rsidR="005F598A" w:rsidRDefault="005F59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30DE0" w14:textId="77777777" w:rsidR="00F90132" w:rsidRDefault="00F90132" w:rsidP="00044638">
      <w:r>
        <w:separator/>
      </w:r>
    </w:p>
  </w:footnote>
  <w:footnote w:type="continuationSeparator" w:id="0">
    <w:p w14:paraId="6D926B37" w14:textId="77777777" w:rsidR="00F90132" w:rsidRDefault="00F90132" w:rsidP="00044638">
      <w:r>
        <w:continuationSeparator/>
      </w:r>
    </w:p>
  </w:footnote>
  <w:footnote w:id="1">
    <w:p w14:paraId="554DDF54" w14:textId="77777777" w:rsidR="001A113D" w:rsidRPr="000C2A04" w:rsidRDefault="001A113D" w:rsidP="001A113D">
      <w:pPr>
        <w:rPr>
          <w:sz w:val="18"/>
          <w:szCs w:val="18"/>
        </w:rPr>
      </w:pPr>
      <w:r w:rsidRPr="000C2A04">
        <w:rPr>
          <w:sz w:val="18"/>
          <w:szCs w:val="18"/>
          <w:vertAlign w:val="superscript"/>
        </w:rPr>
        <w:footnoteRef/>
      </w:r>
      <w:r w:rsidRPr="000C2A04">
        <w:rPr>
          <w:sz w:val="18"/>
          <w:szCs w:val="18"/>
        </w:rPr>
        <w:t xml:space="preserve"> See: General Recommendation No. 21 (13th session, 1994), accessible at: </w:t>
      </w:r>
      <w:hyperlink r:id="rId1">
        <w:r w:rsidRPr="000C2A04">
          <w:rPr>
            <w:color w:val="1155CC"/>
            <w:sz w:val="18"/>
            <w:szCs w:val="18"/>
            <w:u w:val="single"/>
          </w:rPr>
          <w:t>http://www.un.org/womenwatch/daw/cedaw/recommendations/recomm.htm</w:t>
        </w:r>
      </w:hyperlink>
      <w:r w:rsidRPr="000C2A04">
        <w:rPr>
          <w:sz w:val="18"/>
          <w:szCs w:val="18"/>
        </w:rPr>
        <w:t xml:space="preserve"> </w:t>
      </w:r>
    </w:p>
  </w:footnote>
  <w:footnote w:id="2">
    <w:p w14:paraId="277D7D66" w14:textId="77777777" w:rsidR="001A113D" w:rsidRPr="000C2A04" w:rsidRDefault="001A113D" w:rsidP="001A113D">
      <w:pPr>
        <w:pBdr>
          <w:top w:val="nil"/>
          <w:left w:val="nil"/>
          <w:bottom w:val="nil"/>
          <w:right w:val="nil"/>
          <w:between w:val="nil"/>
        </w:pBdr>
        <w:rPr>
          <w:color w:val="000000"/>
          <w:sz w:val="18"/>
          <w:szCs w:val="18"/>
        </w:rPr>
      </w:pPr>
      <w:r w:rsidRPr="000C2A04">
        <w:rPr>
          <w:sz w:val="18"/>
          <w:szCs w:val="18"/>
          <w:vertAlign w:val="superscript"/>
        </w:rPr>
        <w:footnoteRef/>
      </w:r>
      <w:r w:rsidRPr="000C2A04">
        <w:rPr>
          <w:color w:val="000000"/>
          <w:sz w:val="18"/>
          <w:szCs w:val="18"/>
        </w:rPr>
        <w:t xml:space="preserve"> Report of the Committee on the Elimination of Discrimination against Women (Eighteenth and nineteenth sessions), A/53/38/Rev.1, page 47</w:t>
      </w:r>
    </w:p>
  </w:footnote>
  <w:footnote w:id="3">
    <w:p w14:paraId="2FB28F8D" w14:textId="77777777" w:rsidR="001A113D" w:rsidRPr="000C2A04" w:rsidRDefault="001A113D" w:rsidP="001A113D">
      <w:pPr>
        <w:rPr>
          <w:sz w:val="18"/>
          <w:szCs w:val="18"/>
        </w:rPr>
      </w:pPr>
      <w:r w:rsidRPr="000C2A04">
        <w:rPr>
          <w:sz w:val="18"/>
          <w:szCs w:val="18"/>
          <w:vertAlign w:val="superscript"/>
        </w:rPr>
        <w:footnoteRef/>
      </w:r>
      <w:r w:rsidRPr="000C2A04">
        <w:rPr>
          <w:sz w:val="18"/>
          <w:szCs w:val="18"/>
        </w:rPr>
        <w:t xml:space="preserve"> The article states: “The wife of a naturalized person may be, by an Emiri decision, granted Qatari nationality by virtue of her husband, provided that her stay with him in Qatar extends for a period of at least five years from the date her husband acquired Qatari nationality”. See an English translation of the entire law at: </w:t>
      </w:r>
      <w:hyperlink r:id="rId2">
        <w:r w:rsidRPr="000C2A04">
          <w:rPr>
            <w:color w:val="1155CC"/>
            <w:sz w:val="18"/>
            <w:szCs w:val="18"/>
            <w:u w:val="single"/>
          </w:rPr>
          <w:t>http://www.almeezan.qa/LawView.aspx?opt&amp;LawID=2591&amp;language=en</w:t>
        </w:r>
      </w:hyperlink>
      <w:r w:rsidRPr="000C2A04">
        <w:rPr>
          <w:sz w:val="18"/>
          <w:szCs w:val="18"/>
        </w:rPr>
        <w:t xml:space="preserve"> </w:t>
      </w:r>
    </w:p>
  </w:footnote>
  <w:footnote w:id="4">
    <w:p w14:paraId="7039D46F" w14:textId="77777777" w:rsidR="001A113D" w:rsidRPr="000C2A04" w:rsidRDefault="001A113D" w:rsidP="001A113D">
      <w:pPr>
        <w:rPr>
          <w:sz w:val="18"/>
          <w:szCs w:val="18"/>
        </w:rPr>
      </w:pPr>
      <w:r w:rsidRPr="000C2A04">
        <w:rPr>
          <w:sz w:val="18"/>
          <w:szCs w:val="18"/>
          <w:vertAlign w:val="superscript"/>
        </w:rPr>
        <w:footnoteRef/>
      </w:r>
      <w:r w:rsidRPr="000C2A04">
        <w:rPr>
          <w:sz w:val="18"/>
          <w:szCs w:val="18"/>
        </w:rPr>
        <w:t xml:space="preserve"> See the relevant article at: </w:t>
      </w:r>
      <w:hyperlink r:id="rId3">
        <w:r w:rsidRPr="000C2A04">
          <w:rPr>
            <w:color w:val="1155CC"/>
            <w:sz w:val="18"/>
            <w:szCs w:val="18"/>
            <w:u w:val="single"/>
          </w:rPr>
          <w:t>http://www.almeezan.qa/LawArticles.aspx?LawTreeSectionID=6677&amp;lawId=2284&amp;language=ar</w:t>
        </w:r>
      </w:hyperlink>
      <w:r w:rsidRPr="000C2A04">
        <w:rPr>
          <w:sz w:val="18"/>
          <w:szCs w:val="18"/>
        </w:rPr>
        <w:t xml:space="preserve"> </w:t>
      </w:r>
    </w:p>
  </w:footnote>
  <w:footnote w:id="5">
    <w:p w14:paraId="759799B6" w14:textId="77777777" w:rsidR="001A113D" w:rsidRPr="000C2A04" w:rsidRDefault="001A113D" w:rsidP="001A113D">
      <w:pPr>
        <w:pBdr>
          <w:top w:val="nil"/>
          <w:left w:val="nil"/>
          <w:bottom w:val="nil"/>
          <w:right w:val="nil"/>
          <w:between w:val="nil"/>
        </w:pBdr>
        <w:rPr>
          <w:color w:val="000000"/>
          <w:sz w:val="18"/>
          <w:szCs w:val="18"/>
        </w:rPr>
      </w:pPr>
      <w:r w:rsidRPr="000C2A04">
        <w:rPr>
          <w:sz w:val="18"/>
          <w:szCs w:val="18"/>
          <w:vertAlign w:val="superscript"/>
        </w:rPr>
        <w:footnoteRef/>
      </w:r>
      <w:r w:rsidRPr="000C2A04">
        <w:rPr>
          <w:color w:val="000000"/>
          <w:sz w:val="18"/>
          <w:szCs w:val="18"/>
        </w:rPr>
        <w:t xml:space="preserve"> Equality Now, Campaign to End Sex Discrimination in Nationality and Citizenship Laws, 2013 (updated May 2014, Feb. 2015), available at </w:t>
      </w:r>
      <w:hyperlink r:id="rId4">
        <w:r w:rsidRPr="000C2A04">
          <w:rPr>
            <w:color w:val="1155CC"/>
            <w:sz w:val="18"/>
            <w:szCs w:val="18"/>
            <w:u w:val="single"/>
          </w:rPr>
          <w:t>http://www.equalitynow.org/sites/default/files/NationalityReport_EN.pdf</w:t>
        </w:r>
      </w:hyperlink>
      <w:r w:rsidRPr="000C2A04">
        <w:rPr>
          <w:color w:val="000000"/>
          <w:sz w:val="18"/>
          <w:szCs w:val="18"/>
        </w:rPr>
        <w:t xml:space="preserve"> </w:t>
      </w:r>
    </w:p>
  </w:footnote>
  <w:footnote w:id="6">
    <w:p w14:paraId="2CE430DF" w14:textId="77777777" w:rsidR="001A113D" w:rsidRPr="000C2A04" w:rsidRDefault="001A113D" w:rsidP="001A113D">
      <w:pPr>
        <w:pBdr>
          <w:top w:val="nil"/>
          <w:left w:val="nil"/>
          <w:bottom w:val="nil"/>
          <w:right w:val="nil"/>
          <w:between w:val="nil"/>
        </w:pBdr>
        <w:rPr>
          <w:color w:val="000000"/>
          <w:sz w:val="18"/>
          <w:szCs w:val="18"/>
        </w:rPr>
      </w:pPr>
      <w:r w:rsidRPr="000C2A04">
        <w:rPr>
          <w:sz w:val="18"/>
          <w:szCs w:val="18"/>
          <w:vertAlign w:val="superscript"/>
        </w:rPr>
        <w:footnoteRef/>
      </w:r>
      <w:r w:rsidRPr="000C2A04">
        <w:rPr>
          <w:color w:val="000000"/>
          <w:sz w:val="18"/>
          <w:szCs w:val="18"/>
        </w:rPr>
        <w:t xml:space="preserve"> Al Jazeera - Siege of Qatar 'arbitrarily splitting up families', 14 December 2017, available at: </w:t>
      </w:r>
      <w:hyperlink r:id="rId5">
        <w:r w:rsidRPr="000C2A04">
          <w:rPr>
            <w:color w:val="000000"/>
            <w:sz w:val="18"/>
            <w:szCs w:val="18"/>
          </w:rPr>
          <w:t>https://www.aljazeera.com/news/2017/12/siege-qatar-arbitrarily-splitting-families-171214163542163.html</w:t>
        </w:r>
      </w:hyperlink>
    </w:p>
  </w:footnote>
  <w:footnote w:id="7">
    <w:p w14:paraId="49339A2D" w14:textId="77777777" w:rsidR="001A113D" w:rsidRPr="000C2A04" w:rsidRDefault="001A113D" w:rsidP="001A113D">
      <w:pPr>
        <w:pBdr>
          <w:top w:val="nil"/>
          <w:left w:val="nil"/>
          <w:bottom w:val="nil"/>
          <w:right w:val="nil"/>
          <w:between w:val="nil"/>
        </w:pBdr>
        <w:rPr>
          <w:color w:val="000000"/>
          <w:sz w:val="18"/>
          <w:szCs w:val="18"/>
        </w:rPr>
      </w:pPr>
      <w:r w:rsidRPr="000C2A04">
        <w:rPr>
          <w:sz w:val="18"/>
          <w:szCs w:val="18"/>
          <w:vertAlign w:val="superscript"/>
        </w:rPr>
        <w:footnoteRef/>
      </w:r>
      <w:r w:rsidRPr="000C2A04">
        <w:rPr>
          <w:color w:val="000000"/>
          <w:sz w:val="18"/>
          <w:szCs w:val="18"/>
        </w:rPr>
        <w:t xml:space="preserve"> Bloomberg - Qatar Is First Gulf State to Offer Expat Permanent Residency, September 5, 2018 available at: </w:t>
      </w:r>
      <w:hyperlink r:id="rId6">
        <w:r w:rsidRPr="000C2A04">
          <w:rPr>
            <w:color w:val="0000FF"/>
            <w:sz w:val="18"/>
            <w:szCs w:val="18"/>
            <w:u w:val="single"/>
          </w:rPr>
          <w:t>https://www.bloomberg.com/news/articles/2018-09-05/qatar-is-first-gulf-nation-to-grant-expats-permanent-residency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ABF44" w14:textId="57032079" w:rsidR="005F598A" w:rsidRDefault="001130B6">
    <w:pPr>
      <w:pStyle w:val="Header"/>
    </w:pPr>
    <w:r w:rsidRPr="00234602">
      <w:rPr>
        <w:rFonts w:asciiTheme="majorHAnsi" w:hAnsiTheme="majorHAnsi" w:cstheme="majorHAnsi"/>
        <w:noProof/>
        <w:sz w:val="22"/>
        <w:szCs w:val="22"/>
        <w:lang w:val="en-GB" w:eastAsia="en-GB"/>
      </w:rPr>
      <w:drawing>
        <wp:anchor distT="0" distB="0" distL="114300" distR="114300" simplePos="0" relativeHeight="251660288" behindDoc="1" locked="0" layoutInCell="1" allowOverlap="1" wp14:anchorId="76F02279" wp14:editId="72B2C666">
          <wp:simplePos x="0" y="0"/>
          <wp:positionH relativeFrom="margin">
            <wp:align>center</wp:align>
          </wp:positionH>
          <wp:positionV relativeFrom="paragraph">
            <wp:posOffset>8255</wp:posOffset>
          </wp:positionV>
          <wp:extent cx="1070181" cy="69334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0181" cy="693348"/>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67259DF" wp14:editId="0F5888FD">
          <wp:simplePos x="0" y="0"/>
          <wp:positionH relativeFrom="margin">
            <wp:align>right</wp:align>
          </wp:positionH>
          <wp:positionV relativeFrom="paragraph">
            <wp:posOffset>7620</wp:posOffset>
          </wp:positionV>
          <wp:extent cx="1461770" cy="584200"/>
          <wp:effectExtent l="0" t="0" r="5080" b="6350"/>
          <wp:wrapTight wrapText="bothSides">
            <wp:wrapPolygon edited="0">
              <wp:start x="0" y="0"/>
              <wp:lineTo x="0" y="21130"/>
              <wp:lineTo x="21394" y="21130"/>
              <wp:lineTo x="213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1770" cy="584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1ADE">
      <w:rPr>
        <w:noProof/>
      </w:rPr>
      <w:t xml:space="preserve"> </w:t>
    </w:r>
    <w:r w:rsidR="00252DCD">
      <w:rPr>
        <w:noProof/>
      </w:rPr>
      <w:drawing>
        <wp:inline distT="0" distB="0" distL="0" distR="0" wp14:anchorId="730A1851" wp14:editId="6901F617">
          <wp:extent cx="1446517" cy="705943"/>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6353" cy="710743"/>
                  </a:xfrm>
                  <a:prstGeom prst="rect">
                    <a:avLst/>
                  </a:prstGeom>
                  <a:noFill/>
                </pic:spPr>
              </pic:pic>
            </a:graphicData>
          </a:graphic>
        </wp:inline>
      </w:drawing>
    </w:r>
    <w:r w:rsidR="005F598A">
      <w:tab/>
    </w:r>
    <w:r w:rsidR="005F598A">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BCA6D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4BA82FF5"/>
    <w:multiLevelType w:val="multilevel"/>
    <w:tmpl w:val="E8EC367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4B63806"/>
    <w:multiLevelType w:val="hybridMultilevel"/>
    <w:tmpl w:val="A502ECA0"/>
    <w:lvl w:ilvl="0" w:tplc="F94C8534">
      <w:start w:val="1"/>
      <w:numFmt w:val="decimal"/>
      <w:lvlText w:val="%1)"/>
      <w:lvlJc w:val="left"/>
      <w:pPr>
        <w:ind w:left="1100" w:hanging="38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7B7689D"/>
    <w:multiLevelType w:val="multilevel"/>
    <w:tmpl w:val="439E743A"/>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2B15"/>
    <w:rsid w:val="00005355"/>
    <w:rsid w:val="000242B0"/>
    <w:rsid w:val="00042B80"/>
    <w:rsid w:val="00044638"/>
    <w:rsid w:val="00044E60"/>
    <w:rsid w:val="000474FF"/>
    <w:rsid w:val="000541DD"/>
    <w:rsid w:val="00056759"/>
    <w:rsid w:val="00056F6D"/>
    <w:rsid w:val="00057993"/>
    <w:rsid w:val="00060879"/>
    <w:rsid w:val="000639F5"/>
    <w:rsid w:val="000806E6"/>
    <w:rsid w:val="00084440"/>
    <w:rsid w:val="00094028"/>
    <w:rsid w:val="00097368"/>
    <w:rsid w:val="000C27E5"/>
    <w:rsid w:val="000C5A6D"/>
    <w:rsid w:val="000C7796"/>
    <w:rsid w:val="000D1F6C"/>
    <w:rsid w:val="000E0238"/>
    <w:rsid w:val="000E7906"/>
    <w:rsid w:val="000F5A57"/>
    <w:rsid w:val="000F66EC"/>
    <w:rsid w:val="001005E2"/>
    <w:rsid w:val="00107D42"/>
    <w:rsid w:val="001130B6"/>
    <w:rsid w:val="001146C8"/>
    <w:rsid w:val="00134690"/>
    <w:rsid w:val="00136ABB"/>
    <w:rsid w:val="00140838"/>
    <w:rsid w:val="00143352"/>
    <w:rsid w:val="001511AE"/>
    <w:rsid w:val="00151FCF"/>
    <w:rsid w:val="00163052"/>
    <w:rsid w:val="001704EE"/>
    <w:rsid w:val="00175746"/>
    <w:rsid w:val="00182B2A"/>
    <w:rsid w:val="00185946"/>
    <w:rsid w:val="001911BF"/>
    <w:rsid w:val="00192BD8"/>
    <w:rsid w:val="001A113D"/>
    <w:rsid w:val="001A7D1E"/>
    <w:rsid w:val="001B4DC7"/>
    <w:rsid w:val="001C31EA"/>
    <w:rsid w:val="001C4B8A"/>
    <w:rsid w:val="001C4BA6"/>
    <w:rsid w:val="001C5C76"/>
    <w:rsid w:val="001D2156"/>
    <w:rsid w:val="001E3FFE"/>
    <w:rsid w:val="00201CC1"/>
    <w:rsid w:val="002049A0"/>
    <w:rsid w:val="00234602"/>
    <w:rsid w:val="0023510C"/>
    <w:rsid w:val="00236EDA"/>
    <w:rsid w:val="00251DC7"/>
    <w:rsid w:val="00252A0A"/>
    <w:rsid w:val="00252DCD"/>
    <w:rsid w:val="0028315A"/>
    <w:rsid w:val="00291A40"/>
    <w:rsid w:val="0029414E"/>
    <w:rsid w:val="00295968"/>
    <w:rsid w:val="00296B67"/>
    <w:rsid w:val="00296FA1"/>
    <w:rsid w:val="002B41EE"/>
    <w:rsid w:val="002C1152"/>
    <w:rsid w:val="002C61DE"/>
    <w:rsid w:val="002F1473"/>
    <w:rsid w:val="00302CB5"/>
    <w:rsid w:val="00322FEB"/>
    <w:rsid w:val="00326133"/>
    <w:rsid w:val="00327FA3"/>
    <w:rsid w:val="00330DC9"/>
    <w:rsid w:val="00332ACB"/>
    <w:rsid w:val="003373C4"/>
    <w:rsid w:val="0033752B"/>
    <w:rsid w:val="0035283D"/>
    <w:rsid w:val="0035590F"/>
    <w:rsid w:val="0036627F"/>
    <w:rsid w:val="00370657"/>
    <w:rsid w:val="003806F3"/>
    <w:rsid w:val="00394ECE"/>
    <w:rsid w:val="003963F8"/>
    <w:rsid w:val="003A28F9"/>
    <w:rsid w:val="003A7361"/>
    <w:rsid w:val="003B0E56"/>
    <w:rsid w:val="003B2C08"/>
    <w:rsid w:val="003B542B"/>
    <w:rsid w:val="003C0F7D"/>
    <w:rsid w:val="003E35DF"/>
    <w:rsid w:val="00421272"/>
    <w:rsid w:val="004225E2"/>
    <w:rsid w:val="00436AB4"/>
    <w:rsid w:val="004417A1"/>
    <w:rsid w:val="00441E9B"/>
    <w:rsid w:val="00450A2E"/>
    <w:rsid w:val="00452873"/>
    <w:rsid w:val="00467DB5"/>
    <w:rsid w:val="004841C5"/>
    <w:rsid w:val="00487A86"/>
    <w:rsid w:val="004A1347"/>
    <w:rsid w:val="004A49A6"/>
    <w:rsid w:val="004C02D2"/>
    <w:rsid w:val="004C0461"/>
    <w:rsid w:val="004C413C"/>
    <w:rsid w:val="004C5782"/>
    <w:rsid w:val="004C7EF2"/>
    <w:rsid w:val="004D58BA"/>
    <w:rsid w:val="004D7DBC"/>
    <w:rsid w:val="004E365A"/>
    <w:rsid w:val="004E587E"/>
    <w:rsid w:val="00504014"/>
    <w:rsid w:val="00513A7B"/>
    <w:rsid w:val="005334DE"/>
    <w:rsid w:val="00534B1B"/>
    <w:rsid w:val="00535342"/>
    <w:rsid w:val="0054410B"/>
    <w:rsid w:val="005510B0"/>
    <w:rsid w:val="00553802"/>
    <w:rsid w:val="00565DCF"/>
    <w:rsid w:val="00567F9E"/>
    <w:rsid w:val="00574FED"/>
    <w:rsid w:val="0058538F"/>
    <w:rsid w:val="00591FF4"/>
    <w:rsid w:val="005A0468"/>
    <w:rsid w:val="005A5519"/>
    <w:rsid w:val="005A7A7C"/>
    <w:rsid w:val="005B0E40"/>
    <w:rsid w:val="005B2825"/>
    <w:rsid w:val="005B713D"/>
    <w:rsid w:val="005D0CF1"/>
    <w:rsid w:val="005D3CC8"/>
    <w:rsid w:val="005F0058"/>
    <w:rsid w:val="005F598A"/>
    <w:rsid w:val="0061403A"/>
    <w:rsid w:val="006221E7"/>
    <w:rsid w:val="00625838"/>
    <w:rsid w:val="006371FE"/>
    <w:rsid w:val="0063757B"/>
    <w:rsid w:val="00641ADE"/>
    <w:rsid w:val="00641BD5"/>
    <w:rsid w:val="006557DB"/>
    <w:rsid w:val="006621C3"/>
    <w:rsid w:val="006750B3"/>
    <w:rsid w:val="006841E0"/>
    <w:rsid w:val="00695B05"/>
    <w:rsid w:val="006A2B15"/>
    <w:rsid w:val="006B1BF4"/>
    <w:rsid w:val="006B4530"/>
    <w:rsid w:val="006B661A"/>
    <w:rsid w:val="006C1D4B"/>
    <w:rsid w:val="006E22BD"/>
    <w:rsid w:val="006F2DEA"/>
    <w:rsid w:val="006F3E79"/>
    <w:rsid w:val="00702639"/>
    <w:rsid w:val="00703FD2"/>
    <w:rsid w:val="00710CCE"/>
    <w:rsid w:val="007116A6"/>
    <w:rsid w:val="00723196"/>
    <w:rsid w:val="0074128B"/>
    <w:rsid w:val="0074364A"/>
    <w:rsid w:val="007562BA"/>
    <w:rsid w:val="0076277B"/>
    <w:rsid w:val="00764E34"/>
    <w:rsid w:val="0078536C"/>
    <w:rsid w:val="007902E5"/>
    <w:rsid w:val="007A0858"/>
    <w:rsid w:val="007A7092"/>
    <w:rsid w:val="007B7EFF"/>
    <w:rsid w:val="007C22BB"/>
    <w:rsid w:val="007C3EA2"/>
    <w:rsid w:val="007D0075"/>
    <w:rsid w:val="007D24A7"/>
    <w:rsid w:val="007E26FA"/>
    <w:rsid w:val="00821E39"/>
    <w:rsid w:val="00826E76"/>
    <w:rsid w:val="008535A9"/>
    <w:rsid w:val="00857798"/>
    <w:rsid w:val="00864005"/>
    <w:rsid w:val="00867202"/>
    <w:rsid w:val="00872A10"/>
    <w:rsid w:val="00881FA1"/>
    <w:rsid w:val="0088514D"/>
    <w:rsid w:val="00897318"/>
    <w:rsid w:val="008A1BEE"/>
    <w:rsid w:val="008B1E11"/>
    <w:rsid w:val="008B6BB5"/>
    <w:rsid w:val="008C05CF"/>
    <w:rsid w:val="008C7024"/>
    <w:rsid w:val="008D01EE"/>
    <w:rsid w:val="008D187D"/>
    <w:rsid w:val="008E0BC2"/>
    <w:rsid w:val="008E2766"/>
    <w:rsid w:val="008E61D0"/>
    <w:rsid w:val="008E673D"/>
    <w:rsid w:val="008E67C7"/>
    <w:rsid w:val="008E7C8F"/>
    <w:rsid w:val="008F359E"/>
    <w:rsid w:val="00900FFE"/>
    <w:rsid w:val="00905BDF"/>
    <w:rsid w:val="00906506"/>
    <w:rsid w:val="00917994"/>
    <w:rsid w:val="009403CC"/>
    <w:rsid w:val="00940D72"/>
    <w:rsid w:val="00953CE2"/>
    <w:rsid w:val="009571CC"/>
    <w:rsid w:val="00966799"/>
    <w:rsid w:val="00972B2C"/>
    <w:rsid w:val="00981112"/>
    <w:rsid w:val="009A43F5"/>
    <w:rsid w:val="009B43E7"/>
    <w:rsid w:val="009C1D72"/>
    <w:rsid w:val="009C6D2F"/>
    <w:rsid w:val="009F2AC8"/>
    <w:rsid w:val="00A0342A"/>
    <w:rsid w:val="00A04F58"/>
    <w:rsid w:val="00A074FC"/>
    <w:rsid w:val="00A15E0C"/>
    <w:rsid w:val="00A171E1"/>
    <w:rsid w:val="00A23A7E"/>
    <w:rsid w:val="00A26407"/>
    <w:rsid w:val="00A3277D"/>
    <w:rsid w:val="00A41C45"/>
    <w:rsid w:val="00A43C92"/>
    <w:rsid w:val="00A518C6"/>
    <w:rsid w:val="00A567AF"/>
    <w:rsid w:val="00A667E2"/>
    <w:rsid w:val="00A7480B"/>
    <w:rsid w:val="00A90135"/>
    <w:rsid w:val="00A90345"/>
    <w:rsid w:val="00AB2DE9"/>
    <w:rsid w:val="00AB5220"/>
    <w:rsid w:val="00AC0597"/>
    <w:rsid w:val="00AE361A"/>
    <w:rsid w:val="00AE5FA0"/>
    <w:rsid w:val="00B207DD"/>
    <w:rsid w:val="00B2172F"/>
    <w:rsid w:val="00B22E43"/>
    <w:rsid w:val="00B36B0B"/>
    <w:rsid w:val="00B4277B"/>
    <w:rsid w:val="00B43772"/>
    <w:rsid w:val="00B51367"/>
    <w:rsid w:val="00B53D19"/>
    <w:rsid w:val="00B56BD2"/>
    <w:rsid w:val="00B60CEC"/>
    <w:rsid w:val="00B62AB1"/>
    <w:rsid w:val="00B75C49"/>
    <w:rsid w:val="00B766B6"/>
    <w:rsid w:val="00B82438"/>
    <w:rsid w:val="00B9339F"/>
    <w:rsid w:val="00BB2CDC"/>
    <w:rsid w:val="00BC7C27"/>
    <w:rsid w:val="00BF26F3"/>
    <w:rsid w:val="00C04D22"/>
    <w:rsid w:val="00C206CE"/>
    <w:rsid w:val="00C47997"/>
    <w:rsid w:val="00C52FC8"/>
    <w:rsid w:val="00C571CE"/>
    <w:rsid w:val="00C85BA6"/>
    <w:rsid w:val="00C8637F"/>
    <w:rsid w:val="00C90DC9"/>
    <w:rsid w:val="00CA3B7E"/>
    <w:rsid w:val="00CA729D"/>
    <w:rsid w:val="00CB301D"/>
    <w:rsid w:val="00CC761E"/>
    <w:rsid w:val="00CD37BC"/>
    <w:rsid w:val="00CD76BF"/>
    <w:rsid w:val="00CF55BC"/>
    <w:rsid w:val="00D00029"/>
    <w:rsid w:val="00D228CC"/>
    <w:rsid w:val="00D22E6B"/>
    <w:rsid w:val="00D23616"/>
    <w:rsid w:val="00D23EFC"/>
    <w:rsid w:val="00D30955"/>
    <w:rsid w:val="00D55BE0"/>
    <w:rsid w:val="00D578DD"/>
    <w:rsid w:val="00D6379D"/>
    <w:rsid w:val="00D71114"/>
    <w:rsid w:val="00D92D5F"/>
    <w:rsid w:val="00DB0B5F"/>
    <w:rsid w:val="00DB7F64"/>
    <w:rsid w:val="00DC6EFE"/>
    <w:rsid w:val="00DE1509"/>
    <w:rsid w:val="00DE18E7"/>
    <w:rsid w:val="00DF584A"/>
    <w:rsid w:val="00E0600D"/>
    <w:rsid w:val="00E14353"/>
    <w:rsid w:val="00E15DCA"/>
    <w:rsid w:val="00E326B2"/>
    <w:rsid w:val="00E36371"/>
    <w:rsid w:val="00E70E86"/>
    <w:rsid w:val="00E718BC"/>
    <w:rsid w:val="00E747AD"/>
    <w:rsid w:val="00E75517"/>
    <w:rsid w:val="00E7704F"/>
    <w:rsid w:val="00E82A82"/>
    <w:rsid w:val="00E91F90"/>
    <w:rsid w:val="00E93A4B"/>
    <w:rsid w:val="00EA0F67"/>
    <w:rsid w:val="00EB625C"/>
    <w:rsid w:val="00EE141C"/>
    <w:rsid w:val="00EE5814"/>
    <w:rsid w:val="00EE687B"/>
    <w:rsid w:val="00EE6C3D"/>
    <w:rsid w:val="00EF41D2"/>
    <w:rsid w:val="00F05BDF"/>
    <w:rsid w:val="00F15EFF"/>
    <w:rsid w:val="00F1713B"/>
    <w:rsid w:val="00F262CD"/>
    <w:rsid w:val="00F52847"/>
    <w:rsid w:val="00F61564"/>
    <w:rsid w:val="00F62645"/>
    <w:rsid w:val="00F71836"/>
    <w:rsid w:val="00F743ED"/>
    <w:rsid w:val="00F77958"/>
    <w:rsid w:val="00F81292"/>
    <w:rsid w:val="00F90132"/>
    <w:rsid w:val="00F9186B"/>
    <w:rsid w:val="00FA16B0"/>
    <w:rsid w:val="00FA1E4F"/>
    <w:rsid w:val="00FB0A05"/>
    <w:rsid w:val="00FC4993"/>
    <w:rsid w:val="00FD1834"/>
    <w:rsid w:val="00FE0487"/>
    <w:rsid w:val="00FE3785"/>
    <w:rsid w:val="00FE543D"/>
    <w:rsid w:val="12A99E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5D5338F"/>
  <w15:docId w15:val="{F9C885F8-532F-4C11-BB9B-32DDF4E62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Times New Roman" w:hAnsi="Cambria" w:cs="Arial"/>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5E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
    <w:link w:val="4GCharCharChar"/>
    <w:rsid w:val="00044638"/>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044638"/>
    <w:pPr>
      <w:tabs>
        <w:tab w:val="right" w:pos="1021"/>
      </w:tabs>
      <w:suppressAutoHyphens/>
      <w:spacing w:line="220" w:lineRule="exact"/>
      <w:ind w:left="1134" w:right="1134" w:hanging="1134"/>
    </w:pPr>
    <w:rPr>
      <w:rFonts w:ascii="Times New Roman" w:eastAsia="Malgun Gothic" w:hAnsi="Times New Roman" w:cs="Times New Roman"/>
      <w:sz w:val="18"/>
      <w:szCs w:val="20"/>
      <w:lang w:val="en-GB"/>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44638"/>
    <w:rPr>
      <w:rFonts w:ascii="Times New Roman" w:eastAsia="Malgun Gothic" w:hAnsi="Times New Roman" w:cs="Times New Roman"/>
      <w:sz w:val="18"/>
      <w:szCs w:val="20"/>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44638"/>
    <w:pPr>
      <w:spacing w:after="160" w:line="240" w:lineRule="exact"/>
      <w:jc w:val="both"/>
    </w:pPr>
    <w:rPr>
      <w:rFonts w:ascii="Times New Roman" w:hAnsi="Times New Roman" w:cs="Times New Roman"/>
      <w:sz w:val="18"/>
      <w:szCs w:val="20"/>
      <w:vertAlign w:val="superscript"/>
      <w:lang w:val="x-none" w:eastAsia="x-none"/>
    </w:rPr>
  </w:style>
  <w:style w:type="paragraph" w:styleId="NormalWeb">
    <w:name w:val="Normal (Web)"/>
    <w:basedOn w:val="Normal"/>
    <w:uiPriority w:val="99"/>
    <w:unhideWhenUsed/>
    <w:rsid w:val="007E26FA"/>
    <w:pPr>
      <w:spacing w:before="100" w:beforeAutospacing="1" w:after="100" w:afterAutospacing="1"/>
    </w:pPr>
    <w:rPr>
      <w:rFonts w:ascii="Times New Roman" w:hAnsi="Times New Roman" w:cs="Times New Roman"/>
    </w:rPr>
  </w:style>
  <w:style w:type="paragraph" w:styleId="ListParagraph">
    <w:name w:val="List Paragraph"/>
    <w:basedOn w:val="Normal"/>
    <w:uiPriority w:val="34"/>
    <w:qFormat/>
    <w:rsid w:val="00327FA3"/>
    <w:pPr>
      <w:ind w:left="720"/>
      <w:contextualSpacing/>
    </w:pPr>
  </w:style>
  <w:style w:type="character" w:styleId="CommentReference">
    <w:name w:val="annotation reference"/>
    <w:basedOn w:val="DefaultParagraphFont"/>
    <w:uiPriority w:val="99"/>
    <w:semiHidden/>
    <w:unhideWhenUsed/>
    <w:rsid w:val="00966799"/>
    <w:rPr>
      <w:sz w:val="18"/>
      <w:szCs w:val="18"/>
    </w:rPr>
  </w:style>
  <w:style w:type="paragraph" w:styleId="CommentText">
    <w:name w:val="annotation text"/>
    <w:basedOn w:val="Normal"/>
    <w:link w:val="CommentTextChar"/>
    <w:uiPriority w:val="99"/>
    <w:semiHidden/>
    <w:unhideWhenUsed/>
    <w:rsid w:val="00966799"/>
  </w:style>
  <w:style w:type="character" w:customStyle="1" w:styleId="CommentTextChar">
    <w:name w:val="Comment Text Char"/>
    <w:basedOn w:val="DefaultParagraphFont"/>
    <w:link w:val="CommentText"/>
    <w:uiPriority w:val="99"/>
    <w:semiHidden/>
    <w:rsid w:val="00966799"/>
  </w:style>
  <w:style w:type="paragraph" w:styleId="CommentSubject">
    <w:name w:val="annotation subject"/>
    <w:basedOn w:val="CommentText"/>
    <w:next w:val="CommentText"/>
    <w:link w:val="CommentSubjectChar"/>
    <w:uiPriority w:val="99"/>
    <w:semiHidden/>
    <w:unhideWhenUsed/>
    <w:rsid w:val="00966799"/>
    <w:rPr>
      <w:b/>
      <w:bCs/>
      <w:sz w:val="20"/>
      <w:szCs w:val="20"/>
    </w:rPr>
  </w:style>
  <w:style w:type="character" w:customStyle="1" w:styleId="CommentSubjectChar">
    <w:name w:val="Comment Subject Char"/>
    <w:basedOn w:val="CommentTextChar"/>
    <w:link w:val="CommentSubject"/>
    <w:uiPriority w:val="99"/>
    <w:semiHidden/>
    <w:rsid w:val="00966799"/>
    <w:rPr>
      <w:b/>
      <w:bCs/>
      <w:sz w:val="20"/>
      <w:szCs w:val="20"/>
    </w:rPr>
  </w:style>
  <w:style w:type="paragraph" w:styleId="Revision">
    <w:name w:val="Revision"/>
    <w:hidden/>
    <w:uiPriority w:val="99"/>
    <w:semiHidden/>
    <w:rsid w:val="00966799"/>
    <w:rPr>
      <w:sz w:val="24"/>
      <w:szCs w:val="24"/>
    </w:rPr>
  </w:style>
  <w:style w:type="paragraph" w:styleId="BalloonText">
    <w:name w:val="Balloon Text"/>
    <w:basedOn w:val="Normal"/>
    <w:link w:val="BalloonTextChar"/>
    <w:uiPriority w:val="99"/>
    <w:semiHidden/>
    <w:unhideWhenUsed/>
    <w:rsid w:val="009667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799"/>
    <w:rPr>
      <w:rFonts w:ascii="Lucida Grande" w:hAnsi="Lucida Grande" w:cs="Lucida Grande"/>
      <w:sz w:val="18"/>
      <w:szCs w:val="18"/>
    </w:rPr>
  </w:style>
  <w:style w:type="character" w:styleId="Hyperlink">
    <w:name w:val="Hyperlink"/>
    <w:basedOn w:val="DefaultParagraphFont"/>
    <w:unhideWhenUsed/>
    <w:rsid w:val="001C31EA"/>
    <w:rPr>
      <w:color w:val="0000FF"/>
      <w:u w:val="single"/>
    </w:rPr>
  </w:style>
  <w:style w:type="paragraph" w:styleId="EndnoteText">
    <w:name w:val="endnote text"/>
    <w:basedOn w:val="Normal"/>
    <w:link w:val="EndnoteTextChar"/>
    <w:uiPriority w:val="99"/>
    <w:semiHidden/>
    <w:unhideWhenUsed/>
    <w:rsid w:val="00574FED"/>
    <w:rPr>
      <w:sz w:val="20"/>
      <w:szCs w:val="20"/>
    </w:rPr>
  </w:style>
  <w:style w:type="character" w:customStyle="1" w:styleId="EndnoteTextChar">
    <w:name w:val="Endnote Text Char"/>
    <w:basedOn w:val="DefaultParagraphFont"/>
    <w:link w:val="EndnoteText"/>
    <w:uiPriority w:val="99"/>
    <w:semiHidden/>
    <w:rsid w:val="00574FED"/>
    <w:rPr>
      <w:sz w:val="20"/>
      <w:szCs w:val="20"/>
    </w:rPr>
  </w:style>
  <w:style w:type="character" w:styleId="EndnoteReference">
    <w:name w:val="endnote reference"/>
    <w:basedOn w:val="DefaultParagraphFont"/>
    <w:uiPriority w:val="99"/>
    <w:semiHidden/>
    <w:unhideWhenUsed/>
    <w:rsid w:val="00574FED"/>
    <w:rPr>
      <w:vertAlign w:val="superscript"/>
    </w:rPr>
  </w:style>
  <w:style w:type="paragraph" w:customStyle="1" w:styleId="Default">
    <w:name w:val="Default"/>
    <w:rsid w:val="00574FED"/>
    <w:pPr>
      <w:autoSpaceDE w:val="0"/>
      <w:autoSpaceDN w:val="0"/>
      <w:adjustRightInd w:val="0"/>
    </w:pPr>
    <w:rPr>
      <w:rFonts w:ascii="Times New Roman" w:hAnsi="Times New Roman" w:cs="Times New Roman"/>
      <w:color w:val="000000"/>
      <w:sz w:val="24"/>
      <w:szCs w:val="24"/>
    </w:rPr>
  </w:style>
  <w:style w:type="paragraph" w:customStyle="1" w:styleId="SingleTxtGA">
    <w:name w:val="_ Single Txt_GA"/>
    <w:basedOn w:val="Normal"/>
    <w:rsid w:val="00826E76"/>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hAnsi="Times New Roman" w:cs="Traditional Arabic"/>
      <w:sz w:val="20"/>
      <w:szCs w:val="30"/>
    </w:rPr>
  </w:style>
  <w:style w:type="character" w:styleId="FollowedHyperlink">
    <w:name w:val="FollowedHyperlink"/>
    <w:basedOn w:val="DefaultParagraphFont"/>
    <w:uiPriority w:val="99"/>
    <w:semiHidden/>
    <w:unhideWhenUsed/>
    <w:rsid w:val="001E3FFE"/>
    <w:rPr>
      <w:color w:val="800080"/>
      <w:u w:val="single"/>
    </w:rPr>
  </w:style>
  <w:style w:type="paragraph" w:styleId="Header">
    <w:name w:val="header"/>
    <w:basedOn w:val="Normal"/>
    <w:link w:val="HeaderChar"/>
    <w:uiPriority w:val="99"/>
    <w:unhideWhenUsed/>
    <w:rsid w:val="00F62645"/>
    <w:pPr>
      <w:tabs>
        <w:tab w:val="center" w:pos="4680"/>
        <w:tab w:val="right" w:pos="9360"/>
      </w:tabs>
    </w:pPr>
  </w:style>
  <w:style w:type="character" w:customStyle="1" w:styleId="HeaderChar">
    <w:name w:val="Header Char"/>
    <w:basedOn w:val="DefaultParagraphFont"/>
    <w:link w:val="Header"/>
    <w:uiPriority w:val="99"/>
    <w:rsid w:val="00F62645"/>
    <w:rPr>
      <w:sz w:val="24"/>
      <w:szCs w:val="24"/>
    </w:rPr>
  </w:style>
  <w:style w:type="paragraph" w:styleId="Footer">
    <w:name w:val="footer"/>
    <w:basedOn w:val="Normal"/>
    <w:link w:val="FooterChar"/>
    <w:uiPriority w:val="99"/>
    <w:unhideWhenUsed/>
    <w:rsid w:val="00F62645"/>
    <w:pPr>
      <w:tabs>
        <w:tab w:val="center" w:pos="4680"/>
        <w:tab w:val="right" w:pos="9360"/>
      </w:tabs>
    </w:pPr>
  </w:style>
  <w:style w:type="character" w:customStyle="1" w:styleId="FooterChar">
    <w:name w:val="Footer Char"/>
    <w:basedOn w:val="DefaultParagraphFont"/>
    <w:link w:val="Footer"/>
    <w:uiPriority w:val="99"/>
    <w:rsid w:val="00F62645"/>
    <w:rPr>
      <w:sz w:val="24"/>
      <w:szCs w:val="24"/>
    </w:rPr>
  </w:style>
  <w:style w:type="character" w:styleId="PageNumber">
    <w:name w:val="page number"/>
    <w:basedOn w:val="DefaultParagraphFont"/>
    <w:uiPriority w:val="99"/>
    <w:semiHidden/>
    <w:unhideWhenUsed/>
    <w:rsid w:val="00D30955"/>
  </w:style>
  <w:style w:type="paragraph" w:customStyle="1" w:styleId="SingleTxtG">
    <w:name w:val="_ Single Txt_G"/>
    <w:basedOn w:val="Normal"/>
    <w:rsid w:val="00B82438"/>
    <w:pPr>
      <w:suppressAutoHyphens/>
      <w:spacing w:after="120" w:line="240" w:lineRule="atLeast"/>
      <w:ind w:left="1134" w:right="1134"/>
      <w:jc w:val="both"/>
    </w:pPr>
    <w:rPr>
      <w:rFonts w:ascii="Times New Roman" w:hAnsi="Times New Roman" w:cs="Times New Roman"/>
      <w:sz w:val="20"/>
      <w:szCs w:val="20"/>
      <w:lang w:val="en-GB"/>
    </w:rPr>
  </w:style>
  <w:style w:type="character" w:styleId="UnresolvedMention">
    <w:name w:val="Unresolved Mention"/>
    <w:basedOn w:val="DefaultParagraphFont"/>
    <w:uiPriority w:val="99"/>
    <w:semiHidden/>
    <w:unhideWhenUsed/>
    <w:rsid w:val="00B36B0B"/>
    <w:rPr>
      <w:color w:val="605E5C"/>
      <w:shd w:val="clear" w:color="auto" w:fill="E1DFDD"/>
    </w:rPr>
  </w:style>
  <w:style w:type="character" w:customStyle="1" w:styleId="Hyperlink1">
    <w:name w:val="Hyperlink.1"/>
    <w:basedOn w:val="DefaultParagraphFont"/>
    <w:rsid w:val="00917994"/>
    <w:rPr>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039270">
      <w:bodyDiv w:val="1"/>
      <w:marLeft w:val="0"/>
      <w:marRight w:val="0"/>
      <w:marTop w:val="0"/>
      <w:marBottom w:val="0"/>
      <w:divBdr>
        <w:top w:val="none" w:sz="0" w:space="0" w:color="auto"/>
        <w:left w:val="none" w:sz="0" w:space="0" w:color="auto"/>
        <w:bottom w:val="none" w:sz="0" w:space="0" w:color="auto"/>
        <w:right w:val="none" w:sz="0" w:space="0" w:color="auto"/>
      </w:divBdr>
    </w:div>
    <w:div w:id="958997580">
      <w:bodyDiv w:val="1"/>
      <w:marLeft w:val="0"/>
      <w:marRight w:val="0"/>
      <w:marTop w:val="0"/>
      <w:marBottom w:val="0"/>
      <w:divBdr>
        <w:top w:val="none" w:sz="0" w:space="0" w:color="auto"/>
        <w:left w:val="none" w:sz="0" w:space="0" w:color="auto"/>
        <w:bottom w:val="none" w:sz="0" w:space="0" w:color="auto"/>
        <w:right w:val="none" w:sz="0" w:space="0" w:color="auto"/>
      </w:divBdr>
    </w:div>
    <w:div w:id="1037002132">
      <w:bodyDiv w:val="1"/>
      <w:marLeft w:val="0"/>
      <w:marRight w:val="0"/>
      <w:marTop w:val="0"/>
      <w:marBottom w:val="0"/>
      <w:divBdr>
        <w:top w:val="none" w:sz="0" w:space="0" w:color="auto"/>
        <w:left w:val="none" w:sz="0" w:space="0" w:color="auto"/>
        <w:bottom w:val="none" w:sz="0" w:space="0" w:color="auto"/>
        <w:right w:val="none" w:sz="0" w:space="0" w:color="auto"/>
      </w:divBdr>
      <w:divsChild>
        <w:div w:id="851528981">
          <w:marLeft w:val="0"/>
          <w:marRight w:val="0"/>
          <w:marTop w:val="0"/>
          <w:marBottom w:val="0"/>
          <w:divBdr>
            <w:top w:val="none" w:sz="0" w:space="0" w:color="auto"/>
            <w:left w:val="none" w:sz="0" w:space="0" w:color="auto"/>
            <w:bottom w:val="none" w:sz="0" w:space="0" w:color="auto"/>
            <w:right w:val="none" w:sz="0" w:space="0" w:color="auto"/>
          </w:divBdr>
        </w:div>
      </w:divsChild>
    </w:div>
    <w:div w:id="1242252171">
      <w:bodyDiv w:val="1"/>
      <w:marLeft w:val="0"/>
      <w:marRight w:val="0"/>
      <w:marTop w:val="0"/>
      <w:marBottom w:val="0"/>
      <w:divBdr>
        <w:top w:val="none" w:sz="0" w:space="0" w:color="auto"/>
        <w:left w:val="none" w:sz="0" w:space="0" w:color="auto"/>
        <w:bottom w:val="none" w:sz="0" w:space="0" w:color="auto"/>
        <w:right w:val="none" w:sz="0" w:space="0" w:color="auto"/>
      </w:divBdr>
    </w:div>
    <w:div w:id="1683237174">
      <w:bodyDiv w:val="1"/>
      <w:marLeft w:val="0"/>
      <w:marRight w:val="0"/>
      <w:marTop w:val="0"/>
      <w:marBottom w:val="0"/>
      <w:divBdr>
        <w:top w:val="none" w:sz="0" w:space="0" w:color="auto"/>
        <w:left w:val="none" w:sz="0" w:space="0" w:color="auto"/>
        <w:bottom w:val="none" w:sz="0" w:space="0" w:color="auto"/>
        <w:right w:val="none" w:sz="0" w:space="0" w:color="auto"/>
      </w:divBdr>
      <w:divsChild>
        <w:div w:id="2072389540">
          <w:marLeft w:val="0"/>
          <w:marRight w:val="0"/>
          <w:marTop w:val="0"/>
          <w:marBottom w:val="0"/>
          <w:divBdr>
            <w:top w:val="none" w:sz="0" w:space="0" w:color="auto"/>
            <w:left w:val="none" w:sz="0" w:space="0" w:color="auto"/>
            <w:bottom w:val="none" w:sz="0" w:space="0" w:color="auto"/>
            <w:right w:val="none" w:sz="0" w:space="0" w:color="auto"/>
          </w:divBdr>
        </w:div>
      </w:divsChild>
    </w:div>
    <w:div w:id="174352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qualnationalityrights.org/"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dbuchmann@ohchr.org"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edaw@ohchr.org" TargetMode="External"/><Relationship Id="rId5" Type="http://schemas.openxmlformats.org/officeDocument/2006/relationships/numbering" Target="numbering.xml"/><Relationship Id="rId15" Type="http://schemas.openxmlformats.org/officeDocument/2006/relationships/hyperlink" Target="https://www.equalitynow.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nstitutesi.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almeezan.qa/LawArticles.aspx?LawTreeSectionID=6677&amp;lawId=2284&amp;language=ar" TargetMode="External"/><Relationship Id="rId2" Type="http://schemas.openxmlformats.org/officeDocument/2006/relationships/hyperlink" Target="http://www.almeezan.qa/LawView.aspx?opt&amp;LawID=2591&amp;language=en" TargetMode="External"/><Relationship Id="rId1" Type="http://schemas.openxmlformats.org/officeDocument/2006/relationships/hyperlink" Target="http://www.un.org/womenwatch/daw/cedaw/recommendations/recomm.htm" TargetMode="External"/><Relationship Id="rId6" Type="http://schemas.openxmlformats.org/officeDocument/2006/relationships/hyperlink" Target="https://www.bloomberg.com/news/articles/2018-09-05/qatar-is-first-gulf-nation-to-grant-expats-permanent-residency" TargetMode="External"/><Relationship Id="rId5" Type="http://schemas.openxmlformats.org/officeDocument/2006/relationships/hyperlink" Target="https://www.aljazeera.com/news/2017/12/siege-qatar-arbitrarily-splitting-families-171214163542163.html" TargetMode="External"/><Relationship Id="rId4" Type="http://schemas.openxmlformats.org/officeDocument/2006/relationships/hyperlink" Target="http://www.equalitynow.org/sites/default/files/NationalityReport_EN.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29EE9-EC78-40B2-8C5E-D64C5D0F1C7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B8D89BA-5FC1-4CA4-BE8A-8D2D16E97301}"/>
</file>

<file path=customXml/itemProps3.xml><?xml version="1.0" encoding="utf-8"?>
<ds:datastoreItem xmlns:ds="http://schemas.openxmlformats.org/officeDocument/2006/customXml" ds:itemID="{8CE0D97C-C669-41D6-9A2D-25A8411CEA60}">
  <ds:schemaRefs>
    <ds:schemaRef ds:uri="http://schemas.microsoft.com/sharepoint/v3/contenttype/forms"/>
  </ds:schemaRefs>
</ds:datastoreItem>
</file>

<file path=customXml/itemProps4.xml><?xml version="1.0" encoding="utf-8"?>
<ds:datastoreItem xmlns:ds="http://schemas.openxmlformats.org/officeDocument/2006/customXml" ds:itemID="{33D8ABDB-9B05-4800-ACCB-F5DA99D0F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Gelman</dc:creator>
  <cp:lastModifiedBy>Catherine Harrington</cp:lastModifiedBy>
  <cp:revision>4</cp:revision>
  <cp:lastPrinted>2019-06-10T14:24:00Z</cp:lastPrinted>
  <dcterms:created xsi:type="dcterms:W3CDTF">2019-06-10T14:24:00Z</dcterms:created>
  <dcterms:modified xsi:type="dcterms:W3CDTF">2019-06-10T14:33:00Z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