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2DF" w:rsidRDefault="00B45DEF">
      <w:pPr>
        <w:pStyle w:val="normal0"/>
        <w:widowControl w:val="0"/>
        <w:pBdr>
          <w:top w:val="nil"/>
          <w:left w:val="nil"/>
          <w:bottom w:val="nil"/>
          <w:right w:val="nil"/>
          <w:between w:val="nil"/>
        </w:pBdr>
        <w:spacing w:line="240" w:lineRule="auto"/>
        <w:jc w:val="center"/>
        <w:rPr>
          <w:color w:val="000000"/>
        </w:rPr>
      </w:pPr>
      <w:r>
        <w:rPr>
          <w:noProof/>
          <w:color w:val="000000"/>
          <w:bdr w:val="none" w:sz="0" w:space="0" w:color="auto" w:frame="1"/>
        </w:rPr>
        <w:drawing>
          <wp:inline distT="0" distB="0" distL="0" distR="0">
            <wp:extent cx="4780915" cy="806450"/>
            <wp:effectExtent l="19050" t="0" r="635" b="0"/>
            <wp:docPr id="3" name="Imagen 1" descr="https://lh6.googleusercontent.com/IjMcFaiSo1wfsrRqfggAq0SskrzkbkULw_XwZOFW6qYjoCEot-wxIYvYEK6Uf4bzA_OClIjrJ50HDqPTtfyCOPF3_DAsJF8-axgJYS59r6MNlS_O109ledVV2edYiclPesvzIVYsRVNvKNGP8dFiO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IjMcFaiSo1wfsrRqfggAq0SskrzkbkULw_XwZOFW6qYjoCEot-wxIYvYEK6Uf4bzA_OClIjrJ50HDqPTtfyCOPF3_DAsJF8-axgJYS59r6MNlS_O109ledVV2edYiclPesvzIVYsRVNvKNGP8dFiOQs"/>
                    <pic:cNvPicPr>
                      <a:picLocks noChangeAspect="1" noChangeArrowheads="1"/>
                    </pic:cNvPicPr>
                  </pic:nvPicPr>
                  <pic:blipFill>
                    <a:blip r:embed="rId4" cstate="print"/>
                    <a:srcRect/>
                    <a:stretch>
                      <a:fillRect/>
                    </a:stretch>
                  </pic:blipFill>
                  <pic:spPr bwMode="auto">
                    <a:xfrm>
                      <a:off x="0" y="0"/>
                      <a:ext cx="4780915" cy="806450"/>
                    </a:xfrm>
                    <a:prstGeom prst="rect">
                      <a:avLst/>
                    </a:prstGeom>
                    <a:noFill/>
                    <a:ln w="9525">
                      <a:noFill/>
                      <a:miter lim="800000"/>
                      <a:headEnd/>
                      <a:tailEnd/>
                    </a:ln>
                  </pic:spPr>
                </pic:pic>
              </a:graphicData>
            </a:graphic>
          </wp:inline>
        </w:drawing>
      </w:r>
    </w:p>
    <w:p w:rsidR="00BD52DF" w:rsidRDefault="00B45DEF">
      <w:pPr>
        <w:pStyle w:val="normal0"/>
        <w:widowControl w:val="0"/>
        <w:pBdr>
          <w:top w:val="nil"/>
          <w:left w:val="nil"/>
          <w:bottom w:val="nil"/>
          <w:right w:val="nil"/>
          <w:between w:val="nil"/>
        </w:pBdr>
        <w:spacing w:before="592" w:line="240" w:lineRule="auto"/>
        <w:jc w:val="center"/>
        <w:rPr>
          <w:rFonts w:ascii="Times" w:eastAsia="Times" w:hAnsi="Times" w:cs="Times"/>
          <w:b/>
          <w:color w:val="000000"/>
          <w:sz w:val="28"/>
          <w:szCs w:val="28"/>
        </w:rPr>
      </w:pPr>
      <w:r>
        <w:rPr>
          <w:rFonts w:ascii="Times" w:eastAsia="Times" w:hAnsi="Times" w:cs="Times"/>
          <w:b/>
          <w:color w:val="000000"/>
          <w:sz w:val="28"/>
          <w:szCs w:val="28"/>
        </w:rPr>
        <w:t xml:space="preserve">INFORME ALTERNATIVO  </w:t>
      </w:r>
    </w:p>
    <w:p w:rsidR="00BD52DF" w:rsidRDefault="00B45DEF">
      <w:pPr>
        <w:pStyle w:val="normal0"/>
        <w:widowControl w:val="0"/>
        <w:pBdr>
          <w:top w:val="nil"/>
          <w:left w:val="nil"/>
          <w:bottom w:val="nil"/>
          <w:right w:val="nil"/>
          <w:between w:val="nil"/>
        </w:pBdr>
        <w:spacing w:line="229" w:lineRule="auto"/>
        <w:ind w:left="238" w:right="275"/>
        <w:jc w:val="center"/>
        <w:rPr>
          <w:rFonts w:ascii="Times" w:eastAsia="Times" w:hAnsi="Times" w:cs="Times"/>
          <w:b/>
          <w:color w:val="000000"/>
          <w:sz w:val="28"/>
          <w:szCs w:val="28"/>
        </w:rPr>
      </w:pPr>
      <w:proofErr w:type="gramStart"/>
      <w:r>
        <w:rPr>
          <w:rFonts w:ascii="Times" w:eastAsia="Times" w:hAnsi="Times" w:cs="Times"/>
          <w:b/>
          <w:color w:val="000000"/>
          <w:sz w:val="28"/>
          <w:szCs w:val="28"/>
        </w:rPr>
        <w:t>al</w:t>
      </w:r>
      <w:proofErr w:type="gramEnd"/>
      <w:r>
        <w:rPr>
          <w:rFonts w:ascii="Times" w:eastAsia="Times" w:hAnsi="Times" w:cs="Times"/>
          <w:b/>
          <w:color w:val="000000"/>
          <w:sz w:val="28"/>
          <w:szCs w:val="28"/>
        </w:rPr>
        <w:t xml:space="preserve"> Octavo Informe Periódico de la Argentina a la CEDAW. Elaborado por la Campaña Argentina por los Derechos de las Mujeres - </w:t>
      </w:r>
      <w:proofErr w:type="spellStart"/>
      <w:r>
        <w:rPr>
          <w:rFonts w:ascii="Times" w:eastAsia="Times" w:hAnsi="Times" w:cs="Times"/>
          <w:b/>
          <w:color w:val="000000"/>
          <w:sz w:val="28"/>
          <w:szCs w:val="28"/>
        </w:rPr>
        <w:t>Women’s</w:t>
      </w:r>
      <w:proofErr w:type="spellEnd"/>
      <w:r>
        <w:rPr>
          <w:rFonts w:ascii="Times" w:eastAsia="Times" w:hAnsi="Times" w:cs="Times"/>
          <w:b/>
          <w:color w:val="000000"/>
          <w:sz w:val="28"/>
          <w:szCs w:val="28"/>
        </w:rPr>
        <w:t xml:space="preserve"> Declaration International  </w:t>
      </w:r>
    </w:p>
    <w:p w:rsidR="00BD52DF" w:rsidRDefault="00B45DEF">
      <w:pPr>
        <w:pStyle w:val="normal0"/>
        <w:widowControl w:val="0"/>
        <w:pBdr>
          <w:top w:val="nil"/>
          <w:left w:val="nil"/>
          <w:bottom w:val="nil"/>
          <w:right w:val="nil"/>
          <w:between w:val="nil"/>
        </w:pBdr>
        <w:spacing w:before="5" w:line="240" w:lineRule="auto"/>
        <w:jc w:val="center"/>
        <w:rPr>
          <w:rFonts w:ascii="Times" w:eastAsia="Times" w:hAnsi="Times" w:cs="Times"/>
          <w:b/>
          <w:color w:val="000000"/>
          <w:sz w:val="28"/>
          <w:szCs w:val="28"/>
        </w:rPr>
      </w:pPr>
      <w:r>
        <w:rPr>
          <w:rFonts w:ascii="Times" w:eastAsia="Times" w:hAnsi="Times" w:cs="Times"/>
          <w:b/>
          <w:color w:val="000000"/>
          <w:sz w:val="28"/>
          <w:szCs w:val="28"/>
        </w:rPr>
        <w:t xml:space="preserve">Enero de 2023 </w:t>
      </w:r>
    </w:p>
    <w:p w:rsidR="00BD52DF" w:rsidRDefault="00B45DEF">
      <w:pPr>
        <w:pStyle w:val="normal0"/>
        <w:widowControl w:val="0"/>
        <w:pBdr>
          <w:top w:val="nil"/>
          <w:left w:val="nil"/>
          <w:bottom w:val="nil"/>
          <w:right w:val="nil"/>
          <w:between w:val="nil"/>
        </w:pBdr>
        <w:spacing w:before="757" w:line="240" w:lineRule="auto"/>
        <w:ind w:left="20"/>
        <w:rPr>
          <w:rFonts w:ascii="Times" w:eastAsia="Times" w:hAnsi="Times" w:cs="Times"/>
          <w:b/>
          <w:color w:val="000000"/>
          <w:sz w:val="26"/>
          <w:szCs w:val="26"/>
        </w:rPr>
      </w:pPr>
      <w:r>
        <w:rPr>
          <w:rFonts w:ascii="Times" w:eastAsia="Times" w:hAnsi="Times" w:cs="Times"/>
          <w:b/>
          <w:color w:val="000000"/>
          <w:sz w:val="26"/>
          <w:szCs w:val="26"/>
        </w:rPr>
        <w:t xml:space="preserve">Al Comité de la CEDAW, </w:t>
      </w:r>
    </w:p>
    <w:p w:rsidR="00BD52DF" w:rsidRDefault="00B45DEF">
      <w:pPr>
        <w:pStyle w:val="normal0"/>
        <w:widowControl w:val="0"/>
        <w:pBdr>
          <w:top w:val="nil"/>
          <w:left w:val="nil"/>
          <w:bottom w:val="nil"/>
          <w:right w:val="nil"/>
          <w:between w:val="nil"/>
        </w:pBdr>
        <w:spacing w:before="284" w:line="229" w:lineRule="auto"/>
        <w:ind w:left="22" w:right="-1" w:hanging="2"/>
        <w:jc w:val="both"/>
        <w:rPr>
          <w:rFonts w:ascii="Times" w:eastAsia="Times" w:hAnsi="Times" w:cs="Times"/>
          <w:color w:val="000000"/>
          <w:sz w:val="26"/>
          <w:szCs w:val="26"/>
        </w:rPr>
      </w:pPr>
      <w:r>
        <w:rPr>
          <w:rFonts w:ascii="Times" w:eastAsia="Times" w:hAnsi="Times" w:cs="Times"/>
          <w:color w:val="000000"/>
          <w:sz w:val="26"/>
          <w:szCs w:val="26"/>
        </w:rPr>
        <w:t xml:space="preserve">Recurrimos a ustedes con enorme preocupación ante la grave situación de Argentina  en materia de derechos humanos de las mujeres y aplicación de la CEDAW. La  sustitución de la categoría legal de “sexo” por la de “identidad de género” ha  colapsado todas las políticas e instituciones que debían trabajar por las mujeres a fin  de lograr la igualdad sustantiva entre los sexos. </w:t>
      </w:r>
    </w:p>
    <w:p w:rsidR="00BD52DF" w:rsidRDefault="00B45DEF">
      <w:pPr>
        <w:pStyle w:val="normal0"/>
        <w:widowControl w:val="0"/>
        <w:pBdr>
          <w:top w:val="nil"/>
          <w:left w:val="nil"/>
          <w:bottom w:val="nil"/>
          <w:right w:val="nil"/>
          <w:between w:val="nil"/>
        </w:pBdr>
        <w:spacing w:before="7" w:line="229" w:lineRule="auto"/>
        <w:ind w:left="22" w:right="-8"/>
        <w:jc w:val="both"/>
        <w:rPr>
          <w:rFonts w:ascii="Times" w:eastAsia="Times" w:hAnsi="Times" w:cs="Times"/>
          <w:color w:val="000000"/>
          <w:sz w:val="26"/>
          <w:szCs w:val="26"/>
        </w:rPr>
      </w:pPr>
      <w:r>
        <w:rPr>
          <w:rFonts w:ascii="Times" w:eastAsia="Times" w:hAnsi="Times" w:cs="Times"/>
          <w:color w:val="000000"/>
          <w:sz w:val="26"/>
          <w:szCs w:val="26"/>
        </w:rPr>
        <w:t xml:space="preserve">Pedimos una especial lectura y atención a la problemática de Argentina expuesta en  este informe, que además se está extendiendo rápidamente sobre todo el continente  latinoamericano como bandera de vanguardia. </w:t>
      </w:r>
    </w:p>
    <w:p w:rsidR="00BD52DF" w:rsidRDefault="00B45DEF">
      <w:pPr>
        <w:pStyle w:val="normal0"/>
        <w:widowControl w:val="0"/>
        <w:pBdr>
          <w:top w:val="nil"/>
          <w:left w:val="nil"/>
          <w:bottom w:val="nil"/>
          <w:right w:val="nil"/>
          <w:between w:val="nil"/>
        </w:pBdr>
        <w:spacing w:before="564" w:line="229" w:lineRule="auto"/>
        <w:ind w:left="21" w:right="3"/>
        <w:jc w:val="both"/>
        <w:rPr>
          <w:rFonts w:ascii="Times" w:eastAsia="Times" w:hAnsi="Times" w:cs="Times"/>
          <w:color w:val="000000"/>
          <w:sz w:val="24"/>
          <w:szCs w:val="24"/>
        </w:rPr>
      </w:pPr>
      <w:r>
        <w:rPr>
          <w:rFonts w:ascii="Times" w:eastAsia="Times" w:hAnsi="Times" w:cs="Times"/>
          <w:b/>
          <w:color w:val="000000"/>
          <w:sz w:val="24"/>
          <w:szCs w:val="24"/>
        </w:rPr>
        <w:t xml:space="preserve">El artículo 1 de la CEDAW </w:t>
      </w:r>
      <w:r>
        <w:rPr>
          <w:rFonts w:ascii="Times" w:eastAsia="Times" w:hAnsi="Times" w:cs="Times"/>
          <w:color w:val="000000"/>
          <w:sz w:val="24"/>
          <w:szCs w:val="24"/>
        </w:rPr>
        <w:t xml:space="preserve">define el marco legal que protege a las mujeres contra toda  forma de discriminación </w:t>
      </w:r>
      <w:r>
        <w:rPr>
          <w:rFonts w:ascii="Times" w:eastAsia="Times" w:hAnsi="Times" w:cs="Times"/>
          <w:b/>
          <w:color w:val="000000"/>
          <w:sz w:val="24"/>
          <w:szCs w:val="24"/>
        </w:rPr>
        <w:t>“basada en el sexo” “sobre la base de la igualdad del hombre y  la mujer”</w:t>
      </w:r>
      <w:r>
        <w:rPr>
          <w:rFonts w:ascii="Times" w:eastAsia="Times" w:hAnsi="Times" w:cs="Times"/>
          <w:color w:val="000000"/>
          <w:sz w:val="24"/>
          <w:szCs w:val="24"/>
        </w:rPr>
        <w:t xml:space="preserve">. </w:t>
      </w:r>
      <w:r>
        <w:rPr>
          <w:rFonts w:ascii="Times" w:eastAsia="Times" w:hAnsi="Times" w:cs="Times"/>
          <w:b/>
          <w:color w:val="000000"/>
          <w:sz w:val="24"/>
          <w:szCs w:val="24"/>
        </w:rPr>
        <w:t>En la Recomendación General núm 28 (1.5)</w:t>
      </w:r>
      <w:r>
        <w:rPr>
          <w:rFonts w:ascii="Times" w:eastAsia="Times" w:hAnsi="Times" w:cs="Times"/>
          <w:color w:val="000000"/>
          <w:sz w:val="24"/>
          <w:szCs w:val="24"/>
        </w:rPr>
        <w:t xml:space="preserve">, la CEDAW señala que el término  “sexo” se refiere a las diferencias biológicas entre hombres y mujeres; el término “género”, a  las representaciones socio-culturales de mujeres y varones que ponen en relación de  subordinación y opresión a las primeras. </w:t>
      </w:r>
    </w:p>
    <w:p w:rsidR="00BD52DF" w:rsidRDefault="00B45DEF">
      <w:pPr>
        <w:pStyle w:val="normal0"/>
        <w:widowControl w:val="0"/>
        <w:pBdr>
          <w:top w:val="nil"/>
          <w:left w:val="nil"/>
          <w:bottom w:val="nil"/>
          <w:right w:val="nil"/>
          <w:between w:val="nil"/>
        </w:pBdr>
        <w:spacing w:before="5" w:line="229" w:lineRule="auto"/>
        <w:ind w:left="20" w:right="-2"/>
        <w:jc w:val="both"/>
        <w:rPr>
          <w:rFonts w:ascii="Times" w:eastAsia="Times" w:hAnsi="Times" w:cs="Times"/>
          <w:color w:val="000000"/>
          <w:sz w:val="24"/>
          <w:szCs w:val="24"/>
        </w:rPr>
      </w:pPr>
      <w:r>
        <w:rPr>
          <w:rFonts w:ascii="Times" w:eastAsia="Times" w:hAnsi="Times" w:cs="Times"/>
          <w:color w:val="000000"/>
          <w:sz w:val="24"/>
          <w:szCs w:val="24"/>
        </w:rPr>
        <w:t xml:space="preserve">La CEDAW, en sus últimas observaciones finales a Argentina, recomendó establecer un  mecanismo seguro para la aplicación transparente, coherente y sistemática de esta  Convención. Sin embargo, durante el periodo reportado Argentina ha establecido el  mecanismo contrario. A saber, un mecanismo seguro para eliminar el sexo legal y proteger a  todos los géneros identitarios –unos 71 según los estudios (1)– a través del Ministerio de  Mujeres, Géneros y Diversidades. </w:t>
      </w:r>
    </w:p>
    <w:p w:rsidR="00BD52DF" w:rsidRDefault="00B45DEF">
      <w:pPr>
        <w:pStyle w:val="normal0"/>
        <w:widowControl w:val="0"/>
        <w:pBdr>
          <w:top w:val="nil"/>
          <w:left w:val="nil"/>
          <w:bottom w:val="nil"/>
          <w:right w:val="nil"/>
          <w:between w:val="nil"/>
        </w:pBdr>
        <w:spacing w:before="286" w:line="229" w:lineRule="auto"/>
        <w:ind w:left="22" w:right="5"/>
        <w:rPr>
          <w:rFonts w:ascii="Times" w:eastAsia="Times" w:hAnsi="Times" w:cs="Times"/>
          <w:b/>
          <w:color w:val="000000"/>
          <w:sz w:val="24"/>
          <w:szCs w:val="24"/>
        </w:rPr>
      </w:pPr>
      <w:r>
        <w:rPr>
          <w:rFonts w:ascii="Times" w:eastAsia="Times" w:hAnsi="Times" w:cs="Times"/>
          <w:b/>
          <w:color w:val="000000"/>
          <w:sz w:val="24"/>
          <w:szCs w:val="24"/>
        </w:rPr>
        <w:t xml:space="preserve">Preocupa que en sus decretos, resoluciones, leyes, disposiciones, normas, planes,  programas, formularios y discursos oficiales, el Estado Argentino: </w:t>
      </w:r>
    </w:p>
    <w:p w:rsidR="00BD52DF" w:rsidRDefault="00B45DEF">
      <w:pPr>
        <w:pStyle w:val="normal0"/>
        <w:widowControl w:val="0"/>
        <w:pBdr>
          <w:top w:val="nil"/>
          <w:left w:val="nil"/>
          <w:bottom w:val="nil"/>
          <w:right w:val="nil"/>
          <w:between w:val="nil"/>
        </w:pBdr>
        <w:spacing w:before="1" w:line="229" w:lineRule="auto"/>
        <w:ind w:left="15" w:hanging="3"/>
        <w:jc w:val="both"/>
        <w:rPr>
          <w:rFonts w:ascii="Times" w:eastAsia="Times" w:hAnsi="Times" w:cs="Times"/>
          <w:color w:val="000000"/>
          <w:sz w:val="24"/>
          <w:szCs w:val="24"/>
        </w:rPr>
      </w:pPr>
      <w:r>
        <w:rPr>
          <w:rFonts w:ascii="Times" w:eastAsia="Times" w:hAnsi="Times" w:cs="Times"/>
          <w:color w:val="000000"/>
          <w:sz w:val="24"/>
          <w:szCs w:val="24"/>
        </w:rPr>
        <w:t xml:space="preserve">– Redefina el sexo como una “asignación cultural” y “los géneros” como una identificación  profunda y auténtica sobre la base de estereotipos culturales sexistas (2). Así convierte el  sexo en una ficción legal excluyente de las diversidades LGBTIQ+. </w:t>
      </w:r>
    </w:p>
    <w:p w:rsidR="00BD52DF" w:rsidRDefault="00B45DEF">
      <w:pPr>
        <w:pStyle w:val="normal0"/>
        <w:widowControl w:val="0"/>
        <w:pBdr>
          <w:top w:val="nil"/>
          <w:left w:val="nil"/>
          <w:bottom w:val="nil"/>
          <w:right w:val="nil"/>
          <w:between w:val="nil"/>
        </w:pBdr>
        <w:spacing w:before="5" w:line="230" w:lineRule="auto"/>
        <w:ind w:left="15" w:right="-1"/>
        <w:rPr>
          <w:rFonts w:ascii="Times" w:eastAsia="Times" w:hAnsi="Times" w:cs="Times"/>
          <w:color w:val="000000"/>
          <w:sz w:val="24"/>
          <w:szCs w:val="24"/>
        </w:rPr>
      </w:pPr>
      <w:r>
        <w:rPr>
          <w:rFonts w:ascii="Times" w:eastAsia="Times" w:hAnsi="Times" w:cs="Times"/>
          <w:color w:val="000000"/>
          <w:sz w:val="24"/>
          <w:szCs w:val="24"/>
        </w:rPr>
        <w:t xml:space="preserve">– Defina a la mujer como “la identidad de género femenina”, “cis” y “trans” (3). – Sustituya los organismos especiales destinados a la protección de las mujeres por  organismos genéricos destinados a todos los géneros, varones y mujeres. </w:t>
      </w:r>
    </w:p>
    <w:p w:rsidR="00BD52DF" w:rsidRDefault="00B45DEF">
      <w:pPr>
        <w:pStyle w:val="normal0"/>
        <w:widowControl w:val="0"/>
        <w:pBdr>
          <w:top w:val="nil"/>
          <w:left w:val="nil"/>
          <w:bottom w:val="nil"/>
          <w:right w:val="nil"/>
          <w:between w:val="nil"/>
        </w:pBdr>
        <w:spacing w:line="229" w:lineRule="auto"/>
        <w:ind w:left="26" w:right="13" w:hanging="10"/>
        <w:rPr>
          <w:rFonts w:ascii="Times" w:eastAsia="Times" w:hAnsi="Times" w:cs="Times"/>
          <w:color w:val="000000"/>
          <w:sz w:val="24"/>
          <w:szCs w:val="24"/>
        </w:rPr>
      </w:pPr>
      <w:r>
        <w:rPr>
          <w:rFonts w:ascii="Times" w:eastAsia="Times" w:hAnsi="Times" w:cs="Times"/>
          <w:color w:val="000000"/>
          <w:sz w:val="24"/>
          <w:szCs w:val="24"/>
        </w:rPr>
        <w:t xml:space="preserve">– Elimine la categoría “sexo” de los formularios oficiales de inscripción, sustituyéndola por  el “género” (4) o distorsionándola en una multiplicidad de sexos (5).  </w:t>
      </w:r>
    </w:p>
    <w:p w:rsidR="00BD52DF" w:rsidRDefault="00B45DEF">
      <w:pPr>
        <w:pStyle w:val="normal0"/>
        <w:widowControl w:val="0"/>
        <w:pBdr>
          <w:top w:val="nil"/>
          <w:left w:val="nil"/>
          <w:bottom w:val="nil"/>
          <w:right w:val="nil"/>
          <w:between w:val="nil"/>
        </w:pBdr>
        <w:spacing w:before="6" w:line="229" w:lineRule="auto"/>
        <w:ind w:left="20" w:right="-3" w:hanging="4"/>
        <w:jc w:val="both"/>
        <w:rPr>
          <w:rFonts w:ascii="Times" w:eastAsia="Times" w:hAnsi="Times" w:cs="Times"/>
          <w:color w:val="000000"/>
          <w:sz w:val="24"/>
          <w:szCs w:val="24"/>
        </w:rPr>
      </w:pPr>
      <w:r>
        <w:rPr>
          <w:rFonts w:ascii="Times" w:eastAsia="Times" w:hAnsi="Times" w:cs="Times"/>
          <w:color w:val="000000"/>
          <w:sz w:val="24"/>
          <w:szCs w:val="24"/>
        </w:rPr>
        <w:lastRenderedPageBreak/>
        <w:t xml:space="preserve">– En el caso del formulario del Censo 2022, Argentina anunció junto a la CEPAL que las  investigaciones estadísticas y censales se realizarían con “perspectiva de género”, sin  informes </w:t>
      </w:r>
      <w:proofErr w:type="spellStart"/>
      <w:r>
        <w:rPr>
          <w:rFonts w:ascii="Times" w:eastAsia="Times" w:hAnsi="Times" w:cs="Times"/>
          <w:color w:val="000000"/>
          <w:sz w:val="24"/>
          <w:szCs w:val="24"/>
        </w:rPr>
        <w:t>respaldatorios</w:t>
      </w:r>
      <w:proofErr w:type="spellEnd"/>
      <w:r>
        <w:rPr>
          <w:rFonts w:ascii="Times" w:eastAsia="Times" w:hAnsi="Times" w:cs="Times"/>
          <w:color w:val="000000"/>
          <w:sz w:val="24"/>
          <w:szCs w:val="24"/>
        </w:rPr>
        <w:t xml:space="preserve"> sobre tal tratamiento (6). Conforme con dicha perspectiva, el  Formulario Censal (7) preguntó el sexo registrado al nacer –incluyendo la categoría “X”– </w:t>
      </w:r>
      <w:r>
        <w:rPr>
          <w:rFonts w:ascii="Times" w:eastAsia="Times" w:hAnsi="Times" w:cs="Times"/>
          <w:color w:val="000000"/>
          <w:sz w:val="24"/>
          <w:szCs w:val="24"/>
          <w:highlight w:val="white"/>
        </w:rPr>
        <w:t xml:space="preserve">y la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autopercepción identitaria –“mujer”, “mujer trans/travesti”, “varón”, “varón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trans/masculinidad trans”, “no binario”, “otra identidad/ninguna de las anteriores”–. </w:t>
      </w:r>
      <w:r>
        <w:rPr>
          <w:rFonts w:ascii="Times" w:eastAsia="Times" w:hAnsi="Times" w:cs="Times"/>
          <w:color w:val="000000"/>
          <w:sz w:val="24"/>
          <w:szCs w:val="24"/>
        </w:rPr>
        <w:t>Los  datos preliminares arrojaron que hay</w:t>
      </w:r>
      <w:r>
        <w:rPr>
          <w:rFonts w:ascii="Times" w:eastAsia="Times" w:hAnsi="Times" w:cs="Times"/>
          <w:color w:val="000000"/>
          <w:sz w:val="24"/>
          <w:szCs w:val="24"/>
          <w:highlight w:val="white"/>
        </w:rPr>
        <w:t xml:space="preserve"> 25.083.524 mujeres, el 52.83% de la población total.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Dada la perspectiva de los géneros, la recolección y sistematización de datos realizados en el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Censo 2022 borra la proyección poblacional basada en sexo hacia el 2040 efectuada por el </w:t>
      </w:r>
      <w:r>
        <w:rPr>
          <w:rFonts w:ascii="Times" w:eastAsia="Times" w:hAnsi="Times" w:cs="Times"/>
          <w:color w:val="000000"/>
          <w:sz w:val="24"/>
          <w:szCs w:val="24"/>
        </w:rPr>
        <w:t xml:space="preserve"> </w:t>
      </w:r>
      <w:r>
        <w:rPr>
          <w:rFonts w:ascii="Times" w:eastAsia="Times" w:hAnsi="Times" w:cs="Times"/>
          <w:color w:val="000000"/>
          <w:sz w:val="24"/>
          <w:szCs w:val="24"/>
          <w:highlight w:val="white"/>
        </w:rPr>
        <w:t>mismo INDEC.</w:t>
      </w:r>
      <w:r>
        <w:rPr>
          <w:rFonts w:ascii="Times" w:eastAsia="Times" w:hAnsi="Times" w:cs="Times"/>
          <w:color w:val="000000"/>
          <w:sz w:val="24"/>
          <w:szCs w:val="24"/>
        </w:rPr>
        <w:t xml:space="preserve"> </w:t>
      </w:r>
    </w:p>
    <w:p w:rsidR="00BD52DF" w:rsidRDefault="00B45DEF">
      <w:pPr>
        <w:pStyle w:val="normal0"/>
        <w:widowControl w:val="0"/>
        <w:pBdr>
          <w:top w:val="nil"/>
          <w:left w:val="nil"/>
          <w:bottom w:val="nil"/>
          <w:right w:val="nil"/>
          <w:between w:val="nil"/>
        </w:pBdr>
        <w:spacing w:before="558" w:line="229" w:lineRule="auto"/>
        <w:ind w:left="21" w:right="-2"/>
        <w:jc w:val="both"/>
        <w:rPr>
          <w:rFonts w:ascii="Times" w:eastAsia="Times" w:hAnsi="Times" w:cs="Times"/>
          <w:color w:val="000000"/>
          <w:sz w:val="24"/>
          <w:szCs w:val="24"/>
        </w:rPr>
      </w:pPr>
      <w:r>
        <w:rPr>
          <w:rFonts w:ascii="Times" w:eastAsia="Times" w:hAnsi="Times" w:cs="Times"/>
          <w:b/>
          <w:color w:val="000000"/>
          <w:sz w:val="24"/>
          <w:szCs w:val="24"/>
        </w:rPr>
        <w:t xml:space="preserve">El artículo 2 de la CEDAW </w:t>
      </w:r>
      <w:r>
        <w:rPr>
          <w:rFonts w:ascii="Times" w:eastAsia="Times" w:hAnsi="Times" w:cs="Times"/>
          <w:color w:val="000000"/>
          <w:sz w:val="24"/>
          <w:szCs w:val="24"/>
        </w:rPr>
        <w:t xml:space="preserve">se refiere a la eliminación de la discriminación </w:t>
      </w:r>
      <w:r>
        <w:rPr>
          <w:rFonts w:ascii="Times" w:eastAsia="Times" w:hAnsi="Times" w:cs="Times"/>
          <w:i/>
          <w:color w:val="000000"/>
          <w:sz w:val="24"/>
          <w:szCs w:val="24"/>
        </w:rPr>
        <w:t xml:space="preserve">de facto </w:t>
      </w:r>
      <w:r>
        <w:rPr>
          <w:rFonts w:ascii="Times" w:eastAsia="Times" w:hAnsi="Times" w:cs="Times"/>
          <w:color w:val="000000"/>
          <w:sz w:val="24"/>
          <w:szCs w:val="24"/>
        </w:rPr>
        <w:t xml:space="preserve">contra  la mujer en todas sus formas y por todos los medios apropiados. Entre tales formas de  discriminación se encuentra la “condición lesbiana”, referida por la </w:t>
      </w:r>
      <w:r>
        <w:rPr>
          <w:rFonts w:ascii="Times" w:eastAsia="Times" w:hAnsi="Times" w:cs="Times"/>
          <w:b/>
          <w:color w:val="000000"/>
          <w:sz w:val="24"/>
          <w:szCs w:val="24"/>
        </w:rPr>
        <w:t>Recomendación  General núm. 35</w:t>
      </w:r>
      <w:r>
        <w:rPr>
          <w:rFonts w:ascii="Times" w:eastAsia="Times" w:hAnsi="Times" w:cs="Times"/>
          <w:color w:val="000000"/>
          <w:sz w:val="24"/>
          <w:szCs w:val="24"/>
        </w:rPr>
        <w:t xml:space="preserve">. </w:t>
      </w:r>
      <w:r>
        <w:rPr>
          <w:rFonts w:ascii="Times" w:eastAsia="Times" w:hAnsi="Times" w:cs="Times"/>
          <w:b/>
          <w:color w:val="000000"/>
          <w:sz w:val="24"/>
          <w:szCs w:val="24"/>
        </w:rPr>
        <w:t xml:space="preserve">El artículo 3 </w:t>
      </w:r>
      <w:r>
        <w:rPr>
          <w:rFonts w:ascii="Times" w:eastAsia="Times" w:hAnsi="Times" w:cs="Times"/>
          <w:color w:val="000000"/>
          <w:sz w:val="24"/>
          <w:szCs w:val="24"/>
        </w:rPr>
        <w:t xml:space="preserve">trata de garantizar el desarrollo y adelanto de las mujeres en  igualdad de condiciones con el hombre en las esferas política, social, económica y cultural. </w:t>
      </w:r>
    </w:p>
    <w:p w:rsidR="00BD52DF" w:rsidRDefault="00B45DEF">
      <w:pPr>
        <w:pStyle w:val="normal0"/>
        <w:widowControl w:val="0"/>
        <w:pBdr>
          <w:top w:val="nil"/>
          <w:left w:val="nil"/>
          <w:bottom w:val="nil"/>
          <w:right w:val="nil"/>
          <w:between w:val="nil"/>
        </w:pBdr>
        <w:spacing w:before="6" w:line="230" w:lineRule="auto"/>
        <w:ind w:left="24" w:right="9" w:hanging="3"/>
        <w:rPr>
          <w:rFonts w:ascii="Times" w:eastAsia="Times" w:hAnsi="Times" w:cs="Times"/>
          <w:color w:val="000000"/>
          <w:sz w:val="24"/>
          <w:szCs w:val="24"/>
        </w:rPr>
      </w:pPr>
      <w:r>
        <w:rPr>
          <w:rFonts w:ascii="Times" w:eastAsia="Times" w:hAnsi="Times" w:cs="Times"/>
          <w:color w:val="000000"/>
          <w:sz w:val="24"/>
          <w:szCs w:val="24"/>
        </w:rPr>
        <w:t xml:space="preserve">Argentina ha sustituido el principio de la igualdad entre varones y mujeres por el principio de  la igualdad “entre todos los géneros” autopercibidos sobre la base de estereotipos sexistas.  </w:t>
      </w:r>
    </w:p>
    <w:p w:rsidR="00BD52DF" w:rsidRDefault="00B45DEF">
      <w:pPr>
        <w:pStyle w:val="normal0"/>
        <w:widowControl w:val="0"/>
        <w:pBdr>
          <w:top w:val="nil"/>
          <w:left w:val="nil"/>
          <w:bottom w:val="nil"/>
          <w:right w:val="nil"/>
          <w:between w:val="nil"/>
        </w:pBdr>
        <w:spacing w:before="285" w:line="229" w:lineRule="auto"/>
        <w:ind w:left="23" w:right="-2" w:hanging="2"/>
        <w:rPr>
          <w:rFonts w:ascii="Times" w:eastAsia="Times" w:hAnsi="Times" w:cs="Times"/>
          <w:b/>
          <w:color w:val="000000"/>
          <w:sz w:val="24"/>
          <w:szCs w:val="24"/>
        </w:rPr>
      </w:pPr>
      <w:r>
        <w:rPr>
          <w:rFonts w:ascii="Times" w:eastAsia="Times" w:hAnsi="Times" w:cs="Times"/>
          <w:b/>
          <w:color w:val="000000"/>
          <w:sz w:val="24"/>
          <w:szCs w:val="24"/>
        </w:rPr>
        <w:t xml:space="preserve">Preocupa que los Programas y Planes del Ministerio de Mujeres, Géneros y Diversidad  en materia política, social, económica y cultural:  </w:t>
      </w:r>
    </w:p>
    <w:p w:rsidR="00BD52DF" w:rsidRDefault="00B45DEF">
      <w:pPr>
        <w:pStyle w:val="normal0"/>
        <w:widowControl w:val="0"/>
        <w:pBdr>
          <w:top w:val="nil"/>
          <w:left w:val="nil"/>
          <w:bottom w:val="nil"/>
          <w:right w:val="nil"/>
          <w:between w:val="nil"/>
        </w:pBdr>
        <w:spacing w:before="2" w:line="229" w:lineRule="auto"/>
        <w:ind w:left="24" w:right="13" w:hanging="9"/>
        <w:rPr>
          <w:rFonts w:ascii="Times" w:eastAsia="Times" w:hAnsi="Times" w:cs="Times"/>
          <w:color w:val="000000"/>
          <w:sz w:val="24"/>
          <w:szCs w:val="24"/>
        </w:rPr>
      </w:pPr>
      <w:r>
        <w:rPr>
          <w:rFonts w:ascii="Times" w:eastAsia="Times" w:hAnsi="Times" w:cs="Times"/>
          <w:color w:val="000000"/>
          <w:sz w:val="24"/>
          <w:szCs w:val="24"/>
        </w:rPr>
        <w:t xml:space="preserve">– Sustituyan la igualdad sustantiva del hombre y la mujer por la igualdad “entre todos los  géneros” autopercibidos. </w:t>
      </w:r>
    </w:p>
    <w:p w:rsidR="00BD52DF" w:rsidRDefault="00B45DEF">
      <w:pPr>
        <w:pStyle w:val="normal0"/>
        <w:widowControl w:val="0"/>
        <w:pBdr>
          <w:top w:val="nil"/>
          <w:left w:val="nil"/>
          <w:bottom w:val="nil"/>
          <w:right w:val="nil"/>
          <w:between w:val="nil"/>
        </w:pBdr>
        <w:spacing w:before="6" w:line="230" w:lineRule="auto"/>
        <w:ind w:right="-2" w:firstLine="15"/>
        <w:jc w:val="both"/>
        <w:rPr>
          <w:rFonts w:ascii="Times" w:eastAsia="Times" w:hAnsi="Times" w:cs="Times"/>
          <w:color w:val="000000"/>
          <w:sz w:val="24"/>
          <w:szCs w:val="24"/>
        </w:rPr>
      </w:pPr>
      <w:r>
        <w:rPr>
          <w:rFonts w:ascii="Times" w:eastAsia="Times" w:hAnsi="Times" w:cs="Times"/>
          <w:color w:val="000000"/>
          <w:sz w:val="24"/>
          <w:szCs w:val="24"/>
        </w:rPr>
        <w:t xml:space="preserve">– Redistribuyan los recursos y partidas presupuestarias destinadas a las mujeres entre todos  los géneros, es decir, entre varones y mujeres. A título de ejemplo, el “Programa Nacional  para la Igualdad de Géneros en Ciencia, Tecnología e Innovación” (8) sustituye la igualdad  entre varones y mujeres por la “igualdad entre todos los géneros”, sin especificar el  porcentaje de plazas y recursos que corresponden a las mujeres en el conjunto de todos los  géneros MLGBTIQ++. A fin de justificarlo, el articulado de dicho Programa confunde </w:t>
      </w:r>
      <w:r>
        <w:rPr>
          <w:rFonts w:ascii="Times" w:eastAsia="Times" w:hAnsi="Times" w:cs="Times"/>
          <w:i/>
          <w:color w:val="000000"/>
          <w:sz w:val="24"/>
          <w:szCs w:val="24"/>
        </w:rPr>
        <w:t xml:space="preserve">ex  profeso </w:t>
      </w:r>
      <w:r>
        <w:rPr>
          <w:rFonts w:ascii="Times" w:eastAsia="Times" w:hAnsi="Times" w:cs="Times"/>
          <w:color w:val="000000"/>
          <w:sz w:val="24"/>
          <w:szCs w:val="24"/>
        </w:rPr>
        <w:t xml:space="preserve">los Principios de Yogyakarta con un Tratado Internacional vinculante suscrito por  Argentina en 1995 (9), y la “igualdad de género” del Programa de Naciones Unidas para el  Desarrollo sostenible con la “igualdad entre los géneros”. Recordemos a la sazón la exigencia  de los Principios de Yogyakarta Plus 10 de eliminar el sexo legal (10). </w:t>
      </w:r>
    </w:p>
    <w:p w:rsidR="00BD52DF" w:rsidRDefault="00B45DEF">
      <w:pPr>
        <w:pStyle w:val="normal0"/>
        <w:widowControl w:val="0"/>
        <w:pBdr>
          <w:top w:val="nil"/>
          <w:left w:val="nil"/>
          <w:bottom w:val="nil"/>
          <w:right w:val="nil"/>
          <w:between w:val="nil"/>
        </w:pBdr>
        <w:spacing w:before="5" w:line="229" w:lineRule="auto"/>
        <w:ind w:left="18" w:right="3" w:hanging="3"/>
        <w:jc w:val="both"/>
        <w:rPr>
          <w:rFonts w:ascii="Times" w:eastAsia="Times" w:hAnsi="Times" w:cs="Times"/>
          <w:color w:val="000000"/>
          <w:sz w:val="24"/>
          <w:szCs w:val="24"/>
        </w:rPr>
      </w:pPr>
      <w:r>
        <w:rPr>
          <w:rFonts w:ascii="Times" w:eastAsia="Times" w:hAnsi="Times" w:cs="Times"/>
          <w:color w:val="000000"/>
          <w:sz w:val="24"/>
          <w:szCs w:val="24"/>
        </w:rPr>
        <w:t xml:space="preserve">– Desconozca la especificidad sexual de las lesbianas como mujeres que aman a otras  mujeres e incluya en su definición a varones que aman a mujeres u otros varones. Tal es así  porque, según el enfoque de los géneros MLGBTIQ+, mujer excluye a lesbianas, bisexuales o  intersexuales, y la orientación sexual depende de la orientación de género.  </w:t>
      </w:r>
    </w:p>
    <w:p w:rsidR="00BD52DF" w:rsidRDefault="00B45DEF">
      <w:pPr>
        <w:pStyle w:val="normal0"/>
        <w:widowControl w:val="0"/>
        <w:pBdr>
          <w:top w:val="nil"/>
          <w:left w:val="nil"/>
          <w:bottom w:val="nil"/>
          <w:right w:val="nil"/>
          <w:between w:val="nil"/>
        </w:pBdr>
        <w:spacing w:before="6" w:line="230" w:lineRule="auto"/>
        <w:ind w:left="20" w:right="4" w:hanging="4"/>
        <w:jc w:val="both"/>
        <w:rPr>
          <w:rFonts w:ascii="Times" w:eastAsia="Times" w:hAnsi="Times" w:cs="Times"/>
          <w:color w:val="000000"/>
          <w:sz w:val="24"/>
          <w:szCs w:val="24"/>
        </w:rPr>
      </w:pPr>
      <w:r>
        <w:rPr>
          <w:rFonts w:ascii="Times" w:eastAsia="Times" w:hAnsi="Times" w:cs="Times"/>
          <w:color w:val="000000"/>
          <w:sz w:val="24"/>
          <w:szCs w:val="24"/>
        </w:rPr>
        <w:t xml:space="preserve">– Minorice a las mujeres en términos identitarios en lugar de reconocer su mayoría absoluta.  El 51% de la humanidad son mujeres, y ser mujer incluye toda autopercepción subjetiva o  elección sexual. </w:t>
      </w:r>
    </w:p>
    <w:p w:rsidR="00BD52DF" w:rsidRDefault="00B45DEF">
      <w:pPr>
        <w:pStyle w:val="normal0"/>
        <w:widowControl w:val="0"/>
        <w:pBdr>
          <w:top w:val="nil"/>
          <w:left w:val="nil"/>
          <w:bottom w:val="nil"/>
          <w:right w:val="nil"/>
          <w:between w:val="nil"/>
        </w:pBdr>
        <w:spacing w:before="5" w:line="229" w:lineRule="auto"/>
        <w:ind w:left="15" w:right="11"/>
        <w:rPr>
          <w:rFonts w:ascii="Times" w:eastAsia="Times" w:hAnsi="Times" w:cs="Times"/>
          <w:color w:val="000000"/>
          <w:sz w:val="24"/>
          <w:szCs w:val="24"/>
        </w:rPr>
      </w:pPr>
      <w:r>
        <w:rPr>
          <w:rFonts w:ascii="Times" w:eastAsia="Times" w:hAnsi="Times" w:cs="Times"/>
          <w:color w:val="000000"/>
          <w:sz w:val="24"/>
          <w:szCs w:val="24"/>
        </w:rPr>
        <w:t xml:space="preserve">– En su afán por minorizar a las mujeres como una identidad excluyente y atribuir a todos los  géneros lo específico de aquellas, se realicen afirmaciones tan infundadas como, por ejemplo,  que las personas gays son las más afectadas por el cambio climático (11). – Elimine el enfoque sistemático y estructural imprescindible para detectar y modificar  patrones opresivos de las mujeres en favor de un enfoque identitario. </w:t>
      </w:r>
    </w:p>
    <w:p w:rsidR="00BD52DF" w:rsidRDefault="00B45DEF">
      <w:pPr>
        <w:pStyle w:val="normal0"/>
        <w:widowControl w:val="0"/>
        <w:pBdr>
          <w:top w:val="nil"/>
          <w:left w:val="nil"/>
          <w:bottom w:val="nil"/>
          <w:right w:val="nil"/>
          <w:between w:val="nil"/>
        </w:pBdr>
        <w:spacing w:line="229" w:lineRule="auto"/>
        <w:ind w:left="20" w:right="-1"/>
        <w:jc w:val="both"/>
        <w:rPr>
          <w:rFonts w:ascii="Times" w:eastAsia="Times" w:hAnsi="Times" w:cs="Times"/>
          <w:color w:val="000000"/>
          <w:sz w:val="24"/>
          <w:szCs w:val="24"/>
        </w:rPr>
      </w:pPr>
      <w:r>
        <w:rPr>
          <w:rFonts w:ascii="Times" w:eastAsia="Times" w:hAnsi="Times" w:cs="Times"/>
          <w:b/>
          <w:color w:val="000000"/>
          <w:sz w:val="24"/>
          <w:szCs w:val="24"/>
        </w:rPr>
        <w:t xml:space="preserve">El artículo 4 de la CEDAW </w:t>
      </w:r>
      <w:r>
        <w:rPr>
          <w:rFonts w:ascii="Times" w:eastAsia="Times" w:hAnsi="Times" w:cs="Times"/>
          <w:color w:val="000000"/>
          <w:sz w:val="24"/>
          <w:szCs w:val="24"/>
        </w:rPr>
        <w:t xml:space="preserve">se refiere a la adopción de medidas especiales de carácter  temporal encaminadas a acelerar la igualdad de facto entre el hombre y la mujer. Tales  medidas incluyen la protección de la maternidad, de la cual el </w:t>
      </w:r>
      <w:r>
        <w:rPr>
          <w:rFonts w:ascii="Times" w:eastAsia="Times" w:hAnsi="Times" w:cs="Times"/>
          <w:b/>
          <w:color w:val="000000"/>
          <w:sz w:val="24"/>
          <w:szCs w:val="24"/>
        </w:rPr>
        <w:t xml:space="preserve">artículo 5.b </w:t>
      </w:r>
      <w:r>
        <w:rPr>
          <w:rFonts w:ascii="Times" w:eastAsia="Times" w:hAnsi="Times" w:cs="Times"/>
          <w:color w:val="000000"/>
          <w:sz w:val="24"/>
          <w:szCs w:val="24"/>
        </w:rPr>
        <w:t xml:space="preserve">reconoce su  función social y los </w:t>
      </w:r>
      <w:r>
        <w:rPr>
          <w:rFonts w:ascii="Times" w:eastAsia="Times" w:hAnsi="Times" w:cs="Times"/>
          <w:b/>
          <w:color w:val="000000"/>
          <w:sz w:val="24"/>
          <w:szCs w:val="24"/>
        </w:rPr>
        <w:t xml:space="preserve">artículos 11.2 y 12.2 </w:t>
      </w:r>
      <w:r>
        <w:rPr>
          <w:rFonts w:ascii="Times" w:eastAsia="Times" w:hAnsi="Times" w:cs="Times"/>
          <w:color w:val="000000"/>
          <w:sz w:val="24"/>
          <w:szCs w:val="24"/>
        </w:rPr>
        <w:t xml:space="preserve">llaman a garantizar las prestaciones sociales y los  servicios concernientes.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lastRenderedPageBreak/>
        <w:t xml:space="preserve">Preocupa que el Estado argentino: </w:t>
      </w:r>
    </w:p>
    <w:p w:rsidR="00BD52DF" w:rsidRDefault="00B45DEF">
      <w:pPr>
        <w:pStyle w:val="normal0"/>
        <w:widowControl w:val="0"/>
        <w:pBdr>
          <w:top w:val="nil"/>
          <w:left w:val="nil"/>
          <w:bottom w:val="nil"/>
          <w:right w:val="nil"/>
          <w:between w:val="nil"/>
        </w:pBdr>
        <w:spacing w:line="229" w:lineRule="auto"/>
        <w:ind w:left="20" w:right="12" w:hanging="4"/>
        <w:rPr>
          <w:rFonts w:ascii="Times" w:eastAsia="Times" w:hAnsi="Times" w:cs="Times"/>
          <w:color w:val="000000"/>
          <w:sz w:val="24"/>
          <w:szCs w:val="24"/>
        </w:rPr>
      </w:pPr>
      <w:r>
        <w:rPr>
          <w:rFonts w:ascii="Times" w:eastAsia="Times" w:hAnsi="Times" w:cs="Times"/>
          <w:color w:val="000000"/>
          <w:sz w:val="24"/>
          <w:szCs w:val="24"/>
        </w:rPr>
        <w:t xml:space="preserve">– Incumpla con la reglamentación de la Ley 20582 para la creación del Instituto de Jardines  Maternales Zonales en el contexto del fallo de la Corte Suprema de la Nación, que condenó al Poder Ejecutivo Nacional (luego de 45 años) a reglamentar el artículo 179 de la Ley de  Contrato de Trabajo N° 20.744 (t.o. 1976) y sus modificatorias. </w:t>
      </w:r>
    </w:p>
    <w:p w:rsidR="00BD52DF" w:rsidRDefault="00B45DEF">
      <w:pPr>
        <w:pStyle w:val="normal0"/>
        <w:widowControl w:val="0"/>
        <w:pBdr>
          <w:top w:val="nil"/>
          <w:left w:val="nil"/>
          <w:bottom w:val="nil"/>
          <w:right w:val="nil"/>
          <w:between w:val="nil"/>
        </w:pBdr>
        <w:spacing w:before="6" w:line="229" w:lineRule="auto"/>
        <w:ind w:left="21" w:right="-1" w:hanging="5"/>
        <w:jc w:val="both"/>
        <w:rPr>
          <w:rFonts w:ascii="Times" w:eastAsia="Times" w:hAnsi="Times" w:cs="Times"/>
          <w:color w:val="000000"/>
          <w:sz w:val="24"/>
          <w:szCs w:val="24"/>
        </w:rPr>
      </w:pPr>
      <w:r>
        <w:rPr>
          <w:rFonts w:ascii="Times" w:eastAsia="Times" w:hAnsi="Times" w:cs="Times"/>
          <w:color w:val="000000"/>
          <w:sz w:val="24"/>
          <w:szCs w:val="24"/>
        </w:rPr>
        <w:t xml:space="preserve">– En el Proyecto de Ley “Cuidar en igualdad”, sustituya las licencias por “maternidad” y  “paternidad” por licencias para personal “gestante” y “no gestante” (12). Dicho proyecto  elimina la función social de la maternidad en favor de una neutra y asexuada función de  cuidado. Dicho proyecto propone además licencias para no-gestantes obligatorias e  intransferibles que discriminan a las madres monomarentales. Recordemos que para la ley  argentina el gestante puede ser padre o madre, lo mismo que el no-gestante. De ahí la  necesidad de borrar las categorías subjetivas y autopercibidas de madre y padre, vacías de  contenido propio.  </w:t>
      </w:r>
    </w:p>
    <w:p w:rsidR="00BD52DF" w:rsidRDefault="00B45DEF">
      <w:pPr>
        <w:pStyle w:val="normal0"/>
        <w:widowControl w:val="0"/>
        <w:pBdr>
          <w:top w:val="nil"/>
          <w:left w:val="nil"/>
          <w:bottom w:val="nil"/>
          <w:right w:val="nil"/>
          <w:between w:val="nil"/>
        </w:pBdr>
        <w:spacing w:before="5" w:line="230" w:lineRule="auto"/>
        <w:ind w:left="21" w:right="1" w:hanging="5"/>
        <w:rPr>
          <w:rFonts w:ascii="Times" w:eastAsia="Times" w:hAnsi="Times" w:cs="Times"/>
          <w:color w:val="000000"/>
          <w:sz w:val="24"/>
          <w:szCs w:val="24"/>
        </w:rPr>
      </w:pPr>
      <w:r>
        <w:rPr>
          <w:rFonts w:ascii="Times" w:eastAsia="Times" w:hAnsi="Times" w:cs="Times"/>
          <w:color w:val="000000"/>
          <w:sz w:val="24"/>
          <w:szCs w:val="24"/>
        </w:rPr>
        <w:t xml:space="preserve">– Sustituya “leche materna” por “leche humana” (13), entendiendo que ésta podría ser  materna o paterna, femenina, masculina, andrógina, etc.  </w:t>
      </w:r>
    </w:p>
    <w:p w:rsidR="00BD52DF" w:rsidRDefault="00B45DEF">
      <w:pPr>
        <w:pStyle w:val="normal0"/>
        <w:widowControl w:val="0"/>
        <w:pBdr>
          <w:top w:val="nil"/>
          <w:left w:val="nil"/>
          <w:bottom w:val="nil"/>
          <w:right w:val="nil"/>
          <w:between w:val="nil"/>
        </w:pBdr>
        <w:spacing w:before="5" w:line="229" w:lineRule="auto"/>
        <w:ind w:left="21" w:right="5" w:hanging="5"/>
        <w:jc w:val="both"/>
        <w:rPr>
          <w:rFonts w:ascii="Times" w:eastAsia="Times" w:hAnsi="Times" w:cs="Times"/>
          <w:color w:val="000000"/>
          <w:sz w:val="24"/>
          <w:szCs w:val="24"/>
        </w:rPr>
      </w:pPr>
      <w:r>
        <w:rPr>
          <w:rFonts w:ascii="Times" w:eastAsia="Times" w:hAnsi="Times" w:cs="Times"/>
          <w:color w:val="000000"/>
          <w:sz w:val="24"/>
          <w:szCs w:val="24"/>
        </w:rPr>
        <w:t xml:space="preserve">– Impida que las mujeres se reconozcan, refieran, nombren y sean nombradas en un lenguaje  claro y preciso, que refleje sus experiencias e identidad sexual específica en tanto que  mujeres y madres. </w:t>
      </w:r>
    </w:p>
    <w:p w:rsidR="00BD52DF" w:rsidRDefault="00B45DEF">
      <w:pPr>
        <w:pStyle w:val="normal0"/>
        <w:widowControl w:val="0"/>
        <w:pBdr>
          <w:top w:val="nil"/>
          <w:left w:val="nil"/>
          <w:bottom w:val="nil"/>
          <w:right w:val="nil"/>
          <w:between w:val="nil"/>
        </w:pBdr>
        <w:spacing w:before="558" w:line="230" w:lineRule="auto"/>
        <w:ind w:left="18" w:firstLine="2"/>
        <w:rPr>
          <w:rFonts w:ascii="Times" w:eastAsia="Times" w:hAnsi="Times" w:cs="Times"/>
          <w:color w:val="000000"/>
          <w:sz w:val="24"/>
          <w:szCs w:val="24"/>
        </w:rPr>
      </w:pPr>
      <w:r>
        <w:rPr>
          <w:rFonts w:ascii="Times" w:eastAsia="Times" w:hAnsi="Times" w:cs="Times"/>
          <w:b/>
          <w:color w:val="000000"/>
          <w:sz w:val="24"/>
          <w:szCs w:val="24"/>
        </w:rPr>
        <w:t xml:space="preserve">El artículo 5 de la CEDAW </w:t>
      </w:r>
      <w:r>
        <w:rPr>
          <w:rFonts w:ascii="Times" w:eastAsia="Times" w:hAnsi="Times" w:cs="Times"/>
          <w:color w:val="000000"/>
          <w:sz w:val="24"/>
          <w:szCs w:val="24"/>
        </w:rPr>
        <w:t xml:space="preserve">se refiere a la modificación de los patrones socioculturales de  conducta basados en la idea de la inferioridad o superioridad entre los sexos. En lugar de modificar los estereotipos de género, Argentina ha sustituido la categoría legal  “sexo” por la ficción legal “género” a fin desplazar la protección legal de aquel a las representaciones culturales sexistas –masculinidad / feminidad– de éste último. </w:t>
      </w:r>
    </w:p>
    <w:p w:rsidR="00BD52DF" w:rsidRDefault="00B45DEF">
      <w:pPr>
        <w:pStyle w:val="normal0"/>
        <w:widowControl w:val="0"/>
        <w:pBdr>
          <w:top w:val="nil"/>
          <w:left w:val="nil"/>
          <w:bottom w:val="nil"/>
          <w:right w:val="nil"/>
          <w:between w:val="nil"/>
        </w:pBdr>
        <w:spacing w:before="285"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el Estado argentino: </w:t>
      </w:r>
    </w:p>
    <w:p w:rsidR="00BD52DF" w:rsidRDefault="00B45DEF">
      <w:pPr>
        <w:pStyle w:val="normal0"/>
        <w:widowControl w:val="0"/>
        <w:pBdr>
          <w:top w:val="nil"/>
          <w:left w:val="nil"/>
          <w:bottom w:val="nil"/>
          <w:right w:val="nil"/>
          <w:between w:val="nil"/>
        </w:pBdr>
        <w:spacing w:line="230" w:lineRule="auto"/>
        <w:ind w:left="23" w:right="-2" w:hanging="7"/>
        <w:rPr>
          <w:rFonts w:ascii="Times" w:eastAsia="Times" w:hAnsi="Times" w:cs="Times"/>
          <w:color w:val="000000"/>
          <w:sz w:val="24"/>
          <w:szCs w:val="24"/>
        </w:rPr>
      </w:pPr>
      <w:r>
        <w:rPr>
          <w:rFonts w:ascii="Times" w:eastAsia="Times" w:hAnsi="Times" w:cs="Times"/>
          <w:color w:val="000000"/>
          <w:sz w:val="24"/>
          <w:szCs w:val="24"/>
        </w:rPr>
        <w:t xml:space="preserve">– Normalice y naturalice la “feminidad” –expresión patriarcal de la opresión– como  equivalente a ser mujer. </w:t>
      </w:r>
    </w:p>
    <w:p w:rsidR="00BD52DF" w:rsidRDefault="00B45DEF">
      <w:pPr>
        <w:pStyle w:val="normal0"/>
        <w:widowControl w:val="0"/>
        <w:pBdr>
          <w:top w:val="nil"/>
          <w:left w:val="nil"/>
          <w:bottom w:val="nil"/>
          <w:right w:val="nil"/>
          <w:between w:val="nil"/>
        </w:pBdr>
        <w:spacing w:before="5" w:line="229" w:lineRule="auto"/>
        <w:ind w:left="21" w:right="12" w:hanging="5"/>
        <w:rPr>
          <w:rFonts w:ascii="Times" w:eastAsia="Times" w:hAnsi="Times" w:cs="Times"/>
          <w:color w:val="000000"/>
          <w:sz w:val="24"/>
          <w:szCs w:val="24"/>
        </w:rPr>
      </w:pPr>
      <w:r>
        <w:rPr>
          <w:rFonts w:ascii="Times" w:eastAsia="Times" w:hAnsi="Times" w:cs="Times"/>
          <w:color w:val="000000"/>
          <w:sz w:val="24"/>
          <w:szCs w:val="24"/>
        </w:rPr>
        <w:t xml:space="preserve">– Proteja, promueva y perpetúe los estereotipos sexistas a título de “géneros” autopercibidos  individualmente.  </w:t>
      </w:r>
    </w:p>
    <w:p w:rsidR="00BD52DF" w:rsidRDefault="00B45DEF">
      <w:pPr>
        <w:pStyle w:val="normal0"/>
        <w:widowControl w:val="0"/>
        <w:pBdr>
          <w:top w:val="nil"/>
          <w:left w:val="nil"/>
          <w:bottom w:val="nil"/>
          <w:right w:val="nil"/>
          <w:between w:val="nil"/>
        </w:pBdr>
        <w:spacing w:before="558" w:line="229" w:lineRule="auto"/>
        <w:ind w:left="20" w:right="-1"/>
        <w:jc w:val="both"/>
        <w:rPr>
          <w:rFonts w:ascii="Times" w:eastAsia="Times" w:hAnsi="Times" w:cs="Times"/>
          <w:color w:val="000000"/>
          <w:sz w:val="24"/>
          <w:szCs w:val="24"/>
        </w:rPr>
      </w:pPr>
      <w:r>
        <w:rPr>
          <w:rFonts w:ascii="Times" w:eastAsia="Times" w:hAnsi="Times" w:cs="Times"/>
          <w:b/>
          <w:color w:val="000000"/>
          <w:sz w:val="24"/>
          <w:szCs w:val="24"/>
        </w:rPr>
        <w:t xml:space="preserve">El artículo 6 </w:t>
      </w:r>
      <w:r>
        <w:rPr>
          <w:rFonts w:ascii="Times" w:eastAsia="Times" w:hAnsi="Times" w:cs="Times"/>
          <w:color w:val="000000"/>
          <w:sz w:val="24"/>
          <w:szCs w:val="24"/>
        </w:rPr>
        <w:t xml:space="preserve">se refiere a las medidas para suprimir toda forma de trata de mujeres y  explotación de la prostitución de la mujer. La </w:t>
      </w:r>
      <w:r>
        <w:rPr>
          <w:rFonts w:ascii="Times" w:eastAsia="Times" w:hAnsi="Times" w:cs="Times"/>
          <w:b/>
          <w:color w:val="000000"/>
          <w:sz w:val="24"/>
          <w:szCs w:val="24"/>
        </w:rPr>
        <w:t xml:space="preserve">Recomendación General núm. 39 </w:t>
      </w:r>
      <w:r>
        <w:rPr>
          <w:rFonts w:ascii="Times" w:eastAsia="Times" w:hAnsi="Times" w:cs="Times"/>
          <w:color w:val="000000"/>
          <w:sz w:val="24"/>
          <w:szCs w:val="24"/>
          <w:highlight w:val="white"/>
        </w:rPr>
        <w:t xml:space="preserve">explica la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disposición indivisible entre trata y explotación sexual (Parr. 8), basadas ambas en la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discriminación estructural por razón de sexo y constituidas como violencia de género (Parr.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10). En ciertos casos las equipara a violaciones tales como la esclavitud, trata de esclavos y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tortura (Parr. 15), por lo cual obliga a los Estados a desincentivar la demanda (Párr. 6) entre </w:t>
      </w:r>
      <w:r>
        <w:rPr>
          <w:rFonts w:ascii="Times" w:eastAsia="Times" w:hAnsi="Times" w:cs="Times"/>
          <w:color w:val="000000"/>
          <w:sz w:val="24"/>
          <w:szCs w:val="24"/>
        </w:rPr>
        <w:t xml:space="preserve"> </w:t>
      </w:r>
      <w:r>
        <w:rPr>
          <w:rFonts w:ascii="Times" w:eastAsia="Times" w:hAnsi="Times" w:cs="Times"/>
          <w:color w:val="000000"/>
          <w:sz w:val="24"/>
          <w:szCs w:val="24"/>
          <w:highlight w:val="white"/>
        </w:rPr>
        <w:t>otras acciones.</w:t>
      </w:r>
      <w:r>
        <w:rPr>
          <w:rFonts w:ascii="Times" w:eastAsia="Times" w:hAnsi="Times" w:cs="Times"/>
          <w:color w:val="000000"/>
          <w:sz w:val="24"/>
          <w:szCs w:val="24"/>
        </w:rPr>
        <w:t xml:space="preserve">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w:t>
      </w:r>
    </w:p>
    <w:p w:rsidR="00BD52DF" w:rsidRDefault="00B45DEF">
      <w:pPr>
        <w:pStyle w:val="normal0"/>
        <w:widowControl w:val="0"/>
        <w:pBdr>
          <w:top w:val="nil"/>
          <w:left w:val="nil"/>
          <w:bottom w:val="nil"/>
          <w:right w:val="nil"/>
          <w:between w:val="nil"/>
        </w:pBdr>
        <w:spacing w:line="229" w:lineRule="auto"/>
        <w:ind w:left="24" w:right="11" w:hanging="8"/>
        <w:rPr>
          <w:rFonts w:ascii="Times" w:eastAsia="Times" w:hAnsi="Times" w:cs="Times"/>
          <w:color w:val="000000"/>
          <w:sz w:val="24"/>
          <w:szCs w:val="24"/>
        </w:rPr>
      </w:pPr>
      <w:r>
        <w:rPr>
          <w:rFonts w:ascii="Times" w:eastAsia="Times" w:hAnsi="Times" w:cs="Times"/>
          <w:color w:val="000000"/>
          <w:sz w:val="24"/>
          <w:szCs w:val="24"/>
        </w:rPr>
        <w:t>– El “</w:t>
      </w:r>
      <w:r>
        <w:rPr>
          <w:rFonts w:ascii="Times" w:eastAsia="Times" w:hAnsi="Times" w:cs="Times"/>
          <w:color w:val="000000"/>
          <w:sz w:val="24"/>
          <w:szCs w:val="24"/>
          <w:highlight w:val="white"/>
        </w:rPr>
        <w:t>Plan Nacional de Acción contra las Violencias por motivos de Género” (14)</w:t>
      </w:r>
      <w:r>
        <w:rPr>
          <w:rFonts w:ascii="Times" w:eastAsia="Times" w:hAnsi="Times" w:cs="Times"/>
          <w:color w:val="000000"/>
          <w:sz w:val="24"/>
          <w:szCs w:val="24"/>
        </w:rPr>
        <w:t xml:space="preserve"> desconozca a la prostitución como violencia estructural contra las mujeres, en </w:t>
      </w:r>
    </w:p>
    <w:p w:rsidR="00BD52DF" w:rsidRDefault="00B45DEF">
      <w:pPr>
        <w:pStyle w:val="normal0"/>
        <w:widowControl w:val="0"/>
        <w:pBdr>
          <w:top w:val="nil"/>
          <w:left w:val="nil"/>
          <w:bottom w:val="nil"/>
          <w:right w:val="nil"/>
          <w:between w:val="nil"/>
        </w:pBdr>
        <w:spacing w:line="229" w:lineRule="auto"/>
        <w:ind w:left="21" w:right="6"/>
        <w:rPr>
          <w:rFonts w:ascii="Times" w:eastAsia="Times" w:hAnsi="Times" w:cs="Times"/>
          <w:color w:val="000000"/>
          <w:sz w:val="24"/>
          <w:szCs w:val="24"/>
        </w:rPr>
      </w:pPr>
      <w:proofErr w:type="gramStart"/>
      <w:r>
        <w:rPr>
          <w:rFonts w:ascii="Times" w:eastAsia="Times" w:hAnsi="Times" w:cs="Times"/>
          <w:color w:val="000000"/>
          <w:sz w:val="24"/>
          <w:szCs w:val="24"/>
        </w:rPr>
        <w:t>incumplimiento</w:t>
      </w:r>
      <w:proofErr w:type="gramEnd"/>
      <w:r>
        <w:rPr>
          <w:rFonts w:ascii="Times" w:eastAsia="Times" w:hAnsi="Times" w:cs="Times"/>
          <w:color w:val="000000"/>
          <w:sz w:val="24"/>
          <w:szCs w:val="24"/>
        </w:rPr>
        <w:t xml:space="preserve"> de la Ley 26.364 de Prevención y Sanción de la Trata de Personas y  Asistencia a sus Víctimas, y la Ley modificatoria 26.842. </w:t>
      </w:r>
    </w:p>
    <w:p w:rsidR="00BD52DF" w:rsidRDefault="00B45DEF">
      <w:pPr>
        <w:pStyle w:val="normal0"/>
        <w:widowControl w:val="0"/>
        <w:pBdr>
          <w:top w:val="nil"/>
          <w:left w:val="nil"/>
          <w:bottom w:val="nil"/>
          <w:right w:val="nil"/>
          <w:between w:val="nil"/>
        </w:pBdr>
        <w:spacing w:before="6" w:line="229" w:lineRule="auto"/>
        <w:ind w:left="15" w:right="3"/>
        <w:rPr>
          <w:rFonts w:ascii="Times" w:eastAsia="Times" w:hAnsi="Times" w:cs="Times"/>
          <w:color w:val="000000"/>
          <w:sz w:val="24"/>
          <w:szCs w:val="24"/>
        </w:rPr>
      </w:pPr>
      <w:r>
        <w:rPr>
          <w:rFonts w:ascii="Times" w:eastAsia="Times" w:hAnsi="Times" w:cs="Times"/>
          <w:color w:val="000000"/>
          <w:sz w:val="24"/>
          <w:szCs w:val="24"/>
        </w:rPr>
        <w:t>– El Estado desvincule la prostitución de la trata con fines de explotación sexual. – La Ministra confunda a las mujeres –que según las estadísticas de la PROTEX son el 98,2%  de las víctimas de trata sexual (15</w:t>
      </w:r>
      <w:proofErr w:type="gramStart"/>
      <w:r>
        <w:rPr>
          <w:rFonts w:ascii="Times" w:eastAsia="Times" w:hAnsi="Times" w:cs="Times"/>
          <w:color w:val="000000"/>
          <w:sz w:val="24"/>
          <w:szCs w:val="24"/>
        </w:rPr>
        <w:t>)–</w:t>
      </w:r>
      <w:proofErr w:type="gramEnd"/>
      <w:r>
        <w:rPr>
          <w:rFonts w:ascii="Times" w:eastAsia="Times" w:hAnsi="Times" w:cs="Times"/>
          <w:color w:val="000000"/>
          <w:sz w:val="24"/>
          <w:szCs w:val="24"/>
        </w:rPr>
        <w:t xml:space="preserve"> con “identidades feminizadas” (16). – El Estado intente normalizar la prostitución como trabajo de la economía popular  inscribiéndola en Registro Nacional de Trabajadores y Trabajadoras de la Economía Popular (17). </w:t>
      </w:r>
    </w:p>
    <w:p w:rsidR="00BD52DF" w:rsidRDefault="00B45DEF">
      <w:pPr>
        <w:pStyle w:val="normal0"/>
        <w:widowControl w:val="0"/>
        <w:pBdr>
          <w:top w:val="nil"/>
          <w:left w:val="nil"/>
          <w:bottom w:val="nil"/>
          <w:right w:val="nil"/>
          <w:between w:val="nil"/>
        </w:pBdr>
        <w:spacing w:before="5" w:line="229" w:lineRule="auto"/>
        <w:ind w:left="24" w:right="11" w:hanging="8"/>
        <w:rPr>
          <w:rFonts w:ascii="Times" w:eastAsia="Times" w:hAnsi="Times" w:cs="Times"/>
          <w:color w:val="000000"/>
          <w:sz w:val="24"/>
          <w:szCs w:val="24"/>
        </w:rPr>
      </w:pPr>
      <w:r>
        <w:rPr>
          <w:rFonts w:ascii="Times" w:eastAsia="Times" w:hAnsi="Times" w:cs="Times"/>
          <w:color w:val="000000"/>
          <w:sz w:val="24"/>
          <w:szCs w:val="24"/>
        </w:rPr>
        <w:lastRenderedPageBreak/>
        <w:t xml:space="preserve">— La organización de Meretrices AMMAR auspicie Congresos Nacionales e Internacionales  de Educación cual agente educativo (18). </w:t>
      </w:r>
    </w:p>
    <w:p w:rsidR="00BD52DF" w:rsidRDefault="00B45DEF">
      <w:pPr>
        <w:pStyle w:val="normal0"/>
        <w:widowControl w:val="0"/>
        <w:pBdr>
          <w:top w:val="nil"/>
          <w:left w:val="nil"/>
          <w:bottom w:val="nil"/>
          <w:right w:val="nil"/>
          <w:between w:val="nil"/>
        </w:pBdr>
        <w:spacing w:before="558" w:line="229" w:lineRule="auto"/>
        <w:ind w:left="24" w:right="-1" w:hanging="2"/>
        <w:jc w:val="both"/>
        <w:rPr>
          <w:rFonts w:ascii="Times" w:eastAsia="Times" w:hAnsi="Times" w:cs="Times"/>
          <w:color w:val="000000"/>
          <w:sz w:val="24"/>
          <w:szCs w:val="24"/>
        </w:rPr>
      </w:pPr>
      <w:r>
        <w:rPr>
          <w:rFonts w:ascii="Times" w:eastAsia="Times" w:hAnsi="Times" w:cs="Times"/>
          <w:b/>
          <w:color w:val="000000"/>
          <w:sz w:val="24"/>
          <w:szCs w:val="24"/>
        </w:rPr>
        <w:t xml:space="preserve">El artículo 7 de la CEDAW </w:t>
      </w:r>
      <w:r>
        <w:rPr>
          <w:rFonts w:ascii="Times" w:eastAsia="Times" w:hAnsi="Times" w:cs="Times"/>
          <w:color w:val="000000"/>
          <w:sz w:val="24"/>
          <w:szCs w:val="24"/>
        </w:rPr>
        <w:t xml:space="preserve">afirma la importancia de las medidas para eliminar la  discriminación de las mujeres en la vida pública y política, retomada por la </w:t>
      </w:r>
      <w:r>
        <w:rPr>
          <w:rFonts w:ascii="Times" w:eastAsia="Times" w:hAnsi="Times" w:cs="Times"/>
          <w:b/>
          <w:color w:val="000000"/>
          <w:sz w:val="24"/>
          <w:szCs w:val="24"/>
        </w:rPr>
        <w:t>Recomendación  General núm. 23, art. 3</w:t>
      </w:r>
      <w:r>
        <w:rPr>
          <w:rFonts w:ascii="Times" w:eastAsia="Times" w:hAnsi="Times" w:cs="Times"/>
          <w:color w:val="000000"/>
          <w:sz w:val="24"/>
          <w:szCs w:val="24"/>
        </w:rPr>
        <w:t xml:space="preserve">. </w:t>
      </w:r>
    </w:p>
    <w:p w:rsidR="00BD52DF" w:rsidRDefault="00B45DEF">
      <w:pPr>
        <w:pStyle w:val="normal0"/>
        <w:widowControl w:val="0"/>
        <w:pBdr>
          <w:top w:val="nil"/>
          <w:left w:val="nil"/>
          <w:bottom w:val="nil"/>
          <w:right w:val="nil"/>
          <w:between w:val="nil"/>
        </w:pBdr>
        <w:spacing w:before="285" w:line="229" w:lineRule="auto"/>
        <w:ind w:left="21" w:right="3"/>
        <w:rPr>
          <w:rFonts w:ascii="Times" w:eastAsia="Times" w:hAnsi="Times" w:cs="Times"/>
          <w:b/>
          <w:color w:val="000000"/>
          <w:sz w:val="24"/>
          <w:szCs w:val="24"/>
        </w:rPr>
      </w:pPr>
      <w:r>
        <w:rPr>
          <w:rFonts w:ascii="Times" w:eastAsia="Times" w:hAnsi="Times" w:cs="Times"/>
          <w:b/>
          <w:color w:val="000000"/>
          <w:sz w:val="24"/>
          <w:szCs w:val="24"/>
        </w:rPr>
        <w:t xml:space="preserve">Preocupa que las leyes de paridad, cupos o cuotas consideren a la mujer como una  identidad de género: </w:t>
      </w:r>
    </w:p>
    <w:p w:rsidR="00BD52DF" w:rsidRDefault="00B45DEF">
      <w:pPr>
        <w:pStyle w:val="normal0"/>
        <w:widowControl w:val="0"/>
        <w:pBdr>
          <w:top w:val="nil"/>
          <w:left w:val="nil"/>
          <w:bottom w:val="nil"/>
          <w:right w:val="nil"/>
          <w:between w:val="nil"/>
        </w:pBdr>
        <w:spacing w:before="2" w:line="230" w:lineRule="auto"/>
        <w:ind w:left="15" w:right="11" w:hanging="3"/>
        <w:jc w:val="both"/>
        <w:rPr>
          <w:rFonts w:ascii="Times" w:eastAsia="Times" w:hAnsi="Times" w:cs="Times"/>
          <w:color w:val="000000"/>
          <w:sz w:val="24"/>
          <w:szCs w:val="24"/>
        </w:rPr>
      </w:pPr>
      <w:r>
        <w:rPr>
          <w:rFonts w:ascii="Times" w:eastAsia="Times" w:hAnsi="Times" w:cs="Times"/>
          <w:color w:val="000000"/>
          <w:sz w:val="24"/>
          <w:szCs w:val="24"/>
        </w:rPr>
        <w:t xml:space="preserve">– Las acciones de discriminación positiva concernientes a la paridad, cuotas y cupos son  aplicadas con base en las identificaciones de género autopercibidas por cada sujeto, lo que  resulta en detrimento de los derechos políticos de las mujeres tenidos en cuenta por la  referida disposición (19). </w:t>
      </w:r>
    </w:p>
    <w:p w:rsidR="00BD52DF" w:rsidRDefault="00B45DEF">
      <w:pPr>
        <w:pStyle w:val="normal0"/>
        <w:widowControl w:val="0"/>
        <w:pBdr>
          <w:top w:val="nil"/>
          <w:left w:val="nil"/>
          <w:bottom w:val="nil"/>
          <w:right w:val="nil"/>
          <w:between w:val="nil"/>
        </w:pBdr>
        <w:spacing w:before="5" w:line="229" w:lineRule="auto"/>
        <w:ind w:left="22" w:right="12" w:hanging="6"/>
        <w:rPr>
          <w:rFonts w:ascii="Times" w:eastAsia="Times" w:hAnsi="Times" w:cs="Times"/>
          <w:color w:val="000000"/>
          <w:sz w:val="24"/>
          <w:szCs w:val="24"/>
        </w:rPr>
      </w:pPr>
      <w:r>
        <w:rPr>
          <w:rFonts w:ascii="Times" w:eastAsia="Times" w:hAnsi="Times" w:cs="Times"/>
          <w:color w:val="000000"/>
          <w:sz w:val="24"/>
          <w:szCs w:val="24"/>
        </w:rPr>
        <w:t xml:space="preserve">– Los varones autopercibidos feminidades ocupan los espacios para las mujeres en las listas  legislativas que alternan según el sexo (20). </w:t>
      </w:r>
    </w:p>
    <w:p w:rsidR="00BD52DF" w:rsidRDefault="00B45DEF">
      <w:pPr>
        <w:pStyle w:val="normal0"/>
        <w:widowControl w:val="0"/>
        <w:pBdr>
          <w:top w:val="nil"/>
          <w:left w:val="nil"/>
          <w:bottom w:val="nil"/>
          <w:right w:val="nil"/>
          <w:between w:val="nil"/>
        </w:pBdr>
        <w:spacing w:before="6" w:line="230" w:lineRule="auto"/>
        <w:ind w:left="21" w:right="-2" w:hanging="5"/>
        <w:jc w:val="both"/>
        <w:rPr>
          <w:rFonts w:ascii="Times" w:eastAsia="Times" w:hAnsi="Times" w:cs="Times"/>
          <w:color w:val="000000"/>
          <w:sz w:val="24"/>
          <w:szCs w:val="24"/>
        </w:rPr>
      </w:pPr>
      <w:r>
        <w:rPr>
          <w:rFonts w:ascii="Times" w:eastAsia="Times" w:hAnsi="Times" w:cs="Times"/>
          <w:color w:val="000000"/>
          <w:sz w:val="24"/>
          <w:szCs w:val="24"/>
        </w:rPr>
        <w:t xml:space="preserve">– La Ley 27363 de cupo laboral “trans” en el sector público nacional exime a las personas así  autodeclaradas del requisito de carecer de antecedentes penales, mientras que sí exige a las  mujeres carecer de antecedentes penales para acceder al empleo público (21). En el mismo  sentido, las personas autodeclaradas “trans” gozan de la no-restricción etaria para acceder a  ciertos programas, privilegio del cual las mujeres carecen (22). </w:t>
      </w:r>
    </w:p>
    <w:p w:rsidR="00BD52DF" w:rsidRDefault="00B45DEF">
      <w:pPr>
        <w:pStyle w:val="normal0"/>
        <w:widowControl w:val="0"/>
        <w:pBdr>
          <w:top w:val="nil"/>
          <w:left w:val="nil"/>
          <w:bottom w:val="nil"/>
          <w:right w:val="nil"/>
          <w:between w:val="nil"/>
        </w:pBdr>
        <w:spacing w:before="5" w:line="229" w:lineRule="auto"/>
        <w:ind w:left="21" w:right="10" w:hanging="5"/>
        <w:jc w:val="both"/>
        <w:rPr>
          <w:rFonts w:ascii="Times" w:eastAsia="Times" w:hAnsi="Times" w:cs="Times"/>
          <w:color w:val="000000"/>
          <w:sz w:val="24"/>
          <w:szCs w:val="24"/>
        </w:rPr>
      </w:pPr>
      <w:r>
        <w:rPr>
          <w:rFonts w:ascii="Times" w:eastAsia="Times" w:hAnsi="Times" w:cs="Times"/>
          <w:color w:val="000000"/>
          <w:sz w:val="24"/>
          <w:szCs w:val="24"/>
        </w:rPr>
        <w:t xml:space="preserve">– Se viole el derecho de las mujeres de tener espacios exclusivos de reunión y asociación  imponiendo que los órganos colegiados de fiscalización y administración representen la  diversidad de los géneros (23).  </w:t>
      </w:r>
    </w:p>
    <w:p w:rsidR="00BD52DF" w:rsidRDefault="00B45DEF">
      <w:pPr>
        <w:pStyle w:val="normal0"/>
        <w:widowControl w:val="0"/>
        <w:pBdr>
          <w:top w:val="nil"/>
          <w:left w:val="nil"/>
          <w:bottom w:val="nil"/>
          <w:right w:val="nil"/>
          <w:between w:val="nil"/>
        </w:pBdr>
        <w:spacing w:before="558" w:line="229" w:lineRule="auto"/>
        <w:ind w:left="21" w:right="2"/>
        <w:jc w:val="both"/>
        <w:rPr>
          <w:rFonts w:ascii="Times" w:eastAsia="Times" w:hAnsi="Times" w:cs="Times"/>
          <w:color w:val="000000"/>
          <w:sz w:val="24"/>
          <w:szCs w:val="24"/>
        </w:rPr>
      </w:pPr>
      <w:r>
        <w:rPr>
          <w:rFonts w:ascii="Times" w:eastAsia="Times" w:hAnsi="Times" w:cs="Times"/>
          <w:b/>
          <w:color w:val="000000"/>
          <w:sz w:val="24"/>
          <w:szCs w:val="24"/>
        </w:rPr>
        <w:t xml:space="preserve">El artículo 10 de la CEDAW </w:t>
      </w:r>
      <w:r>
        <w:rPr>
          <w:rFonts w:ascii="Times" w:eastAsia="Times" w:hAnsi="Times" w:cs="Times"/>
          <w:color w:val="000000"/>
          <w:sz w:val="24"/>
          <w:szCs w:val="24"/>
        </w:rPr>
        <w:t xml:space="preserve">se refiere a la igualdad entre mujeres y varones en y a través  de la educación. En su última observación, la CEDAW requirió al Estado argentino datos  desglosados por sexo sobre los índices de matriculación, asistencia y abandono en todos los  niveles educativos.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el Estado argentino: </w:t>
      </w:r>
    </w:p>
    <w:p w:rsidR="00BD52DF" w:rsidRDefault="00B45DEF">
      <w:pPr>
        <w:pStyle w:val="normal0"/>
        <w:widowControl w:val="0"/>
        <w:pBdr>
          <w:top w:val="nil"/>
          <w:left w:val="nil"/>
          <w:bottom w:val="nil"/>
          <w:right w:val="nil"/>
          <w:between w:val="nil"/>
        </w:pBdr>
        <w:spacing w:line="230" w:lineRule="auto"/>
        <w:ind w:left="18" w:right="-1" w:hanging="3"/>
        <w:jc w:val="both"/>
        <w:rPr>
          <w:rFonts w:ascii="Times" w:eastAsia="Times" w:hAnsi="Times" w:cs="Times"/>
          <w:color w:val="000000"/>
          <w:sz w:val="24"/>
          <w:szCs w:val="24"/>
        </w:rPr>
      </w:pPr>
      <w:r>
        <w:rPr>
          <w:rFonts w:ascii="Times" w:eastAsia="Times" w:hAnsi="Times" w:cs="Times"/>
          <w:color w:val="000000"/>
          <w:sz w:val="24"/>
          <w:szCs w:val="24"/>
        </w:rPr>
        <w:t xml:space="preserve">– Sea incapaz de desagregar información por sexo en la medida en que éste ha sido redefinido  como una identidad de género asignada –“cis”– y reasignada a demanda –“trans”–, con tres  posibles alternativas: M, F y no binaria.  </w:t>
      </w:r>
    </w:p>
    <w:p w:rsidR="00BD52DF" w:rsidRDefault="00B45DEF">
      <w:pPr>
        <w:pStyle w:val="normal0"/>
        <w:widowControl w:val="0"/>
        <w:pBdr>
          <w:top w:val="nil"/>
          <w:left w:val="nil"/>
          <w:bottom w:val="nil"/>
          <w:right w:val="nil"/>
          <w:between w:val="nil"/>
        </w:pBdr>
        <w:spacing w:before="5" w:line="229" w:lineRule="auto"/>
        <w:ind w:left="15" w:right="-2" w:hanging="1"/>
        <w:jc w:val="both"/>
        <w:rPr>
          <w:rFonts w:ascii="Times" w:eastAsia="Times" w:hAnsi="Times" w:cs="Times"/>
          <w:color w:val="000000"/>
          <w:sz w:val="24"/>
          <w:szCs w:val="24"/>
        </w:rPr>
      </w:pPr>
      <w:r>
        <w:rPr>
          <w:rFonts w:ascii="Times" w:eastAsia="Times" w:hAnsi="Times" w:cs="Times"/>
          <w:color w:val="000000"/>
          <w:sz w:val="24"/>
          <w:szCs w:val="24"/>
        </w:rPr>
        <w:t>– Utilice la Ley Micaela Nº 27.499 a fin de instalar la ideología así llamada “queer” en todo  agente educativo estatal. La Guía utilizada por el sistema educativo a efectos de dicha Ley  abunda en afirmaciones acientíficas como, por ejemplo: “el sexo no es natural ni biológico”,  “ser machos o hembras es una interpretación cultural”, la diferencia sexual se reduce a la  “diferencia genital”, “las feminidades” accedieron al voto en Argentina en 1951 (24), es  posible “cambiar” de sexo a voluntad. Se trata de afirmaciones que contradicen la biología de  la reproducción humana y encubren un esencialismo sociologista.</w:t>
      </w:r>
    </w:p>
    <w:p w:rsidR="00BD52DF" w:rsidRDefault="00B45DEF">
      <w:pPr>
        <w:pStyle w:val="normal0"/>
        <w:widowControl w:val="0"/>
        <w:pBdr>
          <w:top w:val="nil"/>
          <w:left w:val="nil"/>
          <w:bottom w:val="nil"/>
          <w:right w:val="nil"/>
          <w:between w:val="nil"/>
        </w:pBdr>
        <w:spacing w:line="229" w:lineRule="auto"/>
        <w:ind w:left="20" w:right="7" w:hanging="4"/>
        <w:rPr>
          <w:rFonts w:ascii="Times" w:eastAsia="Times" w:hAnsi="Times" w:cs="Times"/>
          <w:color w:val="000000"/>
          <w:sz w:val="24"/>
          <w:szCs w:val="24"/>
        </w:rPr>
      </w:pPr>
      <w:r>
        <w:rPr>
          <w:rFonts w:ascii="Times" w:eastAsia="Times" w:hAnsi="Times" w:cs="Times"/>
          <w:color w:val="000000"/>
          <w:sz w:val="24"/>
          <w:szCs w:val="24"/>
        </w:rPr>
        <w:t xml:space="preserve">– Incorpore a todos los géneros en la Conmemoración del 8 de Marzo: Día Internacional de la  Mujer (25). </w:t>
      </w:r>
    </w:p>
    <w:p w:rsidR="00BD52DF" w:rsidRDefault="00B45DEF">
      <w:pPr>
        <w:pStyle w:val="normal0"/>
        <w:widowControl w:val="0"/>
        <w:pBdr>
          <w:top w:val="nil"/>
          <w:left w:val="nil"/>
          <w:bottom w:val="nil"/>
          <w:right w:val="nil"/>
          <w:between w:val="nil"/>
        </w:pBdr>
        <w:spacing w:before="6" w:line="230" w:lineRule="auto"/>
        <w:ind w:left="22" w:right="-1" w:hanging="6"/>
        <w:jc w:val="both"/>
        <w:rPr>
          <w:rFonts w:ascii="Times" w:eastAsia="Times" w:hAnsi="Times" w:cs="Times"/>
          <w:color w:val="000000"/>
          <w:sz w:val="24"/>
          <w:szCs w:val="24"/>
        </w:rPr>
      </w:pPr>
      <w:r>
        <w:rPr>
          <w:rFonts w:ascii="Times" w:eastAsia="Times" w:hAnsi="Times" w:cs="Times"/>
          <w:color w:val="000000"/>
          <w:sz w:val="24"/>
          <w:szCs w:val="24"/>
        </w:rPr>
        <w:t xml:space="preserve">– Imponga y/o promueva la neutralización del lenguaje con el objetivo de borrar las marcas  de la diferencia sexual en el discurso, sustituyéndolas por los morfemas neutros “e”, “x”, @,  “persona”, “persona feminizada”, “feminidades”, “persona gestante” etc. (26). Argentina  lidera al respecto el proyecto global para borrar las marcas sexuales del discurso (27). </w:t>
      </w:r>
    </w:p>
    <w:p w:rsidR="00BD52DF" w:rsidRDefault="00B45DEF">
      <w:pPr>
        <w:pStyle w:val="normal0"/>
        <w:widowControl w:val="0"/>
        <w:pBdr>
          <w:top w:val="nil"/>
          <w:left w:val="nil"/>
          <w:bottom w:val="nil"/>
          <w:right w:val="nil"/>
          <w:between w:val="nil"/>
        </w:pBdr>
        <w:spacing w:before="5" w:line="229" w:lineRule="auto"/>
        <w:ind w:left="22" w:hanging="6"/>
        <w:rPr>
          <w:rFonts w:ascii="Times" w:eastAsia="Times" w:hAnsi="Times" w:cs="Times"/>
          <w:color w:val="000000"/>
          <w:sz w:val="24"/>
          <w:szCs w:val="24"/>
        </w:rPr>
      </w:pPr>
      <w:r>
        <w:rPr>
          <w:rFonts w:ascii="Times" w:eastAsia="Times" w:hAnsi="Times" w:cs="Times"/>
          <w:color w:val="000000"/>
          <w:sz w:val="24"/>
          <w:szCs w:val="24"/>
        </w:rPr>
        <w:t xml:space="preserve">– Se sustituyen los baños de mujeres por baños para las “feminidades” (28) identitarias,  violando el derecho a la intimidad, privacidad y seguridad de las mujeres. </w:t>
      </w:r>
    </w:p>
    <w:p w:rsidR="00BD52DF" w:rsidRDefault="00B45DEF">
      <w:pPr>
        <w:pStyle w:val="normal0"/>
        <w:widowControl w:val="0"/>
        <w:pBdr>
          <w:top w:val="nil"/>
          <w:left w:val="nil"/>
          <w:bottom w:val="nil"/>
          <w:right w:val="nil"/>
          <w:between w:val="nil"/>
        </w:pBdr>
        <w:spacing w:before="558" w:line="229" w:lineRule="auto"/>
        <w:ind w:left="22" w:right="8"/>
        <w:rPr>
          <w:rFonts w:ascii="Times" w:eastAsia="Times" w:hAnsi="Times" w:cs="Times"/>
          <w:color w:val="000000"/>
          <w:sz w:val="24"/>
          <w:szCs w:val="24"/>
        </w:rPr>
      </w:pPr>
      <w:r>
        <w:rPr>
          <w:rFonts w:ascii="Times" w:eastAsia="Times" w:hAnsi="Times" w:cs="Times"/>
          <w:b/>
          <w:color w:val="000000"/>
          <w:sz w:val="24"/>
          <w:szCs w:val="24"/>
        </w:rPr>
        <w:lastRenderedPageBreak/>
        <w:t xml:space="preserve">El artículo 10.g </w:t>
      </w:r>
      <w:r>
        <w:rPr>
          <w:rFonts w:ascii="Times" w:eastAsia="Times" w:hAnsi="Times" w:cs="Times"/>
          <w:color w:val="000000"/>
          <w:sz w:val="24"/>
          <w:szCs w:val="24"/>
        </w:rPr>
        <w:t xml:space="preserve">pide garantizar a las mujeres las mismas oportunidades que los hombres en  la actividad deportiva y la educación física.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el Estado argentino: </w:t>
      </w:r>
    </w:p>
    <w:p w:rsidR="00BD52DF" w:rsidRDefault="00B45DEF">
      <w:pPr>
        <w:pStyle w:val="normal0"/>
        <w:widowControl w:val="0"/>
        <w:pBdr>
          <w:top w:val="nil"/>
          <w:left w:val="nil"/>
          <w:bottom w:val="nil"/>
          <w:right w:val="nil"/>
          <w:between w:val="nil"/>
        </w:pBdr>
        <w:spacing w:line="229" w:lineRule="auto"/>
        <w:ind w:left="21" w:right="9" w:hanging="5"/>
        <w:jc w:val="both"/>
        <w:rPr>
          <w:rFonts w:ascii="Times" w:eastAsia="Times" w:hAnsi="Times" w:cs="Times"/>
          <w:color w:val="000000"/>
          <w:sz w:val="24"/>
          <w:szCs w:val="24"/>
        </w:rPr>
      </w:pPr>
      <w:r>
        <w:rPr>
          <w:rFonts w:ascii="Times" w:eastAsia="Times" w:hAnsi="Times" w:cs="Times"/>
          <w:color w:val="000000"/>
          <w:sz w:val="24"/>
          <w:szCs w:val="24"/>
        </w:rPr>
        <w:t xml:space="preserve">– Menoscabe el reconocimiento, goce y ejercicio de iguales oportunidades entre varones y  mujeres introduciendo varones en el deporte de mujeres, quienes son así obligadas a competir  con la ventaja física de aquellos. Mediocres jugadores de ligas masculinas son hoy ganadores  en las ligas femeninas (29). </w:t>
      </w:r>
    </w:p>
    <w:p w:rsidR="00BD52DF" w:rsidRDefault="00B45DEF">
      <w:pPr>
        <w:pStyle w:val="normal0"/>
        <w:widowControl w:val="0"/>
        <w:pBdr>
          <w:top w:val="nil"/>
          <w:left w:val="nil"/>
          <w:bottom w:val="nil"/>
          <w:right w:val="nil"/>
          <w:between w:val="nil"/>
        </w:pBdr>
        <w:spacing w:before="6" w:line="229" w:lineRule="auto"/>
        <w:ind w:left="24" w:right="4" w:hanging="8"/>
        <w:rPr>
          <w:rFonts w:ascii="Times" w:eastAsia="Times" w:hAnsi="Times" w:cs="Times"/>
          <w:color w:val="000000"/>
          <w:sz w:val="24"/>
          <w:szCs w:val="24"/>
        </w:rPr>
      </w:pPr>
      <w:r>
        <w:rPr>
          <w:rFonts w:ascii="Times" w:eastAsia="Times" w:hAnsi="Times" w:cs="Times"/>
          <w:color w:val="000000"/>
          <w:sz w:val="24"/>
          <w:szCs w:val="24"/>
        </w:rPr>
        <w:t xml:space="preserve">– Exponga la salud, seguridad e integridad física y psíquica de las mujeres en competiciones  desiguales en fuerza y velocidad con los varones. </w:t>
      </w:r>
    </w:p>
    <w:p w:rsidR="00BD52DF" w:rsidRDefault="00B45DEF">
      <w:pPr>
        <w:pStyle w:val="normal0"/>
        <w:widowControl w:val="0"/>
        <w:pBdr>
          <w:top w:val="nil"/>
          <w:left w:val="nil"/>
          <w:bottom w:val="nil"/>
          <w:right w:val="nil"/>
          <w:between w:val="nil"/>
        </w:pBdr>
        <w:spacing w:before="6" w:line="229" w:lineRule="auto"/>
        <w:ind w:left="21" w:right="11" w:hanging="5"/>
        <w:rPr>
          <w:rFonts w:ascii="Times" w:eastAsia="Times" w:hAnsi="Times" w:cs="Times"/>
          <w:color w:val="000000"/>
          <w:sz w:val="24"/>
          <w:szCs w:val="24"/>
        </w:rPr>
      </w:pPr>
      <w:r>
        <w:rPr>
          <w:rFonts w:ascii="Times" w:eastAsia="Times" w:hAnsi="Times" w:cs="Times"/>
          <w:color w:val="000000"/>
          <w:sz w:val="24"/>
          <w:szCs w:val="24"/>
        </w:rPr>
        <w:t xml:space="preserve">– Menoscabe la intimidad, privacidad y seguridad de baños, vestuarios y cualquier otra  instalación exclusiva del sexo femenino.  </w:t>
      </w:r>
    </w:p>
    <w:p w:rsidR="00BD52DF" w:rsidRDefault="00B45DEF">
      <w:pPr>
        <w:pStyle w:val="normal0"/>
        <w:widowControl w:val="0"/>
        <w:pBdr>
          <w:top w:val="nil"/>
          <w:left w:val="nil"/>
          <w:bottom w:val="nil"/>
          <w:right w:val="nil"/>
          <w:between w:val="nil"/>
        </w:pBdr>
        <w:spacing w:before="558" w:line="229" w:lineRule="auto"/>
        <w:ind w:left="18" w:right="-2" w:firstLine="2"/>
        <w:jc w:val="both"/>
        <w:rPr>
          <w:rFonts w:ascii="Times" w:eastAsia="Times" w:hAnsi="Times" w:cs="Times"/>
          <w:color w:val="000000"/>
          <w:sz w:val="24"/>
          <w:szCs w:val="24"/>
        </w:rPr>
      </w:pPr>
      <w:r>
        <w:rPr>
          <w:rFonts w:ascii="Times" w:eastAsia="Times" w:hAnsi="Times" w:cs="Times"/>
          <w:b/>
          <w:color w:val="000000"/>
          <w:sz w:val="24"/>
          <w:szCs w:val="24"/>
        </w:rPr>
        <w:t xml:space="preserve">El artículo 11 de la CEDAW </w:t>
      </w:r>
      <w:r>
        <w:rPr>
          <w:rFonts w:ascii="Times" w:eastAsia="Times" w:hAnsi="Times" w:cs="Times"/>
          <w:color w:val="000000"/>
          <w:sz w:val="24"/>
          <w:szCs w:val="24"/>
        </w:rPr>
        <w:t xml:space="preserve">se refiere a la eliminación de la discriminación en el ámbito  del trabajo y el empleo sobre la base de la igualdad del hombre y la mujer. </w:t>
      </w:r>
      <w:r>
        <w:rPr>
          <w:rFonts w:ascii="Times" w:eastAsia="Times" w:hAnsi="Times" w:cs="Times"/>
          <w:b/>
          <w:color w:val="000000"/>
          <w:sz w:val="24"/>
          <w:szCs w:val="24"/>
        </w:rPr>
        <w:t xml:space="preserve">El artículo 13 </w:t>
      </w:r>
      <w:r>
        <w:rPr>
          <w:rFonts w:ascii="Times" w:eastAsia="Times" w:hAnsi="Times" w:cs="Times"/>
          <w:color w:val="000000"/>
          <w:sz w:val="24"/>
          <w:szCs w:val="24"/>
        </w:rPr>
        <w:t xml:space="preserve">se  refiere a la misma en la vida económica y laboral.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w:t>
      </w:r>
    </w:p>
    <w:p w:rsidR="00BD52DF" w:rsidRDefault="00B45DEF">
      <w:pPr>
        <w:pStyle w:val="normal0"/>
        <w:widowControl w:val="0"/>
        <w:pBdr>
          <w:top w:val="nil"/>
          <w:left w:val="nil"/>
          <w:bottom w:val="nil"/>
          <w:right w:val="nil"/>
          <w:between w:val="nil"/>
        </w:pBdr>
        <w:spacing w:line="229" w:lineRule="auto"/>
        <w:ind w:left="15"/>
        <w:jc w:val="both"/>
        <w:rPr>
          <w:rFonts w:ascii="Times" w:eastAsia="Times" w:hAnsi="Times" w:cs="Times"/>
          <w:color w:val="000000"/>
          <w:sz w:val="24"/>
          <w:szCs w:val="24"/>
        </w:rPr>
      </w:pPr>
      <w:r>
        <w:rPr>
          <w:rFonts w:ascii="Times" w:eastAsia="Times" w:hAnsi="Times" w:cs="Times"/>
          <w:color w:val="000000"/>
          <w:sz w:val="24"/>
          <w:szCs w:val="24"/>
        </w:rPr>
        <w:t xml:space="preserve">– El “Programa Nacional para la Igualdad de Géneros en el Trabajo, Empleo y la  Producción” (30) sustituya la igualdad entre el hombre y la mujer por </w:t>
      </w:r>
      <w:r>
        <w:rPr>
          <w:rFonts w:ascii="Times" w:eastAsia="Times" w:hAnsi="Times" w:cs="Times"/>
          <w:color w:val="000000"/>
          <w:sz w:val="24"/>
          <w:szCs w:val="24"/>
          <w:highlight w:val="white"/>
        </w:rPr>
        <w:t xml:space="preserve">“igualdad de géneros”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identitarios, y la brecha de género por las “brechas de géneros”. El Programa no especifica el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porcentaje de recursos y partidas destinadas a las mujeres, abonando a su confusa aplicación. </w:t>
      </w:r>
      <w:r>
        <w:rPr>
          <w:rFonts w:ascii="Times" w:eastAsia="Times" w:hAnsi="Times" w:cs="Times"/>
          <w:color w:val="000000"/>
          <w:sz w:val="24"/>
          <w:szCs w:val="24"/>
        </w:rPr>
        <w:t xml:space="preserve"> – Por Resolución del Poder Ejecutivo (31), se haya eliminado el prefijo del Código Único de  Identificación Laboral (C.U.I.L.) usado para designar el sexo, de manera que es imposible por  esa vía obtener información desagregada por sexo sobre la participación y condiciones de las  mujeres en el ámbito del trabajo y el empleo. </w:t>
      </w:r>
    </w:p>
    <w:p w:rsidR="00BD52DF" w:rsidRDefault="00B45DEF">
      <w:pPr>
        <w:pStyle w:val="normal0"/>
        <w:widowControl w:val="0"/>
        <w:pBdr>
          <w:top w:val="nil"/>
          <w:left w:val="nil"/>
          <w:bottom w:val="nil"/>
          <w:right w:val="nil"/>
          <w:between w:val="nil"/>
        </w:pBdr>
        <w:spacing w:before="5" w:line="230" w:lineRule="auto"/>
        <w:ind w:left="18" w:right="4" w:hanging="3"/>
        <w:jc w:val="both"/>
        <w:rPr>
          <w:rFonts w:ascii="Times" w:eastAsia="Times" w:hAnsi="Times" w:cs="Times"/>
          <w:color w:val="000000"/>
          <w:sz w:val="24"/>
          <w:szCs w:val="24"/>
        </w:rPr>
      </w:pPr>
      <w:r>
        <w:rPr>
          <w:rFonts w:ascii="Times" w:eastAsia="Times" w:hAnsi="Times" w:cs="Times"/>
          <w:color w:val="000000"/>
          <w:sz w:val="24"/>
          <w:szCs w:val="24"/>
        </w:rPr>
        <w:t xml:space="preserve">– El hecho de que para el Estado Argentino las mujeres pueden ser padres y los varones,  madres, obstruye el análisis desagregado por sexo del riesgo de pobreza en mujeres y familias  monomarentales, las encuestas sobre el uso del tiempo y la dedicación actividades no  remuneradas domésticas y de cuidado, factores todos que limitan el acceso al empleo,  interrumpen la jornada laboral y afectan a la proyección profesional de las mujeres en razón  de su sexo.  </w:t>
      </w:r>
    </w:p>
    <w:p w:rsidR="00BD52DF" w:rsidRDefault="00B45DEF">
      <w:pPr>
        <w:pStyle w:val="normal0"/>
        <w:widowControl w:val="0"/>
        <w:pBdr>
          <w:top w:val="nil"/>
          <w:left w:val="nil"/>
          <w:bottom w:val="nil"/>
          <w:right w:val="nil"/>
          <w:between w:val="nil"/>
        </w:pBdr>
        <w:spacing w:before="557" w:line="230" w:lineRule="auto"/>
        <w:ind w:left="18" w:right="7" w:firstLine="2"/>
        <w:rPr>
          <w:rFonts w:ascii="Times" w:eastAsia="Times" w:hAnsi="Times" w:cs="Times"/>
          <w:color w:val="000000"/>
          <w:sz w:val="24"/>
          <w:szCs w:val="24"/>
        </w:rPr>
      </w:pPr>
      <w:r>
        <w:rPr>
          <w:rFonts w:ascii="Times" w:eastAsia="Times" w:hAnsi="Times" w:cs="Times"/>
          <w:b/>
          <w:color w:val="000000"/>
          <w:sz w:val="24"/>
          <w:szCs w:val="24"/>
        </w:rPr>
        <w:t xml:space="preserve">El artículo 12 de la CEDAW </w:t>
      </w:r>
      <w:r>
        <w:rPr>
          <w:rFonts w:ascii="Times" w:eastAsia="Times" w:hAnsi="Times" w:cs="Times"/>
          <w:color w:val="000000"/>
          <w:sz w:val="24"/>
          <w:szCs w:val="24"/>
        </w:rPr>
        <w:t xml:space="preserve">se refiere al acceso a la salud, los derechos sexuales y  reproductivos, los servicios de cuidado y planificación familiar.  </w:t>
      </w:r>
    </w:p>
    <w:p w:rsidR="00BD52DF" w:rsidRDefault="00B45DEF">
      <w:pPr>
        <w:pStyle w:val="normal0"/>
        <w:widowControl w:val="0"/>
        <w:pBdr>
          <w:top w:val="nil"/>
          <w:left w:val="nil"/>
          <w:bottom w:val="nil"/>
          <w:right w:val="nil"/>
          <w:between w:val="nil"/>
        </w:pBdr>
        <w:spacing w:before="286" w:line="240" w:lineRule="auto"/>
        <w:ind w:left="21"/>
        <w:rPr>
          <w:rFonts w:ascii="Times" w:eastAsia="Times" w:hAnsi="Times" w:cs="Times"/>
          <w:b/>
          <w:color w:val="000000"/>
          <w:sz w:val="24"/>
          <w:szCs w:val="24"/>
        </w:rPr>
      </w:pPr>
      <w:r>
        <w:rPr>
          <w:rFonts w:ascii="Times" w:eastAsia="Times" w:hAnsi="Times" w:cs="Times"/>
          <w:b/>
          <w:color w:val="000000"/>
          <w:sz w:val="24"/>
          <w:szCs w:val="24"/>
        </w:rPr>
        <w:t>Preocupa que:</w:t>
      </w:r>
    </w:p>
    <w:p w:rsidR="00BD52DF" w:rsidRDefault="00B45DEF">
      <w:pPr>
        <w:pStyle w:val="normal0"/>
        <w:widowControl w:val="0"/>
        <w:pBdr>
          <w:top w:val="nil"/>
          <w:left w:val="nil"/>
          <w:bottom w:val="nil"/>
          <w:right w:val="nil"/>
          <w:between w:val="nil"/>
        </w:pBdr>
        <w:spacing w:line="229" w:lineRule="auto"/>
        <w:ind w:left="18" w:right="4" w:hanging="3"/>
        <w:jc w:val="both"/>
        <w:rPr>
          <w:rFonts w:ascii="Times" w:eastAsia="Times" w:hAnsi="Times" w:cs="Times"/>
          <w:color w:val="000000"/>
          <w:sz w:val="24"/>
          <w:szCs w:val="24"/>
        </w:rPr>
      </w:pPr>
      <w:r>
        <w:rPr>
          <w:rFonts w:ascii="Times" w:eastAsia="Times" w:hAnsi="Times" w:cs="Times"/>
          <w:color w:val="000000"/>
          <w:sz w:val="24"/>
          <w:szCs w:val="24"/>
        </w:rPr>
        <w:t>– La Resolución 2020-1886-APN-MS para un “Plan Nacional de Políticas de Géneros y  Diversidad en Salud Pública</w:t>
      </w:r>
      <w:proofErr w:type="gramStart"/>
      <w:r>
        <w:rPr>
          <w:rFonts w:ascii="Times" w:eastAsia="Times" w:hAnsi="Times" w:cs="Times"/>
          <w:color w:val="000000"/>
          <w:sz w:val="24"/>
          <w:szCs w:val="24"/>
        </w:rPr>
        <w:t>”(</w:t>
      </w:r>
      <w:proofErr w:type="gramEnd"/>
      <w:r>
        <w:rPr>
          <w:rFonts w:ascii="Times" w:eastAsia="Times" w:hAnsi="Times" w:cs="Times"/>
          <w:color w:val="000000"/>
          <w:sz w:val="24"/>
          <w:szCs w:val="24"/>
        </w:rPr>
        <w:t xml:space="preserve">32) proponga “la </w:t>
      </w:r>
      <w:r>
        <w:rPr>
          <w:rFonts w:ascii="Times" w:eastAsia="Times" w:hAnsi="Times" w:cs="Times"/>
          <w:color w:val="000000"/>
          <w:sz w:val="24"/>
          <w:szCs w:val="24"/>
          <w:shd w:val="clear" w:color="auto" w:fill="F9F9F9"/>
        </w:rPr>
        <w:t xml:space="preserve">transversalización de la perspectiva de </w:t>
      </w:r>
      <w:r>
        <w:rPr>
          <w:rFonts w:ascii="Times" w:eastAsia="Times" w:hAnsi="Times" w:cs="Times"/>
          <w:color w:val="000000"/>
          <w:sz w:val="24"/>
          <w:szCs w:val="24"/>
        </w:rPr>
        <w:t xml:space="preserve"> </w:t>
      </w:r>
      <w:r>
        <w:rPr>
          <w:rFonts w:ascii="Times" w:eastAsia="Times" w:hAnsi="Times" w:cs="Times"/>
          <w:color w:val="000000"/>
          <w:sz w:val="24"/>
          <w:szCs w:val="24"/>
          <w:shd w:val="clear" w:color="auto" w:fill="F9F9F9"/>
        </w:rPr>
        <w:t xml:space="preserve">géneros y diversidad en las políticas de salud pública”. Las identificaciones de género </w:t>
      </w:r>
      <w:r>
        <w:rPr>
          <w:rFonts w:ascii="Times" w:eastAsia="Times" w:hAnsi="Times" w:cs="Times"/>
          <w:color w:val="000000"/>
          <w:sz w:val="24"/>
          <w:szCs w:val="24"/>
        </w:rPr>
        <w:t xml:space="preserve"> </w:t>
      </w:r>
      <w:r>
        <w:rPr>
          <w:rFonts w:ascii="Times" w:eastAsia="Times" w:hAnsi="Times" w:cs="Times"/>
          <w:color w:val="000000"/>
          <w:sz w:val="24"/>
          <w:szCs w:val="24"/>
          <w:shd w:val="clear" w:color="auto" w:fill="F9F9F9"/>
        </w:rPr>
        <w:t xml:space="preserve">responden a insondables representaciones subjetivas y privadas que deben distinguirse de la </w:t>
      </w:r>
      <w:r>
        <w:rPr>
          <w:rFonts w:ascii="Times" w:eastAsia="Times" w:hAnsi="Times" w:cs="Times"/>
          <w:color w:val="000000"/>
          <w:sz w:val="24"/>
          <w:szCs w:val="24"/>
        </w:rPr>
        <w:t xml:space="preserve"> </w:t>
      </w:r>
      <w:r>
        <w:rPr>
          <w:rFonts w:ascii="Times" w:eastAsia="Times" w:hAnsi="Times" w:cs="Times"/>
          <w:color w:val="000000"/>
          <w:sz w:val="24"/>
          <w:szCs w:val="24"/>
          <w:shd w:val="clear" w:color="auto" w:fill="F9F9F9"/>
        </w:rPr>
        <w:t xml:space="preserve">realidad material de los sexos, especialmente en lo concerniente a cuestiones de salud </w:t>
      </w:r>
      <w:r>
        <w:rPr>
          <w:rFonts w:ascii="Times" w:eastAsia="Times" w:hAnsi="Times" w:cs="Times"/>
          <w:color w:val="000000"/>
          <w:sz w:val="24"/>
          <w:szCs w:val="24"/>
        </w:rPr>
        <w:t xml:space="preserve"> </w:t>
      </w:r>
      <w:r>
        <w:rPr>
          <w:rFonts w:ascii="Times" w:eastAsia="Times" w:hAnsi="Times" w:cs="Times"/>
          <w:color w:val="000000"/>
          <w:sz w:val="24"/>
          <w:szCs w:val="24"/>
          <w:shd w:val="clear" w:color="auto" w:fill="F9F9F9"/>
        </w:rPr>
        <w:t xml:space="preserve">pública, </w:t>
      </w:r>
      <w:r>
        <w:rPr>
          <w:rFonts w:ascii="Times" w:eastAsia="Times" w:hAnsi="Times" w:cs="Times"/>
          <w:color w:val="000000"/>
          <w:sz w:val="24"/>
          <w:szCs w:val="24"/>
        </w:rPr>
        <w:t>investigación clínica, farmacológica y epidemiológica</w:t>
      </w:r>
      <w:r>
        <w:rPr>
          <w:rFonts w:ascii="Times" w:eastAsia="Times" w:hAnsi="Times" w:cs="Times"/>
          <w:color w:val="000000"/>
          <w:sz w:val="24"/>
          <w:szCs w:val="24"/>
          <w:shd w:val="clear" w:color="auto" w:fill="F9F9F9"/>
        </w:rPr>
        <w:t>.</w:t>
      </w:r>
      <w:r>
        <w:rPr>
          <w:rFonts w:ascii="Times" w:eastAsia="Times" w:hAnsi="Times" w:cs="Times"/>
          <w:color w:val="000000"/>
          <w:sz w:val="24"/>
          <w:szCs w:val="24"/>
        </w:rPr>
        <w:t xml:space="preserve"> </w:t>
      </w:r>
    </w:p>
    <w:p w:rsidR="00BD52DF" w:rsidRDefault="00B45DEF">
      <w:pPr>
        <w:pStyle w:val="normal0"/>
        <w:widowControl w:val="0"/>
        <w:pBdr>
          <w:top w:val="nil"/>
          <w:left w:val="nil"/>
          <w:bottom w:val="nil"/>
          <w:right w:val="nil"/>
          <w:between w:val="nil"/>
        </w:pBdr>
        <w:spacing w:before="5" w:line="229" w:lineRule="auto"/>
        <w:ind w:left="21" w:right="9" w:hanging="5"/>
        <w:jc w:val="both"/>
        <w:rPr>
          <w:rFonts w:ascii="Times" w:eastAsia="Times" w:hAnsi="Times" w:cs="Times"/>
          <w:color w:val="000000"/>
          <w:sz w:val="24"/>
          <w:szCs w:val="24"/>
        </w:rPr>
      </w:pPr>
      <w:r>
        <w:rPr>
          <w:rFonts w:ascii="Times" w:eastAsia="Times" w:hAnsi="Times" w:cs="Times"/>
          <w:color w:val="000000"/>
          <w:sz w:val="24"/>
          <w:szCs w:val="24"/>
        </w:rPr>
        <w:t xml:space="preserve">– Dicho Plan Nacional impide el estudio desagregado por sexo de los síntomas, diagnósticos,  desarrollos, comportamientos, terapias o tratamientos médicos y farmacológicos, su  incidencia y prevalencia en la población de mujeres. Desconocer las diferencias entre los  sexos en materia de salud y enfermedad mata.  </w:t>
      </w:r>
    </w:p>
    <w:p w:rsidR="00BD52DF" w:rsidRDefault="00B45DEF">
      <w:pPr>
        <w:pStyle w:val="normal0"/>
        <w:widowControl w:val="0"/>
        <w:pBdr>
          <w:top w:val="nil"/>
          <w:left w:val="nil"/>
          <w:bottom w:val="nil"/>
          <w:right w:val="nil"/>
          <w:between w:val="nil"/>
        </w:pBdr>
        <w:spacing w:before="6" w:line="229" w:lineRule="auto"/>
        <w:ind w:left="30" w:right="11" w:hanging="14"/>
        <w:rPr>
          <w:rFonts w:ascii="Times" w:eastAsia="Times" w:hAnsi="Times" w:cs="Times"/>
          <w:color w:val="000000"/>
          <w:sz w:val="24"/>
          <w:szCs w:val="24"/>
        </w:rPr>
      </w:pPr>
      <w:r>
        <w:rPr>
          <w:rFonts w:ascii="Times" w:eastAsia="Times" w:hAnsi="Times" w:cs="Times"/>
          <w:color w:val="000000"/>
          <w:sz w:val="24"/>
          <w:szCs w:val="24"/>
        </w:rPr>
        <w:t xml:space="preserve">– El enfoque de “todos los géneros” impide asimismo calcular y asignar partidas y recursos  sanitarios específicos para la población de mujeres. </w:t>
      </w:r>
    </w:p>
    <w:p w:rsidR="00BD52DF" w:rsidRDefault="00B45DEF">
      <w:pPr>
        <w:pStyle w:val="normal0"/>
        <w:widowControl w:val="0"/>
        <w:pBdr>
          <w:top w:val="nil"/>
          <w:left w:val="nil"/>
          <w:bottom w:val="nil"/>
          <w:right w:val="nil"/>
          <w:between w:val="nil"/>
        </w:pBdr>
        <w:spacing w:before="6" w:line="229" w:lineRule="auto"/>
        <w:ind w:left="21" w:hanging="5"/>
        <w:jc w:val="both"/>
        <w:rPr>
          <w:rFonts w:ascii="Times" w:eastAsia="Times" w:hAnsi="Times" w:cs="Times"/>
          <w:color w:val="000000"/>
          <w:sz w:val="24"/>
          <w:szCs w:val="24"/>
        </w:rPr>
      </w:pPr>
      <w:r>
        <w:rPr>
          <w:rFonts w:ascii="Times" w:eastAsia="Times" w:hAnsi="Times" w:cs="Times"/>
          <w:color w:val="000000"/>
          <w:sz w:val="24"/>
          <w:szCs w:val="24"/>
        </w:rPr>
        <w:lastRenderedPageBreak/>
        <w:t xml:space="preserve">– La perspectiva psico-identitaria de los géneros impide igualmente eliminar el patrón  masculino preestablecido en las ciencias médicas y las terapias farmacológicas. Las mujeres  sabemos que todo neutro encubre el masculino. </w:t>
      </w:r>
    </w:p>
    <w:p w:rsidR="00BD52DF" w:rsidRDefault="00B45DEF">
      <w:pPr>
        <w:pStyle w:val="normal0"/>
        <w:widowControl w:val="0"/>
        <w:pBdr>
          <w:top w:val="nil"/>
          <w:left w:val="nil"/>
          <w:bottom w:val="nil"/>
          <w:right w:val="nil"/>
          <w:between w:val="nil"/>
        </w:pBdr>
        <w:spacing w:before="5" w:line="229" w:lineRule="auto"/>
        <w:ind w:left="19" w:right="-1" w:hanging="3"/>
        <w:jc w:val="both"/>
        <w:rPr>
          <w:rFonts w:ascii="Times" w:eastAsia="Times" w:hAnsi="Times" w:cs="Times"/>
          <w:color w:val="000000"/>
          <w:sz w:val="24"/>
          <w:szCs w:val="24"/>
        </w:rPr>
      </w:pPr>
      <w:r>
        <w:rPr>
          <w:rFonts w:ascii="Times" w:eastAsia="Times" w:hAnsi="Times" w:cs="Times"/>
          <w:color w:val="000000"/>
          <w:sz w:val="24"/>
          <w:szCs w:val="24"/>
        </w:rPr>
        <w:t xml:space="preserve">– La ley N° 27.610 de Regulación al Acceso de la Interrupción Voluntaria del Embarazo haya  eliminado la categoría “mujer” del Artículo 88 del Código Penal, sustituyéndola por la  denominación neutra, funcionalista y biologicista, de “persona gestante” (33). La ley equipara  a las “mujeres” con “otras identidades de género con capacidad de gestar”, para luego incluir  y neutralizar todas las identidades en la “persona gestante”, bajo el supuesto de cuerpos  funcionales disociados de la identidad sexual de la persona.  </w:t>
      </w:r>
    </w:p>
    <w:p w:rsidR="00BD52DF" w:rsidRDefault="00B45DEF">
      <w:pPr>
        <w:pStyle w:val="normal0"/>
        <w:widowControl w:val="0"/>
        <w:pBdr>
          <w:top w:val="nil"/>
          <w:left w:val="nil"/>
          <w:bottom w:val="nil"/>
          <w:right w:val="nil"/>
          <w:between w:val="nil"/>
        </w:pBdr>
        <w:spacing w:before="5" w:line="229" w:lineRule="auto"/>
        <w:ind w:left="15" w:right="-2" w:hanging="3"/>
        <w:jc w:val="both"/>
        <w:rPr>
          <w:rFonts w:ascii="Times" w:eastAsia="Times" w:hAnsi="Times" w:cs="Times"/>
          <w:color w:val="000000"/>
          <w:sz w:val="24"/>
          <w:szCs w:val="24"/>
        </w:rPr>
      </w:pPr>
      <w:r>
        <w:rPr>
          <w:rFonts w:ascii="Times" w:eastAsia="Times" w:hAnsi="Times" w:cs="Times"/>
          <w:color w:val="000000"/>
          <w:sz w:val="24"/>
          <w:szCs w:val="24"/>
        </w:rPr>
        <w:t xml:space="preserve">– Se sustituya a la mujer por la denominación neutra, funcionalista y biologicista, de “persona  menstruante” (34), bajo el supuesto de cuerpos funcionales desafectados de la identidad  subjetiva.  </w:t>
      </w:r>
    </w:p>
    <w:p w:rsidR="00BD52DF" w:rsidRDefault="00B45DEF">
      <w:pPr>
        <w:pStyle w:val="normal0"/>
        <w:widowControl w:val="0"/>
        <w:pBdr>
          <w:top w:val="nil"/>
          <w:left w:val="nil"/>
          <w:bottom w:val="nil"/>
          <w:right w:val="nil"/>
          <w:between w:val="nil"/>
        </w:pBdr>
        <w:spacing w:before="558" w:line="230" w:lineRule="auto"/>
        <w:ind w:left="18" w:firstLine="3"/>
        <w:jc w:val="both"/>
        <w:rPr>
          <w:rFonts w:ascii="Times" w:eastAsia="Times" w:hAnsi="Times" w:cs="Times"/>
          <w:color w:val="000000"/>
          <w:sz w:val="24"/>
          <w:szCs w:val="24"/>
        </w:rPr>
      </w:pPr>
      <w:r>
        <w:rPr>
          <w:rFonts w:ascii="Times" w:eastAsia="Times" w:hAnsi="Times" w:cs="Times"/>
          <w:b/>
          <w:color w:val="000000"/>
          <w:sz w:val="24"/>
          <w:szCs w:val="24"/>
        </w:rPr>
        <w:t xml:space="preserve">La Recomendación General núm. 19 del Comité </w:t>
      </w:r>
      <w:r>
        <w:rPr>
          <w:rFonts w:ascii="Times" w:eastAsia="Times" w:hAnsi="Times" w:cs="Times"/>
          <w:color w:val="000000"/>
          <w:sz w:val="24"/>
          <w:szCs w:val="24"/>
        </w:rPr>
        <w:t xml:space="preserve">se refiere a la violencia contra las mujeres  por el hecho de ser mujeres, es decir, basada en el sexo. </w:t>
      </w:r>
      <w:r>
        <w:rPr>
          <w:rFonts w:ascii="Times" w:eastAsia="Times" w:hAnsi="Times" w:cs="Times"/>
          <w:b/>
          <w:color w:val="000000"/>
          <w:sz w:val="24"/>
          <w:szCs w:val="24"/>
        </w:rPr>
        <w:t xml:space="preserve">La Recomendación General núm.  35 </w:t>
      </w:r>
      <w:r>
        <w:rPr>
          <w:rFonts w:ascii="Times" w:eastAsia="Times" w:hAnsi="Times" w:cs="Times"/>
          <w:color w:val="000000"/>
          <w:sz w:val="24"/>
          <w:szCs w:val="24"/>
        </w:rPr>
        <w:t xml:space="preserve">subraya la importancia de recabar datos y recopilar estadísticas relativas a las diferentes  formas de violencia contra las mujeres que faciliten su prevención y reparación.  </w:t>
      </w:r>
    </w:p>
    <w:p w:rsidR="00BD52DF" w:rsidRDefault="00B45DEF">
      <w:pPr>
        <w:pStyle w:val="normal0"/>
        <w:widowControl w:val="0"/>
        <w:pBdr>
          <w:top w:val="nil"/>
          <w:left w:val="nil"/>
          <w:bottom w:val="nil"/>
          <w:right w:val="nil"/>
          <w:between w:val="nil"/>
        </w:pBdr>
        <w:spacing w:before="285" w:line="240" w:lineRule="auto"/>
        <w:ind w:left="21"/>
        <w:rPr>
          <w:rFonts w:ascii="Times" w:eastAsia="Times" w:hAnsi="Times" w:cs="Times"/>
          <w:b/>
          <w:color w:val="000000"/>
          <w:sz w:val="24"/>
          <w:szCs w:val="24"/>
        </w:rPr>
      </w:pPr>
      <w:r>
        <w:rPr>
          <w:rFonts w:ascii="Times" w:eastAsia="Times" w:hAnsi="Times" w:cs="Times"/>
          <w:b/>
          <w:color w:val="000000"/>
          <w:sz w:val="24"/>
          <w:szCs w:val="24"/>
        </w:rPr>
        <w:t xml:space="preserve">Preocupa que: </w:t>
      </w:r>
    </w:p>
    <w:p w:rsidR="00BD52DF" w:rsidRDefault="00B45DEF">
      <w:pPr>
        <w:pStyle w:val="normal0"/>
        <w:widowControl w:val="0"/>
        <w:pBdr>
          <w:top w:val="nil"/>
          <w:left w:val="nil"/>
          <w:bottom w:val="nil"/>
          <w:right w:val="nil"/>
          <w:between w:val="nil"/>
        </w:pBdr>
        <w:spacing w:line="230" w:lineRule="auto"/>
        <w:ind w:left="22" w:right="7" w:hanging="6"/>
        <w:jc w:val="both"/>
        <w:rPr>
          <w:rFonts w:ascii="Times" w:eastAsia="Times" w:hAnsi="Times" w:cs="Times"/>
          <w:color w:val="000000"/>
          <w:sz w:val="24"/>
          <w:szCs w:val="24"/>
        </w:rPr>
      </w:pPr>
      <w:r>
        <w:rPr>
          <w:rFonts w:ascii="Times" w:eastAsia="Times" w:hAnsi="Times" w:cs="Times"/>
          <w:color w:val="000000"/>
          <w:sz w:val="24"/>
          <w:szCs w:val="24"/>
        </w:rPr>
        <w:t>– A pesar de la Ley 26.485 relativa a la prevención de la violencia contra la mujer en todas  sus formas, el “</w:t>
      </w:r>
      <w:r>
        <w:rPr>
          <w:rFonts w:ascii="Times" w:eastAsia="Times" w:hAnsi="Times" w:cs="Times"/>
          <w:color w:val="000000"/>
          <w:sz w:val="24"/>
          <w:szCs w:val="24"/>
          <w:highlight w:val="white"/>
        </w:rPr>
        <w:t xml:space="preserve">Plan Nacional de Acción contra las Violencias por motivos de Género” </w:t>
      </w:r>
      <w:r>
        <w:rPr>
          <w:rFonts w:ascii="Times" w:eastAsia="Times" w:hAnsi="Times" w:cs="Times"/>
          <w:color w:val="000000"/>
          <w:sz w:val="24"/>
          <w:szCs w:val="24"/>
        </w:rPr>
        <w:t xml:space="preserve">(35) </w:t>
      </w:r>
      <w:r>
        <w:rPr>
          <w:rFonts w:ascii="Times" w:eastAsia="Times" w:hAnsi="Times" w:cs="Times"/>
          <w:color w:val="000000"/>
          <w:sz w:val="24"/>
          <w:szCs w:val="24"/>
          <w:highlight w:val="white"/>
        </w:rPr>
        <w:t xml:space="preserve">se enmarque en las “violencias de géneros”, entendiendo por tal la violencia que sufren todos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los géneros por el hecho de sus identificaciones mentales. </w:t>
      </w:r>
      <w:r>
        <w:rPr>
          <w:rFonts w:ascii="Times" w:eastAsia="Times" w:hAnsi="Times" w:cs="Times"/>
          <w:color w:val="000000"/>
          <w:sz w:val="24"/>
          <w:szCs w:val="24"/>
        </w:rPr>
        <w:t xml:space="preserve"> </w:t>
      </w:r>
    </w:p>
    <w:p w:rsidR="00BD52DF" w:rsidRDefault="00B45DEF">
      <w:pPr>
        <w:pStyle w:val="normal0"/>
        <w:widowControl w:val="0"/>
        <w:pBdr>
          <w:top w:val="nil"/>
          <w:left w:val="nil"/>
          <w:bottom w:val="nil"/>
          <w:right w:val="nil"/>
          <w:between w:val="nil"/>
        </w:pBdr>
        <w:spacing w:before="5" w:line="229" w:lineRule="auto"/>
        <w:ind w:left="15" w:right="1" w:hanging="3"/>
        <w:jc w:val="both"/>
        <w:rPr>
          <w:rFonts w:ascii="Times" w:eastAsia="Times" w:hAnsi="Times" w:cs="Times"/>
          <w:color w:val="000000"/>
          <w:sz w:val="24"/>
          <w:szCs w:val="24"/>
        </w:rPr>
      </w:pPr>
      <w:r>
        <w:rPr>
          <w:rFonts w:ascii="Times" w:eastAsia="Times" w:hAnsi="Times" w:cs="Times"/>
          <w:color w:val="000000"/>
          <w:sz w:val="24"/>
          <w:szCs w:val="24"/>
        </w:rPr>
        <w:t xml:space="preserve">– El </w:t>
      </w:r>
      <w:r>
        <w:rPr>
          <w:rFonts w:ascii="Times" w:eastAsia="Times" w:hAnsi="Times" w:cs="Times"/>
          <w:color w:val="000000"/>
          <w:sz w:val="24"/>
          <w:szCs w:val="24"/>
          <w:highlight w:val="white"/>
        </w:rPr>
        <w:t xml:space="preserve">Programa Nacional “Acompañar” (36) que promete apoyo económico y </w:t>
      </w:r>
      <w:r>
        <w:rPr>
          <w:rFonts w:ascii="Times" w:eastAsia="Times" w:hAnsi="Times" w:cs="Times"/>
          <w:color w:val="000000"/>
          <w:sz w:val="24"/>
          <w:szCs w:val="24"/>
        </w:rPr>
        <w:t xml:space="preserve"> </w:t>
      </w:r>
      <w:r>
        <w:rPr>
          <w:rFonts w:ascii="Times" w:eastAsia="Times" w:hAnsi="Times" w:cs="Times"/>
          <w:color w:val="000000"/>
          <w:sz w:val="24"/>
          <w:szCs w:val="24"/>
          <w:highlight w:val="white"/>
        </w:rPr>
        <w:t xml:space="preserve">acompañamiento integral </w:t>
      </w:r>
      <w:r>
        <w:rPr>
          <w:rFonts w:ascii="Times" w:eastAsia="Times" w:hAnsi="Times" w:cs="Times"/>
          <w:color w:val="000000"/>
          <w:sz w:val="24"/>
          <w:szCs w:val="24"/>
        </w:rPr>
        <w:t xml:space="preserve">para mujeres y personas LGBTI+ no especifica el monto de los  recursos destinados a las mujeres y el destinado a varones. </w:t>
      </w:r>
    </w:p>
    <w:p w:rsidR="00BD52DF" w:rsidRDefault="00B45DEF">
      <w:pPr>
        <w:pStyle w:val="normal0"/>
        <w:widowControl w:val="0"/>
        <w:pBdr>
          <w:top w:val="nil"/>
          <w:left w:val="nil"/>
          <w:bottom w:val="nil"/>
          <w:right w:val="nil"/>
          <w:between w:val="nil"/>
        </w:pBdr>
        <w:spacing w:before="6" w:line="230" w:lineRule="auto"/>
        <w:ind w:left="21" w:right="2" w:hanging="5"/>
        <w:jc w:val="both"/>
        <w:rPr>
          <w:rFonts w:ascii="Times" w:eastAsia="Times" w:hAnsi="Times" w:cs="Times"/>
          <w:color w:val="000000"/>
          <w:sz w:val="24"/>
          <w:szCs w:val="24"/>
        </w:rPr>
      </w:pPr>
      <w:r>
        <w:rPr>
          <w:rFonts w:ascii="Times" w:eastAsia="Times" w:hAnsi="Times" w:cs="Times"/>
          <w:color w:val="000000"/>
          <w:sz w:val="24"/>
          <w:szCs w:val="24"/>
        </w:rPr>
        <w:t xml:space="preserve">– El feminicidio y otros tipos de violencia contra las mujeres quedan al arbitrio de la  identificación de género que el agresor declare percibir, abandonando a las mujeres a una  mayor inseguridad jurídica (37). </w:t>
      </w:r>
    </w:p>
    <w:p w:rsidR="00BD52DF" w:rsidRDefault="00B45DEF">
      <w:pPr>
        <w:pStyle w:val="normal0"/>
        <w:widowControl w:val="0"/>
        <w:pBdr>
          <w:top w:val="nil"/>
          <w:left w:val="nil"/>
          <w:bottom w:val="nil"/>
          <w:right w:val="nil"/>
          <w:between w:val="nil"/>
        </w:pBdr>
        <w:spacing w:before="5" w:line="229" w:lineRule="auto"/>
        <w:ind w:left="24" w:right="11" w:hanging="8"/>
        <w:rPr>
          <w:rFonts w:ascii="Times" w:eastAsia="Times" w:hAnsi="Times" w:cs="Times"/>
          <w:color w:val="000000"/>
          <w:sz w:val="24"/>
          <w:szCs w:val="24"/>
        </w:rPr>
      </w:pPr>
      <w:r>
        <w:rPr>
          <w:rFonts w:ascii="Times" w:eastAsia="Times" w:hAnsi="Times" w:cs="Times"/>
          <w:color w:val="000000"/>
          <w:sz w:val="24"/>
          <w:szCs w:val="24"/>
        </w:rPr>
        <w:t xml:space="preserve">– Las mujeres identificadas con la masculinidad social son excluidas de las protecciones de la  CEDAW, como sucede con Tehuel De La Torre (38).  </w:t>
      </w:r>
    </w:p>
    <w:p w:rsidR="00BD52DF" w:rsidRDefault="00B45DEF">
      <w:pPr>
        <w:pStyle w:val="normal0"/>
        <w:widowControl w:val="0"/>
        <w:pBdr>
          <w:top w:val="nil"/>
          <w:left w:val="nil"/>
          <w:bottom w:val="nil"/>
          <w:right w:val="nil"/>
          <w:between w:val="nil"/>
        </w:pBdr>
        <w:spacing w:before="6" w:line="229" w:lineRule="auto"/>
        <w:ind w:left="21" w:right="3" w:hanging="5"/>
        <w:jc w:val="both"/>
        <w:rPr>
          <w:rFonts w:ascii="Times" w:eastAsia="Times" w:hAnsi="Times" w:cs="Times"/>
          <w:color w:val="000000"/>
          <w:sz w:val="24"/>
          <w:szCs w:val="24"/>
        </w:rPr>
      </w:pPr>
      <w:r>
        <w:rPr>
          <w:rFonts w:ascii="Times" w:eastAsia="Times" w:hAnsi="Times" w:cs="Times"/>
          <w:color w:val="000000"/>
          <w:sz w:val="24"/>
          <w:szCs w:val="24"/>
        </w:rPr>
        <w:t xml:space="preserve">– La introducción de varones identificados con la feminidad social en cárceles de mujeres,  incluso los condenados por delitos sexuales (39). Los estudios muestran que tales individuos,  aún medicalizados e intervenidos quirúrgicamente, mantienen los patrones masculinos de  criminalidad (40). </w:t>
      </w:r>
    </w:p>
    <w:p w:rsidR="00BD52DF" w:rsidRDefault="00B45DEF">
      <w:pPr>
        <w:pStyle w:val="normal0"/>
        <w:widowControl w:val="0"/>
        <w:pBdr>
          <w:top w:val="nil"/>
          <w:left w:val="nil"/>
          <w:bottom w:val="nil"/>
          <w:right w:val="nil"/>
          <w:between w:val="nil"/>
        </w:pBdr>
        <w:spacing w:before="6" w:line="229" w:lineRule="auto"/>
        <w:ind w:left="22" w:right="11" w:hanging="6"/>
        <w:rPr>
          <w:rFonts w:ascii="Times" w:eastAsia="Times" w:hAnsi="Times" w:cs="Times"/>
          <w:color w:val="000000"/>
          <w:sz w:val="24"/>
          <w:szCs w:val="24"/>
        </w:rPr>
      </w:pPr>
      <w:r>
        <w:rPr>
          <w:rFonts w:ascii="Times" w:eastAsia="Times" w:hAnsi="Times" w:cs="Times"/>
          <w:color w:val="000000"/>
          <w:sz w:val="24"/>
          <w:szCs w:val="24"/>
        </w:rPr>
        <w:t>– La introducción de mujeres identificadas con la masculinidad social en las cárceles de  varones (41).</w:t>
      </w:r>
    </w:p>
    <w:p w:rsidR="00BD52DF" w:rsidRDefault="00B45DEF">
      <w:pPr>
        <w:pStyle w:val="normal0"/>
        <w:widowControl w:val="0"/>
        <w:pBdr>
          <w:top w:val="nil"/>
          <w:left w:val="nil"/>
          <w:bottom w:val="nil"/>
          <w:right w:val="nil"/>
          <w:between w:val="nil"/>
        </w:pBdr>
        <w:spacing w:line="230" w:lineRule="auto"/>
        <w:ind w:left="24" w:right="127" w:hanging="2"/>
        <w:rPr>
          <w:rFonts w:ascii="Times" w:eastAsia="Times" w:hAnsi="Times" w:cs="Times"/>
          <w:b/>
          <w:color w:val="000000"/>
          <w:sz w:val="26"/>
          <w:szCs w:val="26"/>
        </w:rPr>
      </w:pPr>
      <w:r>
        <w:rPr>
          <w:rFonts w:ascii="Times" w:eastAsia="Times" w:hAnsi="Times" w:cs="Times"/>
          <w:b/>
          <w:color w:val="000000"/>
          <w:sz w:val="26"/>
          <w:szCs w:val="26"/>
        </w:rPr>
        <w:t xml:space="preserve">En razón de lo expuesto, solicitamos que este Comité le pida al Estado Argentino aclaraciones sobre: </w:t>
      </w:r>
    </w:p>
    <w:p w:rsidR="00BD52DF" w:rsidRDefault="00B45DEF">
      <w:pPr>
        <w:pStyle w:val="normal0"/>
        <w:widowControl w:val="0"/>
        <w:pBdr>
          <w:top w:val="nil"/>
          <w:left w:val="nil"/>
          <w:bottom w:val="nil"/>
          <w:right w:val="nil"/>
          <w:between w:val="nil"/>
        </w:pBdr>
        <w:spacing w:line="230" w:lineRule="auto"/>
        <w:ind w:left="19" w:firstLine="27"/>
        <w:rPr>
          <w:rFonts w:ascii="Times" w:eastAsia="Times" w:hAnsi="Times" w:cs="Times"/>
          <w:color w:val="000000"/>
          <w:sz w:val="26"/>
          <w:szCs w:val="26"/>
        </w:rPr>
      </w:pPr>
      <w:r>
        <w:rPr>
          <w:rFonts w:ascii="Times" w:eastAsia="Times" w:hAnsi="Times" w:cs="Times"/>
          <w:color w:val="000000"/>
          <w:sz w:val="26"/>
          <w:szCs w:val="26"/>
        </w:rPr>
        <w:t xml:space="preserve">1. Por qué no aplica en sus normas legislativas y administrativas antes reseñadas la  conceptualización de protección a las mujeres de la discriminación por sexo,  desconociendo y confundiendo la definición de sexo y género que hace la CEDAW. 2. Por qué aplica los llamados Principios de Yogyakarta, cuando no revisten jerarquía  convencional ni han sido adoptados formalmente por la ONU ni sometidos al  procedimiento de ratificación por los Estados. </w:t>
      </w:r>
    </w:p>
    <w:p w:rsidR="00BD52DF" w:rsidRDefault="00B45DEF">
      <w:pPr>
        <w:pStyle w:val="normal0"/>
        <w:widowControl w:val="0"/>
        <w:pBdr>
          <w:top w:val="nil"/>
          <w:left w:val="nil"/>
          <w:bottom w:val="nil"/>
          <w:right w:val="nil"/>
          <w:between w:val="nil"/>
        </w:pBdr>
        <w:spacing w:before="7" w:line="230" w:lineRule="auto"/>
        <w:ind w:left="25" w:right="-4" w:firstLine="3"/>
        <w:rPr>
          <w:rFonts w:ascii="Times" w:eastAsia="Times" w:hAnsi="Times" w:cs="Times"/>
          <w:color w:val="000000"/>
          <w:sz w:val="26"/>
          <w:szCs w:val="26"/>
        </w:rPr>
      </w:pPr>
      <w:r>
        <w:rPr>
          <w:rFonts w:ascii="Times" w:eastAsia="Times" w:hAnsi="Times" w:cs="Times"/>
          <w:color w:val="000000"/>
          <w:sz w:val="26"/>
          <w:szCs w:val="26"/>
        </w:rPr>
        <w:t xml:space="preserve">3. El contenido específico de la función social de la maternidad respecto de la función  general de cuidado. </w:t>
      </w:r>
    </w:p>
    <w:p w:rsidR="00BD52DF" w:rsidRDefault="00B45DEF">
      <w:pPr>
        <w:pStyle w:val="normal0"/>
        <w:widowControl w:val="0"/>
        <w:pBdr>
          <w:top w:val="nil"/>
          <w:left w:val="nil"/>
          <w:bottom w:val="nil"/>
          <w:right w:val="nil"/>
          <w:between w:val="nil"/>
        </w:pBdr>
        <w:spacing w:before="3" w:line="230" w:lineRule="auto"/>
        <w:ind w:left="19" w:right="-3" w:firstLine="2"/>
        <w:jc w:val="both"/>
        <w:rPr>
          <w:rFonts w:ascii="Times" w:eastAsia="Times" w:hAnsi="Times" w:cs="Times"/>
          <w:color w:val="000000"/>
          <w:sz w:val="26"/>
          <w:szCs w:val="26"/>
        </w:rPr>
      </w:pPr>
      <w:r>
        <w:rPr>
          <w:rFonts w:ascii="Times" w:eastAsia="Times" w:hAnsi="Times" w:cs="Times"/>
          <w:color w:val="000000"/>
          <w:sz w:val="26"/>
          <w:szCs w:val="26"/>
        </w:rPr>
        <w:t xml:space="preserve">4. El impacto que la eliminación legal del “sexo” como categoría legal protegida y su  sustitución por los estereotipos socioculturales de “género” produce en el  </w:t>
      </w:r>
      <w:r>
        <w:rPr>
          <w:rFonts w:ascii="Times" w:eastAsia="Times" w:hAnsi="Times" w:cs="Times"/>
          <w:color w:val="000000"/>
          <w:sz w:val="26"/>
          <w:szCs w:val="26"/>
        </w:rPr>
        <w:lastRenderedPageBreak/>
        <w:t xml:space="preserve">reconocimiento, goce y ejercicio de los derechos fundamentales de las mujeres sobre  la base de la igualdad con el varón. </w:t>
      </w:r>
    </w:p>
    <w:p w:rsidR="00BD52DF" w:rsidRDefault="00B45DEF">
      <w:pPr>
        <w:pStyle w:val="normal0"/>
        <w:widowControl w:val="0"/>
        <w:pBdr>
          <w:top w:val="nil"/>
          <w:left w:val="nil"/>
          <w:bottom w:val="nil"/>
          <w:right w:val="nil"/>
          <w:between w:val="nil"/>
        </w:pBdr>
        <w:spacing w:before="278" w:line="230" w:lineRule="auto"/>
        <w:ind w:left="19" w:firstLine="1"/>
        <w:jc w:val="both"/>
        <w:rPr>
          <w:rFonts w:ascii="Times" w:eastAsia="Times" w:hAnsi="Times" w:cs="Times"/>
          <w:color w:val="000000"/>
          <w:sz w:val="26"/>
          <w:szCs w:val="26"/>
        </w:rPr>
      </w:pPr>
      <w:r>
        <w:rPr>
          <w:rFonts w:ascii="Times" w:eastAsia="Times" w:hAnsi="Times" w:cs="Times"/>
          <w:color w:val="000000"/>
          <w:sz w:val="26"/>
          <w:szCs w:val="26"/>
        </w:rPr>
        <w:t xml:space="preserve">Asimismo, solicitamos que el Comité de la CEDAW revise en detalle el impacto de  las políticas de identidad de género en detrimento de las obligaciones del Estado  argentino frente a las mujeres y las niñas. Solicitamos también su intervención para  mantener la categoría “mujer” y la obligación de erradicar la discriminación basada en  el sexo, así como las políticas, presupuestos y medidas permanentes, diferenciadas y  de carácter temporal centradas en la igualdad social que debe obtenerse entre mujeres  y hombres. </w:t>
      </w:r>
    </w:p>
    <w:p w:rsidR="00BD52DF" w:rsidRDefault="00B45DEF">
      <w:pPr>
        <w:pStyle w:val="normal0"/>
        <w:widowControl w:val="0"/>
        <w:pBdr>
          <w:top w:val="nil"/>
          <w:left w:val="nil"/>
          <w:bottom w:val="nil"/>
          <w:right w:val="nil"/>
          <w:between w:val="nil"/>
        </w:pBdr>
        <w:spacing w:before="611" w:line="240" w:lineRule="auto"/>
        <w:ind w:left="26"/>
        <w:rPr>
          <w:rFonts w:ascii="Times" w:eastAsia="Times" w:hAnsi="Times" w:cs="Times"/>
          <w:b/>
          <w:color w:val="000000"/>
          <w:sz w:val="24"/>
          <w:szCs w:val="24"/>
        </w:rPr>
      </w:pPr>
      <w:r>
        <w:rPr>
          <w:rFonts w:ascii="Times" w:eastAsia="Times" w:hAnsi="Times" w:cs="Times"/>
          <w:b/>
          <w:color w:val="000000"/>
          <w:sz w:val="24"/>
          <w:szCs w:val="24"/>
        </w:rPr>
        <w:t xml:space="preserve">Quiénes somos </w:t>
      </w:r>
    </w:p>
    <w:p w:rsidR="00BD52DF" w:rsidRDefault="00B45DEF">
      <w:pPr>
        <w:pStyle w:val="normal0"/>
        <w:widowControl w:val="0"/>
        <w:pBdr>
          <w:top w:val="nil"/>
          <w:left w:val="nil"/>
          <w:bottom w:val="nil"/>
          <w:right w:val="nil"/>
          <w:between w:val="nil"/>
        </w:pBdr>
        <w:spacing w:line="229" w:lineRule="auto"/>
        <w:ind w:left="20" w:right="8"/>
        <w:jc w:val="both"/>
        <w:rPr>
          <w:rFonts w:ascii="Times" w:eastAsia="Times" w:hAnsi="Times" w:cs="Times"/>
          <w:color w:val="000000"/>
          <w:sz w:val="24"/>
          <w:szCs w:val="24"/>
        </w:rPr>
      </w:pPr>
      <w:r>
        <w:rPr>
          <w:rFonts w:ascii="Times" w:eastAsia="Times" w:hAnsi="Times" w:cs="Times"/>
          <w:color w:val="000000"/>
          <w:sz w:val="24"/>
          <w:szCs w:val="24"/>
        </w:rPr>
        <w:t xml:space="preserve">La Campaña Argentina por los Derechos de las Mujeres, adherida a Women 's Declaration  International, es una iniciativa de base que vela por el cumplimiento de los compromisos del  Estados argentino con las mujeres basados en la CEDAW, de jerarquía constitucional.  Nuestro principal objetivo es impedir que el sexo legal, fundado en la evidencia material  objetiva y en la unidad biopsicosocial de las mujeres, sea eliminado en favor de  autopercepciones de género, fundadas estereotipos sexistas y sentimientos privados.  </w:t>
      </w:r>
    </w:p>
    <w:p w:rsidR="00BD52DF" w:rsidRDefault="00B45DEF">
      <w:pPr>
        <w:pStyle w:val="normal0"/>
        <w:widowControl w:val="0"/>
        <w:pBdr>
          <w:top w:val="nil"/>
          <w:left w:val="nil"/>
          <w:bottom w:val="nil"/>
          <w:right w:val="nil"/>
          <w:between w:val="nil"/>
        </w:pBdr>
        <w:spacing w:before="281" w:line="240" w:lineRule="auto"/>
        <w:ind w:left="19"/>
        <w:rPr>
          <w:rFonts w:ascii="Times" w:eastAsia="Times" w:hAnsi="Times" w:cs="Times"/>
          <w:color w:val="1155CC"/>
          <w:sz w:val="24"/>
          <w:szCs w:val="24"/>
        </w:rPr>
      </w:pPr>
      <w:r>
        <w:rPr>
          <w:rFonts w:ascii="Times" w:eastAsia="Times" w:hAnsi="Times" w:cs="Times"/>
          <w:color w:val="1155CC"/>
          <w:sz w:val="24"/>
          <w:szCs w:val="24"/>
          <w:u w:val="single"/>
        </w:rPr>
        <w:t>https://xn--mujeresencampaa-crb.com.ar/</w:t>
      </w:r>
      <w:r>
        <w:rPr>
          <w:rFonts w:ascii="Times" w:eastAsia="Times" w:hAnsi="Times" w:cs="Times"/>
          <w:color w:val="1155CC"/>
          <w:sz w:val="24"/>
          <w:szCs w:val="24"/>
        </w:rPr>
        <w:t xml:space="preserve"> </w:t>
      </w:r>
    </w:p>
    <w:p w:rsidR="00BD52DF" w:rsidRDefault="00B45DEF">
      <w:pPr>
        <w:pStyle w:val="normal0"/>
        <w:widowControl w:val="0"/>
        <w:pBdr>
          <w:top w:val="nil"/>
          <w:left w:val="nil"/>
          <w:bottom w:val="nil"/>
          <w:right w:val="nil"/>
          <w:between w:val="nil"/>
        </w:pBdr>
        <w:spacing w:line="240" w:lineRule="auto"/>
        <w:ind w:left="19"/>
        <w:rPr>
          <w:rFonts w:ascii="Times" w:eastAsia="Times" w:hAnsi="Times" w:cs="Times"/>
          <w:color w:val="1155CC"/>
          <w:sz w:val="24"/>
          <w:szCs w:val="24"/>
        </w:rPr>
      </w:pPr>
      <w:r>
        <w:rPr>
          <w:rFonts w:ascii="Times" w:eastAsia="Times" w:hAnsi="Times" w:cs="Times"/>
          <w:color w:val="1155CC"/>
          <w:sz w:val="24"/>
          <w:szCs w:val="24"/>
          <w:u w:val="single"/>
        </w:rPr>
        <w:t>https://www.womensdeclaration.com/es/</w:t>
      </w:r>
      <w:r>
        <w:rPr>
          <w:rFonts w:ascii="Times" w:eastAsia="Times" w:hAnsi="Times" w:cs="Times"/>
          <w:color w:val="1155CC"/>
          <w:sz w:val="24"/>
          <w:szCs w:val="24"/>
        </w:rPr>
        <w:t xml:space="preserve"> </w:t>
      </w:r>
    </w:p>
    <w:p w:rsidR="00BD52DF" w:rsidRDefault="00B45DEF">
      <w:pPr>
        <w:pStyle w:val="normal0"/>
        <w:widowControl w:val="0"/>
        <w:pBdr>
          <w:top w:val="nil"/>
          <w:left w:val="nil"/>
          <w:bottom w:val="nil"/>
          <w:right w:val="nil"/>
          <w:between w:val="nil"/>
        </w:pBdr>
        <w:spacing w:line="240" w:lineRule="auto"/>
        <w:ind w:left="26"/>
        <w:rPr>
          <w:rFonts w:ascii="Times" w:eastAsia="Times" w:hAnsi="Times" w:cs="Times"/>
          <w:color w:val="1155CC"/>
          <w:sz w:val="24"/>
          <w:szCs w:val="24"/>
          <w:u w:val="single"/>
        </w:rPr>
      </w:pPr>
      <w:r>
        <w:rPr>
          <w:rFonts w:ascii="Times" w:eastAsia="Times" w:hAnsi="Times" w:cs="Times"/>
          <w:color w:val="1155CC"/>
          <w:sz w:val="24"/>
          <w:szCs w:val="24"/>
          <w:u w:val="single"/>
        </w:rPr>
        <w:t>argentina@womensdeclaration.org</w:t>
      </w:r>
    </w:p>
    <w:p w:rsidR="00BD52DF" w:rsidRDefault="00352FBD">
      <w:pPr>
        <w:pStyle w:val="normal0"/>
        <w:widowControl w:val="0"/>
        <w:pBdr>
          <w:top w:val="nil"/>
          <w:left w:val="nil"/>
          <w:bottom w:val="nil"/>
          <w:right w:val="nil"/>
          <w:between w:val="nil"/>
        </w:pBdr>
        <w:spacing w:before="293" w:line="240" w:lineRule="auto"/>
        <w:ind w:left="17"/>
        <w:rPr>
          <w:rFonts w:ascii="Times" w:eastAsia="Times" w:hAnsi="Times" w:cs="Times"/>
          <w:color w:val="1155CC"/>
          <w:sz w:val="24"/>
          <w:szCs w:val="24"/>
          <w:u w:val="single"/>
        </w:rPr>
      </w:pPr>
      <w:r>
        <w:rPr>
          <w:noProof/>
          <w:color w:val="000000"/>
          <w:bdr w:val="none" w:sz="0" w:space="0" w:color="auto" w:frame="1"/>
        </w:rPr>
        <w:drawing>
          <wp:inline distT="0" distB="0" distL="0" distR="0">
            <wp:extent cx="2659350" cy="448582"/>
            <wp:effectExtent l="19050" t="0" r="7650" b="0"/>
            <wp:docPr id="1" name="Imagen 1" descr="https://lh6.googleusercontent.com/IjMcFaiSo1wfsrRqfggAq0SskrzkbkULw_XwZOFW6qYjoCEot-wxIYvYEK6Uf4bzA_OClIjrJ50HDqPTtfyCOPF3_DAsJF8-axgJYS59r6MNlS_O109ledVV2edYiclPesvzIVYsRVNvKNGP8dFiO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IjMcFaiSo1wfsrRqfggAq0SskrzkbkULw_XwZOFW6qYjoCEot-wxIYvYEK6Uf4bzA_OClIjrJ50HDqPTtfyCOPF3_DAsJF8-axgJYS59r6MNlS_O109ledVV2edYiclPesvzIVYsRVNvKNGP8dFiOQs"/>
                    <pic:cNvPicPr>
                      <a:picLocks noChangeAspect="1" noChangeArrowheads="1"/>
                    </pic:cNvPicPr>
                  </pic:nvPicPr>
                  <pic:blipFill>
                    <a:blip r:embed="rId5" cstate="print"/>
                    <a:srcRect/>
                    <a:stretch>
                      <a:fillRect/>
                    </a:stretch>
                  </pic:blipFill>
                  <pic:spPr bwMode="auto">
                    <a:xfrm>
                      <a:off x="0" y="0"/>
                      <a:ext cx="2683419" cy="452642"/>
                    </a:xfrm>
                    <a:prstGeom prst="rect">
                      <a:avLst/>
                    </a:prstGeom>
                    <a:noFill/>
                    <a:ln w="9525">
                      <a:noFill/>
                      <a:miter lim="800000"/>
                      <a:headEnd/>
                      <a:tailEnd/>
                    </a:ln>
                  </pic:spPr>
                </pic:pic>
              </a:graphicData>
            </a:graphic>
          </wp:inline>
        </w:drawing>
      </w:r>
    </w:p>
    <w:sectPr w:rsidR="00BD52DF" w:rsidSect="00BD52DF">
      <w:pgSz w:w="11900" w:h="16820"/>
      <w:pgMar w:top="1416" w:right="1372" w:bottom="1631" w:left="1422"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hyphenationZone w:val="425"/>
  <w:characterSpacingControl w:val="doNotCompress"/>
  <w:compat/>
  <w:rsids>
    <w:rsidRoot w:val="00BD52DF"/>
    <w:rsid w:val="00352FBD"/>
    <w:rsid w:val="003B3BC3"/>
    <w:rsid w:val="00B45DEF"/>
    <w:rsid w:val="00BD52DF"/>
    <w:rsid w:val="00D25EAF"/>
    <w:rsid w:val="00E5125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EAF"/>
  </w:style>
  <w:style w:type="paragraph" w:styleId="Ttulo1">
    <w:name w:val="heading 1"/>
    <w:basedOn w:val="normal0"/>
    <w:next w:val="normal0"/>
    <w:rsid w:val="00BD52DF"/>
    <w:pPr>
      <w:keepNext/>
      <w:keepLines/>
      <w:spacing w:before="480" w:after="120"/>
      <w:outlineLvl w:val="0"/>
    </w:pPr>
    <w:rPr>
      <w:b/>
      <w:sz w:val="48"/>
      <w:szCs w:val="48"/>
    </w:rPr>
  </w:style>
  <w:style w:type="paragraph" w:styleId="Ttulo2">
    <w:name w:val="heading 2"/>
    <w:basedOn w:val="normal0"/>
    <w:next w:val="normal0"/>
    <w:rsid w:val="00BD52DF"/>
    <w:pPr>
      <w:keepNext/>
      <w:keepLines/>
      <w:spacing w:before="360" w:after="80"/>
      <w:outlineLvl w:val="1"/>
    </w:pPr>
    <w:rPr>
      <w:b/>
      <w:sz w:val="36"/>
      <w:szCs w:val="36"/>
    </w:rPr>
  </w:style>
  <w:style w:type="paragraph" w:styleId="Ttulo3">
    <w:name w:val="heading 3"/>
    <w:basedOn w:val="normal0"/>
    <w:next w:val="normal0"/>
    <w:rsid w:val="00BD52DF"/>
    <w:pPr>
      <w:keepNext/>
      <w:keepLines/>
      <w:spacing w:before="280" w:after="80"/>
      <w:outlineLvl w:val="2"/>
    </w:pPr>
    <w:rPr>
      <w:b/>
      <w:sz w:val="28"/>
      <w:szCs w:val="28"/>
    </w:rPr>
  </w:style>
  <w:style w:type="paragraph" w:styleId="Ttulo4">
    <w:name w:val="heading 4"/>
    <w:basedOn w:val="normal0"/>
    <w:next w:val="normal0"/>
    <w:rsid w:val="00BD52DF"/>
    <w:pPr>
      <w:keepNext/>
      <w:keepLines/>
      <w:spacing w:before="240" w:after="40"/>
      <w:outlineLvl w:val="3"/>
    </w:pPr>
    <w:rPr>
      <w:b/>
      <w:sz w:val="24"/>
      <w:szCs w:val="24"/>
    </w:rPr>
  </w:style>
  <w:style w:type="paragraph" w:styleId="Ttulo5">
    <w:name w:val="heading 5"/>
    <w:basedOn w:val="normal0"/>
    <w:next w:val="normal0"/>
    <w:rsid w:val="00BD52DF"/>
    <w:pPr>
      <w:keepNext/>
      <w:keepLines/>
      <w:spacing w:before="220" w:after="40"/>
      <w:outlineLvl w:val="4"/>
    </w:pPr>
    <w:rPr>
      <w:b/>
    </w:rPr>
  </w:style>
  <w:style w:type="paragraph" w:styleId="Ttulo6">
    <w:name w:val="heading 6"/>
    <w:basedOn w:val="normal0"/>
    <w:next w:val="normal0"/>
    <w:rsid w:val="00BD52D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BD52DF"/>
  </w:style>
  <w:style w:type="table" w:customStyle="1" w:styleId="TableNormal">
    <w:name w:val="Table Normal"/>
    <w:rsid w:val="00BD52DF"/>
    <w:tblPr>
      <w:tblCellMar>
        <w:top w:w="0" w:type="dxa"/>
        <w:left w:w="0" w:type="dxa"/>
        <w:bottom w:w="0" w:type="dxa"/>
        <w:right w:w="0" w:type="dxa"/>
      </w:tblCellMar>
    </w:tblPr>
  </w:style>
  <w:style w:type="paragraph" w:styleId="Ttulo">
    <w:name w:val="Title"/>
    <w:basedOn w:val="normal0"/>
    <w:next w:val="normal0"/>
    <w:rsid w:val="00BD52DF"/>
    <w:pPr>
      <w:keepNext/>
      <w:keepLines/>
      <w:spacing w:before="480" w:after="120"/>
    </w:pPr>
    <w:rPr>
      <w:b/>
      <w:sz w:val="72"/>
      <w:szCs w:val="72"/>
    </w:rPr>
  </w:style>
  <w:style w:type="paragraph" w:styleId="Subttulo">
    <w:name w:val="Subtitle"/>
    <w:basedOn w:val="normal0"/>
    <w:next w:val="normal0"/>
    <w:rsid w:val="00BD52DF"/>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3B3BC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3B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3280</Words>
  <Characters>18046</Characters>
  <Application>Microsoft Office Word</Application>
  <DocSecurity>0</DocSecurity>
  <Lines>150</Lines>
  <Paragraphs>42</Paragraphs>
  <ScaleCrop>false</ScaleCrop>
  <Company/>
  <LinksUpToDate>false</LinksUpToDate>
  <CharactersWithSpaces>21284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2023-01-30T18:46:00Z</dcterms:created>
  <dcterms:modified xsi:type="dcterms:W3CDTF">2023-01-30T18:48:00Z</dcterms:modified>
</cp:coreProperties>
</file>