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EEC2B" w14:textId="7CAF80F8" w:rsidR="00F31492" w:rsidRPr="00247E02" w:rsidRDefault="00F31492" w:rsidP="00F31492">
      <w:pPr>
        <w:jc w:val="center"/>
        <w:rPr>
          <w:b/>
          <w:color w:val="auto"/>
          <w:sz w:val="24"/>
          <w:szCs w:val="24"/>
        </w:rPr>
      </w:pPr>
      <w:r w:rsidRPr="00247E02">
        <w:rPr>
          <w:b/>
          <w:color w:val="auto"/>
          <w:sz w:val="24"/>
          <w:szCs w:val="24"/>
        </w:rPr>
        <w:t>The United States of America’s Compliance with the Convention on the Elimination of Racial Discrimination</w:t>
      </w:r>
    </w:p>
    <w:p w14:paraId="20D70956" w14:textId="77777777" w:rsidR="00F31492" w:rsidRPr="00247E02" w:rsidRDefault="00F31492" w:rsidP="00F31492">
      <w:pPr>
        <w:jc w:val="center"/>
        <w:rPr>
          <w:b/>
          <w:color w:val="auto"/>
          <w:sz w:val="24"/>
          <w:szCs w:val="24"/>
        </w:rPr>
      </w:pPr>
    </w:p>
    <w:p w14:paraId="748DE84E" w14:textId="4B1F266F" w:rsidR="00F31492" w:rsidRPr="00247E02" w:rsidRDefault="00B02CF0" w:rsidP="00F31492">
      <w:pPr>
        <w:jc w:val="center"/>
        <w:rPr>
          <w:b/>
          <w:color w:val="auto"/>
          <w:sz w:val="24"/>
          <w:szCs w:val="24"/>
        </w:rPr>
      </w:pPr>
      <w:r>
        <w:rPr>
          <w:b/>
          <w:color w:val="auto"/>
          <w:sz w:val="24"/>
          <w:szCs w:val="24"/>
        </w:rPr>
        <w:t xml:space="preserve">Parallel </w:t>
      </w:r>
      <w:r w:rsidR="00FA2AB3" w:rsidRPr="00247E02">
        <w:rPr>
          <w:b/>
          <w:color w:val="auto"/>
          <w:sz w:val="24"/>
          <w:szCs w:val="24"/>
        </w:rPr>
        <w:t xml:space="preserve">Report on Immigration and Racial Discrimination </w:t>
      </w:r>
    </w:p>
    <w:p w14:paraId="0315DDCB" w14:textId="77777777" w:rsidR="00F31492" w:rsidRPr="00247E02" w:rsidRDefault="00F31492" w:rsidP="00F31492">
      <w:pPr>
        <w:jc w:val="center"/>
        <w:rPr>
          <w:color w:val="auto"/>
          <w:sz w:val="24"/>
          <w:szCs w:val="24"/>
        </w:rPr>
      </w:pPr>
    </w:p>
    <w:p w14:paraId="78EA661F" w14:textId="77777777" w:rsidR="00F31492" w:rsidRPr="00247E02" w:rsidRDefault="00F31492" w:rsidP="00F31492">
      <w:pPr>
        <w:jc w:val="center"/>
        <w:rPr>
          <w:b/>
          <w:color w:val="auto"/>
          <w:sz w:val="24"/>
          <w:szCs w:val="24"/>
        </w:rPr>
      </w:pPr>
      <w:r w:rsidRPr="00247E02">
        <w:rPr>
          <w:b/>
          <w:color w:val="auto"/>
          <w:sz w:val="24"/>
          <w:szCs w:val="24"/>
        </w:rPr>
        <w:t>Submitted by The Advocates for Human Rights</w:t>
      </w:r>
    </w:p>
    <w:p w14:paraId="535CA800" w14:textId="77777777" w:rsidR="00F31492" w:rsidRPr="00247E02" w:rsidRDefault="00F31492" w:rsidP="00F31492">
      <w:pPr>
        <w:jc w:val="center"/>
        <w:rPr>
          <w:color w:val="auto"/>
          <w:sz w:val="24"/>
          <w:szCs w:val="24"/>
        </w:rPr>
      </w:pPr>
      <w:r w:rsidRPr="00247E02">
        <w:rPr>
          <w:color w:val="auto"/>
          <w:sz w:val="24"/>
          <w:szCs w:val="24"/>
        </w:rPr>
        <w:t>a non-governmental organization in special consultative status with ECOSOC since 1996</w:t>
      </w:r>
    </w:p>
    <w:p w14:paraId="24A5F8C5" w14:textId="77777777" w:rsidR="00F31492" w:rsidRPr="00247E02" w:rsidRDefault="00F31492" w:rsidP="00F31492">
      <w:pPr>
        <w:jc w:val="both"/>
        <w:rPr>
          <w:b/>
          <w:color w:val="auto"/>
          <w:sz w:val="24"/>
          <w:szCs w:val="24"/>
        </w:rPr>
      </w:pPr>
    </w:p>
    <w:p w14:paraId="0E455F35" w14:textId="77777777" w:rsidR="00F31492" w:rsidRPr="000939AD" w:rsidRDefault="00F31492" w:rsidP="00F31492">
      <w:pPr>
        <w:jc w:val="center"/>
        <w:rPr>
          <w:bCs/>
          <w:color w:val="auto"/>
          <w:sz w:val="24"/>
          <w:szCs w:val="24"/>
        </w:rPr>
      </w:pPr>
      <w:r w:rsidRPr="000939AD">
        <w:rPr>
          <w:bCs/>
          <w:color w:val="auto"/>
          <w:sz w:val="24"/>
          <w:szCs w:val="24"/>
        </w:rPr>
        <w:t>107th Session of the Committee on the Elimination of All Forms of Racial Discrimination</w:t>
      </w:r>
    </w:p>
    <w:p w14:paraId="16622C3A" w14:textId="77777777" w:rsidR="00F31492" w:rsidRPr="000939AD" w:rsidRDefault="00F31492" w:rsidP="00F31492">
      <w:pPr>
        <w:jc w:val="center"/>
        <w:rPr>
          <w:bCs/>
          <w:color w:val="auto"/>
          <w:sz w:val="24"/>
          <w:szCs w:val="24"/>
        </w:rPr>
      </w:pPr>
      <w:r w:rsidRPr="000939AD">
        <w:rPr>
          <w:bCs/>
          <w:color w:val="auto"/>
          <w:sz w:val="24"/>
          <w:szCs w:val="24"/>
        </w:rPr>
        <w:t>8-30 August 2022</w:t>
      </w:r>
    </w:p>
    <w:p w14:paraId="4F477AD8" w14:textId="77777777" w:rsidR="00F31492" w:rsidRPr="000939AD" w:rsidRDefault="00F31492" w:rsidP="00F31492">
      <w:pPr>
        <w:jc w:val="center"/>
        <w:rPr>
          <w:bCs/>
          <w:color w:val="auto"/>
          <w:sz w:val="24"/>
          <w:szCs w:val="24"/>
        </w:rPr>
      </w:pPr>
    </w:p>
    <w:p w14:paraId="04409F24" w14:textId="2F0F50ED" w:rsidR="00F31492" w:rsidRPr="00A805DE" w:rsidRDefault="00F31492" w:rsidP="00F31492">
      <w:pPr>
        <w:spacing w:after="240"/>
        <w:jc w:val="center"/>
        <w:rPr>
          <w:bCs/>
          <w:color w:val="auto"/>
          <w:sz w:val="24"/>
          <w:szCs w:val="24"/>
        </w:rPr>
      </w:pPr>
      <w:r w:rsidRPr="000939AD">
        <w:rPr>
          <w:bCs/>
          <w:color w:val="auto"/>
          <w:sz w:val="24"/>
          <w:szCs w:val="24"/>
        </w:rPr>
        <w:t>Submitted 1</w:t>
      </w:r>
      <w:r w:rsidR="00342D1B" w:rsidRPr="000939AD">
        <w:rPr>
          <w:bCs/>
          <w:color w:val="auto"/>
          <w:sz w:val="24"/>
          <w:szCs w:val="24"/>
        </w:rPr>
        <w:t>5</w:t>
      </w:r>
      <w:r w:rsidRPr="000939AD">
        <w:rPr>
          <w:bCs/>
          <w:color w:val="auto"/>
          <w:sz w:val="24"/>
          <w:szCs w:val="24"/>
        </w:rPr>
        <w:t xml:space="preserve"> </w:t>
      </w:r>
      <w:r w:rsidR="00FA2AB3" w:rsidRPr="000939AD">
        <w:rPr>
          <w:bCs/>
          <w:color w:val="auto"/>
          <w:sz w:val="24"/>
          <w:szCs w:val="24"/>
        </w:rPr>
        <w:t>July</w:t>
      </w:r>
      <w:r w:rsidRPr="000939AD">
        <w:rPr>
          <w:bCs/>
          <w:color w:val="auto"/>
          <w:sz w:val="24"/>
          <w:szCs w:val="24"/>
        </w:rPr>
        <w:t xml:space="preserve"> 2022</w:t>
      </w:r>
    </w:p>
    <w:p w14:paraId="1F79BF84" w14:textId="059BB90D" w:rsidR="00F31492" w:rsidRPr="00247E02" w:rsidRDefault="00F31492" w:rsidP="00F31492">
      <w:pPr>
        <w:jc w:val="both"/>
        <w:rPr>
          <w:color w:val="auto"/>
          <w:sz w:val="24"/>
          <w:szCs w:val="24"/>
        </w:rPr>
      </w:pPr>
      <w:r w:rsidRPr="00247E02">
        <w:rPr>
          <w:b/>
          <w:color w:val="auto"/>
          <w:sz w:val="24"/>
          <w:szCs w:val="24"/>
        </w:rPr>
        <w:t xml:space="preserve">The Advocates for Human Rights </w:t>
      </w:r>
      <w:r w:rsidRPr="00247E02">
        <w:rPr>
          <w:color w:val="auto"/>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provides pro bono legal services to people seeking asylum and protection from other harms, survivors of trafficking, unaccompanied minors, and people in immigration detention. The Advocates routinely trains lawyers on immigration representation and advocate at all levels for changes to immigration, detention and trafficking law and policies that ensure the protection of human rights.  </w:t>
      </w:r>
    </w:p>
    <w:p w14:paraId="1CB4E2C7" w14:textId="77777777" w:rsidR="00F31492" w:rsidRPr="00247E02" w:rsidRDefault="00F31492" w:rsidP="00F31492">
      <w:pPr>
        <w:jc w:val="both"/>
        <w:rPr>
          <w:color w:val="auto"/>
          <w:sz w:val="24"/>
          <w:szCs w:val="24"/>
        </w:rPr>
      </w:pPr>
    </w:p>
    <w:p w14:paraId="626CAC21" w14:textId="77777777" w:rsidR="00F31492" w:rsidRPr="00247E02" w:rsidRDefault="00F31492" w:rsidP="00F31492">
      <w:pPr>
        <w:jc w:val="both"/>
        <w:rPr>
          <w:b/>
          <w:bCs/>
          <w:color w:val="auto"/>
          <w:sz w:val="24"/>
          <w:szCs w:val="24"/>
        </w:rPr>
      </w:pPr>
    </w:p>
    <w:p w14:paraId="7E1464E5" w14:textId="77777777" w:rsidR="00F31492" w:rsidRPr="00247E02" w:rsidRDefault="00F31492" w:rsidP="00F31492">
      <w:pPr>
        <w:rPr>
          <w:b/>
          <w:bCs/>
          <w:color w:val="auto"/>
          <w:sz w:val="24"/>
          <w:szCs w:val="24"/>
        </w:rPr>
      </w:pPr>
    </w:p>
    <w:p w14:paraId="6F6FAF82" w14:textId="77777777" w:rsidR="00F31492" w:rsidRPr="00247E02" w:rsidRDefault="00F31492" w:rsidP="00F31492">
      <w:pPr>
        <w:jc w:val="center"/>
        <w:rPr>
          <w:b/>
          <w:caps/>
          <w:color w:val="auto"/>
          <w:sz w:val="24"/>
          <w:szCs w:val="24"/>
        </w:rPr>
      </w:pPr>
      <w:r w:rsidRPr="00247E02">
        <w:rPr>
          <w:color w:val="auto"/>
          <w:sz w:val="24"/>
          <w:szCs w:val="24"/>
        </w:rPr>
        <w:br w:type="page"/>
      </w:r>
      <w:r w:rsidRPr="00247E02">
        <w:rPr>
          <w:b/>
          <w:caps/>
          <w:color w:val="auto"/>
          <w:sz w:val="24"/>
          <w:szCs w:val="24"/>
        </w:rPr>
        <w:lastRenderedPageBreak/>
        <w:t>Executive Summary</w:t>
      </w:r>
    </w:p>
    <w:p w14:paraId="2AACF40E" w14:textId="77777777" w:rsidR="00F31492" w:rsidRPr="00247E02" w:rsidRDefault="00F31492" w:rsidP="00F31492">
      <w:pPr>
        <w:rPr>
          <w:color w:val="auto"/>
          <w:sz w:val="24"/>
          <w:szCs w:val="24"/>
        </w:rPr>
      </w:pPr>
    </w:p>
    <w:p w14:paraId="1E089AE1" w14:textId="3FCC6454" w:rsidR="003B6843" w:rsidRPr="000E2DDC" w:rsidRDefault="004C019C" w:rsidP="00311CFD">
      <w:pPr>
        <w:numPr>
          <w:ilvl w:val="0"/>
          <w:numId w:val="1"/>
        </w:numPr>
        <w:spacing w:after="120"/>
        <w:ind w:left="360"/>
        <w:jc w:val="both"/>
        <w:rPr>
          <w:color w:val="auto"/>
          <w:sz w:val="24"/>
          <w:szCs w:val="24"/>
        </w:rPr>
      </w:pPr>
      <w:r w:rsidRPr="00247E02">
        <w:rPr>
          <w:color w:val="auto"/>
          <w:sz w:val="24"/>
          <w:szCs w:val="24"/>
        </w:rPr>
        <w:t xml:space="preserve">Despite welcome changes in immigration policy since 2020, </w:t>
      </w:r>
      <w:r w:rsidR="00014F67" w:rsidRPr="00247E02">
        <w:rPr>
          <w:color w:val="auto"/>
          <w:sz w:val="24"/>
          <w:szCs w:val="24"/>
        </w:rPr>
        <w:t xml:space="preserve">U.S. immigration law continues to </w:t>
      </w:r>
      <w:r w:rsidR="00014F67" w:rsidRPr="000E2DDC">
        <w:rPr>
          <w:color w:val="auto"/>
          <w:sz w:val="24"/>
          <w:szCs w:val="24"/>
        </w:rPr>
        <w:t xml:space="preserve">allow detention, </w:t>
      </w:r>
      <w:proofErr w:type="gramStart"/>
      <w:r w:rsidR="00014F67" w:rsidRPr="000E2DDC">
        <w:rPr>
          <w:color w:val="auto"/>
          <w:sz w:val="24"/>
          <w:szCs w:val="24"/>
        </w:rPr>
        <w:t>expulsion</w:t>
      </w:r>
      <w:proofErr w:type="gramEnd"/>
      <w:r w:rsidR="00014F67" w:rsidRPr="000E2DDC">
        <w:rPr>
          <w:color w:val="auto"/>
          <w:sz w:val="24"/>
          <w:szCs w:val="24"/>
        </w:rPr>
        <w:t xml:space="preserve"> and denial of protection</w:t>
      </w:r>
      <w:r w:rsidR="003B6843" w:rsidRPr="000E2DDC">
        <w:rPr>
          <w:color w:val="auto"/>
          <w:sz w:val="24"/>
          <w:szCs w:val="24"/>
        </w:rPr>
        <w:t>.</w:t>
      </w:r>
      <w:r w:rsidR="003F058E" w:rsidRPr="000E2DDC">
        <w:rPr>
          <w:color w:val="auto"/>
          <w:sz w:val="24"/>
          <w:szCs w:val="24"/>
        </w:rPr>
        <w:t xml:space="preserve">  </w:t>
      </w:r>
      <w:r w:rsidR="003B6843" w:rsidRPr="000E2DDC">
        <w:rPr>
          <w:color w:val="auto"/>
          <w:sz w:val="24"/>
          <w:szCs w:val="24"/>
        </w:rPr>
        <w:t>Immigration policy appears to either involve racial discrimination in the implementation of laws or have racially disparate impacts</w:t>
      </w:r>
      <w:r w:rsidR="006B4CD7" w:rsidRPr="000E2DDC">
        <w:rPr>
          <w:color w:val="auto"/>
          <w:sz w:val="24"/>
          <w:szCs w:val="24"/>
        </w:rPr>
        <w:t>.</w:t>
      </w:r>
      <w:r w:rsidR="003B6843" w:rsidRPr="000E2DDC">
        <w:rPr>
          <w:color w:val="auto"/>
          <w:sz w:val="24"/>
          <w:szCs w:val="24"/>
        </w:rPr>
        <w:t xml:space="preserve"> The Ukrainian crisis and resulting migration have shed stark light in how the U.S. chooses to wield immigration law and policy differently depending on the race of the migrant group.</w:t>
      </w:r>
      <w:r w:rsidR="006B4CD7" w:rsidRPr="000E2DDC">
        <w:rPr>
          <w:color w:val="auto"/>
          <w:sz w:val="24"/>
          <w:szCs w:val="24"/>
        </w:rPr>
        <w:t xml:space="preserve"> </w:t>
      </w:r>
      <w:r w:rsidR="00E30957" w:rsidRPr="000E2DDC">
        <w:rPr>
          <w:color w:val="auto"/>
          <w:sz w:val="24"/>
          <w:szCs w:val="24"/>
        </w:rPr>
        <w:t xml:space="preserve">  </w:t>
      </w:r>
    </w:p>
    <w:p w14:paraId="1B662B7C" w14:textId="73F3B3CF" w:rsidR="00F31492" w:rsidRPr="000E2DDC" w:rsidRDefault="00E30957" w:rsidP="00311CFD">
      <w:pPr>
        <w:numPr>
          <w:ilvl w:val="0"/>
          <w:numId w:val="1"/>
        </w:numPr>
        <w:spacing w:after="120"/>
        <w:ind w:left="360"/>
        <w:jc w:val="both"/>
        <w:rPr>
          <w:color w:val="auto"/>
          <w:sz w:val="24"/>
          <w:szCs w:val="24"/>
        </w:rPr>
      </w:pPr>
      <w:r w:rsidRPr="000E2DDC">
        <w:rPr>
          <w:color w:val="auto"/>
          <w:sz w:val="24"/>
          <w:szCs w:val="24"/>
        </w:rPr>
        <w:t xml:space="preserve">For example, Cameroonian migrants were forced to advocate for months before being granted Temporary Protected Status, while the government moved to provide the same protections </w:t>
      </w:r>
      <w:proofErr w:type="spellStart"/>
      <w:r w:rsidRPr="000E2DDC">
        <w:rPr>
          <w:color w:val="auto"/>
          <w:sz w:val="24"/>
          <w:szCs w:val="24"/>
        </w:rPr>
        <w:t>sua</w:t>
      </w:r>
      <w:proofErr w:type="spellEnd"/>
      <w:r w:rsidRPr="000E2DDC">
        <w:rPr>
          <w:color w:val="auto"/>
          <w:sz w:val="24"/>
          <w:szCs w:val="24"/>
        </w:rPr>
        <w:t xml:space="preserve"> sponte just weeks after Ukrainians were forced to flee.  Photos and reports of Haitian migrants being forcibly prevented from entry by U.S. Border Patrol Agents</w:t>
      </w:r>
      <w:r w:rsidR="003B6843" w:rsidRPr="000E2DDC">
        <w:rPr>
          <w:color w:val="auto"/>
          <w:sz w:val="24"/>
          <w:szCs w:val="24"/>
        </w:rPr>
        <w:t xml:space="preserve"> as compared to the </w:t>
      </w:r>
      <w:r w:rsidR="009838F4" w:rsidRPr="000E2DDC">
        <w:rPr>
          <w:color w:val="auto"/>
          <w:sz w:val="24"/>
          <w:szCs w:val="24"/>
        </w:rPr>
        <w:t xml:space="preserve">treatment </w:t>
      </w:r>
      <w:r w:rsidR="003B6843" w:rsidRPr="000E2DDC">
        <w:rPr>
          <w:color w:val="auto"/>
          <w:sz w:val="24"/>
          <w:szCs w:val="24"/>
        </w:rPr>
        <w:t>many Ukrainians met at the same border ports of entry</w:t>
      </w:r>
      <w:r w:rsidRPr="000E2DDC">
        <w:rPr>
          <w:color w:val="auto"/>
          <w:sz w:val="24"/>
          <w:szCs w:val="24"/>
        </w:rPr>
        <w:t xml:space="preserve"> reflect concerns of discriminatory treatment of asylum seekers and those seeking protection.  </w:t>
      </w:r>
      <w:r w:rsidR="003B6843" w:rsidRPr="000E2DDC">
        <w:rPr>
          <w:color w:val="auto"/>
          <w:sz w:val="24"/>
          <w:szCs w:val="24"/>
        </w:rPr>
        <w:t>Similarly, Afghans displaced by the U.S. withdrawal have repeatedly been denied humanitarian parole protections and</w:t>
      </w:r>
      <w:r w:rsidR="00B421A1" w:rsidRPr="000E2DDC">
        <w:rPr>
          <w:color w:val="auto"/>
          <w:sz w:val="24"/>
          <w:szCs w:val="24"/>
        </w:rPr>
        <w:t xml:space="preserve"> did not have TPS granted for several months.  This compared to the rapid and robust parole program for Ukrainians raises concerns. </w:t>
      </w:r>
      <w:r w:rsidR="00516D21" w:rsidRPr="000E2DDC">
        <w:rPr>
          <w:color w:val="auto"/>
          <w:sz w:val="24"/>
          <w:szCs w:val="24"/>
        </w:rPr>
        <w:t>Furthermore,</w:t>
      </w:r>
      <w:r w:rsidRPr="000E2DDC">
        <w:rPr>
          <w:color w:val="auto"/>
          <w:sz w:val="24"/>
          <w:szCs w:val="24"/>
        </w:rPr>
        <w:t xml:space="preserve"> our reports found that Black and Brown noncitizens were disproportionately detained, given higher bond amounts to get release, and </w:t>
      </w:r>
      <w:r w:rsidR="004724EA" w:rsidRPr="000E2DDC">
        <w:rPr>
          <w:color w:val="auto"/>
          <w:sz w:val="24"/>
          <w:szCs w:val="24"/>
        </w:rPr>
        <w:t xml:space="preserve">obtained fewer wins in immigration court proceedings as compared to white noncitizens.  </w:t>
      </w:r>
    </w:p>
    <w:p w14:paraId="1162FDA6" w14:textId="020886E0" w:rsidR="00B421A1" w:rsidRPr="00123354" w:rsidRDefault="00B421A1" w:rsidP="00123354">
      <w:pPr>
        <w:numPr>
          <w:ilvl w:val="0"/>
          <w:numId w:val="1"/>
        </w:numPr>
        <w:spacing w:after="120"/>
        <w:ind w:left="360"/>
        <w:jc w:val="both"/>
        <w:rPr>
          <w:color w:val="auto"/>
          <w:sz w:val="24"/>
          <w:szCs w:val="24"/>
        </w:rPr>
      </w:pPr>
      <w:r w:rsidRPr="000E2DDC">
        <w:rPr>
          <w:color w:val="auto"/>
          <w:sz w:val="24"/>
          <w:szCs w:val="24"/>
        </w:rPr>
        <w:t>Due to entangling of criminal and immigration systems, U.S. immigration law disproportionately impacts racial minorities.  U.S. policy changes on priorities for removal and detention made some important improvements; however, racial minorities represented a disproportionate number that remained subject to immigration bars and mandatory detention for extensive criminal grounds that fail to take into consideration the known systemic racism inherent in the criminal justice systems and policing.</w:t>
      </w:r>
      <w:r w:rsidR="00D20167" w:rsidRPr="000E2DDC">
        <w:rPr>
          <w:rStyle w:val="FootnoteReference"/>
          <w:color w:val="auto"/>
          <w:sz w:val="24"/>
          <w:szCs w:val="24"/>
        </w:rPr>
        <w:footnoteReference w:id="2"/>
      </w:r>
      <w:r w:rsidRPr="000E2DDC">
        <w:rPr>
          <w:color w:val="auto"/>
          <w:sz w:val="24"/>
          <w:szCs w:val="24"/>
        </w:rPr>
        <w:t xml:space="preserve"> </w:t>
      </w:r>
      <w:r w:rsidR="002E6B2A" w:rsidRPr="00123354">
        <w:rPr>
          <w:color w:val="auto"/>
          <w:sz w:val="24"/>
          <w:szCs w:val="24"/>
        </w:rPr>
        <w:t xml:space="preserve">Department of Homeland Security </w:t>
      </w:r>
      <w:r w:rsidR="008012E7" w:rsidRPr="00123354">
        <w:rPr>
          <w:color w:val="auto"/>
          <w:sz w:val="24"/>
          <w:szCs w:val="24"/>
        </w:rPr>
        <w:t>guidelines</w:t>
      </w:r>
      <w:r w:rsidR="00194814" w:rsidRPr="00123354">
        <w:rPr>
          <w:color w:val="auto"/>
          <w:sz w:val="24"/>
          <w:szCs w:val="24"/>
        </w:rPr>
        <w:t xml:space="preserve"> </w:t>
      </w:r>
      <w:r w:rsidR="002E6B2A" w:rsidRPr="00123354">
        <w:rPr>
          <w:color w:val="auto"/>
          <w:sz w:val="24"/>
          <w:szCs w:val="24"/>
        </w:rPr>
        <w:t xml:space="preserve">from 2021 </w:t>
      </w:r>
      <w:r w:rsidR="00194814" w:rsidRPr="00123354">
        <w:rPr>
          <w:color w:val="auto"/>
          <w:sz w:val="24"/>
          <w:szCs w:val="24"/>
        </w:rPr>
        <w:t xml:space="preserve">aimed to </w:t>
      </w:r>
      <w:r w:rsidR="00B54CEF" w:rsidRPr="00123354">
        <w:rPr>
          <w:color w:val="auto"/>
          <w:sz w:val="24"/>
          <w:szCs w:val="24"/>
        </w:rPr>
        <w:t xml:space="preserve">establish that </w:t>
      </w:r>
      <w:r w:rsidR="00370F54">
        <w:rPr>
          <w:color w:val="auto"/>
          <w:sz w:val="24"/>
          <w:szCs w:val="24"/>
        </w:rPr>
        <w:t xml:space="preserve">the basis for </w:t>
      </w:r>
      <w:r w:rsidR="00491554" w:rsidRPr="00123354">
        <w:rPr>
          <w:color w:val="auto"/>
          <w:sz w:val="24"/>
          <w:szCs w:val="24"/>
        </w:rPr>
        <w:t xml:space="preserve">arrest and deportation </w:t>
      </w:r>
      <w:r w:rsidR="00491554">
        <w:rPr>
          <w:color w:val="auto"/>
          <w:sz w:val="24"/>
          <w:szCs w:val="24"/>
        </w:rPr>
        <w:t xml:space="preserve">should not </w:t>
      </w:r>
      <w:r w:rsidR="00D205F5">
        <w:rPr>
          <w:color w:val="auto"/>
          <w:sz w:val="24"/>
          <w:szCs w:val="24"/>
        </w:rPr>
        <w:t xml:space="preserve">solely depend on </w:t>
      </w:r>
      <w:r w:rsidR="008609D4">
        <w:rPr>
          <w:color w:val="auto"/>
          <w:sz w:val="24"/>
          <w:szCs w:val="24"/>
        </w:rPr>
        <w:t>living without authorization</w:t>
      </w:r>
      <w:r w:rsidR="00B54CEF" w:rsidRPr="00123354">
        <w:rPr>
          <w:color w:val="auto"/>
          <w:sz w:val="24"/>
          <w:szCs w:val="24"/>
        </w:rPr>
        <w:t xml:space="preserve"> in the US</w:t>
      </w:r>
      <w:r w:rsidR="00BD4D8E">
        <w:rPr>
          <w:color w:val="auto"/>
          <w:sz w:val="24"/>
          <w:szCs w:val="24"/>
        </w:rPr>
        <w:t>;</w:t>
      </w:r>
      <w:r w:rsidR="00DD6772" w:rsidRPr="00123354">
        <w:rPr>
          <w:color w:val="auto"/>
          <w:sz w:val="24"/>
          <w:szCs w:val="24"/>
        </w:rPr>
        <w:t xml:space="preserve"> </w:t>
      </w:r>
      <w:r w:rsidR="00BD4D8E">
        <w:rPr>
          <w:color w:val="auto"/>
          <w:sz w:val="24"/>
          <w:szCs w:val="24"/>
        </w:rPr>
        <w:t>t</w:t>
      </w:r>
      <w:r w:rsidR="00DD6772" w:rsidRPr="00123354">
        <w:rPr>
          <w:color w:val="auto"/>
          <w:sz w:val="24"/>
          <w:szCs w:val="24"/>
        </w:rPr>
        <w:t xml:space="preserve">his step </w:t>
      </w:r>
      <w:r w:rsidR="00C92609">
        <w:rPr>
          <w:color w:val="auto"/>
          <w:sz w:val="24"/>
          <w:szCs w:val="24"/>
        </w:rPr>
        <w:t>was</w:t>
      </w:r>
      <w:r w:rsidR="00DD6772" w:rsidRPr="00123354">
        <w:rPr>
          <w:color w:val="auto"/>
          <w:sz w:val="24"/>
          <w:szCs w:val="24"/>
        </w:rPr>
        <w:t xml:space="preserve"> among many needed interventions to </w:t>
      </w:r>
      <w:r w:rsidR="00BF7934">
        <w:rPr>
          <w:color w:val="auto"/>
          <w:sz w:val="24"/>
          <w:szCs w:val="24"/>
        </w:rPr>
        <w:t xml:space="preserve">limit </w:t>
      </w:r>
      <w:r w:rsidR="00C1047C" w:rsidRPr="000939AD">
        <w:rPr>
          <w:color w:val="333333"/>
          <w:sz w:val="24"/>
          <w:szCs w:val="24"/>
          <w:shd w:val="clear" w:color="auto" w:fill="FFFFFF"/>
        </w:rPr>
        <w:t>U.S. Immigration and Customs Enforcement</w:t>
      </w:r>
      <w:r w:rsidR="00952FF8" w:rsidRPr="00123354">
        <w:rPr>
          <w:color w:val="333333"/>
          <w:sz w:val="24"/>
          <w:szCs w:val="24"/>
          <w:shd w:val="clear" w:color="auto" w:fill="FFFFFF"/>
        </w:rPr>
        <w:t xml:space="preserve"> </w:t>
      </w:r>
      <w:r w:rsidR="00BF7934">
        <w:rPr>
          <w:color w:val="333333"/>
          <w:sz w:val="24"/>
          <w:szCs w:val="24"/>
          <w:shd w:val="clear" w:color="auto" w:fill="FFFFFF"/>
        </w:rPr>
        <w:t>arrests</w:t>
      </w:r>
      <w:r w:rsidR="00862F2A">
        <w:rPr>
          <w:color w:val="333333"/>
          <w:sz w:val="24"/>
          <w:szCs w:val="24"/>
          <w:shd w:val="clear" w:color="auto" w:fill="FFFFFF"/>
        </w:rPr>
        <w:t>.</w:t>
      </w:r>
      <w:r w:rsidR="00AF6DA4" w:rsidRPr="00123354">
        <w:rPr>
          <w:color w:val="333333"/>
          <w:sz w:val="24"/>
          <w:szCs w:val="24"/>
          <w:shd w:val="clear" w:color="auto" w:fill="FFFFFF"/>
        </w:rPr>
        <w:t xml:space="preserve"> </w:t>
      </w:r>
      <w:r w:rsidR="006443F1" w:rsidRPr="00123354">
        <w:rPr>
          <w:color w:val="auto"/>
          <w:sz w:val="24"/>
          <w:szCs w:val="24"/>
        </w:rPr>
        <w:t xml:space="preserve">A June 2022 </w:t>
      </w:r>
      <w:commentRangeStart w:id="0"/>
      <w:r w:rsidR="006443F1" w:rsidRPr="00123354">
        <w:rPr>
          <w:color w:val="auto"/>
          <w:sz w:val="24"/>
          <w:szCs w:val="24"/>
        </w:rPr>
        <w:t xml:space="preserve">Texas Court </w:t>
      </w:r>
      <w:commentRangeEnd w:id="0"/>
      <w:r w:rsidR="006443F1" w:rsidRPr="00DB4B72">
        <w:rPr>
          <w:rStyle w:val="CommentReference"/>
          <w:sz w:val="24"/>
          <w:szCs w:val="24"/>
        </w:rPr>
        <w:commentReference w:id="0"/>
      </w:r>
      <w:r w:rsidR="006443F1" w:rsidRPr="00123354">
        <w:rPr>
          <w:color w:val="auto"/>
          <w:sz w:val="24"/>
          <w:szCs w:val="24"/>
        </w:rPr>
        <w:t xml:space="preserve"> decision ruled against </w:t>
      </w:r>
      <w:r w:rsidR="005F615A" w:rsidRPr="00123354">
        <w:rPr>
          <w:color w:val="auto"/>
          <w:sz w:val="24"/>
          <w:szCs w:val="24"/>
        </w:rPr>
        <w:t>this policy, however,</w:t>
      </w:r>
      <w:r w:rsidR="00C63D1E">
        <w:rPr>
          <w:rStyle w:val="FootnoteReference"/>
          <w:color w:val="auto"/>
          <w:sz w:val="24"/>
          <w:szCs w:val="24"/>
        </w:rPr>
        <w:footnoteReference w:id="3"/>
      </w:r>
      <w:r w:rsidR="004C1578" w:rsidRPr="00123354">
        <w:rPr>
          <w:color w:val="auto"/>
          <w:sz w:val="24"/>
          <w:szCs w:val="24"/>
        </w:rPr>
        <w:t xml:space="preserve"> </w:t>
      </w:r>
      <w:r w:rsidR="00F555DE" w:rsidRPr="00123354">
        <w:rPr>
          <w:color w:val="auto"/>
          <w:sz w:val="24"/>
          <w:szCs w:val="24"/>
        </w:rPr>
        <w:t xml:space="preserve">further </w:t>
      </w:r>
      <w:r w:rsidR="00AD2DBF">
        <w:rPr>
          <w:color w:val="auto"/>
          <w:sz w:val="24"/>
          <w:szCs w:val="24"/>
        </w:rPr>
        <w:t xml:space="preserve">enjoining </w:t>
      </w:r>
      <w:r w:rsidR="00B61484">
        <w:rPr>
          <w:color w:val="auto"/>
          <w:sz w:val="24"/>
          <w:szCs w:val="24"/>
        </w:rPr>
        <w:t xml:space="preserve">criminal and immigration </w:t>
      </w:r>
      <w:r w:rsidR="00D12248">
        <w:rPr>
          <w:color w:val="auto"/>
          <w:sz w:val="24"/>
          <w:szCs w:val="24"/>
        </w:rPr>
        <w:t>proceedings</w:t>
      </w:r>
      <w:r w:rsidR="00B61484">
        <w:rPr>
          <w:color w:val="auto"/>
          <w:sz w:val="24"/>
          <w:szCs w:val="24"/>
        </w:rPr>
        <w:t>.</w:t>
      </w:r>
    </w:p>
    <w:p w14:paraId="06FC53EE" w14:textId="3B622968" w:rsidR="004724EA" w:rsidRPr="000E2DDC" w:rsidRDefault="004724EA" w:rsidP="00311CFD">
      <w:pPr>
        <w:numPr>
          <w:ilvl w:val="0"/>
          <w:numId w:val="1"/>
        </w:numPr>
        <w:spacing w:after="120"/>
        <w:ind w:left="360"/>
        <w:jc w:val="both"/>
        <w:rPr>
          <w:color w:val="auto"/>
          <w:sz w:val="24"/>
          <w:szCs w:val="24"/>
        </w:rPr>
      </w:pPr>
      <w:r w:rsidRPr="000E2DDC">
        <w:rPr>
          <w:color w:val="auto"/>
          <w:sz w:val="24"/>
          <w:szCs w:val="24"/>
        </w:rPr>
        <w:t xml:space="preserve">U.S. immigration proceedings and policies raise human rights concerns across </w:t>
      </w:r>
      <w:r w:rsidR="00E16006">
        <w:rPr>
          <w:color w:val="auto"/>
          <w:sz w:val="24"/>
          <w:szCs w:val="24"/>
        </w:rPr>
        <w:t xml:space="preserve">people of </w:t>
      </w:r>
      <w:r w:rsidRPr="000E2DDC">
        <w:rPr>
          <w:color w:val="auto"/>
          <w:sz w:val="24"/>
          <w:szCs w:val="24"/>
        </w:rPr>
        <w:t xml:space="preserve">all races </w:t>
      </w:r>
      <w:r w:rsidR="00AE2BFD" w:rsidRPr="000E2DDC">
        <w:rPr>
          <w:color w:val="auto"/>
          <w:sz w:val="24"/>
          <w:szCs w:val="24"/>
        </w:rPr>
        <w:t xml:space="preserve">and further </w:t>
      </w:r>
      <w:r w:rsidRPr="000E2DDC">
        <w:rPr>
          <w:color w:val="auto"/>
          <w:sz w:val="24"/>
          <w:szCs w:val="24"/>
        </w:rPr>
        <w:t xml:space="preserve">appear to disproportionately </w:t>
      </w:r>
      <w:proofErr w:type="gramStart"/>
      <w:r w:rsidRPr="000E2DDC">
        <w:rPr>
          <w:color w:val="auto"/>
          <w:sz w:val="24"/>
          <w:szCs w:val="24"/>
        </w:rPr>
        <w:t>impact  BIPOC</w:t>
      </w:r>
      <w:proofErr w:type="gramEnd"/>
      <w:r w:rsidRPr="000E2DDC">
        <w:rPr>
          <w:color w:val="auto"/>
          <w:sz w:val="24"/>
          <w:szCs w:val="24"/>
        </w:rPr>
        <w:t xml:space="preserve"> communities.  As the </w:t>
      </w:r>
      <w:r w:rsidR="00E940CE" w:rsidRPr="000E2DDC">
        <w:rPr>
          <w:color w:val="auto"/>
          <w:sz w:val="24"/>
          <w:szCs w:val="24"/>
        </w:rPr>
        <w:t>Committee on the Elimination of Racial Discrimination (“</w:t>
      </w:r>
      <w:r w:rsidR="007F48C0" w:rsidRPr="000E2DDC">
        <w:rPr>
          <w:color w:val="auto"/>
          <w:sz w:val="24"/>
          <w:szCs w:val="24"/>
        </w:rPr>
        <w:t xml:space="preserve">the </w:t>
      </w:r>
      <w:r w:rsidR="00AE2BFD" w:rsidRPr="000E2DDC">
        <w:rPr>
          <w:color w:val="auto"/>
          <w:sz w:val="24"/>
          <w:szCs w:val="24"/>
        </w:rPr>
        <w:t>C</w:t>
      </w:r>
      <w:r w:rsidRPr="000E2DDC">
        <w:rPr>
          <w:color w:val="auto"/>
          <w:sz w:val="24"/>
          <w:szCs w:val="24"/>
        </w:rPr>
        <w:t>ommittee</w:t>
      </w:r>
      <w:r w:rsidR="00E940CE" w:rsidRPr="000E2DDC">
        <w:rPr>
          <w:color w:val="auto"/>
          <w:sz w:val="24"/>
          <w:szCs w:val="24"/>
        </w:rPr>
        <w:t>”)</w:t>
      </w:r>
      <w:r w:rsidRPr="000E2DDC">
        <w:rPr>
          <w:color w:val="auto"/>
          <w:sz w:val="24"/>
          <w:szCs w:val="24"/>
        </w:rPr>
        <w:t xml:space="preserve"> noted in 2014, militarization of the border and immigration enforcement operations remained a concern.</w:t>
      </w:r>
      <w:r w:rsidR="00905BDD" w:rsidRPr="000E2DDC">
        <w:rPr>
          <w:rStyle w:val="FootnoteReference"/>
          <w:color w:val="auto"/>
          <w:sz w:val="24"/>
          <w:szCs w:val="24"/>
        </w:rPr>
        <w:footnoteReference w:id="4"/>
      </w:r>
      <w:r w:rsidRPr="000E2DDC">
        <w:rPr>
          <w:color w:val="auto"/>
          <w:sz w:val="24"/>
          <w:szCs w:val="24"/>
        </w:rPr>
        <w:t xml:space="preserve"> Detention for administrative immigration violations resulted in due process violations and arbitrary detention concerns. Immigration court proceedings lack crucial due process protections such as government-appointed counsel and independent judges.  </w:t>
      </w:r>
    </w:p>
    <w:p w14:paraId="556CA692" w14:textId="78B77C14" w:rsidR="00E30957" w:rsidRPr="000E2DDC" w:rsidRDefault="00E51C13" w:rsidP="00311CFD">
      <w:pPr>
        <w:numPr>
          <w:ilvl w:val="0"/>
          <w:numId w:val="1"/>
        </w:numPr>
        <w:spacing w:after="240"/>
        <w:ind w:left="360"/>
        <w:jc w:val="both"/>
        <w:rPr>
          <w:color w:val="auto"/>
          <w:sz w:val="24"/>
          <w:szCs w:val="24"/>
        </w:rPr>
      </w:pPr>
      <w:r w:rsidRPr="000E2DDC">
        <w:rPr>
          <w:color w:val="auto"/>
          <w:sz w:val="24"/>
          <w:szCs w:val="24"/>
        </w:rPr>
        <w:lastRenderedPageBreak/>
        <w:t>U.S. immigration policy also resulted in vulnerabilities to trafficking in persons, and the government failed to provide adequate protections for victims.</w:t>
      </w:r>
      <w:r w:rsidR="004724EA" w:rsidRPr="000E2DDC">
        <w:rPr>
          <w:color w:val="auto"/>
          <w:sz w:val="24"/>
          <w:szCs w:val="24"/>
        </w:rPr>
        <w:t xml:space="preserve"> </w:t>
      </w:r>
    </w:p>
    <w:p w14:paraId="393F3F09" w14:textId="2383660F" w:rsidR="00F31492" w:rsidRPr="000E2DDC" w:rsidRDefault="00CE1702" w:rsidP="00696C15">
      <w:pPr>
        <w:keepNext/>
        <w:spacing w:after="240"/>
        <w:ind w:left="720"/>
        <w:rPr>
          <w:b/>
          <w:color w:val="auto"/>
          <w:sz w:val="24"/>
          <w:szCs w:val="24"/>
        </w:rPr>
      </w:pPr>
      <w:r>
        <w:rPr>
          <w:b/>
          <w:color w:val="auto"/>
          <w:sz w:val="24"/>
          <w:szCs w:val="24"/>
        </w:rPr>
        <w:t>The United States fails to uphold its obligations under the Convention on the Elimination of Discrimination</w:t>
      </w:r>
      <w:r w:rsidR="00971CC7">
        <w:rPr>
          <w:b/>
          <w:color w:val="auto"/>
          <w:sz w:val="24"/>
          <w:szCs w:val="24"/>
        </w:rPr>
        <w:t xml:space="preserve"> </w:t>
      </w:r>
      <w:proofErr w:type="gramStart"/>
      <w:r w:rsidR="00971CC7">
        <w:rPr>
          <w:b/>
          <w:color w:val="auto"/>
          <w:sz w:val="24"/>
          <w:szCs w:val="24"/>
        </w:rPr>
        <w:t>in regard to</w:t>
      </w:r>
      <w:proofErr w:type="gramEnd"/>
      <w:r w:rsidR="00971CC7">
        <w:rPr>
          <w:b/>
          <w:color w:val="auto"/>
          <w:sz w:val="24"/>
          <w:szCs w:val="24"/>
        </w:rPr>
        <w:t xml:space="preserve"> the </w:t>
      </w:r>
      <w:r w:rsidR="00D20167" w:rsidRPr="000E2DDC">
        <w:rPr>
          <w:b/>
          <w:color w:val="auto"/>
          <w:sz w:val="24"/>
          <w:szCs w:val="24"/>
        </w:rPr>
        <w:t>Rights</w:t>
      </w:r>
      <w:r w:rsidR="00971CC7">
        <w:rPr>
          <w:b/>
          <w:color w:val="auto"/>
          <w:sz w:val="24"/>
          <w:szCs w:val="24"/>
        </w:rPr>
        <w:t xml:space="preserve"> of Non-Citizens and Immigrants</w:t>
      </w:r>
      <w:r w:rsidR="00F31492" w:rsidRPr="000E2DDC">
        <w:rPr>
          <w:b/>
          <w:color w:val="auto"/>
          <w:sz w:val="24"/>
          <w:szCs w:val="24"/>
        </w:rPr>
        <w:t xml:space="preserve"> (</w:t>
      </w:r>
      <w:r w:rsidR="00564F79">
        <w:rPr>
          <w:b/>
          <w:color w:val="auto"/>
          <w:sz w:val="24"/>
          <w:szCs w:val="24"/>
        </w:rPr>
        <w:t xml:space="preserve">List of Themes </w:t>
      </w:r>
      <w:r w:rsidR="00211C13">
        <w:rPr>
          <w:b/>
          <w:color w:val="auto"/>
          <w:sz w:val="24"/>
          <w:szCs w:val="24"/>
        </w:rPr>
        <w:t>paragraphs 26-29, 13</w:t>
      </w:r>
      <w:r w:rsidR="00F31492" w:rsidRPr="000E2DDC">
        <w:rPr>
          <w:b/>
          <w:color w:val="auto"/>
          <w:sz w:val="24"/>
          <w:szCs w:val="24"/>
        </w:rPr>
        <w:t>)</w:t>
      </w:r>
    </w:p>
    <w:p w14:paraId="4A620553" w14:textId="77777777" w:rsidR="00F31492" w:rsidRPr="000E2DDC" w:rsidRDefault="00F31492" w:rsidP="000939AD">
      <w:pPr>
        <w:keepNext/>
        <w:numPr>
          <w:ilvl w:val="0"/>
          <w:numId w:val="1"/>
        </w:numPr>
        <w:spacing w:after="120"/>
        <w:ind w:left="360"/>
        <w:jc w:val="both"/>
        <w:rPr>
          <w:color w:val="auto"/>
          <w:sz w:val="24"/>
          <w:szCs w:val="24"/>
        </w:rPr>
      </w:pPr>
      <w:bookmarkStart w:id="1" w:name="_Hlk102986297"/>
      <w:r w:rsidRPr="000E2DDC">
        <w:rPr>
          <w:color w:val="auto"/>
          <w:sz w:val="24"/>
          <w:szCs w:val="24"/>
        </w:rPr>
        <w:t>In its 2014 Concluding Observations, the Committee noted with concern the “increasingly militarized approach to immigration law enforcement, leading to the excessive and lethal use of force by the CBP personnel . . . .”</w:t>
      </w:r>
      <w:r w:rsidRPr="000E2DDC">
        <w:rPr>
          <w:rStyle w:val="FootnoteReference"/>
          <w:color w:val="auto"/>
          <w:sz w:val="24"/>
          <w:szCs w:val="24"/>
        </w:rPr>
        <w:footnoteReference w:id="5"/>
      </w:r>
      <w:r w:rsidRPr="000E2DDC">
        <w:rPr>
          <w:color w:val="auto"/>
          <w:sz w:val="24"/>
          <w:szCs w:val="24"/>
        </w:rPr>
        <w:t xml:space="preserve"> </w:t>
      </w:r>
      <w:bookmarkEnd w:id="1"/>
      <w:r w:rsidRPr="000E2DDC">
        <w:rPr>
          <w:color w:val="auto"/>
          <w:sz w:val="24"/>
          <w:szCs w:val="24"/>
        </w:rPr>
        <w:t>The Committee was also concerned about racial profiling by law enforcement, mandatory detention, and “deportation of undocumented immigrants without adequate access to justice.”</w:t>
      </w:r>
      <w:r w:rsidRPr="000E2DDC">
        <w:rPr>
          <w:rStyle w:val="FootnoteReference"/>
          <w:color w:val="auto"/>
          <w:sz w:val="24"/>
          <w:szCs w:val="24"/>
        </w:rPr>
        <w:footnoteReference w:id="6"/>
      </w:r>
    </w:p>
    <w:p w14:paraId="2D731ED0" w14:textId="77777777"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 xml:space="preserve">In its 2021 State Party Report, the U.S. noted a range of executive orders and policies enacted after the election of President Biden, including Executive Order 13993, Revision of Civil Immigration Enforcement Policies and Priorities, and a </w:t>
      </w:r>
      <w:proofErr w:type="gramStart"/>
      <w:r w:rsidRPr="000E2DDC">
        <w:rPr>
          <w:rFonts w:ascii="Times New Roman" w:hAnsi="Times New Roman"/>
          <w:sz w:val="24"/>
          <w:szCs w:val="24"/>
        </w:rPr>
        <w:t>Department</w:t>
      </w:r>
      <w:proofErr w:type="gramEnd"/>
      <w:r w:rsidRPr="000E2DDC">
        <w:rPr>
          <w:rFonts w:ascii="Times New Roman" w:hAnsi="Times New Roman"/>
          <w:sz w:val="24"/>
          <w:szCs w:val="24"/>
        </w:rPr>
        <w:t>-wide memorandum, Review of and Interim Revision to Civil Immigration Enforcement and Removal Policies and Priorities.</w:t>
      </w:r>
      <w:r w:rsidRPr="000E2DDC">
        <w:rPr>
          <w:rStyle w:val="FootnoteReference"/>
          <w:rFonts w:ascii="Times New Roman" w:hAnsi="Times New Roman"/>
          <w:sz w:val="24"/>
          <w:szCs w:val="24"/>
        </w:rPr>
        <w:footnoteReference w:id="7"/>
      </w:r>
    </w:p>
    <w:p w14:paraId="3471ED5A" w14:textId="77777777" w:rsidR="00F31492" w:rsidRPr="000E2DDC" w:rsidRDefault="00F31492" w:rsidP="00311CFD">
      <w:pPr>
        <w:pStyle w:val="ListParagraph"/>
        <w:numPr>
          <w:ilvl w:val="0"/>
          <w:numId w:val="1"/>
        </w:numPr>
        <w:spacing w:after="240" w:line="240" w:lineRule="auto"/>
        <w:ind w:left="360"/>
        <w:contextualSpacing w:val="0"/>
        <w:jc w:val="both"/>
        <w:rPr>
          <w:rFonts w:ascii="Times New Roman" w:hAnsi="Times New Roman"/>
          <w:sz w:val="24"/>
          <w:szCs w:val="24"/>
        </w:rPr>
      </w:pPr>
      <w:r w:rsidRPr="000E2DDC">
        <w:rPr>
          <w:rFonts w:ascii="Times New Roman" w:hAnsi="Times New Roman"/>
          <w:sz w:val="24"/>
          <w:szCs w:val="24"/>
        </w:rPr>
        <w:t xml:space="preserve">While these were welcome changes, serious problems remain with U.S. immigration policies that must be addressed to comply with obligations under CERD.  </w:t>
      </w:r>
    </w:p>
    <w:p w14:paraId="11AB5CBB" w14:textId="0122F702" w:rsidR="00F31492" w:rsidRPr="000939AD" w:rsidRDefault="00F31492" w:rsidP="000939AD">
      <w:pPr>
        <w:keepNext/>
        <w:numPr>
          <w:ilvl w:val="0"/>
          <w:numId w:val="2"/>
        </w:numPr>
        <w:spacing w:after="240"/>
        <w:ind w:left="720" w:hanging="360"/>
        <w:jc w:val="center"/>
        <w:rPr>
          <w:b/>
          <w:color w:val="auto"/>
          <w:sz w:val="24"/>
          <w:szCs w:val="24"/>
        </w:rPr>
      </w:pPr>
      <w:r w:rsidRPr="000939AD">
        <w:rPr>
          <w:b/>
          <w:bCs/>
          <w:color w:val="auto"/>
          <w:sz w:val="24"/>
          <w:szCs w:val="24"/>
        </w:rPr>
        <w:t>Racial Discrimination in Immigration Policies</w:t>
      </w:r>
      <w:r w:rsidR="00F76D72" w:rsidRPr="000939AD">
        <w:rPr>
          <w:b/>
          <w:bCs/>
          <w:color w:val="auto"/>
          <w:sz w:val="24"/>
          <w:szCs w:val="24"/>
        </w:rPr>
        <w:t xml:space="preserve"> (List of </w:t>
      </w:r>
      <w:r w:rsidR="00852766" w:rsidRPr="000939AD">
        <w:rPr>
          <w:b/>
          <w:bCs/>
          <w:color w:val="auto"/>
          <w:sz w:val="24"/>
          <w:szCs w:val="24"/>
        </w:rPr>
        <w:t>Theme</w:t>
      </w:r>
      <w:r w:rsidR="00F76D72" w:rsidRPr="000939AD">
        <w:rPr>
          <w:b/>
          <w:bCs/>
          <w:color w:val="auto"/>
          <w:sz w:val="24"/>
          <w:szCs w:val="24"/>
        </w:rPr>
        <w:t xml:space="preserve">s paragraph </w:t>
      </w:r>
      <w:r w:rsidR="002B3B62" w:rsidRPr="000939AD">
        <w:rPr>
          <w:b/>
          <w:bCs/>
          <w:color w:val="auto"/>
          <w:sz w:val="24"/>
          <w:szCs w:val="24"/>
        </w:rPr>
        <w:t>27)</w:t>
      </w:r>
    </w:p>
    <w:p w14:paraId="0BF471E3" w14:textId="597E0AC1" w:rsidR="00F31492" w:rsidRPr="00311CFD" w:rsidRDefault="00B07651"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 xml:space="preserve">In its List of Themes, the Committee </w:t>
      </w:r>
      <w:r w:rsidR="00162248" w:rsidRPr="000E2DDC">
        <w:rPr>
          <w:rFonts w:ascii="Times New Roman" w:hAnsi="Times New Roman"/>
          <w:sz w:val="24"/>
          <w:szCs w:val="24"/>
        </w:rPr>
        <w:t xml:space="preserve">requested information on </w:t>
      </w:r>
      <w:r w:rsidR="004C7662" w:rsidRPr="000E2DDC">
        <w:rPr>
          <w:rFonts w:ascii="Times New Roman" w:hAnsi="Times New Roman"/>
          <w:sz w:val="24"/>
          <w:szCs w:val="24"/>
        </w:rPr>
        <w:t xml:space="preserve">access to </w:t>
      </w:r>
      <w:r w:rsidR="00942D22" w:rsidRPr="000E2DDC">
        <w:rPr>
          <w:rFonts w:ascii="Times New Roman" w:hAnsi="Times New Roman"/>
          <w:sz w:val="24"/>
          <w:szCs w:val="24"/>
        </w:rPr>
        <w:t>“</w:t>
      </w:r>
      <w:r w:rsidR="00A7334F" w:rsidRPr="000E2DDC">
        <w:rPr>
          <w:rFonts w:ascii="Times New Roman" w:hAnsi="Times New Roman"/>
          <w:sz w:val="24"/>
          <w:szCs w:val="24"/>
        </w:rPr>
        <w:t xml:space="preserve">fair and efficient asylum procedures without discrimination based on race, </w:t>
      </w:r>
      <w:proofErr w:type="spellStart"/>
      <w:r w:rsidR="00A7334F" w:rsidRPr="000E2DDC">
        <w:rPr>
          <w:rFonts w:ascii="Times New Roman" w:hAnsi="Times New Roman"/>
          <w:sz w:val="24"/>
          <w:szCs w:val="24"/>
        </w:rPr>
        <w:t>colour</w:t>
      </w:r>
      <w:proofErr w:type="spellEnd"/>
      <w:r w:rsidR="00A7334F" w:rsidRPr="000E2DDC">
        <w:rPr>
          <w:rFonts w:ascii="Times New Roman" w:hAnsi="Times New Roman"/>
          <w:sz w:val="24"/>
          <w:szCs w:val="24"/>
        </w:rPr>
        <w:t>, descent, or national or ethnic origin.”</w:t>
      </w:r>
      <w:r w:rsidR="009E6E65" w:rsidRPr="000E2DDC">
        <w:rPr>
          <w:rStyle w:val="FootnoteReference"/>
          <w:rFonts w:ascii="Times New Roman" w:hAnsi="Times New Roman"/>
          <w:sz w:val="24"/>
          <w:szCs w:val="24"/>
        </w:rPr>
        <w:footnoteReference w:id="8"/>
      </w:r>
      <w:r w:rsidR="00A7334F" w:rsidRPr="000E2DDC">
        <w:rPr>
          <w:rFonts w:ascii="Times New Roman" w:hAnsi="Times New Roman"/>
          <w:sz w:val="24"/>
          <w:szCs w:val="24"/>
        </w:rPr>
        <w:t xml:space="preserve"> </w:t>
      </w:r>
      <w:r w:rsidR="00F31492" w:rsidRPr="000E2DDC">
        <w:rPr>
          <w:rFonts w:ascii="Times New Roman" w:hAnsi="Times New Roman"/>
          <w:sz w:val="24"/>
          <w:szCs w:val="24"/>
        </w:rPr>
        <w:t>U.S. immigration policies have a disproportionate impact on racial minorities within non-citizen communities. In part, this is due to other racially discriminatory actions such as racial profiling that place BIPOC communities in criminal proceedings that result in immigration consequences.</w:t>
      </w:r>
      <w:r w:rsidR="0022168D" w:rsidRPr="000E2DDC">
        <w:rPr>
          <w:rStyle w:val="FootnoteReference"/>
          <w:rFonts w:ascii="Times New Roman" w:hAnsi="Times New Roman"/>
          <w:sz w:val="24"/>
          <w:szCs w:val="24"/>
        </w:rPr>
        <w:footnoteReference w:id="9"/>
      </w:r>
      <w:r w:rsidR="00F31492" w:rsidRPr="000E2DDC">
        <w:rPr>
          <w:rFonts w:ascii="Times New Roman" w:hAnsi="Times New Roman"/>
          <w:sz w:val="24"/>
          <w:szCs w:val="24"/>
        </w:rPr>
        <w:t xml:space="preserve"> In other areas, such as expedited removal and immigration </w:t>
      </w:r>
      <w:r w:rsidR="00F31492" w:rsidRPr="000E2DDC">
        <w:rPr>
          <w:rFonts w:ascii="Times New Roman" w:hAnsi="Times New Roman"/>
          <w:sz w:val="24"/>
          <w:szCs w:val="24"/>
        </w:rPr>
        <w:lastRenderedPageBreak/>
        <w:t>proceedings not related to criminal issues, the same discriminatory outcomes have been observed.</w:t>
      </w:r>
      <w:r w:rsidR="006B4CD7" w:rsidRPr="000E2DDC">
        <w:rPr>
          <w:rStyle w:val="FootnoteReference"/>
          <w:rFonts w:ascii="Times New Roman" w:hAnsi="Times New Roman"/>
          <w:sz w:val="24"/>
          <w:szCs w:val="24"/>
        </w:rPr>
        <w:footnoteReference w:id="10"/>
      </w:r>
      <w:r w:rsidR="00F31492" w:rsidRPr="000E2DDC">
        <w:rPr>
          <w:rFonts w:ascii="Times New Roman" w:hAnsi="Times New Roman"/>
          <w:sz w:val="24"/>
          <w:szCs w:val="24"/>
        </w:rPr>
        <w:t xml:space="preserve"> </w:t>
      </w:r>
    </w:p>
    <w:p w14:paraId="173FE4F9" w14:textId="38CA849B" w:rsidR="00E6299C"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Black migrants receive disparate treatment—being blocked from access the U.S., experiencing higher rates of detention and solitary confinement, receiving higher bond amounts, and ultimately losing their cases requesting protection at higher rates.</w:t>
      </w:r>
      <w:r w:rsidR="00E6299C" w:rsidRPr="000E2DDC">
        <w:rPr>
          <w:rStyle w:val="FootnoteReference"/>
          <w:rFonts w:ascii="Times New Roman" w:hAnsi="Times New Roman"/>
          <w:sz w:val="24"/>
          <w:szCs w:val="24"/>
        </w:rPr>
        <w:footnoteReference w:id="11"/>
      </w:r>
      <w:r w:rsidRPr="000E2DDC">
        <w:rPr>
          <w:rFonts w:ascii="Times New Roman" w:hAnsi="Times New Roman"/>
          <w:sz w:val="24"/>
          <w:szCs w:val="24"/>
        </w:rPr>
        <w:t xml:space="preserve"> </w:t>
      </w:r>
      <w:r w:rsidR="005018D3" w:rsidRPr="000E2DDC">
        <w:rPr>
          <w:rFonts w:ascii="Times New Roman" w:hAnsi="Times New Roman"/>
          <w:sz w:val="24"/>
          <w:szCs w:val="24"/>
        </w:rPr>
        <w:t>Black immigrants made up 7% of the total immigration population from 2003-2015 but made up 10% of the deportations, and Black immigrants make up more than 20% of peoples facing deportation on criminal grounds.</w:t>
      </w:r>
      <w:r w:rsidR="005018D3" w:rsidRPr="000E2DDC">
        <w:rPr>
          <w:rStyle w:val="FootnoteReference"/>
          <w:rFonts w:ascii="Times New Roman" w:hAnsi="Times New Roman"/>
          <w:sz w:val="24"/>
          <w:szCs w:val="24"/>
        </w:rPr>
        <w:footnoteReference w:id="12"/>
      </w:r>
      <w:r w:rsidR="005018D3" w:rsidRPr="000E2DDC">
        <w:rPr>
          <w:rFonts w:ascii="Times New Roman" w:hAnsi="Times New Roman"/>
          <w:sz w:val="24"/>
          <w:szCs w:val="24"/>
        </w:rPr>
        <w:t xml:space="preserve"> </w:t>
      </w:r>
      <w:r w:rsidR="00E6299C" w:rsidRPr="000E2DDC">
        <w:rPr>
          <w:rFonts w:ascii="Times New Roman" w:hAnsi="Times New Roman"/>
          <w:sz w:val="24"/>
          <w:szCs w:val="24"/>
        </w:rPr>
        <w:t>In 2020, Haitian families constituted almost half of the families detained by ICE. Haitian families made up 44% of families detained</w:t>
      </w:r>
      <w:r w:rsidR="00E6299C" w:rsidRPr="000E2DDC">
        <w:rPr>
          <w:rStyle w:val="FootnoteReference"/>
          <w:rFonts w:ascii="Times New Roman" w:hAnsi="Times New Roman"/>
          <w:sz w:val="24"/>
          <w:szCs w:val="24"/>
        </w:rPr>
        <w:footnoteReference w:id="13"/>
      </w:r>
      <w:r w:rsidR="00E6299C" w:rsidRPr="000E2DDC">
        <w:rPr>
          <w:rFonts w:ascii="Times New Roman" w:hAnsi="Times New Roman"/>
          <w:sz w:val="24"/>
          <w:szCs w:val="24"/>
        </w:rPr>
        <w:t>.  Haitian immigrants were found to be paying higher bonds than other immigrants in ICE facilities. Bonds paid by Haitian immigrants were 54% higher than bonds paid by other immigrants</w:t>
      </w:r>
      <w:r w:rsidR="00E6299C" w:rsidRPr="000E2DDC">
        <w:rPr>
          <w:rStyle w:val="FootnoteReference"/>
          <w:rFonts w:ascii="Times New Roman" w:hAnsi="Times New Roman"/>
          <w:sz w:val="24"/>
          <w:szCs w:val="24"/>
        </w:rPr>
        <w:footnoteReference w:id="14"/>
      </w:r>
      <w:r w:rsidR="00E6299C" w:rsidRPr="000E2DDC">
        <w:rPr>
          <w:rFonts w:ascii="Times New Roman" w:hAnsi="Times New Roman"/>
          <w:sz w:val="24"/>
          <w:szCs w:val="24"/>
        </w:rPr>
        <w:t>. While the average bond for other immigrants was $10,500, the average bond for Haitian immigrants was $16,170</w:t>
      </w:r>
      <w:r w:rsidR="00E6299C" w:rsidRPr="000E2DDC">
        <w:rPr>
          <w:rStyle w:val="FootnoteReference"/>
          <w:rFonts w:ascii="Times New Roman" w:hAnsi="Times New Roman"/>
          <w:sz w:val="24"/>
          <w:szCs w:val="24"/>
        </w:rPr>
        <w:footnoteReference w:id="15"/>
      </w:r>
      <w:r w:rsidR="00E6299C" w:rsidRPr="000E2DDC">
        <w:rPr>
          <w:rFonts w:ascii="Times New Roman" w:hAnsi="Times New Roman"/>
          <w:sz w:val="24"/>
          <w:szCs w:val="24"/>
        </w:rPr>
        <w:t xml:space="preserve">. This unfortunately results in Haitian immigrants being detained for a longer </w:t>
      </w:r>
      <w:proofErr w:type="gramStart"/>
      <w:r w:rsidR="00E6299C" w:rsidRPr="000E2DDC">
        <w:rPr>
          <w:rFonts w:ascii="Times New Roman" w:hAnsi="Times New Roman"/>
          <w:sz w:val="24"/>
          <w:szCs w:val="24"/>
        </w:rPr>
        <w:t>period of time</w:t>
      </w:r>
      <w:proofErr w:type="gramEnd"/>
      <w:r w:rsidR="00E6299C" w:rsidRPr="000E2DDC">
        <w:rPr>
          <w:rFonts w:ascii="Times New Roman" w:hAnsi="Times New Roman"/>
          <w:sz w:val="24"/>
          <w:szCs w:val="24"/>
        </w:rPr>
        <w:t xml:space="preserve"> or being deported.  The Advocates’ Court Observation volunteers have documented similar discrimination faced by all Black migrants in detention and facing deportation, who appear to experience higher rates of detention, higher </w:t>
      </w:r>
      <w:proofErr w:type="gramStart"/>
      <w:r w:rsidR="00E6299C" w:rsidRPr="000E2DDC">
        <w:rPr>
          <w:rFonts w:ascii="Times New Roman" w:hAnsi="Times New Roman"/>
          <w:sz w:val="24"/>
          <w:szCs w:val="24"/>
        </w:rPr>
        <w:t>bonds</w:t>
      </w:r>
      <w:proofErr w:type="gramEnd"/>
      <w:r w:rsidR="00E6299C" w:rsidRPr="000E2DDC">
        <w:rPr>
          <w:rFonts w:ascii="Times New Roman" w:hAnsi="Times New Roman"/>
          <w:sz w:val="24"/>
          <w:szCs w:val="24"/>
        </w:rPr>
        <w:t xml:space="preserve"> and lower rates of release.</w:t>
      </w:r>
      <w:r w:rsidR="00247E02" w:rsidRPr="000E2DDC">
        <w:rPr>
          <w:rStyle w:val="FootnoteReference"/>
          <w:rFonts w:ascii="Times New Roman" w:hAnsi="Times New Roman"/>
          <w:sz w:val="24"/>
          <w:szCs w:val="24"/>
        </w:rPr>
        <w:t xml:space="preserve"> </w:t>
      </w:r>
      <w:r w:rsidR="00247E02" w:rsidRPr="000E2DDC">
        <w:rPr>
          <w:rStyle w:val="FootnoteReference"/>
          <w:rFonts w:ascii="Times New Roman" w:hAnsi="Times New Roman"/>
          <w:sz w:val="24"/>
          <w:szCs w:val="24"/>
        </w:rPr>
        <w:footnoteReference w:id="16"/>
      </w:r>
      <w:r w:rsidR="00E6299C" w:rsidRPr="000E2DDC">
        <w:rPr>
          <w:rFonts w:ascii="Times New Roman" w:hAnsi="Times New Roman"/>
          <w:sz w:val="24"/>
          <w:szCs w:val="24"/>
        </w:rPr>
        <w:t xml:space="preserve">           </w:t>
      </w:r>
    </w:p>
    <w:p w14:paraId="09E35FC4" w14:textId="1AD6A8B4" w:rsidR="00247E02" w:rsidRPr="000E2DDC" w:rsidRDefault="00247E0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Black non-citizens also face higher rates of detention and deportation than other immigrant populations. A study from 2021 found that Black detainees in Immigration and Customs Enforcement (ICE) custody were more likely to have lengthy detentions and were six times more likely to be sent to solitary confinement</w:t>
      </w:r>
      <w:r w:rsidRPr="000E2DDC">
        <w:rPr>
          <w:rStyle w:val="FootnoteReference"/>
          <w:rFonts w:ascii="Times New Roman" w:hAnsi="Times New Roman"/>
          <w:sz w:val="24"/>
          <w:szCs w:val="24"/>
        </w:rPr>
        <w:footnoteReference w:id="17"/>
      </w:r>
      <w:r w:rsidRPr="000E2DDC">
        <w:rPr>
          <w:rFonts w:ascii="Times New Roman" w:hAnsi="Times New Roman"/>
          <w:sz w:val="24"/>
          <w:szCs w:val="24"/>
        </w:rPr>
        <w:t>. African or Caribbean immigrants made up only 4% of those held by ICE from 2012 to 2017, yet they accounted for 24% of all solitary confinement lockups. While the average longest length of detention in 2019 was 55 days for other immigrants, the average length for immigrants from Kenya and Rwanda was about 10 years</w:t>
      </w:r>
      <w:r w:rsidRPr="000E2DDC">
        <w:rPr>
          <w:rStyle w:val="FootnoteReference"/>
          <w:rFonts w:ascii="Times New Roman" w:hAnsi="Times New Roman"/>
          <w:sz w:val="24"/>
          <w:szCs w:val="24"/>
        </w:rPr>
        <w:footnoteReference w:id="18"/>
      </w:r>
      <w:r w:rsidRPr="000E2DDC">
        <w:rPr>
          <w:rFonts w:ascii="Times New Roman" w:hAnsi="Times New Roman"/>
          <w:sz w:val="24"/>
          <w:szCs w:val="24"/>
        </w:rPr>
        <w:t>. Additionally, Haitians had the second highest U.S. asylum denial rate at 87%.</w:t>
      </w:r>
      <w:r w:rsidRPr="000E2DDC">
        <w:rPr>
          <w:rStyle w:val="FootnoteReference"/>
          <w:rFonts w:ascii="Times New Roman" w:hAnsi="Times New Roman"/>
          <w:sz w:val="24"/>
          <w:szCs w:val="24"/>
        </w:rPr>
        <w:footnoteReference w:id="19"/>
      </w:r>
    </w:p>
    <w:p w14:paraId="151D12AC" w14:textId="5FDF0583" w:rsidR="00F31492" w:rsidRPr="000E2DDC" w:rsidRDefault="00E6299C"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Additionally,</w:t>
      </w:r>
      <w:r w:rsidR="00F31492" w:rsidRPr="000E2DDC">
        <w:rPr>
          <w:rFonts w:ascii="Times New Roman" w:hAnsi="Times New Roman"/>
          <w:sz w:val="24"/>
          <w:szCs w:val="24"/>
        </w:rPr>
        <w:t xml:space="preserve"> in October 2021, US Customs and Border Protection (CBP) agents were photographed physically beating back Haitian migrants on the Mexico-U.S. border in order to </w:t>
      </w:r>
      <w:r w:rsidR="00F31492" w:rsidRPr="000E2DDC">
        <w:rPr>
          <w:rFonts w:ascii="Times New Roman" w:hAnsi="Times New Roman"/>
          <w:sz w:val="24"/>
          <w:szCs w:val="24"/>
        </w:rPr>
        <w:lastRenderedPageBreak/>
        <w:t>prevent them from entering the U.S. to obtain asylum.</w:t>
      </w:r>
      <w:r w:rsidR="00F31492" w:rsidRPr="000E2DDC">
        <w:rPr>
          <w:rStyle w:val="FootnoteReference"/>
          <w:rFonts w:ascii="Times New Roman" w:hAnsi="Times New Roman"/>
          <w:sz w:val="24"/>
          <w:szCs w:val="24"/>
        </w:rPr>
        <w:footnoteReference w:id="20"/>
      </w:r>
      <w:r w:rsidR="00F31492" w:rsidRPr="000E2DDC">
        <w:rPr>
          <w:rFonts w:ascii="Times New Roman" w:hAnsi="Times New Roman"/>
          <w:sz w:val="24"/>
          <w:szCs w:val="24"/>
        </w:rPr>
        <w:t xml:space="preserve"> By contrast, the U.S. recently opened special lanes for Ukrainians seeking safety at the Mexico-U.S. border.</w:t>
      </w:r>
      <w:r w:rsidR="00F31492" w:rsidRPr="000E2DDC">
        <w:rPr>
          <w:rStyle w:val="FootnoteReference"/>
          <w:rFonts w:ascii="Times New Roman" w:hAnsi="Times New Roman"/>
          <w:sz w:val="24"/>
          <w:szCs w:val="24"/>
        </w:rPr>
        <w:footnoteReference w:id="21"/>
      </w:r>
      <w:r w:rsidR="00F31492" w:rsidRPr="000E2DDC">
        <w:rPr>
          <w:rFonts w:ascii="Times New Roman" w:hAnsi="Times New Roman"/>
          <w:sz w:val="24"/>
          <w:szCs w:val="24"/>
        </w:rPr>
        <w:t xml:space="preserve"> The U.S. has promised to investigate and punish those responsible for beating the Haitian migrants, but has not attempted to resolve overarching, systemic racism that accounts for the disparate treatment received by Haitians and other Black migrants at the border. </w:t>
      </w:r>
    </w:p>
    <w:p w14:paraId="55C17A65" w14:textId="1402316B" w:rsidR="00E30957"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 xml:space="preserve">Cameroonians waited months for approval of Temporary Protected Status (TPS) to allow them to stay in the U.S. instead of returning to violent armed conflict in Cameroon.  Similarly, TPS designation </w:t>
      </w:r>
      <w:proofErr w:type="gramStart"/>
      <w:r w:rsidRPr="000E2DDC">
        <w:rPr>
          <w:rFonts w:ascii="Times New Roman" w:hAnsi="Times New Roman"/>
          <w:sz w:val="24"/>
          <w:szCs w:val="24"/>
        </w:rPr>
        <w:t>on the basis of</w:t>
      </w:r>
      <w:proofErr w:type="gramEnd"/>
      <w:r w:rsidRPr="000E2DDC">
        <w:rPr>
          <w:rFonts w:ascii="Times New Roman" w:hAnsi="Times New Roman"/>
          <w:sz w:val="24"/>
          <w:szCs w:val="24"/>
        </w:rPr>
        <w:t xml:space="preserve"> violent armed conflict or climate change has been slow for countries such as Ethiopia and Mauritania. By contrast, the U.S. designated TPS for Ukrainians shortly after the Russian invasion. The disparate treatment raises concerns about discrimination.</w:t>
      </w:r>
      <w:r w:rsidRPr="000E2DDC">
        <w:rPr>
          <w:rStyle w:val="FootnoteReference"/>
          <w:rFonts w:ascii="Times New Roman" w:hAnsi="Times New Roman"/>
          <w:sz w:val="24"/>
          <w:szCs w:val="24"/>
        </w:rPr>
        <w:footnoteReference w:id="22"/>
      </w:r>
      <w:r w:rsidRPr="000E2DDC">
        <w:rPr>
          <w:rFonts w:ascii="Times New Roman" w:hAnsi="Times New Roman"/>
          <w:sz w:val="24"/>
          <w:szCs w:val="24"/>
        </w:rPr>
        <w:t xml:space="preserve"> </w:t>
      </w:r>
    </w:p>
    <w:p w14:paraId="42C50C9E" w14:textId="332E96D6" w:rsidR="00782E54" w:rsidRPr="000E2DDC" w:rsidRDefault="007F5DDD"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 xml:space="preserve">Nothing has highlighted racial disparities in U.S. immigration policy more than the recent influx of Ukrainians at the same time as Afghans who have been displaced and other groups of impacted people. The U.S. response to Ukrainians demonstrates the important ways in which the State Party can—and should—provide protections for people fleeing harms. The U.S. has set-up a </w:t>
      </w:r>
      <w:r w:rsidR="00782E54" w:rsidRPr="000E2DDC">
        <w:rPr>
          <w:rFonts w:ascii="Times New Roman" w:hAnsi="Times New Roman"/>
          <w:sz w:val="24"/>
          <w:szCs w:val="24"/>
        </w:rPr>
        <w:t xml:space="preserve">generous </w:t>
      </w:r>
      <w:r w:rsidRPr="000E2DDC">
        <w:rPr>
          <w:rFonts w:ascii="Times New Roman" w:hAnsi="Times New Roman"/>
          <w:sz w:val="24"/>
          <w:szCs w:val="24"/>
        </w:rPr>
        <w:t>program for humanitarian parole that allows Ukrainians to enter the U.S.</w:t>
      </w:r>
      <w:r w:rsidR="00782E54" w:rsidRPr="000E2DDC">
        <w:rPr>
          <w:rFonts w:ascii="Times New Roman" w:hAnsi="Times New Roman"/>
          <w:sz w:val="24"/>
          <w:szCs w:val="24"/>
        </w:rPr>
        <w:t xml:space="preserve"> That program allows broad categories of individuals to sponsor a Ukrainian, has had rapid processing and approval rates,</w:t>
      </w:r>
      <w:r w:rsidR="000D562E" w:rsidRPr="000E2DDC">
        <w:rPr>
          <w:rFonts w:ascii="Times New Roman" w:hAnsi="Times New Roman"/>
          <w:sz w:val="24"/>
          <w:szCs w:val="24"/>
        </w:rPr>
        <w:t xml:space="preserve"> is not subject to individual case processing and backlogs at USCIS, </w:t>
      </w:r>
      <w:r w:rsidR="00992E12" w:rsidRPr="000E2DDC">
        <w:rPr>
          <w:rFonts w:ascii="Times New Roman" w:hAnsi="Times New Roman"/>
          <w:sz w:val="24"/>
          <w:szCs w:val="24"/>
        </w:rPr>
        <w:t xml:space="preserve">does not require the individual be outside of home country to complete process, </w:t>
      </w:r>
      <w:r w:rsidR="00782E54" w:rsidRPr="000E2DDC">
        <w:rPr>
          <w:rFonts w:ascii="Times New Roman" w:hAnsi="Times New Roman"/>
          <w:sz w:val="24"/>
          <w:szCs w:val="24"/>
        </w:rPr>
        <w:t xml:space="preserve">does not require </w:t>
      </w:r>
      <w:r w:rsidR="00992E12" w:rsidRPr="000E2DDC">
        <w:rPr>
          <w:rFonts w:ascii="Times New Roman" w:hAnsi="Times New Roman"/>
          <w:sz w:val="24"/>
          <w:szCs w:val="24"/>
        </w:rPr>
        <w:t>a</w:t>
      </w:r>
      <w:r w:rsidR="00782E54" w:rsidRPr="000E2DDC">
        <w:rPr>
          <w:rFonts w:ascii="Times New Roman" w:hAnsi="Times New Roman"/>
          <w:sz w:val="24"/>
          <w:szCs w:val="24"/>
        </w:rPr>
        <w:t xml:space="preserve"> fee</w:t>
      </w:r>
      <w:r w:rsidR="00992E12" w:rsidRPr="000E2DDC">
        <w:rPr>
          <w:rFonts w:ascii="Times New Roman" w:hAnsi="Times New Roman"/>
          <w:sz w:val="24"/>
          <w:szCs w:val="24"/>
        </w:rPr>
        <w:t xml:space="preserve"> (which is normally $535 per applicant)</w:t>
      </w:r>
      <w:r w:rsidR="00782E54" w:rsidRPr="000E2DDC">
        <w:rPr>
          <w:rFonts w:ascii="Times New Roman" w:hAnsi="Times New Roman"/>
          <w:sz w:val="24"/>
          <w:szCs w:val="24"/>
        </w:rPr>
        <w:t xml:space="preserve">, </w:t>
      </w:r>
      <w:r w:rsidR="002519C1" w:rsidRPr="000E2DDC">
        <w:rPr>
          <w:rFonts w:ascii="Times New Roman" w:hAnsi="Times New Roman"/>
          <w:sz w:val="24"/>
          <w:szCs w:val="24"/>
        </w:rPr>
        <w:t xml:space="preserve">does not require applicants show strong positive factors and significant evidence of threat of imminent harm, allows families to apply together, </w:t>
      </w:r>
      <w:r w:rsidR="004176AD" w:rsidRPr="000E2DDC">
        <w:rPr>
          <w:rFonts w:ascii="Times New Roman" w:hAnsi="Times New Roman"/>
          <w:sz w:val="24"/>
          <w:szCs w:val="24"/>
        </w:rPr>
        <w:t xml:space="preserve">and </w:t>
      </w:r>
      <w:r w:rsidR="002519C1" w:rsidRPr="000E2DDC">
        <w:rPr>
          <w:rFonts w:ascii="Times New Roman" w:hAnsi="Times New Roman"/>
          <w:sz w:val="24"/>
          <w:szCs w:val="24"/>
        </w:rPr>
        <w:t xml:space="preserve">does not require </w:t>
      </w:r>
      <w:r w:rsidR="004176AD" w:rsidRPr="000E2DDC">
        <w:rPr>
          <w:rFonts w:ascii="Times New Roman" w:hAnsi="Times New Roman"/>
          <w:sz w:val="24"/>
          <w:szCs w:val="24"/>
        </w:rPr>
        <w:t xml:space="preserve">in person appointments, biometrics, </w:t>
      </w:r>
      <w:r w:rsidR="00985C42" w:rsidRPr="000E2DDC">
        <w:rPr>
          <w:rFonts w:ascii="Times New Roman" w:hAnsi="Times New Roman"/>
          <w:sz w:val="24"/>
          <w:szCs w:val="24"/>
        </w:rPr>
        <w:t>or vaccinations/medicals</w:t>
      </w:r>
      <w:r w:rsidR="00782E54" w:rsidRPr="000E2DDC">
        <w:rPr>
          <w:rFonts w:ascii="Times New Roman" w:hAnsi="Times New Roman"/>
          <w:sz w:val="24"/>
          <w:szCs w:val="24"/>
        </w:rPr>
        <w:t>.</w:t>
      </w:r>
      <w:r w:rsidR="00985C42" w:rsidRPr="000E2DDC">
        <w:rPr>
          <w:rStyle w:val="FootnoteReference"/>
          <w:rFonts w:ascii="Times New Roman" w:hAnsi="Times New Roman"/>
          <w:sz w:val="24"/>
          <w:szCs w:val="24"/>
        </w:rPr>
        <w:footnoteReference w:id="23"/>
      </w:r>
      <w:r w:rsidRPr="000E2DDC">
        <w:rPr>
          <w:rFonts w:ascii="Times New Roman" w:hAnsi="Times New Roman"/>
          <w:sz w:val="24"/>
          <w:szCs w:val="24"/>
        </w:rPr>
        <w:t xml:space="preserve"> </w:t>
      </w:r>
      <w:r w:rsidR="00985C42" w:rsidRPr="000E2DDC">
        <w:rPr>
          <w:rFonts w:ascii="Times New Roman" w:hAnsi="Times New Roman"/>
          <w:sz w:val="24"/>
          <w:szCs w:val="24"/>
        </w:rPr>
        <w:t xml:space="preserve">Compare this with parole for Afghans and others.  </w:t>
      </w:r>
      <w:r w:rsidRPr="000E2DDC">
        <w:rPr>
          <w:rFonts w:ascii="Times New Roman" w:hAnsi="Times New Roman"/>
          <w:sz w:val="24"/>
          <w:szCs w:val="24"/>
        </w:rPr>
        <w:t>It</w:t>
      </w:r>
      <w:r w:rsidR="00782E54" w:rsidRPr="000E2DDC">
        <w:rPr>
          <w:rFonts w:ascii="Times New Roman" w:hAnsi="Times New Roman"/>
          <w:sz w:val="24"/>
          <w:szCs w:val="24"/>
        </w:rPr>
        <w:t xml:space="preserve"> also</w:t>
      </w:r>
      <w:r w:rsidRPr="000E2DDC">
        <w:rPr>
          <w:rFonts w:ascii="Times New Roman" w:hAnsi="Times New Roman"/>
          <w:sz w:val="24"/>
          <w:szCs w:val="24"/>
        </w:rPr>
        <w:t xml:space="preserve"> excluded Ukrainians from policies at the border which are preventing other asylum seekers from entering, such as Title 42 COVID expulsions and the “Migrant Protection Protocols.”  The U.S. also </w:t>
      </w:r>
      <w:proofErr w:type="spellStart"/>
      <w:r w:rsidR="00782E54" w:rsidRPr="000E2DDC">
        <w:rPr>
          <w:rFonts w:ascii="Times New Roman" w:hAnsi="Times New Roman"/>
          <w:sz w:val="24"/>
          <w:szCs w:val="24"/>
        </w:rPr>
        <w:t>sua</w:t>
      </w:r>
      <w:proofErr w:type="spellEnd"/>
      <w:r w:rsidR="00782E54" w:rsidRPr="000E2DDC">
        <w:rPr>
          <w:rFonts w:ascii="Times New Roman" w:hAnsi="Times New Roman"/>
          <w:sz w:val="24"/>
          <w:szCs w:val="24"/>
        </w:rPr>
        <w:t xml:space="preserve"> sponte establish</w:t>
      </w:r>
      <w:r w:rsidRPr="000E2DDC">
        <w:rPr>
          <w:rFonts w:ascii="Times New Roman" w:hAnsi="Times New Roman"/>
          <w:sz w:val="24"/>
          <w:szCs w:val="24"/>
        </w:rPr>
        <w:t xml:space="preserve"> Temporary Protected Status for Ukrainians</w:t>
      </w:r>
      <w:r w:rsidR="00782E54" w:rsidRPr="000E2DDC">
        <w:rPr>
          <w:rFonts w:ascii="Times New Roman" w:hAnsi="Times New Roman"/>
          <w:sz w:val="24"/>
          <w:szCs w:val="24"/>
        </w:rPr>
        <w:t xml:space="preserve"> within one month of the crisis.</w:t>
      </w:r>
      <w:r w:rsidR="003341BF" w:rsidRPr="000E2DDC">
        <w:rPr>
          <w:rStyle w:val="FootnoteReference"/>
          <w:rFonts w:ascii="Times New Roman" w:hAnsi="Times New Roman"/>
          <w:sz w:val="24"/>
          <w:szCs w:val="24"/>
        </w:rPr>
        <w:footnoteReference w:id="24"/>
      </w:r>
      <w:r w:rsidR="00782E54" w:rsidRPr="000E2DDC">
        <w:rPr>
          <w:rFonts w:ascii="Times New Roman" w:hAnsi="Times New Roman"/>
          <w:sz w:val="24"/>
          <w:szCs w:val="24"/>
        </w:rPr>
        <w:t xml:space="preserve"> </w:t>
      </w:r>
    </w:p>
    <w:p w14:paraId="611DAAA8" w14:textId="34AD3F3A" w:rsidR="007F5DDD" w:rsidRPr="000E2DDC" w:rsidRDefault="00782E54" w:rsidP="00311CFD">
      <w:pPr>
        <w:pStyle w:val="ListParagraph"/>
        <w:numPr>
          <w:ilvl w:val="0"/>
          <w:numId w:val="1"/>
        </w:numPr>
        <w:spacing w:after="240" w:line="240" w:lineRule="auto"/>
        <w:ind w:left="360"/>
        <w:contextualSpacing w:val="0"/>
        <w:jc w:val="both"/>
        <w:rPr>
          <w:rFonts w:ascii="Times New Roman" w:hAnsi="Times New Roman"/>
          <w:sz w:val="24"/>
          <w:szCs w:val="24"/>
        </w:rPr>
      </w:pPr>
      <w:r w:rsidRPr="000E2DDC">
        <w:rPr>
          <w:rFonts w:ascii="Times New Roman" w:hAnsi="Times New Roman"/>
          <w:sz w:val="24"/>
          <w:szCs w:val="24"/>
        </w:rPr>
        <w:t>Comparing these policies to those for Afghans, Cameroonians, and BIPOC migrants, The Advocates and others are concerned about racial discrimination in U.S. immigration policy.</w:t>
      </w:r>
      <w:r w:rsidR="002F7239" w:rsidRPr="000E2DDC">
        <w:rPr>
          <w:rStyle w:val="FootnoteReference"/>
          <w:rFonts w:ascii="Times New Roman" w:hAnsi="Times New Roman"/>
          <w:sz w:val="24"/>
          <w:szCs w:val="24"/>
        </w:rPr>
        <w:footnoteReference w:id="25"/>
      </w:r>
      <w:r w:rsidRPr="000E2DDC">
        <w:rPr>
          <w:rFonts w:ascii="Times New Roman" w:hAnsi="Times New Roman"/>
          <w:sz w:val="24"/>
          <w:szCs w:val="24"/>
        </w:rPr>
        <w:t xml:space="preserve"> Afghans have been forced to apply for parole through lengthy processes that require </w:t>
      </w:r>
      <w:proofErr w:type="gramStart"/>
      <w:r w:rsidRPr="000E2DDC">
        <w:rPr>
          <w:rFonts w:ascii="Times New Roman" w:hAnsi="Times New Roman"/>
          <w:sz w:val="24"/>
          <w:szCs w:val="24"/>
        </w:rPr>
        <w:t>fees</w:t>
      </w:r>
      <w:proofErr w:type="gramEnd"/>
      <w:r w:rsidRPr="000E2DDC">
        <w:rPr>
          <w:rFonts w:ascii="Times New Roman" w:hAnsi="Times New Roman"/>
          <w:sz w:val="24"/>
          <w:szCs w:val="24"/>
        </w:rPr>
        <w:t xml:space="preserve"> and which have seen approval rates of less than 10 percent.  Afghans have been calling for long-term protections since August, but still have no path to residence.  Cameroonians had been calling for TPS for nearly one year before they were granted, and the procedures for TPS for Cameroonians and Afghans were delayed in publication, resulting in people being unable to </w:t>
      </w:r>
      <w:r w:rsidRPr="000E2DDC">
        <w:rPr>
          <w:rFonts w:ascii="Times New Roman" w:hAnsi="Times New Roman"/>
          <w:sz w:val="24"/>
          <w:szCs w:val="24"/>
        </w:rPr>
        <w:lastRenderedPageBreak/>
        <w:t xml:space="preserve">submit applications.  While we applaud the U.S. response to Ukraine as a model for what can be done with political will, it highlights racial inequities that must be eliminated.  </w:t>
      </w:r>
      <w:r w:rsidR="007F5DDD" w:rsidRPr="000E2DDC">
        <w:rPr>
          <w:rFonts w:ascii="Times New Roman" w:hAnsi="Times New Roman"/>
          <w:sz w:val="24"/>
          <w:szCs w:val="24"/>
        </w:rPr>
        <w:t xml:space="preserve"> </w:t>
      </w:r>
    </w:p>
    <w:p w14:paraId="5ECEBDAE" w14:textId="3A89DA39" w:rsidR="00F31492" w:rsidRPr="000939AD" w:rsidRDefault="00A47FC2" w:rsidP="000939AD">
      <w:pPr>
        <w:keepNext/>
        <w:numPr>
          <w:ilvl w:val="0"/>
          <w:numId w:val="2"/>
        </w:numPr>
        <w:spacing w:after="240"/>
        <w:ind w:left="720" w:hanging="360"/>
        <w:jc w:val="center"/>
        <w:rPr>
          <w:b/>
          <w:color w:val="auto"/>
          <w:sz w:val="24"/>
          <w:szCs w:val="24"/>
        </w:rPr>
      </w:pPr>
      <w:r>
        <w:rPr>
          <w:b/>
          <w:bCs/>
          <w:color w:val="auto"/>
          <w:sz w:val="24"/>
          <w:szCs w:val="24"/>
        </w:rPr>
        <w:t xml:space="preserve">Immigration </w:t>
      </w:r>
      <w:r w:rsidR="00F31492" w:rsidRPr="000939AD">
        <w:rPr>
          <w:b/>
          <w:bCs/>
          <w:color w:val="auto"/>
          <w:sz w:val="24"/>
          <w:szCs w:val="24"/>
        </w:rPr>
        <w:t>Detention</w:t>
      </w:r>
      <w:r w:rsidR="004F3D92" w:rsidRPr="000939AD">
        <w:rPr>
          <w:b/>
          <w:bCs/>
          <w:color w:val="auto"/>
          <w:sz w:val="24"/>
          <w:szCs w:val="24"/>
        </w:rPr>
        <w:t xml:space="preserve"> (List of </w:t>
      </w:r>
      <w:r w:rsidR="00852766" w:rsidRPr="000939AD">
        <w:rPr>
          <w:b/>
          <w:bCs/>
          <w:color w:val="auto"/>
          <w:sz w:val="24"/>
          <w:szCs w:val="24"/>
        </w:rPr>
        <w:t>Themes</w:t>
      </w:r>
      <w:r w:rsidR="004F3D92" w:rsidRPr="000939AD">
        <w:rPr>
          <w:b/>
          <w:bCs/>
          <w:color w:val="auto"/>
          <w:sz w:val="24"/>
          <w:szCs w:val="24"/>
        </w:rPr>
        <w:t xml:space="preserve"> paragraph 2</w:t>
      </w:r>
      <w:r w:rsidR="001908F8" w:rsidRPr="000E2DDC">
        <w:rPr>
          <w:b/>
          <w:bCs/>
          <w:color w:val="auto"/>
          <w:sz w:val="24"/>
          <w:szCs w:val="24"/>
        </w:rPr>
        <w:t>6</w:t>
      </w:r>
      <w:r w:rsidR="004F3D92" w:rsidRPr="000939AD">
        <w:rPr>
          <w:b/>
          <w:bCs/>
          <w:color w:val="auto"/>
          <w:sz w:val="24"/>
          <w:szCs w:val="24"/>
        </w:rPr>
        <w:t>)</w:t>
      </w:r>
    </w:p>
    <w:p w14:paraId="5958278D" w14:textId="1D5D55BA"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The Committee condemned mandatory detention of immigrants in its 2014 Concluding Observations</w:t>
      </w:r>
      <w:r w:rsidR="000E3129" w:rsidRPr="000E2DDC">
        <w:rPr>
          <w:rFonts w:ascii="Times New Roman" w:hAnsi="Times New Roman"/>
          <w:sz w:val="24"/>
          <w:szCs w:val="24"/>
        </w:rPr>
        <w:t>; i</w:t>
      </w:r>
      <w:r w:rsidR="00A110E2" w:rsidRPr="000E2DDC">
        <w:rPr>
          <w:rFonts w:ascii="Times New Roman" w:hAnsi="Times New Roman"/>
          <w:sz w:val="24"/>
          <w:szCs w:val="24"/>
        </w:rPr>
        <w:t xml:space="preserve">n </w:t>
      </w:r>
      <w:r w:rsidR="001908F8" w:rsidRPr="000E2DDC">
        <w:rPr>
          <w:rFonts w:ascii="Times New Roman" w:hAnsi="Times New Roman"/>
          <w:sz w:val="24"/>
          <w:szCs w:val="24"/>
        </w:rPr>
        <w:t>its List of Themes, the Committee</w:t>
      </w:r>
      <w:r w:rsidR="00422DC8" w:rsidRPr="000E2DDC">
        <w:rPr>
          <w:rFonts w:ascii="Times New Roman" w:hAnsi="Times New Roman"/>
          <w:sz w:val="24"/>
          <w:szCs w:val="24"/>
        </w:rPr>
        <w:t xml:space="preserve"> </w:t>
      </w:r>
      <w:r w:rsidR="004E7838" w:rsidRPr="000E2DDC">
        <w:rPr>
          <w:rFonts w:ascii="Times New Roman" w:hAnsi="Times New Roman"/>
          <w:sz w:val="24"/>
          <w:szCs w:val="24"/>
        </w:rPr>
        <w:t>asked for information on efforts to address mandatory detention and conditions of detention.</w:t>
      </w:r>
      <w:r w:rsidR="004E7838" w:rsidRPr="000E2DDC">
        <w:rPr>
          <w:rStyle w:val="FootnoteReference"/>
          <w:rFonts w:ascii="Times New Roman" w:hAnsi="Times New Roman"/>
          <w:sz w:val="24"/>
          <w:szCs w:val="24"/>
        </w:rPr>
        <w:footnoteReference w:id="26"/>
      </w:r>
      <w:r w:rsidR="001908F8" w:rsidRPr="000E2DDC">
        <w:rPr>
          <w:rFonts w:ascii="Times New Roman" w:hAnsi="Times New Roman"/>
          <w:sz w:val="24"/>
          <w:szCs w:val="24"/>
        </w:rPr>
        <w:t xml:space="preserve"> </w:t>
      </w:r>
      <w:r w:rsidRPr="000E2DDC">
        <w:rPr>
          <w:rFonts w:ascii="Times New Roman" w:hAnsi="Times New Roman"/>
          <w:sz w:val="24"/>
          <w:szCs w:val="24"/>
        </w:rPr>
        <w:t>The State Party report states that non-citizens are provided an opportunity to request bond and that “if an ICE officer denies bond (or sets a bond the non-citizen considers too high), a non-citizen may ask an Immigration Judge for a redetermination of the custody decision, per 8 U.S.C. § 1226. The non-citizen or ICE may also appeal the Immigration Judge’s custody redetermination to the Board of Immigration Appeals.”</w:t>
      </w:r>
      <w:r w:rsidRPr="000E2DDC">
        <w:rPr>
          <w:rStyle w:val="FootnoteReference"/>
          <w:rFonts w:ascii="Times New Roman" w:hAnsi="Times New Roman"/>
          <w:sz w:val="24"/>
          <w:szCs w:val="24"/>
        </w:rPr>
        <w:footnoteReference w:id="27"/>
      </w:r>
      <w:r w:rsidRPr="000E2DDC">
        <w:rPr>
          <w:rFonts w:ascii="Times New Roman" w:hAnsi="Times New Roman"/>
          <w:sz w:val="24"/>
          <w:szCs w:val="24"/>
        </w:rPr>
        <w:t xml:space="preserve"> </w:t>
      </w:r>
    </w:p>
    <w:p w14:paraId="25F22A56" w14:textId="77777777"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bCs/>
          <w:sz w:val="24"/>
          <w:szCs w:val="24"/>
        </w:rPr>
        <w:t>The U.S. has continued to impose mandatory detention without discretion to release or to place on bond or other supervised release conditions and without access to an individualized custody determination by a court in an overly broad array of cases,</w:t>
      </w:r>
      <w:r w:rsidRPr="000E2DDC">
        <w:rPr>
          <w:rFonts w:ascii="Times New Roman" w:hAnsi="Times New Roman"/>
          <w:sz w:val="24"/>
          <w:szCs w:val="24"/>
        </w:rPr>
        <w:t xml:space="preserve"> including for arriving asylum seekers,</w:t>
      </w:r>
      <w:r w:rsidRPr="000E2DDC">
        <w:rPr>
          <w:rFonts w:ascii="Times New Roman" w:hAnsi="Times New Roman"/>
          <w:sz w:val="24"/>
          <w:szCs w:val="24"/>
          <w:vertAlign w:val="superscript"/>
        </w:rPr>
        <w:footnoteReference w:id="28"/>
      </w:r>
      <w:r w:rsidRPr="000E2DDC">
        <w:rPr>
          <w:rFonts w:ascii="Times New Roman" w:hAnsi="Times New Roman"/>
          <w:sz w:val="24"/>
          <w:szCs w:val="24"/>
        </w:rPr>
        <w:t xml:space="preserve"> non-citizens convicted of certain crimes,</w:t>
      </w:r>
      <w:r w:rsidRPr="000E2DDC">
        <w:rPr>
          <w:rFonts w:ascii="Times New Roman" w:hAnsi="Times New Roman"/>
          <w:sz w:val="24"/>
          <w:szCs w:val="24"/>
          <w:vertAlign w:val="superscript"/>
        </w:rPr>
        <w:footnoteReference w:id="29"/>
      </w:r>
      <w:r w:rsidRPr="000E2DDC">
        <w:rPr>
          <w:rFonts w:ascii="Times New Roman" w:hAnsi="Times New Roman"/>
          <w:sz w:val="24"/>
          <w:szCs w:val="24"/>
        </w:rPr>
        <w:t xml:space="preserve"> and certain refugees awaiting adjudication of their applications for permanent residence.</w:t>
      </w:r>
      <w:r w:rsidRPr="000E2DDC">
        <w:rPr>
          <w:rFonts w:ascii="Times New Roman" w:hAnsi="Times New Roman"/>
          <w:sz w:val="24"/>
          <w:szCs w:val="24"/>
          <w:vertAlign w:val="superscript"/>
        </w:rPr>
        <w:footnoteReference w:id="30"/>
      </w:r>
      <w:r w:rsidRPr="000E2DDC">
        <w:rPr>
          <w:rFonts w:ascii="Times New Roman" w:hAnsi="Times New Roman"/>
          <w:sz w:val="24"/>
          <w:szCs w:val="24"/>
        </w:rPr>
        <w:t xml:space="preserve"> These categorical detention determinations violate international norms of proportionality and non-discrimination.</w:t>
      </w:r>
      <w:r w:rsidRPr="000E2DDC">
        <w:rPr>
          <w:rFonts w:ascii="Times New Roman" w:hAnsi="Times New Roman"/>
          <w:sz w:val="24"/>
          <w:szCs w:val="24"/>
          <w:vertAlign w:val="superscript"/>
        </w:rPr>
        <w:footnoteReference w:id="31"/>
      </w:r>
      <w:r w:rsidRPr="000E2DDC">
        <w:rPr>
          <w:rFonts w:ascii="Times New Roman" w:hAnsi="Times New Roman"/>
          <w:sz w:val="24"/>
          <w:szCs w:val="24"/>
        </w:rPr>
        <w:t xml:space="preserve"> </w:t>
      </w:r>
    </w:p>
    <w:p w14:paraId="564EDE1D" w14:textId="77777777" w:rsidR="00F31492" w:rsidRPr="000E2DDC" w:rsidRDefault="00F31492" w:rsidP="00311CFD">
      <w:pPr>
        <w:pStyle w:val="ListParagraph"/>
        <w:numPr>
          <w:ilvl w:val="0"/>
          <w:numId w:val="1"/>
        </w:numPr>
        <w:spacing w:after="120" w:line="240" w:lineRule="auto"/>
        <w:ind w:left="360"/>
        <w:contextualSpacing w:val="0"/>
        <w:jc w:val="both"/>
        <w:rPr>
          <w:rFonts w:ascii="Times New Roman" w:eastAsia="Times New Roman" w:hAnsi="Times New Roman"/>
          <w:sz w:val="24"/>
          <w:szCs w:val="24"/>
        </w:rPr>
      </w:pPr>
      <w:r w:rsidRPr="000E2DDC">
        <w:rPr>
          <w:rFonts w:ascii="Times New Roman" w:eastAsia="Times New Roman" w:hAnsi="Times New Roman"/>
          <w:sz w:val="24"/>
          <w:szCs w:val="24"/>
        </w:rPr>
        <w:t>Even when the law does not mandate detention, the U.S. government routinely denies bond. Individuals charged with domestic violence, driving while under the influence, and various non-violent crimes are held without bond or have bonds set so high as to not be able to access release.</w:t>
      </w:r>
      <w:r w:rsidRPr="000E2DDC">
        <w:rPr>
          <w:rStyle w:val="FootnoteReference"/>
          <w:rFonts w:ascii="Times New Roman" w:eastAsia="Times New Roman" w:hAnsi="Times New Roman"/>
          <w:sz w:val="24"/>
          <w:szCs w:val="24"/>
        </w:rPr>
        <w:footnoteReference w:id="32"/>
      </w:r>
      <w:r w:rsidRPr="000E2DDC">
        <w:rPr>
          <w:rFonts w:ascii="Times New Roman" w:eastAsia="Times New Roman" w:hAnsi="Times New Roman"/>
          <w:sz w:val="24"/>
          <w:szCs w:val="24"/>
        </w:rPr>
        <w:t xml:space="preserve"> In addition, the law is applied such that a person may only request bond once unless their case materially changes as determined by the immigration judge.</w:t>
      </w:r>
      <w:r w:rsidRPr="000E2DDC">
        <w:rPr>
          <w:rStyle w:val="FootnoteReference"/>
          <w:rFonts w:ascii="Times New Roman" w:eastAsia="Times New Roman" w:hAnsi="Times New Roman"/>
          <w:sz w:val="24"/>
          <w:szCs w:val="24"/>
        </w:rPr>
        <w:footnoteReference w:id="33"/>
      </w:r>
      <w:r w:rsidRPr="000E2DDC">
        <w:rPr>
          <w:rFonts w:ascii="Times New Roman" w:eastAsia="Times New Roman" w:hAnsi="Times New Roman"/>
          <w:sz w:val="24"/>
          <w:szCs w:val="24"/>
        </w:rPr>
        <w:t xml:space="preserve"> In practice, t</w:t>
      </w:r>
      <w:r w:rsidRPr="000E2DDC">
        <w:rPr>
          <w:rFonts w:ascii="Times New Roman" w:hAnsi="Times New Roman"/>
          <w:sz w:val="24"/>
          <w:szCs w:val="24"/>
        </w:rPr>
        <w:t>he U.S. immigration system allows arbitrary detention for long period, with some remaining in detention for years.</w:t>
      </w:r>
      <w:r w:rsidRPr="000E2DDC">
        <w:rPr>
          <w:rStyle w:val="FootnoteReference"/>
          <w:rFonts w:ascii="Times New Roman" w:eastAsia="Times New Roman" w:hAnsi="Times New Roman"/>
          <w:sz w:val="24"/>
          <w:szCs w:val="24"/>
        </w:rPr>
        <w:footnoteReference w:id="34"/>
      </w:r>
    </w:p>
    <w:p w14:paraId="2AABD335" w14:textId="20AE8D13"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lastRenderedPageBreak/>
        <w:t>Excessive bond amounts lead to prolonged and arbitrary detention for those not subject to mandatory detention laws. ICE officials and immigration judges deny bond requests and set bonds well above the $1,500 required minimum.</w:t>
      </w:r>
      <w:r w:rsidRPr="000E2DDC">
        <w:rPr>
          <w:rFonts w:ascii="Times New Roman" w:hAnsi="Times New Roman"/>
          <w:sz w:val="24"/>
          <w:szCs w:val="24"/>
          <w:vertAlign w:val="superscript"/>
        </w:rPr>
        <w:footnoteReference w:id="35"/>
      </w:r>
      <w:r w:rsidRPr="000E2DDC">
        <w:rPr>
          <w:rFonts w:ascii="Times New Roman" w:hAnsi="Times New Roman"/>
          <w:sz w:val="24"/>
          <w:szCs w:val="24"/>
        </w:rPr>
        <w:t xml:space="preserve"> The Advocates’ court observers at the Immigration Court in Bloomington, MN report that bonds are routinely set much higher, with the minimum bond amount usually set at $5000.</w:t>
      </w:r>
      <w:r w:rsidRPr="000E2DDC">
        <w:rPr>
          <w:rStyle w:val="FootnoteReference"/>
          <w:rFonts w:ascii="Times New Roman" w:hAnsi="Times New Roman"/>
          <w:sz w:val="24"/>
          <w:szCs w:val="24"/>
        </w:rPr>
        <w:footnoteReference w:id="36"/>
      </w:r>
      <w:r w:rsidRPr="000E2DDC">
        <w:rPr>
          <w:rFonts w:ascii="Times New Roman" w:hAnsi="Times New Roman"/>
          <w:sz w:val="24"/>
          <w:szCs w:val="24"/>
        </w:rPr>
        <w:t xml:space="preserve"> National data for the first part of FY 2018 shows median bond amounts across the country ranging from $5000 to $15,000.</w:t>
      </w:r>
      <w:r w:rsidRPr="000E2DDC">
        <w:rPr>
          <w:rFonts w:ascii="Times New Roman" w:hAnsi="Times New Roman"/>
          <w:sz w:val="24"/>
          <w:szCs w:val="24"/>
          <w:vertAlign w:val="superscript"/>
        </w:rPr>
        <w:footnoteReference w:id="37"/>
      </w:r>
      <w:r w:rsidRPr="000E2DDC">
        <w:rPr>
          <w:rFonts w:ascii="Times New Roman" w:hAnsi="Times New Roman"/>
          <w:sz w:val="24"/>
          <w:szCs w:val="24"/>
        </w:rPr>
        <w:t xml:space="preserve"> This practice leads not only to lengthy detention, but also to prolonged separation of families. </w:t>
      </w:r>
    </w:p>
    <w:p w14:paraId="1CD25579" w14:textId="7B4CADC6" w:rsidR="00F31492" w:rsidRPr="000E2DDC" w:rsidRDefault="00F31492" w:rsidP="00311CFD">
      <w:pPr>
        <w:pStyle w:val="ListParagraph"/>
        <w:numPr>
          <w:ilvl w:val="0"/>
          <w:numId w:val="1"/>
        </w:numPr>
        <w:spacing w:after="240" w:line="240" w:lineRule="auto"/>
        <w:ind w:left="360"/>
        <w:contextualSpacing w:val="0"/>
        <w:jc w:val="both"/>
        <w:rPr>
          <w:rFonts w:ascii="Times New Roman" w:hAnsi="Times New Roman"/>
          <w:sz w:val="24"/>
          <w:szCs w:val="24"/>
        </w:rPr>
      </w:pPr>
      <w:r w:rsidRPr="000E2DDC">
        <w:rPr>
          <w:rFonts w:ascii="Times New Roman" w:hAnsi="Times New Roman"/>
          <w:sz w:val="24"/>
          <w:szCs w:val="24"/>
        </w:rPr>
        <w:t>Furter, U.S. law fails to meet the Mandela Rules for minimum standards of treatment in detention, allowing for individuals with mental health concerns and trauma to remain detained, prolonged solitary confinement, improper facilities for transgender people</w:t>
      </w:r>
      <w:r w:rsidR="003D5C03">
        <w:rPr>
          <w:rFonts w:ascii="Times New Roman" w:hAnsi="Times New Roman"/>
          <w:sz w:val="24"/>
          <w:szCs w:val="24"/>
        </w:rPr>
        <w:t>,</w:t>
      </w:r>
      <w:r w:rsidRPr="000E2DDC">
        <w:rPr>
          <w:rStyle w:val="FootnoteReference"/>
          <w:rFonts w:ascii="Times New Roman" w:eastAsia="Times New Roman" w:hAnsi="Times New Roman"/>
          <w:sz w:val="24"/>
          <w:szCs w:val="24"/>
        </w:rPr>
        <w:footnoteReference w:id="38"/>
      </w:r>
      <w:r w:rsidRPr="000E2DDC">
        <w:rPr>
          <w:rFonts w:ascii="Times New Roman" w:hAnsi="Times New Roman"/>
          <w:sz w:val="24"/>
          <w:szCs w:val="24"/>
        </w:rPr>
        <w:t xml:space="preserve"> and numerous reports of inadequate medical care, religious freedom, access to outdoor space, access to legal libraries and calling to family, and abuse</w:t>
      </w:r>
      <w:r w:rsidR="003871A4" w:rsidRPr="000E2DDC">
        <w:rPr>
          <w:rFonts w:ascii="Times New Roman" w:hAnsi="Times New Roman"/>
          <w:sz w:val="24"/>
          <w:szCs w:val="24"/>
        </w:rPr>
        <w:t xml:space="preserve">. </w:t>
      </w:r>
      <w:r w:rsidRPr="000E2DDC">
        <w:rPr>
          <w:rStyle w:val="FootnoteReference"/>
          <w:rFonts w:ascii="Times New Roman" w:eastAsia="Times New Roman" w:hAnsi="Times New Roman"/>
          <w:sz w:val="24"/>
          <w:szCs w:val="24"/>
        </w:rPr>
        <w:footnoteReference w:id="39"/>
      </w:r>
      <w:r w:rsidRPr="000E2DDC">
        <w:rPr>
          <w:rFonts w:ascii="Times New Roman" w:hAnsi="Times New Roman"/>
          <w:sz w:val="24"/>
          <w:szCs w:val="24"/>
        </w:rPr>
        <w:t xml:space="preserve"> Moreover, reports indicate some detainees are victims of forced labor, with private detention centers paying $1/day to some detainees for menial labor.</w:t>
      </w:r>
      <w:r w:rsidRPr="000E2DDC">
        <w:rPr>
          <w:rStyle w:val="FootnoteReference"/>
          <w:rFonts w:ascii="Times New Roman" w:eastAsia="Times New Roman" w:hAnsi="Times New Roman"/>
          <w:sz w:val="24"/>
          <w:szCs w:val="24"/>
        </w:rPr>
        <w:footnoteReference w:id="40"/>
      </w:r>
      <w:r w:rsidRPr="000E2DDC">
        <w:rPr>
          <w:rFonts w:ascii="Times New Roman" w:hAnsi="Times New Roman"/>
          <w:sz w:val="24"/>
          <w:szCs w:val="24"/>
        </w:rPr>
        <w:t xml:space="preserve"> During the COVID-19 pandemic, The Advocates documented </w:t>
      </w:r>
      <w:proofErr w:type="gramStart"/>
      <w:r w:rsidRPr="000E2DDC">
        <w:rPr>
          <w:rFonts w:ascii="Times New Roman" w:hAnsi="Times New Roman"/>
          <w:sz w:val="24"/>
          <w:szCs w:val="24"/>
        </w:rPr>
        <w:t>that individuals</w:t>
      </w:r>
      <w:proofErr w:type="gramEnd"/>
      <w:r w:rsidRPr="000E2DDC">
        <w:rPr>
          <w:rFonts w:ascii="Times New Roman" w:hAnsi="Times New Roman"/>
          <w:sz w:val="24"/>
          <w:szCs w:val="24"/>
        </w:rPr>
        <w:t xml:space="preserve"> with underlying health conditions were detained without protocols.</w:t>
      </w:r>
      <w:r w:rsidRPr="000E2DDC">
        <w:rPr>
          <w:rStyle w:val="FootnoteReference"/>
          <w:rFonts w:ascii="Times New Roman" w:eastAsia="Times New Roman" w:hAnsi="Times New Roman"/>
          <w:sz w:val="24"/>
          <w:szCs w:val="24"/>
        </w:rPr>
        <w:footnoteReference w:id="41"/>
      </w:r>
      <w:r w:rsidRPr="000E2DDC">
        <w:rPr>
          <w:rFonts w:ascii="Times New Roman" w:hAnsi="Times New Roman"/>
          <w:sz w:val="24"/>
          <w:szCs w:val="24"/>
        </w:rPr>
        <w:t xml:space="preserve"> </w:t>
      </w:r>
    </w:p>
    <w:p w14:paraId="4C25C5CB" w14:textId="3223F75E" w:rsidR="00F31492" w:rsidRPr="000939AD" w:rsidRDefault="00F31492" w:rsidP="000939AD">
      <w:pPr>
        <w:keepNext/>
        <w:numPr>
          <w:ilvl w:val="0"/>
          <w:numId w:val="2"/>
        </w:numPr>
        <w:spacing w:after="240"/>
        <w:ind w:left="720" w:hanging="360"/>
        <w:jc w:val="center"/>
        <w:rPr>
          <w:b/>
          <w:bCs/>
          <w:color w:val="auto"/>
          <w:sz w:val="24"/>
          <w:szCs w:val="24"/>
        </w:rPr>
      </w:pPr>
      <w:r w:rsidRPr="000939AD">
        <w:rPr>
          <w:b/>
          <w:bCs/>
          <w:color w:val="auto"/>
          <w:sz w:val="24"/>
          <w:szCs w:val="24"/>
        </w:rPr>
        <w:t xml:space="preserve">Due </w:t>
      </w:r>
      <w:r w:rsidR="000A0187">
        <w:rPr>
          <w:b/>
          <w:bCs/>
          <w:color w:val="auto"/>
          <w:sz w:val="24"/>
          <w:szCs w:val="24"/>
        </w:rPr>
        <w:t>P</w:t>
      </w:r>
      <w:r w:rsidRPr="000939AD">
        <w:rPr>
          <w:b/>
          <w:bCs/>
          <w:color w:val="auto"/>
          <w:sz w:val="24"/>
          <w:szCs w:val="24"/>
        </w:rPr>
        <w:t xml:space="preserve">rocess and </w:t>
      </w:r>
      <w:r w:rsidR="000A0187">
        <w:rPr>
          <w:b/>
          <w:bCs/>
          <w:color w:val="auto"/>
          <w:sz w:val="24"/>
          <w:szCs w:val="24"/>
        </w:rPr>
        <w:t>L</w:t>
      </w:r>
      <w:r w:rsidRPr="000939AD">
        <w:rPr>
          <w:b/>
          <w:bCs/>
          <w:color w:val="auto"/>
          <w:sz w:val="24"/>
          <w:szCs w:val="24"/>
        </w:rPr>
        <w:t xml:space="preserve">egal </w:t>
      </w:r>
      <w:r w:rsidR="000A0187">
        <w:rPr>
          <w:b/>
          <w:bCs/>
          <w:color w:val="auto"/>
          <w:sz w:val="24"/>
          <w:szCs w:val="24"/>
        </w:rPr>
        <w:t>R</w:t>
      </w:r>
      <w:r w:rsidRPr="000939AD">
        <w:rPr>
          <w:b/>
          <w:bCs/>
          <w:color w:val="auto"/>
          <w:sz w:val="24"/>
          <w:szCs w:val="24"/>
        </w:rPr>
        <w:t xml:space="preserve">epresentation in </w:t>
      </w:r>
      <w:r w:rsidR="000A0187">
        <w:rPr>
          <w:b/>
          <w:bCs/>
          <w:color w:val="auto"/>
          <w:sz w:val="24"/>
          <w:szCs w:val="24"/>
        </w:rPr>
        <w:t>I</w:t>
      </w:r>
      <w:r w:rsidRPr="000939AD">
        <w:rPr>
          <w:b/>
          <w:bCs/>
          <w:color w:val="auto"/>
          <w:sz w:val="24"/>
          <w:szCs w:val="24"/>
        </w:rPr>
        <w:t xml:space="preserve">mmigration </w:t>
      </w:r>
      <w:r w:rsidR="000A0187">
        <w:rPr>
          <w:b/>
          <w:bCs/>
          <w:color w:val="auto"/>
          <w:sz w:val="24"/>
          <w:szCs w:val="24"/>
        </w:rPr>
        <w:t>P</w:t>
      </w:r>
      <w:r w:rsidRPr="000939AD">
        <w:rPr>
          <w:b/>
          <w:bCs/>
          <w:color w:val="auto"/>
          <w:sz w:val="24"/>
          <w:szCs w:val="24"/>
        </w:rPr>
        <w:t>roceedings</w:t>
      </w:r>
      <w:r w:rsidR="004C355E" w:rsidRPr="000939AD">
        <w:rPr>
          <w:b/>
          <w:bCs/>
          <w:color w:val="auto"/>
          <w:sz w:val="24"/>
          <w:szCs w:val="24"/>
        </w:rPr>
        <w:t xml:space="preserve"> </w:t>
      </w:r>
      <w:r w:rsidR="00311CFD">
        <w:rPr>
          <w:b/>
          <w:bCs/>
          <w:color w:val="auto"/>
          <w:sz w:val="24"/>
          <w:szCs w:val="24"/>
        </w:rPr>
        <w:t>(</w:t>
      </w:r>
      <w:r w:rsidR="00852766" w:rsidRPr="000939AD">
        <w:rPr>
          <w:b/>
          <w:bCs/>
          <w:color w:val="auto"/>
          <w:sz w:val="24"/>
          <w:szCs w:val="24"/>
        </w:rPr>
        <w:t>List of Themes paragraph 29)</w:t>
      </w:r>
    </w:p>
    <w:p w14:paraId="6021D77C" w14:textId="4785497B"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 xml:space="preserve">In its 2014 Concluding Observations, the Committee noted with concern deportation of undocumented immigrants without adequate access to justice and called on the U.S. to ensure that the rights of non-citizens are guaranteed in law and practice by, inter alia, </w:t>
      </w:r>
      <w:r w:rsidR="00247E02" w:rsidRPr="000E2DDC">
        <w:rPr>
          <w:rFonts w:ascii="Times New Roman" w:hAnsi="Times New Roman"/>
          <w:sz w:val="24"/>
          <w:szCs w:val="24"/>
        </w:rPr>
        <w:t>“</w:t>
      </w:r>
      <w:r w:rsidRPr="000E2DDC">
        <w:rPr>
          <w:rFonts w:ascii="Times New Roman" w:hAnsi="Times New Roman"/>
          <w:sz w:val="24"/>
          <w:szCs w:val="24"/>
        </w:rPr>
        <w:t>…Undertaking thorough and individualized assessment for decisions concerning detention and deportation and guaranteeing access to legal representation in all immigration-related matters.”</w:t>
      </w:r>
      <w:r w:rsidRPr="000E2DDC">
        <w:rPr>
          <w:rFonts w:ascii="Times New Roman" w:hAnsi="Times New Roman"/>
          <w:sz w:val="24"/>
          <w:szCs w:val="24"/>
          <w:vertAlign w:val="superscript"/>
        </w:rPr>
        <w:footnoteReference w:id="42"/>
      </w:r>
      <w:r w:rsidR="00752D28" w:rsidRPr="000E2DDC">
        <w:rPr>
          <w:rFonts w:ascii="Times New Roman" w:hAnsi="Times New Roman"/>
          <w:sz w:val="24"/>
          <w:szCs w:val="24"/>
        </w:rPr>
        <w:t xml:space="preserve"> In the </w:t>
      </w:r>
      <w:r w:rsidR="00083CE1" w:rsidRPr="000E2DDC">
        <w:rPr>
          <w:rFonts w:ascii="Times New Roman" w:hAnsi="Times New Roman"/>
          <w:sz w:val="24"/>
          <w:szCs w:val="24"/>
        </w:rPr>
        <w:t xml:space="preserve">List of Themes, the Committee </w:t>
      </w:r>
      <w:r w:rsidR="00311737" w:rsidRPr="000E2DDC">
        <w:rPr>
          <w:rFonts w:ascii="Times New Roman" w:hAnsi="Times New Roman"/>
          <w:sz w:val="24"/>
          <w:szCs w:val="24"/>
        </w:rPr>
        <w:t xml:space="preserve">again asked for information on </w:t>
      </w:r>
      <w:r w:rsidR="00E6797F" w:rsidRPr="000E2DDC">
        <w:rPr>
          <w:rFonts w:ascii="Times New Roman" w:hAnsi="Times New Roman"/>
          <w:sz w:val="24"/>
          <w:szCs w:val="24"/>
        </w:rPr>
        <w:t xml:space="preserve">measures to </w:t>
      </w:r>
      <w:r w:rsidR="009F05FC" w:rsidRPr="000E2DDC">
        <w:rPr>
          <w:rFonts w:ascii="Times New Roman" w:hAnsi="Times New Roman"/>
          <w:sz w:val="24"/>
          <w:szCs w:val="24"/>
        </w:rPr>
        <w:t xml:space="preserve">guarantee the </w:t>
      </w:r>
      <w:r w:rsidR="00311737" w:rsidRPr="000E2DDC">
        <w:rPr>
          <w:rFonts w:ascii="Times New Roman" w:hAnsi="Times New Roman"/>
          <w:sz w:val="24"/>
          <w:szCs w:val="24"/>
        </w:rPr>
        <w:t>right to fair trial</w:t>
      </w:r>
      <w:r w:rsidR="009F05FC" w:rsidRPr="000E2DDC">
        <w:rPr>
          <w:rFonts w:ascii="Times New Roman" w:hAnsi="Times New Roman"/>
          <w:sz w:val="24"/>
          <w:szCs w:val="24"/>
        </w:rPr>
        <w:t xml:space="preserve"> for detainees.</w:t>
      </w:r>
      <w:r w:rsidR="009F05FC" w:rsidRPr="000E2DDC">
        <w:rPr>
          <w:rStyle w:val="FootnoteReference"/>
          <w:rFonts w:ascii="Times New Roman" w:hAnsi="Times New Roman"/>
          <w:sz w:val="24"/>
          <w:szCs w:val="24"/>
        </w:rPr>
        <w:footnoteReference w:id="43"/>
      </w:r>
    </w:p>
    <w:p w14:paraId="0D54889E" w14:textId="77777777"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lastRenderedPageBreak/>
        <w:t>The State Party Report indicates that: “As a general matter, when a non-citizen is placed in removal proceedings before an immigration court, the U.S. government is required to provide that non-citizen fair access to contest removability. This may include the ability to apply for any form of relief or protection for which the non-citizen may be eligible, including asylum, withholding of removal, and protection from removal under regulations implementing U.S. obligations under the Convention Against Torture.”</w:t>
      </w:r>
      <w:r w:rsidRPr="000E2DDC">
        <w:rPr>
          <w:rStyle w:val="FootnoteReference"/>
          <w:rFonts w:ascii="Times New Roman" w:hAnsi="Times New Roman"/>
          <w:sz w:val="24"/>
          <w:szCs w:val="24"/>
        </w:rPr>
        <w:footnoteReference w:id="44"/>
      </w:r>
      <w:r w:rsidRPr="000E2DDC">
        <w:rPr>
          <w:rFonts w:ascii="Times New Roman" w:hAnsi="Times New Roman"/>
          <w:sz w:val="24"/>
          <w:szCs w:val="24"/>
        </w:rPr>
        <w:t xml:space="preserve"> </w:t>
      </w:r>
    </w:p>
    <w:p w14:paraId="7F09BD55" w14:textId="47B3838F"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The U.S. State Party notes that “Pursuant to EO 14012, DOS, DHS, and DOJ are developing plans to remove barriers that impede access to immigration benefits and fair, efficient adjudications of those benefits, and to identify and make recommendations regarding whether to rescind any actions that fail to promote access to the legal immigration system.”</w:t>
      </w:r>
      <w:r w:rsidRPr="000E2DDC">
        <w:rPr>
          <w:rStyle w:val="FootnoteReference"/>
          <w:rFonts w:ascii="Times New Roman" w:hAnsi="Times New Roman"/>
          <w:sz w:val="24"/>
          <w:szCs w:val="24"/>
        </w:rPr>
        <w:footnoteReference w:id="45"/>
      </w:r>
      <w:r w:rsidRPr="000E2DDC">
        <w:rPr>
          <w:rFonts w:ascii="Times New Roman" w:hAnsi="Times New Roman"/>
          <w:sz w:val="24"/>
          <w:szCs w:val="24"/>
        </w:rPr>
        <w:t>. The State Party also indicates that it has “taken steps to modernize its legal immigration system and its humanitarian components, such as improving services for applicants, reducing burdens on employers, and modernizing the information technology infrastructure underlying the visa processing system. . .” and identifies various programs, such as Legal Access Initiative, aimed at addressing some of the due process concerns related to lack of counsel and complexity of proceedings.</w:t>
      </w:r>
      <w:r w:rsidRPr="000E2DDC">
        <w:rPr>
          <w:rStyle w:val="FootnoteReference"/>
          <w:rFonts w:ascii="Times New Roman" w:hAnsi="Times New Roman"/>
          <w:sz w:val="24"/>
          <w:szCs w:val="24"/>
        </w:rPr>
        <w:footnoteReference w:id="46"/>
      </w:r>
      <w:r w:rsidRPr="000E2DDC">
        <w:rPr>
          <w:rFonts w:ascii="Times New Roman" w:hAnsi="Times New Roman"/>
          <w:sz w:val="24"/>
          <w:szCs w:val="24"/>
        </w:rPr>
        <w:t xml:space="preserve"> </w:t>
      </w:r>
    </w:p>
    <w:p w14:paraId="33B15EF7" w14:textId="77777777"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These plans and programs, while a welcome change from overtly discriminatory and anti-immigrant policies, fail to address the structural deficiencies of the system that allow for sweeping violations. Programs, such as LOP and provisions of counsel for certain individuals are pilot programs that are limited to certain jurisdictions based on limited funding.</w:t>
      </w:r>
      <w:r w:rsidRPr="000E2DDC">
        <w:rPr>
          <w:rStyle w:val="FootnoteReference"/>
          <w:rFonts w:ascii="Times New Roman" w:hAnsi="Times New Roman"/>
          <w:sz w:val="24"/>
          <w:szCs w:val="24"/>
        </w:rPr>
        <w:footnoteReference w:id="47"/>
      </w:r>
      <w:r w:rsidRPr="000E2DDC">
        <w:rPr>
          <w:rFonts w:ascii="Times New Roman" w:hAnsi="Times New Roman"/>
          <w:sz w:val="24"/>
          <w:szCs w:val="24"/>
        </w:rPr>
        <w:t xml:space="preserve"> Even where those programs operate, they lack resources to adequately ensure people in complex proceedings obtain sufficient due process and are additionally hamstrung by other unaddressed due process concerns. Immigration policies left to the good will and political desire of administrations to address barriers to due process will never fully address these concerns.</w:t>
      </w:r>
    </w:p>
    <w:p w14:paraId="3694F196" w14:textId="77777777"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We welcome the efforts of the U.S. to begin processing people who were forced to “remain in Mexico” while their asylum claims were adjudicated under the Migrant Protection Protocols” and finally, after three harmful years, ending the Title 42 expulsions under the guise of public health. Though, we recognize that asylum seekers remain at risk of Title 42 expulsions due to proposed congressional legislation.</w:t>
      </w:r>
      <w:r w:rsidRPr="000E2DDC">
        <w:rPr>
          <w:rStyle w:val="FootnoteReference"/>
          <w:rFonts w:ascii="Times New Roman" w:hAnsi="Times New Roman"/>
          <w:sz w:val="24"/>
          <w:szCs w:val="24"/>
        </w:rPr>
        <w:footnoteReference w:id="48"/>
      </w:r>
    </w:p>
    <w:p w14:paraId="0B04E8C1" w14:textId="77777777"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 xml:space="preserve">Arriving asylum seekers in expedited removal proceedings are subject to mandatory detention and may not be released while awaiting their initial “credible fear” review to determine whether </w:t>
      </w:r>
      <w:r w:rsidRPr="000E2DDC">
        <w:rPr>
          <w:rFonts w:ascii="Times New Roman" w:hAnsi="Times New Roman"/>
          <w:sz w:val="24"/>
          <w:szCs w:val="24"/>
        </w:rPr>
        <w:lastRenderedPageBreak/>
        <w:t>they may apply for asylum before an immigration judge.</w:t>
      </w:r>
      <w:r w:rsidRPr="000E2DDC">
        <w:rPr>
          <w:rFonts w:ascii="Times New Roman" w:hAnsi="Times New Roman"/>
          <w:sz w:val="24"/>
          <w:szCs w:val="24"/>
          <w:vertAlign w:val="superscript"/>
        </w:rPr>
        <w:footnoteReference w:id="49"/>
      </w:r>
      <w:r w:rsidRPr="000E2DDC">
        <w:rPr>
          <w:rFonts w:ascii="Times New Roman" w:hAnsi="Times New Roman"/>
          <w:sz w:val="24"/>
          <w:szCs w:val="24"/>
        </w:rPr>
        <w:t xml:space="preserve"> Individuals subject to mandatory detention are not entitled to a bond hearing before an immigration judge or to independent review of their custody determination by a court while awaiting a credible fear review.</w:t>
      </w:r>
      <w:r w:rsidRPr="000E2DDC">
        <w:rPr>
          <w:rFonts w:ascii="Times New Roman" w:hAnsi="Times New Roman"/>
          <w:sz w:val="24"/>
          <w:szCs w:val="24"/>
          <w:vertAlign w:val="superscript"/>
        </w:rPr>
        <w:footnoteReference w:id="50"/>
      </w:r>
      <w:r w:rsidRPr="000E2DDC">
        <w:rPr>
          <w:rFonts w:ascii="Times New Roman" w:hAnsi="Times New Roman"/>
          <w:sz w:val="24"/>
          <w:szCs w:val="24"/>
        </w:rPr>
        <w:t xml:space="preserve"> </w:t>
      </w:r>
    </w:p>
    <w:p w14:paraId="5661DEBF" w14:textId="77777777"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Following a determination of credible fear, asylum seekers who are “arriving aliens” – such as those attempting to come into the United States at a port-of-entry – may be released on parole pending their asylum hearings before an immigration judge or while on appeal, but if the detaining authority (ICE) denies parole, the asylum seeker is prevented by regulation from having an immigration judge assess the need for continued custody.</w:t>
      </w:r>
      <w:r w:rsidRPr="000E2DDC">
        <w:rPr>
          <w:rFonts w:ascii="Times New Roman" w:hAnsi="Times New Roman"/>
          <w:sz w:val="24"/>
          <w:szCs w:val="24"/>
          <w:vertAlign w:val="superscript"/>
        </w:rPr>
        <w:footnoteReference w:id="51"/>
      </w:r>
      <w:r w:rsidRPr="000E2DDC">
        <w:rPr>
          <w:rFonts w:ascii="Times New Roman" w:hAnsi="Times New Roman"/>
          <w:sz w:val="24"/>
          <w:szCs w:val="24"/>
        </w:rPr>
        <w:t xml:space="preserve"> </w:t>
      </w:r>
    </w:p>
    <w:p w14:paraId="03AB2CCB" w14:textId="77777777"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In expedited removal, however, a non-citizen is provided minimal opportunity to present their claim for protection and the system is rife with reported issues of undue influence to abandon claims, failures of interpretation, and lack of counsel to protect due process rights.</w:t>
      </w:r>
      <w:r w:rsidRPr="000E2DDC">
        <w:rPr>
          <w:rStyle w:val="FootnoteReference"/>
          <w:rFonts w:ascii="Times New Roman" w:hAnsi="Times New Roman"/>
          <w:sz w:val="24"/>
          <w:szCs w:val="24"/>
        </w:rPr>
        <w:footnoteReference w:id="52"/>
      </w:r>
      <w:r w:rsidRPr="000E2DDC">
        <w:rPr>
          <w:rFonts w:ascii="Times New Roman" w:hAnsi="Times New Roman"/>
          <w:sz w:val="24"/>
          <w:szCs w:val="24"/>
        </w:rPr>
        <w:t xml:space="preserve"> Expedited removal proceedings allow the government to process noncitizens for removal without providing access to a judge. The U.S. Department of Homeland Security recently issued a new regulation that proposes to change the way in which people apply for asylum in expedited removal proceedings.</w:t>
      </w:r>
      <w:r w:rsidRPr="000E2DDC">
        <w:rPr>
          <w:rStyle w:val="FootnoteReference"/>
          <w:rFonts w:ascii="Times New Roman" w:hAnsi="Times New Roman"/>
          <w:sz w:val="24"/>
          <w:szCs w:val="24"/>
        </w:rPr>
        <w:footnoteReference w:id="53"/>
      </w:r>
      <w:r w:rsidRPr="000E2DDC">
        <w:rPr>
          <w:rFonts w:ascii="Times New Roman" w:hAnsi="Times New Roman"/>
          <w:sz w:val="24"/>
          <w:szCs w:val="24"/>
        </w:rPr>
        <w:t xml:space="preserve"> While the regulation contains some positive changes, the overarching legal framework of expedited removal must be changed </w:t>
      </w:r>
      <w:proofErr w:type="gramStart"/>
      <w:r w:rsidRPr="000E2DDC">
        <w:rPr>
          <w:rFonts w:ascii="Times New Roman" w:hAnsi="Times New Roman"/>
          <w:sz w:val="24"/>
          <w:szCs w:val="24"/>
        </w:rPr>
        <w:t>in order to</w:t>
      </w:r>
      <w:proofErr w:type="gramEnd"/>
      <w:r w:rsidRPr="000E2DDC">
        <w:rPr>
          <w:rFonts w:ascii="Times New Roman" w:hAnsi="Times New Roman"/>
          <w:sz w:val="24"/>
          <w:szCs w:val="24"/>
        </w:rPr>
        <w:t xml:space="preserve"> allow adequate protections.</w:t>
      </w:r>
    </w:p>
    <w:p w14:paraId="58E20E55" w14:textId="77777777"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bCs/>
          <w:sz w:val="24"/>
          <w:szCs w:val="24"/>
        </w:rPr>
        <w:t>The United States fails to ensure that migrants in removal proceedings have access to counsel, a fair trial and fully understand their rights.</w:t>
      </w:r>
      <w:r w:rsidRPr="000E2DDC">
        <w:rPr>
          <w:rFonts w:ascii="Times New Roman" w:hAnsi="Times New Roman"/>
          <w:b/>
          <w:sz w:val="24"/>
          <w:szCs w:val="24"/>
        </w:rPr>
        <w:t xml:space="preserve"> </w:t>
      </w:r>
      <w:r w:rsidRPr="000E2DDC">
        <w:rPr>
          <w:rFonts w:ascii="Times New Roman" w:hAnsi="Times New Roman"/>
          <w:sz w:val="24"/>
          <w:szCs w:val="24"/>
        </w:rPr>
        <w:t>Migrants in detention, including children and families, lack access to counsel. U.S. law provides that migrants in removal proceedings have “the privilege of being represented,” but representation must be “at no expense to the Government.”</w:t>
      </w:r>
      <w:r w:rsidRPr="000E2DDC">
        <w:rPr>
          <w:rFonts w:ascii="Times New Roman" w:hAnsi="Times New Roman"/>
          <w:sz w:val="24"/>
          <w:szCs w:val="24"/>
          <w:vertAlign w:val="superscript"/>
        </w:rPr>
        <w:footnoteReference w:id="54"/>
      </w:r>
      <w:r w:rsidRPr="000E2DDC">
        <w:rPr>
          <w:rFonts w:ascii="Times New Roman" w:hAnsi="Times New Roman"/>
          <w:sz w:val="24"/>
          <w:szCs w:val="24"/>
        </w:rPr>
        <w:t xml:space="preserve"> Representation of detained migrants in removal proceedings, insofar as it is </w:t>
      </w:r>
      <w:r w:rsidRPr="000E2DDC">
        <w:rPr>
          <w:rFonts w:ascii="Times New Roman" w:hAnsi="Times New Roman"/>
          <w:sz w:val="24"/>
          <w:szCs w:val="24"/>
        </w:rPr>
        <w:lastRenderedPageBreak/>
        <w:t>available, is provided by NGOs. Only an estimated 14% of detained migrants receive legal representation.</w:t>
      </w:r>
      <w:r w:rsidRPr="000E2DDC">
        <w:rPr>
          <w:rFonts w:ascii="Times New Roman" w:hAnsi="Times New Roman"/>
          <w:sz w:val="24"/>
          <w:szCs w:val="24"/>
          <w:vertAlign w:val="superscript"/>
        </w:rPr>
        <w:footnoteReference w:id="55"/>
      </w:r>
    </w:p>
    <w:p w14:paraId="734CC19F" w14:textId="77777777" w:rsidR="00F31492" w:rsidRPr="000E2DDC" w:rsidRDefault="00F31492"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 xml:space="preserve">The Biden Administration’s recent request for FY23 funding to pilot a project to provide legal representation to vulnerable persons in proceedings is a positive development, but Congress must make this a priority and the U.S. government must take steps to ensure government-paid counsel is accessible for all by expanding this pilot. </w:t>
      </w:r>
    </w:p>
    <w:p w14:paraId="4545E90E" w14:textId="77777777" w:rsidR="001F5ED5" w:rsidRPr="000E2DDC" w:rsidRDefault="00F31492" w:rsidP="00311CFD">
      <w:pPr>
        <w:pStyle w:val="ListParagraph"/>
        <w:numPr>
          <w:ilvl w:val="0"/>
          <w:numId w:val="1"/>
        </w:numPr>
        <w:spacing w:after="240" w:line="240" w:lineRule="auto"/>
        <w:ind w:left="360"/>
        <w:contextualSpacing w:val="0"/>
        <w:jc w:val="both"/>
        <w:rPr>
          <w:rFonts w:ascii="Times New Roman" w:hAnsi="Times New Roman"/>
          <w:sz w:val="24"/>
          <w:szCs w:val="24"/>
        </w:rPr>
      </w:pPr>
      <w:r w:rsidRPr="000E2DDC">
        <w:rPr>
          <w:rFonts w:ascii="Times New Roman" w:hAnsi="Times New Roman"/>
          <w:sz w:val="24"/>
          <w:szCs w:val="24"/>
        </w:rPr>
        <w:t>Mandatory deportation laws, automatic prosecutorial programs and streamlined immigration procedures have stripped immigration judges of discretion to consider family ties or length of time in the U.S. in cases involving convictions for aggravated felonies,</w:t>
      </w:r>
      <w:r w:rsidRPr="000E2DDC">
        <w:rPr>
          <w:rFonts w:ascii="Times New Roman" w:hAnsi="Times New Roman"/>
          <w:sz w:val="24"/>
          <w:szCs w:val="24"/>
          <w:vertAlign w:val="superscript"/>
        </w:rPr>
        <w:footnoteReference w:id="56"/>
      </w:r>
      <w:r w:rsidRPr="000E2DDC">
        <w:rPr>
          <w:rFonts w:ascii="Times New Roman" w:hAnsi="Times New Roman"/>
          <w:sz w:val="24"/>
          <w:szCs w:val="24"/>
        </w:rPr>
        <w:t xml:space="preserve"> false claims to United States citizenship,</w:t>
      </w:r>
      <w:r w:rsidRPr="000E2DDC">
        <w:rPr>
          <w:rFonts w:ascii="Times New Roman" w:hAnsi="Times New Roman"/>
          <w:sz w:val="24"/>
          <w:szCs w:val="24"/>
          <w:vertAlign w:val="superscript"/>
        </w:rPr>
        <w:footnoteReference w:id="57"/>
      </w:r>
      <w:r w:rsidRPr="000E2DDC">
        <w:rPr>
          <w:rFonts w:ascii="Times New Roman" w:hAnsi="Times New Roman"/>
          <w:sz w:val="24"/>
          <w:szCs w:val="24"/>
        </w:rPr>
        <w:t xml:space="preserve"> illegal reentry following unlawful presence in the United States,</w:t>
      </w:r>
      <w:r w:rsidRPr="000E2DDC">
        <w:rPr>
          <w:rFonts w:ascii="Times New Roman" w:hAnsi="Times New Roman"/>
          <w:sz w:val="24"/>
          <w:szCs w:val="24"/>
          <w:vertAlign w:val="superscript"/>
        </w:rPr>
        <w:footnoteReference w:id="58"/>
      </w:r>
      <w:r w:rsidRPr="000E2DDC">
        <w:rPr>
          <w:rFonts w:ascii="Times New Roman" w:hAnsi="Times New Roman"/>
          <w:sz w:val="24"/>
          <w:szCs w:val="24"/>
        </w:rPr>
        <w:t xml:space="preserve"> reinstatement of prior orders of removal,</w:t>
      </w:r>
      <w:r w:rsidRPr="000E2DDC">
        <w:rPr>
          <w:rFonts w:ascii="Times New Roman" w:hAnsi="Times New Roman"/>
          <w:sz w:val="24"/>
          <w:szCs w:val="24"/>
          <w:vertAlign w:val="superscript"/>
        </w:rPr>
        <w:footnoteReference w:id="59"/>
      </w:r>
      <w:r w:rsidRPr="000E2DDC">
        <w:rPr>
          <w:rFonts w:ascii="Times New Roman" w:hAnsi="Times New Roman"/>
          <w:sz w:val="24"/>
          <w:szCs w:val="24"/>
        </w:rPr>
        <w:t xml:space="preserve"> findings by an immigration judge of a frivolous asylum claim,</w:t>
      </w:r>
      <w:r w:rsidRPr="000E2DDC">
        <w:rPr>
          <w:rFonts w:ascii="Times New Roman" w:hAnsi="Times New Roman"/>
          <w:sz w:val="24"/>
          <w:szCs w:val="24"/>
          <w:vertAlign w:val="superscript"/>
        </w:rPr>
        <w:footnoteReference w:id="60"/>
      </w:r>
      <w:r w:rsidRPr="000E2DDC">
        <w:rPr>
          <w:rFonts w:ascii="Times New Roman" w:hAnsi="Times New Roman"/>
          <w:sz w:val="24"/>
          <w:szCs w:val="24"/>
        </w:rPr>
        <w:t xml:space="preserve"> and other reasons. U.S. law also provides only narrow avenues for appeal, compounding these harms</w:t>
      </w:r>
      <w:r w:rsidR="00B3226B" w:rsidRPr="000E2DDC">
        <w:rPr>
          <w:rFonts w:ascii="Times New Roman" w:hAnsi="Times New Roman"/>
          <w:sz w:val="24"/>
          <w:szCs w:val="24"/>
        </w:rPr>
        <w:t>.</w:t>
      </w:r>
      <w:r w:rsidRPr="000E2DDC">
        <w:rPr>
          <w:rStyle w:val="FootnoteReference"/>
          <w:rFonts w:ascii="Times New Roman" w:hAnsi="Times New Roman"/>
          <w:sz w:val="24"/>
          <w:szCs w:val="24"/>
        </w:rPr>
        <w:footnoteReference w:id="61"/>
      </w:r>
      <w:r w:rsidRPr="000E2DDC">
        <w:rPr>
          <w:rFonts w:ascii="Times New Roman" w:hAnsi="Times New Roman"/>
          <w:sz w:val="24"/>
          <w:szCs w:val="24"/>
        </w:rPr>
        <w:t xml:space="preserve"> While the recent introduction in U.S. Congress of the Real Courts, Rule of Law Act, which would create independent courts to process immigration matters, is welcome, it has yet to passed into law. </w:t>
      </w:r>
    </w:p>
    <w:p w14:paraId="486F8F9B" w14:textId="332C23FA" w:rsidR="00065462" w:rsidRPr="00311CFD" w:rsidRDefault="00065462" w:rsidP="00311CFD">
      <w:pPr>
        <w:pStyle w:val="ListParagraph"/>
        <w:numPr>
          <w:ilvl w:val="0"/>
          <w:numId w:val="2"/>
        </w:numPr>
        <w:spacing w:after="240" w:line="240" w:lineRule="auto"/>
        <w:contextualSpacing w:val="0"/>
        <w:jc w:val="center"/>
        <w:rPr>
          <w:rFonts w:ascii="Times New Roman" w:hAnsi="Times New Roman"/>
          <w:b/>
          <w:bCs/>
          <w:sz w:val="24"/>
          <w:szCs w:val="24"/>
        </w:rPr>
      </w:pPr>
      <w:r w:rsidRPr="00311CFD">
        <w:rPr>
          <w:rFonts w:ascii="Times New Roman" w:hAnsi="Times New Roman"/>
          <w:b/>
          <w:bCs/>
          <w:sz w:val="24"/>
          <w:szCs w:val="24"/>
        </w:rPr>
        <w:t xml:space="preserve"> </w:t>
      </w:r>
      <w:r w:rsidRPr="000939AD">
        <w:rPr>
          <w:rFonts w:ascii="Times New Roman" w:hAnsi="Times New Roman"/>
          <w:b/>
          <w:bCs/>
          <w:sz w:val="24"/>
          <w:szCs w:val="24"/>
        </w:rPr>
        <w:t>Collateral Immigration Consequences of Racially Disparate Criminal Justice System</w:t>
      </w:r>
      <w:r w:rsidRPr="00311CFD">
        <w:rPr>
          <w:rFonts w:ascii="Times New Roman" w:hAnsi="Times New Roman"/>
          <w:b/>
          <w:bCs/>
          <w:sz w:val="24"/>
          <w:szCs w:val="24"/>
        </w:rPr>
        <w:t xml:space="preserve"> (List of Themes paragraph 13)</w:t>
      </w:r>
    </w:p>
    <w:p w14:paraId="699F2187" w14:textId="77777777" w:rsidR="001F5ED5" w:rsidRPr="000E2DDC" w:rsidRDefault="00B04BCC"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 xml:space="preserve">As the Committee has noted, BIPOC communities are disproportionately targeted by the criminal justice system.  </w:t>
      </w:r>
      <w:r w:rsidR="00FC4CC6" w:rsidRPr="000E2DDC">
        <w:rPr>
          <w:rFonts w:ascii="Times New Roman" w:hAnsi="Times New Roman"/>
          <w:sz w:val="24"/>
          <w:szCs w:val="24"/>
        </w:rPr>
        <w:t xml:space="preserve">In its 2014 Concluding Observations, the Committee expressed ongoing concern about racial disparities, especially for Black people, in the criminal justice system. These concerns included disproportionately high rates of arrest, incarceration, and </w:t>
      </w:r>
      <w:r w:rsidR="00FC4CC6" w:rsidRPr="000E2DDC">
        <w:rPr>
          <w:rFonts w:ascii="Times New Roman" w:hAnsi="Times New Roman"/>
          <w:sz w:val="24"/>
          <w:szCs w:val="24"/>
        </w:rPr>
        <w:lastRenderedPageBreak/>
        <w:t>harsh sentencing.</w:t>
      </w:r>
      <w:r w:rsidR="00FC4CC6" w:rsidRPr="000E2DDC">
        <w:rPr>
          <w:rStyle w:val="FootnoteReference"/>
          <w:rFonts w:ascii="Times New Roman" w:hAnsi="Times New Roman"/>
          <w:sz w:val="24"/>
          <w:szCs w:val="24"/>
        </w:rPr>
        <w:footnoteReference w:id="62"/>
      </w:r>
      <w:r w:rsidR="00FC4CC6" w:rsidRPr="000E2DDC">
        <w:rPr>
          <w:rFonts w:ascii="Times New Roman" w:hAnsi="Times New Roman"/>
          <w:sz w:val="24"/>
          <w:szCs w:val="24"/>
        </w:rPr>
        <w:t xml:space="preserve"> Because of the collateral immigration consequences for criminal histories the state party imposes, these disparities result in greater immigration impacts on BIPOC people as compared to non-BIPOC noncitizens.  </w:t>
      </w:r>
    </w:p>
    <w:p w14:paraId="452D037E" w14:textId="77777777" w:rsidR="001F5ED5" w:rsidRPr="000E2DDC" w:rsidRDefault="00FC4CC6"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In its 2021 State Party Report, the United States cites the First Step Act of 2018 as a reform “help[</w:t>
      </w:r>
      <w:proofErr w:type="spellStart"/>
      <w:r w:rsidRPr="000E2DDC">
        <w:rPr>
          <w:rFonts w:ascii="Times New Roman" w:hAnsi="Times New Roman"/>
          <w:sz w:val="24"/>
          <w:szCs w:val="24"/>
        </w:rPr>
        <w:t>ing</w:t>
      </w:r>
      <w:proofErr w:type="spellEnd"/>
      <w:r w:rsidRPr="000E2DDC">
        <w:rPr>
          <w:rFonts w:ascii="Times New Roman" w:hAnsi="Times New Roman"/>
          <w:sz w:val="24"/>
          <w:szCs w:val="24"/>
        </w:rPr>
        <w:t>] to address racial disparities in the federal criminal legal system.”</w:t>
      </w:r>
      <w:r w:rsidRPr="000E2DDC">
        <w:rPr>
          <w:rStyle w:val="FootnoteReference"/>
          <w:rFonts w:ascii="Times New Roman" w:hAnsi="Times New Roman"/>
          <w:sz w:val="24"/>
          <w:szCs w:val="24"/>
        </w:rPr>
        <w:footnoteReference w:id="63"/>
      </w:r>
      <w:r w:rsidRPr="000E2DDC">
        <w:rPr>
          <w:rFonts w:ascii="Times New Roman" w:hAnsi="Times New Roman"/>
          <w:sz w:val="24"/>
          <w:szCs w:val="24"/>
        </w:rPr>
        <w:t xml:space="preserve"> This is indeed a helpful first step, especially because it indicates the United States is aware that its “facially neutral” laws disproportionately harm BIPOC people and can act to remedy these disparate impacts. </w:t>
      </w:r>
      <w:r w:rsidR="002E0354" w:rsidRPr="000E2DDC">
        <w:rPr>
          <w:rFonts w:ascii="Times New Roman" w:hAnsi="Times New Roman"/>
          <w:sz w:val="24"/>
          <w:szCs w:val="24"/>
        </w:rPr>
        <w:t xml:space="preserve">In its List of Themes, the Committee requested further information on </w:t>
      </w:r>
      <w:r w:rsidR="001D3CF9" w:rsidRPr="000E2DDC">
        <w:rPr>
          <w:rFonts w:ascii="Times New Roman" w:hAnsi="Times New Roman"/>
          <w:sz w:val="24"/>
          <w:szCs w:val="24"/>
        </w:rPr>
        <w:t xml:space="preserve">efforts to eliminate racial disparities in the criminal justice system, including addressing </w:t>
      </w:r>
      <w:r w:rsidR="00B94CF2" w:rsidRPr="000E2DDC">
        <w:rPr>
          <w:rFonts w:ascii="Times New Roman" w:hAnsi="Times New Roman"/>
          <w:sz w:val="24"/>
          <w:szCs w:val="24"/>
        </w:rPr>
        <w:t>C</w:t>
      </w:r>
      <w:r w:rsidR="001D3CF9" w:rsidRPr="000E2DDC">
        <w:rPr>
          <w:rFonts w:ascii="Times New Roman" w:hAnsi="Times New Roman"/>
          <w:sz w:val="24"/>
          <w:szCs w:val="24"/>
        </w:rPr>
        <w:t xml:space="preserve">ollateral </w:t>
      </w:r>
      <w:r w:rsidR="00B94CF2" w:rsidRPr="000E2DDC">
        <w:rPr>
          <w:rFonts w:ascii="Times New Roman" w:hAnsi="Times New Roman"/>
          <w:sz w:val="24"/>
          <w:szCs w:val="24"/>
        </w:rPr>
        <w:t>L</w:t>
      </w:r>
      <w:r w:rsidR="005965BC" w:rsidRPr="000E2DDC">
        <w:rPr>
          <w:rFonts w:ascii="Times New Roman" w:hAnsi="Times New Roman"/>
          <w:sz w:val="24"/>
          <w:szCs w:val="24"/>
        </w:rPr>
        <w:t xml:space="preserve">egal </w:t>
      </w:r>
      <w:r w:rsidR="00B94CF2" w:rsidRPr="000E2DDC">
        <w:rPr>
          <w:rFonts w:ascii="Times New Roman" w:hAnsi="Times New Roman"/>
          <w:sz w:val="24"/>
          <w:szCs w:val="24"/>
        </w:rPr>
        <w:t>C</w:t>
      </w:r>
      <w:r w:rsidR="005965BC" w:rsidRPr="000E2DDC">
        <w:rPr>
          <w:rFonts w:ascii="Times New Roman" w:hAnsi="Times New Roman"/>
          <w:sz w:val="24"/>
          <w:szCs w:val="24"/>
        </w:rPr>
        <w:t>onsequences.</w:t>
      </w:r>
      <w:r w:rsidR="005965BC" w:rsidRPr="000E2DDC">
        <w:rPr>
          <w:rStyle w:val="FootnoteReference"/>
          <w:rFonts w:ascii="Times New Roman" w:hAnsi="Times New Roman"/>
          <w:sz w:val="24"/>
          <w:szCs w:val="24"/>
        </w:rPr>
        <w:footnoteReference w:id="64"/>
      </w:r>
    </w:p>
    <w:p w14:paraId="7ADA4DF0" w14:textId="77777777" w:rsidR="001F5ED5" w:rsidRPr="000E2DDC" w:rsidRDefault="00FC4CC6"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Some jurisdictions in the U.S. have made positive developments toward ensuring greater racial justice in criminal proceedings. These advances are the exception, however, and not the rule. Further, reforms to date have not addressed the discriminatory impact of Collateral Legal Consequences (CLCs).</w:t>
      </w:r>
    </w:p>
    <w:p w14:paraId="56235648" w14:textId="77777777" w:rsidR="001F5ED5" w:rsidRPr="000E2DDC" w:rsidRDefault="00FC4CC6"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BIPOC communities in the U.S. face racial discrimination in the criminal justice system before, during, and after criminal proceedings.</w:t>
      </w:r>
      <w:r w:rsidRPr="000E2DDC">
        <w:rPr>
          <w:rStyle w:val="FootnoteReference"/>
          <w:rFonts w:ascii="Times New Roman" w:hAnsi="Times New Roman"/>
          <w:sz w:val="24"/>
          <w:szCs w:val="24"/>
        </w:rPr>
        <w:footnoteReference w:id="65"/>
      </w:r>
      <w:r w:rsidRPr="000E2DDC">
        <w:rPr>
          <w:rFonts w:ascii="Times New Roman" w:hAnsi="Times New Roman"/>
          <w:sz w:val="24"/>
          <w:szCs w:val="24"/>
        </w:rPr>
        <w:t xml:space="preserve"> These racial disparities shape outcomes before, during, and after someone enters the criminal justice system, perpetuate ongoing cycles of poverty and racial discrimination.</w:t>
      </w:r>
      <w:r w:rsidRPr="000E2DDC">
        <w:rPr>
          <w:rStyle w:val="FootnoteReference"/>
          <w:rFonts w:ascii="Times New Roman" w:hAnsi="Times New Roman"/>
          <w:sz w:val="24"/>
          <w:szCs w:val="24"/>
        </w:rPr>
        <w:footnoteReference w:id="66"/>
      </w:r>
      <w:r w:rsidRPr="000E2DDC">
        <w:rPr>
          <w:rFonts w:ascii="Times New Roman" w:hAnsi="Times New Roman"/>
          <w:sz w:val="24"/>
          <w:szCs w:val="24"/>
        </w:rPr>
        <w:t xml:space="preserve"> BIPOC people are charged more frequently by prosecutors and held in pretrial detention, which harms their prospects for trial.</w:t>
      </w:r>
      <w:r w:rsidRPr="000E2DDC">
        <w:rPr>
          <w:rStyle w:val="FootnoteReference"/>
          <w:rFonts w:ascii="Times New Roman" w:hAnsi="Times New Roman"/>
          <w:sz w:val="24"/>
          <w:szCs w:val="24"/>
        </w:rPr>
        <w:footnoteReference w:id="67"/>
      </w:r>
      <w:r w:rsidRPr="000E2DDC">
        <w:rPr>
          <w:rFonts w:ascii="Times New Roman" w:hAnsi="Times New Roman"/>
          <w:sz w:val="24"/>
          <w:szCs w:val="24"/>
        </w:rPr>
        <w:t xml:space="preserve"> As a result, members of BIPOC communities are more likely to take plea deals or face racial discrimination at trial. Upon sentencing, Black and Latino/a people are more likely to be sentenced for more serious offenses </w:t>
      </w:r>
      <w:r w:rsidRPr="000E2DDC">
        <w:rPr>
          <w:rStyle w:val="FootnoteReference"/>
          <w:rFonts w:ascii="Times New Roman" w:hAnsi="Times New Roman"/>
          <w:sz w:val="24"/>
          <w:szCs w:val="24"/>
        </w:rPr>
        <w:footnoteReference w:id="68"/>
      </w:r>
      <w:r w:rsidRPr="000E2DDC">
        <w:rPr>
          <w:rFonts w:ascii="Times New Roman" w:hAnsi="Times New Roman"/>
          <w:sz w:val="24"/>
          <w:szCs w:val="24"/>
        </w:rPr>
        <w:t xml:space="preserve"> for longer periods of time. Department of Justice data reflect that in 2019, the Black to white ratio of incarcerated people was 4.8:1.</w:t>
      </w:r>
      <w:r w:rsidRPr="000E2DDC">
        <w:rPr>
          <w:rStyle w:val="FootnoteReference"/>
          <w:rFonts w:ascii="Times New Roman" w:hAnsi="Times New Roman"/>
          <w:sz w:val="24"/>
          <w:szCs w:val="24"/>
        </w:rPr>
        <w:footnoteReference w:id="69"/>
      </w:r>
      <w:r w:rsidRPr="000E2DDC">
        <w:rPr>
          <w:rFonts w:ascii="Times New Roman" w:hAnsi="Times New Roman"/>
          <w:sz w:val="24"/>
          <w:szCs w:val="24"/>
        </w:rPr>
        <w:t xml:space="preserve"> Extreme disparities still exist in 20 </w:t>
      </w:r>
      <w:r w:rsidRPr="000E2DDC">
        <w:rPr>
          <w:rFonts w:ascii="Times New Roman" w:hAnsi="Times New Roman"/>
          <w:sz w:val="24"/>
          <w:szCs w:val="24"/>
        </w:rPr>
        <w:lastRenderedPageBreak/>
        <w:t>states,</w:t>
      </w:r>
      <w:r w:rsidRPr="000E2DDC">
        <w:rPr>
          <w:rStyle w:val="FootnoteReference"/>
          <w:rFonts w:ascii="Times New Roman" w:hAnsi="Times New Roman"/>
          <w:sz w:val="24"/>
          <w:szCs w:val="24"/>
        </w:rPr>
        <w:footnoteReference w:id="70"/>
      </w:r>
      <w:r w:rsidRPr="000E2DDC">
        <w:rPr>
          <w:rFonts w:ascii="Times New Roman" w:hAnsi="Times New Roman"/>
          <w:sz w:val="24"/>
          <w:szCs w:val="24"/>
        </w:rPr>
        <w:t xml:space="preserve"> including The Advocates’ headquarters state of Minnesota, which ranks 47th in the nation in overall incarceration rates, yet the Black to white rate of incarceration is 9.7:1.</w:t>
      </w:r>
      <w:r w:rsidRPr="000E2DDC">
        <w:rPr>
          <w:rStyle w:val="FootnoteReference"/>
          <w:rFonts w:ascii="Times New Roman" w:hAnsi="Times New Roman"/>
          <w:sz w:val="24"/>
          <w:szCs w:val="24"/>
        </w:rPr>
        <w:footnoteReference w:id="71"/>
      </w:r>
    </w:p>
    <w:p w14:paraId="4C08924C" w14:textId="77777777" w:rsidR="001F5ED5" w:rsidRPr="000E2DDC" w:rsidRDefault="00FC4CC6"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 xml:space="preserve">Despite representing 13 percent of the U.S. population, Black people make up 27 percent of people arrested for drug possession and distribution. This disparity is even more marked for sentencing decisions: 31 and 38 percent of people sentenced to state and federal prison (respectively) for drug-related crimes are Black. White people make up 73 percent of the population, and while they are proportionally represented in drug arrests, their sentencing rate represents 31 percent for state sentences and 22 percent for federal sentences. </w:t>
      </w:r>
    </w:p>
    <w:p w14:paraId="03C5857A" w14:textId="62C21E12" w:rsidR="00E93A3A" w:rsidRPr="000E2DDC" w:rsidRDefault="00FC4CC6" w:rsidP="00311CFD">
      <w:pPr>
        <w:pStyle w:val="ListParagraph"/>
        <w:numPr>
          <w:ilvl w:val="0"/>
          <w:numId w:val="1"/>
        </w:numPr>
        <w:spacing w:after="120" w:line="240" w:lineRule="auto"/>
        <w:ind w:left="360"/>
        <w:contextualSpacing w:val="0"/>
        <w:jc w:val="both"/>
        <w:rPr>
          <w:rFonts w:ascii="Times New Roman" w:hAnsi="Times New Roman"/>
          <w:sz w:val="24"/>
          <w:szCs w:val="24"/>
        </w:rPr>
      </w:pPr>
      <w:r w:rsidRPr="000E2DDC">
        <w:rPr>
          <w:rFonts w:ascii="Times New Roman" w:hAnsi="Times New Roman"/>
          <w:sz w:val="24"/>
          <w:szCs w:val="24"/>
        </w:rPr>
        <w:t>Because of the complexity of the U.S. criminal justice system, the harsh consequences of CLCs often have an impact beyond that understood or intended. For example, the list of crimes considered “felonies” that trigger extensive CLCs</w:t>
      </w:r>
      <w:r w:rsidR="00E93A3A" w:rsidRPr="000E2DDC">
        <w:rPr>
          <w:rFonts w:ascii="Times New Roman" w:hAnsi="Times New Roman"/>
          <w:sz w:val="24"/>
          <w:szCs w:val="24"/>
        </w:rPr>
        <w:t xml:space="preserve">, included extensive immigration bars, mandatory </w:t>
      </w:r>
      <w:proofErr w:type="gramStart"/>
      <w:r w:rsidR="00E93A3A" w:rsidRPr="000E2DDC">
        <w:rPr>
          <w:rFonts w:ascii="Times New Roman" w:hAnsi="Times New Roman"/>
          <w:sz w:val="24"/>
          <w:szCs w:val="24"/>
        </w:rPr>
        <w:t>detention</w:t>
      </w:r>
      <w:proofErr w:type="gramEnd"/>
      <w:r w:rsidR="00E93A3A" w:rsidRPr="000E2DDC">
        <w:rPr>
          <w:rFonts w:ascii="Times New Roman" w:hAnsi="Times New Roman"/>
          <w:sz w:val="24"/>
          <w:szCs w:val="24"/>
        </w:rPr>
        <w:t xml:space="preserve"> and immigration enforcement actions,</w:t>
      </w:r>
      <w:r w:rsidRPr="000E2DDC">
        <w:rPr>
          <w:rFonts w:ascii="Times New Roman" w:hAnsi="Times New Roman"/>
          <w:sz w:val="24"/>
          <w:szCs w:val="24"/>
        </w:rPr>
        <w:t xml:space="preserve"> has expanded beyond violent and dangerous crimes, triggering severe infringements on rights. </w:t>
      </w:r>
    </w:p>
    <w:p w14:paraId="53D4839C" w14:textId="4CCADDE3" w:rsidR="00C170F7" w:rsidRPr="000E2DDC" w:rsidRDefault="00FC4CC6" w:rsidP="00311CFD">
      <w:pPr>
        <w:numPr>
          <w:ilvl w:val="0"/>
          <w:numId w:val="1"/>
        </w:numPr>
        <w:spacing w:after="120"/>
        <w:ind w:left="360"/>
        <w:jc w:val="both"/>
        <w:rPr>
          <w:color w:val="auto"/>
          <w:sz w:val="24"/>
          <w:szCs w:val="24"/>
        </w:rPr>
      </w:pPr>
      <w:r w:rsidRPr="000E2DDC">
        <w:rPr>
          <w:color w:val="auto"/>
          <w:sz w:val="24"/>
          <w:szCs w:val="24"/>
        </w:rPr>
        <w:t>As laws across the U.S. allow consideration of prior convictions in sentencing, CLCs can impact sentencing. Under the 2021 Minnesota Sentencing Guidelines and Commentary, criminal history (ranging from juvenile adjudications to felonies) is a basis for making a recommendation to impose a higher sentence.</w:t>
      </w:r>
      <w:r w:rsidRPr="000E2DDC">
        <w:rPr>
          <w:rStyle w:val="FootnoteReference"/>
          <w:color w:val="auto"/>
          <w:sz w:val="24"/>
          <w:szCs w:val="24"/>
        </w:rPr>
        <w:footnoteReference w:id="72"/>
      </w:r>
      <w:r w:rsidRPr="000E2DDC">
        <w:rPr>
          <w:color w:val="auto"/>
          <w:sz w:val="24"/>
          <w:szCs w:val="24"/>
        </w:rPr>
        <w:t xml:space="preserve"> If someone has several minor convictions—which could have arisen as a result of living in a neighborhood where they were subjected to racial profiling and disproportionately high risks of involvement with police—they are at a higher risk of receiving a harsher sentence, which can lead to a host of additional CLCs.</w:t>
      </w:r>
      <w:r w:rsidRPr="000E2DDC">
        <w:rPr>
          <w:rStyle w:val="FootnoteReference"/>
          <w:color w:val="auto"/>
          <w:sz w:val="24"/>
          <w:szCs w:val="24"/>
        </w:rPr>
        <w:footnoteReference w:id="73"/>
      </w:r>
      <w:r w:rsidRPr="000E2DDC">
        <w:rPr>
          <w:color w:val="auto"/>
          <w:sz w:val="24"/>
          <w:szCs w:val="24"/>
        </w:rPr>
        <w:t xml:space="preserve"> </w:t>
      </w:r>
    </w:p>
    <w:p w14:paraId="0D7B92DE" w14:textId="77777777" w:rsidR="00C170F7" w:rsidRPr="000E2DDC" w:rsidRDefault="00B04BCC" w:rsidP="00311CFD">
      <w:pPr>
        <w:numPr>
          <w:ilvl w:val="0"/>
          <w:numId w:val="1"/>
        </w:numPr>
        <w:spacing w:after="120"/>
        <w:ind w:left="360"/>
        <w:jc w:val="both"/>
        <w:rPr>
          <w:color w:val="auto"/>
          <w:sz w:val="24"/>
          <w:szCs w:val="24"/>
        </w:rPr>
      </w:pPr>
      <w:r w:rsidRPr="000E2DDC">
        <w:rPr>
          <w:sz w:val="24"/>
          <w:szCs w:val="24"/>
        </w:rPr>
        <w:t xml:space="preserve">U.S. immigration law includes significant bars to benefits, entry and protections for those with criminal histories.  For example, a person with a “particularly serious crime” conviction is barred from asylum protections and eligible only for lesser, mandatory protections under the Convention Against Torture.  People otherwise eligible for immigration benefits through family or employers are barred unless they can obtain a waiver in limited circumstances.  Individuals seeking protection as victims of crimes and trafficking are barred unless they can obtain a limited discretionary waiver.  Individuals who would otherwise be eligible for naturalization may be barred or forced to wait based on certain crimes.  And, as detailed elsewhere in this report, people may be subject to mandatory (read, arbitrary) detention for certain criminal convictions. </w:t>
      </w:r>
    </w:p>
    <w:p w14:paraId="50AFFD2A" w14:textId="3C862CB5" w:rsidR="00D20167" w:rsidRPr="000E2DDC" w:rsidRDefault="00B04BCC" w:rsidP="006B7CA8">
      <w:pPr>
        <w:numPr>
          <w:ilvl w:val="0"/>
          <w:numId w:val="1"/>
        </w:numPr>
        <w:spacing w:after="240"/>
        <w:ind w:left="360"/>
        <w:jc w:val="both"/>
        <w:rPr>
          <w:color w:val="auto"/>
          <w:sz w:val="24"/>
          <w:szCs w:val="24"/>
        </w:rPr>
      </w:pPr>
      <w:r w:rsidRPr="000E2DDC">
        <w:rPr>
          <w:sz w:val="24"/>
          <w:szCs w:val="24"/>
        </w:rPr>
        <w:t xml:space="preserve">The immigration collateral consequences for criminal convictions are heavily tied to criminal laws with racial underpinning.  This is particularly the case for drug crimes.  </w:t>
      </w:r>
      <w:r w:rsidR="009E1554" w:rsidRPr="000E2DDC">
        <w:rPr>
          <w:sz w:val="24"/>
          <w:szCs w:val="24"/>
        </w:rPr>
        <w:t xml:space="preserve">Even a “reason to believe” a person is a drug trafficker can trigger mandatory detention.  Because drug laws </w:t>
      </w:r>
      <w:r w:rsidR="009E1554" w:rsidRPr="000E2DDC">
        <w:rPr>
          <w:sz w:val="24"/>
          <w:szCs w:val="24"/>
        </w:rPr>
        <w:lastRenderedPageBreak/>
        <w:t xml:space="preserve">are known to have racially discriminatory underpinnings and be wielded such that BIPOC communities are more likely to face arrest, </w:t>
      </w:r>
      <w:proofErr w:type="gramStart"/>
      <w:r w:rsidR="009E1554" w:rsidRPr="000E2DDC">
        <w:rPr>
          <w:sz w:val="24"/>
          <w:szCs w:val="24"/>
        </w:rPr>
        <w:t>conviction</w:t>
      </w:r>
      <w:proofErr w:type="gramEnd"/>
      <w:r w:rsidR="009E1554" w:rsidRPr="000E2DDC">
        <w:rPr>
          <w:sz w:val="24"/>
          <w:szCs w:val="24"/>
        </w:rPr>
        <w:t xml:space="preserve"> and harsher penalties, BIPOC noncitizens are also more likely to face immigration consequences on account of their race. </w:t>
      </w:r>
    </w:p>
    <w:p w14:paraId="1C9168EA" w14:textId="2267BFAB" w:rsidR="00F31492" w:rsidRPr="000E2DDC" w:rsidRDefault="00250BEB" w:rsidP="006B7CA8">
      <w:pPr>
        <w:pStyle w:val="ListParagraph"/>
        <w:keepNext/>
        <w:numPr>
          <w:ilvl w:val="0"/>
          <w:numId w:val="2"/>
        </w:numPr>
        <w:spacing w:after="240" w:line="240" w:lineRule="auto"/>
        <w:contextualSpacing w:val="0"/>
        <w:jc w:val="center"/>
        <w:rPr>
          <w:rFonts w:ascii="Times New Roman" w:hAnsi="Times New Roman"/>
          <w:b/>
          <w:bCs/>
          <w:sz w:val="24"/>
          <w:szCs w:val="24"/>
        </w:rPr>
      </w:pPr>
      <w:r w:rsidRPr="000E2DDC">
        <w:rPr>
          <w:rFonts w:ascii="Times New Roman" w:hAnsi="Times New Roman"/>
          <w:b/>
          <w:bCs/>
          <w:sz w:val="24"/>
          <w:szCs w:val="24"/>
        </w:rPr>
        <w:t xml:space="preserve">Immigration and </w:t>
      </w:r>
      <w:r w:rsidR="007573DB" w:rsidRPr="000E2DDC">
        <w:rPr>
          <w:rFonts w:ascii="Times New Roman" w:hAnsi="Times New Roman"/>
          <w:b/>
          <w:bCs/>
          <w:sz w:val="24"/>
          <w:szCs w:val="24"/>
        </w:rPr>
        <w:t xml:space="preserve">Human </w:t>
      </w:r>
      <w:r w:rsidR="00F31492" w:rsidRPr="000E2DDC">
        <w:rPr>
          <w:rFonts w:ascii="Times New Roman" w:hAnsi="Times New Roman"/>
          <w:b/>
          <w:bCs/>
          <w:sz w:val="24"/>
          <w:szCs w:val="24"/>
        </w:rPr>
        <w:t>Trafficking</w:t>
      </w:r>
      <w:r w:rsidR="00D47B2D" w:rsidRPr="000E2DDC">
        <w:rPr>
          <w:rFonts w:ascii="Times New Roman" w:hAnsi="Times New Roman"/>
          <w:b/>
          <w:bCs/>
          <w:sz w:val="24"/>
          <w:szCs w:val="24"/>
        </w:rPr>
        <w:t xml:space="preserve"> (List of Themes paragraph 28)</w:t>
      </w:r>
    </w:p>
    <w:p w14:paraId="1172A3A4" w14:textId="45E5F5B4" w:rsidR="00F31492" w:rsidRPr="000E2DDC" w:rsidRDefault="00F31492" w:rsidP="006B7CA8">
      <w:pPr>
        <w:pStyle w:val="SingleTxtG"/>
        <w:keepNext/>
        <w:numPr>
          <w:ilvl w:val="0"/>
          <w:numId w:val="1"/>
        </w:numPr>
        <w:spacing w:line="240" w:lineRule="auto"/>
        <w:ind w:left="360" w:right="0"/>
        <w:rPr>
          <w:sz w:val="24"/>
          <w:szCs w:val="24"/>
          <w:lang w:val="en-US"/>
        </w:rPr>
      </w:pPr>
      <w:r w:rsidRPr="000E2DDC">
        <w:rPr>
          <w:sz w:val="24"/>
          <w:szCs w:val="24"/>
          <w:lang w:val="en-US"/>
        </w:rPr>
        <w:t xml:space="preserve">As the Committee noted in its Concluding Observations, failures in U.S. immigration policies result in trafficking, particularly among racial and ethnic minorities such as Latinos. Our experience has reflected the Committee’s observations that “workers entering the State party under the H-2B work visa </w:t>
      </w:r>
      <w:proofErr w:type="spellStart"/>
      <w:r w:rsidRPr="000E2DDC">
        <w:rPr>
          <w:sz w:val="24"/>
          <w:szCs w:val="24"/>
          <w:lang w:val="en-US"/>
        </w:rPr>
        <w:t>programme</w:t>
      </w:r>
      <w:proofErr w:type="spellEnd"/>
      <w:r w:rsidRPr="000E2DDC">
        <w:rPr>
          <w:sz w:val="24"/>
          <w:szCs w:val="24"/>
          <w:lang w:val="en-US"/>
        </w:rPr>
        <w:t xml:space="preserve"> are at high risk of becoming victims of trafficking and/or forced </w:t>
      </w:r>
      <w:proofErr w:type="spellStart"/>
      <w:r w:rsidRPr="000E2DDC">
        <w:rPr>
          <w:sz w:val="24"/>
          <w:szCs w:val="24"/>
          <w:lang w:val="en-US"/>
        </w:rPr>
        <w:t>labour</w:t>
      </w:r>
      <w:proofErr w:type="spellEnd"/>
      <w:r w:rsidRPr="000E2DDC">
        <w:rPr>
          <w:sz w:val="24"/>
          <w:szCs w:val="24"/>
          <w:lang w:val="en-US"/>
        </w:rPr>
        <w:t>, and that some children from racial and ethnic minorities, particularly Hispanic/Latino children, are employed in the agriculture industry and may face harsh and dangerous conditions.</w:t>
      </w:r>
      <w:r w:rsidRPr="000E2DDC">
        <w:rPr>
          <w:rStyle w:val="FootnoteReference"/>
          <w:sz w:val="24"/>
          <w:szCs w:val="24"/>
          <w:lang w:val="en-US"/>
        </w:rPr>
        <w:footnoteReference w:id="74"/>
      </w:r>
      <w:r w:rsidR="00612D3A" w:rsidRPr="000E2DDC">
        <w:rPr>
          <w:sz w:val="24"/>
          <w:szCs w:val="24"/>
          <w:lang w:val="en-US"/>
        </w:rPr>
        <w:t xml:space="preserve"> </w:t>
      </w:r>
      <w:r w:rsidR="00122A03" w:rsidRPr="000E2DDC">
        <w:rPr>
          <w:sz w:val="24"/>
          <w:szCs w:val="24"/>
        </w:rPr>
        <w:t xml:space="preserve">In its List of Themes, the Committee requested information on efforts to protect migrants from exploitative </w:t>
      </w:r>
      <w:proofErr w:type="spellStart"/>
      <w:r w:rsidR="00122A03" w:rsidRPr="000E2DDC">
        <w:rPr>
          <w:sz w:val="24"/>
          <w:szCs w:val="24"/>
        </w:rPr>
        <w:t>labor</w:t>
      </w:r>
      <w:proofErr w:type="spellEnd"/>
      <w:r w:rsidR="00E5571F" w:rsidRPr="000E2DDC">
        <w:rPr>
          <w:sz w:val="24"/>
          <w:szCs w:val="24"/>
        </w:rPr>
        <w:t xml:space="preserve">, establishing mechanisms to seek recourse for illegal </w:t>
      </w:r>
      <w:r w:rsidR="00500EBF" w:rsidRPr="000E2DDC">
        <w:rPr>
          <w:sz w:val="24"/>
          <w:szCs w:val="24"/>
        </w:rPr>
        <w:t xml:space="preserve">conditions, and to improve access to health </w:t>
      </w:r>
      <w:r w:rsidR="00195980" w:rsidRPr="000E2DDC">
        <w:rPr>
          <w:sz w:val="24"/>
          <w:szCs w:val="24"/>
        </w:rPr>
        <w:t>care services.</w:t>
      </w:r>
      <w:r w:rsidR="00122A03" w:rsidRPr="000E2DDC">
        <w:rPr>
          <w:rStyle w:val="FootnoteReference"/>
          <w:sz w:val="24"/>
          <w:szCs w:val="24"/>
        </w:rPr>
        <w:footnoteReference w:id="75"/>
      </w:r>
    </w:p>
    <w:p w14:paraId="71FE3672" w14:textId="6701A4C9" w:rsidR="00F31492" w:rsidRPr="000E2DDC" w:rsidRDefault="00F31492" w:rsidP="00311CFD">
      <w:pPr>
        <w:pStyle w:val="SingleTxtG"/>
        <w:numPr>
          <w:ilvl w:val="0"/>
          <w:numId w:val="1"/>
        </w:numPr>
        <w:suppressAutoHyphens w:val="0"/>
        <w:spacing w:line="240" w:lineRule="auto"/>
        <w:ind w:left="360" w:right="0"/>
        <w:rPr>
          <w:sz w:val="24"/>
          <w:szCs w:val="24"/>
          <w:lang w:val="en-US"/>
        </w:rPr>
      </w:pPr>
      <w:r w:rsidRPr="000E2DDC">
        <w:rPr>
          <w:sz w:val="24"/>
          <w:szCs w:val="24"/>
          <w:lang w:val="en-US"/>
        </w:rPr>
        <w:t>The State Party has reported that “The Blue Campaign, DHS’s unified voice to combat human trafficking, has produced human trafficking training and awareness materials …”</w:t>
      </w:r>
      <w:r w:rsidRPr="000E2DDC">
        <w:rPr>
          <w:rStyle w:val="FootnoteReference"/>
          <w:sz w:val="24"/>
          <w:szCs w:val="24"/>
          <w:lang w:val="en-US"/>
        </w:rPr>
        <w:footnoteReference w:id="76"/>
      </w:r>
      <w:r w:rsidR="004724EA" w:rsidRPr="000E2DDC">
        <w:rPr>
          <w:sz w:val="24"/>
          <w:szCs w:val="24"/>
          <w:lang w:val="en-US"/>
        </w:rPr>
        <w:t xml:space="preserve">  </w:t>
      </w:r>
      <w:r w:rsidRPr="000E2DDC">
        <w:rPr>
          <w:sz w:val="24"/>
          <w:szCs w:val="24"/>
          <w:lang w:val="en-US"/>
        </w:rPr>
        <w:t xml:space="preserve">While these training and policy efforts around awareness of trafficking are important, the effectiveness of resources for victims and the likelihood of prosecution remain dependent on </w:t>
      </w:r>
      <w:r w:rsidR="00030BF5" w:rsidRPr="000E2DDC">
        <w:rPr>
          <w:sz w:val="24"/>
          <w:szCs w:val="24"/>
          <w:lang w:val="en-US"/>
        </w:rPr>
        <w:t xml:space="preserve">the discretion </w:t>
      </w:r>
      <w:r w:rsidRPr="000E2DDC">
        <w:rPr>
          <w:sz w:val="24"/>
          <w:szCs w:val="24"/>
          <w:lang w:val="en-US"/>
        </w:rPr>
        <w:t xml:space="preserve">of the agent. Over the prior years, this resulted in agencies failing to investigate and provide benefits to trafficking victims that did not fit the agent’s </w:t>
      </w:r>
      <w:r w:rsidR="00030BF5" w:rsidRPr="000E2DDC">
        <w:rPr>
          <w:sz w:val="24"/>
          <w:szCs w:val="24"/>
          <w:lang w:val="en-US"/>
        </w:rPr>
        <w:t>image of a trafficking victim</w:t>
      </w:r>
      <w:r w:rsidR="005918EB" w:rsidRPr="000E2DDC">
        <w:rPr>
          <w:sz w:val="24"/>
          <w:szCs w:val="24"/>
          <w:lang w:val="en-US"/>
        </w:rPr>
        <w:t xml:space="preserve"> who deserves care</w:t>
      </w:r>
      <w:r w:rsidRPr="000E2DDC">
        <w:rPr>
          <w:sz w:val="24"/>
          <w:szCs w:val="24"/>
          <w:lang w:val="en-US"/>
        </w:rPr>
        <w:t xml:space="preserve">. This had a disproportionate effect on non-white noncitizens against whom agents had biases and who were more likely to be in the criminal justice system due to racial profiling and </w:t>
      </w:r>
      <w:proofErr w:type="spellStart"/>
      <w:r w:rsidRPr="000E2DDC">
        <w:rPr>
          <w:sz w:val="24"/>
          <w:szCs w:val="24"/>
          <w:lang w:val="en-US"/>
        </w:rPr>
        <w:t>overpolicing</w:t>
      </w:r>
      <w:proofErr w:type="spellEnd"/>
      <w:r w:rsidRPr="000E2DDC">
        <w:rPr>
          <w:sz w:val="24"/>
          <w:szCs w:val="24"/>
          <w:lang w:val="en-US"/>
        </w:rPr>
        <w:t xml:space="preserve"> of racial minorities. </w:t>
      </w:r>
    </w:p>
    <w:p w14:paraId="1384E5B1" w14:textId="3B5588B3" w:rsidR="00A2250D" w:rsidRPr="000E2DDC" w:rsidRDefault="00A2250D" w:rsidP="00311CFD">
      <w:pPr>
        <w:pStyle w:val="SingleTxtG"/>
        <w:numPr>
          <w:ilvl w:val="0"/>
          <w:numId w:val="1"/>
        </w:numPr>
        <w:suppressAutoHyphens w:val="0"/>
        <w:spacing w:line="240" w:lineRule="auto"/>
        <w:ind w:left="360" w:right="0"/>
        <w:rPr>
          <w:sz w:val="24"/>
          <w:szCs w:val="24"/>
          <w:lang w:val="en-US"/>
        </w:rPr>
      </w:pPr>
      <w:r w:rsidRPr="000E2DDC">
        <w:rPr>
          <w:sz w:val="24"/>
          <w:szCs w:val="24"/>
          <w:lang w:val="en-US"/>
        </w:rPr>
        <w:t>While we agree that the H-2 visa programs must be revised to eliminate gaps that give rise to trafficking, we also note the serious concerns inherent in the J visa program.  In the past five years, The Advocates has had three cases in which an individual paid to participate in a J visa apprenticeship through which they were promised to obtain skills in their industry through work experience paid at a rate to cover necessary living expenses.  Yet, after arriving in often very rural communities, these clients found that they were instead forced to do menial labor unrelated to the specialized training program, suffered threats and abuse by their program sponsors, failed to make sufficient wages to cover expenses, and felt they could not complain as they had often taken loans to pay for the program fees. When The Advocates inquired, the State Party reported it had too few investigators to ensure site visits and screening, and we found that pre-departure and post-arrival training and resources lacked information about protections. In these cases, we found BIPOC people were the victims of these abu</w:t>
      </w:r>
      <w:r w:rsidR="00C93DEB" w:rsidRPr="000E2DDC">
        <w:rPr>
          <w:sz w:val="24"/>
          <w:szCs w:val="24"/>
          <w:lang w:val="en-US"/>
        </w:rPr>
        <w:t>ses.</w:t>
      </w:r>
    </w:p>
    <w:p w14:paraId="291F9BF2" w14:textId="0E4C1073" w:rsidR="007573DB" w:rsidRPr="000E2DDC" w:rsidRDefault="00A2250D" w:rsidP="00311CFD">
      <w:pPr>
        <w:pStyle w:val="SingleTxtG"/>
        <w:numPr>
          <w:ilvl w:val="0"/>
          <w:numId w:val="1"/>
        </w:numPr>
        <w:suppressAutoHyphens w:val="0"/>
        <w:spacing w:line="240" w:lineRule="auto"/>
        <w:ind w:left="360" w:right="0"/>
        <w:rPr>
          <w:sz w:val="24"/>
          <w:szCs w:val="24"/>
          <w:lang w:val="en-US"/>
        </w:rPr>
      </w:pPr>
      <w:r w:rsidRPr="000E2DDC">
        <w:rPr>
          <w:sz w:val="24"/>
          <w:szCs w:val="24"/>
          <w:lang w:val="en-US"/>
        </w:rPr>
        <w:t>The State Party also fails to adequately</w:t>
      </w:r>
      <w:r w:rsidR="00C93DEB" w:rsidRPr="000E2DDC">
        <w:rPr>
          <w:sz w:val="24"/>
          <w:szCs w:val="24"/>
          <w:lang w:val="en-US"/>
        </w:rPr>
        <w:t xml:space="preserve"> protect noncitizens from trafficking and abuses outside of those on visas. Recently, more than </w:t>
      </w:r>
      <w:r w:rsidR="00AB2CDD" w:rsidRPr="000E2DDC">
        <w:rPr>
          <w:sz w:val="24"/>
          <w:szCs w:val="24"/>
          <w:lang w:val="en-US"/>
        </w:rPr>
        <w:t>53</w:t>
      </w:r>
      <w:r w:rsidR="00C93DEB" w:rsidRPr="000E2DDC">
        <w:rPr>
          <w:sz w:val="24"/>
          <w:szCs w:val="24"/>
          <w:lang w:val="en-US"/>
        </w:rPr>
        <w:t xml:space="preserve"> migrants were found dead </w:t>
      </w:r>
      <w:r w:rsidR="00AB2CDD" w:rsidRPr="000E2DDC">
        <w:rPr>
          <w:sz w:val="24"/>
          <w:szCs w:val="24"/>
          <w:lang w:val="en-US"/>
        </w:rPr>
        <w:t xml:space="preserve">in San Antonio, Texas </w:t>
      </w:r>
      <w:r w:rsidR="00AB2CDD" w:rsidRPr="000E2DDC">
        <w:rPr>
          <w:sz w:val="24"/>
          <w:szCs w:val="24"/>
          <w:lang w:val="en-US"/>
        </w:rPr>
        <w:lastRenderedPageBreak/>
        <w:t>after</w:t>
      </w:r>
      <w:r w:rsidR="00C93DEB" w:rsidRPr="000E2DDC">
        <w:rPr>
          <w:sz w:val="24"/>
          <w:szCs w:val="24"/>
          <w:lang w:val="en-US"/>
        </w:rPr>
        <w:t xml:space="preserve"> they were abandoned in the baking Texas heat in a trailer they could not escape.</w:t>
      </w:r>
      <w:r w:rsidR="00AB2CDD" w:rsidRPr="000E2DDC">
        <w:rPr>
          <w:sz w:val="24"/>
          <w:szCs w:val="24"/>
          <w:lang w:val="en-US"/>
        </w:rPr>
        <w:t xml:space="preserve"> Similarly, in the Minnesota winter of 2022, several migrants were found dead along the northern U.S. border.</w:t>
      </w:r>
      <w:r w:rsidR="00FD0BC7" w:rsidRPr="000E2DDC">
        <w:rPr>
          <w:rStyle w:val="FootnoteReference"/>
          <w:sz w:val="24"/>
          <w:szCs w:val="24"/>
          <w:lang w:val="en-US"/>
        </w:rPr>
        <w:footnoteReference w:id="77"/>
      </w:r>
      <w:r w:rsidR="00AB2CDD" w:rsidRPr="000E2DDC">
        <w:rPr>
          <w:sz w:val="24"/>
          <w:szCs w:val="24"/>
          <w:lang w:val="en-US"/>
        </w:rPr>
        <w:t xml:space="preserve"> These cases were investigated as human smuggling crimes gone awry.  Yet, they are the result of deeper issues with U.S. immigration policy that has forced people to take riskier routes, falling prey to exploitation. These policies have disproportionately impacted BIPOC people who are often less likely to be able to obtain entry through limited, regular visa channels</w:t>
      </w:r>
      <w:r w:rsidR="00966D20" w:rsidRPr="000E2DDC">
        <w:rPr>
          <w:sz w:val="24"/>
          <w:szCs w:val="24"/>
          <w:lang w:val="en-US"/>
        </w:rPr>
        <w:t>.</w:t>
      </w:r>
      <w:r w:rsidR="00C93DEB" w:rsidRPr="000E2DDC">
        <w:rPr>
          <w:sz w:val="24"/>
          <w:szCs w:val="24"/>
          <w:lang w:val="en-US"/>
        </w:rPr>
        <w:t xml:space="preserve">  </w:t>
      </w:r>
      <w:r w:rsidRPr="000E2DDC">
        <w:rPr>
          <w:sz w:val="24"/>
          <w:szCs w:val="24"/>
          <w:lang w:val="en-US"/>
        </w:rPr>
        <w:t xml:space="preserve"> </w:t>
      </w:r>
      <w:r w:rsidR="00D4166B" w:rsidRPr="000E2DDC">
        <w:rPr>
          <w:sz w:val="24"/>
          <w:szCs w:val="24"/>
          <w:lang w:val="en-US"/>
        </w:rPr>
        <w:t xml:space="preserve">  </w:t>
      </w:r>
    </w:p>
    <w:p w14:paraId="164D0119" w14:textId="2217D23F" w:rsidR="00372B12" w:rsidRPr="000E2DDC" w:rsidRDefault="00966D20" w:rsidP="00311CFD">
      <w:pPr>
        <w:pStyle w:val="SingleTxtG"/>
        <w:numPr>
          <w:ilvl w:val="0"/>
          <w:numId w:val="1"/>
        </w:numPr>
        <w:suppressAutoHyphens w:val="0"/>
        <w:spacing w:line="240" w:lineRule="auto"/>
        <w:ind w:left="360" w:right="0"/>
        <w:rPr>
          <w:sz w:val="24"/>
          <w:szCs w:val="24"/>
          <w:lang w:val="en-US"/>
        </w:rPr>
      </w:pPr>
      <w:r w:rsidRPr="000E2DDC">
        <w:rPr>
          <w:sz w:val="24"/>
          <w:szCs w:val="24"/>
          <w:lang w:val="en-US"/>
        </w:rPr>
        <w:t xml:space="preserve">The State Party must address failures in equal access to health for trafficking victims. Sex trafficking victims often have unique medical needs due to the exploitation and abuse they have suffered. Yet, the State Party fails to ensure easy and equal access to care. Moreover, victims of labor trafficking have often suffered workplace harms for which they must obtain care. </w:t>
      </w:r>
    </w:p>
    <w:p w14:paraId="06E96E97" w14:textId="6DF48018" w:rsidR="00372B12" w:rsidRPr="000E2DDC" w:rsidRDefault="007F5DDD" w:rsidP="00311CFD">
      <w:pPr>
        <w:pStyle w:val="SingleTxtG"/>
        <w:numPr>
          <w:ilvl w:val="0"/>
          <w:numId w:val="1"/>
        </w:numPr>
        <w:suppressAutoHyphens w:val="0"/>
        <w:spacing w:line="240" w:lineRule="auto"/>
        <w:ind w:left="360" w:right="0"/>
        <w:rPr>
          <w:sz w:val="24"/>
          <w:szCs w:val="24"/>
          <w:lang w:val="en-US"/>
        </w:rPr>
      </w:pPr>
      <w:r w:rsidRPr="000E2DDC">
        <w:rPr>
          <w:sz w:val="24"/>
          <w:szCs w:val="24"/>
          <w:lang w:val="en-US"/>
        </w:rPr>
        <w:t>The State Party has also failed to ensure a</w:t>
      </w:r>
      <w:r w:rsidR="00372B12" w:rsidRPr="000E2DDC">
        <w:rPr>
          <w:sz w:val="24"/>
          <w:szCs w:val="24"/>
          <w:lang w:val="en-US"/>
        </w:rPr>
        <w:t>ccess to housing for trafficking victims</w:t>
      </w:r>
      <w:r w:rsidRPr="000E2DDC">
        <w:rPr>
          <w:sz w:val="24"/>
          <w:szCs w:val="24"/>
          <w:lang w:val="en-US"/>
        </w:rPr>
        <w:t xml:space="preserve">, which has disproportionately impacted BIPOC victims who often has less access to other benefits, community supports or may be barred from some housing options due to criminal bars that disproportionately target BIPOC communities.  </w:t>
      </w:r>
    </w:p>
    <w:p w14:paraId="19304845" w14:textId="77777777" w:rsidR="001A0485" w:rsidRPr="000E2DDC" w:rsidRDefault="00966D20" w:rsidP="00311CFD">
      <w:pPr>
        <w:pStyle w:val="SingleTxtG"/>
        <w:numPr>
          <w:ilvl w:val="0"/>
          <w:numId w:val="1"/>
        </w:numPr>
        <w:suppressAutoHyphens w:val="0"/>
        <w:spacing w:line="240" w:lineRule="auto"/>
        <w:ind w:left="360" w:right="0"/>
        <w:rPr>
          <w:sz w:val="24"/>
          <w:szCs w:val="24"/>
          <w:lang w:val="en-US"/>
        </w:rPr>
      </w:pPr>
      <w:r w:rsidRPr="000E2DDC">
        <w:rPr>
          <w:sz w:val="24"/>
          <w:szCs w:val="24"/>
          <w:lang w:val="en-US"/>
        </w:rPr>
        <w:t>At present, U.S. policy provides only limited financial and social supports to victims of trafficking who are noncitizens</w:t>
      </w:r>
      <w:r w:rsidR="00372B12" w:rsidRPr="000E2DDC">
        <w:rPr>
          <w:sz w:val="24"/>
          <w:szCs w:val="24"/>
          <w:lang w:val="en-US"/>
        </w:rPr>
        <w:t>, and often fails to grant additional discretionary benefits to “imperfect victims,” which overwhelmingly includes BIPOC people who may be more likely to have criminal or immigration histories</w:t>
      </w:r>
      <w:r w:rsidRPr="000E2DDC">
        <w:rPr>
          <w:sz w:val="24"/>
          <w:szCs w:val="24"/>
          <w:lang w:val="en-US"/>
        </w:rPr>
        <w:t xml:space="preserve">. </w:t>
      </w:r>
      <w:r w:rsidR="00372B12" w:rsidRPr="000E2DDC">
        <w:rPr>
          <w:sz w:val="24"/>
          <w:szCs w:val="24"/>
          <w:lang w:val="en-US"/>
        </w:rPr>
        <w:t xml:space="preserve">As a result, accessing housing and health care is more problematic for BIPOC victims of trafficking.  </w:t>
      </w:r>
    </w:p>
    <w:p w14:paraId="2CE2477A" w14:textId="6ABED465" w:rsidR="001A0485" w:rsidRPr="000E2DDC" w:rsidRDefault="001A0485" w:rsidP="00311CFD">
      <w:pPr>
        <w:pStyle w:val="SingleTxtG"/>
        <w:suppressAutoHyphens w:val="0"/>
        <w:spacing w:line="240" w:lineRule="auto"/>
        <w:ind w:left="360" w:right="0"/>
        <w:rPr>
          <w:i/>
          <w:iCs/>
          <w:sz w:val="24"/>
          <w:szCs w:val="24"/>
          <w:lang w:val="en-US"/>
        </w:rPr>
      </w:pPr>
      <w:r w:rsidRPr="000E2DDC">
        <w:rPr>
          <w:i/>
          <w:iCs/>
          <w:sz w:val="24"/>
          <w:szCs w:val="24"/>
          <w:lang w:val="en-US"/>
        </w:rPr>
        <w:t>Children</w:t>
      </w:r>
      <w:r w:rsidR="00691F6C" w:rsidRPr="000E2DDC">
        <w:rPr>
          <w:i/>
          <w:iCs/>
          <w:sz w:val="24"/>
          <w:szCs w:val="24"/>
          <w:lang w:val="en-US"/>
        </w:rPr>
        <w:t xml:space="preserve"> and exploitative labor</w:t>
      </w:r>
    </w:p>
    <w:p w14:paraId="2AE05CA5" w14:textId="77777777" w:rsidR="001A0485" w:rsidRPr="000E2DDC" w:rsidRDefault="00B16E08" w:rsidP="00311CFD">
      <w:pPr>
        <w:pStyle w:val="SingleTxtG"/>
        <w:numPr>
          <w:ilvl w:val="0"/>
          <w:numId w:val="1"/>
        </w:numPr>
        <w:suppressAutoHyphens w:val="0"/>
        <w:spacing w:line="240" w:lineRule="auto"/>
        <w:ind w:left="360" w:right="0"/>
        <w:rPr>
          <w:sz w:val="24"/>
          <w:szCs w:val="24"/>
          <w:lang w:val="en-US"/>
        </w:rPr>
      </w:pPr>
      <w:r w:rsidRPr="000E2DDC">
        <w:rPr>
          <w:sz w:val="24"/>
          <w:szCs w:val="24"/>
        </w:rPr>
        <w:t>The State Party, in its 2022 stakeholder meeting, recognized the right to education without discrimination based on immigration status and nationality. While The Advocates welcomes the 40</w:t>
      </w:r>
      <w:r w:rsidRPr="000E2DDC">
        <w:rPr>
          <w:sz w:val="24"/>
          <w:szCs w:val="24"/>
          <w:vertAlign w:val="superscript"/>
        </w:rPr>
        <w:t>th</w:t>
      </w:r>
      <w:r w:rsidRPr="000E2DDC">
        <w:rPr>
          <w:sz w:val="24"/>
          <w:szCs w:val="24"/>
        </w:rPr>
        <w:t xml:space="preserve"> anniversary of the Supreme Court case that enshrined this right, we note that gaps remain.  </w:t>
      </w:r>
    </w:p>
    <w:p w14:paraId="4CC0125A" w14:textId="42B452D0" w:rsidR="00B16E08" w:rsidRPr="000E2DDC" w:rsidRDefault="00B16E08" w:rsidP="00311CFD">
      <w:pPr>
        <w:pStyle w:val="SingleTxtG"/>
        <w:numPr>
          <w:ilvl w:val="0"/>
          <w:numId w:val="1"/>
        </w:numPr>
        <w:suppressAutoHyphens w:val="0"/>
        <w:spacing w:line="240" w:lineRule="auto"/>
        <w:ind w:left="360" w:right="0"/>
        <w:rPr>
          <w:sz w:val="24"/>
          <w:szCs w:val="24"/>
          <w:lang w:val="en-US"/>
        </w:rPr>
      </w:pPr>
      <w:r w:rsidRPr="000E2DDC">
        <w:rPr>
          <w:sz w:val="24"/>
          <w:szCs w:val="24"/>
        </w:rPr>
        <w:t xml:space="preserve">Unaccompanied minors who are placed with sponsors out of immigration custody often are prevented from attending school by sponsors. The Advocates has had two cases in the last two years alone in which children reported being prevented from attending school by sponsors who instead required them to work. The United States’ failure to adequately monitor and follow-up with UACs, as well as lack of special provisions for support, contribute to these concerns.  </w:t>
      </w:r>
    </w:p>
    <w:p w14:paraId="407BA8D4" w14:textId="0717E212" w:rsidR="00F31492" w:rsidRPr="000E2DDC" w:rsidRDefault="00F31492" w:rsidP="00311CFD">
      <w:pPr>
        <w:spacing w:after="120"/>
        <w:ind w:left="360"/>
        <w:jc w:val="both"/>
        <w:rPr>
          <w:color w:val="auto"/>
          <w:sz w:val="24"/>
          <w:szCs w:val="24"/>
        </w:rPr>
      </w:pPr>
      <w:r w:rsidRPr="000E2DDC">
        <w:rPr>
          <w:b/>
          <w:color w:val="auto"/>
          <w:sz w:val="24"/>
          <w:szCs w:val="24"/>
        </w:rPr>
        <w:t xml:space="preserve">Suggested </w:t>
      </w:r>
      <w:r w:rsidR="00932544" w:rsidRPr="000E2DDC">
        <w:rPr>
          <w:b/>
          <w:color w:val="auto"/>
          <w:sz w:val="24"/>
          <w:szCs w:val="24"/>
        </w:rPr>
        <w:t>recommendations</w:t>
      </w:r>
      <w:r w:rsidRPr="000E2DDC">
        <w:rPr>
          <w:color w:val="auto"/>
          <w:sz w:val="24"/>
          <w:szCs w:val="24"/>
        </w:rPr>
        <w:t xml:space="preserve"> relating to immigration</w:t>
      </w:r>
      <w:r w:rsidR="00D20167" w:rsidRPr="000E2DDC">
        <w:rPr>
          <w:color w:val="auto"/>
          <w:sz w:val="24"/>
          <w:szCs w:val="24"/>
        </w:rPr>
        <w:t xml:space="preserve"> and trafficking</w:t>
      </w:r>
      <w:r w:rsidRPr="000E2DDC">
        <w:rPr>
          <w:color w:val="auto"/>
          <w:sz w:val="24"/>
          <w:szCs w:val="24"/>
        </w:rPr>
        <w:t>:</w:t>
      </w:r>
    </w:p>
    <w:p w14:paraId="3D3F15FF" w14:textId="77777777" w:rsidR="00932544" w:rsidRPr="000E2DDC" w:rsidRDefault="00932544" w:rsidP="00311CFD">
      <w:pPr>
        <w:pStyle w:val="ListParagraph"/>
        <w:numPr>
          <w:ilvl w:val="1"/>
          <w:numId w:val="4"/>
        </w:numPr>
        <w:spacing w:after="120" w:line="240" w:lineRule="auto"/>
        <w:contextualSpacing w:val="0"/>
        <w:rPr>
          <w:rFonts w:ascii="Times New Roman" w:hAnsi="Times New Roman"/>
          <w:sz w:val="24"/>
          <w:szCs w:val="24"/>
        </w:rPr>
      </w:pPr>
      <w:r w:rsidRPr="000E2DDC">
        <w:rPr>
          <w:rFonts w:ascii="Times New Roman" w:hAnsi="Times New Roman"/>
          <w:sz w:val="24"/>
          <w:szCs w:val="24"/>
        </w:rPr>
        <w:t xml:space="preserve">Undertake a review of policies vis-à-vis how decisions are made regarding programs based on nationalities and issue regulations that ensure racially discriminatory or disparate impacts are considered and addressed.  </w:t>
      </w:r>
    </w:p>
    <w:p w14:paraId="383BA6D6" w14:textId="77777777" w:rsidR="00932544" w:rsidRPr="000E2DDC" w:rsidRDefault="00932544" w:rsidP="00311CFD">
      <w:pPr>
        <w:pStyle w:val="ListParagraph"/>
        <w:numPr>
          <w:ilvl w:val="1"/>
          <w:numId w:val="4"/>
        </w:numPr>
        <w:spacing w:after="120" w:line="240" w:lineRule="auto"/>
        <w:contextualSpacing w:val="0"/>
        <w:rPr>
          <w:rFonts w:ascii="Times New Roman" w:hAnsi="Times New Roman"/>
          <w:sz w:val="24"/>
          <w:szCs w:val="24"/>
        </w:rPr>
      </w:pPr>
      <w:r w:rsidRPr="000E2DDC">
        <w:rPr>
          <w:rFonts w:ascii="Times New Roman" w:hAnsi="Times New Roman"/>
          <w:sz w:val="24"/>
          <w:szCs w:val="24"/>
        </w:rPr>
        <w:t xml:space="preserve">Take immediate action to initiate termination of employment for any immigration officers proven to have violated equal protection laws and ensure all contracts are updated to include such provisions.   </w:t>
      </w:r>
    </w:p>
    <w:p w14:paraId="637C395B" w14:textId="77777777" w:rsidR="00932544" w:rsidRPr="000E2DDC" w:rsidRDefault="00932544" w:rsidP="00311CFD">
      <w:pPr>
        <w:pStyle w:val="ListParagraph"/>
        <w:numPr>
          <w:ilvl w:val="1"/>
          <w:numId w:val="4"/>
        </w:numPr>
        <w:spacing w:after="120" w:line="240" w:lineRule="auto"/>
        <w:contextualSpacing w:val="0"/>
        <w:rPr>
          <w:rFonts w:ascii="Times New Roman" w:hAnsi="Times New Roman"/>
          <w:sz w:val="24"/>
          <w:szCs w:val="24"/>
        </w:rPr>
      </w:pPr>
      <w:r w:rsidRPr="000E2DDC">
        <w:rPr>
          <w:rFonts w:ascii="Times New Roman" w:hAnsi="Times New Roman"/>
          <w:sz w:val="24"/>
          <w:szCs w:val="24"/>
        </w:rPr>
        <w:lastRenderedPageBreak/>
        <w:t>Conduct a thorough review of data showing detention and removal rates by race.  Update policies and trainings to ensure detention and removal decisions are not disproportionately impacting BIPOC communities.</w:t>
      </w:r>
    </w:p>
    <w:p w14:paraId="2FB13B31" w14:textId="77777777" w:rsidR="00932544" w:rsidRPr="000E2DDC" w:rsidRDefault="00932544" w:rsidP="00311CFD">
      <w:pPr>
        <w:pStyle w:val="ListParagraph"/>
        <w:numPr>
          <w:ilvl w:val="1"/>
          <w:numId w:val="4"/>
        </w:numPr>
        <w:spacing w:after="120" w:line="240" w:lineRule="auto"/>
        <w:contextualSpacing w:val="0"/>
        <w:rPr>
          <w:rFonts w:ascii="Times New Roman" w:hAnsi="Times New Roman"/>
          <w:sz w:val="24"/>
          <w:szCs w:val="24"/>
        </w:rPr>
      </w:pPr>
      <w:r w:rsidRPr="000E2DDC">
        <w:rPr>
          <w:rFonts w:ascii="Times New Roman" w:hAnsi="Times New Roman"/>
          <w:sz w:val="24"/>
          <w:szCs w:val="24"/>
        </w:rPr>
        <w:t xml:space="preserve">Work to disentangle immigration and criminal justice systems by eliminating enforcement priorities and regulations that tie negative immigration decisions to criminal histories.  </w:t>
      </w:r>
    </w:p>
    <w:p w14:paraId="3D388631" w14:textId="0C4E0BF5" w:rsidR="00932544" w:rsidRPr="000E2DDC" w:rsidRDefault="77542FEF" w:rsidP="00311CFD">
      <w:pPr>
        <w:pStyle w:val="ListParagraph"/>
        <w:numPr>
          <w:ilvl w:val="1"/>
          <w:numId w:val="4"/>
        </w:numPr>
        <w:spacing w:after="120" w:line="240" w:lineRule="auto"/>
        <w:contextualSpacing w:val="0"/>
        <w:rPr>
          <w:rFonts w:ascii="Times New Roman" w:hAnsi="Times New Roman"/>
          <w:sz w:val="24"/>
          <w:szCs w:val="24"/>
        </w:rPr>
      </w:pPr>
      <w:r w:rsidRPr="000E2DDC">
        <w:rPr>
          <w:rFonts w:ascii="Times New Roman" w:hAnsi="Times New Roman"/>
          <w:sz w:val="24"/>
          <w:szCs w:val="24"/>
        </w:rPr>
        <w:t>Eliminate arbitrary detention by eliminating mandatory detention provisions, setting reasonable bond amoun</w:t>
      </w:r>
      <w:r w:rsidR="47BE281D" w:rsidRPr="000E2DDC">
        <w:rPr>
          <w:rFonts w:ascii="Times New Roman" w:hAnsi="Times New Roman"/>
          <w:sz w:val="24"/>
          <w:szCs w:val="24"/>
        </w:rPr>
        <w:t>ts, ensuring access to justice in custody review and bond proceedings, and updating ICE detention guidance and oversight to comply with international best practice.  Update law and policy to ensure no torture survivors are held in detention and that use of detention, especially solitary confinement, comply with the Mandela Rules.</w:t>
      </w:r>
    </w:p>
    <w:p w14:paraId="5A13D01D" w14:textId="52C387EE" w:rsidR="47BE281D" w:rsidRPr="000E2DDC" w:rsidRDefault="47BE281D" w:rsidP="00311CFD">
      <w:pPr>
        <w:pStyle w:val="ListParagraph"/>
        <w:numPr>
          <w:ilvl w:val="1"/>
          <w:numId w:val="4"/>
        </w:numPr>
        <w:spacing w:after="120" w:line="240" w:lineRule="auto"/>
        <w:contextualSpacing w:val="0"/>
        <w:rPr>
          <w:rFonts w:ascii="Times New Roman" w:hAnsi="Times New Roman"/>
          <w:sz w:val="24"/>
          <w:szCs w:val="24"/>
        </w:rPr>
      </w:pPr>
      <w:r w:rsidRPr="000E2DDC">
        <w:rPr>
          <w:rFonts w:ascii="Times New Roman" w:hAnsi="Times New Roman"/>
          <w:sz w:val="24"/>
          <w:szCs w:val="24"/>
        </w:rPr>
        <w:t xml:space="preserve">Ensure due process and racial equity in removal proceedings by providing counsel to indigent people facing removal and updating immigration judge guidance and training to include cultural sensitivity, trauma-informed processes, racial </w:t>
      </w:r>
      <w:proofErr w:type="gramStart"/>
      <w:r w:rsidRPr="000E2DDC">
        <w:rPr>
          <w:rFonts w:ascii="Times New Roman" w:hAnsi="Times New Roman"/>
          <w:sz w:val="24"/>
          <w:szCs w:val="24"/>
        </w:rPr>
        <w:t>justice</w:t>
      </w:r>
      <w:proofErr w:type="gramEnd"/>
      <w:r w:rsidRPr="000E2DDC">
        <w:rPr>
          <w:rFonts w:ascii="Times New Roman" w:hAnsi="Times New Roman"/>
          <w:sz w:val="24"/>
          <w:szCs w:val="24"/>
        </w:rPr>
        <w:t xml:space="preserve"> and due process consideration.  Tie immigration judge retention to due process standards rather than case completion rates.  Pass the Real Courts, Rule of Law Act.</w:t>
      </w:r>
    </w:p>
    <w:p w14:paraId="567B7400" w14:textId="2B732C82" w:rsidR="00726C9D" w:rsidRPr="000E2DDC" w:rsidRDefault="00932544" w:rsidP="00311CFD">
      <w:pPr>
        <w:pStyle w:val="ListParagraph"/>
        <w:numPr>
          <w:ilvl w:val="1"/>
          <w:numId w:val="4"/>
        </w:numPr>
        <w:spacing w:after="120" w:line="240" w:lineRule="auto"/>
        <w:contextualSpacing w:val="0"/>
        <w:rPr>
          <w:rFonts w:ascii="Times New Roman" w:hAnsi="Times New Roman"/>
          <w:sz w:val="24"/>
          <w:szCs w:val="24"/>
        </w:rPr>
      </w:pPr>
      <w:r w:rsidRPr="000E2DDC">
        <w:rPr>
          <w:rFonts w:ascii="Times New Roman" w:hAnsi="Times New Roman"/>
          <w:sz w:val="24"/>
          <w:szCs w:val="24"/>
        </w:rPr>
        <w:t xml:space="preserve">Update law and policy to eliminate discretionary decisions for law enforcement to provide interim benefits to victims of trafficking </w:t>
      </w:r>
      <w:proofErr w:type="gramStart"/>
      <w:r w:rsidRPr="000E2DDC">
        <w:rPr>
          <w:rFonts w:ascii="Times New Roman" w:hAnsi="Times New Roman"/>
          <w:sz w:val="24"/>
          <w:szCs w:val="24"/>
        </w:rPr>
        <w:t>in order to</w:t>
      </w:r>
      <w:proofErr w:type="gramEnd"/>
      <w:r w:rsidRPr="000E2DDC">
        <w:rPr>
          <w:rFonts w:ascii="Times New Roman" w:hAnsi="Times New Roman"/>
          <w:sz w:val="24"/>
          <w:szCs w:val="24"/>
        </w:rPr>
        <w:t xml:space="preserve"> reduce instances of racial discrimination.  </w:t>
      </w:r>
    </w:p>
    <w:p w14:paraId="7989856E" w14:textId="5262A0A4" w:rsidR="47BE281D" w:rsidRPr="000E2DDC" w:rsidRDefault="47BE281D" w:rsidP="00311CFD">
      <w:pPr>
        <w:pStyle w:val="ListParagraph"/>
        <w:numPr>
          <w:ilvl w:val="1"/>
          <w:numId w:val="4"/>
        </w:numPr>
        <w:spacing w:after="120" w:line="240" w:lineRule="auto"/>
        <w:contextualSpacing w:val="0"/>
        <w:rPr>
          <w:rFonts w:ascii="Times New Roman" w:hAnsi="Times New Roman"/>
          <w:sz w:val="24"/>
          <w:szCs w:val="24"/>
        </w:rPr>
      </w:pPr>
      <w:r w:rsidRPr="000E2DDC">
        <w:rPr>
          <w:rFonts w:ascii="Times New Roman" w:hAnsi="Times New Roman"/>
          <w:sz w:val="24"/>
          <w:szCs w:val="24"/>
        </w:rPr>
        <w:t>Ensure funding is equally allocated to enforcement and victim services and update public benefits programs to ensure trafficking victims have access to healthcare, education, and employment to reduce trauma and risks of re-trafficking.</w:t>
      </w:r>
    </w:p>
    <w:p w14:paraId="5426B442" w14:textId="507A0D38" w:rsidR="47BE281D" w:rsidRDefault="47BE281D" w:rsidP="00311CFD">
      <w:pPr>
        <w:pStyle w:val="ListParagraph"/>
        <w:numPr>
          <w:ilvl w:val="1"/>
          <w:numId w:val="4"/>
        </w:numPr>
        <w:spacing w:after="120" w:line="240" w:lineRule="auto"/>
        <w:contextualSpacing w:val="0"/>
        <w:rPr>
          <w:rFonts w:ascii="Times New Roman" w:hAnsi="Times New Roman"/>
          <w:sz w:val="24"/>
          <w:szCs w:val="24"/>
        </w:rPr>
      </w:pPr>
      <w:r w:rsidRPr="000E2DDC">
        <w:rPr>
          <w:rFonts w:ascii="Times New Roman" w:hAnsi="Times New Roman"/>
          <w:sz w:val="24"/>
          <w:szCs w:val="24"/>
        </w:rPr>
        <w:t xml:space="preserve">Review visa programs, especially H and J visas, for risks to trafficking and take into consideration lived experience of victims to update pre-departure, recruitment, </w:t>
      </w:r>
      <w:proofErr w:type="gramStart"/>
      <w:r w:rsidRPr="000E2DDC">
        <w:rPr>
          <w:rFonts w:ascii="Times New Roman" w:hAnsi="Times New Roman"/>
          <w:sz w:val="24"/>
          <w:szCs w:val="24"/>
        </w:rPr>
        <w:t>monitoring</w:t>
      </w:r>
      <w:proofErr w:type="gramEnd"/>
      <w:r w:rsidRPr="000E2DDC">
        <w:rPr>
          <w:rFonts w:ascii="Times New Roman" w:hAnsi="Times New Roman"/>
          <w:sz w:val="24"/>
          <w:szCs w:val="24"/>
        </w:rPr>
        <w:t xml:space="preserve"> and</w:t>
      </w:r>
      <w:r w:rsidRPr="47BE281D">
        <w:rPr>
          <w:rFonts w:ascii="Times New Roman" w:hAnsi="Times New Roman"/>
          <w:sz w:val="24"/>
          <w:szCs w:val="24"/>
        </w:rPr>
        <w:t xml:space="preserve"> victim resources to address risks of trafficking.  </w:t>
      </w:r>
    </w:p>
    <w:sectPr w:rsidR="47BE281D" w:rsidSect="00CB30A8">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tia Galambos" w:date="2022-07-14T12:13:00Z" w:initials="KG">
    <w:p w14:paraId="2D085595" w14:textId="77777777" w:rsidR="006443F1" w:rsidRDefault="006443F1" w:rsidP="006443F1">
      <w:pPr>
        <w:pStyle w:val="CommentText"/>
      </w:pPr>
      <w:r>
        <w:rPr>
          <w:rStyle w:val="CommentReference"/>
        </w:rPr>
        <w:annotationRef/>
      </w:r>
      <w:r>
        <w:t>What texas court decision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08559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BE97E" w16cex:dateUtc="2022-07-14T17: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085595" w16cid:durableId="267BE9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C2416" w14:textId="77777777" w:rsidR="00B4788D" w:rsidRDefault="00B4788D" w:rsidP="00F31492">
      <w:r>
        <w:separator/>
      </w:r>
    </w:p>
  </w:endnote>
  <w:endnote w:type="continuationSeparator" w:id="0">
    <w:p w14:paraId="38179250" w14:textId="77777777" w:rsidR="00B4788D" w:rsidRDefault="00B4788D" w:rsidP="00F31492">
      <w:r>
        <w:continuationSeparator/>
      </w:r>
    </w:p>
  </w:endnote>
  <w:endnote w:type="continuationNotice" w:id="1">
    <w:p w14:paraId="00CC4089" w14:textId="77777777" w:rsidR="00B4788D" w:rsidRDefault="00B478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2883866"/>
      <w:docPartObj>
        <w:docPartGallery w:val="Page Numbers (Bottom of Page)"/>
        <w:docPartUnique/>
      </w:docPartObj>
    </w:sdtPr>
    <w:sdtEndPr>
      <w:rPr>
        <w:noProof/>
        <w:sz w:val="24"/>
        <w:szCs w:val="24"/>
      </w:rPr>
    </w:sdtEndPr>
    <w:sdtContent>
      <w:p w14:paraId="20F517C6" w14:textId="1582AC7E" w:rsidR="00CB30A8" w:rsidRPr="00CB30A8" w:rsidRDefault="00CB30A8">
        <w:pPr>
          <w:pStyle w:val="Footer"/>
          <w:jc w:val="center"/>
          <w:rPr>
            <w:sz w:val="24"/>
            <w:szCs w:val="24"/>
          </w:rPr>
        </w:pPr>
        <w:r w:rsidRPr="00CB30A8">
          <w:rPr>
            <w:sz w:val="24"/>
            <w:szCs w:val="24"/>
          </w:rPr>
          <w:fldChar w:fldCharType="begin"/>
        </w:r>
        <w:r w:rsidRPr="00CB30A8">
          <w:rPr>
            <w:sz w:val="24"/>
            <w:szCs w:val="24"/>
          </w:rPr>
          <w:instrText xml:space="preserve"> PAGE   \* MERGEFORMAT </w:instrText>
        </w:r>
        <w:r w:rsidRPr="00CB30A8">
          <w:rPr>
            <w:sz w:val="24"/>
            <w:szCs w:val="24"/>
          </w:rPr>
          <w:fldChar w:fldCharType="separate"/>
        </w:r>
        <w:r w:rsidRPr="00CB30A8">
          <w:rPr>
            <w:noProof/>
            <w:sz w:val="24"/>
            <w:szCs w:val="24"/>
          </w:rPr>
          <w:t>2</w:t>
        </w:r>
        <w:r w:rsidRPr="00CB30A8">
          <w:rPr>
            <w:noProof/>
            <w:sz w:val="24"/>
            <w:szCs w:val="24"/>
          </w:rPr>
          <w:fldChar w:fldCharType="end"/>
        </w:r>
      </w:p>
    </w:sdtContent>
  </w:sdt>
  <w:p w14:paraId="25ADF05B" w14:textId="77777777" w:rsidR="000E4DB4" w:rsidRDefault="000E4D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7BAA1" w14:textId="77777777" w:rsidR="00C2338F" w:rsidRDefault="00C2338F" w:rsidP="00C2338F">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615081A" wp14:editId="3FE48844">
              <wp:simplePos x="0" y="0"/>
              <wp:positionH relativeFrom="column">
                <wp:posOffset>-356235</wp:posOffset>
              </wp:positionH>
              <wp:positionV relativeFrom="paragraph">
                <wp:posOffset>132715</wp:posOffset>
              </wp:positionV>
              <wp:extent cx="6649720" cy="0"/>
              <wp:effectExtent l="5715" t="8890" r="12065" b="1016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C0E3A"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D3F97CB" w14:textId="77777777" w:rsidR="00C2338F" w:rsidRPr="009B62AE" w:rsidRDefault="00C2338F" w:rsidP="00C2338F">
    <w:pPr>
      <w:widowControl w:val="0"/>
      <w:jc w:val="center"/>
      <w:rPr>
        <w:rFonts w:ascii="Gill Sans MT" w:hAnsi="Gill Sans MT"/>
        <w:color w:val="333333"/>
        <w:sz w:val="18"/>
        <w:szCs w:val="18"/>
        <w:lang w:val="en"/>
      </w:rPr>
    </w:pPr>
    <w:r w:rsidRPr="009B62AE">
      <w:rPr>
        <w:rFonts w:ascii="Gill Sans MT" w:hAnsi="Gill Sans MT"/>
        <w:color w:val="333333"/>
        <w:sz w:val="18"/>
        <w:szCs w:val="18"/>
        <w:lang w:val="en"/>
      </w:rPr>
      <w:t>The Advocates for Human Rights •</w:t>
    </w:r>
    <w:r>
      <w:rPr>
        <w:rFonts w:ascii="Gill Sans MT" w:hAnsi="Gill Sans MT"/>
        <w:color w:val="333333"/>
        <w:sz w:val="18"/>
        <w:szCs w:val="18"/>
        <w:lang w:val="en"/>
      </w:rPr>
      <w:t xml:space="preserve"> 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9B62AE">
      <w:rPr>
        <w:rFonts w:ascii="Gill Sans MT" w:hAnsi="Gill Sans MT"/>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9B62AE">
      <w:rPr>
        <w:rFonts w:ascii="Gill Sans MT" w:hAnsi="Gill Sans MT"/>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9B62AE">
      <w:rPr>
        <w:rFonts w:ascii="Gill Sans MT" w:hAnsi="Gill Sans MT"/>
        <w:color w:val="333333"/>
        <w:sz w:val="18"/>
        <w:szCs w:val="18"/>
        <w:lang w:val="en"/>
      </w:rPr>
      <w:t>•</w:t>
    </w:r>
    <w:r w:rsidRPr="008856D7">
      <w:rPr>
        <w:rFonts w:ascii="Gill Sans MT" w:hAnsi="Gill Sans MT"/>
        <w:color w:val="333333"/>
        <w:sz w:val="18"/>
        <w:szCs w:val="18"/>
        <w:lang w:val="en"/>
      </w:rPr>
      <w:t xml:space="preserve"> USA </w:t>
    </w:r>
  </w:p>
  <w:p w14:paraId="08CE17E7" w14:textId="6EB17605" w:rsidR="00C2338F" w:rsidRPr="00C2338F" w:rsidRDefault="00C2338F" w:rsidP="00C2338F">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  612-341-3302</w:t>
    </w:r>
    <w:r w:rsidRPr="008856D7">
      <w:rPr>
        <w:rFonts w:ascii="Gill Sans MT" w:hAnsi="Gill Sans MT"/>
        <w:color w:val="333333"/>
        <w:sz w:val="18"/>
        <w:szCs w:val="18"/>
        <w:lang w:val="en"/>
      </w:rPr>
      <w:t xml:space="preserve"> </w:t>
    </w:r>
    <w:r w:rsidRPr="009B62AE">
      <w:rPr>
        <w:rFonts w:ascii="Gill Sans MT" w:hAnsi="Gill Sans MT"/>
        <w:color w:val="333333"/>
        <w:sz w:val="18"/>
        <w:szCs w:val="18"/>
        <w:lang w:val="en"/>
      </w:rPr>
      <w:t>•</w:t>
    </w:r>
    <w:r>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9B62AE">
      <w:rPr>
        <w:rFonts w:ascii="Gill Sans MT" w:hAnsi="Gill Sans MT"/>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9B62AE">
      <w:rPr>
        <w:rFonts w:ascii="Gill Sans MT" w:hAnsi="Gill Sans MT"/>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8D90D" w14:textId="77777777" w:rsidR="00B4788D" w:rsidRDefault="00B4788D" w:rsidP="00F31492">
      <w:r>
        <w:separator/>
      </w:r>
    </w:p>
  </w:footnote>
  <w:footnote w:type="continuationSeparator" w:id="0">
    <w:p w14:paraId="1FB7F9BF" w14:textId="77777777" w:rsidR="00B4788D" w:rsidRDefault="00B4788D" w:rsidP="00F31492">
      <w:r>
        <w:continuationSeparator/>
      </w:r>
    </w:p>
  </w:footnote>
  <w:footnote w:type="continuationNotice" w:id="1">
    <w:p w14:paraId="21C8D6BB" w14:textId="77777777" w:rsidR="00B4788D" w:rsidRDefault="00B4788D"/>
  </w:footnote>
  <w:footnote w:id="2">
    <w:p w14:paraId="6DEE953C" w14:textId="522AE84E" w:rsidR="00D20167" w:rsidRDefault="00D20167">
      <w:pPr>
        <w:pStyle w:val="FootnoteText"/>
      </w:pPr>
      <w:r>
        <w:rPr>
          <w:rStyle w:val="FootnoteReference"/>
        </w:rPr>
        <w:footnoteRef/>
      </w:r>
      <w:r w:rsidR="0052591E">
        <w:t xml:space="preserve">Department of Homeland Security, </w:t>
      </w:r>
      <w:r w:rsidR="0052591E" w:rsidRPr="000939AD">
        <w:rPr>
          <w:i/>
          <w:iCs/>
        </w:rPr>
        <w:t>DHS Begins Implementation of Immigration Enforcement Priorities</w:t>
      </w:r>
      <w:r w:rsidR="0052591E">
        <w:t xml:space="preserve">, </w:t>
      </w:r>
      <w:r w:rsidR="00E9725F">
        <w:t>(November 29, 2021),</w:t>
      </w:r>
      <w:r w:rsidRPr="000939AD">
        <w:rPr>
          <w:color w:val="auto"/>
        </w:rPr>
        <w:t xml:space="preserve"> </w:t>
      </w:r>
      <w:hyperlink r:id="rId1" w:history="1">
        <w:r w:rsidR="00E9725F" w:rsidRPr="000939AD">
          <w:rPr>
            <w:rStyle w:val="Hyperlink"/>
            <w:color w:val="auto"/>
            <w:u w:val="none"/>
          </w:rPr>
          <w:t>https://www.dhs.gov/news/2021/11/29/dhs-begins-implementation-immigration-enforcement-priorities</w:t>
        </w:r>
      </w:hyperlink>
      <w:r w:rsidR="00E9725F" w:rsidRPr="000939AD">
        <w:rPr>
          <w:color w:val="auto"/>
        </w:rPr>
        <w:t xml:space="preserve">. </w:t>
      </w:r>
    </w:p>
  </w:footnote>
  <w:footnote w:id="3">
    <w:p w14:paraId="3DD3E972" w14:textId="0E408365" w:rsidR="00C63D1E" w:rsidRDefault="00C63D1E">
      <w:pPr>
        <w:pStyle w:val="FootnoteText"/>
      </w:pPr>
      <w:r>
        <w:rPr>
          <w:rStyle w:val="FootnoteReference"/>
        </w:rPr>
        <w:footnoteRef/>
      </w:r>
      <w:r>
        <w:t xml:space="preserve"> </w:t>
      </w:r>
      <w:r w:rsidR="00A212D1">
        <w:t xml:space="preserve">Joel Rose, </w:t>
      </w:r>
      <w:r w:rsidR="00A212D1" w:rsidRPr="000939AD">
        <w:rPr>
          <w:i/>
          <w:iCs/>
        </w:rPr>
        <w:t>A federal judge in Texas blocks a major DHS policy limiting immigration enforcement,</w:t>
      </w:r>
      <w:r w:rsidR="00A212D1">
        <w:t xml:space="preserve"> </w:t>
      </w:r>
      <w:r>
        <w:t>National Public Radio</w:t>
      </w:r>
      <w:r w:rsidR="00A212D1">
        <w:t>,</w:t>
      </w:r>
      <w:r>
        <w:t xml:space="preserve"> </w:t>
      </w:r>
      <w:r w:rsidR="008C5310">
        <w:t xml:space="preserve">(June 10 2022), </w:t>
      </w:r>
      <w:hyperlink r:id="rId2" w:history="1">
        <w:r w:rsidR="008C5310" w:rsidRPr="008C5310">
          <w:rPr>
            <w:rStyle w:val="Hyperlink"/>
          </w:rPr>
          <w:t>https://www.npr.org/2022/06/10/1104340619/a-federal-judge-in-texas-blocks-a-major-dhs-policy-limiting-immigration-enforcem?t=1657906205018</w:t>
        </w:r>
      </w:hyperlink>
      <w:r w:rsidR="00A212D1">
        <w:t xml:space="preserve">. </w:t>
      </w:r>
    </w:p>
  </w:footnote>
  <w:footnote w:id="4">
    <w:p w14:paraId="78139E34" w14:textId="0A2D3BCA" w:rsidR="00905BDD" w:rsidRDefault="00905BDD">
      <w:pPr>
        <w:pStyle w:val="FootnoteText"/>
      </w:pPr>
      <w:r>
        <w:rPr>
          <w:rStyle w:val="FootnoteReference"/>
        </w:rPr>
        <w:footnoteRef/>
      </w:r>
      <w:r>
        <w:t xml:space="preserve"> </w:t>
      </w:r>
      <w:r w:rsidRPr="00EB61E8">
        <w:t>Committee on the Elimination of Racial Discrimination</w:t>
      </w:r>
      <w:r w:rsidRPr="00EB61E8">
        <w:rPr>
          <w:i/>
          <w:iCs/>
        </w:rPr>
        <w:t xml:space="preserve">, </w:t>
      </w:r>
      <w:proofErr w:type="gramStart"/>
      <w:r w:rsidRPr="00EB61E8">
        <w:rPr>
          <w:i/>
          <w:iCs/>
        </w:rPr>
        <w:t>Concluding</w:t>
      </w:r>
      <w:proofErr w:type="gramEnd"/>
      <w:r w:rsidRPr="00EB61E8">
        <w:rPr>
          <w:i/>
          <w:iCs/>
        </w:rPr>
        <w:t xml:space="preserve"> observations on the combined seventh to ninth periodic reports of the United States of American, adopted by the Committee at its 2317th session</w:t>
      </w:r>
      <w:r w:rsidRPr="00EB61E8">
        <w:t xml:space="preserve"> (26 August 2014), U.N. Doc CERD/C/USA/CO/7-9, ⁋ 1</w:t>
      </w:r>
      <w:r>
        <w:t>8.</w:t>
      </w:r>
    </w:p>
  </w:footnote>
  <w:footnote w:id="5">
    <w:p w14:paraId="69A8AC3B" w14:textId="77777777" w:rsidR="00F31492" w:rsidRDefault="00F31492" w:rsidP="00F31492">
      <w:pPr>
        <w:pStyle w:val="FootnoteText"/>
      </w:pPr>
      <w:r>
        <w:rPr>
          <w:rStyle w:val="FootnoteReference"/>
        </w:rPr>
        <w:footnoteRef/>
      </w:r>
      <w:r>
        <w:t xml:space="preserve"> </w:t>
      </w:r>
      <w:r w:rsidRPr="00EB61E8">
        <w:t>Committee on the Elimination of Racial Discrimination</w:t>
      </w:r>
      <w:r w:rsidRPr="00EB61E8">
        <w:rPr>
          <w:i/>
          <w:iCs/>
        </w:rPr>
        <w:t xml:space="preserve">, </w:t>
      </w:r>
      <w:proofErr w:type="gramStart"/>
      <w:r w:rsidRPr="00EB61E8">
        <w:rPr>
          <w:i/>
          <w:iCs/>
        </w:rPr>
        <w:t>Concluding</w:t>
      </w:r>
      <w:proofErr w:type="gramEnd"/>
      <w:r w:rsidRPr="00EB61E8">
        <w:rPr>
          <w:i/>
          <w:iCs/>
        </w:rPr>
        <w:t xml:space="preserve"> observations on the combined seventh to ninth periodic reports of the United States of American, adopted by the Committee at its 2317th session</w:t>
      </w:r>
      <w:r w:rsidRPr="00EB61E8">
        <w:t xml:space="preserve"> (26 August 2014), U.N. Doc CERD/C/USA/CO/7-9, ⁋ 1</w:t>
      </w:r>
      <w:r>
        <w:t>8.</w:t>
      </w:r>
    </w:p>
  </w:footnote>
  <w:footnote w:id="6">
    <w:p w14:paraId="06E43E83" w14:textId="77777777" w:rsidR="00F31492" w:rsidRDefault="00F31492" w:rsidP="00F31492">
      <w:pPr>
        <w:pStyle w:val="FootnoteText"/>
      </w:pPr>
      <w:r>
        <w:rPr>
          <w:rStyle w:val="FootnoteReference"/>
        </w:rPr>
        <w:footnoteRef/>
      </w:r>
      <w:r>
        <w:t xml:space="preserve"> </w:t>
      </w:r>
      <w:r w:rsidRPr="00EB61E8">
        <w:t>Committee on the Elimination of Racial Discrimination</w:t>
      </w:r>
      <w:r w:rsidRPr="00EB61E8">
        <w:rPr>
          <w:i/>
          <w:iCs/>
        </w:rPr>
        <w:t xml:space="preserve">, </w:t>
      </w:r>
      <w:proofErr w:type="gramStart"/>
      <w:r w:rsidRPr="00EB61E8">
        <w:rPr>
          <w:i/>
          <w:iCs/>
        </w:rPr>
        <w:t>Concluding</w:t>
      </w:r>
      <w:proofErr w:type="gramEnd"/>
      <w:r w:rsidRPr="00EB61E8">
        <w:rPr>
          <w:i/>
          <w:iCs/>
        </w:rPr>
        <w:t xml:space="preserve"> observations on the combined seventh to ninth periodic reports of the United States of American, adopted by the Committee at its 2317th session</w:t>
      </w:r>
      <w:r w:rsidRPr="00EB61E8">
        <w:t xml:space="preserve"> (26 August 2014), U.N. Doc CERD/C/USA/CO/7-9, ⁋ 1</w:t>
      </w:r>
      <w:r>
        <w:t xml:space="preserve">8. The Committee also expressed concern about </w:t>
      </w:r>
      <w:r w:rsidRPr="00AA6678">
        <w:t>the practice of racial profiling of racial or ethnic minorities by law enforcement officials,</w:t>
      </w:r>
      <w:r>
        <w:t xml:space="preserve"> including border enforcement officials in </w:t>
      </w:r>
      <w:r w:rsidRPr="00EB61E8">
        <w:t xml:space="preserve">⁋ </w:t>
      </w:r>
      <w:r>
        <w:t>8.</w:t>
      </w:r>
    </w:p>
  </w:footnote>
  <w:footnote w:id="7">
    <w:p w14:paraId="7D3ECA5A" w14:textId="77777777" w:rsidR="00F31492" w:rsidRPr="00B578B6" w:rsidRDefault="00F31492" w:rsidP="00F31492">
      <w:pPr>
        <w:pStyle w:val="FootnoteText"/>
      </w:pPr>
      <w:r>
        <w:rPr>
          <w:rStyle w:val="FootnoteReference"/>
        </w:rPr>
        <w:footnoteRef/>
      </w:r>
      <w:r>
        <w:t xml:space="preserve"> </w:t>
      </w:r>
      <w:r w:rsidRPr="00EB61E8">
        <w:t xml:space="preserve">Committee on the Elimination of Racial </w:t>
      </w:r>
      <w:proofErr w:type="gramStart"/>
      <w:r w:rsidRPr="00EB61E8">
        <w:t>Discrimination</w:t>
      </w:r>
      <w:r w:rsidRPr="00EB61E8">
        <w:rPr>
          <w:i/>
          <w:iCs/>
        </w:rPr>
        <w:t>,</w:t>
      </w:r>
      <w:r w:rsidRPr="00EB61E8">
        <w:t>,</w:t>
      </w:r>
      <w:proofErr w:type="gramEnd"/>
      <w:r w:rsidRPr="00EB61E8">
        <w:t xml:space="preserve"> </w:t>
      </w:r>
      <w:r w:rsidRPr="00EB61E8">
        <w:rPr>
          <w:i/>
        </w:rPr>
        <w:t>Combined tenth to twelfth periodic reports submitted by the United States of America under article 9 of the Convention</w:t>
      </w:r>
      <w:r w:rsidRPr="00EB61E8">
        <w:t>,</w:t>
      </w:r>
      <w:r w:rsidRPr="00EB61E8">
        <w:rPr>
          <w:i/>
        </w:rPr>
        <w:t xml:space="preserve"> due in 2017,</w:t>
      </w:r>
      <w:r w:rsidRPr="00EB61E8">
        <w:t xml:space="preserve"> (2 June 2021), U.N. Doc. </w:t>
      </w:r>
      <w:r w:rsidRPr="00B578B6">
        <w:t>CERD/C/USA/10-12, ¶ 17.</w:t>
      </w:r>
    </w:p>
  </w:footnote>
  <w:footnote w:id="8">
    <w:p w14:paraId="2BB7FAF3" w14:textId="6493D873" w:rsidR="009E6E65" w:rsidRPr="00C32C90" w:rsidRDefault="009E6E65">
      <w:pPr>
        <w:pStyle w:val="FootnoteText"/>
      </w:pPr>
      <w:r>
        <w:rPr>
          <w:rStyle w:val="FootnoteReference"/>
        </w:rPr>
        <w:footnoteRef/>
      </w:r>
      <w:r>
        <w:t xml:space="preserve"> </w:t>
      </w:r>
      <w:r w:rsidRPr="00EB61E8">
        <w:t>Committee on the Elimination of Racial Discrimination</w:t>
      </w:r>
      <w:r w:rsidRPr="00EB61E8">
        <w:rPr>
          <w:i/>
          <w:iCs/>
        </w:rPr>
        <w:t>,</w:t>
      </w:r>
      <w:r w:rsidR="00C32C90" w:rsidRPr="00C32C90">
        <w:t xml:space="preserve"> </w:t>
      </w:r>
      <w:r w:rsidR="00C32C90" w:rsidRPr="00C32C90">
        <w:rPr>
          <w:i/>
          <w:iCs/>
        </w:rPr>
        <w:t>List of themes in relation to the combined tenth to twelfth reports of the United States of America</w:t>
      </w:r>
      <w:r w:rsidR="00C32C90">
        <w:rPr>
          <w:i/>
          <w:iCs/>
        </w:rPr>
        <w:t xml:space="preserve"> </w:t>
      </w:r>
      <w:r w:rsidR="00C32C90">
        <w:t>(</w:t>
      </w:r>
      <w:r w:rsidR="007344B9">
        <w:t>24 June 2022), U.N. Doc</w:t>
      </w:r>
      <w:r w:rsidR="004C4460">
        <w:t xml:space="preserve">. </w:t>
      </w:r>
      <w:r w:rsidR="004C4460" w:rsidRPr="004C4460">
        <w:t>CERD/C/USA/Q/10-12</w:t>
      </w:r>
      <w:r w:rsidR="004C4460">
        <w:t xml:space="preserve">, </w:t>
      </w:r>
      <w:r w:rsidR="004C4460" w:rsidRPr="00B578B6">
        <w:t>¶</w:t>
      </w:r>
      <w:r w:rsidR="00F02CD0">
        <w:t xml:space="preserve"> 27.</w:t>
      </w:r>
    </w:p>
  </w:footnote>
  <w:footnote w:id="9">
    <w:p w14:paraId="7C4A8B02" w14:textId="5AA57960" w:rsidR="0022168D" w:rsidRPr="00DC32F0" w:rsidRDefault="0022168D">
      <w:pPr>
        <w:pStyle w:val="FootnoteText"/>
      </w:pPr>
      <w:r>
        <w:rPr>
          <w:rStyle w:val="FootnoteReference"/>
        </w:rPr>
        <w:footnoteRef/>
      </w:r>
      <w:r w:rsidRPr="003058D5">
        <w:t xml:space="preserve"> </w:t>
      </w:r>
      <w:r w:rsidR="00DC32F0">
        <w:t xml:space="preserve">Ashley </w:t>
      </w:r>
      <w:proofErr w:type="spellStart"/>
      <w:r w:rsidR="00DC32F0">
        <w:t>Nellis</w:t>
      </w:r>
      <w:proofErr w:type="spellEnd"/>
      <w:r w:rsidR="00DC32F0">
        <w:t xml:space="preserve">, </w:t>
      </w:r>
      <w:r w:rsidR="00DC32F0" w:rsidRPr="1FD7C1D3">
        <w:rPr>
          <w:i/>
          <w:iCs/>
        </w:rPr>
        <w:t>The Color of Justice: Racial and Ethnic Disparity in State Prisons</w:t>
      </w:r>
      <w:r w:rsidR="00DC32F0">
        <w:t xml:space="preserve">, </w:t>
      </w:r>
      <w:r w:rsidR="00DC32F0" w:rsidRPr="1FD7C1D3">
        <w:rPr>
          <w:smallCaps/>
        </w:rPr>
        <w:t>Sentencing Project</w:t>
      </w:r>
      <w:r w:rsidR="00DC32F0">
        <w:t xml:space="preserve"> 14 n.52 (2021) https://www.sentencingproject.org/wp-content/uploads/2016/06/The-Color-of-Justice-Racial-and-Ethnic-Disparity-in-State-Prisons.pdf (citing </w:t>
      </w:r>
      <w:proofErr w:type="spellStart"/>
      <w:r w:rsidR="00DC32F0" w:rsidRPr="008750AD">
        <w:t>Frase</w:t>
      </w:r>
      <w:proofErr w:type="spellEnd"/>
      <w:r w:rsidR="00DC32F0" w:rsidRPr="008750AD">
        <w:t xml:space="preserve">, R. &amp; Roberts, J. V. (2019). </w:t>
      </w:r>
      <w:r w:rsidR="00DC32F0" w:rsidRPr="00CB038E">
        <w:rPr>
          <w:i/>
          <w:iCs/>
        </w:rPr>
        <w:t>Paying for the past: The case against prior record sentencing enhancements</w:t>
      </w:r>
      <w:r w:rsidR="00DC32F0" w:rsidRPr="008750AD">
        <w:t>. Oxford University Press).</w:t>
      </w:r>
    </w:p>
  </w:footnote>
  <w:footnote w:id="10">
    <w:p w14:paraId="478E52E1" w14:textId="33DA5942" w:rsidR="006B4CD7" w:rsidRPr="00586C31" w:rsidRDefault="006B4CD7" w:rsidP="006B4CD7">
      <w:pPr>
        <w:rPr>
          <w:color w:val="auto"/>
          <w:szCs w:val="24"/>
          <w:highlight w:val="yellow"/>
        </w:rPr>
      </w:pPr>
      <w:r>
        <w:rPr>
          <w:rStyle w:val="FootnoteReference"/>
        </w:rPr>
        <w:footnoteRef/>
      </w:r>
      <w:r w:rsidRPr="006B4CD7">
        <w:t xml:space="preserve"> </w:t>
      </w:r>
      <w:r w:rsidRPr="006B4CD7">
        <w:rPr>
          <w:i/>
          <w:iCs/>
        </w:rPr>
        <w:t xml:space="preserve">See, </w:t>
      </w:r>
      <w:r w:rsidRPr="00586C31">
        <w:rPr>
          <w:i/>
          <w:iCs/>
        </w:rPr>
        <w:t xml:space="preserve">e.g. </w:t>
      </w:r>
      <w:r w:rsidR="00CD22F2" w:rsidRPr="00586C31">
        <w:rPr>
          <w:i/>
          <w:iCs/>
        </w:rPr>
        <w:t>The inquiry into border agents on horseback continues. Critics see “broken” system,</w:t>
      </w:r>
      <w:r w:rsidR="004D6BF0" w:rsidRPr="00586C31">
        <w:rPr>
          <w:i/>
          <w:iCs/>
        </w:rPr>
        <w:t xml:space="preserve"> </w:t>
      </w:r>
      <w:r w:rsidR="002F1AE3" w:rsidRPr="00586C31">
        <w:t>MPR News</w:t>
      </w:r>
      <w:r w:rsidR="002F1AE3" w:rsidRPr="00586C31">
        <w:rPr>
          <w:i/>
          <w:iCs/>
        </w:rPr>
        <w:t xml:space="preserve">, </w:t>
      </w:r>
      <w:r w:rsidR="00586C31" w:rsidRPr="00586C31">
        <w:t xml:space="preserve">Nov. 6, </w:t>
      </w:r>
      <w:r w:rsidR="00586C31" w:rsidRPr="00586C31">
        <w:rPr>
          <w:color w:val="auto"/>
        </w:rPr>
        <w:t xml:space="preserve">2021, </w:t>
      </w:r>
      <w:hyperlink r:id="rId3" w:history="1">
        <w:r w:rsidRPr="00586C31">
          <w:rPr>
            <w:rStyle w:val="Hyperlink"/>
            <w:color w:val="auto"/>
            <w:szCs w:val="24"/>
            <w:u w:val="none"/>
          </w:rPr>
          <w:t>https://www.npr.org/2021/11/06/1052786254/border-patrol-agents-horseback-investigation-haitian-immigrants</w:t>
        </w:r>
      </w:hyperlink>
      <w:r w:rsidR="00586C31">
        <w:rPr>
          <w:color w:val="auto"/>
          <w:szCs w:val="24"/>
        </w:rPr>
        <w:t>.</w:t>
      </w:r>
    </w:p>
  </w:footnote>
  <w:footnote w:id="11">
    <w:p w14:paraId="716FC389" w14:textId="451BA31D" w:rsidR="00E6299C" w:rsidRPr="000939AD" w:rsidRDefault="00E6299C" w:rsidP="00FA7C24">
      <w:pPr>
        <w:pStyle w:val="FootnoteText"/>
        <w:rPr>
          <w:color w:val="auto"/>
        </w:rPr>
      </w:pPr>
      <w:r w:rsidRPr="000939AD">
        <w:rPr>
          <w:rStyle w:val="FootnoteReference"/>
          <w:color w:val="auto"/>
        </w:rPr>
        <w:footnoteRef/>
      </w:r>
      <w:r w:rsidRPr="000939AD">
        <w:rPr>
          <w:color w:val="auto"/>
        </w:rPr>
        <w:t xml:space="preserve"> Black immigrant lives are under attack. RAICES. (n.d.). Retrieved July 6, 2022, from </w:t>
      </w:r>
      <w:hyperlink r:id="rId4" w:history="1">
        <w:r w:rsidRPr="000939AD">
          <w:rPr>
            <w:rStyle w:val="Hyperlink"/>
            <w:color w:val="auto"/>
            <w:u w:val="none"/>
          </w:rPr>
          <w:t>https://www.raicestexas.org/2020/07/22/black-immigrant-lives-are-under-attack/</w:t>
        </w:r>
      </w:hyperlink>
      <w:r w:rsidR="00FA25C2" w:rsidRPr="000939AD">
        <w:rPr>
          <w:color w:val="auto"/>
        </w:rPr>
        <w:t>.</w:t>
      </w:r>
    </w:p>
  </w:footnote>
  <w:footnote w:id="12">
    <w:p w14:paraId="38ABED17" w14:textId="1E596E27" w:rsidR="005018D3" w:rsidRPr="00F13500" w:rsidRDefault="005018D3" w:rsidP="000939AD">
      <w:pPr>
        <w:ind w:right="720"/>
        <w:rPr>
          <w:color w:val="auto"/>
          <w:kern w:val="0"/>
        </w:rPr>
      </w:pPr>
      <w:r w:rsidRPr="000939AD">
        <w:rPr>
          <w:rStyle w:val="FootnoteReference"/>
          <w:color w:val="auto"/>
        </w:rPr>
        <w:footnoteRef/>
      </w:r>
      <w:r w:rsidRPr="000939AD">
        <w:rPr>
          <w:color w:val="auto"/>
        </w:rPr>
        <w:t xml:space="preserve"> </w:t>
      </w:r>
      <w:r w:rsidR="00D9112E" w:rsidRPr="000939AD">
        <w:rPr>
          <w:color w:val="auto"/>
        </w:rPr>
        <w:t xml:space="preserve">Bill Ong Hing, Addressing the Intersection of Racial </w:t>
      </w:r>
      <w:proofErr w:type="gramStart"/>
      <w:r w:rsidR="00D9112E" w:rsidRPr="000939AD">
        <w:rPr>
          <w:color w:val="auto"/>
        </w:rPr>
        <w:t>Justice</w:t>
      </w:r>
      <w:proofErr w:type="gramEnd"/>
      <w:r w:rsidR="00D9112E" w:rsidRPr="000939AD">
        <w:rPr>
          <w:color w:val="auto"/>
        </w:rPr>
        <w:t xml:space="preserve"> and Immigrant Rights, 9 Belmont L. Rev. 357, 362 (2022)</w:t>
      </w:r>
      <w:r w:rsidR="00FA25C2" w:rsidRPr="000939AD">
        <w:rPr>
          <w:color w:val="auto"/>
        </w:rPr>
        <w:t xml:space="preserve">. </w:t>
      </w:r>
    </w:p>
  </w:footnote>
  <w:footnote w:id="13">
    <w:p w14:paraId="5B58492C" w14:textId="7C5B9958" w:rsidR="00E6299C" w:rsidRPr="000939AD" w:rsidRDefault="00E6299C" w:rsidP="00FA7C24">
      <w:pPr>
        <w:pStyle w:val="FootnoteText"/>
        <w:rPr>
          <w:color w:val="auto"/>
        </w:rPr>
      </w:pPr>
      <w:r w:rsidRPr="000939AD">
        <w:rPr>
          <w:rStyle w:val="FootnoteReference"/>
          <w:color w:val="auto"/>
        </w:rPr>
        <w:footnoteRef/>
      </w:r>
      <w:r w:rsidRPr="000939AD">
        <w:rPr>
          <w:color w:val="auto"/>
        </w:rPr>
        <w:t xml:space="preserve"> Black immigrant lives are under attack. RAICES. (n.d.). Retrieved July 6, 2022, from </w:t>
      </w:r>
      <w:hyperlink r:id="rId5" w:history="1">
        <w:r w:rsidRPr="000939AD">
          <w:rPr>
            <w:rStyle w:val="Hyperlink"/>
            <w:color w:val="auto"/>
            <w:u w:val="none"/>
          </w:rPr>
          <w:t>https://www.raicestexas.org/2020/07/22/black-immigrant-lives-are-under-attack/</w:t>
        </w:r>
      </w:hyperlink>
      <w:r w:rsidR="00F13500" w:rsidRPr="000939AD">
        <w:rPr>
          <w:rStyle w:val="Hyperlink"/>
          <w:color w:val="auto"/>
          <w:u w:val="none"/>
        </w:rPr>
        <w:t xml:space="preserve">. </w:t>
      </w:r>
    </w:p>
  </w:footnote>
  <w:footnote w:id="14">
    <w:p w14:paraId="32D6BBB4" w14:textId="77777777" w:rsidR="00E6299C" w:rsidRPr="000939AD" w:rsidRDefault="00E6299C" w:rsidP="00FA7C24">
      <w:pPr>
        <w:pStyle w:val="FootnoteText"/>
        <w:rPr>
          <w:color w:val="auto"/>
        </w:rPr>
      </w:pPr>
      <w:r w:rsidRPr="000939AD">
        <w:rPr>
          <w:rStyle w:val="FootnoteReference"/>
          <w:color w:val="auto"/>
        </w:rPr>
        <w:footnoteRef/>
      </w:r>
      <w:r w:rsidRPr="000939AD">
        <w:rPr>
          <w:color w:val="auto"/>
        </w:rPr>
        <w:t xml:space="preserve"> Id. </w:t>
      </w:r>
    </w:p>
  </w:footnote>
  <w:footnote w:id="15">
    <w:p w14:paraId="72EBAFCB" w14:textId="77777777" w:rsidR="00E6299C" w:rsidRPr="000939AD" w:rsidRDefault="00E6299C" w:rsidP="00FA7C24">
      <w:pPr>
        <w:pStyle w:val="FootnoteText"/>
        <w:rPr>
          <w:color w:val="auto"/>
        </w:rPr>
      </w:pPr>
      <w:r w:rsidRPr="000939AD">
        <w:rPr>
          <w:rStyle w:val="FootnoteReference"/>
          <w:color w:val="auto"/>
        </w:rPr>
        <w:footnoteRef/>
      </w:r>
      <w:r w:rsidRPr="000939AD">
        <w:rPr>
          <w:color w:val="auto"/>
        </w:rPr>
        <w:t xml:space="preserve"> Id. </w:t>
      </w:r>
    </w:p>
  </w:footnote>
  <w:footnote w:id="16">
    <w:p w14:paraId="13081997" w14:textId="77777777" w:rsidR="00247E02" w:rsidRPr="000939AD" w:rsidRDefault="00247E02" w:rsidP="00FA7C24">
      <w:pPr>
        <w:pStyle w:val="FootnoteText"/>
        <w:rPr>
          <w:color w:val="auto"/>
        </w:rPr>
      </w:pPr>
      <w:r w:rsidRPr="000939AD">
        <w:rPr>
          <w:rStyle w:val="FootnoteReference"/>
          <w:color w:val="auto"/>
        </w:rPr>
        <w:footnoteRef/>
      </w:r>
      <w:r w:rsidRPr="000939AD">
        <w:rPr>
          <w:color w:val="auto"/>
        </w:rPr>
        <w:t xml:space="preserve"> The Advocates for Human Rights, </w:t>
      </w:r>
      <w:r w:rsidRPr="000939AD">
        <w:rPr>
          <w:i/>
          <w:iCs/>
          <w:color w:val="auto"/>
        </w:rPr>
        <w:t xml:space="preserve">Bearing Witness in the Moment: Report from the Immigration Court Observation Project, </w:t>
      </w:r>
      <w:r w:rsidRPr="000939AD">
        <w:rPr>
          <w:color w:val="auto"/>
        </w:rPr>
        <w:t xml:space="preserve">(Minneapolis, Minnesota: 2020), </w:t>
      </w:r>
      <w:hyperlink r:id="rId6" w:history="1">
        <w:r w:rsidRPr="00F13500">
          <w:rPr>
            <w:rStyle w:val="Hyperlink"/>
            <w:color w:val="auto"/>
            <w:u w:val="none"/>
          </w:rPr>
          <w:t>https://www.theadvocatesforhumanrights.org/res/byid/8597</w:t>
        </w:r>
      </w:hyperlink>
      <w:r w:rsidRPr="000939AD">
        <w:rPr>
          <w:color w:val="auto"/>
        </w:rPr>
        <w:t xml:space="preserve">. </w:t>
      </w:r>
    </w:p>
  </w:footnote>
  <w:footnote w:id="17">
    <w:p w14:paraId="37C17D08" w14:textId="77777777" w:rsidR="00247E02" w:rsidRPr="00F13500" w:rsidRDefault="00247E02" w:rsidP="00FA7C24">
      <w:pPr>
        <w:pStyle w:val="FootnoteText"/>
        <w:rPr>
          <w:color w:val="auto"/>
        </w:rPr>
      </w:pPr>
      <w:r w:rsidRPr="000939AD">
        <w:rPr>
          <w:rStyle w:val="FootnoteReference"/>
          <w:color w:val="auto"/>
        </w:rPr>
        <w:footnoteRef/>
      </w:r>
      <w:r w:rsidRPr="000939AD">
        <w:rPr>
          <w:color w:val="auto"/>
        </w:rPr>
        <w:t xml:space="preserve"> Black Alliance for Just Immigration and NYU School of Law Immigrant Rights Clinic, </w:t>
      </w:r>
      <w:r w:rsidRPr="000939AD">
        <w:rPr>
          <w:i/>
          <w:iCs/>
          <w:color w:val="auto"/>
        </w:rPr>
        <w:t xml:space="preserve">The State of Black Immigrants </w:t>
      </w:r>
      <w:r w:rsidRPr="000939AD">
        <w:rPr>
          <w:color w:val="auto"/>
        </w:rPr>
        <w:t>by Juliana Morgan-</w:t>
      </w:r>
      <w:proofErr w:type="spellStart"/>
      <w:r w:rsidRPr="000939AD">
        <w:rPr>
          <w:color w:val="auto"/>
        </w:rPr>
        <w:t>Trostle</w:t>
      </w:r>
      <w:proofErr w:type="spellEnd"/>
      <w:r w:rsidRPr="000939AD">
        <w:rPr>
          <w:color w:val="auto"/>
        </w:rPr>
        <w:t xml:space="preserve">, </w:t>
      </w:r>
      <w:proofErr w:type="spellStart"/>
      <w:r w:rsidRPr="000939AD">
        <w:rPr>
          <w:color w:val="auto"/>
        </w:rPr>
        <w:t>Kexin</w:t>
      </w:r>
      <w:proofErr w:type="spellEnd"/>
      <w:r w:rsidRPr="000939AD">
        <w:rPr>
          <w:color w:val="auto"/>
        </w:rPr>
        <w:t xml:space="preserve"> Zheng, and Carl Lipscombe, (2022),  </w:t>
      </w:r>
      <w:hyperlink r:id="rId7" w:history="1">
        <w:r w:rsidRPr="00F13500">
          <w:rPr>
            <w:rStyle w:val="Hyperlink"/>
            <w:color w:val="auto"/>
            <w:u w:val="none"/>
          </w:rPr>
          <w:t>https://www.immigrationresearch.org/system/files/sobi-fullreport-jan22.pdf</w:t>
        </w:r>
      </w:hyperlink>
      <w:r w:rsidRPr="00F13500">
        <w:rPr>
          <w:rStyle w:val="Hyperlink"/>
          <w:color w:val="auto"/>
          <w:u w:val="none"/>
        </w:rPr>
        <w:t xml:space="preserve">; see also Spencer Woodman, </w:t>
      </w:r>
      <w:r w:rsidRPr="00F13500">
        <w:rPr>
          <w:rStyle w:val="Hyperlink"/>
          <w:i/>
          <w:iCs/>
          <w:color w:val="auto"/>
          <w:u w:val="none"/>
        </w:rPr>
        <w:t xml:space="preserve">U.S. isolates detained immigrants from majority, black countries at high rate, study finds, </w:t>
      </w:r>
      <w:r w:rsidRPr="00F13500">
        <w:rPr>
          <w:rStyle w:val="Hyperlink"/>
          <w:color w:val="auto"/>
          <w:u w:val="none"/>
        </w:rPr>
        <w:t xml:space="preserve">International Consortium of Investigative Journalists, Apr. 21, 2020, </w:t>
      </w:r>
    </w:p>
    <w:p w14:paraId="14E67E24" w14:textId="77777777" w:rsidR="00247E02" w:rsidRPr="000939AD" w:rsidRDefault="004759CD" w:rsidP="00FA7C24">
      <w:pPr>
        <w:pStyle w:val="FootnoteText"/>
        <w:rPr>
          <w:color w:val="auto"/>
        </w:rPr>
      </w:pPr>
      <w:hyperlink r:id="rId8" w:history="1">
        <w:r w:rsidR="00247E02" w:rsidRPr="00F13500">
          <w:rPr>
            <w:rStyle w:val="Hyperlink"/>
            <w:color w:val="auto"/>
            <w:szCs w:val="24"/>
            <w:u w:val="none"/>
          </w:rPr>
          <w:t>https://www.icij.org/investigations/solitary-voices/u-s-isolates-detained-immigrants-from-majority-black-countries-at-high-rate-study-finds/</w:t>
        </w:r>
      </w:hyperlink>
      <w:r w:rsidR="00247E02" w:rsidRPr="00F13500">
        <w:rPr>
          <w:rStyle w:val="Hyperlink"/>
          <w:color w:val="auto"/>
          <w:szCs w:val="24"/>
          <w:u w:val="none"/>
        </w:rPr>
        <w:t>.</w:t>
      </w:r>
    </w:p>
  </w:footnote>
  <w:footnote w:id="18">
    <w:p w14:paraId="6981E392" w14:textId="77777777" w:rsidR="00247E02" w:rsidRPr="000939AD" w:rsidRDefault="00247E02" w:rsidP="00FA7C24">
      <w:pPr>
        <w:pStyle w:val="FootnoteText"/>
        <w:rPr>
          <w:color w:val="auto"/>
        </w:rPr>
      </w:pPr>
      <w:r w:rsidRPr="000939AD">
        <w:rPr>
          <w:rStyle w:val="FootnoteReference"/>
          <w:color w:val="auto"/>
        </w:rPr>
        <w:footnoteRef/>
      </w:r>
      <w:r w:rsidRPr="000939AD">
        <w:rPr>
          <w:color w:val="auto"/>
        </w:rPr>
        <w:t xml:space="preserve"> Id. </w:t>
      </w:r>
    </w:p>
  </w:footnote>
  <w:footnote w:id="19">
    <w:p w14:paraId="37045698" w14:textId="77777777" w:rsidR="00247E02" w:rsidRPr="000939AD" w:rsidRDefault="00247E02" w:rsidP="00FA7C24">
      <w:pPr>
        <w:pStyle w:val="FootnoteText"/>
        <w:rPr>
          <w:color w:val="auto"/>
        </w:rPr>
      </w:pPr>
      <w:r w:rsidRPr="000939AD">
        <w:rPr>
          <w:rStyle w:val="FootnoteReference"/>
          <w:color w:val="auto"/>
        </w:rPr>
        <w:footnoteRef/>
      </w:r>
      <w:r w:rsidRPr="000939AD">
        <w:rPr>
          <w:color w:val="auto"/>
        </w:rPr>
        <w:t xml:space="preserve"> Id. </w:t>
      </w:r>
    </w:p>
  </w:footnote>
  <w:footnote w:id="20">
    <w:p w14:paraId="6CE5E9AF" w14:textId="19AA4308" w:rsidR="00F31492" w:rsidRPr="000939AD" w:rsidRDefault="00F31492" w:rsidP="00FA7C24">
      <w:pPr>
        <w:rPr>
          <w:color w:val="auto"/>
          <w:szCs w:val="24"/>
        </w:rPr>
      </w:pPr>
      <w:r w:rsidRPr="00F13500">
        <w:rPr>
          <w:rStyle w:val="FootnoteReference"/>
          <w:color w:val="auto"/>
        </w:rPr>
        <w:footnoteRef/>
      </w:r>
      <w:r w:rsidRPr="00F13500">
        <w:rPr>
          <w:color w:val="auto"/>
        </w:rPr>
        <w:t xml:space="preserve"> </w:t>
      </w:r>
      <w:r w:rsidR="00586C31" w:rsidRPr="00F13500">
        <w:rPr>
          <w:i/>
          <w:iCs/>
          <w:color w:val="auto"/>
        </w:rPr>
        <w:t xml:space="preserve">The inquiry into border agents on horseback continues. Critics see “broken” system, </w:t>
      </w:r>
      <w:r w:rsidR="00586C31" w:rsidRPr="00F13500">
        <w:rPr>
          <w:color w:val="auto"/>
        </w:rPr>
        <w:t>MPR News</w:t>
      </w:r>
      <w:r w:rsidR="00586C31" w:rsidRPr="00F13500">
        <w:rPr>
          <w:i/>
          <w:iCs/>
          <w:color w:val="auto"/>
        </w:rPr>
        <w:t xml:space="preserve">, </w:t>
      </w:r>
      <w:r w:rsidR="00586C31" w:rsidRPr="00F13500">
        <w:rPr>
          <w:color w:val="auto"/>
        </w:rPr>
        <w:t xml:space="preserve">Nov. 6, 2021, </w:t>
      </w:r>
      <w:hyperlink r:id="rId9" w:history="1">
        <w:r w:rsidRPr="00F13500">
          <w:rPr>
            <w:rStyle w:val="Hyperlink"/>
            <w:color w:val="auto"/>
            <w:szCs w:val="24"/>
            <w:u w:val="none"/>
          </w:rPr>
          <w:t>https://www.npr.org/2021/11/06/1052786254/border-patrol-agents-horseback-investigation-haitian-immigrants</w:t>
        </w:r>
      </w:hyperlink>
      <w:r w:rsidR="00586C31" w:rsidRPr="00F13500">
        <w:rPr>
          <w:color w:val="auto"/>
          <w:szCs w:val="24"/>
        </w:rPr>
        <w:t>.</w:t>
      </w:r>
    </w:p>
  </w:footnote>
  <w:footnote w:id="21">
    <w:p w14:paraId="4B42DCAE" w14:textId="64ECDD4D" w:rsidR="00F31492" w:rsidRPr="000939AD" w:rsidRDefault="00F31492" w:rsidP="00FA7C24">
      <w:pPr>
        <w:pStyle w:val="FootnoteText"/>
        <w:rPr>
          <w:color w:val="auto"/>
        </w:rPr>
      </w:pPr>
      <w:r w:rsidRPr="000939AD">
        <w:rPr>
          <w:rStyle w:val="FootnoteReference"/>
          <w:color w:val="auto"/>
        </w:rPr>
        <w:footnoteRef/>
      </w:r>
      <w:r w:rsidRPr="000939AD">
        <w:rPr>
          <w:color w:val="auto"/>
        </w:rPr>
        <w:t xml:space="preserve"> </w:t>
      </w:r>
      <w:r w:rsidR="00913DF4" w:rsidRPr="000939AD">
        <w:rPr>
          <w:color w:val="auto"/>
        </w:rPr>
        <w:t>Kate Morrissey and Alexandra Mendoza</w:t>
      </w:r>
      <w:r w:rsidR="00913DF4" w:rsidRPr="000939AD">
        <w:rPr>
          <w:i/>
          <w:iCs/>
          <w:color w:val="auto"/>
        </w:rPr>
        <w:t xml:space="preserve">, </w:t>
      </w:r>
      <w:r w:rsidR="00C81B04" w:rsidRPr="000939AD">
        <w:rPr>
          <w:i/>
          <w:iCs/>
          <w:color w:val="auto"/>
        </w:rPr>
        <w:t xml:space="preserve">CBP begins rapid processing of Ukrainians at </w:t>
      </w:r>
      <w:proofErr w:type="spellStart"/>
      <w:r w:rsidR="00C81B04" w:rsidRPr="000939AD">
        <w:rPr>
          <w:i/>
          <w:iCs/>
          <w:color w:val="auto"/>
        </w:rPr>
        <w:t>PedWest</w:t>
      </w:r>
      <w:proofErr w:type="spellEnd"/>
      <w:r w:rsidR="00C81B04" w:rsidRPr="000939AD">
        <w:rPr>
          <w:i/>
          <w:iCs/>
          <w:color w:val="auto"/>
        </w:rPr>
        <w:t xml:space="preserve"> border </w:t>
      </w:r>
      <w:proofErr w:type="gramStart"/>
      <w:r w:rsidR="00C81B04" w:rsidRPr="000939AD">
        <w:rPr>
          <w:i/>
          <w:iCs/>
          <w:color w:val="auto"/>
        </w:rPr>
        <w:t>crossing,</w:t>
      </w:r>
      <w:r w:rsidR="00C81B04" w:rsidRPr="000939AD">
        <w:rPr>
          <w:color w:val="auto"/>
        </w:rPr>
        <w:t xml:space="preserve">  </w:t>
      </w:r>
      <w:r w:rsidR="004C661D" w:rsidRPr="000939AD">
        <w:rPr>
          <w:color w:val="auto"/>
        </w:rPr>
        <w:t>The</w:t>
      </w:r>
      <w:proofErr w:type="gramEnd"/>
      <w:r w:rsidR="004C661D" w:rsidRPr="000939AD">
        <w:rPr>
          <w:color w:val="auto"/>
        </w:rPr>
        <w:t xml:space="preserve"> San Diego Union Tribune, Apr. 6, 2022,</w:t>
      </w:r>
      <w:r w:rsidRPr="000939AD">
        <w:rPr>
          <w:i/>
          <w:color w:val="auto"/>
        </w:rPr>
        <w:t xml:space="preserve"> </w:t>
      </w:r>
      <w:r w:rsidRPr="000939AD">
        <w:rPr>
          <w:color w:val="auto"/>
        </w:rPr>
        <w:t>https://www.sandiegouniontribune.com/news/border-baja-california/story/2022-04-06/cbp-ukrainians-pedwest</w:t>
      </w:r>
      <w:r w:rsidR="004C661D" w:rsidRPr="000939AD">
        <w:rPr>
          <w:color w:val="auto"/>
        </w:rPr>
        <w:t>.</w:t>
      </w:r>
    </w:p>
  </w:footnote>
  <w:footnote w:id="22">
    <w:p w14:paraId="5F18CDA9" w14:textId="388D4425" w:rsidR="00F31492" w:rsidRPr="000939AD" w:rsidRDefault="00F31492" w:rsidP="00FA7C24">
      <w:pPr>
        <w:pStyle w:val="FootnoteText"/>
        <w:rPr>
          <w:color w:val="auto"/>
        </w:rPr>
      </w:pPr>
      <w:r w:rsidRPr="000939AD">
        <w:rPr>
          <w:rStyle w:val="FootnoteReference"/>
          <w:color w:val="auto"/>
        </w:rPr>
        <w:footnoteRef/>
      </w:r>
      <w:r w:rsidR="002E5E52" w:rsidRPr="000939AD">
        <w:rPr>
          <w:color w:val="auto"/>
        </w:rPr>
        <w:t xml:space="preserve"> Rebecca </w:t>
      </w:r>
      <w:proofErr w:type="spellStart"/>
      <w:r w:rsidR="002E5E52" w:rsidRPr="000939AD">
        <w:rPr>
          <w:color w:val="auto"/>
        </w:rPr>
        <w:t>Beitsch</w:t>
      </w:r>
      <w:proofErr w:type="spellEnd"/>
      <w:r w:rsidR="002E5E52" w:rsidRPr="000939AD">
        <w:rPr>
          <w:color w:val="auto"/>
        </w:rPr>
        <w:t xml:space="preserve">, </w:t>
      </w:r>
      <w:r w:rsidR="002E5E52" w:rsidRPr="000939AD">
        <w:rPr>
          <w:i/>
          <w:iCs/>
          <w:color w:val="auto"/>
        </w:rPr>
        <w:t xml:space="preserve">Critics decry double standard on migrants amid Ukraine crisis, </w:t>
      </w:r>
      <w:r w:rsidR="002E5E52" w:rsidRPr="000939AD">
        <w:rPr>
          <w:color w:val="auto"/>
        </w:rPr>
        <w:t xml:space="preserve">The Hill, </w:t>
      </w:r>
      <w:r w:rsidR="00BD21F6" w:rsidRPr="000939AD">
        <w:rPr>
          <w:color w:val="auto"/>
        </w:rPr>
        <w:t>March 31, 2022,</w:t>
      </w:r>
      <w:r w:rsidRPr="000939AD">
        <w:rPr>
          <w:color w:val="auto"/>
        </w:rPr>
        <w:t xml:space="preserve"> https://thehill.com/policy/national-security/600440-critics-decry-double-standard-on-refugees-amid-ukraine-crisis/</w:t>
      </w:r>
    </w:p>
  </w:footnote>
  <w:footnote w:id="23">
    <w:p w14:paraId="1CDAB1D3" w14:textId="6CF64F14" w:rsidR="00985C42" w:rsidRPr="000939AD" w:rsidRDefault="00985C42" w:rsidP="00FA7C24">
      <w:pPr>
        <w:pStyle w:val="FootnoteText"/>
        <w:rPr>
          <w:color w:val="auto"/>
        </w:rPr>
      </w:pPr>
      <w:r w:rsidRPr="000939AD">
        <w:rPr>
          <w:rStyle w:val="FootnoteReference"/>
          <w:color w:val="auto"/>
        </w:rPr>
        <w:footnoteRef/>
      </w:r>
      <w:r w:rsidRPr="000939AD">
        <w:rPr>
          <w:color w:val="auto"/>
        </w:rPr>
        <w:t xml:space="preserve"> https://www.uscis.gov/ukraine</w:t>
      </w:r>
    </w:p>
  </w:footnote>
  <w:footnote w:id="24">
    <w:p w14:paraId="75771AC1" w14:textId="3C7E25EE" w:rsidR="003341BF" w:rsidRPr="000939AD" w:rsidRDefault="003341BF" w:rsidP="00FA7C24">
      <w:pPr>
        <w:pStyle w:val="FootnoteText"/>
        <w:rPr>
          <w:color w:val="auto"/>
        </w:rPr>
      </w:pPr>
      <w:r w:rsidRPr="000939AD">
        <w:rPr>
          <w:rStyle w:val="FootnoteReference"/>
          <w:color w:val="auto"/>
        </w:rPr>
        <w:footnoteRef/>
      </w:r>
      <w:r w:rsidRPr="000939AD">
        <w:rPr>
          <w:color w:val="auto"/>
        </w:rPr>
        <w:t xml:space="preserve"> https://foreignpolicy.com/2022/04/05/biden-cameroon-tps-ukraine-refugees-asylum-immigration-homeland-security/</w:t>
      </w:r>
    </w:p>
  </w:footnote>
  <w:footnote w:id="25">
    <w:p w14:paraId="755F60A5" w14:textId="6D61DF79" w:rsidR="002F7239" w:rsidRPr="000939AD" w:rsidRDefault="002F7239" w:rsidP="00FA7C24">
      <w:pPr>
        <w:pStyle w:val="FootnoteText"/>
        <w:rPr>
          <w:color w:val="auto"/>
        </w:rPr>
      </w:pPr>
      <w:r w:rsidRPr="000939AD">
        <w:rPr>
          <w:rStyle w:val="FootnoteReference"/>
          <w:color w:val="auto"/>
        </w:rPr>
        <w:footnoteRef/>
      </w:r>
      <w:r w:rsidRPr="000939AD">
        <w:rPr>
          <w:color w:val="auto"/>
        </w:rPr>
        <w:t xml:space="preserve"> https://www.markey.senate.gov/download/oversight-letter-redisparate-treatment-of-afghan-and-ukrainian-refugees</w:t>
      </w:r>
    </w:p>
  </w:footnote>
  <w:footnote w:id="26">
    <w:p w14:paraId="14FB4137" w14:textId="6E1161A6" w:rsidR="004E7838" w:rsidRPr="000939AD" w:rsidRDefault="004E7838" w:rsidP="00FA7C24">
      <w:pPr>
        <w:pStyle w:val="FootnoteText"/>
        <w:rPr>
          <w:color w:val="auto"/>
        </w:rPr>
      </w:pPr>
      <w:r w:rsidRPr="000939AD">
        <w:rPr>
          <w:rStyle w:val="FootnoteReference"/>
          <w:color w:val="auto"/>
        </w:rPr>
        <w:footnoteRef/>
      </w:r>
      <w:r w:rsidRPr="000939AD">
        <w:rPr>
          <w:color w:val="auto"/>
        </w:rPr>
        <w:t xml:space="preserve"> Committee on the Elimination of Racial Discrimination</w:t>
      </w:r>
      <w:r w:rsidRPr="000939AD">
        <w:rPr>
          <w:i/>
          <w:iCs/>
          <w:color w:val="auto"/>
        </w:rPr>
        <w:t>,</w:t>
      </w:r>
      <w:r w:rsidRPr="000939AD">
        <w:rPr>
          <w:color w:val="auto"/>
        </w:rPr>
        <w:t xml:space="preserve"> </w:t>
      </w:r>
      <w:r w:rsidRPr="000939AD">
        <w:rPr>
          <w:i/>
          <w:iCs/>
          <w:color w:val="auto"/>
        </w:rPr>
        <w:t xml:space="preserve">List of themes in relation to the combined tenth to twelfth reports of the United States of America </w:t>
      </w:r>
      <w:r w:rsidRPr="000939AD">
        <w:rPr>
          <w:color w:val="auto"/>
        </w:rPr>
        <w:t>(24 June 2022), U.N. Doc. CERD/C/USA/Q/10-12, ¶ 26.</w:t>
      </w:r>
    </w:p>
  </w:footnote>
  <w:footnote w:id="27">
    <w:p w14:paraId="27A30209" w14:textId="7C3F7BDE" w:rsidR="00F31492" w:rsidRPr="000939AD" w:rsidRDefault="00F31492" w:rsidP="00FA7C24">
      <w:pPr>
        <w:pStyle w:val="FootnoteText"/>
        <w:rPr>
          <w:color w:val="auto"/>
        </w:rPr>
      </w:pPr>
      <w:r w:rsidRPr="000939AD">
        <w:rPr>
          <w:rStyle w:val="FootnoteReference"/>
          <w:color w:val="auto"/>
        </w:rPr>
        <w:footnoteRef/>
      </w:r>
      <w:r w:rsidRPr="000939AD">
        <w:rPr>
          <w:color w:val="auto"/>
        </w:rPr>
        <w:t xml:space="preserve"> Committee on the Elimination of Racial Discrimination, </w:t>
      </w:r>
      <w:proofErr w:type="gramStart"/>
      <w:r w:rsidRPr="000939AD">
        <w:rPr>
          <w:i/>
          <w:color w:val="auto"/>
        </w:rPr>
        <w:t>Combined</w:t>
      </w:r>
      <w:proofErr w:type="gramEnd"/>
      <w:r w:rsidRPr="000939AD">
        <w:rPr>
          <w:i/>
          <w:color w:val="auto"/>
        </w:rPr>
        <w:t xml:space="preserve"> tenth to twelfth periodic reports submitted by the United States of America under article 9 of the Convention</w:t>
      </w:r>
      <w:r w:rsidRPr="000939AD">
        <w:rPr>
          <w:color w:val="auto"/>
        </w:rPr>
        <w:t>,</w:t>
      </w:r>
      <w:r w:rsidRPr="000939AD">
        <w:rPr>
          <w:i/>
          <w:color w:val="auto"/>
        </w:rPr>
        <w:t xml:space="preserve"> due in 2017,</w:t>
      </w:r>
      <w:r w:rsidRPr="000939AD">
        <w:rPr>
          <w:color w:val="auto"/>
        </w:rPr>
        <w:t xml:space="preserve"> (2 June 2021), U.N. Doc. CERD/C/USA/10-12, ¶ 88.</w:t>
      </w:r>
    </w:p>
  </w:footnote>
  <w:footnote w:id="28">
    <w:p w14:paraId="3391DD3A"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Immigration and Nationality Act (INA) § 235(b)(1)(B)(iii)(IV).</w:t>
      </w:r>
    </w:p>
  </w:footnote>
  <w:footnote w:id="29">
    <w:p w14:paraId="7DE0B842"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Section 236(c) of the INA mandates detention of any alien who is inadmissible by reason of having committed any offense covered in § 212(a)(2); is deportable by reason of having committed any offense covered in INA § 273(a)(2)(A)(ii), (A)(iii), (B), (C), or (D); is deportable under Immigration and Nationality Act (INA) § 237(a)(2)(A)(</w:t>
      </w:r>
      <w:proofErr w:type="spellStart"/>
      <w:r w:rsidRPr="000939AD">
        <w:rPr>
          <w:color w:val="auto"/>
        </w:rPr>
        <w:t>i</w:t>
      </w:r>
      <w:proofErr w:type="spellEnd"/>
      <w:r w:rsidRPr="000939AD">
        <w:rPr>
          <w:color w:val="auto"/>
        </w:rPr>
        <w:t>) on the basis of an offense for which the alien has been sentenced to a term of imprisonment of at least 1 year; or is inadmissible under Immigration and Nationality Act (INA)  § 212(a)(3)(B) or deportable under Immigration and Nationality Act (INA) § 237(a)(4)(B) when the alien is released, without regard to whether the alien is released on parole, supervised release, or probation, and without regard to whether the alien may be arrested or imprisoned again for the same offense.</w:t>
      </w:r>
    </w:p>
  </w:footnote>
  <w:footnote w:id="30">
    <w:p w14:paraId="3109B30A" w14:textId="422C5EE2" w:rsidR="00F31492" w:rsidRPr="00F13500"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Human Rights Watch</w:t>
      </w:r>
      <w:r w:rsidRPr="00F13500">
        <w:rPr>
          <w:color w:val="auto"/>
        </w:rPr>
        <w:t xml:space="preserve">, </w:t>
      </w:r>
      <w:r w:rsidRPr="00F13500">
        <w:rPr>
          <w:i/>
          <w:color w:val="auto"/>
        </w:rPr>
        <w:t>Costly and Unfair: Flaws in the US Immigration Detention Policy</w:t>
      </w:r>
      <w:r w:rsidRPr="00F13500">
        <w:rPr>
          <w:color w:val="auto"/>
        </w:rPr>
        <w:t xml:space="preserve"> (May 2010), 8-9. Also available at: </w:t>
      </w:r>
      <w:hyperlink r:id="rId10" w:history="1">
        <w:r w:rsidRPr="00F13500">
          <w:rPr>
            <w:rStyle w:val="Hyperlink"/>
            <w:color w:val="auto"/>
            <w:u w:val="none"/>
          </w:rPr>
          <w:t>https://www.hrw.org/report/2010/05/06/costly-and-unfair/flaws-us-immigration-detention-policy</w:t>
        </w:r>
      </w:hyperlink>
      <w:r w:rsidR="00C86B24" w:rsidRPr="00F13500">
        <w:rPr>
          <w:rStyle w:val="Hyperlink"/>
          <w:color w:val="auto"/>
          <w:u w:val="none"/>
        </w:rPr>
        <w:t>.</w:t>
      </w:r>
      <w:r w:rsidRPr="00F13500">
        <w:rPr>
          <w:color w:val="auto"/>
        </w:rPr>
        <w:t xml:space="preserve"> </w:t>
      </w:r>
    </w:p>
  </w:footnote>
  <w:footnote w:id="31">
    <w:p w14:paraId="5C26523C" w14:textId="77777777" w:rsidR="00F31492" w:rsidRPr="000939AD" w:rsidRDefault="00F31492" w:rsidP="00FA7C24">
      <w:pPr>
        <w:pBdr>
          <w:top w:val="nil"/>
          <w:left w:val="nil"/>
          <w:bottom w:val="nil"/>
          <w:right w:val="nil"/>
          <w:between w:val="nil"/>
        </w:pBdr>
        <w:rPr>
          <w:color w:val="auto"/>
          <w:lang w:val="es-US"/>
        </w:rPr>
      </w:pPr>
      <w:r w:rsidRPr="00F13500">
        <w:rPr>
          <w:color w:val="auto"/>
          <w:vertAlign w:val="superscript"/>
        </w:rPr>
        <w:footnoteRef/>
      </w:r>
      <w:r w:rsidRPr="00F13500">
        <w:rPr>
          <w:color w:val="auto"/>
          <w:lang w:val="es-US"/>
        </w:rPr>
        <w:t xml:space="preserve"> Frey &amp; Zhao, </w:t>
      </w:r>
      <w:r w:rsidRPr="00F13500">
        <w:rPr>
          <w:i/>
          <w:color w:val="auto"/>
          <w:lang w:val="es-US"/>
        </w:rPr>
        <w:t xml:space="preserve">supra </w:t>
      </w:r>
      <w:r w:rsidRPr="00F13500">
        <w:rPr>
          <w:color w:val="auto"/>
          <w:lang w:val="es-US"/>
        </w:rPr>
        <w:t>note ix,310-11.</w:t>
      </w:r>
    </w:p>
  </w:footnote>
  <w:footnote w:id="32">
    <w:p w14:paraId="452DAC33" w14:textId="77777777" w:rsidR="00F31492" w:rsidRPr="000939AD" w:rsidRDefault="00F31492" w:rsidP="00FA7C24">
      <w:pPr>
        <w:pStyle w:val="FootnoteText"/>
        <w:rPr>
          <w:color w:val="auto"/>
        </w:rPr>
      </w:pPr>
      <w:r w:rsidRPr="000939AD">
        <w:rPr>
          <w:rStyle w:val="FootnoteReference"/>
          <w:color w:val="auto"/>
        </w:rPr>
        <w:footnoteRef/>
      </w:r>
      <w:r w:rsidRPr="000939AD">
        <w:rPr>
          <w:color w:val="auto"/>
        </w:rPr>
        <w:t xml:space="preserve"> Court Observer Observations March 2020-October 2021.</w:t>
      </w:r>
    </w:p>
  </w:footnote>
  <w:footnote w:id="33">
    <w:p w14:paraId="043409A8" w14:textId="77777777" w:rsidR="00F31492" w:rsidRPr="000939AD" w:rsidRDefault="00F31492" w:rsidP="00FA7C24">
      <w:pPr>
        <w:pStyle w:val="FootnoteText"/>
        <w:rPr>
          <w:color w:val="auto"/>
        </w:rPr>
      </w:pPr>
      <w:r w:rsidRPr="000939AD">
        <w:rPr>
          <w:rStyle w:val="FootnoteReference"/>
          <w:color w:val="auto"/>
        </w:rPr>
        <w:footnoteRef/>
      </w:r>
      <w:r w:rsidRPr="000939AD">
        <w:rPr>
          <w:color w:val="auto"/>
        </w:rPr>
        <w:t xml:space="preserve"> 8 CFR § 1003.19(e)</w:t>
      </w:r>
    </w:p>
  </w:footnote>
  <w:footnote w:id="34">
    <w:p w14:paraId="5B631F70" w14:textId="64874FBF" w:rsidR="00F31492" w:rsidRPr="000939AD" w:rsidRDefault="00F31492" w:rsidP="00FA7C24">
      <w:pPr>
        <w:pStyle w:val="FootnoteText"/>
        <w:rPr>
          <w:color w:val="auto"/>
          <w:highlight w:val="yellow"/>
        </w:rPr>
      </w:pPr>
      <w:r w:rsidRPr="000939AD">
        <w:rPr>
          <w:rStyle w:val="FootnoteReference"/>
          <w:color w:val="auto"/>
        </w:rPr>
        <w:footnoteRef/>
      </w:r>
      <w:r w:rsidR="00F6085B" w:rsidRPr="000939AD">
        <w:rPr>
          <w:color w:val="auto"/>
        </w:rPr>
        <w:t xml:space="preserve"> Shalini Bhargava Ray</w:t>
      </w:r>
      <w:r w:rsidR="00F6085B" w:rsidRPr="000939AD">
        <w:rPr>
          <w:i/>
          <w:iCs/>
          <w:color w:val="auto"/>
        </w:rPr>
        <w:t xml:space="preserve">, </w:t>
      </w:r>
      <w:r w:rsidR="00891509" w:rsidRPr="000939AD">
        <w:rPr>
          <w:i/>
          <w:iCs/>
          <w:color w:val="auto"/>
        </w:rPr>
        <w:t xml:space="preserve">Justices </w:t>
      </w:r>
      <w:r w:rsidR="005C5137" w:rsidRPr="000939AD">
        <w:rPr>
          <w:i/>
          <w:iCs/>
          <w:color w:val="auto"/>
        </w:rPr>
        <w:t>Will</w:t>
      </w:r>
      <w:r w:rsidR="00891509" w:rsidRPr="000939AD">
        <w:rPr>
          <w:i/>
          <w:iCs/>
          <w:color w:val="auto"/>
        </w:rPr>
        <w:t xml:space="preserve"> </w:t>
      </w:r>
      <w:r w:rsidR="005C5137" w:rsidRPr="000939AD">
        <w:rPr>
          <w:i/>
          <w:iCs/>
          <w:color w:val="auto"/>
        </w:rPr>
        <w:t>R</w:t>
      </w:r>
      <w:r w:rsidR="00891509" w:rsidRPr="000939AD">
        <w:rPr>
          <w:i/>
          <w:iCs/>
          <w:color w:val="auto"/>
        </w:rPr>
        <w:t xml:space="preserve">evisit </w:t>
      </w:r>
      <w:r w:rsidR="005C5137" w:rsidRPr="000939AD">
        <w:rPr>
          <w:i/>
          <w:iCs/>
          <w:color w:val="auto"/>
        </w:rPr>
        <w:t>W</w:t>
      </w:r>
      <w:r w:rsidR="00891509" w:rsidRPr="000939AD">
        <w:rPr>
          <w:i/>
          <w:iCs/>
          <w:color w:val="auto"/>
        </w:rPr>
        <w:t xml:space="preserve">hether </w:t>
      </w:r>
      <w:r w:rsidR="009F2303" w:rsidRPr="000939AD">
        <w:rPr>
          <w:i/>
          <w:iCs/>
          <w:color w:val="auto"/>
        </w:rPr>
        <w:t>C</w:t>
      </w:r>
      <w:r w:rsidR="00891509" w:rsidRPr="000939AD">
        <w:rPr>
          <w:i/>
          <w:iCs/>
          <w:color w:val="auto"/>
        </w:rPr>
        <w:t xml:space="preserve">ertain </w:t>
      </w:r>
      <w:r w:rsidR="009F2303" w:rsidRPr="000939AD">
        <w:rPr>
          <w:i/>
          <w:iCs/>
          <w:color w:val="auto"/>
        </w:rPr>
        <w:t>N</w:t>
      </w:r>
      <w:r w:rsidR="00891509" w:rsidRPr="000939AD">
        <w:rPr>
          <w:i/>
          <w:iCs/>
          <w:color w:val="auto"/>
        </w:rPr>
        <w:t xml:space="preserve">oncitizens in </w:t>
      </w:r>
      <w:r w:rsidR="009F2303" w:rsidRPr="000939AD">
        <w:rPr>
          <w:i/>
          <w:iCs/>
          <w:color w:val="auto"/>
        </w:rPr>
        <w:t>L</w:t>
      </w:r>
      <w:r w:rsidR="00891509" w:rsidRPr="000939AD">
        <w:rPr>
          <w:i/>
          <w:iCs/>
          <w:color w:val="auto"/>
        </w:rPr>
        <w:t xml:space="preserve">engthy </w:t>
      </w:r>
      <w:r w:rsidR="009F2303" w:rsidRPr="000939AD">
        <w:rPr>
          <w:i/>
          <w:iCs/>
          <w:color w:val="auto"/>
        </w:rPr>
        <w:t>D</w:t>
      </w:r>
      <w:r w:rsidR="00891509" w:rsidRPr="000939AD">
        <w:rPr>
          <w:i/>
          <w:iCs/>
          <w:color w:val="auto"/>
        </w:rPr>
        <w:t xml:space="preserve">etention </w:t>
      </w:r>
      <w:r w:rsidR="009F2303" w:rsidRPr="000939AD">
        <w:rPr>
          <w:i/>
          <w:iCs/>
          <w:color w:val="auto"/>
        </w:rPr>
        <w:t>A</w:t>
      </w:r>
      <w:r w:rsidR="00891509" w:rsidRPr="000939AD">
        <w:rPr>
          <w:i/>
          <w:iCs/>
          <w:color w:val="auto"/>
        </w:rPr>
        <w:t xml:space="preserve">re </w:t>
      </w:r>
      <w:r w:rsidR="009F2303" w:rsidRPr="000939AD">
        <w:rPr>
          <w:i/>
          <w:iCs/>
          <w:color w:val="auto"/>
        </w:rPr>
        <w:t>E</w:t>
      </w:r>
      <w:r w:rsidR="00891509" w:rsidRPr="000939AD">
        <w:rPr>
          <w:i/>
          <w:iCs/>
          <w:color w:val="auto"/>
        </w:rPr>
        <w:t xml:space="preserve">ntitled to </w:t>
      </w:r>
      <w:r w:rsidR="009F2303" w:rsidRPr="000939AD">
        <w:rPr>
          <w:i/>
          <w:iCs/>
          <w:color w:val="auto"/>
        </w:rPr>
        <w:t>B</w:t>
      </w:r>
      <w:r w:rsidR="00891509" w:rsidRPr="000939AD">
        <w:rPr>
          <w:i/>
          <w:iCs/>
          <w:color w:val="auto"/>
        </w:rPr>
        <w:t xml:space="preserve">ond </w:t>
      </w:r>
      <w:r w:rsidR="009F2303" w:rsidRPr="000939AD">
        <w:rPr>
          <w:i/>
          <w:iCs/>
          <w:color w:val="auto"/>
        </w:rPr>
        <w:t>H</w:t>
      </w:r>
      <w:r w:rsidR="00891509" w:rsidRPr="000939AD">
        <w:rPr>
          <w:i/>
          <w:iCs/>
          <w:color w:val="auto"/>
        </w:rPr>
        <w:t>earings</w:t>
      </w:r>
      <w:r w:rsidR="009D1764" w:rsidRPr="000939AD">
        <w:rPr>
          <w:i/>
          <w:iCs/>
          <w:color w:val="auto"/>
        </w:rPr>
        <w:t xml:space="preserve">, </w:t>
      </w:r>
      <w:proofErr w:type="spellStart"/>
      <w:r w:rsidR="009D1764" w:rsidRPr="000939AD">
        <w:rPr>
          <w:color w:val="auto"/>
        </w:rPr>
        <w:t>SCOTUSblog</w:t>
      </w:r>
      <w:proofErr w:type="spellEnd"/>
      <w:r w:rsidR="009D1764" w:rsidRPr="000939AD">
        <w:rPr>
          <w:i/>
          <w:iCs/>
          <w:color w:val="auto"/>
        </w:rPr>
        <w:t xml:space="preserve">, </w:t>
      </w:r>
      <w:r w:rsidR="00F42CEF" w:rsidRPr="000939AD">
        <w:rPr>
          <w:color w:val="auto"/>
        </w:rPr>
        <w:t>Jan. 10, 2022,</w:t>
      </w:r>
      <w:r w:rsidRPr="000939AD">
        <w:rPr>
          <w:i/>
          <w:color w:val="auto"/>
        </w:rPr>
        <w:t xml:space="preserve"> </w:t>
      </w:r>
      <w:r w:rsidRPr="000939AD">
        <w:rPr>
          <w:color w:val="auto"/>
        </w:rPr>
        <w:t>https://www.scotusblog.com/2022/01/justices-will-revisit-whether-certain-noncitizens-in-lengthy-detention-are-entitled-to-bond-hearings/</w:t>
      </w:r>
      <w:r w:rsidR="00F42CEF" w:rsidRPr="000939AD">
        <w:rPr>
          <w:color w:val="auto"/>
        </w:rPr>
        <w:t>.</w:t>
      </w:r>
    </w:p>
  </w:footnote>
  <w:footnote w:id="35">
    <w:p w14:paraId="04B9E861"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Daniel Bush, </w:t>
      </w:r>
      <w:r w:rsidRPr="000939AD">
        <w:rPr>
          <w:i/>
          <w:color w:val="auto"/>
        </w:rPr>
        <w:t>Under Trump, higher immigration bonds mean longer family separations</w:t>
      </w:r>
      <w:r w:rsidRPr="000939AD">
        <w:rPr>
          <w:color w:val="auto"/>
        </w:rPr>
        <w:t>, PBS NewsHour, accessed Jun. 28, 2018, Available online at:</w:t>
      </w:r>
    </w:p>
    <w:p w14:paraId="6B1478CC" w14:textId="77777777" w:rsidR="00F31492" w:rsidRPr="000939AD" w:rsidRDefault="00C92609" w:rsidP="00FA7C24">
      <w:pPr>
        <w:pBdr>
          <w:top w:val="nil"/>
          <w:left w:val="nil"/>
          <w:bottom w:val="nil"/>
          <w:right w:val="nil"/>
          <w:between w:val="nil"/>
        </w:pBdr>
        <w:rPr>
          <w:color w:val="auto"/>
        </w:rPr>
      </w:pPr>
      <w:hyperlink r:id="rId11">
        <w:r w:rsidR="00F31492" w:rsidRPr="000939AD">
          <w:rPr>
            <w:color w:val="auto"/>
          </w:rPr>
          <w:t>https://www.pbs.org/newshour/politics/under-trump-higher-immigration-bonds-mean-longer-family-separations</w:t>
        </w:r>
      </w:hyperlink>
    </w:p>
  </w:footnote>
  <w:footnote w:id="36">
    <w:p w14:paraId="0B6B26B8" w14:textId="77777777" w:rsidR="00F31492" w:rsidRPr="000939AD" w:rsidRDefault="00F31492" w:rsidP="00FA7C24">
      <w:pPr>
        <w:pStyle w:val="FootnoteText"/>
        <w:rPr>
          <w:color w:val="auto"/>
        </w:rPr>
      </w:pPr>
      <w:r w:rsidRPr="000939AD">
        <w:rPr>
          <w:rStyle w:val="FootnoteReference"/>
          <w:color w:val="auto"/>
        </w:rPr>
        <w:footnoteRef/>
      </w:r>
      <w:r w:rsidRPr="000939AD">
        <w:rPr>
          <w:color w:val="auto"/>
        </w:rPr>
        <w:t xml:space="preserve"> Information on file with The Advocates for Human Rights, Sept. 26, 2019. </w:t>
      </w:r>
    </w:p>
  </w:footnote>
  <w:footnote w:id="37">
    <w:p w14:paraId="28B91705" w14:textId="77777777" w:rsidR="00F31492" w:rsidRPr="000939AD" w:rsidRDefault="00F31492" w:rsidP="00FA7C24">
      <w:pPr>
        <w:pStyle w:val="FootnoteText"/>
        <w:rPr>
          <w:color w:val="auto"/>
        </w:rPr>
      </w:pPr>
      <w:r w:rsidRPr="000939AD">
        <w:rPr>
          <w:rStyle w:val="FootnoteReference"/>
          <w:color w:val="auto"/>
        </w:rPr>
        <w:footnoteRef/>
      </w:r>
      <w:r w:rsidRPr="000939AD">
        <w:rPr>
          <w:color w:val="auto"/>
        </w:rPr>
        <w:t>Transactional Records Access Clearinghouse, “ICE Focus Shifts Away from Detaining Serious Criminals,” 2</w:t>
      </w:r>
      <w:r w:rsidRPr="000939AD">
        <w:rPr>
          <w:color w:val="auto"/>
          <w:vertAlign w:val="superscript"/>
        </w:rPr>
        <w:t>nd</w:t>
      </w:r>
      <w:r w:rsidRPr="000939AD">
        <w:rPr>
          <w:color w:val="auto"/>
        </w:rPr>
        <w:t xml:space="preserve"> July 2019, Accessed October 1</w:t>
      </w:r>
      <w:r w:rsidRPr="000939AD">
        <w:rPr>
          <w:color w:val="auto"/>
          <w:vertAlign w:val="superscript"/>
        </w:rPr>
        <w:t>st</w:t>
      </w:r>
      <w:r w:rsidRPr="000939AD">
        <w:rPr>
          <w:color w:val="auto"/>
        </w:rPr>
        <w:t>, 2019, https://trac.syr.edu/immigration/reports/519/</w:t>
      </w:r>
    </w:p>
  </w:footnote>
  <w:footnote w:id="38">
    <w:p w14:paraId="5FB4DACE" w14:textId="6AF2F5E4" w:rsidR="00F31492" w:rsidRPr="000939AD" w:rsidRDefault="00F31492" w:rsidP="00FA7C24">
      <w:pPr>
        <w:pStyle w:val="FootnoteText"/>
        <w:rPr>
          <w:color w:val="auto"/>
          <w:highlight w:val="yellow"/>
        </w:rPr>
      </w:pPr>
      <w:r w:rsidRPr="000939AD">
        <w:rPr>
          <w:rStyle w:val="FootnoteReference"/>
          <w:color w:val="auto"/>
        </w:rPr>
        <w:footnoteRef/>
      </w:r>
      <w:r w:rsidR="003B1543" w:rsidRPr="000939AD">
        <w:rPr>
          <w:color w:val="auto"/>
        </w:rPr>
        <w:t xml:space="preserve"> Sam Levin, </w:t>
      </w:r>
      <w:r w:rsidR="003B1543" w:rsidRPr="000939AD">
        <w:rPr>
          <w:i/>
          <w:iCs/>
          <w:color w:val="auto"/>
        </w:rPr>
        <w:t>A Trans Woman Detained by ICE for Two Years Is Fighting for Freedom: ‘I’ve Been Forgotten,</w:t>
      </w:r>
      <w:proofErr w:type="gramStart"/>
      <w:r w:rsidR="003B1543" w:rsidRPr="000939AD">
        <w:rPr>
          <w:i/>
          <w:iCs/>
          <w:color w:val="auto"/>
        </w:rPr>
        <w:t>’</w:t>
      </w:r>
      <w:r w:rsidR="003B1543" w:rsidRPr="000939AD">
        <w:rPr>
          <w:color w:val="auto"/>
        </w:rPr>
        <w:t xml:space="preserve">  The</w:t>
      </w:r>
      <w:proofErr w:type="gramEnd"/>
      <w:r w:rsidR="003B1543" w:rsidRPr="000939AD">
        <w:rPr>
          <w:color w:val="auto"/>
        </w:rPr>
        <w:t xml:space="preserve"> Guardian, </w:t>
      </w:r>
      <w:r w:rsidR="00A47EF0" w:rsidRPr="000939AD">
        <w:rPr>
          <w:color w:val="auto"/>
        </w:rPr>
        <w:t>June 9, 2021,</w:t>
      </w:r>
      <w:r w:rsidRPr="000939AD">
        <w:rPr>
          <w:color w:val="auto"/>
        </w:rPr>
        <w:t xml:space="preserve"> https://www.theguardian.com/us-news/2021/jun/09/a-trans-woman-detained-by-ice-for-two-years-is-fighting-for-freedom-ive-been-forgotten</w:t>
      </w:r>
      <w:r w:rsidR="00A47EF0" w:rsidRPr="000939AD">
        <w:rPr>
          <w:color w:val="auto"/>
        </w:rPr>
        <w:t>.</w:t>
      </w:r>
    </w:p>
  </w:footnote>
  <w:footnote w:id="39">
    <w:p w14:paraId="383AEF52" w14:textId="4431247B" w:rsidR="00F31492" w:rsidRPr="000939AD" w:rsidRDefault="00F31492" w:rsidP="00FA7C24">
      <w:pPr>
        <w:pStyle w:val="FootnoteText"/>
        <w:rPr>
          <w:color w:val="auto"/>
          <w:highlight w:val="yellow"/>
        </w:rPr>
      </w:pPr>
      <w:r w:rsidRPr="000939AD">
        <w:rPr>
          <w:rStyle w:val="FootnoteReference"/>
          <w:color w:val="auto"/>
        </w:rPr>
        <w:footnoteRef/>
      </w:r>
      <w:r w:rsidRPr="000939AD">
        <w:rPr>
          <w:color w:val="auto"/>
        </w:rPr>
        <w:t xml:space="preserve"> </w:t>
      </w:r>
      <w:r w:rsidR="008459B6" w:rsidRPr="000939AD">
        <w:rPr>
          <w:color w:val="auto"/>
        </w:rPr>
        <w:t xml:space="preserve">National Immigration Project of the National Lawyers Guild, </w:t>
      </w:r>
      <w:r w:rsidR="008459B6" w:rsidRPr="000939AD">
        <w:rPr>
          <w:i/>
          <w:iCs/>
          <w:color w:val="auto"/>
        </w:rPr>
        <w:t>Report: Abuse, Neglect Common at Immigration Detention Centers in the South</w:t>
      </w:r>
      <w:r w:rsidR="008459B6" w:rsidRPr="000939AD">
        <w:rPr>
          <w:color w:val="auto"/>
        </w:rPr>
        <w:t xml:space="preserve">, </w:t>
      </w:r>
      <w:r w:rsidRPr="000939AD">
        <w:rPr>
          <w:color w:val="auto"/>
        </w:rPr>
        <w:t>https://www.nationalimmigrationproject.org/pr/2016_21Nov_pr-shad-rpt.html</w:t>
      </w:r>
      <w:r w:rsidR="006E4ECA" w:rsidRPr="000939AD">
        <w:rPr>
          <w:color w:val="auto"/>
        </w:rPr>
        <w:t>.</w:t>
      </w:r>
    </w:p>
  </w:footnote>
  <w:footnote w:id="40">
    <w:p w14:paraId="47FBF880" w14:textId="3320F4B7" w:rsidR="00F31492" w:rsidRPr="000939AD" w:rsidRDefault="00F31492" w:rsidP="00FA7C24">
      <w:pPr>
        <w:pStyle w:val="FootnoteText"/>
        <w:rPr>
          <w:color w:val="auto"/>
          <w:highlight w:val="yellow"/>
        </w:rPr>
      </w:pPr>
      <w:r w:rsidRPr="000939AD">
        <w:rPr>
          <w:rStyle w:val="FootnoteReference"/>
          <w:color w:val="auto"/>
        </w:rPr>
        <w:footnoteRef/>
      </w:r>
      <w:r w:rsidRPr="000939AD">
        <w:rPr>
          <w:color w:val="auto"/>
        </w:rPr>
        <w:t xml:space="preserve"> </w:t>
      </w:r>
      <w:r w:rsidR="002E0533" w:rsidRPr="000939AD">
        <w:rPr>
          <w:color w:val="auto"/>
        </w:rPr>
        <w:t xml:space="preserve">Martin </w:t>
      </w:r>
      <w:proofErr w:type="spellStart"/>
      <w:r w:rsidR="002E0533" w:rsidRPr="000939AD">
        <w:rPr>
          <w:color w:val="auto"/>
        </w:rPr>
        <w:t>Kaste</w:t>
      </w:r>
      <w:proofErr w:type="spellEnd"/>
      <w:r w:rsidR="002E0533" w:rsidRPr="000939AD">
        <w:rPr>
          <w:color w:val="auto"/>
        </w:rPr>
        <w:t xml:space="preserve">, </w:t>
      </w:r>
      <w:r w:rsidR="00944C4E" w:rsidRPr="000939AD">
        <w:rPr>
          <w:i/>
          <w:iCs/>
          <w:color w:val="auto"/>
        </w:rPr>
        <w:t xml:space="preserve">Detainees Who Earned Just </w:t>
      </w:r>
      <w:r w:rsidR="005055B8" w:rsidRPr="000939AD">
        <w:rPr>
          <w:i/>
          <w:iCs/>
          <w:color w:val="auto"/>
        </w:rPr>
        <w:t xml:space="preserve">$1 a Day Are Owed $17 Million </w:t>
      </w:r>
      <w:r w:rsidR="009A0F9B" w:rsidRPr="000939AD">
        <w:rPr>
          <w:i/>
          <w:iCs/>
          <w:color w:val="auto"/>
        </w:rPr>
        <w:t xml:space="preserve">in Back Pay, A Jury Says, </w:t>
      </w:r>
      <w:r w:rsidR="009A0F9B" w:rsidRPr="000939AD">
        <w:rPr>
          <w:color w:val="auto"/>
        </w:rPr>
        <w:t>MPR News, Oct. 29, 2021,</w:t>
      </w:r>
      <w:r w:rsidRPr="000939AD">
        <w:rPr>
          <w:color w:val="auto"/>
        </w:rPr>
        <w:t xml:space="preserve"> www.npr.org%2F2021%2F10%2F29%2F1050520220%2Fdetainees-who-earned-just-1-a-day-are-owed-17-million-in-back-pay-a-jury-orders&amp;usg=AOvVaw2guUgLrorQONBQ6H1t-a6P</w:t>
      </w:r>
      <w:r w:rsidR="009A0F9B" w:rsidRPr="000939AD">
        <w:rPr>
          <w:color w:val="auto"/>
        </w:rPr>
        <w:t>.</w:t>
      </w:r>
    </w:p>
  </w:footnote>
  <w:footnote w:id="41">
    <w:p w14:paraId="28792CEE" w14:textId="0446A5BC" w:rsidR="00F31492" w:rsidRPr="000939AD" w:rsidRDefault="00F31492" w:rsidP="00FA7C24">
      <w:pPr>
        <w:pStyle w:val="FootnoteText"/>
        <w:rPr>
          <w:color w:val="auto"/>
        </w:rPr>
      </w:pPr>
      <w:r w:rsidRPr="000939AD">
        <w:rPr>
          <w:rStyle w:val="FootnoteReference"/>
          <w:color w:val="auto"/>
        </w:rPr>
        <w:footnoteRef/>
      </w:r>
      <w:r w:rsidR="00D46CBB" w:rsidRPr="000939AD">
        <w:rPr>
          <w:color w:val="auto"/>
        </w:rPr>
        <w:t xml:space="preserve"> The Advocates for Human Rights,</w:t>
      </w:r>
      <w:r w:rsidR="00CC506F" w:rsidRPr="000939AD">
        <w:rPr>
          <w:color w:val="auto"/>
        </w:rPr>
        <w:t xml:space="preserve"> James H Binger Center for New Americans, and Minnesota Immigrant Health Alliance,</w:t>
      </w:r>
      <w:r w:rsidR="00D46CBB" w:rsidRPr="000939AD">
        <w:rPr>
          <w:color w:val="auto"/>
        </w:rPr>
        <w:t xml:space="preserve"> </w:t>
      </w:r>
      <w:r w:rsidR="00D46CBB" w:rsidRPr="000939AD">
        <w:rPr>
          <w:i/>
          <w:iCs/>
          <w:color w:val="auto"/>
        </w:rPr>
        <w:t xml:space="preserve">Immigration, Detention, and COVID-19 in Minnesota: Illuminating Human Rights Concerns in Minnesota Jails, </w:t>
      </w:r>
      <w:r w:rsidR="00D46CBB" w:rsidRPr="000939AD">
        <w:rPr>
          <w:color w:val="auto"/>
        </w:rPr>
        <w:t xml:space="preserve">(Minneapolis, Minnesota: </w:t>
      </w:r>
      <w:r w:rsidR="00CC506F" w:rsidRPr="000939AD">
        <w:rPr>
          <w:color w:val="auto"/>
        </w:rPr>
        <w:t>March 2021),</w:t>
      </w:r>
      <w:r w:rsidRPr="000939AD">
        <w:rPr>
          <w:color w:val="auto"/>
        </w:rPr>
        <w:t xml:space="preserve"> https://www.theadvocatesforhumanrights.org/Res/ice_detention_covid-19_and_mn_jails_final%205.pdf</w:t>
      </w:r>
      <w:r w:rsidR="009F6842" w:rsidRPr="000939AD">
        <w:rPr>
          <w:color w:val="auto"/>
        </w:rPr>
        <w:t>.</w:t>
      </w:r>
    </w:p>
  </w:footnote>
  <w:footnote w:id="42">
    <w:p w14:paraId="4BBD658D" w14:textId="77777777" w:rsidR="00F31492" w:rsidRPr="000939AD" w:rsidRDefault="00F31492" w:rsidP="00FA7C24">
      <w:pPr>
        <w:pStyle w:val="FootnoteText"/>
        <w:rPr>
          <w:color w:val="auto"/>
        </w:rPr>
      </w:pPr>
      <w:r w:rsidRPr="000939AD">
        <w:rPr>
          <w:rStyle w:val="FootnoteReference"/>
          <w:color w:val="auto"/>
        </w:rPr>
        <w:footnoteRef/>
      </w:r>
      <w:r w:rsidRPr="000939AD">
        <w:rPr>
          <w:color w:val="auto"/>
        </w:rPr>
        <w:t xml:space="preserve"> Committee on the Elimination of Racial Discrimination</w:t>
      </w:r>
      <w:r w:rsidRPr="000939AD">
        <w:rPr>
          <w:i/>
          <w:iCs/>
          <w:color w:val="auto"/>
        </w:rPr>
        <w:t xml:space="preserve">, </w:t>
      </w:r>
      <w:proofErr w:type="gramStart"/>
      <w:r w:rsidRPr="000939AD">
        <w:rPr>
          <w:i/>
          <w:iCs/>
          <w:color w:val="auto"/>
        </w:rPr>
        <w:t>Concluding</w:t>
      </w:r>
      <w:proofErr w:type="gramEnd"/>
      <w:r w:rsidRPr="000939AD">
        <w:rPr>
          <w:i/>
          <w:iCs/>
          <w:color w:val="auto"/>
        </w:rPr>
        <w:t xml:space="preserve"> observations on the combined seventh to ninth periodic reports of the United States of American, adopted by the Committee at its 2317th session</w:t>
      </w:r>
      <w:r w:rsidRPr="000939AD">
        <w:rPr>
          <w:color w:val="auto"/>
        </w:rPr>
        <w:t xml:space="preserve"> (26 August 2014), U.N. Doc CERD/C/USA/CO/7-9, ⁋ 18 (b).</w:t>
      </w:r>
    </w:p>
  </w:footnote>
  <w:footnote w:id="43">
    <w:p w14:paraId="5F60CE58" w14:textId="47BBEA2E" w:rsidR="009F05FC" w:rsidRPr="000939AD" w:rsidRDefault="009F05FC" w:rsidP="00FA7C24">
      <w:pPr>
        <w:pStyle w:val="FootnoteText"/>
        <w:rPr>
          <w:color w:val="auto"/>
        </w:rPr>
      </w:pPr>
      <w:r w:rsidRPr="000939AD">
        <w:rPr>
          <w:rStyle w:val="FootnoteReference"/>
          <w:color w:val="auto"/>
        </w:rPr>
        <w:footnoteRef/>
      </w:r>
      <w:r w:rsidRPr="000939AD">
        <w:rPr>
          <w:color w:val="auto"/>
        </w:rPr>
        <w:t xml:space="preserve"> Committee on the Elimination of Racial Discrimination</w:t>
      </w:r>
      <w:r w:rsidRPr="000939AD">
        <w:rPr>
          <w:i/>
          <w:iCs/>
          <w:color w:val="auto"/>
        </w:rPr>
        <w:t>,</w:t>
      </w:r>
      <w:r w:rsidRPr="000939AD">
        <w:rPr>
          <w:color w:val="auto"/>
        </w:rPr>
        <w:t xml:space="preserve"> </w:t>
      </w:r>
      <w:r w:rsidRPr="000939AD">
        <w:rPr>
          <w:i/>
          <w:iCs/>
          <w:color w:val="auto"/>
        </w:rPr>
        <w:t xml:space="preserve">List of themes in relation to the combined tenth to twelfth reports of the United States of America </w:t>
      </w:r>
      <w:r w:rsidRPr="000939AD">
        <w:rPr>
          <w:color w:val="auto"/>
        </w:rPr>
        <w:t>(24 June 2022), U.N. Doc. CERD/C/USA/Q/10-12, ¶ 29.</w:t>
      </w:r>
    </w:p>
  </w:footnote>
  <w:footnote w:id="44">
    <w:p w14:paraId="3BEDA9D0" w14:textId="77777777" w:rsidR="00F31492" w:rsidRPr="000939AD" w:rsidRDefault="00F31492" w:rsidP="00FA7C24">
      <w:pPr>
        <w:pStyle w:val="FootnoteText"/>
        <w:rPr>
          <w:color w:val="auto"/>
          <w:lang w:val="nb-NO"/>
        </w:rPr>
      </w:pPr>
      <w:r w:rsidRPr="000939AD">
        <w:rPr>
          <w:rStyle w:val="FootnoteReference"/>
          <w:color w:val="auto"/>
        </w:rPr>
        <w:footnoteRef/>
      </w:r>
      <w:r w:rsidRPr="000939AD">
        <w:rPr>
          <w:color w:val="auto"/>
        </w:rPr>
        <w:t xml:space="preserve"> Committee on the Elimination of Racial </w:t>
      </w:r>
      <w:proofErr w:type="gramStart"/>
      <w:r w:rsidRPr="000939AD">
        <w:rPr>
          <w:color w:val="auto"/>
        </w:rPr>
        <w:t>Discrimination</w:t>
      </w:r>
      <w:r w:rsidRPr="000939AD">
        <w:rPr>
          <w:i/>
          <w:iCs/>
          <w:color w:val="auto"/>
        </w:rPr>
        <w:t>,</w:t>
      </w:r>
      <w:r w:rsidRPr="000939AD">
        <w:rPr>
          <w:color w:val="auto"/>
        </w:rPr>
        <w:t>,</w:t>
      </w:r>
      <w:proofErr w:type="gramEnd"/>
      <w:r w:rsidRPr="000939AD">
        <w:rPr>
          <w:color w:val="auto"/>
        </w:rPr>
        <w:t xml:space="preserve"> </w:t>
      </w:r>
      <w:r w:rsidRPr="000939AD">
        <w:rPr>
          <w:i/>
          <w:color w:val="auto"/>
        </w:rPr>
        <w:t>Combined tenth to twelfth periodic reports submitted by the United States of America under article 9 of the Convention</w:t>
      </w:r>
      <w:r w:rsidRPr="000939AD">
        <w:rPr>
          <w:color w:val="auto"/>
        </w:rPr>
        <w:t>,</w:t>
      </w:r>
      <w:r w:rsidRPr="000939AD">
        <w:rPr>
          <w:i/>
          <w:color w:val="auto"/>
        </w:rPr>
        <w:t xml:space="preserve"> due in 2017,</w:t>
      </w:r>
      <w:r w:rsidRPr="000939AD">
        <w:rPr>
          <w:color w:val="auto"/>
        </w:rPr>
        <w:t xml:space="preserve"> (2 June 2021), U.N. Doc. </w:t>
      </w:r>
      <w:r w:rsidRPr="000939AD">
        <w:rPr>
          <w:color w:val="auto"/>
          <w:lang w:val="nb-NO"/>
        </w:rPr>
        <w:t>CERD/C/USA/10-12, ¶ 84.</w:t>
      </w:r>
    </w:p>
  </w:footnote>
  <w:footnote w:id="45">
    <w:p w14:paraId="2798775E" w14:textId="77777777" w:rsidR="00F31492" w:rsidRPr="000939AD" w:rsidRDefault="00F31492" w:rsidP="00FA7C24">
      <w:pPr>
        <w:pStyle w:val="FootnoteText"/>
        <w:rPr>
          <w:color w:val="auto"/>
        </w:rPr>
      </w:pPr>
      <w:r w:rsidRPr="000939AD">
        <w:rPr>
          <w:rStyle w:val="FootnoteReference"/>
          <w:color w:val="auto"/>
        </w:rPr>
        <w:footnoteRef/>
      </w:r>
      <w:r w:rsidRPr="000939AD">
        <w:rPr>
          <w:color w:val="auto"/>
        </w:rPr>
        <w:t xml:space="preserve"> Committee on the Elimination of Racial </w:t>
      </w:r>
      <w:proofErr w:type="gramStart"/>
      <w:r w:rsidRPr="000939AD">
        <w:rPr>
          <w:color w:val="auto"/>
        </w:rPr>
        <w:t>Discrimination</w:t>
      </w:r>
      <w:r w:rsidRPr="000939AD">
        <w:rPr>
          <w:i/>
          <w:iCs/>
          <w:color w:val="auto"/>
        </w:rPr>
        <w:t>,</w:t>
      </w:r>
      <w:r w:rsidRPr="000939AD">
        <w:rPr>
          <w:color w:val="auto"/>
        </w:rPr>
        <w:t>,</w:t>
      </w:r>
      <w:proofErr w:type="gramEnd"/>
      <w:r w:rsidRPr="000939AD">
        <w:rPr>
          <w:color w:val="auto"/>
        </w:rPr>
        <w:t xml:space="preserve"> </w:t>
      </w:r>
      <w:r w:rsidRPr="000939AD">
        <w:rPr>
          <w:i/>
          <w:color w:val="auto"/>
        </w:rPr>
        <w:t>Combined tenth to twelfth periodic reports submitted by the United States of America under article 9 of the Convention</w:t>
      </w:r>
      <w:r w:rsidRPr="000939AD">
        <w:rPr>
          <w:color w:val="auto"/>
        </w:rPr>
        <w:t>,</w:t>
      </w:r>
      <w:r w:rsidRPr="000939AD">
        <w:rPr>
          <w:i/>
          <w:color w:val="auto"/>
        </w:rPr>
        <w:t xml:space="preserve"> due in 2017,</w:t>
      </w:r>
      <w:r w:rsidRPr="000939AD">
        <w:rPr>
          <w:color w:val="auto"/>
        </w:rPr>
        <w:t xml:space="preserve"> (2 June 2021), U.N. Doc. </w:t>
      </w:r>
      <w:r w:rsidRPr="000939AD">
        <w:rPr>
          <w:color w:val="auto"/>
          <w:lang w:val="nb-NO"/>
        </w:rPr>
        <w:t>CERD/C/USA/10-12, ¶ 86.</w:t>
      </w:r>
    </w:p>
  </w:footnote>
  <w:footnote w:id="46">
    <w:p w14:paraId="1F280CB8" w14:textId="77777777" w:rsidR="00F31492" w:rsidRPr="000939AD" w:rsidRDefault="00F31492" w:rsidP="00FA7C24">
      <w:pPr>
        <w:pStyle w:val="FootnoteText"/>
        <w:rPr>
          <w:color w:val="auto"/>
        </w:rPr>
      </w:pPr>
      <w:r w:rsidRPr="000939AD">
        <w:rPr>
          <w:rStyle w:val="FootnoteReference"/>
          <w:color w:val="auto"/>
        </w:rPr>
        <w:footnoteRef/>
      </w:r>
      <w:r w:rsidRPr="000939AD">
        <w:rPr>
          <w:color w:val="auto"/>
        </w:rPr>
        <w:t xml:space="preserve"> Committee on the Elimination of Racial Discrimination</w:t>
      </w:r>
      <w:r w:rsidRPr="000939AD">
        <w:rPr>
          <w:i/>
          <w:iCs/>
          <w:color w:val="auto"/>
        </w:rPr>
        <w:t>,</w:t>
      </w:r>
      <w:r w:rsidRPr="000939AD">
        <w:rPr>
          <w:color w:val="auto"/>
        </w:rPr>
        <w:t xml:space="preserve"> </w:t>
      </w:r>
      <w:proofErr w:type="gramStart"/>
      <w:r w:rsidRPr="000939AD">
        <w:rPr>
          <w:i/>
          <w:color w:val="auto"/>
        </w:rPr>
        <w:t>Combined</w:t>
      </w:r>
      <w:proofErr w:type="gramEnd"/>
      <w:r w:rsidRPr="000939AD">
        <w:rPr>
          <w:i/>
          <w:color w:val="auto"/>
        </w:rPr>
        <w:t xml:space="preserve"> tenth to twelfth periodic reports submitted by the United States of America under article 9 of the Convention</w:t>
      </w:r>
      <w:r w:rsidRPr="000939AD">
        <w:rPr>
          <w:color w:val="auto"/>
        </w:rPr>
        <w:t>,</w:t>
      </w:r>
      <w:r w:rsidRPr="000939AD">
        <w:rPr>
          <w:i/>
          <w:color w:val="auto"/>
        </w:rPr>
        <w:t xml:space="preserve"> due in 2017,</w:t>
      </w:r>
      <w:r w:rsidRPr="000939AD">
        <w:rPr>
          <w:color w:val="auto"/>
        </w:rPr>
        <w:t xml:space="preserve"> (2 June 2021), U.N. Doc. CERD/C/USA/10-12, ¶ 89. </w:t>
      </w:r>
    </w:p>
  </w:footnote>
  <w:footnote w:id="47">
    <w:p w14:paraId="5E7CB1D4" w14:textId="7FFA4381" w:rsidR="00F31492" w:rsidRPr="000939AD" w:rsidRDefault="00F31492" w:rsidP="00FA7C24">
      <w:pPr>
        <w:pStyle w:val="FootnoteText"/>
        <w:rPr>
          <w:color w:val="auto"/>
          <w:lang w:val="nb-NO"/>
        </w:rPr>
      </w:pPr>
      <w:r w:rsidRPr="000939AD">
        <w:rPr>
          <w:rStyle w:val="FootnoteReference"/>
          <w:color w:val="auto"/>
        </w:rPr>
        <w:footnoteRef/>
      </w:r>
      <w:r w:rsidRPr="000939AD">
        <w:rPr>
          <w:color w:val="auto"/>
          <w:lang w:val="nb-NO"/>
        </w:rPr>
        <w:t xml:space="preserve"> </w:t>
      </w:r>
      <w:r w:rsidR="00D94758" w:rsidRPr="000939AD">
        <w:rPr>
          <w:color w:val="auto"/>
          <w:lang w:val="nb-NO"/>
        </w:rPr>
        <w:t xml:space="preserve">American Immigration Council, </w:t>
      </w:r>
      <w:r w:rsidR="00EA5BFF" w:rsidRPr="000939AD">
        <w:rPr>
          <w:color w:val="auto"/>
          <w:lang w:val="nb-NO"/>
        </w:rPr>
        <w:t>"</w:t>
      </w:r>
      <w:r w:rsidR="00D94758" w:rsidRPr="000939AD">
        <w:rPr>
          <w:color w:val="auto"/>
          <w:lang w:val="nb-NO"/>
        </w:rPr>
        <w:t>Legal Orientation Program Overview</w:t>
      </w:r>
      <w:r w:rsidR="00015067" w:rsidRPr="000939AD">
        <w:rPr>
          <w:color w:val="auto"/>
          <w:lang w:val="nb-NO"/>
        </w:rPr>
        <w:t>,"</w:t>
      </w:r>
      <w:r w:rsidR="00D94758" w:rsidRPr="000939AD">
        <w:rPr>
          <w:i/>
          <w:iCs/>
          <w:color w:val="auto"/>
          <w:lang w:val="nb-NO"/>
        </w:rPr>
        <w:t xml:space="preserve"> </w:t>
      </w:r>
      <w:r w:rsidR="000759A4" w:rsidRPr="000939AD">
        <w:rPr>
          <w:color w:val="auto"/>
          <w:lang w:val="nb-NO"/>
        </w:rPr>
        <w:t>Sept. 6, 2018,</w:t>
      </w:r>
      <w:r w:rsidRPr="000939AD">
        <w:rPr>
          <w:color w:val="auto"/>
          <w:lang w:val="nb-NO"/>
        </w:rPr>
        <w:t xml:space="preserve"> https://www.americanimmigrationcouncil.org/research/legal-orientation-program-overview</w:t>
      </w:r>
      <w:r w:rsidR="000759A4" w:rsidRPr="000939AD">
        <w:rPr>
          <w:color w:val="auto"/>
          <w:lang w:val="nb-NO"/>
        </w:rPr>
        <w:t>.</w:t>
      </w:r>
    </w:p>
  </w:footnote>
  <w:footnote w:id="48">
    <w:p w14:paraId="70BEFAB0" w14:textId="7D4D6D76" w:rsidR="00F31492" w:rsidRPr="000939AD" w:rsidRDefault="00F31492" w:rsidP="00FA7C24">
      <w:pPr>
        <w:pStyle w:val="FootnoteText"/>
        <w:rPr>
          <w:color w:val="auto"/>
          <w:highlight w:val="yellow"/>
          <w:lang w:val="nb-NO"/>
        </w:rPr>
      </w:pPr>
      <w:r w:rsidRPr="000939AD">
        <w:rPr>
          <w:rStyle w:val="FootnoteReference"/>
          <w:color w:val="auto"/>
        </w:rPr>
        <w:footnoteRef/>
      </w:r>
      <w:r w:rsidRPr="000939AD">
        <w:rPr>
          <w:color w:val="auto"/>
          <w:lang w:val="nb-NO"/>
        </w:rPr>
        <w:t xml:space="preserve"> </w:t>
      </w:r>
      <w:r w:rsidR="009507AF" w:rsidRPr="000939AD">
        <w:rPr>
          <w:color w:val="auto"/>
          <w:lang w:val="nb-NO"/>
        </w:rPr>
        <w:t xml:space="preserve">Press </w:t>
      </w:r>
      <w:r w:rsidR="009507AF" w:rsidRPr="000939AD">
        <w:rPr>
          <w:color w:val="auto"/>
          <w:lang w:val="nb-NO"/>
        </w:rPr>
        <w:t xml:space="preserve">Release, Arizona Senator Mark Kelly, </w:t>
      </w:r>
      <w:r w:rsidR="005B077D" w:rsidRPr="000939AD">
        <w:rPr>
          <w:color w:val="auto"/>
          <w:lang w:val="nb-NO"/>
        </w:rPr>
        <w:t>Kelly, Sinema, Bipartisan Group of Senators Introduce Bill Delaying End of Title 42, Ensuring Coordination and Communication with Arizona Border Communities</w:t>
      </w:r>
      <w:r w:rsidR="00A25FD3" w:rsidRPr="000939AD">
        <w:rPr>
          <w:color w:val="auto"/>
          <w:lang w:val="nb-NO"/>
        </w:rPr>
        <w:t xml:space="preserve"> (Apr. 7, 2022),</w:t>
      </w:r>
      <w:r w:rsidRPr="000939AD">
        <w:rPr>
          <w:color w:val="auto"/>
          <w:lang w:val="nb-NO"/>
        </w:rPr>
        <w:t xml:space="preserve"> https://www.kelly.senate.gov/press-releases/kelly-sinema-bipartisan-group-of-senators-introduce-bill-delaying-end-of-title-42-ensuring-coordination-and-communication-with-arizona-border-communities/</w:t>
      </w:r>
    </w:p>
  </w:footnote>
  <w:footnote w:id="49">
    <w:p w14:paraId="69A4289F"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Immigration and Nationality Act (INA) § 235(b)(1)(B)(iii)(IV).</w:t>
      </w:r>
    </w:p>
  </w:footnote>
  <w:footnote w:id="50">
    <w:p w14:paraId="59B7512C"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Immigration and Nationality Act (INA) § 236(c).</w:t>
      </w:r>
    </w:p>
  </w:footnote>
  <w:footnote w:id="51">
    <w:p w14:paraId="68B1F706"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See Human Rights First, Renewing U.S. Commitment to Refugee Protection: Recommendations for Reform on the 30</w:t>
      </w:r>
      <w:r w:rsidRPr="000939AD">
        <w:rPr>
          <w:color w:val="auto"/>
          <w:vertAlign w:val="superscript"/>
        </w:rPr>
        <w:t>th</w:t>
      </w:r>
      <w:r w:rsidRPr="000939AD">
        <w:rPr>
          <w:color w:val="auto"/>
        </w:rPr>
        <w:t xml:space="preserve"> Anniversary of the Refugee Act 10 (Mar. 2010). (Noting that while Immigration Judges can review ICE’s custody decisions for other immigrant detainees, they are precluded under regulatory language from reviewing the detention of “arriving aliens,” a group that includes asylum seekers who arrive at airports and other U.S. entry points under regulations located primarily at 8 C.F.R. § 1003.19 and § 212.5, as well as § 208.30 and § 235.3); </w:t>
      </w:r>
      <w:r w:rsidRPr="000939AD">
        <w:rPr>
          <w:i/>
          <w:color w:val="auto"/>
        </w:rPr>
        <w:t>see also</w:t>
      </w:r>
      <w:r w:rsidRPr="000939AD">
        <w:rPr>
          <w:color w:val="auto"/>
        </w:rPr>
        <w:t xml:space="preserve"> U.S. Comm’n on Int’l Religious Freedom, ICE Parole Guideline is an Important First Step to Fix Flawed Treatment of Asylum Seekers in the United States (Dec. 23, 2009), </w:t>
      </w:r>
      <w:r w:rsidRPr="000939AD">
        <w:rPr>
          <w:i/>
          <w:color w:val="auto"/>
        </w:rPr>
        <w:t>available at</w:t>
      </w:r>
      <w:r w:rsidRPr="000939AD">
        <w:rPr>
          <w:color w:val="auto"/>
        </w:rPr>
        <w:t xml:space="preserve"> </w:t>
      </w:r>
      <w:hyperlink r:id="rId12">
        <w:r w:rsidRPr="000939AD">
          <w:rPr>
            <w:color w:val="auto"/>
            <w:u w:val="single"/>
          </w:rPr>
          <w:t>http://www.uscirf.gov/index.php?option=com_content&amp;task=view&amp;id=2891&amp;Itemid=126</w:t>
        </w:r>
      </w:hyperlink>
      <w:r w:rsidRPr="000939AD">
        <w:rPr>
          <w:color w:val="auto"/>
        </w:rPr>
        <w:t>. (Noting low rates of release on parole and citing that New Orleans released only 0.5 percent of asylum seekers, New Jersey less than four percent, and New York eight percent following a finding of credible fear).</w:t>
      </w:r>
    </w:p>
  </w:footnote>
  <w:footnote w:id="52">
    <w:p w14:paraId="0E5E8C8E" w14:textId="04E068D5" w:rsidR="00F31492" w:rsidRPr="000939AD" w:rsidRDefault="00F31492" w:rsidP="00FA7C24">
      <w:pPr>
        <w:pStyle w:val="FootnoteText"/>
        <w:rPr>
          <w:color w:val="auto"/>
          <w:highlight w:val="yellow"/>
        </w:rPr>
      </w:pPr>
      <w:r w:rsidRPr="000939AD">
        <w:rPr>
          <w:rStyle w:val="FootnoteReference"/>
          <w:color w:val="auto"/>
        </w:rPr>
        <w:footnoteRef/>
      </w:r>
      <w:r w:rsidRPr="000939AD">
        <w:rPr>
          <w:color w:val="auto"/>
        </w:rPr>
        <w:t xml:space="preserve"> </w:t>
      </w:r>
      <w:r w:rsidR="007C49E8" w:rsidRPr="000939AD">
        <w:rPr>
          <w:color w:val="auto"/>
        </w:rPr>
        <w:t>American Immigration Council. "A Primer on Expedited Removal," Jul. 22, 2019,</w:t>
      </w:r>
      <w:r w:rsidRPr="000939AD">
        <w:rPr>
          <w:color w:val="auto"/>
        </w:rPr>
        <w:t xml:space="preserve"> https://www.americanimmigrationcouncil.org/research/primer-expedited-removal</w:t>
      </w:r>
      <w:r w:rsidR="007C49E8" w:rsidRPr="000939AD">
        <w:rPr>
          <w:color w:val="auto"/>
        </w:rPr>
        <w:t>.</w:t>
      </w:r>
    </w:p>
  </w:footnote>
  <w:footnote w:id="53">
    <w:p w14:paraId="5C42E239" w14:textId="2FE80A5C" w:rsidR="00F31492" w:rsidRPr="000939AD" w:rsidRDefault="00F31492" w:rsidP="00FA7C24">
      <w:pPr>
        <w:pStyle w:val="FootnoteText"/>
        <w:rPr>
          <w:color w:val="auto"/>
          <w:highlight w:val="yellow"/>
          <w:lang w:val="nb-NO"/>
        </w:rPr>
      </w:pPr>
      <w:r w:rsidRPr="000939AD">
        <w:rPr>
          <w:rStyle w:val="FootnoteReference"/>
          <w:color w:val="auto"/>
        </w:rPr>
        <w:footnoteRef/>
      </w:r>
      <w:r w:rsidRPr="000939AD">
        <w:rPr>
          <w:color w:val="auto"/>
          <w:lang w:val="nb-NO"/>
        </w:rPr>
        <w:t xml:space="preserve"> </w:t>
      </w:r>
      <w:r w:rsidR="005D1E77" w:rsidRPr="000939AD">
        <w:rPr>
          <w:color w:val="auto"/>
          <w:lang w:val="nb-NO"/>
        </w:rPr>
        <w:t xml:space="preserve">Procedures for Credible Fear Screening and Consideration of Asylum, Withholding of Removal, and CAT Protection Claims by Asylum Officers, </w:t>
      </w:r>
      <w:r w:rsidR="00A1243E" w:rsidRPr="000939AD">
        <w:rPr>
          <w:color w:val="auto"/>
        </w:rPr>
        <w:t>87 FR 18078</w:t>
      </w:r>
      <w:r w:rsidR="00A1243E" w:rsidRPr="000939AD">
        <w:rPr>
          <w:color w:val="auto"/>
          <w:lang w:val="nb-NO"/>
        </w:rPr>
        <w:t>, available online at</w:t>
      </w:r>
      <w:r w:rsidRPr="000939AD">
        <w:rPr>
          <w:color w:val="auto"/>
          <w:lang w:val="nb-NO"/>
        </w:rPr>
        <w:t xml:space="preserve"> https://www.federalregister.gov/documents/2022/03/29/2022-06148/procedures-for-credible-fear-screening-and-consideration-of-asylum-withholding-of-removal-and-cat</w:t>
      </w:r>
      <w:r w:rsidR="00A1243E" w:rsidRPr="000939AD">
        <w:rPr>
          <w:color w:val="auto"/>
          <w:lang w:val="nb-NO"/>
        </w:rPr>
        <w:t>.</w:t>
      </w:r>
    </w:p>
  </w:footnote>
  <w:footnote w:id="54">
    <w:p w14:paraId="0CED9F38"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INA § 292. See also, American Bar Association, Reforming the Immigration System: Proposals to Promote Independence, Fairness, Efficiency, and Professionalism in the Adjudication of Removal Cases, Feb. 2010, at 40, (Noting that while courts may apply a case-by-case approach to determining whether the assistance of counsel would be necessary to provide fundamental fairness, under the United States Constitution’s Fifth Amendment due process guarantee, appointment of counsel has been denied in every published case).</w:t>
      </w:r>
    </w:p>
  </w:footnote>
  <w:footnote w:id="55">
    <w:p w14:paraId="1301DA26"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Helen Eisner, </w:t>
      </w:r>
      <w:r w:rsidRPr="000939AD">
        <w:rPr>
          <w:i/>
          <w:color w:val="auto"/>
        </w:rPr>
        <w:t>Disabled, Defenseless, and Still Deportable: Why Deportation Without Representation Undermines Due Process Rights of Mentally Disabled Immigrants</w:t>
      </w:r>
      <w:r w:rsidRPr="000939AD">
        <w:rPr>
          <w:color w:val="auto"/>
        </w:rPr>
        <w:t>, 14:2 Journal of Constitutional Law 511, 511-536 (Dec. 2011)</w:t>
      </w:r>
      <w:r w:rsidRPr="000939AD">
        <w:rPr>
          <w:i/>
          <w:color w:val="auto"/>
        </w:rPr>
        <w:t xml:space="preserve"> </w:t>
      </w:r>
      <w:r w:rsidRPr="000939AD">
        <w:rPr>
          <w:color w:val="auto"/>
        </w:rPr>
        <w:t>https://scholarship.law.upenn.edu/cgi/viewcontent.cgi?article=1044&amp;context=jcl.</w:t>
      </w:r>
    </w:p>
  </w:footnote>
  <w:footnote w:id="56">
    <w:p w14:paraId="491A9D20"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Deportable Aliens, 8, United States Code, § 1227(a)(2)(A)(iii) states that any alien who has been convicted of an “aggravated felony” as defined by Deportable Aliens, 8, United States Code, § 1101(a)(43) is deportable. Aliens who are unlawfully present in the United States and are convicted of an aggravated felony are deportable subject to expedited proceedings, without a hearing before an immigration judge, pursuant to Deportable Aliens, 8, United States Code, § 1228. A person convicted of an aggravated felony is barred from seeking cancellation of removal pursuant to 8 U.S.C. § 1229b(a)(3).</w:t>
      </w:r>
    </w:p>
  </w:footnote>
  <w:footnote w:id="57">
    <w:p w14:paraId="1D0AACBE"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Deportable Aliens, 8, United States Code, § 1227(a)(3)(D) states that any alien who falsely claimed U.S. citizenship is deportable. No waiver of inadmissibility is available for false claims to United States citizenship, effectively rendering individuals unable to qualify for cancellation of removal. </w:t>
      </w:r>
    </w:p>
  </w:footnote>
  <w:footnote w:id="58">
    <w:p w14:paraId="3D91BFE1"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Deportable Aliens, 8, United States Code, § 1182(a)(9)(C)(</w:t>
      </w:r>
      <w:proofErr w:type="spellStart"/>
      <w:r w:rsidRPr="000939AD">
        <w:rPr>
          <w:color w:val="auto"/>
        </w:rPr>
        <w:t>i</w:t>
      </w:r>
      <w:proofErr w:type="spellEnd"/>
      <w:r w:rsidRPr="000939AD">
        <w:rPr>
          <w:color w:val="auto"/>
        </w:rPr>
        <w:t>)(I) renders permanently inadmissible an individual who is present in the United States for more than 1 year, subsequently departs the United States, and attempts to or does reenter the United States without being admitted.</w:t>
      </w:r>
    </w:p>
  </w:footnote>
  <w:footnote w:id="59">
    <w:p w14:paraId="1B7ADFD3"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Deportable Aliens, 8, United States Code, § 1231(a)(5) provides that if the attorney general finds that an alien has illegally reentered the United States after having been removed or departed voluntarily under an order of removal, the original order shall be reinstated and is not subject to reopening.</w:t>
      </w:r>
    </w:p>
  </w:footnote>
  <w:footnote w:id="60">
    <w:p w14:paraId="53E96743" w14:textId="77777777" w:rsidR="00F31492" w:rsidRPr="000939AD" w:rsidRDefault="00F31492" w:rsidP="00FA7C24">
      <w:pPr>
        <w:pBdr>
          <w:top w:val="nil"/>
          <w:left w:val="nil"/>
          <w:bottom w:val="nil"/>
          <w:right w:val="nil"/>
          <w:between w:val="nil"/>
        </w:pBdr>
        <w:rPr>
          <w:color w:val="auto"/>
        </w:rPr>
      </w:pPr>
      <w:r w:rsidRPr="000939AD">
        <w:rPr>
          <w:color w:val="auto"/>
          <w:vertAlign w:val="superscript"/>
        </w:rPr>
        <w:footnoteRef/>
      </w:r>
      <w:r w:rsidRPr="000939AD">
        <w:rPr>
          <w:color w:val="auto"/>
        </w:rPr>
        <w:t xml:space="preserve"> Deportable Aliens, 8, United States Code, 1158(d)(5) states that if the attorney general finds that an applicant for asylum has made a frivolous asylum application, the alien shall be permanently ineligible for any immigration benefits in the United States.</w:t>
      </w:r>
    </w:p>
  </w:footnote>
  <w:footnote w:id="61">
    <w:p w14:paraId="3C2B455D" w14:textId="5866A30E" w:rsidR="00F31492" w:rsidRPr="000939AD" w:rsidRDefault="00F31492" w:rsidP="00FA7C24">
      <w:pPr>
        <w:pStyle w:val="FootnoteText"/>
        <w:rPr>
          <w:color w:val="auto"/>
        </w:rPr>
      </w:pPr>
      <w:r w:rsidRPr="000939AD">
        <w:rPr>
          <w:rStyle w:val="FootnoteReference"/>
          <w:color w:val="auto"/>
        </w:rPr>
        <w:footnoteRef/>
      </w:r>
      <w:r w:rsidR="00B3226B" w:rsidRPr="000939AD">
        <w:rPr>
          <w:color w:val="auto"/>
        </w:rPr>
        <w:t xml:space="preserve"> </w:t>
      </w:r>
      <w:r w:rsidR="00116712" w:rsidRPr="000939AD">
        <w:rPr>
          <w:color w:val="auto"/>
        </w:rPr>
        <w:t xml:space="preserve">American Immigration Council, </w:t>
      </w:r>
      <w:r w:rsidR="00116712" w:rsidRPr="000939AD">
        <w:rPr>
          <w:i/>
          <w:iCs/>
          <w:color w:val="auto"/>
        </w:rPr>
        <w:t>Judicial Review Provisions of the REAL ID Act: Practice Advisory</w:t>
      </w:r>
      <w:r w:rsidR="00116712" w:rsidRPr="000939AD">
        <w:rPr>
          <w:color w:val="auto"/>
        </w:rPr>
        <w:t xml:space="preserve"> </w:t>
      </w:r>
      <w:r w:rsidR="0007650D" w:rsidRPr="000939AD">
        <w:rPr>
          <w:color w:val="auto"/>
        </w:rPr>
        <w:t xml:space="preserve">by the Legal Action Center </w:t>
      </w:r>
      <w:r w:rsidR="00116712" w:rsidRPr="000939AD">
        <w:rPr>
          <w:color w:val="auto"/>
        </w:rPr>
        <w:t>(Washington, D.C., 2005). Also available at</w:t>
      </w:r>
      <w:r w:rsidRPr="000939AD">
        <w:rPr>
          <w:color w:val="auto"/>
        </w:rPr>
        <w:t xml:space="preserve"> https://www.americanimmigrationcouncil.org/sites/default/files/practice_advisory/realid6705.pdf</w:t>
      </w:r>
      <w:r w:rsidR="00116712" w:rsidRPr="000939AD">
        <w:rPr>
          <w:color w:val="auto"/>
        </w:rPr>
        <w:t>.</w:t>
      </w:r>
    </w:p>
  </w:footnote>
  <w:footnote w:id="62">
    <w:p w14:paraId="7A454735" w14:textId="77777777" w:rsidR="00FC4CC6" w:rsidRPr="000939AD" w:rsidRDefault="00FC4CC6" w:rsidP="00FA7C24">
      <w:pPr>
        <w:pStyle w:val="FootnoteText"/>
        <w:rPr>
          <w:color w:val="auto"/>
        </w:rPr>
      </w:pPr>
      <w:r w:rsidRPr="000939AD">
        <w:rPr>
          <w:rStyle w:val="FootnoteReference"/>
          <w:color w:val="auto"/>
        </w:rPr>
        <w:footnoteRef/>
      </w:r>
      <w:r w:rsidRPr="000939AD">
        <w:rPr>
          <w:color w:val="auto"/>
        </w:rPr>
        <w:t xml:space="preserve"> Committee on the Elimination of Racial Discrimination</w:t>
      </w:r>
      <w:r w:rsidRPr="000939AD">
        <w:rPr>
          <w:i/>
          <w:iCs/>
          <w:color w:val="auto"/>
        </w:rPr>
        <w:t xml:space="preserve">, </w:t>
      </w:r>
      <w:proofErr w:type="gramStart"/>
      <w:r w:rsidRPr="000939AD">
        <w:rPr>
          <w:i/>
          <w:iCs/>
          <w:color w:val="auto"/>
        </w:rPr>
        <w:t>Concluding</w:t>
      </w:r>
      <w:proofErr w:type="gramEnd"/>
      <w:r w:rsidRPr="000939AD">
        <w:rPr>
          <w:i/>
          <w:iCs/>
          <w:color w:val="auto"/>
        </w:rPr>
        <w:t xml:space="preserve"> observations on the combined seventh to ninth periodic reports of the United States of American, adopted by the Committee at its 2317th session</w:t>
      </w:r>
      <w:r w:rsidRPr="000939AD">
        <w:rPr>
          <w:color w:val="auto"/>
        </w:rPr>
        <w:t xml:space="preserve"> (26 August 2014), U.N. Doc CERD/C/USA/CO/7-9, ⁋ 20.</w:t>
      </w:r>
    </w:p>
  </w:footnote>
  <w:footnote w:id="63">
    <w:p w14:paraId="4EC9AC92" w14:textId="77777777" w:rsidR="00FC4CC6" w:rsidRPr="000939AD" w:rsidRDefault="00FC4CC6" w:rsidP="00FA7C24">
      <w:pPr>
        <w:pStyle w:val="FootnoteText"/>
        <w:rPr>
          <w:color w:val="auto"/>
        </w:rPr>
      </w:pPr>
      <w:r w:rsidRPr="000939AD">
        <w:rPr>
          <w:rStyle w:val="FootnoteReference"/>
          <w:color w:val="auto"/>
        </w:rPr>
        <w:footnoteRef/>
      </w:r>
      <w:r w:rsidRPr="000939AD">
        <w:rPr>
          <w:color w:val="auto"/>
        </w:rPr>
        <w:t xml:space="preserve"> Committee on the Elimination of Racial Discrimination</w:t>
      </w:r>
      <w:r w:rsidRPr="000939AD">
        <w:rPr>
          <w:i/>
          <w:iCs/>
          <w:color w:val="auto"/>
        </w:rPr>
        <w:t>,</w:t>
      </w:r>
      <w:r w:rsidRPr="000939AD">
        <w:rPr>
          <w:color w:val="auto"/>
        </w:rPr>
        <w:t xml:space="preserve"> </w:t>
      </w:r>
      <w:proofErr w:type="gramStart"/>
      <w:r w:rsidRPr="000939AD">
        <w:rPr>
          <w:i/>
          <w:color w:val="auto"/>
        </w:rPr>
        <w:t>Combined</w:t>
      </w:r>
      <w:proofErr w:type="gramEnd"/>
      <w:r w:rsidRPr="000939AD">
        <w:rPr>
          <w:i/>
          <w:color w:val="auto"/>
        </w:rPr>
        <w:t xml:space="preserve"> tenth to twelfth periodic reports submitted by the United States of America under article 9 of the Convention</w:t>
      </w:r>
      <w:r w:rsidRPr="000939AD">
        <w:rPr>
          <w:color w:val="auto"/>
        </w:rPr>
        <w:t>,</w:t>
      </w:r>
      <w:r w:rsidRPr="000939AD">
        <w:rPr>
          <w:i/>
          <w:color w:val="auto"/>
        </w:rPr>
        <w:t xml:space="preserve"> due in 2017,</w:t>
      </w:r>
      <w:r w:rsidRPr="000939AD">
        <w:rPr>
          <w:color w:val="auto"/>
        </w:rPr>
        <w:t xml:space="preserve"> (2 June 2021), U.N. Doc. CERD/C/USA/10-12, ¶ 114.</w:t>
      </w:r>
    </w:p>
  </w:footnote>
  <w:footnote w:id="64">
    <w:p w14:paraId="43011EBB" w14:textId="5B9D06D5" w:rsidR="005965BC" w:rsidRPr="000939AD" w:rsidRDefault="005965BC" w:rsidP="00FA7C24">
      <w:pPr>
        <w:pStyle w:val="FootnoteText"/>
        <w:rPr>
          <w:color w:val="auto"/>
        </w:rPr>
      </w:pPr>
      <w:r w:rsidRPr="000939AD">
        <w:rPr>
          <w:rStyle w:val="FootnoteReference"/>
          <w:color w:val="auto"/>
        </w:rPr>
        <w:footnoteRef/>
      </w:r>
      <w:r w:rsidRPr="000939AD">
        <w:rPr>
          <w:color w:val="auto"/>
        </w:rPr>
        <w:t xml:space="preserve"> Committee on the Elimination of Racial Discrimination</w:t>
      </w:r>
      <w:r w:rsidRPr="000939AD">
        <w:rPr>
          <w:i/>
          <w:iCs/>
          <w:color w:val="auto"/>
        </w:rPr>
        <w:t>,</w:t>
      </w:r>
      <w:r w:rsidRPr="000939AD">
        <w:rPr>
          <w:color w:val="auto"/>
        </w:rPr>
        <w:t xml:space="preserve"> </w:t>
      </w:r>
      <w:r w:rsidRPr="000939AD">
        <w:rPr>
          <w:i/>
          <w:iCs/>
          <w:color w:val="auto"/>
        </w:rPr>
        <w:t xml:space="preserve">List of themes in relation to the combined tenth to twelfth reports of the United States of America </w:t>
      </w:r>
      <w:r w:rsidRPr="000939AD">
        <w:rPr>
          <w:color w:val="auto"/>
        </w:rPr>
        <w:t>(24 June 2022), U.N. Doc. CERD/C/USA/Q/10-12, ¶ 13.</w:t>
      </w:r>
    </w:p>
  </w:footnote>
  <w:footnote w:id="65">
    <w:p w14:paraId="29EE41AB" w14:textId="77777777" w:rsidR="00FC4CC6" w:rsidRPr="000939AD" w:rsidRDefault="00FC4CC6" w:rsidP="00FA7C24">
      <w:pPr>
        <w:pStyle w:val="FootnoteText"/>
        <w:rPr>
          <w:color w:val="auto"/>
        </w:rPr>
      </w:pPr>
      <w:r w:rsidRPr="000939AD">
        <w:rPr>
          <w:rStyle w:val="FootnoteReference"/>
          <w:color w:val="auto"/>
        </w:rPr>
        <w:footnoteRef/>
      </w:r>
      <w:r w:rsidRPr="000939AD">
        <w:rPr>
          <w:color w:val="auto"/>
        </w:rPr>
        <w:t xml:space="preserve"> </w:t>
      </w:r>
      <w:proofErr w:type="spellStart"/>
      <w:r w:rsidRPr="000939AD">
        <w:rPr>
          <w:color w:val="auto"/>
        </w:rPr>
        <w:t>Nazgol</w:t>
      </w:r>
      <w:proofErr w:type="spellEnd"/>
      <w:r w:rsidRPr="000939AD">
        <w:rPr>
          <w:color w:val="auto"/>
        </w:rPr>
        <w:t xml:space="preserve"> </w:t>
      </w:r>
      <w:proofErr w:type="spellStart"/>
      <w:r w:rsidRPr="000939AD">
        <w:rPr>
          <w:color w:val="auto"/>
        </w:rPr>
        <w:t>Ghandnoosh</w:t>
      </w:r>
      <w:proofErr w:type="spellEnd"/>
      <w:r w:rsidRPr="000939AD">
        <w:rPr>
          <w:color w:val="auto"/>
        </w:rPr>
        <w:t xml:space="preserve">, </w:t>
      </w:r>
      <w:r w:rsidRPr="000939AD">
        <w:rPr>
          <w:i/>
          <w:iCs/>
          <w:color w:val="auto"/>
        </w:rPr>
        <w:t>Black Lives Matter: Eliminating Racial Inequity in the Criminal Justice System,</w:t>
      </w:r>
      <w:r w:rsidRPr="000939AD">
        <w:rPr>
          <w:color w:val="auto"/>
        </w:rPr>
        <w:t xml:space="preserve"> </w:t>
      </w:r>
      <w:r w:rsidRPr="000939AD">
        <w:rPr>
          <w:smallCaps/>
          <w:color w:val="auto"/>
        </w:rPr>
        <w:t>Sentencing Project</w:t>
      </w:r>
      <w:r w:rsidRPr="000939AD">
        <w:rPr>
          <w:color w:val="auto"/>
        </w:rPr>
        <w:t xml:space="preserve"> 10-12, 15-18 (2015) https://www.sentencingproject.org/publications/black-lives-matter-eliminating-racial-inequity-in-the-criminal-justice-system/.</w:t>
      </w:r>
    </w:p>
  </w:footnote>
  <w:footnote w:id="66">
    <w:p w14:paraId="345A14CA" w14:textId="77777777" w:rsidR="00FC4CC6" w:rsidRPr="000939AD" w:rsidRDefault="00FC4CC6" w:rsidP="00FA7C24">
      <w:pPr>
        <w:pStyle w:val="FootnoteText"/>
        <w:rPr>
          <w:color w:val="auto"/>
        </w:rPr>
      </w:pPr>
      <w:r w:rsidRPr="000939AD">
        <w:rPr>
          <w:rStyle w:val="FootnoteReference"/>
          <w:color w:val="auto"/>
        </w:rPr>
        <w:footnoteRef/>
      </w:r>
      <w:r w:rsidRPr="000939AD">
        <w:rPr>
          <w:color w:val="auto"/>
        </w:rPr>
        <w:t xml:space="preserve"> The Sentencing Project, “Report of The Sentencing Project to the United Nations Special Rapporteur on Contemporary Forms of Racism, Racial Discrimination, Xenophobia, and Related Intolerance” (Mar. 2018), https://www.sentencingproject.org/publications/un-report-on-racial-disparities/.</w:t>
      </w:r>
    </w:p>
  </w:footnote>
  <w:footnote w:id="67">
    <w:p w14:paraId="7EDC50C9" w14:textId="77777777" w:rsidR="00FC4CC6" w:rsidRPr="000939AD" w:rsidRDefault="00FC4CC6" w:rsidP="00FA7C24">
      <w:pPr>
        <w:pStyle w:val="FootnoteText"/>
        <w:rPr>
          <w:color w:val="auto"/>
        </w:rPr>
      </w:pPr>
      <w:r w:rsidRPr="000939AD">
        <w:rPr>
          <w:rStyle w:val="FootnoteReference"/>
          <w:color w:val="auto"/>
        </w:rPr>
        <w:footnoteRef/>
      </w:r>
      <w:r w:rsidRPr="000939AD">
        <w:rPr>
          <w:color w:val="auto"/>
        </w:rPr>
        <w:t xml:space="preserve"> The Sentencing Project, “Report of The Sentencing Project to the United Nations Special Rapporteur on Contemporary Forms of Racism, Racial Discrimination, Xenophobia, and Related Intolerance” (Mar. 2018), https://www.sentencingproject.org/publications/un-report-on-racial-disparities/.</w:t>
      </w:r>
    </w:p>
  </w:footnote>
  <w:footnote w:id="68">
    <w:p w14:paraId="65143331" w14:textId="77777777" w:rsidR="00FC4CC6" w:rsidRPr="000939AD" w:rsidRDefault="00FC4CC6" w:rsidP="00FA7C24">
      <w:pPr>
        <w:pStyle w:val="FootnoteText"/>
        <w:rPr>
          <w:color w:val="auto"/>
        </w:rPr>
      </w:pPr>
      <w:r w:rsidRPr="000939AD">
        <w:rPr>
          <w:rStyle w:val="FootnoteReference"/>
          <w:color w:val="auto"/>
        </w:rPr>
        <w:footnoteRef/>
      </w:r>
      <w:r w:rsidRPr="000939AD">
        <w:rPr>
          <w:color w:val="auto"/>
        </w:rPr>
        <w:t xml:space="preserve"> The Sentencing Project, “Report of The Sentencing Project to the United Nations Special Rapporteur on Contemporary Forms of Racism, Racial Discrimination, Xenophobia, and Related Intolerance” (Mar. 2018), https://www.sentencingproject.org/publications/un-report-on-racial-disparities/</w:t>
      </w:r>
    </w:p>
  </w:footnote>
  <w:footnote w:id="69">
    <w:p w14:paraId="52FCC886" w14:textId="77777777" w:rsidR="00FC4CC6" w:rsidRPr="000939AD" w:rsidRDefault="00FC4CC6" w:rsidP="00FA7C24">
      <w:pPr>
        <w:pStyle w:val="FootnoteText"/>
        <w:rPr>
          <w:color w:val="auto"/>
        </w:rPr>
      </w:pPr>
      <w:r w:rsidRPr="000939AD">
        <w:rPr>
          <w:rStyle w:val="FootnoteReference"/>
          <w:color w:val="auto"/>
        </w:rPr>
        <w:footnoteRef/>
      </w:r>
      <w:r w:rsidRPr="000939AD">
        <w:rPr>
          <w:color w:val="auto"/>
        </w:rPr>
        <w:t xml:space="preserve"> The Sentencing Project, "State-by-State Data," accessed May 12, 2022, https://www.sentencingproject.org/the-facts/#detail?state1Option=U.S.%20Total&amp;state2Option=Minnesota </w:t>
      </w:r>
    </w:p>
    <w:p w14:paraId="46A5A1D5" w14:textId="77777777" w:rsidR="00FC4CC6" w:rsidRPr="000939AD" w:rsidRDefault="00FC4CC6" w:rsidP="00FA7C24">
      <w:pPr>
        <w:pStyle w:val="FootnoteText"/>
        <w:rPr>
          <w:color w:val="auto"/>
          <w:highlight w:val="yellow"/>
        </w:rPr>
      </w:pPr>
      <w:r w:rsidRPr="000939AD">
        <w:rPr>
          <w:color w:val="auto"/>
        </w:rPr>
        <w:t xml:space="preserve"> “Racial/Ethnic Disparity in Imprisonment (2019)”.</w:t>
      </w:r>
    </w:p>
  </w:footnote>
  <w:footnote w:id="70">
    <w:p w14:paraId="5B3E4A75" w14:textId="77777777" w:rsidR="00FC4CC6" w:rsidRPr="000939AD" w:rsidRDefault="00FC4CC6" w:rsidP="00FA7C24">
      <w:pPr>
        <w:pStyle w:val="FootnoteText"/>
        <w:rPr>
          <w:b/>
          <w:bCs/>
          <w:color w:val="auto"/>
        </w:rPr>
      </w:pPr>
      <w:r w:rsidRPr="000939AD">
        <w:rPr>
          <w:rStyle w:val="FootnoteReference"/>
          <w:color w:val="auto"/>
        </w:rPr>
        <w:footnoteRef/>
      </w:r>
      <w:r w:rsidRPr="000939AD">
        <w:rPr>
          <w:color w:val="auto"/>
        </w:rPr>
        <w:t xml:space="preserve"> Ashley </w:t>
      </w:r>
      <w:proofErr w:type="spellStart"/>
      <w:r w:rsidRPr="000939AD">
        <w:rPr>
          <w:color w:val="auto"/>
        </w:rPr>
        <w:t>Nellis</w:t>
      </w:r>
      <w:proofErr w:type="spellEnd"/>
      <w:r w:rsidRPr="000939AD">
        <w:rPr>
          <w:color w:val="auto"/>
        </w:rPr>
        <w:t xml:space="preserve">, </w:t>
      </w:r>
      <w:r w:rsidRPr="000939AD">
        <w:rPr>
          <w:i/>
          <w:iCs/>
          <w:color w:val="auto"/>
        </w:rPr>
        <w:t>The Color of Justice: Racial and Ethnic Disparity in State Prisons</w:t>
      </w:r>
      <w:r w:rsidRPr="000939AD">
        <w:rPr>
          <w:color w:val="auto"/>
        </w:rPr>
        <w:t xml:space="preserve">, </w:t>
      </w:r>
      <w:r w:rsidRPr="000939AD">
        <w:rPr>
          <w:smallCaps/>
          <w:color w:val="auto"/>
        </w:rPr>
        <w:t>Sentencing Project</w:t>
      </w:r>
      <w:r w:rsidRPr="000939AD">
        <w:rPr>
          <w:color w:val="auto"/>
        </w:rPr>
        <w:t xml:space="preserve"> 6,9 (2021) https://www.sentencingproject.org/wp-content/uploads/2016/06/The-Color-of-Justice-Racial-and-Ethnic-Disparity-in-State-Prisons.pdf </w:t>
      </w:r>
    </w:p>
  </w:footnote>
  <w:footnote w:id="71">
    <w:p w14:paraId="7FBB61C9" w14:textId="77777777" w:rsidR="00FC4CC6" w:rsidRPr="000939AD" w:rsidRDefault="00FC4CC6" w:rsidP="00FA7C24">
      <w:pPr>
        <w:pStyle w:val="FootnoteText"/>
        <w:rPr>
          <w:color w:val="auto"/>
        </w:rPr>
      </w:pPr>
      <w:r w:rsidRPr="000939AD">
        <w:rPr>
          <w:rStyle w:val="FootnoteReference"/>
          <w:color w:val="auto"/>
        </w:rPr>
        <w:footnoteRef/>
      </w:r>
      <w:r w:rsidRPr="000939AD">
        <w:rPr>
          <w:color w:val="auto"/>
        </w:rPr>
        <w:t xml:space="preserve"> The Sentencing Project, "State-by-State Data," accessed May 12, 2022, https://www.sentencingproject.org/the-facts/#detail?state1Option=U.S.%20Total&amp;state2Option=Minnesota </w:t>
      </w:r>
    </w:p>
    <w:p w14:paraId="52A362D1" w14:textId="77777777" w:rsidR="00FC4CC6" w:rsidRPr="000939AD" w:rsidRDefault="00FC4CC6" w:rsidP="00FA7C24">
      <w:pPr>
        <w:pStyle w:val="FootnoteText"/>
        <w:rPr>
          <w:color w:val="auto"/>
          <w:highlight w:val="yellow"/>
        </w:rPr>
      </w:pPr>
      <w:r w:rsidRPr="000939AD">
        <w:rPr>
          <w:color w:val="auto"/>
        </w:rPr>
        <w:t xml:space="preserve"> “Racial/Ethnic Disparity in Imprisonment (2019)”.</w:t>
      </w:r>
    </w:p>
  </w:footnote>
  <w:footnote w:id="72">
    <w:p w14:paraId="52E78C72" w14:textId="77777777" w:rsidR="00FC4CC6" w:rsidRPr="000939AD" w:rsidRDefault="00FC4CC6" w:rsidP="00FA7C24">
      <w:pPr>
        <w:pStyle w:val="FootnoteText"/>
        <w:rPr>
          <w:color w:val="auto"/>
        </w:rPr>
      </w:pPr>
      <w:r w:rsidRPr="000939AD">
        <w:rPr>
          <w:rStyle w:val="FootnoteReference"/>
          <w:color w:val="auto"/>
        </w:rPr>
        <w:footnoteRef/>
      </w:r>
      <w:r w:rsidRPr="000939AD">
        <w:rPr>
          <w:color w:val="auto"/>
        </w:rPr>
        <w:t xml:space="preserve"> Minnesota Sentencing Guidelines Commission, </w:t>
      </w:r>
      <w:r w:rsidRPr="000939AD">
        <w:rPr>
          <w:i/>
          <w:iCs/>
          <w:color w:val="auto"/>
        </w:rPr>
        <w:t xml:space="preserve">MINNESOTA SENTENCING GUIDELINES AND COMMENTARY, </w:t>
      </w:r>
      <w:r w:rsidRPr="000939AD">
        <w:rPr>
          <w:color w:val="auto"/>
        </w:rPr>
        <w:t>(Saint Paul, Minnesota: September 2021),</w:t>
      </w:r>
      <w:r w:rsidRPr="000939AD">
        <w:rPr>
          <w:i/>
          <w:color w:val="auto"/>
        </w:rPr>
        <w:t xml:space="preserve"> </w:t>
      </w:r>
      <w:r w:rsidRPr="000939AD">
        <w:rPr>
          <w:color w:val="auto"/>
        </w:rPr>
        <w:t>https://mn.gov/sentencing-guidelines/assets/2021Sept15MinnSentencingGuidelinesCommentary_tcm30-497682.pdf.</w:t>
      </w:r>
    </w:p>
  </w:footnote>
  <w:footnote w:id="73">
    <w:p w14:paraId="1803E0E9" w14:textId="77777777" w:rsidR="00FC4CC6" w:rsidRPr="000939AD" w:rsidRDefault="00FC4CC6" w:rsidP="00FA7C24">
      <w:pPr>
        <w:pStyle w:val="FootnoteText"/>
        <w:rPr>
          <w:color w:val="auto"/>
        </w:rPr>
      </w:pPr>
      <w:r w:rsidRPr="000939AD">
        <w:rPr>
          <w:rStyle w:val="FootnoteReference"/>
          <w:color w:val="auto"/>
        </w:rPr>
        <w:footnoteRef/>
      </w:r>
      <w:r w:rsidRPr="000939AD">
        <w:rPr>
          <w:color w:val="auto"/>
        </w:rPr>
        <w:t xml:space="preserve"> Ashley </w:t>
      </w:r>
      <w:proofErr w:type="spellStart"/>
      <w:r w:rsidRPr="000939AD">
        <w:rPr>
          <w:color w:val="auto"/>
        </w:rPr>
        <w:t>Nellis</w:t>
      </w:r>
      <w:proofErr w:type="spellEnd"/>
      <w:r w:rsidRPr="000939AD">
        <w:rPr>
          <w:color w:val="auto"/>
        </w:rPr>
        <w:t xml:space="preserve">, </w:t>
      </w:r>
      <w:r w:rsidRPr="000939AD">
        <w:rPr>
          <w:i/>
          <w:iCs/>
          <w:color w:val="auto"/>
        </w:rPr>
        <w:t>The Color of Justice: Racial and Ethnic Disparity in State Prisons</w:t>
      </w:r>
      <w:r w:rsidRPr="000939AD">
        <w:rPr>
          <w:color w:val="auto"/>
        </w:rPr>
        <w:t xml:space="preserve">, </w:t>
      </w:r>
      <w:r w:rsidRPr="000939AD">
        <w:rPr>
          <w:smallCaps/>
          <w:color w:val="auto"/>
        </w:rPr>
        <w:t>Sentencing Project</w:t>
      </w:r>
      <w:r w:rsidRPr="000939AD">
        <w:rPr>
          <w:color w:val="auto"/>
        </w:rPr>
        <w:t xml:space="preserve"> 14 n.52 (2021) https://www.sentencingproject.org/wp-content/uploads/2016/06/The-Color-of-Justice-Racial-and-Ethnic-Disparity-in-State-Prisons.pdf (citing </w:t>
      </w:r>
      <w:proofErr w:type="spellStart"/>
      <w:r w:rsidRPr="000939AD">
        <w:rPr>
          <w:color w:val="auto"/>
        </w:rPr>
        <w:t>Frase</w:t>
      </w:r>
      <w:proofErr w:type="spellEnd"/>
      <w:r w:rsidRPr="000939AD">
        <w:rPr>
          <w:color w:val="auto"/>
        </w:rPr>
        <w:t xml:space="preserve">, R. &amp; Roberts, J. V. (2019). </w:t>
      </w:r>
      <w:r w:rsidRPr="000939AD">
        <w:rPr>
          <w:i/>
          <w:iCs/>
          <w:color w:val="auto"/>
        </w:rPr>
        <w:t>Paying for the past: The case against prior record sentencing enhancements</w:t>
      </w:r>
      <w:r w:rsidRPr="000939AD">
        <w:rPr>
          <w:color w:val="auto"/>
        </w:rPr>
        <w:t>. Oxford University Press).</w:t>
      </w:r>
    </w:p>
  </w:footnote>
  <w:footnote w:id="74">
    <w:p w14:paraId="6310DA53" w14:textId="77777777" w:rsidR="00F31492" w:rsidRPr="000939AD" w:rsidRDefault="00F31492" w:rsidP="00FA7C24">
      <w:pPr>
        <w:pStyle w:val="FootnoteText"/>
        <w:rPr>
          <w:color w:val="auto"/>
        </w:rPr>
      </w:pPr>
      <w:r w:rsidRPr="000939AD">
        <w:rPr>
          <w:rStyle w:val="FootnoteReference"/>
          <w:color w:val="auto"/>
        </w:rPr>
        <w:footnoteRef/>
      </w:r>
      <w:r w:rsidRPr="000939AD">
        <w:rPr>
          <w:color w:val="auto"/>
        </w:rPr>
        <w:t xml:space="preserve"> Committee on the Elimination of Racial Discrimination</w:t>
      </w:r>
      <w:r w:rsidRPr="000939AD">
        <w:rPr>
          <w:i/>
          <w:iCs/>
          <w:color w:val="auto"/>
        </w:rPr>
        <w:t xml:space="preserve">, </w:t>
      </w:r>
      <w:proofErr w:type="gramStart"/>
      <w:r w:rsidRPr="000939AD">
        <w:rPr>
          <w:i/>
          <w:iCs/>
          <w:color w:val="auto"/>
        </w:rPr>
        <w:t>Concluding</w:t>
      </w:r>
      <w:proofErr w:type="gramEnd"/>
      <w:r w:rsidRPr="000939AD">
        <w:rPr>
          <w:i/>
          <w:iCs/>
          <w:color w:val="auto"/>
        </w:rPr>
        <w:t xml:space="preserve"> observations on the combined seventh to ninth periodic reports of the United States of American, adopted by the Committee at its 2317th session</w:t>
      </w:r>
      <w:r w:rsidRPr="000939AD">
        <w:rPr>
          <w:color w:val="auto"/>
        </w:rPr>
        <w:t xml:space="preserve"> (26 August 2014), U.N. Doc CERD/C/USA/CO/7-9, ⁋ 18.</w:t>
      </w:r>
    </w:p>
  </w:footnote>
  <w:footnote w:id="75">
    <w:p w14:paraId="3B6818DB" w14:textId="77777777" w:rsidR="00122A03" w:rsidRPr="000939AD" w:rsidRDefault="00122A03" w:rsidP="00FA7C24">
      <w:pPr>
        <w:pStyle w:val="FootnoteText"/>
        <w:rPr>
          <w:color w:val="auto"/>
        </w:rPr>
      </w:pPr>
      <w:r w:rsidRPr="000939AD">
        <w:rPr>
          <w:rStyle w:val="FootnoteReference"/>
          <w:color w:val="auto"/>
        </w:rPr>
        <w:footnoteRef/>
      </w:r>
      <w:r w:rsidRPr="000939AD">
        <w:rPr>
          <w:color w:val="auto"/>
        </w:rPr>
        <w:t xml:space="preserve"> Committee on the Elimination of Racial Discrimination</w:t>
      </w:r>
      <w:r w:rsidRPr="000939AD">
        <w:rPr>
          <w:i/>
          <w:iCs/>
          <w:color w:val="auto"/>
        </w:rPr>
        <w:t>,</w:t>
      </w:r>
      <w:r w:rsidRPr="000939AD">
        <w:rPr>
          <w:color w:val="auto"/>
        </w:rPr>
        <w:t xml:space="preserve"> </w:t>
      </w:r>
      <w:r w:rsidRPr="000939AD">
        <w:rPr>
          <w:i/>
          <w:iCs/>
          <w:color w:val="auto"/>
        </w:rPr>
        <w:t xml:space="preserve">List of themes in relation to the combined tenth to twelfth reports of the United States of America </w:t>
      </w:r>
      <w:r w:rsidRPr="000939AD">
        <w:rPr>
          <w:color w:val="auto"/>
        </w:rPr>
        <w:t>(24 June 2022), U.N. Doc. CERD/C/USA/Q/10-12, ¶ 28.</w:t>
      </w:r>
    </w:p>
  </w:footnote>
  <w:footnote w:id="76">
    <w:p w14:paraId="18947E51" w14:textId="77777777" w:rsidR="00F31492" w:rsidRPr="000939AD" w:rsidRDefault="00F31492" w:rsidP="00FA7C24">
      <w:pPr>
        <w:pStyle w:val="FootnoteText"/>
        <w:rPr>
          <w:color w:val="auto"/>
          <w:lang w:val="es-GT"/>
        </w:rPr>
      </w:pPr>
      <w:r w:rsidRPr="000939AD">
        <w:rPr>
          <w:rStyle w:val="FootnoteReference"/>
          <w:color w:val="auto"/>
        </w:rPr>
        <w:footnoteRef/>
      </w:r>
      <w:r w:rsidRPr="000939AD">
        <w:rPr>
          <w:color w:val="auto"/>
        </w:rPr>
        <w:t xml:space="preserve"> Committee on the Elimination of Racial </w:t>
      </w:r>
      <w:proofErr w:type="gramStart"/>
      <w:r w:rsidRPr="000939AD">
        <w:rPr>
          <w:color w:val="auto"/>
        </w:rPr>
        <w:t>Discrimination</w:t>
      </w:r>
      <w:r w:rsidRPr="000939AD">
        <w:rPr>
          <w:i/>
          <w:iCs/>
          <w:color w:val="auto"/>
        </w:rPr>
        <w:t>,</w:t>
      </w:r>
      <w:r w:rsidRPr="000939AD">
        <w:rPr>
          <w:color w:val="auto"/>
        </w:rPr>
        <w:t>,</w:t>
      </w:r>
      <w:proofErr w:type="gramEnd"/>
      <w:r w:rsidRPr="000939AD">
        <w:rPr>
          <w:color w:val="auto"/>
        </w:rPr>
        <w:t xml:space="preserve"> </w:t>
      </w:r>
      <w:r w:rsidRPr="000939AD">
        <w:rPr>
          <w:i/>
          <w:color w:val="auto"/>
        </w:rPr>
        <w:t>Combined tenth to twelfth periodic reports submitted by the United States of America under article 9 of the Convention</w:t>
      </w:r>
      <w:r w:rsidRPr="000939AD">
        <w:rPr>
          <w:color w:val="auto"/>
        </w:rPr>
        <w:t>,</w:t>
      </w:r>
      <w:r w:rsidRPr="000939AD">
        <w:rPr>
          <w:i/>
          <w:color w:val="auto"/>
        </w:rPr>
        <w:t xml:space="preserve"> due in 2017,</w:t>
      </w:r>
      <w:r w:rsidRPr="000939AD">
        <w:rPr>
          <w:color w:val="auto"/>
        </w:rPr>
        <w:t xml:space="preserve"> (2 June 2021), U.N. Doc. </w:t>
      </w:r>
      <w:r w:rsidRPr="000939AD">
        <w:rPr>
          <w:color w:val="auto"/>
          <w:lang w:val="es-GT"/>
        </w:rPr>
        <w:t>CERD/C/USA/10-12, ¶ 90.</w:t>
      </w:r>
    </w:p>
  </w:footnote>
  <w:footnote w:id="77">
    <w:p w14:paraId="171FC699" w14:textId="71650BEC" w:rsidR="00FD0BC7" w:rsidRPr="00B578B6" w:rsidRDefault="00FD0BC7">
      <w:pPr>
        <w:pStyle w:val="FootnoteText"/>
        <w:rPr>
          <w:lang w:val="es-GT"/>
        </w:rPr>
      </w:pPr>
      <w:r>
        <w:rPr>
          <w:rStyle w:val="FootnoteReference"/>
        </w:rPr>
        <w:footnoteRef/>
      </w:r>
      <w:r w:rsidRPr="00B578B6">
        <w:rPr>
          <w:lang w:val="es-GT"/>
        </w:rPr>
        <w:t xml:space="preserve"> https://www.nytimes.com/live/2022/06/28/us/migrants-san-antonio-tractor-killed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D806A" w14:textId="285D33D0" w:rsidR="000E4DB4" w:rsidRDefault="00173081">
    <w:pPr>
      <w:pStyle w:val="Header"/>
    </w:pPr>
    <w:r>
      <w:rPr>
        <w:noProof/>
      </w:rPr>
      <w:drawing>
        <wp:anchor distT="0" distB="0" distL="114300" distR="114300" simplePos="0" relativeHeight="251658240" behindDoc="0" locked="0" layoutInCell="1" allowOverlap="1" wp14:anchorId="1A996E5C" wp14:editId="41275958">
          <wp:simplePos x="0" y="0"/>
          <wp:positionH relativeFrom="margin">
            <wp:align>center</wp:align>
          </wp:positionH>
          <wp:positionV relativeFrom="paragraph">
            <wp:posOffset>-333375</wp:posOffset>
          </wp:positionV>
          <wp:extent cx="1857375" cy="704850"/>
          <wp:effectExtent l="0" t="0" r="9525" b="0"/>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57375" cy="7048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A4E1F"/>
    <w:multiLevelType w:val="hybridMultilevel"/>
    <w:tmpl w:val="85207E08"/>
    <w:lvl w:ilvl="0" w:tplc="938CD0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E7150"/>
    <w:multiLevelType w:val="hybridMultilevel"/>
    <w:tmpl w:val="0FE2A7A6"/>
    <w:lvl w:ilvl="0" w:tplc="FFFFFFFF">
      <w:start w:val="1"/>
      <w:numFmt w:val="decimal"/>
      <w:lvlText w:val="%1."/>
      <w:lvlJc w:val="left"/>
      <w:pPr>
        <w:ind w:left="720" w:hanging="360"/>
      </w:pPr>
      <w:rPr>
        <w:sz w:val="24"/>
        <w:szCs w:val="24"/>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5153BE"/>
    <w:multiLevelType w:val="hybridMultilevel"/>
    <w:tmpl w:val="0FE2A7A6"/>
    <w:lvl w:ilvl="0" w:tplc="4086DB6A">
      <w:start w:val="1"/>
      <w:numFmt w:val="decimal"/>
      <w:lvlText w:val="%1."/>
      <w:lvlJc w:val="left"/>
      <w:pPr>
        <w:ind w:left="720" w:hanging="360"/>
      </w:pPr>
      <w:rPr>
        <w:sz w:val="24"/>
        <w:szCs w:val="24"/>
      </w:rPr>
    </w:lvl>
    <w:lvl w:ilvl="1" w:tplc="FFFFFFFF">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7D1B3D"/>
    <w:multiLevelType w:val="hybridMultilevel"/>
    <w:tmpl w:val="161A5A10"/>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1224317">
    <w:abstractNumId w:val="2"/>
  </w:num>
  <w:num w:numId="2" w16cid:durableId="1384713130">
    <w:abstractNumId w:val="3"/>
  </w:num>
  <w:num w:numId="3" w16cid:durableId="1546411566">
    <w:abstractNumId w:val="0"/>
  </w:num>
  <w:num w:numId="4" w16cid:durableId="161385443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tia Galambos">
    <w15:presenceInfo w15:providerId="AD" w15:userId="S::kgalambos@advrights.org::7a42d083-bf2b-4827-b8fa-9e6614d96ee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492"/>
    <w:rsid w:val="00014F67"/>
    <w:rsid w:val="00015067"/>
    <w:rsid w:val="00030BF5"/>
    <w:rsid w:val="00065462"/>
    <w:rsid w:val="000737D3"/>
    <w:rsid w:val="000759A4"/>
    <w:rsid w:val="00075F85"/>
    <w:rsid w:val="0007650D"/>
    <w:rsid w:val="00083CE1"/>
    <w:rsid w:val="000939AD"/>
    <w:rsid w:val="000A0187"/>
    <w:rsid w:val="000D2C6D"/>
    <w:rsid w:val="000D562E"/>
    <w:rsid w:val="000E2DDC"/>
    <w:rsid w:val="000E3129"/>
    <w:rsid w:val="000E4DB4"/>
    <w:rsid w:val="001112D2"/>
    <w:rsid w:val="00116712"/>
    <w:rsid w:val="00122A03"/>
    <w:rsid w:val="00123354"/>
    <w:rsid w:val="00134BF8"/>
    <w:rsid w:val="00146B80"/>
    <w:rsid w:val="00162248"/>
    <w:rsid w:val="00173081"/>
    <w:rsid w:val="0018230C"/>
    <w:rsid w:val="001908F8"/>
    <w:rsid w:val="00194814"/>
    <w:rsid w:val="00195980"/>
    <w:rsid w:val="001A0485"/>
    <w:rsid w:val="001D1DA1"/>
    <w:rsid w:val="001D3CF9"/>
    <w:rsid w:val="001F52AC"/>
    <w:rsid w:val="001F5ED5"/>
    <w:rsid w:val="00211C13"/>
    <w:rsid w:val="00220FC0"/>
    <w:rsid w:val="0022168D"/>
    <w:rsid w:val="00247E02"/>
    <w:rsid w:val="00250BEB"/>
    <w:rsid w:val="002519C1"/>
    <w:rsid w:val="002754F6"/>
    <w:rsid w:val="00286E84"/>
    <w:rsid w:val="002A5693"/>
    <w:rsid w:val="002A6E00"/>
    <w:rsid w:val="002B3B62"/>
    <w:rsid w:val="002E0354"/>
    <w:rsid w:val="002E0533"/>
    <w:rsid w:val="002E5E52"/>
    <w:rsid w:val="002E6B2A"/>
    <w:rsid w:val="002F1AE3"/>
    <w:rsid w:val="002F6247"/>
    <w:rsid w:val="002F7239"/>
    <w:rsid w:val="003018BE"/>
    <w:rsid w:val="00303B06"/>
    <w:rsid w:val="003058D5"/>
    <w:rsid w:val="00311737"/>
    <w:rsid w:val="00311CFD"/>
    <w:rsid w:val="003341BF"/>
    <w:rsid w:val="00337356"/>
    <w:rsid w:val="00342D1B"/>
    <w:rsid w:val="00342DE1"/>
    <w:rsid w:val="00370F54"/>
    <w:rsid w:val="00372B12"/>
    <w:rsid w:val="00375D12"/>
    <w:rsid w:val="00384CDF"/>
    <w:rsid w:val="003871A4"/>
    <w:rsid w:val="0039647F"/>
    <w:rsid w:val="003A632F"/>
    <w:rsid w:val="003B1543"/>
    <w:rsid w:val="003B65F2"/>
    <w:rsid w:val="003B6843"/>
    <w:rsid w:val="003D5C03"/>
    <w:rsid w:val="003F058E"/>
    <w:rsid w:val="00416C72"/>
    <w:rsid w:val="004176AD"/>
    <w:rsid w:val="00422DC8"/>
    <w:rsid w:val="00423173"/>
    <w:rsid w:val="00432FA4"/>
    <w:rsid w:val="00441982"/>
    <w:rsid w:val="0045135C"/>
    <w:rsid w:val="004724EA"/>
    <w:rsid w:val="004759CD"/>
    <w:rsid w:val="00477705"/>
    <w:rsid w:val="00491554"/>
    <w:rsid w:val="00496E7E"/>
    <w:rsid w:val="004A11C6"/>
    <w:rsid w:val="004C019C"/>
    <w:rsid w:val="004C1578"/>
    <w:rsid w:val="004C355E"/>
    <w:rsid w:val="004C4460"/>
    <w:rsid w:val="004C661D"/>
    <w:rsid w:val="004C7662"/>
    <w:rsid w:val="004D44F6"/>
    <w:rsid w:val="004D6BF0"/>
    <w:rsid w:val="004E7838"/>
    <w:rsid w:val="004F3D92"/>
    <w:rsid w:val="004F52F0"/>
    <w:rsid w:val="00500EBF"/>
    <w:rsid w:val="005013E3"/>
    <w:rsid w:val="005018D3"/>
    <w:rsid w:val="005055B8"/>
    <w:rsid w:val="00516D21"/>
    <w:rsid w:val="0052591E"/>
    <w:rsid w:val="00540EBA"/>
    <w:rsid w:val="00542B80"/>
    <w:rsid w:val="00564F79"/>
    <w:rsid w:val="00565FC5"/>
    <w:rsid w:val="00586C31"/>
    <w:rsid w:val="005918EB"/>
    <w:rsid w:val="005965BC"/>
    <w:rsid w:val="005A73B9"/>
    <w:rsid w:val="005B077D"/>
    <w:rsid w:val="005B3368"/>
    <w:rsid w:val="005C5137"/>
    <w:rsid w:val="005D1893"/>
    <w:rsid w:val="005D1E77"/>
    <w:rsid w:val="005F615A"/>
    <w:rsid w:val="00612D3A"/>
    <w:rsid w:val="00626A77"/>
    <w:rsid w:val="00627340"/>
    <w:rsid w:val="0063359B"/>
    <w:rsid w:val="006443F1"/>
    <w:rsid w:val="00650A2D"/>
    <w:rsid w:val="00667DCA"/>
    <w:rsid w:val="0067582E"/>
    <w:rsid w:val="00682F05"/>
    <w:rsid w:val="00691F6C"/>
    <w:rsid w:val="00696C15"/>
    <w:rsid w:val="006B2277"/>
    <w:rsid w:val="006B4CD7"/>
    <w:rsid w:val="006B7CA8"/>
    <w:rsid w:val="006E4ECA"/>
    <w:rsid w:val="007060AD"/>
    <w:rsid w:val="00714C8B"/>
    <w:rsid w:val="00726C9D"/>
    <w:rsid w:val="007344B9"/>
    <w:rsid w:val="00742A40"/>
    <w:rsid w:val="00752D28"/>
    <w:rsid w:val="007573DB"/>
    <w:rsid w:val="00782E54"/>
    <w:rsid w:val="007860F8"/>
    <w:rsid w:val="007A0664"/>
    <w:rsid w:val="007A4F36"/>
    <w:rsid w:val="007B6603"/>
    <w:rsid w:val="007C49E8"/>
    <w:rsid w:val="007D3AB8"/>
    <w:rsid w:val="007F48C0"/>
    <w:rsid w:val="007F5DDD"/>
    <w:rsid w:val="008012E7"/>
    <w:rsid w:val="0081101E"/>
    <w:rsid w:val="00837992"/>
    <w:rsid w:val="00841FB7"/>
    <w:rsid w:val="008459B6"/>
    <w:rsid w:val="00846353"/>
    <w:rsid w:val="00852766"/>
    <w:rsid w:val="008609D4"/>
    <w:rsid w:val="00862F2A"/>
    <w:rsid w:val="00891509"/>
    <w:rsid w:val="008930C1"/>
    <w:rsid w:val="008A19A6"/>
    <w:rsid w:val="008C5310"/>
    <w:rsid w:val="008E3493"/>
    <w:rsid w:val="008F4D0D"/>
    <w:rsid w:val="00905BDD"/>
    <w:rsid w:val="009065F6"/>
    <w:rsid w:val="00912EFE"/>
    <w:rsid w:val="00913DF4"/>
    <w:rsid w:val="00932544"/>
    <w:rsid w:val="00942D22"/>
    <w:rsid w:val="00944C4E"/>
    <w:rsid w:val="009507AF"/>
    <w:rsid w:val="00952FF8"/>
    <w:rsid w:val="00966D20"/>
    <w:rsid w:val="00971CC7"/>
    <w:rsid w:val="009838F4"/>
    <w:rsid w:val="00985C42"/>
    <w:rsid w:val="00992E12"/>
    <w:rsid w:val="00997763"/>
    <w:rsid w:val="009A0F9B"/>
    <w:rsid w:val="009A2228"/>
    <w:rsid w:val="009C4F55"/>
    <w:rsid w:val="009D1764"/>
    <w:rsid w:val="009E1554"/>
    <w:rsid w:val="009E6E65"/>
    <w:rsid w:val="009F05FC"/>
    <w:rsid w:val="009F2303"/>
    <w:rsid w:val="009F6842"/>
    <w:rsid w:val="00A110E2"/>
    <w:rsid w:val="00A1243E"/>
    <w:rsid w:val="00A212D1"/>
    <w:rsid w:val="00A2250D"/>
    <w:rsid w:val="00A25FD3"/>
    <w:rsid w:val="00A31D74"/>
    <w:rsid w:val="00A47EF0"/>
    <w:rsid w:val="00A47FC2"/>
    <w:rsid w:val="00A7334F"/>
    <w:rsid w:val="00A805DE"/>
    <w:rsid w:val="00AB2CDD"/>
    <w:rsid w:val="00AC22CC"/>
    <w:rsid w:val="00AD2DBF"/>
    <w:rsid w:val="00AD5F14"/>
    <w:rsid w:val="00AE19C3"/>
    <w:rsid w:val="00AE2BFD"/>
    <w:rsid w:val="00AF6DA4"/>
    <w:rsid w:val="00B02CF0"/>
    <w:rsid w:val="00B04BCC"/>
    <w:rsid w:val="00B07651"/>
    <w:rsid w:val="00B16E08"/>
    <w:rsid w:val="00B275CE"/>
    <w:rsid w:val="00B3226B"/>
    <w:rsid w:val="00B421A1"/>
    <w:rsid w:val="00B47321"/>
    <w:rsid w:val="00B4788D"/>
    <w:rsid w:val="00B501C1"/>
    <w:rsid w:val="00B54CEF"/>
    <w:rsid w:val="00B578B6"/>
    <w:rsid w:val="00B61484"/>
    <w:rsid w:val="00B64D25"/>
    <w:rsid w:val="00B77F1C"/>
    <w:rsid w:val="00B86F45"/>
    <w:rsid w:val="00B94CF2"/>
    <w:rsid w:val="00B96A6F"/>
    <w:rsid w:val="00BD1A0C"/>
    <w:rsid w:val="00BD21F6"/>
    <w:rsid w:val="00BD4D8E"/>
    <w:rsid w:val="00BF7934"/>
    <w:rsid w:val="00C020D0"/>
    <w:rsid w:val="00C07B07"/>
    <w:rsid w:val="00C1047C"/>
    <w:rsid w:val="00C170F7"/>
    <w:rsid w:val="00C2338F"/>
    <w:rsid w:val="00C24B01"/>
    <w:rsid w:val="00C32AB8"/>
    <w:rsid w:val="00C32C90"/>
    <w:rsid w:val="00C44E36"/>
    <w:rsid w:val="00C63D1E"/>
    <w:rsid w:val="00C65D9B"/>
    <w:rsid w:val="00C81B04"/>
    <w:rsid w:val="00C844B0"/>
    <w:rsid w:val="00C86B24"/>
    <w:rsid w:val="00C92609"/>
    <w:rsid w:val="00C93DEB"/>
    <w:rsid w:val="00CB30A8"/>
    <w:rsid w:val="00CC506F"/>
    <w:rsid w:val="00CD22F2"/>
    <w:rsid w:val="00CD29ED"/>
    <w:rsid w:val="00CD760C"/>
    <w:rsid w:val="00CE1702"/>
    <w:rsid w:val="00D04CC6"/>
    <w:rsid w:val="00D12248"/>
    <w:rsid w:val="00D20167"/>
    <w:rsid w:val="00D205F5"/>
    <w:rsid w:val="00D24F9E"/>
    <w:rsid w:val="00D36F94"/>
    <w:rsid w:val="00D4166B"/>
    <w:rsid w:val="00D46CBB"/>
    <w:rsid w:val="00D47B2D"/>
    <w:rsid w:val="00D561A8"/>
    <w:rsid w:val="00D9112E"/>
    <w:rsid w:val="00D94758"/>
    <w:rsid w:val="00DA63A9"/>
    <w:rsid w:val="00DB70DA"/>
    <w:rsid w:val="00DC074E"/>
    <w:rsid w:val="00DC32F0"/>
    <w:rsid w:val="00DC3D64"/>
    <w:rsid w:val="00DD2EAF"/>
    <w:rsid w:val="00DD6772"/>
    <w:rsid w:val="00DE2EFA"/>
    <w:rsid w:val="00E16006"/>
    <w:rsid w:val="00E30957"/>
    <w:rsid w:val="00E43C12"/>
    <w:rsid w:val="00E51C13"/>
    <w:rsid w:val="00E5571F"/>
    <w:rsid w:val="00E6299C"/>
    <w:rsid w:val="00E6797F"/>
    <w:rsid w:val="00E93A3A"/>
    <w:rsid w:val="00E940CE"/>
    <w:rsid w:val="00E9725F"/>
    <w:rsid w:val="00EA5BFF"/>
    <w:rsid w:val="00EB50D6"/>
    <w:rsid w:val="00EE7D33"/>
    <w:rsid w:val="00EF0A89"/>
    <w:rsid w:val="00F02CD0"/>
    <w:rsid w:val="00F13500"/>
    <w:rsid w:val="00F31492"/>
    <w:rsid w:val="00F42CEF"/>
    <w:rsid w:val="00F555DE"/>
    <w:rsid w:val="00F6085B"/>
    <w:rsid w:val="00F6385A"/>
    <w:rsid w:val="00F7572A"/>
    <w:rsid w:val="00F76D72"/>
    <w:rsid w:val="00F834BB"/>
    <w:rsid w:val="00F85DCF"/>
    <w:rsid w:val="00F86D3E"/>
    <w:rsid w:val="00F87E3C"/>
    <w:rsid w:val="00FA25C2"/>
    <w:rsid w:val="00FA2AB3"/>
    <w:rsid w:val="00FA7C24"/>
    <w:rsid w:val="00FC4CC6"/>
    <w:rsid w:val="00FD0BC7"/>
    <w:rsid w:val="00FF717D"/>
    <w:rsid w:val="00FF7A56"/>
    <w:rsid w:val="0207660E"/>
    <w:rsid w:val="02612E41"/>
    <w:rsid w:val="064A905F"/>
    <w:rsid w:val="067F15C5"/>
    <w:rsid w:val="09712820"/>
    <w:rsid w:val="0ADD9D1F"/>
    <w:rsid w:val="0CDCB6D0"/>
    <w:rsid w:val="0E088BF9"/>
    <w:rsid w:val="1241D086"/>
    <w:rsid w:val="140C64D1"/>
    <w:rsid w:val="1578D9D0"/>
    <w:rsid w:val="16DEC30A"/>
    <w:rsid w:val="16E9F05E"/>
    <w:rsid w:val="1797A7A3"/>
    <w:rsid w:val="1A1F8042"/>
    <w:rsid w:val="1AE38231"/>
    <w:rsid w:val="229BEF20"/>
    <w:rsid w:val="246C1216"/>
    <w:rsid w:val="25597C15"/>
    <w:rsid w:val="257EBEE2"/>
    <w:rsid w:val="258E017B"/>
    <w:rsid w:val="259E7304"/>
    <w:rsid w:val="275895C6"/>
    <w:rsid w:val="27D2121B"/>
    <w:rsid w:val="2870D13D"/>
    <w:rsid w:val="2CE880F4"/>
    <w:rsid w:val="2D5C6E9E"/>
    <w:rsid w:val="2DB636D1"/>
    <w:rsid w:val="2E4024AF"/>
    <w:rsid w:val="2EE20BFA"/>
    <w:rsid w:val="2F5B884F"/>
    <w:rsid w:val="2FFA4771"/>
    <w:rsid w:val="33409354"/>
    <w:rsid w:val="360D62E2"/>
    <w:rsid w:val="3686DF37"/>
    <w:rsid w:val="37FD39FA"/>
    <w:rsid w:val="39D710DE"/>
    <w:rsid w:val="3A508D33"/>
    <w:rsid w:val="3C367E87"/>
    <w:rsid w:val="3D429F8E"/>
    <w:rsid w:val="3D719649"/>
    <w:rsid w:val="3DBC1BE3"/>
    <w:rsid w:val="3E10556B"/>
    <w:rsid w:val="3E30098D"/>
    <w:rsid w:val="3ECEC8AF"/>
    <w:rsid w:val="3EE7F10C"/>
    <w:rsid w:val="3F034E15"/>
    <w:rsid w:val="42537FBC"/>
    <w:rsid w:val="42ECB033"/>
    <w:rsid w:val="43213599"/>
    <w:rsid w:val="461347F4"/>
    <w:rsid w:val="468CC449"/>
    <w:rsid w:val="47BE281D"/>
    <w:rsid w:val="4837A472"/>
    <w:rsid w:val="48E01782"/>
    <w:rsid w:val="49055A4F"/>
    <w:rsid w:val="499E8AC6"/>
    <w:rsid w:val="4A9B6934"/>
    <w:rsid w:val="4BC2E744"/>
    <w:rsid w:val="4C909D21"/>
    <w:rsid w:val="4D4884A0"/>
    <w:rsid w:val="4DC200F5"/>
    <w:rsid w:val="4ED4ADC1"/>
    <w:rsid w:val="51084CD8"/>
    <w:rsid w:val="515C8660"/>
    <w:rsid w:val="53A09700"/>
    <w:rsid w:val="543F5622"/>
    <w:rsid w:val="556B2B4B"/>
    <w:rsid w:val="559FB0B1"/>
    <w:rsid w:val="5638E128"/>
    <w:rsid w:val="5692A95B"/>
    <w:rsid w:val="56AAD599"/>
    <w:rsid w:val="56E6E2E3"/>
    <w:rsid w:val="58B1772E"/>
    <w:rsid w:val="58D6B9FB"/>
    <w:rsid w:val="59D8F53E"/>
    <w:rsid w:val="5CCB0799"/>
    <w:rsid w:val="5DA2A33A"/>
    <w:rsid w:val="5E41625C"/>
    <w:rsid w:val="603AED62"/>
    <w:rsid w:val="610E31EA"/>
    <w:rsid w:val="63CBBEDF"/>
    <w:rsid w:val="649974BC"/>
    <w:rsid w:val="652C196E"/>
    <w:rsid w:val="663EC63A"/>
    <w:rsid w:val="66ECC7F5"/>
    <w:rsid w:val="6766444A"/>
    <w:rsid w:val="681E2BC9"/>
    <w:rsid w:val="6897A81E"/>
    <w:rsid w:val="6B89BA79"/>
    <w:rsid w:val="6C22EAF0"/>
    <w:rsid w:val="6DA8884C"/>
    <w:rsid w:val="709A9AA7"/>
    <w:rsid w:val="70BA4EC9"/>
    <w:rsid w:val="718804A6"/>
    <w:rsid w:val="725B492E"/>
    <w:rsid w:val="738CAD02"/>
    <w:rsid w:val="73AC6124"/>
    <w:rsid w:val="7717EFD4"/>
    <w:rsid w:val="77542FEF"/>
    <w:rsid w:val="7843C4FD"/>
    <w:rsid w:val="79BF7C95"/>
    <w:rsid w:val="7A38F8EA"/>
    <w:rsid w:val="7BF44A9C"/>
    <w:rsid w:val="7C28D002"/>
    <w:rsid w:val="7CA24C57"/>
    <w:rsid w:val="7D2B0B45"/>
    <w:rsid w:val="7EA166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96A09"/>
  <w15:chartTrackingRefBased/>
  <w15:docId w15:val="{72750BB3-8F49-4D14-8B7E-7D11D7353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492"/>
    <w:pPr>
      <w:spacing w:after="0" w:line="240" w:lineRule="auto"/>
    </w:pPr>
    <w:rPr>
      <w:rFonts w:ascii="Times New Roman" w:eastAsia="Times New Roman" w:hAnsi="Times New Roman" w:cs="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31492"/>
    <w:rPr>
      <w:color w:val="0000FF"/>
      <w:u w:val="single"/>
    </w:rPr>
  </w:style>
  <w:style w:type="paragraph" w:styleId="ListParagraph">
    <w:name w:val="List Paragraph"/>
    <w:basedOn w:val="Normal"/>
    <w:uiPriority w:val="34"/>
    <w:qFormat/>
    <w:rsid w:val="00F31492"/>
    <w:pPr>
      <w:spacing w:after="200" w:line="276" w:lineRule="auto"/>
      <w:ind w:left="720"/>
      <w:contextualSpacing/>
    </w:pPr>
    <w:rPr>
      <w:rFonts w:ascii="Calibri" w:eastAsia="Calibri" w:hAnsi="Calibri"/>
      <w:color w:val="auto"/>
      <w:kern w:val="0"/>
      <w:sz w:val="22"/>
      <w:szCs w:val="22"/>
    </w:rPr>
  </w:style>
  <w:style w:type="paragraph" w:styleId="FootnoteText">
    <w:name w:val="footnote text"/>
    <w:basedOn w:val="Normal"/>
    <w:link w:val="FootnoteTextChar"/>
    <w:uiPriority w:val="99"/>
    <w:rsid w:val="00F31492"/>
  </w:style>
  <w:style w:type="character" w:customStyle="1" w:styleId="FootnoteTextChar">
    <w:name w:val="Footnote Text Char"/>
    <w:basedOn w:val="DefaultParagraphFont"/>
    <w:link w:val="FootnoteText"/>
    <w:uiPriority w:val="99"/>
    <w:rsid w:val="00F31492"/>
    <w:rPr>
      <w:rFonts w:ascii="Times New Roman" w:eastAsia="Times New Roman" w:hAnsi="Times New Roman" w:cs="Times New Roman"/>
      <w:color w:val="000000"/>
      <w:kern w:val="28"/>
      <w:sz w:val="20"/>
      <w:szCs w:val="20"/>
    </w:rPr>
  </w:style>
  <w:style w:type="character" w:styleId="FootnoteReference">
    <w:name w:val="footnote reference"/>
    <w:uiPriority w:val="99"/>
    <w:rsid w:val="00F31492"/>
    <w:rPr>
      <w:vertAlign w:val="superscript"/>
    </w:rPr>
  </w:style>
  <w:style w:type="character" w:styleId="CommentReference">
    <w:name w:val="annotation reference"/>
    <w:rsid w:val="00F31492"/>
    <w:rPr>
      <w:sz w:val="16"/>
      <w:szCs w:val="16"/>
    </w:rPr>
  </w:style>
  <w:style w:type="paragraph" w:styleId="CommentText">
    <w:name w:val="annotation text"/>
    <w:basedOn w:val="Normal"/>
    <w:link w:val="CommentTextChar"/>
    <w:rsid w:val="00F31492"/>
  </w:style>
  <w:style w:type="character" w:customStyle="1" w:styleId="CommentTextChar">
    <w:name w:val="Comment Text Char"/>
    <w:basedOn w:val="DefaultParagraphFont"/>
    <w:link w:val="CommentText"/>
    <w:rsid w:val="00F31492"/>
    <w:rPr>
      <w:rFonts w:ascii="Times New Roman" w:eastAsia="Times New Roman" w:hAnsi="Times New Roman" w:cs="Times New Roman"/>
      <w:color w:val="000000"/>
      <w:kern w:val="28"/>
      <w:sz w:val="20"/>
      <w:szCs w:val="20"/>
    </w:rPr>
  </w:style>
  <w:style w:type="paragraph" w:customStyle="1" w:styleId="SingleTxtG">
    <w:name w:val="_ Single Txt_G"/>
    <w:basedOn w:val="Normal"/>
    <w:link w:val="SingleTxtGChar"/>
    <w:qFormat/>
    <w:rsid w:val="00F31492"/>
    <w:pPr>
      <w:tabs>
        <w:tab w:val="left" w:pos="1701"/>
        <w:tab w:val="left" w:pos="2268"/>
      </w:tabs>
      <w:suppressAutoHyphens/>
      <w:spacing w:after="120" w:line="240" w:lineRule="atLeast"/>
      <w:ind w:left="1134" w:right="1134"/>
      <w:jc w:val="both"/>
    </w:pPr>
    <w:rPr>
      <w:rFonts w:eastAsia="SimSun"/>
      <w:color w:val="auto"/>
      <w:kern w:val="0"/>
      <w:lang w:val="en-GB" w:eastAsia="zh-CN"/>
    </w:rPr>
  </w:style>
  <w:style w:type="character" w:customStyle="1" w:styleId="SingleTxtGChar">
    <w:name w:val="_ Single Txt_G Char"/>
    <w:link w:val="SingleTxtG"/>
    <w:locked/>
    <w:rsid w:val="00F31492"/>
    <w:rPr>
      <w:rFonts w:ascii="Times New Roman" w:eastAsia="SimSun" w:hAnsi="Times New Roman" w:cs="Times New Roman"/>
      <w:sz w:val="20"/>
      <w:szCs w:val="20"/>
      <w:lang w:val="en-GB" w:eastAsia="zh-CN"/>
    </w:rPr>
  </w:style>
  <w:style w:type="character" w:styleId="UnresolvedMention">
    <w:name w:val="Unresolved Mention"/>
    <w:basedOn w:val="DefaultParagraphFont"/>
    <w:uiPriority w:val="99"/>
    <w:semiHidden/>
    <w:unhideWhenUsed/>
    <w:rsid w:val="00EB50D6"/>
    <w:rPr>
      <w:color w:val="605E5C"/>
      <w:shd w:val="clear" w:color="auto" w:fill="E1DFDD"/>
    </w:rPr>
  </w:style>
  <w:style w:type="paragraph" w:styleId="Header">
    <w:name w:val="header"/>
    <w:basedOn w:val="Normal"/>
    <w:link w:val="HeaderChar"/>
    <w:uiPriority w:val="99"/>
    <w:unhideWhenUsed/>
    <w:rsid w:val="000E4DB4"/>
    <w:pPr>
      <w:tabs>
        <w:tab w:val="center" w:pos="4680"/>
        <w:tab w:val="right" w:pos="9360"/>
      </w:tabs>
    </w:pPr>
  </w:style>
  <w:style w:type="character" w:customStyle="1" w:styleId="HeaderChar">
    <w:name w:val="Header Char"/>
    <w:basedOn w:val="DefaultParagraphFont"/>
    <w:link w:val="Header"/>
    <w:uiPriority w:val="99"/>
    <w:rsid w:val="000E4DB4"/>
    <w:rPr>
      <w:rFonts w:ascii="Times New Roman" w:eastAsia="Times New Roman" w:hAnsi="Times New Roman" w:cs="Times New Roman"/>
      <w:color w:val="000000"/>
      <w:kern w:val="28"/>
      <w:sz w:val="20"/>
      <w:szCs w:val="20"/>
    </w:rPr>
  </w:style>
  <w:style w:type="paragraph" w:styleId="Footer">
    <w:name w:val="footer"/>
    <w:basedOn w:val="Normal"/>
    <w:link w:val="FooterChar"/>
    <w:uiPriority w:val="99"/>
    <w:unhideWhenUsed/>
    <w:rsid w:val="000E4DB4"/>
    <w:pPr>
      <w:tabs>
        <w:tab w:val="center" w:pos="4680"/>
        <w:tab w:val="right" w:pos="9360"/>
      </w:tabs>
    </w:pPr>
  </w:style>
  <w:style w:type="character" w:customStyle="1" w:styleId="FooterChar">
    <w:name w:val="Footer Char"/>
    <w:basedOn w:val="DefaultParagraphFont"/>
    <w:link w:val="Footer"/>
    <w:uiPriority w:val="99"/>
    <w:rsid w:val="000E4DB4"/>
    <w:rPr>
      <w:rFonts w:ascii="Times New Roman" w:eastAsia="Times New Roman" w:hAnsi="Times New Roman" w:cs="Times New Roman"/>
      <w:color w:val="000000"/>
      <w:kern w:val="28"/>
      <w:sz w:val="20"/>
      <w:szCs w:val="20"/>
    </w:rPr>
  </w:style>
  <w:style w:type="paragraph" w:styleId="EndnoteText">
    <w:name w:val="endnote text"/>
    <w:basedOn w:val="Normal"/>
    <w:link w:val="EndnoteTextChar"/>
    <w:uiPriority w:val="99"/>
    <w:semiHidden/>
    <w:unhideWhenUsed/>
    <w:rsid w:val="005018D3"/>
  </w:style>
  <w:style w:type="character" w:customStyle="1" w:styleId="EndnoteTextChar">
    <w:name w:val="Endnote Text Char"/>
    <w:basedOn w:val="DefaultParagraphFont"/>
    <w:link w:val="EndnoteText"/>
    <w:uiPriority w:val="99"/>
    <w:semiHidden/>
    <w:rsid w:val="005018D3"/>
    <w:rPr>
      <w:rFonts w:ascii="Times New Roman" w:eastAsia="Times New Roman" w:hAnsi="Times New Roman" w:cs="Times New Roman"/>
      <w:color w:val="000000"/>
      <w:kern w:val="28"/>
      <w:sz w:val="20"/>
      <w:szCs w:val="20"/>
    </w:rPr>
  </w:style>
  <w:style w:type="character" w:styleId="EndnoteReference">
    <w:name w:val="endnote reference"/>
    <w:basedOn w:val="DefaultParagraphFont"/>
    <w:uiPriority w:val="99"/>
    <w:semiHidden/>
    <w:unhideWhenUsed/>
    <w:rsid w:val="005018D3"/>
    <w:rPr>
      <w:vertAlign w:val="superscript"/>
    </w:rPr>
  </w:style>
  <w:style w:type="paragraph" w:styleId="Revision">
    <w:name w:val="Revision"/>
    <w:hidden/>
    <w:uiPriority w:val="99"/>
    <w:semiHidden/>
    <w:rsid w:val="00985C42"/>
    <w:pPr>
      <w:spacing w:after="0" w:line="240" w:lineRule="auto"/>
    </w:pPr>
    <w:rPr>
      <w:rFonts w:ascii="Times New Roman" w:eastAsia="Times New Roman" w:hAnsi="Times New Roman" w:cs="Times New Roman"/>
      <w:color w:val="000000"/>
      <w:kern w:val="28"/>
      <w:sz w:val="20"/>
      <w:szCs w:val="20"/>
    </w:rPr>
  </w:style>
  <w:style w:type="paragraph" w:styleId="CommentSubject">
    <w:name w:val="annotation subject"/>
    <w:basedOn w:val="CommentText"/>
    <w:next w:val="CommentText"/>
    <w:link w:val="CommentSubjectChar"/>
    <w:uiPriority w:val="99"/>
    <w:semiHidden/>
    <w:unhideWhenUsed/>
    <w:rsid w:val="00B86F45"/>
    <w:rPr>
      <w:b/>
      <w:bCs/>
    </w:rPr>
  </w:style>
  <w:style w:type="character" w:customStyle="1" w:styleId="CommentSubjectChar">
    <w:name w:val="Comment Subject Char"/>
    <w:basedOn w:val="CommentTextChar"/>
    <w:link w:val="CommentSubject"/>
    <w:uiPriority w:val="99"/>
    <w:semiHidden/>
    <w:rsid w:val="00B86F45"/>
    <w:rPr>
      <w:rFonts w:ascii="Times New Roman" w:eastAsia="Times New Roman" w:hAnsi="Times New Roman" w:cs="Times New Roman"/>
      <w:b/>
      <w:bCs/>
      <w:color w:val="000000"/>
      <w:kern w:val="28"/>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93114">
      <w:bodyDiv w:val="1"/>
      <w:marLeft w:val="0"/>
      <w:marRight w:val="0"/>
      <w:marTop w:val="0"/>
      <w:marBottom w:val="0"/>
      <w:divBdr>
        <w:top w:val="none" w:sz="0" w:space="0" w:color="auto"/>
        <w:left w:val="none" w:sz="0" w:space="0" w:color="auto"/>
        <w:bottom w:val="none" w:sz="0" w:space="0" w:color="auto"/>
        <w:right w:val="none" w:sz="0" w:space="0" w:color="auto"/>
      </w:divBdr>
    </w:div>
    <w:div w:id="427390648">
      <w:bodyDiv w:val="1"/>
      <w:marLeft w:val="0"/>
      <w:marRight w:val="0"/>
      <w:marTop w:val="0"/>
      <w:marBottom w:val="0"/>
      <w:divBdr>
        <w:top w:val="none" w:sz="0" w:space="0" w:color="auto"/>
        <w:left w:val="none" w:sz="0" w:space="0" w:color="auto"/>
        <w:bottom w:val="none" w:sz="0" w:space="0" w:color="auto"/>
        <w:right w:val="none" w:sz="0" w:space="0" w:color="auto"/>
      </w:divBdr>
    </w:div>
    <w:div w:id="498084054">
      <w:bodyDiv w:val="1"/>
      <w:marLeft w:val="0"/>
      <w:marRight w:val="0"/>
      <w:marTop w:val="0"/>
      <w:marBottom w:val="0"/>
      <w:divBdr>
        <w:top w:val="none" w:sz="0" w:space="0" w:color="auto"/>
        <w:left w:val="none" w:sz="0" w:space="0" w:color="auto"/>
        <w:bottom w:val="none" w:sz="0" w:space="0" w:color="auto"/>
        <w:right w:val="none" w:sz="0" w:space="0" w:color="auto"/>
      </w:divBdr>
    </w:div>
    <w:div w:id="1437559202">
      <w:bodyDiv w:val="1"/>
      <w:marLeft w:val="0"/>
      <w:marRight w:val="0"/>
      <w:marTop w:val="0"/>
      <w:marBottom w:val="0"/>
      <w:divBdr>
        <w:top w:val="none" w:sz="0" w:space="0" w:color="auto"/>
        <w:left w:val="none" w:sz="0" w:space="0" w:color="auto"/>
        <w:bottom w:val="none" w:sz="0" w:space="0" w:color="auto"/>
        <w:right w:val="none" w:sz="0" w:space="0" w:color="auto"/>
      </w:divBdr>
      <w:divsChild>
        <w:div w:id="1129711295">
          <w:marLeft w:val="0"/>
          <w:marRight w:val="0"/>
          <w:marTop w:val="0"/>
          <w:marBottom w:val="0"/>
          <w:divBdr>
            <w:top w:val="none" w:sz="0" w:space="0" w:color="auto"/>
            <w:left w:val="none" w:sz="0" w:space="0" w:color="auto"/>
            <w:bottom w:val="none" w:sz="0" w:space="0" w:color="auto"/>
            <w:right w:val="none" w:sz="0" w:space="0" w:color="auto"/>
          </w:divBdr>
        </w:div>
      </w:divsChild>
    </w:div>
    <w:div w:id="1658802834">
      <w:bodyDiv w:val="1"/>
      <w:marLeft w:val="0"/>
      <w:marRight w:val="0"/>
      <w:marTop w:val="0"/>
      <w:marBottom w:val="0"/>
      <w:divBdr>
        <w:top w:val="none" w:sz="0" w:space="0" w:color="auto"/>
        <w:left w:val="none" w:sz="0" w:space="0" w:color="auto"/>
        <w:bottom w:val="none" w:sz="0" w:space="0" w:color="auto"/>
        <w:right w:val="none" w:sz="0" w:space="0" w:color="auto"/>
      </w:divBdr>
    </w:div>
    <w:div w:id="1810785474">
      <w:bodyDiv w:val="1"/>
      <w:marLeft w:val="0"/>
      <w:marRight w:val="0"/>
      <w:marTop w:val="0"/>
      <w:marBottom w:val="0"/>
      <w:divBdr>
        <w:top w:val="none" w:sz="0" w:space="0" w:color="auto"/>
        <w:left w:val="none" w:sz="0" w:space="0" w:color="auto"/>
        <w:bottom w:val="none" w:sz="0" w:space="0" w:color="auto"/>
        <w:right w:val="none" w:sz="0" w:space="0" w:color="auto"/>
      </w:divBdr>
    </w:div>
    <w:div w:id="1903251332">
      <w:bodyDiv w:val="1"/>
      <w:marLeft w:val="0"/>
      <w:marRight w:val="0"/>
      <w:marTop w:val="0"/>
      <w:marBottom w:val="0"/>
      <w:divBdr>
        <w:top w:val="none" w:sz="0" w:space="0" w:color="auto"/>
        <w:left w:val="none" w:sz="0" w:space="0" w:color="auto"/>
        <w:bottom w:val="none" w:sz="0" w:space="0" w:color="auto"/>
        <w:right w:val="none" w:sz="0" w:space="0" w:color="auto"/>
      </w:divBdr>
    </w:div>
    <w:div w:id="209054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8" Type="http://schemas.openxmlformats.org/officeDocument/2006/relationships/hyperlink" Target="https://www.icij.org/investigations/solitary-voices/u-s-isolates-detained-immigrants-from-majority-black-countries-at-high-rate-study-finds/" TargetMode="External"/><Relationship Id="rId3" Type="http://schemas.openxmlformats.org/officeDocument/2006/relationships/hyperlink" Target="https://www.npr.org/2021/11/06/1052786254/border-patrol-agents-horseback-investigation-haitian-immigrants" TargetMode="External"/><Relationship Id="rId7" Type="http://schemas.openxmlformats.org/officeDocument/2006/relationships/hyperlink" Target="https://www.immigrationresearch.org/system/files/sobi-fullreport-jan22.pdf" TargetMode="External"/><Relationship Id="rId12" Type="http://schemas.openxmlformats.org/officeDocument/2006/relationships/hyperlink" Target="http://www.uscirf.gov/index.php?option=com_content&amp;task=view&amp;id=2891&amp;Itemid=126" TargetMode="External"/><Relationship Id="rId2" Type="http://schemas.openxmlformats.org/officeDocument/2006/relationships/hyperlink" Target="https://www.npr.org/2022/06/10/1104340619/a-federal-judge-in-texas-blocks-a-major-dhs-policy-limiting-immigration-enforcem?t=1657906205018" TargetMode="External"/><Relationship Id="rId1" Type="http://schemas.openxmlformats.org/officeDocument/2006/relationships/hyperlink" Target="https://www.dhs.gov/news/2021/11/29/dhs-begins-implementation-immigration-enforcement-priorities" TargetMode="External"/><Relationship Id="rId6" Type="http://schemas.openxmlformats.org/officeDocument/2006/relationships/hyperlink" Target="https://www.theadvocatesforhumanrights.org/res/byid/8597" TargetMode="External"/><Relationship Id="rId11" Type="http://schemas.openxmlformats.org/officeDocument/2006/relationships/hyperlink" Target="https://www.pbs.org/newshour/politics/under-trump-higher-immigration-bonds-mean-longer-family-separations" TargetMode="External"/><Relationship Id="rId5" Type="http://schemas.openxmlformats.org/officeDocument/2006/relationships/hyperlink" Target="https://www.raicestexas.org/2020/07/22/black-immigrant-lives-are-under-attack/" TargetMode="External"/><Relationship Id="rId10" Type="http://schemas.openxmlformats.org/officeDocument/2006/relationships/hyperlink" Target="https://www.hrw.org/report/2010/05/06/costly-and-unfair/flaws-us-immigration-detention-policy" TargetMode="External"/><Relationship Id="rId4" Type="http://schemas.openxmlformats.org/officeDocument/2006/relationships/hyperlink" Target="https://www.raicestexas.org/2020/07/22/black-immigrant-lives-are-under-attack/" TargetMode="External"/><Relationship Id="rId9" Type="http://schemas.openxmlformats.org/officeDocument/2006/relationships/hyperlink" Target="https://www.npr.org/2021/11/06/1052786254/border-patrol-agents-horseback-investigation-haitian-immigra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BDEE0-4896-41F5-BAFB-03ACFBA4CCE9}">
  <ds:schemaRefs>
    <ds:schemaRef ds:uri="http://schemas.microsoft.com/sharepoint/v3/contenttype/forms"/>
  </ds:schemaRefs>
</ds:datastoreItem>
</file>

<file path=customXml/itemProps2.xml><?xml version="1.0" encoding="utf-8"?>
<ds:datastoreItem xmlns:ds="http://schemas.openxmlformats.org/officeDocument/2006/customXml" ds:itemID="{848D8304-7746-4A8B-9389-D53B6547286B}"/>
</file>

<file path=customXml/itemProps3.xml><?xml version="1.0" encoding="utf-8"?>
<ds:datastoreItem xmlns:ds="http://schemas.openxmlformats.org/officeDocument/2006/customXml" ds:itemID="{419FC41E-02D5-4849-91D2-009919442F0B}">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4.xml><?xml version="1.0" encoding="utf-8"?>
<ds:datastoreItem xmlns:ds="http://schemas.openxmlformats.org/officeDocument/2006/customXml" ds:itemID="{B1DBAC78-6F8B-47F7-9454-34D656B3A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15</Pages>
  <Words>5152</Words>
  <Characters>29371</Characters>
  <Application>Microsoft Office Word</Application>
  <DocSecurity>0</DocSecurity>
  <Lines>244</Lines>
  <Paragraphs>68</Paragraphs>
  <ScaleCrop>false</ScaleCrop>
  <Company/>
  <LinksUpToDate>false</LinksUpToDate>
  <CharactersWithSpaces>34455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Greising</dc:creator>
  <cp:keywords/>
  <dc:description/>
  <cp:lastModifiedBy>Jennifer Prestholdt</cp:lastModifiedBy>
  <cp:revision>179</cp:revision>
  <dcterms:created xsi:type="dcterms:W3CDTF">2022-07-07T20:26:00Z</dcterms:created>
  <dcterms:modified xsi:type="dcterms:W3CDTF">2022-07-15T19:55:00Z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y fmtid="{D5CDD505-2E9C-101B-9397-08002B2CF9AE}" pid="3" name="Order">
    <vt:r8>28275200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