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436E0" w14:textId="77777777" w:rsidR="00DE11DE" w:rsidRPr="000B5EB1" w:rsidRDefault="00DE11DE" w:rsidP="000B5EB1">
      <w:pPr>
        <w:spacing w:after="0" w:line="240" w:lineRule="auto"/>
        <w:jc w:val="center"/>
        <w:rPr>
          <w:rFonts w:ascii="Bookman Old Style" w:hAnsi="Bookman Old Style"/>
          <w:b/>
          <w:sz w:val="24"/>
          <w:szCs w:val="24"/>
        </w:rPr>
      </w:pPr>
      <w:r w:rsidRPr="000B5EB1">
        <w:rPr>
          <w:rFonts w:ascii="Bookman Old Style" w:hAnsi="Bookman Old Style"/>
          <w:noProof/>
        </w:rPr>
        <w:drawing>
          <wp:inline distT="0" distB="0" distL="0" distR="0" wp14:anchorId="6B4CDB82" wp14:editId="7E8DF825">
            <wp:extent cx="1224607" cy="1478691"/>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2-1923029_coat-of-arms-of-zambia-zambia-coat-of-arms-png.png"/>
                    <pic:cNvPicPr/>
                  </pic:nvPicPr>
                  <pic:blipFill rotWithShape="1">
                    <a:blip r:embed="rId10" cstate="print">
                      <a:clrChange>
                        <a:clrFrom>
                          <a:srgbClr val="EDEDED"/>
                        </a:clrFrom>
                        <a:clrTo>
                          <a:srgbClr val="EDEDED">
                            <a:alpha val="0"/>
                          </a:srgbClr>
                        </a:clrTo>
                      </a:clrChange>
                      <a:extLst>
                        <a:ext uri="{28A0092B-C50C-407E-A947-70E740481C1C}">
                          <a14:useLocalDpi xmlns:a14="http://schemas.microsoft.com/office/drawing/2010/main" val="0"/>
                        </a:ext>
                      </a:extLst>
                    </a:blip>
                    <a:srcRect l="27843" t="3763" r="27904" b="7190"/>
                    <a:stretch/>
                  </pic:blipFill>
                  <pic:spPr bwMode="auto">
                    <a:xfrm>
                      <a:off x="0" y="0"/>
                      <a:ext cx="1266355" cy="1529101"/>
                    </a:xfrm>
                    <a:prstGeom prst="rect">
                      <a:avLst/>
                    </a:prstGeom>
                    <a:ln>
                      <a:noFill/>
                    </a:ln>
                    <a:extLst>
                      <a:ext uri="{53640926-AAD7-44D8-BBD7-CCE9431645EC}">
                        <a14:shadowObscured xmlns:a14="http://schemas.microsoft.com/office/drawing/2010/main"/>
                      </a:ext>
                    </a:extLst>
                  </pic:spPr>
                </pic:pic>
              </a:graphicData>
            </a:graphic>
          </wp:inline>
        </w:drawing>
      </w:r>
    </w:p>
    <w:p w14:paraId="6F7A0F2B" w14:textId="77777777" w:rsidR="00DE11DE" w:rsidRPr="000B5EB1" w:rsidRDefault="00DE11DE" w:rsidP="000B5EB1">
      <w:pPr>
        <w:spacing w:after="0" w:line="240" w:lineRule="auto"/>
        <w:jc w:val="center"/>
        <w:rPr>
          <w:rFonts w:ascii="Bookman Old Style" w:hAnsi="Bookman Old Style"/>
          <w:b/>
          <w:sz w:val="24"/>
          <w:szCs w:val="24"/>
        </w:rPr>
      </w:pPr>
    </w:p>
    <w:p w14:paraId="38A4DA69" w14:textId="77777777" w:rsidR="00DE11DE" w:rsidRPr="000B5EB1" w:rsidRDefault="00DE11DE" w:rsidP="000B5EB1">
      <w:pPr>
        <w:spacing w:after="0" w:line="240" w:lineRule="auto"/>
        <w:jc w:val="center"/>
        <w:rPr>
          <w:rFonts w:ascii="Bookman Old Style" w:hAnsi="Bookman Old Style"/>
          <w:b/>
          <w:sz w:val="28"/>
          <w:szCs w:val="28"/>
        </w:rPr>
      </w:pPr>
      <w:r w:rsidRPr="000B5EB1">
        <w:rPr>
          <w:rFonts w:ascii="Bookman Old Style" w:hAnsi="Bookman Old Style"/>
          <w:b/>
          <w:sz w:val="28"/>
          <w:szCs w:val="28"/>
        </w:rPr>
        <w:t>The Republic of Zambia</w:t>
      </w:r>
    </w:p>
    <w:p w14:paraId="275BB64D" w14:textId="77777777" w:rsidR="00DE11DE" w:rsidRPr="000B5EB1" w:rsidRDefault="00DE11DE" w:rsidP="000B5EB1">
      <w:pPr>
        <w:spacing w:after="0" w:line="240" w:lineRule="auto"/>
        <w:jc w:val="center"/>
        <w:rPr>
          <w:rFonts w:ascii="Bookman Old Style" w:hAnsi="Bookman Old Style"/>
          <w:b/>
          <w:sz w:val="36"/>
          <w:szCs w:val="36"/>
        </w:rPr>
      </w:pPr>
    </w:p>
    <w:p w14:paraId="046D7EBE" w14:textId="77777777" w:rsidR="00DE11DE" w:rsidRPr="000B5EB1" w:rsidRDefault="00DE11DE" w:rsidP="000B5EB1">
      <w:pPr>
        <w:spacing w:after="0" w:line="240" w:lineRule="auto"/>
        <w:jc w:val="center"/>
        <w:rPr>
          <w:rFonts w:ascii="Bookman Old Style" w:hAnsi="Bookman Old Style"/>
          <w:b/>
          <w:sz w:val="36"/>
          <w:szCs w:val="36"/>
        </w:rPr>
      </w:pPr>
    </w:p>
    <w:p w14:paraId="77A3FF89" w14:textId="77777777" w:rsidR="00DE11DE" w:rsidRPr="000B5EB1" w:rsidRDefault="00DE11DE" w:rsidP="000B5EB1">
      <w:pPr>
        <w:spacing w:after="0" w:line="240" w:lineRule="auto"/>
        <w:jc w:val="center"/>
        <w:rPr>
          <w:rFonts w:ascii="Bookman Old Style" w:hAnsi="Bookman Old Style"/>
          <w:b/>
          <w:sz w:val="36"/>
          <w:szCs w:val="36"/>
        </w:rPr>
      </w:pPr>
    </w:p>
    <w:p w14:paraId="698F13AB" w14:textId="77777777" w:rsidR="00DE11DE" w:rsidRPr="000B5EB1" w:rsidRDefault="00DE11DE" w:rsidP="000B5EB1">
      <w:pPr>
        <w:spacing w:after="0" w:line="240" w:lineRule="auto"/>
        <w:jc w:val="center"/>
        <w:rPr>
          <w:rFonts w:ascii="Bookman Old Style" w:hAnsi="Bookman Old Style"/>
          <w:b/>
          <w:sz w:val="36"/>
          <w:szCs w:val="36"/>
        </w:rPr>
      </w:pPr>
    </w:p>
    <w:p w14:paraId="30F26C5A" w14:textId="77777777" w:rsidR="00DE11DE" w:rsidRPr="000B5EB1" w:rsidRDefault="00DE11DE" w:rsidP="000B5EB1">
      <w:pPr>
        <w:pStyle w:val="Default"/>
        <w:jc w:val="center"/>
        <w:rPr>
          <w:rFonts w:ascii="Bookman Old Style" w:hAnsi="Bookman Old Style"/>
          <w:bCs/>
          <w:sz w:val="28"/>
          <w:szCs w:val="28"/>
        </w:rPr>
      </w:pPr>
      <w:r w:rsidRPr="000B5EB1">
        <w:rPr>
          <w:rFonts w:ascii="Bookman Old Style" w:hAnsi="Bookman Old Style"/>
          <w:b/>
          <w:bCs/>
          <w:sz w:val="28"/>
          <w:szCs w:val="28"/>
        </w:rPr>
        <w:t>RESPONSES TO THE CONCLUDING OBSERVATIONS ON THE FOURTH PERIODIC REPORT OF ZAMBIA ON THE IMPLEMENTATION OF THE INTERNATIONAL COVENANT ON CIVIL AND POLITICAL RIGHTS</w:t>
      </w:r>
    </w:p>
    <w:p w14:paraId="5F337B61" w14:textId="77777777" w:rsidR="00DE11DE" w:rsidRPr="000B5EB1" w:rsidRDefault="00DE11DE" w:rsidP="000B5EB1">
      <w:pPr>
        <w:spacing w:after="0" w:line="240" w:lineRule="auto"/>
        <w:jc w:val="center"/>
        <w:rPr>
          <w:rFonts w:ascii="Bookman Old Style" w:hAnsi="Bookman Old Style"/>
          <w:b/>
          <w:sz w:val="36"/>
          <w:szCs w:val="36"/>
        </w:rPr>
      </w:pPr>
    </w:p>
    <w:p w14:paraId="55112B67" w14:textId="77777777" w:rsidR="00DE11DE" w:rsidRPr="000B5EB1" w:rsidRDefault="00DE11DE" w:rsidP="000B5EB1">
      <w:pPr>
        <w:spacing w:after="0" w:line="240" w:lineRule="auto"/>
        <w:jc w:val="center"/>
        <w:rPr>
          <w:rFonts w:ascii="Bookman Old Style" w:hAnsi="Bookman Old Style"/>
          <w:b/>
          <w:sz w:val="36"/>
          <w:szCs w:val="36"/>
        </w:rPr>
      </w:pPr>
    </w:p>
    <w:p w14:paraId="0EBAEF3B" w14:textId="77777777" w:rsidR="00DE11DE" w:rsidRPr="000B5EB1" w:rsidRDefault="00DE11DE" w:rsidP="000B5EB1">
      <w:pPr>
        <w:spacing w:after="0" w:line="240" w:lineRule="auto"/>
        <w:jc w:val="center"/>
        <w:rPr>
          <w:rFonts w:ascii="Bookman Old Style" w:hAnsi="Bookman Old Style"/>
          <w:b/>
          <w:sz w:val="24"/>
          <w:szCs w:val="24"/>
        </w:rPr>
      </w:pPr>
    </w:p>
    <w:p w14:paraId="3478519F" w14:textId="77777777" w:rsidR="00DE11DE" w:rsidRPr="000B5EB1" w:rsidRDefault="00DE11DE" w:rsidP="000B5EB1">
      <w:pPr>
        <w:spacing w:after="0" w:line="240" w:lineRule="auto"/>
        <w:jc w:val="both"/>
        <w:rPr>
          <w:rFonts w:ascii="Bookman Old Style" w:hAnsi="Bookman Old Style"/>
          <w:b/>
          <w:sz w:val="24"/>
          <w:szCs w:val="24"/>
        </w:rPr>
      </w:pPr>
    </w:p>
    <w:p w14:paraId="06E01A88" w14:textId="77777777" w:rsidR="00DE11DE" w:rsidRPr="000B5EB1" w:rsidRDefault="00DE11DE" w:rsidP="000B5EB1">
      <w:pPr>
        <w:spacing w:after="0" w:line="240" w:lineRule="auto"/>
        <w:jc w:val="both"/>
        <w:rPr>
          <w:rFonts w:ascii="Bookman Old Style" w:hAnsi="Bookman Old Style"/>
          <w:b/>
          <w:sz w:val="24"/>
          <w:szCs w:val="24"/>
        </w:rPr>
      </w:pPr>
    </w:p>
    <w:p w14:paraId="5E6677BF" w14:textId="77777777" w:rsidR="00DE11DE" w:rsidRPr="000B5EB1" w:rsidRDefault="00DE11DE" w:rsidP="000B5EB1">
      <w:pPr>
        <w:spacing w:after="0" w:line="240" w:lineRule="auto"/>
        <w:jc w:val="both"/>
        <w:rPr>
          <w:rFonts w:ascii="Bookman Old Style" w:hAnsi="Bookman Old Style"/>
          <w:b/>
          <w:sz w:val="24"/>
          <w:szCs w:val="24"/>
        </w:rPr>
      </w:pPr>
    </w:p>
    <w:p w14:paraId="1C0CB7E6" w14:textId="77777777" w:rsidR="00DE11DE" w:rsidRPr="000B5EB1" w:rsidRDefault="00DE11DE" w:rsidP="000B5EB1">
      <w:pPr>
        <w:spacing w:after="0" w:line="240" w:lineRule="auto"/>
        <w:jc w:val="both"/>
        <w:rPr>
          <w:rFonts w:ascii="Bookman Old Style" w:hAnsi="Bookman Old Style"/>
          <w:b/>
          <w:sz w:val="24"/>
          <w:szCs w:val="24"/>
        </w:rPr>
      </w:pPr>
    </w:p>
    <w:p w14:paraId="2EF7C068" w14:textId="77777777" w:rsidR="00DE11DE" w:rsidRPr="000B5EB1" w:rsidRDefault="00DE11DE" w:rsidP="000B5EB1">
      <w:pPr>
        <w:spacing w:after="0" w:line="240" w:lineRule="auto"/>
        <w:jc w:val="both"/>
        <w:rPr>
          <w:rFonts w:ascii="Bookman Old Style" w:hAnsi="Bookman Old Style"/>
          <w:b/>
          <w:sz w:val="24"/>
          <w:szCs w:val="24"/>
        </w:rPr>
      </w:pPr>
    </w:p>
    <w:p w14:paraId="719D250D" w14:textId="77777777" w:rsidR="00DE11DE" w:rsidRPr="000B5EB1" w:rsidRDefault="00DE11DE" w:rsidP="000B5EB1">
      <w:pPr>
        <w:spacing w:after="0" w:line="240" w:lineRule="auto"/>
        <w:jc w:val="both"/>
        <w:rPr>
          <w:rFonts w:ascii="Bookman Old Style" w:hAnsi="Bookman Old Style"/>
          <w:b/>
          <w:sz w:val="24"/>
          <w:szCs w:val="24"/>
        </w:rPr>
      </w:pPr>
    </w:p>
    <w:p w14:paraId="34A36AAB" w14:textId="77777777" w:rsidR="00DE11DE" w:rsidRPr="000B5EB1" w:rsidRDefault="00DE11DE" w:rsidP="000B5EB1">
      <w:pPr>
        <w:spacing w:after="0" w:line="240" w:lineRule="auto"/>
        <w:jc w:val="both"/>
        <w:rPr>
          <w:rFonts w:ascii="Bookman Old Style" w:hAnsi="Bookman Old Style"/>
          <w:b/>
          <w:sz w:val="24"/>
          <w:szCs w:val="24"/>
        </w:rPr>
      </w:pPr>
    </w:p>
    <w:p w14:paraId="7C400134" w14:textId="77777777" w:rsidR="00DE11DE" w:rsidRPr="000B5EB1" w:rsidRDefault="00DE11DE" w:rsidP="000B5EB1">
      <w:pPr>
        <w:spacing w:after="0" w:line="240" w:lineRule="auto"/>
        <w:jc w:val="both"/>
        <w:rPr>
          <w:rFonts w:ascii="Bookman Old Style" w:hAnsi="Bookman Old Style"/>
          <w:b/>
          <w:sz w:val="24"/>
          <w:szCs w:val="24"/>
        </w:rPr>
      </w:pPr>
    </w:p>
    <w:p w14:paraId="3E7B14FD" w14:textId="77777777" w:rsidR="00DE11DE" w:rsidRPr="000B5EB1" w:rsidRDefault="00DE11DE" w:rsidP="000B5EB1">
      <w:pPr>
        <w:spacing w:after="0" w:line="240" w:lineRule="auto"/>
        <w:jc w:val="both"/>
        <w:rPr>
          <w:rFonts w:ascii="Bookman Old Style" w:hAnsi="Bookman Old Style"/>
          <w:b/>
          <w:sz w:val="24"/>
          <w:szCs w:val="24"/>
        </w:rPr>
      </w:pPr>
    </w:p>
    <w:p w14:paraId="12E0F35F" w14:textId="77777777" w:rsidR="00DE11DE" w:rsidRPr="000B5EB1" w:rsidRDefault="00DE11DE" w:rsidP="000B5EB1">
      <w:pPr>
        <w:spacing w:after="0" w:line="240" w:lineRule="auto"/>
        <w:jc w:val="both"/>
        <w:rPr>
          <w:rFonts w:ascii="Bookman Old Style" w:hAnsi="Bookman Old Style"/>
          <w:b/>
          <w:sz w:val="24"/>
          <w:szCs w:val="24"/>
        </w:rPr>
      </w:pPr>
    </w:p>
    <w:p w14:paraId="5AE54599" w14:textId="77777777" w:rsidR="00DE11DE" w:rsidRPr="000B5EB1" w:rsidRDefault="00DE11DE" w:rsidP="000B5EB1">
      <w:pPr>
        <w:spacing w:after="0" w:line="240" w:lineRule="auto"/>
        <w:jc w:val="both"/>
        <w:rPr>
          <w:rFonts w:ascii="Bookman Old Style" w:hAnsi="Bookman Old Style"/>
          <w:b/>
          <w:sz w:val="24"/>
          <w:szCs w:val="24"/>
        </w:rPr>
      </w:pPr>
    </w:p>
    <w:p w14:paraId="28ABE05D" w14:textId="77777777" w:rsidR="00DE11DE" w:rsidRPr="000B5EB1" w:rsidRDefault="00DE11DE" w:rsidP="000B5EB1">
      <w:pPr>
        <w:spacing w:after="0" w:line="240" w:lineRule="auto"/>
        <w:jc w:val="both"/>
        <w:rPr>
          <w:rFonts w:ascii="Bookman Old Style" w:hAnsi="Bookman Old Style"/>
          <w:b/>
          <w:sz w:val="24"/>
          <w:szCs w:val="24"/>
        </w:rPr>
      </w:pPr>
    </w:p>
    <w:p w14:paraId="64CB2B32" w14:textId="77777777" w:rsidR="00DE11DE" w:rsidRPr="000B5EB1" w:rsidRDefault="00DE11DE" w:rsidP="000B5EB1">
      <w:pPr>
        <w:spacing w:after="0" w:line="240" w:lineRule="auto"/>
        <w:jc w:val="both"/>
        <w:rPr>
          <w:rFonts w:ascii="Bookman Old Style" w:hAnsi="Bookman Old Style"/>
          <w:b/>
          <w:sz w:val="24"/>
          <w:szCs w:val="24"/>
        </w:rPr>
      </w:pPr>
    </w:p>
    <w:p w14:paraId="61450E14" w14:textId="77777777" w:rsidR="00DE11DE" w:rsidRPr="000B5EB1" w:rsidRDefault="00DE11DE" w:rsidP="000B5EB1">
      <w:pPr>
        <w:spacing w:after="0" w:line="240" w:lineRule="auto"/>
        <w:jc w:val="both"/>
        <w:rPr>
          <w:rFonts w:ascii="Bookman Old Style" w:hAnsi="Bookman Old Style"/>
          <w:b/>
          <w:sz w:val="24"/>
          <w:szCs w:val="24"/>
        </w:rPr>
      </w:pPr>
    </w:p>
    <w:p w14:paraId="313A0B34" w14:textId="77777777" w:rsidR="00DE11DE" w:rsidRPr="000B5EB1" w:rsidRDefault="00DE11DE" w:rsidP="000B5EB1">
      <w:pPr>
        <w:spacing w:after="0" w:line="240" w:lineRule="auto"/>
        <w:jc w:val="both"/>
        <w:rPr>
          <w:rFonts w:ascii="Bookman Old Style" w:hAnsi="Bookman Old Style"/>
          <w:b/>
          <w:sz w:val="24"/>
          <w:szCs w:val="24"/>
        </w:rPr>
      </w:pPr>
    </w:p>
    <w:p w14:paraId="1ACC9FFC" w14:textId="77777777" w:rsidR="00DE11DE" w:rsidRPr="000B5EB1" w:rsidRDefault="00DE11DE" w:rsidP="000B5EB1">
      <w:pPr>
        <w:spacing w:after="0" w:line="240" w:lineRule="auto"/>
        <w:jc w:val="both"/>
        <w:rPr>
          <w:rFonts w:ascii="Bookman Old Style" w:hAnsi="Bookman Old Style"/>
          <w:b/>
          <w:sz w:val="24"/>
          <w:szCs w:val="24"/>
        </w:rPr>
      </w:pPr>
    </w:p>
    <w:p w14:paraId="37225513" w14:textId="77777777" w:rsidR="00DE11DE" w:rsidRPr="000B5EB1" w:rsidRDefault="00DE11DE" w:rsidP="000B5EB1">
      <w:pPr>
        <w:pStyle w:val="Default"/>
        <w:jc w:val="center"/>
        <w:rPr>
          <w:rFonts w:ascii="Bookman Old Style" w:hAnsi="Bookman Old Style"/>
          <w:b/>
          <w:bCs/>
          <w:sz w:val="28"/>
          <w:szCs w:val="28"/>
        </w:rPr>
      </w:pPr>
      <w:r w:rsidRPr="000B5EB1">
        <w:rPr>
          <w:rFonts w:ascii="Bookman Old Style" w:hAnsi="Bookman Old Style"/>
          <w:b/>
          <w:bCs/>
          <w:sz w:val="28"/>
          <w:szCs w:val="28"/>
        </w:rPr>
        <w:t>24</w:t>
      </w:r>
      <w:r w:rsidRPr="000B5EB1">
        <w:rPr>
          <w:rFonts w:ascii="Bookman Old Style" w:hAnsi="Bookman Old Style"/>
          <w:b/>
          <w:bCs/>
          <w:sz w:val="28"/>
          <w:szCs w:val="28"/>
          <w:vertAlign w:val="superscript"/>
        </w:rPr>
        <w:t>th</w:t>
      </w:r>
      <w:r w:rsidRPr="000B5EB1">
        <w:rPr>
          <w:rFonts w:ascii="Bookman Old Style" w:hAnsi="Bookman Old Style"/>
          <w:b/>
          <w:bCs/>
          <w:sz w:val="28"/>
          <w:szCs w:val="28"/>
        </w:rPr>
        <w:t xml:space="preserve"> April, 2026</w:t>
      </w:r>
    </w:p>
    <w:p w14:paraId="3B267B2A" w14:textId="77777777" w:rsidR="00DE11DE" w:rsidRPr="000B5EB1" w:rsidRDefault="00DE11DE" w:rsidP="000B5EB1">
      <w:pPr>
        <w:pStyle w:val="Default"/>
        <w:jc w:val="both"/>
        <w:rPr>
          <w:rFonts w:ascii="Bookman Old Style" w:hAnsi="Bookman Old Style"/>
          <w:b/>
          <w:bCs/>
        </w:rPr>
      </w:pPr>
    </w:p>
    <w:p w14:paraId="4E4FDC1D" w14:textId="77777777" w:rsidR="00DE11DE" w:rsidRPr="000B5EB1" w:rsidRDefault="00DE11DE" w:rsidP="000B5EB1">
      <w:pPr>
        <w:pStyle w:val="Default"/>
        <w:jc w:val="both"/>
        <w:rPr>
          <w:rFonts w:ascii="Bookman Old Style" w:hAnsi="Bookman Old Style"/>
          <w:b/>
          <w:bCs/>
        </w:rPr>
      </w:pPr>
      <w:r w:rsidRPr="000B5EB1">
        <w:rPr>
          <w:rFonts w:ascii="Bookman Old Style" w:hAnsi="Bookman Old Style"/>
          <w:b/>
          <w:bCs/>
        </w:rPr>
        <w:lastRenderedPageBreak/>
        <w:t>RESPONSES TO THE CONCLUDING OBSERVATIONS ON THE FOURTH PERIODIC REPORT OF ZAMBIA ON THE IMPLEMENTATION OF THE INTERNATIONAL COVENANT ON CIVIL AND POLITICAL RIGHTS</w:t>
      </w:r>
    </w:p>
    <w:p w14:paraId="68BC26EA" w14:textId="77777777" w:rsidR="00DE11DE" w:rsidRPr="000B5EB1" w:rsidRDefault="00DE11DE" w:rsidP="000B5EB1">
      <w:pPr>
        <w:pStyle w:val="Default"/>
        <w:jc w:val="both"/>
        <w:rPr>
          <w:rFonts w:ascii="Bookman Old Style" w:hAnsi="Bookman Old Style"/>
          <w:bCs/>
        </w:rPr>
      </w:pPr>
    </w:p>
    <w:p w14:paraId="152DCBCE" w14:textId="77777777" w:rsidR="00DE11DE" w:rsidRPr="000B5EB1" w:rsidRDefault="00DE11DE" w:rsidP="000B5EB1">
      <w:pPr>
        <w:pStyle w:val="Default"/>
        <w:jc w:val="both"/>
        <w:rPr>
          <w:rFonts w:ascii="Bookman Old Style" w:hAnsi="Bookman Old Style"/>
          <w:b/>
          <w:bCs/>
        </w:rPr>
      </w:pPr>
      <w:r w:rsidRPr="000B5EB1">
        <w:rPr>
          <w:rFonts w:ascii="Bookman Old Style" w:hAnsi="Bookman Old Style"/>
          <w:b/>
          <w:bCs/>
        </w:rPr>
        <w:t>Introduction</w:t>
      </w:r>
    </w:p>
    <w:p w14:paraId="18F06DCA" w14:textId="77777777" w:rsidR="00DE11DE" w:rsidRPr="000B5EB1" w:rsidRDefault="00DE11DE" w:rsidP="000B5EB1">
      <w:pPr>
        <w:pStyle w:val="Default"/>
        <w:jc w:val="both"/>
        <w:rPr>
          <w:rFonts w:ascii="Bookman Old Style" w:hAnsi="Bookman Old Style"/>
          <w:bCs/>
        </w:rPr>
      </w:pPr>
      <w:r w:rsidRPr="000B5EB1">
        <w:rPr>
          <w:rFonts w:ascii="Bookman Old Style" w:hAnsi="Bookman Old Style"/>
          <w:bCs/>
        </w:rPr>
        <w:t>The Republic of Zambia is required to provide an update to the Human Rights Committee on paragraphs 20, (violence against women, including domestic violence), 22 (death penalty) and 26 (prohibition of torture and other cruel, inhuman or degrading treatment or punishment). Below are the responses:</w:t>
      </w:r>
    </w:p>
    <w:p w14:paraId="5AB08A97" w14:textId="77777777" w:rsidR="00DE11DE" w:rsidRPr="000B5EB1" w:rsidRDefault="00DE11DE" w:rsidP="000B5EB1">
      <w:pPr>
        <w:pStyle w:val="Default"/>
        <w:jc w:val="both"/>
        <w:rPr>
          <w:rFonts w:ascii="Bookman Old Style" w:hAnsi="Bookman Old Style"/>
          <w:bCs/>
        </w:rPr>
      </w:pPr>
    </w:p>
    <w:p w14:paraId="41C1A323" w14:textId="77777777" w:rsidR="00B45041" w:rsidRPr="004B7E9A" w:rsidRDefault="00073F7D" w:rsidP="004B7E9A">
      <w:pPr>
        <w:pStyle w:val="Default"/>
        <w:numPr>
          <w:ilvl w:val="0"/>
          <w:numId w:val="5"/>
        </w:numPr>
        <w:jc w:val="both"/>
        <w:rPr>
          <w:rFonts w:ascii="Bookman Old Style" w:hAnsi="Bookman Old Style"/>
          <w:b/>
          <w:bCs/>
          <w:i/>
        </w:rPr>
      </w:pPr>
      <w:r w:rsidRPr="004B7E9A">
        <w:rPr>
          <w:rFonts w:ascii="Bookman Old Style" w:hAnsi="Bookman Old Style"/>
          <w:b/>
          <w:bCs/>
        </w:rPr>
        <w:t>Paragraph 20</w:t>
      </w:r>
      <w:r w:rsidR="00B45041" w:rsidRPr="004B7E9A">
        <w:rPr>
          <w:rFonts w:ascii="Bookman Old Style" w:hAnsi="Bookman Old Style"/>
          <w:b/>
          <w:bCs/>
        </w:rPr>
        <w:t xml:space="preserve">; </w:t>
      </w:r>
      <w:r w:rsidR="00B45041" w:rsidRPr="004B7E9A">
        <w:rPr>
          <w:rFonts w:ascii="Bookman Old Style" w:hAnsi="Bookman Old Style"/>
          <w:b/>
          <w:bCs/>
          <w:i/>
        </w:rPr>
        <w:t xml:space="preserve">The State party should intensify its efforts: </w:t>
      </w:r>
    </w:p>
    <w:p w14:paraId="3C9C5F37" w14:textId="77777777" w:rsidR="00B45041" w:rsidRPr="000B5EB1" w:rsidRDefault="00B45041" w:rsidP="000B5EB1">
      <w:pPr>
        <w:pStyle w:val="Default"/>
        <w:ind w:firstLine="720"/>
        <w:jc w:val="both"/>
        <w:rPr>
          <w:rFonts w:ascii="Bookman Old Style" w:hAnsi="Bookman Old Style"/>
          <w:b/>
          <w:i/>
        </w:rPr>
      </w:pPr>
    </w:p>
    <w:p w14:paraId="55FD913A" w14:textId="77777777" w:rsidR="00B45041" w:rsidRPr="000B5EB1" w:rsidRDefault="00B45041" w:rsidP="000B5EB1">
      <w:pPr>
        <w:pStyle w:val="Default"/>
        <w:numPr>
          <w:ilvl w:val="0"/>
          <w:numId w:val="1"/>
        </w:numPr>
        <w:jc w:val="both"/>
        <w:rPr>
          <w:rFonts w:ascii="Bookman Old Style" w:hAnsi="Bookman Old Style"/>
          <w:bCs/>
          <w:i/>
        </w:rPr>
      </w:pPr>
      <w:r w:rsidRPr="000B5EB1">
        <w:rPr>
          <w:rFonts w:ascii="Bookman Old Style" w:hAnsi="Bookman Old Style"/>
          <w:b/>
          <w:i/>
        </w:rPr>
        <w:t>T</w:t>
      </w:r>
      <w:r w:rsidRPr="000B5EB1">
        <w:rPr>
          <w:rFonts w:ascii="Bookman Old Style" w:hAnsi="Bookman Old Style"/>
          <w:b/>
          <w:bCs/>
          <w:i/>
        </w:rPr>
        <w:t>o encourage the reporting of cases of violence against women, including by ensuring that all women and girls have access to multiple forms of reporting and information about their rights and available remedies</w:t>
      </w:r>
      <w:r w:rsidRPr="000B5EB1">
        <w:rPr>
          <w:rFonts w:ascii="Bookman Old Style" w:hAnsi="Bookman Old Style"/>
          <w:bCs/>
          <w:i/>
        </w:rPr>
        <w:t>;</w:t>
      </w:r>
    </w:p>
    <w:p w14:paraId="7BB94C83" w14:textId="77777777" w:rsidR="00B45041" w:rsidRPr="000B5EB1" w:rsidRDefault="00B45041" w:rsidP="000B5EB1">
      <w:pPr>
        <w:pStyle w:val="Default"/>
        <w:jc w:val="both"/>
        <w:rPr>
          <w:rFonts w:ascii="Bookman Old Style" w:hAnsi="Bookman Old Style"/>
          <w:bCs/>
          <w:i/>
        </w:rPr>
      </w:pPr>
    </w:p>
    <w:p w14:paraId="0EB933C1" w14:textId="77777777" w:rsidR="00B45041" w:rsidRPr="000B5EB1" w:rsidRDefault="00B45041" w:rsidP="000B5EB1">
      <w:pPr>
        <w:pStyle w:val="NormalWeb"/>
        <w:spacing w:before="0" w:beforeAutospacing="0" w:after="0" w:afterAutospacing="0"/>
        <w:ind w:left="1170"/>
        <w:jc w:val="both"/>
        <w:rPr>
          <w:rFonts w:ascii="Bookman Old Style" w:hAnsi="Bookman Old Style"/>
        </w:rPr>
      </w:pPr>
      <w:r w:rsidRPr="000B5EB1">
        <w:rPr>
          <w:rFonts w:ascii="Bookman Old Style" w:hAnsi="Bookman Old Style"/>
        </w:rPr>
        <w:t xml:space="preserve">The State </w:t>
      </w:r>
      <w:r w:rsidR="001A7D33" w:rsidRPr="000B5EB1">
        <w:rPr>
          <w:rFonts w:ascii="Bookman Old Style" w:hAnsi="Bookman Old Style"/>
        </w:rPr>
        <w:t>p</w:t>
      </w:r>
      <w:r w:rsidRPr="000B5EB1">
        <w:rPr>
          <w:rFonts w:ascii="Bookman Old Style" w:hAnsi="Bookman Old Style"/>
        </w:rPr>
        <w:t xml:space="preserve">arty has intensified efforts to encourage the reporting of cases of violence against women and girls by strengthening access to multiple, safe and accessible reporting mechanisms, in line with its obligations under Articles 2(3), 3 and 26 of the International Covenant on Civil and Political Rights (ICCPR), Article 4 of the Maputo Protocol and Sustainable Development Goal (SDG) 5.2. In this regard, the State </w:t>
      </w:r>
      <w:r w:rsidR="001A7D33" w:rsidRPr="000B5EB1">
        <w:rPr>
          <w:rFonts w:ascii="Bookman Old Style" w:hAnsi="Bookman Old Style"/>
        </w:rPr>
        <w:t>p</w:t>
      </w:r>
      <w:r w:rsidRPr="000B5EB1">
        <w:rPr>
          <w:rFonts w:ascii="Bookman Old Style" w:hAnsi="Bookman Old Style"/>
        </w:rPr>
        <w:t>arty has expanded multi-sectoral, survivor-centred services, including the establishment and scaling up of One-Stop Centres (OSCs), which provide integrated medical, legal and psychosocial support under one roof, thereby facilitating confidential reporting and access to remedies.</w:t>
      </w:r>
    </w:p>
    <w:p w14:paraId="720337D2" w14:textId="77777777" w:rsidR="00B45041" w:rsidRPr="000B5EB1" w:rsidRDefault="00B45041" w:rsidP="000B5EB1">
      <w:pPr>
        <w:pStyle w:val="NormalWeb"/>
        <w:spacing w:before="0" w:beforeAutospacing="0" w:after="0" w:afterAutospacing="0"/>
        <w:ind w:left="1170"/>
        <w:jc w:val="both"/>
        <w:rPr>
          <w:rFonts w:ascii="Bookman Old Style" w:hAnsi="Bookman Old Style"/>
        </w:rPr>
      </w:pPr>
    </w:p>
    <w:p w14:paraId="008162C9" w14:textId="77777777" w:rsidR="00B45041" w:rsidRPr="000B5EB1" w:rsidRDefault="00B45041" w:rsidP="000B5EB1">
      <w:pPr>
        <w:pStyle w:val="NormalWeb"/>
        <w:spacing w:before="0" w:beforeAutospacing="0" w:after="0" w:afterAutospacing="0"/>
        <w:ind w:left="1170"/>
        <w:jc w:val="both"/>
        <w:rPr>
          <w:rFonts w:ascii="Bookman Old Style" w:hAnsi="Bookman Old Style"/>
        </w:rPr>
      </w:pPr>
      <w:r w:rsidRPr="000B5EB1">
        <w:rPr>
          <w:rFonts w:ascii="Bookman Old Style" w:hAnsi="Bookman Old Style"/>
        </w:rPr>
        <w:t xml:space="preserve">Victim Support Units (VSUs) within the Zambia Police Service have been strengthened and decentralised to improve accessibility, particularly in rural and underserved areas. In addition, toll-free helplines (116, 933 and 944) and community-based reporting mechanisms, including safe spaces and community focal points, have been enhanced in collaboration with civil society organisations and traditional leaders. </w:t>
      </w:r>
    </w:p>
    <w:p w14:paraId="7EB77748" w14:textId="77777777" w:rsidR="00B45041" w:rsidRPr="000B5EB1" w:rsidRDefault="00B45041" w:rsidP="000B5EB1">
      <w:pPr>
        <w:spacing w:after="0" w:line="240" w:lineRule="auto"/>
        <w:jc w:val="both"/>
        <w:rPr>
          <w:rFonts w:ascii="Bookman Old Style" w:eastAsia="Times New Roman" w:hAnsi="Bookman Old Style" w:cs="Times New Roman"/>
          <w:sz w:val="24"/>
          <w:szCs w:val="24"/>
          <w:lang w:val="en-ZA" w:eastAsia="en-ZA"/>
        </w:rPr>
      </w:pPr>
    </w:p>
    <w:p w14:paraId="5F68032F" w14:textId="77777777" w:rsidR="00B45041" w:rsidRPr="000B5EB1" w:rsidRDefault="00B45041" w:rsidP="000B5EB1">
      <w:pPr>
        <w:spacing w:after="0" w:line="240" w:lineRule="auto"/>
        <w:ind w:left="1170"/>
        <w:jc w:val="both"/>
        <w:rPr>
          <w:rFonts w:ascii="Bookman Old Style" w:eastAsia="Times New Roman" w:hAnsi="Bookman Old Style" w:cs="Times New Roman"/>
          <w:sz w:val="24"/>
          <w:szCs w:val="24"/>
          <w:lang w:val="en-ZA" w:eastAsia="en-ZA"/>
        </w:rPr>
      </w:pPr>
      <w:r w:rsidRPr="000B5EB1">
        <w:rPr>
          <w:rFonts w:ascii="Bookman Old Style" w:eastAsia="Times New Roman" w:hAnsi="Bookman Old Style" w:cs="Times New Roman"/>
          <w:sz w:val="24"/>
          <w:szCs w:val="24"/>
          <w:lang w:val="en-ZA" w:eastAsia="en-ZA"/>
        </w:rPr>
        <w:t>Public awareness campaigns conducted through various media platforms (Facebook, TikTok, X, Instagram</w:t>
      </w:r>
      <w:r w:rsidR="00367CEC">
        <w:rPr>
          <w:rFonts w:ascii="Bookman Old Style" w:eastAsia="Times New Roman" w:hAnsi="Bookman Old Style" w:cs="Times New Roman"/>
          <w:sz w:val="24"/>
          <w:szCs w:val="24"/>
          <w:lang w:val="en-ZA" w:eastAsia="en-ZA"/>
        </w:rPr>
        <w:t>)</w:t>
      </w:r>
      <w:r w:rsidRPr="000B5EB1">
        <w:rPr>
          <w:rFonts w:ascii="Bookman Old Style" w:eastAsia="Times New Roman" w:hAnsi="Bookman Old Style" w:cs="Times New Roman"/>
          <w:sz w:val="24"/>
          <w:szCs w:val="24"/>
          <w:lang w:val="en-ZA" w:eastAsia="en-ZA"/>
        </w:rPr>
        <w:t xml:space="preserve"> and in local languages have further increased knowledge among women and girls regarding their rights besides available remedies. These measures contribute to building trust in reporting systems and reducing stigma associated with reporting violence.</w:t>
      </w:r>
    </w:p>
    <w:p w14:paraId="344F1B62" w14:textId="77777777" w:rsidR="00B45041" w:rsidRPr="000B5EB1" w:rsidRDefault="00B45041" w:rsidP="000B5EB1">
      <w:pPr>
        <w:pStyle w:val="Default"/>
        <w:ind w:left="1170"/>
        <w:jc w:val="both"/>
        <w:rPr>
          <w:rFonts w:ascii="Bookman Old Style" w:hAnsi="Bookman Old Style"/>
          <w:bCs/>
          <w:i/>
        </w:rPr>
      </w:pPr>
    </w:p>
    <w:p w14:paraId="59DA5B5D" w14:textId="77777777" w:rsidR="00B45041" w:rsidRPr="000B5EB1" w:rsidRDefault="00B45041" w:rsidP="000B5EB1">
      <w:pPr>
        <w:pStyle w:val="Default"/>
        <w:ind w:left="1170"/>
        <w:jc w:val="both"/>
        <w:rPr>
          <w:rFonts w:ascii="Bookman Old Style" w:hAnsi="Bookman Old Style"/>
          <w:bCs/>
          <w:i/>
        </w:rPr>
      </w:pPr>
      <w:r w:rsidRPr="000B5EB1">
        <w:rPr>
          <w:rFonts w:ascii="Bookman Old Style" w:hAnsi="Bookman Old Style"/>
          <w:bCs/>
          <w:i/>
        </w:rPr>
        <w:t xml:space="preserve"> </w:t>
      </w:r>
    </w:p>
    <w:p w14:paraId="28EFD3AE" w14:textId="77777777" w:rsidR="00B45041" w:rsidRPr="000B5EB1" w:rsidRDefault="00B45041" w:rsidP="000B5EB1">
      <w:pPr>
        <w:pStyle w:val="Default"/>
        <w:numPr>
          <w:ilvl w:val="0"/>
          <w:numId w:val="1"/>
        </w:numPr>
        <w:jc w:val="both"/>
        <w:rPr>
          <w:rFonts w:ascii="Bookman Old Style" w:hAnsi="Bookman Old Style"/>
          <w:b/>
          <w:i/>
        </w:rPr>
      </w:pPr>
      <w:r w:rsidRPr="000B5EB1">
        <w:rPr>
          <w:rFonts w:ascii="Bookman Old Style" w:hAnsi="Bookman Old Style"/>
          <w:b/>
          <w:bCs/>
          <w:i/>
        </w:rPr>
        <w:lastRenderedPageBreak/>
        <w:t xml:space="preserve">To investigate all allegations of violence against women, including domestic violence, prosecute and, if found guilty, punish perpetrators with penalties commensurate with the gravity of the offences, and provide victims with full reparation and means of protection, including access to adequately resourced shelters and legal assistance; </w:t>
      </w:r>
    </w:p>
    <w:p w14:paraId="13988C56" w14:textId="77777777" w:rsidR="00B45041" w:rsidRPr="000B5EB1" w:rsidRDefault="00B45041" w:rsidP="000B5EB1">
      <w:pPr>
        <w:pStyle w:val="Default"/>
        <w:ind w:left="1170"/>
        <w:jc w:val="both"/>
        <w:rPr>
          <w:rFonts w:ascii="Bookman Old Style" w:hAnsi="Bookman Old Style"/>
          <w:i/>
        </w:rPr>
      </w:pPr>
    </w:p>
    <w:p w14:paraId="5E4C75B7" w14:textId="77777777" w:rsidR="001A7D33" w:rsidRPr="000B5EB1" w:rsidRDefault="001A7D33" w:rsidP="000B5EB1">
      <w:pPr>
        <w:pStyle w:val="NormalWeb"/>
        <w:spacing w:before="0" w:beforeAutospacing="0" w:after="0" w:afterAutospacing="0"/>
        <w:ind w:left="1170"/>
        <w:jc w:val="both"/>
        <w:rPr>
          <w:rFonts w:ascii="Bookman Old Style" w:hAnsi="Bookman Old Style"/>
        </w:rPr>
      </w:pPr>
      <w:r w:rsidRPr="000B5EB1">
        <w:rPr>
          <w:rFonts w:ascii="Bookman Old Style" w:hAnsi="Bookman Old Style"/>
        </w:rPr>
        <w:t>The State party has strengthened mechanisms to ensure that all allegations of violence against women, including domestic violence, are promptly investigated, prosecuted and punished, with penalties commensurate with the gravity of the offences. Capacity-building initiatives for law enforcement officers, prosecutors and judicial officers have been scaled up to improve investigation techniques, evidence collection and case management, including the use of forensic evidence such as DNA analysis.</w:t>
      </w:r>
    </w:p>
    <w:p w14:paraId="364CC958" w14:textId="77777777" w:rsidR="001A7D33" w:rsidRPr="000B5EB1" w:rsidRDefault="001A7D33" w:rsidP="000B5EB1">
      <w:pPr>
        <w:pStyle w:val="NormalWeb"/>
        <w:spacing w:before="0" w:beforeAutospacing="0" w:after="0" w:afterAutospacing="0"/>
        <w:jc w:val="both"/>
        <w:rPr>
          <w:rFonts w:ascii="Bookman Old Style" w:hAnsi="Bookman Old Style"/>
        </w:rPr>
      </w:pPr>
    </w:p>
    <w:p w14:paraId="3AD502F8" w14:textId="77777777" w:rsidR="001A7D33" w:rsidRPr="000B5EB1" w:rsidRDefault="001A7D33" w:rsidP="000B5EB1">
      <w:pPr>
        <w:pStyle w:val="NormalWeb"/>
        <w:spacing w:before="0" w:beforeAutospacing="0" w:after="0" w:afterAutospacing="0"/>
        <w:ind w:left="1170"/>
        <w:jc w:val="both"/>
        <w:rPr>
          <w:rFonts w:ascii="Bookman Old Style" w:hAnsi="Bookman Old Style"/>
        </w:rPr>
      </w:pPr>
      <w:r w:rsidRPr="000B5EB1">
        <w:rPr>
          <w:rFonts w:ascii="Bookman Old Style" w:hAnsi="Bookman Old Style"/>
        </w:rPr>
        <w:t>The operationalisation of fast-track courts for gender-based violence cases has enhanced the timely delivery of justice. The State party continues to implement key legislation, including the Anti-Gender</w:t>
      </w:r>
      <w:r w:rsidR="00905C1B">
        <w:rPr>
          <w:rFonts w:ascii="Bookman Old Style" w:hAnsi="Bookman Old Style"/>
        </w:rPr>
        <w:t xml:space="preserve"> </w:t>
      </w:r>
      <w:r w:rsidRPr="000B5EB1">
        <w:rPr>
          <w:rFonts w:ascii="Bookman Old Style" w:hAnsi="Bookman Old Style"/>
        </w:rPr>
        <w:t xml:space="preserve">Based Violence Act </w:t>
      </w:r>
      <w:r w:rsidR="00905C1B">
        <w:rPr>
          <w:rFonts w:ascii="Bookman Old Style" w:hAnsi="Bookman Old Style"/>
        </w:rPr>
        <w:t xml:space="preserve">Chapter 67 of the Laws of Zambia </w:t>
      </w:r>
      <w:r w:rsidRPr="000B5EB1">
        <w:rPr>
          <w:rFonts w:ascii="Bookman Old Style" w:hAnsi="Bookman Old Style"/>
        </w:rPr>
        <w:t xml:space="preserve">and the Gender Equity and Equality Act </w:t>
      </w:r>
      <w:r w:rsidR="00905C1B">
        <w:rPr>
          <w:rFonts w:ascii="Bookman Old Style" w:hAnsi="Bookman Old Style"/>
        </w:rPr>
        <w:t xml:space="preserve">Chapter 276 of the Laws of Zambia </w:t>
      </w:r>
      <w:r w:rsidRPr="000B5EB1">
        <w:rPr>
          <w:rFonts w:ascii="Bookman Old Style" w:hAnsi="Bookman Old Style"/>
        </w:rPr>
        <w:t>which provide for protection orders, legal redress and victim support services.</w:t>
      </w:r>
    </w:p>
    <w:p w14:paraId="18DFC14F" w14:textId="77777777" w:rsidR="001A7D33" w:rsidRPr="000B5EB1" w:rsidRDefault="001A7D33" w:rsidP="000B5EB1">
      <w:pPr>
        <w:pStyle w:val="NormalWeb"/>
        <w:spacing w:before="0" w:beforeAutospacing="0" w:after="0" w:afterAutospacing="0"/>
        <w:ind w:left="1170"/>
        <w:jc w:val="both"/>
        <w:rPr>
          <w:rFonts w:ascii="Bookman Old Style" w:hAnsi="Bookman Old Style"/>
        </w:rPr>
      </w:pPr>
    </w:p>
    <w:p w14:paraId="5B07A5AD" w14:textId="77777777" w:rsidR="001A7D33" w:rsidRPr="000B5EB1" w:rsidRDefault="001A7D33" w:rsidP="000B5EB1">
      <w:pPr>
        <w:pStyle w:val="NormalWeb"/>
        <w:spacing w:before="0" w:beforeAutospacing="0" w:after="0" w:afterAutospacing="0"/>
        <w:ind w:left="1170"/>
        <w:jc w:val="both"/>
        <w:rPr>
          <w:rFonts w:ascii="Bookman Old Style" w:hAnsi="Bookman Old Style"/>
        </w:rPr>
      </w:pPr>
      <w:r w:rsidRPr="000B5EB1">
        <w:rPr>
          <w:rFonts w:ascii="Bookman Old Style" w:hAnsi="Bookman Old Style"/>
        </w:rPr>
        <w:t>To ensure comprehensive protection and reparation for victims, the State party has expanded shelters and One-Stop Centres that offer integrated services, including medical care, psychosocial support, legal assistance and temporary accommodations. Legal aid services have also been strengthened to improve access to justice. Additional victim protection measures, including safety planning and referral systems, have been enhanced to safeguard survivors from further harm and support their recovery and reintegration.</w:t>
      </w:r>
    </w:p>
    <w:p w14:paraId="4F6BBD9B" w14:textId="77777777" w:rsidR="001A7D33" w:rsidRPr="000B5EB1" w:rsidRDefault="001A7D33" w:rsidP="000B5EB1">
      <w:pPr>
        <w:pStyle w:val="Default"/>
        <w:ind w:left="1170"/>
        <w:jc w:val="both"/>
        <w:rPr>
          <w:rFonts w:ascii="Bookman Old Style" w:hAnsi="Bookman Old Style"/>
          <w:i/>
        </w:rPr>
      </w:pPr>
    </w:p>
    <w:p w14:paraId="7355C264" w14:textId="77777777" w:rsidR="00B45041" w:rsidRPr="000B5EB1" w:rsidRDefault="00B45041" w:rsidP="000B5EB1">
      <w:pPr>
        <w:pStyle w:val="Default"/>
        <w:numPr>
          <w:ilvl w:val="0"/>
          <w:numId w:val="1"/>
        </w:numPr>
        <w:jc w:val="both"/>
        <w:rPr>
          <w:rFonts w:ascii="Bookman Old Style" w:hAnsi="Bookman Old Style"/>
          <w:b/>
          <w:i/>
        </w:rPr>
      </w:pPr>
      <w:r w:rsidRPr="000B5EB1">
        <w:rPr>
          <w:rFonts w:ascii="Bookman Old Style" w:hAnsi="Bookman Old Style"/>
          <w:b/>
          <w:bCs/>
          <w:i/>
        </w:rPr>
        <w:t>To provide appropriate resources to and adequate training for judges, prosecutors, lawyers and law enforcement officers in handling cases of violence against women, including domestic violence;</w:t>
      </w:r>
    </w:p>
    <w:p w14:paraId="3C0F636D" w14:textId="77777777" w:rsidR="001A7D33" w:rsidRPr="000B5EB1" w:rsidRDefault="001A7D33" w:rsidP="000B5EB1">
      <w:pPr>
        <w:pStyle w:val="Default"/>
        <w:ind w:left="1170"/>
        <w:jc w:val="both"/>
        <w:rPr>
          <w:rFonts w:ascii="Bookman Old Style" w:hAnsi="Bookman Old Style"/>
          <w:i/>
        </w:rPr>
      </w:pPr>
    </w:p>
    <w:p w14:paraId="3566120F" w14:textId="77777777" w:rsidR="001A7D33" w:rsidRPr="000B5EB1" w:rsidRDefault="001A7D33" w:rsidP="000B5EB1">
      <w:pPr>
        <w:pStyle w:val="NormalWeb"/>
        <w:spacing w:before="0" w:beforeAutospacing="0" w:after="0" w:afterAutospacing="0"/>
        <w:ind w:left="1170"/>
        <w:jc w:val="both"/>
        <w:rPr>
          <w:rFonts w:ascii="Bookman Old Style" w:hAnsi="Bookman Old Style"/>
        </w:rPr>
      </w:pPr>
      <w:r w:rsidRPr="000B5EB1">
        <w:rPr>
          <w:rFonts w:ascii="Bookman Old Style" w:hAnsi="Bookman Old Style"/>
        </w:rPr>
        <w:t>The State party has intensified its efforts to provide adequate resources and specialised training to judges, prosecutors, lawyers and law enforcement officers handling cases of violence against women. Targeted training programmes have been institutionalised to provide justice sector professionals with skills in survivor-centred approaches, gender-sensitive adjudication, human rights standards and the application of relevant laws.</w:t>
      </w:r>
    </w:p>
    <w:p w14:paraId="27CF8B8A" w14:textId="77777777" w:rsidR="001A7D33" w:rsidRPr="000B5EB1" w:rsidRDefault="001A7D33" w:rsidP="000B5EB1">
      <w:pPr>
        <w:pStyle w:val="NormalWeb"/>
        <w:spacing w:before="0" w:beforeAutospacing="0" w:after="0" w:afterAutospacing="0"/>
        <w:jc w:val="both"/>
        <w:rPr>
          <w:rFonts w:ascii="Bookman Old Style" w:hAnsi="Bookman Old Style"/>
        </w:rPr>
      </w:pPr>
    </w:p>
    <w:p w14:paraId="6028E88D" w14:textId="77777777" w:rsidR="001A7D33" w:rsidRPr="000B5EB1" w:rsidRDefault="001A7D33" w:rsidP="000B5EB1">
      <w:pPr>
        <w:pStyle w:val="NormalWeb"/>
        <w:spacing w:before="0" w:beforeAutospacing="0" w:after="0" w:afterAutospacing="0"/>
        <w:ind w:left="1170"/>
        <w:jc w:val="both"/>
        <w:rPr>
          <w:rFonts w:ascii="Bookman Old Style" w:hAnsi="Bookman Old Style"/>
        </w:rPr>
      </w:pPr>
      <w:r w:rsidRPr="000B5EB1">
        <w:rPr>
          <w:rFonts w:ascii="Bookman Old Style" w:hAnsi="Bookman Old Style"/>
        </w:rPr>
        <w:lastRenderedPageBreak/>
        <w:t>Collaboration among key institutions, including the judiciary, the National Prosecution Authority</w:t>
      </w:r>
      <w:r w:rsidR="00850E0F">
        <w:rPr>
          <w:rFonts w:ascii="Bookman Old Style" w:hAnsi="Bookman Old Style"/>
        </w:rPr>
        <w:t>,</w:t>
      </w:r>
      <w:r w:rsidRPr="000B5EB1">
        <w:rPr>
          <w:rFonts w:ascii="Bookman Old Style" w:hAnsi="Bookman Old Style"/>
        </w:rPr>
        <w:t xml:space="preserve"> the Zambia Police Service and the Legal Aid Board, has been strengthened to enhance coordination and effectiveness in addressing gender-based violence. Investments have also been made in forensic infrastructure and logistical support to improve evidence-based investigations and prosecutions.</w:t>
      </w:r>
    </w:p>
    <w:p w14:paraId="1C6E44A3" w14:textId="77777777" w:rsidR="001A7D33" w:rsidRPr="000B5EB1" w:rsidRDefault="001A7D33" w:rsidP="000B5EB1">
      <w:pPr>
        <w:pStyle w:val="NormalWeb"/>
        <w:spacing w:before="0" w:beforeAutospacing="0" w:after="0" w:afterAutospacing="0"/>
        <w:jc w:val="both"/>
        <w:rPr>
          <w:rFonts w:ascii="Bookman Old Style" w:hAnsi="Bookman Old Style"/>
        </w:rPr>
      </w:pPr>
    </w:p>
    <w:p w14:paraId="4D4BEBC5" w14:textId="77777777" w:rsidR="001A7D33" w:rsidRPr="000B5EB1" w:rsidRDefault="001A7D33" w:rsidP="000B5EB1">
      <w:pPr>
        <w:pStyle w:val="NormalWeb"/>
        <w:spacing w:before="0" w:beforeAutospacing="0" w:after="0" w:afterAutospacing="0"/>
        <w:ind w:left="1170"/>
        <w:jc w:val="both"/>
        <w:rPr>
          <w:rFonts w:ascii="Bookman Old Style" w:hAnsi="Bookman Old Style"/>
        </w:rPr>
      </w:pPr>
      <w:r w:rsidRPr="000B5EB1">
        <w:rPr>
          <w:rFonts w:ascii="Bookman Old Style" w:hAnsi="Bookman Old Style"/>
        </w:rPr>
        <w:t>Furthermore, frontline service providers in victim support units and One-Stop Centres continue to receive training and resources to ensure the professional, confidential and non-discriminatory handling of cases. Continuous professional development programs have been prioritised to ensure sustainability and responsiveness in the justice system.</w:t>
      </w:r>
    </w:p>
    <w:p w14:paraId="74A0B423" w14:textId="77777777" w:rsidR="001A7D33" w:rsidRPr="000B5EB1" w:rsidRDefault="001A7D33" w:rsidP="000B5EB1">
      <w:pPr>
        <w:pStyle w:val="Default"/>
        <w:ind w:left="1170"/>
        <w:jc w:val="both"/>
        <w:rPr>
          <w:rFonts w:ascii="Bookman Old Style" w:hAnsi="Bookman Old Style"/>
          <w:i/>
        </w:rPr>
      </w:pPr>
    </w:p>
    <w:p w14:paraId="542B9F2B" w14:textId="77777777" w:rsidR="00B45041" w:rsidRPr="000B5EB1" w:rsidRDefault="00B45041" w:rsidP="000B5EB1">
      <w:pPr>
        <w:pStyle w:val="Default"/>
        <w:numPr>
          <w:ilvl w:val="0"/>
          <w:numId w:val="1"/>
        </w:numPr>
        <w:jc w:val="both"/>
        <w:rPr>
          <w:rFonts w:ascii="Bookman Old Style" w:hAnsi="Bookman Old Style"/>
          <w:b/>
          <w:i/>
        </w:rPr>
      </w:pPr>
      <w:r w:rsidRPr="000B5EB1">
        <w:rPr>
          <w:rFonts w:ascii="Bookman Old Style" w:hAnsi="Bookman Old Style"/>
          <w:b/>
          <w:bCs/>
          <w:i/>
        </w:rPr>
        <w:t>To strengthen awareness-raising campaigns for society as a whole, with a special focus on traditional, religious and public opinion leaders, to address harmful cultural practices that generate gender-based violence.</w:t>
      </w:r>
    </w:p>
    <w:p w14:paraId="28862996" w14:textId="77777777" w:rsidR="00073F7D" w:rsidRPr="000B5EB1" w:rsidRDefault="00073F7D" w:rsidP="000B5EB1">
      <w:pPr>
        <w:pStyle w:val="Default"/>
        <w:jc w:val="both"/>
        <w:rPr>
          <w:rFonts w:ascii="Bookman Old Style" w:hAnsi="Bookman Old Style"/>
          <w:bCs/>
        </w:rPr>
      </w:pPr>
    </w:p>
    <w:p w14:paraId="3DF627B9" w14:textId="77777777" w:rsidR="00B45041" w:rsidRPr="000B5EB1" w:rsidRDefault="00B45041" w:rsidP="000B5EB1">
      <w:pPr>
        <w:pStyle w:val="NormalWeb"/>
        <w:spacing w:before="0" w:beforeAutospacing="0" w:after="0" w:afterAutospacing="0"/>
        <w:ind w:left="1170"/>
        <w:jc w:val="both"/>
        <w:rPr>
          <w:rFonts w:ascii="Bookman Old Style" w:hAnsi="Bookman Old Style"/>
        </w:rPr>
      </w:pPr>
      <w:r w:rsidRPr="000B5EB1">
        <w:rPr>
          <w:rFonts w:ascii="Bookman Old Style" w:hAnsi="Bookman Old Style"/>
        </w:rPr>
        <w:t xml:space="preserve">The State </w:t>
      </w:r>
      <w:r w:rsidR="001A7D33" w:rsidRPr="000B5EB1">
        <w:rPr>
          <w:rFonts w:ascii="Bookman Old Style" w:hAnsi="Bookman Old Style"/>
        </w:rPr>
        <w:t>p</w:t>
      </w:r>
      <w:r w:rsidRPr="000B5EB1">
        <w:rPr>
          <w:rFonts w:ascii="Bookman Old Style" w:hAnsi="Bookman Old Style"/>
        </w:rPr>
        <w:t xml:space="preserve">arty has scaled up awareness-raising campaigns targeting society, with a focus on traditional, religious and public opinion leaders, to address harmful cultural practices that perpetuate gender-based violence. The State </w:t>
      </w:r>
      <w:r w:rsidR="001A7D33" w:rsidRPr="000B5EB1">
        <w:rPr>
          <w:rFonts w:ascii="Bookman Old Style" w:hAnsi="Bookman Old Style"/>
        </w:rPr>
        <w:t>p</w:t>
      </w:r>
      <w:r w:rsidRPr="000B5EB1">
        <w:rPr>
          <w:rFonts w:ascii="Bookman Old Style" w:hAnsi="Bookman Old Style"/>
        </w:rPr>
        <w:t>arty has implemented nationwide sensitisation campaigns through radio, television, print media and community outreach programmes, delivering messaging in local languages to ensure inclusivity.</w:t>
      </w:r>
    </w:p>
    <w:p w14:paraId="275EC1F2" w14:textId="77777777" w:rsidR="001A7D33" w:rsidRPr="000B5EB1" w:rsidRDefault="001A7D33" w:rsidP="000B5EB1">
      <w:pPr>
        <w:pStyle w:val="NormalWeb"/>
        <w:spacing w:before="0" w:beforeAutospacing="0" w:after="0" w:afterAutospacing="0"/>
        <w:jc w:val="both"/>
        <w:rPr>
          <w:rFonts w:ascii="Bookman Old Style" w:hAnsi="Bookman Old Style"/>
        </w:rPr>
      </w:pPr>
    </w:p>
    <w:p w14:paraId="79431D4E" w14:textId="77777777" w:rsidR="00B45041" w:rsidRPr="000B5EB1" w:rsidRDefault="00B45041" w:rsidP="000B5EB1">
      <w:pPr>
        <w:spacing w:after="0" w:line="240" w:lineRule="auto"/>
        <w:ind w:left="1170"/>
        <w:jc w:val="both"/>
        <w:rPr>
          <w:rFonts w:ascii="Bookman Old Style" w:eastAsia="Times New Roman" w:hAnsi="Bookman Old Style" w:cs="Times New Roman"/>
          <w:sz w:val="24"/>
          <w:szCs w:val="24"/>
          <w:lang w:val="en-ZA" w:eastAsia="en-ZA"/>
        </w:rPr>
      </w:pPr>
      <w:r w:rsidRPr="000B5EB1">
        <w:rPr>
          <w:rFonts w:ascii="Bookman Old Style" w:eastAsia="Times New Roman" w:hAnsi="Bookman Old Style" w:cs="Times New Roman"/>
          <w:sz w:val="24"/>
          <w:szCs w:val="24"/>
          <w:lang w:val="en-ZA" w:eastAsia="en-ZA"/>
        </w:rPr>
        <w:t>Engagement with traditional leaders and faith-based organisations has been strengthened through cultural resetting which is one of the structured dialogue platforms and capacity-building initiatives aimed at promoting gender equality and eliminating harmful practices such as child marriage, sexual cleansing and property grabbing. These leaders are increasingly serving as advocates for positive social change within their communities. All the 288 Chiefs have pledged to be Ambassadors for positive social change towards ending child marriages in their respective communities.</w:t>
      </w:r>
    </w:p>
    <w:p w14:paraId="1EC8229D" w14:textId="77777777" w:rsidR="001A7D33" w:rsidRPr="000B5EB1" w:rsidRDefault="001A7D33" w:rsidP="000B5EB1">
      <w:pPr>
        <w:spacing w:after="0" w:line="240" w:lineRule="auto"/>
        <w:ind w:left="1170"/>
        <w:jc w:val="both"/>
        <w:rPr>
          <w:rFonts w:ascii="Bookman Old Style" w:eastAsia="Times New Roman" w:hAnsi="Bookman Old Style" w:cs="Times New Roman"/>
          <w:sz w:val="24"/>
          <w:szCs w:val="24"/>
          <w:lang w:val="en-ZA" w:eastAsia="en-ZA"/>
        </w:rPr>
      </w:pPr>
    </w:p>
    <w:p w14:paraId="7EE49C73" w14:textId="77777777" w:rsidR="00B45041" w:rsidRDefault="00B45041" w:rsidP="000B5EB1">
      <w:pPr>
        <w:spacing w:after="0" w:line="240" w:lineRule="auto"/>
        <w:ind w:left="1170"/>
        <w:jc w:val="both"/>
        <w:rPr>
          <w:rFonts w:ascii="Bookman Old Style" w:eastAsia="Times New Roman" w:hAnsi="Bookman Old Style" w:cs="Times New Roman"/>
          <w:sz w:val="24"/>
          <w:szCs w:val="24"/>
          <w:lang w:val="en-ZA" w:eastAsia="en-ZA"/>
        </w:rPr>
      </w:pPr>
      <w:r w:rsidRPr="000B5EB1">
        <w:rPr>
          <w:rFonts w:ascii="Bookman Old Style" w:eastAsia="Times New Roman" w:hAnsi="Bookman Old Style" w:cs="Times New Roman"/>
          <w:sz w:val="24"/>
          <w:szCs w:val="24"/>
          <w:lang w:val="en-ZA" w:eastAsia="en-ZA"/>
        </w:rPr>
        <w:t>Community-based interventions, including safe spaces, school programmes and initiatives engaging men and boys as strong allies as well as agents of change, have been expanded. Collaboration with the Office responsible for Chiefs and Traditional Affairs has further supported the integration of gender equality principles into customary governance systems, including the development and enforcement of by-laws that prohibit harmful practices.</w:t>
      </w:r>
    </w:p>
    <w:p w14:paraId="2352E98E" w14:textId="77777777" w:rsidR="00EF7A79" w:rsidRPr="000B5EB1" w:rsidRDefault="00EF7A79" w:rsidP="000B5EB1">
      <w:pPr>
        <w:spacing w:after="0" w:line="240" w:lineRule="auto"/>
        <w:ind w:left="1170"/>
        <w:jc w:val="both"/>
        <w:rPr>
          <w:rFonts w:ascii="Bookman Old Style" w:eastAsia="Times New Roman" w:hAnsi="Bookman Old Style" w:cs="Times New Roman"/>
          <w:sz w:val="24"/>
          <w:szCs w:val="24"/>
          <w:lang w:val="en-ZA" w:eastAsia="en-ZA"/>
        </w:rPr>
      </w:pPr>
    </w:p>
    <w:p w14:paraId="3ED6B724" w14:textId="77777777" w:rsidR="00B45041" w:rsidRPr="000B5EB1" w:rsidRDefault="00B45041" w:rsidP="000B5EB1">
      <w:pPr>
        <w:pStyle w:val="NormalWeb"/>
        <w:spacing w:before="0" w:beforeAutospacing="0" w:after="0" w:afterAutospacing="0"/>
        <w:ind w:left="1170"/>
        <w:jc w:val="both"/>
        <w:rPr>
          <w:rFonts w:ascii="Bookman Old Style" w:hAnsi="Bookman Old Style"/>
        </w:rPr>
      </w:pPr>
      <w:r w:rsidRPr="000B5EB1">
        <w:rPr>
          <w:rFonts w:ascii="Bookman Old Style" w:hAnsi="Bookman Old Style"/>
        </w:rPr>
        <w:lastRenderedPageBreak/>
        <w:t xml:space="preserve">Through these comprehensive measures, the State </w:t>
      </w:r>
      <w:r w:rsidR="001A7D33" w:rsidRPr="000B5EB1">
        <w:rPr>
          <w:rFonts w:ascii="Bookman Old Style" w:hAnsi="Bookman Old Style"/>
        </w:rPr>
        <w:t>p</w:t>
      </w:r>
      <w:r w:rsidRPr="000B5EB1">
        <w:rPr>
          <w:rFonts w:ascii="Bookman Old Style" w:hAnsi="Bookman Old Style"/>
        </w:rPr>
        <w:t>arty is addressing the root causes of gender-based violence, promoting behavioural change and fostering a culture of respect for the rights and dignity of women and girls.</w:t>
      </w:r>
    </w:p>
    <w:p w14:paraId="4E3CAFA7" w14:textId="77777777" w:rsidR="00B45041" w:rsidRPr="000B5EB1" w:rsidRDefault="00B45041" w:rsidP="000B5EB1">
      <w:pPr>
        <w:pStyle w:val="Default"/>
        <w:jc w:val="both"/>
        <w:rPr>
          <w:rFonts w:ascii="Bookman Old Style" w:hAnsi="Bookman Old Style"/>
          <w:bCs/>
        </w:rPr>
      </w:pPr>
    </w:p>
    <w:p w14:paraId="092B6FC4" w14:textId="77777777" w:rsidR="00073F7D" w:rsidRPr="004B7E9A" w:rsidRDefault="00073F7D" w:rsidP="004B7E9A">
      <w:pPr>
        <w:pStyle w:val="Default"/>
        <w:numPr>
          <w:ilvl w:val="0"/>
          <w:numId w:val="5"/>
        </w:numPr>
        <w:jc w:val="both"/>
        <w:rPr>
          <w:rFonts w:ascii="Bookman Old Style" w:hAnsi="Bookman Old Style"/>
          <w:b/>
        </w:rPr>
      </w:pPr>
      <w:r w:rsidRPr="004B7E9A">
        <w:rPr>
          <w:rFonts w:ascii="Bookman Old Style" w:hAnsi="Bookman Old Style" w:cstheme="minorBidi"/>
          <w:b/>
          <w:color w:val="auto"/>
        </w:rPr>
        <w:t>Paragraph 22</w:t>
      </w:r>
      <w:r w:rsidR="001A7D33" w:rsidRPr="004B7E9A">
        <w:rPr>
          <w:rFonts w:ascii="Bookman Old Style" w:hAnsi="Bookman Old Style" w:cstheme="minorBidi"/>
          <w:b/>
          <w:color w:val="auto"/>
        </w:rPr>
        <w:t xml:space="preserve">: </w:t>
      </w:r>
      <w:r w:rsidRPr="004B7E9A">
        <w:rPr>
          <w:rFonts w:ascii="Bookman Old Style" w:hAnsi="Bookman Old Style"/>
          <w:b/>
          <w:i/>
        </w:rPr>
        <w:t>The State party should:</w:t>
      </w:r>
      <w:r w:rsidRPr="004B7E9A">
        <w:rPr>
          <w:rFonts w:ascii="Bookman Old Style" w:hAnsi="Bookman Old Style"/>
          <w:b/>
        </w:rPr>
        <w:t xml:space="preserve"> </w:t>
      </w:r>
    </w:p>
    <w:p w14:paraId="626B5A5D" w14:textId="77777777" w:rsidR="001A7D33" w:rsidRPr="000B5EB1" w:rsidRDefault="001A7D33" w:rsidP="000B5EB1">
      <w:pPr>
        <w:pStyle w:val="Default"/>
        <w:jc w:val="both"/>
        <w:rPr>
          <w:rFonts w:ascii="Bookman Old Style" w:hAnsi="Bookman Old Style"/>
          <w:b/>
        </w:rPr>
      </w:pPr>
    </w:p>
    <w:p w14:paraId="4B768969" w14:textId="77777777" w:rsidR="00073F7D" w:rsidRPr="000B5EB1" w:rsidRDefault="00073F7D" w:rsidP="000B5EB1">
      <w:pPr>
        <w:pStyle w:val="Default"/>
        <w:numPr>
          <w:ilvl w:val="0"/>
          <w:numId w:val="2"/>
        </w:numPr>
        <w:jc w:val="both"/>
        <w:rPr>
          <w:rFonts w:ascii="Bookman Old Style" w:hAnsi="Bookman Old Style"/>
          <w:bCs/>
          <w:i/>
        </w:rPr>
      </w:pPr>
      <w:r w:rsidRPr="000B5EB1">
        <w:rPr>
          <w:rFonts w:ascii="Bookman Old Style" w:hAnsi="Bookman Old Style"/>
          <w:b/>
          <w:bCs/>
          <w:i/>
        </w:rPr>
        <w:t>Take all necessary steps to accede to the Second Optional Protocol to the Covenant, aiming at the abolition of the death penalty, and repeal the provisions concerning the death penalty in the Defence Act and the Constitution;</w:t>
      </w:r>
    </w:p>
    <w:p w14:paraId="1D826301" w14:textId="77777777" w:rsidR="00073F7D" w:rsidRDefault="00073F7D" w:rsidP="000B5EB1">
      <w:pPr>
        <w:pStyle w:val="Default"/>
        <w:ind w:left="1080"/>
        <w:jc w:val="both"/>
        <w:rPr>
          <w:rFonts w:ascii="Bookman Old Style" w:hAnsi="Bookman Old Style"/>
          <w:bCs/>
          <w:i/>
        </w:rPr>
      </w:pPr>
    </w:p>
    <w:p w14:paraId="2E1CD962" w14:textId="77777777" w:rsidR="004B7E9A" w:rsidRPr="004B7E9A" w:rsidRDefault="00740700" w:rsidP="004B7E9A">
      <w:pPr>
        <w:pStyle w:val="ListParagraph"/>
        <w:spacing w:after="0" w:line="240" w:lineRule="auto"/>
        <w:ind w:left="1080"/>
        <w:contextualSpacing w:val="0"/>
        <w:jc w:val="both"/>
        <w:rPr>
          <w:rFonts w:ascii="Bookman Old Style" w:hAnsi="Bookman Old Style" w:cs="Calibri"/>
          <w:sz w:val="24"/>
          <w:szCs w:val="24"/>
        </w:rPr>
      </w:pPr>
      <w:r>
        <w:rPr>
          <w:rFonts w:ascii="Bookman Old Style" w:hAnsi="Bookman Old Style" w:cs="Calibri"/>
          <w:sz w:val="24"/>
          <w:szCs w:val="24"/>
        </w:rPr>
        <w:t>The State party</w:t>
      </w:r>
      <w:r w:rsidR="004B7E9A" w:rsidRPr="004B7E9A">
        <w:rPr>
          <w:rFonts w:ascii="Bookman Old Style" w:hAnsi="Bookman Old Style" w:cs="Calibri"/>
          <w:sz w:val="24"/>
          <w:szCs w:val="24"/>
        </w:rPr>
        <w:t xml:space="preserve"> acceded to the Second Optional Protocol to the International Covenant on Civil and Political Rights (ICCPR) aiming at the abolition of the death penalty on 19</w:t>
      </w:r>
      <w:r w:rsidR="004B7E9A" w:rsidRPr="004B7E9A">
        <w:rPr>
          <w:rFonts w:ascii="Bookman Old Style" w:hAnsi="Bookman Old Style" w:cs="Calibri"/>
          <w:sz w:val="24"/>
          <w:szCs w:val="24"/>
          <w:vertAlign w:val="superscript"/>
        </w:rPr>
        <w:t>th</w:t>
      </w:r>
      <w:r w:rsidR="004B7E9A" w:rsidRPr="004B7E9A">
        <w:rPr>
          <w:rFonts w:ascii="Bookman Old Style" w:hAnsi="Bookman Old Style" w:cs="Calibri"/>
          <w:sz w:val="24"/>
          <w:szCs w:val="24"/>
        </w:rPr>
        <w:t xml:space="preserve"> December, 2024. The instruments of accession were deposited at the United Nations, confirming commitment to the abolition of the death penalty.</w:t>
      </w:r>
    </w:p>
    <w:p w14:paraId="23CC4B09" w14:textId="77777777" w:rsidR="004B7E9A" w:rsidRDefault="004B7E9A" w:rsidP="004B7E9A">
      <w:pPr>
        <w:pStyle w:val="ListParagraph"/>
        <w:spacing w:after="0" w:line="240" w:lineRule="auto"/>
        <w:ind w:left="1080"/>
        <w:contextualSpacing w:val="0"/>
        <w:jc w:val="both"/>
        <w:rPr>
          <w:rFonts w:ascii="Bookman Old Style" w:hAnsi="Bookman Old Style"/>
          <w:sz w:val="24"/>
          <w:szCs w:val="24"/>
        </w:rPr>
      </w:pPr>
    </w:p>
    <w:p w14:paraId="6F676837" w14:textId="77777777" w:rsidR="004B7E9A" w:rsidRDefault="004B7E9A" w:rsidP="004B7E9A">
      <w:pPr>
        <w:pStyle w:val="ListParagraph"/>
        <w:spacing w:after="0" w:line="240" w:lineRule="auto"/>
        <w:ind w:left="1080"/>
        <w:contextualSpacing w:val="0"/>
        <w:jc w:val="both"/>
        <w:rPr>
          <w:rFonts w:ascii="Bookman Old Style" w:hAnsi="Bookman Old Style"/>
          <w:sz w:val="24"/>
          <w:szCs w:val="24"/>
        </w:rPr>
      </w:pPr>
      <w:r w:rsidRPr="004B7E9A">
        <w:rPr>
          <w:rFonts w:ascii="Bookman Old Style" w:hAnsi="Bookman Old Style"/>
          <w:sz w:val="24"/>
          <w:szCs w:val="24"/>
        </w:rPr>
        <w:t>Section 29 of the Defence Act, which previously prescribed the death penalty for certain offences, was among the provisions amended by the Defence (Amendment) Act No. 12 of 2023. This amendment replaced the death penalty with life imprisonment as follows:</w:t>
      </w:r>
    </w:p>
    <w:p w14:paraId="6D15FEEA" w14:textId="77777777" w:rsidR="00146ED6" w:rsidRPr="004B7E9A" w:rsidRDefault="00146ED6" w:rsidP="004B7E9A">
      <w:pPr>
        <w:pStyle w:val="ListParagraph"/>
        <w:spacing w:after="0" w:line="240" w:lineRule="auto"/>
        <w:ind w:left="1080"/>
        <w:contextualSpacing w:val="0"/>
        <w:jc w:val="both"/>
        <w:rPr>
          <w:rFonts w:ascii="Bookman Old Style" w:hAnsi="Bookman Old Style"/>
          <w:sz w:val="24"/>
          <w:szCs w:val="24"/>
        </w:rPr>
      </w:pPr>
    </w:p>
    <w:p w14:paraId="7FE13770" w14:textId="77777777" w:rsidR="004B7E9A" w:rsidRPr="004B7E9A" w:rsidRDefault="004B7E9A" w:rsidP="00740700">
      <w:pPr>
        <w:spacing w:after="0" w:line="240" w:lineRule="auto"/>
        <w:ind w:left="1440" w:right="720"/>
        <w:jc w:val="both"/>
        <w:rPr>
          <w:rFonts w:ascii="Bookman Old Style" w:hAnsi="Bookman Old Style"/>
          <w:i/>
          <w:sz w:val="24"/>
          <w:szCs w:val="24"/>
        </w:rPr>
      </w:pPr>
      <w:r w:rsidRPr="004B7E9A">
        <w:rPr>
          <w:rFonts w:ascii="Bookman Old Style" w:hAnsi="Bookman Old Style"/>
          <w:b/>
          <w:i/>
          <w:sz w:val="24"/>
          <w:szCs w:val="24"/>
        </w:rPr>
        <w:t xml:space="preserve">“shall, on conviction by court-martial, </w:t>
      </w:r>
      <w:r w:rsidRPr="004B7E9A">
        <w:rPr>
          <w:rFonts w:ascii="Bookman Old Style" w:hAnsi="Bookman Old Style"/>
          <w:b/>
          <w:i/>
          <w:sz w:val="24"/>
          <w:szCs w:val="24"/>
          <w:u w:val="single"/>
        </w:rPr>
        <w:t>be liable to life imprisonment</w:t>
      </w:r>
      <w:r w:rsidRPr="004B7E9A">
        <w:rPr>
          <w:rFonts w:ascii="Bookman Old Style" w:hAnsi="Bookman Old Style"/>
          <w:i/>
          <w:sz w:val="24"/>
          <w:szCs w:val="24"/>
        </w:rPr>
        <w:t xml:space="preserve"> or any other punishment provided by this Act.”</w:t>
      </w:r>
    </w:p>
    <w:p w14:paraId="7E18BB32" w14:textId="77777777" w:rsidR="004B7E9A" w:rsidRDefault="004B7E9A" w:rsidP="004B7E9A">
      <w:pPr>
        <w:pStyle w:val="ListParagraph"/>
        <w:spacing w:after="0" w:line="240" w:lineRule="auto"/>
        <w:ind w:left="709"/>
        <w:contextualSpacing w:val="0"/>
        <w:jc w:val="both"/>
        <w:rPr>
          <w:rFonts w:ascii="Bookman Old Style" w:hAnsi="Bookman Old Style"/>
          <w:sz w:val="24"/>
          <w:szCs w:val="24"/>
        </w:rPr>
      </w:pPr>
    </w:p>
    <w:p w14:paraId="15D26294" w14:textId="77777777" w:rsidR="004B7E9A" w:rsidRPr="00146ED6" w:rsidRDefault="004B7E9A" w:rsidP="00146ED6">
      <w:pPr>
        <w:pStyle w:val="ListParagraph"/>
        <w:spacing w:after="0" w:line="240" w:lineRule="auto"/>
        <w:ind w:left="1134"/>
        <w:contextualSpacing w:val="0"/>
        <w:jc w:val="both"/>
        <w:rPr>
          <w:rFonts w:ascii="Bookman Old Style" w:hAnsi="Bookman Old Style"/>
          <w:sz w:val="24"/>
          <w:szCs w:val="24"/>
        </w:rPr>
      </w:pPr>
      <w:r w:rsidRPr="004B7E9A">
        <w:rPr>
          <w:rFonts w:ascii="Bookman Old Style" w:hAnsi="Bookman Old Style"/>
          <w:sz w:val="24"/>
          <w:szCs w:val="24"/>
        </w:rPr>
        <w:t xml:space="preserve">Premised on the above-mentioned amendment, section 29 of the </w:t>
      </w:r>
      <w:r w:rsidRPr="00146ED6">
        <w:rPr>
          <w:rFonts w:ascii="Bookman Old Style" w:hAnsi="Bookman Old Style"/>
          <w:sz w:val="24"/>
          <w:szCs w:val="24"/>
        </w:rPr>
        <w:t>Defence Act, does not provide for the death penalty.</w:t>
      </w:r>
      <w:r w:rsidR="00146ED6">
        <w:rPr>
          <w:rFonts w:ascii="Bookman Old Style" w:hAnsi="Bookman Old Style"/>
          <w:sz w:val="24"/>
          <w:szCs w:val="24"/>
        </w:rPr>
        <w:t xml:space="preserve"> </w:t>
      </w:r>
      <w:r w:rsidRPr="00146ED6">
        <w:rPr>
          <w:rFonts w:ascii="Bookman Old Style" w:hAnsi="Bookman Old Style"/>
          <w:sz w:val="24"/>
          <w:szCs w:val="24"/>
        </w:rPr>
        <w:t xml:space="preserve">Further, other provisions in the Defence Act, that previously provided for the death penalty, such as sections 30, 36 and 37, were similarly amended. Therefore, the Defence Act does not provide for the death penalty. </w:t>
      </w:r>
    </w:p>
    <w:p w14:paraId="431C9385" w14:textId="77777777" w:rsidR="00146ED6" w:rsidRDefault="00146ED6" w:rsidP="004B7E9A">
      <w:pPr>
        <w:pStyle w:val="ListParagraph"/>
        <w:spacing w:after="0" w:line="240" w:lineRule="auto"/>
        <w:ind w:left="709"/>
        <w:contextualSpacing w:val="0"/>
        <w:jc w:val="both"/>
        <w:rPr>
          <w:rFonts w:ascii="Bookman Old Style" w:hAnsi="Bookman Old Style"/>
          <w:sz w:val="24"/>
          <w:szCs w:val="24"/>
        </w:rPr>
      </w:pPr>
    </w:p>
    <w:p w14:paraId="3A54214B" w14:textId="77777777" w:rsidR="004B7E9A" w:rsidRDefault="004B7E9A" w:rsidP="00146ED6">
      <w:pPr>
        <w:pStyle w:val="ListParagraph"/>
        <w:spacing w:after="0" w:line="240" w:lineRule="auto"/>
        <w:ind w:left="1134"/>
        <w:contextualSpacing w:val="0"/>
        <w:jc w:val="both"/>
        <w:rPr>
          <w:rFonts w:ascii="Bookman Old Style" w:hAnsi="Bookman Old Style"/>
          <w:sz w:val="24"/>
          <w:szCs w:val="24"/>
        </w:rPr>
      </w:pPr>
      <w:r w:rsidRPr="004B7E9A">
        <w:rPr>
          <w:rFonts w:ascii="Bookman Old Style" w:hAnsi="Bookman Old Style"/>
          <w:sz w:val="24"/>
          <w:szCs w:val="24"/>
        </w:rPr>
        <w:t>With regard to the Constitution, Chapter 1 of the Laws of Zambia, Article 12(1) provides as follows:</w:t>
      </w:r>
    </w:p>
    <w:p w14:paraId="488E1B21" w14:textId="77777777" w:rsidR="00146ED6" w:rsidRPr="004B7E9A" w:rsidRDefault="00146ED6" w:rsidP="00146ED6">
      <w:pPr>
        <w:pStyle w:val="ListParagraph"/>
        <w:spacing w:after="0" w:line="240" w:lineRule="auto"/>
        <w:ind w:left="1134"/>
        <w:contextualSpacing w:val="0"/>
        <w:jc w:val="both"/>
        <w:rPr>
          <w:rFonts w:ascii="Bookman Old Style" w:hAnsi="Bookman Old Style"/>
          <w:sz w:val="24"/>
          <w:szCs w:val="24"/>
        </w:rPr>
      </w:pPr>
    </w:p>
    <w:p w14:paraId="0EB39583" w14:textId="77777777" w:rsidR="004B7E9A" w:rsidRDefault="004B7E9A" w:rsidP="00740700">
      <w:pPr>
        <w:pStyle w:val="ListParagraph"/>
        <w:spacing w:after="0" w:line="240" w:lineRule="auto"/>
        <w:ind w:left="1440" w:right="720"/>
        <w:contextualSpacing w:val="0"/>
        <w:jc w:val="both"/>
        <w:rPr>
          <w:rFonts w:ascii="Bookman Old Style" w:hAnsi="Bookman Old Style"/>
          <w:i/>
          <w:sz w:val="24"/>
          <w:szCs w:val="24"/>
        </w:rPr>
      </w:pPr>
      <w:r w:rsidRPr="004B7E9A">
        <w:rPr>
          <w:rFonts w:ascii="Bookman Old Style" w:hAnsi="Bookman Old Style"/>
          <w:i/>
          <w:sz w:val="24"/>
          <w:szCs w:val="24"/>
        </w:rPr>
        <w:t xml:space="preserve">“12. (1) No person shall be deprived of his life intentionally except in execution of the sentence of a court </w:t>
      </w:r>
      <w:r w:rsidRPr="004B7E9A">
        <w:rPr>
          <w:rFonts w:ascii="Bookman Old Style" w:hAnsi="Bookman Old Style"/>
          <w:b/>
          <w:i/>
          <w:sz w:val="24"/>
          <w:szCs w:val="24"/>
          <w:u w:val="single"/>
        </w:rPr>
        <w:t>in respect of a criminal offence under the law in force in Zambia of which he has been convicted</w:t>
      </w:r>
      <w:r w:rsidRPr="004B7E9A">
        <w:rPr>
          <w:rFonts w:ascii="Bookman Old Style" w:hAnsi="Bookman Old Style"/>
          <w:i/>
          <w:sz w:val="24"/>
          <w:szCs w:val="24"/>
        </w:rPr>
        <w:t>.”</w:t>
      </w:r>
    </w:p>
    <w:p w14:paraId="1A7B71DF" w14:textId="77777777" w:rsidR="009C1AF7" w:rsidRPr="004B7E9A" w:rsidRDefault="009C1AF7" w:rsidP="00740700">
      <w:pPr>
        <w:pStyle w:val="ListParagraph"/>
        <w:spacing w:after="0" w:line="240" w:lineRule="auto"/>
        <w:ind w:left="1440" w:right="720"/>
        <w:contextualSpacing w:val="0"/>
        <w:jc w:val="both"/>
        <w:rPr>
          <w:rFonts w:ascii="Bookman Old Style" w:hAnsi="Bookman Old Style"/>
          <w:i/>
          <w:sz w:val="24"/>
          <w:szCs w:val="24"/>
        </w:rPr>
      </w:pPr>
    </w:p>
    <w:p w14:paraId="0CCC4318" w14:textId="77777777" w:rsidR="004B7E9A" w:rsidRPr="004B7E9A" w:rsidRDefault="004B7E9A" w:rsidP="009C1AF7">
      <w:pPr>
        <w:pStyle w:val="NormalWeb"/>
        <w:spacing w:before="0" w:beforeAutospacing="0" w:after="0" w:afterAutospacing="0"/>
        <w:ind w:left="1134"/>
        <w:jc w:val="both"/>
        <w:rPr>
          <w:rFonts w:ascii="Bookman Old Style" w:hAnsi="Bookman Old Style"/>
        </w:rPr>
      </w:pPr>
      <w:r w:rsidRPr="004B7E9A">
        <w:rPr>
          <w:rFonts w:ascii="Bookman Old Style" w:hAnsi="Bookman Old Style"/>
        </w:rPr>
        <w:t>The above cited provision safeguards the right to life by prohibiting the intentional deprivation of any person's life, except pursuant to a court sentence for a criminal offence under Zambian law of which the individual has been convicted.</w:t>
      </w:r>
    </w:p>
    <w:p w14:paraId="1336A359" w14:textId="77777777" w:rsidR="004B7E9A" w:rsidRDefault="004B7E9A" w:rsidP="00146ED6">
      <w:pPr>
        <w:pStyle w:val="NormalWeb"/>
        <w:spacing w:before="240" w:beforeAutospacing="0" w:after="0" w:afterAutospacing="0"/>
        <w:ind w:left="1134"/>
        <w:jc w:val="both"/>
        <w:rPr>
          <w:rFonts w:ascii="Bookman Old Style" w:hAnsi="Bookman Old Style"/>
        </w:rPr>
      </w:pPr>
      <w:r w:rsidRPr="004B7E9A">
        <w:rPr>
          <w:rFonts w:ascii="Bookman Old Style" w:hAnsi="Bookman Old Style"/>
        </w:rPr>
        <w:lastRenderedPageBreak/>
        <w:t>Article 12 (1) of the Constitution merely establishes a constitutional framework within which Parliament may enact penal legislation. It is not, in itself, a penal provision and cannot independently ground a conviction or the imposition of a sentence of death.</w:t>
      </w:r>
    </w:p>
    <w:p w14:paraId="32254694" w14:textId="77777777" w:rsidR="009C1AF7" w:rsidRDefault="009C1AF7" w:rsidP="009C1AF7">
      <w:pPr>
        <w:pStyle w:val="NormalWeb"/>
        <w:spacing w:before="0" w:beforeAutospacing="0" w:after="0" w:afterAutospacing="0"/>
        <w:ind w:left="1134"/>
        <w:jc w:val="both"/>
        <w:rPr>
          <w:rFonts w:ascii="Bookman Old Style" w:hAnsi="Bookman Old Style"/>
        </w:rPr>
      </w:pPr>
    </w:p>
    <w:p w14:paraId="5B116CE9" w14:textId="77777777" w:rsidR="009C1AF7" w:rsidRDefault="004B7E9A" w:rsidP="009C1AF7">
      <w:pPr>
        <w:pStyle w:val="NormalWeb"/>
        <w:spacing w:before="0" w:beforeAutospacing="0" w:after="0" w:afterAutospacing="0"/>
        <w:ind w:left="1134"/>
        <w:jc w:val="both"/>
        <w:rPr>
          <w:rFonts w:ascii="Bookman Old Style" w:hAnsi="Bookman Old Style"/>
        </w:rPr>
      </w:pPr>
      <w:r w:rsidRPr="004B7E9A">
        <w:rPr>
          <w:rFonts w:ascii="Bookman Old Style" w:hAnsi="Bookman Old Style"/>
        </w:rPr>
        <w:t>Therefore, Article 12(1) does not constitute a death penalty provision. It merely contemplates the possibility of lawful deprivation of life where such a penalty is prescribed under a valid penal statute. In the absence of any penal statute providing for the death penalty, Article 12(1) has no operative effect in that respect.</w:t>
      </w:r>
    </w:p>
    <w:p w14:paraId="468C1BFB" w14:textId="77777777" w:rsidR="009C1AF7" w:rsidRDefault="009C1AF7" w:rsidP="009C1AF7">
      <w:pPr>
        <w:pStyle w:val="NormalWeb"/>
        <w:spacing w:before="0" w:beforeAutospacing="0" w:after="0" w:afterAutospacing="0"/>
        <w:ind w:left="1134"/>
        <w:jc w:val="both"/>
        <w:rPr>
          <w:rFonts w:ascii="Bookman Old Style" w:hAnsi="Bookman Old Style"/>
        </w:rPr>
      </w:pPr>
    </w:p>
    <w:p w14:paraId="081A5743" w14:textId="77777777" w:rsidR="004B7E9A" w:rsidRPr="004B7E9A" w:rsidRDefault="009C1AF7" w:rsidP="009C1AF7">
      <w:pPr>
        <w:pStyle w:val="NormalWeb"/>
        <w:spacing w:before="0" w:beforeAutospacing="0" w:after="0" w:afterAutospacing="0"/>
        <w:ind w:left="1134"/>
        <w:jc w:val="both"/>
        <w:rPr>
          <w:rFonts w:ascii="Bookman Old Style" w:hAnsi="Bookman Old Style"/>
        </w:rPr>
      </w:pPr>
      <w:r>
        <w:rPr>
          <w:rStyle w:val="whitespace-normal"/>
          <w:rFonts w:ascii="Bookman Old Style" w:hAnsi="Bookman Old Style"/>
        </w:rPr>
        <w:t xml:space="preserve">The </w:t>
      </w:r>
      <w:r w:rsidR="004B7E9A" w:rsidRPr="004B7E9A">
        <w:rPr>
          <w:rStyle w:val="whitespace-normal"/>
          <w:rFonts w:ascii="Bookman Old Style" w:hAnsi="Bookman Old Style"/>
        </w:rPr>
        <w:t>Constitution of Zambia</w:t>
      </w:r>
      <w:r w:rsidR="004B7E9A" w:rsidRPr="004B7E9A">
        <w:rPr>
          <w:rFonts w:ascii="Bookman Old Style" w:hAnsi="Bookman Old Style"/>
        </w:rPr>
        <w:t xml:space="preserve"> is not a penal statute, as it does not create offences or prescribe specific punishments. It follows that the Constitution cannot, in itself, impose or contain a death penalty. Consequently, it is neither legally tenable nor possible for a person to be convicted or sentenced to death solely on the basis of Article 12(1) of the Constitution without a corresponding penal statute that prescribes the death penalty as punishment therefor.</w:t>
      </w:r>
    </w:p>
    <w:p w14:paraId="7592481B" w14:textId="77777777" w:rsidR="004B7E9A" w:rsidRDefault="004B7E9A" w:rsidP="004B7E9A">
      <w:pPr>
        <w:pStyle w:val="Default"/>
        <w:jc w:val="both"/>
        <w:rPr>
          <w:rFonts w:ascii="Bookman Old Style" w:hAnsi="Bookman Old Style"/>
        </w:rPr>
      </w:pPr>
    </w:p>
    <w:p w14:paraId="07E51871" w14:textId="77777777" w:rsidR="004B7E9A" w:rsidRPr="004B7E9A" w:rsidRDefault="00740700" w:rsidP="009C1AF7">
      <w:pPr>
        <w:pStyle w:val="Default"/>
        <w:ind w:left="1080"/>
        <w:jc w:val="both"/>
        <w:rPr>
          <w:rFonts w:ascii="Bookman Old Style" w:hAnsi="Bookman Old Style"/>
          <w:bCs/>
          <w:i/>
        </w:rPr>
      </w:pPr>
      <w:r>
        <w:rPr>
          <w:rFonts w:ascii="Bookman Old Style" w:hAnsi="Bookman Old Style"/>
        </w:rPr>
        <w:t xml:space="preserve">The State party </w:t>
      </w:r>
      <w:r w:rsidR="004B7E9A" w:rsidRPr="004B7E9A">
        <w:rPr>
          <w:rFonts w:ascii="Bookman Old Style" w:hAnsi="Bookman Old Style"/>
        </w:rPr>
        <w:t>remove</w:t>
      </w:r>
      <w:r>
        <w:rPr>
          <w:rFonts w:ascii="Bookman Old Style" w:hAnsi="Bookman Old Style"/>
        </w:rPr>
        <w:t>d</w:t>
      </w:r>
      <w:r w:rsidR="004B7E9A" w:rsidRPr="004B7E9A">
        <w:rPr>
          <w:rFonts w:ascii="Bookman Old Style" w:hAnsi="Bookman Old Style"/>
        </w:rPr>
        <w:t xml:space="preserve"> the death penalty from all penal statutes, including the principal penal legislation, the </w:t>
      </w:r>
      <w:r w:rsidR="004B7E9A" w:rsidRPr="004B7E9A">
        <w:rPr>
          <w:rStyle w:val="whitespace-normal"/>
          <w:rFonts w:ascii="Bookman Old Style" w:hAnsi="Bookman Old Style"/>
        </w:rPr>
        <w:t>Penal Code Act, C</w:t>
      </w:r>
      <w:r>
        <w:rPr>
          <w:rStyle w:val="whitespace-normal"/>
          <w:rFonts w:ascii="Bookman Old Style" w:hAnsi="Bookman Old Style"/>
        </w:rPr>
        <w:t>hapter</w:t>
      </w:r>
      <w:r w:rsidR="004B7E9A" w:rsidRPr="004B7E9A">
        <w:rPr>
          <w:rStyle w:val="whitespace-normal"/>
          <w:rFonts w:ascii="Bookman Old Style" w:hAnsi="Bookman Old Style"/>
        </w:rPr>
        <w:t xml:space="preserve"> 87 of the Laws of Zambia</w:t>
      </w:r>
      <w:r w:rsidR="004B7E9A" w:rsidRPr="004B7E9A">
        <w:rPr>
          <w:rFonts w:ascii="Bookman Old Style" w:hAnsi="Bookman Old Style"/>
        </w:rPr>
        <w:t xml:space="preserve">. </w:t>
      </w:r>
      <w:r>
        <w:rPr>
          <w:rFonts w:ascii="Bookman Old Style" w:hAnsi="Bookman Old Style"/>
        </w:rPr>
        <w:t>No</w:t>
      </w:r>
      <w:r w:rsidR="004B7E9A" w:rsidRPr="004B7E9A">
        <w:rPr>
          <w:rFonts w:ascii="Bookman Old Style" w:hAnsi="Bookman Old Style"/>
        </w:rPr>
        <w:t xml:space="preserve"> operative penal law in </w:t>
      </w:r>
      <w:r>
        <w:rPr>
          <w:rFonts w:ascii="Bookman Old Style" w:hAnsi="Bookman Old Style"/>
        </w:rPr>
        <w:t>the State party</w:t>
      </w:r>
      <w:r w:rsidR="004B7E9A" w:rsidRPr="004B7E9A">
        <w:rPr>
          <w:rFonts w:ascii="Bookman Old Style" w:hAnsi="Bookman Old Style"/>
        </w:rPr>
        <w:t xml:space="preserve"> prescribes capital punishment. Article 12(1) of the Constitution does not constitute a death penalty provision, as it cannot be invoked to convict or sentence a person to death in the absence of a corresponding penal statute prescribing the death penalty.</w:t>
      </w:r>
    </w:p>
    <w:p w14:paraId="7AE7586D" w14:textId="77777777" w:rsidR="004B7E9A" w:rsidRPr="000B5EB1" w:rsidRDefault="004B7E9A" w:rsidP="000B5EB1">
      <w:pPr>
        <w:pStyle w:val="Default"/>
        <w:ind w:left="1080"/>
        <w:jc w:val="both"/>
        <w:rPr>
          <w:rFonts w:ascii="Bookman Old Style" w:hAnsi="Bookman Old Style"/>
          <w:bCs/>
          <w:i/>
        </w:rPr>
      </w:pPr>
    </w:p>
    <w:p w14:paraId="18384257" w14:textId="77777777" w:rsidR="00073F7D" w:rsidRPr="000B5EB1" w:rsidRDefault="00073F7D" w:rsidP="000B5EB1">
      <w:pPr>
        <w:pStyle w:val="Default"/>
        <w:numPr>
          <w:ilvl w:val="0"/>
          <w:numId w:val="2"/>
        </w:numPr>
        <w:jc w:val="both"/>
        <w:rPr>
          <w:rFonts w:ascii="Bookman Old Style" w:hAnsi="Bookman Old Style"/>
          <w:b/>
          <w:i/>
        </w:rPr>
      </w:pPr>
      <w:r w:rsidRPr="000B5EB1">
        <w:rPr>
          <w:rFonts w:ascii="Bookman Old Style" w:hAnsi="Bookman Old Style"/>
          <w:b/>
          <w:bCs/>
          <w:i/>
        </w:rPr>
        <w:t>Remove procedural barriers to the reconsideration of convictions and sentences on the basis of newly discovered evidence, as suggested by the Committee in its general comment No. 36 (2018) on the right to life, and provide appropriate remedies, including compensation, to those who have been exonerated.</w:t>
      </w:r>
    </w:p>
    <w:p w14:paraId="4155B715" w14:textId="77777777" w:rsidR="00073F7D" w:rsidRPr="000B5EB1" w:rsidRDefault="00073F7D" w:rsidP="000B5EB1">
      <w:pPr>
        <w:pStyle w:val="ListParagraph"/>
        <w:spacing w:after="0" w:line="240" w:lineRule="auto"/>
        <w:rPr>
          <w:rFonts w:ascii="Bookman Old Style" w:hAnsi="Bookman Old Style"/>
          <w:i/>
        </w:rPr>
      </w:pPr>
    </w:p>
    <w:p w14:paraId="105D724E" w14:textId="77777777" w:rsidR="00EB29C2" w:rsidRPr="000B5EB1" w:rsidRDefault="001A7D33" w:rsidP="000B5EB1">
      <w:pPr>
        <w:pStyle w:val="ListParagraph"/>
        <w:spacing w:after="0" w:line="240" w:lineRule="auto"/>
        <w:ind w:left="1080"/>
        <w:contextualSpacing w:val="0"/>
        <w:jc w:val="both"/>
        <w:rPr>
          <w:rFonts w:ascii="Bookman Old Style" w:hAnsi="Bookman Old Style"/>
          <w:sz w:val="24"/>
          <w:szCs w:val="24"/>
        </w:rPr>
      </w:pPr>
      <w:r w:rsidRPr="000B5EB1">
        <w:rPr>
          <w:rFonts w:ascii="Bookman Old Style" w:hAnsi="Bookman Old Style"/>
          <w:sz w:val="24"/>
          <w:szCs w:val="24"/>
        </w:rPr>
        <w:t>The State party’s Bill of Rights entrenches the right to liberty under Article 13 and the right to a fair trial under Article 18</w:t>
      </w:r>
      <w:r w:rsidR="00EB29C2" w:rsidRPr="000B5EB1">
        <w:rPr>
          <w:rFonts w:ascii="Bookman Old Style" w:hAnsi="Bookman Old Style"/>
          <w:sz w:val="24"/>
          <w:szCs w:val="24"/>
        </w:rPr>
        <w:t xml:space="preserve"> of the Constitution of Zambia</w:t>
      </w:r>
      <w:r w:rsidRPr="000B5EB1">
        <w:rPr>
          <w:rFonts w:ascii="Bookman Old Style" w:hAnsi="Bookman Old Style"/>
          <w:sz w:val="24"/>
          <w:szCs w:val="24"/>
        </w:rPr>
        <w:t>. These constitutional provisions create a foundation for protecting persons against wrongful convictions and for the obligation to provide redress when miscarriages of justice occur.</w:t>
      </w:r>
    </w:p>
    <w:p w14:paraId="6BF6CD5C" w14:textId="77777777" w:rsidR="00EB29C2" w:rsidRPr="000B5EB1" w:rsidRDefault="00EB29C2" w:rsidP="000B5EB1">
      <w:pPr>
        <w:pStyle w:val="ListParagraph"/>
        <w:spacing w:after="0" w:line="240" w:lineRule="auto"/>
        <w:ind w:left="1080"/>
        <w:contextualSpacing w:val="0"/>
        <w:jc w:val="both"/>
        <w:rPr>
          <w:rFonts w:ascii="Bookman Old Style" w:hAnsi="Bookman Old Style"/>
          <w:sz w:val="24"/>
          <w:szCs w:val="24"/>
        </w:rPr>
      </w:pPr>
    </w:p>
    <w:p w14:paraId="76313702" w14:textId="77777777" w:rsidR="001A7D33" w:rsidRPr="000B5EB1" w:rsidRDefault="001A7D33" w:rsidP="000B5EB1">
      <w:pPr>
        <w:pStyle w:val="ListParagraph"/>
        <w:spacing w:after="0" w:line="240" w:lineRule="auto"/>
        <w:ind w:left="1080"/>
        <w:contextualSpacing w:val="0"/>
        <w:jc w:val="both"/>
        <w:rPr>
          <w:rFonts w:ascii="Bookman Old Style" w:hAnsi="Bookman Old Style"/>
          <w:sz w:val="24"/>
          <w:szCs w:val="24"/>
        </w:rPr>
      </w:pPr>
      <w:r w:rsidRPr="000B5EB1">
        <w:rPr>
          <w:rFonts w:ascii="Bookman Old Style" w:hAnsi="Bookman Old Style"/>
          <w:sz w:val="24"/>
          <w:szCs w:val="24"/>
        </w:rPr>
        <w:t>The principal domestic mechanism for the reconsideration of criminal convictions is the appeal process established under specific pieces of legislation. These pieces of legislation also grant appellate courts discretion to admit additional evidence in deserving cases. The principal provisions are as follows:</w:t>
      </w:r>
    </w:p>
    <w:p w14:paraId="591839D7" w14:textId="77777777" w:rsidR="00EB29C2" w:rsidRDefault="00EB29C2" w:rsidP="000B5EB1">
      <w:pPr>
        <w:pStyle w:val="ListParagraph"/>
        <w:spacing w:after="0" w:line="240" w:lineRule="auto"/>
        <w:ind w:left="1080"/>
        <w:contextualSpacing w:val="0"/>
        <w:jc w:val="both"/>
        <w:rPr>
          <w:rFonts w:ascii="Bookman Old Style" w:hAnsi="Bookman Old Style"/>
          <w:sz w:val="24"/>
          <w:szCs w:val="24"/>
        </w:rPr>
      </w:pPr>
    </w:p>
    <w:p w14:paraId="116FDF86" w14:textId="77777777" w:rsidR="007667AA" w:rsidRPr="000B5EB1" w:rsidRDefault="007667AA" w:rsidP="000B5EB1">
      <w:pPr>
        <w:pStyle w:val="ListParagraph"/>
        <w:spacing w:after="0" w:line="240" w:lineRule="auto"/>
        <w:ind w:left="1080"/>
        <w:contextualSpacing w:val="0"/>
        <w:jc w:val="both"/>
        <w:rPr>
          <w:rFonts w:ascii="Bookman Old Style" w:hAnsi="Bookman Old Style"/>
          <w:sz w:val="24"/>
          <w:szCs w:val="24"/>
        </w:rPr>
      </w:pPr>
    </w:p>
    <w:p w14:paraId="0BDED92C" w14:textId="77777777" w:rsidR="00EB29C2" w:rsidRPr="000B5EB1" w:rsidRDefault="001A7D33" w:rsidP="000B5EB1">
      <w:pPr>
        <w:spacing w:after="0" w:line="240" w:lineRule="auto"/>
        <w:ind w:left="1080"/>
        <w:jc w:val="both"/>
        <w:rPr>
          <w:rFonts w:ascii="Bookman Old Style" w:hAnsi="Bookman Old Style"/>
          <w:sz w:val="24"/>
          <w:szCs w:val="24"/>
        </w:rPr>
      </w:pPr>
      <w:r w:rsidRPr="000B5EB1">
        <w:rPr>
          <w:rFonts w:ascii="Bookman Old Style" w:hAnsi="Bookman Old Style"/>
          <w:b/>
          <w:bCs/>
          <w:sz w:val="24"/>
          <w:szCs w:val="24"/>
        </w:rPr>
        <w:lastRenderedPageBreak/>
        <w:t>Appeals from the Subordinate Courts to the High Court:</w:t>
      </w:r>
      <w:r w:rsidRPr="000B5EB1">
        <w:rPr>
          <w:rFonts w:ascii="Bookman Old Style" w:hAnsi="Bookman Old Style"/>
          <w:sz w:val="24"/>
          <w:szCs w:val="24"/>
        </w:rPr>
        <w:t xml:space="preserve"> </w:t>
      </w:r>
    </w:p>
    <w:p w14:paraId="7F3E1704" w14:textId="77777777" w:rsidR="001A7D33" w:rsidRPr="000B5EB1" w:rsidRDefault="001A7D33" w:rsidP="000B5EB1">
      <w:pPr>
        <w:spacing w:after="0" w:line="240" w:lineRule="auto"/>
        <w:ind w:left="1080"/>
        <w:jc w:val="both"/>
        <w:rPr>
          <w:rFonts w:ascii="Bookman Old Style" w:hAnsi="Bookman Old Style"/>
          <w:sz w:val="24"/>
          <w:szCs w:val="24"/>
        </w:rPr>
      </w:pPr>
      <w:r w:rsidRPr="000B5EB1">
        <w:rPr>
          <w:rFonts w:ascii="Bookman Old Style" w:hAnsi="Bookman Old Style"/>
          <w:sz w:val="24"/>
          <w:szCs w:val="24"/>
        </w:rPr>
        <w:t xml:space="preserve">Section 321 of the Criminal Procedure Code provides that a person convicted by a Subordinate Court may appeal against their conviction and/or sentence to the High Court. An appeal against conviction and/or sentence is as of right as there is no requirement for leave of the Subordinate Court or the High Court. Section 333 of the </w:t>
      </w:r>
      <w:r w:rsidR="000B5EB1" w:rsidRPr="000B5EB1">
        <w:rPr>
          <w:rFonts w:ascii="Bookman Old Style" w:hAnsi="Bookman Old Style"/>
          <w:sz w:val="24"/>
          <w:szCs w:val="24"/>
        </w:rPr>
        <w:t>Criminal Procedure Code</w:t>
      </w:r>
      <w:r w:rsidRPr="000B5EB1">
        <w:rPr>
          <w:rFonts w:ascii="Bookman Old Style" w:hAnsi="Bookman Old Style"/>
          <w:sz w:val="24"/>
          <w:szCs w:val="24"/>
        </w:rPr>
        <w:t xml:space="preserve"> gives the High Court power to receive additional evidence where it is shown to be necessary. The High Court also enjoys supervisory jurisdiction over the subordinate through mechanisms such as review, case stated and confirmation of sentences</w:t>
      </w:r>
      <w:r w:rsidR="000B5EB1">
        <w:rPr>
          <w:rFonts w:ascii="Bookman Old Style" w:hAnsi="Bookman Old Style"/>
          <w:sz w:val="24"/>
          <w:szCs w:val="24"/>
        </w:rPr>
        <w:t>.</w:t>
      </w:r>
    </w:p>
    <w:p w14:paraId="0C05F0D6" w14:textId="77777777" w:rsidR="00EB29C2" w:rsidRPr="000B5EB1" w:rsidRDefault="00EB29C2" w:rsidP="000B5EB1">
      <w:pPr>
        <w:spacing w:after="0" w:line="240" w:lineRule="auto"/>
        <w:jc w:val="both"/>
        <w:rPr>
          <w:rFonts w:ascii="Bookman Old Style" w:hAnsi="Bookman Old Style"/>
          <w:sz w:val="24"/>
          <w:szCs w:val="24"/>
        </w:rPr>
      </w:pPr>
    </w:p>
    <w:p w14:paraId="5AF5094C" w14:textId="77777777" w:rsidR="000B5EB1" w:rsidRDefault="001A7D33" w:rsidP="000B5EB1">
      <w:pPr>
        <w:spacing w:after="0" w:line="240" w:lineRule="auto"/>
        <w:ind w:left="1080"/>
        <w:jc w:val="both"/>
        <w:rPr>
          <w:rFonts w:ascii="Bookman Old Style" w:hAnsi="Bookman Old Style"/>
          <w:b/>
          <w:bCs/>
          <w:sz w:val="24"/>
          <w:szCs w:val="24"/>
        </w:rPr>
      </w:pPr>
      <w:r w:rsidRPr="000B5EB1">
        <w:rPr>
          <w:rFonts w:ascii="Bookman Old Style" w:hAnsi="Bookman Old Style"/>
          <w:b/>
          <w:bCs/>
          <w:sz w:val="24"/>
          <w:szCs w:val="24"/>
        </w:rPr>
        <w:t xml:space="preserve">Appeals to the Court of Appeal: </w:t>
      </w:r>
    </w:p>
    <w:p w14:paraId="0572945C" w14:textId="77777777" w:rsidR="001A7D33" w:rsidRDefault="001A7D33" w:rsidP="000B5EB1">
      <w:pPr>
        <w:spacing w:after="0" w:line="240" w:lineRule="auto"/>
        <w:ind w:left="1080"/>
        <w:jc w:val="both"/>
        <w:rPr>
          <w:rFonts w:ascii="Bookman Old Style" w:hAnsi="Bookman Old Style"/>
          <w:bCs/>
          <w:sz w:val="24"/>
          <w:szCs w:val="24"/>
        </w:rPr>
      </w:pPr>
      <w:r w:rsidRPr="000B5EB1">
        <w:rPr>
          <w:rFonts w:ascii="Bookman Old Style" w:hAnsi="Bookman Old Style"/>
          <w:bCs/>
          <w:sz w:val="24"/>
          <w:szCs w:val="24"/>
        </w:rPr>
        <w:t>The Court of Appeal Act No. 7 of 2016 establishes the Court of Appeal’s jurisdiction to hear appeals from the High Court. First appeals lie to the Court of Appeal as of right on any question of law, fact, or mixed law and fact. An appeal is considered a first appeal in three instances. An appeal by a person convicted by the High Court in its original jurisdiction; an appeal by a person convicted by a subordinate court but committed to the High Court for sentencing (who is treated, for appeal purposes, as having been convicted and sentenced by the High Court); and an appeal by the Director of Public Prosecutions on a point of law against a High Court judgment in its original jurisdiction.</w:t>
      </w:r>
    </w:p>
    <w:p w14:paraId="17B2488B" w14:textId="77777777" w:rsidR="000B5EB1" w:rsidRPr="000B5EB1" w:rsidRDefault="000B5EB1" w:rsidP="000B5EB1">
      <w:pPr>
        <w:spacing w:after="0" w:line="240" w:lineRule="auto"/>
        <w:ind w:left="1080"/>
        <w:jc w:val="both"/>
        <w:rPr>
          <w:rFonts w:ascii="Bookman Old Style" w:hAnsi="Bookman Old Style"/>
          <w:sz w:val="24"/>
          <w:szCs w:val="24"/>
        </w:rPr>
      </w:pPr>
    </w:p>
    <w:p w14:paraId="2D95BC09" w14:textId="77777777" w:rsidR="001A7D33" w:rsidRDefault="001A7D33" w:rsidP="000B5EB1">
      <w:pPr>
        <w:spacing w:after="0" w:line="240" w:lineRule="auto"/>
        <w:ind w:left="1080"/>
        <w:jc w:val="both"/>
        <w:rPr>
          <w:rFonts w:ascii="Bookman Old Style" w:hAnsi="Bookman Old Style"/>
          <w:sz w:val="24"/>
          <w:szCs w:val="24"/>
        </w:rPr>
      </w:pPr>
      <w:r w:rsidRPr="000B5EB1">
        <w:rPr>
          <w:rFonts w:ascii="Bookman Old Style" w:hAnsi="Bookman Old Style"/>
          <w:sz w:val="24"/>
          <w:szCs w:val="24"/>
        </w:rPr>
        <w:t>A second appeal from the High Court's appellate or review jurisdiction requires leave either from the High Court at the time of judgment, or from the Court of Appeal itself.</w:t>
      </w:r>
    </w:p>
    <w:p w14:paraId="645B804E" w14:textId="77777777" w:rsidR="000B5EB1" w:rsidRPr="000B5EB1" w:rsidRDefault="000B5EB1" w:rsidP="000B5EB1">
      <w:pPr>
        <w:spacing w:after="0" w:line="240" w:lineRule="auto"/>
        <w:ind w:left="1080"/>
        <w:jc w:val="both"/>
        <w:rPr>
          <w:rFonts w:ascii="Bookman Old Style" w:hAnsi="Bookman Old Style"/>
          <w:sz w:val="24"/>
          <w:szCs w:val="24"/>
        </w:rPr>
      </w:pPr>
    </w:p>
    <w:p w14:paraId="255624C7" w14:textId="77777777" w:rsidR="001A7D33" w:rsidRDefault="001A7D33" w:rsidP="000B5EB1">
      <w:pPr>
        <w:spacing w:after="0" w:line="240" w:lineRule="auto"/>
        <w:ind w:left="1080"/>
        <w:jc w:val="both"/>
        <w:rPr>
          <w:rFonts w:ascii="Bookman Old Style" w:hAnsi="Bookman Old Style"/>
          <w:bCs/>
          <w:sz w:val="24"/>
          <w:szCs w:val="24"/>
        </w:rPr>
      </w:pPr>
      <w:r w:rsidRPr="000B5EB1">
        <w:rPr>
          <w:rFonts w:ascii="Bookman Old Style" w:hAnsi="Bookman Old Style"/>
          <w:bCs/>
          <w:sz w:val="24"/>
          <w:szCs w:val="24"/>
        </w:rPr>
        <w:t>Section 20 of the Court of Appeal Act empowers the Court of Appeal to receive further evidence in the interests of justice. Order IX Rule 15 sets out the procedure of receiving additional evidence. It could be received by the Court of Appeal itself, or the trial Court on direction by the Court of Appeal, or by a designated Court official. When additional evidence is being admitted, all parties have to be in attendance.</w:t>
      </w:r>
    </w:p>
    <w:p w14:paraId="74CDA41B" w14:textId="77777777" w:rsidR="000B5EB1" w:rsidRPr="000B5EB1" w:rsidRDefault="000B5EB1" w:rsidP="000B5EB1">
      <w:pPr>
        <w:spacing w:after="0" w:line="240" w:lineRule="auto"/>
        <w:ind w:left="1080"/>
        <w:jc w:val="both"/>
        <w:rPr>
          <w:rFonts w:ascii="Bookman Old Style" w:hAnsi="Bookman Old Style"/>
          <w:sz w:val="24"/>
          <w:szCs w:val="24"/>
        </w:rPr>
      </w:pPr>
    </w:p>
    <w:p w14:paraId="101D9A65" w14:textId="77777777" w:rsidR="000B5EB1" w:rsidRDefault="000B5EB1" w:rsidP="000B5EB1">
      <w:pPr>
        <w:spacing w:after="0" w:line="240" w:lineRule="auto"/>
        <w:ind w:left="567" w:firstLine="513"/>
        <w:jc w:val="both"/>
        <w:rPr>
          <w:rFonts w:ascii="Bookman Old Style" w:hAnsi="Bookman Old Style"/>
          <w:bCs/>
          <w:sz w:val="24"/>
          <w:szCs w:val="24"/>
        </w:rPr>
      </w:pPr>
      <w:r>
        <w:rPr>
          <w:rFonts w:ascii="Bookman Old Style" w:hAnsi="Bookman Old Style"/>
          <w:b/>
          <w:bCs/>
          <w:sz w:val="24"/>
          <w:szCs w:val="24"/>
        </w:rPr>
        <w:t>A</w:t>
      </w:r>
      <w:r w:rsidR="001A7D33" w:rsidRPr="000B5EB1">
        <w:rPr>
          <w:rFonts w:ascii="Bookman Old Style" w:hAnsi="Bookman Old Style"/>
          <w:b/>
          <w:bCs/>
          <w:sz w:val="24"/>
          <w:szCs w:val="24"/>
        </w:rPr>
        <w:t>ppeals to the Supreme Court:</w:t>
      </w:r>
      <w:r w:rsidR="001A7D33" w:rsidRPr="000B5EB1">
        <w:rPr>
          <w:rFonts w:ascii="Bookman Old Style" w:hAnsi="Bookman Old Style"/>
          <w:bCs/>
          <w:sz w:val="24"/>
          <w:szCs w:val="24"/>
        </w:rPr>
        <w:t xml:space="preserve"> </w:t>
      </w:r>
    </w:p>
    <w:p w14:paraId="5AB8CE76" w14:textId="77777777" w:rsidR="001A7D33" w:rsidRPr="000B5EB1" w:rsidRDefault="001A7D33" w:rsidP="000B5EB1">
      <w:pPr>
        <w:spacing w:after="0" w:line="240" w:lineRule="auto"/>
        <w:ind w:left="1080"/>
        <w:jc w:val="both"/>
        <w:rPr>
          <w:rFonts w:ascii="Bookman Old Style" w:hAnsi="Bookman Old Style"/>
          <w:sz w:val="24"/>
          <w:szCs w:val="24"/>
        </w:rPr>
      </w:pPr>
      <w:r w:rsidRPr="000B5EB1">
        <w:rPr>
          <w:rFonts w:ascii="Bookman Old Style" w:hAnsi="Bookman Old Style"/>
          <w:bCs/>
          <w:sz w:val="24"/>
          <w:szCs w:val="24"/>
        </w:rPr>
        <w:t>The Court of Appeal Act provides for further appeals to the Supreme Court, with leave granted on specific grounds. In criminal proceedings, leave is granted if it is in public interest.</w:t>
      </w:r>
      <w:r w:rsidR="000B5EB1">
        <w:rPr>
          <w:rFonts w:ascii="Bookman Old Style" w:hAnsi="Bookman Old Style"/>
          <w:sz w:val="24"/>
          <w:szCs w:val="24"/>
        </w:rPr>
        <w:t xml:space="preserve"> </w:t>
      </w:r>
      <w:r w:rsidRPr="000B5EB1">
        <w:rPr>
          <w:rFonts w:ascii="Bookman Old Style" w:hAnsi="Bookman Old Style"/>
          <w:sz w:val="24"/>
          <w:szCs w:val="24"/>
        </w:rPr>
        <w:t>Section 16 of the Supreme Court Act gives the Court supplementary powers to order the attendance of witnesses who were not called at trial. Rule 39 of the Supreme Court Rules further gives the Court power to gather additional evidence when necessary</w:t>
      </w:r>
      <w:r w:rsidR="000B5EB1">
        <w:rPr>
          <w:rFonts w:ascii="Bookman Old Style" w:hAnsi="Bookman Old Style"/>
          <w:sz w:val="24"/>
          <w:szCs w:val="24"/>
        </w:rPr>
        <w:t xml:space="preserve"> as was stated in</w:t>
      </w:r>
      <w:r w:rsidRPr="000B5EB1">
        <w:rPr>
          <w:rFonts w:ascii="Bookman Old Style" w:hAnsi="Bookman Old Style"/>
          <w:b/>
          <w:sz w:val="24"/>
          <w:szCs w:val="24"/>
        </w:rPr>
        <w:t xml:space="preserve"> </w:t>
      </w:r>
      <w:r w:rsidRPr="000B5EB1">
        <w:rPr>
          <w:rFonts w:ascii="Bookman Old Style" w:hAnsi="Bookman Old Style"/>
          <w:b/>
          <w:i/>
          <w:sz w:val="24"/>
          <w:szCs w:val="24"/>
        </w:rPr>
        <w:t>Mbinga Nyambe v The People Supreme Court of Zambia Judgment no. 5 of 2011</w:t>
      </w:r>
      <w:r w:rsidRPr="000B5EB1">
        <w:rPr>
          <w:rFonts w:ascii="Bookman Old Style" w:hAnsi="Bookman Old Style"/>
          <w:sz w:val="24"/>
          <w:szCs w:val="24"/>
        </w:rPr>
        <w:t>.</w:t>
      </w:r>
    </w:p>
    <w:p w14:paraId="7ED5606D" w14:textId="77777777" w:rsidR="000B5EB1" w:rsidRDefault="000B5EB1" w:rsidP="000B5EB1">
      <w:pPr>
        <w:pStyle w:val="ListParagraph"/>
        <w:spacing w:after="0" w:line="240" w:lineRule="auto"/>
        <w:contextualSpacing w:val="0"/>
        <w:jc w:val="both"/>
        <w:rPr>
          <w:rFonts w:ascii="Bookman Old Style" w:hAnsi="Bookman Old Style"/>
          <w:b/>
          <w:bCs/>
          <w:sz w:val="24"/>
          <w:szCs w:val="24"/>
        </w:rPr>
      </w:pPr>
    </w:p>
    <w:p w14:paraId="5AE13473" w14:textId="77777777" w:rsidR="00FA6973" w:rsidRDefault="00FA6973" w:rsidP="000B5EB1">
      <w:pPr>
        <w:pStyle w:val="ListParagraph"/>
        <w:spacing w:after="0" w:line="240" w:lineRule="auto"/>
        <w:contextualSpacing w:val="0"/>
        <w:jc w:val="both"/>
        <w:rPr>
          <w:rFonts w:ascii="Bookman Old Style" w:hAnsi="Bookman Old Style"/>
          <w:b/>
          <w:bCs/>
          <w:sz w:val="24"/>
          <w:szCs w:val="24"/>
        </w:rPr>
      </w:pPr>
    </w:p>
    <w:p w14:paraId="0CA60D8D" w14:textId="77777777" w:rsidR="00FA6973" w:rsidRDefault="00FA6973" w:rsidP="000B5EB1">
      <w:pPr>
        <w:pStyle w:val="ListParagraph"/>
        <w:spacing w:after="0" w:line="240" w:lineRule="auto"/>
        <w:contextualSpacing w:val="0"/>
        <w:jc w:val="both"/>
        <w:rPr>
          <w:rFonts w:ascii="Bookman Old Style" w:hAnsi="Bookman Old Style"/>
          <w:b/>
          <w:bCs/>
          <w:sz w:val="24"/>
          <w:szCs w:val="24"/>
        </w:rPr>
      </w:pPr>
    </w:p>
    <w:p w14:paraId="596291AB" w14:textId="77777777" w:rsidR="001A7D33" w:rsidRPr="000B5EB1" w:rsidRDefault="001A7D33" w:rsidP="000B5EB1">
      <w:pPr>
        <w:pStyle w:val="ListParagraph"/>
        <w:spacing w:after="0" w:line="240" w:lineRule="auto"/>
        <w:ind w:firstLine="360"/>
        <w:contextualSpacing w:val="0"/>
        <w:jc w:val="both"/>
        <w:rPr>
          <w:rFonts w:ascii="Bookman Old Style" w:hAnsi="Bookman Old Style"/>
          <w:sz w:val="24"/>
          <w:szCs w:val="24"/>
        </w:rPr>
      </w:pPr>
      <w:r w:rsidRPr="000B5EB1">
        <w:rPr>
          <w:rFonts w:ascii="Bookman Old Style" w:hAnsi="Bookman Old Style"/>
          <w:b/>
          <w:bCs/>
          <w:sz w:val="24"/>
          <w:szCs w:val="24"/>
        </w:rPr>
        <w:lastRenderedPageBreak/>
        <w:t>Jurisprudence on wrongful convictions/sentences</w:t>
      </w:r>
    </w:p>
    <w:p w14:paraId="357B36D9" w14:textId="77777777" w:rsidR="001A7D33" w:rsidRPr="000B5EB1" w:rsidRDefault="001A7D33" w:rsidP="000B5EB1">
      <w:pPr>
        <w:spacing w:after="0" w:line="240" w:lineRule="auto"/>
        <w:ind w:left="1080"/>
        <w:jc w:val="both"/>
        <w:rPr>
          <w:rFonts w:ascii="Bookman Old Style" w:hAnsi="Bookman Old Style"/>
          <w:sz w:val="24"/>
          <w:szCs w:val="24"/>
        </w:rPr>
      </w:pPr>
      <w:r w:rsidRPr="000B5EB1">
        <w:rPr>
          <w:rFonts w:ascii="Bookman Old Style" w:hAnsi="Bookman Old Style"/>
          <w:sz w:val="24"/>
          <w:szCs w:val="24"/>
        </w:rPr>
        <w:t>The</w:t>
      </w:r>
      <w:r w:rsidR="000B5EB1">
        <w:rPr>
          <w:rFonts w:ascii="Bookman Old Style" w:hAnsi="Bookman Old Style"/>
          <w:sz w:val="24"/>
          <w:szCs w:val="24"/>
        </w:rPr>
        <w:t xml:space="preserve"> </w:t>
      </w:r>
      <w:r w:rsidRPr="000B5EB1">
        <w:rPr>
          <w:rFonts w:ascii="Bookman Old Style" w:hAnsi="Bookman Old Style"/>
          <w:sz w:val="24"/>
          <w:szCs w:val="24"/>
        </w:rPr>
        <w:t xml:space="preserve">superior courts </w:t>
      </w:r>
      <w:r w:rsidR="000B5EB1">
        <w:rPr>
          <w:rFonts w:ascii="Bookman Old Style" w:hAnsi="Bookman Old Style"/>
          <w:sz w:val="24"/>
          <w:szCs w:val="24"/>
        </w:rPr>
        <w:t xml:space="preserve">of the State party </w:t>
      </w:r>
      <w:r w:rsidRPr="000B5EB1">
        <w:rPr>
          <w:rFonts w:ascii="Bookman Old Style" w:hAnsi="Bookman Old Style"/>
          <w:sz w:val="24"/>
          <w:szCs w:val="24"/>
        </w:rPr>
        <w:t>have consistently quashed unsafe and unsatisfactory convictions where they are of the view that the evidence upon which the conviction was based before the trial court fell below the threshold of establishing beyond a reasonable doubt that an accused person committed the offence</w:t>
      </w:r>
      <w:r w:rsidR="003E4389">
        <w:rPr>
          <w:rFonts w:ascii="Bookman Old Style" w:hAnsi="Bookman Old Style"/>
          <w:sz w:val="24"/>
          <w:szCs w:val="24"/>
        </w:rPr>
        <w:t>, as was in the case of</w:t>
      </w:r>
      <w:r w:rsidRPr="000B5EB1">
        <w:rPr>
          <w:rFonts w:ascii="Bookman Old Style" w:hAnsi="Bookman Old Style"/>
          <w:sz w:val="24"/>
          <w:szCs w:val="24"/>
        </w:rPr>
        <w:t xml:space="preserve"> </w:t>
      </w:r>
      <w:r w:rsidRPr="003E4389">
        <w:rPr>
          <w:rFonts w:ascii="Bookman Old Style" w:hAnsi="Bookman Old Style"/>
          <w:b/>
          <w:i/>
          <w:sz w:val="24"/>
          <w:szCs w:val="24"/>
        </w:rPr>
        <w:t>Shamwana and 7 Others v The People S.C.Z Judgment no.12 of 1985</w:t>
      </w:r>
      <w:r w:rsidR="003E4389" w:rsidRPr="003E4389">
        <w:rPr>
          <w:rFonts w:ascii="Bookman Old Style" w:hAnsi="Bookman Old Style"/>
          <w:sz w:val="24"/>
          <w:szCs w:val="24"/>
        </w:rPr>
        <w:t>.</w:t>
      </w:r>
    </w:p>
    <w:p w14:paraId="52F3E19F" w14:textId="77777777" w:rsidR="000B5EB1" w:rsidRPr="000B5EB1" w:rsidRDefault="000B5EB1" w:rsidP="000B5EB1">
      <w:pPr>
        <w:pStyle w:val="ListParagraph"/>
        <w:spacing w:after="0" w:line="240" w:lineRule="auto"/>
        <w:ind w:left="1440"/>
        <w:contextualSpacing w:val="0"/>
        <w:jc w:val="both"/>
        <w:rPr>
          <w:rFonts w:ascii="Bookman Old Style" w:hAnsi="Bookman Old Style"/>
          <w:sz w:val="24"/>
          <w:szCs w:val="24"/>
        </w:rPr>
      </w:pPr>
    </w:p>
    <w:p w14:paraId="712372D7" w14:textId="77777777" w:rsidR="001A7D33" w:rsidRPr="003E4389" w:rsidRDefault="001A7D33" w:rsidP="003E4389">
      <w:pPr>
        <w:pStyle w:val="ListParagraph"/>
        <w:spacing w:after="0" w:line="240" w:lineRule="auto"/>
        <w:ind w:left="1080"/>
        <w:contextualSpacing w:val="0"/>
        <w:jc w:val="both"/>
        <w:rPr>
          <w:rFonts w:ascii="Bookman Old Style" w:hAnsi="Bookman Old Style"/>
          <w:b/>
          <w:sz w:val="24"/>
          <w:szCs w:val="24"/>
        </w:rPr>
      </w:pPr>
      <w:r w:rsidRPr="003E4389">
        <w:rPr>
          <w:rFonts w:ascii="Bookman Old Style" w:hAnsi="Bookman Old Style"/>
          <w:b/>
          <w:sz w:val="24"/>
          <w:szCs w:val="24"/>
        </w:rPr>
        <w:t xml:space="preserve">Implications of the Legal Framework on </w:t>
      </w:r>
      <w:r w:rsidRPr="003E4389">
        <w:rPr>
          <w:rFonts w:ascii="Bookman Old Style" w:hAnsi="Bookman Old Style"/>
          <w:b/>
          <w:iCs/>
          <w:sz w:val="24"/>
          <w:szCs w:val="24"/>
        </w:rPr>
        <w:t>reconsideration of convictions and sentences on the basis of newly discovered evidence</w:t>
      </w:r>
    </w:p>
    <w:p w14:paraId="77F99963" w14:textId="77777777" w:rsidR="003E4389" w:rsidRDefault="003E4389" w:rsidP="003E4389">
      <w:pPr>
        <w:pStyle w:val="ListParagraph"/>
        <w:spacing w:after="0" w:line="240" w:lineRule="auto"/>
        <w:ind w:left="709"/>
        <w:contextualSpacing w:val="0"/>
        <w:jc w:val="both"/>
        <w:rPr>
          <w:rFonts w:ascii="Bookman Old Style" w:hAnsi="Bookman Old Style"/>
          <w:sz w:val="24"/>
          <w:szCs w:val="24"/>
        </w:rPr>
      </w:pPr>
    </w:p>
    <w:p w14:paraId="3D7E71C3" w14:textId="77777777" w:rsidR="003E4389" w:rsidRDefault="001A7D33" w:rsidP="003E4389">
      <w:pPr>
        <w:pStyle w:val="ListParagraph"/>
        <w:spacing w:after="0" w:line="240" w:lineRule="auto"/>
        <w:ind w:left="1080"/>
        <w:contextualSpacing w:val="0"/>
        <w:jc w:val="both"/>
        <w:rPr>
          <w:rFonts w:ascii="Bookman Old Style" w:hAnsi="Bookman Old Style"/>
          <w:sz w:val="24"/>
          <w:szCs w:val="24"/>
        </w:rPr>
      </w:pPr>
      <w:r w:rsidRPr="000B5EB1">
        <w:rPr>
          <w:rFonts w:ascii="Bookman Old Style" w:hAnsi="Bookman Old Style"/>
          <w:sz w:val="24"/>
          <w:szCs w:val="24"/>
        </w:rPr>
        <w:t>Although</w:t>
      </w:r>
      <w:r w:rsidR="003E4389">
        <w:rPr>
          <w:rFonts w:ascii="Bookman Old Style" w:hAnsi="Bookman Old Style"/>
          <w:sz w:val="24"/>
          <w:szCs w:val="24"/>
        </w:rPr>
        <w:t xml:space="preserve"> the State party</w:t>
      </w:r>
      <w:r w:rsidRPr="000B5EB1">
        <w:rPr>
          <w:rFonts w:ascii="Bookman Old Style" w:hAnsi="Bookman Old Style"/>
          <w:sz w:val="24"/>
          <w:szCs w:val="24"/>
        </w:rPr>
        <w:t xml:space="preserve"> does not have an established Criminal Case Review body, such as the Criminal Case Review Commission in the United Kingdom, which has the power to investigate potential miscarriages of justice in the criminal justice system, the appeal process provides a valuable avenue for reconsideration of convictions.</w:t>
      </w:r>
      <w:r w:rsidR="003E4389">
        <w:rPr>
          <w:rFonts w:ascii="Bookman Old Style" w:hAnsi="Bookman Old Style"/>
          <w:sz w:val="24"/>
          <w:szCs w:val="24"/>
        </w:rPr>
        <w:t xml:space="preserve"> </w:t>
      </w:r>
      <w:r w:rsidRPr="003E4389">
        <w:rPr>
          <w:rFonts w:ascii="Bookman Old Style" w:hAnsi="Bookman Old Style"/>
          <w:sz w:val="24"/>
          <w:szCs w:val="24"/>
        </w:rPr>
        <w:t>Save for second appeals, first appeals are as of right and appellate courts reserve the power to receive additional evidence.</w:t>
      </w:r>
      <w:r w:rsidR="003E4389">
        <w:rPr>
          <w:rFonts w:ascii="Bookman Old Style" w:hAnsi="Bookman Old Style"/>
          <w:sz w:val="24"/>
          <w:szCs w:val="24"/>
        </w:rPr>
        <w:t xml:space="preserve"> T</w:t>
      </w:r>
      <w:r w:rsidRPr="003E4389">
        <w:rPr>
          <w:rFonts w:ascii="Bookman Old Style" w:hAnsi="Bookman Old Style"/>
          <w:sz w:val="24"/>
          <w:szCs w:val="24"/>
        </w:rPr>
        <w:t>he strongly entrenched judicial precedence on unsafe and unsatisfactory convictions equally provides the needed safeguards against wrongful convictions.</w:t>
      </w:r>
    </w:p>
    <w:p w14:paraId="36DF16FD" w14:textId="77777777" w:rsidR="001A7D33" w:rsidRPr="003E4389" w:rsidRDefault="001A7D33" w:rsidP="003E4389">
      <w:pPr>
        <w:pStyle w:val="ListParagraph"/>
        <w:spacing w:after="0" w:line="240" w:lineRule="auto"/>
        <w:ind w:left="1080"/>
        <w:contextualSpacing w:val="0"/>
        <w:jc w:val="both"/>
        <w:rPr>
          <w:rFonts w:ascii="Bookman Old Style" w:hAnsi="Bookman Old Style"/>
          <w:b/>
          <w:sz w:val="24"/>
          <w:szCs w:val="24"/>
          <w:u w:val="single"/>
        </w:rPr>
      </w:pPr>
      <w:r w:rsidRPr="003E4389">
        <w:rPr>
          <w:rFonts w:ascii="Bookman Old Style" w:hAnsi="Bookman Old Style"/>
          <w:sz w:val="24"/>
          <w:szCs w:val="24"/>
        </w:rPr>
        <w:t xml:space="preserve"> </w:t>
      </w:r>
    </w:p>
    <w:p w14:paraId="2781B6E3" w14:textId="77777777" w:rsidR="001A7D33" w:rsidRPr="004B7E9A" w:rsidRDefault="001A7D33" w:rsidP="004B7E9A">
      <w:pPr>
        <w:pStyle w:val="ListParagraph"/>
        <w:spacing w:after="0" w:line="240" w:lineRule="auto"/>
        <w:ind w:firstLine="360"/>
        <w:contextualSpacing w:val="0"/>
        <w:jc w:val="both"/>
        <w:rPr>
          <w:rFonts w:ascii="Bookman Old Style" w:hAnsi="Bookman Old Style"/>
          <w:b/>
          <w:sz w:val="24"/>
          <w:szCs w:val="24"/>
        </w:rPr>
      </w:pPr>
      <w:r w:rsidRPr="004B7E9A">
        <w:rPr>
          <w:rFonts w:ascii="Bookman Old Style" w:hAnsi="Bookman Old Style"/>
          <w:b/>
          <w:bCs/>
          <w:sz w:val="24"/>
          <w:szCs w:val="24"/>
        </w:rPr>
        <w:t>Right to compensation upon exoneration</w:t>
      </w:r>
    </w:p>
    <w:p w14:paraId="3651E72D" w14:textId="77777777" w:rsidR="001A7D33" w:rsidRPr="000B5EB1" w:rsidRDefault="001A7D33" w:rsidP="004B7E9A">
      <w:pPr>
        <w:pStyle w:val="ListParagraph"/>
        <w:spacing w:after="0" w:line="240" w:lineRule="auto"/>
        <w:ind w:left="1080"/>
        <w:contextualSpacing w:val="0"/>
        <w:jc w:val="both"/>
        <w:rPr>
          <w:rFonts w:ascii="Bookman Old Style" w:hAnsi="Bookman Old Style"/>
          <w:b/>
          <w:sz w:val="24"/>
          <w:szCs w:val="24"/>
          <w:u w:val="single"/>
        </w:rPr>
      </w:pPr>
      <w:r w:rsidRPr="000B5EB1">
        <w:rPr>
          <w:rFonts w:ascii="Bookman Old Style" w:hAnsi="Bookman Old Style"/>
          <w:sz w:val="24"/>
          <w:szCs w:val="24"/>
        </w:rPr>
        <w:t xml:space="preserve">One of the constitutional principles of judicial authority in </w:t>
      </w:r>
      <w:r w:rsidR="004B7E9A">
        <w:rPr>
          <w:rFonts w:ascii="Bookman Old Style" w:hAnsi="Bookman Old Style"/>
          <w:sz w:val="24"/>
          <w:szCs w:val="24"/>
        </w:rPr>
        <w:t>the State party</w:t>
      </w:r>
      <w:r w:rsidRPr="000B5EB1">
        <w:rPr>
          <w:rFonts w:ascii="Bookman Old Style" w:hAnsi="Bookman Old Style"/>
          <w:sz w:val="24"/>
          <w:szCs w:val="24"/>
        </w:rPr>
        <w:t xml:space="preserve"> is the award of adequate compensation in cases where the courts have established that compensation is payable. Article 118(2)(c) of the Constitution of Zambia, 1991, as amended by Act No. 2 of 2016.</w:t>
      </w:r>
    </w:p>
    <w:p w14:paraId="7F1E7279" w14:textId="77777777" w:rsidR="004B7E9A" w:rsidRDefault="004B7E9A" w:rsidP="004B7E9A">
      <w:pPr>
        <w:pStyle w:val="ListParagraph"/>
        <w:spacing w:after="0" w:line="240" w:lineRule="auto"/>
        <w:ind w:left="709"/>
        <w:contextualSpacing w:val="0"/>
        <w:jc w:val="both"/>
        <w:rPr>
          <w:rFonts w:ascii="Bookman Old Style" w:hAnsi="Bookman Old Style"/>
          <w:sz w:val="24"/>
          <w:szCs w:val="24"/>
        </w:rPr>
      </w:pPr>
    </w:p>
    <w:p w14:paraId="4E1A96F3" w14:textId="77777777" w:rsidR="001A7D33" w:rsidRPr="000B5EB1" w:rsidRDefault="001A7D33" w:rsidP="004B7E9A">
      <w:pPr>
        <w:pStyle w:val="ListParagraph"/>
        <w:spacing w:after="0" w:line="240" w:lineRule="auto"/>
        <w:ind w:left="1080"/>
        <w:contextualSpacing w:val="0"/>
        <w:jc w:val="both"/>
        <w:rPr>
          <w:rFonts w:ascii="Bookman Old Style" w:hAnsi="Bookman Old Style"/>
          <w:sz w:val="24"/>
          <w:szCs w:val="24"/>
        </w:rPr>
      </w:pPr>
      <w:r w:rsidRPr="000B5EB1">
        <w:rPr>
          <w:rFonts w:ascii="Bookman Old Style" w:hAnsi="Bookman Old Style"/>
          <w:sz w:val="24"/>
          <w:szCs w:val="24"/>
        </w:rPr>
        <w:t>With specific reference to overturned wrongful convictions, a person can seek compensation by commencing common law-based actions of malicious prosecution and false imprisonment</w:t>
      </w:r>
      <w:r w:rsidR="004B7E9A">
        <w:rPr>
          <w:rFonts w:ascii="Bookman Old Style" w:hAnsi="Bookman Old Style"/>
          <w:sz w:val="24"/>
          <w:szCs w:val="24"/>
        </w:rPr>
        <w:t xml:space="preserve"> as was in the case of</w:t>
      </w:r>
      <w:r w:rsidRPr="000B5EB1">
        <w:rPr>
          <w:rFonts w:ascii="Bookman Old Style" w:hAnsi="Bookman Old Style"/>
          <w:sz w:val="24"/>
          <w:szCs w:val="24"/>
        </w:rPr>
        <w:t xml:space="preserve"> </w:t>
      </w:r>
      <w:r w:rsidRPr="004B7E9A">
        <w:rPr>
          <w:rFonts w:ascii="Bookman Old Style" w:hAnsi="Bookman Old Style"/>
          <w:b/>
          <w:i/>
          <w:sz w:val="24"/>
          <w:szCs w:val="24"/>
        </w:rPr>
        <w:t>Claude Samuel Gaynor v Cyril Robert Cowley (1971) Z.R.50</w:t>
      </w:r>
      <w:r w:rsidR="004B7E9A" w:rsidRPr="004B7E9A">
        <w:rPr>
          <w:rFonts w:ascii="Bookman Old Style" w:hAnsi="Bookman Old Style"/>
          <w:sz w:val="24"/>
          <w:szCs w:val="24"/>
        </w:rPr>
        <w:t>.</w:t>
      </w:r>
    </w:p>
    <w:p w14:paraId="6D1DC004" w14:textId="77777777" w:rsidR="004B7E9A" w:rsidRDefault="004B7E9A" w:rsidP="004B7E9A">
      <w:pPr>
        <w:pStyle w:val="ListParagraph"/>
        <w:spacing w:after="0" w:line="240" w:lineRule="auto"/>
        <w:ind w:left="709"/>
        <w:contextualSpacing w:val="0"/>
        <w:jc w:val="both"/>
        <w:rPr>
          <w:rFonts w:ascii="Bookman Old Style" w:hAnsi="Bookman Old Style"/>
          <w:sz w:val="24"/>
          <w:szCs w:val="24"/>
        </w:rPr>
      </w:pPr>
    </w:p>
    <w:p w14:paraId="295C4E31" w14:textId="77777777" w:rsidR="001A7D33" w:rsidRPr="000B5EB1" w:rsidRDefault="001A7D33" w:rsidP="004B7E9A">
      <w:pPr>
        <w:pStyle w:val="ListParagraph"/>
        <w:spacing w:after="0" w:line="240" w:lineRule="auto"/>
        <w:ind w:left="1080"/>
        <w:contextualSpacing w:val="0"/>
        <w:jc w:val="both"/>
        <w:rPr>
          <w:rFonts w:ascii="Bookman Old Style" w:hAnsi="Bookman Old Style"/>
          <w:b/>
          <w:sz w:val="24"/>
          <w:szCs w:val="24"/>
          <w:u w:val="single"/>
        </w:rPr>
      </w:pPr>
      <w:r w:rsidRPr="000B5EB1">
        <w:rPr>
          <w:rFonts w:ascii="Bookman Old Style" w:hAnsi="Bookman Old Style"/>
          <w:sz w:val="24"/>
          <w:szCs w:val="24"/>
        </w:rPr>
        <w:t>Taken together, Article 118 (2)(c) of the Constitution and the common law torts of malicious prosecution and false imprisonment create a layered framework of potential redress.</w:t>
      </w:r>
    </w:p>
    <w:p w14:paraId="553087A4" w14:textId="77777777" w:rsidR="004B7E9A" w:rsidRPr="000B5EB1" w:rsidRDefault="004B7E9A" w:rsidP="000B5EB1">
      <w:pPr>
        <w:pStyle w:val="Default"/>
        <w:jc w:val="both"/>
        <w:rPr>
          <w:rFonts w:ascii="Bookman Old Style" w:hAnsi="Bookman Old Style"/>
        </w:rPr>
      </w:pPr>
    </w:p>
    <w:p w14:paraId="41D07040" w14:textId="77777777" w:rsidR="00073F7D" w:rsidRPr="004B7E9A" w:rsidRDefault="00073F7D" w:rsidP="004B7E9A">
      <w:pPr>
        <w:pStyle w:val="Default"/>
        <w:numPr>
          <w:ilvl w:val="0"/>
          <w:numId w:val="5"/>
        </w:numPr>
        <w:jc w:val="both"/>
        <w:rPr>
          <w:rFonts w:ascii="Bookman Old Style" w:hAnsi="Bookman Old Style"/>
          <w:b/>
          <w:bCs/>
          <w:i/>
        </w:rPr>
      </w:pPr>
      <w:r w:rsidRPr="004B7E9A">
        <w:rPr>
          <w:rFonts w:ascii="Bookman Old Style" w:hAnsi="Bookman Old Style"/>
          <w:b/>
        </w:rPr>
        <w:t>Paragraph 26</w:t>
      </w:r>
      <w:r w:rsidR="001A7D33" w:rsidRPr="004B7E9A">
        <w:rPr>
          <w:rFonts w:ascii="Bookman Old Style" w:hAnsi="Bookman Old Style"/>
          <w:b/>
        </w:rPr>
        <w:t xml:space="preserve">; </w:t>
      </w:r>
      <w:r w:rsidRPr="004B7E9A">
        <w:rPr>
          <w:rFonts w:ascii="Bookman Old Style" w:hAnsi="Bookman Old Style"/>
          <w:b/>
          <w:bCs/>
          <w:i/>
        </w:rPr>
        <w:t>The State party should expedite adoption of the anti-torture legislation and ensure that it contains a definition of torture compliant with international law.</w:t>
      </w:r>
    </w:p>
    <w:p w14:paraId="746F20A3" w14:textId="77777777" w:rsidR="00073F7D" w:rsidRPr="000B5EB1" w:rsidRDefault="00073F7D" w:rsidP="000B5EB1">
      <w:pPr>
        <w:pStyle w:val="Default"/>
        <w:jc w:val="both"/>
        <w:rPr>
          <w:rFonts w:ascii="Bookman Old Style" w:hAnsi="Bookman Old Style"/>
          <w:bCs/>
        </w:rPr>
      </w:pPr>
    </w:p>
    <w:p w14:paraId="664401CD" w14:textId="77777777" w:rsidR="00073F7D" w:rsidRPr="000B5EB1" w:rsidRDefault="001A7D33" w:rsidP="000B5EB1">
      <w:pPr>
        <w:pStyle w:val="Default"/>
        <w:ind w:left="720"/>
        <w:jc w:val="both"/>
        <w:rPr>
          <w:rFonts w:ascii="Bookman Old Style" w:hAnsi="Bookman Old Style"/>
        </w:rPr>
      </w:pPr>
      <w:r w:rsidRPr="000B5EB1">
        <w:rPr>
          <w:rFonts w:ascii="Bookman Old Style" w:hAnsi="Bookman Old Style"/>
        </w:rPr>
        <w:t>C</w:t>
      </w:r>
      <w:r w:rsidR="00073F7D" w:rsidRPr="000B5EB1">
        <w:rPr>
          <w:rFonts w:ascii="Bookman Old Style" w:hAnsi="Bookman Old Style"/>
        </w:rPr>
        <w:t xml:space="preserve">onsultations </w:t>
      </w:r>
      <w:r w:rsidR="004B7E9A">
        <w:rPr>
          <w:rFonts w:ascii="Bookman Old Style" w:hAnsi="Bookman Old Style"/>
        </w:rPr>
        <w:t xml:space="preserve">with relevant stakeholders </w:t>
      </w:r>
      <w:r w:rsidR="00073F7D" w:rsidRPr="000B5EB1">
        <w:rPr>
          <w:rFonts w:ascii="Bookman Old Style" w:hAnsi="Bookman Old Style"/>
        </w:rPr>
        <w:t xml:space="preserve">are ongoing on the </w:t>
      </w:r>
      <w:r w:rsidR="00073F7D" w:rsidRPr="000B5EB1">
        <w:rPr>
          <w:rFonts w:ascii="Bookman Old Style" w:hAnsi="Bookman Old Style"/>
          <w:bCs/>
        </w:rPr>
        <w:t xml:space="preserve">adoption of the anti-torture legislation. The recommendation that Zambia should </w:t>
      </w:r>
      <w:r w:rsidR="00073F7D" w:rsidRPr="000B5EB1">
        <w:rPr>
          <w:rFonts w:ascii="Bookman Old Style" w:hAnsi="Bookman Old Style"/>
          <w:bCs/>
        </w:rPr>
        <w:lastRenderedPageBreak/>
        <w:t>ensure that the law contains a definition of torture compliant with international law is duly noted.</w:t>
      </w:r>
    </w:p>
    <w:p w14:paraId="5A060796" w14:textId="77777777" w:rsidR="00073F7D" w:rsidRPr="000B5EB1" w:rsidRDefault="00073F7D" w:rsidP="000B5EB1">
      <w:pPr>
        <w:spacing w:after="0" w:line="240" w:lineRule="auto"/>
        <w:jc w:val="both"/>
        <w:rPr>
          <w:rFonts w:ascii="Bookman Old Style" w:hAnsi="Bookman Old Style"/>
          <w:sz w:val="24"/>
          <w:szCs w:val="24"/>
        </w:rPr>
      </w:pPr>
    </w:p>
    <w:p w14:paraId="345DF7D5" w14:textId="77777777" w:rsidR="00516BCB" w:rsidRPr="0097534C" w:rsidRDefault="0097534C" w:rsidP="0097534C">
      <w:pPr>
        <w:spacing w:line="240" w:lineRule="auto"/>
        <w:jc w:val="center"/>
        <w:rPr>
          <w:rFonts w:ascii="Bookman Old Style" w:hAnsi="Bookman Old Style"/>
          <w:b/>
        </w:rPr>
      </w:pPr>
      <w:r w:rsidRPr="0097534C">
        <w:rPr>
          <w:rFonts w:ascii="Bookman Old Style" w:hAnsi="Bookman Old Style"/>
          <w:b/>
        </w:rPr>
        <w:t>--END--</w:t>
      </w:r>
    </w:p>
    <w:sectPr w:rsidR="00516BCB" w:rsidRPr="0097534C" w:rsidSect="000B5EB1">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4B49C" w14:textId="77777777" w:rsidR="00DD33BB" w:rsidRDefault="00DD33BB" w:rsidP="000B5EB1">
      <w:pPr>
        <w:spacing w:after="0" w:line="240" w:lineRule="auto"/>
      </w:pPr>
      <w:r>
        <w:separator/>
      </w:r>
    </w:p>
  </w:endnote>
  <w:endnote w:type="continuationSeparator" w:id="0">
    <w:p w14:paraId="724D3CC0" w14:textId="77777777" w:rsidR="00DD33BB" w:rsidRDefault="00DD33BB" w:rsidP="000B5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751972"/>
      <w:docPartObj>
        <w:docPartGallery w:val="Page Numbers (Bottom of Page)"/>
        <w:docPartUnique/>
      </w:docPartObj>
    </w:sdtPr>
    <w:sdtEndPr>
      <w:rPr>
        <w:noProof/>
      </w:rPr>
    </w:sdtEndPr>
    <w:sdtContent>
      <w:p w14:paraId="5FC5C5EC" w14:textId="77777777" w:rsidR="000B5EB1" w:rsidRDefault="000B5E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46D948" w14:textId="77777777" w:rsidR="000B5EB1" w:rsidRDefault="000B5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D40A7" w14:textId="77777777" w:rsidR="00DD33BB" w:rsidRDefault="00DD33BB" w:rsidP="000B5EB1">
      <w:pPr>
        <w:spacing w:after="0" w:line="240" w:lineRule="auto"/>
      </w:pPr>
      <w:r>
        <w:separator/>
      </w:r>
    </w:p>
  </w:footnote>
  <w:footnote w:type="continuationSeparator" w:id="0">
    <w:p w14:paraId="0C62D2FB" w14:textId="77777777" w:rsidR="00DD33BB" w:rsidRDefault="00DD33BB" w:rsidP="000B5E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0B2791"/>
    <w:multiLevelType w:val="multilevel"/>
    <w:tmpl w:val="5228536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3FD227CA"/>
    <w:multiLevelType w:val="hybridMultilevel"/>
    <w:tmpl w:val="9F1EC55A"/>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874883"/>
    <w:multiLevelType w:val="hybridMultilevel"/>
    <w:tmpl w:val="90905844"/>
    <w:lvl w:ilvl="0" w:tplc="BC1E789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95753F0"/>
    <w:multiLevelType w:val="hybridMultilevel"/>
    <w:tmpl w:val="8D9E590A"/>
    <w:lvl w:ilvl="0" w:tplc="2E70F22E">
      <w:start w:val="1"/>
      <w:numFmt w:val="lowerLetter"/>
      <w:lvlText w:val="(%1)"/>
      <w:lvlJc w:val="left"/>
      <w:pPr>
        <w:ind w:left="1170" w:hanging="45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1BC5C09"/>
    <w:multiLevelType w:val="hybridMultilevel"/>
    <w:tmpl w:val="710C79D6"/>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66DB1EFB"/>
    <w:multiLevelType w:val="hybridMultilevel"/>
    <w:tmpl w:val="1A385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8828198">
    <w:abstractNumId w:val="3"/>
  </w:num>
  <w:num w:numId="2" w16cid:durableId="2127964637">
    <w:abstractNumId w:val="2"/>
  </w:num>
  <w:num w:numId="3" w16cid:durableId="963540718">
    <w:abstractNumId w:val="5"/>
  </w:num>
  <w:num w:numId="4" w16cid:durableId="1173908855">
    <w:abstractNumId w:val="0"/>
  </w:num>
  <w:num w:numId="5" w16cid:durableId="1688293846">
    <w:abstractNumId w:val="1"/>
  </w:num>
  <w:num w:numId="6" w16cid:durableId="14332849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F7D"/>
    <w:rsid w:val="000639F7"/>
    <w:rsid w:val="00073F7D"/>
    <w:rsid w:val="000B5EB1"/>
    <w:rsid w:val="00146ED6"/>
    <w:rsid w:val="001A7D33"/>
    <w:rsid w:val="00367CEC"/>
    <w:rsid w:val="003E4389"/>
    <w:rsid w:val="004B7E9A"/>
    <w:rsid w:val="00516BCB"/>
    <w:rsid w:val="0053542A"/>
    <w:rsid w:val="00740700"/>
    <w:rsid w:val="007667AA"/>
    <w:rsid w:val="00850E0F"/>
    <w:rsid w:val="00905C1B"/>
    <w:rsid w:val="00907C76"/>
    <w:rsid w:val="0097534C"/>
    <w:rsid w:val="009C1AF7"/>
    <w:rsid w:val="00A233A4"/>
    <w:rsid w:val="00A71362"/>
    <w:rsid w:val="00B45041"/>
    <w:rsid w:val="00DD33BB"/>
    <w:rsid w:val="00DE11DE"/>
    <w:rsid w:val="00EB29C2"/>
    <w:rsid w:val="00EF7A79"/>
    <w:rsid w:val="00FA697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BEBE6"/>
  <w15:chartTrackingRefBased/>
  <w15:docId w15:val="{A47842ED-ECFE-45C5-9689-DAF14DAE7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1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73F7D"/>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73F7D"/>
    <w:pPr>
      <w:ind w:left="720"/>
      <w:contextualSpacing/>
    </w:pPr>
  </w:style>
  <w:style w:type="paragraph" w:styleId="NormalWeb">
    <w:name w:val="Normal (Web)"/>
    <w:basedOn w:val="Normal"/>
    <w:uiPriority w:val="99"/>
    <w:unhideWhenUsed/>
    <w:rsid w:val="00B45041"/>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styleId="Strong">
    <w:name w:val="Strong"/>
    <w:basedOn w:val="DefaultParagraphFont"/>
    <w:uiPriority w:val="22"/>
    <w:qFormat/>
    <w:rsid w:val="00B45041"/>
    <w:rPr>
      <w:b/>
      <w:bCs/>
    </w:rPr>
  </w:style>
  <w:style w:type="paragraph" w:styleId="Header">
    <w:name w:val="header"/>
    <w:basedOn w:val="Normal"/>
    <w:link w:val="HeaderChar"/>
    <w:uiPriority w:val="99"/>
    <w:unhideWhenUsed/>
    <w:rsid w:val="000B5E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EB1"/>
  </w:style>
  <w:style w:type="paragraph" w:styleId="Footer">
    <w:name w:val="footer"/>
    <w:basedOn w:val="Normal"/>
    <w:link w:val="FooterChar"/>
    <w:uiPriority w:val="99"/>
    <w:unhideWhenUsed/>
    <w:rsid w:val="000B5E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5EB1"/>
  </w:style>
  <w:style w:type="character" w:customStyle="1" w:styleId="whitespace-normal">
    <w:name w:val="whitespace-normal"/>
    <w:basedOn w:val="DefaultParagraphFont"/>
    <w:rsid w:val="004B7E9A"/>
  </w:style>
  <w:style w:type="paragraph" w:styleId="BalloonText">
    <w:name w:val="Balloon Text"/>
    <w:basedOn w:val="Normal"/>
    <w:link w:val="BalloonTextChar"/>
    <w:uiPriority w:val="99"/>
    <w:semiHidden/>
    <w:unhideWhenUsed/>
    <w:rsid w:val="00367C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7C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2026-07-01T14:00:30+00:00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4D6007-DFDA-47EA-B37E-9D80D362E26B}"/>
</file>

<file path=customXml/itemProps2.xml><?xml version="1.0" encoding="utf-8"?>
<ds:datastoreItem xmlns:ds="http://schemas.openxmlformats.org/officeDocument/2006/customXml" ds:itemID="{1294A3CE-5F48-40CB-8F77-9FA481E66D7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D1C59A-C2EA-4AE5-9C0A-78A2E08E0B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2497</Words>
  <Characters>14235</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Sambwa Chilembo</dc:creator>
  <cp:keywords/>
  <dc:description/>
  <cp:lastModifiedBy>Cherry Balmaceda</cp:lastModifiedBy>
  <cp:revision>2</cp:revision>
  <cp:lastPrinted>2026-04-24T08:33:00Z</cp:lastPrinted>
  <dcterms:created xsi:type="dcterms:W3CDTF">2026-07-01T14:00:00Z</dcterms:created>
  <dcterms:modified xsi:type="dcterms:W3CDTF">2026-07-01T14:00:00Z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