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I</w:t>
      </w:r>
      <w:r w:rsidDel="00000000" w:rsidR="00000000" w:rsidRPr="00000000">
        <w:rPr>
          <w:rFonts w:ascii="Calibri" w:cs="Calibri" w:eastAsia="Calibri" w:hAnsi="Calibri"/>
          <w:b w:val="1"/>
          <w:color w:val="000000"/>
          <w:rtl w:val="0"/>
        </w:rPr>
        <w:t xml:space="preserve">NFORME ALTERNATIVO PARA EL CEDAW: </w:t>
        <w:br w:type="textWrapping"/>
        <w:t xml:space="preserve">EXAMEN DE LA REPÚBLICA BOLIVARIANA DE VENEZUELA</w:t>
      </w:r>
      <w:r w:rsidDel="00000000" w:rsidR="00000000" w:rsidRPr="00000000">
        <w:rPr>
          <w:rtl w:val="0"/>
        </w:rPr>
      </w:r>
    </w:p>
    <w:p w:rsidR="00000000" w:rsidDel="00000000" w:rsidP="00000000" w:rsidRDefault="00000000" w:rsidRPr="00000000" w14:paraId="00000002">
      <w:pPr>
        <w:spacing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Presentado por la organización civil Tinta Violeta </w:t>
      </w:r>
      <w:r w:rsidDel="00000000" w:rsidR="00000000" w:rsidRPr="00000000">
        <w:rPr>
          <w:rtl w:val="0"/>
        </w:rPr>
        <w:t xml:space="preserve">con alcance nacional, y las organizaciones de la Red de Acompañamiento Territorial: Colectivo Feminista Mujer Género Rebelde (MUGER), Movimieto de Mujeres por la Vida, Movimiento de Mujeres Manuelita Saenz (MOMUMAS), y Shippiyukon; </w:t>
      </w:r>
      <w:r w:rsidDel="00000000" w:rsidR="00000000" w:rsidRPr="00000000">
        <w:rPr>
          <w:rFonts w:ascii="Calibri" w:cs="Calibri" w:eastAsia="Calibri" w:hAnsi="Calibri"/>
          <w:color w:val="000000"/>
          <w:rtl w:val="0"/>
        </w:rPr>
        <w:t xml:space="preserve">así como, el Monitor de Femicidios de Utopix, en Distrito Capital. </w:t>
      </w:r>
      <w:r w:rsidDel="00000000" w:rsidR="00000000" w:rsidRPr="00000000">
        <w:rPr>
          <w:rtl w:val="0"/>
        </w:rPr>
      </w:r>
    </w:p>
    <w:p w:rsidR="00000000" w:rsidDel="00000000" w:rsidP="00000000" w:rsidRDefault="00000000" w:rsidRPr="00000000" w14:paraId="00000003">
      <w:pPr>
        <w:spacing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El presente documento puede publicarse en la página web de la OACNUDH relativa a la CEDAW con fines de divulgación pública.</w:t>
      </w:r>
      <w:r w:rsidDel="00000000" w:rsidR="00000000" w:rsidRPr="00000000">
        <w:rPr>
          <w:rtl w:val="0"/>
        </w:rPr>
      </w:r>
    </w:p>
    <w:p w:rsidR="00000000" w:rsidDel="00000000" w:rsidP="00000000" w:rsidRDefault="00000000" w:rsidRPr="00000000" w14:paraId="00000004">
      <w:pPr>
        <w:spacing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El presente documento contiene las respuestas de Tinta Violeta y del Monitor de Femicidios de UTOPIX a la Lista de cuestiones y preguntas de los apartes: Derechos de las mujeres e igualdad de género en relación con la pandemia y las iniciativas de recuperación; Marco legislativo y definición de discriminación; Acceso a la justicia y mecanismos jurídicos de denuncia; Violencia de género contra la mujer; y Trata y explotación de la prostitución, del documento CEDAW/C/VEN/Q/9, elaborado por el Comité de la Convención sobre la Eliminación de Todas las Formas de Discriminación contra la Mujer (CEDAW), en relación con el noveno informe periódico de la República Bolivariana de Venezuela (RBV).   </w:t>
      </w:r>
      <w:r w:rsidDel="00000000" w:rsidR="00000000" w:rsidRPr="00000000">
        <w:rPr>
          <w:rtl w:val="0"/>
        </w:rPr>
      </w:r>
    </w:p>
    <w:p w:rsidR="00000000" w:rsidDel="00000000" w:rsidP="00000000" w:rsidRDefault="00000000" w:rsidRPr="00000000" w14:paraId="00000005">
      <w:pPr>
        <w:spacing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b w:val="1"/>
          <w:color w:val="000000"/>
          <w:rtl w:val="0"/>
        </w:rPr>
        <w:t xml:space="preserve">Contexto  </w:t>
      </w:r>
      <w:r w:rsidDel="00000000" w:rsidR="00000000" w:rsidRPr="00000000">
        <w:rPr>
          <w:rtl w:val="0"/>
        </w:rPr>
      </w:r>
    </w:p>
    <w:p w:rsidR="00000000" w:rsidDel="00000000" w:rsidP="00000000" w:rsidRDefault="00000000" w:rsidRPr="00000000" w14:paraId="00000006">
      <w:pPr>
        <w:spacing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b w:val="1"/>
          <w:color w:val="000000"/>
          <w:rtl w:val="0"/>
        </w:rPr>
        <w:t xml:space="preserve">1</w:t>
      </w:r>
      <w:r w:rsidDel="00000000" w:rsidR="00000000" w:rsidRPr="00000000">
        <w:rPr>
          <w:rFonts w:ascii="Calibri" w:cs="Calibri" w:eastAsia="Calibri" w:hAnsi="Calibri"/>
          <w:color w:val="000000"/>
          <w:rtl w:val="0"/>
        </w:rPr>
        <w:t xml:space="preserve">. A características históricas y estructurales del funcionamiento de las instituciones del Estado, presentes antes y durante la IV República, tales como la no continuidad en las políticas públicas con cambios de autoridades de 1°, 2° y hasta 3° nivel gerencial, el burocratismo, la corrupción y el uso de las instituciones del Estado para fines personales o de grupos políticos, se suma la grave situación económica que ha padecido el país producto de las medidas coercitivas unilaterales ejercida por parte del gobierno de los Estados Unidos de Norteamérica.</w:t>
      </w:r>
      <w:r w:rsidDel="00000000" w:rsidR="00000000" w:rsidRPr="00000000">
        <w:rPr>
          <w:rtl w:val="0"/>
        </w:rPr>
      </w:r>
    </w:p>
    <w:p w:rsidR="00000000" w:rsidDel="00000000" w:rsidP="00000000" w:rsidRDefault="00000000" w:rsidRPr="00000000" w14:paraId="00000007">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b w:val="1"/>
          <w:color w:val="000000"/>
          <w:rtl w:val="0"/>
        </w:rPr>
        <w:t xml:space="preserve">Derechos de las mujeres e igualdad de género en relación con la pandemia y las iniciativas de recuperación</w:t>
      </w:r>
      <w:r w:rsidDel="00000000" w:rsidR="00000000" w:rsidRPr="00000000">
        <w:rPr>
          <w:rtl w:val="0"/>
        </w:rPr>
      </w:r>
    </w:p>
    <w:p w:rsidR="00000000" w:rsidDel="00000000" w:rsidP="00000000" w:rsidRDefault="00000000" w:rsidRPr="00000000" w14:paraId="00000009">
      <w:pPr>
        <w:spacing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b w:val="1"/>
          <w:color w:val="000000"/>
          <w:rtl w:val="0"/>
        </w:rPr>
        <w:t xml:space="preserve">3 a, b, c.</w:t>
      </w:r>
      <w:r w:rsidDel="00000000" w:rsidR="00000000" w:rsidRPr="00000000">
        <w:rPr>
          <w:rFonts w:ascii="Calibri" w:cs="Calibri" w:eastAsia="Calibri" w:hAnsi="Calibri"/>
          <w:color w:val="000000"/>
          <w:rtl w:val="0"/>
        </w:rPr>
        <w:t xml:space="preserve"> En relación a las preguntas contenidas en lo apartes 3 a, b y c de la Lista de cuestiones y preguntas relativa al noveno informe periódico de la República Bolivariana de Venezuela (en adelante la Lista) en la que se pide explicar sobre qué ha hecho el Estado, en la reciente década COVID, para corregir la histórica situación de desigualdad entre mujeres y hombres y dar un nuevo impulso al logro de la igualdad de género, podemos señalar en materia de:</w:t>
      </w:r>
      <w:r w:rsidDel="00000000" w:rsidR="00000000" w:rsidRPr="00000000">
        <w:rPr>
          <w:rtl w:val="0"/>
        </w:rPr>
      </w:r>
    </w:p>
    <w:p w:rsidR="00000000" w:rsidDel="00000000" w:rsidP="00000000" w:rsidRDefault="00000000" w:rsidRPr="00000000" w14:paraId="0000000A">
      <w:pPr>
        <w:spacing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b w:val="1"/>
          <w:color w:val="000000"/>
          <w:rtl w:val="0"/>
        </w:rPr>
        <w:t xml:space="preserve">a) Afrontamiento de la violencia de género contra las mujeres y las niñas y de prevenirla de manera efectiva</w:t>
      </w:r>
      <w:r w:rsidDel="00000000" w:rsidR="00000000" w:rsidRPr="00000000">
        <w:rPr>
          <w:rFonts w:ascii="Calibri" w:cs="Calibri" w:eastAsia="Calibri" w:hAnsi="Calibri"/>
          <w:color w:val="000000"/>
          <w:rtl w:val="0"/>
        </w:rPr>
        <w:t xml:space="preserve">. Que si bien es cierto se implementaron las medidas reportadas en los puntos 6, 7 y 8  del documento: Respuesta a la lista de cuestiones y preguntas en relación con el noveno informe periódico de la República Bolivariana de Venezuela (en adelante Respuestas a la Lista), no es menos cierto que, las instituciones responsables de implementar esas medidas están deprimidas presupuestariamente, con cambios frecuentes en los cargos decisorios, abandono de cargos por parte del personal profesional calificado por los sueldos precarizados, cargos la mayoría no sustituidos o sustituido por personal sin la necesaria ni adecuada formación o experiencia; todo lo cual lleva a la no continuidad de las medidas, a brindar respuesta epilépticas o superficiales; a la inexistencia de una política clara de articulación entre los órganos receptores de denuncia y las comunidades ni la necesaria sistemática y profunda formación al personal. Todo esto tiene como consecuencia una atención inadecuada y desde los prejuicios patriarcales que revictimizan a las sobrevivientes y a realizar procesos no establecidos en la Ley Orgánica sobre el Derecho de las Mujeres a una Vida Libre de Violencia (LODMVLV), como, por ejemplo, reconciliaciones. Aunque, en el 2021, se diseñó y promulgó en la Gaceta Oficial 42.076 (año 2021) las “</w:t>
      </w:r>
      <w:r w:rsidDel="00000000" w:rsidR="00000000" w:rsidRPr="00000000">
        <w:rPr>
          <w:rFonts w:ascii="Calibri" w:cs="Calibri" w:eastAsia="Calibri" w:hAnsi="Calibri"/>
          <w:color w:val="232323"/>
          <w:rtl w:val="0"/>
        </w:rPr>
        <w:t xml:space="preserve">Normas de actuación de los funcionarios policiales y de investigación ante casos de violencia de género”, </w:t>
      </w:r>
      <w:r w:rsidDel="00000000" w:rsidR="00000000" w:rsidRPr="00000000">
        <w:rPr>
          <w:rFonts w:ascii="Calibri" w:cs="Calibri" w:eastAsia="Calibri" w:hAnsi="Calibri"/>
          <w:color w:val="000000"/>
          <w:rtl w:val="0"/>
        </w:rPr>
        <w:t xml:space="preserve">un protocolo de atención a sobrevivientes de violencia de género por parte de los órganos receptores de denuncia, el colectivo receptor de denuncias que son parte de los cuerpos de seguridad del estado, estos no lo conoce ni usa en su práctica cotidiana. </w:t>
      </w:r>
      <w:r w:rsidDel="00000000" w:rsidR="00000000" w:rsidRPr="00000000">
        <w:rPr>
          <w:rtl w:val="0"/>
        </w:rPr>
      </w:r>
    </w:p>
    <w:p w:rsidR="00000000" w:rsidDel="00000000" w:rsidP="00000000" w:rsidRDefault="00000000" w:rsidRPr="00000000" w14:paraId="0000000B">
      <w:pPr>
        <w:spacing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b w:val="1"/>
          <w:color w:val="000000"/>
          <w:rtl w:val="0"/>
        </w:rPr>
        <w:t xml:space="preserve">b) Garantía de la participación igualitaria de las mujeres y las niñas en la vida política y pública, la toma de decisiones, el empoderamiento económico y la prestación de servicios, especialmente en la elaboración y ejecución de programas de recuperación.</w:t>
      </w:r>
      <w:r w:rsidDel="00000000" w:rsidR="00000000" w:rsidRPr="00000000">
        <w:rPr>
          <w:rFonts w:ascii="Calibri" w:cs="Calibri" w:eastAsia="Calibri" w:hAnsi="Calibri"/>
          <w:color w:val="000000"/>
          <w:rtl w:val="0"/>
        </w:rPr>
        <w:t xml:space="preserve"> En materia económica podemos señalar que la política de recuperación y empoderamiento económico de las mujeres estaba siendo implementada mediante el Banco de Desarrollo de la Mujer, el cual brindaba apoyo teórico, acompañamiento y seguimiento, pero a partir de 2013 fue sometido a un proceso de desinstitucionalización que lo llevó, en el 2016, junto con el Banco del Pueblo Soberano, a ser fusionados con el Banco Bicentenario, de acuerdo con la Gaceta Oficial 40.923, publicada el 10 de junio de 2016. Medida que le hizo perder su capacidad financiera para otorgar créditos directamente, haciendo la ruta más larga y competida con otras poblaciones objetivos. El otorgamiento disminuido de créditos continua, pero tiene un defecto estructural, el cual es que fue pensado para financiar emprendimientos individuales, que en este momento de contractura económica tienden al fracaso.</w:t>
      </w:r>
      <w:r w:rsidDel="00000000" w:rsidR="00000000" w:rsidRPr="00000000">
        <w:rPr>
          <w:rtl w:val="0"/>
        </w:rPr>
      </w:r>
    </w:p>
    <w:p w:rsidR="00000000" w:rsidDel="00000000" w:rsidP="00000000" w:rsidRDefault="00000000" w:rsidRPr="00000000" w14:paraId="0000000C">
      <w:pPr>
        <w:spacing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b w:val="1"/>
          <w:color w:val="000000"/>
          <w:rtl w:val="0"/>
        </w:rPr>
        <w:t xml:space="preserve">c) Ayuda financiera para las funciones de cuidado no remuneradas con el objetivo de mitigar las repercusiones socioeconómicas de la pandemia en las mujeres</w:t>
      </w:r>
      <w:r w:rsidDel="00000000" w:rsidR="00000000" w:rsidRPr="00000000">
        <w:rPr>
          <w:rFonts w:ascii="Calibri" w:cs="Calibri" w:eastAsia="Calibri" w:hAnsi="Calibri"/>
          <w:color w:val="000000"/>
          <w:rtl w:val="0"/>
        </w:rPr>
        <w:t xml:space="preserve">. La Constitución del año 1999, en su artículo 88, reconoce el aporte a la economía nacional de las labores de cuidado. Ese mandato constitucional comenzó a implementarse mediante el Programa Madres del Barrio, a través del cual el Estado brindaba un aporte económico a mujeres de escasos recursos que tenían labores exclusivas de cuidado. Programa que a partir de 2013 fue transmutando hacia el financiamiento a mujeres para el desarrollo de emprendimientos individuales, compitiendo con el Banco de Desarrollo de la Mujer. Perdiéndose el fin de reconocimiento de las labores de cuidado como trabajo merecedor de una remuneración.</w:t>
      </w:r>
      <w:r w:rsidDel="00000000" w:rsidR="00000000" w:rsidRPr="00000000">
        <w:rPr>
          <w:rtl w:val="0"/>
        </w:rPr>
      </w:r>
    </w:p>
    <w:p w:rsidR="00000000" w:rsidDel="00000000" w:rsidP="00000000" w:rsidRDefault="00000000" w:rsidRPr="00000000" w14:paraId="0000000D">
      <w:pPr>
        <w:spacing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b w:val="1"/>
          <w:color w:val="000000"/>
          <w:rtl w:val="0"/>
        </w:rPr>
        <w:t xml:space="preserve">4</w:t>
      </w:r>
      <w:r w:rsidDel="00000000" w:rsidR="00000000" w:rsidRPr="00000000">
        <w:rPr>
          <w:rFonts w:ascii="Calibri" w:cs="Calibri" w:eastAsia="Calibri" w:hAnsi="Calibri"/>
          <w:color w:val="000000"/>
          <w:rtl w:val="0"/>
        </w:rPr>
        <w:t xml:space="preserve">. Con respecto al aparte 4. Que pide explicación sobre las </w:t>
      </w:r>
      <w:r w:rsidDel="00000000" w:rsidR="00000000" w:rsidRPr="00000000">
        <w:rPr>
          <w:rFonts w:ascii="Calibri" w:cs="Calibri" w:eastAsia="Calibri" w:hAnsi="Calibri"/>
          <w:b w:val="1"/>
          <w:color w:val="000000"/>
          <w:rtl w:val="0"/>
        </w:rPr>
        <w:t xml:space="preserve">medidas adoptadas para no limitar el acceso de las mujeres y las niñas a la justicia, a los centros de acogida para las supervivientes de la violencia doméstica y otras formas de violencia de género contra la mujer, a la educación, al empleo y a la atención sanitaria, incluidos los servicios de salud sexual y reproductiva</w:t>
      </w:r>
      <w:r w:rsidDel="00000000" w:rsidR="00000000" w:rsidRPr="00000000">
        <w:rPr>
          <w:rFonts w:ascii="Calibri" w:cs="Calibri" w:eastAsia="Calibri" w:hAnsi="Calibri"/>
          <w:color w:val="000000"/>
          <w:rtl w:val="0"/>
        </w:rPr>
        <w:t xml:space="preserve"> podemos reportar:</w:t>
      </w:r>
      <w:r w:rsidDel="00000000" w:rsidR="00000000" w:rsidRPr="00000000">
        <w:rPr>
          <w:rtl w:val="0"/>
        </w:rPr>
      </w:r>
    </w:p>
    <w:p w:rsidR="00000000" w:rsidDel="00000000" w:rsidP="00000000" w:rsidRDefault="00000000" w:rsidRPr="00000000" w14:paraId="0000000E">
      <w:pPr>
        <w:numPr>
          <w:ilvl w:val="0"/>
          <w:numId w:val="3"/>
        </w:numPr>
        <w:spacing w:after="0" w:line="240" w:lineRule="auto"/>
        <w:ind w:left="72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En materia de educación y empleo. El cierre de los centros educativos y la disminución de la actividad laboral a causa de la pandemia por el COVID-19 y a la escasez de combustible ha tenido efectos adversos sobre la cobertura educativa en todas las edades, particularmente las correspondientes a la educación inicial y universitaria; como también, en la disminución de la actividad laboral. </w:t>
      </w:r>
    </w:p>
    <w:p w:rsidR="00000000" w:rsidDel="00000000" w:rsidP="00000000" w:rsidRDefault="00000000" w:rsidRPr="00000000" w14:paraId="0000000F">
      <w:pPr>
        <w:spacing w:after="0" w:line="240" w:lineRule="auto"/>
        <w:ind w:left="720" w:firstLine="0"/>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La Encuesta Nacional sobre Condiciones de Vida 2021 (ENCOVI 2021) reporta para ese año que casi la mitad de los niños y niñas de 3 a 5 años no accede a la educación inicial, si viven en hogares con insuficiencia de ingresos para satisfacer la alimentación o donde es bajo el clima educativo, es decir, en hogares con pobreza extrema. De los niños y niñas escolarizadas, bajo la modalidad de estudios a distancias, lo más común (el 78%) fue contar con un celular con acceso a Internet y la responsabilidad de apoyar en la realización de las tareas recae principalmente sobre la madre, 78%, quien a la par debe atender tareas domésticas y extra domésticas. </w:t>
      </w:r>
      <w:r w:rsidDel="00000000" w:rsidR="00000000" w:rsidRPr="00000000">
        <w:rPr>
          <w:rtl w:val="0"/>
        </w:rPr>
      </w:r>
    </w:p>
    <w:p w:rsidR="00000000" w:rsidDel="00000000" w:rsidP="00000000" w:rsidRDefault="00000000" w:rsidRPr="00000000" w14:paraId="00000010">
      <w:pPr>
        <w:spacing w:after="0" w:line="240" w:lineRule="auto"/>
        <w:ind w:left="720" w:firstLine="0"/>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En relación a la actividad laboral, tenemos que se mantuvo en el periodo Covid en franco deterioro. Entre el 2014 y el 2017 la manera de aumentar el ingreso del hogar fue la incorporación de más integrantes del hogar en la actividad económica (jóvenes que abandonan sus estudios, mujeres que pasaban de las labores domésticas al desempeño de trabajos y personas de la 3era edad que nuevamente se reinsertan al trabajo remunerado). A partir de 2018 la proporción de población económicamente inactiva (PEI) comienza a crecer por la reducción de la oferta de empleo y la destrucción de oportunidades económicas (un alto número de pequeños y medianos emprendimientos y empresas tuvieron que cerrar). Entre 2014 y 2021 se ha reducido el empleo formal 21.8 puntos porcentuales (4.4. MM de empleos han desaparecido). De ellos el 70% son del sector público y 30% del privado. Para el 2021, sólo el 40% de los puestos de trabajo están ocupados formalmente. Convirtiendo esos puestos de trabajos ocupados formalmente en un 100%, tenemos que solo el 32% están ocupados por mujeres y el 80% de ellas se encuentran en empleos precarizados (docentes, enfermeras, secretarias, asistentes). La precarización laboral de la mujer se expresa en el limitado acceso al trabajo en general y más aún al limitado acceso al trabajo gerencial y bien remunerado. </w:t>
      </w:r>
      <w:r w:rsidDel="00000000" w:rsidR="00000000" w:rsidRPr="00000000">
        <w:rPr>
          <w:rtl w:val="0"/>
        </w:rPr>
      </w:r>
    </w:p>
    <w:p w:rsidR="00000000" w:rsidDel="00000000" w:rsidP="00000000" w:rsidRDefault="00000000" w:rsidRPr="00000000" w14:paraId="00000011">
      <w:pPr>
        <w:numPr>
          <w:ilvl w:val="0"/>
          <w:numId w:val="4"/>
        </w:numP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Con respecto a la atención en salud, incluyendo la salud sexual y reproductiva (SSR), tenemos que en la época Covid-19, por las medidas de confinamiento que disminuyó la exposición a riesgos relacionados con la salud y por la concentración de los recursos y del personal de salud en la atención de esta pandemia, se generó una disminución de reportes de problemas de salud en otras áreas; por otra parte, se volvió bastante más común no buscar atención médica sino la automedicación y los remedios caseros. En lo que respecta a la SSR tenemos avances en materias de planes y normas, tales como la Norma Oficial de de SSR (2013), el 1° Plan Nacional para la Protección de Derechos Sexuales y Derechos Reproductivos de las Mujeres 2014-2019 y más recientemente, el Plan de Parto Humanizado. Los que constituyen un marco normativo favorable, pero se mantiene la brecha no superada entre las normas y su aplicación, expresada en la ausencia o deficiencia en el funcionamiento de programas y servicios que imposibilita el ejercicio de derechos declarados en los textos de las referidas normas y planes. Por otra parte, los planes duran activos el tiempo que dura la gestión que los diseñó, la discontinuidad de las políticas ha sido una mala práctica no superada. Podemos detenernos en la experiencia más reciente, el Plan Parto Humanizado contó en sus época inicial de gran expansión territorial y asentado dentro de las comunidades de un batallón de promotoras que contaron con formación y materiales divulgativos, quienes preparaba a las embarazadas, sin embargo, cuando las embarazadas llegaban a las salas de partos y lo quirófanos, se encontraban con una muralla, el personal médico gineco-obstétrico no está preparado y se resiste al parto humanizado, manteniendo prácticas tradicionales como el parto horizontal y la práctica, muchas veces innecesarias, de fórceps y cesáreas, por razones formativas o económicas. En la actualidad están siendo cerrados los locales en los que se preparaban a las mujeres en parto humanizado. Por otro lado, no tenemos una política de prevención ni de atención primaria de las infecciones de trasmisión sexual. Solo existen atención en las unidades sanitarias a las mujeres que practican la prostitución, servicio que está centrado en garantizar a los clientes que las mujeres no lo van a infectar. El otro servicio se brinda en los hospitales cuando llegan ya con infecciones avanzadas.</w:t>
      </w:r>
    </w:p>
    <w:p w:rsidR="00000000" w:rsidDel="00000000" w:rsidP="00000000" w:rsidRDefault="00000000" w:rsidRPr="00000000" w14:paraId="00000012">
      <w:pPr>
        <w:numPr>
          <w:ilvl w:val="0"/>
          <w:numId w:val="4"/>
        </w:numPr>
        <w:spacing w:after="0" w:line="240" w:lineRule="auto"/>
        <w:ind w:left="72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En materia de prevención de embarazos adolescentes, la OPS nos ubica como el 1° país de la región con mayor número de embarazos a temprana edad. A los 19 años más de una quinta parte de las muchachas ya se han convertido en madres y solo el 8% pueden conciliar la maternidad y los estudios. Una década atrás esas posibilidades llegaban al 28%. </w:t>
      </w:r>
      <w:r w:rsidDel="00000000" w:rsidR="00000000" w:rsidRPr="00000000">
        <w:rPr>
          <w:rFonts w:ascii="Calibri" w:cs="Calibri" w:eastAsia="Calibri" w:hAnsi="Calibri"/>
          <w:color w:val="000000"/>
          <w:sz w:val="21"/>
          <w:szCs w:val="21"/>
          <w:highlight w:val="white"/>
          <w:rtl w:val="0"/>
        </w:rPr>
        <w:t xml:space="preserve"> </w:t>
      </w:r>
      <w:r w:rsidDel="00000000" w:rsidR="00000000" w:rsidRPr="00000000">
        <w:rPr>
          <w:rtl w:val="0"/>
        </w:rPr>
      </w:r>
    </w:p>
    <w:p w:rsidR="00000000" w:rsidDel="00000000" w:rsidP="00000000" w:rsidRDefault="00000000" w:rsidRPr="00000000" w14:paraId="00000013">
      <w:pPr>
        <w:spacing w:after="0" w:line="240" w:lineRule="auto"/>
        <w:ind w:left="720" w:firstLine="0"/>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1"/>
          <w:szCs w:val="21"/>
          <w:highlight w:val="white"/>
          <w:rtl w:val="0"/>
        </w:rPr>
        <w:t xml:space="preserve">Además, de acuerdo a un trabajo de campo realizado por nuestra Asociación Civil junto a aliadas en las zonas rurales de El Callao, Apure y Amazonas, los partos de mujeres menores de 19 años representan el 45 al 50% de los partos en los territorios mencionados. Mientras que, en Caracas, AVESA indica, a través de una investigación realizada </w:t>
      </w:r>
      <w:r w:rsidDel="00000000" w:rsidR="00000000" w:rsidRPr="00000000">
        <w:rPr>
          <w:rFonts w:ascii="Calibri" w:cs="Calibri" w:eastAsia="Calibri" w:hAnsi="Calibri"/>
          <w:color w:val="000000"/>
          <w:rtl w:val="0"/>
        </w:rPr>
        <w:t xml:space="preserve">en el 2018, en tres maternidades (hospitales centinelas, tipo IV) de la Región Capital</w:t>
      </w:r>
      <w:r w:rsidDel="00000000" w:rsidR="00000000" w:rsidRPr="00000000">
        <w:rPr>
          <w:rFonts w:ascii="Calibri" w:cs="Calibri" w:eastAsia="Calibri" w:hAnsi="Calibri"/>
          <w:color w:val="000000"/>
          <w:sz w:val="21"/>
          <w:szCs w:val="21"/>
          <w:highlight w:val="white"/>
          <w:rtl w:val="0"/>
        </w:rPr>
        <w:t xml:space="preserve"> que las cifras de partos de embarazo temprano están entre el 23 al 27%; lo cual también nos devela la desigualdad social entre el centro del país en relación a los estados periféricos y fronterizos. </w:t>
      </w:r>
      <w:r w:rsidDel="00000000" w:rsidR="00000000" w:rsidRPr="00000000">
        <w:rPr>
          <w:rtl w:val="0"/>
        </w:rPr>
      </w:r>
    </w:p>
    <w:p w:rsidR="00000000" w:rsidDel="00000000" w:rsidP="00000000" w:rsidRDefault="00000000" w:rsidRPr="00000000" w14:paraId="00000014">
      <w:pPr>
        <w:spacing w:after="0" w:line="240" w:lineRule="auto"/>
        <w:ind w:left="720" w:firstLine="0"/>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Por parte del Estado venezolano, en febrero de 2019, se conformó la Mesa Técnica Intersectorial de Prevención del Embarazo a Temprana Edad y Adolescencia, responsable de diseñar el Plan Nacional de Prevención y Reducción del Embarazo a Temprana Edad y en la Adolescencia (PRETA). Ni el plan ni su implementación son de dominio público.</w:t>
      </w:r>
      <w:r w:rsidDel="00000000" w:rsidR="00000000" w:rsidRPr="00000000">
        <w:rPr>
          <w:rtl w:val="0"/>
        </w:rPr>
      </w:r>
    </w:p>
    <w:p w:rsidR="00000000" w:rsidDel="00000000" w:rsidP="00000000" w:rsidRDefault="00000000" w:rsidRPr="00000000" w14:paraId="00000015">
      <w:pPr>
        <w:spacing w:after="0" w:line="240" w:lineRule="auto"/>
        <w:ind w:left="720" w:firstLine="0"/>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En fin, lo que se ha hecho, en general, en materia de SSR y de DSR en Venezuela ha estado focalizado en los procesos de embarazo, parto, puerperio, fundamentalmente. Los aspectos relacionados con la sexualidad, quedaron reducidos a la fecundidad y en la maternidad, sus enfermedades y complicaciones, excluyéndose por completo la dimensión erótico afectiva y los factores emocionales y subjetivos que en ello intervienen.</w:t>
      </w:r>
      <w:r w:rsidDel="00000000" w:rsidR="00000000" w:rsidRPr="00000000">
        <w:rPr>
          <w:rtl w:val="0"/>
        </w:rPr>
      </w:r>
    </w:p>
    <w:p w:rsidR="00000000" w:rsidDel="00000000" w:rsidP="00000000" w:rsidRDefault="00000000" w:rsidRPr="00000000" w14:paraId="00000016">
      <w:pPr>
        <w:numPr>
          <w:ilvl w:val="0"/>
          <w:numId w:val="5"/>
        </w:numPr>
        <w:spacing w:after="0" w:line="240" w:lineRule="auto"/>
        <w:ind w:left="720" w:hanging="360"/>
        <w:jc w:val="both"/>
        <w:rPr>
          <w:rFonts w:ascii="Arial" w:cs="Arial" w:eastAsia="Arial" w:hAnsi="Arial"/>
          <w:color w:val="000000"/>
        </w:rPr>
      </w:pPr>
      <w:r w:rsidDel="00000000" w:rsidR="00000000" w:rsidRPr="00000000">
        <w:rPr>
          <w:rFonts w:ascii="Calibri" w:cs="Calibri" w:eastAsia="Calibri" w:hAnsi="Calibri"/>
          <w:color w:val="000000"/>
          <w:rtl w:val="0"/>
        </w:rPr>
        <w:t xml:space="preserve">En materia de la </w:t>
      </w:r>
      <w:r w:rsidDel="00000000" w:rsidR="00000000" w:rsidRPr="00000000">
        <w:rPr>
          <w:rFonts w:ascii="Calibri" w:cs="Calibri" w:eastAsia="Calibri" w:hAnsi="Calibri"/>
          <w:b w:val="1"/>
          <w:color w:val="000000"/>
          <w:rtl w:val="0"/>
        </w:rPr>
        <w:t xml:space="preserve">autonomía sexual y reproductiva, sigue manteniéndose vigente la penalización del aborto en el Código Penal</w:t>
      </w:r>
      <w:r w:rsidDel="00000000" w:rsidR="00000000" w:rsidRPr="00000000">
        <w:rPr>
          <w:rFonts w:ascii="Calibri" w:cs="Calibri" w:eastAsia="Calibri" w:hAnsi="Calibri"/>
          <w:color w:val="000000"/>
          <w:rtl w:val="0"/>
        </w:rPr>
        <w:t xml:space="preserve">, como una forma de discriminación contra las mujeres, niñas, adolescentes y personas gestantes, negándoles, en consecuencia, el ejercicio de su derecho humano a la libre determinación sobre su cuerpo. A pesar de que en Venezuela la norma jurídica establece el aborto cuando está en peligro la vida de la madre, no hay viabilidad real de implementación de esta media causal (calificamos de media causal porque no incorpora causas relacionadas con la salud física y mental) porque al no tener protocolo, la especialidad médica responsables de determinan el peligro de muerte de la mujer, de dar el aval de la interrupción del embarazo y de ejecutar el aborto, evade esas responsabilidades. Resaltamos que la penalización del aborto no sólo vulnera la salud sexual y reproductiva de las mujeres, niñas, adolescentes y personas gestantes, también viola el derecho a la intimidad, a la privacidad, a la integridad personal y al libre desenvolvimiento de la personalidad. Existe una relación inequívoca entre la criminalización del aborto con las altas tasas de mortalidad materna. En nuestro país, la tercera causa de mortalidad materna es por abortos inseguros (9%) (MPPS 2009). Según una investigación de AVESA, en la investigación </w:t>
      </w:r>
      <w:r w:rsidDel="00000000" w:rsidR="00000000" w:rsidRPr="00000000">
        <w:rPr>
          <w:rFonts w:ascii="Calibri" w:cs="Calibri" w:eastAsia="Calibri" w:hAnsi="Calibri"/>
          <w:color w:val="000000"/>
          <w:sz w:val="21"/>
          <w:szCs w:val="21"/>
          <w:highlight w:val="white"/>
          <w:rtl w:val="0"/>
        </w:rPr>
        <w:t xml:space="preserve">antes señalada que,</w:t>
      </w:r>
      <w:r w:rsidDel="00000000" w:rsidR="00000000" w:rsidRPr="00000000">
        <w:rPr>
          <w:rFonts w:ascii="Calibri" w:cs="Calibri" w:eastAsia="Calibri" w:hAnsi="Calibri"/>
          <w:color w:val="000000"/>
          <w:rtl w:val="0"/>
        </w:rPr>
        <w:t xml:space="preserve"> por cada cuatro partos, se atendió un aborto. En esos tres hospitales se llevaron a cabo 340 abortos; de los cuales, 336 fueron identificados como espontáneos y sólo 4 inducidos, es decir, un promedio de 10 a 11 abortos diarios. En resumen, el aborto es una realidad cotidiana en la vida de las mujeres, que no son sujetas plenas de derecho al no poder decidir sobre sus cuerpos. Por lo tanto, este marco de criminalización y clandestinidad de la interrupción del embarazo, tiene como consecuencia discriminaciones significativamente mayores sobre las vidas, cuerpos y salud de las mujeres, niñas, adolescentes y personas gestantes racializadas o provenientes de los sectores populares. </w:t>
      </w:r>
      <w:r w:rsidDel="00000000" w:rsidR="00000000" w:rsidRPr="00000000">
        <w:rPr>
          <w:rtl w:val="0"/>
        </w:rPr>
      </w:r>
    </w:p>
    <w:p w:rsidR="00000000" w:rsidDel="00000000" w:rsidP="00000000" w:rsidRDefault="00000000" w:rsidRPr="00000000" w14:paraId="00000017">
      <w:pPr>
        <w:spacing w:after="0" w:line="240" w:lineRule="auto"/>
        <w:ind w:left="720" w:firstLine="0"/>
        <w:jc w:val="both"/>
        <w:rPr>
          <w:rFonts w:ascii="Arial" w:cs="Arial" w:eastAsia="Arial" w:hAnsi="Arial"/>
          <w:color w:val="000000"/>
        </w:rPr>
      </w:pPr>
      <w:r w:rsidDel="00000000" w:rsidR="00000000" w:rsidRPr="00000000">
        <w:rPr>
          <w:rFonts w:ascii="Calibri" w:cs="Calibri" w:eastAsia="Calibri" w:hAnsi="Calibri"/>
          <w:color w:val="000000"/>
          <w:rtl w:val="0"/>
        </w:rPr>
        <w:t xml:space="preserve">En el 2018, la organización Feministas en Acción Libre y Directa por la Autonomía Sexual y Reproductiva (FALDAS R) introdujo, en el Tribunal Supremo de Justicia, la causa 2018-0799 que expone la nulidad constitucional de los artículos 430, 431, 433 y 434 del Código Penal Venezolano. Luego, en el 2019, Tinta Violeta se adhiere a esta petición, solicitando, además, la despenalización por cinco causales más (1. Salud física y mental; 2. Violación; 3. Malformación congénita del embrión; 4. Embarazo en la adolescencia; 5. Razones socioeconómicas de la gestante). Ya han transcurrido más de 4 años sin admisión y revisión de la causa 0799, por parte de la Sala Constitucional del Tribunal Supremo de Justicia. </w:t>
      </w:r>
      <w:r w:rsidDel="00000000" w:rsidR="00000000" w:rsidRPr="00000000">
        <w:rPr>
          <w:rtl w:val="0"/>
        </w:rPr>
      </w:r>
    </w:p>
    <w:p w:rsidR="00000000" w:rsidDel="00000000" w:rsidP="00000000" w:rsidRDefault="00000000" w:rsidRPr="00000000" w14:paraId="00000018">
      <w:pPr>
        <w:spacing w:after="0" w:line="240" w:lineRule="auto"/>
        <w:ind w:left="720" w:firstLine="0"/>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En el 2021, organizaciones feministas y sociales nos agrupamos en la “Ruta Verde”, campaña y plataforma por la despenalización legal y social del aborto. Marchando en Caracas, por primera vez en la historia, el 28 de septiembre de 2021, Día de Acción Global por el Aborto Legal y Seguro. Ese día, representantes de esta naciente campaña entregaron el comunicado “Criminalización del aborto: problema de salud pública y de derechos humanos”, firmado por más de 60 organizaciones, en el que solicitamos la derogación de los artículos mencionados e incorporar al debate de la Asamblea Nacional los temas de la despenalización del aborto, salud sexual y salud reproductiva. El documento fue recibido por la Comisión Permanente de Desarrollo Social Integral y la Comisión de Familias, Libertad de Cultos y Religiones. Luego, en octubre de 2021 se presentó ante la primer Comisión nombrada, el Proyecto de Ley Orgánica sobre Derechos Sexuales y Derechos Reproductivos, desarrollado por diversas organizaciones que integran la campaña y plataforma Ruta Verde. Hubo dos reuniones para la discusión de esta propuesta legislativa en la Subcomisión Protección Social, Sistema de Misiones y Grandes Misiones, sin embargo, hasta la fecha no se han realizado más encuentros entre las organizaciones feministas y representantes del Órgano Legislativo. Actualmente, desde la campaña y plataforma Ruta Verde, de acuerdo a lo establecido en los artículos 204.7 y 205 de la Constitución, estamos en campaña de recolección de más de 21 mil firmas de electoras y electores del padrón electoral que respalden esta propuesta de ley para introducida, por iniciativa popular, en la AN.</w:t>
      </w:r>
      <w:r w:rsidDel="00000000" w:rsidR="00000000" w:rsidRPr="00000000">
        <w:rPr>
          <w:rtl w:val="0"/>
        </w:rPr>
      </w:r>
    </w:p>
    <w:p w:rsidR="00000000" w:rsidDel="00000000" w:rsidP="00000000" w:rsidRDefault="00000000" w:rsidRPr="00000000" w14:paraId="00000019">
      <w:pPr>
        <w:numPr>
          <w:ilvl w:val="0"/>
          <w:numId w:val="1"/>
        </w:numPr>
        <w:spacing w:line="240" w:lineRule="auto"/>
        <w:ind w:left="720"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Con relación a los centros de acogida a mujeres en alto riesgo sobre su integridad física por violencia de género el desarrollo ha sido el mismo, a saber, en el 2000 se diseñan los lineamientos que las conceptualizan, define sus objetivos, los servicios que presta, entre otros aspectos y se crean las 2 primeras casas que funcionaron apegadas a sus lineamientos hasta el 2002, momento en que empiezan a negarles recursos, sobreviviendo, semi cerrada, una de las casas. En el 2014 llega una nueva gerencia que revitaliza ese servicio, creando 6 casas más en distintos estados del País y actualizando sus lineamientos. En la actualidad las que quedan están en adecuación. Nuestra Asociación Civil, en la actualidad, tiene, a nivel nacional, abiertas 4 casas de paso para sobrevivientes de VbG y víctimas de trata de personas. Parte del testimonio de una ex usuaria de una de nuestra casa de paso nos ilustra cómo estaba funcionando, para el 2022, una de las casas de abrigo administrada por el Gobierno Nacional</w:t>
      </w:r>
    </w:p>
    <w:p w:rsidR="00000000" w:rsidDel="00000000" w:rsidP="00000000" w:rsidRDefault="00000000" w:rsidRPr="00000000" w14:paraId="0000001A">
      <w:pPr>
        <w:spacing w:line="240" w:lineRule="auto"/>
        <w:ind w:left="1000" w:right="420" w:firstLine="0"/>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“Yo llegue a la casa de paso, procedente de una casa de abrigo, por sufrir violencia basada en género. El agresor fue, para ese momento, mi pareja y padre de mi hija.  Me mantuvo en privación ilegítima de libertad, ejerció violencia sexual y violencia psicológica.</w:t>
      </w:r>
      <w:r w:rsidDel="00000000" w:rsidR="00000000" w:rsidRPr="00000000">
        <w:rPr>
          <w:rtl w:val="0"/>
        </w:rPr>
      </w:r>
    </w:p>
    <w:p w:rsidR="00000000" w:rsidDel="00000000" w:rsidP="00000000" w:rsidRDefault="00000000" w:rsidRPr="00000000" w14:paraId="0000001B">
      <w:pPr>
        <w:spacing w:line="240" w:lineRule="auto"/>
        <w:ind w:left="1000" w:right="420" w:firstLine="0"/>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Gracias a la Embajada Colombiana, ya que por ser ciudadana colombiana, me ayudaron; estableciendo enlaces con funcionarios venezolanos, quienes me rescataron de mi residencia-prisión, me abrigaron y comenzaron el proceso legal en la zona del país donde vivía(...) Seguidamente me enviaron a Caracas, venía con la ilusión que me transmitieron  de que en la casa  de abrigo gubernamental, me iba ayudar con la obtención de mis documentos civiles y legales para poder irme donde mi familia que está fuera del país, pero desgraciadamente no fue así. Me abrigaron, pero nunca me ayudaron con la documentación y lo que ocurrió fue que fui revictimiza</w:t>
      </w:r>
      <w:r w:rsidDel="00000000" w:rsidR="00000000" w:rsidRPr="00000000">
        <w:rPr>
          <w:rtl w:val="0"/>
        </w:rPr>
        <w:t xml:space="preserve">da</w:t>
      </w:r>
      <w:r w:rsidDel="00000000" w:rsidR="00000000" w:rsidRPr="00000000">
        <w:rPr>
          <w:rFonts w:ascii="Calibri" w:cs="Calibri" w:eastAsia="Calibri" w:hAnsi="Calibri"/>
          <w:color w:val="000000"/>
          <w:rtl w:val="0"/>
        </w:rPr>
        <w:t xml:space="preserve"> por los trabajadores hombres (vigilantes) que me acosaban, por lo que creo que recibí violencia institucional”. </w:t>
      </w:r>
      <w:r w:rsidDel="00000000" w:rsidR="00000000" w:rsidRPr="00000000">
        <w:rPr>
          <w:rtl w:val="0"/>
        </w:rPr>
      </w:r>
    </w:p>
    <w:p w:rsidR="00000000" w:rsidDel="00000000" w:rsidP="00000000" w:rsidRDefault="00000000" w:rsidRPr="00000000" w14:paraId="0000001C">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spacing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b w:val="1"/>
          <w:color w:val="000000"/>
          <w:rtl w:val="0"/>
        </w:rPr>
        <w:t xml:space="preserve">Marco legislativo y definición de discriminación </w:t>
      </w:r>
      <w:r w:rsidDel="00000000" w:rsidR="00000000" w:rsidRPr="00000000">
        <w:rPr>
          <w:rtl w:val="0"/>
        </w:rPr>
      </w:r>
    </w:p>
    <w:p w:rsidR="00000000" w:rsidDel="00000000" w:rsidP="00000000" w:rsidRDefault="00000000" w:rsidRPr="00000000" w14:paraId="0000001E">
      <w:pPr>
        <w:spacing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En relación al aparte 5. referido al </w:t>
      </w:r>
      <w:r w:rsidDel="00000000" w:rsidR="00000000" w:rsidRPr="00000000">
        <w:rPr>
          <w:rFonts w:ascii="Calibri" w:cs="Calibri" w:eastAsia="Calibri" w:hAnsi="Calibri"/>
          <w:b w:val="1"/>
          <w:color w:val="000000"/>
          <w:rtl w:val="0"/>
        </w:rPr>
        <w:t xml:space="preserve">cumplimiento por parte del Estado Venezolano de los artículos 1 y 2 de la Convención, así como lo establecido en la meta 5.1 de los Objetivos del Desarrollo Sostenible</w:t>
      </w:r>
      <w:r w:rsidDel="00000000" w:rsidR="00000000" w:rsidRPr="00000000">
        <w:rPr>
          <w:rFonts w:ascii="Calibri" w:cs="Calibri" w:eastAsia="Calibri" w:hAnsi="Calibri"/>
          <w:color w:val="000000"/>
          <w:rtl w:val="0"/>
        </w:rPr>
        <w:t xml:space="preserve">, se señala lo siguiente: </w:t>
      </w:r>
      <w:r w:rsidDel="00000000" w:rsidR="00000000" w:rsidRPr="00000000">
        <w:rPr>
          <w:rtl w:val="0"/>
        </w:rPr>
      </w:r>
    </w:p>
    <w:p w:rsidR="00000000" w:rsidDel="00000000" w:rsidP="00000000" w:rsidRDefault="00000000" w:rsidRPr="00000000" w14:paraId="0000001F">
      <w:pPr>
        <w:numPr>
          <w:ilvl w:val="0"/>
          <w:numId w:val="2"/>
        </w:numPr>
        <w:spacing w:after="0" w:line="240" w:lineRule="auto"/>
        <w:ind w:left="0" w:firstLine="0"/>
        <w:jc w:val="both"/>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Medidas que se han tomado para que la discriminación se entienda de manera amplia, de modo que se proteja a las mujeres de la discriminación directa e indirecta, incluidas sus formas interseccionales, en las esferas pública y privada.</w:t>
      </w:r>
      <w:r w:rsidDel="00000000" w:rsidR="00000000" w:rsidRPr="00000000">
        <w:rPr>
          <w:rFonts w:ascii="Calibri" w:cs="Calibri" w:eastAsia="Calibri" w:hAnsi="Calibri"/>
          <w:color w:val="000000"/>
          <w:rtl w:val="0"/>
        </w:rPr>
        <w:t xml:space="preserve"> En los últimos años, no se han llevado a cabo en Venezuela, medidas sistemáticas y efectivas para que se entiendan las diversas formas de discriminación contra las mujeres y las niñas, no podemos negar la Agenda de la mujer 2025. enfocada en la defensa de los derechos humanos de este sector de la sociedad. También ha habido esfuerzos específicos por parte del Ministerio de la Mujer e Igualdad de Género y la Defensoría del Pueblo con el apoyo del Fondo de Población de las Naciones Unidas en Venezuela para difundir materiales sobre violencia contra la mujer, por ejemplo, la distribución de violentómetros (herramienta para medir las escalas de la violencia). Sin embargo, no está masificada en todo el territorio nacional.</w:t>
      </w:r>
    </w:p>
    <w:p w:rsidR="00000000" w:rsidDel="00000000" w:rsidP="00000000" w:rsidRDefault="00000000" w:rsidRPr="00000000" w14:paraId="00000020">
      <w:pPr>
        <w:spacing w:after="0" w:line="240" w:lineRule="auto"/>
        <w:jc w:val="both"/>
        <w:rPr/>
      </w:pPr>
      <w:r w:rsidDel="00000000" w:rsidR="00000000" w:rsidRPr="00000000">
        <w:rPr>
          <w:rtl w:val="0"/>
        </w:rPr>
      </w:r>
    </w:p>
    <w:p w:rsidR="00000000" w:rsidDel="00000000" w:rsidP="00000000" w:rsidRDefault="00000000" w:rsidRPr="00000000" w14:paraId="00000021">
      <w:pPr>
        <w:spacing w:line="240" w:lineRule="auto"/>
        <w:jc w:val="both"/>
        <w:rPr>
          <w:b w:val="1"/>
        </w:rPr>
      </w:pPr>
      <w:r w:rsidDel="00000000" w:rsidR="00000000" w:rsidRPr="00000000">
        <w:rPr>
          <w:rtl w:val="0"/>
        </w:rPr>
        <w:t xml:space="preserve">En cuanto a esto, a mediados de marzo de 2023, la diputada de la Asamblea Nacional, María León junto a representantes del estado Aragua y del municipio Girardot realizaron el lanzamiento de la Estrategia Comunicacional Pedagógica para la Erradicación del Machismo. Según León, esta estrategia tiene como objetivo realizar sensibilizaciones y formaciones en escuelas, comunidades, universidades y empresas, para transmitir un mensaje descolonizador y antimachista. Girardot es el municipio piloto de la estrategia, sin embargo, afirmó que llegará a cada estado para hacer de “Venezuela un territorio libre de machismo”. No obstante, no es de conocimiento público dicha estrategia y aún no tiene un alcance nacional.</w:t>
      </w:r>
      <w:r w:rsidDel="00000000" w:rsidR="00000000" w:rsidRPr="00000000">
        <w:rPr>
          <w:rtl w:val="0"/>
        </w:rPr>
      </w:r>
    </w:p>
    <w:p w:rsidR="00000000" w:rsidDel="00000000" w:rsidP="00000000" w:rsidRDefault="00000000" w:rsidRPr="00000000" w14:paraId="00000022">
      <w:pPr>
        <w:spacing w:line="240" w:lineRule="auto"/>
        <w:jc w:val="both"/>
        <w:rPr>
          <w:rFonts w:ascii="Times New Roman" w:cs="Times New Roman" w:eastAsia="Times New Roman" w:hAnsi="Times New Roman"/>
          <w:sz w:val="24"/>
          <w:szCs w:val="24"/>
        </w:rPr>
      </w:pPr>
      <w:r w:rsidDel="00000000" w:rsidR="00000000" w:rsidRPr="00000000">
        <w:rPr>
          <w:b w:val="1"/>
          <w:rtl w:val="0"/>
        </w:rPr>
        <w:t xml:space="preserve">E</w:t>
      </w:r>
      <w:r w:rsidDel="00000000" w:rsidR="00000000" w:rsidRPr="00000000">
        <w:rPr>
          <w:rFonts w:ascii="Calibri" w:cs="Calibri" w:eastAsia="Calibri" w:hAnsi="Calibri"/>
          <w:b w:val="1"/>
          <w:color w:val="000000"/>
          <w:rtl w:val="0"/>
        </w:rPr>
        <w:t xml:space="preserve">n miras de fomentar la erradicación del sexismo,</w:t>
      </w:r>
      <w:r w:rsidDel="00000000" w:rsidR="00000000" w:rsidRPr="00000000">
        <w:rPr>
          <w:rFonts w:ascii="Calibri" w:cs="Calibri" w:eastAsia="Calibri" w:hAnsi="Calibri"/>
          <w:color w:val="000000"/>
          <w:rtl w:val="0"/>
        </w:rPr>
        <w:t xml:space="preserve"> el Estado venezolano, el 7 de octubre de 2021, aprobó la Ley para la Promoción y Uso del Lenguaje con Enfoque de Género, que tiene como objetivo promover y garantizar el uso del lenguaje de género, inclusivo y no sexista en el sistema educativo, en toda la institucionalidad del Estado, en los procesos judiciales y administrativos, así como en los medios de comunicación social. Precisamente, el artículo 8 de esta Ley establece que Ministerio del Poder Popular para la Comunicación e Información conjuntamente con el Ministerio del Poder Popular para la Mujer y la Igualdad de Género (Ministerio de la Mujer) desarrollarán programas de difusión y formación a comunicadoras y comunicadores para favorecer el uso de este lenguaje. Además, el Ministerio de la Mujer desarrollará acciones, coordinadas con el Tribunal Supremo de Justicia, el Ministerio Público, la Defensoría del Pueblo, la Contraloría General de la República, el Consejo Nacional Electoral y el Servicio Autónomo de la Defensa Pública para garantizar el uso del lenguaje con enfoque de género, inclusivo y no sexista en los actos y actuaciones del Estado (art. 9), para lo cual generarán guías programáticas y manuales de estilo. Sin embargo, de existir tales guías o manuales no son de conocimiento público y como lo advertimos a lo largo de este informe, no existen avances en torno a la aplicación de esta Ley; no hay campañas informativas sobre este instrumento y tampoco sobre programas que fomenten el lenguaje inclusivo, de género y no sexista. Es decir, nuevamente estamos frente a una discordancia entre la norma legal y la implementación de la misma. </w:t>
      </w:r>
      <w:r w:rsidDel="00000000" w:rsidR="00000000" w:rsidRPr="00000000">
        <w:rPr>
          <w:rtl w:val="0"/>
        </w:rPr>
      </w:r>
    </w:p>
    <w:p w:rsidR="00000000" w:rsidDel="00000000" w:rsidP="00000000" w:rsidRDefault="00000000" w:rsidRPr="00000000" w14:paraId="00000023">
      <w:pPr>
        <w:spacing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Otra medida legislativa contra las formas interseccionales de discriminación hacia las mujeres, niñas y adolescentes,</w:t>
      </w:r>
      <w:r w:rsidDel="00000000" w:rsidR="00000000" w:rsidRPr="00000000">
        <w:rPr>
          <w:rFonts w:ascii="Calibri" w:cs="Calibri" w:eastAsia="Calibri" w:hAnsi="Calibri"/>
          <w:b w:val="1"/>
          <w:color w:val="000000"/>
          <w:rtl w:val="0"/>
        </w:rPr>
        <w:t xml:space="preserve"> </w:t>
      </w:r>
      <w:r w:rsidDel="00000000" w:rsidR="00000000" w:rsidRPr="00000000">
        <w:rPr>
          <w:rFonts w:ascii="Calibri" w:cs="Calibri" w:eastAsia="Calibri" w:hAnsi="Calibri"/>
          <w:color w:val="000000"/>
          <w:rtl w:val="0"/>
        </w:rPr>
        <w:t xml:space="preserve">la tenemos en la Ley de reforma de la LODMVLV al incorporar, en su art. 4, los enfoques intercultural, generacional e interseccionalidad. Asimismo, en el numeral 2 de Garantías (art. 6) al establecer la responsabilidad del Ministerio de la Mujer, a través de INAMUJER junto a los institutos regionales y municipales, garantizar el acceso a la información, mediante formatos accesibles y comprensibles, a las mujeres en situación de vulnerabilidad, en el idioma castellano, idiomas indígenas, lenguaje de señas venezolano y otras modalidades de comunicación. También, esta reforma reconoce la expresión de violencia multicausal, la violencia ginecológica y la violencia política. A pesar de esta ampliación de los enfoques de esta Ley, así como, de las expresiones y delitos de violencias basadas en género, esta normativa orgánica, promulgada en 2007 y con dos reformas, aún no cuenta con reglamento específico para su implementación. </w:t>
      </w:r>
      <w:r w:rsidDel="00000000" w:rsidR="00000000" w:rsidRPr="00000000">
        <w:rPr>
          <w:rtl w:val="0"/>
        </w:rPr>
      </w:r>
    </w:p>
    <w:p w:rsidR="00000000" w:rsidDel="00000000" w:rsidP="00000000" w:rsidRDefault="00000000" w:rsidRPr="00000000" w14:paraId="00000024">
      <w:pPr>
        <w:spacing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b w:val="1"/>
          <w:color w:val="000000"/>
          <w:rtl w:val="0"/>
        </w:rPr>
        <w:t xml:space="preserve">c) Recursos legales y reparaciones a disposición de las mujeres que son objeto de cualquier forma de discriminación por motivos de género, en particular las mujeres pertenecientes a minorías étnicas o nacionales, las mujeres migrantes, refugiadas o solicitantes de asilo, las mujeres con discapacidad, las mujeres de edad y las mujeres y niñas que viven en zonas rurales; CEDAW/C/VEN/Q/9 22-10826 3/10 </w:t>
      </w:r>
      <w:r w:rsidDel="00000000" w:rsidR="00000000" w:rsidRPr="00000000">
        <w:rPr>
          <w:rtl w:val="0"/>
        </w:rPr>
      </w:r>
    </w:p>
    <w:p w:rsidR="00000000" w:rsidDel="00000000" w:rsidP="00000000" w:rsidRDefault="00000000" w:rsidRPr="00000000" w14:paraId="00000025">
      <w:pPr>
        <w:spacing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La LODMVLV estableció la indemnización por acoso sexual (art. 82) y, a pesar, que este instrumento ratifica la obligación del Estado de insertar o reinsertar a la mujer víctima de VbG en la sociedad, así como establece la protección de su dignidad, resguardo a su integridad física y psicológica, no se cuentan con programas que apunten a garantizar estos </w:t>
      </w:r>
      <w:r w:rsidDel="00000000" w:rsidR="00000000" w:rsidRPr="00000000">
        <w:rPr>
          <w:rFonts w:ascii="Calibri" w:cs="Calibri" w:eastAsia="Calibri" w:hAnsi="Calibri"/>
          <w:i w:val="1"/>
          <w:color w:val="000000"/>
          <w:rtl w:val="0"/>
        </w:rPr>
        <w:t xml:space="preserve">derechos protegidos</w:t>
      </w:r>
      <w:r w:rsidDel="00000000" w:rsidR="00000000" w:rsidRPr="00000000">
        <w:rPr>
          <w:rFonts w:ascii="Calibri" w:cs="Calibri" w:eastAsia="Calibri" w:hAnsi="Calibri"/>
          <w:color w:val="000000"/>
          <w:rtl w:val="0"/>
        </w:rPr>
        <w:t xml:space="preserve"> ni la reparación a las víctimas. </w:t>
      </w:r>
      <w:r w:rsidDel="00000000" w:rsidR="00000000" w:rsidRPr="00000000">
        <w:rPr>
          <w:rtl w:val="0"/>
        </w:rPr>
      </w:r>
    </w:p>
    <w:p w:rsidR="00000000" w:rsidDel="00000000" w:rsidP="00000000" w:rsidRDefault="00000000" w:rsidRPr="00000000" w14:paraId="00000026">
      <w:pPr>
        <w:spacing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A su vez, la Ley de reforma de la Ley Orgánica contra la Discriminación Racial (2021) incorporó en su artículo 10 que </w:t>
      </w:r>
      <w:r w:rsidDel="00000000" w:rsidR="00000000" w:rsidRPr="00000000">
        <w:rPr>
          <w:rFonts w:ascii="Calibri" w:cs="Calibri" w:eastAsia="Calibri" w:hAnsi="Calibri"/>
          <w:i w:val="1"/>
          <w:color w:val="000000"/>
          <w:rtl w:val="0"/>
        </w:rPr>
        <w:t xml:space="preserve">“La prevención, atención y erradicación de la discriminación racial debe desarrollarse en condiciones de igualdad y equidad de género…”</w:t>
      </w:r>
      <w:r w:rsidDel="00000000" w:rsidR="00000000" w:rsidRPr="00000000">
        <w:rPr>
          <w:rFonts w:ascii="Calibri" w:cs="Calibri" w:eastAsia="Calibri" w:hAnsi="Calibri"/>
          <w:color w:val="000000"/>
          <w:rtl w:val="0"/>
        </w:rPr>
        <w:t xml:space="preserve">. Esta Ley tampoco tiene reglamento ni campaña nacional que fomente la defensa de los derechos que garantiza ni la implementación de la misma. </w:t>
      </w:r>
      <w:r w:rsidDel="00000000" w:rsidR="00000000" w:rsidRPr="00000000">
        <w:rPr>
          <w:rtl w:val="0"/>
        </w:rPr>
      </w:r>
    </w:p>
    <w:p w:rsidR="00000000" w:rsidDel="00000000" w:rsidP="00000000" w:rsidRDefault="00000000" w:rsidRPr="00000000" w14:paraId="00000027">
      <w:pPr>
        <w:spacing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b w:val="1"/>
          <w:color w:val="000000"/>
          <w:rtl w:val="0"/>
        </w:rPr>
        <w:t xml:space="preserve">d) Medidas adoptadas para modificar el artículo 565 del Código Orgánico de Justicia Militar, que penaliza las relaciones consentidas entre personas del mismo sexo en las fuerzas armadas. </w:t>
      </w:r>
      <w:r w:rsidDel="00000000" w:rsidR="00000000" w:rsidRPr="00000000">
        <w:rPr>
          <w:rFonts w:ascii="Calibri" w:cs="Calibri" w:eastAsia="Calibri" w:hAnsi="Calibri"/>
          <w:color w:val="000000"/>
          <w:rtl w:val="0"/>
        </w:rPr>
        <w:t xml:space="preserve">A propósito de esto, gracias a la lucha de la comunidad LGBTIQ+ de Venezuela, el 17 de marzo de 2023, la Sala Constitucional del TSJ admitió la nulidad de la disposición contenida en el artículo 565 del Código Orgánico de Justicia Militar, porque carecía de suficiente claridad y precisión jurídica en lo que respecta a la conducta que pretendía sancionar a militares que cometieran “actos sexuales contra natura”. Sin duda alguna, esto es un avance en materia de derechos humanos para la comunidad sexo-género diversa, así como en acciones que apuntan a la despenalización de la homosexualidad u otros tipos de orientaciones sexuales. Sin embargo, en nuestro país no se reconoce el derecho al matrimonio igualitario, aunque desde el 2014, organizaciones defensoras de los derechos de la comunidad LGBTI+ y feministas insisten en el reconocimiento de este derecho. Durante ese año la ONG Venezuela Igualitaria presentó un proyecto de ley de matrimonio igualitario que todavía no ha sido discutido en la AN, a pesar de que, en el 2016, el TSJ aceptó la admisión de la nulidad del artículo 44 del Código Civil.</w:t>
      </w:r>
      <w:r w:rsidDel="00000000" w:rsidR="00000000" w:rsidRPr="00000000">
        <w:rPr>
          <w:rtl w:val="0"/>
        </w:rPr>
      </w:r>
    </w:p>
    <w:p w:rsidR="00000000" w:rsidDel="00000000" w:rsidP="00000000" w:rsidRDefault="00000000" w:rsidRPr="00000000" w14:paraId="00000028">
      <w:pPr>
        <w:spacing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b w:val="1"/>
          <w:color w:val="000000"/>
          <w:rtl w:val="0"/>
        </w:rPr>
        <w:t xml:space="preserve">e) Medidas adoptadas para aplicar el artículo 146 sobre el cambio de nombre de la Ley Orgánica de Registro Civil. </w:t>
      </w:r>
      <w:r w:rsidDel="00000000" w:rsidR="00000000" w:rsidRPr="00000000">
        <w:rPr>
          <w:rFonts w:ascii="Calibri" w:cs="Calibri" w:eastAsia="Calibri" w:hAnsi="Calibri"/>
          <w:color w:val="000000"/>
          <w:rtl w:val="0"/>
        </w:rPr>
        <w:t xml:space="preserve">Sobre este aspecto, desde diciembre de 2022 integrantes del movimiento LGBTIQ+ en el país realizaron manifestaciones frente a la Defensoría del Pueblo y la Asamblea Nacional para la puesta en práctica del artículo 146 de la Ley Orgánica de Registro Civil (LORC), el cual permite el cambio de nombre en el documento de identidad. A finales de marzo de este año, integrantes de la comunidad sexo-género diversa fueron atendidas por representantes de la Comisión Permanente de Desarrollo Social Integral y la Comisión Permanente de Familias, Libertad de Cultos y Religiones, con motivo de empezar las labores en torno a un protocolo para la aplicación del artículo 146, anunciando que 15 personas mayores de edad de la comunidad LGBTIQ+ serían las primeras en hacer el cambio de nombre. Sin embargo, hasta la fecha no hay avances en la construcción de este protocolo y aún estos ciudadanos y ciudadanas no cuentan con este derecho, por lo que las organizaciones impulsoras de los derechos humanos de las personas lgbtiq+ siguen realizando manifestaciones en Caracas frente a la AN, el Consejo Nacional Electoral (CNE) y el Servicio Administrativo de Identificación, Migración y Extranjería (SAIME). La última protesta fue frente al SAIME, el 31 de marzo de 2023, en el marco del día de la visibilidad trans. Cabe mencionar que tampoco contamos, en nuestro país, con normativa jurídica que garantice el derecho y reconocimiento de las diversas identidades sexuales de las personas. </w:t>
      </w:r>
      <w:r w:rsidDel="00000000" w:rsidR="00000000" w:rsidRPr="00000000">
        <w:rPr>
          <w:rtl w:val="0"/>
        </w:rPr>
      </w:r>
    </w:p>
    <w:p w:rsidR="00000000" w:rsidDel="00000000" w:rsidP="00000000" w:rsidRDefault="00000000" w:rsidRPr="00000000" w14:paraId="00000029">
      <w:pPr>
        <w:spacing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b w:val="1"/>
          <w:color w:val="000000"/>
          <w:rtl w:val="0"/>
        </w:rPr>
        <w:t xml:space="preserve">Trata y explotación de la prostitución </w:t>
      </w:r>
      <w:r w:rsidDel="00000000" w:rsidR="00000000" w:rsidRPr="00000000">
        <w:rPr>
          <w:rtl w:val="0"/>
        </w:rPr>
      </w:r>
    </w:p>
    <w:p w:rsidR="00000000" w:rsidDel="00000000" w:rsidP="00000000" w:rsidRDefault="00000000" w:rsidRPr="00000000" w14:paraId="0000002A">
      <w:pPr>
        <w:spacing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b w:val="1"/>
          <w:color w:val="000000"/>
          <w:rtl w:val="0"/>
        </w:rPr>
        <w:t xml:space="preserve">13.</w:t>
      </w:r>
      <w:r w:rsidDel="00000000" w:rsidR="00000000" w:rsidRPr="00000000">
        <w:rPr>
          <w:rFonts w:ascii="Calibri" w:cs="Calibri" w:eastAsia="Calibri" w:hAnsi="Calibri"/>
          <w:color w:val="000000"/>
          <w:rtl w:val="0"/>
        </w:rPr>
        <w:t xml:space="preserve"> Faciliten información sobre los siguientes aspectos: </w:t>
      </w:r>
      <w:r w:rsidDel="00000000" w:rsidR="00000000" w:rsidRPr="00000000">
        <w:rPr>
          <w:rtl w:val="0"/>
        </w:rPr>
      </w:r>
    </w:p>
    <w:p w:rsidR="00000000" w:rsidDel="00000000" w:rsidP="00000000" w:rsidRDefault="00000000" w:rsidRPr="00000000" w14:paraId="0000002B">
      <w:pPr>
        <w:spacing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b w:val="1"/>
          <w:color w:val="000000"/>
          <w:rtl w:val="0"/>
        </w:rPr>
        <w:t xml:space="preserve">a)</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b w:val="1"/>
          <w:color w:val="000000"/>
          <w:rtl w:val="0"/>
        </w:rPr>
        <w:t xml:space="preserve">Medidas adoptadas para mejorar la cooperación internacional, regional y bilateral</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b w:val="1"/>
          <w:color w:val="000000"/>
          <w:rtl w:val="0"/>
        </w:rPr>
        <w:t xml:space="preserve">con los países de origen, de tránsito y de destino a fin de prevenir la trata de mujeres y niñas mediante el intercambio de información y la armonización de los procedimientos legales destinados a enjuiciar y sancionar a los responsables</w:t>
      </w:r>
      <w:r w:rsidDel="00000000" w:rsidR="00000000" w:rsidRPr="00000000">
        <w:rPr>
          <w:rFonts w:ascii="Calibri" w:cs="Calibri" w:eastAsia="Calibri" w:hAnsi="Calibri"/>
          <w:color w:val="000000"/>
          <w:rtl w:val="0"/>
        </w:rPr>
        <w:t xml:space="preserve">. La ruptura de las relaciones diplomáticas con Brasil y Colombia ocasionó una gran tranca en la cooperación regional en esta materia, impidiendo retornos seguros y legales. </w:t>
      </w:r>
      <w:r w:rsidDel="00000000" w:rsidR="00000000" w:rsidRPr="00000000">
        <w:rPr>
          <w:rtl w:val="0"/>
        </w:rPr>
        <w:t xml:space="preserve">Desde</w:t>
      </w:r>
      <w:r w:rsidDel="00000000" w:rsidR="00000000" w:rsidRPr="00000000">
        <w:rPr>
          <w:rFonts w:ascii="Calibri" w:cs="Calibri" w:eastAsia="Calibri" w:hAnsi="Calibri"/>
          <w:color w:val="000000"/>
          <w:rtl w:val="0"/>
        </w:rPr>
        <w:t xml:space="preserve"> el 202</w:t>
      </w:r>
      <w:r w:rsidDel="00000000" w:rsidR="00000000" w:rsidRPr="00000000">
        <w:rPr>
          <w:rtl w:val="0"/>
        </w:rPr>
        <w:t xml:space="preserve">1, es de nuestro conocimiento que</w:t>
      </w:r>
      <w:r w:rsidDel="00000000" w:rsidR="00000000" w:rsidRPr="00000000">
        <w:rPr>
          <w:rFonts w:ascii="Calibri" w:cs="Calibri" w:eastAsia="Calibri" w:hAnsi="Calibri"/>
          <w:color w:val="000000"/>
          <w:rtl w:val="0"/>
        </w:rPr>
        <w:t xml:space="preserve"> entre la Fiscalía y el Ministerio del Poder Popular para las Relaciones Exteriores han comenzado la implementación de un mecanismo para la repatriación de connacionales que han sido víctimas de trata de personas, procedentes de Trinidad, Colombia, Perú y Chile.</w:t>
      </w:r>
      <w:r w:rsidDel="00000000" w:rsidR="00000000" w:rsidRPr="00000000">
        <w:rPr>
          <w:rtl w:val="0"/>
        </w:rPr>
      </w:r>
    </w:p>
    <w:p w:rsidR="00000000" w:rsidDel="00000000" w:rsidP="00000000" w:rsidRDefault="00000000" w:rsidRPr="00000000" w14:paraId="0000002C">
      <w:pPr>
        <w:spacing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b w:val="1"/>
          <w:color w:val="000000"/>
          <w:rtl w:val="0"/>
        </w:rPr>
        <w:t xml:space="preserve">b)</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b w:val="1"/>
          <w:color w:val="000000"/>
          <w:rtl w:val="0"/>
        </w:rPr>
        <w:t xml:space="preserve">Autoridades fiscales y judiciales y tipo de delito con arreglo a los cuales se investiga y persigue la trata de mujeres transgénero, indicando también el número de fallos relacionados con la trata de mujeres y niñas transgénero que se han dictado, proporcionando estadísticas desglosadas por año, tipo de delito y tipo de pena.</w:t>
      </w:r>
      <w:r w:rsidDel="00000000" w:rsidR="00000000" w:rsidRPr="00000000">
        <w:rPr>
          <w:rFonts w:ascii="Calibri" w:cs="Calibri" w:eastAsia="Calibri" w:hAnsi="Calibri"/>
          <w:color w:val="000000"/>
          <w:rtl w:val="0"/>
        </w:rPr>
        <w:t xml:space="preserve"> En Venezuela, 3 leyes contemplan el delito de trata de personas y, en el 2021, se aprobó el Plan Nacional Contra la Trata de Personas 2021-2025. Sin embargo, estas están formuladas como enunciados generales, superficiales y con perspectiva sancionatorias a los delincuentes, no centradas en la protección de las víctimas; además no son acompañadas por una política pública dirigidas a la protección de las personas en general, menos aún, para la población de mujeres transgénero. Como tampoco hay una política o programa para brindar información con las características particulares requeridas por mujeres con capacidades diferenciadas que han sufrido violencia de género acerca de los recursos jurídicos y reparaciones a su disposición.</w:t>
      </w:r>
      <w:r w:rsidDel="00000000" w:rsidR="00000000" w:rsidRPr="00000000">
        <w:rPr>
          <w:rtl w:val="0"/>
        </w:rPr>
      </w:r>
    </w:p>
    <w:p w:rsidR="00000000" w:rsidDel="00000000" w:rsidP="00000000" w:rsidRDefault="00000000" w:rsidRPr="00000000" w14:paraId="0000002D">
      <w:pPr>
        <w:spacing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b w:val="1"/>
          <w:color w:val="000000"/>
          <w:rtl w:val="0"/>
        </w:rPr>
        <w:t xml:space="preserve"> c)</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b w:val="1"/>
          <w:color w:val="000000"/>
          <w:rtl w:val="0"/>
        </w:rPr>
        <w:t xml:space="preserve">Medidas adoptadas a fin de desarrollar la capacidad del poder judicial y la policía para investigar eficazmente los casos de trata y explotación de la prostitución</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b w:val="1"/>
          <w:color w:val="000000"/>
          <w:rtl w:val="0"/>
        </w:rPr>
        <w:t xml:space="preserve">de una forma que tenga en cuenta las cuestiones de género.</w:t>
      </w:r>
      <w:r w:rsidDel="00000000" w:rsidR="00000000" w:rsidRPr="00000000">
        <w:rPr>
          <w:rFonts w:ascii="Calibri" w:cs="Calibri" w:eastAsia="Calibri" w:hAnsi="Calibri"/>
          <w:color w:val="000000"/>
          <w:rtl w:val="0"/>
        </w:rPr>
        <w:t xml:space="preserve"> De existir las señaladas medidas, no son de dominio público. En materia de prostitución no existe política pública ni legislación. Lo que existe son sentencias como la Sentencia nº 055 de Tribunal Supremo de Justicia, Sala de Casación Penal, de fecha 12-03-2018, en la cual se sanciona el delito de asociación, utilización de niños, niñas y adolescentes en la pornografía infantil, la elaboración de material pornográfico infantil y brinda el debido curso al trámite de extradición de los implicados. Reconocemos el esfuerzo de l</w:t>
      </w:r>
      <w:r w:rsidDel="00000000" w:rsidR="00000000" w:rsidRPr="00000000">
        <w:rPr>
          <w:rtl w:val="0"/>
        </w:rPr>
        <w:t xml:space="preserve">a Fiscalía a este respecto, habilitando dos Fiscalías especializadas en la materia. Una en materia de Trata de personas adultas, con énfasis en las mujeres y otra en materia de Trata de NNA.</w:t>
      </w:r>
      <w:r w:rsidDel="00000000" w:rsidR="00000000" w:rsidRPr="00000000">
        <w:rPr>
          <w:rtl w:val="0"/>
        </w:rPr>
      </w:r>
    </w:p>
    <w:p w:rsidR="00000000" w:rsidDel="00000000" w:rsidP="00000000" w:rsidRDefault="00000000" w:rsidRPr="00000000" w14:paraId="0000002E">
      <w:pPr>
        <w:spacing w:line="240" w:lineRule="auto"/>
        <w:jc w:val="both"/>
        <w:rPr/>
      </w:pPr>
      <w:r w:rsidDel="00000000" w:rsidR="00000000" w:rsidRPr="00000000">
        <w:rPr>
          <w:rFonts w:ascii="Calibri" w:cs="Calibri" w:eastAsia="Calibri" w:hAnsi="Calibri"/>
          <w:b w:val="1"/>
          <w:color w:val="000000"/>
          <w:rtl w:val="0"/>
        </w:rPr>
        <w:t xml:space="preserve">d)</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b w:val="1"/>
          <w:color w:val="000000"/>
          <w:rtl w:val="0"/>
        </w:rPr>
        <w:t xml:space="preserve">Medidas adoptadas para garantizar el acceso de las mujeres que ejercen la prostitución a la atención sanitaria, incluidas las pruebas y el tratamiento del VIH, y a los anticonceptivos modernos, incluidos los preservativos, y para ofrecer a las mujeres que desean abandonar la prostitución programas de salida y oportunidades de obtener otros ingresos</w:t>
      </w:r>
      <w:r w:rsidDel="00000000" w:rsidR="00000000" w:rsidRPr="00000000">
        <w:rPr>
          <w:rFonts w:ascii="Calibri" w:cs="Calibri" w:eastAsia="Calibri" w:hAnsi="Calibri"/>
          <w:color w:val="000000"/>
          <w:rtl w:val="0"/>
        </w:rPr>
        <w:t xml:space="preserve">. Sólo existe la expedición de certificados de salud a las mujeres que ejercen la prostitución, como una manera de garantizar a los clientes que no van a ser infectados, pero no cuida a las mujeres. Esto </w:t>
      </w:r>
      <w:r w:rsidDel="00000000" w:rsidR="00000000" w:rsidRPr="00000000">
        <w:rPr>
          <w:rtl w:val="0"/>
        </w:rPr>
        <w:t xml:space="preserve">a su vez permite que accedan a exámenes y tratamientos por lo menos en el caso de la sífilis. Sobre el VIH no tenemos conocimiento que existan programas específicos para este particular. </w:t>
      </w:r>
    </w:p>
    <w:p w:rsidR="00000000" w:rsidDel="00000000" w:rsidP="00000000" w:rsidRDefault="00000000" w:rsidRPr="00000000" w14:paraId="0000002F">
      <w:pPr>
        <w:spacing w:line="240" w:lineRule="auto"/>
        <w:jc w:val="both"/>
        <w:rPr/>
      </w:pPr>
      <w:r w:rsidDel="00000000" w:rsidR="00000000" w:rsidRPr="00000000">
        <w:rPr>
          <w:rtl w:val="0"/>
        </w:rPr>
        <w:t xml:space="preserve">El Estado carece de políticas públicas hacia las mujeres en situación de protistución que vayan más allá de lo ya mencionado por tanto no existen programas para su reinserción socio económica, tampoco existen para las mujeres sobrevivientes de Trata de Personas</w:t>
      </w:r>
      <w:r w:rsidDel="00000000" w:rsidR="00000000" w:rsidRPr="00000000">
        <w:rPr>
          <w:rtl w:val="0"/>
        </w:rPr>
      </w:r>
    </w:p>
    <w:p w:rsidR="00000000" w:rsidDel="00000000" w:rsidP="00000000" w:rsidRDefault="00000000" w:rsidRPr="00000000" w14:paraId="00000030">
      <w:pPr>
        <w:spacing w:after="240" w:before="240"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b w:val="1"/>
          <w:color w:val="000000"/>
          <w:rtl w:val="0"/>
        </w:rPr>
        <w:t xml:space="preserve">Violencia Basada en género</w:t>
      </w:r>
      <w:r w:rsidDel="00000000" w:rsidR="00000000" w:rsidRPr="00000000">
        <w:rPr>
          <w:rtl w:val="0"/>
        </w:rPr>
      </w:r>
    </w:p>
    <w:p w:rsidR="00000000" w:rsidDel="00000000" w:rsidP="00000000" w:rsidRDefault="00000000" w:rsidRPr="00000000" w14:paraId="00000031">
      <w:pPr>
        <w:spacing w:after="240" w:before="240"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En particular, se ruega indicar las medidas adoptadas con los siguientes fines:</w:t>
      </w:r>
      <w:r w:rsidDel="00000000" w:rsidR="00000000" w:rsidRPr="00000000">
        <w:rPr>
          <w:rtl w:val="0"/>
        </w:rPr>
      </w:r>
    </w:p>
    <w:p w:rsidR="00000000" w:rsidDel="00000000" w:rsidP="00000000" w:rsidRDefault="00000000" w:rsidRPr="00000000" w14:paraId="00000032">
      <w:pPr>
        <w:spacing w:after="0" w:before="240"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a.   </w:t>
        <w:tab/>
      </w:r>
      <w:r w:rsidDel="00000000" w:rsidR="00000000" w:rsidRPr="00000000">
        <w:rPr>
          <w:rFonts w:ascii="Calibri" w:cs="Calibri" w:eastAsia="Calibri" w:hAnsi="Calibri"/>
          <w:b w:val="1"/>
          <w:color w:val="000000"/>
          <w:rtl w:val="0"/>
        </w:rPr>
        <w:t xml:space="preserve">Adoptar un plan de acción nacional para hacer frente a la violencia de género contra la mujer</w:t>
      </w:r>
      <w:r w:rsidDel="00000000" w:rsidR="00000000" w:rsidRPr="00000000">
        <w:rPr>
          <w:rFonts w:ascii="Calibri" w:cs="Calibri" w:eastAsia="Calibri" w:hAnsi="Calibri"/>
          <w:color w:val="000000"/>
          <w:rtl w:val="0"/>
        </w:rPr>
        <w:t xml:space="preserve"> e </w:t>
      </w:r>
      <w:r w:rsidDel="00000000" w:rsidR="00000000" w:rsidRPr="00000000">
        <w:rPr>
          <w:rFonts w:ascii="Calibri" w:cs="Calibri" w:eastAsia="Calibri" w:hAnsi="Calibri"/>
          <w:b w:val="1"/>
          <w:color w:val="000000"/>
          <w:rtl w:val="0"/>
        </w:rPr>
        <w:t xml:space="preserve">incluir medidas específicas para hacer frente a todas las formas de violencia, incluida la que sufren las mujeres en línea</w:t>
      </w:r>
      <w:r w:rsidDel="00000000" w:rsidR="00000000" w:rsidRPr="00000000">
        <w:rPr>
          <w:rFonts w:ascii="Calibri" w:cs="Calibri" w:eastAsia="Calibri" w:hAnsi="Calibri"/>
          <w:color w:val="000000"/>
          <w:rtl w:val="0"/>
        </w:rPr>
        <w:t xml:space="preserve">;</w:t>
      </w:r>
      <w:r w:rsidDel="00000000" w:rsidR="00000000" w:rsidRPr="00000000">
        <w:rPr>
          <w:rtl w:val="0"/>
        </w:rPr>
      </w:r>
    </w:p>
    <w:p w:rsidR="00000000" w:rsidDel="00000000" w:rsidP="00000000" w:rsidRDefault="00000000" w:rsidRPr="00000000" w14:paraId="00000033">
      <w:pPr>
        <w:spacing w:after="0" w:before="240"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En nuestro país hay la Agenda programática de la Mujer 2025 que se elaboró en el 2018, en la cual se promueve el plan para mitigar todas las formas de violencia que sufren las mujeres; sin embargo, no se implementa ni tiene las políticas públicas para ser ejecutadas de forma eficiente. Se pueden mencionar, también, la agenda que lleva por nombre </w:t>
      </w:r>
      <w:r w:rsidDel="00000000" w:rsidR="00000000" w:rsidRPr="00000000">
        <w:rPr>
          <w:rFonts w:ascii="Calibri" w:cs="Calibri" w:eastAsia="Calibri" w:hAnsi="Calibri"/>
          <w:i w:val="1"/>
          <w:color w:val="000000"/>
          <w:rtl w:val="0"/>
        </w:rPr>
        <w:t xml:space="preserve">“Lucha contra el sistema de dominación patriarcal”; </w:t>
      </w:r>
      <w:r w:rsidDel="00000000" w:rsidR="00000000" w:rsidRPr="00000000">
        <w:rPr>
          <w:rFonts w:ascii="Calibri" w:cs="Calibri" w:eastAsia="Calibri" w:hAnsi="Calibri"/>
          <w:color w:val="000000"/>
          <w:rtl w:val="0"/>
        </w:rPr>
        <w:t xml:space="preserve">esta menciona que dentro del sistema educativo se legitima el conocimiento feminista en busca de desarrollar el respeto y la diversidad en toda la esfera de la sociedad venezolana. Pero no es de nuestro conocimiento que para el desarrollo de esta agenda </w:t>
      </w:r>
      <w:r w:rsidDel="00000000" w:rsidR="00000000" w:rsidRPr="00000000">
        <w:rPr>
          <w:rtl w:val="0"/>
        </w:rPr>
        <w:t xml:space="preserve">exista</w:t>
      </w:r>
      <w:r w:rsidDel="00000000" w:rsidR="00000000" w:rsidRPr="00000000">
        <w:rPr>
          <w:rFonts w:ascii="Calibri" w:cs="Calibri" w:eastAsia="Calibri" w:hAnsi="Calibri"/>
          <w:color w:val="000000"/>
          <w:rtl w:val="0"/>
        </w:rPr>
        <w:t xml:space="preserve"> capacitación al personal docente, obrero, administrativo y todas las personas que hacen vida dentro del sistema educativo. La agenda contiene como una de sus políticas estructurales la “Erradicación de Toda Forma de Violencia de Género”, su objetivo es reconocer el derecho a una vida libre de violencia, mediante los diferentes programas propuestos; no obstante, no integra alguna campaña de sensibilización en medios de comunicación e instituciones del Estado para así hacer frente a las diferentes expresiones de violencias hacia las mujeres. </w:t>
      </w:r>
      <w:r w:rsidDel="00000000" w:rsidR="00000000" w:rsidRPr="00000000">
        <w:rPr>
          <w:rtl w:val="0"/>
        </w:rPr>
      </w:r>
    </w:p>
    <w:p w:rsidR="00000000" w:rsidDel="00000000" w:rsidP="00000000" w:rsidRDefault="00000000" w:rsidRPr="00000000" w14:paraId="00000034">
      <w:pPr>
        <w:spacing w:after="240" w:before="240"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Tinta Violeta y la Red de Acompañamiento Territorial han asumido la corresponsabilidad de prevenir y mitigar las violencias hacia las mujeres desde los centros educativos públicos o privados, atendiendo en el Distrito Capital y los estados Miranda, Sucre, Carabobo, Anzoátegui, Delta Amacuro, Bolívar, Amazonas, Apure y Lara. Además, ha diseñado e implementado varias campañas de sensibilización en medios de comunicación y en las diferentes comunidades y territorios de esos estados. El tema principal ha sido las expresiones de violencias basada en género, incluyendo la trata de mujeres, niñas y adolescentes, a través de la campaña #NoEsCuentoEsViolencia, #NoMasViolencia. También realizamos entrega de impresos (desplegables, afiches, folletos, trípticos), reels, micros de radio y videoclips. Reconocemos el poco alcance que tiene esta acción en comparación con el accionar que podría y le corresponde ejecutar al Estado. El Estado Tiene programas diseñados, sin embargo, aún falta completar las políticas públicas y planes para que se puedan llevar a cabo, y así poder disminuir las violencias hacia las mujeres, incluyendo el establecimiento de tribunales especializados en violencia de género contra la mujer en todos los estados, especialmente aquellos que cuentan con zonas rurales y fronterizas.</w:t>
      </w:r>
      <w:r w:rsidDel="00000000" w:rsidR="00000000" w:rsidRPr="00000000">
        <w:rPr>
          <w:rtl w:val="0"/>
        </w:rPr>
      </w:r>
    </w:p>
    <w:p w:rsidR="00000000" w:rsidDel="00000000" w:rsidP="00000000" w:rsidRDefault="00000000" w:rsidRPr="00000000" w14:paraId="00000035">
      <w:pPr>
        <w:spacing w:after="240" w:before="240"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c.   </w:t>
      </w:r>
      <w:r w:rsidDel="00000000" w:rsidR="00000000" w:rsidRPr="00000000">
        <w:rPr>
          <w:rFonts w:ascii="Calibri" w:cs="Calibri" w:eastAsia="Calibri" w:hAnsi="Calibri"/>
          <w:b w:val="1"/>
          <w:color w:val="000000"/>
          <w:rtl w:val="0"/>
        </w:rPr>
        <w:t xml:space="preserve">Ofrecer a las víctimas protección efectiva, rehabilitación y recursos jurídicos, incluida la indemnización</w:t>
      </w:r>
      <w:r w:rsidDel="00000000" w:rsidR="00000000" w:rsidRPr="00000000">
        <w:rPr>
          <w:rFonts w:ascii="Calibri" w:cs="Calibri" w:eastAsia="Calibri" w:hAnsi="Calibri"/>
          <w:color w:val="000000"/>
          <w:rtl w:val="0"/>
        </w:rPr>
        <w:t xml:space="preserve">; sobre esto, la última reforma de LODMVLV expresa, en su artículo 80, la indemnización para las víctimas de VbG o a “sus herederos y herederas en caso de que la mujer haya fallecido como resultados de estos delitos”. Esta disposición jurídica en la práctica no se cumple, menos la indemnización a las víctimas indirectas de la violencia basada en género. </w:t>
      </w:r>
      <w:r w:rsidDel="00000000" w:rsidR="00000000" w:rsidRPr="00000000">
        <w:rPr>
          <w:rtl w:val="0"/>
        </w:rPr>
      </w:r>
    </w:p>
    <w:p w:rsidR="00000000" w:rsidDel="00000000" w:rsidP="00000000" w:rsidRDefault="00000000" w:rsidRPr="00000000" w14:paraId="00000036">
      <w:pPr>
        <w:spacing w:after="240" w:before="240"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f.    </w:t>
      </w:r>
      <w:r w:rsidDel="00000000" w:rsidR="00000000" w:rsidRPr="00000000">
        <w:rPr>
          <w:rFonts w:ascii="Calibri" w:cs="Calibri" w:eastAsia="Calibri" w:hAnsi="Calibri"/>
          <w:b w:val="1"/>
          <w:color w:val="000000"/>
          <w:rtl w:val="0"/>
        </w:rPr>
        <w:t xml:space="preserve">Recopilar datos estadísticos sobre los casos de violencia de género contra las mujeres</w:t>
      </w:r>
      <w:r w:rsidDel="00000000" w:rsidR="00000000" w:rsidRPr="00000000">
        <w:rPr>
          <w:rFonts w:ascii="Calibri" w:cs="Calibri" w:eastAsia="Calibri" w:hAnsi="Calibri"/>
          <w:color w:val="000000"/>
          <w:rtl w:val="0"/>
        </w:rPr>
        <w:t xml:space="preserve"> registrados en los cinco últimos años, desglosados por edad, origen étnico, discapacidad, relación entre el autor y la víctima, y tipos de penas impuestas a los autores;</w:t>
      </w:r>
      <w:r w:rsidDel="00000000" w:rsidR="00000000" w:rsidRPr="00000000">
        <w:rPr>
          <w:rtl w:val="0"/>
        </w:rPr>
      </w:r>
    </w:p>
    <w:p w:rsidR="00000000" w:rsidDel="00000000" w:rsidP="00000000" w:rsidRDefault="00000000" w:rsidRPr="00000000" w14:paraId="00000037">
      <w:pPr>
        <w:spacing w:after="0" w:before="240"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No hay una fuente específica de las cifras y estadísticas oficiales de femicidios ni de otros tipos de violencias basadas en género, publicadas por el Estado, que nos permitan entender la magnitud del problema y, además, proporcionen un marco de referencia para que las organizaciones gubernamentales y de la Sociedad Civil participen en la construcción e implementación de políticas públicas. No obstante, se puede tener una idea de las dimensiones de la violencia basada en género desde varios portales web como es el caso del Monitor de femicidios de Utopix, que desde el año 2019 hasta el año 2022 han contabilizado, en base a un subregistro de fuentes abiertas, que hacen mensualmente, un total de 902 casos de femicidios: 167 en el año 2019; 256 casos, en el 2020 (justo cuando inicia la cuarentena por la pandemia de la COVID 19); 239 casos en el año 2021 y 240 casos durante el 2022. </w:t>
      </w:r>
      <w:r w:rsidDel="00000000" w:rsidR="00000000" w:rsidRPr="00000000">
        <w:rPr>
          <w:rtl w:val="0"/>
        </w:rPr>
      </w:r>
    </w:p>
    <w:p w:rsidR="00000000" w:rsidDel="00000000" w:rsidP="00000000" w:rsidRDefault="00000000" w:rsidRPr="00000000" w14:paraId="00000038">
      <w:pPr>
        <w:spacing w:after="0"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Además, en sus informes en diferentes escaños, durante estos cuatro años, contabilizan: a) 327 víctimas que eran madres, lo que representa el 36,25%; b) 66 víctimas que estaban embarazadas; c) 25 víctimas que habían denunciado con anterioridad a sus agresores (feminicidio); d) 13 mujeres indígenas pertenecientes a los pueblos Wayuu, Jivi, Pemón y Warao) asesinadas; e) 142 víctimas que eran maltratadas según sus familiares; f) 14 víctimas que eran lesbianas o transgenero. Además, se puede ver una discriminación según el femicidio y sus porcentajes, así: 359 (39,80%) femicidios íntimos a manos de parejas o exparejas, 117 femicidios a manos de familiares consanguineos o por afinidad (12,97%), 48 femicidios sexuales (5,32%), feminicidios obstétricos 37 (4,10%), femicidios por bandas delincuenciales 152 (16,26%), 10 transfemicidios (1,10%) y 179 femicidios indeterminados.</w:t>
      </w:r>
      <w:r w:rsidDel="00000000" w:rsidR="00000000" w:rsidRPr="00000000">
        <w:rPr>
          <w:rtl w:val="0"/>
        </w:rPr>
      </w:r>
    </w:p>
    <w:p w:rsidR="00000000" w:rsidDel="00000000" w:rsidP="00000000" w:rsidRDefault="00000000" w:rsidRPr="00000000" w14:paraId="00000039">
      <w:pPr>
        <w:spacing w:after="0" w:before="240"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Además de los femicidios/feminicidios y los transfemicidios, como máximas expresiones del machismo en nuestro país, las violencias basadas en género son múltiples y diversas. Desde el Ministerio Público no se ha informado sobre esas diferentes formas de violencias que </w:t>
      </w:r>
      <w:r w:rsidDel="00000000" w:rsidR="00000000" w:rsidRPr="00000000">
        <w:rPr>
          <w:rtl w:val="0"/>
        </w:rPr>
        <w:t xml:space="preserve">han sido atendidas</w:t>
      </w:r>
      <w:r w:rsidDel="00000000" w:rsidR="00000000" w:rsidRPr="00000000">
        <w:rPr>
          <w:rFonts w:ascii="Calibri" w:cs="Calibri" w:eastAsia="Calibri" w:hAnsi="Calibri"/>
          <w:color w:val="000000"/>
          <w:rtl w:val="0"/>
        </w:rPr>
        <w:t xml:space="preserve">. A inicios de 2022, el Fiscal General de la República dio un reporte con datos desde el año 2017 hasta el 2021, sobre números de casos de femicidios, números de imputaciones, actuaciones y actos conclusivos. Sin ofrecer más detalles de forma periódica, anual. </w:t>
      </w:r>
      <w:r w:rsidDel="00000000" w:rsidR="00000000" w:rsidRPr="00000000">
        <w:rPr>
          <w:rtl w:val="0"/>
        </w:rPr>
      </w:r>
    </w:p>
    <w:p w:rsidR="00000000" w:rsidDel="00000000" w:rsidP="00000000" w:rsidRDefault="00000000" w:rsidRPr="00000000" w14:paraId="0000003A">
      <w:pPr>
        <w:spacing w:after="0"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Ante este vacío informativo, a partir del Informe de Violencia Basada en Género (marzo 2020 a marzo 2021) de Tinta Violeta, exponemos que más de 660 personas a nivel nacional recibieron acompañamiento amoroso y las violencias más frecuentes fueron las violencias psicológica, física, económica y patrimonial, sexual, institucional y la expresión de violencia vicaria. También podemos señalar que muchas mujeres, niñas, niños y adolescentes fueron víctimas de agresiones institucionales o múltiples por parte de funcionarios y funcionarios del Sistema de Protección de NNA. Esto nos ha revelado la falta de perspectiva de género en el Sistema de Protección de NNA para dar respuesta oportuna y efectiva a los casos de VbG, lo que nos llevó a brindarles una capacitación con alcance nacional; también nos evidenció la nula integración de este Sistema de Protección con el Sistema de Justicia para las Mujeres. </w:t>
      </w:r>
      <w:r w:rsidDel="00000000" w:rsidR="00000000" w:rsidRPr="00000000">
        <w:rPr>
          <w:rtl w:val="0"/>
        </w:rPr>
      </w:r>
    </w:p>
    <w:p w:rsidR="00000000" w:rsidDel="00000000" w:rsidP="00000000" w:rsidRDefault="00000000" w:rsidRPr="00000000" w14:paraId="0000003B">
      <w:pPr>
        <w:spacing w:after="0" w:line="240" w:lineRule="auto"/>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Por otro lado, en el marco del Proyecto Sin Fronteras desarrollado por nuestras organizaciones, entre junio de 2021 y julio de 2022, brindamos servicios de acompañamiento amoroso a más de 970 personas de Caracas, Miranda y Lara, </w:t>
      </w:r>
      <w:r w:rsidDel="00000000" w:rsidR="00000000" w:rsidRPr="00000000">
        <w:rPr>
          <w:rtl w:val="0"/>
        </w:rPr>
        <w:t xml:space="preserve">específico para estos estados,  </w:t>
      </w:r>
      <w:r w:rsidDel="00000000" w:rsidR="00000000" w:rsidRPr="00000000">
        <w:rPr>
          <w:rFonts w:ascii="Calibri" w:cs="Calibri" w:eastAsia="Calibri" w:hAnsi="Calibri"/>
          <w:color w:val="000000"/>
          <w:rtl w:val="0"/>
        </w:rPr>
        <w:t xml:space="preserve">dentro de las cuales las mujeres representaron el 87,2%; la mayoría de las atenciones fueron a adultas de 25 a 49 años, y el 16,8% se trató de casos de niñas, niños y adolescentes. De acuerdo a este periodo de atención, la violencia psicológica representó el 54,55% de los casos, el 24,75% fue violencia sexual, el 10,61% se refirió a violencia física, y el 3,54% fueron casos de violencia institucional. Según este estudio, también constatamos que el 67% de las mujeres, después de recibir la atención necesaria y requerida, colocó formalmente la denuncia, lo cual nos indica la incidencia que genera el acompañamiento amoroso en el acceso al Sistema de Justicia. </w:t>
      </w:r>
    </w:p>
    <w:p w:rsidR="00000000" w:rsidDel="00000000" w:rsidP="00000000" w:rsidRDefault="00000000" w:rsidRPr="00000000" w14:paraId="0000003C">
      <w:pPr>
        <w:spacing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En general, podemos concluir que persiste en Venezuela un problema estructural, a saber, generamos muchas y, por lo general, buenas normas y no tan buenas instituciones, pero estas no se convierten en políticas públicas sostenidas en el tiempo; ni se les hace seguimiento ni evaluación. </w:t>
      </w:r>
      <w:r w:rsidDel="00000000" w:rsidR="00000000" w:rsidRPr="00000000">
        <w:rPr>
          <w:rtl w:val="0"/>
        </w:rPr>
      </w:r>
    </w:p>
    <w:p w:rsidR="00000000" w:rsidDel="00000000" w:rsidP="00000000" w:rsidRDefault="00000000" w:rsidRPr="00000000" w14:paraId="0000003D">
      <w:pPr>
        <w:spacing w:after="240" w:before="24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0"/>
      <w:numFmt w:val="lowerLetter"/>
      <w:lvlText w:val="%1."/>
      <w:lvlJc w:val="left"/>
      <w:pPr>
        <w:ind w:left="0" w:firstLine="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VE"/>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NormalWeb">
    <w:name w:val="Normal (Web)"/>
    <w:basedOn w:val="Normal"/>
    <w:uiPriority w:val="99"/>
    <w:semiHidden w:val="1"/>
    <w:unhideWhenUsed w:val="1"/>
    <w:rsid w:val="004D5922"/>
    <w:pPr>
      <w:spacing w:after="100" w:afterAutospacing="1" w:before="100" w:beforeAutospacing="1" w:line="240" w:lineRule="auto"/>
    </w:pPr>
    <w:rPr>
      <w:rFonts w:ascii="Times New Roman" w:cs="Times New Roman" w:eastAsia="Times New Roman" w:hAnsi="Times New Roman"/>
      <w:sz w:val="24"/>
      <w:szCs w:val="24"/>
      <w:lang w:eastAsia="es-VE"/>
    </w:rPr>
  </w:style>
  <w:style w:type="character" w:styleId="apple-tab-span" w:customStyle="1">
    <w:name w:val="apple-tab-span"/>
    <w:basedOn w:val="Fuentedeprrafopredeter"/>
    <w:rsid w:val="004D5922"/>
  </w:style>
  <w:style w:type="character" w:styleId="Refdecomentario">
    <w:name w:val="annotation reference"/>
    <w:basedOn w:val="Fuentedeprrafopredeter"/>
    <w:uiPriority w:val="99"/>
    <w:semiHidden w:val="1"/>
    <w:unhideWhenUsed w:val="1"/>
    <w:rsid w:val="001E6F74"/>
    <w:rPr>
      <w:sz w:val="16"/>
      <w:szCs w:val="16"/>
    </w:rPr>
  </w:style>
  <w:style w:type="paragraph" w:styleId="Textocomentario">
    <w:name w:val="annotation text"/>
    <w:basedOn w:val="Normal"/>
    <w:link w:val="TextocomentarioCar"/>
    <w:uiPriority w:val="99"/>
    <w:semiHidden w:val="1"/>
    <w:unhideWhenUsed w:val="1"/>
    <w:rsid w:val="001E6F74"/>
    <w:pPr>
      <w:spacing w:line="240" w:lineRule="auto"/>
    </w:pPr>
    <w:rPr>
      <w:sz w:val="20"/>
      <w:szCs w:val="20"/>
    </w:rPr>
  </w:style>
  <w:style w:type="character" w:styleId="TextocomentarioCar" w:customStyle="1">
    <w:name w:val="Texto comentario Car"/>
    <w:basedOn w:val="Fuentedeprrafopredeter"/>
    <w:link w:val="Textocomentario"/>
    <w:uiPriority w:val="99"/>
    <w:semiHidden w:val="1"/>
    <w:rsid w:val="001E6F74"/>
    <w:rPr>
      <w:sz w:val="20"/>
      <w:szCs w:val="20"/>
    </w:rPr>
  </w:style>
  <w:style w:type="paragraph" w:styleId="Asuntodelcomentario">
    <w:name w:val="annotation subject"/>
    <w:basedOn w:val="Textocomentario"/>
    <w:next w:val="Textocomentario"/>
    <w:link w:val="AsuntodelcomentarioCar"/>
    <w:uiPriority w:val="99"/>
    <w:semiHidden w:val="1"/>
    <w:unhideWhenUsed w:val="1"/>
    <w:rsid w:val="001E6F74"/>
    <w:rPr>
      <w:b w:val="1"/>
      <w:bCs w:val="1"/>
    </w:rPr>
  </w:style>
  <w:style w:type="character" w:styleId="AsuntodelcomentarioCar" w:customStyle="1">
    <w:name w:val="Asunto del comentario Car"/>
    <w:basedOn w:val="TextocomentarioCar"/>
    <w:link w:val="Asuntodelcomentario"/>
    <w:uiPriority w:val="99"/>
    <w:semiHidden w:val="1"/>
    <w:rsid w:val="001E6F74"/>
    <w:rPr>
      <w:b w:val="1"/>
      <w:bCs w:val="1"/>
      <w:sz w:val="20"/>
      <w:szCs w:val="2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mvezuNWQXe/FUIC2CgU1vF1CJlg==">AMUW2mVWirvExdbmTEMPc3mE0kvt5yPNv3NwmflvzTNDGFpsuWF9pwcp5ckkmYA9V6Gw0oitDyJvzKeEzHCRsOFJoJLHqWmVQq2JIcWNA8pwOKMd/FnSn6Q=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2023-04-11T19:14:00Z</dcterms:created>
  <dc:creator>TINTA VIOLETA</dc:creator>
</cp:coreProperties>
</file>