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781D9DF" w14:textId="77777777" w:rsidR="00922D85" w:rsidRPr="001965BC" w:rsidRDefault="00000000">
      <w:pPr>
        <w:spacing w:line="300" w:lineRule="auto"/>
        <w:jc w:val="center"/>
        <w:rPr>
          <w:rFonts w:eastAsia="Calibri"/>
          <w:sz w:val="8"/>
          <w:szCs w:val="8"/>
        </w:rPr>
      </w:pPr>
      <w:r w:rsidRPr="001965BC">
        <w:rPr>
          <w:rFonts w:eastAsia="Calibri"/>
          <w:sz w:val="46"/>
          <w:szCs w:val="46"/>
        </w:rPr>
        <w:t xml:space="preserve">   Human Rights Violations on the Basis of Sexual Orientation, Gender Identity, and HIV Status in the Republic of Korea</w:t>
      </w:r>
      <w:r w:rsidRPr="001965BC">
        <w:rPr>
          <w:rFonts w:eastAsia="Calibri"/>
          <w:sz w:val="46"/>
          <w:szCs w:val="46"/>
        </w:rPr>
        <w:br/>
      </w:r>
    </w:p>
    <w:p w14:paraId="2B901DC0" w14:textId="77777777" w:rsidR="00922D85" w:rsidRPr="001965BC" w:rsidRDefault="00000000">
      <w:pPr>
        <w:jc w:val="center"/>
        <w:rPr>
          <w:rFonts w:eastAsia="Calibri"/>
          <w:sz w:val="8"/>
          <w:szCs w:val="8"/>
        </w:rPr>
      </w:pPr>
      <w:r w:rsidRPr="001965BC">
        <w:rPr>
          <w:rFonts w:eastAsia="Calibri"/>
          <w:noProof/>
        </w:rPr>
        <w:drawing>
          <wp:inline distT="114300" distB="114300" distL="114300" distR="114300" wp14:anchorId="0E45C9ED" wp14:editId="26603DED">
            <wp:extent cx="3930488" cy="1871254"/>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930488" cy="1871254"/>
                    </a:xfrm>
                    <a:prstGeom prst="rect">
                      <a:avLst/>
                    </a:prstGeom>
                    <a:ln/>
                  </pic:spPr>
                </pic:pic>
              </a:graphicData>
            </a:graphic>
          </wp:inline>
        </w:drawing>
      </w:r>
      <w:r w:rsidRPr="001965BC">
        <w:rPr>
          <w:rFonts w:eastAsia="Calibri"/>
        </w:rPr>
        <w:br/>
      </w:r>
    </w:p>
    <w:p w14:paraId="52D20B24" w14:textId="77777777" w:rsidR="00922D85" w:rsidRPr="001965BC" w:rsidRDefault="00000000">
      <w:pPr>
        <w:spacing w:before="240" w:after="240"/>
        <w:jc w:val="center"/>
        <w:rPr>
          <w:rFonts w:eastAsia="Calibri"/>
        </w:rPr>
      </w:pPr>
      <w:r w:rsidRPr="001965BC">
        <w:rPr>
          <w:rFonts w:eastAsia="Calibri"/>
        </w:rPr>
        <w:t>Joint Civil Society Submission to the Committee on the Elimination of Discrimination against Women (CEDAW) for State Compliance with the Convention on the Elimination of All Forms of Discrimination against Women</w:t>
      </w:r>
    </w:p>
    <w:p w14:paraId="5F024D5A" w14:textId="77777777" w:rsidR="00922D85" w:rsidRDefault="00000000">
      <w:pPr>
        <w:jc w:val="center"/>
      </w:pPr>
      <w:r w:rsidRPr="001965BC">
        <w:rPr>
          <w:rFonts w:eastAsia="Calibri"/>
        </w:rPr>
        <w:t>Republic of Korea, 88th Session</w:t>
      </w:r>
    </w:p>
    <w:p w14:paraId="0E084654" w14:textId="77777777" w:rsidR="00C242B6" w:rsidRPr="00C242B6" w:rsidRDefault="00C242B6">
      <w:pPr>
        <w:jc w:val="center"/>
      </w:pPr>
    </w:p>
    <w:p w14:paraId="765E5766" w14:textId="77777777" w:rsidR="00922D85" w:rsidRDefault="00000000">
      <w:pPr>
        <w:jc w:val="center"/>
      </w:pPr>
      <w:r w:rsidRPr="001965BC">
        <w:rPr>
          <w:rFonts w:eastAsia="Calibri"/>
        </w:rPr>
        <w:t>May. 2024</w:t>
      </w:r>
    </w:p>
    <w:p w14:paraId="4F8867D2" w14:textId="77777777" w:rsidR="00C242B6" w:rsidRPr="00C242B6" w:rsidRDefault="00C242B6">
      <w:pPr>
        <w:jc w:val="center"/>
      </w:pPr>
    </w:p>
    <w:p w14:paraId="1C4BDEDD" w14:textId="77777777" w:rsidR="00922D85" w:rsidRPr="001965BC" w:rsidRDefault="00000000">
      <w:pPr>
        <w:jc w:val="center"/>
        <w:rPr>
          <w:rFonts w:eastAsia="Calibri"/>
        </w:rPr>
      </w:pPr>
      <w:r w:rsidRPr="001965BC">
        <w:rPr>
          <w:rFonts w:eastAsia="Calibri"/>
        </w:rPr>
        <w:t>Submitted by the Rainbow Action against Sexual Minority Discrimination</w:t>
      </w:r>
    </w:p>
    <w:p w14:paraId="25B19309" w14:textId="77777777" w:rsidR="00922D85" w:rsidRPr="001965BC" w:rsidRDefault="00000000">
      <w:pPr>
        <w:spacing w:line="276" w:lineRule="auto"/>
        <w:jc w:val="center"/>
        <w:rPr>
          <w:rFonts w:eastAsia="Calibri"/>
          <w:sz w:val="18"/>
          <w:szCs w:val="18"/>
        </w:rPr>
      </w:pPr>
      <w:proofErr w:type="spellStart"/>
      <w:r w:rsidRPr="001965BC">
        <w:rPr>
          <w:rFonts w:eastAsia="Calibri"/>
          <w:sz w:val="18"/>
          <w:szCs w:val="18"/>
        </w:rPr>
        <w:t>Sinnaneun</w:t>
      </w:r>
      <w:proofErr w:type="spellEnd"/>
      <w:r w:rsidRPr="001965BC">
        <w:rPr>
          <w:rFonts w:eastAsia="Calibri"/>
          <w:sz w:val="18"/>
          <w:szCs w:val="18"/>
        </w:rPr>
        <w:t xml:space="preserve"> Center Inc.: LGBTQ+  Art &amp; Culture, </w:t>
      </w:r>
      <w:proofErr w:type="spellStart"/>
      <w:r w:rsidRPr="001965BC">
        <w:rPr>
          <w:rFonts w:eastAsia="Calibri"/>
          <w:sz w:val="18"/>
          <w:szCs w:val="18"/>
        </w:rPr>
        <w:t>Gruteogi</w:t>
      </w:r>
      <w:proofErr w:type="spellEnd"/>
      <w:r w:rsidRPr="001965BC">
        <w:rPr>
          <w:rFonts w:eastAsia="Calibri"/>
          <w:sz w:val="18"/>
          <w:szCs w:val="18"/>
        </w:rPr>
        <w:t xml:space="preserve"> : 30+ Lesbian community group, </w:t>
      </w:r>
      <w:proofErr w:type="spellStart"/>
      <w:r w:rsidRPr="001965BC">
        <w:rPr>
          <w:rFonts w:eastAsia="Calibri"/>
          <w:sz w:val="18"/>
          <w:szCs w:val="18"/>
        </w:rPr>
        <w:t>Gyeongnam</w:t>
      </w:r>
      <w:proofErr w:type="spellEnd"/>
      <w:r w:rsidRPr="001965BC">
        <w:rPr>
          <w:rFonts w:eastAsia="Calibri"/>
          <w:sz w:val="18"/>
          <w:szCs w:val="18"/>
        </w:rPr>
        <w:t xml:space="preserve"> Queer Culture Festival, </w:t>
      </w:r>
      <w:proofErr w:type="spellStart"/>
      <w:r w:rsidRPr="001965BC">
        <w:rPr>
          <w:rFonts w:eastAsia="Calibri"/>
          <w:sz w:val="18"/>
          <w:szCs w:val="18"/>
        </w:rPr>
        <w:t>GongGam</w:t>
      </w:r>
      <w:proofErr w:type="spellEnd"/>
      <w:r w:rsidRPr="001965BC">
        <w:rPr>
          <w:rFonts w:eastAsia="Calibri"/>
          <w:sz w:val="18"/>
          <w:szCs w:val="18"/>
        </w:rPr>
        <w:t xml:space="preserve"> Human Rights Law Foundation, Korean Lawyers for Public Interest and Human Rights(KLPH), Labor Party Sexual Politics Committee, Green Party Korea, </w:t>
      </w:r>
      <w:proofErr w:type="spellStart"/>
      <w:r w:rsidRPr="001965BC">
        <w:rPr>
          <w:rFonts w:eastAsia="Calibri"/>
          <w:sz w:val="18"/>
          <w:szCs w:val="18"/>
        </w:rPr>
        <w:t>Dawoom</w:t>
      </w:r>
      <w:proofErr w:type="spellEnd"/>
      <w:r w:rsidRPr="001965BC">
        <w:rPr>
          <w:rFonts w:eastAsia="Calibri"/>
          <w:sz w:val="18"/>
          <w:szCs w:val="18"/>
        </w:rPr>
        <w:t xml:space="preserve"> : Together for Change, Daegu Queer Culture Festival, Daejeon Queer Human Rights Group </w:t>
      </w:r>
      <w:proofErr w:type="spellStart"/>
      <w:r w:rsidRPr="001965BC">
        <w:rPr>
          <w:rFonts w:eastAsia="Calibri"/>
          <w:sz w:val="18"/>
          <w:szCs w:val="18"/>
        </w:rPr>
        <w:t>Solongos</w:t>
      </w:r>
      <w:proofErr w:type="spellEnd"/>
      <w:r w:rsidRPr="001965BC">
        <w:rPr>
          <w:rFonts w:eastAsia="Calibri"/>
          <w:sz w:val="18"/>
          <w:szCs w:val="18"/>
        </w:rPr>
        <w:t xml:space="preserve">, Social and Labor Committee of </w:t>
      </w:r>
      <w:proofErr w:type="spellStart"/>
      <w:r w:rsidRPr="001965BC">
        <w:rPr>
          <w:rFonts w:eastAsia="Calibri"/>
          <w:sz w:val="18"/>
          <w:szCs w:val="18"/>
        </w:rPr>
        <w:t>Jogye</w:t>
      </w:r>
      <w:proofErr w:type="spellEnd"/>
      <w:r w:rsidRPr="001965BC">
        <w:rPr>
          <w:rFonts w:eastAsia="Calibri"/>
          <w:sz w:val="18"/>
          <w:szCs w:val="18"/>
        </w:rPr>
        <w:t xml:space="preserve"> Order of Korean Buddhism, </w:t>
      </w:r>
      <w:proofErr w:type="spellStart"/>
      <w:r w:rsidRPr="001965BC">
        <w:rPr>
          <w:rFonts w:eastAsia="Calibri"/>
          <w:sz w:val="18"/>
          <w:szCs w:val="18"/>
        </w:rPr>
        <w:t>Lezpa</w:t>
      </w:r>
      <w:proofErr w:type="spellEnd"/>
      <w:r w:rsidRPr="001965BC">
        <w:rPr>
          <w:rFonts w:eastAsia="Calibri"/>
          <w:sz w:val="18"/>
          <w:szCs w:val="18"/>
        </w:rPr>
        <w:t xml:space="preserve"> : Radio production of The Korean Queer Community, Rainbow Jesus, Rainbow Solidarity for LGBTQI+ Human Rights of Daegu, Our Future Party Gender Equality Committee, Queer In Pusan(QIP), Busan Queer Culture Festival, Seoul Human Rights Film Festival, Seoul Queer Culture Festival Organizing Committee, Yongsan Nanum House - Anglican Church of Korea, Gender Voyager: People against the Gender Binary, The Shop North West : Supporting the rights to know for LGBT, PFLAG Korea : Parents and Families of LGBTAIQ People in Korea, Pinks : Solidarity for Sexually Minor Cultures &amp; Human Rights, </w:t>
      </w:r>
      <w:proofErr w:type="spellStart"/>
      <w:r w:rsidRPr="001965BC">
        <w:rPr>
          <w:rFonts w:eastAsia="Calibri"/>
          <w:sz w:val="18"/>
          <w:szCs w:val="18"/>
        </w:rPr>
        <w:t>Unninetwork</w:t>
      </w:r>
      <w:proofErr w:type="spellEnd"/>
      <w:r w:rsidRPr="001965BC">
        <w:rPr>
          <w:rFonts w:eastAsia="Calibri"/>
          <w:sz w:val="18"/>
          <w:szCs w:val="18"/>
        </w:rPr>
        <w:t>, LGBTQ+ Rights Group ‘</w:t>
      </w:r>
      <w:proofErr w:type="spellStart"/>
      <w:r w:rsidRPr="001965BC">
        <w:rPr>
          <w:rFonts w:eastAsia="Calibri"/>
          <w:sz w:val="18"/>
          <w:szCs w:val="18"/>
        </w:rPr>
        <w:t>Byunnal</w:t>
      </w:r>
      <w:proofErr w:type="spellEnd"/>
      <w:r w:rsidRPr="001965BC">
        <w:rPr>
          <w:rFonts w:eastAsia="Calibri"/>
          <w:sz w:val="18"/>
          <w:szCs w:val="18"/>
        </w:rPr>
        <w:t xml:space="preserve">’ of Ewha </w:t>
      </w:r>
      <w:proofErr w:type="spellStart"/>
      <w:r w:rsidRPr="001965BC">
        <w:rPr>
          <w:rFonts w:eastAsia="Calibri"/>
          <w:sz w:val="18"/>
          <w:szCs w:val="18"/>
        </w:rPr>
        <w:t>Womans</w:t>
      </w:r>
      <w:proofErr w:type="spellEnd"/>
      <w:r w:rsidRPr="001965BC">
        <w:rPr>
          <w:rFonts w:eastAsia="Calibri"/>
          <w:sz w:val="18"/>
          <w:szCs w:val="18"/>
        </w:rPr>
        <w:t xml:space="preserve"> University, Inje University Queer Community IQ, </w:t>
      </w:r>
      <w:proofErr w:type="spellStart"/>
      <w:r w:rsidRPr="001965BC">
        <w:rPr>
          <w:rFonts w:eastAsia="Calibri"/>
          <w:sz w:val="18"/>
          <w:szCs w:val="18"/>
        </w:rPr>
        <w:t>Jeollabuk</w:t>
      </w:r>
      <w:proofErr w:type="spellEnd"/>
      <w:r w:rsidRPr="001965BC">
        <w:rPr>
          <w:rFonts w:eastAsia="Calibri"/>
          <w:sz w:val="18"/>
          <w:szCs w:val="18"/>
        </w:rPr>
        <w:t xml:space="preserve">-do LGBT+ Community Open Door, Sexual Minority Committee of the Justice Party, QUTE : Jeju Queer Community, Network for </w:t>
      </w:r>
      <w:proofErr w:type="spellStart"/>
      <w:r w:rsidRPr="001965BC">
        <w:rPr>
          <w:rFonts w:eastAsia="Calibri"/>
          <w:sz w:val="18"/>
          <w:szCs w:val="18"/>
        </w:rPr>
        <w:t>Glocal</w:t>
      </w:r>
      <w:proofErr w:type="spellEnd"/>
      <w:r w:rsidRPr="001965BC">
        <w:rPr>
          <w:rFonts w:eastAsia="Calibri"/>
          <w:sz w:val="18"/>
          <w:szCs w:val="18"/>
        </w:rPr>
        <w:t xml:space="preserve"> Activism, Human Rights Committee of The Progressive Party, Tulip Solidarity for Transgender Youth Human Rights, LGBTQ Youth Crisis Support Center “</w:t>
      </w:r>
      <w:proofErr w:type="spellStart"/>
      <w:r w:rsidRPr="001965BC">
        <w:rPr>
          <w:rFonts w:eastAsia="Calibri"/>
          <w:sz w:val="18"/>
          <w:szCs w:val="18"/>
        </w:rPr>
        <w:t>DDingDong</w:t>
      </w:r>
      <w:proofErr w:type="spellEnd"/>
      <w:r w:rsidRPr="001965BC">
        <w:rPr>
          <w:rFonts w:eastAsia="Calibri"/>
          <w:sz w:val="18"/>
          <w:szCs w:val="18"/>
        </w:rPr>
        <w:t xml:space="preserve">", Korean Transgender Rights Organization JOGAKBO, The Transgender Liberation Front, Chingusai – Korean Gay Men’s Human Rights Group, Korean Deaf LGBT(Preparatory Committee), Lesbian Counseling Center in South Korea, Korean Sexual-minority Culture and Rights Center(KSCRC), Youth PLHIV Community of Korea R, Solidarity for LGBT Human Rights of Korea, Solidarity for HIV/AIDS Human Rights : </w:t>
      </w:r>
      <w:proofErr w:type="spellStart"/>
      <w:r w:rsidRPr="001965BC">
        <w:rPr>
          <w:rFonts w:eastAsia="Calibri"/>
          <w:sz w:val="18"/>
          <w:szCs w:val="18"/>
        </w:rPr>
        <w:t>Nanuri</w:t>
      </w:r>
      <w:proofErr w:type="spellEnd"/>
      <w:r w:rsidRPr="001965BC">
        <w:rPr>
          <w:rFonts w:eastAsia="Calibri"/>
          <w:sz w:val="18"/>
          <w:szCs w:val="18"/>
        </w:rPr>
        <w:t xml:space="preserve">+ , Youth Queer Cultural Alliance </w:t>
      </w:r>
      <w:proofErr w:type="spellStart"/>
      <w:r w:rsidRPr="001965BC">
        <w:rPr>
          <w:rFonts w:eastAsia="Calibri"/>
          <w:sz w:val="18"/>
          <w:szCs w:val="18"/>
        </w:rPr>
        <w:t>Qsign</w:t>
      </w:r>
      <w:proofErr w:type="spellEnd"/>
      <w:r w:rsidRPr="001965BC">
        <w:rPr>
          <w:rFonts w:eastAsia="Calibri"/>
          <w:sz w:val="18"/>
          <w:szCs w:val="18"/>
        </w:rPr>
        <w:t xml:space="preserve"> (total: 45 organizations and groups)</w:t>
      </w:r>
    </w:p>
    <w:p w14:paraId="28629670" w14:textId="77777777" w:rsidR="00922D85" w:rsidRPr="001965BC" w:rsidRDefault="00922D85">
      <w:pPr>
        <w:rPr>
          <w:rFonts w:eastAsia="Calibri"/>
          <w:sz w:val="18"/>
          <w:szCs w:val="18"/>
        </w:rPr>
      </w:pPr>
    </w:p>
    <w:p w14:paraId="69321C2E" w14:textId="77777777" w:rsidR="00922D85" w:rsidRPr="001965BC" w:rsidRDefault="00000000">
      <w:r w:rsidRPr="001965BC">
        <w:rPr>
          <w:rFonts w:eastAsia="Calibri"/>
        </w:rPr>
        <w:t xml:space="preserve">Contact: </w:t>
      </w:r>
      <w:hyperlink r:id="rId9">
        <w:r w:rsidRPr="001965BC">
          <w:rPr>
            <w:rFonts w:eastAsia="Calibri"/>
            <w:color w:val="0070C0"/>
            <w:u w:val="single"/>
          </w:rPr>
          <w:t>lgbtqact@gmail.com</w:t>
        </w:r>
      </w:hyperlink>
      <w:r w:rsidRPr="001965BC">
        <w:rPr>
          <w:rFonts w:eastAsia="Calibri"/>
        </w:rPr>
        <w:t xml:space="preserve">, </w:t>
      </w:r>
      <w:hyperlink r:id="rId10">
        <w:r w:rsidRPr="001965BC">
          <w:rPr>
            <w:rFonts w:eastAsia="Calibri"/>
            <w:color w:val="0070C0"/>
            <w:u w:val="single"/>
          </w:rPr>
          <w:t>https://lgbtqact.org</w:t>
        </w:r>
      </w:hyperlink>
    </w:p>
    <w:p w14:paraId="426FF437" w14:textId="77777777" w:rsidR="00922D85" w:rsidRPr="001965BC" w:rsidRDefault="00922D85">
      <w:pPr>
        <w:pStyle w:val="1"/>
        <w:spacing w:line="360" w:lineRule="auto"/>
        <w:rPr>
          <w:rFonts w:ascii="Times New Roman" w:hAnsi="Times New Roman" w:cs="Times New Roman"/>
        </w:rPr>
      </w:pPr>
      <w:bookmarkStart w:id="0" w:name="_heading=h.gjdgxs" w:colFirst="0" w:colLast="0"/>
      <w:bookmarkStart w:id="1" w:name="_heading=h.30j0zll" w:colFirst="0" w:colLast="0"/>
      <w:bookmarkEnd w:id="0"/>
      <w:bookmarkEnd w:id="1"/>
    </w:p>
    <w:sdt>
      <w:sdtPr>
        <w:rPr>
          <w:rFonts w:ascii="Times New Roman" w:eastAsiaTheme="minorEastAsia" w:hAnsi="Times New Roman" w:cs="Times New Roman"/>
          <w:color w:val="auto"/>
          <w:sz w:val="24"/>
          <w:szCs w:val="24"/>
          <w:lang w:val="ko-KR"/>
        </w:rPr>
        <w:id w:val="-96563251"/>
        <w:docPartObj>
          <w:docPartGallery w:val="Table of Contents"/>
          <w:docPartUnique/>
        </w:docPartObj>
      </w:sdtPr>
      <w:sdtEndPr>
        <w:rPr>
          <w:b/>
          <w:bCs/>
        </w:rPr>
      </w:sdtEndPr>
      <w:sdtContent>
        <w:p w14:paraId="6C3AB397" w14:textId="55CBB3AC" w:rsidR="001965BC" w:rsidRPr="001965BC" w:rsidRDefault="001965BC">
          <w:pPr>
            <w:pStyle w:val="TOC"/>
            <w:rPr>
              <w:b/>
              <w:bCs/>
            </w:rPr>
          </w:pPr>
        </w:p>
        <w:p w14:paraId="4E863432" w14:textId="186432F4" w:rsidR="001965BC" w:rsidRDefault="001965BC">
          <w:pPr>
            <w:pStyle w:val="10"/>
            <w:tabs>
              <w:tab w:val="right" w:leader="dot" w:pos="9016"/>
            </w:tabs>
            <w:rPr>
              <w:rStyle w:val="a7"/>
              <w:b/>
              <w:bCs/>
              <w:noProof/>
            </w:rPr>
          </w:pPr>
          <w:r w:rsidRPr="001965BC">
            <w:rPr>
              <w:b/>
              <w:bCs/>
            </w:rPr>
            <w:fldChar w:fldCharType="begin"/>
          </w:r>
          <w:r w:rsidRPr="001965BC">
            <w:rPr>
              <w:b/>
              <w:bCs/>
            </w:rPr>
            <w:instrText xml:space="preserve"> TOC \o "1-3" \h \z \u </w:instrText>
          </w:r>
          <w:r w:rsidRPr="001965BC">
            <w:rPr>
              <w:b/>
              <w:bCs/>
            </w:rPr>
            <w:fldChar w:fldCharType="separate"/>
          </w:r>
          <w:hyperlink w:anchor="_Toc164111912" w:history="1">
            <w:r w:rsidRPr="001965BC">
              <w:rPr>
                <w:rStyle w:val="a7"/>
                <w:b/>
                <w:bCs/>
                <w:noProof/>
              </w:rPr>
              <w:t>I. Introduction</w:t>
            </w:r>
            <w:r w:rsidRPr="001965BC">
              <w:rPr>
                <w:b/>
                <w:bCs/>
                <w:noProof/>
                <w:webHidden/>
              </w:rPr>
              <w:tab/>
            </w:r>
            <w:r w:rsidRPr="001965BC">
              <w:rPr>
                <w:b/>
                <w:bCs/>
                <w:noProof/>
                <w:webHidden/>
              </w:rPr>
              <w:fldChar w:fldCharType="begin"/>
            </w:r>
            <w:r w:rsidRPr="001965BC">
              <w:rPr>
                <w:b/>
                <w:bCs/>
                <w:noProof/>
                <w:webHidden/>
              </w:rPr>
              <w:instrText xml:space="preserve"> PAGEREF _Toc164111912 \h </w:instrText>
            </w:r>
            <w:r w:rsidRPr="001965BC">
              <w:rPr>
                <w:b/>
                <w:bCs/>
                <w:noProof/>
                <w:webHidden/>
              </w:rPr>
            </w:r>
            <w:r w:rsidRPr="001965BC">
              <w:rPr>
                <w:b/>
                <w:bCs/>
                <w:noProof/>
                <w:webHidden/>
              </w:rPr>
              <w:fldChar w:fldCharType="separate"/>
            </w:r>
            <w:r w:rsidR="00F40741">
              <w:rPr>
                <w:b/>
                <w:bCs/>
                <w:noProof/>
                <w:webHidden/>
              </w:rPr>
              <w:t>3</w:t>
            </w:r>
            <w:r w:rsidRPr="001965BC">
              <w:rPr>
                <w:b/>
                <w:bCs/>
                <w:noProof/>
                <w:webHidden/>
              </w:rPr>
              <w:fldChar w:fldCharType="end"/>
            </w:r>
          </w:hyperlink>
        </w:p>
        <w:p w14:paraId="0CC33973" w14:textId="77777777" w:rsidR="001965BC" w:rsidRPr="001965BC" w:rsidRDefault="001965BC" w:rsidP="001965BC"/>
        <w:p w14:paraId="0D8D4380" w14:textId="045A36FE" w:rsidR="001965BC" w:rsidRPr="001965BC" w:rsidRDefault="00000000">
          <w:pPr>
            <w:pStyle w:val="10"/>
            <w:tabs>
              <w:tab w:val="right" w:leader="dot" w:pos="9016"/>
            </w:tabs>
            <w:rPr>
              <w:b/>
              <w:bCs/>
              <w:noProof/>
            </w:rPr>
          </w:pPr>
          <w:hyperlink w:anchor="_Toc164111913" w:history="1">
            <w:r w:rsidR="001965BC" w:rsidRPr="001965BC">
              <w:rPr>
                <w:rStyle w:val="a7"/>
                <w:b/>
                <w:bCs/>
                <w:noProof/>
              </w:rPr>
              <w:t>II. Lack of Domestic Protection</w:t>
            </w:r>
            <w:r w:rsidR="001965BC" w:rsidRPr="001965BC">
              <w:rPr>
                <w:b/>
                <w:bCs/>
                <w:noProof/>
                <w:webHidden/>
              </w:rPr>
              <w:tab/>
            </w:r>
            <w:r w:rsidR="001965BC" w:rsidRPr="001965BC">
              <w:rPr>
                <w:b/>
                <w:bCs/>
                <w:noProof/>
                <w:webHidden/>
              </w:rPr>
              <w:fldChar w:fldCharType="begin"/>
            </w:r>
            <w:r w:rsidR="001965BC" w:rsidRPr="001965BC">
              <w:rPr>
                <w:b/>
                <w:bCs/>
                <w:noProof/>
                <w:webHidden/>
              </w:rPr>
              <w:instrText xml:space="preserve"> PAGEREF _Toc164111913 \h </w:instrText>
            </w:r>
            <w:r w:rsidR="001965BC" w:rsidRPr="001965BC">
              <w:rPr>
                <w:b/>
                <w:bCs/>
                <w:noProof/>
                <w:webHidden/>
              </w:rPr>
            </w:r>
            <w:r w:rsidR="001965BC" w:rsidRPr="001965BC">
              <w:rPr>
                <w:b/>
                <w:bCs/>
                <w:noProof/>
                <w:webHidden/>
              </w:rPr>
              <w:fldChar w:fldCharType="separate"/>
            </w:r>
            <w:r w:rsidR="00F40741">
              <w:rPr>
                <w:b/>
                <w:bCs/>
                <w:noProof/>
                <w:webHidden/>
              </w:rPr>
              <w:t>4</w:t>
            </w:r>
            <w:r w:rsidR="001965BC" w:rsidRPr="001965BC">
              <w:rPr>
                <w:b/>
                <w:bCs/>
                <w:noProof/>
                <w:webHidden/>
              </w:rPr>
              <w:fldChar w:fldCharType="end"/>
            </w:r>
          </w:hyperlink>
        </w:p>
        <w:p w14:paraId="7F633719" w14:textId="5244EB2F" w:rsidR="001965BC" w:rsidRPr="001965BC" w:rsidRDefault="00000000">
          <w:pPr>
            <w:pStyle w:val="20"/>
            <w:tabs>
              <w:tab w:val="right" w:leader="dot" w:pos="9016"/>
            </w:tabs>
            <w:ind w:left="480"/>
            <w:rPr>
              <w:b/>
              <w:bCs/>
              <w:noProof/>
            </w:rPr>
          </w:pPr>
          <w:hyperlink w:anchor="_Toc164111914" w:history="1">
            <w:r w:rsidR="001965BC" w:rsidRPr="001965BC">
              <w:rPr>
                <w:rStyle w:val="a7"/>
                <w:b/>
                <w:bCs/>
                <w:noProof/>
              </w:rPr>
              <w:t>A. Anti-discrimination Act</w:t>
            </w:r>
            <w:r w:rsidR="001965BC" w:rsidRPr="001965BC">
              <w:rPr>
                <w:b/>
                <w:bCs/>
                <w:noProof/>
                <w:webHidden/>
              </w:rPr>
              <w:tab/>
            </w:r>
            <w:r w:rsidR="001965BC" w:rsidRPr="001965BC">
              <w:rPr>
                <w:b/>
                <w:bCs/>
                <w:noProof/>
                <w:webHidden/>
              </w:rPr>
              <w:fldChar w:fldCharType="begin"/>
            </w:r>
            <w:r w:rsidR="001965BC" w:rsidRPr="001965BC">
              <w:rPr>
                <w:b/>
                <w:bCs/>
                <w:noProof/>
                <w:webHidden/>
              </w:rPr>
              <w:instrText xml:space="preserve"> PAGEREF _Toc164111914 \h </w:instrText>
            </w:r>
            <w:r w:rsidR="001965BC" w:rsidRPr="001965BC">
              <w:rPr>
                <w:b/>
                <w:bCs/>
                <w:noProof/>
                <w:webHidden/>
              </w:rPr>
            </w:r>
            <w:r w:rsidR="001965BC" w:rsidRPr="001965BC">
              <w:rPr>
                <w:b/>
                <w:bCs/>
                <w:noProof/>
                <w:webHidden/>
              </w:rPr>
              <w:fldChar w:fldCharType="separate"/>
            </w:r>
            <w:r w:rsidR="00F40741">
              <w:rPr>
                <w:b/>
                <w:bCs/>
                <w:noProof/>
                <w:webHidden/>
              </w:rPr>
              <w:t>4</w:t>
            </w:r>
            <w:r w:rsidR="001965BC" w:rsidRPr="001965BC">
              <w:rPr>
                <w:b/>
                <w:bCs/>
                <w:noProof/>
                <w:webHidden/>
              </w:rPr>
              <w:fldChar w:fldCharType="end"/>
            </w:r>
          </w:hyperlink>
        </w:p>
        <w:p w14:paraId="1C45C3BA" w14:textId="334200AA" w:rsidR="001965BC" w:rsidRDefault="00000000">
          <w:pPr>
            <w:pStyle w:val="20"/>
            <w:tabs>
              <w:tab w:val="right" w:leader="dot" w:pos="9016"/>
            </w:tabs>
            <w:ind w:left="480"/>
            <w:rPr>
              <w:rStyle w:val="a7"/>
              <w:b/>
              <w:bCs/>
              <w:noProof/>
            </w:rPr>
          </w:pPr>
          <w:hyperlink w:anchor="_Toc164111915" w:history="1">
            <w:r w:rsidR="001965BC" w:rsidRPr="001965BC">
              <w:rPr>
                <w:rStyle w:val="a7"/>
                <w:b/>
                <w:bCs/>
                <w:noProof/>
              </w:rPr>
              <w:t>B. Exclusion of SOGI from NAP</w:t>
            </w:r>
            <w:r w:rsidR="001965BC" w:rsidRPr="001965BC">
              <w:rPr>
                <w:b/>
                <w:bCs/>
                <w:noProof/>
                <w:webHidden/>
              </w:rPr>
              <w:tab/>
            </w:r>
            <w:r w:rsidR="001965BC" w:rsidRPr="001965BC">
              <w:rPr>
                <w:b/>
                <w:bCs/>
                <w:noProof/>
                <w:webHidden/>
              </w:rPr>
              <w:fldChar w:fldCharType="begin"/>
            </w:r>
            <w:r w:rsidR="001965BC" w:rsidRPr="001965BC">
              <w:rPr>
                <w:b/>
                <w:bCs/>
                <w:noProof/>
                <w:webHidden/>
              </w:rPr>
              <w:instrText xml:space="preserve"> PAGEREF _Toc164111915 \h </w:instrText>
            </w:r>
            <w:r w:rsidR="001965BC" w:rsidRPr="001965BC">
              <w:rPr>
                <w:b/>
                <w:bCs/>
                <w:noProof/>
                <w:webHidden/>
              </w:rPr>
            </w:r>
            <w:r w:rsidR="001965BC" w:rsidRPr="001965BC">
              <w:rPr>
                <w:b/>
                <w:bCs/>
                <w:noProof/>
                <w:webHidden/>
              </w:rPr>
              <w:fldChar w:fldCharType="separate"/>
            </w:r>
            <w:r w:rsidR="00F40741">
              <w:rPr>
                <w:b/>
                <w:bCs/>
                <w:noProof/>
                <w:webHidden/>
              </w:rPr>
              <w:t>5</w:t>
            </w:r>
            <w:r w:rsidR="001965BC" w:rsidRPr="001965BC">
              <w:rPr>
                <w:b/>
                <w:bCs/>
                <w:noProof/>
                <w:webHidden/>
              </w:rPr>
              <w:fldChar w:fldCharType="end"/>
            </w:r>
          </w:hyperlink>
        </w:p>
        <w:p w14:paraId="1320AB0C" w14:textId="77777777" w:rsidR="001965BC" w:rsidRPr="001965BC" w:rsidRDefault="001965BC" w:rsidP="001965BC"/>
        <w:p w14:paraId="3B7283F9" w14:textId="1FFD7439" w:rsidR="001965BC" w:rsidRDefault="00000000">
          <w:pPr>
            <w:pStyle w:val="10"/>
            <w:tabs>
              <w:tab w:val="right" w:leader="dot" w:pos="9016"/>
            </w:tabs>
            <w:rPr>
              <w:rStyle w:val="a7"/>
              <w:b/>
              <w:bCs/>
              <w:noProof/>
            </w:rPr>
          </w:pPr>
          <w:hyperlink w:anchor="_Toc164111916" w:history="1">
            <w:r w:rsidR="001965BC" w:rsidRPr="001965BC">
              <w:rPr>
                <w:rStyle w:val="a7"/>
                <w:b/>
                <w:bCs/>
                <w:noProof/>
              </w:rPr>
              <w:t>III. Stereotypes</w:t>
            </w:r>
            <w:r w:rsidR="001965BC" w:rsidRPr="001965BC">
              <w:rPr>
                <w:b/>
                <w:bCs/>
                <w:noProof/>
                <w:webHidden/>
              </w:rPr>
              <w:tab/>
            </w:r>
            <w:r w:rsidR="001965BC" w:rsidRPr="001965BC">
              <w:rPr>
                <w:b/>
                <w:bCs/>
                <w:noProof/>
                <w:webHidden/>
              </w:rPr>
              <w:fldChar w:fldCharType="begin"/>
            </w:r>
            <w:r w:rsidR="001965BC" w:rsidRPr="001965BC">
              <w:rPr>
                <w:b/>
                <w:bCs/>
                <w:noProof/>
                <w:webHidden/>
              </w:rPr>
              <w:instrText xml:space="preserve"> PAGEREF _Toc164111916 \h </w:instrText>
            </w:r>
            <w:r w:rsidR="001965BC" w:rsidRPr="001965BC">
              <w:rPr>
                <w:b/>
                <w:bCs/>
                <w:noProof/>
                <w:webHidden/>
              </w:rPr>
            </w:r>
            <w:r w:rsidR="001965BC" w:rsidRPr="001965BC">
              <w:rPr>
                <w:b/>
                <w:bCs/>
                <w:noProof/>
                <w:webHidden/>
              </w:rPr>
              <w:fldChar w:fldCharType="separate"/>
            </w:r>
            <w:r w:rsidR="00F40741">
              <w:rPr>
                <w:b/>
                <w:bCs/>
                <w:noProof/>
                <w:webHidden/>
              </w:rPr>
              <w:t>5</w:t>
            </w:r>
            <w:r w:rsidR="001965BC" w:rsidRPr="001965BC">
              <w:rPr>
                <w:b/>
                <w:bCs/>
                <w:noProof/>
                <w:webHidden/>
              </w:rPr>
              <w:fldChar w:fldCharType="end"/>
            </w:r>
          </w:hyperlink>
        </w:p>
        <w:p w14:paraId="50AE6CB4" w14:textId="77777777" w:rsidR="001965BC" w:rsidRPr="001965BC" w:rsidRDefault="001965BC" w:rsidP="001965BC"/>
        <w:p w14:paraId="333DB349" w14:textId="65078FB0" w:rsidR="001965BC" w:rsidRDefault="00000000">
          <w:pPr>
            <w:pStyle w:val="10"/>
            <w:tabs>
              <w:tab w:val="right" w:leader="dot" w:pos="9016"/>
            </w:tabs>
            <w:rPr>
              <w:rStyle w:val="a7"/>
              <w:b/>
              <w:bCs/>
              <w:noProof/>
            </w:rPr>
          </w:pPr>
          <w:hyperlink w:anchor="_Toc164111917" w:history="1">
            <w:r w:rsidR="001965BC" w:rsidRPr="001965BC">
              <w:rPr>
                <w:rStyle w:val="a7"/>
                <w:b/>
                <w:bCs/>
                <w:noProof/>
              </w:rPr>
              <w:t>IV. Gender-based Violence</w:t>
            </w:r>
            <w:r w:rsidR="001965BC" w:rsidRPr="001965BC">
              <w:rPr>
                <w:b/>
                <w:bCs/>
                <w:noProof/>
                <w:webHidden/>
              </w:rPr>
              <w:tab/>
            </w:r>
            <w:r w:rsidR="001965BC" w:rsidRPr="001965BC">
              <w:rPr>
                <w:b/>
                <w:bCs/>
                <w:noProof/>
                <w:webHidden/>
              </w:rPr>
              <w:fldChar w:fldCharType="begin"/>
            </w:r>
            <w:r w:rsidR="001965BC" w:rsidRPr="001965BC">
              <w:rPr>
                <w:b/>
                <w:bCs/>
                <w:noProof/>
                <w:webHidden/>
              </w:rPr>
              <w:instrText xml:space="preserve"> PAGEREF _Toc164111917 \h </w:instrText>
            </w:r>
            <w:r w:rsidR="001965BC" w:rsidRPr="001965BC">
              <w:rPr>
                <w:b/>
                <w:bCs/>
                <w:noProof/>
                <w:webHidden/>
              </w:rPr>
            </w:r>
            <w:r w:rsidR="001965BC" w:rsidRPr="001965BC">
              <w:rPr>
                <w:b/>
                <w:bCs/>
                <w:noProof/>
                <w:webHidden/>
              </w:rPr>
              <w:fldChar w:fldCharType="separate"/>
            </w:r>
            <w:r w:rsidR="00F40741">
              <w:rPr>
                <w:b/>
                <w:bCs/>
                <w:noProof/>
                <w:webHidden/>
              </w:rPr>
              <w:t>6</w:t>
            </w:r>
            <w:r w:rsidR="001965BC" w:rsidRPr="001965BC">
              <w:rPr>
                <w:b/>
                <w:bCs/>
                <w:noProof/>
                <w:webHidden/>
              </w:rPr>
              <w:fldChar w:fldCharType="end"/>
            </w:r>
          </w:hyperlink>
        </w:p>
        <w:p w14:paraId="155D12CC" w14:textId="77777777" w:rsidR="001965BC" w:rsidRPr="001965BC" w:rsidRDefault="001965BC" w:rsidP="001965BC"/>
        <w:p w14:paraId="6113CA77" w14:textId="66877BC0" w:rsidR="001965BC" w:rsidRDefault="00000000">
          <w:pPr>
            <w:pStyle w:val="10"/>
            <w:tabs>
              <w:tab w:val="right" w:leader="dot" w:pos="9016"/>
            </w:tabs>
            <w:rPr>
              <w:rStyle w:val="a7"/>
              <w:b/>
              <w:bCs/>
              <w:noProof/>
            </w:rPr>
          </w:pPr>
          <w:hyperlink w:anchor="_Toc164111918" w:history="1">
            <w:r w:rsidR="001965BC" w:rsidRPr="001965BC">
              <w:rPr>
                <w:rStyle w:val="a7"/>
                <w:b/>
                <w:bCs/>
                <w:noProof/>
              </w:rPr>
              <w:t>V. Education</w:t>
            </w:r>
            <w:r w:rsidR="001965BC" w:rsidRPr="001965BC">
              <w:rPr>
                <w:b/>
                <w:bCs/>
                <w:noProof/>
                <w:webHidden/>
              </w:rPr>
              <w:tab/>
            </w:r>
            <w:r w:rsidR="001965BC" w:rsidRPr="001965BC">
              <w:rPr>
                <w:b/>
                <w:bCs/>
                <w:noProof/>
                <w:webHidden/>
              </w:rPr>
              <w:fldChar w:fldCharType="begin"/>
            </w:r>
            <w:r w:rsidR="001965BC" w:rsidRPr="001965BC">
              <w:rPr>
                <w:b/>
                <w:bCs/>
                <w:noProof/>
                <w:webHidden/>
              </w:rPr>
              <w:instrText xml:space="preserve"> PAGEREF _Toc164111918 \h </w:instrText>
            </w:r>
            <w:r w:rsidR="001965BC" w:rsidRPr="001965BC">
              <w:rPr>
                <w:b/>
                <w:bCs/>
                <w:noProof/>
                <w:webHidden/>
              </w:rPr>
            </w:r>
            <w:r w:rsidR="001965BC" w:rsidRPr="001965BC">
              <w:rPr>
                <w:b/>
                <w:bCs/>
                <w:noProof/>
                <w:webHidden/>
              </w:rPr>
              <w:fldChar w:fldCharType="separate"/>
            </w:r>
            <w:r w:rsidR="00F40741">
              <w:rPr>
                <w:b/>
                <w:bCs/>
                <w:noProof/>
                <w:webHidden/>
              </w:rPr>
              <w:t>7</w:t>
            </w:r>
            <w:r w:rsidR="001965BC" w:rsidRPr="001965BC">
              <w:rPr>
                <w:b/>
                <w:bCs/>
                <w:noProof/>
                <w:webHidden/>
              </w:rPr>
              <w:fldChar w:fldCharType="end"/>
            </w:r>
          </w:hyperlink>
        </w:p>
        <w:p w14:paraId="51EC2E5A" w14:textId="77777777" w:rsidR="001965BC" w:rsidRPr="001965BC" w:rsidRDefault="001965BC" w:rsidP="001965BC"/>
        <w:p w14:paraId="4F4B13FE" w14:textId="774C0C00" w:rsidR="001965BC" w:rsidRPr="001965BC" w:rsidRDefault="00000000">
          <w:pPr>
            <w:pStyle w:val="10"/>
            <w:tabs>
              <w:tab w:val="right" w:leader="dot" w:pos="9016"/>
            </w:tabs>
            <w:rPr>
              <w:b/>
              <w:bCs/>
              <w:noProof/>
            </w:rPr>
          </w:pPr>
          <w:hyperlink w:anchor="_Toc164111919" w:history="1">
            <w:r w:rsidR="001965BC" w:rsidRPr="001965BC">
              <w:rPr>
                <w:rStyle w:val="a7"/>
                <w:b/>
                <w:bCs/>
                <w:noProof/>
              </w:rPr>
              <w:t>VI. Health</w:t>
            </w:r>
            <w:r w:rsidR="001965BC" w:rsidRPr="001965BC">
              <w:rPr>
                <w:b/>
                <w:bCs/>
                <w:noProof/>
                <w:webHidden/>
              </w:rPr>
              <w:tab/>
            </w:r>
            <w:r w:rsidR="001965BC" w:rsidRPr="001965BC">
              <w:rPr>
                <w:b/>
                <w:bCs/>
                <w:noProof/>
                <w:webHidden/>
              </w:rPr>
              <w:fldChar w:fldCharType="begin"/>
            </w:r>
            <w:r w:rsidR="001965BC" w:rsidRPr="001965BC">
              <w:rPr>
                <w:b/>
                <w:bCs/>
                <w:noProof/>
                <w:webHidden/>
              </w:rPr>
              <w:instrText xml:space="preserve"> PAGEREF _Toc164111919 \h </w:instrText>
            </w:r>
            <w:r w:rsidR="001965BC" w:rsidRPr="001965BC">
              <w:rPr>
                <w:b/>
                <w:bCs/>
                <w:noProof/>
                <w:webHidden/>
              </w:rPr>
            </w:r>
            <w:r w:rsidR="001965BC" w:rsidRPr="001965BC">
              <w:rPr>
                <w:b/>
                <w:bCs/>
                <w:noProof/>
                <w:webHidden/>
              </w:rPr>
              <w:fldChar w:fldCharType="separate"/>
            </w:r>
            <w:r w:rsidR="00F40741">
              <w:rPr>
                <w:b/>
                <w:bCs/>
                <w:noProof/>
                <w:webHidden/>
              </w:rPr>
              <w:t>10</w:t>
            </w:r>
            <w:r w:rsidR="001965BC" w:rsidRPr="001965BC">
              <w:rPr>
                <w:b/>
                <w:bCs/>
                <w:noProof/>
                <w:webHidden/>
              </w:rPr>
              <w:fldChar w:fldCharType="end"/>
            </w:r>
          </w:hyperlink>
        </w:p>
        <w:p w14:paraId="0E4ACC2C" w14:textId="1EC11B43" w:rsidR="001965BC" w:rsidRPr="001965BC" w:rsidRDefault="00000000">
          <w:pPr>
            <w:pStyle w:val="20"/>
            <w:tabs>
              <w:tab w:val="right" w:leader="dot" w:pos="9016"/>
            </w:tabs>
            <w:ind w:left="480"/>
            <w:rPr>
              <w:b/>
              <w:bCs/>
              <w:noProof/>
            </w:rPr>
          </w:pPr>
          <w:hyperlink w:anchor="_Toc164111920" w:history="1">
            <w:r w:rsidR="001965BC" w:rsidRPr="001965BC">
              <w:rPr>
                <w:rStyle w:val="a7"/>
                <w:b/>
                <w:bCs/>
                <w:noProof/>
              </w:rPr>
              <w:t>A. Legal Recognition of Gender Identity of Transgender Persons</w:t>
            </w:r>
            <w:r w:rsidR="001965BC" w:rsidRPr="001965BC">
              <w:rPr>
                <w:b/>
                <w:bCs/>
                <w:noProof/>
                <w:webHidden/>
              </w:rPr>
              <w:tab/>
            </w:r>
            <w:r w:rsidR="001965BC" w:rsidRPr="001965BC">
              <w:rPr>
                <w:b/>
                <w:bCs/>
                <w:noProof/>
                <w:webHidden/>
              </w:rPr>
              <w:fldChar w:fldCharType="begin"/>
            </w:r>
            <w:r w:rsidR="001965BC" w:rsidRPr="001965BC">
              <w:rPr>
                <w:b/>
                <w:bCs/>
                <w:noProof/>
                <w:webHidden/>
              </w:rPr>
              <w:instrText xml:space="preserve"> PAGEREF _Toc164111920 \h </w:instrText>
            </w:r>
            <w:r w:rsidR="001965BC" w:rsidRPr="001965BC">
              <w:rPr>
                <w:b/>
                <w:bCs/>
                <w:noProof/>
                <w:webHidden/>
              </w:rPr>
            </w:r>
            <w:r w:rsidR="001965BC" w:rsidRPr="001965BC">
              <w:rPr>
                <w:b/>
                <w:bCs/>
                <w:noProof/>
                <w:webHidden/>
              </w:rPr>
              <w:fldChar w:fldCharType="separate"/>
            </w:r>
            <w:r w:rsidR="00F40741">
              <w:rPr>
                <w:b/>
                <w:bCs/>
                <w:noProof/>
                <w:webHidden/>
              </w:rPr>
              <w:t>10</w:t>
            </w:r>
            <w:r w:rsidR="001965BC" w:rsidRPr="001965BC">
              <w:rPr>
                <w:b/>
                <w:bCs/>
                <w:noProof/>
                <w:webHidden/>
              </w:rPr>
              <w:fldChar w:fldCharType="end"/>
            </w:r>
          </w:hyperlink>
        </w:p>
        <w:p w14:paraId="66875FBE" w14:textId="31B5F54F" w:rsidR="001965BC" w:rsidRPr="001965BC" w:rsidRDefault="00000000">
          <w:pPr>
            <w:pStyle w:val="20"/>
            <w:tabs>
              <w:tab w:val="right" w:leader="dot" w:pos="9016"/>
            </w:tabs>
            <w:ind w:left="480"/>
            <w:rPr>
              <w:b/>
              <w:bCs/>
              <w:noProof/>
            </w:rPr>
          </w:pPr>
          <w:hyperlink w:anchor="_Toc164111921" w:history="1">
            <w:r w:rsidR="001965BC" w:rsidRPr="001965BC">
              <w:rPr>
                <w:rStyle w:val="a7"/>
                <w:b/>
                <w:bCs/>
                <w:noProof/>
              </w:rPr>
              <w:t>B. Rights of Intersex people</w:t>
            </w:r>
            <w:r w:rsidR="001965BC" w:rsidRPr="001965BC">
              <w:rPr>
                <w:b/>
                <w:bCs/>
                <w:noProof/>
                <w:webHidden/>
              </w:rPr>
              <w:tab/>
            </w:r>
            <w:r w:rsidR="001965BC" w:rsidRPr="001965BC">
              <w:rPr>
                <w:b/>
                <w:bCs/>
                <w:noProof/>
                <w:webHidden/>
              </w:rPr>
              <w:fldChar w:fldCharType="begin"/>
            </w:r>
            <w:r w:rsidR="001965BC" w:rsidRPr="001965BC">
              <w:rPr>
                <w:b/>
                <w:bCs/>
                <w:noProof/>
                <w:webHidden/>
              </w:rPr>
              <w:instrText xml:space="preserve"> PAGEREF _Toc164111921 \h </w:instrText>
            </w:r>
            <w:r w:rsidR="001965BC" w:rsidRPr="001965BC">
              <w:rPr>
                <w:b/>
                <w:bCs/>
                <w:noProof/>
                <w:webHidden/>
              </w:rPr>
            </w:r>
            <w:r w:rsidR="001965BC" w:rsidRPr="001965BC">
              <w:rPr>
                <w:b/>
                <w:bCs/>
                <w:noProof/>
                <w:webHidden/>
              </w:rPr>
              <w:fldChar w:fldCharType="separate"/>
            </w:r>
            <w:r w:rsidR="00F40741">
              <w:rPr>
                <w:b/>
                <w:bCs/>
                <w:noProof/>
                <w:webHidden/>
              </w:rPr>
              <w:t>11</w:t>
            </w:r>
            <w:r w:rsidR="001965BC" w:rsidRPr="001965BC">
              <w:rPr>
                <w:b/>
                <w:bCs/>
                <w:noProof/>
                <w:webHidden/>
              </w:rPr>
              <w:fldChar w:fldCharType="end"/>
            </w:r>
          </w:hyperlink>
        </w:p>
        <w:p w14:paraId="7270D8DB" w14:textId="452E95DC" w:rsidR="001965BC" w:rsidRDefault="00000000">
          <w:pPr>
            <w:pStyle w:val="20"/>
            <w:tabs>
              <w:tab w:val="right" w:leader="dot" w:pos="9016"/>
            </w:tabs>
            <w:ind w:left="480"/>
            <w:rPr>
              <w:rStyle w:val="a7"/>
              <w:b/>
              <w:bCs/>
              <w:noProof/>
            </w:rPr>
          </w:pPr>
          <w:hyperlink w:anchor="_Toc164111922" w:history="1">
            <w:r w:rsidR="001965BC" w:rsidRPr="001965BC">
              <w:rPr>
                <w:rStyle w:val="a7"/>
                <w:b/>
                <w:bCs/>
                <w:noProof/>
              </w:rPr>
              <w:t>C. Medical Discrimination Against Women Living with HIV/AIDS</w:t>
            </w:r>
            <w:r w:rsidR="001965BC" w:rsidRPr="001965BC">
              <w:rPr>
                <w:b/>
                <w:bCs/>
                <w:noProof/>
                <w:webHidden/>
              </w:rPr>
              <w:tab/>
            </w:r>
            <w:r w:rsidR="001965BC" w:rsidRPr="001965BC">
              <w:rPr>
                <w:b/>
                <w:bCs/>
                <w:noProof/>
                <w:webHidden/>
              </w:rPr>
              <w:fldChar w:fldCharType="begin"/>
            </w:r>
            <w:r w:rsidR="001965BC" w:rsidRPr="001965BC">
              <w:rPr>
                <w:b/>
                <w:bCs/>
                <w:noProof/>
                <w:webHidden/>
              </w:rPr>
              <w:instrText xml:space="preserve"> PAGEREF _Toc164111922 \h </w:instrText>
            </w:r>
            <w:r w:rsidR="001965BC" w:rsidRPr="001965BC">
              <w:rPr>
                <w:b/>
                <w:bCs/>
                <w:noProof/>
                <w:webHidden/>
              </w:rPr>
            </w:r>
            <w:r w:rsidR="001965BC" w:rsidRPr="001965BC">
              <w:rPr>
                <w:b/>
                <w:bCs/>
                <w:noProof/>
                <w:webHidden/>
              </w:rPr>
              <w:fldChar w:fldCharType="separate"/>
            </w:r>
            <w:r w:rsidR="00F40741">
              <w:rPr>
                <w:b/>
                <w:bCs/>
                <w:noProof/>
                <w:webHidden/>
              </w:rPr>
              <w:t>11</w:t>
            </w:r>
            <w:r w:rsidR="001965BC" w:rsidRPr="001965BC">
              <w:rPr>
                <w:b/>
                <w:bCs/>
                <w:noProof/>
                <w:webHidden/>
              </w:rPr>
              <w:fldChar w:fldCharType="end"/>
            </w:r>
          </w:hyperlink>
        </w:p>
        <w:p w14:paraId="5EFF33E3" w14:textId="77777777" w:rsidR="001965BC" w:rsidRPr="001965BC" w:rsidRDefault="001965BC" w:rsidP="001965BC"/>
        <w:p w14:paraId="6E3C4BC8" w14:textId="2594951B" w:rsidR="001965BC" w:rsidRDefault="00000000">
          <w:pPr>
            <w:pStyle w:val="10"/>
            <w:tabs>
              <w:tab w:val="right" w:leader="dot" w:pos="9016"/>
            </w:tabs>
            <w:rPr>
              <w:rStyle w:val="a7"/>
              <w:b/>
              <w:bCs/>
              <w:noProof/>
            </w:rPr>
          </w:pPr>
          <w:hyperlink w:anchor="_Toc164111923" w:history="1">
            <w:r w:rsidR="001965BC" w:rsidRPr="001965BC">
              <w:rPr>
                <w:rStyle w:val="a7"/>
                <w:b/>
                <w:bCs/>
                <w:noProof/>
              </w:rPr>
              <w:t>VII. Marriage and Family Relations</w:t>
            </w:r>
            <w:r w:rsidR="001965BC" w:rsidRPr="001965BC">
              <w:rPr>
                <w:b/>
                <w:bCs/>
                <w:noProof/>
                <w:webHidden/>
              </w:rPr>
              <w:tab/>
            </w:r>
            <w:r w:rsidR="001965BC" w:rsidRPr="001965BC">
              <w:rPr>
                <w:b/>
                <w:bCs/>
                <w:noProof/>
                <w:webHidden/>
              </w:rPr>
              <w:fldChar w:fldCharType="begin"/>
            </w:r>
            <w:r w:rsidR="001965BC" w:rsidRPr="001965BC">
              <w:rPr>
                <w:b/>
                <w:bCs/>
                <w:noProof/>
                <w:webHidden/>
              </w:rPr>
              <w:instrText xml:space="preserve"> PAGEREF _Toc164111923 \h </w:instrText>
            </w:r>
            <w:r w:rsidR="001965BC" w:rsidRPr="001965BC">
              <w:rPr>
                <w:b/>
                <w:bCs/>
                <w:noProof/>
                <w:webHidden/>
              </w:rPr>
            </w:r>
            <w:r w:rsidR="001965BC" w:rsidRPr="001965BC">
              <w:rPr>
                <w:b/>
                <w:bCs/>
                <w:noProof/>
                <w:webHidden/>
              </w:rPr>
              <w:fldChar w:fldCharType="separate"/>
            </w:r>
            <w:r w:rsidR="00F40741">
              <w:rPr>
                <w:b/>
                <w:bCs/>
                <w:noProof/>
                <w:webHidden/>
              </w:rPr>
              <w:t>13</w:t>
            </w:r>
            <w:r w:rsidR="001965BC" w:rsidRPr="001965BC">
              <w:rPr>
                <w:b/>
                <w:bCs/>
                <w:noProof/>
                <w:webHidden/>
              </w:rPr>
              <w:fldChar w:fldCharType="end"/>
            </w:r>
          </w:hyperlink>
        </w:p>
        <w:p w14:paraId="00240474" w14:textId="77777777" w:rsidR="001965BC" w:rsidRPr="001965BC" w:rsidRDefault="001965BC" w:rsidP="001965BC"/>
        <w:p w14:paraId="1A342C2C" w14:textId="4B875E50" w:rsidR="001965BC" w:rsidRDefault="00000000">
          <w:pPr>
            <w:pStyle w:val="10"/>
            <w:tabs>
              <w:tab w:val="right" w:leader="dot" w:pos="9016"/>
            </w:tabs>
            <w:rPr>
              <w:rStyle w:val="a7"/>
              <w:b/>
              <w:bCs/>
              <w:noProof/>
            </w:rPr>
          </w:pPr>
          <w:hyperlink w:anchor="_Toc164111924" w:history="1">
            <w:r w:rsidR="001965BC" w:rsidRPr="001965BC">
              <w:rPr>
                <w:rStyle w:val="a7"/>
                <w:b/>
                <w:bCs/>
                <w:noProof/>
              </w:rPr>
              <w:t>Suggested Questions</w:t>
            </w:r>
            <w:r w:rsidR="001965BC" w:rsidRPr="001965BC">
              <w:rPr>
                <w:b/>
                <w:bCs/>
                <w:noProof/>
                <w:webHidden/>
              </w:rPr>
              <w:tab/>
            </w:r>
            <w:r w:rsidR="001965BC" w:rsidRPr="001965BC">
              <w:rPr>
                <w:b/>
                <w:bCs/>
                <w:noProof/>
                <w:webHidden/>
              </w:rPr>
              <w:fldChar w:fldCharType="begin"/>
            </w:r>
            <w:r w:rsidR="001965BC" w:rsidRPr="001965BC">
              <w:rPr>
                <w:b/>
                <w:bCs/>
                <w:noProof/>
                <w:webHidden/>
              </w:rPr>
              <w:instrText xml:space="preserve"> PAGEREF _Toc164111924 \h </w:instrText>
            </w:r>
            <w:r w:rsidR="001965BC" w:rsidRPr="001965BC">
              <w:rPr>
                <w:b/>
                <w:bCs/>
                <w:noProof/>
                <w:webHidden/>
              </w:rPr>
            </w:r>
            <w:r w:rsidR="001965BC" w:rsidRPr="001965BC">
              <w:rPr>
                <w:b/>
                <w:bCs/>
                <w:noProof/>
                <w:webHidden/>
              </w:rPr>
              <w:fldChar w:fldCharType="separate"/>
            </w:r>
            <w:r w:rsidR="00F40741">
              <w:rPr>
                <w:b/>
                <w:bCs/>
                <w:noProof/>
                <w:webHidden/>
              </w:rPr>
              <w:t>15</w:t>
            </w:r>
            <w:r w:rsidR="001965BC" w:rsidRPr="001965BC">
              <w:rPr>
                <w:b/>
                <w:bCs/>
                <w:noProof/>
                <w:webHidden/>
              </w:rPr>
              <w:fldChar w:fldCharType="end"/>
            </w:r>
          </w:hyperlink>
        </w:p>
        <w:p w14:paraId="1D42AEDD" w14:textId="77777777" w:rsidR="001965BC" w:rsidRPr="001965BC" w:rsidRDefault="001965BC" w:rsidP="001965BC"/>
        <w:p w14:paraId="5E8F58D8" w14:textId="014F0B1D" w:rsidR="001965BC" w:rsidRPr="001965BC" w:rsidRDefault="00000000">
          <w:pPr>
            <w:pStyle w:val="10"/>
            <w:tabs>
              <w:tab w:val="right" w:leader="dot" w:pos="9016"/>
            </w:tabs>
            <w:rPr>
              <w:b/>
              <w:bCs/>
              <w:noProof/>
            </w:rPr>
          </w:pPr>
          <w:hyperlink w:anchor="_Toc164111925" w:history="1">
            <w:r w:rsidR="001965BC" w:rsidRPr="001965BC">
              <w:rPr>
                <w:rStyle w:val="a7"/>
                <w:b/>
                <w:bCs/>
                <w:noProof/>
              </w:rPr>
              <w:t>Suggested Recommendations</w:t>
            </w:r>
            <w:r w:rsidR="001965BC" w:rsidRPr="001965BC">
              <w:rPr>
                <w:b/>
                <w:bCs/>
                <w:noProof/>
                <w:webHidden/>
              </w:rPr>
              <w:tab/>
            </w:r>
            <w:r w:rsidR="001965BC" w:rsidRPr="001965BC">
              <w:rPr>
                <w:b/>
                <w:bCs/>
                <w:noProof/>
                <w:webHidden/>
              </w:rPr>
              <w:fldChar w:fldCharType="begin"/>
            </w:r>
            <w:r w:rsidR="001965BC" w:rsidRPr="001965BC">
              <w:rPr>
                <w:b/>
                <w:bCs/>
                <w:noProof/>
                <w:webHidden/>
              </w:rPr>
              <w:instrText xml:space="preserve"> PAGEREF _Toc164111925 \h </w:instrText>
            </w:r>
            <w:r w:rsidR="001965BC" w:rsidRPr="001965BC">
              <w:rPr>
                <w:b/>
                <w:bCs/>
                <w:noProof/>
                <w:webHidden/>
              </w:rPr>
            </w:r>
            <w:r w:rsidR="001965BC" w:rsidRPr="001965BC">
              <w:rPr>
                <w:b/>
                <w:bCs/>
                <w:noProof/>
                <w:webHidden/>
              </w:rPr>
              <w:fldChar w:fldCharType="separate"/>
            </w:r>
            <w:r w:rsidR="00F40741">
              <w:rPr>
                <w:b/>
                <w:bCs/>
                <w:noProof/>
                <w:webHidden/>
              </w:rPr>
              <w:t>15</w:t>
            </w:r>
            <w:r w:rsidR="001965BC" w:rsidRPr="001965BC">
              <w:rPr>
                <w:b/>
                <w:bCs/>
                <w:noProof/>
                <w:webHidden/>
              </w:rPr>
              <w:fldChar w:fldCharType="end"/>
            </w:r>
          </w:hyperlink>
        </w:p>
        <w:p w14:paraId="23088AD6" w14:textId="75052074" w:rsidR="001965BC" w:rsidRDefault="001965BC">
          <w:r w:rsidRPr="001965BC">
            <w:rPr>
              <w:b/>
              <w:bCs/>
              <w:lang w:val="ko-KR"/>
            </w:rPr>
            <w:fldChar w:fldCharType="end"/>
          </w:r>
        </w:p>
      </w:sdtContent>
    </w:sdt>
    <w:p w14:paraId="45720A9E" w14:textId="77777777" w:rsidR="00922D85" w:rsidRPr="001965BC" w:rsidRDefault="00000000">
      <w:pPr>
        <w:pStyle w:val="1"/>
        <w:rPr>
          <w:rFonts w:ascii="Times New Roman" w:hAnsi="Times New Roman" w:cs="Times New Roman"/>
        </w:rPr>
      </w:pPr>
      <w:r w:rsidRPr="001965BC">
        <w:rPr>
          <w:rFonts w:ascii="Times New Roman" w:hAnsi="Times New Roman" w:cs="Times New Roman"/>
        </w:rPr>
        <w:br w:type="page"/>
      </w:r>
    </w:p>
    <w:p w14:paraId="430E37EC" w14:textId="77777777" w:rsidR="00922D85" w:rsidRPr="00C242B6" w:rsidRDefault="00000000" w:rsidP="001965BC">
      <w:pPr>
        <w:pStyle w:val="1"/>
        <w:rPr>
          <w:rFonts w:ascii="Times New Roman" w:hAnsi="Times New Roman" w:cs="Times New Roman"/>
        </w:rPr>
      </w:pPr>
      <w:bookmarkStart w:id="2" w:name="_Toc164111912"/>
      <w:r w:rsidRPr="00C242B6">
        <w:rPr>
          <w:rFonts w:ascii="Times New Roman" w:hAnsi="Times New Roman" w:cs="Times New Roman"/>
        </w:rPr>
        <w:lastRenderedPageBreak/>
        <w:t>I. Introduction</w:t>
      </w:r>
      <w:bookmarkEnd w:id="2"/>
      <w:r w:rsidRPr="00C242B6">
        <w:rPr>
          <w:rFonts w:ascii="Times New Roman" w:hAnsi="Times New Roman" w:cs="Times New Roman"/>
        </w:rPr>
        <w:t xml:space="preserve"> </w:t>
      </w:r>
    </w:p>
    <w:p w14:paraId="1384417D" w14:textId="77777777" w:rsidR="00922D85" w:rsidRPr="001965BC" w:rsidRDefault="00922D85">
      <w:pPr>
        <w:rPr>
          <w:rFonts w:eastAsia="Calibri"/>
        </w:rPr>
      </w:pPr>
    </w:p>
    <w:p w14:paraId="53D10956" w14:textId="77777777" w:rsidR="00922D85" w:rsidRPr="001965BC" w:rsidRDefault="00000000">
      <w:pPr>
        <w:numPr>
          <w:ilvl w:val="0"/>
          <w:numId w:val="1"/>
        </w:numPr>
        <w:rPr>
          <w:rFonts w:eastAsia="Calibri"/>
        </w:rPr>
      </w:pPr>
      <w:r w:rsidRPr="001965BC">
        <w:rPr>
          <w:rFonts w:eastAsia="Calibri"/>
        </w:rPr>
        <w:t>The Rainbow Action against Sexual Minority Discrimination (henceforth referred to as “Rainbow Action”) has created and submitted this report for the review of the Republic of Korea’s compliance with the Convention on the Elimination of All Forms of Discrimination against Women. The Rainbow Action is a coalition of 45 NGOs in the Republic of Korea (henceforth referred to as “ROK”) that has advocated the human rights of LGBTI people since 2007.</w:t>
      </w:r>
    </w:p>
    <w:p w14:paraId="15601989" w14:textId="77777777" w:rsidR="00922D85" w:rsidRPr="001965BC" w:rsidRDefault="00922D85">
      <w:pPr>
        <w:ind w:left="425"/>
        <w:rPr>
          <w:rFonts w:eastAsia="Calibri"/>
        </w:rPr>
      </w:pPr>
    </w:p>
    <w:p w14:paraId="22C068D3" w14:textId="77777777" w:rsidR="00922D85" w:rsidRPr="001965BC" w:rsidRDefault="00000000">
      <w:pPr>
        <w:numPr>
          <w:ilvl w:val="0"/>
          <w:numId w:val="1"/>
        </w:numPr>
        <w:rPr>
          <w:rFonts w:eastAsia="Calibri"/>
        </w:rPr>
      </w:pPr>
      <w:r w:rsidRPr="001965BC">
        <w:rPr>
          <w:rFonts w:eastAsia="Calibri"/>
        </w:rPr>
        <w:t>In 2018, the UN Committee on the Elimination of Discrimination against Women highlighted in its concluding observations that the Republic of Korea has a state obligation to prevent and combat discrimination based on sexual orientation and gender identity, and to protect LBTI women from such discrimination. The Committee recommended the following actions:</w:t>
      </w:r>
      <w:r w:rsidRPr="001965BC">
        <w:rPr>
          <w:rFonts w:eastAsia="Calibri"/>
          <w:vertAlign w:val="superscript"/>
        </w:rPr>
        <w:footnoteReference w:id="1"/>
      </w:r>
    </w:p>
    <w:p w14:paraId="4A822824" w14:textId="77777777" w:rsidR="00922D85" w:rsidRPr="001965BC" w:rsidRDefault="00000000">
      <w:pPr>
        <w:spacing w:before="240" w:after="240"/>
        <w:ind w:left="720"/>
        <w:rPr>
          <w:rFonts w:eastAsia="Calibri"/>
        </w:rPr>
      </w:pPr>
      <w:r w:rsidRPr="001965BC">
        <w:rPr>
          <w:rFonts w:eastAsia="Calibri"/>
        </w:rPr>
        <w:t xml:space="preserve">(a)     </w:t>
      </w:r>
      <w:r w:rsidRPr="001965BC">
        <w:rPr>
          <w:rFonts w:eastAsia="Calibri"/>
        </w:rPr>
        <w:tab/>
        <w:t>Adoption of a comprehensive anti-discrimination law that prohibits discrimination based on sexual orientation and gender identity (para. 13);</w:t>
      </w:r>
    </w:p>
    <w:p w14:paraId="7E4ABD79" w14:textId="77777777" w:rsidR="00922D85" w:rsidRPr="001965BC" w:rsidRDefault="00000000">
      <w:pPr>
        <w:spacing w:before="240" w:after="240"/>
        <w:ind w:left="720"/>
        <w:rPr>
          <w:rFonts w:eastAsia="Calibri"/>
        </w:rPr>
      </w:pPr>
      <w:r w:rsidRPr="001965BC">
        <w:rPr>
          <w:rFonts w:eastAsia="Calibri"/>
        </w:rPr>
        <w:t xml:space="preserve">(b)     </w:t>
      </w:r>
      <w:r w:rsidRPr="001965BC">
        <w:rPr>
          <w:rFonts w:eastAsia="Calibri"/>
        </w:rPr>
        <w:tab/>
        <w:t>Extension of domestic violence protection to same-sex couples or families and all women, regardless of their sexual orientation and gender identity (para. 23 (b));</w:t>
      </w:r>
    </w:p>
    <w:p w14:paraId="1453C757" w14:textId="77777777" w:rsidR="00922D85" w:rsidRPr="001965BC" w:rsidRDefault="00000000">
      <w:pPr>
        <w:spacing w:before="240" w:after="240"/>
        <w:ind w:left="720"/>
        <w:rPr>
          <w:rFonts w:eastAsia="Calibri"/>
        </w:rPr>
      </w:pPr>
      <w:r w:rsidRPr="001965BC">
        <w:rPr>
          <w:rFonts w:eastAsia="Calibri"/>
        </w:rPr>
        <w:t xml:space="preserve">(c)     </w:t>
      </w:r>
      <w:r w:rsidRPr="001965BC">
        <w:rPr>
          <w:rFonts w:eastAsia="Calibri"/>
        </w:rPr>
        <w:tab/>
        <w:t>Provision of age-appropriate, evidence-based and scientifically accurate comprehensive sex education (para. 37);</w:t>
      </w:r>
    </w:p>
    <w:p w14:paraId="6D131C29" w14:textId="77777777" w:rsidR="00922D85" w:rsidRPr="001965BC" w:rsidRDefault="00000000">
      <w:pPr>
        <w:spacing w:before="240" w:after="240"/>
        <w:ind w:left="720"/>
        <w:rPr>
          <w:rFonts w:eastAsia="Calibri"/>
        </w:rPr>
      </w:pPr>
      <w:r w:rsidRPr="001965BC">
        <w:rPr>
          <w:rFonts w:eastAsia="Calibri"/>
        </w:rPr>
        <w:t xml:space="preserve">(d)     </w:t>
      </w:r>
      <w:r w:rsidRPr="001965BC">
        <w:rPr>
          <w:rFonts w:eastAsia="Calibri"/>
        </w:rPr>
        <w:tab/>
        <w:t xml:space="preserve">Ensuring transgender individuals’ rights to access medical services, including national health insurance coverage, and protecting intersex persons from involuntary medical interventions (para. 40); </w:t>
      </w:r>
    </w:p>
    <w:p w14:paraId="112C3CA5" w14:textId="77777777" w:rsidR="00922D85" w:rsidRPr="001965BC" w:rsidRDefault="00000000">
      <w:pPr>
        <w:spacing w:before="240" w:after="240"/>
        <w:ind w:left="720"/>
        <w:rPr>
          <w:rFonts w:eastAsia="Calibri"/>
        </w:rPr>
      </w:pPr>
      <w:r w:rsidRPr="001965BC">
        <w:rPr>
          <w:rFonts w:eastAsia="Calibri"/>
        </w:rPr>
        <w:t xml:space="preserve">(e)     </w:t>
      </w:r>
      <w:r w:rsidRPr="001965BC">
        <w:rPr>
          <w:rFonts w:eastAsia="Calibri"/>
        </w:rPr>
        <w:tab/>
        <w:t>Extending social and economic protection to women in de facto unions (para. 47).</w:t>
      </w:r>
    </w:p>
    <w:p w14:paraId="691F4135" w14:textId="77777777" w:rsidR="00922D85" w:rsidRPr="001965BC" w:rsidRDefault="00922D85">
      <w:pPr>
        <w:rPr>
          <w:rFonts w:eastAsia="Calibri"/>
        </w:rPr>
      </w:pPr>
    </w:p>
    <w:p w14:paraId="6F158217" w14:textId="77777777" w:rsidR="00922D85" w:rsidRPr="001965BC" w:rsidRDefault="00000000">
      <w:pPr>
        <w:numPr>
          <w:ilvl w:val="0"/>
          <w:numId w:val="1"/>
        </w:numPr>
        <w:rPr>
          <w:rFonts w:eastAsia="Calibri"/>
        </w:rPr>
      </w:pPr>
      <w:r w:rsidRPr="001965BC">
        <w:rPr>
          <w:rFonts w:eastAsia="Calibri"/>
        </w:rPr>
        <w:t xml:space="preserve">Specifically, during the eighth review, the Committee requested the ROK to provide information on the implementation of three specific recommendations within two years of the adoption of the concluding observations (para. 52). These recommendations include “Adoption of a comprehensive anti-discrimination law.” In its follow-up letter to the ROK, the Committee noted that this recommendation </w:t>
      </w:r>
      <w:r w:rsidRPr="001965BC">
        <w:rPr>
          <w:rFonts w:eastAsia="Calibri"/>
          <w:b/>
        </w:rPr>
        <w:t>has not been implemented</w:t>
      </w:r>
      <w:r w:rsidRPr="001965BC">
        <w:rPr>
          <w:rFonts w:eastAsia="Calibri"/>
        </w:rPr>
        <w:t xml:space="preserve">. </w:t>
      </w:r>
    </w:p>
    <w:p w14:paraId="272CA584" w14:textId="77777777" w:rsidR="00922D85" w:rsidRPr="001965BC" w:rsidRDefault="00922D85">
      <w:pPr>
        <w:ind w:left="425"/>
        <w:rPr>
          <w:rFonts w:eastAsia="Calibri"/>
        </w:rPr>
      </w:pPr>
    </w:p>
    <w:p w14:paraId="76D687D9" w14:textId="77777777" w:rsidR="00922D85" w:rsidRPr="001965BC" w:rsidRDefault="00000000">
      <w:pPr>
        <w:numPr>
          <w:ilvl w:val="0"/>
          <w:numId w:val="1"/>
        </w:numPr>
        <w:rPr>
          <w:rFonts w:eastAsia="Calibri"/>
        </w:rPr>
      </w:pPr>
      <w:r w:rsidRPr="001965BC">
        <w:rPr>
          <w:rFonts w:eastAsia="Calibri"/>
        </w:rPr>
        <w:t>Furthermore, the Republic of Korea has not implemented any of the Committee's recommendations regarding the protection of LBTI women from discrimination.</w:t>
      </w:r>
    </w:p>
    <w:p w14:paraId="1F269A4D" w14:textId="77777777" w:rsidR="00922D85" w:rsidRPr="001965BC" w:rsidRDefault="00922D85">
      <w:pPr>
        <w:ind w:left="425"/>
        <w:rPr>
          <w:rFonts w:eastAsia="Calibri"/>
        </w:rPr>
      </w:pPr>
    </w:p>
    <w:p w14:paraId="26FA493A" w14:textId="77777777" w:rsidR="00922D85" w:rsidRPr="001965BC" w:rsidRDefault="00000000">
      <w:pPr>
        <w:numPr>
          <w:ilvl w:val="0"/>
          <w:numId w:val="1"/>
        </w:numPr>
        <w:rPr>
          <w:rFonts w:eastAsia="Calibri"/>
        </w:rPr>
      </w:pPr>
      <w:r w:rsidRPr="001965BC">
        <w:rPr>
          <w:rFonts w:eastAsia="Calibri"/>
        </w:rPr>
        <w:t>While the State Party continues to refuse to implement the relevant recommendations on discrimination and fails to comply with its Convention obligations, the Rainbow Action seeks to provide the Committee with additional information on violations of rights related to the Convention in terms of sexual orientation, gender identity, and HIV status through this report.</w:t>
      </w:r>
    </w:p>
    <w:p w14:paraId="6AD7F3F5" w14:textId="77777777" w:rsidR="00922D85" w:rsidRPr="001965BC" w:rsidRDefault="00922D85"/>
    <w:p w14:paraId="79B6FF8D" w14:textId="77777777" w:rsidR="00922D85" w:rsidRPr="001965BC" w:rsidRDefault="00000000">
      <w:pPr>
        <w:pStyle w:val="1"/>
        <w:rPr>
          <w:rFonts w:ascii="Times New Roman" w:hAnsi="Times New Roman" w:cs="Times New Roman"/>
        </w:rPr>
      </w:pPr>
      <w:bookmarkStart w:id="3" w:name="_Toc164111913"/>
      <w:r w:rsidRPr="001965BC">
        <w:rPr>
          <w:rFonts w:ascii="Times New Roman" w:hAnsi="Times New Roman" w:cs="Times New Roman"/>
        </w:rPr>
        <w:t>II. Lack of Domestic Protection</w:t>
      </w:r>
      <w:bookmarkEnd w:id="3"/>
    </w:p>
    <w:p w14:paraId="7C76C6AB" w14:textId="77777777" w:rsidR="00922D85" w:rsidRPr="001965BC" w:rsidRDefault="00000000">
      <w:pPr>
        <w:pStyle w:val="2"/>
        <w:rPr>
          <w:rFonts w:ascii="Times New Roman" w:hAnsi="Times New Roman" w:cs="Times New Roman"/>
        </w:rPr>
      </w:pPr>
      <w:bookmarkStart w:id="4" w:name="_Toc164111914"/>
      <w:r w:rsidRPr="001965BC">
        <w:rPr>
          <w:rFonts w:ascii="Times New Roman" w:hAnsi="Times New Roman" w:cs="Times New Roman"/>
        </w:rPr>
        <w:t>A. Anti-discrimination Act</w:t>
      </w:r>
      <w:bookmarkEnd w:id="4"/>
    </w:p>
    <w:p w14:paraId="73B09776" w14:textId="77777777" w:rsidR="00922D85" w:rsidRPr="001965BC" w:rsidRDefault="00922D85"/>
    <w:p w14:paraId="58AF881F" w14:textId="77777777" w:rsidR="00922D85" w:rsidRPr="001965BC" w:rsidRDefault="00000000">
      <w:pPr>
        <w:numPr>
          <w:ilvl w:val="0"/>
          <w:numId w:val="1"/>
        </w:numPr>
        <w:rPr>
          <w:rFonts w:eastAsia="Calibri"/>
        </w:rPr>
      </w:pPr>
      <w:r w:rsidRPr="001965BC">
        <w:rPr>
          <w:rFonts w:eastAsia="Calibri"/>
        </w:rPr>
        <w:t>UN human rights institutions</w:t>
      </w:r>
      <w:r w:rsidRPr="001965BC">
        <w:rPr>
          <w:rFonts w:eastAsia="Calibri"/>
          <w:sz w:val="22"/>
          <w:szCs w:val="22"/>
          <w:vertAlign w:val="superscript"/>
        </w:rPr>
        <w:footnoteReference w:id="2"/>
      </w:r>
      <w:r w:rsidRPr="001965BC">
        <w:rPr>
          <w:rFonts w:eastAsia="Calibri"/>
          <w:sz w:val="22"/>
          <w:szCs w:val="22"/>
          <w:vertAlign w:val="superscript"/>
        </w:rPr>
        <w:footnoteReference w:id="3"/>
      </w:r>
      <w:r w:rsidRPr="001965BC">
        <w:rPr>
          <w:rFonts w:eastAsia="Calibri"/>
          <w:sz w:val="22"/>
          <w:szCs w:val="22"/>
          <w:vertAlign w:val="superscript"/>
        </w:rPr>
        <w:footnoteReference w:id="4"/>
      </w:r>
      <w:r w:rsidRPr="001965BC">
        <w:rPr>
          <w:rFonts w:eastAsia="Calibri"/>
          <w:sz w:val="22"/>
          <w:szCs w:val="22"/>
          <w:vertAlign w:val="superscript"/>
        </w:rPr>
        <w:footnoteReference w:id="5"/>
      </w:r>
      <w:r w:rsidRPr="001965BC">
        <w:rPr>
          <w:rFonts w:eastAsia="Calibri"/>
          <w:sz w:val="22"/>
          <w:szCs w:val="22"/>
          <w:vertAlign w:val="superscript"/>
        </w:rPr>
        <w:footnoteReference w:id="6"/>
      </w:r>
      <w:r w:rsidRPr="001965BC">
        <w:rPr>
          <w:rFonts w:eastAsia="Calibri"/>
          <w:sz w:val="22"/>
          <w:szCs w:val="22"/>
          <w:vertAlign w:val="superscript"/>
        </w:rPr>
        <w:footnoteReference w:id="7"/>
      </w:r>
      <w:r w:rsidRPr="001965BC">
        <w:rPr>
          <w:rFonts w:eastAsia="Calibri"/>
          <w:sz w:val="22"/>
          <w:szCs w:val="22"/>
          <w:vertAlign w:val="superscript"/>
        </w:rPr>
        <w:footnoteReference w:id="8"/>
      </w:r>
      <w:r w:rsidRPr="001965BC">
        <w:rPr>
          <w:rFonts w:eastAsia="Calibri"/>
          <w:sz w:val="22"/>
          <w:szCs w:val="22"/>
          <w:vertAlign w:val="superscript"/>
        </w:rPr>
        <w:footnoteReference w:id="9"/>
      </w:r>
      <w:r w:rsidRPr="001965BC">
        <w:rPr>
          <w:rFonts w:eastAsia="Calibri"/>
        </w:rPr>
        <w:t xml:space="preserve"> and the UPR in 2nd, 3rd, and 4th cycle</w:t>
      </w:r>
      <w:r w:rsidRPr="001965BC">
        <w:rPr>
          <w:rFonts w:eastAsia="Calibri"/>
          <w:sz w:val="18"/>
          <w:szCs w:val="18"/>
          <w:vertAlign w:val="superscript"/>
        </w:rPr>
        <w:footnoteReference w:id="10"/>
      </w:r>
      <w:r w:rsidRPr="001965BC">
        <w:rPr>
          <w:rFonts w:eastAsia="Calibri"/>
          <w:sz w:val="18"/>
          <w:szCs w:val="18"/>
          <w:vertAlign w:val="superscript"/>
        </w:rPr>
        <w:footnoteReference w:id="11"/>
      </w:r>
      <w:r w:rsidRPr="001965BC">
        <w:rPr>
          <w:rFonts w:eastAsia="Calibri"/>
          <w:sz w:val="18"/>
          <w:szCs w:val="18"/>
          <w:vertAlign w:val="superscript"/>
        </w:rPr>
        <w:footnoteReference w:id="12"/>
      </w:r>
      <w:r w:rsidRPr="001965BC">
        <w:rPr>
          <w:rFonts w:eastAsia="Calibri"/>
        </w:rPr>
        <w:t xml:space="preserve"> have recommended the ROK to legislate a comprehensive anti-discrimination act.  However, 15 years after the first attempt to legislate the bill in 2007, the comprehensive anti-</w:t>
      </w:r>
      <w:r w:rsidRPr="001965BC">
        <w:rPr>
          <w:rFonts w:eastAsia="Calibri"/>
        </w:rPr>
        <w:lastRenderedPageBreak/>
        <w:t xml:space="preserve">discrimination act has not yet been enacted. Currently, four bills have been proposed in the National Assembly. In addition, a public petition, signed by 100,000 people, demanding the enactment of the bill has also been submitted to the National Assembly. Nevertheless, the NA continues to delay the legislative process on the bill. Despite the fact that the two activists fought a hunger strike for 46 days to urge the enactment, the NA has not started any specific legislative process except for one public hearing.   </w:t>
      </w:r>
    </w:p>
    <w:p w14:paraId="6105E9A6" w14:textId="77777777" w:rsidR="00922D85" w:rsidRPr="001965BC" w:rsidRDefault="00922D85">
      <w:pPr>
        <w:rPr>
          <w:rFonts w:eastAsia="Calibri"/>
        </w:rPr>
      </w:pPr>
    </w:p>
    <w:p w14:paraId="3AE15DB9" w14:textId="77777777" w:rsidR="00922D85" w:rsidRPr="001965BC" w:rsidRDefault="00000000">
      <w:pPr>
        <w:pStyle w:val="2"/>
        <w:rPr>
          <w:rFonts w:ascii="Times New Roman" w:hAnsi="Times New Roman" w:cs="Times New Roman"/>
          <w:b w:val="0"/>
          <w:sz w:val="24"/>
          <w:szCs w:val="24"/>
        </w:rPr>
      </w:pPr>
      <w:bookmarkStart w:id="5" w:name="_Toc164111915"/>
      <w:r w:rsidRPr="001965BC">
        <w:rPr>
          <w:rFonts w:ascii="Times New Roman" w:hAnsi="Times New Roman" w:cs="Times New Roman"/>
        </w:rPr>
        <w:t>B. Exclusion of SOGI from NAP</w:t>
      </w:r>
      <w:bookmarkEnd w:id="5"/>
      <w:r w:rsidRPr="001965BC">
        <w:rPr>
          <w:rFonts w:ascii="Times New Roman" w:hAnsi="Times New Roman" w:cs="Times New Roman"/>
        </w:rPr>
        <w:t xml:space="preserve"> </w:t>
      </w:r>
    </w:p>
    <w:p w14:paraId="72D54291" w14:textId="77777777" w:rsidR="00922D85" w:rsidRPr="001965BC" w:rsidRDefault="00922D85">
      <w:pPr>
        <w:rPr>
          <w:rFonts w:eastAsia="Calibri"/>
        </w:rPr>
      </w:pPr>
    </w:p>
    <w:p w14:paraId="7A67B600" w14:textId="77777777" w:rsidR="00922D85" w:rsidRPr="001965BC" w:rsidRDefault="00000000">
      <w:pPr>
        <w:numPr>
          <w:ilvl w:val="0"/>
          <w:numId w:val="1"/>
        </w:numPr>
        <w:pBdr>
          <w:top w:val="nil"/>
          <w:left w:val="nil"/>
          <w:bottom w:val="nil"/>
          <w:right w:val="nil"/>
          <w:between w:val="nil"/>
        </w:pBdr>
        <w:rPr>
          <w:rFonts w:eastAsia="Calibri"/>
        </w:rPr>
      </w:pPr>
      <w:r w:rsidRPr="001965BC">
        <w:rPr>
          <w:rFonts w:eastAsia="Calibri"/>
        </w:rPr>
        <w:t>On March 27, 2024, the Ministry of Justice announced the fourth National Human Rights Plans of Action (2023-2027)</w:t>
      </w:r>
      <w:r w:rsidRPr="001965BC">
        <w:rPr>
          <w:rFonts w:eastAsia="Calibri"/>
          <w:vertAlign w:val="superscript"/>
        </w:rPr>
        <w:footnoteReference w:id="13"/>
      </w:r>
      <w:r w:rsidRPr="001965BC">
        <w:rPr>
          <w:rFonts w:eastAsia="Calibri"/>
        </w:rPr>
        <w:t>. While specific policy tasks were outlined for various minority groups such as women, children and adolescents, persons with disabilities, the elderly, migrants and overseas Koreans, and North Korean defectors under the policy objective of "strengthening the protection of human rights of social minorities and vulnerable groups," no policy tasks concerning sexual minorities were delineated. Additionally, there was a notable absence of any mention of SOGI across all policy tasks.</w:t>
      </w:r>
    </w:p>
    <w:p w14:paraId="77BE0B9E" w14:textId="77777777" w:rsidR="00922D85" w:rsidRPr="001965BC" w:rsidRDefault="00922D85">
      <w:pPr>
        <w:rPr>
          <w:rFonts w:eastAsia="Calibri"/>
        </w:rPr>
      </w:pPr>
    </w:p>
    <w:p w14:paraId="50D0A2B6" w14:textId="77777777" w:rsidR="00922D85" w:rsidRPr="001965BC" w:rsidRDefault="00000000">
      <w:pPr>
        <w:pStyle w:val="1"/>
        <w:rPr>
          <w:rFonts w:ascii="Times New Roman" w:hAnsi="Times New Roman" w:cs="Times New Roman"/>
        </w:rPr>
      </w:pPr>
      <w:bookmarkStart w:id="6" w:name="_Toc164111916"/>
      <w:r w:rsidRPr="001965BC">
        <w:rPr>
          <w:rFonts w:ascii="Times New Roman" w:hAnsi="Times New Roman" w:cs="Times New Roman"/>
        </w:rPr>
        <w:t>III. Stereotypes</w:t>
      </w:r>
      <w:bookmarkEnd w:id="6"/>
    </w:p>
    <w:p w14:paraId="6EFEF2C3" w14:textId="77777777" w:rsidR="00922D85" w:rsidRPr="001965BC" w:rsidRDefault="00000000">
      <w:pPr>
        <w:numPr>
          <w:ilvl w:val="0"/>
          <w:numId w:val="1"/>
        </w:numPr>
        <w:rPr>
          <w:rFonts w:eastAsia="Calibri"/>
        </w:rPr>
      </w:pPr>
      <w:r w:rsidRPr="001965BC">
        <w:rPr>
          <w:rFonts w:eastAsia="Calibri"/>
        </w:rPr>
        <w:t>The local governments interrupted many local queer culture festivals or pride events, such as in Daegu, Busan, and Seoul. During the 2023 Daegu Queer Culture Festival, the Daegu Metropolitan Government and Daegu Jung-</w:t>
      </w:r>
      <w:proofErr w:type="spellStart"/>
      <w:r w:rsidRPr="001965BC">
        <w:rPr>
          <w:rFonts w:eastAsia="Calibri"/>
        </w:rPr>
        <w:t>gu</w:t>
      </w:r>
      <w:proofErr w:type="spellEnd"/>
      <w:r w:rsidRPr="001965BC">
        <w:rPr>
          <w:rFonts w:eastAsia="Calibri"/>
        </w:rPr>
        <w:t xml:space="preserve"> Office asserted that the "unauthorized occupation of roads without permission from local governments is illegal," announcing their intent to enforce administrative measures</w:t>
      </w:r>
      <w:r w:rsidRPr="001965BC">
        <w:rPr>
          <w:rFonts w:eastAsia="Calibri"/>
          <w:vertAlign w:val="superscript"/>
        </w:rPr>
        <w:footnoteReference w:id="14"/>
      </w:r>
      <w:r w:rsidRPr="001965BC">
        <w:rPr>
          <w:rFonts w:eastAsia="Calibri"/>
        </w:rPr>
        <w:t>. This sparked conflicts between the Daegu Metropolitan Police Agency, aiming to safeguard the freedom of assembly, and municipal officials from city hall. The queer culture festival in Busan was even canceled in 2019.</w:t>
      </w:r>
      <w:r w:rsidRPr="001965BC">
        <w:rPr>
          <w:rFonts w:eastAsia="Calibri"/>
          <w:vertAlign w:val="superscript"/>
        </w:rPr>
        <w:footnoteReference w:id="15"/>
      </w:r>
      <w:r w:rsidRPr="001965BC">
        <w:rPr>
          <w:rFonts w:eastAsia="Calibri"/>
        </w:rPr>
        <w:t xml:space="preserve"> In 2023 and 2024, the SMG disapproved of the use of Seoul Plaza for the Seoul Queer Culture Festival. The Seoul Queer Culture Festival has been held at Seoul Plaza since 2015, but it had to be held elsewhere by the discriminatory administration of the SMG.</w:t>
      </w:r>
      <w:r w:rsidRPr="001965BC">
        <w:rPr>
          <w:rFonts w:eastAsia="Calibri"/>
          <w:vertAlign w:val="superscript"/>
        </w:rPr>
        <w:footnoteReference w:id="16"/>
      </w:r>
      <w:r w:rsidRPr="001965BC">
        <w:rPr>
          <w:rFonts w:eastAsia="Calibri"/>
          <w:vertAlign w:val="superscript"/>
        </w:rPr>
        <w:t xml:space="preserve"> </w:t>
      </w:r>
    </w:p>
    <w:p w14:paraId="45B40A17" w14:textId="77777777" w:rsidR="00922D85" w:rsidRPr="001965BC" w:rsidRDefault="00922D85">
      <w:pPr>
        <w:rPr>
          <w:rFonts w:eastAsia="Calibri"/>
        </w:rPr>
      </w:pPr>
    </w:p>
    <w:p w14:paraId="26F3F9E3" w14:textId="77777777" w:rsidR="00922D85" w:rsidRPr="00C242B6" w:rsidRDefault="00000000">
      <w:pPr>
        <w:widowControl/>
        <w:numPr>
          <w:ilvl w:val="0"/>
          <w:numId w:val="1"/>
        </w:numPr>
        <w:spacing w:before="240" w:after="240" w:line="360" w:lineRule="auto"/>
        <w:rPr>
          <w:rFonts w:eastAsia="Calibri"/>
        </w:rPr>
      </w:pPr>
      <w:r w:rsidRPr="001965BC">
        <w:rPr>
          <w:rFonts w:eastAsia="Calibri"/>
        </w:rPr>
        <w:t xml:space="preserve">A political party whose platform consists of discrimination against minorities, the Liberty Unification Party, emerged in the National Assembly elections (general elections) held in April 2020. It called for “repeal of the anti-discrimination laws that restrict the value of freedom” and “abolition of homosexuality laws (marriage equality) that promote family breakdown” to the public through campaign bulletins. In the end, the Liberty Unification Party won 2.26% of the total votes in the party vote, thus failing to reach 3%, the lowest requirement for obtaining one seat in the legislature. Nevertheless, this was a high figure compared to other minor parties. </w:t>
      </w:r>
    </w:p>
    <w:p w14:paraId="0CD00F2F" w14:textId="77777777" w:rsidR="00C242B6" w:rsidRPr="001965BC" w:rsidRDefault="00C242B6" w:rsidP="00C242B6">
      <w:pPr>
        <w:widowControl/>
        <w:spacing w:before="240" w:after="240" w:line="360" w:lineRule="auto"/>
        <w:rPr>
          <w:rFonts w:eastAsia="Calibri"/>
        </w:rPr>
      </w:pPr>
    </w:p>
    <w:p w14:paraId="78C631A8" w14:textId="77777777" w:rsidR="00922D85" w:rsidRPr="001965BC" w:rsidRDefault="00000000">
      <w:pPr>
        <w:pStyle w:val="1"/>
        <w:rPr>
          <w:rFonts w:ascii="Times New Roman" w:hAnsi="Times New Roman" w:cs="Times New Roman"/>
        </w:rPr>
      </w:pPr>
      <w:bookmarkStart w:id="7" w:name="_Toc164111917"/>
      <w:r w:rsidRPr="001965BC">
        <w:rPr>
          <w:rFonts w:ascii="Times New Roman" w:hAnsi="Times New Roman" w:cs="Times New Roman"/>
        </w:rPr>
        <w:t>IV. Gender-based Violence</w:t>
      </w:r>
      <w:bookmarkEnd w:id="7"/>
    </w:p>
    <w:p w14:paraId="666C0313" w14:textId="77777777" w:rsidR="00922D85" w:rsidRPr="001965BC" w:rsidRDefault="00922D85">
      <w:pPr>
        <w:ind w:left="425"/>
        <w:rPr>
          <w:rFonts w:eastAsia="Calibri"/>
        </w:rPr>
      </w:pPr>
    </w:p>
    <w:p w14:paraId="58BED248" w14:textId="77777777" w:rsidR="00922D85" w:rsidRPr="001965BC" w:rsidRDefault="00000000">
      <w:pPr>
        <w:numPr>
          <w:ilvl w:val="0"/>
          <w:numId w:val="1"/>
        </w:numPr>
        <w:rPr>
          <w:rFonts w:eastAsia="Calibri"/>
        </w:rPr>
      </w:pPr>
      <w:r w:rsidRPr="001965BC">
        <w:rPr>
          <w:rFonts w:eastAsia="Calibri"/>
        </w:rPr>
        <w:t>LGBTI persons in the ROK experience discrimination based on aspects such as physical appearance, attire, and mannerisms that differ from their sex assigned at birth in working conditions and environments, including the job-seeking and hiring processes and daily life at the workplace. According to a 2014 survey conducted by the NHRCK,</w:t>
      </w:r>
      <w:r w:rsidRPr="001965BC">
        <w:rPr>
          <w:rFonts w:eastAsia="Calibri"/>
          <w:vertAlign w:val="superscript"/>
        </w:rPr>
        <w:footnoteReference w:id="17"/>
      </w:r>
      <w:r w:rsidRPr="001965BC">
        <w:rPr>
          <w:rFonts w:eastAsia="Calibri"/>
        </w:rPr>
        <w:t xml:space="preserve"> 41%, 11.4%, 14.1%, and 7.4% of the total respondents had experienced workplace harassment, sexual harassment, recommended resignation/dismissal, and voluntary retirement, respectively. </w:t>
      </w:r>
    </w:p>
    <w:p w14:paraId="2B9600F4" w14:textId="77777777" w:rsidR="00922D85" w:rsidRPr="001965BC" w:rsidRDefault="00922D85">
      <w:pPr>
        <w:ind w:left="425"/>
        <w:rPr>
          <w:rFonts w:eastAsia="Calibri"/>
        </w:rPr>
      </w:pPr>
    </w:p>
    <w:p w14:paraId="34AF6097" w14:textId="77777777" w:rsidR="00922D85" w:rsidRPr="001965BC" w:rsidRDefault="00000000">
      <w:pPr>
        <w:numPr>
          <w:ilvl w:val="0"/>
          <w:numId w:val="1"/>
        </w:numPr>
        <w:rPr>
          <w:rFonts w:eastAsia="Calibri"/>
        </w:rPr>
      </w:pPr>
      <w:r w:rsidRPr="001965BC">
        <w:rPr>
          <w:rFonts w:eastAsia="Calibri"/>
        </w:rPr>
        <w:t>Even among LGBTI persons, transgender persons face especially severe discrimination. According to a survey in 2020, 57.1% of respondents have ever given up applying for a job due to their transgender identity among those who have done job-seeking activity during the past five years.</w:t>
      </w:r>
      <w:r w:rsidRPr="001965BC">
        <w:rPr>
          <w:rFonts w:eastAsia="Calibri"/>
          <w:vertAlign w:val="superscript"/>
        </w:rPr>
        <w:footnoteReference w:id="18"/>
      </w:r>
      <w:r w:rsidRPr="001965BC">
        <w:rPr>
          <w:rFonts w:eastAsia="Calibri"/>
        </w:rPr>
        <w:t xml:space="preserve"> In the same survey, 43.6% of transgender workers reported experiences of workplace discrimination and harassment.</w:t>
      </w:r>
      <w:r w:rsidRPr="001965BC">
        <w:rPr>
          <w:rFonts w:eastAsia="Calibri"/>
          <w:vertAlign w:val="superscript"/>
        </w:rPr>
        <w:footnoteReference w:id="19"/>
      </w:r>
    </w:p>
    <w:p w14:paraId="4719536D" w14:textId="77777777" w:rsidR="00922D85" w:rsidRPr="001965BC" w:rsidRDefault="00922D85">
      <w:pPr>
        <w:ind w:left="425"/>
        <w:rPr>
          <w:rFonts w:eastAsia="Calibri"/>
        </w:rPr>
      </w:pPr>
    </w:p>
    <w:p w14:paraId="31A25CE2" w14:textId="77777777" w:rsidR="00922D85" w:rsidRPr="001965BC" w:rsidRDefault="00000000">
      <w:pPr>
        <w:numPr>
          <w:ilvl w:val="0"/>
          <w:numId w:val="1"/>
        </w:numPr>
        <w:rPr>
          <w:rFonts w:eastAsia="Calibri"/>
        </w:rPr>
      </w:pPr>
      <w:r w:rsidRPr="001965BC">
        <w:rPr>
          <w:rFonts w:eastAsia="Calibri"/>
        </w:rPr>
        <w:t xml:space="preserve">Article 2(2) of The Act on the Prevention of Spousal Violence and the Protection of Victims defines “the members of the household” but the definition does not cover the relationships beyond marital relationship and de facto. While the law is not explicitly </w:t>
      </w:r>
      <w:r w:rsidRPr="001965BC">
        <w:rPr>
          <w:rFonts w:eastAsia="Calibri"/>
        </w:rPr>
        <w:lastRenderedPageBreak/>
        <w:t>confined to different-sex couples, law enforcement officials don’t apply the anti-violence provisions to non-married same-sex couples.</w:t>
      </w:r>
    </w:p>
    <w:p w14:paraId="3CD20D3D" w14:textId="77777777" w:rsidR="00922D85" w:rsidRPr="001965BC" w:rsidRDefault="00922D85">
      <w:pPr>
        <w:ind w:left="425"/>
        <w:rPr>
          <w:rFonts w:eastAsia="Calibri"/>
        </w:rPr>
      </w:pPr>
    </w:p>
    <w:p w14:paraId="6152AD68" w14:textId="77777777" w:rsidR="00922D85" w:rsidRPr="001965BC" w:rsidRDefault="00000000">
      <w:pPr>
        <w:numPr>
          <w:ilvl w:val="0"/>
          <w:numId w:val="1"/>
        </w:numPr>
        <w:rPr>
          <w:rFonts w:eastAsia="Calibri"/>
        </w:rPr>
      </w:pPr>
      <w:r w:rsidRPr="001965BC">
        <w:rPr>
          <w:rFonts w:eastAsia="Calibri"/>
        </w:rPr>
        <w:t>There have been several incidents highlighting the discrimination and violence experienced by LGBTI persons in the military. In March 2022, the Supreme Court delivered mixed judgments against two male navy superiors charged with sexually assaulting a lesbian navy officer in 2010. The 3rd division of the Supreme Court announced on the 31st that it would confirm the innocence of Major A, accused of sexually assaulting the victim twice and forcibly molesting her. On the other hand, the 1st Division of the Supreme Court ruled that Lieutenant Colonel B was guilty of threatening and sexually assaulting the victim. The two superiors were sentenced to 10 years in prison and 8 years in prison, respectively, in the first trial at the Naval Headquarters General Military Court, but both were overturned to acquittal in the second trial at the Higher Military Court.</w:t>
      </w:r>
      <w:r w:rsidRPr="001965BC">
        <w:rPr>
          <w:rFonts w:eastAsia="Calibri"/>
          <w:vertAlign w:val="superscript"/>
        </w:rPr>
        <w:footnoteReference w:id="20"/>
      </w:r>
      <w:r w:rsidRPr="001965BC">
        <w:rPr>
          <w:rFonts w:eastAsia="Calibri"/>
        </w:rPr>
        <w:t xml:space="preserve"> The civil lawsuit against two perpetrators following the criminal case is pending in Court. </w:t>
      </w:r>
    </w:p>
    <w:p w14:paraId="3BD35D3A" w14:textId="77777777" w:rsidR="00922D85" w:rsidRPr="001965BC" w:rsidRDefault="00922D85">
      <w:pPr>
        <w:ind w:left="425"/>
        <w:rPr>
          <w:rFonts w:eastAsia="Calibri"/>
        </w:rPr>
      </w:pPr>
    </w:p>
    <w:p w14:paraId="36AC49DF" w14:textId="77777777" w:rsidR="00922D85" w:rsidRPr="001965BC" w:rsidRDefault="00000000">
      <w:pPr>
        <w:pStyle w:val="1"/>
        <w:rPr>
          <w:rFonts w:ascii="Times New Roman" w:hAnsi="Times New Roman" w:cs="Times New Roman"/>
        </w:rPr>
      </w:pPr>
      <w:bookmarkStart w:id="8" w:name="_Toc164111918"/>
      <w:r w:rsidRPr="001965BC">
        <w:rPr>
          <w:rFonts w:ascii="Times New Roman" w:hAnsi="Times New Roman" w:cs="Times New Roman"/>
        </w:rPr>
        <w:t>V. Education</w:t>
      </w:r>
      <w:bookmarkEnd w:id="8"/>
    </w:p>
    <w:p w14:paraId="0A9AB4A6" w14:textId="77777777" w:rsidR="00922D85" w:rsidRPr="001965BC" w:rsidRDefault="00922D85">
      <w:pPr>
        <w:rPr>
          <w:rFonts w:eastAsia="Calibri"/>
        </w:rPr>
      </w:pPr>
    </w:p>
    <w:p w14:paraId="6C110677" w14:textId="77777777" w:rsidR="00922D85" w:rsidRPr="001965BC" w:rsidRDefault="00000000">
      <w:pPr>
        <w:numPr>
          <w:ilvl w:val="0"/>
          <w:numId w:val="1"/>
        </w:numPr>
        <w:rPr>
          <w:rFonts w:eastAsia="Calibri"/>
        </w:rPr>
      </w:pPr>
      <w:r w:rsidRPr="001965BC">
        <w:rPr>
          <w:rFonts w:eastAsia="Calibri"/>
        </w:rPr>
        <w:t>According to a 2014 NHRCK survey, 80.0% and 92.0% of LGBTI adolescents had been subjected to hate speech from their teachers and other students, respectively. In September 2016, the media reported an incident in which a teacher at a middle school in Seoul had denigrated, expressed hatred for, and presented distorted images of LGBTI persons in the class. According to a Human Rights Watch report on LGBTI students in Korea from February 2019 to May 2021, Korea has yet to make significant progress in promoting an inclusive and supportive school environment. The report also pointed out that anti-LGBTI groups oppose the enactment of the Student Human Rights Ordinance by the local government on the grounds that they recognize the human rights of LGBTI people, and the enactment is often canceled.</w:t>
      </w:r>
      <w:r w:rsidRPr="001965BC">
        <w:rPr>
          <w:rFonts w:eastAsia="Calibri"/>
          <w:vertAlign w:val="superscript"/>
        </w:rPr>
        <w:footnoteReference w:id="21"/>
      </w:r>
    </w:p>
    <w:p w14:paraId="6431EBFA" w14:textId="77777777" w:rsidR="00922D85" w:rsidRPr="001965BC" w:rsidRDefault="00922D85">
      <w:pPr>
        <w:rPr>
          <w:rFonts w:eastAsia="Calibri"/>
        </w:rPr>
      </w:pPr>
    </w:p>
    <w:p w14:paraId="6A36D39F" w14:textId="77777777" w:rsidR="00922D85" w:rsidRPr="001965BC" w:rsidRDefault="00000000">
      <w:pPr>
        <w:numPr>
          <w:ilvl w:val="0"/>
          <w:numId w:val="1"/>
        </w:numPr>
        <w:rPr>
          <w:rFonts w:eastAsia="Calibri"/>
        </w:rPr>
      </w:pPr>
      <w:r w:rsidRPr="001965BC">
        <w:rPr>
          <w:rFonts w:eastAsia="Calibri"/>
        </w:rPr>
        <w:t xml:space="preserve">According to the NHRCK survey, out of LGBTI respondents who had experienced discrimination and harassment, 58.1% had experienced depression, 46.2% had experienced a decrease in the motivation to learn, 19.4% and 16.1% had attempted suicide and self-harm, respectively. In addition, some had been forced to relinquish school </w:t>
      </w:r>
      <w:r w:rsidRPr="001965BC">
        <w:rPr>
          <w:rFonts w:eastAsia="Calibri"/>
        </w:rPr>
        <w:lastRenderedPageBreak/>
        <w:t>activities by teachers and other students, a considerable number of respondents who had experienced discrimination and harassment had missed school, relinquished advancement to higher-level schools, withdrawn from school, or transferred to other schools. In another survey in 2014, 45.7% and 53.3% of LGBTI adolescents reported experiences of attempting suicide and self-harm, respectively.</w:t>
      </w:r>
      <w:r w:rsidRPr="001965BC">
        <w:rPr>
          <w:rFonts w:eastAsia="Calibri"/>
          <w:vertAlign w:val="superscript"/>
        </w:rPr>
        <w:footnoteReference w:id="22"/>
      </w:r>
      <w:r w:rsidRPr="001965BC">
        <w:rPr>
          <w:rFonts w:eastAsia="Calibri"/>
        </w:rPr>
        <w:t xml:space="preserve"> </w:t>
      </w:r>
    </w:p>
    <w:p w14:paraId="546179FD" w14:textId="77777777" w:rsidR="00922D85" w:rsidRPr="001965BC" w:rsidRDefault="00922D85">
      <w:pPr>
        <w:ind w:left="425"/>
        <w:rPr>
          <w:rFonts w:eastAsia="Calibri"/>
        </w:rPr>
      </w:pPr>
    </w:p>
    <w:p w14:paraId="3A91C916" w14:textId="77777777" w:rsidR="00922D85" w:rsidRPr="001965BC" w:rsidRDefault="00000000">
      <w:pPr>
        <w:numPr>
          <w:ilvl w:val="0"/>
          <w:numId w:val="1"/>
        </w:numPr>
        <w:rPr>
          <w:rFonts w:eastAsia="Calibri"/>
        </w:rPr>
      </w:pPr>
      <w:r w:rsidRPr="001965BC">
        <w:rPr>
          <w:rFonts w:eastAsia="Calibri"/>
        </w:rPr>
        <w:t>In the Comprehensive Student Human Rights Plan II (2021-2023) of the Seoul Metropolitan Office of Education, there are no specific contents and budget allocations on the protection and support for LGBTI students. Meanwhile, anti-LGBTI groups constantly attack protective measures of the city, such as the Comprehensive Student Human Rights Plan and the Student Human Rights Ordinance. After the draft of the Comprehensive Student Human Rights Plan was released, anti-LGBTI groups demanded the withdrawal of the plan, arguing that 'gender-awareness education promotes homosexuality and instills feminist ideas into students.' The opposition group collected about 11,000 online petitions arguing that the Student Human Rights Ordinance violates the right to education of parents.</w:t>
      </w:r>
      <w:r w:rsidRPr="001965BC">
        <w:rPr>
          <w:rFonts w:eastAsia="Calibri"/>
          <w:color w:val="0000FF"/>
        </w:rPr>
        <w:t xml:space="preserve"> </w:t>
      </w:r>
      <w:r w:rsidRPr="001965BC">
        <w:rPr>
          <w:rFonts w:eastAsia="Calibri"/>
        </w:rPr>
        <w:t xml:space="preserve">Currently, in Seoul and Chungcheongnam-do, bills have been proposed to abolish the Student Human Rights Ordinances. </w:t>
      </w:r>
    </w:p>
    <w:p w14:paraId="05DC133C" w14:textId="77777777" w:rsidR="00922D85" w:rsidRPr="001965BC" w:rsidRDefault="00922D85">
      <w:pPr>
        <w:ind w:left="425"/>
        <w:rPr>
          <w:rFonts w:eastAsia="Calibri"/>
          <w:highlight w:val="yellow"/>
        </w:rPr>
      </w:pPr>
    </w:p>
    <w:p w14:paraId="66DA87C9" w14:textId="77777777" w:rsidR="00922D85" w:rsidRPr="001965BC" w:rsidRDefault="00000000">
      <w:pPr>
        <w:numPr>
          <w:ilvl w:val="0"/>
          <w:numId w:val="1"/>
        </w:numPr>
        <w:rPr>
          <w:rFonts w:eastAsia="Calibri"/>
        </w:rPr>
      </w:pPr>
      <w:r w:rsidRPr="001965BC">
        <w:rPr>
          <w:rFonts w:eastAsia="Calibri"/>
        </w:rPr>
        <w:t>During a government audit of the Ministry of Gender Equality and Family in 2020, it was found that in the past five years, youth support organizations had never provided job training related to sexual minorities, and the counseling performance for LGBT youths was less than half of that of private organizations. In a survey of LGBTI youth, 47.4% of transgender youth who have experienced leaving home cannot be respected for their gender identity or answered that they could not go to the shelter because it was impossible to enter.</w:t>
      </w:r>
      <w:r w:rsidRPr="001965BC">
        <w:rPr>
          <w:rFonts w:eastAsia="Calibri"/>
          <w:vertAlign w:val="superscript"/>
        </w:rPr>
        <w:footnoteReference w:id="23"/>
      </w:r>
      <w:r w:rsidRPr="001965BC">
        <w:rPr>
          <w:rFonts w:eastAsia="Calibri"/>
        </w:rPr>
        <w:t xml:space="preserve"> Any government-led research has been conducted on the experiences of LGBTQ youths for the past 10 years.</w:t>
      </w:r>
    </w:p>
    <w:p w14:paraId="6898238D" w14:textId="77777777" w:rsidR="00922D85" w:rsidRPr="001965BC" w:rsidRDefault="00922D85">
      <w:pPr>
        <w:ind w:left="425"/>
        <w:rPr>
          <w:rFonts w:eastAsia="Calibri"/>
        </w:rPr>
      </w:pPr>
    </w:p>
    <w:p w14:paraId="2F98C9E4" w14:textId="77777777" w:rsidR="00922D85" w:rsidRPr="001965BC" w:rsidRDefault="00000000">
      <w:pPr>
        <w:numPr>
          <w:ilvl w:val="0"/>
          <w:numId w:val="1"/>
        </w:numPr>
        <w:rPr>
          <w:rFonts w:eastAsia="Calibri"/>
        </w:rPr>
      </w:pPr>
      <w:r w:rsidRPr="001965BC">
        <w:rPr>
          <w:rFonts w:eastAsia="Calibri"/>
        </w:rPr>
        <w:t>In 2020, at a meeting of the National Assembly Education Committee, Rep. Kim Byeong-</w:t>
      </w:r>
      <w:proofErr w:type="spellStart"/>
      <w:r w:rsidRPr="001965BC">
        <w:rPr>
          <w:rFonts w:eastAsia="Calibri"/>
        </w:rPr>
        <w:t>wook</w:t>
      </w:r>
      <w:proofErr w:type="spellEnd"/>
      <w:r w:rsidRPr="001965BC">
        <w:rPr>
          <w:rFonts w:eastAsia="Calibri"/>
        </w:rPr>
        <w:t xml:space="preserve"> of the Future United Party (currently the People Power Party) argued that some of the picture books selected by the MOGEF for gender equality education and distributed to elementary schools and libraries 'express homosexuality as natural', rebuking the Minister of Education. The &lt;</w:t>
      </w:r>
      <w:proofErr w:type="spellStart"/>
      <w:r w:rsidRPr="001965BC">
        <w:rPr>
          <w:rFonts w:eastAsia="Calibri"/>
        </w:rPr>
        <w:t>Naeum</w:t>
      </w:r>
      <w:proofErr w:type="spellEnd"/>
      <w:r w:rsidRPr="001965BC">
        <w:rPr>
          <w:rFonts w:eastAsia="Calibri"/>
        </w:rPr>
        <w:t xml:space="preserve"> Children's Book Education and Culture Project&gt; by MOGEF is aimed to promote children's books that help children and adolescents find 'being myself' rather than gender stereotypes. The day after the issue was raised, the MOGEF recalled 10 </w:t>
      </w:r>
      <w:r w:rsidRPr="001965BC">
        <w:rPr>
          <w:rFonts w:eastAsia="Calibri"/>
        </w:rPr>
        <w:lastRenderedPageBreak/>
        <w:t>books from the selection distributed to elementary schools and announced that they would be recalling them in consideration of the controversy surrounding cultural acceptability. In addition, the governor of Chungcheongnam-do recently restricted access to books related to gender equality in public libraries.</w:t>
      </w:r>
    </w:p>
    <w:p w14:paraId="1385F85D" w14:textId="77777777" w:rsidR="00922D85" w:rsidRPr="001965BC" w:rsidRDefault="00922D85">
      <w:pPr>
        <w:rPr>
          <w:rFonts w:eastAsia="Calibri"/>
        </w:rPr>
      </w:pPr>
    </w:p>
    <w:p w14:paraId="1595B4AC" w14:textId="77777777" w:rsidR="00922D85" w:rsidRPr="001965BC" w:rsidRDefault="00000000">
      <w:pPr>
        <w:numPr>
          <w:ilvl w:val="0"/>
          <w:numId w:val="1"/>
        </w:numPr>
        <w:pBdr>
          <w:top w:val="nil"/>
          <w:left w:val="nil"/>
          <w:bottom w:val="nil"/>
          <w:right w:val="nil"/>
          <w:between w:val="nil"/>
        </w:pBdr>
        <w:rPr>
          <w:rFonts w:eastAsia="Calibri"/>
        </w:rPr>
      </w:pPr>
      <w:r w:rsidRPr="001965BC">
        <w:rPr>
          <w:rFonts w:eastAsia="Calibri"/>
        </w:rPr>
        <w:t xml:space="preserve">Despite previous recommendations from the Committee regarding the "Provision of age-appropriate, evidence-based and scientifically accurate comprehensive sex education", content concerning gender equality and sexual minorities was systematically expunged from the primary and secondary education curriculum. Ministry of Education announced the 2022 Curriculum Amendment in 2022. Initially, the curriculum developed by an expert committee for the integrated social studies curriculum in high schools explicitly mentioned "sexual minorities," but this mention was subsequently removed. Moreover, the term "gender equality" was substituted with phrases such as "prejudice against sex" and "ethical issues of sexual discrimination." </w:t>
      </w:r>
    </w:p>
    <w:p w14:paraId="2B40D665" w14:textId="77777777" w:rsidR="00922D85" w:rsidRPr="001965BC" w:rsidRDefault="00922D85">
      <w:pPr>
        <w:pBdr>
          <w:top w:val="nil"/>
          <w:left w:val="nil"/>
          <w:bottom w:val="nil"/>
          <w:right w:val="nil"/>
          <w:between w:val="nil"/>
        </w:pBdr>
        <w:ind w:left="425"/>
        <w:rPr>
          <w:rFonts w:eastAsia="Calibri"/>
        </w:rPr>
      </w:pPr>
    </w:p>
    <w:p w14:paraId="716DA519" w14:textId="77777777" w:rsidR="00922D85" w:rsidRPr="001965BC" w:rsidRDefault="00000000">
      <w:pPr>
        <w:numPr>
          <w:ilvl w:val="0"/>
          <w:numId w:val="1"/>
        </w:numPr>
        <w:rPr>
          <w:rFonts w:eastAsia="Calibri"/>
        </w:rPr>
      </w:pPr>
      <w:r w:rsidRPr="001965BC">
        <w:rPr>
          <w:rFonts w:eastAsia="Calibri"/>
        </w:rPr>
        <w:t>Many middle and high schools in the ROK, depending on the sex, are divided into male and female schools, and even in the coeducation setting, classes are divided by sex. In this educational setting, transgender youths should spend their daily school life in school and classes assigned by their sex assigned at birth, which is different from their gender identity. This sex segregation is problematic even after graduation from school. For example, a transgender man who graduated from an all-girls' school might give up for a job opportunity because he has an all-girls school in his resume. Transgender students have difficulties in wearing gender-divided uniforms and using gender-divided facilities such as restrooms. In a 2014 survey of transgender youth, 62% of the respondents reported that forced gender stereotypes are the most challenging thing in school, 42% reported wearing skirts, or trousers, and 28% reported using the restroom.</w:t>
      </w:r>
    </w:p>
    <w:p w14:paraId="1663AA11" w14:textId="77777777" w:rsidR="00922D85" w:rsidRPr="001965BC" w:rsidRDefault="00922D85">
      <w:pPr>
        <w:ind w:left="425"/>
        <w:rPr>
          <w:rFonts w:eastAsia="Calibri"/>
        </w:rPr>
      </w:pPr>
    </w:p>
    <w:p w14:paraId="08801CEE" w14:textId="77777777" w:rsidR="00922D85" w:rsidRPr="001965BC" w:rsidRDefault="00000000">
      <w:pPr>
        <w:numPr>
          <w:ilvl w:val="0"/>
          <w:numId w:val="1"/>
        </w:numPr>
        <w:rPr>
          <w:rFonts w:eastAsia="Calibri"/>
        </w:rPr>
      </w:pPr>
      <w:r w:rsidRPr="001965BC">
        <w:rPr>
          <w:rFonts w:eastAsia="Calibri"/>
        </w:rPr>
        <w:t>After the Supreme Court decision in 2006, legal gender recognition is possible by the Supreme Court’s guidelines. According to the guidelines, one must be legally capable and should be 19 years or older. Therefore, those under 18 years of age cannot be recognized for their gender. There are limited cases for minors, but still, in this case, many invasive requirements must be met. An only currently unmarried person, a psychiatric/hormonal treatment after a diagnosis of gender identity dysphoria, and sterilization surgery. There is a lower court precedent that does not require external genital surgery, but sometimes it is not generally applicable to other jurisdictions.</w:t>
      </w:r>
    </w:p>
    <w:p w14:paraId="35E28644" w14:textId="77777777" w:rsidR="00922D85" w:rsidRPr="001965BC" w:rsidRDefault="00000000">
      <w:pPr>
        <w:pStyle w:val="1"/>
        <w:rPr>
          <w:rFonts w:ascii="Times New Roman" w:hAnsi="Times New Roman" w:cs="Times New Roman"/>
        </w:rPr>
      </w:pPr>
      <w:bookmarkStart w:id="9" w:name="_Toc164111919"/>
      <w:r w:rsidRPr="001965BC">
        <w:rPr>
          <w:rFonts w:ascii="Times New Roman" w:hAnsi="Times New Roman" w:cs="Times New Roman"/>
        </w:rPr>
        <w:lastRenderedPageBreak/>
        <w:t>VI. Health</w:t>
      </w:r>
      <w:bookmarkEnd w:id="9"/>
    </w:p>
    <w:p w14:paraId="4E45B432" w14:textId="77777777" w:rsidR="00922D85" w:rsidRPr="001965BC" w:rsidRDefault="00922D85">
      <w:pPr>
        <w:rPr>
          <w:rFonts w:eastAsia="Calibri"/>
        </w:rPr>
      </w:pPr>
    </w:p>
    <w:p w14:paraId="631EC5AB" w14:textId="77777777" w:rsidR="00922D85" w:rsidRPr="001965BC" w:rsidRDefault="00000000">
      <w:pPr>
        <w:pStyle w:val="2"/>
        <w:rPr>
          <w:rFonts w:ascii="Times New Roman" w:hAnsi="Times New Roman" w:cs="Times New Roman"/>
        </w:rPr>
      </w:pPr>
      <w:bookmarkStart w:id="10" w:name="_Toc164111920"/>
      <w:r w:rsidRPr="001965BC">
        <w:rPr>
          <w:rFonts w:ascii="Times New Roman" w:hAnsi="Times New Roman" w:cs="Times New Roman"/>
        </w:rPr>
        <w:t>A. Legal Recognition of Gender Identity of Transgender Persons</w:t>
      </w:r>
      <w:bookmarkEnd w:id="10"/>
    </w:p>
    <w:p w14:paraId="2E92135A" w14:textId="77777777" w:rsidR="00922D85" w:rsidRPr="001965BC" w:rsidRDefault="00922D85"/>
    <w:p w14:paraId="34FD428E" w14:textId="77777777" w:rsidR="00922D85" w:rsidRPr="001965BC" w:rsidRDefault="00000000">
      <w:pPr>
        <w:numPr>
          <w:ilvl w:val="0"/>
          <w:numId w:val="1"/>
        </w:numPr>
        <w:rPr>
          <w:rFonts w:eastAsia="Calibri"/>
        </w:rPr>
      </w:pPr>
      <w:r w:rsidRPr="001965BC">
        <w:rPr>
          <w:rFonts w:eastAsia="Calibri"/>
        </w:rPr>
        <w:t>Since a 2006 Supreme Court decision,</w:t>
      </w:r>
      <w:r w:rsidRPr="001965BC">
        <w:rPr>
          <w:rFonts w:eastAsia="Calibri"/>
          <w:vertAlign w:val="superscript"/>
        </w:rPr>
        <w:footnoteReference w:id="24"/>
      </w:r>
      <w:r w:rsidRPr="001965BC">
        <w:rPr>
          <w:rFonts w:eastAsia="Calibri"/>
        </w:rPr>
        <w:t xml:space="preserve"> matters to be investigated with respect to legal gender change have been presented according to the Supreme Court’s established rules instead of laws in the ROK.</w:t>
      </w:r>
      <w:r w:rsidRPr="001965BC">
        <w:rPr>
          <w:rFonts w:eastAsia="Calibri"/>
          <w:vertAlign w:val="superscript"/>
        </w:rPr>
        <w:footnoteReference w:id="25"/>
      </w:r>
      <w:r w:rsidRPr="001965BC">
        <w:rPr>
          <w:rFonts w:eastAsia="Calibri"/>
        </w:rPr>
        <w:t xml:space="preserve"> Despite the use of the expression “matters to be investigated,” which connotes discretion, courts have accepted this as a de facto precondition. According to these established rules, out of currently unmarried adults, only those who have been diagnosed with ‘</w:t>
      </w:r>
      <w:r w:rsidRPr="001965BC">
        <w:rPr>
          <w:rFonts w:eastAsia="Calibri"/>
          <w:i/>
        </w:rPr>
        <w:t>transsexualism’</w:t>
      </w:r>
      <w:r w:rsidRPr="001965BC">
        <w:rPr>
          <w:rFonts w:eastAsia="Calibri"/>
        </w:rPr>
        <w:t>, received psychiatric/hormone therapy, and undergone sterilization surgeries are eligible for legal gender change. While there is a legal precedent from a lower court that external genital reconstructive surgeries are not necessary for transgender men</w:t>
      </w:r>
      <w:r w:rsidRPr="001965BC">
        <w:rPr>
          <w:rFonts w:eastAsia="Calibri"/>
          <w:sz w:val="22"/>
          <w:szCs w:val="22"/>
          <w:vertAlign w:val="superscript"/>
        </w:rPr>
        <w:footnoteReference w:id="26"/>
      </w:r>
      <w:r w:rsidRPr="001965BC">
        <w:rPr>
          <w:rFonts w:eastAsia="Calibri"/>
        </w:rPr>
        <w:t xml:space="preserve"> and women</w:t>
      </w:r>
      <w:r w:rsidRPr="001965BC">
        <w:rPr>
          <w:rFonts w:eastAsia="Calibri"/>
          <w:sz w:val="22"/>
          <w:szCs w:val="22"/>
          <w:vertAlign w:val="superscript"/>
        </w:rPr>
        <w:footnoteReference w:id="27"/>
      </w:r>
      <w:r w:rsidRPr="001965BC">
        <w:rPr>
          <w:rFonts w:eastAsia="Calibri"/>
        </w:rPr>
        <w:t>, it is unclear whether other jurisdictions would make the same ruling. Recent changes in Supreme Court case law in 2022</w:t>
      </w:r>
      <w:r w:rsidRPr="001965BC">
        <w:rPr>
          <w:rFonts w:eastAsia="Calibri"/>
          <w:vertAlign w:val="superscript"/>
        </w:rPr>
        <w:footnoteReference w:id="28"/>
      </w:r>
      <w:r w:rsidRPr="001965BC">
        <w:rPr>
          <w:rFonts w:eastAsia="Calibri"/>
        </w:rPr>
        <w:t xml:space="preserve"> have relaxed the requirements related to family matters, such as those involving minor children. However, the involuntary surgery and medical requirements remain unchanged. In December 2022, there was a change in judicial precedent by the Supreme Court allowing transgender individuals with legally minor children to change their gender marker</w:t>
      </w:r>
      <w:r w:rsidRPr="001965BC">
        <w:rPr>
          <w:rFonts w:eastAsia="Calibri"/>
          <w:vertAlign w:val="superscript"/>
        </w:rPr>
        <w:footnoteReference w:id="29"/>
      </w:r>
      <w:r w:rsidRPr="001965BC">
        <w:rPr>
          <w:rFonts w:eastAsia="Calibri"/>
        </w:rPr>
        <w:t>. However, there has been no change regarding mandatory sterilization and other surgical requirements.</w:t>
      </w:r>
    </w:p>
    <w:p w14:paraId="72EF19C6" w14:textId="77777777" w:rsidR="00922D85" w:rsidRPr="001965BC" w:rsidRDefault="00922D85">
      <w:pPr>
        <w:ind w:left="425"/>
        <w:rPr>
          <w:rFonts w:eastAsia="Calibri"/>
        </w:rPr>
      </w:pPr>
    </w:p>
    <w:p w14:paraId="59BCB91D" w14:textId="77777777" w:rsidR="00922D85" w:rsidRPr="001965BC" w:rsidRDefault="00000000">
      <w:pPr>
        <w:numPr>
          <w:ilvl w:val="0"/>
          <w:numId w:val="1"/>
        </w:numPr>
        <w:rPr>
          <w:rFonts w:eastAsia="Calibri"/>
        </w:rPr>
      </w:pPr>
      <w:r w:rsidRPr="001965BC">
        <w:rPr>
          <w:rFonts w:eastAsia="Calibri"/>
        </w:rPr>
        <w:t>In ROK, all gender-affirming care for transgender people is not covered by the National Health Insurance. As a result, transgender people must bear the costs of up to tens of millions of won on their own, and eventually give up on getting gender-affirming care. According to the NHRCK survey in 2020, 71.0% of transgender respondents who did not undergo gender reassignment surgery said that they did not have surgery because of the cost burden.</w:t>
      </w:r>
      <w:r w:rsidRPr="001965BC">
        <w:rPr>
          <w:rFonts w:eastAsia="Calibri"/>
          <w:vertAlign w:val="superscript"/>
        </w:rPr>
        <w:footnoteReference w:id="30"/>
      </w:r>
      <w:r w:rsidRPr="001965BC">
        <w:rPr>
          <w:rFonts w:eastAsia="Calibri"/>
        </w:rPr>
        <w:t xml:space="preserve"> In response, in 2018, the Committee recommended that the Korean </w:t>
      </w:r>
      <w:r w:rsidRPr="001965BC">
        <w:rPr>
          <w:rFonts w:eastAsia="Calibri"/>
        </w:rPr>
        <w:lastRenderedPageBreak/>
        <w:t>government guarantee the right of transgender people to access medical services, including National Health Insurance.</w:t>
      </w:r>
      <w:r w:rsidRPr="001965BC">
        <w:rPr>
          <w:rFonts w:eastAsia="Calibri"/>
          <w:vertAlign w:val="superscript"/>
        </w:rPr>
        <w:footnoteReference w:id="31"/>
      </w:r>
      <w:r w:rsidRPr="001965BC">
        <w:rPr>
          <w:rFonts w:eastAsia="Calibri"/>
        </w:rPr>
        <w:t xml:space="preserve"> Nevertheless, the government has not even considered insurance coverage for gender reassignment-related medical care. </w:t>
      </w:r>
    </w:p>
    <w:p w14:paraId="381674DD" w14:textId="77777777" w:rsidR="00922D85" w:rsidRPr="001965BC" w:rsidRDefault="00922D85">
      <w:pPr>
        <w:rPr>
          <w:rFonts w:eastAsia="Calibri"/>
        </w:rPr>
      </w:pPr>
    </w:p>
    <w:p w14:paraId="508E0844" w14:textId="77777777" w:rsidR="00922D85" w:rsidRPr="001965BC" w:rsidRDefault="00000000">
      <w:pPr>
        <w:pStyle w:val="2"/>
        <w:rPr>
          <w:rFonts w:ascii="Times New Roman" w:hAnsi="Times New Roman" w:cs="Times New Roman"/>
        </w:rPr>
      </w:pPr>
      <w:bookmarkStart w:id="11" w:name="_Toc164111921"/>
      <w:r w:rsidRPr="001965BC">
        <w:rPr>
          <w:rFonts w:ascii="Times New Roman" w:hAnsi="Times New Roman" w:cs="Times New Roman"/>
        </w:rPr>
        <w:t>B. Rights of Intersex people</w:t>
      </w:r>
      <w:bookmarkEnd w:id="11"/>
    </w:p>
    <w:p w14:paraId="73E00B91" w14:textId="77777777" w:rsidR="00922D85" w:rsidRPr="001965BC" w:rsidRDefault="00922D85">
      <w:pPr>
        <w:ind w:left="425"/>
        <w:rPr>
          <w:rFonts w:eastAsia="Calibri"/>
        </w:rPr>
      </w:pPr>
    </w:p>
    <w:p w14:paraId="7528A4F8" w14:textId="77777777" w:rsidR="00922D85" w:rsidRPr="001965BC" w:rsidRDefault="00000000">
      <w:pPr>
        <w:numPr>
          <w:ilvl w:val="0"/>
          <w:numId w:val="1"/>
        </w:numPr>
        <w:rPr>
          <w:rFonts w:eastAsia="Calibri"/>
        </w:rPr>
      </w:pPr>
      <w:r w:rsidRPr="001965BC">
        <w:rPr>
          <w:rFonts w:eastAsia="Calibri"/>
        </w:rPr>
        <w:t>In ROK, intersex people have been largely invisible. Statistically, newborns in the country amount to approximately 450,000 per year, out of whom 0.1%, or some 450, are presumed to have Klinefelter syndrome.</w:t>
      </w:r>
      <w:r w:rsidRPr="001965BC">
        <w:rPr>
          <w:rFonts w:eastAsia="Calibri"/>
          <w:vertAlign w:val="superscript"/>
        </w:rPr>
        <w:footnoteReference w:id="32"/>
      </w:r>
      <w:r w:rsidRPr="001965BC">
        <w:rPr>
          <w:rFonts w:eastAsia="Calibri"/>
        </w:rPr>
        <w:t xml:space="preserve"> There are additionally many other intersex variations, affecting estimates of up to 1.7% of the population. Consequently, the number of intersex newborns could be as many as 7,650 a year.</w:t>
      </w:r>
      <w:r w:rsidRPr="001965BC">
        <w:rPr>
          <w:rFonts w:eastAsia="Calibri"/>
          <w:vertAlign w:val="superscript"/>
        </w:rPr>
        <w:footnoteReference w:id="33"/>
      </w:r>
    </w:p>
    <w:p w14:paraId="334DC27E" w14:textId="77777777" w:rsidR="00922D85" w:rsidRPr="001965BC" w:rsidRDefault="00922D85">
      <w:pPr>
        <w:ind w:left="425"/>
        <w:rPr>
          <w:rFonts w:eastAsia="Calibri"/>
          <w:vertAlign w:val="superscript"/>
        </w:rPr>
      </w:pPr>
    </w:p>
    <w:p w14:paraId="492B341D" w14:textId="77777777" w:rsidR="00922D85" w:rsidRPr="001965BC" w:rsidRDefault="00000000">
      <w:pPr>
        <w:numPr>
          <w:ilvl w:val="0"/>
          <w:numId w:val="1"/>
        </w:numPr>
        <w:rPr>
          <w:rFonts w:eastAsia="Calibri"/>
        </w:rPr>
      </w:pPr>
      <w:r w:rsidRPr="001965BC">
        <w:rPr>
          <w:rFonts w:eastAsia="Calibri"/>
        </w:rPr>
        <w:t>For parents to register the birth of a child, they must select the legal gender of the child between male and female and record it in the reporting form according to the Resident Registration Act. To change this gender later, one must undergo legal gender change application procedures. In addition, it is general for adults, including parents and teachers, to educate children based on gender binarism, even during socialization and public education processes. For these reasons, parents decide on the legal gender of their children without the latter’s consent and impose irreversible surgeries on the youngsters as well.</w:t>
      </w:r>
      <w:r w:rsidRPr="001965BC">
        <w:rPr>
          <w:rFonts w:eastAsia="Calibri"/>
          <w:vertAlign w:val="superscript"/>
        </w:rPr>
        <w:footnoteReference w:id="34"/>
      </w:r>
      <w:r w:rsidRPr="001965BC">
        <w:rPr>
          <w:rFonts w:eastAsia="Calibri"/>
        </w:rPr>
        <w:t> </w:t>
      </w:r>
    </w:p>
    <w:p w14:paraId="197B1C4C" w14:textId="77777777" w:rsidR="00922D85" w:rsidRPr="001965BC" w:rsidRDefault="00922D85">
      <w:pPr>
        <w:ind w:left="425"/>
        <w:rPr>
          <w:rFonts w:eastAsia="Calibri"/>
        </w:rPr>
      </w:pPr>
    </w:p>
    <w:p w14:paraId="22F94855" w14:textId="77777777" w:rsidR="00922D85" w:rsidRPr="001965BC" w:rsidRDefault="00000000">
      <w:pPr>
        <w:pStyle w:val="2"/>
        <w:ind w:left="425"/>
        <w:rPr>
          <w:rFonts w:ascii="Times New Roman" w:hAnsi="Times New Roman" w:cs="Times New Roman"/>
        </w:rPr>
      </w:pPr>
      <w:bookmarkStart w:id="12" w:name="_Toc164111922"/>
      <w:r w:rsidRPr="001965BC">
        <w:rPr>
          <w:rFonts w:ascii="Times New Roman" w:hAnsi="Times New Roman" w:cs="Times New Roman"/>
        </w:rPr>
        <w:t>C. Medical Discrimination Against Women Living with HIV/AIDS</w:t>
      </w:r>
      <w:bookmarkEnd w:id="12"/>
    </w:p>
    <w:p w14:paraId="5058AB9C" w14:textId="77777777" w:rsidR="00922D85" w:rsidRPr="001965BC" w:rsidRDefault="00922D85">
      <w:pPr>
        <w:ind w:left="425"/>
        <w:rPr>
          <w:rFonts w:eastAsia="Calibri"/>
        </w:rPr>
      </w:pPr>
    </w:p>
    <w:p w14:paraId="74BC6B7E" w14:textId="77777777" w:rsidR="00922D85" w:rsidRPr="001965BC" w:rsidRDefault="00000000">
      <w:pPr>
        <w:widowControl/>
        <w:numPr>
          <w:ilvl w:val="0"/>
          <w:numId w:val="1"/>
        </w:numPr>
        <w:spacing w:before="240" w:after="240" w:line="360" w:lineRule="auto"/>
        <w:rPr>
          <w:rFonts w:eastAsia="Calibri"/>
          <w:sz w:val="22"/>
          <w:szCs w:val="22"/>
        </w:rPr>
      </w:pPr>
      <w:r w:rsidRPr="001965BC">
        <w:rPr>
          <w:rFonts w:eastAsia="Calibri"/>
        </w:rPr>
        <w:t xml:space="preserve">Refusal to perform operations on and medical discrimination against people living with HIV/AIDS has occurred at higher-level general hospitals and municipal hospitals as well. Even standard precautions created after recommendations that the government devise and implement plans for the systematic implementation of education on the human rights of people living with HIV/AIDS for physicians and employees at clinics and medical </w:t>
      </w:r>
      <w:r w:rsidRPr="001965BC">
        <w:rPr>
          <w:rFonts w:eastAsia="Calibri"/>
        </w:rPr>
        <w:lastRenderedPageBreak/>
        <w:t>institutions</w:t>
      </w:r>
      <w:r w:rsidRPr="001965BC">
        <w:rPr>
          <w:rFonts w:eastAsia="Calibri"/>
          <w:vertAlign w:val="superscript"/>
        </w:rPr>
        <w:footnoteReference w:id="35"/>
      </w:r>
      <w:r w:rsidRPr="001965BC">
        <w:rPr>
          <w:rFonts w:eastAsia="Calibri"/>
        </w:rPr>
        <w:t xml:space="preserve"> have been ineffective. Consequently, cases of refusal to examine and treat these people due to concern for HIV infection have continued to occur.</w:t>
      </w:r>
      <w:r w:rsidRPr="001965BC">
        <w:rPr>
          <w:rFonts w:eastAsia="Calibri"/>
          <w:vertAlign w:val="superscript"/>
        </w:rPr>
        <w:footnoteReference w:id="36"/>
      </w:r>
      <w:r w:rsidRPr="001965BC">
        <w:rPr>
          <w:rFonts w:eastAsia="Calibri"/>
        </w:rPr>
        <w:t xml:space="preserve"> However, it is very difficult for patients or their families to individually petition to the NHRCK or to file a lawsuit in court afterward. Moreover, exclusion of and discrimination against people living with HIV/AIDS at medical institutions are far too rampant to be overcome through patients’ individual efforts.</w:t>
      </w:r>
    </w:p>
    <w:p w14:paraId="7B74A938" w14:textId="77777777" w:rsidR="00922D85" w:rsidRPr="001965BC" w:rsidRDefault="00000000">
      <w:pPr>
        <w:widowControl/>
        <w:numPr>
          <w:ilvl w:val="0"/>
          <w:numId w:val="1"/>
        </w:numPr>
        <w:spacing w:before="240" w:after="240" w:line="360" w:lineRule="auto"/>
        <w:rPr>
          <w:rFonts w:eastAsia="Calibri"/>
        </w:rPr>
      </w:pPr>
      <w:r w:rsidRPr="001965BC">
        <w:rPr>
          <w:rFonts w:eastAsia="Calibri"/>
        </w:rPr>
        <w:t>Furthermore, employees at medical institutions do not differ from the public in misconceptions of HIV/AIDS. According to “Development and Simulation of Routine HIV Testing System in Dental Clinic,”</w:t>
      </w:r>
      <w:r w:rsidRPr="001965BC">
        <w:rPr>
          <w:rFonts w:eastAsia="Calibri"/>
          <w:vertAlign w:val="superscript"/>
        </w:rPr>
        <w:footnoteReference w:id="37"/>
      </w:r>
      <w:r w:rsidRPr="001965BC">
        <w:rPr>
          <w:rFonts w:eastAsia="Calibri"/>
        </w:rPr>
        <w:t> 44% (209 persons) of the 475 dentists surveyed responded, “Infection is possible when bitten by a mosquito that has [already] bitten an AIDS patient.” This is nearly identical to the results of a survey of 910 members of the public conducted in the same period (44%; 403 persons). In other words, the levels of misconceptions about HIV/AIDS are almost the same for dentists and the public alike.</w:t>
      </w:r>
    </w:p>
    <w:p w14:paraId="458CD1A3" w14:textId="77777777" w:rsidR="00922D85" w:rsidRPr="001965BC" w:rsidRDefault="00000000">
      <w:pPr>
        <w:widowControl/>
        <w:numPr>
          <w:ilvl w:val="0"/>
          <w:numId w:val="1"/>
        </w:numPr>
        <w:spacing w:before="240" w:after="240" w:line="360" w:lineRule="auto"/>
        <w:rPr>
          <w:rFonts w:eastAsia="Calibri"/>
        </w:rPr>
      </w:pPr>
      <w:r w:rsidRPr="001965BC">
        <w:rPr>
          <w:rFonts w:eastAsia="Calibri"/>
        </w:rPr>
        <w:t>According to a consultant for the Korean Network for People Living with HIV/AIDS (KNP+), more research was required into women with HIV, who faced some specific issues.  “Women with HIV face serious stigma, and the government’s policies have nothing that addresses women with HIV specifically,” she said. “There are no communities for women to share their experiences and support each other, and they are isolated.”</w:t>
      </w:r>
      <w:r w:rsidRPr="001965BC">
        <w:rPr>
          <w:rFonts w:eastAsia="Calibri"/>
          <w:vertAlign w:val="superscript"/>
        </w:rPr>
        <w:footnoteReference w:id="38"/>
      </w:r>
    </w:p>
    <w:p w14:paraId="465343A4" w14:textId="77777777" w:rsidR="00922D85" w:rsidRPr="001965BC" w:rsidRDefault="00922D85">
      <w:pPr>
        <w:ind w:left="425"/>
        <w:rPr>
          <w:rFonts w:eastAsia="Calibri"/>
        </w:rPr>
      </w:pPr>
    </w:p>
    <w:p w14:paraId="0356B3DD" w14:textId="77777777" w:rsidR="00922D85" w:rsidRPr="001965BC" w:rsidRDefault="00000000">
      <w:pPr>
        <w:pStyle w:val="1"/>
        <w:rPr>
          <w:rFonts w:ascii="Times New Roman" w:hAnsi="Times New Roman" w:cs="Times New Roman"/>
        </w:rPr>
      </w:pPr>
      <w:bookmarkStart w:id="13" w:name="_Toc164111923"/>
      <w:r w:rsidRPr="001965BC">
        <w:rPr>
          <w:rFonts w:ascii="Times New Roman" w:hAnsi="Times New Roman" w:cs="Times New Roman"/>
        </w:rPr>
        <w:lastRenderedPageBreak/>
        <w:t>VII. Marriage and Family Relations</w:t>
      </w:r>
      <w:bookmarkEnd w:id="13"/>
    </w:p>
    <w:p w14:paraId="303ECB20" w14:textId="77777777" w:rsidR="00922D85" w:rsidRPr="001965BC" w:rsidRDefault="00922D85">
      <w:pPr>
        <w:ind w:left="425"/>
        <w:rPr>
          <w:rFonts w:eastAsia="Calibri"/>
        </w:rPr>
      </w:pPr>
    </w:p>
    <w:p w14:paraId="74035A0C" w14:textId="77777777" w:rsidR="00922D85" w:rsidRPr="001965BC" w:rsidRDefault="00000000">
      <w:pPr>
        <w:numPr>
          <w:ilvl w:val="0"/>
          <w:numId w:val="1"/>
        </w:numPr>
        <w:rPr>
          <w:rFonts w:eastAsia="Calibri"/>
        </w:rPr>
      </w:pPr>
      <w:r w:rsidRPr="001965BC">
        <w:rPr>
          <w:rFonts w:eastAsia="Calibri"/>
        </w:rPr>
        <w:t xml:space="preserve">In 2014, the </w:t>
      </w:r>
      <w:proofErr w:type="spellStart"/>
      <w:r w:rsidRPr="001965BC">
        <w:rPr>
          <w:rFonts w:eastAsia="Calibri"/>
        </w:rPr>
        <w:t>Seodaemun-gu</w:t>
      </w:r>
      <w:proofErr w:type="spellEnd"/>
      <w:r w:rsidRPr="001965BC">
        <w:rPr>
          <w:rFonts w:eastAsia="Calibri"/>
        </w:rPr>
        <w:t xml:space="preserve"> Office, the local government of a ward in Seoul, rejected a gay male couple’s application to register their marriage. Stating, “Even if diverse circumstances surrounding the institution of marriage have changed in this age, society, and the international community, ‘same-sex unions’ cannot be seen as being allowed as ‘marriages’ based solely on the theory of legal interpretation under the current laws without separate legislative measures,” the court dismissed the couple’s application for objection to the rejection in May 2016 and dismissed the appeal in the appellate trial in December of the same year.</w:t>
      </w:r>
      <w:r w:rsidRPr="001965BC">
        <w:rPr>
          <w:rFonts w:eastAsia="Calibri"/>
          <w:sz w:val="22"/>
          <w:szCs w:val="22"/>
          <w:vertAlign w:val="superscript"/>
        </w:rPr>
        <w:footnoteReference w:id="39"/>
      </w:r>
    </w:p>
    <w:p w14:paraId="3FA26CE1" w14:textId="77777777" w:rsidR="00922D85" w:rsidRPr="001965BC" w:rsidRDefault="00922D85">
      <w:pPr>
        <w:ind w:left="425"/>
        <w:rPr>
          <w:rFonts w:eastAsia="Calibri"/>
        </w:rPr>
      </w:pPr>
    </w:p>
    <w:p w14:paraId="5537CA94" w14:textId="77777777" w:rsidR="00922D85" w:rsidRPr="001965BC" w:rsidRDefault="00000000">
      <w:pPr>
        <w:numPr>
          <w:ilvl w:val="0"/>
          <w:numId w:val="1"/>
        </w:numPr>
        <w:rPr>
          <w:rFonts w:eastAsia="Calibri"/>
        </w:rPr>
      </w:pPr>
      <w:r w:rsidRPr="001965BC">
        <w:rPr>
          <w:rFonts w:eastAsia="Calibri"/>
        </w:rPr>
        <w:t>Consequently, same-sex couples cannot obtain rights enjoyed by legally married opposite-sex couples, including inheritance, medical self-determination, and pensions. As a result, surviving same-sex partners are at times subjected even to criminal prosecution on charges such as theft and fraud by family members who have inherited the property of deceased same-sex partners. According to the Civil Act, non-married persons are ineligible for full adoption. Also, lesbian couples are restricted in the right to access assisted reproductive technology. There is no restriction in any laws, the Korean Medical Association of Obstetricians and Gynecologists restricts legally unmarried women’s access to assisted reproductive technology. In 2022, the KMAOG rejected the NHRKC’s' recommendation to revise the guidelines limiting access to assisted reproductive technologies such as artificial and in vitro fertilization only to legal and de facto married couples, not single women or women in same-sex unions</w:t>
      </w:r>
      <w:r w:rsidRPr="001965BC">
        <w:rPr>
          <w:rFonts w:eastAsia="Calibri"/>
          <w:vertAlign w:val="superscript"/>
        </w:rPr>
        <w:footnoteReference w:id="40"/>
      </w:r>
      <w:r w:rsidRPr="001965BC">
        <w:rPr>
          <w:rFonts w:eastAsia="Calibri"/>
        </w:rPr>
        <w:t>.</w:t>
      </w:r>
      <w:r w:rsidRPr="001965BC">
        <w:rPr>
          <w:rFonts w:eastAsia="Calibri"/>
          <w:highlight w:val="yellow"/>
        </w:rPr>
        <w:t xml:space="preserve"> </w:t>
      </w:r>
    </w:p>
    <w:p w14:paraId="58637D9C" w14:textId="77777777" w:rsidR="00922D85" w:rsidRPr="001965BC" w:rsidRDefault="00922D85">
      <w:pPr>
        <w:rPr>
          <w:rFonts w:eastAsia="Calibri"/>
        </w:rPr>
      </w:pPr>
    </w:p>
    <w:p w14:paraId="7BD6AE72" w14:textId="77777777" w:rsidR="00922D85" w:rsidRPr="001965BC" w:rsidRDefault="00000000">
      <w:pPr>
        <w:numPr>
          <w:ilvl w:val="0"/>
          <w:numId w:val="1"/>
        </w:numPr>
        <w:rPr>
          <w:rFonts w:eastAsia="Calibri"/>
        </w:rPr>
      </w:pPr>
      <w:r w:rsidRPr="001965BC">
        <w:rPr>
          <w:rFonts w:eastAsia="Calibri"/>
        </w:rPr>
        <w:t>In addition, the government has not applied to non-married same-sex couples’ rights that are acknowledged for non-married different-sex couples by laws and legal precedents. Consequently, same-sex couples in the country have experienced discrimination in the enjoyment of economic, social, and cultural rights including pensions, housing, and National Health Insurance.</w:t>
      </w:r>
    </w:p>
    <w:p w14:paraId="75EF5761" w14:textId="77777777" w:rsidR="00922D85" w:rsidRPr="001965BC" w:rsidRDefault="00922D85">
      <w:pPr>
        <w:ind w:left="425"/>
        <w:rPr>
          <w:rFonts w:eastAsia="Calibri"/>
        </w:rPr>
      </w:pPr>
    </w:p>
    <w:p w14:paraId="79F809C3" w14:textId="1ED68FC0" w:rsidR="00922D85" w:rsidRPr="001965BC" w:rsidRDefault="00000000">
      <w:pPr>
        <w:numPr>
          <w:ilvl w:val="0"/>
          <w:numId w:val="1"/>
        </w:numPr>
        <w:rPr>
          <w:rFonts w:eastAsia="Calibri"/>
        </w:rPr>
      </w:pPr>
      <w:r w:rsidRPr="001965BC">
        <w:rPr>
          <w:rFonts w:eastAsia="Calibri"/>
        </w:rPr>
        <w:lastRenderedPageBreak/>
        <w:t xml:space="preserve">In 2021, a gay couple sued the national health insurance corporation for canceling its coverage of one of the partners as a dependent. </w:t>
      </w:r>
      <w:r w:rsidR="00697625" w:rsidRPr="00697625">
        <w:rPr>
          <w:rFonts w:eastAsia="Calibri" w:hint="eastAsia"/>
        </w:rPr>
        <w:t xml:space="preserve">They </w:t>
      </w:r>
      <w:r w:rsidRPr="001965BC">
        <w:rPr>
          <w:rFonts w:eastAsia="Calibri"/>
        </w:rPr>
        <w:t xml:space="preserve">filed an administrative lawsuit against the National Health Insurance Service (NHIS) with the Seoul Administrative Court. The NHIS first granted </w:t>
      </w:r>
      <w:r w:rsidR="00697625" w:rsidRPr="00697625">
        <w:rPr>
          <w:rFonts w:eastAsia="Calibri" w:hint="eastAsia"/>
        </w:rPr>
        <w:t>same-sex partner</w:t>
      </w:r>
      <w:r w:rsidR="00697625" w:rsidRPr="00697625">
        <w:rPr>
          <w:rFonts w:eastAsia="Calibri"/>
        </w:rPr>
        <w:t>’</w:t>
      </w:r>
      <w:r w:rsidR="00697625" w:rsidRPr="00697625">
        <w:rPr>
          <w:rFonts w:eastAsia="Calibri" w:hint="eastAsia"/>
        </w:rPr>
        <w:t>s insurance</w:t>
      </w:r>
      <w:r w:rsidRPr="001965BC">
        <w:rPr>
          <w:rFonts w:eastAsia="Calibri"/>
        </w:rPr>
        <w:t xml:space="preserve"> coverage under </w:t>
      </w:r>
      <w:r w:rsidR="00697625" w:rsidRPr="00697625">
        <w:rPr>
          <w:rFonts w:eastAsia="Calibri" w:hint="eastAsia"/>
        </w:rPr>
        <w:t>his spouse</w:t>
      </w:r>
      <w:r w:rsidRPr="001965BC">
        <w:rPr>
          <w:rFonts w:eastAsia="Calibri"/>
        </w:rPr>
        <w:t xml:space="preserve">'s employer-based health insurance program in February 2020 but reversed the decision in October, citing their same-sex marriage. In January 2021, the Seoul Administrative Court ruled against the couple, saying matrimony in South Korea is still considered a union between a man and a woman. "The union of a man and a woman is still understood as the core element of marriage based on existing civic law, Supreme Court and Constitutional Court ruling precedent," the court said in the ruling. The couple and the activists' group filed the appeal in 2022. The case is pending before the Supreme Court as the National Health Insurance Service appealed. </w:t>
      </w:r>
    </w:p>
    <w:p w14:paraId="3B9B82D7" w14:textId="77777777" w:rsidR="00922D85" w:rsidRPr="001965BC" w:rsidRDefault="00922D85">
      <w:pPr>
        <w:ind w:left="425"/>
        <w:rPr>
          <w:rFonts w:eastAsia="Calibri"/>
        </w:rPr>
      </w:pPr>
    </w:p>
    <w:p w14:paraId="57F73577" w14:textId="77777777" w:rsidR="00922D85" w:rsidRPr="001965BC" w:rsidRDefault="00000000">
      <w:pPr>
        <w:numPr>
          <w:ilvl w:val="0"/>
          <w:numId w:val="1"/>
        </w:numPr>
        <w:rPr>
          <w:rFonts w:eastAsia="Calibri"/>
        </w:rPr>
      </w:pPr>
      <w:r w:rsidRPr="001965BC">
        <w:rPr>
          <w:rFonts w:eastAsia="Calibri"/>
        </w:rPr>
        <w:t xml:space="preserve">There is currently a bill in the 21st National Assembly to amend the Civil Code to allow same-sex marriage. In addition, bills on domestic partnerships, which would provide protection for non-marital partnerships, were introduced on April 27 and May 31. </w:t>
      </w:r>
    </w:p>
    <w:p w14:paraId="41CAFB62" w14:textId="77777777" w:rsidR="00922D85" w:rsidRPr="001965BC" w:rsidRDefault="00922D85">
      <w:pPr>
        <w:ind w:left="425"/>
        <w:rPr>
          <w:rFonts w:eastAsia="Calibri"/>
        </w:rPr>
      </w:pPr>
    </w:p>
    <w:p w14:paraId="231AC0AF" w14:textId="38ED942C" w:rsidR="00922D85" w:rsidRPr="001965BC" w:rsidRDefault="00000000">
      <w:pPr>
        <w:numPr>
          <w:ilvl w:val="0"/>
          <w:numId w:val="1"/>
        </w:numPr>
        <w:rPr>
          <w:rFonts w:eastAsia="Calibri"/>
        </w:rPr>
      </w:pPr>
      <w:r w:rsidRPr="001965BC">
        <w:rPr>
          <w:rFonts w:eastAsia="Calibri"/>
        </w:rPr>
        <w:t>In June 2023, during the plenary session of the Legislation and Judiciary Committee, then Justice Minister incorrectly claimed that the Domestic Partnership Bill (also referred to as the 'Life Partnership Bill') was intended to legalize same-sex marriage. He expressed strong opposition to the bill. Later, on August 15, using the official Ministry of Justice's social media account, he falsely asserted that the bill would legalize same-sex marriage and emphasized the importance of reaching a national consensus on the matter.</w:t>
      </w:r>
    </w:p>
    <w:p w14:paraId="545ECA7F" w14:textId="77777777" w:rsidR="00922D85" w:rsidRPr="001965BC" w:rsidRDefault="00922D85">
      <w:pPr>
        <w:ind w:left="425"/>
        <w:rPr>
          <w:rFonts w:eastAsia="Calibri"/>
        </w:rPr>
      </w:pPr>
    </w:p>
    <w:p w14:paraId="7A912A26" w14:textId="77777777" w:rsidR="001965BC" w:rsidRDefault="001965BC">
      <w:pPr>
        <w:rPr>
          <w:rFonts w:eastAsia="Calibri"/>
          <w:b/>
          <w:sz w:val="28"/>
          <w:szCs w:val="28"/>
        </w:rPr>
      </w:pPr>
      <w:r>
        <w:br w:type="page"/>
      </w:r>
    </w:p>
    <w:p w14:paraId="538B4A92" w14:textId="049245EC" w:rsidR="00922D85" w:rsidRPr="001965BC" w:rsidRDefault="00000000">
      <w:pPr>
        <w:pStyle w:val="1"/>
        <w:pBdr>
          <w:top w:val="nil"/>
          <w:left w:val="nil"/>
          <w:bottom w:val="nil"/>
          <w:right w:val="nil"/>
          <w:between w:val="nil"/>
        </w:pBdr>
        <w:jc w:val="left"/>
        <w:rPr>
          <w:rFonts w:ascii="Times New Roman" w:hAnsi="Times New Roman" w:cs="Times New Roman"/>
        </w:rPr>
      </w:pPr>
      <w:bookmarkStart w:id="14" w:name="_Toc164111924"/>
      <w:r w:rsidRPr="001965BC">
        <w:rPr>
          <w:rFonts w:ascii="Times New Roman" w:hAnsi="Times New Roman" w:cs="Times New Roman"/>
        </w:rPr>
        <w:lastRenderedPageBreak/>
        <w:t>Suggested Questions</w:t>
      </w:r>
      <w:bookmarkEnd w:id="14"/>
    </w:p>
    <w:p w14:paraId="21B8941D" w14:textId="77777777" w:rsidR="00922D85" w:rsidRPr="001965BC" w:rsidRDefault="00000000">
      <w:pPr>
        <w:numPr>
          <w:ilvl w:val="0"/>
          <w:numId w:val="2"/>
        </w:numPr>
        <w:rPr>
          <w:rFonts w:eastAsia="Calibri"/>
        </w:rPr>
      </w:pPr>
      <w:r w:rsidRPr="001965BC">
        <w:rPr>
          <w:rFonts w:eastAsia="Calibri"/>
        </w:rPr>
        <w:t>What measures and policies are in place or planned to address and eliminate discrimination based on sexual orientation and gender identity in accordance with the Convention? What measures are in place to prevent discriminatory attitudes and hate speech against LBTI women and persons, especially discrimination by the government’s ministries and civil servants?</w:t>
      </w:r>
    </w:p>
    <w:p w14:paraId="4116E48B" w14:textId="77777777" w:rsidR="00922D85" w:rsidRPr="001965BC" w:rsidRDefault="00000000">
      <w:pPr>
        <w:numPr>
          <w:ilvl w:val="0"/>
          <w:numId w:val="2"/>
        </w:numPr>
        <w:rPr>
          <w:rFonts w:eastAsia="Calibri"/>
        </w:rPr>
      </w:pPr>
      <w:r w:rsidRPr="001965BC">
        <w:rPr>
          <w:rFonts w:eastAsia="Calibri"/>
        </w:rPr>
        <w:t>Could the State Party please specify the steps it intends to take to enact the timely enactment of comprehensive anti-discrimination law?</w:t>
      </w:r>
    </w:p>
    <w:p w14:paraId="264A7154" w14:textId="77777777" w:rsidR="00922D85" w:rsidRPr="001965BC" w:rsidRDefault="00000000">
      <w:pPr>
        <w:numPr>
          <w:ilvl w:val="0"/>
          <w:numId w:val="2"/>
        </w:numPr>
        <w:rPr>
          <w:rFonts w:eastAsia="Calibri"/>
        </w:rPr>
      </w:pPr>
      <w:r w:rsidRPr="001965BC">
        <w:rPr>
          <w:rFonts w:eastAsia="Calibri"/>
        </w:rPr>
        <w:t>Could the State Party provide information about gender-based violence against LBTI women? Is there an anti-domestic violence framework available to victims with same-sex partners?</w:t>
      </w:r>
    </w:p>
    <w:p w14:paraId="10EA6C46" w14:textId="77777777" w:rsidR="00922D85" w:rsidRPr="001965BC" w:rsidRDefault="00000000">
      <w:pPr>
        <w:numPr>
          <w:ilvl w:val="0"/>
          <w:numId w:val="2"/>
        </w:numPr>
        <w:rPr>
          <w:rFonts w:eastAsia="Calibri"/>
        </w:rPr>
      </w:pPr>
      <w:r w:rsidRPr="001965BC">
        <w:rPr>
          <w:rFonts w:eastAsia="Calibri"/>
        </w:rPr>
        <w:t>Could the State Party provide information on the plans to combat homophobic and transphobic harassment, discrimination, and violence against LBTI girls and gender non-conforming youth, committed at schools by people including fellow students and teachers?</w:t>
      </w:r>
    </w:p>
    <w:p w14:paraId="0C487B38" w14:textId="77777777" w:rsidR="00922D85" w:rsidRPr="001965BC" w:rsidRDefault="00000000">
      <w:pPr>
        <w:numPr>
          <w:ilvl w:val="0"/>
          <w:numId w:val="2"/>
        </w:numPr>
        <w:rPr>
          <w:rFonts w:eastAsia="Calibri"/>
        </w:rPr>
      </w:pPr>
      <w:r w:rsidRPr="001965BC">
        <w:rPr>
          <w:rFonts w:eastAsia="Calibri"/>
        </w:rPr>
        <w:t>Could the State Party provide information on whether remedial means for unjust dismissal, disadvantages during personnel evaluations/measures, and harassment/discrimination in hiring and working conditions for LBTI women exist in labor laws including the Labor Standards Act and the Equal Employment Opportunity and Work-Family Balance Assistance Act and, if not, how such means will be applied?</w:t>
      </w:r>
    </w:p>
    <w:p w14:paraId="53ABD940" w14:textId="77777777" w:rsidR="00922D85" w:rsidRPr="001965BC" w:rsidRDefault="00000000">
      <w:pPr>
        <w:numPr>
          <w:ilvl w:val="0"/>
          <w:numId w:val="2"/>
        </w:numPr>
        <w:rPr>
          <w:rFonts w:eastAsia="Calibri"/>
        </w:rPr>
      </w:pPr>
      <w:r w:rsidRPr="001965BC">
        <w:rPr>
          <w:rFonts w:eastAsia="Calibri"/>
        </w:rPr>
        <w:t>How does the State Party plan to address the discrimination faced by transgender individuals in the ROK, particularly in relation to the invasive requirements for legal recognition outlined in the Supreme Court's guidelines? Are there any plans to revise these guidelines to ensure greater inclusivity and respect for transgender rights?</w:t>
      </w:r>
    </w:p>
    <w:p w14:paraId="02BA5827" w14:textId="77777777" w:rsidR="00922D85" w:rsidRPr="001965BC" w:rsidRDefault="00000000">
      <w:pPr>
        <w:numPr>
          <w:ilvl w:val="0"/>
          <w:numId w:val="2"/>
        </w:numPr>
        <w:rPr>
          <w:rFonts w:eastAsia="Calibri"/>
        </w:rPr>
      </w:pPr>
      <w:r w:rsidRPr="001965BC">
        <w:rPr>
          <w:rFonts w:eastAsia="Calibri"/>
        </w:rPr>
        <w:t>Can the State Party provide information about any ongoing efforts to grant legal rights and recognition to same-sex couples in the ROK? What steps is the Stare party taking to address the lack of legal rights for these couples?</w:t>
      </w:r>
    </w:p>
    <w:p w14:paraId="41D472DC" w14:textId="77777777" w:rsidR="00922D85" w:rsidRPr="001965BC" w:rsidRDefault="00000000">
      <w:pPr>
        <w:numPr>
          <w:ilvl w:val="0"/>
          <w:numId w:val="2"/>
        </w:numPr>
        <w:rPr>
          <w:rFonts w:eastAsia="Calibri"/>
        </w:rPr>
      </w:pPr>
      <w:r w:rsidRPr="001965BC">
        <w:rPr>
          <w:rFonts w:eastAsia="Calibri"/>
        </w:rPr>
        <w:t>Can the State Party submit information on specific data and statistics on women living with HIV/AIDS and their access to health care and counseling?</w:t>
      </w:r>
    </w:p>
    <w:p w14:paraId="0E473F97" w14:textId="77777777" w:rsidR="00922D85" w:rsidRPr="001965BC" w:rsidRDefault="00922D85">
      <w:pPr>
        <w:rPr>
          <w:rFonts w:eastAsia="Calibri"/>
        </w:rPr>
      </w:pPr>
    </w:p>
    <w:p w14:paraId="5E5F29EB" w14:textId="77777777" w:rsidR="00922D85" w:rsidRPr="001965BC" w:rsidRDefault="00000000">
      <w:pPr>
        <w:pStyle w:val="1"/>
        <w:jc w:val="left"/>
        <w:rPr>
          <w:rFonts w:ascii="Times New Roman" w:hAnsi="Times New Roman" w:cs="Times New Roman"/>
        </w:rPr>
      </w:pPr>
      <w:bookmarkStart w:id="15" w:name="_Toc164111925"/>
      <w:r w:rsidRPr="001965BC">
        <w:rPr>
          <w:rFonts w:ascii="Times New Roman" w:hAnsi="Times New Roman" w:cs="Times New Roman"/>
        </w:rPr>
        <w:t>Suggested Recommendations</w:t>
      </w:r>
      <w:bookmarkEnd w:id="15"/>
      <w:r w:rsidRPr="001965BC">
        <w:rPr>
          <w:rFonts w:ascii="Times New Roman" w:hAnsi="Times New Roman" w:cs="Times New Roman"/>
        </w:rPr>
        <w:t xml:space="preserve"> </w:t>
      </w:r>
    </w:p>
    <w:p w14:paraId="03D800B4" w14:textId="77777777" w:rsidR="00922D85" w:rsidRPr="001965BC" w:rsidRDefault="00000000">
      <w:pPr>
        <w:ind w:left="240"/>
        <w:rPr>
          <w:rFonts w:eastAsia="Calibri"/>
        </w:rPr>
      </w:pPr>
      <w:r w:rsidRPr="001965BC">
        <w:rPr>
          <w:rFonts w:eastAsia="Calibri"/>
        </w:rPr>
        <w:t xml:space="preserve">1. Clearly and officially state that it does not tolerate any form of social stigmatization of, or discrimination against, persons based on their sexual orientation or gender identity/expression. </w:t>
      </w:r>
    </w:p>
    <w:p w14:paraId="109FB530" w14:textId="77777777" w:rsidR="00922D85" w:rsidRPr="001965BC" w:rsidRDefault="00000000">
      <w:pPr>
        <w:ind w:left="240"/>
        <w:rPr>
          <w:rFonts w:eastAsia="Calibri"/>
        </w:rPr>
      </w:pPr>
      <w:r w:rsidRPr="001965BC">
        <w:rPr>
          <w:rFonts w:eastAsia="Calibri"/>
        </w:rPr>
        <w:t>2. Enact a comprehensive Anti-Discrimination Act that prohibits all forms of discrimination, including sexual orientation and gender identity.</w:t>
      </w:r>
    </w:p>
    <w:p w14:paraId="59F6A3F7" w14:textId="77777777" w:rsidR="00922D85" w:rsidRPr="001965BC" w:rsidRDefault="00000000">
      <w:pPr>
        <w:ind w:left="240"/>
        <w:rPr>
          <w:rFonts w:eastAsia="Calibri"/>
        </w:rPr>
      </w:pPr>
      <w:bookmarkStart w:id="16" w:name="_heading=h.2xcytpi" w:colFirst="0" w:colLast="0"/>
      <w:bookmarkEnd w:id="16"/>
      <w:r w:rsidRPr="001965BC">
        <w:rPr>
          <w:rFonts w:eastAsia="Calibri"/>
        </w:rPr>
        <w:lastRenderedPageBreak/>
        <w:t>3. Provide all administrative, legislative, and judicial measures to prohibit discrimination based on sexual orientation, gender identity/expression, and HIV/AIDS status at the central and local levels, including the establishment of a National Action Plan for LGBTI people.</w:t>
      </w:r>
    </w:p>
    <w:p w14:paraId="65FD170A" w14:textId="77777777" w:rsidR="00922D85" w:rsidRPr="001965BC" w:rsidRDefault="00000000">
      <w:pPr>
        <w:ind w:left="240"/>
        <w:rPr>
          <w:rFonts w:eastAsia="Calibri"/>
        </w:rPr>
      </w:pPr>
      <w:bookmarkStart w:id="17" w:name="_heading=h.wavp1l1azv2q" w:colFirst="0" w:colLast="0"/>
      <w:bookmarkEnd w:id="17"/>
      <w:r w:rsidRPr="001965BC">
        <w:rPr>
          <w:rFonts w:eastAsia="Calibri"/>
        </w:rPr>
        <w:t>4. Ensure the LBTI women have access to gender-based and domestic violence protection frameworks.</w:t>
      </w:r>
    </w:p>
    <w:p w14:paraId="3969D272" w14:textId="77777777" w:rsidR="00922D85" w:rsidRPr="001965BC" w:rsidRDefault="00000000">
      <w:pPr>
        <w:ind w:left="240"/>
        <w:rPr>
          <w:rFonts w:eastAsia="Calibri"/>
        </w:rPr>
      </w:pPr>
      <w:r w:rsidRPr="001965BC">
        <w:rPr>
          <w:rFonts w:eastAsia="Calibri"/>
        </w:rPr>
        <w:t xml:space="preserve">5. Ensure that LGBTI rights are guaranteed in curriculum and educational policies, including comprehensive sex education. Ensure that LGBTI youth are free from discrimination and bullying in school. </w:t>
      </w:r>
    </w:p>
    <w:p w14:paraId="2BBB23E6" w14:textId="77777777" w:rsidR="00922D85" w:rsidRPr="001965BC" w:rsidRDefault="00000000">
      <w:pPr>
        <w:ind w:left="240"/>
        <w:rPr>
          <w:rFonts w:eastAsia="Calibri"/>
        </w:rPr>
      </w:pPr>
      <w:r w:rsidRPr="001965BC">
        <w:rPr>
          <w:rFonts w:eastAsia="Calibri"/>
        </w:rPr>
        <w:t>6. Ensure that transgender persons have a right of access to medical services, including national health insurance coverage for gender-affirming care services.</w:t>
      </w:r>
    </w:p>
    <w:p w14:paraId="455D0925" w14:textId="77777777" w:rsidR="00922D85" w:rsidRPr="001965BC" w:rsidRDefault="00000000">
      <w:pPr>
        <w:ind w:left="240"/>
        <w:rPr>
          <w:rFonts w:eastAsia="Calibri"/>
        </w:rPr>
      </w:pPr>
      <w:r w:rsidRPr="001965BC">
        <w:rPr>
          <w:rFonts w:eastAsia="Calibri"/>
        </w:rPr>
        <w:t>7. Exclude forced sterilization surgery, genital reconstructive surgery, and other abusive requirements such as divorce, and age requirements for the precondition of legal gender recognition of transgender persons. </w:t>
      </w:r>
    </w:p>
    <w:p w14:paraId="1D349B13" w14:textId="77777777" w:rsidR="00922D85" w:rsidRPr="001965BC" w:rsidRDefault="00000000">
      <w:pPr>
        <w:ind w:left="240"/>
        <w:rPr>
          <w:rFonts w:eastAsia="Calibri"/>
        </w:rPr>
      </w:pPr>
      <w:r w:rsidRPr="001965BC">
        <w:rPr>
          <w:rFonts w:eastAsia="Calibri"/>
        </w:rPr>
        <w:t>8. Ensure the bodily integrity of intersex persons, especially infants, children, and adolescents, by prohibiting unnecessary medical interventions carried out without their free and fully informed consent.</w:t>
      </w:r>
    </w:p>
    <w:p w14:paraId="062DD816" w14:textId="77777777" w:rsidR="00922D85" w:rsidRPr="001965BC" w:rsidRDefault="00000000">
      <w:pPr>
        <w:ind w:left="240"/>
        <w:rPr>
          <w:rFonts w:eastAsia="Calibri"/>
        </w:rPr>
      </w:pPr>
      <w:r w:rsidRPr="001965BC">
        <w:rPr>
          <w:rFonts w:eastAsia="Calibri"/>
        </w:rPr>
        <w:t xml:space="preserve">9. Ensure all women, including unmarried, and LBTI women access assisted reproductive technology. </w:t>
      </w:r>
    </w:p>
    <w:p w14:paraId="27C76F9A" w14:textId="77777777" w:rsidR="00922D85" w:rsidRPr="001965BC" w:rsidRDefault="00000000">
      <w:pPr>
        <w:pBdr>
          <w:top w:val="nil"/>
          <w:left w:val="nil"/>
          <w:bottom w:val="nil"/>
          <w:right w:val="nil"/>
          <w:between w:val="nil"/>
        </w:pBdr>
        <w:ind w:left="240"/>
        <w:rPr>
          <w:rFonts w:eastAsia="Calibri"/>
        </w:rPr>
      </w:pPr>
      <w:bookmarkStart w:id="18" w:name="_heading=h.3hc0jxcapptk" w:colFirst="0" w:colLast="0"/>
      <w:bookmarkEnd w:id="18"/>
      <w:r w:rsidRPr="001965BC">
        <w:rPr>
          <w:rFonts w:eastAsia="Calibri"/>
        </w:rPr>
        <w:t>10. Take steps to ensure that same-sex couples are not discriminated against in terms of economic, and social rights and benefits, such as reproductive health, pensions, and national health insurance.</w:t>
      </w:r>
    </w:p>
    <w:p w14:paraId="291135D9" w14:textId="77777777" w:rsidR="00922D85" w:rsidRPr="001965BC" w:rsidRDefault="00000000">
      <w:pPr>
        <w:pBdr>
          <w:top w:val="nil"/>
          <w:left w:val="nil"/>
          <w:bottom w:val="nil"/>
          <w:right w:val="nil"/>
          <w:between w:val="nil"/>
        </w:pBdr>
        <w:ind w:left="240"/>
        <w:rPr>
          <w:rFonts w:eastAsia="Calibri"/>
        </w:rPr>
      </w:pPr>
      <w:bookmarkStart w:id="19" w:name="_heading=h.eypedyi1kjf6" w:colFirst="0" w:colLast="0"/>
      <w:bookmarkEnd w:id="19"/>
      <w:r w:rsidRPr="001965BC">
        <w:rPr>
          <w:rFonts w:eastAsia="Calibri"/>
        </w:rPr>
        <w:t xml:space="preserve">11. Legalize same-sex marriage. </w:t>
      </w:r>
    </w:p>
    <w:p w14:paraId="144B8393" w14:textId="77777777" w:rsidR="00922D85" w:rsidRPr="001965BC" w:rsidRDefault="00000000">
      <w:pPr>
        <w:ind w:left="240"/>
        <w:rPr>
          <w:rFonts w:eastAsia="Calibri"/>
        </w:rPr>
      </w:pPr>
      <w:r w:rsidRPr="001965BC">
        <w:rPr>
          <w:rFonts w:eastAsia="Calibri"/>
        </w:rPr>
        <w:t>12. Take necessary measures to prevent infringement of the right to health and discrimination against people living with HIV and AIDS.</w:t>
      </w:r>
    </w:p>
    <w:p w14:paraId="30036BA8" w14:textId="52393927" w:rsidR="00922D85" w:rsidRPr="001965BC" w:rsidRDefault="00000000">
      <w:pPr>
        <w:ind w:left="240"/>
        <w:rPr>
          <w:rFonts w:eastAsia="Calibri"/>
        </w:rPr>
      </w:pPr>
      <w:r w:rsidRPr="001965BC">
        <w:rPr>
          <w:rFonts w:eastAsia="Calibri"/>
        </w:rPr>
        <w:t xml:space="preserve">13. Abolish the criminalization of potential HIV transmission by repealing Article 19 of the Prevention </w:t>
      </w:r>
      <w:r w:rsidR="00C242B6">
        <w:rPr>
          <w:rFonts w:hint="eastAsia"/>
        </w:rPr>
        <w:t>of</w:t>
      </w:r>
      <w:r w:rsidRPr="001965BC">
        <w:rPr>
          <w:rFonts w:eastAsia="Calibri"/>
        </w:rPr>
        <w:t xml:space="preserve"> Acquired Immunodeficiency Syndrome Act.</w:t>
      </w:r>
    </w:p>
    <w:sectPr w:rsidR="00922D85" w:rsidRPr="001965BC">
      <w:headerReference w:type="even" r:id="rId11"/>
      <w:footerReference w:type="even" r:id="rId12"/>
      <w:footerReference w:type="default" r:id="rId13"/>
      <w:headerReference w:type="first" r:id="rId14"/>
      <w:footerReference w:type="first" r:id="rId15"/>
      <w:pgSz w:w="11906" w:h="16838"/>
      <w:pgMar w:top="1701"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994F5" w14:textId="77777777" w:rsidR="00556145" w:rsidRDefault="00556145">
      <w:pPr>
        <w:spacing w:line="240" w:lineRule="auto"/>
      </w:pPr>
      <w:r>
        <w:separator/>
      </w:r>
    </w:p>
  </w:endnote>
  <w:endnote w:type="continuationSeparator" w:id="0">
    <w:p w14:paraId="611872BC" w14:textId="77777777" w:rsidR="00556145" w:rsidRDefault="005561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ADE71" w14:textId="77777777" w:rsidR="00922D85" w:rsidRDefault="00922D85">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4B865" w14:textId="77777777" w:rsidR="00922D85" w:rsidRDefault="00000000">
    <w:pPr>
      <w:tabs>
        <w:tab w:val="center" w:pos="4513"/>
        <w:tab w:val="right" w:pos="9026"/>
      </w:tabs>
      <w:spacing w:line="300" w:lineRule="auto"/>
      <w:jc w:val="center"/>
    </w:pPr>
    <w:r>
      <w:fldChar w:fldCharType="begin"/>
    </w:r>
    <w:r>
      <w:instrText>PAGE</w:instrText>
    </w:r>
    <w:r>
      <w:fldChar w:fldCharType="separate"/>
    </w:r>
    <w:r w:rsidR="001965BC">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37AA5" w14:textId="77777777" w:rsidR="00922D85" w:rsidRDefault="00922D85">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B630F" w14:textId="77777777" w:rsidR="00556145" w:rsidRDefault="00556145">
      <w:pPr>
        <w:spacing w:line="240" w:lineRule="auto"/>
      </w:pPr>
      <w:r>
        <w:separator/>
      </w:r>
    </w:p>
  </w:footnote>
  <w:footnote w:type="continuationSeparator" w:id="0">
    <w:p w14:paraId="7D81D382" w14:textId="77777777" w:rsidR="00556145" w:rsidRDefault="00556145">
      <w:pPr>
        <w:spacing w:line="240" w:lineRule="auto"/>
      </w:pPr>
      <w:r>
        <w:continuationSeparator/>
      </w:r>
    </w:p>
  </w:footnote>
  <w:footnote w:id="1">
    <w:p w14:paraId="7804E97E" w14:textId="77777777" w:rsidR="00922D85" w:rsidRDefault="00000000">
      <w:pPr>
        <w:spacing w:line="240" w:lineRule="auto"/>
        <w:rPr>
          <w:sz w:val="18"/>
          <w:szCs w:val="18"/>
        </w:rPr>
      </w:pPr>
      <w:r>
        <w:rPr>
          <w:vertAlign w:val="superscript"/>
        </w:rPr>
        <w:footnoteRef/>
      </w:r>
      <w:r>
        <w:rPr>
          <w:sz w:val="20"/>
          <w:szCs w:val="20"/>
        </w:rPr>
        <w:t xml:space="preserve"> </w:t>
      </w:r>
      <w:r w:rsidRPr="00C242B6">
        <w:rPr>
          <w:sz w:val="18"/>
          <w:szCs w:val="18"/>
        </w:rPr>
        <w:t>UN Committee on the Elimination of Discrimination Against Women (CEDAW), Concluding observations of the Committee on the Elimination of Discrimination against Women - Republic of Korea, CEDAW/C/KOR/CO/8, 1 March 2018</w:t>
      </w:r>
    </w:p>
  </w:footnote>
  <w:footnote w:id="2">
    <w:p w14:paraId="6F7E9163" w14:textId="77777777" w:rsidR="00922D85" w:rsidRDefault="00000000">
      <w:pPr>
        <w:spacing w:line="240" w:lineRule="auto"/>
        <w:jc w:val="left"/>
        <w:rPr>
          <w:sz w:val="18"/>
          <w:szCs w:val="18"/>
        </w:rPr>
      </w:pPr>
      <w:r>
        <w:rPr>
          <w:vertAlign w:val="superscript"/>
        </w:rPr>
        <w:footnoteRef/>
      </w:r>
      <w:r>
        <w:rPr>
          <w:sz w:val="18"/>
          <w:szCs w:val="18"/>
        </w:rPr>
        <w:t xml:space="preserve">  UN Committee on Economic, Social and Cultural Rights (CESCR), Consideration of reports submitted by States parties under articles 16 and 17 of the Covenant: concluding observations of the Committee on Economic, Social and Cultural Rights: Republic of Korea, 17 December 2009, E/C.12/KOR/CO/3, at para. 9. </w:t>
      </w:r>
    </w:p>
  </w:footnote>
  <w:footnote w:id="3">
    <w:p w14:paraId="659C84AA" w14:textId="77777777" w:rsidR="00922D85" w:rsidRDefault="00000000">
      <w:pPr>
        <w:spacing w:line="240" w:lineRule="auto"/>
        <w:jc w:val="left"/>
        <w:rPr>
          <w:sz w:val="18"/>
          <w:szCs w:val="18"/>
        </w:rPr>
      </w:pPr>
      <w:r>
        <w:rPr>
          <w:vertAlign w:val="superscript"/>
        </w:rPr>
        <w:footnoteRef/>
      </w:r>
      <w:r>
        <w:rPr>
          <w:sz w:val="18"/>
          <w:szCs w:val="18"/>
        </w:rPr>
        <w:t xml:space="preserve"> UN Committee on the Elimination of Discrimination Against Women (CEDAW), Concluding observations of the Committee on the Elimination of Discrimination against Women - Republic of Korea, 1 August 2011, CEDAW/C/KOR/CO/7, at para. 15.</w:t>
      </w:r>
    </w:p>
  </w:footnote>
  <w:footnote w:id="4">
    <w:p w14:paraId="409A57C8" w14:textId="77777777" w:rsidR="00922D85" w:rsidRDefault="00000000">
      <w:pPr>
        <w:spacing w:line="240" w:lineRule="auto"/>
        <w:jc w:val="left"/>
        <w:rPr>
          <w:sz w:val="18"/>
          <w:szCs w:val="18"/>
        </w:rPr>
      </w:pPr>
      <w:r>
        <w:rPr>
          <w:vertAlign w:val="superscript"/>
        </w:rPr>
        <w:footnoteRef/>
      </w:r>
      <w:r>
        <w:rPr>
          <w:sz w:val="18"/>
          <w:szCs w:val="18"/>
        </w:rPr>
        <w:t xml:space="preserve"> UN Committee on the Rights of the Child (CRC), Concluding observations: Republic of Korea, 2 February 2012, CRC/C/KOR/CO/3-4, at para. 29.</w:t>
      </w:r>
    </w:p>
  </w:footnote>
  <w:footnote w:id="5">
    <w:p w14:paraId="7C266E51" w14:textId="77777777" w:rsidR="00922D85" w:rsidRDefault="00000000">
      <w:pPr>
        <w:spacing w:line="240" w:lineRule="auto"/>
        <w:jc w:val="left"/>
        <w:rPr>
          <w:sz w:val="18"/>
          <w:szCs w:val="18"/>
        </w:rPr>
      </w:pPr>
      <w:r>
        <w:rPr>
          <w:vertAlign w:val="superscript"/>
        </w:rPr>
        <w:footnoteRef/>
      </w:r>
      <w:r>
        <w:rPr>
          <w:sz w:val="18"/>
          <w:szCs w:val="18"/>
        </w:rPr>
        <w:t xml:space="preserve"> UN Human Rights Committee (HRC), Concluding observations on the fourth periodic report of the Republic of Korea, 3 December 2015, CCPR/C/KOR/CO/4, at para. 12-13.</w:t>
      </w:r>
    </w:p>
  </w:footnote>
  <w:footnote w:id="6">
    <w:p w14:paraId="69631162" w14:textId="77777777" w:rsidR="00922D85" w:rsidRDefault="00000000">
      <w:pPr>
        <w:spacing w:line="240" w:lineRule="auto"/>
        <w:rPr>
          <w:sz w:val="20"/>
          <w:szCs w:val="20"/>
        </w:rPr>
      </w:pPr>
      <w:r>
        <w:rPr>
          <w:vertAlign w:val="superscript"/>
        </w:rPr>
        <w:footnoteRef/>
      </w:r>
      <w:r>
        <w:rPr>
          <w:sz w:val="20"/>
          <w:szCs w:val="20"/>
        </w:rPr>
        <w:t xml:space="preserve"> </w:t>
      </w:r>
      <w:r>
        <w:rPr>
          <w:sz w:val="18"/>
          <w:szCs w:val="18"/>
        </w:rPr>
        <w:t xml:space="preserve">UN Committee on Economic, Social and Cultural Rights (CESCR), Concluding observations on the fourth periodic report of the Republic of Korea, 19 October 2017, E/C.12/KOR/CO/4, at para. 23. </w:t>
      </w:r>
    </w:p>
  </w:footnote>
  <w:footnote w:id="7">
    <w:p w14:paraId="189ED577" w14:textId="77777777" w:rsidR="00922D85" w:rsidRDefault="00000000">
      <w:pPr>
        <w:spacing w:line="240" w:lineRule="auto"/>
        <w:rPr>
          <w:sz w:val="18"/>
          <w:szCs w:val="18"/>
        </w:rPr>
      </w:pPr>
      <w:r>
        <w:rPr>
          <w:vertAlign w:val="superscript"/>
        </w:rPr>
        <w:footnoteRef/>
      </w:r>
      <w:r>
        <w:rPr>
          <w:sz w:val="20"/>
          <w:szCs w:val="20"/>
        </w:rPr>
        <w:t xml:space="preserve"> </w:t>
      </w:r>
      <w:r>
        <w:rPr>
          <w:sz w:val="18"/>
          <w:szCs w:val="18"/>
        </w:rPr>
        <w:t>UN Committee on the Elimination of Discrimination Against Women (CEDAW), Concluding observations on the eighth periodic report of the Republic of Korea, 14 March 2018, CEDAW/C/KOR/CO/8, para 13</w:t>
      </w:r>
    </w:p>
  </w:footnote>
  <w:footnote w:id="8">
    <w:p w14:paraId="206FE92F" w14:textId="77777777" w:rsidR="00922D85" w:rsidRDefault="00000000">
      <w:pPr>
        <w:spacing w:line="240" w:lineRule="auto"/>
        <w:rPr>
          <w:sz w:val="18"/>
          <w:szCs w:val="18"/>
        </w:rPr>
      </w:pPr>
      <w:r>
        <w:rPr>
          <w:vertAlign w:val="superscript"/>
        </w:rPr>
        <w:footnoteRef/>
      </w:r>
      <w:r>
        <w:rPr>
          <w:sz w:val="18"/>
          <w:szCs w:val="18"/>
        </w:rPr>
        <w:t xml:space="preserve"> Committee on the Elimination of Racial Discrimination (CERD), Concluding observations on the combined 17th to 19th periodic reports of Republic of Korea, 14 December 2018, CERD/C/KOR/CO/17-19, para 43</w:t>
      </w:r>
    </w:p>
  </w:footnote>
  <w:footnote w:id="9">
    <w:p w14:paraId="00517756" w14:textId="77777777" w:rsidR="00922D85" w:rsidRDefault="00000000">
      <w:pPr>
        <w:spacing w:line="240" w:lineRule="auto"/>
        <w:rPr>
          <w:sz w:val="18"/>
          <w:szCs w:val="18"/>
        </w:rPr>
      </w:pPr>
      <w:r>
        <w:rPr>
          <w:vertAlign w:val="superscript"/>
        </w:rPr>
        <w:footnoteRef/>
      </w:r>
      <w:r>
        <w:rPr>
          <w:sz w:val="20"/>
          <w:szCs w:val="20"/>
        </w:rPr>
        <w:t xml:space="preserve"> </w:t>
      </w:r>
      <w:r>
        <w:rPr>
          <w:sz w:val="18"/>
          <w:szCs w:val="18"/>
        </w:rPr>
        <w:t>UN Human Rights Committee (HRC), Concluding observations on the fifth periodic report of the Republic of Korea, 10 November 2023, CCPR/C/KOR/CO/5, at para. 11-12.</w:t>
      </w:r>
    </w:p>
  </w:footnote>
  <w:footnote w:id="10">
    <w:p w14:paraId="505BC7C0" w14:textId="77777777" w:rsidR="00922D85" w:rsidRDefault="00000000">
      <w:pPr>
        <w:spacing w:line="264" w:lineRule="auto"/>
        <w:jc w:val="left"/>
        <w:rPr>
          <w:sz w:val="18"/>
          <w:szCs w:val="18"/>
        </w:rPr>
      </w:pPr>
      <w:r>
        <w:rPr>
          <w:vertAlign w:val="superscript"/>
        </w:rPr>
        <w:footnoteRef/>
      </w:r>
      <w:r>
        <w:rPr>
          <w:sz w:val="18"/>
          <w:szCs w:val="18"/>
        </w:rPr>
        <w:t xml:space="preserve"> UN Human Rights Council, Report of the Working Group on the Universal Periodic Review: Republic of Korea, 12 December 2012, A/HRC/22/10, at para. 124.24, 124.33. “124.24. Adopt the Anti-discrimination Act as a matter of priority while encompassing grounds for discrimination on the basis of sexual orientation (Czech Republic); Include in the Anti-discrimination Law a specific prohibition on discrimination on the basis of sexual orientation (Spain); 124.33. Study the possibility of intensifying measures aiming at eliminating all discriminatory treatment on the basis of sexual orientation or gender identity (Argentina).”</w:t>
      </w:r>
    </w:p>
  </w:footnote>
  <w:footnote w:id="11">
    <w:p w14:paraId="6C0B02B7" w14:textId="77777777" w:rsidR="00922D85" w:rsidRDefault="00000000">
      <w:pPr>
        <w:spacing w:line="240" w:lineRule="auto"/>
        <w:rPr>
          <w:sz w:val="20"/>
          <w:szCs w:val="20"/>
        </w:rPr>
      </w:pPr>
      <w:r>
        <w:rPr>
          <w:vertAlign w:val="superscript"/>
        </w:rPr>
        <w:footnoteRef/>
      </w:r>
      <w:r>
        <w:rPr>
          <w:sz w:val="20"/>
          <w:szCs w:val="20"/>
        </w:rPr>
        <w:t xml:space="preserve"> </w:t>
      </w:r>
      <w:r>
        <w:rPr>
          <w:sz w:val="18"/>
          <w:szCs w:val="18"/>
        </w:rPr>
        <w:t xml:space="preserve">UN Human Rights Council, Report of the Working Group on the Universal Periodic Review: Republic of Korea, 13 November 2017, A/HRC/WG.6/28/L.8, Twenty-four countries have recommended the enactment of anti-discrimination laws </w:t>
      </w:r>
    </w:p>
  </w:footnote>
  <w:footnote w:id="12">
    <w:p w14:paraId="7D741944" w14:textId="77777777" w:rsidR="00922D85" w:rsidRDefault="00000000">
      <w:pPr>
        <w:spacing w:line="240" w:lineRule="auto"/>
        <w:rPr>
          <w:sz w:val="18"/>
          <w:szCs w:val="18"/>
        </w:rPr>
      </w:pPr>
      <w:r>
        <w:rPr>
          <w:vertAlign w:val="superscript"/>
        </w:rPr>
        <w:footnoteRef/>
      </w:r>
      <w:r>
        <w:rPr>
          <w:sz w:val="20"/>
          <w:szCs w:val="20"/>
        </w:rPr>
        <w:t xml:space="preserve"> </w:t>
      </w:r>
      <w:r>
        <w:rPr>
          <w:sz w:val="18"/>
          <w:szCs w:val="18"/>
        </w:rPr>
        <w:t xml:space="preserve">UN Human Rights Council, Report of the Working Group on the Universal Periodic Review: Republic of Korea, 14 July 2023, A/HRC/53/11, Seventeen countries have recommended the enactment of anti-discrimination laws </w:t>
      </w:r>
    </w:p>
  </w:footnote>
  <w:footnote w:id="13">
    <w:p w14:paraId="69FA5065" w14:textId="77777777" w:rsidR="00922D85" w:rsidRDefault="00000000">
      <w:pPr>
        <w:spacing w:line="240" w:lineRule="auto"/>
        <w:rPr>
          <w:sz w:val="18"/>
          <w:szCs w:val="18"/>
        </w:rPr>
      </w:pPr>
      <w:r>
        <w:rPr>
          <w:vertAlign w:val="superscript"/>
        </w:rPr>
        <w:footnoteRef/>
      </w:r>
      <w:r>
        <w:rPr>
          <w:sz w:val="18"/>
          <w:szCs w:val="18"/>
        </w:rPr>
        <w:t xml:space="preserve"> Ministry of Justice, The 4th National Human Rights Plans of Action (2023-2027), 27 March 2024 </w:t>
      </w:r>
      <w:hyperlink r:id="rId1">
        <w:r>
          <w:rPr>
            <w:color w:val="1155CC"/>
            <w:sz w:val="18"/>
            <w:szCs w:val="18"/>
            <w:u w:val="single"/>
          </w:rPr>
          <w:t>https://www.moj.go.kr/moj/173/subview.do?enc=Zm5jdDF8QEB8JTJGYmJzJTJGbW9qJTJGMTIxJTJGNTgxNDIzJTJGYXJ0Y2xWaWV3LmRvJTNGcGFzc3dvcmQlM0QlMjZyZ3NCZ25kZVN0ciUzRCUyNmJic0NsU2VxJTNEJTI2cmdzRW5kZGVTdHIlM0QlMjZpc1ZpZXdNaW5lJTNEZmFsc2UlMjZwYWdlJTNEMSUyNmJic09wZW5XcmRTZXElM0QlMjZzcmNoQ29sdW1uJTNEJTI2c3JjaFdyZCUzRCUyNg%3D%3D</w:t>
        </w:r>
      </w:hyperlink>
      <w:r>
        <w:rPr>
          <w:sz w:val="18"/>
          <w:szCs w:val="18"/>
        </w:rPr>
        <w:t xml:space="preserve"> </w:t>
      </w:r>
    </w:p>
  </w:footnote>
  <w:footnote w:id="14">
    <w:p w14:paraId="42EB14EC" w14:textId="77777777" w:rsidR="00922D85" w:rsidRDefault="00000000">
      <w:pPr>
        <w:spacing w:line="240" w:lineRule="auto"/>
        <w:rPr>
          <w:sz w:val="20"/>
          <w:szCs w:val="20"/>
        </w:rPr>
      </w:pPr>
      <w:r>
        <w:rPr>
          <w:vertAlign w:val="superscript"/>
        </w:rPr>
        <w:footnoteRef/>
      </w:r>
      <w:r>
        <w:rPr>
          <w:sz w:val="20"/>
          <w:szCs w:val="20"/>
        </w:rPr>
        <w:t xml:space="preserve"> Yonhap News, “Daegu’s police, governmental authorities clash over annual queer festival”, 17 Jun 2023, </w:t>
      </w:r>
      <w:hyperlink r:id="rId2">
        <w:r>
          <w:rPr>
            <w:color w:val="1155CC"/>
            <w:sz w:val="20"/>
            <w:szCs w:val="20"/>
            <w:u w:val="single"/>
          </w:rPr>
          <w:t>https://en.yna.co.kr/view/AEN20230617001200315</w:t>
        </w:r>
      </w:hyperlink>
      <w:r>
        <w:rPr>
          <w:sz w:val="20"/>
          <w:szCs w:val="20"/>
        </w:rPr>
        <w:t xml:space="preserve"> </w:t>
      </w:r>
    </w:p>
  </w:footnote>
  <w:footnote w:id="15">
    <w:p w14:paraId="4F8E8098" w14:textId="77777777" w:rsidR="00922D85" w:rsidRDefault="00000000">
      <w:pPr>
        <w:spacing w:line="240" w:lineRule="auto"/>
        <w:rPr>
          <w:sz w:val="18"/>
          <w:szCs w:val="18"/>
        </w:rPr>
      </w:pPr>
      <w:r>
        <w:rPr>
          <w:vertAlign w:val="superscript"/>
        </w:rPr>
        <w:footnoteRef/>
      </w:r>
      <w:r>
        <w:rPr>
          <w:sz w:val="20"/>
          <w:szCs w:val="20"/>
        </w:rPr>
        <w:t xml:space="preserve"> </w:t>
      </w:r>
      <w:r>
        <w:rPr>
          <w:sz w:val="18"/>
          <w:szCs w:val="18"/>
        </w:rPr>
        <w:t xml:space="preserve">Haps, “3rd Busan Queer Culture Festival Canceled”, 20 August 2019 </w:t>
      </w:r>
    </w:p>
    <w:p w14:paraId="28E81F69" w14:textId="77777777" w:rsidR="00922D85" w:rsidRDefault="00000000">
      <w:pPr>
        <w:spacing w:line="240" w:lineRule="auto"/>
        <w:rPr>
          <w:sz w:val="18"/>
          <w:szCs w:val="18"/>
        </w:rPr>
      </w:pPr>
      <w:r>
        <w:rPr>
          <w:sz w:val="18"/>
          <w:szCs w:val="18"/>
        </w:rPr>
        <w:t xml:space="preserve">  </w:t>
      </w:r>
      <w:hyperlink r:id="rId3">
        <w:r>
          <w:rPr>
            <w:color w:val="1155CC"/>
            <w:sz w:val="18"/>
            <w:szCs w:val="18"/>
            <w:u w:val="single"/>
          </w:rPr>
          <w:t>https://www.hapskorea.com/3rd-busan-queer-culture-festival-canceled/</w:t>
        </w:r>
      </w:hyperlink>
    </w:p>
  </w:footnote>
  <w:footnote w:id="16">
    <w:p w14:paraId="6C09D0F7" w14:textId="77777777" w:rsidR="00922D85" w:rsidRDefault="00000000">
      <w:pPr>
        <w:spacing w:line="240" w:lineRule="auto"/>
        <w:rPr>
          <w:sz w:val="18"/>
          <w:szCs w:val="18"/>
        </w:rPr>
      </w:pPr>
      <w:r>
        <w:rPr>
          <w:vertAlign w:val="superscript"/>
        </w:rPr>
        <w:footnoteRef/>
      </w:r>
      <w:r>
        <w:rPr>
          <w:sz w:val="20"/>
          <w:szCs w:val="20"/>
        </w:rPr>
        <w:t xml:space="preserve"> </w:t>
      </w:r>
      <w:r>
        <w:rPr>
          <w:sz w:val="18"/>
          <w:szCs w:val="18"/>
        </w:rPr>
        <w:t xml:space="preserve">The Korea Times, “Seoul Queer Culture Festival venue moved to </w:t>
      </w:r>
      <w:proofErr w:type="spellStart"/>
      <w:r>
        <w:rPr>
          <w:sz w:val="18"/>
          <w:szCs w:val="18"/>
        </w:rPr>
        <w:t>Euljiro</w:t>
      </w:r>
      <w:proofErr w:type="spellEnd"/>
      <w:r>
        <w:rPr>
          <w:sz w:val="18"/>
          <w:szCs w:val="18"/>
        </w:rPr>
        <w:t>”, 7 June 2023</w:t>
      </w:r>
    </w:p>
    <w:p w14:paraId="4FA27B0E" w14:textId="77777777" w:rsidR="00922D85" w:rsidRDefault="00000000">
      <w:pPr>
        <w:spacing w:line="240" w:lineRule="auto"/>
        <w:rPr>
          <w:sz w:val="18"/>
          <w:szCs w:val="18"/>
        </w:rPr>
      </w:pPr>
      <w:r>
        <w:rPr>
          <w:sz w:val="18"/>
          <w:szCs w:val="18"/>
        </w:rPr>
        <w:t xml:space="preserve">    </w:t>
      </w:r>
      <w:hyperlink r:id="rId4">
        <w:r>
          <w:rPr>
            <w:color w:val="1155CC"/>
            <w:sz w:val="18"/>
            <w:szCs w:val="18"/>
            <w:u w:val="single"/>
          </w:rPr>
          <w:t>https://www.koreatimes.co.kr/www/nation/2023/08/113_352496.html</w:t>
        </w:r>
      </w:hyperlink>
      <w:r>
        <w:rPr>
          <w:sz w:val="18"/>
          <w:szCs w:val="18"/>
        </w:rPr>
        <w:t xml:space="preserve"> </w:t>
      </w:r>
    </w:p>
  </w:footnote>
  <w:footnote w:id="17">
    <w:p w14:paraId="2757B482" w14:textId="77777777" w:rsidR="00922D85" w:rsidRDefault="00000000">
      <w:pPr>
        <w:spacing w:line="240" w:lineRule="auto"/>
        <w:rPr>
          <w:sz w:val="18"/>
          <w:szCs w:val="18"/>
        </w:rPr>
      </w:pPr>
      <w:r>
        <w:rPr>
          <w:vertAlign w:val="superscript"/>
        </w:rPr>
        <w:footnoteRef/>
      </w:r>
      <w:r>
        <w:rPr>
          <w:sz w:val="18"/>
          <w:szCs w:val="18"/>
        </w:rPr>
        <w:t xml:space="preserve"> 41%, 11.4%, 14.1%, and 7.4% of the total respondents had experienced workplace harassment, sexual harassment, recommended resignation/dismissal, and voluntary retirement, respectively. NHRCK, An Investigation on Discrimination Based on Sexual Orientation and Gender Identity, December 2014. (In Korean).</w:t>
      </w:r>
    </w:p>
  </w:footnote>
  <w:footnote w:id="18">
    <w:p w14:paraId="6AB4B2B2" w14:textId="77777777" w:rsidR="00922D85" w:rsidRDefault="00000000">
      <w:pPr>
        <w:spacing w:line="240" w:lineRule="auto"/>
        <w:rPr>
          <w:sz w:val="18"/>
          <w:szCs w:val="18"/>
        </w:rPr>
      </w:pPr>
      <w:r>
        <w:rPr>
          <w:vertAlign w:val="superscript"/>
        </w:rPr>
        <w:footnoteRef/>
      </w:r>
      <w:r>
        <w:rPr>
          <w:sz w:val="18"/>
          <w:szCs w:val="18"/>
        </w:rPr>
        <w:t xml:space="preserve"> National Human Rights Commission of Korea, Survey on the situation of hatred and discrimination on transgender people, 2020.</w:t>
      </w:r>
    </w:p>
  </w:footnote>
  <w:footnote w:id="19">
    <w:p w14:paraId="31383DD7" w14:textId="77777777" w:rsidR="00922D85" w:rsidRDefault="00000000">
      <w:pPr>
        <w:spacing w:line="240" w:lineRule="auto"/>
        <w:rPr>
          <w:sz w:val="18"/>
          <w:szCs w:val="18"/>
        </w:rPr>
      </w:pPr>
      <w:r>
        <w:rPr>
          <w:vertAlign w:val="superscript"/>
        </w:rPr>
        <w:footnoteRef/>
      </w:r>
      <w:r>
        <w:rPr>
          <w:sz w:val="18"/>
          <w:szCs w:val="18"/>
        </w:rPr>
        <w:t xml:space="preserve"> National Human Rights Commission of Korea, Survey on the situation of hatred and discrimination on transgender people, 2020.</w:t>
      </w:r>
    </w:p>
  </w:footnote>
  <w:footnote w:id="20">
    <w:p w14:paraId="55A93F84" w14:textId="77777777" w:rsidR="00922D85" w:rsidRDefault="00000000">
      <w:pPr>
        <w:spacing w:line="240" w:lineRule="auto"/>
        <w:rPr>
          <w:sz w:val="18"/>
          <w:szCs w:val="18"/>
        </w:rPr>
      </w:pPr>
      <w:r>
        <w:rPr>
          <w:vertAlign w:val="superscript"/>
        </w:rPr>
        <w:footnoteRef/>
      </w:r>
      <w:r>
        <w:rPr>
          <w:sz w:val="18"/>
          <w:szCs w:val="18"/>
        </w:rPr>
        <w:t xml:space="preserve"> The Korea Times, Row arises over not guilty verdict for 2 naval officers for raping female subordinate, 20 November 2018.</w:t>
      </w:r>
    </w:p>
  </w:footnote>
  <w:footnote w:id="21">
    <w:p w14:paraId="58F67FB2" w14:textId="77777777" w:rsidR="00922D85" w:rsidRDefault="00000000">
      <w:pPr>
        <w:rPr>
          <w:sz w:val="18"/>
          <w:szCs w:val="18"/>
        </w:rPr>
      </w:pPr>
      <w:r>
        <w:rPr>
          <w:vertAlign w:val="superscript"/>
        </w:rPr>
        <w:footnoteRef/>
      </w:r>
      <w:r>
        <w:t xml:space="preserve"> </w:t>
      </w:r>
      <w:r>
        <w:rPr>
          <w:sz w:val="18"/>
          <w:szCs w:val="18"/>
        </w:rPr>
        <w:t>Human Rights Watch, “I Thought of Myself as Defective” - Neglecting the Rights of LGBT Youth in South Korean Schools, 14 September 2021.</w:t>
      </w:r>
    </w:p>
  </w:footnote>
  <w:footnote w:id="22">
    <w:p w14:paraId="038DBA37" w14:textId="77777777" w:rsidR="00922D85" w:rsidRDefault="00000000">
      <w:pPr>
        <w:spacing w:line="264" w:lineRule="auto"/>
        <w:rPr>
          <w:sz w:val="18"/>
          <w:szCs w:val="18"/>
        </w:rPr>
      </w:pPr>
      <w:r>
        <w:rPr>
          <w:vertAlign w:val="superscript"/>
        </w:rPr>
        <w:footnoteRef/>
      </w:r>
      <w:r>
        <w:rPr>
          <w:sz w:val="18"/>
          <w:szCs w:val="18"/>
        </w:rPr>
        <w:t xml:space="preserve"> Korean Gay Men’s Human Rights Group Chingusai, South Korean LGBTI Community Social Needs Assessment Survey, 14 June 2014.</w:t>
      </w:r>
    </w:p>
  </w:footnote>
  <w:footnote w:id="23">
    <w:p w14:paraId="6F2D8EB1" w14:textId="77777777" w:rsidR="00922D85" w:rsidRDefault="00000000">
      <w:pPr>
        <w:spacing w:line="240" w:lineRule="auto"/>
        <w:rPr>
          <w:sz w:val="18"/>
          <w:szCs w:val="18"/>
        </w:rPr>
      </w:pPr>
      <w:r>
        <w:rPr>
          <w:vertAlign w:val="superscript"/>
        </w:rPr>
        <w:footnoteRef/>
      </w:r>
      <w:r>
        <w:rPr>
          <w:sz w:val="20"/>
          <w:szCs w:val="20"/>
        </w:rPr>
        <w:t xml:space="preserve"> </w:t>
      </w:r>
      <w:r>
        <w:rPr>
          <w:sz w:val="18"/>
          <w:szCs w:val="18"/>
        </w:rPr>
        <w:t xml:space="preserve">LGBTQ Youth Crisis Support Center </w:t>
      </w:r>
      <w:proofErr w:type="spellStart"/>
      <w:r>
        <w:rPr>
          <w:sz w:val="18"/>
          <w:szCs w:val="18"/>
        </w:rPr>
        <w:t>DDingDong</w:t>
      </w:r>
      <w:proofErr w:type="spellEnd"/>
      <w:r>
        <w:rPr>
          <w:sz w:val="18"/>
          <w:szCs w:val="18"/>
        </w:rPr>
        <w:t xml:space="preserve"> (2021), Preliminary Study on the Experiences and Concerns of LGBTI Youths Leaving Home. </w:t>
      </w:r>
    </w:p>
  </w:footnote>
  <w:footnote w:id="24">
    <w:p w14:paraId="41C81DC7" w14:textId="77777777" w:rsidR="00922D85" w:rsidRDefault="00000000">
      <w:pPr>
        <w:spacing w:line="264" w:lineRule="auto"/>
        <w:jc w:val="left"/>
        <w:rPr>
          <w:sz w:val="18"/>
          <w:szCs w:val="18"/>
        </w:rPr>
      </w:pPr>
      <w:r>
        <w:rPr>
          <w:vertAlign w:val="superscript"/>
        </w:rPr>
        <w:footnoteRef/>
      </w:r>
      <w:r>
        <w:rPr>
          <w:sz w:val="18"/>
          <w:szCs w:val="18"/>
        </w:rPr>
        <w:t xml:space="preserve"> Supreme Court of Korea, 2004Su42 Decision, 22 June 2006.</w:t>
      </w:r>
    </w:p>
  </w:footnote>
  <w:footnote w:id="25">
    <w:p w14:paraId="352B3056" w14:textId="77777777" w:rsidR="00922D85" w:rsidRDefault="00000000">
      <w:pPr>
        <w:spacing w:line="264" w:lineRule="auto"/>
        <w:jc w:val="left"/>
        <w:rPr>
          <w:sz w:val="18"/>
          <w:szCs w:val="18"/>
        </w:rPr>
      </w:pPr>
      <w:r>
        <w:rPr>
          <w:vertAlign w:val="superscript"/>
        </w:rPr>
        <w:footnoteRef/>
      </w:r>
      <w:r>
        <w:rPr>
          <w:sz w:val="18"/>
          <w:szCs w:val="18"/>
        </w:rPr>
        <w:t xml:space="preserve"> Guidelines on the Clerical Processing of Cases of Transsexuals’ Application for Legal Sex Reassignment (revised on Jan. 8, 2015 [Established Rules on Family Relationship Registration No. 435; implemented on Feb. 1, 2015]; in Korean).  English translation by Korean Society of Law and Policy on Sexual Orientation and Gender Identity is available at </w:t>
      </w:r>
      <w:r w:rsidRPr="001965BC">
        <w:rPr>
          <w:color w:val="1155CC"/>
          <w:sz w:val="18"/>
          <w:szCs w:val="18"/>
          <w:u w:val="single"/>
        </w:rPr>
        <w:t>http://annual.sogilaw.org/review/law_list_en</w:t>
      </w:r>
    </w:p>
  </w:footnote>
  <w:footnote w:id="26">
    <w:p w14:paraId="54EA334D" w14:textId="77777777" w:rsidR="00922D85" w:rsidRDefault="00000000">
      <w:pPr>
        <w:widowControl/>
        <w:spacing w:line="264" w:lineRule="auto"/>
        <w:jc w:val="left"/>
        <w:rPr>
          <w:sz w:val="18"/>
          <w:szCs w:val="18"/>
        </w:rPr>
      </w:pPr>
      <w:r>
        <w:rPr>
          <w:vertAlign w:val="superscript"/>
        </w:rPr>
        <w:footnoteRef/>
      </w:r>
      <w:r>
        <w:rPr>
          <w:sz w:val="18"/>
          <w:szCs w:val="18"/>
        </w:rPr>
        <w:t xml:space="preserve"> The Hankyoreh, “Landmark Legal Ruling for South Korean Transgenders.” 16 March 2013. </w:t>
      </w:r>
      <w:r w:rsidRPr="00C242B6">
        <w:rPr>
          <w:color w:val="1155CC"/>
          <w:sz w:val="18"/>
          <w:szCs w:val="18"/>
          <w:u w:val="single"/>
        </w:rPr>
        <w:t>http://english.hani.co.kr/arti/english_edition/e_national/578323.html</w:t>
      </w:r>
    </w:p>
  </w:footnote>
  <w:footnote w:id="27">
    <w:p w14:paraId="37BEE591" w14:textId="77777777" w:rsidR="00922D85" w:rsidRDefault="00000000">
      <w:pPr>
        <w:widowControl/>
        <w:spacing w:line="264" w:lineRule="auto"/>
        <w:jc w:val="left"/>
        <w:rPr>
          <w:sz w:val="18"/>
          <w:szCs w:val="18"/>
        </w:rPr>
      </w:pPr>
      <w:r>
        <w:rPr>
          <w:vertAlign w:val="superscript"/>
        </w:rPr>
        <w:footnoteRef/>
      </w:r>
      <w:r>
        <w:rPr>
          <w:sz w:val="18"/>
          <w:szCs w:val="18"/>
        </w:rPr>
        <w:t xml:space="preserve"> The Hankyoreh, “The court first grants legal gender change for a transwoman without genital reconstructive surgery.” 16 February 2017. (in Korean) </w:t>
      </w:r>
      <w:r w:rsidRPr="00C242B6">
        <w:rPr>
          <w:color w:val="1155CC"/>
          <w:sz w:val="18"/>
          <w:szCs w:val="18"/>
          <w:u w:val="single"/>
        </w:rPr>
        <w:t>http://www.hani.co.kr/arti/society/society_general/782866.html</w:t>
      </w:r>
    </w:p>
  </w:footnote>
  <w:footnote w:id="28">
    <w:p w14:paraId="3179C84A" w14:textId="77777777" w:rsidR="00922D85" w:rsidRDefault="00000000">
      <w:pPr>
        <w:spacing w:line="240" w:lineRule="auto"/>
        <w:rPr>
          <w:sz w:val="18"/>
          <w:szCs w:val="18"/>
        </w:rPr>
      </w:pPr>
      <w:r>
        <w:rPr>
          <w:vertAlign w:val="superscript"/>
        </w:rPr>
        <w:footnoteRef/>
      </w:r>
      <w:r>
        <w:rPr>
          <w:sz w:val="20"/>
          <w:szCs w:val="20"/>
        </w:rPr>
        <w:t xml:space="preserve"> Library of Congress, </w:t>
      </w:r>
      <w:r>
        <w:rPr>
          <w:sz w:val="18"/>
          <w:szCs w:val="18"/>
        </w:rPr>
        <w:t>South Korea: Supreme Court Decides Transgender Person with Minor Children Can Change Gender in Family Relations Register, 26 January 2023</w:t>
      </w:r>
    </w:p>
  </w:footnote>
  <w:footnote w:id="29">
    <w:p w14:paraId="280585D7" w14:textId="77777777" w:rsidR="00922D85" w:rsidRDefault="00000000">
      <w:pPr>
        <w:spacing w:line="240" w:lineRule="auto"/>
        <w:rPr>
          <w:sz w:val="20"/>
          <w:szCs w:val="20"/>
        </w:rPr>
      </w:pPr>
      <w:r>
        <w:rPr>
          <w:vertAlign w:val="superscript"/>
        </w:rPr>
        <w:footnoteRef/>
      </w:r>
      <w:r>
        <w:rPr>
          <w:sz w:val="20"/>
          <w:szCs w:val="20"/>
        </w:rPr>
        <w:t xml:space="preserve"> Supreme Court of Korea, 2022Su616 Decision, 24 November 2022. </w:t>
      </w:r>
    </w:p>
  </w:footnote>
  <w:footnote w:id="30">
    <w:p w14:paraId="76EC6377" w14:textId="77777777" w:rsidR="00922D85" w:rsidRDefault="00000000">
      <w:pPr>
        <w:spacing w:line="240" w:lineRule="auto"/>
        <w:rPr>
          <w:sz w:val="18"/>
          <w:szCs w:val="18"/>
        </w:rPr>
      </w:pPr>
      <w:r>
        <w:rPr>
          <w:vertAlign w:val="superscript"/>
        </w:rPr>
        <w:footnoteRef/>
      </w:r>
      <w:r>
        <w:rPr>
          <w:sz w:val="18"/>
          <w:szCs w:val="18"/>
        </w:rPr>
        <w:t xml:space="preserve">  National Human Rights Commission of Korea, Survey on the situation of hatred and discrimination on transgender people, 2020.</w:t>
      </w:r>
    </w:p>
  </w:footnote>
  <w:footnote w:id="31">
    <w:p w14:paraId="65B0CEAE" w14:textId="77777777" w:rsidR="00922D85" w:rsidRDefault="00000000">
      <w:pPr>
        <w:spacing w:line="240" w:lineRule="auto"/>
        <w:rPr>
          <w:sz w:val="18"/>
          <w:szCs w:val="18"/>
        </w:rPr>
      </w:pPr>
      <w:r>
        <w:rPr>
          <w:vertAlign w:val="superscript"/>
        </w:rPr>
        <w:footnoteRef/>
      </w:r>
      <w:r>
        <w:rPr>
          <w:sz w:val="18"/>
          <w:szCs w:val="18"/>
        </w:rPr>
        <w:t xml:space="preserve"> UN Committee on the Elimination of Discrimination Against Women (CEDAW), Concluding observations on the eighth periodic report of the Republic of Korea, 14 March 2018, CEDAW/C/KOR/CO/8, para 41</w:t>
      </w:r>
    </w:p>
  </w:footnote>
  <w:footnote w:id="32">
    <w:p w14:paraId="4AF5CC31" w14:textId="77777777" w:rsidR="00922D85" w:rsidRDefault="00000000">
      <w:pPr>
        <w:spacing w:line="264" w:lineRule="auto"/>
        <w:jc w:val="left"/>
        <w:rPr>
          <w:sz w:val="18"/>
          <w:szCs w:val="18"/>
        </w:rPr>
      </w:pPr>
      <w:r>
        <w:rPr>
          <w:vertAlign w:val="superscript"/>
        </w:rPr>
        <w:footnoteRef/>
      </w:r>
      <w:r>
        <w:rPr>
          <w:sz w:val="18"/>
          <w:szCs w:val="18"/>
        </w:rPr>
        <w:t xml:space="preserve"> Asan Medical Center, An Encyclopedia of Diseases (in Korean). </w:t>
      </w:r>
      <w:r w:rsidRPr="001965BC">
        <w:rPr>
          <w:color w:val="1155CC"/>
          <w:sz w:val="18"/>
          <w:szCs w:val="18"/>
          <w:u w:val="single"/>
        </w:rPr>
        <w:t>http://www.amc.seoul.kr/asan/healthinfo/disease/diseaseDetail.do?contentId=32375.</w:t>
      </w:r>
    </w:p>
  </w:footnote>
  <w:footnote w:id="33">
    <w:p w14:paraId="52A74B9E" w14:textId="77777777" w:rsidR="00922D85" w:rsidRDefault="00000000">
      <w:pPr>
        <w:spacing w:line="264" w:lineRule="auto"/>
        <w:jc w:val="left"/>
        <w:rPr>
          <w:sz w:val="18"/>
          <w:szCs w:val="18"/>
        </w:rPr>
      </w:pPr>
      <w:r>
        <w:rPr>
          <w:vertAlign w:val="superscript"/>
        </w:rPr>
        <w:footnoteRef/>
      </w:r>
      <w:r>
        <w:rPr>
          <w:sz w:val="18"/>
          <w:szCs w:val="18"/>
        </w:rPr>
        <w:t xml:space="preserve"> Number of intersex people who claimed medical expenses from the National Health Insurance Service in 2015 - Healthcare Bigdata [sic] Hub (operated by the Health Insurance Review and Assessment Service; in Korean). </w:t>
      </w:r>
      <w:r w:rsidRPr="001965BC">
        <w:rPr>
          <w:color w:val="1155CC"/>
          <w:sz w:val="18"/>
          <w:szCs w:val="18"/>
          <w:u w:val="single"/>
        </w:rPr>
        <w:t>http://opendata.hira.or.kr/op/opc/olap3thDsInfo.do.</w:t>
      </w:r>
    </w:p>
  </w:footnote>
  <w:footnote w:id="34">
    <w:p w14:paraId="770CC1BD" w14:textId="77777777" w:rsidR="00922D85" w:rsidRDefault="00000000">
      <w:pPr>
        <w:spacing w:line="264" w:lineRule="auto"/>
        <w:jc w:val="left"/>
        <w:rPr>
          <w:sz w:val="18"/>
          <w:szCs w:val="18"/>
        </w:rPr>
      </w:pPr>
      <w:r>
        <w:rPr>
          <w:vertAlign w:val="superscript"/>
        </w:rPr>
        <w:footnoteRef/>
      </w:r>
      <w:r>
        <w:rPr>
          <w:sz w:val="18"/>
          <w:szCs w:val="18"/>
        </w:rPr>
        <w:t xml:space="preserve"> Medical Today, “‘Is it a boy or a girl?’ What’s the sex of [physically] ambiguous newborns?”, 28 June 2007. (in Korean). </w:t>
      </w:r>
      <w:r w:rsidRPr="001965BC">
        <w:rPr>
          <w:color w:val="1155CC"/>
          <w:sz w:val="18"/>
          <w:szCs w:val="18"/>
          <w:u w:val="single"/>
        </w:rPr>
        <w:t>http://bit.ly/2jsYKDg.</w:t>
      </w:r>
    </w:p>
  </w:footnote>
  <w:footnote w:id="35">
    <w:p w14:paraId="3F716B98" w14:textId="77777777" w:rsidR="00922D85" w:rsidRDefault="00000000">
      <w:pPr>
        <w:widowControl/>
        <w:spacing w:before="240" w:after="240" w:line="240" w:lineRule="auto"/>
        <w:rPr>
          <w:sz w:val="18"/>
          <w:szCs w:val="18"/>
        </w:rPr>
      </w:pPr>
      <w:r>
        <w:rPr>
          <w:vertAlign w:val="superscript"/>
        </w:rPr>
        <w:footnoteRef/>
      </w:r>
      <w:r>
        <w:rPr>
          <w:rFonts w:ascii="Calibri" w:eastAsia="Calibri" w:hAnsi="Calibri" w:cs="Calibri"/>
          <w:sz w:val="18"/>
          <w:szCs w:val="18"/>
        </w:rPr>
        <w:t xml:space="preserve"> </w:t>
      </w:r>
      <w:r>
        <w:rPr>
          <w:sz w:val="18"/>
          <w:szCs w:val="18"/>
        </w:rPr>
        <w:t>NHRCK (Feb. 2007).</w:t>
      </w:r>
    </w:p>
  </w:footnote>
  <w:footnote w:id="36">
    <w:p w14:paraId="7D396A7A" w14:textId="77777777" w:rsidR="00922D85" w:rsidRDefault="00000000">
      <w:pPr>
        <w:widowControl/>
        <w:spacing w:before="240" w:after="240" w:line="240" w:lineRule="auto"/>
        <w:rPr>
          <w:sz w:val="20"/>
          <w:szCs w:val="20"/>
        </w:rPr>
      </w:pPr>
      <w:r>
        <w:rPr>
          <w:vertAlign w:val="superscript"/>
        </w:rPr>
        <w:footnoteRef/>
      </w:r>
      <w:r>
        <w:rPr>
          <w:sz w:val="18"/>
          <w:szCs w:val="18"/>
        </w:rPr>
        <w:t xml:space="preserve"> In July 2011, tertiary referral hospital A did not perform total hip replacement (artificial joint surgery) on a person living with HIV/AIDS for the reason that it did not have “special gloves” for operations. In December 2015, tertiary referral hospital B refused to perform mastoidectomy and tympanoplasty (otitis media surgery) on a person living with HIV/AIDS for the reason that it did not have “screens” for operations. Seoul municipal hospital C refused to perform dental scaling on a person living with HIV/AIDS for the reason that “foam” could splatter. When this person protested, the hospital performed scaling after wrapping the dental chair and a screen approximately 1 m away completely with large plastic sheets, as is done when painting furniture or the home. In September 2016, tertiary referral hospital A refused to perform renal dialysis on a person living with HIV/AIDS who was in the final stage of chronic renal failure.</w:t>
      </w:r>
    </w:p>
  </w:footnote>
  <w:footnote w:id="37">
    <w:p w14:paraId="1EB6B65F" w14:textId="77777777" w:rsidR="00922D85" w:rsidRDefault="00000000">
      <w:pPr>
        <w:widowControl/>
        <w:spacing w:before="240" w:after="240" w:line="240" w:lineRule="auto"/>
        <w:rPr>
          <w:sz w:val="18"/>
          <w:szCs w:val="18"/>
        </w:rPr>
      </w:pPr>
      <w:r>
        <w:rPr>
          <w:vertAlign w:val="superscript"/>
        </w:rPr>
        <w:footnoteRef/>
      </w:r>
      <w:r>
        <w:rPr>
          <w:rFonts w:ascii="Calibri" w:eastAsia="Calibri" w:hAnsi="Calibri" w:cs="Calibri"/>
          <w:sz w:val="18"/>
          <w:szCs w:val="18"/>
        </w:rPr>
        <w:t xml:space="preserve"> </w:t>
      </w:r>
      <w:r>
        <w:rPr>
          <w:sz w:val="18"/>
          <w:szCs w:val="18"/>
        </w:rPr>
        <w:t>Centers for Disease Control and Prevention (Aug. 25, 2010; service study conducted by the Chung-Ang University Industry-Academic Cooperation Foundation; in Korean).</w:t>
      </w:r>
    </w:p>
  </w:footnote>
  <w:footnote w:id="38">
    <w:p w14:paraId="627F0B4A" w14:textId="77777777" w:rsidR="00922D85" w:rsidRDefault="00000000">
      <w:pPr>
        <w:widowControl/>
        <w:spacing w:before="240" w:after="240" w:line="240" w:lineRule="auto"/>
        <w:rPr>
          <w:rFonts w:ascii="Arial" w:eastAsia="Arial" w:hAnsi="Arial" w:cs="Arial"/>
        </w:rPr>
      </w:pPr>
      <w:r>
        <w:rPr>
          <w:vertAlign w:val="superscript"/>
        </w:rPr>
        <w:footnoteRef/>
      </w:r>
      <w:r>
        <w:rPr>
          <w:sz w:val="18"/>
          <w:szCs w:val="18"/>
        </w:rPr>
        <w:t xml:space="preserve"> The Korea Herald, “Discrimination against people with HIV rampant: UN study”, 22 June 2017. </w:t>
      </w:r>
    </w:p>
  </w:footnote>
  <w:footnote w:id="39">
    <w:p w14:paraId="3EE0F93D" w14:textId="77777777" w:rsidR="00922D85" w:rsidRDefault="00000000">
      <w:pPr>
        <w:widowControl/>
        <w:spacing w:before="240" w:after="240" w:line="264" w:lineRule="auto"/>
        <w:rPr>
          <w:sz w:val="18"/>
          <w:szCs w:val="18"/>
        </w:rPr>
      </w:pPr>
      <w:r>
        <w:rPr>
          <w:vertAlign w:val="superscript"/>
        </w:rPr>
        <w:footnoteRef/>
      </w:r>
      <w:r>
        <w:rPr>
          <w:sz w:val="18"/>
          <w:szCs w:val="18"/>
        </w:rPr>
        <w:t xml:space="preserve">Yonhap news, “S. Korean court rejects gay couple's appeal over same-sex marriage”, 6 December 2016. </w:t>
      </w:r>
      <w:hyperlink r:id="rId5">
        <w:r w:rsidRPr="001965BC">
          <w:rPr>
            <w:color w:val="1155CC"/>
            <w:sz w:val="18"/>
            <w:szCs w:val="18"/>
            <w:u w:val="single"/>
          </w:rPr>
          <w:t>http://english.yonhapnews.co.kr/news/2016/12/06/0200000000AEN20161206010400315.html</w:t>
        </w:r>
      </w:hyperlink>
      <w:r>
        <w:rPr>
          <w:sz w:val="18"/>
          <w:szCs w:val="18"/>
        </w:rPr>
        <w:t xml:space="preserve"> </w:t>
      </w:r>
    </w:p>
  </w:footnote>
  <w:footnote w:id="40">
    <w:p w14:paraId="44E32908" w14:textId="77777777" w:rsidR="001965BC" w:rsidRPr="001965BC" w:rsidRDefault="00000000">
      <w:pPr>
        <w:spacing w:line="240" w:lineRule="auto"/>
        <w:rPr>
          <w:sz w:val="18"/>
          <w:szCs w:val="18"/>
        </w:rPr>
      </w:pPr>
      <w:r>
        <w:rPr>
          <w:vertAlign w:val="superscript"/>
        </w:rPr>
        <w:footnoteRef/>
      </w:r>
      <w:r>
        <w:rPr>
          <w:sz w:val="20"/>
          <w:szCs w:val="20"/>
        </w:rPr>
        <w:t xml:space="preserve"> </w:t>
      </w:r>
      <w:r w:rsidRPr="001965BC">
        <w:rPr>
          <w:sz w:val="18"/>
          <w:szCs w:val="18"/>
        </w:rPr>
        <w:t xml:space="preserve">NHRKC, “The recommendation for revising ethical guidelines restricting unmarried women's access to assisted reproductive technology (ART) procedures is not accepted by the Korean Medical </w:t>
      </w:r>
      <w:proofErr w:type="spellStart"/>
      <w:r w:rsidRPr="001965BC">
        <w:rPr>
          <w:sz w:val="18"/>
          <w:szCs w:val="18"/>
        </w:rPr>
        <w:t>Associaation</w:t>
      </w:r>
      <w:proofErr w:type="spellEnd"/>
      <w:r w:rsidRPr="001965BC">
        <w:rPr>
          <w:sz w:val="18"/>
          <w:szCs w:val="18"/>
        </w:rPr>
        <w:t xml:space="preserve"> of Obstetricians and Gynecologists", 30 September 2022,</w:t>
      </w:r>
    </w:p>
    <w:p w14:paraId="57C66D74" w14:textId="2CE1386A" w:rsidR="00922D85" w:rsidRDefault="00000000" w:rsidP="001965BC">
      <w:pPr>
        <w:widowControl/>
        <w:spacing w:after="240" w:line="264" w:lineRule="auto"/>
        <w:rPr>
          <w:sz w:val="20"/>
          <w:szCs w:val="20"/>
        </w:rPr>
      </w:pPr>
      <w:hyperlink r:id="rId6" w:history="1">
        <w:r w:rsidR="001965BC" w:rsidRPr="001965BC">
          <w:rPr>
            <w:color w:val="1155CC"/>
            <w:sz w:val="18"/>
            <w:szCs w:val="18"/>
          </w:rPr>
          <w:t>https://www.humanrights.go.kr/site/program/board/basicboard/view?boardtypeid=24&amp;boardid=7608373&amp;menuid=001004002001</w:t>
        </w:r>
      </w:hyperlink>
      <w:r w:rsidR="001965BC">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FEE3E" w14:textId="77777777" w:rsidR="00922D85" w:rsidRDefault="00922D85">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9BAA4" w14:textId="77777777" w:rsidR="00922D85" w:rsidRDefault="00922D85">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61744"/>
    <w:multiLevelType w:val="multilevel"/>
    <w:tmpl w:val="73F4DB7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5"/>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29B42759"/>
    <w:multiLevelType w:val="multilevel"/>
    <w:tmpl w:val="75A6D8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3005672">
    <w:abstractNumId w:val="0"/>
  </w:num>
  <w:num w:numId="2" w16cid:durableId="2045589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D85"/>
    <w:rsid w:val="001965BC"/>
    <w:rsid w:val="00457380"/>
    <w:rsid w:val="00556145"/>
    <w:rsid w:val="00697625"/>
    <w:rsid w:val="00922D85"/>
    <w:rsid w:val="009C006B"/>
    <w:rsid w:val="00C242B6"/>
    <w:rsid w:val="00E11330"/>
    <w:rsid w:val="00F4074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64BAB"/>
  <w15:docId w15:val="{3DF2C675-B35B-4FD7-AA78-4E5644580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US" w:eastAsia="ko-KR" w:bidi="ar-SA"/>
      </w:rPr>
    </w:rPrDefault>
    <w:pPrDefault>
      <w:pPr>
        <w:widowControl w:val="0"/>
        <w:spacing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widowControl/>
      <w:spacing w:before="360" w:after="240" w:line="276" w:lineRule="auto"/>
      <w:jc w:val="center"/>
      <w:outlineLvl w:val="0"/>
    </w:pPr>
    <w:rPr>
      <w:rFonts w:ascii="Calibri" w:eastAsia="Calibri" w:hAnsi="Calibri" w:cs="Calibri"/>
      <w:b/>
      <w:sz w:val="28"/>
      <w:szCs w:val="28"/>
    </w:rPr>
  </w:style>
  <w:style w:type="paragraph" w:styleId="2">
    <w:name w:val="heading 2"/>
    <w:basedOn w:val="a"/>
    <w:next w:val="a"/>
    <w:uiPriority w:val="9"/>
    <w:unhideWhenUsed/>
    <w:qFormat/>
    <w:pPr>
      <w:spacing w:before="40"/>
      <w:jc w:val="left"/>
      <w:outlineLvl w:val="1"/>
    </w:pPr>
    <w:rPr>
      <w:rFonts w:ascii="Calibri" w:eastAsia="Calibri" w:hAnsi="Calibri" w:cs="Calibri"/>
      <w:b/>
      <w:sz w:val="26"/>
      <w:szCs w:val="2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header"/>
    <w:basedOn w:val="a"/>
    <w:link w:val="Char"/>
    <w:uiPriority w:val="99"/>
    <w:unhideWhenUsed/>
    <w:rsid w:val="0035466E"/>
    <w:pPr>
      <w:tabs>
        <w:tab w:val="center" w:pos="4513"/>
        <w:tab w:val="right" w:pos="9026"/>
      </w:tabs>
      <w:snapToGrid w:val="0"/>
    </w:pPr>
  </w:style>
  <w:style w:type="character" w:customStyle="1" w:styleId="Char">
    <w:name w:val="머리글 Char"/>
    <w:basedOn w:val="a0"/>
    <w:link w:val="a5"/>
    <w:uiPriority w:val="99"/>
    <w:rsid w:val="0035466E"/>
  </w:style>
  <w:style w:type="paragraph" w:styleId="a6">
    <w:name w:val="footer"/>
    <w:basedOn w:val="a"/>
    <w:link w:val="Char0"/>
    <w:uiPriority w:val="99"/>
    <w:unhideWhenUsed/>
    <w:rsid w:val="0035466E"/>
    <w:pPr>
      <w:tabs>
        <w:tab w:val="center" w:pos="4513"/>
        <w:tab w:val="right" w:pos="9026"/>
      </w:tabs>
      <w:snapToGrid w:val="0"/>
    </w:pPr>
  </w:style>
  <w:style w:type="character" w:customStyle="1" w:styleId="Char0">
    <w:name w:val="바닥글 Char"/>
    <w:basedOn w:val="a0"/>
    <w:link w:val="a6"/>
    <w:uiPriority w:val="99"/>
    <w:rsid w:val="0035466E"/>
  </w:style>
  <w:style w:type="character" w:styleId="a7">
    <w:name w:val="Hyperlink"/>
    <w:basedOn w:val="a0"/>
    <w:uiPriority w:val="99"/>
    <w:unhideWhenUsed/>
    <w:rsid w:val="002E16E1"/>
    <w:rPr>
      <w:color w:val="0000FF" w:themeColor="hyperlink"/>
      <w:u w:val="single"/>
    </w:rPr>
  </w:style>
  <w:style w:type="character" w:styleId="a8">
    <w:name w:val="Unresolved Mention"/>
    <w:basedOn w:val="a0"/>
    <w:uiPriority w:val="99"/>
    <w:semiHidden/>
    <w:unhideWhenUsed/>
    <w:rsid w:val="002E16E1"/>
    <w:rPr>
      <w:color w:val="605E5C"/>
      <w:shd w:val="clear" w:color="auto" w:fill="E1DFDD"/>
    </w:rPr>
  </w:style>
  <w:style w:type="character" w:styleId="a9">
    <w:name w:val="FollowedHyperlink"/>
    <w:basedOn w:val="a0"/>
    <w:uiPriority w:val="99"/>
    <w:semiHidden/>
    <w:unhideWhenUsed/>
    <w:rsid w:val="002E16E1"/>
    <w:rPr>
      <w:color w:val="800080" w:themeColor="followedHyperlink"/>
      <w:u w:val="single"/>
    </w:rPr>
  </w:style>
  <w:style w:type="paragraph" w:styleId="TOC">
    <w:name w:val="TOC Heading"/>
    <w:basedOn w:val="1"/>
    <w:next w:val="a"/>
    <w:uiPriority w:val="39"/>
    <w:unhideWhenUsed/>
    <w:qFormat/>
    <w:rsid w:val="001965B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10">
    <w:name w:val="toc 1"/>
    <w:basedOn w:val="a"/>
    <w:next w:val="a"/>
    <w:autoRedefine/>
    <w:uiPriority w:val="39"/>
    <w:unhideWhenUsed/>
    <w:rsid w:val="001965BC"/>
  </w:style>
  <w:style w:type="paragraph" w:styleId="20">
    <w:name w:val="toc 2"/>
    <w:basedOn w:val="a"/>
    <w:next w:val="a"/>
    <w:autoRedefine/>
    <w:uiPriority w:val="39"/>
    <w:unhideWhenUsed/>
    <w:rsid w:val="001965BC"/>
    <w:pPr>
      <w:ind w:leftChars="200" w:left="425"/>
    </w:pPr>
  </w:style>
  <w:style w:type="paragraph" w:styleId="aa">
    <w:name w:val="Date"/>
    <w:basedOn w:val="a"/>
    <w:next w:val="a"/>
    <w:link w:val="Char1"/>
    <w:uiPriority w:val="99"/>
    <w:semiHidden/>
    <w:unhideWhenUsed/>
    <w:rsid w:val="00C242B6"/>
  </w:style>
  <w:style w:type="character" w:customStyle="1" w:styleId="Char1">
    <w:name w:val="날짜 Char"/>
    <w:basedOn w:val="a0"/>
    <w:link w:val="aa"/>
    <w:uiPriority w:val="99"/>
    <w:semiHidden/>
    <w:rsid w:val="00C242B6"/>
  </w:style>
  <w:style w:type="paragraph" w:styleId="ab">
    <w:name w:val="List Paragraph"/>
    <w:basedOn w:val="a"/>
    <w:uiPriority w:val="34"/>
    <w:qFormat/>
    <w:rsid w:val="00C242B6"/>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lgbtqact.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lgbtqact@gmail.com"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hapskorea.com/3rd-busan-queer-culture-festival-canceled/" TargetMode="External"/><Relationship Id="rId2" Type="http://schemas.openxmlformats.org/officeDocument/2006/relationships/hyperlink" Target="https://en.yna.co.kr/view/AEN20230617001200315" TargetMode="External"/><Relationship Id="rId1" Type="http://schemas.openxmlformats.org/officeDocument/2006/relationships/hyperlink" Target="https://www.moj.go.kr/moj/173/subview.do?enc=Zm5jdDF8QEB8JTJGYmJzJTJGbW9qJTJGMTIxJTJGNTgxNDIzJTJGYXJ0Y2xWaWV3LmRvJTNGcGFzc3dvcmQlM0QlMjZyZ3NCZ25kZVN0ciUzRCUyNmJic0NsU2VxJTNEJTI2cmdzRW5kZGVTdHIlM0QlMjZpc1ZpZXdNaW5lJTNEZmFsc2UlMjZwYWdlJTNEMSUyNmJic09wZW5XcmRTZXElM0QlMjZzcmNoQ29sdW1uJTNEJTI2c3JjaFdyZCUzRCUyNg%3D%3D" TargetMode="External"/><Relationship Id="rId6" Type="http://schemas.openxmlformats.org/officeDocument/2006/relationships/hyperlink" Target="https://www.humanrights.go.kr/site/program/board/basicboard/view?boardtypeid=24&amp;boardid=7608373&amp;menuid=001004002001" TargetMode="External"/><Relationship Id="rId5" Type="http://schemas.openxmlformats.org/officeDocument/2006/relationships/hyperlink" Target="http://english.yonhapnews.co.kr/news/2016/12/06/0200000000AEN20161206010400315.html" TargetMode="External"/><Relationship Id="rId4" Type="http://schemas.openxmlformats.org/officeDocument/2006/relationships/hyperlink" Target="https://www.koreatimes.co.kr/www/nation/2023/08/113_35249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heuqisuTqjLAZPopM2AVDhNJQw==">CgMxLjAyCGguZ2pkZ3hzMgloLjMwajB6bGwyCWguMWZvYjl0ZTIJaC4zem55c2g3MgloLjJldDkycDAyCGgudHlqY3d0MgloLjF0M2g1c2YyCWguNGQzNG9nODIJaC4yczhleW8xMghoLmxueGJ6OTIJaC4zNW5rdW4yMgloLjFrc3Y0dXYyDmguZHB2c3I5N3NrcmJjMgloLjQ0c2luaW8yDmguNjR4dzZ0MmU2cWlmMgloLjRpN29qaHAyCWguMnhjeXRwaTIOaC53YXZwMWwxYXp2MnEyDmguM2hjMGp4Y2FwcHRrMg5oLmV5cGVkeWkxa2pmNjgAciExVlU5RmhnTnhXbVRJVFpZcG5LdnpiODZmYlg4STlMOS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3586E6-0E2B-43C2-84B4-10C143E55CC2}"/>
</file>

<file path=customXml/itemProps3.xml><?xml version="1.0" encoding="utf-8"?>
<ds:datastoreItem xmlns:ds="http://schemas.openxmlformats.org/officeDocument/2006/customXml" ds:itemID="{5D30617A-78DF-4A11-AB76-EEA56A324EDC}"/>
</file>

<file path=docProps/app.xml><?xml version="1.0" encoding="utf-8"?>
<Properties xmlns="http://schemas.openxmlformats.org/officeDocument/2006/extended-properties" xmlns:vt="http://schemas.openxmlformats.org/officeDocument/2006/docPropsVTypes">
  <Template>Normal</Template>
  <TotalTime>40</TotalTime>
  <Pages>16</Pages>
  <Words>4662</Words>
  <Characters>26579</Characters>
  <Application>Microsoft Office Word</Application>
  <DocSecurity>0</DocSecurity>
  <Lines>221</Lines>
  <Paragraphs>62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호림 이</cp:lastModifiedBy>
  <cp:revision>6</cp:revision>
  <cp:lastPrinted>2024-04-15T13:24:00Z</cp:lastPrinted>
  <dcterms:created xsi:type="dcterms:W3CDTF">2023-09-12T13:09:00Z</dcterms:created>
  <dcterms:modified xsi:type="dcterms:W3CDTF">2024-04-16T09:49:00Z</dcterms:modified>
</cp:coreProperties>
</file>