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73" w:rsidRDefault="00CC3573"/>
    <w:tbl>
      <w:tblPr>
        <w:tblW w:w="5000" w:type="pct"/>
        <w:jc w:val="center"/>
        <w:tblLook w:val="04A0" w:firstRow="1" w:lastRow="0" w:firstColumn="1" w:lastColumn="0" w:noHBand="0" w:noVBand="1"/>
      </w:tblPr>
      <w:tblGrid>
        <w:gridCol w:w="9242"/>
      </w:tblGrid>
      <w:tr w:rsidR="008B50E5" w:rsidRPr="008B50E5">
        <w:trPr>
          <w:trHeight w:val="2880"/>
          <w:jc w:val="center"/>
        </w:trPr>
        <w:tc>
          <w:tcPr>
            <w:tcW w:w="5000" w:type="pct"/>
          </w:tcPr>
          <w:p w:rsidR="00506F48" w:rsidRPr="008B50E5" w:rsidRDefault="00506F48">
            <w:pPr>
              <w:pStyle w:val="NoSpacing"/>
              <w:jc w:val="center"/>
              <w:rPr>
                <w:rFonts w:ascii="Cambria" w:eastAsia="Times New Roman" w:hAnsi="Cambria" w:cs="Times New Roman"/>
                <w:caps/>
                <w:lang w:val="id-ID"/>
              </w:rPr>
            </w:pPr>
          </w:p>
        </w:tc>
      </w:tr>
      <w:tr w:rsidR="008B50E5" w:rsidRPr="007633A1">
        <w:trPr>
          <w:trHeight w:val="1440"/>
          <w:jc w:val="center"/>
        </w:trPr>
        <w:tc>
          <w:tcPr>
            <w:tcW w:w="5000" w:type="pct"/>
            <w:tcBorders>
              <w:bottom w:val="single" w:sz="4" w:space="0" w:color="4F81BD"/>
            </w:tcBorders>
            <w:vAlign w:val="center"/>
          </w:tcPr>
          <w:p w:rsidR="00506F48" w:rsidRPr="007633A1" w:rsidRDefault="00506F48" w:rsidP="00123E21">
            <w:pPr>
              <w:pStyle w:val="NoSpacing"/>
              <w:jc w:val="center"/>
              <w:rPr>
                <w:rFonts w:ascii="Cambria" w:eastAsia="Times New Roman" w:hAnsi="Cambria" w:cs="Times New Roman"/>
                <w:sz w:val="80"/>
                <w:szCs w:val="80"/>
              </w:rPr>
            </w:pPr>
            <w:r w:rsidRPr="007633A1">
              <w:rPr>
                <w:rFonts w:ascii="Cambria" w:eastAsia="Times New Roman" w:hAnsi="Cambria" w:cs="Times New Roman"/>
                <w:sz w:val="80"/>
                <w:szCs w:val="80"/>
                <w:lang w:val="id-ID"/>
              </w:rPr>
              <w:t>Response</w:t>
            </w:r>
            <w:r w:rsidR="00123E21" w:rsidRPr="007633A1">
              <w:rPr>
                <w:rFonts w:ascii="Cambria" w:eastAsia="Times New Roman" w:hAnsi="Cambria" w:cs="Times New Roman"/>
                <w:sz w:val="80"/>
                <w:szCs w:val="80"/>
                <w:lang w:val="id-ID"/>
              </w:rPr>
              <w:t>s</w:t>
            </w:r>
            <w:r w:rsidRPr="007633A1">
              <w:rPr>
                <w:rFonts w:ascii="Cambria" w:eastAsia="Times New Roman" w:hAnsi="Cambria" w:cs="Times New Roman"/>
                <w:sz w:val="80"/>
                <w:szCs w:val="80"/>
                <w:lang w:val="id-ID"/>
              </w:rPr>
              <w:t xml:space="preserve"> to The List of Issue</w:t>
            </w:r>
            <w:r w:rsidR="002E781D" w:rsidRPr="007633A1">
              <w:rPr>
                <w:rFonts w:ascii="Cambria" w:eastAsia="Times New Roman" w:hAnsi="Cambria" w:cs="Times New Roman"/>
                <w:sz w:val="80"/>
                <w:szCs w:val="80"/>
                <w:lang w:val="id-ID"/>
              </w:rPr>
              <w:t>s</w:t>
            </w:r>
            <w:r w:rsidR="00407A94" w:rsidRPr="007633A1">
              <w:rPr>
                <w:rFonts w:ascii="Cambria" w:eastAsia="Times New Roman" w:hAnsi="Cambria" w:cs="Times New Roman"/>
                <w:sz w:val="80"/>
                <w:szCs w:val="80"/>
              </w:rPr>
              <w:t xml:space="preserve"> </w:t>
            </w:r>
            <w:r w:rsidR="00123E21" w:rsidRPr="007633A1">
              <w:rPr>
                <w:rFonts w:ascii="Cambria" w:eastAsia="Times New Roman" w:hAnsi="Cambria" w:cs="Times New Roman"/>
                <w:sz w:val="80"/>
                <w:szCs w:val="80"/>
                <w:lang w:val="id-ID"/>
              </w:rPr>
              <w:t>in relation to the</w:t>
            </w:r>
            <w:r w:rsidR="00407A94" w:rsidRPr="007633A1">
              <w:rPr>
                <w:rFonts w:ascii="Cambria" w:eastAsia="Times New Roman" w:hAnsi="Cambria" w:cs="Times New Roman"/>
                <w:sz w:val="80"/>
                <w:szCs w:val="80"/>
              </w:rPr>
              <w:t xml:space="preserve"> </w:t>
            </w:r>
            <w:r w:rsidRPr="007633A1">
              <w:rPr>
                <w:rFonts w:ascii="Cambria" w:eastAsia="Times New Roman" w:hAnsi="Cambria" w:cs="Times New Roman"/>
                <w:sz w:val="80"/>
                <w:szCs w:val="80"/>
                <w:lang w:val="id-ID"/>
              </w:rPr>
              <w:t xml:space="preserve">Initial Report of ICCPR-Indonesia </w:t>
            </w:r>
          </w:p>
        </w:tc>
      </w:tr>
      <w:tr w:rsidR="008B50E5" w:rsidRPr="007633A1">
        <w:trPr>
          <w:trHeight w:val="720"/>
          <w:jc w:val="center"/>
        </w:trPr>
        <w:tc>
          <w:tcPr>
            <w:tcW w:w="5000" w:type="pct"/>
            <w:tcBorders>
              <w:top w:val="single" w:sz="4" w:space="0" w:color="4F81BD"/>
            </w:tcBorders>
            <w:vAlign w:val="center"/>
          </w:tcPr>
          <w:p w:rsidR="00506F48" w:rsidRPr="007633A1" w:rsidRDefault="009A73BC" w:rsidP="00506F48">
            <w:pPr>
              <w:pStyle w:val="NoSpacing"/>
              <w:jc w:val="center"/>
              <w:rPr>
                <w:rFonts w:ascii="Cambria" w:eastAsia="Times New Roman" w:hAnsi="Cambria" w:cs="Times New Roman"/>
                <w:sz w:val="44"/>
                <w:szCs w:val="44"/>
              </w:rPr>
            </w:pPr>
            <w:r w:rsidRPr="007633A1">
              <w:rPr>
                <w:rFonts w:ascii="Cambria" w:eastAsia="Times New Roman" w:hAnsi="Cambria" w:cs="Times New Roman"/>
                <w:sz w:val="44"/>
                <w:szCs w:val="44"/>
                <w:lang w:val="id-ID"/>
              </w:rPr>
              <w:t xml:space="preserve">With a focus on </w:t>
            </w:r>
            <w:r w:rsidR="00506F48" w:rsidRPr="007633A1">
              <w:rPr>
                <w:rFonts w:ascii="Cambria" w:eastAsia="Times New Roman" w:hAnsi="Cambria" w:cs="Times New Roman"/>
                <w:sz w:val="44"/>
                <w:szCs w:val="44"/>
                <w:lang w:val="id-ID"/>
              </w:rPr>
              <w:t>Torture Issue</w:t>
            </w:r>
            <w:r w:rsidR="009B5987" w:rsidRPr="007633A1">
              <w:rPr>
                <w:rFonts w:ascii="Cambria" w:eastAsia="Times New Roman" w:hAnsi="Cambria" w:cs="Times New Roman"/>
                <w:sz w:val="44"/>
                <w:szCs w:val="44"/>
                <w:lang w:val="id-ID"/>
              </w:rPr>
              <w:t>s</w:t>
            </w:r>
          </w:p>
        </w:tc>
      </w:tr>
      <w:tr w:rsidR="008B50E5" w:rsidRPr="007633A1">
        <w:trPr>
          <w:trHeight w:val="360"/>
          <w:jc w:val="center"/>
        </w:trPr>
        <w:tc>
          <w:tcPr>
            <w:tcW w:w="5000" w:type="pct"/>
            <w:vAlign w:val="center"/>
          </w:tcPr>
          <w:p w:rsidR="00506F48" w:rsidRPr="007633A1" w:rsidRDefault="00506F48">
            <w:pPr>
              <w:pStyle w:val="NoSpacing"/>
              <w:jc w:val="center"/>
              <w:rPr>
                <w:lang w:val="id-ID"/>
              </w:rPr>
            </w:pPr>
          </w:p>
          <w:p w:rsidR="00506F48" w:rsidRPr="007633A1" w:rsidRDefault="00506F48">
            <w:pPr>
              <w:pStyle w:val="NoSpacing"/>
              <w:jc w:val="center"/>
              <w:rPr>
                <w:lang w:val="id-ID"/>
              </w:rPr>
            </w:pPr>
          </w:p>
          <w:p w:rsidR="00506F48" w:rsidRPr="007633A1" w:rsidRDefault="00506F48">
            <w:pPr>
              <w:pStyle w:val="NoSpacing"/>
              <w:jc w:val="center"/>
              <w:rPr>
                <w:b/>
                <w:lang w:val="id-ID"/>
              </w:rPr>
            </w:pPr>
            <w:r w:rsidRPr="007633A1">
              <w:rPr>
                <w:b/>
                <w:lang w:val="id-ID"/>
              </w:rPr>
              <w:t>Prepared by :</w:t>
            </w:r>
          </w:p>
          <w:p w:rsidR="00B242AD" w:rsidRPr="007633A1" w:rsidRDefault="00B242AD">
            <w:pPr>
              <w:pStyle w:val="NoSpacing"/>
              <w:jc w:val="center"/>
              <w:rPr>
                <w:b/>
                <w:lang w:val="id-ID"/>
              </w:rPr>
            </w:pPr>
          </w:p>
          <w:p w:rsidR="00506F48" w:rsidRPr="007633A1" w:rsidRDefault="00D801CA">
            <w:pPr>
              <w:pStyle w:val="NoSpacing"/>
              <w:spacing w:after="200" w:line="276" w:lineRule="auto"/>
              <w:jc w:val="center"/>
              <w:rPr>
                <w:b/>
                <w:strike/>
                <w:sz w:val="32"/>
              </w:rPr>
            </w:pPr>
            <w:r w:rsidRPr="007633A1">
              <w:rPr>
                <w:b/>
                <w:sz w:val="32"/>
                <w:lang w:val="id-ID"/>
              </w:rPr>
              <w:t xml:space="preserve">WORKING GROUP </w:t>
            </w:r>
            <w:r w:rsidR="004202FE" w:rsidRPr="007633A1">
              <w:rPr>
                <w:b/>
                <w:sz w:val="32"/>
              </w:rPr>
              <w:t>ON</w:t>
            </w:r>
            <w:r w:rsidR="00C40CAC" w:rsidRPr="007633A1">
              <w:rPr>
                <w:b/>
                <w:sz w:val="32"/>
              </w:rPr>
              <w:t xml:space="preserve"> THE ADVOCACY </w:t>
            </w:r>
            <w:r w:rsidRPr="007633A1">
              <w:rPr>
                <w:b/>
                <w:sz w:val="32"/>
                <w:lang w:val="id-ID"/>
              </w:rPr>
              <w:t>AGAINST TORTURE (WGAT)</w:t>
            </w:r>
          </w:p>
          <w:p w:rsidR="00B242AD" w:rsidRPr="007633A1" w:rsidRDefault="00B242AD">
            <w:pPr>
              <w:pStyle w:val="NoSpacing"/>
              <w:jc w:val="center"/>
              <w:rPr>
                <w:b/>
                <w:sz w:val="32"/>
                <w:lang w:val="id-ID"/>
              </w:rPr>
            </w:pPr>
          </w:p>
          <w:p w:rsidR="00B242AD" w:rsidRPr="007633A1" w:rsidRDefault="00B242AD">
            <w:pPr>
              <w:pStyle w:val="NoSpacing"/>
              <w:jc w:val="center"/>
              <w:rPr>
                <w:b/>
                <w:sz w:val="32"/>
                <w:lang w:val="id-ID"/>
              </w:rPr>
            </w:pPr>
            <w:r w:rsidRPr="007633A1">
              <w:rPr>
                <w:b/>
                <w:sz w:val="32"/>
                <w:lang w:val="id-ID"/>
              </w:rPr>
              <w:t>2013</w:t>
            </w:r>
          </w:p>
          <w:p w:rsidR="00B242AD" w:rsidRPr="007633A1" w:rsidRDefault="00B242AD">
            <w:pPr>
              <w:pStyle w:val="NoSpacing"/>
              <w:jc w:val="center"/>
              <w:rPr>
                <w:b/>
                <w:lang w:val="id-ID"/>
              </w:rPr>
            </w:pPr>
          </w:p>
          <w:p w:rsidR="00506F48" w:rsidRPr="007633A1" w:rsidRDefault="00506F48">
            <w:pPr>
              <w:pStyle w:val="NoSpacing"/>
              <w:jc w:val="center"/>
              <w:rPr>
                <w:b/>
                <w:lang w:val="id-ID"/>
              </w:rPr>
            </w:pPr>
          </w:p>
          <w:p w:rsidR="00506F48" w:rsidRPr="007633A1" w:rsidRDefault="00506F48" w:rsidP="00506F48">
            <w:pPr>
              <w:pStyle w:val="NoSpacing"/>
              <w:ind w:left="720"/>
              <w:rPr>
                <w:b/>
                <w:lang w:val="id-ID"/>
              </w:rPr>
            </w:pPr>
          </w:p>
          <w:p w:rsidR="00506F48" w:rsidRPr="007633A1" w:rsidRDefault="00506F48">
            <w:pPr>
              <w:pStyle w:val="NoSpacing"/>
              <w:jc w:val="center"/>
              <w:rPr>
                <w:lang w:val="id-ID"/>
              </w:rPr>
            </w:pPr>
          </w:p>
          <w:p w:rsidR="00506F48" w:rsidRPr="007633A1" w:rsidRDefault="00506F48">
            <w:pPr>
              <w:pStyle w:val="NoSpacing"/>
              <w:jc w:val="center"/>
              <w:rPr>
                <w:lang w:val="id-ID"/>
              </w:rPr>
            </w:pPr>
          </w:p>
          <w:p w:rsidR="00506F48" w:rsidRPr="007633A1" w:rsidRDefault="00506F48">
            <w:pPr>
              <w:pStyle w:val="NoSpacing"/>
              <w:jc w:val="center"/>
              <w:rPr>
                <w:lang w:val="id-ID"/>
              </w:rPr>
            </w:pPr>
          </w:p>
        </w:tc>
      </w:tr>
      <w:tr w:rsidR="008B50E5" w:rsidRPr="007633A1">
        <w:trPr>
          <w:trHeight w:val="360"/>
          <w:jc w:val="center"/>
        </w:trPr>
        <w:tc>
          <w:tcPr>
            <w:tcW w:w="5000" w:type="pct"/>
            <w:vAlign w:val="center"/>
          </w:tcPr>
          <w:p w:rsidR="00506F48" w:rsidRPr="007633A1" w:rsidRDefault="00506F48" w:rsidP="00506F48">
            <w:pPr>
              <w:pStyle w:val="NoSpacing"/>
              <w:rPr>
                <w:b/>
                <w:bCs/>
              </w:rPr>
            </w:pPr>
          </w:p>
        </w:tc>
      </w:tr>
    </w:tbl>
    <w:p w:rsidR="00506F48" w:rsidRPr="007633A1" w:rsidRDefault="00506F48"/>
    <w:tbl>
      <w:tblPr>
        <w:tblpPr w:leftFromText="187" w:rightFromText="187" w:horzAnchor="margin" w:tblpXSpec="center" w:tblpYSpec="bottom"/>
        <w:tblW w:w="5000" w:type="pct"/>
        <w:tblLook w:val="04A0" w:firstRow="1" w:lastRow="0" w:firstColumn="1" w:lastColumn="0" w:noHBand="0" w:noVBand="1"/>
      </w:tblPr>
      <w:tblGrid>
        <w:gridCol w:w="9242"/>
      </w:tblGrid>
      <w:tr w:rsidR="008B50E5" w:rsidRPr="007633A1">
        <w:tc>
          <w:tcPr>
            <w:tcW w:w="5000" w:type="pct"/>
          </w:tcPr>
          <w:p w:rsidR="00506F48" w:rsidRPr="007633A1" w:rsidRDefault="00506F48" w:rsidP="00506F48">
            <w:pPr>
              <w:pStyle w:val="NoSpacing"/>
              <w:rPr>
                <w:b/>
              </w:rPr>
            </w:pPr>
            <w:r w:rsidRPr="007633A1">
              <w:rPr>
                <w:b/>
                <w:lang w:val="id-ID"/>
              </w:rPr>
              <w:t xml:space="preserve">WGAT </w:t>
            </w:r>
            <w:r w:rsidR="00C40CAC" w:rsidRPr="007633A1">
              <w:rPr>
                <w:b/>
              </w:rPr>
              <w:t>Team</w:t>
            </w:r>
            <w:r w:rsidRPr="007633A1">
              <w:rPr>
                <w:b/>
                <w:lang w:val="id-ID"/>
              </w:rPr>
              <w:t xml:space="preserve"> : Institute for Policy Research  and Advocacy (ELSAM), Indonesian Women Coalition (KPI), YPHA, Jakarta Legal Aid Institute (LBH Jakarta), Center Detention Studies (CDS), </w:t>
            </w:r>
            <w:r w:rsidR="00B242AD" w:rsidRPr="007633A1">
              <w:rPr>
                <w:b/>
                <w:lang w:val="id-ID"/>
              </w:rPr>
              <w:t xml:space="preserve">Human Rights Working Group (HRWG). </w:t>
            </w:r>
          </w:p>
        </w:tc>
      </w:tr>
    </w:tbl>
    <w:p w:rsidR="00506F48" w:rsidRPr="007633A1" w:rsidRDefault="00506F48"/>
    <w:p w:rsidR="00B242AD" w:rsidRPr="007633A1" w:rsidRDefault="00B242AD" w:rsidP="00B211AD">
      <w:pPr>
        <w:jc w:val="both"/>
        <w:rPr>
          <w:rFonts w:ascii="Arial" w:hAnsi="Arial" w:cs="Arial"/>
          <w:b/>
        </w:rPr>
      </w:pPr>
    </w:p>
    <w:tbl>
      <w:tblPr>
        <w:tblW w:w="5000" w:type="pct"/>
        <w:jc w:val="center"/>
        <w:tblLook w:val="04A0" w:firstRow="1" w:lastRow="0" w:firstColumn="1" w:lastColumn="0" w:noHBand="0" w:noVBand="1"/>
      </w:tblPr>
      <w:tblGrid>
        <w:gridCol w:w="9242"/>
      </w:tblGrid>
      <w:tr w:rsidR="008B50E5" w:rsidRPr="007633A1">
        <w:trPr>
          <w:trHeight w:val="1440"/>
          <w:jc w:val="center"/>
        </w:trPr>
        <w:tc>
          <w:tcPr>
            <w:tcW w:w="5000" w:type="pct"/>
            <w:tcBorders>
              <w:bottom w:val="single" w:sz="4" w:space="0" w:color="4F81BD"/>
            </w:tcBorders>
            <w:vAlign w:val="center"/>
          </w:tcPr>
          <w:p w:rsidR="00B242AD" w:rsidRPr="007633A1" w:rsidRDefault="00B242AD" w:rsidP="003055C0">
            <w:pPr>
              <w:pStyle w:val="NoSpacing"/>
              <w:jc w:val="center"/>
              <w:rPr>
                <w:rFonts w:ascii="Cambria" w:eastAsia="Times New Roman" w:hAnsi="Cambria" w:cs="Times New Roman"/>
                <w:sz w:val="80"/>
                <w:szCs w:val="80"/>
              </w:rPr>
            </w:pPr>
            <w:r w:rsidRPr="007633A1">
              <w:rPr>
                <w:rFonts w:ascii="Cambria" w:eastAsia="Times New Roman" w:hAnsi="Cambria" w:cs="Times New Roman"/>
                <w:sz w:val="36"/>
                <w:szCs w:val="80"/>
                <w:lang w:val="id-ID"/>
              </w:rPr>
              <w:t>Response</w:t>
            </w:r>
            <w:r w:rsidR="002E781D" w:rsidRPr="007633A1">
              <w:rPr>
                <w:rFonts w:ascii="Cambria" w:eastAsia="Times New Roman" w:hAnsi="Cambria" w:cs="Times New Roman"/>
                <w:sz w:val="36"/>
                <w:szCs w:val="80"/>
                <w:lang w:val="id-ID"/>
              </w:rPr>
              <w:t>s</w:t>
            </w:r>
            <w:r w:rsidRPr="007633A1">
              <w:rPr>
                <w:rFonts w:ascii="Cambria" w:eastAsia="Times New Roman" w:hAnsi="Cambria" w:cs="Times New Roman"/>
                <w:sz w:val="36"/>
                <w:szCs w:val="80"/>
                <w:lang w:val="id-ID"/>
              </w:rPr>
              <w:t xml:space="preserve"> to The List of Issue</w:t>
            </w:r>
            <w:r w:rsidR="002E781D" w:rsidRPr="007633A1">
              <w:rPr>
                <w:rFonts w:ascii="Cambria" w:eastAsia="Times New Roman" w:hAnsi="Cambria" w:cs="Times New Roman"/>
                <w:sz w:val="36"/>
                <w:szCs w:val="80"/>
                <w:lang w:val="id-ID"/>
              </w:rPr>
              <w:t>s</w:t>
            </w:r>
            <w:r w:rsidR="00AF1996" w:rsidRPr="007633A1">
              <w:rPr>
                <w:rFonts w:ascii="Cambria" w:eastAsia="Times New Roman" w:hAnsi="Cambria" w:cs="Times New Roman"/>
                <w:sz w:val="36"/>
                <w:szCs w:val="80"/>
              </w:rPr>
              <w:t xml:space="preserve"> </w:t>
            </w:r>
            <w:r w:rsidR="002E781D" w:rsidRPr="007633A1">
              <w:rPr>
                <w:rFonts w:ascii="Cambria" w:eastAsia="Times New Roman" w:hAnsi="Cambria" w:cs="Times New Roman"/>
                <w:sz w:val="36"/>
                <w:szCs w:val="80"/>
                <w:lang w:val="id-ID"/>
              </w:rPr>
              <w:t xml:space="preserve">in relation to the </w:t>
            </w:r>
            <w:r w:rsidRPr="007633A1">
              <w:rPr>
                <w:rFonts w:ascii="Cambria" w:eastAsia="Times New Roman" w:hAnsi="Cambria" w:cs="Times New Roman"/>
                <w:sz w:val="36"/>
                <w:szCs w:val="80"/>
                <w:lang w:val="id-ID"/>
              </w:rPr>
              <w:t xml:space="preserve">Initial Report of ICCPR-Indonesia </w:t>
            </w:r>
          </w:p>
        </w:tc>
      </w:tr>
      <w:tr w:rsidR="008B50E5" w:rsidRPr="007633A1">
        <w:trPr>
          <w:trHeight w:val="720"/>
          <w:jc w:val="center"/>
        </w:trPr>
        <w:tc>
          <w:tcPr>
            <w:tcW w:w="5000" w:type="pct"/>
            <w:tcBorders>
              <w:top w:val="single" w:sz="4" w:space="0" w:color="4F81BD"/>
            </w:tcBorders>
            <w:vAlign w:val="center"/>
          </w:tcPr>
          <w:p w:rsidR="00B242AD" w:rsidRPr="007633A1" w:rsidRDefault="00B242AD" w:rsidP="003055C0">
            <w:pPr>
              <w:pStyle w:val="NoSpacing"/>
              <w:jc w:val="center"/>
              <w:rPr>
                <w:rFonts w:ascii="Cambria" w:eastAsia="Times New Roman" w:hAnsi="Cambria" w:cs="Times New Roman"/>
                <w:sz w:val="44"/>
                <w:szCs w:val="44"/>
              </w:rPr>
            </w:pPr>
            <w:r w:rsidRPr="007633A1">
              <w:rPr>
                <w:rFonts w:ascii="Cambria" w:eastAsia="Times New Roman" w:hAnsi="Cambria" w:cs="Times New Roman"/>
                <w:sz w:val="24"/>
                <w:szCs w:val="44"/>
                <w:lang w:val="id-ID"/>
              </w:rPr>
              <w:t>Torture Issue</w:t>
            </w:r>
            <w:r w:rsidR="00F616DD" w:rsidRPr="007633A1">
              <w:rPr>
                <w:rFonts w:ascii="Cambria" w:eastAsia="Times New Roman" w:hAnsi="Cambria" w:cs="Times New Roman"/>
                <w:sz w:val="24"/>
                <w:szCs w:val="44"/>
                <w:lang w:val="id-ID"/>
              </w:rPr>
              <w:t>s</w:t>
            </w:r>
          </w:p>
        </w:tc>
      </w:tr>
      <w:tr w:rsidR="008B50E5" w:rsidRPr="007633A1">
        <w:trPr>
          <w:trHeight w:val="360"/>
          <w:jc w:val="center"/>
        </w:trPr>
        <w:tc>
          <w:tcPr>
            <w:tcW w:w="5000" w:type="pct"/>
            <w:vAlign w:val="center"/>
          </w:tcPr>
          <w:p w:rsidR="00B242AD" w:rsidRPr="007633A1" w:rsidRDefault="00B242AD" w:rsidP="003055C0">
            <w:pPr>
              <w:pStyle w:val="NoSpacing"/>
              <w:jc w:val="center"/>
              <w:rPr>
                <w:lang w:val="id-ID"/>
              </w:rPr>
            </w:pPr>
          </w:p>
          <w:p w:rsidR="00B242AD" w:rsidRPr="007633A1" w:rsidRDefault="00B242AD" w:rsidP="003055C0">
            <w:pPr>
              <w:pStyle w:val="NoSpacing"/>
              <w:jc w:val="center"/>
              <w:rPr>
                <w:lang w:val="id-ID"/>
              </w:rPr>
            </w:pPr>
          </w:p>
          <w:p w:rsidR="00B242AD" w:rsidRPr="007633A1" w:rsidRDefault="00B242AD" w:rsidP="003055C0">
            <w:pPr>
              <w:pStyle w:val="NoSpacing"/>
              <w:jc w:val="center"/>
              <w:rPr>
                <w:b/>
                <w:lang w:val="id-ID"/>
              </w:rPr>
            </w:pPr>
            <w:r w:rsidRPr="007633A1">
              <w:rPr>
                <w:b/>
                <w:lang w:val="id-ID"/>
              </w:rPr>
              <w:t>Prepared by :</w:t>
            </w:r>
          </w:p>
          <w:p w:rsidR="00B242AD" w:rsidRPr="007633A1" w:rsidRDefault="00B242AD" w:rsidP="003055C0">
            <w:pPr>
              <w:pStyle w:val="NoSpacing"/>
              <w:jc w:val="center"/>
              <w:rPr>
                <w:b/>
                <w:lang w:val="id-ID"/>
              </w:rPr>
            </w:pPr>
            <w:r w:rsidRPr="007633A1">
              <w:rPr>
                <w:b/>
                <w:lang w:val="id-ID"/>
              </w:rPr>
              <w:t xml:space="preserve">WORKING GROUP </w:t>
            </w:r>
            <w:r w:rsidR="004202FE" w:rsidRPr="007633A1">
              <w:rPr>
                <w:b/>
              </w:rPr>
              <w:t>ON</w:t>
            </w:r>
            <w:r w:rsidR="00C40CAC" w:rsidRPr="007633A1">
              <w:rPr>
                <w:b/>
              </w:rPr>
              <w:t xml:space="preserve"> THE ADV</w:t>
            </w:r>
            <w:r w:rsidR="00FF56B4" w:rsidRPr="007633A1">
              <w:rPr>
                <w:b/>
                <w:lang w:val="id-ID"/>
              </w:rPr>
              <w:t>O</w:t>
            </w:r>
            <w:r w:rsidR="00C40CAC" w:rsidRPr="007633A1">
              <w:rPr>
                <w:b/>
              </w:rPr>
              <w:t xml:space="preserve">CACY </w:t>
            </w:r>
            <w:r w:rsidRPr="007633A1">
              <w:rPr>
                <w:b/>
                <w:lang w:val="id-ID"/>
              </w:rPr>
              <w:t>AGAINST TORTURE (WGAT)</w:t>
            </w:r>
          </w:p>
          <w:p w:rsidR="00B242AD" w:rsidRPr="007633A1" w:rsidRDefault="00B242AD" w:rsidP="003055C0">
            <w:pPr>
              <w:pStyle w:val="NoSpacing"/>
              <w:jc w:val="center"/>
              <w:rPr>
                <w:b/>
              </w:rPr>
            </w:pPr>
          </w:p>
          <w:p w:rsidR="006D0983" w:rsidRPr="007633A1" w:rsidRDefault="006D0983" w:rsidP="003055C0">
            <w:pPr>
              <w:pStyle w:val="NoSpacing"/>
              <w:jc w:val="center"/>
              <w:rPr>
                <w:b/>
              </w:rPr>
            </w:pPr>
          </w:p>
          <w:p w:rsidR="006D0983" w:rsidRPr="007633A1" w:rsidRDefault="005442A4" w:rsidP="003055C0">
            <w:pPr>
              <w:pStyle w:val="NoSpacing"/>
              <w:jc w:val="center"/>
              <w:rPr>
                <w:b/>
              </w:rPr>
            </w:pPr>
            <w:r w:rsidRPr="007633A1">
              <w:rPr>
                <w:b/>
                <w:lang w:val="id-ID"/>
              </w:rPr>
              <w:t xml:space="preserve">In consultation with : </w:t>
            </w:r>
          </w:p>
          <w:p w:rsidR="00B242AD" w:rsidRPr="007633A1" w:rsidRDefault="005442A4" w:rsidP="003055C0">
            <w:pPr>
              <w:pStyle w:val="NoSpacing"/>
              <w:jc w:val="center"/>
              <w:rPr>
                <w:b/>
                <w:lang w:val="id-ID"/>
              </w:rPr>
            </w:pPr>
            <w:r w:rsidRPr="007633A1">
              <w:rPr>
                <w:b/>
                <w:lang w:val="id-ID"/>
              </w:rPr>
              <w:t>The World Organisation Against Torture (OMCT)</w:t>
            </w:r>
          </w:p>
          <w:p w:rsidR="00B242AD" w:rsidRPr="007633A1" w:rsidRDefault="00B242AD" w:rsidP="003055C0">
            <w:pPr>
              <w:pStyle w:val="NoSpacing"/>
              <w:jc w:val="center"/>
              <w:rPr>
                <w:b/>
                <w:lang w:val="id-ID"/>
              </w:rPr>
            </w:pPr>
          </w:p>
          <w:p w:rsidR="00B242AD" w:rsidRPr="007633A1" w:rsidRDefault="00B242AD" w:rsidP="003055C0">
            <w:pPr>
              <w:pStyle w:val="NoSpacing"/>
              <w:ind w:left="720"/>
              <w:rPr>
                <w:b/>
                <w:lang w:val="id-ID"/>
              </w:rPr>
            </w:pPr>
          </w:p>
          <w:p w:rsidR="00B242AD" w:rsidRPr="007633A1" w:rsidRDefault="00B242AD" w:rsidP="003055C0">
            <w:pPr>
              <w:pStyle w:val="NoSpacing"/>
              <w:jc w:val="center"/>
              <w:rPr>
                <w:lang w:val="id-ID"/>
              </w:rPr>
            </w:pPr>
          </w:p>
          <w:p w:rsidR="00B242AD" w:rsidRPr="007633A1" w:rsidRDefault="00B242AD" w:rsidP="003055C0">
            <w:pPr>
              <w:pStyle w:val="NoSpacing"/>
              <w:jc w:val="center"/>
              <w:rPr>
                <w:lang w:val="id-ID"/>
              </w:rPr>
            </w:pPr>
          </w:p>
          <w:p w:rsidR="00B242AD" w:rsidRPr="007633A1" w:rsidRDefault="00B242AD" w:rsidP="003055C0">
            <w:pPr>
              <w:pStyle w:val="NoSpacing"/>
              <w:jc w:val="center"/>
              <w:rPr>
                <w:lang w:val="id-ID"/>
              </w:rPr>
            </w:pPr>
          </w:p>
        </w:tc>
      </w:tr>
    </w:tbl>
    <w:p w:rsidR="00B242AD" w:rsidRPr="007633A1" w:rsidRDefault="00B242AD" w:rsidP="00B211AD">
      <w:pPr>
        <w:jc w:val="both"/>
        <w:rPr>
          <w:rFonts w:ascii="Arial" w:hAnsi="Arial" w:cs="Arial"/>
          <w:b/>
        </w:rPr>
      </w:pPr>
    </w:p>
    <w:p w:rsidR="00B242AD" w:rsidRPr="007633A1" w:rsidRDefault="00B242AD" w:rsidP="00084D27">
      <w:pPr>
        <w:jc w:val="both"/>
        <w:outlineLvl w:val="0"/>
        <w:rPr>
          <w:rFonts w:ascii="Arial" w:hAnsi="Arial" w:cs="Arial"/>
          <w:b/>
        </w:rPr>
      </w:pPr>
      <w:r w:rsidRPr="007633A1">
        <w:rPr>
          <w:rFonts w:ascii="Arial" w:hAnsi="Arial" w:cs="Arial"/>
          <w:b/>
        </w:rPr>
        <w:t>Contributor Team :</w:t>
      </w:r>
    </w:p>
    <w:p w:rsidR="00B242AD" w:rsidRPr="007633A1" w:rsidRDefault="00B242AD" w:rsidP="00B242AD">
      <w:pPr>
        <w:numPr>
          <w:ilvl w:val="0"/>
          <w:numId w:val="7"/>
        </w:numPr>
        <w:jc w:val="both"/>
        <w:rPr>
          <w:rFonts w:ascii="Arial" w:hAnsi="Arial" w:cs="Arial"/>
          <w:lang w:val="en-US"/>
        </w:rPr>
      </w:pPr>
      <w:r w:rsidRPr="007633A1">
        <w:rPr>
          <w:rFonts w:ascii="Arial" w:hAnsi="Arial" w:cs="Arial"/>
          <w:b/>
        </w:rPr>
        <w:t>Adzkar Ahsinin (YPHA)</w:t>
      </w:r>
    </w:p>
    <w:p w:rsidR="00B242AD" w:rsidRPr="007633A1" w:rsidRDefault="00B242AD" w:rsidP="00B242AD">
      <w:pPr>
        <w:numPr>
          <w:ilvl w:val="0"/>
          <w:numId w:val="7"/>
        </w:numPr>
        <w:jc w:val="both"/>
        <w:rPr>
          <w:rFonts w:ascii="Arial" w:hAnsi="Arial" w:cs="Arial"/>
          <w:lang w:val="en-US"/>
        </w:rPr>
      </w:pPr>
      <w:r w:rsidRPr="007633A1">
        <w:rPr>
          <w:rFonts w:ascii="Arial" w:hAnsi="Arial" w:cs="Arial"/>
          <w:b/>
        </w:rPr>
        <w:t>Ali Akbar Tanjung (HRWG)</w:t>
      </w:r>
    </w:p>
    <w:p w:rsidR="00B242AD" w:rsidRPr="007633A1" w:rsidRDefault="00B242AD" w:rsidP="00B242AD">
      <w:pPr>
        <w:numPr>
          <w:ilvl w:val="0"/>
          <w:numId w:val="7"/>
        </w:numPr>
        <w:jc w:val="both"/>
        <w:rPr>
          <w:rFonts w:ascii="Arial" w:hAnsi="Arial" w:cs="Arial"/>
          <w:lang w:val="en-US"/>
        </w:rPr>
      </w:pPr>
      <w:r w:rsidRPr="007633A1">
        <w:rPr>
          <w:rFonts w:ascii="Arial" w:hAnsi="Arial" w:cs="Arial"/>
          <w:b/>
        </w:rPr>
        <w:t>Feby Yonesta (LBH Jakarta)</w:t>
      </w:r>
    </w:p>
    <w:p w:rsidR="00B242AD" w:rsidRPr="007633A1" w:rsidRDefault="00B242AD" w:rsidP="00B242AD">
      <w:pPr>
        <w:numPr>
          <w:ilvl w:val="0"/>
          <w:numId w:val="7"/>
        </w:numPr>
        <w:jc w:val="both"/>
        <w:rPr>
          <w:rFonts w:ascii="Arial" w:hAnsi="Arial" w:cs="Arial"/>
          <w:lang w:val="en-US"/>
        </w:rPr>
      </w:pPr>
      <w:r w:rsidRPr="007633A1">
        <w:rPr>
          <w:rFonts w:ascii="Arial" w:hAnsi="Arial" w:cs="Arial"/>
          <w:b/>
        </w:rPr>
        <w:t>Ikhana Indah Barnasaputri (ELSAM)</w:t>
      </w:r>
    </w:p>
    <w:p w:rsidR="00B242AD" w:rsidRPr="007633A1" w:rsidRDefault="00B242AD" w:rsidP="00B242AD">
      <w:pPr>
        <w:numPr>
          <w:ilvl w:val="0"/>
          <w:numId w:val="7"/>
        </w:numPr>
        <w:jc w:val="both"/>
        <w:rPr>
          <w:rFonts w:ascii="Arial" w:hAnsi="Arial" w:cs="Arial"/>
          <w:lang w:val="en-US"/>
        </w:rPr>
      </w:pPr>
      <w:r w:rsidRPr="007633A1">
        <w:rPr>
          <w:rFonts w:ascii="Arial" w:hAnsi="Arial" w:cs="Arial"/>
          <w:b/>
        </w:rPr>
        <w:t>Maruli Radjaguguk (LBH Jakarta)</w:t>
      </w:r>
    </w:p>
    <w:p w:rsidR="00B242AD" w:rsidRPr="007633A1" w:rsidRDefault="00B242AD" w:rsidP="00B242AD">
      <w:pPr>
        <w:numPr>
          <w:ilvl w:val="0"/>
          <w:numId w:val="7"/>
        </w:numPr>
        <w:jc w:val="both"/>
        <w:rPr>
          <w:rFonts w:ascii="Arial" w:hAnsi="Arial" w:cs="Arial"/>
          <w:lang w:val="en-US"/>
        </w:rPr>
      </w:pPr>
      <w:r w:rsidRPr="007633A1">
        <w:rPr>
          <w:rFonts w:ascii="Arial" w:hAnsi="Arial" w:cs="Arial"/>
          <w:b/>
        </w:rPr>
        <w:t>M.Gatot Goei (CDS)</w:t>
      </w:r>
    </w:p>
    <w:p w:rsidR="00B242AD" w:rsidRPr="007633A1" w:rsidRDefault="00B242AD" w:rsidP="00B242AD">
      <w:pPr>
        <w:numPr>
          <w:ilvl w:val="0"/>
          <w:numId w:val="7"/>
        </w:numPr>
        <w:jc w:val="both"/>
        <w:rPr>
          <w:rFonts w:ascii="Arial" w:hAnsi="Arial" w:cs="Arial"/>
          <w:lang w:val="en-US"/>
        </w:rPr>
      </w:pPr>
      <w:r w:rsidRPr="007633A1">
        <w:rPr>
          <w:rFonts w:ascii="Arial" w:hAnsi="Arial" w:cs="Arial"/>
          <w:b/>
        </w:rPr>
        <w:t>Th. Mike Verawati (KPI)</w:t>
      </w:r>
    </w:p>
    <w:p w:rsidR="00B242AD" w:rsidRPr="007633A1" w:rsidRDefault="00B242AD" w:rsidP="00B242AD">
      <w:pPr>
        <w:numPr>
          <w:ilvl w:val="0"/>
          <w:numId w:val="7"/>
        </w:numPr>
        <w:jc w:val="both"/>
        <w:rPr>
          <w:rFonts w:ascii="Arial" w:hAnsi="Arial" w:cs="Arial"/>
          <w:lang w:val="en-US"/>
        </w:rPr>
      </w:pPr>
      <w:r w:rsidRPr="007633A1">
        <w:rPr>
          <w:rFonts w:ascii="Arial" w:hAnsi="Arial" w:cs="Arial"/>
          <w:b/>
        </w:rPr>
        <w:t>Wahyu Wagiman (ELSAM)</w:t>
      </w:r>
    </w:p>
    <w:p w:rsidR="006D0983" w:rsidRPr="007633A1" w:rsidRDefault="006D0983" w:rsidP="006D0983">
      <w:pPr>
        <w:pBdr>
          <w:top w:val="single" w:sz="4" w:space="1" w:color="auto"/>
          <w:left w:val="single" w:sz="4" w:space="4" w:color="auto"/>
          <w:bottom w:val="single" w:sz="4" w:space="1" w:color="auto"/>
          <w:right w:val="single" w:sz="4" w:space="4" w:color="auto"/>
        </w:pBdr>
        <w:spacing w:line="240" w:lineRule="auto"/>
        <w:ind w:left="720"/>
        <w:contextualSpacing/>
        <w:jc w:val="both"/>
        <w:rPr>
          <w:rFonts w:ascii="Arial" w:hAnsi="Arial" w:cs="Arial"/>
          <w:b/>
          <w:lang w:val="en-US"/>
        </w:rPr>
      </w:pPr>
      <w:r w:rsidRPr="007633A1">
        <w:rPr>
          <w:rFonts w:ascii="Arial" w:hAnsi="Arial" w:cs="Arial"/>
          <w:b/>
          <w:lang w:val="en-US"/>
        </w:rPr>
        <w:t>WGAT Secretariat:</w:t>
      </w:r>
    </w:p>
    <w:p w:rsidR="006D0983" w:rsidRPr="007633A1" w:rsidRDefault="006D0983" w:rsidP="006D0983">
      <w:pPr>
        <w:pBdr>
          <w:top w:val="single" w:sz="4" w:space="1" w:color="auto"/>
          <w:left w:val="single" w:sz="4" w:space="4" w:color="auto"/>
          <w:bottom w:val="single" w:sz="4" w:space="1" w:color="auto"/>
          <w:right w:val="single" w:sz="4" w:space="4" w:color="auto"/>
        </w:pBdr>
        <w:spacing w:line="240" w:lineRule="auto"/>
        <w:ind w:left="720"/>
        <w:contextualSpacing/>
        <w:jc w:val="both"/>
        <w:rPr>
          <w:rFonts w:ascii="Arial" w:hAnsi="Arial" w:cs="Arial"/>
          <w:b/>
          <w:lang w:val="en-US"/>
        </w:rPr>
      </w:pPr>
    </w:p>
    <w:p w:rsidR="006D0983" w:rsidRPr="007633A1" w:rsidRDefault="006D0983" w:rsidP="006D0983">
      <w:pPr>
        <w:pBdr>
          <w:top w:val="single" w:sz="4" w:space="1" w:color="auto"/>
          <w:left w:val="single" w:sz="4" w:space="4" w:color="auto"/>
          <w:bottom w:val="single" w:sz="4" w:space="1" w:color="auto"/>
          <w:right w:val="single" w:sz="4" w:space="4" w:color="auto"/>
        </w:pBdr>
        <w:spacing w:line="240" w:lineRule="auto"/>
        <w:ind w:left="720"/>
        <w:contextualSpacing/>
        <w:jc w:val="both"/>
        <w:rPr>
          <w:rFonts w:ascii="Arial" w:hAnsi="Arial" w:cs="Arial"/>
          <w:b/>
          <w:lang w:val="en-US"/>
        </w:rPr>
      </w:pPr>
      <w:r w:rsidRPr="007633A1">
        <w:rPr>
          <w:rFonts w:ascii="Arial" w:hAnsi="Arial" w:cs="Arial"/>
          <w:b/>
          <w:lang w:val="en-US"/>
        </w:rPr>
        <w:t>Institute for Policy and Research and Advocacy (ELSAM)</w:t>
      </w:r>
    </w:p>
    <w:p w:rsidR="006D0983" w:rsidRPr="007633A1" w:rsidRDefault="006D0983" w:rsidP="006D0983">
      <w:pPr>
        <w:pBdr>
          <w:top w:val="single" w:sz="4" w:space="1" w:color="auto"/>
          <w:left w:val="single" w:sz="4" w:space="4" w:color="auto"/>
          <w:bottom w:val="single" w:sz="4" w:space="1" w:color="auto"/>
          <w:right w:val="single" w:sz="4" w:space="4" w:color="auto"/>
        </w:pBdr>
        <w:spacing w:line="240" w:lineRule="auto"/>
        <w:ind w:left="720"/>
        <w:contextualSpacing/>
        <w:jc w:val="both"/>
        <w:rPr>
          <w:rFonts w:ascii="Arial" w:hAnsi="Arial" w:cs="Arial"/>
          <w:lang w:val="en-US"/>
        </w:rPr>
      </w:pPr>
      <w:r w:rsidRPr="007633A1">
        <w:rPr>
          <w:rFonts w:ascii="Arial" w:hAnsi="Arial" w:cs="Arial"/>
          <w:lang w:val="en-US"/>
        </w:rPr>
        <w:t>Jl. Siaga II No. 31, Pejaten Barat, Pasar Minggu, INDONESIA 12510</w:t>
      </w:r>
    </w:p>
    <w:p w:rsidR="006D0983" w:rsidRPr="007633A1" w:rsidRDefault="00CC146F" w:rsidP="006D0983">
      <w:pPr>
        <w:pBdr>
          <w:top w:val="single" w:sz="4" w:space="1" w:color="auto"/>
          <w:left w:val="single" w:sz="4" w:space="4" w:color="auto"/>
          <w:bottom w:val="single" w:sz="4" w:space="1" w:color="auto"/>
          <w:right w:val="single" w:sz="4" w:space="4" w:color="auto"/>
        </w:pBdr>
        <w:spacing w:line="240" w:lineRule="auto"/>
        <w:ind w:left="720"/>
        <w:contextualSpacing/>
        <w:jc w:val="both"/>
        <w:rPr>
          <w:rFonts w:ascii="Arial" w:hAnsi="Arial" w:cs="Arial"/>
          <w:lang w:val="en-US"/>
        </w:rPr>
      </w:pPr>
      <w:r>
        <w:rPr>
          <w:rFonts w:ascii="Arial" w:hAnsi="Arial" w:cs="Arial"/>
          <w:lang w:val="en-US"/>
        </w:rPr>
        <w:t>Tel</w:t>
      </w:r>
      <w:r w:rsidR="006D0983" w:rsidRPr="007633A1">
        <w:rPr>
          <w:rFonts w:ascii="Arial" w:hAnsi="Arial" w:cs="Arial"/>
          <w:lang w:val="en-US"/>
        </w:rPr>
        <w:t>; (62-21) 79192564</w:t>
      </w:r>
    </w:p>
    <w:p w:rsidR="006D0983" w:rsidRPr="007633A1" w:rsidRDefault="006D0983" w:rsidP="006D0983">
      <w:pPr>
        <w:pBdr>
          <w:top w:val="single" w:sz="4" w:space="1" w:color="auto"/>
          <w:left w:val="single" w:sz="4" w:space="4" w:color="auto"/>
          <w:bottom w:val="single" w:sz="4" w:space="1" w:color="auto"/>
          <w:right w:val="single" w:sz="4" w:space="4" w:color="auto"/>
        </w:pBdr>
        <w:spacing w:line="240" w:lineRule="auto"/>
        <w:ind w:left="720"/>
        <w:contextualSpacing/>
        <w:jc w:val="both"/>
        <w:rPr>
          <w:rFonts w:ascii="Arial" w:hAnsi="Arial" w:cs="Arial"/>
          <w:lang w:val="en-US"/>
        </w:rPr>
      </w:pPr>
      <w:r w:rsidRPr="007633A1">
        <w:rPr>
          <w:rFonts w:ascii="Arial" w:hAnsi="Arial" w:cs="Arial"/>
          <w:lang w:val="en-US"/>
        </w:rPr>
        <w:t>Fax: (62-21) 79192519</w:t>
      </w:r>
    </w:p>
    <w:p w:rsidR="006D0983" w:rsidRPr="007633A1" w:rsidRDefault="006D0983" w:rsidP="006D0983">
      <w:pPr>
        <w:pBdr>
          <w:top w:val="single" w:sz="4" w:space="1" w:color="auto"/>
          <w:left w:val="single" w:sz="4" w:space="4" w:color="auto"/>
          <w:bottom w:val="single" w:sz="4" w:space="1" w:color="auto"/>
          <w:right w:val="single" w:sz="4" w:space="4" w:color="auto"/>
        </w:pBdr>
        <w:spacing w:line="240" w:lineRule="auto"/>
        <w:ind w:left="720"/>
        <w:contextualSpacing/>
        <w:jc w:val="both"/>
        <w:rPr>
          <w:rFonts w:ascii="Arial" w:hAnsi="Arial" w:cs="Arial"/>
          <w:b/>
          <w:lang w:val="en-US"/>
        </w:rPr>
      </w:pPr>
      <w:r w:rsidRPr="007633A1">
        <w:rPr>
          <w:rFonts w:ascii="Arial" w:hAnsi="Arial" w:cs="Arial"/>
          <w:lang w:val="en-US"/>
        </w:rPr>
        <w:t xml:space="preserve">Email: </w:t>
      </w:r>
      <w:hyperlink r:id="rId10" w:history="1">
        <w:r w:rsidRPr="007633A1">
          <w:rPr>
            <w:rStyle w:val="Hyperlink"/>
            <w:rFonts w:ascii="Arial" w:hAnsi="Arial" w:cs="Arial"/>
            <w:lang w:val="en-US"/>
          </w:rPr>
          <w:t>office@elsam.or.id</w:t>
        </w:r>
      </w:hyperlink>
      <w:r w:rsidRPr="007633A1">
        <w:rPr>
          <w:rFonts w:ascii="Arial" w:hAnsi="Arial" w:cs="Arial"/>
          <w:b/>
          <w:lang w:val="en-US"/>
        </w:rPr>
        <w:t xml:space="preserve"> </w:t>
      </w:r>
    </w:p>
    <w:p w:rsidR="00B211AD" w:rsidRPr="007633A1" w:rsidRDefault="00B242AD" w:rsidP="00B242AD">
      <w:pPr>
        <w:ind w:left="720"/>
        <w:jc w:val="both"/>
        <w:rPr>
          <w:rFonts w:ascii="Arial" w:hAnsi="Arial" w:cs="Arial"/>
          <w:lang w:val="en-US"/>
        </w:rPr>
      </w:pPr>
      <w:r w:rsidRPr="007633A1">
        <w:rPr>
          <w:rFonts w:ascii="Arial" w:hAnsi="Arial" w:cs="Arial"/>
          <w:b/>
          <w:lang w:val="en-US"/>
        </w:rPr>
        <w:br w:type="page"/>
      </w:r>
    </w:p>
    <w:p w:rsidR="00B211AD" w:rsidRPr="007633A1" w:rsidRDefault="00B211AD" w:rsidP="00B211AD">
      <w:pPr>
        <w:pStyle w:val="Listecouleur-Accent11"/>
        <w:numPr>
          <w:ilvl w:val="0"/>
          <w:numId w:val="1"/>
        </w:numPr>
        <w:jc w:val="both"/>
        <w:rPr>
          <w:rFonts w:ascii="Arial" w:hAnsi="Arial" w:cs="Arial"/>
          <w:b/>
          <w:lang w:val="en-US"/>
        </w:rPr>
      </w:pPr>
      <w:r w:rsidRPr="007633A1">
        <w:rPr>
          <w:rFonts w:ascii="Arial" w:hAnsi="Arial" w:cs="Arial"/>
          <w:b/>
          <w:lang w:val="en-US"/>
        </w:rPr>
        <w:lastRenderedPageBreak/>
        <w:t>Introduction</w:t>
      </w:r>
    </w:p>
    <w:p w:rsidR="00B211AD" w:rsidRPr="007633A1" w:rsidRDefault="00B211AD" w:rsidP="00B211AD">
      <w:pPr>
        <w:pStyle w:val="Listecouleur-Accent11"/>
        <w:jc w:val="both"/>
        <w:rPr>
          <w:rFonts w:ascii="Arial" w:hAnsi="Arial" w:cs="Arial"/>
          <w:lang w:val="en-US"/>
        </w:rPr>
      </w:pPr>
    </w:p>
    <w:p w:rsidR="007622ED" w:rsidRPr="007633A1" w:rsidRDefault="007622ED" w:rsidP="00FD159F">
      <w:pPr>
        <w:pStyle w:val="Listecouleur-Accent11"/>
        <w:ind w:left="284" w:hanging="284"/>
        <w:jc w:val="both"/>
        <w:rPr>
          <w:rFonts w:ascii="Arial" w:hAnsi="Arial" w:cs="Arial"/>
          <w:lang w:val="en-US"/>
        </w:rPr>
      </w:pPr>
      <w:r w:rsidRPr="007633A1">
        <w:rPr>
          <w:rFonts w:ascii="Arial" w:hAnsi="Arial" w:cs="Arial"/>
          <w:lang w:val="en-US"/>
        </w:rPr>
        <w:t xml:space="preserve">1. </w:t>
      </w:r>
      <w:r w:rsidR="00B211AD" w:rsidRPr="007633A1">
        <w:rPr>
          <w:rFonts w:ascii="Arial" w:hAnsi="Arial" w:cs="Arial"/>
          <w:lang w:val="en-US"/>
        </w:rPr>
        <w:t xml:space="preserve">This </w:t>
      </w:r>
      <w:r w:rsidR="00141B3D" w:rsidRPr="007633A1">
        <w:rPr>
          <w:rFonts w:ascii="Arial" w:hAnsi="Arial" w:cs="Arial"/>
          <w:lang w:val="en-US"/>
        </w:rPr>
        <w:t>document</w:t>
      </w:r>
      <w:r w:rsidR="00B211AD" w:rsidRPr="007633A1">
        <w:rPr>
          <w:rFonts w:ascii="Arial" w:hAnsi="Arial" w:cs="Arial"/>
          <w:lang w:val="en-US"/>
        </w:rPr>
        <w:t xml:space="preserve"> is </w:t>
      </w:r>
      <w:r w:rsidR="00141B3D" w:rsidRPr="007633A1">
        <w:rPr>
          <w:rFonts w:ascii="Arial" w:hAnsi="Arial" w:cs="Arial"/>
          <w:lang w:val="en-US"/>
        </w:rPr>
        <w:t>submitted as an alternative report to the combined initial and first periodic report of the Republic of Indonesia about the fulfillment of the International Covenant on Civil and Political Rights (“the Covenant”). The present report takes into consideration the questions submitted by the Human Rights Committee in the</w:t>
      </w:r>
      <w:r w:rsidR="00B211AD" w:rsidRPr="007633A1">
        <w:rPr>
          <w:rFonts w:ascii="Arial" w:hAnsi="Arial" w:cs="Arial"/>
          <w:lang w:val="en-US"/>
        </w:rPr>
        <w:t xml:space="preserve"> List of Issues</w:t>
      </w:r>
      <w:r w:rsidR="009652F3" w:rsidRPr="007633A1">
        <w:rPr>
          <w:rStyle w:val="FootnoteReference"/>
          <w:rFonts w:ascii="Arial" w:hAnsi="Arial" w:cs="Arial"/>
          <w:lang w:val="en-US"/>
        </w:rPr>
        <w:footnoteReference w:id="1"/>
      </w:r>
      <w:r w:rsidR="009652F3" w:rsidRPr="007633A1">
        <w:rPr>
          <w:rFonts w:ascii="Arial" w:hAnsi="Arial" w:cs="Arial"/>
          <w:lang w:val="en-US"/>
        </w:rPr>
        <w:t xml:space="preserve">with a specific focus on the questions related to torture and other cruel, inhuman or degrading treatment or punishment (“ill-treatment”). </w:t>
      </w:r>
      <w:r w:rsidR="00C2700D" w:rsidRPr="007633A1">
        <w:rPr>
          <w:rFonts w:ascii="Arial" w:hAnsi="Arial" w:cs="Arial"/>
          <w:lang w:val="en-US"/>
        </w:rPr>
        <w:t xml:space="preserve">It provides recommendations to the State for each issue addressed. </w:t>
      </w:r>
    </w:p>
    <w:p w:rsidR="007622ED" w:rsidRPr="007633A1" w:rsidRDefault="007622ED" w:rsidP="00FD159F">
      <w:pPr>
        <w:pStyle w:val="Listecouleur-Accent11"/>
        <w:ind w:left="0"/>
        <w:jc w:val="both"/>
        <w:rPr>
          <w:rFonts w:ascii="Arial" w:hAnsi="Arial" w:cs="Arial"/>
          <w:lang w:val="en-US"/>
        </w:rPr>
      </w:pPr>
    </w:p>
    <w:p w:rsidR="00FD159F" w:rsidRPr="007633A1" w:rsidRDefault="007622ED" w:rsidP="00FD159F">
      <w:pPr>
        <w:pStyle w:val="Listecouleur-Accent11"/>
        <w:ind w:left="284" w:hanging="284"/>
        <w:jc w:val="both"/>
        <w:rPr>
          <w:rFonts w:ascii="Arial" w:hAnsi="Arial" w:cs="Arial"/>
          <w:lang w:val="en-US"/>
        </w:rPr>
      </w:pPr>
      <w:r w:rsidRPr="007633A1">
        <w:rPr>
          <w:rFonts w:ascii="Arial" w:hAnsi="Arial" w:cs="Arial"/>
          <w:lang w:val="en-US"/>
        </w:rPr>
        <w:t xml:space="preserve">2. </w:t>
      </w:r>
      <w:r w:rsidR="00C978A4" w:rsidRPr="007633A1">
        <w:rPr>
          <w:rFonts w:ascii="Arial" w:hAnsi="Arial" w:cs="Arial"/>
          <w:lang w:val="en-US"/>
        </w:rPr>
        <w:t>This</w:t>
      </w:r>
      <w:r w:rsidR="009D77BC" w:rsidRPr="007633A1">
        <w:rPr>
          <w:rFonts w:ascii="Arial" w:hAnsi="Arial" w:cs="Arial"/>
          <w:lang w:val="en-US"/>
        </w:rPr>
        <w:t xml:space="preserve"> </w:t>
      </w:r>
      <w:r w:rsidR="00192260" w:rsidRPr="007633A1">
        <w:rPr>
          <w:rFonts w:ascii="Arial" w:hAnsi="Arial" w:cs="Arial"/>
          <w:lang w:val="en-US"/>
        </w:rPr>
        <w:t xml:space="preserve">alternative report </w:t>
      </w:r>
      <w:r w:rsidR="00C978A4" w:rsidRPr="007633A1">
        <w:rPr>
          <w:rFonts w:ascii="Arial" w:hAnsi="Arial" w:cs="Arial"/>
          <w:lang w:val="en-US"/>
        </w:rPr>
        <w:t>was drafted by the Working Group</w:t>
      </w:r>
      <w:r w:rsidR="009D77BC" w:rsidRPr="007633A1">
        <w:rPr>
          <w:rFonts w:ascii="Arial" w:hAnsi="Arial" w:cs="Arial"/>
          <w:lang w:val="en-US"/>
        </w:rPr>
        <w:t xml:space="preserve"> </w:t>
      </w:r>
      <w:r w:rsidR="00C978A4" w:rsidRPr="007633A1">
        <w:rPr>
          <w:rFonts w:ascii="Arial" w:hAnsi="Arial" w:cs="Arial"/>
          <w:lang w:val="en-US"/>
        </w:rPr>
        <w:t>on the Advocacy Against Torture (WGAT)</w:t>
      </w:r>
      <w:r w:rsidR="004202FE" w:rsidRPr="007633A1">
        <w:rPr>
          <w:rFonts w:ascii="Arial" w:hAnsi="Arial" w:cs="Arial"/>
          <w:lang w:val="en-US"/>
        </w:rPr>
        <w:t xml:space="preserve">. </w:t>
      </w:r>
      <w:r w:rsidR="00C978A4" w:rsidRPr="007633A1">
        <w:rPr>
          <w:rFonts w:ascii="Arial" w:hAnsi="Arial" w:cs="Arial"/>
          <w:lang w:val="en-US"/>
        </w:rPr>
        <w:t>Th</w:t>
      </w:r>
      <w:r w:rsidR="004202FE" w:rsidRPr="007633A1">
        <w:rPr>
          <w:rFonts w:ascii="Arial" w:hAnsi="Arial" w:cs="Arial"/>
          <w:lang w:val="en-US"/>
        </w:rPr>
        <w:t>e</w:t>
      </w:r>
      <w:r w:rsidR="009D77BC" w:rsidRPr="007633A1">
        <w:rPr>
          <w:rFonts w:ascii="Arial" w:hAnsi="Arial" w:cs="Arial"/>
          <w:lang w:val="en-US"/>
        </w:rPr>
        <w:t xml:space="preserve"> </w:t>
      </w:r>
      <w:r w:rsidR="00064BA6" w:rsidRPr="007633A1">
        <w:rPr>
          <w:rFonts w:ascii="Arial" w:hAnsi="Arial" w:cs="Arial"/>
          <w:lang w:val="en-US"/>
        </w:rPr>
        <w:t>WGAT</w:t>
      </w:r>
      <w:r w:rsidR="00C978A4" w:rsidRPr="007633A1">
        <w:rPr>
          <w:rFonts w:ascii="Arial" w:hAnsi="Arial" w:cs="Arial"/>
          <w:lang w:val="en-US"/>
        </w:rPr>
        <w:t xml:space="preserve"> was set up in 2007 </w:t>
      </w:r>
      <w:r w:rsidR="00787360" w:rsidRPr="007633A1">
        <w:rPr>
          <w:rFonts w:ascii="Arial" w:hAnsi="Arial" w:cs="Arial"/>
          <w:lang w:val="en-US"/>
        </w:rPr>
        <w:t>and</w:t>
      </w:r>
      <w:r w:rsidR="009D77BC" w:rsidRPr="007633A1">
        <w:rPr>
          <w:rFonts w:ascii="Arial" w:hAnsi="Arial" w:cs="Arial"/>
          <w:lang w:val="en-US"/>
        </w:rPr>
        <w:t xml:space="preserve"> </w:t>
      </w:r>
      <w:r w:rsidR="00192260" w:rsidRPr="007633A1">
        <w:rPr>
          <w:rFonts w:ascii="Arial" w:hAnsi="Arial" w:cs="Arial"/>
          <w:lang w:val="en-US"/>
        </w:rPr>
        <w:t xml:space="preserve">is </w:t>
      </w:r>
      <w:r w:rsidR="00C978A4" w:rsidRPr="007633A1">
        <w:rPr>
          <w:rFonts w:ascii="Arial" w:hAnsi="Arial" w:cs="Arial"/>
          <w:lang w:val="en-US"/>
        </w:rPr>
        <w:t>comp</w:t>
      </w:r>
      <w:r w:rsidR="008A23D3" w:rsidRPr="007633A1">
        <w:rPr>
          <w:rFonts w:ascii="Arial" w:hAnsi="Arial" w:cs="Arial"/>
          <w:lang w:val="en-US"/>
        </w:rPr>
        <w:t>osed</w:t>
      </w:r>
      <w:r w:rsidR="00C978A4" w:rsidRPr="007633A1">
        <w:rPr>
          <w:rFonts w:ascii="Arial" w:hAnsi="Arial" w:cs="Arial"/>
          <w:lang w:val="en-US"/>
        </w:rPr>
        <w:t xml:space="preserve"> of 15</w:t>
      </w:r>
      <w:r w:rsidR="00064BA6" w:rsidRPr="007633A1">
        <w:rPr>
          <w:rFonts w:ascii="Arial" w:hAnsi="Arial" w:cs="Arial"/>
          <w:lang w:val="en-US"/>
        </w:rPr>
        <w:t xml:space="preserve"> national and local</w:t>
      </w:r>
      <w:r w:rsidR="00C978A4" w:rsidRPr="007633A1">
        <w:rPr>
          <w:rFonts w:ascii="Arial" w:hAnsi="Arial" w:cs="Arial"/>
          <w:lang w:val="en-US"/>
        </w:rPr>
        <w:t xml:space="preserve"> NGOs working for the elimination of torture. Some members </w:t>
      </w:r>
      <w:r w:rsidR="004202FE" w:rsidRPr="007633A1">
        <w:rPr>
          <w:rFonts w:ascii="Arial" w:hAnsi="Arial" w:cs="Arial"/>
          <w:lang w:val="en-US"/>
        </w:rPr>
        <w:t>f</w:t>
      </w:r>
      <w:r w:rsidR="00C978A4" w:rsidRPr="007633A1">
        <w:rPr>
          <w:rFonts w:ascii="Arial" w:hAnsi="Arial" w:cs="Arial"/>
          <w:lang w:val="en-US"/>
        </w:rPr>
        <w:t>ocus their work on policy</w:t>
      </w:r>
      <w:r w:rsidR="009D77BC" w:rsidRPr="007633A1">
        <w:rPr>
          <w:rFonts w:ascii="Arial" w:hAnsi="Arial" w:cs="Arial"/>
          <w:lang w:val="en-US"/>
        </w:rPr>
        <w:t xml:space="preserve"> </w:t>
      </w:r>
      <w:r w:rsidR="00C978A4" w:rsidRPr="007633A1">
        <w:rPr>
          <w:rFonts w:ascii="Arial" w:hAnsi="Arial" w:cs="Arial"/>
          <w:lang w:val="en-US"/>
        </w:rPr>
        <w:t>making process</w:t>
      </w:r>
      <w:r w:rsidR="00064BA6" w:rsidRPr="007633A1">
        <w:rPr>
          <w:rFonts w:ascii="Arial" w:hAnsi="Arial" w:cs="Arial"/>
          <w:lang w:val="en-US"/>
        </w:rPr>
        <w:t>es</w:t>
      </w:r>
      <w:r w:rsidR="00C978A4" w:rsidRPr="007633A1">
        <w:rPr>
          <w:rFonts w:ascii="Arial" w:hAnsi="Arial" w:cs="Arial"/>
          <w:lang w:val="en-US"/>
        </w:rPr>
        <w:t>,</w:t>
      </w:r>
      <w:r w:rsidR="009D77BC" w:rsidRPr="007633A1">
        <w:rPr>
          <w:rFonts w:ascii="Arial" w:hAnsi="Arial" w:cs="Arial"/>
          <w:lang w:val="en-US"/>
        </w:rPr>
        <w:t xml:space="preserve"> </w:t>
      </w:r>
      <w:r w:rsidR="00C978A4" w:rsidRPr="007633A1">
        <w:rPr>
          <w:rFonts w:ascii="Arial" w:hAnsi="Arial" w:cs="Arial"/>
          <w:lang w:val="en-US"/>
        </w:rPr>
        <w:t>while others concentrate on public litigation as well as monitoring of human rights issues</w:t>
      </w:r>
      <w:r w:rsidR="004202FE" w:rsidRPr="007633A1">
        <w:rPr>
          <w:rFonts w:ascii="Arial" w:hAnsi="Arial" w:cs="Arial"/>
          <w:lang w:val="en-US"/>
        </w:rPr>
        <w:t>.</w:t>
      </w:r>
    </w:p>
    <w:p w:rsidR="00FD159F" w:rsidRPr="007633A1" w:rsidRDefault="00FD159F" w:rsidP="00FD159F">
      <w:pPr>
        <w:pStyle w:val="Listecouleur-Accent11"/>
        <w:ind w:left="284" w:hanging="284"/>
        <w:jc w:val="both"/>
        <w:rPr>
          <w:rFonts w:ascii="Arial" w:hAnsi="Arial" w:cs="Arial"/>
          <w:lang w:val="en-US"/>
        </w:rPr>
      </w:pPr>
    </w:p>
    <w:p w:rsidR="00FD159F" w:rsidRPr="007633A1" w:rsidRDefault="00FD159F" w:rsidP="00FD159F">
      <w:pPr>
        <w:pStyle w:val="Listecouleur-Accent11"/>
        <w:ind w:left="284" w:hanging="284"/>
        <w:jc w:val="both"/>
        <w:rPr>
          <w:rFonts w:ascii="Arial" w:hAnsi="Arial" w:cs="Arial"/>
          <w:lang w:val="en-US"/>
        </w:rPr>
      </w:pPr>
      <w:r w:rsidRPr="007633A1">
        <w:rPr>
          <w:rFonts w:ascii="Arial" w:hAnsi="Arial" w:cs="Arial"/>
          <w:lang w:val="en-US"/>
        </w:rPr>
        <w:t xml:space="preserve">3. </w:t>
      </w:r>
      <w:r w:rsidR="004202FE" w:rsidRPr="007633A1">
        <w:rPr>
          <w:rFonts w:ascii="Arial" w:hAnsi="Arial" w:cs="Arial"/>
          <w:lang w:val="en-US"/>
        </w:rPr>
        <w:t xml:space="preserve">This </w:t>
      </w:r>
      <w:r w:rsidR="00B7059C" w:rsidRPr="007633A1">
        <w:rPr>
          <w:rFonts w:ascii="Arial" w:hAnsi="Arial" w:cs="Arial"/>
          <w:lang w:val="en-US"/>
        </w:rPr>
        <w:t>alternative report</w:t>
      </w:r>
      <w:r w:rsidR="009D77BC" w:rsidRPr="007633A1">
        <w:rPr>
          <w:rFonts w:ascii="Arial" w:hAnsi="Arial" w:cs="Arial"/>
          <w:lang w:val="en-US"/>
        </w:rPr>
        <w:t xml:space="preserve"> </w:t>
      </w:r>
      <w:r w:rsidR="00E1448D" w:rsidRPr="007633A1">
        <w:rPr>
          <w:rFonts w:ascii="Arial" w:hAnsi="Arial" w:cs="Arial"/>
          <w:lang w:val="en-US"/>
        </w:rPr>
        <w:t>was drafted on the basis of various materials and sources received from each of the WGAT’s members</w:t>
      </w:r>
      <w:r w:rsidR="00B7059C" w:rsidRPr="007633A1">
        <w:rPr>
          <w:rFonts w:ascii="Arial" w:hAnsi="Arial" w:cs="Arial"/>
          <w:lang w:val="en-US"/>
        </w:rPr>
        <w:t>. The</w:t>
      </w:r>
      <w:r w:rsidR="00E1448D" w:rsidRPr="007633A1">
        <w:rPr>
          <w:rFonts w:ascii="Arial" w:hAnsi="Arial" w:cs="Arial"/>
          <w:lang w:val="en-US"/>
        </w:rPr>
        <w:t xml:space="preserve"> information </w:t>
      </w:r>
      <w:r w:rsidR="00B7059C" w:rsidRPr="007633A1">
        <w:rPr>
          <w:rFonts w:ascii="Arial" w:hAnsi="Arial" w:cs="Arial"/>
          <w:lang w:val="en-US"/>
        </w:rPr>
        <w:t xml:space="preserve">was </w:t>
      </w:r>
      <w:r w:rsidR="00E1448D" w:rsidRPr="007633A1">
        <w:rPr>
          <w:rFonts w:ascii="Arial" w:hAnsi="Arial" w:cs="Arial"/>
          <w:lang w:val="en-US"/>
        </w:rPr>
        <w:t>collected from monitoring and advocacy activities conducted by each of the member organizations.</w:t>
      </w:r>
    </w:p>
    <w:p w:rsidR="00FD159F" w:rsidRPr="007633A1" w:rsidRDefault="00FD159F" w:rsidP="00FD159F">
      <w:pPr>
        <w:pStyle w:val="Listecouleur-Accent11"/>
        <w:jc w:val="both"/>
        <w:rPr>
          <w:rFonts w:ascii="Arial" w:hAnsi="Arial" w:cs="Arial"/>
          <w:lang w:val="en-US"/>
        </w:rPr>
      </w:pPr>
    </w:p>
    <w:p w:rsidR="007325B0" w:rsidRPr="007633A1" w:rsidRDefault="00FD159F" w:rsidP="00FD159F">
      <w:pPr>
        <w:pStyle w:val="Listecouleur-Accent11"/>
        <w:ind w:left="284" w:hanging="284"/>
        <w:jc w:val="both"/>
        <w:rPr>
          <w:rFonts w:ascii="Arial" w:hAnsi="Arial" w:cs="Arial"/>
          <w:lang w:val="en-US"/>
        </w:rPr>
      </w:pPr>
      <w:r w:rsidRPr="007633A1">
        <w:rPr>
          <w:rFonts w:ascii="Arial" w:hAnsi="Arial" w:cs="Arial"/>
          <w:lang w:val="en-US"/>
        </w:rPr>
        <w:t xml:space="preserve">4. </w:t>
      </w:r>
      <w:r w:rsidR="00B7059C" w:rsidRPr="007633A1">
        <w:rPr>
          <w:rFonts w:ascii="Arial" w:hAnsi="Arial" w:cs="Arial"/>
          <w:lang w:val="en-US"/>
        </w:rPr>
        <w:t xml:space="preserve">The WGAT wishes to mention that it submitted </w:t>
      </w:r>
      <w:r w:rsidR="000F692A" w:rsidRPr="007633A1">
        <w:rPr>
          <w:rFonts w:ascii="Arial" w:hAnsi="Arial" w:cs="Arial"/>
          <w:lang w:val="en-US"/>
        </w:rPr>
        <w:t xml:space="preserve">an alternative report and a follow-up note </w:t>
      </w:r>
      <w:r w:rsidR="00B7059C" w:rsidRPr="007633A1">
        <w:rPr>
          <w:rFonts w:ascii="Arial" w:hAnsi="Arial" w:cs="Arial"/>
          <w:lang w:val="en-US"/>
        </w:rPr>
        <w:t xml:space="preserve">in 2008 and 2010 respectively </w:t>
      </w:r>
      <w:r w:rsidR="000F692A" w:rsidRPr="007633A1">
        <w:rPr>
          <w:rFonts w:ascii="Arial" w:hAnsi="Arial" w:cs="Arial"/>
          <w:lang w:val="en-US"/>
        </w:rPr>
        <w:t>to the Committe</w:t>
      </w:r>
      <w:r w:rsidR="00182541" w:rsidRPr="007633A1">
        <w:rPr>
          <w:rFonts w:ascii="Arial" w:hAnsi="Arial" w:cs="Arial"/>
          <w:lang w:val="en-US"/>
        </w:rPr>
        <w:t>e A</w:t>
      </w:r>
      <w:r w:rsidR="000F692A" w:rsidRPr="007633A1">
        <w:rPr>
          <w:rFonts w:ascii="Arial" w:hAnsi="Arial" w:cs="Arial"/>
          <w:lang w:val="en-US"/>
        </w:rPr>
        <w:t xml:space="preserve">gainst Torture in the framework of the examination of the </w:t>
      </w:r>
      <w:r w:rsidR="00182541" w:rsidRPr="007633A1">
        <w:rPr>
          <w:rFonts w:ascii="Arial" w:hAnsi="Arial" w:cs="Arial"/>
          <w:lang w:val="en-US"/>
        </w:rPr>
        <w:t xml:space="preserve">second periodic </w:t>
      </w:r>
      <w:r w:rsidR="000F692A" w:rsidRPr="007633A1">
        <w:rPr>
          <w:rFonts w:ascii="Arial" w:hAnsi="Arial" w:cs="Arial"/>
          <w:lang w:val="en-US"/>
        </w:rPr>
        <w:t>report of</w:t>
      </w:r>
      <w:r w:rsidR="00182541" w:rsidRPr="007633A1">
        <w:rPr>
          <w:rFonts w:ascii="Arial" w:hAnsi="Arial" w:cs="Arial"/>
          <w:lang w:val="en-US"/>
        </w:rPr>
        <w:t xml:space="preserve"> the Government of</w:t>
      </w:r>
      <w:r w:rsidR="000F692A" w:rsidRPr="007633A1">
        <w:rPr>
          <w:rFonts w:ascii="Arial" w:hAnsi="Arial" w:cs="Arial"/>
          <w:lang w:val="en-US"/>
        </w:rPr>
        <w:t xml:space="preserve"> Indonesia</w:t>
      </w:r>
      <w:r w:rsidR="00E1448D" w:rsidRPr="007633A1">
        <w:rPr>
          <w:rFonts w:ascii="Arial" w:hAnsi="Arial" w:cs="Arial"/>
          <w:lang w:val="en-US"/>
        </w:rPr>
        <w:t xml:space="preserve">. </w:t>
      </w:r>
      <w:r w:rsidR="00C978A4" w:rsidRPr="007633A1">
        <w:rPr>
          <w:rFonts w:ascii="Arial" w:hAnsi="Arial" w:cs="Arial"/>
          <w:lang w:val="en-US"/>
        </w:rPr>
        <w:t xml:space="preserve">Up </w:t>
      </w:r>
      <w:r w:rsidR="00B7059C" w:rsidRPr="007633A1">
        <w:rPr>
          <w:rFonts w:ascii="Arial" w:hAnsi="Arial" w:cs="Arial"/>
          <w:lang w:val="en-US"/>
        </w:rPr>
        <w:t>until today</w:t>
      </w:r>
      <w:r w:rsidR="00C978A4" w:rsidRPr="007633A1">
        <w:rPr>
          <w:rFonts w:ascii="Arial" w:hAnsi="Arial" w:cs="Arial"/>
          <w:lang w:val="en-US"/>
        </w:rPr>
        <w:t xml:space="preserve">, the government has yet </w:t>
      </w:r>
      <w:r w:rsidR="00064BA6" w:rsidRPr="007633A1">
        <w:rPr>
          <w:rFonts w:ascii="Arial" w:hAnsi="Arial" w:cs="Arial"/>
          <w:lang w:val="en-US"/>
        </w:rPr>
        <w:t xml:space="preserve">to </w:t>
      </w:r>
      <w:r w:rsidR="00C978A4" w:rsidRPr="007633A1">
        <w:rPr>
          <w:rFonts w:ascii="Arial" w:hAnsi="Arial" w:cs="Arial"/>
          <w:lang w:val="en-US"/>
        </w:rPr>
        <w:t>improve</w:t>
      </w:r>
      <w:r w:rsidR="00AF1996" w:rsidRPr="007633A1">
        <w:rPr>
          <w:rFonts w:ascii="Arial" w:hAnsi="Arial" w:cs="Arial"/>
          <w:lang w:val="en-US"/>
        </w:rPr>
        <w:t xml:space="preserve"> </w:t>
      </w:r>
      <w:r w:rsidR="00C978A4" w:rsidRPr="007633A1">
        <w:rPr>
          <w:rFonts w:ascii="Arial" w:hAnsi="Arial" w:cs="Arial"/>
          <w:lang w:val="en-US"/>
        </w:rPr>
        <w:t xml:space="preserve">the </w:t>
      </w:r>
      <w:r w:rsidR="008A23D3" w:rsidRPr="007633A1">
        <w:rPr>
          <w:rFonts w:ascii="Arial" w:hAnsi="Arial" w:cs="Arial"/>
          <w:lang w:val="en-US"/>
        </w:rPr>
        <w:t xml:space="preserve">level of </w:t>
      </w:r>
      <w:r w:rsidR="00C978A4" w:rsidRPr="007633A1">
        <w:rPr>
          <w:rFonts w:ascii="Arial" w:hAnsi="Arial" w:cs="Arial"/>
          <w:lang w:val="en-US"/>
        </w:rPr>
        <w:t xml:space="preserve">implementation of </w:t>
      </w:r>
      <w:r w:rsidR="008A23D3" w:rsidRPr="007633A1">
        <w:rPr>
          <w:rFonts w:ascii="Arial" w:hAnsi="Arial" w:cs="Arial"/>
          <w:lang w:val="en-US"/>
        </w:rPr>
        <w:t xml:space="preserve">the </w:t>
      </w:r>
      <w:r w:rsidR="00C978A4" w:rsidRPr="007633A1">
        <w:rPr>
          <w:rFonts w:ascii="Arial" w:hAnsi="Arial" w:cs="Arial"/>
          <w:lang w:val="en-US"/>
        </w:rPr>
        <w:t>recommendation</w:t>
      </w:r>
      <w:r w:rsidR="00064BA6" w:rsidRPr="007633A1">
        <w:rPr>
          <w:rFonts w:ascii="Arial" w:hAnsi="Arial" w:cs="Arial"/>
          <w:lang w:val="en-US"/>
        </w:rPr>
        <w:t>s</w:t>
      </w:r>
      <w:r w:rsidR="009D77BC" w:rsidRPr="007633A1">
        <w:rPr>
          <w:rFonts w:ascii="Arial" w:hAnsi="Arial" w:cs="Arial"/>
          <w:lang w:val="en-US"/>
        </w:rPr>
        <w:t xml:space="preserve"> </w:t>
      </w:r>
      <w:r w:rsidR="008A23D3" w:rsidRPr="007633A1">
        <w:rPr>
          <w:rFonts w:ascii="Arial" w:hAnsi="Arial" w:cs="Arial"/>
          <w:lang w:val="en-US"/>
        </w:rPr>
        <w:t>formulated</w:t>
      </w:r>
      <w:r w:rsidR="009D77BC" w:rsidRPr="007633A1">
        <w:rPr>
          <w:rFonts w:ascii="Arial" w:hAnsi="Arial" w:cs="Arial"/>
          <w:lang w:val="en-US"/>
        </w:rPr>
        <w:t xml:space="preserve"> </w:t>
      </w:r>
      <w:r w:rsidR="00BB456C" w:rsidRPr="007633A1">
        <w:rPr>
          <w:rFonts w:ascii="Arial" w:hAnsi="Arial" w:cs="Arial"/>
          <w:lang w:val="en-US"/>
        </w:rPr>
        <w:t>by</w:t>
      </w:r>
      <w:r w:rsidR="00C978A4" w:rsidRPr="007633A1">
        <w:rPr>
          <w:rFonts w:ascii="Arial" w:hAnsi="Arial" w:cs="Arial"/>
          <w:lang w:val="en-US"/>
        </w:rPr>
        <w:t xml:space="preserve"> the Committee</w:t>
      </w:r>
      <w:r w:rsidR="008A23D3" w:rsidRPr="007633A1">
        <w:rPr>
          <w:rFonts w:ascii="Arial" w:hAnsi="Arial" w:cs="Arial"/>
          <w:lang w:val="en-US"/>
        </w:rPr>
        <w:t xml:space="preserve">. </w:t>
      </w:r>
    </w:p>
    <w:p w:rsidR="00420759" w:rsidRPr="007633A1" w:rsidRDefault="00420759" w:rsidP="00420759">
      <w:pPr>
        <w:pStyle w:val="ListParagraph"/>
        <w:numPr>
          <w:ilvl w:val="0"/>
          <w:numId w:val="1"/>
        </w:numPr>
        <w:jc w:val="both"/>
        <w:rPr>
          <w:rFonts w:ascii="Arial" w:hAnsi="Arial" w:cs="Arial"/>
          <w:b/>
        </w:rPr>
      </w:pPr>
      <w:r w:rsidRPr="007633A1">
        <w:rPr>
          <w:rFonts w:ascii="Arial" w:hAnsi="Arial" w:cs="Arial"/>
          <w:b/>
          <w:lang w:val="en-US"/>
        </w:rPr>
        <w:t>Constitutional</w:t>
      </w:r>
      <w:r w:rsidR="00CC146F">
        <w:rPr>
          <w:rFonts w:ascii="Arial" w:hAnsi="Arial" w:cs="Arial"/>
          <w:b/>
          <w:lang w:val="en-US"/>
        </w:rPr>
        <w:t xml:space="preserve"> </w:t>
      </w:r>
      <w:r w:rsidRPr="007633A1">
        <w:rPr>
          <w:rFonts w:ascii="Arial" w:hAnsi="Arial" w:cs="Arial"/>
          <w:b/>
          <w:lang w:val="en-US"/>
        </w:rPr>
        <w:t xml:space="preserve">and </w:t>
      </w:r>
      <w:r w:rsidR="00BA7444" w:rsidRPr="007633A1">
        <w:rPr>
          <w:rFonts w:ascii="Arial" w:hAnsi="Arial" w:cs="Arial"/>
          <w:b/>
          <w:lang w:val="en-US"/>
        </w:rPr>
        <w:t>l</w:t>
      </w:r>
      <w:r w:rsidRPr="007633A1">
        <w:rPr>
          <w:rFonts w:ascii="Arial" w:hAnsi="Arial" w:cs="Arial"/>
          <w:b/>
          <w:lang w:val="en-US"/>
        </w:rPr>
        <w:t xml:space="preserve">egal </w:t>
      </w:r>
      <w:r w:rsidR="00BA7444" w:rsidRPr="007633A1">
        <w:rPr>
          <w:rFonts w:ascii="Arial" w:hAnsi="Arial" w:cs="Arial"/>
          <w:b/>
          <w:lang w:val="en-US"/>
        </w:rPr>
        <w:t>f</w:t>
      </w:r>
      <w:r w:rsidRPr="007633A1">
        <w:rPr>
          <w:rFonts w:ascii="Arial" w:hAnsi="Arial" w:cs="Arial"/>
          <w:b/>
          <w:lang w:val="en-US"/>
        </w:rPr>
        <w:t xml:space="preserve">ramework within which the Covenant is </w:t>
      </w:r>
      <w:r w:rsidR="00BA7444" w:rsidRPr="007633A1">
        <w:rPr>
          <w:rFonts w:ascii="Arial" w:hAnsi="Arial" w:cs="Arial"/>
          <w:b/>
          <w:lang w:val="en-US"/>
        </w:rPr>
        <w:t>i</w:t>
      </w:r>
      <w:r w:rsidRPr="007633A1">
        <w:rPr>
          <w:rFonts w:ascii="Arial" w:hAnsi="Arial" w:cs="Arial"/>
          <w:b/>
          <w:lang w:val="en-US"/>
        </w:rPr>
        <w:t xml:space="preserve">mplemented, </w:t>
      </w:r>
      <w:r w:rsidR="00BA7444" w:rsidRPr="007633A1">
        <w:rPr>
          <w:rFonts w:ascii="Arial" w:hAnsi="Arial" w:cs="Arial"/>
          <w:b/>
          <w:lang w:val="en-US"/>
        </w:rPr>
        <w:t>r</w:t>
      </w:r>
      <w:r w:rsidRPr="007633A1">
        <w:rPr>
          <w:rFonts w:ascii="Arial" w:hAnsi="Arial" w:cs="Arial"/>
          <w:b/>
          <w:lang w:val="en-US"/>
        </w:rPr>
        <w:t>ight to an effective remedy</w:t>
      </w:r>
      <w:r w:rsidR="002413F5" w:rsidRPr="007633A1">
        <w:rPr>
          <w:rFonts w:ascii="Arial" w:hAnsi="Arial" w:cs="Arial"/>
          <w:b/>
          <w:lang w:val="en-US"/>
        </w:rPr>
        <w:t xml:space="preserve"> (art. 2)</w:t>
      </w:r>
    </w:p>
    <w:p w:rsidR="00534C1E" w:rsidRPr="007633A1" w:rsidRDefault="00534C1E" w:rsidP="00B577F1">
      <w:pPr>
        <w:pStyle w:val="ListParagraph"/>
        <w:ind w:left="284"/>
        <w:jc w:val="both"/>
        <w:rPr>
          <w:rFonts w:ascii="Arial" w:hAnsi="Arial" w:cs="Arial"/>
          <w:b/>
        </w:rPr>
      </w:pPr>
    </w:p>
    <w:p w:rsidR="00420759" w:rsidRPr="007633A1" w:rsidRDefault="00D801CA" w:rsidP="00366D87">
      <w:pPr>
        <w:pStyle w:val="ListParagraph"/>
        <w:pBdr>
          <w:top w:val="single" w:sz="4" w:space="1" w:color="auto"/>
          <w:left w:val="single" w:sz="4" w:space="4" w:color="auto"/>
          <w:bottom w:val="single" w:sz="4" w:space="1" w:color="auto"/>
          <w:right w:val="single" w:sz="4" w:space="4" w:color="auto"/>
        </w:pBdr>
        <w:spacing w:after="0" w:line="240" w:lineRule="auto"/>
        <w:ind w:left="284"/>
        <w:outlineLvl w:val="0"/>
        <w:rPr>
          <w:rFonts w:ascii="Arial" w:hAnsi="Arial" w:cs="Arial"/>
          <w:b/>
        </w:rPr>
      </w:pPr>
      <w:r w:rsidRPr="007633A1">
        <w:rPr>
          <w:rFonts w:ascii="Arial" w:hAnsi="Arial" w:cs="Arial"/>
          <w:b/>
          <w:lang w:val="en-US"/>
        </w:rPr>
        <w:t>Issue 1:</w:t>
      </w:r>
      <w:r w:rsidR="003B3013">
        <w:rPr>
          <w:rFonts w:ascii="Arial" w:hAnsi="Arial" w:cs="Arial"/>
          <w:b/>
          <w:lang w:val="en-US"/>
        </w:rPr>
        <w:t xml:space="preserve"> </w:t>
      </w:r>
      <w:r w:rsidR="00420759" w:rsidRPr="007633A1">
        <w:rPr>
          <w:rFonts w:ascii="Arial" w:hAnsi="Arial" w:cs="Arial"/>
          <w:lang w:val="en-US"/>
        </w:rPr>
        <w:t>Please also provide information on the availability of remedies for individuals claiming a violation of the rights contained in the Constitution and the Covenant</w:t>
      </w:r>
      <w:r w:rsidR="003B3013">
        <w:rPr>
          <w:rFonts w:ascii="Arial" w:hAnsi="Arial" w:cs="Arial"/>
          <w:lang w:val="en-US"/>
        </w:rPr>
        <w:t>.</w:t>
      </w:r>
    </w:p>
    <w:p w:rsidR="00420759" w:rsidRPr="007633A1" w:rsidRDefault="00420759" w:rsidP="00366D87">
      <w:pPr>
        <w:pStyle w:val="ListParagraph"/>
        <w:spacing w:after="0" w:line="240" w:lineRule="auto"/>
        <w:ind w:left="284"/>
        <w:jc w:val="both"/>
        <w:rPr>
          <w:rFonts w:ascii="Arial" w:hAnsi="Arial" w:cs="Arial"/>
          <w:lang w:val="en-US"/>
        </w:rPr>
      </w:pPr>
    </w:p>
    <w:p w:rsidR="00FD159F" w:rsidRPr="007633A1" w:rsidRDefault="00442FFE" w:rsidP="00F163F9">
      <w:pPr>
        <w:pStyle w:val="ListParagraph"/>
        <w:numPr>
          <w:ilvl w:val="0"/>
          <w:numId w:val="8"/>
        </w:numPr>
        <w:ind w:left="284" w:hanging="284"/>
        <w:jc w:val="both"/>
        <w:rPr>
          <w:rFonts w:ascii="Arial" w:hAnsi="Arial" w:cs="Arial"/>
          <w:lang w:val="en-US"/>
        </w:rPr>
      </w:pPr>
      <w:r w:rsidRPr="007633A1">
        <w:rPr>
          <w:rFonts w:ascii="Arial" w:hAnsi="Arial" w:cs="Arial"/>
          <w:lang w:val="en-US"/>
        </w:rPr>
        <w:t>There are several regulations on compensation, restitution and rehabilitation. Those are, inter alia,</w:t>
      </w:r>
      <w:r w:rsidR="00CB2E7D" w:rsidRPr="007633A1">
        <w:rPr>
          <w:rFonts w:ascii="Arial" w:hAnsi="Arial" w:cs="Arial"/>
          <w:lang w:val="en-US"/>
        </w:rPr>
        <w:t xml:space="preserve"> articles 34 and 35 of</w:t>
      </w:r>
      <w:r w:rsidRPr="007633A1">
        <w:rPr>
          <w:rFonts w:ascii="Arial" w:hAnsi="Arial" w:cs="Arial"/>
          <w:lang w:val="en-US"/>
        </w:rPr>
        <w:t xml:space="preserve"> Law No</w:t>
      </w:r>
      <w:r w:rsidR="001E7D0C" w:rsidRPr="007633A1">
        <w:rPr>
          <w:rFonts w:ascii="Arial" w:hAnsi="Arial" w:cs="Arial"/>
          <w:lang w:val="en-US"/>
        </w:rPr>
        <w:t>.</w:t>
      </w:r>
      <w:r w:rsidRPr="007633A1">
        <w:rPr>
          <w:rFonts w:ascii="Arial" w:hAnsi="Arial" w:cs="Arial"/>
          <w:lang w:val="en-US"/>
        </w:rPr>
        <w:t xml:space="preserve"> 26</w:t>
      </w:r>
      <w:r w:rsidR="001E7D0C" w:rsidRPr="007633A1">
        <w:rPr>
          <w:rFonts w:ascii="Arial" w:hAnsi="Arial" w:cs="Arial"/>
          <w:lang w:val="en-US"/>
        </w:rPr>
        <w:t>/</w:t>
      </w:r>
      <w:r w:rsidRPr="007633A1">
        <w:rPr>
          <w:rFonts w:ascii="Arial" w:hAnsi="Arial" w:cs="Arial"/>
          <w:lang w:val="en-US"/>
        </w:rPr>
        <w:t xml:space="preserve">2000 on </w:t>
      </w:r>
      <w:r w:rsidR="00CB2E7D" w:rsidRPr="007633A1">
        <w:rPr>
          <w:rFonts w:ascii="Arial" w:hAnsi="Arial" w:cs="Arial"/>
          <w:lang w:val="en-US"/>
        </w:rPr>
        <w:t>Human Rights Courts</w:t>
      </w:r>
      <w:r w:rsidRPr="007633A1">
        <w:rPr>
          <w:rStyle w:val="FootnoteReference"/>
          <w:rFonts w:ascii="Arial" w:hAnsi="Arial" w:cs="Arial"/>
          <w:lang w:val="en-US"/>
        </w:rPr>
        <w:footnoteReference w:id="2"/>
      </w:r>
      <w:r w:rsidRPr="007633A1">
        <w:rPr>
          <w:rFonts w:ascii="Arial" w:hAnsi="Arial" w:cs="Arial"/>
          <w:lang w:val="en-US"/>
        </w:rPr>
        <w:t>.</w:t>
      </w:r>
      <w:r w:rsidR="003B3013">
        <w:rPr>
          <w:rFonts w:ascii="Arial" w:hAnsi="Arial" w:cs="Arial"/>
          <w:lang w:val="en-US"/>
        </w:rPr>
        <w:t xml:space="preserve"> </w:t>
      </w:r>
      <w:r w:rsidRPr="007633A1">
        <w:rPr>
          <w:rFonts w:ascii="Arial" w:hAnsi="Arial" w:cs="Arial"/>
          <w:lang w:val="en-US"/>
        </w:rPr>
        <w:t>Other regulations are Law No</w:t>
      </w:r>
      <w:r w:rsidR="005F0F63" w:rsidRPr="007633A1">
        <w:rPr>
          <w:rFonts w:ascii="Arial" w:hAnsi="Arial" w:cs="Arial"/>
          <w:lang w:val="en-US"/>
        </w:rPr>
        <w:t>.</w:t>
      </w:r>
      <w:r w:rsidRPr="007633A1">
        <w:rPr>
          <w:rFonts w:ascii="Arial" w:hAnsi="Arial" w:cs="Arial"/>
          <w:lang w:val="en-US"/>
        </w:rPr>
        <w:t xml:space="preserve"> 13</w:t>
      </w:r>
      <w:r w:rsidR="005F0F63" w:rsidRPr="007633A1">
        <w:rPr>
          <w:rFonts w:ascii="Arial" w:hAnsi="Arial" w:cs="Arial"/>
          <w:lang w:val="en-US"/>
        </w:rPr>
        <w:t>/</w:t>
      </w:r>
      <w:r w:rsidRPr="007633A1">
        <w:rPr>
          <w:rFonts w:ascii="Arial" w:hAnsi="Arial" w:cs="Arial"/>
          <w:lang w:val="en-US"/>
        </w:rPr>
        <w:t xml:space="preserve">2006 on Witnesses and Victims </w:t>
      </w:r>
      <w:r w:rsidR="005F0F63" w:rsidRPr="007633A1">
        <w:rPr>
          <w:rFonts w:ascii="Arial" w:hAnsi="Arial" w:cs="Arial"/>
          <w:lang w:val="en-US"/>
        </w:rPr>
        <w:t xml:space="preserve">Protection </w:t>
      </w:r>
      <w:r w:rsidRPr="007633A1">
        <w:rPr>
          <w:rFonts w:ascii="Arial" w:hAnsi="Arial" w:cs="Arial"/>
          <w:lang w:val="en-US"/>
        </w:rPr>
        <w:t>and</w:t>
      </w:r>
      <w:r w:rsidR="009D77BC" w:rsidRPr="007633A1">
        <w:rPr>
          <w:rFonts w:ascii="Arial" w:hAnsi="Arial" w:cs="Arial"/>
          <w:lang w:val="en-US"/>
        </w:rPr>
        <w:t xml:space="preserve"> </w:t>
      </w:r>
      <w:r w:rsidRPr="007633A1">
        <w:rPr>
          <w:rFonts w:ascii="Arial" w:hAnsi="Arial" w:cs="Arial"/>
          <w:lang w:val="en-US"/>
        </w:rPr>
        <w:t>Government Regulation No. 44</w:t>
      </w:r>
      <w:r w:rsidR="005F0F63" w:rsidRPr="007633A1">
        <w:rPr>
          <w:rFonts w:ascii="Arial" w:hAnsi="Arial" w:cs="Arial"/>
          <w:lang w:val="en-US"/>
        </w:rPr>
        <w:t>/</w:t>
      </w:r>
      <w:r w:rsidRPr="007633A1">
        <w:rPr>
          <w:rFonts w:ascii="Arial" w:hAnsi="Arial" w:cs="Arial"/>
          <w:lang w:val="en-US"/>
        </w:rPr>
        <w:t>2008 on Granting Compensation</w:t>
      </w:r>
      <w:r w:rsidR="00C35D15" w:rsidRPr="007633A1">
        <w:rPr>
          <w:rFonts w:ascii="Arial" w:hAnsi="Arial" w:cs="Arial"/>
          <w:lang w:val="en-US"/>
        </w:rPr>
        <w:t>,</w:t>
      </w:r>
      <w:r w:rsidRPr="007633A1">
        <w:rPr>
          <w:rFonts w:ascii="Arial" w:hAnsi="Arial" w:cs="Arial"/>
          <w:lang w:val="en-US"/>
        </w:rPr>
        <w:t xml:space="preserve"> Restitution and Assistance to the Witnesses and Victims. </w:t>
      </w:r>
    </w:p>
    <w:p w:rsidR="00FD159F" w:rsidRPr="007633A1" w:rsidRDefault="00FD159F" w:rsidP="00FD159F">
      <w:pPr>
        <w:pStyle w:val="ListParagraph"/>
        <w:ind w:left="284"/>
        <w:jc w:val="both"/>
        <w:rPr>
          <w:rFonts w:ascii="Arial" w:hAnsi="Arial" w:cs="Arial"/>
          <w:lang w:val="en-US"/>
        </w:rPr>
      </w:pPr>
    </w:p>
    <w:p w:rsidR="00690072" w:rsidRPr="007633A1" w:rsidRDefault="00690072" w:rsidP="00690072">
      <w:pPr>
        <w:ind w:left="284" w:hanging="284"/>
        <w:jc w:val="both"/>
        <w:rPr>
          <w:rFonts w:ascii="Arial" w:hAnsi="Arial" w:cs="Arial"/>
          <w:lang w:val="en-US"/>
        </w:rPr>
      </w:pPr>
      <w:r w:rsidRPr="007633A1">
        <w:rPr>
          <w:rFonts w:ascii="Arial" w:hAnsi="Arial" w:cs="Arial"/>
          <w:lang w:val="en-US"/>
        </w:rPr>
        <w:t xml:space="preserve">6. </w:t>
      </w:r>
      <w:r w:rsidR="00442FFE" w:rsidRPr="007633A1">
        <w:rPr>
          <w:rFonts w:ascii="Arial" w:hAnsi="Arial" w:cs="Arial"/>
          <w:lang w:val="en-US"/>
        </w:rPr>
        <w:t>The Witness and Victim Protection Agency (LPSK)</w:t>
      </w:r>
      <w:r w:rsidR="003B3013">
        <w:rPr>
          <w:rFonts w:ascii="Arial" w:hAnsi="Arial" w:cs="Arial"/>
          <w:lang w:val="en-US"/>
        </w:rPr>
        <w:t>, established by L</w:t>
      </w:r>
      <w:r w:rsidR="00420317" w:rsidRPr="007633A1">
        <w:rPr>
          <w:rFonts w:ascii="Arial" w:hAnsi="Arial" w:cs="Arial"/>
          <w:lang w:val="en-US"/>
        </w:rPr>
        <w:t>aw No. 13/2006,</w:t>
      </w:r>
      <w:r w:rsidR="00442FFE" w:rsidRPr="007633A1">
        <w:rPr>
          <w:rFonts w:ascii="Arial" w:hAnsi="Arial" w:cs="Arial"/>
          <w:lang w:val="en-US"/>
        </w:rPr>
        <w:t xml:space="preserve"> has the mandate to </w:t>
      </w:r>
      <w:r w:rsidR="00C35D15" w:rsidRPr="007633A1">
        <w:rPr>
          <w:rFonts w:ascii="Arial" w:hAnsi="Arial" w:cs="Arial"/>
          <w:lang w:val="en-US"/>
        </w:rPr>
        <w:t>provide</w:t>
      </w:r>
      <w:r w:rsidR="00442FFE" w:rsidRPr="007633A1">
        <w:rPr>
          <w:rFonts w:ascii="Arial" w:hAnsi="Arial" w:cs="Arial"/>
          <w:lang w:val="en-US"/>
        </w:rPr>
        <w:t xml:space="preserve"> protection and fulfill the witness</w:t>
      </w:r>
      <w:r w:rsidR="00B41D29" w:rsidRPr="007633A1">
        <w:rPr>
          <w:rFonts w:ascii="Arial" w:hAnsi="Arial" w:cs="Arial"/>
          <w:lang w:val="en-US"/>
        </w:rPr>
        <w:t xml:space="preserve"> and victim</w:t>
      </w:r>
      <w:r w:rsidR="00B577F1" w:rsidRPr="007633A1">
        <w:rPr>
          <w:rFonts w:ascii="Arial" w:hAnsi="Arial" w:cs="Arial"/>
          <w:lang w:val="en-US"/>
        </w:rPr>
        <w:t>’s</w:t>
      </w:r>
      <w:r w:rsidR="00442FFE" w:rsidRPr="007633A1">
        <w:rPr>
          <w:rFonts w:ascii="Arial" w:hAnsi="Arial" w:cs="Arial"/>
          <w:lang w:val="en-US"/>
        </w:rPr>
        <w:t xml:space="preserve"> rights (including </w:t>
      </w:r>
      <w:r w:rsidR="00C35D15" w:rsidRPr="007633A1">
        <w:rPr>
          <w:rFonts w:ascii="Arial" w:hAnsi="Arial" w:cs="Arial"/>
          <w:lang w:val="en-US"/>
        </w:rPr>
        <w:t xml:space="preserve">the </w:t>
      </w:r>
      <w:r w:rsidR="003B3013">
        <w:rPr>
          <w:rFonts w:ascii="Arial" w:hAnsi="Arial" w:cs="Arial"/>
          <w:lang w:val="en-US"/>
        </w:rPr>
        <w:t>right</w:t>
      </w:r>
      <w:r w:rsidR="00442FFE" w:rsidRPr="007633A1">
        <w:rPr>
          <w:rFonts w:ascii="Arial" w:hAnsi="Arial" w:cs="Arial"/>
          <w:lang w:val="en-US"/>
        </w:rPr>
        <w:t xml:space="preserve"> </w:t>
      </w:r>
      <w:r w:rsidR="00B41D29" w:rsidRPr="007633A1">
        <w:rPr>
          <w:rFonts w:ascii="Arial" w:hAnsi="Arial" w:cs="Arial"/>
          <w:lang w:val="en-US"/>
        </w:rPr>
        <w:t xml:space="preserve">to </w:t>
      </w:r>
      <w:r w:rsidR="00442FFE" w:rsidRPr="007633A1">
        <w:rPr>
          <w:rFonts w:ascii="Arial" w:hAnsi="Arial" w:cs="Arial"/>
          <w:lang w:val="en-US"/>
        </w:rPr>
        <w:t xml:space="preserve">compensation </w:t>
      </w:r>
      <w:r w:rsidR="00B41D29" w:rsidRPr="007633A1">
        <w:rPr>
          <w:rFonts w:ascii="Arial" w:hAnsi="Arial" w:cs="Arial"/>
          <w:lang w:val="en-US"/>
        </w:rPr>
        <w:t xml:space="preserve">of </w:t>
      </w:r>
      <w:r w:rsidR="00442FFE" w:rsidRPr="007633A1">
        <w:rPr>
          <w:rFonts w:ascii="Arial" w:hAnsi="Arial" w:cs="Arial"/>
          <w:lang w:val="en-US"/>
        </w:rPr>
        <w:t>the victims of gross</w:t>
      </w:r>
      <w:r w:rsidR="00344377" w:rsidRPr="007633A1">
        <w:rPr>
          <w:rFonts w:ascii="Arial" w:hAnsi="Arial" w:cs="Arial"/>
          <w:lang w:val="en-US"/>
        </w:rPr>
        <w:t xml:space="preserve"> </w:t>
      </w:r>
      <w:r w:rsidR="00442FFE" w:rsidRPr="007633A1">
        <w:rPr>
          <w:rFonts w:ascii="Arial" w:hAnsi="Arial" w:cs="Arial"/>
          <w:lang w:val="en-US"/>
        </w:rPr>
        <w:t>human rights violation</w:t>
      </w:r>
      <w:r w:rsidR="00C35D15" w:rsidRPr="007633A1">
        <w:rPr>
          <w:rFonts w:ascii="Arial" w:hAnsi="Arial" w:cs="Arial"/>
          <w:lang w:val="en-US"/>
        </w:rPr>
        <w:t>s</w:t>
      </w:r>
      <w:r w:rsidR="003B3013">
        <w:rPr>
          <w:rFonts w:ascii="Arial" w:hAnsi="Arial" w:cs="Arial"/>
          <w:lang w:val="en-US"/>
        </w:rPr>
        <w:t xml:space="preserve"> and the right</w:t>
      </w:r>
      <w:r w:rsidR="00442FFE" w:rsidRPr="007633A1">
        <w:rPr>
          <w:rFonts w:ascii="Arial" w:hAnsi="Arial" w:cs="Arial"/>
          <w:lang w:val="en-US"/>
        </w:rPr>
        <w:t xml:space="preserve"> on the restitution of the victims of criminal act).</w:t>
      </w:r>
    </w:p>
    <w:p w:rsidR="00420759" w:rsidRPr="007633A1" w:rsidRDefault="00690072" w:rsidP="009568E7">
      <w:pPr>
        <w:ind w:left="284" w:hanging="284"/>
        <w:jc w:val="both"/>
        <w:rPr>
          <w:rFonts w:ascii="Arial" w:hAnsi="Arial" w:cs="Arial"/>
          <w:lang w:val="en-US"/>
        </w:rPr>
      </w:pPr>
      <w:r w:rsidRPr="007633A1">
        <w:rPr>
          <w:rFonts w:ascii="Arial" w:hAnsi="Arial" w:cs="Arial"/>
          <w:lang w:val="en-US"/>
        </w:rPr>
        <w:t xml:space="preserve">7. </w:t>
      </w:r>
      <w:r w:rsidR="00223096" w:rsidRPr="007633A1">
        <w:rPr>
          <w:rFonts w:ascii="Arial" w:hAnsi="Arial" w:cs="Arial"/>
          <w:lang w:val="en-US"/>
        </w:rPr>
        <w:t>The</w:t>
      </w:r>
      <w:r w:rsidR="00344377" w:rsidRPr="007633A1">
        <w:rPr>
          <w:rFonts w:ascii="Arial" w:hAnsi="Arial" w:cs="Arial"/>
          <w:lang w:val="en-US"/>
        </w:rPr>
        <w:t xml:space="preserve"> </w:t>
      </w:r>
      <w:r w:rsidR="00C957BA" w:rsidRPr="007633A1">
        <w:rPr>
          <w:rFonts w:ascii="Arial" w:hAnsi="Arial" w:cs="Arial"/>
        </w:rPr>
        <w:t>Witnes</w:t>
      </w:r>
      <w:r w:rsidR="00223096" w:rsidRPr="007633A1">
        <w:rPr>
          <w:rFonts w:ascii="Arial" w:hAnsi="Arial" w:cs="Arial"/>
        </w:rPr>
        <w:t>s</w:t>
      </w:r>
      <w:r w:rsidR="00C957BA" w:rsidRPr="007633A1">
        <w:rPr>
          <w:rFonts w:ascii="Arial" w:hAnsi="Arial" w:cs="Arial"/>
        </w:rPr>
        <w:t xml:space="preserve"> and Victim Protection Agency (</w:t>
      </w:r>
      <w:r w:rsidR="00420759" w:rsidRPr="007633A1">
        <w:rPr>
          <w:rFonts w:ascii="Arial" w:hAnsi="Arial" w:cs="Arial"/>
          <w:lang w:val="en-US"/>
        </w:rPr>
        <w:t>LPSK</w:t>
      </w:r>
      <w:r w:rsidR="00371743" w:rsidRPr="007633A1">
        <w:rPr>
          <w:rFonts w:ascii="Arial" w:hAnsi="Arial" w:cs="Arial"/>
          <w:lang w:val="en-US"/>
        </w:rPr>
        <w:t>)</w:t>
      </w:r>
      <w:r w:rsidR="003B3013">
        <w:rPr>
          <w:rFonts w:ascii="Arial" w:hAnsi="Arial" w:cs="Arial"/>
          <w:lang w:val="en-US"/>
        </w:rPr>
        <w:t xml:space="preserve"> </w:t>
      </w:r>
      <w:r w:rsidR="00420759" w:rsidRPr="007633A1">
        <w:rPr>
          <w:rFonts w:ascii="Arial" w:hAnsi="Arial" w:cs="Arial"/>
          <w:lang w:val="en-US"/>
        </w:rPr>
        <w:t>ha</w:t>
      </w:r>
      <w:r w:rsidR="00223096" w:rsidRPr="007633A1">
        <w:rPr>
          <w:rFonts w:ascii="Arial" w:hAnsi="Arial" w:cs="Arial"/>
          <w:lang w:val="en-US"/>
        </w:rPr>
        <w:t>s</w:t>
      </w:r>
      <w:r w:rsidR="00420759" w:rsidRPr="007633A1">
        <w:rPr>
          <w:rFonts w:ascii="Arial" w:hAnsi="Arial" w:cs="Arial"/>
          <w:lang w:val="en-US"/>
        </w:rPr>
        <w:t xml:space="preserve"> not completely been efficient </w:t>
      </w:r>
      <w:r w:rsidR="00371743" w:rsidRPr="007633A1">
        <w:rPr>
          <w:rFonts w:ascii="Arial" w:hAnsi="Arial" w:cs="Arial"/>
          <w:lang w:val="en-US"/>
        </w:rPr>
        <w:t>for</w:t>
      </w:r>
      <w:r w:rsidR="00420759" w:rsidRPr="007633A1">
        <w:rPr>
          <w:rFonts w:ascii="Arial" w:hAnsi="Arial" w:cs="Arial"/>
          <w:lang w:val="en-US"/>
        </w:rPr>
        <w:t xml:space="preserve"> victims</w:t>
      </w:r>
      <w:r w:rsidR="00631257" w:rsidRPr="007633A1">
        <w:rPr>
          <w:rFonts w:ascii="Arial" w:hAnsi="Arial" w:cs="Arial"/>
          <w:lang w:val="en-US"/>
        </w:rPr>
        <w:t xml:space="preserve"> since its establishment</w:t>
      </w:r>
      <w:r w:rsidR="00420759" w:rsidRPr="007633A1">
        <w:rPr>
          <w:rFonts w:ascii="Arial" w:hAnsi="Arial" w:cs="Arial"/>
          <w:lang w:val="en-US"/>
        </w:rPr>
        <w:t xml:space="preserve">. For example, </w:t>
      </w:r>
      <w:r w:rsidR="00003A99" w:rsidRPr="007633A1">
        <w:rPr>
          <w:rFonts w:ascii="Arial" w:hAnsi="Arial" w:cs="Arial"/>
          <w:lang w:val="en-US"/>
        </w:rPr>
        <w:t xml:space="preserve">in </w:t>
      </w:r>
      <w:r w:rsidR="00420759" w:rsidRPr="007633A1">
        <w:rPr>
          <w:rFonts w:ascii="Arial" w:hAnsi="Arial" w:cs="Arial"/>
          <w:lang w:val="en-US"/>
        </w:rPr>
        <w:t>the case of Urut</w:t>
      </w:r>
      <w:r w:rsidR="00344377" w:rsidRPr="007633A1">
        <w:rPr>
          <w:rFonts w:ascii="Arial" w:hAnsi="Arial" w:cs="Arial"/>
          <w:lang w:val="en-US"/>
        </w:rPr>
        <w:t xml:space="preserve"> </w:t>
      </w:r>
      <w:r w:rsidR="00420759" w:rsidRPr="007633A1">
        <w:rPr>
          <w:rFonts w:ascii="Arial" w:hAnsi="Arial" w:cs="Arial"/>
          <w:lang w:val="en-US"/>
        </w:rPr>
        <w:t>Sewu in Kebumen</w:t>
      </w:r>
      <w:r w:rsidR="00812B31" w:rsidRPr="007633A1">
        <w:rPr>
          <w:rFonts w:ascii="Arial" w:hAnsi="Arial" w:cs="Arial"/>
          <w:lang w:val="en-US"/>
        </w:rPr>
        <w:t xml:space="preserve"> </w:t>
      </w:r>
      <w:r w:rsidR="00442FFE" w:rsidRPr="007633A1">
        <w:rPr>
          <w:rFonts w:ascii="Arial" w:hAnsi="Arial" w:cs="Arial"/>
          <w:lang w:val="en-US"/>
        </w:rPr>
        <w:t xml:space="preserve">the </w:t>
      </w:r>
      <w:r w:rsidR="00442FFE" w:rsidRPr="007633A1">
        <w:rPr>
          <w:rFonts w:ascii="Arial" w:hAnsi="Arial" w:cs="Arial"/>
          <w:lang w:val="en-US"/>
        </w:rPr>
        <w:lastRenderedPageBreak/>
        <w:t>victim</w:t>
      </w:r>
      <w:r w:rsidR="008D77A3">
        <w:rPr>
          <w:rFonts w:ascii="Arial" w:hAnsi="Arial" w:cs="Arial"/>
          <w:lang w:val="en-US"/>
        </w:rPr>
        <w:t>s</w:t>
      </w:r>
      <w:r w:rsidR="000C4497" w:rsidRPr="007633A1">
        <w:rPr>
          <w:rFonts w:ascii="Arial" w:hAnsi="Arial" w:cs="Arial"/>
          <w:lang w:val="en-US"/>
        </w:rPr>
        <w:t xml:space="preserve"> </w:t>
      </w:r>
      <w:r w:rsidR="008D77A3">
        <w:rPr>
          <w:rFonts w:ascii="Arial" w:hAnsi="Arial" w:cs="Arial"/>
          <w:lang w:val="en-US"/>
        </w:rPr>
        <w:t>were</w:t>
      </w:r>
      <w:r w:rsidR="00C35D15" w:rsidRPr="007633A1">
        <w:rPr>
          <w:rFonts w:ascii="Arial" w:hAnsi="Arial" w:cs="Arial"/>
          <w:lang w:val="en-US"/>
        </w:rPr>
        <w:t xml:space="preserve"> </w:t>
      </w:r>
      <w:r w:rsidR="00442FFE" w:rsidRPr="007633A1">
        <w:rPr>
          <w:rFonts w:ascii="Arial" w:hAnsi="Arial" w:cs="Arial"/>
          <w:lang w:val="en-US"/>
        </w:rPr>
        <w:t>suspect</w:t>
      </w:r>
      <w:r w:rsidR="008D77A3">
        <w:rPr>
          <w:rFonts w:ascii="Arial" w:hAnsi="Arial" w:cs="Arial"/>
          <w:lang w:val="en-US"/>
        </w:rPr>
        <w:t>s</w:t>
      </w:r>
      <w:r w:rsidR="00442FFE" w:rsidRPr="007633A1">
        <w:rPr>
          <w:rFonts w:ascii="Arial" w:hAnsi="Arial" w:cs="Arial"/>
          <w:lang w:val="en-US"/>
        </w:rPr>
        <w:t xml:space="preserve"> so that LPSK was unable to grant </w:t>
      </w:r>
      <w:r w:rsidR="003B3013">
        <w:rPr>
          <w:rFonts w:ascii="Arial" w:hAnsi="Arial" w:cs="Arial"/>
          <w:lang w:val="en-US"/>
        </w:rPr>
        <w:t>protection for</w:t>
      </w:r>
      <w:r w:rsidR="009568E7" w:rsidRPr="007633A1">
        <w:rPr>
          <w:rFonts w:ascii="Arial" w:hAnsi="Arial" w:cs="Arial"/>
          <w:lang w:val="en-US"/>
        </w:rPr>
        <w:t xml:space="preserve"> </w:t>
      </w:r>
      <w:r w:rsidR="008D77A3">
        <w:rPr>
          <w:rFonts w:ascii="Arial" w:hAnsi="Arial" w:cs="Arial"/>
          <w:lang w:val="en-US"/>
        </w:rPr>
        <w:t>the victims</w:t>
      </w:r>
      <w:r w:rsidR="003B3013">
        <w:rPr>
          <w:rFonts w:ascii="Arial" w:hAnsi="Arial" w:cs="Arial"/>
          <w:lang w:val="en-US"/>
        </w:rPr>
        <w:t>.</w:t>
      </w:r>
      <w:r w:rsidR="006D0983" w:rsidRPr="007633A1">
        <w:rPr>
          <w:rFonts w:ascii="Arial" w:hAnsi="Arial" w:cs="Arial"/>
          <w:lang w:val="en-US"/>
        </w:rPr>
        <w:t xml:space="preserve"> </w:t>
      </w:r>
      <w:r w:rsidR="00D801CA" w:rsidRPr="007633A1">
        <w:rPr>
          <w:rFonts w:ascii="Arial" w:hAnsi="Arial" w:cs="Arial"/>
          <w:lang w:val="en-US"/>
        </w:rPr>
        <w:t>The lack of carefulness also lead to the end of medical service assistance to the victim of the tragedy of 1965</w:t>
      </w:r>
      <w:r w:rsidR="009568E7" w:rsidRPr="007633A1">
        <w:rPr>
          <w:rFonts w:ascii="Arial" w:hAnsi="Arial" w:cs="Arial"/>
          <w:lang w:val="en-US"/>
        </w:rPr>
        <w:t>. It happen</w:t>
      </w:r>
      <w:r w:rsidR="003B3013">
        <w:rPr>
          <w:rFonts w:ascii="Arial" w:hAnsi="Arial" w:cs="Arial"/>
          <w:lang w:val="en-US"/>
        </w:rPr>
        <w:t>ed</w:t>
      </w:r>
      <w:r w:rsidR="009568E7" w:rsidRPr="007633A1">
        <w:rPr>
          <w:rFonts w:ascii="Arial" w:hAnsi="Arial" w:cs="Arial"/>
          <w:lang w:val="en-US"/>
        </w:rPr>
        <w:t xml:space="preserve"> to</w:t>
      </w:r>
      <w:r w:rsidR="006D0983" w:rsidRPr="007633A1">
        <w:rPr>
          <w:rFonts w:ascii="Arial" w:hAnsi="Arial" w:cs="Arial"/>
          <w:lang w:val="en-US"/>
        </w:rPr>
        <w:t xml:space="preserve"> </w:t>
      </w:r>
      <w:r w:rsidR="00D801CA" w:rsidRPr="007633A1">
        <w:rPr>
          <w:rFonts w:ascii="Arial" w:hAnsi="Arial" w:cs="Arial"/>
          <w:lang w:val="en-US"/>
        </w:rPr>
        <w:t>Nani</w:t>
      </w:r>
      <w:r w:rsidR="004D27A4" w:rsidRPr="007633A1">
        <w:rPr>
          <w:rFonts w:ascii="Arial" w:hAnsi="Arial" w:cs="Arial"/>
          <w:lang w:val="en-US"/>
        </w:rPr>
        <w:t xml:space="preserve"> </w:t>
      </w:r>
      <w:r w:rsidR="00D801CA" w:rsidRPr="007633A1">
        <w:rPr>
          <w:rFonts w:ascii="Arial" w:hAnsi="Arial" w:cs="Arial"/>
          <w:lang w:val="en-US"/>
        </w:rPr>
        <w:t>Nurani</w:t>
      </w:r>
      <w:r w:rsidR="003B3013">
        <w:rPr>
          <w:rFonts w:ascii="Arial" w:hAnsi="Arial" w:cs="Arial"/>
          <w:lang w:val="en-US"/>
        </w:rPr>
        <w:t>,</w:t>
      </w:r>
      <w:r w:rsidR="006020C5" w:rsidRPr="007633A1">
        <w:rPr>
          <w:rFonts w:ascii="Arial" w:hAnsi="Arial" w:cs="Arial"/>
          <w:lang w:val="en-US"/>
        </w:rPr>
        <w:t xml:space="preserve"> who</w:t>
      </w:r>
      <w:r w:rsidR="003B3013">
        <w:rPr>
          <w:rFonts w:ascii="Arial" w:hAnsi="Arial" w:cs="Arial"/>
          <w:lang w:val="en-US"/>
        </w:rPr>
        <w:t xml:space="preserve">m the assistance was ended </w:t>
      </w:r>
      <w:r w:rsidR="006020C5" w:rsidRPr="007633A1">
        <w:rPr>
          <w:rFonts w:ascii="Arial" w:hAnsi="Arial" w:cs="Arial"/>
          <w:lang w:val="en-US"/>
        </w:rPr>
        <w:t>without clear reasons.</w:t>
      </w:r>
      <w:r w:rsidR="008D77A3">
        <w:rPr>
          <w:rFonts w:ascii="Arial" w:hAnsi="Arial" w:cs="Arial"/>
          <w:lang w:val="en-US"/>
        </w:rPr>
        <w:t xml:space="preserve"> </w:t>
      </w:r>
      <w:r w:rsidR="00420759" w:rsidRPr="007633A1">
        <w:rPr>
          <w:rFonts w:ascii="Arial" w:hAnsi="Arial" w:cs="Arial"/>
          <w:lang w:val="en-US"/>
        </w:rPr>
        <w:t xml:space="preserve">Another weakness </w:t>
      </w:r>
      <w:r w:rsidR="00003A99" w:rsidRPr="007633A1">
        <w:rPr>
          <w:rFonts w:ascii="Arial" w:hAnsi="Arial" w:cs="Arial"/>
          <w:lang w:val="en-US"/>
        </w:rPr>
        <w:t xml:space="preserve">of LPSK </w:t>
      </w:r>
      <w:r w:rsidR="00420759" w:rsidRPr="007633A1">
        <w:rPr>
          <w:rFonts w:ascii="Arial" w:hAnsi="Arial" w:cs="Arial"/>
          <w:lang w:val="en-US"/>
        </w:rPr>
        <w:t xml:space="preserve">is the time-consuming decision making </w:t>
      </w:r>
      <w:r w:rsidR="00003A99" w:rsidRPr="007633A1">
        <w:rPr>
          <w:rFonts w:ascii="Arial" w:hAnsi="Arial" w:cs="Arial"/>
          <w:lang w:val="en-US"/>
        </w:rPr>
        <w:t xml:space="preserve">process </w:t>
      </w:r>
      <w:r w:rsidR="00420759" w:rsidRPr="007633A1">
        <w:rPr>
          <w:rFonts w:ascii="Arial" w:hAnsi="Arial" w:cs="Arial"/>
          <w:lang w:val="en-US"/>
        </w:rPr>
        <w:t xml:space="preserve">to accept </w:t>
      </w:r>
      <w:r w:rsidR="00003A99" w:rsidRPr="007633A1">
        <w:rPr>
          <w:rFonts w:ascii="Arial" w:hAnsi="Arial" w:cs="Arial"/>
          <w:lang w:val="en-US"/>
        </w:rPr>
        <w:t xml:space="preserve">a </w:t>
      </w:r>
      <w:r w:rsidR="00420759" w:rsidRPr="007633A1">
        <w:rPr>
          <w:rFonts w:ascii="Arial" w:hAnsi="Arial" w:cs="Arial"/>
          <w:lang w:val="en-US"/>
        </w:rPr>
        <w:t xml:space="preserve">request of protection and aid by </w:t>
      </w:r>
      <w:r w:rsidR="00003A99" w:rsidRPr="007633A1">
        <w:rPr>
          <w:rFonts w:ascii="Arial" w:hAnsi="Arial" w:cs="Arial"/>
          <w:lang w:val="en-US"/>
        </w:rPr>
        <w:t>a</w:t>
      </w:r>
      <w:r w:rsidR="003B3013">
        <w:rPr>
          <w:rFonts w:ascii="Arial" w:hAnsi="Arial" w:cs="Arial"/>
          <w:lang w:val="en-US"/>
        </w:rPr>
        <w:t xml:space="preserve"> </w:t>
      </w:r>
      <w:r w:rsidR="00420759" w:rsidRPr="007633A1">
        <w:rPr>
          <w:rFonts w:ascii="Arial" w:hAnsi="Arial" w:cs="Arial"/>
          <w:lang w:val="en-US"/>
        </w:rPr>
        <w:t xml:space="preserve">victim; </w:t>
      </w:r>
      <w:r w:rsidR="00237DAE" w:rsidRPr="007633A1">
        <w:rPr>
          <w:rFonts w:ascii="Arial" w:hAnsi="Arial" w:cs="Arial"/>
          <w:lang w:val="en-US"/>
        </w:rPr>
        <w:t xml:space="preserve">the victim </w:t>
      </w:r>
      <w:r w:rsidR="00420759" w:rsidRPr="007633A1">
        <w:rPr>
          <w:rFonts w:ascii="Arial" w:hAnsi="Arial" w:cs="Arial"/>
          <w:lang w:val="en-US"/>
        </w:rPr>
        <w:t>must wait for the Plenary Session</w:t>
      </w:r>
      <w:r w:rsidR="00237DAE" w:rsidRPr="007633A1">
        <w:rPr>
          <w:rFonts w:ascii="Arial" w:hAnsi="Arial" w:cs="Arial"/>
          <w:lang w:val="en-US"/>
        </w:rPr>
        <w:t xml:space="preserve"> of LPSK</w:t>
      </w:r>
      <w:r w:rsidR="00812B31" w:rsidRPr="007633A1">
        <w:rPr>
          <w:rFonts w:ascii="Arial" w:hAnsi="Arial" w:cs="Arial"/>
          <w:lang w:val="en-US"/>
        </w:rPr>
        <w:t xml:space="preserve"> </w:t>
      </w:r>
      <w:r w:rsidR="00420759" w:rsidRPr="007633A1">
        <w:rPr>
          <w:rFonts w:ascii="Arial" w:hAnsi="Arial" w:cs="Arial"/>
          <w:lang w:val="en-US"/>
        </w:rPr>
        <w:t>instead of receiving immediate assistance</w:t>
      </w:r>
      <w:r w:rsidR="00475457" w:rsidRPr="007633A1">
        <w:rPr>
          <w:rStyle w:val="FootnoteReference"/>
          <w:rFonts w:ascii="Arial" w:hAnsi="Arial" w:cs="Arial"/>
          <w:lang w:val="en-US"/>
        </w:rPr>
        <w:footnoteReference w:id="3"/>
      </w:r>
      <w:r w:rsidR="00420759" w:rsidRPr="007633A1">
        <w:rPr>
          <w:rFonts w:ascii="Arial" w:hAnsi="Arial" w:cs="Arial"/>
          <w:lang w:val="en-US"/>
        </w:rPr>
        <w:t xml:space="preserve">. </w:t>
      </w:r>
    </w:p>
    <w:p w:rsidR="00534C1E" w:rsidRPr="007633A1" w:rsidRDefault="00D801CA" w:rsidP="00366D87">
      <w:pPr>
        <w:pStyle w:val="Listecouleur-Accent11"/>
        <w:pBdr>
          <w:top w:val="single" w:sz="4" w:space="1" w:color="auto"/>
          <w:left w:val="single" w:sz="4" w:space="4" w:color="auto"/>
          <w:bottom w:val="single" w:sz="4" w:space="1" w:color="auto"/>
          <w:right w:val="single" w:sz="4" w:space="4" w:color="auto"/>
        </w:pBdr>
        <w:spacing w:after="0" w:line="240" w:lineRule="auto"/>
        <w:ind w:left="0"/>
        <w:jc w:val="both"/>
        <w:outlineLvl w:val="0"/>
        <w:rPr>
          <w:rFonts w:ascii="Arial" w:hAnsi="Arial" w:cs="Arial"/>
          <w:b/>
        </w:rPr>
      </w:pPr>
      <w:r w:rsidRPr="007633A1">
        <w:rPr>
          <w:rFonts w:ascii="Arial" w:hAnsi="Arial" w:cs="Arial"/>
          <w:b/>
          <w:lang w:val="en-US"/>
        </w:rPr>
        <w:t>Issue 3:</w:t>
      </w:r>
      <w:r w:rsidR="003B3013">
        <w:rPr>
          <w:rFonts w:ascii="Arial" w:hAnsi="Arial" w:cs="Arial"/>
          <w:b/>
          <w:lang w:val="en-US"/>
        </w:rPr>
        <w:t xml:space="preserve"> </w:t>
      </w:r>
      <w:r w:rsidR="00534C1E" w:rsidRPr="007633A1">
        <w:rPr>
          <w:rFonts w:ascii="Arial" w:hAnsi="Arial" w:cs="Arial"/>
          <w:lang w:val="en-US"/>
        </w:rPr>
        <w:t>Furthermore, what measures have been put in place to ensure that Komnas HAM can challenge decisions of the Attorney General not to prosecute cases of human rights violation that KOMNAS HAM has</w:t>
      </w:r>
      <w:r w:rsidR="00EE5F09" w:rsidRPr="007633A1">
        <w:rPr>
          <w:rFonts w:ascii="Arial" w:hAnsi="Arial" w:cs="Arial"/>
          <w:lang w:val="en-US"/>
        </w:rPr>
        <w:t xml:space="preserve"> </w:t>
      </w:r>
      <w:r w:rsidR="00534C1E" w:rsidRPr="007633A1">
        <w:rPr>
          <w:rFonts w:ascii="Arial" w:hAnsi="Arial" w:cs="Arial"/>
          <w:lang w:val="en-US"/>
        </w:rPr>
        <w:t>recommended for prosecution?</w:t>
      </w:r>
    </w:p>
    <w:p w:rsidR="00366D87" w:rsidRPr="007633A1" w:rsidRDefault="00366D87" w:rsidP="00366D87">
      <w:pPr>
        <w:pStyle w:val="ListParagraph"/>
        <w:ind w:left="284"/>
        <w:jc w:val="both"/>
        <w:rPr>
          <w:rFonts w:ascii="Arial" w:hAnsi="Arial" w:cs="Arial"/>
          <w:lang w:val="en-US"/>
        </w:rPr>
      </w:pPr>
    </w:p>
    <w:p w:rsidR="006C6FBB" w:rsidRPr="007633A1" w:rsidRDefault="00964AB7" w:rsidP="00F163F9">
      <w:pPr>
        <w:pStyle w:val="ListParagraph"/>
        <w:numPr>
          <w:ilvl w:val="0"/>
          <w:numId w:val="9"/>
        </w:numPr>
        <w:ind w:left="284" w:hanging="284"/>
        <w:jc w:val="both"/>
        <w:rPr>
          <w:rFonts w:ascii="Arial" w:hAnsi="Arial" w:cs="Arial"/>
          <w:lang w:val="en-US"/>
        </w:rPr>
      </w:pPr>
      <w:r w:rsidRPr="007633A1">
        <w:rPr>
          <w:rFonts w:ascii="Arial" w:hAnsi="Arial" w:cs="Arial"/>
          <w:lang w:val="en-US"/>
        </w:rPr>
        <w:t>As of June 2013</w:t>
      </w:r>
      <w:r w:rsidR="00C35D15" w:rsidRPr="007633A1">
        <w:rPr>
          <w:rFonts w:ascii="Arial" w:hAnsi="Arial" w:cs="Arial"/>
          <w:lang w:val="en-US"/>
        </w:rPr>
        <w:t>,</w:t>
      </w:r>
      <w:r w:rsidRPr="007633A1">
        <w:rPr>
          <w:rFonts w:ascii="Arial" w:hAnsi="Arial" w:cs="Arial"/>
          <w:lang w:val="en-US"/>
        </w:rPr>
        <w:t xml:space="preserve"> the Attorney General (Kejaksaan</w:t>
      </w:r>
      <w:r w:rsidR="006D0983" w:rsidRPr="007633A1">
        <w:rPr>
          <w:rFonts w:ascii="Arial" w:hAnsi="Arial" w:cs="Arial"/>
          <w:lang w:val="en-US"/>
        </w:rPr>
        <w:t xml:space="preserve"> </w:t>
      </w:r>
      <w:r w:rsidRPr="007633A1">
        <w:rPr>
          <w:rFonts w:ascii="Arial" w:hAnsi="Arial" w:cs="Arial"/>
          <w:lang w:val="en-US"/>
        </w:rPr>
        <w:t>Agung) has not proceeded</w:t>
      </w:r>
      <w:r w:rsidR="00812B31" w:rsidRPr="007633A1">
        <w:rPr>
          <w:rFonts w:ascii="Arial" w:hAnsi="Arial" w:cs="Arial"/>
          <w:lang w:val="en-US"/>
        </w:rPr>
        <w:t xml:space="preserve"> </w:t>
      </w:r>
      <w:r w:rsidR="0080288A" w:rsidRPr="007633A1">
        <w:rPr>
          <w:rFonts w:ascii="Arial" w:hAnsi="Arial" w:cs="Arial"/>
          <w:lang w:val="en-US"/>
        </w:rPr>
        <w:t>with</w:t>
      </w:r>
      <w:r w:rsidRPr="007633A1">
        <w:rPr>
          <w:rFonts w:ascii="Arial" w:hAnsi="Arial" w:cs="Arial"/>
          <w:lang w:val="en-US"/>
        </w:rPr>
        <w:t xml:space="preserve"> several</w:t>
      </w:r>
      <w:r w:rsidR="00534C1E" w:rsidRPr="007633A1">
        <w:rPr>
          <w:rFonts w:ascii="Arial" w:hAnsi="Arial" w:cs="Arial"/>
          <w:lang w:val="en-US"/>
        </w:rPr>
        <w:t xml:space="preserve"> inquiry </w:t>
      </w:r>
      <w:r w:rsidRPr="007633A1">
        <w:rPr>
          <w:rFonts w:ascii="Arial" w:hAnsi="Arial" w:cs="Arial"/>
          <w:lang w:val="en-US"/>
        </w:rPr>
        <w:t xml:space="preserve">reports </w:t>
      </w:r>
      <w:r w:rsidR="00534C1E" w:rsidRPr="007633A1">
        <w:rPr>
          <w:rFonts w:ascii="Arial" w:hAnsi="Arial" w:cs="Arial"/>
          <w:lang w:val="en-US"/>
        </w:rPr>
        <w:t>of KOMNAS HAM</w:t>
      </w:r>
      <w:r w:rsidR="00812B31" w:rsidRPr="007633A1">
        <w:rPr>
          <w:rFonts w:ascii="Arial" w:hAnsi="Arial" w:cs="Arial"/>
          <w:lang w:val="en-US"/>
        </w:rPr>
        <w:t xml:space="preserve"> </w:t>
      </w:r>
      <w:r w:rsidRPr="007633A1">
        <w:rPr>
          <w:rFonts w:ascii="Arial" w:hAnsi="Arial" w:cs="Arial"/>
          <w:lang w:val="en-US"/>
        </w:rPr>
        <w:t>in relation to</w:t>
      </w:r>
      <w:r w:rsidR="00534C1E" w:rsidRPr="007633A1">
        <w:rPr>
          <w:rFonts w:ascii="Arial" w:hAnsi="Arial" w:cs="Arial"/>
          <w:lang w:val="en-US"/>
        </w:rPr>
        <w:t xml:space="preserve"> human rights violations</w:t>
      </w:r>
      <w:r w:rsidR="00C957BA" w:rsidRPr="007633A1">
        <w:rPr>
          <w:rFonts w:ascii="Arial" w:hAnsi="Arial" w:cs="Arial"/>
          <w:lang w:val="en-US"/>
        </w:rPr>
        <w:t xml:space="preserve"> cases</w:t>
      </w:r>
      <w:r w:rsidRPr="007633A1">
        <w:rPr>
          <w:rFonts w:ascii="Arial" w:hAnsi="Arial" w:cs="Arial"/>
          <w:lang w:val="en-US"/>
        </w:rPr>
        <w:t xml:space="preserve"> despite K</w:t>
      </w:r>
      <w:r w:rsidR="00FE07E5" w:rsidRPr="007633A1">
        <w:rPr>
          <w:rFonts w:ascii="Arial" w:hAnsi="Arial" w:cs="Arial"/>
          <w:lang w:val="en-US"/>
        </w:rPr>
        <w:t xml:space="preserve">OMNAS HAM </w:t>
      </w:r>
      <w:r w:rsidRPr="007633A1">
        <w:rPr>
          <w:rFonts w:ascii="Arial" w:hAnsi="Arial" w:cs="Arial"/>
          <w:lang w:val="en-US"/>
        </w:rPr>
        <w:t>recommendations</w:t>
      </w:r>
      <w:r w:rsidR="0043350B" w:rsidRPr="007633A1">
        <w:rPr>
          <w:rFonts w:ascii="Arial" w:hAnsi="Arial" w:cs="Arial"/>
          <w:lang w:val="en-US"/>
        </w:rPr>
        <w:t>.</w:t>
      </w:r>
      <w:r w:rsidR="00812B31" w:rsidRPr="007633A1">
        <w:rPr>
          <w:rFonts w:ascii="Arial" w:hAnsi="Arial" w:cs="Arial"/>
          <w:lang w:val="en-US"/>
        </w:rPr>
        <w:t xml:space="preserve"> </w:t>
      </w:r>
      <w:r w:rsidR="006C6FBB" w:rsidRPr="007633A1">
        <w:rPr>
          <w:rFonts w:ascii="Arial" w:hAnsi="Arial" w:cs="Arial"/>
          <w:lang w:val="en-US"/>
        </w:rPr>
        <w:t>While</w:t>
      </w:r>
      <w:r w:rsidR="00D81A4B" w:rsidRPr="007633A1">
        <w:rPr>
          <w:rFonts w:ascii="Arial" w:hAnsi="Arial" w:cs="Arial"/>
          <w:lang w:val="en-US"/>
        </w:rPr>
        <w:t xml:space="preserve"> K</w:t>
      </w:r>
      <w:r w:rsidR="0068521B" w:rsidRPr="007633A1">
        <w:rPr>
          <w:rFonts w:ascii="Arial" w:hAnsi="Arial" w:cs="Arial"/>
        </w:rPr>
        <w:t xml:space="preserve">OMNAS </w:t>
      </w:r>
      <w:r w:rsidR="00D81A4B" w:rsidRPr="007633A1">
        <w:rPr>
          <w:rFonts w:ascii="Arial" w:hAnsi="Arial" w:cs="Arial"/>
          <w:lang w:val="en-US"/>
        </w:rPr>
        <w:t xml:space="preserve">HAM considered the results of these investigations </w:t>
      </w:r>
      <w:r w:rsidR="006C6FBB" w:rsidRPr="007633A1">
        <w:rPr>
          <w:rFonts w:ascii="Arial" w:hAnsi="Arial" w:cs="Arial"/>
          <w:lang w:val="en-US"/>
        </w:rPr>
        <w:t>as</w:t>
      </w:r>
      <w:r w:rsidR="00D81A4B" w:rsidRPr="007633A1">
        <w:rPr>
          <w:rFonts w:ascii="Arial" w:hAnsi="Arial" w:cs="Arial"/>
          <w:lang w:val="en-US"/>
        </w:rPr>
        <w:t xml:space="preserve"> complete</w:t>
      </w:r>
      <w:r w:rsidR="00C35D15" w:rsidRPr="007633A1">
        <w:rPr>
          <w:rFonts w:ascii="Arial" w:hAnsi="Arial" w:cs="Arial"/>
          <w:lang w:val="en-US"/>
        </w:rPr>
        <w:t>d</w:t>
      </w:r>
      <w:r w:rsidR="00D81A4B" w:rsidRPr="007633A1">
        <w:rPr>
          <w:rFonts w:ascii="Arial" w:hAnsi="Arial" w:cs="Arial"/>
          <w:lang w:val="en-US"/>
        </w:rPr>
        <w:t>, the Attorney General consider</w:t>
      </w:r>
      <w:r w:rsidR="00CC146F">
        <w:rPr>
          <w:rFonts w:ascii="Arial" w:hAnsi="Arial" w:cs="Arial"/>
          <w:lang w:val="en-US"/>
        </w:rPr>
        <w:t>ed</w:t>
      </w:r>
      <w:r w:rsidR="008D77A3">
        <w:rPr>
          <w:rFonts w:ascii="Arial" w:hAnsi="Arial" w:cs="Arial"/>
          <w:lang w:val="en-US"/>
        </w:rPr>
        <w:t xml:space="preserve"> that</w:t>
      </w:r>
      <w:r w:rsidR="00D81A4B" w:rsidRPr="007633A1">
        <w:rPr>
          <w:rFonts w:ascii="Arial" w:hAnsi="Arial" w:cs="Arial"/>
          <w:lang w:val="en-US"/>
        </w:rPr>
        <w:t xml:space="preserve"> they have yet</w:t>
      </w:r>
      <w:r w:rsidR="006C6FBB" w:rsidRPr="007633A1">
        <w:rPr>
          <w:rFonts w:ascii="Arial" w:hAnsi="Arial" w:cs="Arial"/>
          <w:lang w:val="en-US"/>
        </w:rPr>
        <w:t xml:space="preserve"> to</w:t>
      </w:r>
      <w:r w:rsidR="00D81A4B" w:rsidRPr="007633A1">
        <w:rPr>
          <w:rFonts w:ascii="Arial" w:hAnsi="Arial" w:cs="Arial"/>
          <w:lang w:val="en-US"/>
        </w:rPr>
        <w:t xml:space="preserve"> be</w:t>
      </w:r>
      <w:r w:rsidR="00FE07E5" w:rsidRPr="007633A1">
        <w:rPr>
          <w:rFonts w:ascii="Arial" w:hAnsi="Arial" w:cs="Arial"/>
          <w:lang w:val="en-US"/>
        </w:rPr>
        <w:t xml:space="preserve"> (</w:t>
      </w:r>
      <w:r w:rsidR="006C6FBB" w:rsidRPr="007633A1">
        <w:rPr>
          <w:rFonts w:ascii="Arial" w:hAnsi="Arial" w:cs="Arial"/>
          <w:lang w:val="en-US"/>
        </w:rPr>
        <w:t>t</w:t>
      </w:r>
      <w:r w:rsidR="00534C1E" w:rsidRPr="007633A1">
        <w:rPr>
          <w:rFonts w:ascii="Arial" w:hAnsi="Arial" w:cs="Arial"/>
          <w:lang w:val="en-US"/>
        </w:rPr>
        <w:t xml:space="preserve">here are at least 6 reports of past human rights violations that have not been </w:t>
      </w:r>
      <w:r w:rsidR="00D801CA" w:rsidRPr="007633A1">
        <w:rPr>
          <w:rFonts w:ascii="Arial" w:hAnsi="Arial" w:cs="Arial"/>
          <w:lang w:val="en-US"/>
        </w:rPr>
        <w:t>proceeded</w:t>
      </w:r>
      <w:r w:rsidR="00812B31" w:rsidRPr="007633A1">
        <w:rPr>
          <w:rFonts w:ascii="Arial" w:hAnsi="Arial" w:cs="Arial"/>
          <w:lang w:val="en-US"/>
        </w:rPr>
        <w:t xml:space="preserve"> </w:t>
      </w:r>
      <w:r w:rsidR="00D801CA" w:rsidRPr="007633A1">
        <w:rPr>
          <w:rFonts w:ascii="Arial" w:hAnsi="Arial" w:cs="Arial"/>
          <w:lang w:val="en-US"/>
        </w:rPr>
        <w:t xml:space="preserve">by </w:t>
      </w:r>
      <w:r w:rsidR="006C6FBB" w:rsidRPr="007633A1">
        <w:rPr>
          <w:rFonts w:ascii="Arial" w:hAnsi="Arial" w:cs="Arial"/>
          <w:lang w:val="en-US"/>
        </w:rPr>
        <w:t xml:space="preserve">the </w:t>
      </w:r>
      <w:r w:rsidR="00FE07E5" w:rsidRPr="007633A1">
        <w:rPr>
          <w:rFonts w:ascii="Arial" w:hAnsi="Arial" w:cs="Arial"/>
          <w:lang w:val="en-US"/>
        </w:rPr>
        <w:t xml:space="preserve">Attorney </w:t>
      </w:r>
      <w:r w:rsidR="00237DAE" w:rsidRPr="007633A1">
        <w:rPr>
          <w:rFonts w:ascii="Arial" w:hAnsi="Arial" w:cs="Arial"/>
          <w:lang w:val="en-US"/>
        </w:rPr>
        <w:t>General</w:t>
      </w:r>
      <w:r w:rsidR="006C6FBB" w:rsidRPr="007633A1">
        <w:rPr>
          <w:rFonts w:ascii="Arial" w:hAnsi="Arial" w:cs="Arial"/>
          <w:lang w:val="en-US"/>
        </w:rPr>
        <w:t>,</w:t>
      </w:r>
      <w:r w:rsidR="00534C1E" w:rsidRPr="007633A1">
        <w:rPr>
          <w:rFonts w:ascii="Arial" w:hAnsi="Arial" w:cs="Arial"/>
          <w:lang w:val="en-US"/>
        </w:rPr>
        <w:t xml:space="preserve"> such as the Incident of Trisakti, Semanggi I and Semanggi II (1998), Incident of May 1998, </w:t>
      </w:r>
      <w:r w:rsidR="00420317" w:rsidRPr="007633A1">
        <w:rPr>
          <w:rFonts w:ascii="Arial" w:hAnsi="Arial" w:cs="Arial"/>
          <w:lang w:val="en-US"/>
        </w:rPr>
        <w:t>enforced</w:t>
      </w:r>
      <w:r w:rsidR="00534C1E" w:rsidRPr="007633A1">
        <w:rPr>
          <w:rFonts w:ascii="Arial" w:hAnsi="Arial" w:cs="Arial"/>
          <w:lang w:val="en-US"/>
        </w:rPr>
        <w:t xml:space="preserve"> disappearances after 1997-1998, Talangsari Incident of 1989, Incident of 1965, Incident of Mysterious Shooting</w:t>
      </w:r>
      <w:r w:rsidR="006C6FBB" w:rsidRPr="007633A1">
        <w:rPr>
          <w:rFonts w:ascii="Arial" w:hAnsi="Arial" w:cs="Arial"/>
          <w:lang w:val="en-US"/>
        </w:rPr>
        <w:t>)</w:t>
      </w:r>
      <w:r w:rsidR="00534C1E" w:rsidRPr="007633A1">
        <w:rPr>
          <w:rFonts w:ascii="Arial" w:hAnsi="Arial" w:cs="Arial"/>
          <w:lang w:val="en-US"/>
        </w:rPr>
        <w:t>.</w:t>
      </w:r>
    </w:p>
    <w:p w:rsidR="007F7EFB" w:rsidRPr="007633A1" w:rsidRDefault="00FD1763" w:rsidP="00690072">
      <w:pPr>
        <w:tabs>
          <w:tab w:val="left" w:pos="1418"/>
        </w:tabs>
        <w:ind w:left="284" w:hanging="284"/>
        <w:jc w:val="both"/>
        <w:rPr>
          <w:rFonts w:ascii="Arial" w:hAnsi="Arial" w:cs="Arial"/>
          <w:lang w:val="en-GB"/>
        </w:rPr>
      </w:pPr>
      <w:r w:rsidRPr="007633A1">
        <w:rPr>
          <w:rFonts w:ascii="Arial" w:hAnsi="Arial" w:cs="Arial"/>
          <w:lang w:val="en-US"/>
        </w:rPr>
        <w:t xml:space="preserve">9. </w:t>
      </w:r>
      <w:r w:rsidR="00534C1E" w:rsidRPr="007633A1">
        <w:rPr>
          <w:rFonts w:ascii="Arial" w:hAnsi="Arial" w:cs="Arial"/>
          <w:lang w:val="en-US"/>
        </w:rPr>
        <w:t xml:space="preserve">In 2009, </w:t>
      </w:r>
      <w:r w:rsidR="0029271D" w:rsidRPr="007633A1">
        <w:rPr>
          <w:rFonts w:ascii="Arial" w:hAnsi="Arial" w:cs="Arial"/>
          <w:lang w:val="en-US"/>
        </w:rPr>
        <w:t>t</w:t>
      </w:r>
      <w:r w:rsidR="00534C1E" w:rsidRPr="007633A1">
        <w:rPr>
          <w:rFonts w:ascii="Arial" w:hAnsi="Arial" w:cs="Arial"/>
          <w:lang w:val="en-US"/>
        </w:rPr>
        <w:t xml:space="preserve">he House of Representatives issued four recommendations to the President in </w:t>
      </w:r>
      <w:r w:rsidR="0029271D" w:rsidRPr="007633A1">
        <w:rPr>
          <w:rFonts w:ascii="Arial" w:hAnsi="Arial" w:cs="Arial"/>
          <w:lang w:val="en-US"/>
        </w:rPr>
        <w:t xml:space="preserve">an </w:t>
      </w:r>
      <w:r w:rsidR="00534C1E" w:rsidRPr="007633A1">
        <w:rPr>
          <w:rFonts w:ascii="Arial" w:hAnsi="Arial" w:cs="Arial"/>
          <w:lang w:val="en-US"/>
        </w:rPr>
        <w:t xml:space="preserve">attempt </w:t>
      </w:r>
      <w:r w:rsidR="0029271D" w:rsidRPr="007633A1">
        <w:rPr>
          <w:rFonts w:ascii="Arial" w:hAnsi="Arial" w:cs="Arial"/>
          <w:lang w:val="en-US"/>
        </w:rPr>
        <w:t>to complete with</w:t>
      </w:r>
      <w:r w:rsidR="00812B31" w:rsidRPr="007633A1">
        <w:rPr>
          <w:rFonts w:ascii="Arial" w:hAnsi="Arial" w:cs="Arial"/>
          <w:lang w:val="en-US"/>
        </w:rPr>
        <w:t xml:space="preserve"> </w:t>
      </w:r>
      <w:r w:rsidR="00343C74" w:rsidRPr="007633A1">
        <w:rPr>
          <w:rFonts w:ascii="Arial" w:hAnsi="Arial" w:cs="Arial"/>
          <w:lang w:val="en-US"/>
        </w:rPr>
        <w:t>the cases of</w:t>
      </w:r>
      <w:r w:rsidR="00703504" w:rsidRPr="007633A1">
        <w:rPr>
          <w:rFonts w:ascii="Arial" w:hAnsi="Arial" w:cs="Arial"/>
          <w:lang w:val="en-US"/>
        </w:rPr>
        <w:t xml:space="preserve"> enforces disappeared person</w:t>
      </w:r>
      <w:r w:rsidR="00C27D98" w:rsidRPr="007633A1">
        <w:rPr>
          <w:rFonts w:ascii="Arial" w:hAnsi="Arial" w:cs="Arial"/>
          <w:lang w:val="en-US"/>
        </w:rPr>
        <w:t>s</w:t>
      </w:r>
      <w:r w:rsidR="00703504" w:rsidRPr="007633A1">
        <w:rPr>
          <w:rFonts w:ascii="Arial" w:hAnsi="Arial" w:cs="Arial"/>
          <w:lang w:val="en-US"/>
        </w:rPr>
        <w:t xml:space="preserve"> in 1997-1998</w:t>
      </w:r>
      <w:r w:rsidRPr="007633A1">
        <w:rPr>
          <w:rFonts w:ascii="Arial" w:hAnsi="Arial" w:cs="Arial"/>
          <w:lang w:val="en-US"/>
        </w:rPr>
        <w:t xml:space="preserve"> (</w:t>
      </w:r>
      <w:r w:rsidR="008D77A3">
        <w:rPr>
          <w:rFonts w:ascii="Arial" w:hAnsi="Arial" w:cs="Arial"/>
          <w:lang w:val="en-US"/>
        </w:rPr>
        <w:t>the case of</w:t>
      </w:r>
      <w:r w:rsidRPr="007633A1">
        <w:rPr>
          <w:rFonts w:ascii="Arial" w:hAnsi="Arial" w:cs="Arial"/>
          <w:lang w:val="en-US"/>
        </w:rPr>
        <w:t xml:space="preserve"> t</w:t>
      </w:r>
      <w:r w:rsidRPr="007633A1">
        <w:rPr>
          <w:rFonts w:ascii="Arial" w:hAnsi="Arial" w:cs="Arial"/>
          <w:color w:val="331909"/>
          <w:lang w:val="en-GB"/>
        </w:rPr>
        <w:t>he suspected abduction of 23 student activists by Indonesian security forces in 1997 and 1998, in the last months of former President Suharto's rule. Nine of the activists were later released alive, one was found dead, and 13 have never been found. In 1999 a military court convicted 11 military personnel of kidnapping the activists who were later found alive, but the court did not examine the issue of enforced disappearances of the other 13 cases).</w:t>
      </w:r>
      <w:r w:rsidR="008D77A3">
        <w:rPr>
          <w:rFonts w:ascii="Arial" w:hAnsi="Arial" w:cs="Arial"/>
          <w:color w:val="331909"/>
          <w:lang w:val="en-GB"/>
        </w:rPr>
        <w:t xml:space="preserve"> </w:t>
      </w:r>
      <w:r w:rsidR="00534C1E" w:rsidRPr="007633A1">
        <w:rPr>
          <w:rFonts w:ascii="Arial" w:hAnsi="Arial" w:cs="Arial"/>
          <w:lang w:val="en-US"/>
        </w:rPr>
        <w:t>These recommendations were</w:t>
      </w:r>
      <w:r w:rsidR="008D77A3">
        <w:rPr>
          <w:rFonts w:ascii="Arial" w:hAnsi="Arial" w:cs="Arial"/>
          <w:lang w:val="en-US"/>
        </w:rPr>
        <w:t xml:space="preserve"> </w:t>
      </w:r>
      <w:r w:rsidR="00C27D98" w:rsidRPr="007633A1">
        <w:rPr>
          <w:rFonts w:ascii="Arial" w:hAnsi="Arial" w:cs="Arial"/>
        </w:rPr>
        <w:t>as followed</w:t>
      </w:r>
      <w:r w:rsidR="00534C1E" w:rsidRPr="007633A1">
        <w:rPr>
          <w:rFonts w:ascii="Arial" w:hAnsi="Arial" w:cs="Arial"/>
          <w:lang w:val="en-US"/>
        </w:rPr>
        <w:t xml:space="preserve"> 1) Recommend to the President to </w:t>
      </w:r>
      <w:r w:rsidR="00C550B2" w:rsidRPr="007633A1">
        <w:rPr>
          <w:rFonts w:ascii="Arial" w:hAnsi="Arial" w:cs="Arial"/>
          <w:lang w:val="en-US"/>
        </w:rPr>
        <w:t xml:space="preserve">create </w:t>
      </w:r>
      <w:r w:rsidR="00534C1E" w:rsidRPr="007633A1">
        <w:rPr>
          <w:rFonts w:ascii="Arial" w:hAnsi="Arial" w:cs="Arial"/>
          <w:lang w:val="en-US"/>
        </w:rPr>
        <w:t>a</w:t>
      </w:r>
      <w:r w:rsidR="00816F37" w:rsidRPr="007633A1">
        <w:rPr>
          <w:rFonts w:ascii="Arial" w:hAnsi="Arial" w:cs="Arial"/>
          <w:lang w:val="en-US"/>
        </w:rPr>
        <w:t>n ad hoc</w:t>
      </w:r>
      <w:r w:rsidR="00534C1E" w:rsidRPr="007633A1">
        <w:rPr>
          <w:rFonts w:ascii="Arial" w:hAnsi="Arial" w:cs="Arial"/>
          <w:lang w:val="en-US"/>
        </w:rPr>
        <w:t xml:space="preserve"> human rights court</w:t>
      </w:r>
      <w:r w:rsidR="0090352A" w:rsidRPr="007633A1">
        <w:rPr>
          <w:rFonts w:ascii="Arial" w:hAnsi="Arial" w:cs="Arial"/>
          <w:lang w:val="en-US"/>
        </w:rPr>
        <w:t>.</w:t>
      </w:r>
      <w:r w:rsidR="008D77A3">
        <w:rPr>
          <w:rFonts w:ascii="Arial" w:hAnsi="Arial" w:cs="Arial"/>
          <w:lang w:val="en-US"/>
        </w:rPr>
        <w:t xml:space="preserve"> </w:t>
      </w:r>
      <w:r w:rsidR="00C550B2" w:rsidRPr="007633A1">
        <w:rPr>
          <w:rFonts w:ascii="Arial" w:hAnsi="Arial" w:cs="Arial"/>
          <w:lang w:val="en-US"/>
        </w:rPr>
        <w:t>U</w:t>
      </w:r>
      <w:r w:rsidR="0068521B" w:rsidRPr="007633A1">
        <w:rPr>
          <w:rFonts w:ascii="Arial" w:hAnsi="Arial" w:cs="Arial"/>
          <w:lang w:val="en-US"/>
        </w:rPr>
        <w:t>ntil today the ad</w:t>
      </w:r>
      <w:r w:rsidR="008D77A3">
        <w:rPr>
          <w:rFonts w:ascii="Arial" w:hAnsi="Arial" w:cs="Arial"/>
          <w:lang w:val="en-US"/>
        </w:rPr>
        <w:t xml:space="preserve"> </w:t>
      </w:r>
      <w:r w:rsidR="0068521B" w:rsidRPr="007633A1">
        <w:rPr>
          <w:rFonts w:ascii="Arial" w:hAnsi="Arial" w:cs="Arial"/>
          <w:lang w:val="en-US"/>
        </w:rPr>
        <w:t xml:space="preserve">hoc Human Rights Court has yet </w:t>
      </w:r>
      <w:r w:rsidR="00C550B2" w:rsidRPr="007633A1">
        <w:rPr>
          <w:rFonts w:ascii="Arial" w:hAnsi="Arial" w:cs="Arial"/>
          <w:lang w:val="en-US"/>
        </w:rPr>
        <w:t xml:space="preserve">to be </w:t>
      </w:r>
      <w:r w:rsidR="0068521B" w:rsidRPr="007633A1">
        <w:rPr>
          <w:rFonts w:ascii="Arial" w:hAnsi="Arial" w:cs="Arial"/>
          <w:lang w:val="en-US"/>
        </w:rPr>
        <w:t>established since the</w:t>
      </w:r>
      <w:r w:rsidR="00477872" w:rsidRPr="007633A1">
        <w:rPr>
          <w:rFonts w:ascii="Arial" w:hAnsi="Arial" w:cs="Arial"/>
          <w:lang w:val="en-US"/>
        </w:rPr>
        <w:t xml:space="preserve"> </w:t>
      </w:r>
      <w:r w:rsidR="0068521B" w:rsidRPr="007633A1">
        <w:rPr>
          <w:rFonts w:ascii="Arial" w:hAnsi="Arial" w:cs="Arial"/>
          <w:lang w:val="en-US"/>
        </w:rPr>
        <w:t xml:space="preserve">Attorney General has not followed up </w:t>
      </w:r>
      <w:r w:rsidR="00C550B2" w:rsidRPr="007633A1">
        <w:rPr>
          <w:rFonts w:ascii="Arial" w:hAnsi="Arial" w:cs="Arial"/>
          <w:lang w:val="en-US"/>
        </w:rPr>
        <w:t xml:space="preserve">on </w:t>
      </w:r>
      <w:r w:rsidR="0068521B" w:rsidRPr="007633A1">
        <w:rPr>
          <w:rFonts w:ascii="Arial" w:hAnsi="Arial" w:cs="Arial"/>
          <w:lang w:val="en-US"/>
        </w:rPr>
        <w:t>the recommendation of KOMNAS HAM</w:t>
      </w:r>
      <w:r w:rsidR="008D77A3">
        <w:rPr>
          <w:rFonts w:ascii="Arial" w:hAnsi="Arial" w:cs="Arial"/>
          <w:lang w:val="en-US"/>
        </w:rPr>
        <w:t xml:space="preserve"> in this case</w:t>
      </w:r>
      <w:r w:rsidR="0068521B" w:rsidRPr="007633A1">
        <w:rPr>
          <w:rFonts w:ascii="Arial" w:hAnsi="Arial" w:cs="Arial"/>
          <w:lang w:val="en-US"/>
        </w:rPr>
        <w:t>.</w:t>
      </w:r>
      <w:r w:rsidR="008D77A3">
        <w:rPr>
          <w:rFonts w:ascii="Arial" w:hAnsi="Arial" w:cs="Arial"/>
          <w:lang w:val="en-US"/>
        </w:rPr>
        <w:t xml:space="preserve"> </w:t>
      </w:r>
      <w:r w:rsidR="0068521B" w:rsidRPr="007633A1">
        <w:rPr>
          <w:rFonts w:ascii="Arial" w:hAnsi="Arial" w:cs="Arial"/>
          <w:lang w:val="en-US"/>
        </w:rPr>
        <w:t xml:space="preserve">Moreover, the establishment of </w:t>
      </w:r>
      <w:r w:rsidR="00C550B2" w:rsidRPr="007633A1">
        <w:rPr>
          <w:rFonts w:ascii="Arial" w:hAnsi="Arial" w:cs="Arial"/>
          <w:lang w:val="en-US"/>
        </w:rPr>
        <w:t>a</w:t>
      </w:r>
      <w:r w:rsidR="00A44DFB" w:rsidRPr="007633A1">
        <w:rPr>
          <w:rFonts w:ascii="Arial" w:hAnsi="Arial" w:cs="Arial"/>
          <w:lang w:val="en-US"/>
        </w:rPr>
        <w:t>n</w:t>
      </w:r>
      <w:r w:rsidR="00812B31" w:rsidRPr="007633A1">
        <w:rPr>
          <w:rFonts w:ascii="Arial" w:hAnsi="Arial" w:cs="Arial"/>
          <w:lang w:val="en-US"/>
        </w:rPr>
        <w:t xml:space="preserve"> </w:t>
      </w:r>
      <w:r w:rsidR="0068521B" w:rsidRPr="007633A1">
        <w:rPr>
          <w:rFonts w:ascii="Arial" w:hAnsi="Arial" w:cs="Arial"/>
          <w:lang w:val="en-US"/>
        </w:rPr>
        <w:t>ad</w:t>
      </w:r>
      <w:r w:rsidR="008D77A3">
        <w:rPr>
          <w:rFonts w:ascii="Arial" w:hAnsi="Arial" w:cs="Arial"/>
          <w:lang w:val="en-US"/>
        </w:rPr>
        <w:t xml:space="preserve"> </w:t>
      </w:r>
      <w:r w:rsidR="0068521B" w:rsidRPr="007633A1">
        <w:rPr>
          <w:rFonts w:ascii="Arial" w:hAnsi="Arial" w:cs="Arial"/>
          <w:lang w:val="en-US"/>
        </w:rPr>
        <w:t>hoc Human Rights Court shall also require</w:t>
      </w:r>
      <w:r w:rsidR="00C550B2" w:rsidRPr="007633A1">
        <w:rPr>
          <w:rFonts w:ascii="Arial" w:hAnsi="Arial" w:cs="Arial"/>
          <w:lang w:val="en-US"/>
        </w:rPr>
        <w:t xml:space="preserve"> a </w:t>
      </w:r>
      <w:r w:rsidR="0068521B" w:rsidRPr="007633A1">
        <w:rPr>
          <w:rFonts w:ascii="Arial" w:hAnsi="Arial" w:cs="Arial"/>
          <w:lang w:val="en-US"/>
        </w:rPr>
        <w:t>Presidential Decree as regulated in Law No. 26</w:t>
      </w:r>
      <w:r w:rsidR="00C550B2" w:rsidRPr="007633A1">
        <w:rPr>
          <w:rFonts w:ascii="Arial" w:hAnsi="Arial" w:cs="Arial"/>
          <w:lang w:val="en-US"/>
        </w:rPr>
        <w:t>/</w:t>
      </w:r>
      <w:r w:rsidR="00FF22DA" w:rsidRPr="007633A1">
        <w:rPr>
          <w:rFonts w:ascii="Arial" w:hAnsi="Arial" w:cs="Arial"/>
        </w:rPr>
        <w:t>2000</w:t>
      </w:r>
      <w:r w:rsidR="008D77A3">
        <w:rPr>
          <w:rFonts w:ascii="Arial" w:hAnsi="Arial" w:cs="Arial"/>
          <w:lang w:val="en-GB"/>
        </w:rPr>
        <w:t>;</w:t>
      </w:r>
      <w:r w:rsidR="00D801CA" w:rsidRPr="007633A1">
        <w:rPr>
          <w:rFonts w:ascii="Arial" w:hAnsi="Arial" w:cs="Arial"/>
          <w:lang w:val="en-US"/>
        </w:rPr>
        <w:t xml:space="preserve"> 2) Recommend to the President and the government institutions, as well as relevant stakeholders to </w:t>
      </w:r>
      <w:r w:rsidR="00A44DFB" w:rsidRPr="007633A1">
        <w:rPr>
          <w:rFonts w:ascii="Arial" w:hAnsi="Arial" w:cs="Arial"/>
          <w:lang w:val="en-US"/>
        </w:rPr>
        <w:t xml:space="preserve">discover the whereabouts of </w:t>
      </w:r>
      <w:r w:rsidR="00D801CA" w:rsidRPr="007633A1">
        <w:rPr>
          <w:rFonts w:ascii="Arial" w:hAnsi="Arial" w:cs="Arial"/>
          <w:lang w:val="en-US"/>
        </w:rPr>
        <w:t xml:space="preserve">the 13 </w:t>
      </w:r>
      <w:r w:rsidR="00A44DFB" w:rsidRPr="007633A1">
        <w:rPr>
          <w:rFonts w:ascii="Arial" w:hAnsi="Arial" w:cs="Arial"/>
          <w:lang w:val="en-US"/>
        </w:rPr>
        <w:t>student activists</w:t>
      </w:r>
      <w:r w:rsidR="00814647" w:rsidRPr="007633A1">
        <w:rPr>
          <w:rFonts w:ascii="Arial" w:hAnsi="Arial" w:cs="Arial"/>
          <w:lang w:val="en-US"/>
        </w:rPr>
        <w:t xml:space="preserve">, </w:t>
      </w:r>
      <w:r w:rsidRPr="007633A1">
        <w:rPr>
          <w:rFonts w:ascii="Arial" w:hAnsi="Arial" w:cs="Arial"/>
          <w:lang w:val="en-US"/>
        </w:rPr>
        <w:t>who remain missing</w:t>
      </w:r>
      <w:r w:rsidR="00477872" w:rsidRPr="007633A1">
        <w:rPr>
          <w:rFonts w:ascii="Arial" w:hAnsi="Arial" w:cs="Arial"/>
          <w:lang w:val="en-US"/>
        </w:rPr>
        <w:t xml:space="preserve"> </w:t>
      </w:r>
      <w:r w:rsidR="00D801CA" w:rsidRPr="007633A1">
        <w:rPr>
          <w:rFonts w:ascii="Arial" w:hAnsi="Arial" w:cs="Arial"/>
          <w:lang w:val="en-US"/>
        </w:rPr>
        <w:t>3)</w:t>
      </w:r>
      <w:r w:rsidR="008D77A3">
        <w:rPr>
          <w:rFonts w:ascii="Arial" w:hAnsi="Arial" w:cs="Arial"/>
          <w:lang w:val="en-US"/>
        </w:rPr>
        <w:t xml:space="preserve"> </w:t>
      </w:r>
      <w:r w:rsidR="00FF22DA" w:rsidRPr="007633A1">
        <w:rPr>
          <w:rFonts w:ascii="Arial" w:hAnsi="Arial" w:cs="Arial"/>
          <w:lang w:val="en-US"/>
        </w:rPr>
        <w:t>Recommend to the government to rehabilitate and provide compensation for</w:t>
      </w:r>
      <w:r w:rsidR="008D77A3">
        <w:rPr>
          <w:rFonts w:ascii="Arial" w:hAnsi="Arial" w:cs="Arial"/>
          <w:lang w:val="en-US"/>
        </w:rPr>
        <w:t xml:space="preserve"> </w:t>
      </w:r>
      <w:r w:rsidR="00FF22DA" w:rsidRPr="007633A1">
        <w:rPr>
          <w:rFonts w:ascii="Arial" w:hAnsi="Arial" w:cs="Arial"/>
          <w:lang w:val="en-US"/>
        </w:rPr>
        <w:t>the famil</w:t>
      </w:r>
      <w:r w:rsidR="00814647" w:rsidRPr="007633A1">
        <w:rPr>
          <w:rFonts w:ascii="Arial" w:hAnsi="Arial" w:cs="Arial"/>
          <w:lang w:val="en-US"/>
        </w:rPr>
        <w:t>ies</w:t>
      </w:r>
      <w:r w:rsidR="00FF22DA" w:rsidRPr="007633A1">
        <w:rPr>
          <w:rFonts w:ascii="Arial" w:hAnsi="Arial" w:cs="Arial"/>
          <w:lang w:val="en-US"/>
        </w:rPr>
        <w:t xml:space="preserve"> of the disappeared; </w:t>
      </w:r>
      <w:r w:rsidR="00D801CA" w:rsidRPr="007633A1">
        <w:rPr>
          <w:rFonts w:ascii="Arial" w:hAnsi="Arial" w:cs="Arial"/>
          <w:lang w:val="en-US"/>
        </w:rPr>
        <w:t xml:space="preserve">4) </w:t>
      </w:r>
      <w:r w:rsidR="00FF22DA" w:rsidRPr="007633A1">
        <w:rPr>
          <w:rFonts w:ascii="Arial" w:hAnsi="Arial" w:cs="Arial"/>
          <w:lang w:val="en-US"/>
        </w:rPr>
        <w:t xml:space="preserve">Recommend to the government to immediately ratify the International Convention For the Protection of All Persons from Enforced Disappearance. </w:t>
      </w:r>
      <w:r w:rsidR="00814647" w:rsidRPr="007633A1">
        <w:rPr>
          <w:rFonts w:ascii="Arial" w:hAnsi="Arial" w:cs="Arial"/>
          <w:lang w:val="en-US"/>
        </w:rPr>
        <w:t xml:space="preserve">As of </w:t>
      </w:r>
      <w:r w:rsidR="00FF22DA" w:rsidRPr="007633A1">
        <w:rPr>
          <w:rFonts w:ascii="Arial" w:hAnsi="Arial" w:cs="Arial"/>
          <w:lang w:val="en-US"/>
        </w:rPr>
        <w:t>June 2013, the</w:t>
      </w:r>
      <w:r w:rsidR="00814647" w:rsidRPr="007633A1">
        <w:rPr>
          <w:rFonts w:ascii="Arial" w:hAnsi="Arial" w:cs="Arial"/>
          <w:lang w:val="en-US"/>
        </w:rPr>
        <w:t>se</w:t>
      </w:r>
      <w:r w:rsidR="00FF22DA" w:rsidRPr="007633A1">
        <w:rPr>
          <w:rFonts w:ascii="Arial" w:hAnsi="Arial" w:cs="Arial"/>
          <w:lang w:val="en-US"/>
        </w:rPr>
        <w:t xml:space="preserve"> recommendations have not been implemented, except </w:t>
      </w:r>
      <w:r w:rsidR="00814647" w:rsidRPr="007633A1">
        <w:rPr>
          <w:rFonts w:ascii="Arial" w:hAnsi="Arial" w:cs="Arial"/>
          <w:lang w:val="en-US"/>
        </w:rPr>
        <w:t>for</w:t>
      </w:r>
      <w:r w:rsidR="00472625" w:rsidRPr="007633A1">
        <w:rPr>
          <w:rFonts w:ascii="Arial" w:hAnsi="Arial" w:cs="Arial"/>
          <w:lang w:val="en-US"/>
        </w:rPr>
        <w:t xml:space="preserve"> the</w:t>
      </w:r>
      <w:r w:rsidR="00477872" w:rsidRPr="007633A1">
        <w:rPr>
          <w:rFonts w:ascii="Arial" w:hAnsi="Arial" w:cs="Arial"/>
          <w:lang w:val="en-US"/>
        </w:rPr>
        <w:t xml:space="preserve"> </w:t>
      </w:r>
      <w:r w:rsidR="00472625" w:rsidRPr="007633A1">
        <w:rPr>
          <w:rFonts w:ascii="Arial" w:hAnsi="Arial" w:cs="Arial"/>
          <w:lang w:val="en-US"/>
        </w:rPr>
        <w:t>ratification process of the</w:t>
      </w:r>
      <w:r w:rsidR="00FF22DA" w:rsidRPr="007633A1">
        <w:rPr>
          <w:rFonts w:ascii="Arial" w:hAnsi="Arial" w:cs="Arial"/>
          <w:lang w:val="en-US"/>
        </w:rPr>
        <w:t xml:space="preserve"> International Convention for The Protection of All Persons from Enforced Disappearances</w:t>
      </w:r>
      <w:r w:rsidR="000336AC" w:rsidRPr="007633A1">
        <w:rPr>
          <w:rFonts w:ascii="Arial" w:hAnsi="Arial" w:cs="Arial"/>
          <w:lang w:val="en-US"/>
        </w:rPr>
        <w:t xml:space="preserve"> (ICEPD).</w:t>
      </w:r>
    </w:p>
    <w:p w:rsidR="007F7EFB" w:rsidRPr="007633A1" w:rsidRDefault="007F7EFB" w:rsidP="0057287C">
      <w:pPr>
        <w:tabs>
          <w:tab w:val="left" w:pos="1418"/>
        </w:tabs>
        <w:ind w:left="284" w:hanging="284"/>
        <w:jc w:val="both"/>
        <w:rPr>
          <w:rFonts w:ascii="Arial" w:hAnsi="Arial" w:cs="Arial"/>
          <w:lang w:val="en-US"/>
        </w:rPr>
      </w:pPr>
      <w:r w:rsidRPr="007633A1">
        <w:rPr>
          <w:rFonts w:ascii="Arial" w:hAnsi="Arial" w:cs="Arial"/>
          <w:lang w:val="en-US"/>
        </w:rPr>
        <w:t xml:space="preserve">10. </w:t>
      </w:r>
      <w:r w:rsidR="000336AC" w:rsidRPr="007633A1">
        <w:rPr>
          <w:rFonts w:ascii="Arial" w:hAnsi="Arial" w:cs="Arial"/>
          <w:lang w:val="en-US"/>
        </w:rPr>
        <w:t>As of June 2013</w:t>
      </w:r>
      <w:r w:rsidR="001F5521" w:rsidRPr="007633A1">
        <w:rPr>
          <w:rFonts w:ascii="Arial" w:hAnsi="Arial" w:cs="Arial"/>
          <w:lang w:val="en-US"/>
        </w:rPr>
        <w:t xml:space="preserve">, </w:t>
      </w:r>
      <w:r w:rsidR="000336AC" w:rsidRPr="007633A1">
        <w:rPr>
          <w:rFonts w:ascii="Arial" w:hAnsi="Arial" w:cs="Arial"/>
          <w:lang w:val="en-US"/>
        </w:rPr>
        <w:t xml:space="preserve">an </w:t>
      </w:r>
      <w:r w:rsidR="001F5521" w:rsidRPr="007633A1">
        <w:rPr>
          <w:rFonts w:ascii="Arial" w:hAnsi="Arial" w:cs="Arial"/>
          <w:lang w:val="en-US"/>
        </w:rPr>
        <w:t xml:space="preserve">ICPED ratification plan has been prepared by the Ministry of Law and Human Rights on behalf of the Government of Indonesia. </w:t>
      </w:r>
      <w:r w:rsidR="000336AC" w:rsidRPr="007633A1">
        <w:rPr>
          <w:rFonts w:ascii="Arial" w:hAnsi="Arial" w:cs="Arial"/>
          <w:lang w:val="en-US"/>
        </w:rPr>
        <w:t xml:space="preserve">However, the Government has not yet submitted to the House of </w:t>
      </w:r>
      <w:r w:rsidR="00472625" w:rsidRPr="007633A1">
        <w:rPr>
          <w:rFonts w:ascii="Arial" w:hAnsi="Arial" w:cs="Arial"/>
          <w:lang w:val="en-US"/>
        </w:rPr>
        <w:t>R</w:t>
      </w:r>
      <w:r w:rsidR="000336AC" w:rsidRPr="007633A1">
        <w:rPr>
          <w:rFonts w:ascii="Arial" w:hAnsi="Arial" w:cs="Arial"/>
          <w:lang w:val="en-US"/>
        </w:rPr>
        <w:t xml:space="preserve">epresentative </w:t>
      </w:r>
      <w:r w:rsidR="001F5521" w:rsidRPr="007633A1">
        <w:rPr>
          <w:rFonts w:ascii="Arial" w:hAnsi="Arial" w:cs="Arial"/>
          <w:lang w:val="en-US"/>
        </w:rPr>
        <w:t>the draft of</w:t>
      </w:r>
      <w:r w:rsidR="000336AC" w:rsidRPr="007633A1">
        <w:rPr>
          <w:rFonts w:ascii="Arial" w:hAnsi="Arial" w:cs="Arial"/>
          <w:lang w:val="en-US"/>
        </w:rPr>
        <w:t xml:space="preserve"> the</w:t>
      </w:r>
      <w:r w:rsidR="001F5521" w:rsidRPr="007633A1">
        <w:rPr>
          <w:rFonts w:ascii="Arial" w:hAnsi="Arial" w:cs="Arial"/>
          <w:lang w:val="en-US"/>
        </w:rPr>
        <w:t xml:space="preserve"> ratification plan.</w:t>
      </w:r>
    </w:p>
    <w:p w:rsidR="006E2B3D" w:rsidRPr="007633A1" w:rsidRDefault="007F7EFB" w:rsidP="0057287C">
      <w:pPr>
        <w:tabs>
          <w:tab w:val="left" w:pos="284"/>
          <w:tab w:val="left" w:pos="1418"/>
        </w:tabs>
        <w:ind w:left="284" w:hanging="284"/>
        <w:jc w:val="both"/>
        <w:rPr>
          <w:rFonts w:ascii="Arial" w:hAnsi="Arial" w:cs="Arial"/>
          <w:strike/>
          <w:lang w:val="en-US"/>
        </w:rPr>
      </w:pPr>
      <w:r w:rsidRPr="007633A1">
        <w:rPr>
          <w:rFonts w:ascii="Arial" w:hAnsi="Arial" w:cs="Arial"/>
          <w:lang w:val="en-US"/>
        </w:rPr>
        <w:lastRenderedPageBreak/>
        <w:t xml:space="preserve">11. </w:t>
      </w:r>
      <w:r w:rsidR="00534C1E" w:rsidRPr="007633A1">
        <w:rPr>
          <w:rFonts w:ascii="Arial" w:hAnsi="Arial" w:cs="Arial"/>
          <w:lang w:val="en-US"/>
        </w:rPr>
        <w:t xml:space="preserve">In the year of 2012, the </w:t>
      </w:r>
      <w:r w:rsidR="00F616DD" w:rsidRPr="007633A1">
        <w:rPr>
          <w:rFonts w:ascii="Arial" w:hAnsi="Arial" w:cs="Arial"/>
          <w:lang w:val="en-US"/>
        </w:rPr>
        <w:t>P</w:t>
      </w:r>
      <w:r w:rsidR="00534C1E" w:rsidRPr="007633A1">
        <w:rPr>
          <w:rFonts w:ascii="Arial" w:hAnsi="Arial" w:cs="Arial"/>
          <w:lang w:val="en-US"/>
        </w:rPr>
        <w:t xml:space="preserve">resident </w:t>
      </w:r>
      <w:r w:rsidR="00F616DD" w:rsidRPr="007633A1">
        <w:rPr>
          <w:rFonts w:ascii="Arial" w:hAnsi="Arial" w:cs="Arial"/>
          <w:lang w:val="en-US"/>
        </w:rPr>
        <w:t>established</w:t>
      </w:r>
      <w:r w:rsidR="00477872" w:rsidRPr="007633A1">
        <w:rPr>
          <w:rFonts w:ascii="Arial" w:hAnsi="Arial" w:cs="Arial"/>
          <w:lang w:val="en-US"/>
        </w:rPr>
        <w:t xml:space="preserve"> </w:t>
      </w:r>
      <w:r w:rsidR="00534C1E" w:rsidRPr="007633A1">
        <w:rPr>
          <w:rFonts w:ascii="Arial" w:hAnsi="Arial" w:cs="Arial"/>
          <w:lang w:val="en-US"/>
        </w:rPr>
        <w:t xml:space="preserve">a small team under the coordination of the </w:t>
      </w:r>
      <w:r w:rsidR="00F616DD" w:rsidRPr="007633A1">
        <w:rPr>
          <w:rFonts w:ascii="Arial" w:hAnsi="Arial" w:cs="Arial"/>
          <w:lang w:val="en-US"/>
        </w:rPr>
        <w:t xml:space="preserve">Coordinating Minister for Political, Legal and Security Affairs </w:t>
      </w:r>
      <w:r w:rsidR="00534C1E" w:rsidRPr="007633A1">
        <w:rPr>
          <w:rFonts w:ascii="Arial" w:hAnsi="Arial" w:cs="Arial"/>
          <w:lang w:val="en-US"/>
        </w:rPr>
        <w:t xml:space="preserve">to </w:t>
      </w:r>
      <w:r w:rsidR="002C4F81" w:rsidRPr="007633A1">
        <w:rPr>
          <w:rFonts w:ascii="Arial" w:hAnsi="Arial" w:cs="Arial"/>
          <w:lang w:val="en-US"/>
        </w:rPr>
        <w:t xml:space="preserve">look into </w:t>
      </w:r>
      <w:r w:rsidR="00534C1E" w:rsidRPr="007633A1">
        <w:rPr>
          <w:rFonts w:ascii="Arial" w:hAnsi="Arial" w:cs="Arial"/>
          <w:lang w:val="en-US"/>
        </w:rPr>
        <w:t xml:space="preserve">the best way to provide solutions </w:t>
      </w:r>
      <w:r w:rsidR="00D64BFB" w:rsidRPr="007633A1">
        <w:rPr>
          <w:rFonts w:ascii="Arial" w:hAnsi="Arial" w:cs="Arial"/>
          <w:lang w:val="en-US"/>
        </w:rPr>
        <w:t>to</w:t>
      </w:r>
      <w:r w:rsidR="00534C1E" w:rsidRPr="007633A1">
        <w:rPr>
          <w:rFonts w:ascii="Arial" w:hAnsi="Arial" w:cs="Arial"/>
          <w:lang w:val="en-US"/>
        </w:rPr>
        <w:t xml:space="preserve"> past</w:t>
      </w:r>
      <w:r w:rsidR="00477872" w:rsidRPr="007633A1">
        <w:rPr>
          <w:rFonts w:ascii="Arial" w:hAnsi="Arial" w:cs="Arial"/>
          <w:lang w:val="en-US"/>
        </w:rPr>
        <w:t xml:space="preserve"> </w:t>
      </w:r>
      <w:r w:rsidR="00534C1E" w:rsidRPr="007633A1">
        <w:rPr>
          <w:rFonts w:ascii="Arial" w:hAnsi="Arial" w:cs="Arial"/>
          <w:lang w:val="en-US"/>
        </w:rPr>
        <w:t xml:space="preserve">human rights violations, but until </w:t>
      </w:r>
      <w:r w:rsidR="00D80989" w:rsidRPr="007633A1">
        <w:rPr>
          <w:rFonts w:ascii="Arial" w:hAnsi="Arial" w:cs="Arial"/>
          <w:lang w:val="en-US"/>
        </w:rPr>
        <w:t xml:space="preserve">June 2013 </w:t>
      </w:r>
      <w:r w:rsidR="00D64BFB" w:rsidRPr="007633A1">
        <w:rPr>
          <w:rFonts w:ascii="Arial" w:hAnsi="Arial" w:cs="Arial"/>
          <w:lang w:val="en-US"/>
        </w:rPr>
        <w:t>the</w:t>
      </w:r>
      <w:r w:rsidR="00477872" w:rsidRPr="007633A1">
        <w:rPr>
          <w:rFonts w:ascii="Arial" w:hAnsi="Arial" w:cs="Arial"/>
          <w:lang w:val="en-US"/>
        </w:rPr>
        <w:t xml:space="preserve"> </w:t>
      </w:r>
      <w:r w:rsidR="00116122" w:rsidRPr="007633A1">
        <w:rPr>
          <w:rFonts w:ascii="Arial" w:hAnsi="Arial" w:cs="Arial"/>
          <w:lang w:val="en-US"/>
        </w:rPr>
        <w:t>aforementioned</w:t>
      </w:r>
      <w:r w:rsidR="006020C5" w:rsidRPr="007633A1">
        <w:rPr>
          <w:rFonts w:ascii="Arial" w:hAnsi="Arial" w:cs="Arial"/>
          <w:lang w:val="en-US"/>
        </w:rPr>
        <w:t xml:space="preserve"> team has not communicated any result.   </w:t>
      </w:r>
    </w:p>
    <w:p w:rsidR="006E2B3D" w:rsidRPr="007633A1" w:rsidRDefault="008D77A3" w:rsidP="00F27BE2">
      <w:pPr>
        <w:pStyle w:val="ListParagraph"/>
        <w:ind w:left="0"/>
        <w:jc w:val="both"/>
        <w:rPr>
          <w:rFonts w:ascii="Arial" w:hAnsi="Arial"/>
          <w:b/>
          <w:lang w:val="en-US"/>
        </w:rPr>
      </w:pPr>
      <w:r>
        <w:rPr>
          <w:rFonts w:ascii="Arial" w:hAnsi="Arial"/>
          <w:b/>
          <w:lang w:val="en-US"/>
        </w:rPr>
        <w:t xml:space="preserve">II. </w:t>
      </w:r>
      <w:r w:rsidR="00D801CA" w:rsidRPr="007633A1">
        <w:rPr>
          <w:rFonts w:ascii="Arial" w:hAnsi="Arial"/>
          <w:b/>
          <w:lang w:val="en-US"/>
        </w:rPr>
        <w:t>Right to Life (Article 6)</w:t>
      </w:r>
    </w:p>
    <w:p w:rsidR="00B211AD" w:rsidRPr="007633A1" w:rsidRDefault="00BF55AD" w:rsidP="00677F33">
      <w:pPr>
        <w:pStyle w:val="SingleTxtG"/>
        <w:pBdr>
          <w:top w:val="single" w:sz="4" w:space="1" w:color="auto"/>
          <w:left w:val="single" w:sz="4" w:space="4" w:color="auto"/>
          <w:bottom w:val="single" w:sz="4" w:space="1" w:color="auto"/>
          <w:right w:val="single" w:sz="4" w:space="4" w:color="auto"/>
        </w:pBdr>
        <w:ind w:left="0" w:right="379"/>
        <w:rPr>
          <w:rFonts w:ascii="Arial" w:hAnsi="Arial" w:cs="Arial"/>
          <w:sz w:val="22"/>
          <w:szCs w:val="22"/>
          <w:lang w:val="en-US"/>
        </w:rPr>
      </w:pPr>
      <w:r w:rsidRPr="007633A1">
        <w:rPr>
          <w:rFonts w:ascii="Arial" w:hAnsi="Arial" w:cs="Arial"/>
          <w:b/>
          <w:sz w:val="22"/>
          <w:szCs w:val="22"/>
          <w:lang w:val="en-US"/>
        </w:rPr>
        <w:t>Issue 10</w:t>
      </w:r>
      <w:r w:rsidRPr="007633A1">
        <w:rPr>
          <w:rFonts w:ascii="Arial" w:hAnsi="Arial" w:cs="Arial"/>
          <w:sz w:val="22"/>
          <w:szCs w:val="22"/>
          <w:lang w:val="en-US"/>
        </w:rPr>
        <w:t xml:space="preserve">: </w:t>
      </w:r>
      <w:r w:rsidR="00B211AD" w:rsidRPr="007633A1">
        <w:rPr>
          <w:rFonts w:ascii="Arial" w:hAnsi="Arial" w:cs="Arial"/>
          <w:sz w:val="22"/>
          <w:szCs w:val="22"/>
          <w:lang w:val="en-US"/>
        </w:rPr>
        <w:t>Please provide data on the number of deaths and their causes in the State party’s prisons and places of detention. Please also provide information on the specific measures that are being taken to prevent deaths in prison. What measures have been taken to investigate, and where appropriate, prosecute and punish acts of prison personnel or inter-prisoner violence that have led to deaths in prisons and detention facilities? Please provide data on the number of prison personnel that have been disciplined or prosecuted for cases related to deaths in prisons or detention facilities.</w:t>
      </w:r>
    </w:p>
    <w:p w:rsidR="00B211AD" w:rsidRPr="007633A1" w:rsidRDefault="00B211AD" w:rsidP="00B211AD">
      <w:pPr>
        <w:pStyle w:val="Listecouleur-Accent11"/>
        <w:spacing w:after="0"/>
        <w:ind w:left="426"/>
        <w:jc w:val="both"/>
        <w:rPr>
          <w:rFonts w:ascii="Arial" w:hAnsi="Arial" w:cs="Arial"/>
          <w:lang w:val="en-US"/>
        </w:rPr>
      </w:pPr>
    </w:p>
    <w:p w:rsidR="0043350B" w:rsidRPr="007633A1" w:rsidRDefault="00B211AD" w:rsidP="00F163F9">
      <w:pPr>
        <w:pStyle w:val="Listecouleur-Accent11"/>
        <w:numPr>
          <w:ilvl w:val="0"/>
          <w:numId w:val="10"/>
        </w:numPr>
        <w:spacing w:after="0"/>
        <w:ind w:left="426" w:hanging="426"/>
        <w:jc w:val="both"/>
        <w:rPr>
          <w:rFonts w:ascii="Arial" w:hAnsi="Arial" w:cs="Arial"/>
          <w:lang w:val="en-US"/>
        </w:rPr>
      </w:pPr>
      <w:r w:rsidRPr="007633A1">
        <w:rPr>
          <w:rFonts w:ascii="Arial" w:hAnsi="Arial" w:cs="Arial"/>
          <w:lang w:val="en-US"/>
        </w:rPr>
        <w:t>According to</w:t>
      </w:r>
      <w:r w:rsidR="00477872" w:rsidRPr="007633A1">
        <w:rPr>
          <w:rFonts w:ascii="Arial" w:hAnsi="Arial" w:cs="Arial"/>
          <w:lang w:val="en-US"/>
        </w:rPr>
        <w:t xml:space="preserve"> </w:t>
      </w:r>
      <w:r w:rsidR="00472625" w:rsidRPr="007633A1">
        <w:rPr>
          <w:rFonts w:ascii="Arial" w:hAnsi="Arial" w:cs="Arial"/>
          <w:lang w:val="en-US"/>
        </w:rPr>
        <w:t>the</w:t>
      </w:r>
      <w:r w:rsidR="00477872" w:rsidRPr="007633A1">
        <w:rPr>
          <w:rFonts w:ascii="Arial" w:hAnsi="Arial" w:cs="Arial"/>
          <w:lang w:val="en-US"/>
        </w:rPr>
        <w:t xml:space="preserve"> </w:t>
      </w:r>
      <w:r w:rsidR="00472625" w:rsidRPr="007633A1">
        <w:rPr>
          <w:rFonts w:ascii="Arial" w:hAnsi="Arial" w:cs="Arial"/>
          <w:lang w:val="en-US"/>
        </w:rPr>
        <w:t xml:space="preserve">document </w:t>
      </w:r>
      <w:r w:rsidR="00BE2296" w:rsidRPr="007633A1">
        <w:rPr>
          <w:rFonts w:ascii="Arial" w:hAnsi="Arial" w:cs="Arial"/>
        </w:rPr>
        <w:t>“</w:t>
      </w:r>
      <w:r w:rsidR="008E2380" w:rsidRPr="007633A1">
        <w:rPr>
          <w:rFonts w:ascii="Arial" w:hAnsi="Arial" w:cs="Arial"/>
          <w:lang w:val="en-US"/>
        </w:rPr>
        <w:t>Recapitulation of Causes of Prisoner</w:t>
      </w:r>
      <w:r w:rsidR="00472625" w:rsidRPr="007633A1">
        <w:rPr>
          <w:rFonts w:ascii="Arial" w:hAnsi="Arial" w:cs="Arial"/>
          <w:lang w:val="en-US"/>
        </w:rPr>
        <w:t>’s</w:t>
      </w:r>
      <w:r w:rsidR="008E2380" w:rsidRPr="007633A1">
        <w:rPr>
          <w:rFonts w:ascii="Arial" w:hAnsi="Arial" w:cs="Arial"/>
          <w:lang w:val="en-US"/>
        </w:rPr>
        <w:t xml:space="preserve"> and Detainee’s death in Prison</w:t>
      </w:r>
      <w:r w:rsidR="008D77A3">
        <w:rPr>
          <w:rFonts w:ascii="Arial" w:hAnsi="Arial" w:cs="Arial"/>
          <w:lang w:val="en-US"/>
        </w:rPr>
        <w:t>s</w:t>
      </w:r>
      <w:r w:rsidR="008E2380" w:rsidRPr="007633A1">
        <w:rPr>
          <w:rFonts w:ascii="Arial" w:hAnsi="Arial" w:cs="Arial"/>
          <w:lang w:val="en-US"/>
        </w:rPr>
        <w:t xml:space="preserve"> and Detention Place</w:t>
      </w:r>
      <w:r w:rsidR="00472625" w:rsidRPr="007633A1">
        <w:rPr>
          <w:rFonts w:ascii="Arial" w:hAnsi="Arial" w:cs="Arial"/>
          <w:lang w:val="en-US"/>
        </w:rPr>
        <w:t>s</w:t>
      </w:r>
      <w:r w:rsidR="008E2380" w:rsidRPr="007633A1">
        <w:rPr>
          <w:rFonts w:ascii="Arial" w:hAnsi="Arial" w:cs="Arial"/>
          <w:lang w:val="en-US"/>
        </w:rPr>
        <w:t xml:space="preserve"> in Indonesia 2012” </w:t>
      </w:r>
      <w:r w:rsidR="0059554A" w:rsidRPr="007633A1">
        <w:rPr>
          <w:rFonts w:ascii="Arial" w:hAnsi="Arial" w:cs="Arial"/>
          <w:lang w:val="en-US"/>
        </w:rPr>
        <w:t>(</w:t>
      </w:r>
      <w:r w:rsidR="00BE2296" w:rsidRPr="007633A1">
        <w:rPr>
          <w:rFonts w:ascii="Arial" w:hAnsi="Arial" w:cs="Arial"/>
          <w:i/>
        </w:rPr>
        <w:t>Rekapitulasi Sebab Kematian Narapidana dan Tahanan Seluruh Wilayah Indonesia tahun 2012</w:t>
      </w:r>
      <w:r w:rsidR="0059554A" w:rsidRPr="007633A1">
        <w:rPr>
          <w:rFonts w:ascii="Arial" w:hAnsi="Arial" w:cs="Arial"/>
          <w:lang w:val="en-US"/>
        </w:rPr>
        <w:t xml:space="preserve">) </w:t>
      </w:r>
      <w:r w:rsidR="00472625" w:rsidRPr="007633A1">
        <w:rPr>
          <w:rFonts w:ascii="Arial" w:hAnsi="Arial" w:cs="Arial"/>
          <w:lang w:val="en-US"/>
        </w:rPr>
        <w:t xml:space="preserve">published </w:t>
      </w:r>
      <w:r w:rsidR="008E2380" w:rsidRPr="007633A1">
        <w:rPr>
          <w:rFonts w:ascii="Arial" w:hAnsi="Arial" w:cs="Arial"/>
          <w:lang w:val="en-US"/>
        </w:rPr>
        <w:t xml:space="preserve">by </w:t>
      </w:r>
      <w:r w:rsidRPr="007633A1">
        <w:rPr>
          <w:rFonts w:ascii="Arial" w:hAnsi="Arial" w:cs="Arial"/>
          <w:lang w:val="en-US"/>
        </w:rPr>
        <w:t>the Directorate General of Correction</w:t>
      </w:r>
      <w:r w:rsidR="009C5E65" w:rsidRPr="007633A1">
        <w:rPr>
          <w:rFonts w:ascii="Arial" w:hAnsi="Arial" w:cs="Arial"/>
          <w:lang w:val="en-US"/>
        </w:rPr>
        <w:t>s</w:t>
      </w:r>
      <w:r w:rsidR="00472625" w:rsidRPr="007633A1">
        <w:rPr>
          <w:rFonts w:ascii="Arial" w:hAnsi="Arial" w:cs="Arial"/>
          <w:lang w:val="en-US"/>
        </w:rPr>
        <w:t>,</w:t>
      </w:r>
      <w:r w:rsidR="008D77A3">
        <w:rPr>
          <w:rFonts w:ascii="Arial" w:hAnsi="Arial" w:cs="Arial"/>
          <w:lang w:val="en-US"/>
        </w:rPr>
        <w:t xml:space="preserve"> </w:t>
      </w:r>
      <w:r w:rsidR="00D26F74" w:rsidRPr="007633A1">
        <w:rPr>
          <w:rFonts w:ascii="Arial" w:hAnsi="Arial" w:cs="Arial"/>
          <w:lang w:val="en-US"/>
        </w:rPr>
        <w:t>i</w:t>
      </w:r>
      <w:r w:rsidRPr="007633A1">
        <w:rPr>
          <w:rFonts w:ascii="Arial" w:hAnsi="Arial" w:cs="Arial"/>
          <w:lang w:val="en-US"/>
        </w:rPr>
        <w:t>n 2010, the number of deaths was 791</w:t>
      </w:r>
      <w:r w:rsidR="0043350B" w:rsidRPr="007633A1">
        <w:rPr>
          <w:rFonts w:ascii="Arial" w:hAnsi="Arial" w:cs="Arial"/>
          <w:lang w:val="en-US"/>
        </w:rPr>
        <w:t>;</w:t>
      </w:r>
      <w:r w:rsidRPr="007633A1">
        <w:rPr>
          <w:rFonts w:ascii="Arial" w:hAnsi="Arial" w:cs="Arial"/>
          <w:lang w:val="en-US"/>
        </w:rPr>
        <w:t xml:space="preserve"> in 2011 (January-August), the number of deaths was 352 and</w:t>
      </w:r>
      <w:r w:rsidR="00D26F74" w:rsidRPr="007633A1">
        <w:rPr>
          <w:rFonts w:ascii="Arial" w:hAnsi="Arial" w:cs="Arial"/>
          <w:lang w:val="en-US"/>
        </w:rPr>
        <w:t>,</w:t>
      </w:r>
      <w:r w:rsidR="008D77A3">
        <w:rPr>
          <w:rFonts w:ascii="Arial" w:hAnsi="Arial" w:cs="Arial"/>
          <w:lang w:val="en-US"/>
        </w:rPr>
        <w:t xml:space="preserve"> in 2012 </w:t>
      </w:r>
      <w:r w:rsidRPr="007633A1">
        <w:rPr>
          <w:rFonts w:ascii="Arial" w:hAnsi="Arial" w:cs="Arial"/>
          <w:lang w:val="en-US"/>
        </w:rPr>
        <w:t xml:space="preserve">(January-September), the number of deaths was 440. </w:t>
      </w:r>
      <w:r w:rsidR="00AC29E0" w:rsidRPr="007633A1">
        <w:rPr>
          <w:rFonts w:ascii="Arial" w:hAnsi="Arial" w:cs="Arial"/>
          <w:lang w:val="en-US"/>
        </w:rPr>
        <w:t xml:space="preserve">According to the said report, deaths in detention were related to health problems (heart attack, respiratory problems) or internal violence in prisons. </w:t>
      </w:r>
      <w:r w:rsidRPr="007633A1">
        <w:rPr>
          <w:rFonts w:ascii="Arial" w:hAnsi="Arial" w:cs="Arial"/>
          <w:lang w:val="en-US"/>
        </w:rPr>
        <w:t xml:space="preserve">The </w:t>
      </w:r>
      <w:r w:rsidR="00716A52" w:rsidRPr="007633A1">
        <w:rPr>
          <w:rFonts w:ascii="Arial" w:hAnsi="Arial" w:cs="Arial"/>
          <w:lang w:val="en-US"/>
        </w:rPr>
        <w:t>number of deaths due to HIV/AIDS was</w:t>
      </w:r>
      <w:r w:rsidRPr="007633A1">
        <w:rPr>
          <w:rFonts w:ascii="Arial" w:hAnsi="Arial" w:cs="Arial"/>
          <w:lang w:val="en-US"/>
        </w:rPr>
        <w:t xml:space="preserve"> the highest with 204 </w:t>
      </w:r>
      <w:r w:rsidR="00716A52" w:rsidRPr="007633A1">
        <w:rPr>
          <w:rFonts w:ascii="Arial" w:hAnsi="Arial" w:cs="Arial"/>
          <w:lang w:val="en-US"/>
        </w:rPr>
        <w:t xml:space="preserve">cases </w:t>
      </w:r>
      <w:r w:rsidRPr="007633A1">
        <w:rPr>
          <w:rFonts w:ascii="Arial" w:hAnsi="Arial" w:cs="Arial"/>
          <w:lang w:val="en-US"/>
        </w:rPr>
        <w:t xml:space="preserve">in 2010, 105 of cases in 2011, and </w:t>
      </w:r>
      <w:r w:rsidR="00716A52" w:rsidRPr="007633A1">
        <w:rPr>
          <w:rFonts w:ascii="Arial" w:hAnsi="Arial" w:cs="Arial"/>
          <w:lang w:val="en-US"/>
        </w:rPr>
        <w:t xml:space="preserve">a </w:t>
      </w:r>
      <w:r w:rsidRPr="007633A1">
        <w:rPr>
          <w:rFonts w:ascii="Arial" w:hAnsi="Arial" w:cs="Arial"/>
          <w:lang w:val="en-US"/>
        </w:rPr>
        <w:t>decrease</w:t>
      </w:r>
      <w:r w:rsidR="00477872" w:rsidRPr="007633A1">
        <w:rPr>
          <w:rFonts w:ascii="Arial" w:hAnsi="Arial" w:cs="Arial"/>
          <w:lang w:val="en-US"/>
        </w:rPr>
        <w:t xml:space="preserve"> </w:t>
      </w:r>
      <w:r w:rsidR="00716A52" w:rsidRPr="007633A1">
        <w:rPr>
          <w:rFonts w:ascii="Arial" w:hAnsi="Arial" w:cs="Arial"/>
          <w:lang w:val="en-US"/>
        </w:rPr>
        <w:t>of</w:t>
      </w:r>
      <w:r w:rsidR="00477872" w:rsidRPr="007633A1">
        <w:rPr>
          <w:rFonts w:ascii="Arial" w:hAnsi="Arial" w:cs="Arial"/>
          <w:lang w:val="en-US"/>
        </w:rPr>
        <w:t xml:space="preserve"> </w:t>
      </w:r>
      <w:r w:rsidRPr="007633A1">
        <w:rPr>
          <w:rFonts w:ascii="Arial" w:hAnsi="Arial" w:cs="Arial"/>
          <w:lang w:val="en-US"/>
        </w:rPr>
        <w:t xml:space="preserve">73 of cases in 2012. </w:t>
      </w:r>
    </w:p>
    <w:p w:rsidR="001B5732" w:rsidRPr="007633A1" w:rsidRDefault="001B5732" w:rsidP="0089585B">
      <w:pPr>
        <w:pStyle w:val="Listecouleur-Accent11"/>
        <w:spacing w:after="0"/>
        <w:ind w:left="426" w:hanging="426"/>
        <w:jc w:val="both"/>
        <w:rPr>
          <w:rFonts w:ascii="Arial" w:hAnsi="Arial" w:cs="Arial"/>
          <w:lang w:val="en-US"/>
        </w:rPr>
      </w:pPr>
    </w:p>
    <w:p w:rsidR="002E654B" w:rsidRPr="007633A1" w:rsidRDefault="00AC29E0" w:rsidP="00F163F9">
      <w:pPr>
        <w:pStyle w:val="Listecouleur-Accent11"/>
        <w:numPr>
          <w:ilvl w:val="0"/>
          <w:numId w:val="10"/>
        </w:numPr>
        <w:tabs>
          <w:tab w:val="left" w:pos="1276"/>
        </w:tabs>
        <w:spacing w:after="0"/>
        <w:ind w:left="426" w:hanging="426"/>
        <w:jc w:val="both"/>
        <w:rPr>
          <w:rFonts w:ascii="Arial" w:hAnsi="Arial" w:cs="Arial"/>
          <w:lang w:val="en-US"/>
        </w:rPr>
      </w:pPr>
      <w:r w:rsidRPr="007633A1">
        <w:rPr>
          <w:rFonts w:ascii="Arial" w:hAnsi="Arial" w:cs="Arial"/>
          <w:lang w:val="en-US"/>
        </w:rPr>
        <w:t>According to the said document,</w:t>
      </w:r>
      <w:r w:rsidR="0040059B" w:rsidRPr="007633A1">
        <w:rPr>
          <w:rFonts w:ascii="Arial" w:hAnsi="Arial" w:cs="Arial"/>
          <w:lang w:val="en-US"/>
        </w:rPr>
        <w:t xml:space="preserve"> mortality</w:t>
      </w:r>
      <w:r w:rsidR="00477872" w:rsidRPr="007633A1">
        <w:rPr>
          <w:rFonts w:ascii="Arial" w:hAnsi="Arial" w:cs="Arial"/>
          <w:lang w:val="en-US"/>
        </w:rPr>
        <w:t xml:space="preserve"> </w:t>
      </w:r>
      <w:r w:rsidR="00472625" w:rsidRPr="007633A1">
        <w:rPr>
          <w:rFonts w:ascii="Arial" w:hAnsi="Arial" w:cs="Arial"/>
          <w:lang w:val="en-US"/>
        </w:rPr>
        <w:t xml:space="preserve">of </w:t>
      </w:r>
      <w:r w:rsidR="0040059B" w:rsidRPr="007633A1">
        <w:rPr>
          <w:rFonts w:ascii="Arial" w:hAnsi="Arial" w:cs="Arial"/>
          <w:lang w:val="en-US"/>
        </w:rPr>
        <w:t xml:space="preserve">detainees and prisoners in prison and </w:t>
      </w:r>
      <w:r w:rsidR="00472625" w:rsidRPr="007633A1">
        <w:rPr>
          <w:rFonts w:ascii="Arial" w:hAnsi="Arial" w:cs="Arial"/>
          <w:lang w:val="en-US"/>
        </w:rPr>
        <w:t xml:space="preserve">detention </w:t>
      </w:r>
      <w:r w:rsidR="0040059B" w:rsidRPr="007633A1">
        <w:rPr>
          <w:rFonts w:ascii="Arial" w:hAnsi="Arial" w:cs="Arial"/>
          <w:lang w:val="en-US"/>
        </w:rPr>
        <w:t>place</w:t>
      </w:r>
      <w:r w:rsidR="00472625" w:rsidRPr="007633A1">
        <w:rPr>
          <w:rFonts w:ascii="Arial" w:hAnsi="Arial" w:cs="Arial"/>
          <w:lang w:val="en-US"/>
        </w:rPr>
        <w:t>s</w:t>
      </w:r>
      <w:r w:rsidR="0040059B" w:rsidRPr="007633A1">
        <w:rPr>
          <w:rFonts w:ascii="Arial" w:hAnsi="Arial" w:cs="Arial"/>
          <w:lang w:val="en-US"/>
        </w:rPr>
        <w:t xml:space="preserve"> in Indonesia </w:t>
      </w:r>
      <w:r w:rsidR="00472625" w:rsidRPr="007633A1">
        <w:rPr>
          <w:rFonts w:ascii="Arial" w:hAnsi="Arial" w:cs="Arial"/>
          <w:lang w:val="en-US"/>
        </w:rPr>
        <w:t xml:space="preserve">has </w:t>
      </w:r>
      <w:r w:rsidR="0040059B" w:rsidRPr="007633A1">
        <w:rPr>
          <w:rFonts w:ascii="Arial" w:hAnsi="Arial" w:cs="Arial"/>
          <w:lang w:val="en-US"/>
        </w:rPr>
        <w:t>decreased from year 2010, 2011 and 2012</w:t>
      </w:r>
      <w:r w:rsidR="008D77A3">
        <w:rPr>
          <w:rFonts w:ascii="Arial" w:hAnsi="Arial" w:cs="Arial"/>
          <w:lang w:val="en-US"/>
        </w:rPr>
        <w:t xml:space="preserve"> </w:t>
      </w:r>
      <w:r w:rsidR="00991890" w:rsidRPr="007633A1">
        <w:rPr>
          <w:rFonts w:ascii="Arial" w:hAnsi="Arial" w:cs="Arial"/>
          <w:lang w:val="en-US"/>
        </w:rPr>
        <w:t>(</w:t>
      </w:r>
      <w:r w:rsidR="00472625" w:rsidRPr="007633A1">
        <w:rPr>
          <w:rFonts w:ascii="Arial" w:hAnsi="Arial" w:cs="Arial"/>
          <w:lang w:val="en-US"/>
        </w:rPr>
        <w:t xml:space="preserve">see </w:t>
      </w:r>
      <w:r w:rsidR="00991890" w:rsidRPr="007633A1">
        <w:rPr>
          <w:rFonts w:ascii="Arial" w:hAnsi="Arial" w:cs="Arial"/>
          <w:lang w:val="en-US"/>
        </w:rPr>
        <w:t xml:space="preserve">annex 3). </w:t>
      </w:r>
      <w:r w:rsidRPr="007633A1">
        <w:rPr>
          <w:rFonts w:ascii="Arial" w:hAnsi="Arial" w:cs="Arial"/>
          <w:lang w:val="en-US"/>
        </w:rPr>
        <w:t>WGAT is concerned that no autopsy was c</w:t>
      </w:r>
      <w:r w:rsidR="002E654B" w:rsidRPr="007633A1">
        <w:rPr>
          <w:rFonts w:ascii="Arial" w:hAnsi="Arial" w:cs="Arial"/>
          <w:lang w:val="en-US"/>
        </w:rPr>
        <w:t>onducted in cases of suspicious deaths</w:t>
      </w:r>
      <w:r w:rsidRPr="007633A1">
        <w:rPr>
          <w:rFonts w:ascii="Arial" w:hAnsi="Arial" w:cs="Arial"/>
          <w:lang w:val="en-US"/>
        </w:rPr>
        <w:t xml:space="preserve">. </w:t>
      </w:r>
      <w:r w:rsidR="002E654B" w:rsidRPr="007633A1">
        <w:rPr>
          <w:rFonts w:ascii="Arial" w:hAnsi="Arial" w:cs="Arial"/>
          <w:lang w:val="en-US"/>
        </w:rPr>
        <w:t>This i</w:t>
      </w:r>
      <w:r w:rsidR="008D77A3">
        <w:rPr>
          <w:rFonts w:ascii="Arial" w:hAnsi="Arial" w:cs="Arial"/>
          <w:lang w:val="en-US"/>
        </w:rPr>
        <w:t>s</w:t>
      </w:r>
      <w:r w:rsidR="002E654B" w:rsidRPr="007633A1">
        <w:rPr>
          <w:rFonts w:ascii="Arial" w:hAnsi="Arial" w:cs="Arial"/>
          <w:lang w:val="en-US"/>
        </w:rPr>
        <w:t xml:space="preserve"> for example the case of the </w:t>
      </w:r>
      <w:r w:rsidR="0040059B" w:rsidRPr="007633A1">
        <w:rPr>
          <w:rFonts w:ascii="Arial" w:hAnsi="Arial" w:cs="Arial"/>
          <w:lang w:val="en-US"/>
        </w:rPr>
        <w:t xml:space="preserve">Sijunjung case (in annex 2), </w:t>
      </w:r>
      <w:r w:rsidR="002E654B" w:rsidRPr="007633A1">
        <w:rPr>
          <w:rFonts w:ascii="Arial" w:hAnsi="Arial" w:cs="Arial"/>
          <w:lang w:val="en-US"/>
        </w:rPr>
        <w:t xml:space="preserve">where </w:t>
      </w:r>
      <w:r w:rsidR="0040059B" w:rsidRPr="007633A1">
        <w:rPr>
          <w:rFonts w:ascii="Arial" w:hAnsi="Arial" w:cs="Arial"/>
          <w:lang w:val="en-US"/>
        </w:rPr>
        <w:t>the victim</w:t>
      </w:r>
      <w:r w:rsidR="009705C1">
        <w:rPr>
          <w:rFonts w:ascii="Arial" w:hAnsi="Arial" w:cs="Arial"/>
          <w:lang w:val="en-US"/>
        </w:rPr>
        <w:t>s</w:t>
      </w:r>
      <w:r w:rsidR="0040059B" w:rsidRPr="007633A1">
        <w:rPr>
          <w:rFonts w:ascii="Arial" w:hAnsi="Arial" w:cs="Arial"/>
          <w:lang w:val="en-US"/>
        </w:rPr>
        <w:t xml:space="preserve"> died</w:t>
      </w:r>
      <w:r w:rsidR="0057287C" w:rsidRPr="007633A1">
        <w:rPr>
          <w:rFonts w:ascii="Arial" w:hAnsi="Arial" w:cs="Arial"/>
          <w:lang w:val="en-US"/>
        </w:rPr>
        <w:t xml:space="preserve"> in detention. Authorities reported that </w:t>
      </w:r>
      <w:r w:rsidR="009705C1">
        <w:rPr>
          <w:rFonts w:ascii="Arial" w:hAnsi="Arial" w:cs="Arial"/>
          <w:lang w:val="en-US"/>
        </w:rPr>
        <w:t>they</w:t>
      </w:r>
      <w:r w:rsidR="0040059B" w:rsidRPr="007633A1">
        <w:rPr>
          <w:rFonts w:ascii="Arial" w:hAnsi="Arial" w:cs="Arial"/>
          <w:lang w:val="en-US"/>
        </w:rPr>
        <w:t xml:space="preserve"> committed suicide in detention. </w:t>
      </w:r>
    </w:p>
    <w:p w:rsidR="00B211AD" w:rsidRPr="007633A1" w:rsidRDefault="00B211AD" w:rsidP="00B211AD">
      <w:pPr>
        <w:jc w:val="both"/>
        <w:rPr>
          <w:rFonts w:ascii="Arial" w:hAnsi="Arial" w:cs="Arial"/>
          <w:lang w:val="en-US"/>
        </w:rPr>
      </w:pPr>
    </w:p>
    <w:p w:rsidR="00873DBB" w:rsidRPr="007633A1" w:rsidRDefault="00D801CA" w:rsidP="00B211AD">
      <w:pPr>
        <w:jc w:val="both"/>
        <w:rPr>
          <w:rFonts w:ascii="Arial" w:hAnsi="Arial" w:cs="Arial"/>
          <w:b/>
          <w:lang w:val="en-US"/>
        </w:rPr>
      </w:pPr>
      <w:r w:rsidRPr="007633A1">
        <w:rPr>
          <w:rFonts w:ascii="Arial" w:hAnsi="Arial" w:cs="Arial"/>
          <w:b/>
          <w:lang w:val="en-US"/>
        </w:rPr>
        <w:t xml:space="preserve">IV. Prohibition of torture and other cruel, inhuman or degrading treatment; liberty and security of person, treatment of persons deprived of their liberty, independence of the judiciary and fair trial (Articles 7, 9, 10 and 14) </w:t>
      </w:r>
    </w:p>
    <w:p w:rsidR="00B211AD" w:rsidRPr="007633A1" w:rsidRDefault="001A0A8E" w:rsidP="00677F33">
      <w:pPr>
        <w:pStyle w:val="SingleTxtG"/>
        <w:pBdr>
          <w:top w:val="single" w:sz="4" w:space="1" w:color="auto"/>
          <w:left w:val="single" w:sz="4" w:space="4" w:color="auto"/>
          <w:bottom w:val="single" w:sz="4" w:space="1" w:color="auto"/>
          <w:right w:val="single" w:sz="4" w:space="4" w:color="auto"/>
        </w:pBdr>
        <w:tabs>
          <w:tab w:val="left" w:pos="8647"/>
        </w:tabs>
        <w:ind w:left="0" w:right="379"/>
        <w:rPr>
          <w:rFonts w:ascii="Arial" w:hAnsi="Arial" w:cs="Arial"/>
          <w:sz w:val="22"/>
          <w:szCs w:val="22"/>
          <w:lang w:val="en-US"/>
        </w:rPr>
      </w:pPr>
      <w:r w:rsidRPr="007633A1">
        <w:rPr>
          <w:rFonts w:ascii="Arial" w:hAnsi="Arial" w:cs="Arial"/>
          <w:b/>
          <w:sz w:val="22"/>
          <w:szCs w:val="22"/>
          <w:lang w:val="en-US"/>
        </w:rPr>
        <w:t>Issue 12:</w:t>
      </w:r>
      <w:r w:rsidR="009630C3">
        <w:rPr>
          <w:rFonts w:ascii="Arial" w:hAnsi="Arial" w:cs="Arial"/>
          <w:b/>
          <w:sz w:val="22"/>
          <w:szCs w:val="22"/>
          <w:lang w:val="en-US"/>
        </w:rPr>
        <w:t xml:space="preserve"> </w:t>
      </w:r>
      <w:r w:rsidR="00B211AD" w:rsidRPr="007633A1">
        <w:rPr>
          <w:rFonts w:ascii="Arial" w:hAnsi="Arial" w:cs="Arial"/>
          <w:sz w:val="22"/>
          <w:szCs w:val="22"/>
          <w:lang w:val="en-US"/>
        </w:rPr>
        <w:t xml:space="preserve">Please provide an update on the specific steps that have been taken to revise the current Criminal Code so that it prohibits torture and it includes a definition of torture that complies with article 7 of the Covenant and article 1 of the Convention against Torture. Please provide information on the measures taken to combat the alleged widespread torture and ill treatment of detainees, and poor conditions in prisons that are allegedly exacerbated by overcrowding because most prisons and detention facilities operate at almost double capacity. </w:t>
      </w:r>
    </w:p>
    <w:p w:rsidR="00B211AD" w:rsidRPr="007633A1" w:rsidRDefault="00B211AD" w:rsidP="00B211AD">
      <w:pPr>
        <w:pStyle w:val="Listecouleur-Accent11"/>
        <w:spacing w:after="0"/>
        <w:jc w:val="both"/>
        <w:rPr>
          <w:rFonts w:ascii="Arial" w:hAnsi="Arial" w:cs="Arial"/>
          <w:lang w:val="en-US"/>
        </w:rPr>
      </w:pPr>
    </w:p>
    <w:p w:rsidR="00EE3DAD" w:rsidRPr="007633A1" w:rsidRDefault="00B211AD" w:rsidP="00F163F9">
      <w:pPr>
        <w:pStyle w:val="Listecouleur-Accent11"/>
        <w:numPr>
          <w:ilvl w:val="0"/>
          <w:numId w:val="10"/>
        </w:numPr>
        <w:spacing w:after="0"/>
        <w:ind w:left="426" w:hanging="426"/>
        <w:jc w:val="both"/>
        <w:rPr>
          <w:rFonts w:ascii="Arial" w:hAnsi="Arial" w:cs="Arial"/>
          <w:lang w:val="en-US"/>
        </w:rPr>
      </w:pPr>
      <w:r w:rsidRPr="007633A1">
        <w:rPr>
          <w:rFonts w:ascii="Arial" w:hAnsi="Arial" w:cs="Arial"/>
          <w:lang w:val="en-US"/>
        </w:rPr>
        <w:t>Indonesia has ratified the Convention against Torture</w:t>
      </w:r>
      <w:r w:rsidRPr="007633A1">
        <w:rPr>
          <w:rFonts w:ascii="Arial" w:eastAsia="Cambria" w:hAnsi="Arial" w:cs="Arial"/>
          <w:lang w:val="en-US"/>
        </w:rPr>
        <w:t xml:space="preserve"> and other Cruel, Inhuman or Degrading Treatment or Punishment since 1998. 15 (fifteen) years after ratification, torture </w:t>
      </w:r>
      <w:r w:rsidR="00EE7FBB" w:rsidRPr="007633A1">
        <w:rPr>
          <w:rFonts w:ascii="Arial" w:eastAsia="Cambria" w:hAnsi="Arial" w:cs="Arial"/>
          <w:lang w:val="en-US"/>
        </w:rPr>
        <w:t>is</w:t>
      </w:r>
      <w:r w:rsidR="004B09F3" w:rsidRPr="007633A1">
        <w:rPr>
          <w:rFonts w:ascii="Arial" w:eastAsia="Cambria" w:hAnsi="Arial" w:cs="Arial"/>
          <w:lang w:val="en-US"/>
        </w:rPr>
        <w:t xml:space="preserve"> </w:t>
      </w:r>
      <w:r w:rsidRPr="007633A1">
        <w:rPr>
          <w:rFonts w:ascii="Arial" w:eastAsia="Cambria" w:hAnsi="Arial" w:cs="Arial"/>
          <w:lang w:val="en-US"/>
        </w:rPr>
        <w:t>still practiced</w:t>
      </w:r>
      <w:r w:rsidR="00665306" w:rsidRPr="007633A1">
        <w:rPr>
          <w:rFonts w:ascii="Arial" w:eastAsia="Cambria" w:hAnsi="Arial" w:cs="Arial"/>
        </w:rPr>
        <w:t xml:space="preserve"> by</w:t>
      </w:r>
      <w:r w:rsidR="004B09F3" w:rsidRPr="007633A1">
        <w:rPr>
          <w:rFonts w:ascii="Arial" w:eastAsia="Cambria" w:hAnsi="Arial" w:cs="Arial"/>
          <w:lang w:val="en-US"/>
        </w:rPr>
        <w:t xml:space="preserve"> </w:t>
      </w:r>
      <w:r w:rsidR="00665306" w:rsidRPr="007633A1">
        <w:rPr>
          <w:rFonts w:ascii="Arial" w:eastAsia="Cambria" w:hAnsi="Arial" w:cs="Arial"/>
          <w:lang w:val="en-US"/>
        </w:rPr>
        <w:t>po</w:t>
      </w:r>
      <w:r w:rsidR="009630C3">
        <w:rPr>
          <w:rFonts w:ascii="Arial" w:eastAsia="Cambria" w:hAnsi="Arial" w:cs="Arial"/>
          <w:lang w:val="en-US"/>
        </w:rPr>
        <w:t>lice officers, prison officers, officers from</w:t>
      </w:r>
      <w:r w:rsidR="00665306" w:rsidRPr="007633A1">
        <w:rPr>
          <w:rFonts w:ascii="Arial" w:eastAsia="Cambria" w:hAnsi="Arial" w:cs="Arial"/>
          <w:lang w:val="en-US"/>
        </w:rPr>
        <w:t xml:space="preserve"> other</w:t>
      </w:r>
      <w:r w:rsidR="004B09F3" w:rsidRPr="007633A1">
        <w:rPr>
          <w:rFonts w:ascii="Arial" w:eastAsia="Cambria" w:hAnsi="Arial" w:cs="Arial"/>
          <w:lang w:val="en-US"/>
        </w:rPr>
        <w:t xml:space="preserve"> </w:t>
      </w:r>
      <w:r w:rsidR="00665306" w:rsidRPr="007633A1">
        <w:rPr>
          <w:rFonts w:ascii="Arial" w:eastAsia="Cambria" w:hAnsi="Arial" w:cs="Arial"/>
          <w:lang w:val="en-US"/>
        </w:rPr>
        <w:t>place</w:t>
      </w:r>
      <w:r w:rsidR="009630C3">
        <w:rPr>
          <w:rFonts w:ascii="Arial" w:eastAsia="Cambria" w:hAnsi="Arial" w:cs="Arial"/>
          <w:lang w:val="en-US"/>
        </w:rPr>
        <w:t>s</w:t>
      </w:r>
      <w:r w:rsidR="00665306" w:rsidRPr="007633A1">
        <w:rPr>
          <w:rFonts w:ascii="Arial" w:eastAsia="Cambria" w:hAnsi="Arial" w:cs="Arial"/>
          <w:lang w:val="en-US"/>
        </w:rPr>
        <w:t xml:space="preserve"> </w:t>
      </w:r>
      <w:r w:rsidR="009630C3">
        <w:rPr>
          <w:rFonts w:ascii="Arial" w:eastAsia="Cambria" w:hAnsi="Arial" w:cs="Arial"/>
          <w:lang w:val="en-US"/>
        </w:rPr>
        <w:t xml:space="preserve">of </w:t>
      </w:r>
      <w:r w:rsidR="00665306" w:rsidRPr="007633A1">
        <w:rPr>
          <w:rFonts w:ascii="Arial" w:eastAsia="Cambria" w:hAnsi="Arial" w:cs="Arial"/>
          <w:lang w:val="en-US"/>
        </w:rPr>
        <w:t xml:space="preserve">detention </w:t>
      </w:r>
      <w:r w:rsidR="009630C3">
        <w:rPr>
          <w:rFonts w:ascii="Arial" w:eastAsia="Cambria" w:hAnsi="Arial" w:cs="Arial"/>
          <w:lang w:val="en-US"/>
        </w:rPr>
        <w:t>(</w:t>
      </w:r>
      <w:r w:rsidR="004B09F3" w:rsidRPr="007633A1">
        <w:rPr>
          <w:rFonts w:ascii="Arial" w:eastAsia="Cambria" w:hAnsi="Arial" w:cs="Arial"/>
          <w:lang w:val="en-US"/>
        </w:rPr>
        <w:t xml:space="preserve"> for example</w:t>
      </w:r>
      <w:r w:rsidR="009705C1">
        <w:rPr>
          <w:rFonts w:ascii="Arial" w:eastAsia="Cambria" w:hAnsi="Arial" w:cs="Arial"/>
          <w:lang w:val="en-US"/>
        </w:rPr>
        <w:t>,</w:t>
      </w:r>
      <w:r w:rsidR="004B09F3" w:rsidRPr="007633A1">
        <w:rPr>
          <w:rFonts w:ascii="Arial" w:eastAsia="Cambria" w:hAnsi="Arial" w:cs="Arial"/>
          <w:lang w:val="en-US"/>
        </w:rPr>
        <w:t xml:space="preserve"> training center</w:t>
      </w:r>
      <w:r w:rsidR="009705C1">
        <w:rPr>
          <w:rFonts w:ascii="Arial" w:eastAsia="Cambria" w:hAnsi="Arial" w:cs="Arial"/>
          <w:lang w:val="en-US"/>
        </w:rPr>
        <w:t>s</w:t>
      </w:r>
      <w:r w:rsidR="004B09F3" w:rsidRPr="007633A1">
        <w:rPr>
          <w:rFonts w:ascii="Arial" w:eastAsia="Cambria" w:hAnsi="Arial" w:cs="Arial"/>
          <w:lang w:val="en-US"/>
        </w:rPr>
        <w:t xml:space="preserve"> for migrant worker</w:t>
      </w:r>
      <w:r w:rsidR="009630C3">
        <w:rPr>
          <w:rFonts w:ascii="Arial" w:eastAsia="Cambria" w:hAnsi="Arial" w:cs="Arial"/>
          <w:lang w:val="en-US"/>
        </w:rPr>
        <w:t xml:space="preserve">s, migrant workers </w:t>
      </w:r>
      <w:r w:rsidR="004B09F3" w:rsidRPr="007633A1">
        <w:rPr>
          <w:rFonts w:ascii="Arial" w:eastAsia="Cambria" w:hAnsi="Arial" w:cs="Arial"/>
          <w:lang w:val="en-US"/>
        </w:rPr>
        <w:t>detention</w:t>
      </w:r>
      <w:r w:rsidR="009630C3">
        <w:rPr>
          <w:rFonts w:ascii="Arial" w:eastAsia="Cambria" w:hAnsi="Arial" w:cs="Arial"/>
          <w:lang w:val="en-US"/>
        </w:rPr>
        <w:t xml:space="preserve"> </w:t>
      </w:r>
      <w:r w:rsidR="009630C3">
        <w:rPr>
          <w:rFonts w:ascii="Arial" w:eastAsia="Cambria" w:hAnsi="Arial" w:cs="Arial"/>
          <w:lang w:val="en-US"/>
        </w:rPr>
        <w:lastRenderedPageBreak/>
        <w:t>centers</w:t>
      </w:r>
      <w:r w:rsidR="004B09F3" w:rsidRPr="007633A1">
        <w:rPr>
          <w:rFonts w:ascii="Arial" w:eastAsia="Cambria" w:hAnsi="Arial" w:cs="Arial"/>
          <w:lang w:val="en-US"/>
        </w:rPr>
        <w:t>, drugs rehabilitation cent</w:t>
      </w:r>
      <w:r w:rsidR="009630C3">
        <w:rPr>
          <w:rFonts w:ascii="Arial" w:eastAsia="Cambria" w:hAnsi="Arial" w:cs="Arial"/>
          <w:lang w:val="en-US"/>
        </w:rPr>
        <w:t>ers</w:t>
      </w:r>
      <w:r w:rsidR="004B09F3" w:rsidRPr="007633A1">
        <w:rPr>
          <w:rFonts w:ascii="Arial" w:eastAsia="Cambria" w:hAnsi="Arial" w:cs="Arial"/>
          <w:lang w:val="en-US"/>
        </w:rPr>
        <w:t>, and social</w:t>
      </w:r>
      <w:r w:rsidR="006020C5" w:rsidRPr="007633A1">
        <w:rPr>
          <w:rFonts w:ascii="Arial" w:eastAsia="Cambria" w:hAnsi="Arial" w:cs="Arial"/>
          <w:lang w:val="en-US"/>
        </w:rPr>
        <w:t xml:space="preserve"> homes</w:t>
      </w:r>
      <w:r w:rsidR="009630C3">
        <w:rPr>
          <w:rFonts w:ascii="Arial" w:eastAsia="Cambria" w:hAnsi="Arial" w:cs="Arial"/>
          <w:lang w:val="en-US"/>
        </w:rPr>
        <w:t>),</w:t>
      </w:r>
      <w:r w:rsidR="00DE4BBE" w:rsidRPr="007633A1">
        <w:rPr>
          <w:rFonts w:ascii="Arial" w:eastAsia="Cambria" w:hAnsi="Arial" w:cs="Arial"/>
          <w:lang w:val="en-US"/>
        </w:rPr>
        <w:t xml:space="preserve"> </w:t>
      </w:r>
      <w:r w:rsidR="00665306" w:rsidRPr="007633A1">
        <w:rPr>
          <w:rFonts w:ascii="Arial" w:eastAsia="Cambria" w:hAnsi="Arial" w:cs="Arial"/>
          <w:lang w:val="en-US"/>
        </w:rPr>
        <w:t xml:space="preserve">and </w:t>
      </w:r>
      <w:r w:rsidR="00DE4BBE" w:rsidRPr="007633A1">
        <w:rPr>
          <w:rFonts w:ascii="Arial" w:eastAsia="Cambria" w:hAnsi="Arial" w:cs="Arial"/>
          <w:lang w:val="en-US"/>
        </w:rPr>
        <w:t xml:space="preserve">the </w:t>
      </w:r>
      <w:r w:rsidR="00665306" w:rsidRPr="007633A1">
        <w:rPr>
          <w:rFonts w:ascii="Arial" w:eastAsia="Cambria" w:hAnsi="Arial" w:cs="Arial"/>
          <w:lang w:val="en-US"/>
        </w:rPr>
        <w:t>military</w:t>
      </w:r>
      <w:r w:rsidR="00665306" w:rsidRPr="007633A1">
        <w:rPr>
          <w:rStyle w:val="FootnoteReference"/>
          <w:rFonts w:ascii="Arial" w:eastAsia="Cambria" w:hAnsi="Arial" w:cs="Arial"/>
          <w:lang w:val="en-US"/>
        </w:rPr>
        <w:footnoteReference w:id="4"/>
      </w:r>
      <w:r w:rsidR="009630C3">
        <w:rPr>
          <w:rFonts w:ascii="Arial" w:eastAsia="Cambria" w:hAnsi="Arial" w:cs="Arial"/>
          <w:lang w:val="en-US"/>
        </w:rPr>
        <w:t xml:space="preserve"> </w:t>
      </w:r>
      <w:r w:rsidR="007B5E1E" w:rsidRPr="007633A1">
        <w:rPr>
          <w:rFonts w:ascii="Arial" w:eastAsia="Cambria" w:hAnsi="Arial" w:cs="Arial"/>
          <w:lang w:val="en-US"/>
        </w:rPr>
        <w:t>across Indonesia</w:t>
      </w:r>
      <w:r w:rsidR="00DE4BBE" w:rsidRPr="007633A1">
        <w:rPr>
          <w:rFonts w:ascii="Arial" w:eastAsia="Cambria" w:hAnsi="Arial" w:cs="Arial"/>
          <w:lang w:val="en-US"/>
        </w:rPr>
        <w:t>. The</w:t>
      </w:r>
      <w:r w:rsidRPr="007633A1">
        <w:rPr>
          <w:rFonts w:ascii="Arial" w:eastAsia="Cambria" w:hAnsi="Arial" w:cs="Arial"/>
          <w:lang w:val="en-US"/>
        </w:rPr>
        <w:t xml:space="preserve"> perpetrators </w:t>
      </w:r>
      <w:r w:rsidR="00EE7FBB" w:rsidRPr="007633A1">
        <w:rPr>
          <w:rFonts w:ascii="Arial" w:eastAsia="Cambria" w:hAnsi="Arial" w:cs="Arial"/>
          <w:lang w:val="en-US"/>
        </w:rPr>
        <w:t>are</w:t>
      </w:r>
      <w:r w:rsidR="004B09F3" w:rsidRPr="007633A1">
        <w:rPr>
          <w:rFonts w:ascii="Arial" w:eastAsia="Cambria" w:hAnsi="Arial" w:cs="Arial"/>
          <w:lang w:val="en-US"/>
        </w:rPr>
        <w:t xml:space="preserve"> </w:t>
      </w:r>
      <w:r w:rsidRPr="007633A1">
        <w:rPr>
          <w:rFonts w:ascii="Arial" w:eastAsia="Cambria" w:hAnsi="Arial" w:cs="Arial"/>
          <w:lang w:val="en-US"/>
        </w:rPr>
        <w:t>often free from punishment</w:t>
      </w:r>
      <w:r w:rsidR="004B09F3" w:rsidRPr="007633A1">
        <w:rPr>
          <w:rFonts w:ascii="Arial" w:eastAsia="Cambria" w:hAnsi="Arial" w:cs="Arial"/>
          <w:lang w:val="en-US"/>
        </w:rPr>
        <w:t xml:space="preserve"> </w:t>
      </w:r>
      <w:r w:rsidR="00630BB9" w:rsidRPr="007633A1">
        <w:rPr>
          <w:rFonts w:ascii="Arial" w:eastAsia="Cambria" w:hAnsi="Arial" w:cs="Arial"/>
          <w:lang w:val="en-US"/>
        </w:rPr>
        <w:t>because</w:t>
      </w:r>
      <w:r w:rsidR="00222BAC" w:rsidRPr="007633A1">
        <w:rPr>
          <w:rFonts w:ascii="Arial" w:eastAsia="Cambria" w:hAnsi="Arial" w:cs="Arial"/>
          <w:lang w:val="en-US"/>
        </w:rPr>
        <w:t xml:space="preserve">, among others, </w:t>
      </w:r>
      <w:r w:rsidR="00630BB9" w:rsidRPr="007633A1">
        <w:rPr>
          <w:rFonts w:ascii="Arial" w:eastAsia="Cambria" w:hAnsi="Arial" w:cs="Arial"/>
          <w:lang w:val="en-US"/>
        </w:rPr>
        <w:t>the lack of</w:t>
      </w:r>
      <w:r w:rsidR="008A5D46" w:rsidRPr="007633A1">
        <w:rPr>
          <w:rFonts w:ascii="Arial" w:eastAsia="Cambria" w:hAnsi="Arial" w:cs="Arial"/>
          <w:lang w:val="en-US"/>
        </w:rPr>
        <w:t xml:space="preserve"> definition and</w:t>
      </w:r>
      <w:r w:rsidR="007633A1">
        <w:rPr>
          <w:rFonts w:ascii="Arial" w:eastAsia="Cambria" w:hAnsi="Arial" w:cs="Arial"/>
          <w:lang w:val="en-US"/>
        </w:rPr>
        <w:t xml:space="preserve"> </w:t>
      </w:r>
      <w:r w:rsidR="006C4232" w:rsidRPr="007633A1">
        <w:rPr>
          <w:rFonts w:ascii="Arial" w:eastAsia="Cambria" w:hAnsi="Arial" w:cs="Arial"/>
          <w:lang w:val="en-US"/>
        </w:rPr>
        <w:t xml:space="preserve">criminalization of torture. </w:t>
      </w:r>
      <w:r w:rsidR="00DE4BBE" w:rsidRPr="007633A1">
        <w:rPr>
          <w:rFonts w:ascii="Arial" w:eastAsia="Cambria" w:hAnsi="Arial" w:cs="Arial"/>
          <w:lang w:val="en-US"/>
        </w:rPr>
        <w:t>The d</w:t>
      </w:r>
      <w:r w:rsidR="00EE3DAD" w:rsidRPr="007633A1">
        <w:rPr>
          <w:rFonts w:ascii="Arial" w:eastAsia="Cambria" w:hAnsi="Arial" w:cs="Arial"/>
          <w:lang w:val="en-US"/>
        </w:rPr>
        <w:t>efinition of to</w:t>
      </w:r>
      <w:r w:rsidR="002E415B" w:rsidRPr="007633A1">
        <w:rPr>
          <w:rFonts w:ascii="Arial" w:eastAsia="Cambria" w:hAnsi="Arial" w:cs="Arial"/>
          <w:lang w:val="en-US"/>
        </w:rPr>
        <w:t>rture as stated in Article 1 o</w:t>
      </w:r>
      <w:r w:rsidR="00EE3DAD" w:rsidRPr="007633A1">
        <w:rPr>
          <w:rFonts w:ascii="Arial" w:eastAsia="Cambria" w:hAnsi="Arial" w:cs="Arial"/>
          <w:lang w:val="en-US"/>
        </w:rPr>
        <w:t xml:space="preserve">f the Convention </w:t>
      </w:r>
      <w:r w:rsidR="00312CE5" w:rsidRPr="007633A1">
        <w:rPr>
          <w:rFonts w:ascii="Arial" w:eastAsia="Cambria" w:hAnsi="Arial" w:cs="Arial"/>
          <w:lang w:val="en-US"/>
        </w:rPr>
        <w:t xml:space="preserve">against </w:t>
      </w:r>
      <w:r w:rsidR="00EE3DAD" w:rsidRPr="007633A1">
        <w:rPr>
          <w:rFonts w:ascii="Arial" w:eastAsia="Cambria" w:hAnsi="Arial" w:cs="Arial"/>
          <w:lang w:val="en-US"/>
        </w:rPr>
        <w:t xml:space="preserve">Torture has not </w:t>
      </w:r>
      <w:r w:rsidR="00DE4BBE" w:rsidRPr="007633A1">
        <w:rPr>
          <w:rFonts w:ascii="Arial" w:eastAsia="Cambria" w:hAnsi="Arial" w:cs="Arial"/>
          <w:lang w:val="en-US"/>
        </w:rPr>
        <w:t xml:space="preserve">been </w:t>
      </w:r>
      <w:r w:rsidR="00EE3DAD" w:rsidRPr="007633A1">
        <w:rPr>
          <w:rFonts w:ascii="Arial" w:eastAsia="Cambria" w:hAnsi="Arial" w:cs="Arial"/>
          <w:lang w:val="en-US"/>
        </w:rPr>
        <w:t xml:space="preserve">incorporated into domestic law due the long delayed legislation process of the Draft Criminal </w:t>
      </w:r>
      <w:r w:rsidR="00807815" w:rsidRPr="007633A1">
        <w:rPr>
          <w:rFonts w:ascii="Arial" w:eastAsia="Cambria" w:hAnsi="Arial" w:cs="Arial"/>
          <w:lang w:val="en-US"/>
        </w:rPr>
        <w:t>Code</w:t>
      </w:r>
      <w:r w:rsidR="00312CE5" w:rsidRPr="007633A1">
        <w:rPr>
          <w:rFonts w:ascii="Arial" w:eastAsia="Cambria" w:hAnsi="Arial" w:cs="Arial"/>
          <w:lang w:val="en-US"/>
        </w:rPr>
        <w:t>. It has n</w:t>
      </w:r>
      <w:r w:rsidR="00E50BE5" w:rsidRPr="007633A1">
        <w:rPr>
          <w:rFonts w:ascii="Arial" w:eastAsia="Cambria" w:hAnsi="Arial" w:cs="Arial"/>
          <w:lang w:val="en-US"/>
        </w:rPr>
        <w:t>either</w:t>
      </w:r>
      <w:r w:rsidR="00312CE5" w:rsidRPr="007633A1">
        <w:rPr>
          <w:rFonts w:ascii="Arial" w:eastAsia="Cambria" w:hAnsi="Arial" w:cs="Arial"/>
          <w:lang w:val="en-US"/>
        </w:rPr>
        <w:t xml:space="preserve"> been incorporated into </w:t>
      </w:r>
      <w:r w:rsidR="00807815" w:rsidRPr="007633A1">
        <w:rPr>
          <w:rFonts w:ascii="Arial" w:eastAsia="Cambria" w:hAnsi="Arial" w:cs="Arial"/>
          <w:lang w:val="en-US"/>
        </w:rPr>
        <w:t xml:space="preserve">a special </w:t>
      </w:r>
      <w:r w:rsidR="00DE4BBE" w:rsidRPr="007633A1">
        <w:rPr>
          <w:rFonts w:ascii="Arial" w:eastAsia="Cambria" w:hAnsi="Arial" w:cs="Arial"/>
          <w:lang w:val="en-US"/>
        </w:rPr>
        <w:t>law</w:t>
      </w:r>
      <w:r w:rsidR="00312CE5" w:rsidRPr="007633A1">
        <w:rPr>
          <w:rFonts w:ascii="Arial" w:eastAsia="Cambria" w:hAnsi="Arial" w:cs="Arial"/>
          <w:lang w:val="en-US"/>
        </w:rPr>
        <w:t>.</w:t>
      </w:r>
    </w:p>
    <w:p w:rsidR="006E2B3D" w:rsidRPr="007633A1" w:rsidRDefault="006E2B3D" w:rsidP="00F27BE2">
      <w:pPr>
        <w:pStyle w:val="Listecouleur-Accent11"/>
        <w:spacing w:after="0"/>
        <w:ind w:left="0"/>
        <w:jc w:val="both"/>
        <w:rPr>
          <w:rFonts w:ascii="Arial" w:eastAsia="Cambria" w:hAnsi="Arial" w:cs="Arial"/>
          <w:lang w:val="en-US"/>
        </w:rPr>
      </w:pPr>
    </w:p>
    <w:p w:rsidR="006E2B3D" w:rsidRPr="007633A1" w:rsidRDefault="00D801CA" w:rsidP="00F163F9">
      <w:pPr>
        <w:pStyle w:val="Listecouleur-Accent11"/>
        <w:numPr>
          <w:ilvl w:val="0"/>
          <w:numId w:val="10"/>
        </w:numPr>
        <w:spacing w:after="0"/>
        <w:ind w:left="426" w:hanging="426"/>
        <w:jc w:val="both"/>
        <w:rPr>
          <w:rFonts w:ascii="Arial" w:eastAsia="Cambria" w:hAnsi="Arial" w:cs="Arial"/>
          <w:lang w:val="en-US"/>
        </w:rPr>
      </w:pPr>
      <w:r w:rsidRPr="007633A1">
        <w:rPr>
          <w:rFonts w:ascii="Arial" w:eastAsia="Cambria" w:hAnsi="Arial" w:cs="Arial"/>
          <w:lang w:val="en-US"/>
        </w:rPr>
        <w:t>The existing Criminal Code</w:t>
      </w:r>
      <w:r w:rsidR="009630C3">
        <w:rPr>
          <w:rFonts w:ascii="Arial" w:eastAsia="Cambria" w:hAnsi="Arial" w:cs="Arial"/>
          <w:lang w:val="en-US"/>
        </w:rPr>
        <w:t xml:space="preserve"> (KUHP)</w:t>
      </w:r>
      <w:r w:rsidRPr="007633A1">
        <w:rPr>
          <w:rFonts w:ascii="Arial" w:eastAsia="Cambria" w:hAnsi="Arial" w:cs="Arial"/>
          <w:lang w:val="en-US"/>
        </w:rPr>
        <w:t xml:space="preserve"> only recognizes the term </w:t>
      </w:r>
      <w:r w:rsidR="007B65B7" w:rsidRPr="007633A1">
        <w:rPr>
          <w:rFonts w:ascii="Arial" w:eastAsia="Cambria" w:hAnsi="Arial" w:cs="Arial"/>
          <w:lang w:val="en-US"/>
        </w:rPr>
        <w:t xml:space="preserve">of “maltreatment” </w:t>
      </w:r>
      <w:r w:rsidRPr="007633A1">
        <w:rPr>
          <w:rFonts w:ascii="Arial" w:eastAsia="Cambria" w:hAnsi="Arial" w:cs="Arial"/>
          <w:lang w:val="en-US"/>
        </w:rPr>
        <w:t xml:space="preserve">punishable by maximum </w:t>
      </w:r>
      <w:r w:rsidR="00727DA6" w:rsidRPr="007633A1">
        <w:rPr>
          <w:rFonts w:ascii="Arial" w:eastAsia="Cambria" w:hAnsi="Arial" w:cs="Arial"/>
          <w:lang w:val="en-US"/>
        </w:rPr>
        <w:t>imprisonment of</w:t>
      </w:r>
      <w:r w:rsidR="007B65B7" w:rsidRPr="007633A1">
        <w:rPr>
          <w:rFonts w:ascii="Arial" w:eastAsia="Cambria" w:hAnsi="Arial" w:cs="Arial"/>
          <w:lang w:val="en-US"/>
        </w:rPr>
        <w:t xml:space="preserve"> two </w:t>
      </w:r>
      <w:r w:rsidR="00727DA6" w:rsidRPr="007633A1">
        <w:rPr>
          <w:rFonts w:ascii="Arial" w:eastAsia="Cambria" w:hAnsi="Arial" w:cs="Arial"/>
          <w:lang w:val="en-US"/>
        </w:rPr>
        <w:t>years and</w:t>
      </w:r>
      <w:r w:rsidR="007B65B7" w:rsidRPr="007633A1">
        <w:rPr>
          <w:rFonts w:ascii="Arial" w:eastAsia="Cambria" w:hAnsi="Arial" w:cs="Arial"/>
          <w:lang w:val="en-US"/>
        </w:rPr>
        <w:t xml:space="preserve"> eight month</w:t>
      </w:r>
      <w:r w:rsidR="009630C3">
        <w:rPr>
          <w:rFonts w:ascii="Arial" w:eastAsia="Cambria" w:hAnsi="Arial" w:cs="Arial"/>
          <w:lang w:val="en-US"/>
        </w:rPr>
        <w:t>s</w:t>
      </w:r>
      <w:r w:rsidR="007B65B7" w:rsidRPr="007633A1">
        <w:rPr>
          <w:rFonts w:ascii="Arial" w:eastAsia="Cambria" w:hAnsi="Arial" w:cs="Arial"/>
          <w:lang w:val="en-US"/>
        </w:rPr>
        <w:t xml:space="preserve">, or five </w:t>
      </w:r>
      <w:r w:rsidR="00727DA6" w:rsidRPr="007633A1">
        <w:rPr>
          <w:rFonts w:ascii="Arial" w:eastAsia="Cambria" w:hAnsi="Arial" w:cs="Arial"/>
          <w:lang w:val="en-US"/>
        </w:rPr>
        <w:t>years if</w:t>
      </w:r>
      <w:r w:rsidR="007B65B7" w:rsidRPr="007633A1">
        <w:rPr>
          <w:rFonts w:ascii="Arial" w:eastAsia="Cambria" w:hAnsi="Arial" w:cs="Arial"/>
          <w:lang w:val="en-US"/>
        </w:rPr>
        <w:t xml:space="preserve"> it </w:t>
      </w:r>
      <w:r w:rsidR="00727DA6" w:rsidRPr="007633A1">
        <w:rPr>
          <w:rFonts w:ascii="Arial" w:eastAsia="Cambria" w:hAnsi="Arial" w:cs="Arial"/>
          <w:lang w:val="en-US"/>
        </w:rPr>
        <w:t>resulted in a serious physical injury, or</w:t>
      </w:r>
      <w:r w:rsidR="006020C5" w:rsidRPr="007633A1">
        <w:rPr>
          <w:rFonts w:ascii="Arial" w:eastAsia="Cambria" w:hAnsi="Arial" w:cs="Arial"/>
          <w:lang w:val="en-US"/>
        </w:rPr>
        <w:t xml:space="preserve"> </w:t>
      </w:r>
      <w:r w:rsidR="00727DA6" w:rsidRPr="007633A1">
        <w:rPr>
          <w:rFonts w:ascii="Arial" w:eastAsia="Cambria" w:hAnsi="Arial" w:cs="Arial"/>
          <w:lang w:val="en-US"/>
        </w:rPr>
        <w:t>seven years</w:t>
      </w:r>
      <w:r w:rsidR="007B65B7" w:rsidRPr="007633A1">
        <w:rPr>
          <w:rFonts w:ascii="Arial" w:eastAsia="Cambria" w:hAnsi="Arial" w:cs="Arial"/>
          <w:lang w:val="en-US"/>
        </w:rPr>
        <w:t xml:space="preserve"> if it result</w:t>
      </w:r>
      <w:r w:rsidR="00727DA6" w:rsidRPr="007633A1">
        <w:rPr>
          <w:rFonts w:ascii="Arial" w:eastAsia="Cambria" w:hAnsi="Arial" w:cs="Arial"/>
          <w:lang w:val="en-US"/>
        </w:rPr>
        <w:t>e</w:t>
      </w:r>
      <w:r w:rsidR="007B65B7" w:rsidRPr="007633A1">
        <w:rPr>
          <w:rFonts w:ascii="Arial" w:eastAsia="Cambria" w:hAnsi="Arial" w:cs="Arial"/>
          <w:lang w:val="en-US"/>
        </w:rPr>
        <w:t>d in death.</w:t>
      </w:r>
      <w:r w:rsidR="007B65B7" w:rsidRPr="007633A1">
        <w:rPr>
          <w:rStyle w:val="FootnoteReference"/>
          <w:rFonts w:ascii="Arial" w:eastAsia="Cambria" w:hAnsi="Arial" w:cs="Arial"/>
          <w:lang w:val="en-US"/>
        </w:rPr>
        <w:footnoteReference w:id="5"/>
      </w:r>
      <w:r w:rsidR="006020C5" w:rsidRPr="007633A1">
        <w:rPr>
          <w:rFonts w:ascii="Arial" w:eastAsia="Cambria" w:hAnsi="Arial" w:cs="Arial"/>
          <w:lang w:val="en-US"/>
        </w:rPr>
        <w:t xml:space="preserve"> </w:t>
      </w:r>
      <w:r w:rsidR="00E50BE5" w:rsidRPr="007633A1">
        <w:rPr>
          <w:rFonts w:ascii="Arial" w:eastAsia="Cambria" w:hAnsi="Arial" w:cs="Arial"/>
          <w:lang w:val="en-US"/>
        </w:rPr>
        <w:t>Such</w:t>
      </w:r>
      <w:r w:rsidR="004B09F3" w:rsidRPr="007633A1">
        <w:rPr>
          <w:rFonts w:ascii="Arial" w:eastAsia="Cambria" w:hAnsi="Arial" w:cs="Arial"/>
          <w:lang w:val="en-US"/>
        </w:rPr>
        <w:t xml:space="preserve"> </w:t>
      </w:r>
      <w:r w:rsidR="007B65B7" w:rsidRPr="007633A1">
        <w:rPr>
          <w:rFonts w:ascii="Arial" w:eastAsia="Cambria" w:hAnsi="Arial" w:cs="Arial"/>
          <w:lang w:val="en-US"/>
        </w:rPr>
        <w:t>punishment</w:t>
      </w:r>
      <w:r w:rsidR="00E50BE5" w:rsidRPr="007633A1">
        <w:rPr>
          <w:rFonts w:ascii="Arial" w:eastAsia="Cambria" w:hAnsi="Arial" w:cs="Arial"/>
          <w:lang w:val="en-US"/>
        </w:rPr>
        <w:t>s</w:t>
      </w:r>
      <w:r w:rsidR="004B09F3" w:rsidRPr="007633A1">
        <w:rPr>
          <w:rFonts w:ascii="Arial" w:eastAsia="Cambria" w:hAnsi="Arial" w:cs="Arial"/>
          <w:lang w:val="en-US"/>
        </w:rPr>
        <w:t xml:space="preserve"> </w:t>
      </w:r>
      <w:r w:rsidR="00003A40" w:rsidRPr="007633A1">
        <w:rPr>
          <w:rFonts w:ascii="Arial" w:eastAsia="Cambria" w:hAnsi="Arial" w:cs="Arial"/>
          <w:lang w:val="en-US"/>
        </w:rPr>
        <w:t>provide</w:t>
      </w:r>
      <w:r w:rsidR="008C74E0" w:rsidRPr="007633A1">
        <w:rPr>
          <w:rFonts w:ascii="Arial" w:eastAsia="Cambria" w:hAnsi="Arial" w:cs="Arial"/>
          <w:lang w:val="en-US"/>
        </w:rPr>
        <w:t>d</w:t>
      </w:r>
      <w:r w:rsidR="007B65B7" w:rsidRPr="007633A1">
        <w:rPr>
          <w:rFonts w:ascii="Arial" w:eastAsia="Cambria" w:hAnsi="Arial" w:cs="Arial"/>
          <w:lang w:val="en-US"/>
        </w:rPr>
        <w:t xml:space="preserve"> in KUHP for maltreatment do not reflect the very element of torture</w:t>
      </w:r>
      <w:r w:rsidR="005D70A6" w:rsidRPr="007633A1">
        <w:rPr>
          <w:rFonts w:ascii="Arial" w:eastAsia="Cambria" w:hAnsi="Arial" w:cs="Arial"/>
          <w:lang w:val="en-US"/>
        </w:rPr>
        <w:t>,</w:t>
      </w:r>
      <w:r w:rsidR="007B65B7" w:rsidRPr="007633A1">
        <w:rPr>
          <w:rFonts w:ascii="Arial" w:eastAsia="Cambria" w:hAnsi="Arial" w:cs="Arial"/>
          <w:lang w:val="en-US"/>
        </w:rPr>
        <w:t xml:space="preserve"> in which</w:t>
      </w:r>
      <w:r w:rsidR="004B09F3" w:rsidRPr="007633A1">
        <w:rPr>
          <w:rFonts w:ascii="Arial" w:eastAsia="Cambria" w:hAnsi="Arial" w:cs="Arial"/>
          <w:lang w:val="en-US"/>
        </w:rPr>
        <w:t xml:space="preserve"> </w:t>
      </w:r>
      <w:r w:rsidR="00E10CE7" w:rsidRPr="007633A1">
        <w:rPr>
          <w:rFonts w:ascii="Arial" w:eastAsia="Cambria" w:hAnsi="Arial" w:cs="Arial"/>
          <w:lang w:val="en-US"/>
        </w:rPr>
        <w:t xml:space="preserve">its prohibition has been </w:t>
      </w:r>
      <w:r w:rsidR="00003A40" w:rsidRPr="007633A1">
        <w:rPr>
          <w:rFonts w:ascii="Arial" w:eastAsia="Cambria" w:hAnsi="Arial" w:cs="Arial"/>
          <w:lang w:val="en-US"/>
        </w:rPr>
        <w:t>recognized</w:t>
      </w:r>
      <w:r w:rsidR="007B65B7" w:rsidRPr="007633A1">
        <w:rPr>
          <w:rFonts w:ascii="Arial" w:eastAsia="Cambria" w:hAnsi="Arial" w:cs="Arial"/>
          <w:lang w:val="en-US"/>
        </w:rPr>
        <w:t xml:space="preserve"> as an international norm of jus cogens</w:t>
      </w:r>
      <w:r w:rsidR="007B65B7" w:rsidRPr="007633A1">
        <w:rPr>
          <w:rStyle w:val="FootnoteReference"/>
          <w:rFonts w:ascii="Arial" w:eastAsia="Cambria" w:hAnsi="Arial" w:cs="Arial"/>
          <w:lang w:val="en-US"/>
        </w:rPr>
        <w:footnoteReference w:id="6"/>
      </w:r>
      <w:r w:rsidR="008C74E0" w:rsidRPr="007633A1">
        <w:rPr>
          <w:rFonts w:ascii="Arial" w:eastAsia="Cambria" w:hAnsi="Arial" w:cs="Arial"/>
          <w:lang w:val="en-US"/>
        </w:rPr>
        <w:t>.</w:t>
      </w:r>
    </w:p>
    <w:p w:rsidR="006E2B3D" w:rsidRPr="007633A1" w:rsidRDefault="006E2B3D" w:rsidP="00F27BE2">
      <w:pPr>
        <w:pStyle w:val="Listecouleur-Accent11"/>
        <w:spacing w:after="0"/>
        <w:ind w:left="0"/>
        <w:jc w:val="both"/>
        <w:rPr>
          <w:rFonts w:ascii="Arial" w:hAnsi="Arial" w:cs="Arial"/>
          <w:lang w:val="en-US"/>
        </w:rPr>
      </w:pPr>
    </w:p>
    <w:p w:rsidR="00B211AD" w:rsidRPr="007633A1" w:rsidRDefault="00B211AD" w:rsidP="00F163F9">
      <w:pPr>
        <w:pStyle w:val="Listecouleur-Accent11"/>
        <w:numPr>
          <w:ilvl w:val="0"/>
          <w:numId w:val="10"/>
        </w:numPr>
        <w:spacing w:after="0"/>
        <w:ind w:left="426" w:hanging="426"/>
        <w:jc w:val="both"/>
        <w:rPr>
          <w:rFonts w:ascii="Arial" w:hAnsi="Arial" w:cs="Arial"/>
          <w:lang w:val="en-US"/>
        </w:rPr>
      </w:pPr>
      <w:r w:rsidRPr="007633A1">
        <w:rPr>
          <w:rFonts w:ascii="Arial" w:hAnsi="Arial" w:cs="Arial"/>
          <w:lang w:val="en-US"/>
        </w:rPr>
        <w:t xml:space="preserve">This </w:t>
      </w:r>
      <w:r w:rsidR="000C77B9" w:rsidRPr="007633A1">
        <w:rPr>
          <w:rFonts w:ascii="Arial" w:hAnsi="Arial" w:cs="Arial"/>
          <w:lang w:val="en-US"/>
        </w:rPr>
        <w:t xml:space="preserve">practice </w:t>
      </w:r>
      <w:r w:rsidR="00090D70" w:rsidRPr="007633A1">
        <w:rPr>
          <w:rFonts w:ascii="Arial" w:hAnsi="Arial" w:cs="Arial"/>
          <w:lang w:val="en-US"/>
        </w:rPr>
        <w:t>has been</w:t>
      </w:r>
      <w:r w:rsidR="004B09F3" w:rsidRPr="007633A1">
        <w:rPr>
          <w:rFonts w:ascii="Arial" w:hAnsi="Arial" w:cs="Arial"/>
          <w:lang w:val="en-US"/>
        </w:rPr>
        <w:t xml:space="preserve"> </w:t>
      </w:r>
      <w:r w:rsidR="000C77B9" w:rsidRPr="007633A1">
        <w:rPr>
          <w:rFonts w:ascii="Arial" w:hAnsi="Arial" w:cs="Arial"/>
          <w:lang w:val="en-US"/>
        </w:rPr>
        <w:t xml:space="preserve">confirmed </w:t>
      </w:r>
      <w:r w:rsidRPr="007633A1">
        <w:rPr>
          <w:rFonts w:ascii="Arial" w:hAnsi="Arial" w:cs="Arial"/>
          <w:lang w:val="en-US"/>
        </w:rPr>
        <w:t xml:space="preserve">by findings from trial monitoring conducted by ELSAM and research conducted by LBH Jakarta. </w:t>
      </w:r>
      <w:r w:rsidR="008C74E0" w:rsidRPr="007633A1">
        <w:rPr>
          <w:rFonts w:ascii="Arial" w:hAnsi="Arial" w:cs="Arial"/>
          <w:lang w:val="en-US"/>
        </w:rPr>
        <w:t>T</w:t>
      </w:r>
      <w:r w:rsidR="00A74B32" w:rsidRPr="007633A1">
        <w:rPr>
          <w:rFonts w:ascii="Arial" w:hAnsi="Arial" w:cs="Arial"/>
          <w:lang w:val="en-US"/>
        </w:rPr>
        <w:t xml:space="preserve">he examples of which are </w:t>
      </w:r>
      <w:r w:rsidR="008C74E0" w:rsidRPr="007633A1">
        <w:rPr>
          <w:rFonts w:ascii="Arial" w:hAnsi="Arial" w:cs="Arial"/>
          <w:lang w:val="en-US"/>
        </w:rPr>
        <w:t>the</w:t>
      </w:r>
      <w:r w:rsidR="004B09F3" w:rsidRPr="007633A1">
        <w:rPr>
          <w:rFonts w:ascii="Arial" w:hAnsi="Arial" w:cs="Arial"/>
          <w:lang w:val="en-US"/>
        </w:rPr>
        <w:t xml:space="preserve"> </w:t>
      </w:r>
      <w:r w:rsidR="00A74B32" w:rsidRPr="007633A1">
        <w:rPr>
          <w:rFonts w:ascii="Arial" w:hAnsi="Arial" w:cs="Arial"/>
          <w:lang w:val="en-US"/>
        </w:rPr>
        <w:t xml:space="preserve">Sijunjung </w:t>
      </w:r>
      <w:r w:rsidR="008C74E0" w:rsidRPr="007633A1">
        <w:rPr>
          <w:rFonts w:ascii="Arial" w:hAnsi="Arial" w:cs="Arial"/>
          <w:lang w:val="en-US"/>
        </w:rPr>
        <w:t>c</w:t>
      </w:r>
      <w:r w:rsidR="00A74B32" w:rsidRPr="007633A1">
        <w:rPr>
          <w:rFonts w:ascii="Arial" w:hAnsi="Arial" w:cs="Arial"/>
          <w:lang w:val="en-US"/>
        </w:rPr>
        <w:t>ase and Erick Alamsyah case. In West Sumatra in 2011 (annex 2)</w:t>
      </w:r>
      <w:r w:rsidR="008C74E0" w:rsidRPr="007633A1">
        <w:rPr>
          <w:rFonts w:ascii="Arial" w:hAnsi="Arial" w:cs="Arial"/>
          <w:lang w:val="en-US"/>
        </w:rPr>
        <w:t>,</w:t>
      </w:r>
      <w:r w:rsidR="009630C3">
        <w:rPr>
          <w:rFonts w:ascii="Arial" w:hAnsi="Arial" w:cs="Arial"/>
          <w:lang w:val="en-US"/>
        </w:rPr>
        <w:t xml:space="preserve"> </w:t>
      </w:r>
      <w:r w:rsidRPr="007633A1">
        <w:rPr>
          <w:rFonts w:ascii="Arial" w:hAnsi="Arial" w:cs="Arial"/>
          <w:lang w:val="en-US"/>
        </w:rPr>
        <w:t>the trial against the perpetrator was</w:t>
      </w:r>
      <w:r w:rsidR="00671F74" w:rsidRPr="007633A1">
        <w:rPr>
          <w:rFonts w:ascii="Arial" w:hAnsi="Arial" w:cs="Arial"/>
          <w:lang w:val="en-US"/>
        </w:rPr>
        <w:t xml:space="preserve"> only</w:t>
      </w:r>
      <w:r w:rsidR="004B09F3" w:rsidRPr="007633A1">
        <w:rPr>
          <w:rFonts w:ascii="Arial" w:hAnsi="Arial" w:cs="Arial"/>
          <w:lang w:val="en-US"/>
        </w:rPr>
        <w:t xml:space="preserve"> </w:t>
      </w:r>
      <w:r w:rsidR="000C77B9" w:rsidRPr="007633A1">
        <w:rPr>
          <w:rFonts w:ascii="Arial" w:hAnsi="Arial" w:cs="Arial"/>
          <w:lang w:val="en-US"/>
        </w:rPr>
        <w:t>carried out</w:t>
      </w:r>
      <w:r w:rsidR="004B09F3" w:rsidRPr="007633A1">
        <w:rPr>
          <w:rFonts w:ascii="Arial" w:hAnsi="Arial" w:cs="Arial"/>
          <w:lang w:val="en-US"/>
        </w:rPr>
        <w:t xml:space="preserve"> </w:t>
      </w:r>
      <w:r w:rsidRPr="007633A1">
        <w:rPr>
          <w:rFonts w:ascii="Arial" w:hAnsi="Arial" w:cs="Arial"/>
          <w:lang w:val="en-US"/>
        </w:rPr>
        <w:t xml:space="preserve">after </w:t>
      </w:r>
      <w:r w:rsidR="000C77B9" w:rsidRPr="007633A1">
        <w:rPr>
          <w:rFonts w:ascii="Arial" w:hAnsi="Arial" w:cs="Arial"/>
          <w:lang w:val="en-US"/>
        </w:rPr>
        <w:t xml:space="preserve">public denunciation </w:t>
      </w:r>
      <w:r w:rsidR="00C92228" w:rsidRPr="007633A1">
        <w:rPr>
          <w:rFonts w:ascii="Arial" w:hAnsi="Arial" w:cs="Arial"/>
          <w:lang w:val="en-US"/>
        </w:rPr>
        <w:t>by</w:t>
      </w:r>
      <w:r w:rsidRPr="007633A1">
        <w:rPr>
          <w:rFonts w:ascii="Arial" w:hAnsi="Arial" w:cs="Arial"/>
          <w:lang w:val="en-US"/>
        </w:rPr>
        <w:t xml:space="preserve"> media, civil society, and </w:t>
      </w:r>
      <w:r w:rsidR="00727DA6" w:rsidRPr="007633A1">
        <w:rPr>
          <w:rFonts w:ascii="Arial" w:hAnsi="Arial" w:cs="Arial"/>
          <w:lang w:val="en-US"/>
        </w:rPr>
        <w:t>KOMNAS HAM</w:t>
      </w:r>
      <w:r w:rsidR="00C3123C" w:rsidRPr="007633A1">
        <w:rPr>
          <w:rFonts w:ascii="Arial" w:hAnsi="Arial" w:cs="Arial"/>
          <w:lang w:val="en-US"/>
        </w:rPr>
        <w:t xml:space="preserve"> and LPSK</w:t>
      </w:r>
      <w:r w:rsidR="00906313" w:rsidRPr="007633A1">
        <w:rPr>
          <w:rFonts w:ascii="Arial" w:hAnsi="Arial" w:cs="Arial"/>
          <w:lang w:val="en-US"/>
        </w:rPr>
        <w:t xml:space="preserve">. </w:t>
      </w:r>
    </w:p>
    <w:p w:rsidR="00A74B32" w:rsidRPr="007633A1" w:rsidRDefault="00A74B32" w:rsidP="00F27BE2">
      <w:pPr>
        <w:pStyle w:val="Listecouleur-Accent11"/>
        <w:spacing w:after="0"/>
        <w:ind w:left="1212"/>
        <w:jc w:val="both"/>
        <w:rPr>
          <w:rFonts w:ascii="Arial" w:hAnsi="Arial" w:cs="Arial"/>
          <w:lang w:val="en-US"/>
        </w:rPr>
      </w:pPr>
    </w:p>
    <w:p w:rsidR="00C3123C" w:rsidRPr="007633A1" w:rsidRDefault="00CA622C" w:rsidP="00F163F9">
      <w:pPr>
        <w:pStyle w:val="Listecouleur-Accent11"/>
        <w:numPr>
          <w:ilvl w:val="0"/>
          <w:numId w:val="10"/>
        </w:numPr>
        <w:spacing w:after="0"/>
        <w:ind w:left="426" w:hanging="426"/>
        <w:jc w:val="both"/>
        <w:rPr>
          <w:rFonts w:ascii="Arial" w:hAnsi="Arial" w:cs="Arial"/>
          <w:lang w:val="en-US"/>
        </w:rPr>
      </w:pPr>
      <w:r w:rsidRPr="007633A1">
        <w:rPr>
          <w:rFonts w:ascii="Arial" w:eastAsia="Cambria" w:hAnsi="Arial" w:cs="Arial"/>
          <w:lang w:val="en-US"/>
        </w:rPr>
        <w:t>Since early 2013, discussions</w:t>
      </w:r>
      <w:r w:rsidR="004B09F3" w:rsidRPr="007633A1">
        <w:rPr>
          <w:rFonts w:ascii="Arial" w:eastAsia="Cambria" w:hAnsi="Arial" w:cs="Arial"/>
          <w:lang w:val="en-US"/>
        </w:rPr>
        <w:t xml:space="preserve"> </w:t>
      </w:r>
      <w:r w:rsidR="00BC5364" w:rsidRPr="007633A1">
        <w:rPr>
          <w:rFonts w:ascii="Arial" w:eastAsia="Cambria" w:hAnsi="Arial" w:cs="Arial"/>
          <w:lang w:val="en-US"/>
        </w:rPr>
        <w:t xml:space="preserve">on the </w:t>
      </w:r>
      <w:r w:rsidR="00586EFB" w:rsidRPr="007633A1">
        <w:rPr>
          <w:rFonts w:ascii="Arial" w:eastAsia="Cambria" w:hAnsi="Arial" w:cs="Arial"/>
          <w:lang w:val="en-US"/>
        </w:rPr>
        <w:t>draft</w:t>
      </w:r>
      <w:r w:rsidR="00C8461E" w:rsidRPr="007633A1">
        <w:rPr>
          <w:rFonts w:ascii="Arial" w:eastAsia="Cambria" w:hAnsi="Arial" w:cs="Arial"/>
          <w:lang w:val="en-US"/>
        </w:rPr>
        <w:t xml:space="preserve"> of the new</w:t>
      </w:r>
      <w:r w:rsidR="007633A1">
        <w:rPr>
          <w:rFonts w:ascii="Arial" w:eastAsia="Cambria" w:hAnsi="Arial" w:cs="Arial"/>
          <w:lang w:val="en-US"/>
        </w:rPr>
        <w:t xml:space="preserve"> </w:t>
      </w:r>
      <w:r w:rsidR="005B7F01" w:rsidRPr="007633A1">
        <w:rPr>
          <w:rFonts w:ascii="Arial" w:eastAsia="Cambria" w:hAnsi="Arial" w:cs="Arial"/>
          <w:lang w:val="en-US"/>
        </w:rPr>
        <w:t>criminal</w:t>
      </w:r>
      <w:r w:rsidR="004B09F3" w:rsidRPr="007633A1">
        <w:rPr>
          <w:rFonts w:ascii="Arial" w:eastAsia="Cambria" w:hAnsi="Arial" w:cs="Arial"/>
          <w:lang w:val="en-US"/>
        </w:rPr>
        <w:t xml:space="preserve"> </w:t>
      </w:r>
      <w:r w:rsidR="00586EFB" w:rsidRPr="007633A1">
        <w:rPr>
          <w:rFonts w:ascii="Arial" w:eastAsia="Cambria" w:hAnsi="Arial" w:cs="Arial"/>
          <w:lang w:val="en-US"/>
        </w:rPr>
        <w:t xml:space="preserve">code </w:t>
      </w:r>
      <w:r w:rsidR="00F82124" w:rsidRPr="007633A1">
        <w:rPr>
          <w:rFonts w:ascii="Arial" w:eastAsia="Cambria" w:hAnsi="Arial" w:cs="Arial"/>
          <w:lang w:val="en-US"/>
        </w:rPr>
        <w:t>are ongoing</w:t>
      </w:r>
      <w:r w:rsidR="009630C3">
        <w:rPr>
          <w:rFonts w:ascii="Arial" w:eastAsia="Cambria" w:hAnsi="Arial" w:cs="Arial"/>
          <w:lang w:val="en-US"/>
        </w:rPr>
        <w:t xml:space="preserve"> in P</w:t>
      </w:r>
      <w:r w:rsidR="00586EFB" w:rsidRPr="007633A1">
        <w:rPr>
          <w:rFonts w:ascii="Arial" w:eastAsia="Cambria" w:hAnsi="Arial" w:cs="Arial"/>
          <w:lang w:val="en-US"/>
        </w:rPr>
        <w:t xml:space="preserve">arliament. </w:t>
      </w:r>
      <w:r w:rsidR="005B7F01" w:rsidRPr="007633A1">
        <w:rPr>
          <w:rFonts w:ascii="Arial" w:eastAsia="Cambria" w:hAnsi="Arial" w:cs="Arial"/>
          <w:lang w:val="en-US"/>
        </w:rPr>
        <w:t xml:space="preserve">While the </w:t>
      </w:r>
      <w:r w:rsidR="001F4865" w:rsidRPr="007633A1">
        <w:rPr>
          <w:rFonts w:ascii="Arial" w:eastAsia="Cambria" w:hAnsi="Arial" w:cs="Arial"/>
          <w:lang w:val="en-US"/>
        </w:rPr>
        <w:t xml:space="preserve">draft of the </w:t>
      </w:r>
      <w:r w:rsidR="005B7F01" w:rsidRPr="007633A1">
        <w:rPr>
          <w:rFonts w:ascii="Arial" w:eastAsia="Cambria" w:hAnsi="Arial" w:cs="Arial"/>
          <w:lang w:val="en-US"/>
        </w:rPr>
        <w:t>new criminal code</w:t>
      </w:r>
      <w:r w:rsidR="004B09F3" w:rsidRPr="007633A1">
        <w:rPr>
          <w:rFonts w:ascii="Arial" w:eastAsia="Cambria" w:hAnsi="Arial" w:cs="Arial"/>
          <w:lang w:val="en-US"/>
        </w:rPr>
        <w:t xml:space="preserve"> </w:t>
      </w:r>
      <w:r w:rsidR="005B7F01" w:rsidRPr="007633A1">
        <w:rPr>
          <w:rFonts w:ascii="Arial" w:eastAsia="Cambria" w:hAnsi="Arial" w:cs="Arial"/>
          <w:lang w:val="en-US"/>
        </w:rPr>
        <w:t>provides a definition of torture</w:t>
      </w:r>
      <w:r w:rsidR="001F4865" w:rsidRPr="007633A1">
        <w:rPr>
          <w:rStyle w:val="FootnoteReference"/>
          <w:rFonts w:ascii="Arial" w:hAnsi="Arial" w:cs="Arial"/>
          <w:lang w:val="en-US"/>
        </w:rPr>
        <w:footnoteReference w:id="7"/>
      </w:r>
      <w:r w:rsidR="005B7F01" w:rsidRPr="007633A1">
        <w:rPr>
          <w:rFonts w:ascii="Arial" w:eastAsia="Cambria" w:hAnsi="Arial" w:cs="Arial"/>
          <w:lang w:val="en-US"/>
        </w:rPr>
        <w:t>, c</w:t>
      </w:r>
      <w:r w:rsidR="00586EFB" w:rsidRPr="007633A1">
        <w:rPr>
          <w:rFonts w:ascii="Arial" w:eastAsia="Cambria" w:hAnsi="Arial" w:cs="Arial"/>
          <w:lang w:val="en-US"/>
        </w:rPr>
        <w:t xml:space="preserve">ivil society has made </w:t>
      </w:r>
      <w:r w:rsidR="00586EFB" w:rsidRPr="007633A1">
        <w:rPr>
          <w:rFonts w:ascii="Cambria Math" w:eastAsia="Cambria" w:hAnsi="Cambria Math" w:cs="Cambria Math"/>
          <w:lang w:val="en-US"/>
        </w:rPr>
        <w:t>​​</w:t>
      </w:r>
      <w:r w:rsidR="00586EFB" w:rsidRPr="007633A1">
        <w:rPr>
          <w:rFonts w:ascii="Arial" w:eastAsia="Cambria" w:hAnsi="Arial" w:cs="Arial"/>
          <w:lang w:val="en-US"/>
        </w:rPr>
        <w:t xml:space="preserve">a critical note because </w:t>
      </w:r>
      <w:r w:rsidR="001F4865" w:rsidRPr="007633A1">
        <w:rPr>
          <w:rFonts w:ascii="Arial" w:eastAsia="Cambria" w:hAnsi="Arial" w:cs="Arial"/>
          <w:lang w:val="en-US"/>
        </w:rPr>
        <w:t>other</w:t>
      </w:r>
      <w:r w:rsidR="00586EFB" w:rsidRPr="007633A1">
        <w:rPr>
          <w:rFonts w:ascii="Arial" w:eastAsia="Cambria" w:hAnsi="Arial" w:cs="Arial"/>
          <w:lang w:val="en-US"/>
        </w:rPr>
        <w:t xml:space="preserve"> contents of the </w:t>
      </w:r>
      <w:r w:rsidR="00F82124" w:rsidRPr="007633A1">
        <w:rPr>
          <w:rFonts w:ascii="Arial" w:eastAsia="Cambria" w:hAnsi="Arial" w:cs="Arial"/>
          <w:lang w:val="en-US"/>
        </w:rPr>
        <w:t>d</w:t>
      </w:r>
      <w:r w:rsidR="00586EFB" w:rsidRPr="007633A1">
        <w:rPr>
          <w:rFonts w:ascii="Arial" w:eastAsia="Cambria" w:hAnsi="Arial" w:cs="Arial"/>
          <w:lang w:val="en-US"/>
        </w:rPr>
        <w:t>raft</w:t>
      </w:r>
      <w:r w:rsidR="004B09F3" w:rsidRPr="007633A1">
        <w:rPr>
          <w:rFonts w:ascii="Arial" w:eastAsia="Cambria" w:hAnsi="Arial" w:cs="Arial"/>
          <w:lang w:val="en-US"/>
        </w:rPr>
        <w:t xml:space="preserve"> </w:t>
      </w:r>
      <w:r w:rsidR="00C8461E" w:rsidRPr="007633A1">
        <w:rPr>
          <w:rFonts w:ascii="Arial" w:eastAsia="Cambria" w:hAnsi="Arial" w:cs="Arial"/>
          <w:lang w:val="en-US"/>
        </w:rPr>
        <w:t>are</w:t>
      </w:r>
      <w:r w:rsidR="004B09F3" w:rsidRPr="007633A1">
        <w:rPr>
          <w:rFonts w:ascii="Arial" w:eastAsia="Cambria" w:hAnsi="Arial" w:cs="Arial"/>
          <w:lang w:val="en-US"/>
        </w:rPr>
        <w:t xml:space="preserve"> </w:t>
      </w:r>
      <w:r w:rsidR="00586EFB" w:rsidRPr="007633A1">
        <w:rPr>
          <w:rFonts w:ascii="Arial" w:eastAsia="Cambria" w:hAnsi="Arial" w:cs="Arial"/>
          <w:lang w:val="en-US"/>
        </w:rPr>
        <w:t>contrary to the principles and norms of human rights</w:t>
      </w:r>
      <w:r w:rsidR="00C3123C" w:rsidRPr="007633A1">
        <w:rPr>
          <w:rFonts w:ascii="Arial" w:eastAsia="Cambria" w:hAnsi="Arial" w:cs="Arial"/>
          <w:lang w:val="en-US"/>
        </w:rPr>
        <w:t>.</w:t>
      </w:r>
      <w:r w:rsidR="00C3123C" w:rsidRPr="007633A1">
        <w:rPr>
          <w:rStyle w:val="FootnoteReference"/>
          <w:rFonts w:ascii="Arial" w:eastAsia="Cambria" w:hAnsi="Arial" w:cs="Arial"/>
          <w:lang w:val="en-US"/>
        </w:rPr>
        <w:footnoteReference w:id="8"/>
      </w:r>
    </w:p>
    <w:p w:rsidR="0089598E" w:rsidRPr="007633A1" w:rsidRDefault="0089598E" w:rsidP="00577B4A">
      <w:pPr>
        <w:pStyle w:val="Listecouleur-Accent11"/>
        <w:autoSpaceDE w:val="0"/>
        <w:autoSpaceDN w:val="0"/>
        <w:adjustRightInd w:val="0"/>
        <w:ind w:left="0"/>
        <w:jc w:val="both"/>
        <w:rPr>
          <w:rFonts w:ascii="Arial" w:hAnsi="Arial" w:cs="Arial"/>
          <w:lang w:val="en-US"/>
        </w:rPr>
      </w:pPr>
    </w:p>
    <w:p w:rsidR="0089598E" w:rsidRPr="007633A1" w:rsidRDefault="0089598E" w:rsidP="00F163F9">
      <w:pPr>
        <w:pStyle w:val="Listecouleur-Accent11"/>
        <w:numPr>
          <w:ilvl w:val="0"/>
          <w:numId w:val="10"/>
        </w:numPr>
        <w:autoSpaceDE w:val="0"/>
        <w:autoSpaceDN w:val="0"/>
        <w:adjustRightInd w:val="0"/>
        <w:ind w:left="426" w:hanging="426"/>
        <w:jc w:val="both"/>
        <w:rPr>
          <w:rFonts w:ascii="Arial" w:hAnsi="Arial" w:cs="Arial"/>
          <w:lang w:eastAsia="id-ID"/>
        </w:rPr>
      </w:pPr>
      <w:r w:rsidRPr="007633A1">
        <w:rPr>
          <w:rFonts w:ascii="Arial" w:hAnsi="Arial" w:cs="Arial"/>
          <w:lang w:val="en-US"/>
        </w:rPr>
        <w:t xml:space="preserve">The Chief of Indonesian National Police (Perkap) enacted Police Regulation Number 8/2009 on Implementation of Human Rights Standards and Principles in Carrying Out Police Tasks, applicable to the Police (and all related police special units, such as </w:t>
      </w:r>
      <w:r w:rsidR="00D20595" w:rsidRPr="007633A1">
        <w:rPr>
          <w:rFonts w:ascii="Arial" w:hAnsi="Arial" w:cs="Arial"/>
          <w:lang w:val="en-US"/>
        </w:rPr>
        <w:t>the anti-terrorism unit Special Detachment 88 – known as Densus 88</w:t>
      </w:r>
      <w:r w:rsidRPr="007633A1">
        <w:rPr>
          <w:rFonts w:ascii="Arial" w:hAnsi="Arial" w:cs="Arial"/>
          <w:lang w:val="en-US"/>
        </w:rPr>
        <w:t>.</w:t>
      </w:r>
      <w:r w:rsidR="00D20595" w:rsidRPr="007633A1">
        <w:rPr>
          <w:rFonts w:ascii="Arial" w:hAnsi="Arial" w:cs="Arial"/>
          <w:lang w:val="en-US"/>
        </w:rPr>
        <w:t>) While the said regulation</w:t>
      </w:r>
      <w:r w:rsidRPr="007633A1">
        <w:rPr>
          <w:rFonts w:ascii="Arial" w:hAnsi="Arial" w:cs="Arial"/>
          <w:lang w:val="en-US"/>
        </w:rPr>
        <w:t xml:space="preserve"> includes the prohibition of torture and ill-treatment, it does not clearly specify the act of torture. </w:t>
      </w:r>
      <w:r w:rsidR="00D20595" w:rsidRPr="007633A1">
        <w:rPr>
          <w:rFonts w:ascii="Arial" w:hAnsi="Arial" w:cs="Arial"/>
        </w:rPr>
        <w:t>This</w:t>
      </w:r>
      <w:r w:rsidRPr="007633A1">
        <w:rPr>
          <w:rFonts w:ascii="Arial" w:hAnsi="Arial" w:cs="Arial"/>
        </w:rPr>
        <w:t xml:space="preserve"> Police Regulation has been viewed as a positive step at the time</w:t>
      </w:r>
      <w:r w:rsidR="00D20595" w:rsidRPr="007633A1">
        <w:rPr>
          <w:rFonts w:ascii="Arial" w:hAnsi="Arial" w:cs="Arial"/>
        </w:rPr>
        <w:t>. However,</w:t>
      </w:r>
      <w:r w:rsidRPr="007633A1">
        <w:rPr>
          <w:rFonts w:ascii="Arial" w:hAnsi="Arial" w:cs="Arial"/>
        </w:rPr>
        <w:t xml:space="preserve"> it has failed to adequately respond to</w:t>
      </w:r>
      <w:r w:rsidR="009630C3">
        <w:rPr>
          <w:rFonts w:ascii="Arial" w:hAnsi="Arial" w:cs="Arial"/>
          <w:lang w:val="en-GB"/>
        </w:rPr>
        <w:t xml:space="preserve"> </w:t>
      </w:r>
      <w:r w:rsidRPr="007633A1">
        <w:rPr>
          <w:rFonts w:ascii="Arial" w:hAnsi="Arial" w:cs="Arial"/>
        </w:rPr>
        <w:t>the practice of torture by the police</w:t>
      </w:r>
      <w:r w:rsidR="004B09F3" w:rsidRPr="007633A1">
        <w:rPr>
          <w:rFonts w:ascii="Arial" w:hAnsi="Arial" w:cs="Arial"/>
          <w:lang w:val="en-US"/>
        </w:rPr>
        <w:t xml:space="preserve"> </w:t>
      </w:r>
      <w:r w:rsidRPr="007633A1">
        <w:rPr>
          <w:rFonts w:ascii="Arial" w:hAnsi="Arial" w:cs="Arial"/>
        </w:rPr>
        <w:t>in Indonesia, notably because of its</w:t>
      </w:r>
      <w:r w:rsidR="004B09F3" w:rsidRPr="007633A1">
        <w:rPr>
          <w:rFonts w:ascii="Arial" w:hAnsi="Arial" w:cs="Arial"/>
          <w:lang w:val="en-US"/>
        </w:rPr>
        <w:t xml:space="preserve"> </w:t>
      </w:r>
      <w:r w:rsidRPr="007633A1">
        <w:rPr>
          <w:rFonts w:ascii="Arial" w:hAnsi="Arial" w:cs="Arial"/>
        </w:rPr>
        <w:t>weak implementation</w:t>
      </w:r>
      <w:r w:rsidRPr="007633A1">
        <w:rPr>
          <w:rFonts w:ascii="Arial" w:hAnsi="Arial" w:cs="Arial"/>
          <w:lang w:val="en-US"/>
        </w:rPr>
        <w:t xml:space="preserve"> and socialization in the field</w:t>
      </w:r>
      <w:r w:rsidRPr="007633A1">
        <w:rPr>
          <w:rFonts w:ascii="Arial" w:hAnsi="Arial" w:cs="Arial"/>
        </w:rPr>
        <w:t xml:space="preserve">. </w:t>
      </w:r>
    </w:p>
    <w:p w:rsidR="00F46741" w:rsidRPr="007633A1" w:rsidRDefault="006712F5" w:rsidP="00F163F9">
      <w:pPr>
        <w:pStyle w:val="BodyTextIndent"/>
        <w:numPr>
          <w:ilvl w:val="0"/>
          <w:numId w:val="10"/>
        </w:numPr>
        <w:ind w:left="426" w:hanging="426"/>
        <w:rPr>
          <w:rFonts w:ascii="Arial" w:hAnsi="Arial" w:cs="Arial"/>
          <w:sz w:val="22"/>
          <w:szCs w:val="22"/>
        </w:rPr>
      </w:pPr>
      <w:r w:rsidRPr="007633A1">
        <w:rPr>
          <w:rFonts w:ascii="Arial" w:hAnsi="Arial" w:cs="Arial"/>
          <w:sz w:val="22"/>
          <w:szCs w:val="22"/>
        </w:rPr>
        <w:t>Based on the cases that E</w:t>
      </w:r>
      <w:r w:rsidR="00EC258A" w:rsidRPr="007633A1">
        <w:rPr>
          <w:rFonts w:ascii="Arial" w:hAnsi="Arial" w:cs="Arial"/>
          <w:sz w:val="22"/>
          <w:szCs w:val="22"/>
        </w:rPr>
        <w:t xml:space="preserve">LSAM and LBH Jakarta </w:t>
      </w:r>
      <w:r w:rsidRPr="007633A1">
        <w:rPr>
          <w:rFonts w:ascii="Arial" w:hAnsi="Arial" w:cs="Arial"/>
          <w:sz w:val="22"/>
          <w:szCs w:val="22"/>
        </w:rPr>
        <w:t xml:space="preserve">has monitored, </w:t>
      </w:r>
      <w:r w:rsidR="006F563A" w:rsidRPr="007633A1">
        <w:rPr>
          <w:rFonts w:ascii="Arial" w:hAnsi="Arial" w:cs="Arial"/>
          <w:sz w:val="22"/>
          <w:szCs w:val="22"/>
        </w:rPr>
        <w:t>interrogations</w:t>
      </w:r>
      <w:r w:rsidRPr="007633A1">
        <w:rPr>
          <w:rFonts w:ascii="Arial" w:hAnsi="Arial" w:cs="Arial"/>
          <w:sz w:val="22"/>
          <w:szCs w:val="22"/>
        </w:rPr>
        <w:t xml:space="preserve"> room</w:t>
      </w:r>
      <w:r w:rsidR="00262388" w:rsidRPr="007633A1">
        <w:rPr>
          <w:rFonts w:ascii="Arial" w:hAnsi="Arial" w:cs="Arial"/>
          <w:sz w:val="22"/>
          <w:szCs w:val="22"/>
        </w:rPr>
        <w:t>s</w:t>
      </w:r>
      <w:r w:rsidRPr="007633A1">
        <w:rPr>
          <w:rFonts w:ascii="Arial" w:hAnsi="Arial" w:cs="Arial"/>
          <w:sz w:val="22"/>
          <w:szCs w:val="22"/>
        </w:rPr>
        <w:t xml:space="preserve"> of police office</w:t>
      </w:r>
      <w:r w:rsidR="006F563A" w:rsidRPr="007633A1">
        <w:rPr>
          <w:rFonts w:ascii="Arial" w:hAnsi="Arial" w:cs="Arial"/>
          <w:sz w:val="22"/>
          <w:szCs w:val="22"/>
        </w:rPr>
        <w:t>s</w:t>
      </w:r>
      <w:r w:rsidR="004B09F3" w:rsidRPr="007633A1">
        <w:rPr>
          <w:rFonts w:ascii="Arial" w:hAnsi="Arial" w:cs="Arial"/>
          <w:sz w:val="22"/>
          <w:szCs w:val="22"/>
        </w:rPr>
        <w:t xml:space="preserve"> </w:t>
      </w:r>
      <w:r w:rsidR="00262388" w:rsidRPr="007633A1">
        <w:rPr>
          <w:rFonts w:ascii="Arial" w:hAnsi="Arial" w:cs="Arial"/>
          <w:sz w:val="22"/>
          <w:szCs w:val="22"/>
        </w:rPr>
        <w:t xml:space="preserve">are </w:t>
      </w:r>
      <w:r w:rsidRPr="007633A1">
        <w:rPr>
          <w:rFonts w:ascii="Arial" w:hAnsi="Arial" w:cs="Arial"/>
          <w:sz w:val="22"/>
          <w:szCs w:val="22"/>
        </w:rPr>
        <w:t xml:space="preserve">not all equipped </w:t>
      </w:r>
      <w:r w:rsidR="00262388" w:rsidRPr="007633A1">
        <w:rPr>
          <w:rFonts w:ascii="Arial" w:hAnsi="Arial" w:cs="Arial"/>
          <w:sz w:val="22"/>
          <w:szCs w:val="22"/>
        </w:rPr>
        <w:t xml:space="preserve">with </w:t>
      </w:r>
      <w:r w:rsidRPr="007633A1">
        <w:rPr>
          <w:rFonts w:ascii="Arial" w:hAnsi="Arial" w:cs="Arial"/>
          <w:sz w:val="22"/>
          <w:szCs w:val="22"/>
        </w:rPr>
        <w:t xml:space="preserve">audio and video taping. </w:t>
      </w:r>
      <w:r w:rsidR="00EC258A" w:rsidRPr="007633A1">
        <w:rPr>
          <w:rFonts w:ascii="Arial" w:hAnsi="Arial" w:cs="Arial"/>
          <w:sz w:val="22"/>
          <w:szCs w:val="22"/>
        </w:rPr>
        <w:t>But in some place,</w:t>
      </w:r>
      <w:r w:rsidR="006020C5" w:rsidRPr="007633A1">
        <w:rPr>
          <w:rFonts w:ascii="Arial" w:hAnsi="Arial" w:cs="Arial"/>
          <w:sz w:val="22"/>
          <w:szCs w:val="22"/>
        </w:rPr>
        <w:t xml:space="preserve"> as </w:t>
      </w:r>
      <w:r w:rsidR="006020C5" w:rsidRPr="007633A1">
        <w:rPr>
          <w:rFonts w:ascii="Arial" w:hAnsi="Arial" w:cs="Arial"/>
          <w:sz w:val="22"/>
          <w:szCs w:val="22"/>
        </w:rPr>
        <w:lastRenderedPageBreak/>
        <w:t xml:space="preserve">in the area of Police Resort of North Jakarta, there is a CCTV in the investigation room, but it does not work. </w:t>
      </w:r>
    </w:p>
    <w:p w:rsidR="00F46741" w:rsidRPr="007633A1" w:rsidRDefault="00F46741" w:rsidP="00F46741">
      <w:pPr>
        <w:pStyle w:val="BodyTextIndent"/>
        <w:ind w:left="1353"/>
        <w:rPr>
          <w:rFonts w:ascii="Arial" w:hAnsi="Arial" w:cs="Arial"/>
          <w:sz w:val="22"/>
          <w:szCs w:val="22"/>
        </w:rPr>
      </w:pPr>
    </w:p>
    <w:p w:rsidR="00F46741" w:rsidRPr="007633A1" w:rsidRDefault="00D801CA" w:rsidP="00B70741">
      <w:pPr>
        <w:pStyle w:val="BodyTextIndent"/>
        <w:ind w:left="426"/>
        <w:rPr>
          <w:rFonts w:ascii="Arial" w:hAnsi="Arial" w:cs="Arial"/>
          <w:sz w:val="22"/>
          <w:szCs w:val="22"/>
        </w:rPr>
      </w:pPr>
      <w:r w:rsidRPr="007633A1">
        <w:rPr>
          <w:rFonts w:ascii="Arial" w:hAnsi="Arial" w:cs="Arial"/>
          <w:sz w:val="22"/>
          <w:szCs w:val="22"/>
        </w:rPr>
        <w:t xml:space="preserve">According to </w:t>
      </w:r>
      <w:r w:rsidR="00F46741" w:rsidRPr="007633A1">
        <w:rPr>
          <w:rFonts w:ascii="Arial" w:hAnsi="Arial" w:cs="Arial"/>
          <w:sz w:val="22"/>
          <w:szCs w:val="22"/>
        </w:rPr>
        <w:t>LBH annual</w:t>
      </w:r>
      <w:r w:rsidRPr="007633A1">
        <w:rPr>
          <w:rFonts w:ascii="Arial" w:hAnsi="Arial" w:cs="Arial"/>
          <w:sz w:val="22"/>
          <w:szCs w:val="22"/>
        </w:rPr>
        <w:t xml:space="preserve"> report and </w:t>
      </w:r>
      <w:r w:rsidR="00F46741" w:rsidRPr="007633A1">
        <w:rPr>
          <w:rFonts w:ascii="Arial" w:hAnsi="Arial" w:cs="Arial"/>
          <w:sz w:val="22"/>
          <w:szCs w:val="22"/>
        </w:rPr>
        <w:t>LBH</w:t>
      </w:r>
      <w:r w:rsidR="00216BB9" w:rsidRPr="007633A1">
        <w:rPr>
          <w:rFonts w:ascii="Arial" w:hAnsi="Arial" w:cs="Arial"/>
          <w:sz w:val="22"/>
          <w:szCs w:val="22"/>
        </w:rPr>
        <w:t xml:space="preserve"> </w:t>
      </w:r>
      <w:r w:rsidRPr="007633A1">
        <w:rPr>
          <w:rFonts w:ascii="Arial" w:hAnsi="Arial" w:cs="Arial"/>
          <w:sz w:val="22"/>
          <w:szCs w:val="22"/>
        </w:rPr>
        <w:t>research on the prevention and the abolition of torture</w:t>
      </w:r>
      <w:r w:rsidR="00F46741" w:rsidRPr="007633A1">
        <w:rPr>
          <w:rFonts w:ascii="Arial" w:hAnsi="Arial" w:cs="Arial"/>
          <w:sz w:val="22"/>
          <w:szCs w:val="22"/>
        </w:rPr>
        <w:t xml:space="preserve"> during</w:t>
      </w:r>
      <w:r w:rsidRPr="007633A1">
        <w:rPr>
          <w:rFonts w:ascii="Arial" w:hAnsi="Arial" w:cs="Arial"/>
          <w:sz w:val="22"/>
          <w:szCs w:val="22"/>
        </w:rPr>
        <w:t xml:space="preserve"> 2010-2012</w:t>
      </w:r>
      <w:r w:rsidR="00F46741" w:rsidRPr="007633A1">
        <w:rPr>
          <w:rFonts w:ascii="Arial" w:hAnsi="Arial" w:cs="Arial"/>
          <w:sz w:val="22"/>
          <w:szCs w:val="22"/>
        </w:rPr>
        <w:t>,</w:t>
      </w:r>
      <w:r w:rsidRPr="007633A1">
        <w:rPr>
          <w:rFonts w:ascii="Arial" w:hAnsi="Arial" w:cs="Arial"/>
          <w:sz w:val="22"/>
          <w:szCs w:val="22"/>
        </w:rPr>
        <w:t xml:space="preserve"> the police were the main perpetrators of torture</w:t>
      </w:r>
      <w:r w:rsidR="00B211AD" w:rsidRPr="007633A1">
        <w:rPr>
          <w:rStyle w:val="FootnoteReference"/>
          <w:rFonts w:ascii="Arial" w:hAnsi="Arial" w:cs="Arial"/>
          <w:sz w:val="22"/>
          <w:szCs w:val="22"/>
        </w:rPr>
        <w:footnoteReference w:id="9"/>
      </w:r>
      <w:r w:rsidR="00F46741" w:rsidRPr="007633A1">
        <w:rPr>
          <w:rFonts w:ascii="Arial" w:hAnsi="Arial" w:cs="Arial"/>
          <w:sz w:val="22"/>
          <w:szCs w:val="22"/>
        </w:rPr>
        <w:t>. The table</w:t>
      </w:r>
      <w:r w:rsidR="006712F5" w:rsidRPr="007633A1">
        <w:rPr>
          <w:rFonts w:ascii="Arial" w:hAnsi="Arial" w:cs="Arial"/>
          <w:sz w:val="22"/>
          <w:szCs w:val="22"/>
        </w:rPr>
        <w:t xml:space="preserve"> below </w:t>
      </w:r>
      <w:r w:rsidR="00F46741" w:rsidRPr="007633A1">
        <w:rPr>
          <w:rFonts w:ascii="Arial" w:hAnsi="Arial" w:cs="Arial"/>
          <w:sz w:val="22"/>
          <w:szCs w:val="22"/>
        </w:rPr>
        <w:t>shows</w:t>
      </w:r>
      <w:r w:rsidR="006712F5" w:rsidRPr="007633A1">
        <w:rPr>
          <w:rFonts w:ascii="Arial" w:hAnsi="Arial" w:cs="Arial"/>
          <w:sz w:val="22"/>
          <w:szCs w:val="22"/>
        </w:rPr>
        <w:t xml:space="preserve"> the</w:t>
      </w:r>
      <w:r w:rsidR="00F46741" w:rsidRPr="007633A1">
        <w:rPr>
          <w:rFonts w:ascii="Arial" w:hAnsi="Arial" w:cs="Arial"/>
          <w:sz w:val="22"/>
          <w:szCs w:val="22"/>
        </w:rPr>
        <w:t xml:space="preserve"> number</w:t>
      </w:r>
      <w:r w:rsidR="006712F5" w:rsidRPr="007633A1">
        <w:rPr>
          <w:rFonts w:ascii="Arial" w:hAnsi="Arial" w:cs="Arial"/>
          <w:sz w:val="22"/>
          <w:szCs w:val="22"/>
        </w:rPr>
        <w:t xml:space="preserve"> of torture cases </w:t>
      </w:r>
      <w:r w:rsidR="00F46741" w:rsidRPr="007633A1">
        <w:rPr>
          <w:rFonts w:ascii="Arial" w:hAnsi="Arial" w:cs="Arial"/>
          <w:sz w:val="22"/>
          <w:szCs w:val="22"/>
        </w:rPr>
        <w:t>committed by</w:t>
      </w:r>
      <w:r w:rsidR="004B09F3" w:rsidRPr="007633A1">
        <w:rPr>
          <w:rFonts w:ascii="Arial" w:hAnsi="Arial" w:cs="Arial"/>
          <w:sz w:val="22"/>
          <w:szCs w:val="22"/>
        </w:rPr>
        <w:t xml:space="preserve"> </w:t>
      </w:r>
      <w:r w:rsidR="007653BC" w:rsidRPr="007633A1">
        <w:rPr>
          <w:rFonts w:ascii="Arial" w:hAnsi="Arial" w:cs="Arial"/>
          <w:sz w:val="22"/>
          <w:szCs w:val="22"/>
        </w:rPr>
        <w:t xml:space="preserve">the police </w:t>
      </w:r>
      <w:r w:rsidR="006712F5" w:rsidRPr="007633A1">
        <w:rPr>
          <w:rFonts w:ascii="Arial" w:hAnsi="Arial" w:cs="Arial"/>
          <w:sz w:val="22"/>
          <w:szCs w:val="22"/>
        </w:rPr>
        <w:t>received by LBH Jakarta in 2010, 2011 and 2012 (the complete description of the case attached in the Annex 1</w:t>
      </w:r>
      <w:r w:rsidR="00AC23BE" w:rsidRPr="007633A1">
        <w:rPr>
          <w:rFonts w:ascii="Arial" w:hAnsi="Arial" w:cs="Arial"/>
          <w:sz w:val="22"/>
          <w:szCs w:val="22"/>
        </w:rPr>
        <w:t>)</w:t>
      </w:r>
      <w:r w:rsidR="00F46741" w:rsidRPr="007633A1">
        <w:rPr>
          <w:rFonts w:ascii="Arial" w:hAnsi="Arial" w:cs="Arial"/>
          <w:sz w:val="22"/>
          <w:szCs w:val="22"/>
        </w:rPr>
        <w:t>.</w:t>
      </w:r>
    </w:p>
    <w:p w:rsidR="00F46741" w:rsidRPr="007633A1" w:rsidRDefault="00F46741" w:rsidP="00F46741">
      <w:pPr>
        <w:pStyle w:val="BodyTextIndent"/>
        <w:ind w:left="1353"/>
        <w:rPr>
          <w:rFonts w:ascii="Arial" w:hAnsi="Arial" w:cs="Arial"/>
          <w:sz w:val="22"/>
          <w:szCs w:val="22"/>
        </w:rPr>
      </w:pPr>
    </w:p>
    <w:p w:rsidR="00B211AD" w:rsidRPr="007633A1" w:rsidRDefault="00B211AD" w:rsidP="00084D27">
      <w:pPr>
        <w:pStyle w:val="BodyTextIndent"/>
        <w:ind w:left="1790" w:firstLine="370"/>
        <w:outlineLvl w:val="0"/>
        <w:rPr>
          <w:rFonts w:ascii="Arial" w:hAnsi="Arial" w:cs="Arial"/>
          <w:b/>
          <w:sz w:val="22"/>
          <w:szCs w:val="22"/>
        </w:rPr>
      </w:pPr>
      <w:r w:rsidRPr="007633A1">
        <w:rPr>
          <w:rFonts w:ascii="Arial" w:hAnsi="Arial" w:cs="Arial"/>
          <w:b/>
          <w:sz w:val="22"/>
          <w:szCs w:val="22"/>
        </w:rPr>
        <w:t>Torture cases reported to the LBH Jakarta</w:t>
      </w:r>
    </w:p>
    <w:tbl>
      <w:tblPr>
        <w:tblpPr w:leftFromText="180" w:rightFromText="180" w:vertAnchor="text" w:horzAnchor="page" w:tblpX="368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843"/>
      </w:tblGrid>
      <w:tr w:rsidR="00B211AD" w:rsidRPr="007633A1">
        <w:tc>
          <w:tcPr>
            <w:tcW w:w="1242" w:type="dxa"/>
          </w:tcPr>
          <w:p w:rsidR="00B211AD" w:rsidRPr="007633A1" w:rsidRDefault="00B211AD" w:rsidP="00B211AD">
            <w:pPr>
              <w:autoSpaceDE w:val="0"/>
              <w:autoSpaceDN w:val="0"/>
              <w:adjustRightInd w:val="0"/>
              <w:jc w:val="both"/>
              <w:rPr>
                <w:rFonts w:ascii="Arial" w:hAnsi="Arial" w:cs="Arial"/>
                <w:b/>
                <w:lang w:val="en-US" w:eastAsia="id-ID"/>
              </w:rPr>
            </w:pPr>
            <w:r w:rsidRPr="007633A1">
              <w:rPr>
                <w:rFonts w:ascii="Arial" w:hAnsi="Arial" w:cs="Arial"/>
                <w:b/>
                <w:lang w:val="en-US" w:eastAsia="id-ID"/>
              </w:rPr>
              <w:t>Year</w:t>
            </w:r>
          </w:p>
        </w:tc>
        <w:tc>
          <w:tcPr>
            <w:tcW w:w="1701" w:type="dxa"/>
          </w:tcPr>
          <w:p w:rsidR="00B211AD" w:rsidRPr="007633A1" w:rsidRDefault="00B211AD" w:rsidP="00B211AD">
            <w:pPr>
              <w:autoSpaceDE w:val="0"/>
              <w:autoSpaceDN w:val="0"/>
              <w:adjustRightInd w:val="0"/>
              <w:jc w:val="both"/>
              <w:rPr>
                <w:rFonts w:ascii="Arial" w:hAnsi="Arial" w:cs="Arial"/>
                <w:b/>
                <w:lang w:val="en-US" w:eastAsia="id-ID"/>
              </w:rPr>
            </w:pPr>
            <w:r w:rsidRPr="007633A1">
              <w:rPr>
                <w:rFonts w:ascii="Arial" w:hAnsi="Arial" w:cs="Arial"/>
                <w:b/>
                <w:lang w:val="en-US" w:eastAsia="id-ID"/>
              </w:rPr>
              <w:t>Number</w:t>
            </w:r>
          </w:p>
        </w:tc>
        <w:tc>
          <w:tcPr>
            <w:tcW w:w="1843" w:type="dxa"/>
          </w:tcPr>
          <w:p w:rsidR="00B211AD" w:rsidRPr="007633A1" w:rsidRDefault="00B211AD" w:rsidP="00B211AD">
            <w:pPr>
              <w:autoSpaceDE w:val="0"/>
              <w:autoSpaceDN w:val="0"/>
              <w:adjustRightInd w:val="0"/>
              <w:jc w:val="both"/>
              <w:rPr>
                <w:rFonts w:ascii="Arial" w:hAnsi="Arial" w:cs="Arial"/>
                <w:b/>
                <w:lang w:val="en-US" w:eastAsia="id-ID"/>
              </w:rPr>
            </w:pPr>
            <w:r w:rsidRPr="007633A1">
              <w:rPr>
                <w:rFonts w:ascii="Arial" w:hAnsi="Arial" w:cs="Arial"/>
                <w:b/>
                <w:lang w:val="en-US" w:eastAsia="id-ID"/>
              </w:rPr>
              <w:t>Perpetrator</w:t>
            </w:r>
          </w:p>
        </w:tc>
      </w:tr>
      <w:tr w:rsidR="00B211AD" w:rsidRPr="007633A1">
        <w:tc>
          <w:tcPr>
            <w:tcW w:w="1242" w:type="dxa"/>
          </w:tcPr>
          <w:p w:rsidR="00B211AD" w:rsidRPr="007633A1" w:rsidRDefault="00B211AD" w:rsidP="00B211AD">
            <w:pPr>
              <w:autoSpaceDE w:val="0"/>
              <w:autoSpaceDN w:val="0"/>
              <w:adjustRightInd w:val="0"/>
              <w:jc w:val="both"/>
              <w:rPr>
                <w:rFonts w:ascii="Arial" w:hAnsi="Arial" w:cs="Arial"/>
                <w:lang w:val="en-US" w:eastAsia="id-ID"/>
              </w:rPr>
            </w:pPr>
            <w:r w:rsidRPr="007633A1">
              <w:rPr>
                <w:rFonts w:ascii="Arial" w:hAnsi="Arial" w:cs="Arial"/>
                <w:lang w:val="en-US" w:eastAsia="id-ID"/>
              </w:rPr>
              <w:t xml:space="preserve">2010 </w:t>
            </w:r>
          </w:p>
        </w:tc>
        <w:tc>
          <w:tcPr>
            <w:tcW w:w="1701" w:type="dxa"/>
          </w:tcPr>
          <w:p w:rsidR="00B211AD" w:rsidRPr="007633A1" w:rsidRDefault="00B211AD" w:rsidP="00B211AD">
            <w:pPr>
              <w:autoSpaceDE w:val="0"/>
              <w:autoSpaceDN w:val="0"/>
              <w:adjustRightInd w:val="0"/>
              <w:jc w:val="both"/>
              <w:rPr>
                <w:rFonts w:ascii="Arial" w:hAnsi="Arial" w:cs="Arial"/>
                <w:lang w:val="en-US" w:eastAsia="id-ID"/>
              </w:rPr>
            </w:pPr>
            <w:r w:rsidRPr="007633A1">
              <w:rPr>
                <w:rFonts w:ascii="Arial" w:hAnsi="Arial" w:cs="Arial"/>
                <w:lang w:val="en-US" w:eastAsia="id-ID"/>
              </w:rPr>
              <w:t>7 cases</w:t>
            </w:r>
          </w:p>
        </w:tc>
        <w:tc>
          <w:tcPr>
            <w:tcW w:w="1843" w:type="dxa"/>
          </w:tcPr>
          <w:p w:rsidR="00B211AD" w:rsidRPr="007633A1" w:rsidRDefault="00B211AD" w:rsidP="00B211AD">
            <w:pPr>
              <w:autoSpaceDE w:val="0"/>
              <w:autoSpaceDN w:val="0"/>
              <w:adjustRightInd w:val="0"/>
              <w:jc w:val="both"/>
              <w:rPr>
                <w:rFonts w:ascii="Arial" w:hAnsi="Arial" w:cs="Arial"/>
                <w:lang w:val="en-US" w:eastAsia="id-ID"/>
              </w:rPr>
            </w:pPr>
            <w:r w:rsidRPr="007633A1">
              <w:rPr>
                <w:rFonts w:ascii="Arial" w:hAnsi="Arial" w:cs="Arial"/>
                <w:lang w:val="en-US" w:eastAsia="id-ID"/>
              </w:rPr>
              <w:t>Police</w:t>
            </w:r>
          </w:p>
        </w:tc>
      </w:tr>
      <w:tr w:rsidR="00B211AD" w:rsidRPr="007633A1">
        <w:tc>
          <w:tcPr>
            <w:tcW w:w="1242" w:type="dxa"/>
          </w:tcPr>
          <w:p w:rsidR="00B211AD" w:rsidRPr="007633A1" w:rsidRDefault="00B211AD" w:rsidP="00B211AD">
            <w:pPr>
              <w:autoSpaceDE w:val="0"/>
              <w:autoSpaceDN w:val="0"/>
              <w:adjustRightInd w:val="0"/>
              <w:jc w:val="both"/>
              <w:rPr>
                <w:rFonts w:ascii="Arial" w:hAnsi="Arial" w:cs="Arial"/>
                <w:lang w:val="en-US" w:eastAsia="id-ID"/>
              </w:rPr>
            </w:pPr>
            <w:r w:rsidRPr="007633A1">
              <w:rPr>
                <w:rFonts w:ascii="Arial" w:hAnsi="Arial" w:cs="Arial"/>
                <w:lang w:val="en-US" w:eastAsia="id-ID"/>
              </w:rPr>
              <w:t>2011</w:t>
            </w:r>
          </w:p>
        </w:tc>
        <w:tc>
          <w:tcPr>
            <w:tcW w:w="1701" w:type="dxa"/>
          </w:tcPr>
          <w:p w:rsidR="00B211AD" w:rsidRPr="007633A1" w:rsidRDefault="00B211AD" w:rsidP="00B211AD">
            <w:pPr>
              <w:autoSpaceDE w:val="0"/>
              <w:autoSpaceDN w:val="0"/>
              <w:adjustRightInd w:val="0"/>
              <w:jc w:val="both"/>
              <w:rPr>
                <w:rFonts w:ascii="Arial" w:hAnsi="Arial" w:cs="Arial"/>
                <w:lang w:val="en-US" w:eastAsia="id-ID"/>
              </w:rPr>
            </w:pPr>
            <w:r w:rsidRPr="007633A1">
              <w:rPr>
                <w:rFonts w:ascii="Arial" w:hAnsi="Arial" w:cs="Arial"/>
                <w:lang w:val="en-US" w:eastAsia="id-ID"/>
              </w:rPr>
              <w:t>2 cases</w:t>
            </w:r>
          </w:p>
        </w:tc>
        <w:tc>
          <w:tcPr>
            <w:tcW w:w="1843" w:type="dxa"/>
          </w:tcPr>
          <w:p w:rsidR="00B211AD" w:rsidRPr="007633A1" w:rsidRDefault="00B211AD" w:rsidP="00B211AD">
            <w:pPr>
              <w:autoSpaceDE w:val="0"/>
              <w:autoSpaceDN w:val="0"/>
              <w:adjustRightInd w:val="0"/>
              <w:jc w:val="both"/>
              <w:rPr>
                <w:rFonts w:ascii="Arial" w:hAnsi="Arial" w:cs="Arial"/>
                <w:lang w:val="en-US" w:eastAsia="id-ID"/>
              </w:rPr>
            </w:pPr>
            <w:r w:rsidRPr="007633A1">
              <w:rPr>
                <w:rFonts w:ascii="Arial" w:hAnsi="Arial" w:cs="Arial"/>
                <w:lang w:val="en-US" w:eastAsia="id-ID"/>
              </w:rPr>
              <w:t>Police</w:t>
            </w:r>
          </w:p>
        </w:tc>
      </w:tr>
      <w:tr w:rsidR="00B211AD" w:rsidRPr="007633A1">
        <w:tc>
          <w:tcPr>
            <w:tcW w:w="1242" w:type="dxa"/>
          </w:tcPr>
          <w:p w:rsidR="00B211AD" w:rsidRPr="007633A1" w:rsidRDefault="00B211AD" w:rsidP="00B211AD">
            <w:pPr>
              <w:autoSpaceDE w:val="0"/>
              <w:autoSpaceDN w:val="0"/>
              <w:adjustRightInd w:val="0"/>
              <w:jc w:val="both"/>
              <w:rPr>
                <w:rFonts w:ascii="Arial" w:hAnsi="Arial" w:cs="Arial"/>
                <w:lang w:val="en-US" w:eastAsia="id-ID"/>
              </w:rPr>
            </w:pPr>
            <w:r w:rsidRPr="007633A1">
              <w:rPr>
                <w:rFonts w:ascii="Arial" w:hAnsi="Arial" w:cs="Arial"/>
                <w:lang w:val="en-US" w:eastAsia="id-ID"/>
              </w:rPr>
              <w:t>2012</w:t>
            </w:r>
          </w:p>
        </w:tc>
        <w:tc>
          <w:tcPr>
            <w:tcW w:w="1701" w:type="dxa"/>
          </w:tcPr>
          <w:p w:rsidR="00B211AD" w:rsidRPr="007633A1" w:rsidRDefault="00B211AD" w:rsidP="00B211AD">
            <w:pPr>
              <w:autoSpaceDE w:val="0"/>
              <w:autoSpaceDN w:val="0"/>
              <w:adjustRightInd w:val="0"/>
              <w:jc w:val="both"/>
              <w:rPr>
                <w:rFonts w:ascii="Arial" w:hAnsi="Arial" w:cs="Arial"/>
                <w:lang w:val="en-US" w:eastAsia="id-ID"/>
              </w:rPr>
            </w:pPr>
            <w:r w:rsidRPr="007633A1">
              <w:rPr>
                <w:rFonts w:ascii="Arial" w:hAnsi="Arial" w:cs="Arial"/>
                <w:lang w:val="en-US" w:eastAsia="id-ID"/>
              </w:rPr>
              <w:t>5 cases</w:t>
            </w:r>
          </w:p>
        </w:tc>
        <w:tc>
          <w:tcPr>
            <w:tcW w:w="1843" w:type="dxa"/>
          </w:tcPr>
          <w:p w:rsidR="00B211AD" w:rsidRPr="007633A1" w:rsidRDefault="00B211AD" w:rsidP="00B211AD">
            <w:pPr>
              <w:autoSpaceDE w:val="0"/>
              <w:autoSpaceDN w:val="0"/>
              <w:adjustRightInd w:val="0"/>
              <w:jc w:val="both"/>
              <w:rPr>
                <w:rFonts w:ascii="Arial" w:hAnsi="Arial" w:cs="Arial"/>
                <w:lang w:val="en-US" w:eastAsia="id-ID"/>
              </w:rPr>
            </w:pPr>
            <w:r w:rsidRPr="007633A1">
              <w:rPr>
                <w:rFonts w:ascii="Arial" w:hAnsi="Arial" w:cs="Arial"/>
                <w:lang w:val="en-US" w:eastAsia="id-ID"/>
              </w:rPr>
              <w:t>Police</w:t>
            </w:r>
          </w:p>
        </w:tc>
      </w:tr>
    </w:tbl>
    <w:p w:rsidR="00B211AD" w:rsidRPr="007633A1" w:rsidRDefault="00B211AD" w:rsidP="00B211AD">
      <w:pPr>
        <w:pStyle w:val="Listecouleur-Accent11"/>
        <w:rPr>
          <w:rFonts w:ascii="Arial" w:hAnsi="Arial" w:cs="Arial"/>
          <w:lang w:val="en-US"/>
        </w:rPr>
      </w:pPr>
    </w:p>
    <w:p w:rsidR="00B211AD" w:rsidRPr="007633A1" w:rsidRDefault="00B211AD" w:rsidP="00B211AD">
      <w:pPr>
        <w:pStyle w:val="BodyTextIndent"/>
        <w:ind w:left="1070"/>
        <w:rPr>
          <w:rFonts w:ascii="Arial" w:hAnsi="Arial" w:cs="Arial"/>
          <w:sz w:val="22"/>
          <w:szCs w:val="22"/>
        </w:rPr>
      </w:pPr>
    </w:p>
    <w:p w:rsidR="00216BB9" w:rsidRPr="007633A1" w:rsidRDefault="00B211AD" w:rsidP="00B211AD">
      <w:pPr>
        <w:pStyle w:val="Listecouleur-Accent11"/>
        <w:autoSpaceDE w:val="0"/>
        <w:autoSpaceDN w:val="0"/>
        <w:adjustRightInd w:val="0"/>
        <w:ind w:left="1070"/>
        <w:jc w:val="right"/>
        <w:rPr>
          <w:rFonts w:ascii="Arial" w:hAnsi="Arial" w:cs="Arial"/>
          <w:i/>
          <w:lang w:val="en-US" w:eastAsia="id-ID"/>
        </w:rPr>
      </w:pPr>
      <w:r w:rsidRPr="007633A1">
        <w:rPr>
          <w:rFonts w:ascii="Arial" w:hAnsi="Arial" w:cs="Arial"/>
          <w:i/>
          <w:lang w:val="en-US" w:eastAsia="id-ID"/>
        </w:rPr>
        <w:t xml:space="preserve"> </w:t>
      </w:r>
    </w:p>
    <w:p w:rsidR="00216BB9" w:rsidRPr="007633A1" w:rsidRDefault="00216BB9" w:rsidP="00B211AD">
      <w:pPr>
        <w:pStyle w:val="Listecouleur-Accent11"/>
        <w:autoSpaceDE w:val="0"/>
        <w:autoSpaceDN w:val="0"/>
        <w:adjustRightInd w:val="0"/>
        <w:ind w:left="1070"/>
        <w:jc w:val="right"/>
        <w:rPr>
          <w:rFonts w:ascii="Arial" w:hAnsi="Arial" w:cs="Arial"/>
          <w:i/>
          <w:lang w:val="en-US" w:eastAsia="id-ID"/>
        </w:rPr>
      </w:pPr>
    </w:p>
    <w:p w:rsidR="00216BB9" w:rsidRPr="007633A1" w:rsidRDefault="00216BB9" w:rsidP="00B211AD">
      <w:pPr>
        <w:pStyle w:val="Listecouleur-Accent11"/>
        <w:autoSpaceDE w:val="0"/>
        <w:autoSpaceDN w:val="0"/>
        <w:adjustRightInd w:val="0"/>
        <w:ind w:left="1070"/>
        <w:jc w:val="right"/>
        <w:rPr>
          <w:rFonts w:ascii="Arial" w:hAnsi="Arial" w:cs="Arial"/>
          <w:i/>
          <w:lang w:val="en-US" w:eastAsia="id-ID"/>
        </w:rPr>
      </w:pPr>
    </w:p>
    <w:p w:rsidR="00216BB9" w:rsidRPr="007633A1" w:rsidRDefault="00216BB9" w:rsidP="00B211AD">
      <w:pPr>
        <w:pStyle w:val="Listecouleur-Accent11"/>
        <w:autoSpaceDE w:val="0"/>
        <w:autoSpaceDN w:val="0"/>
        <w:adjustRightInd w:val="0"/>
        <w:ind w:left="1070"/>
        <w:jc w:val="right"/>
        <w:rPr>
          <w:rFonts w:ascii="Arial" w:hAnsi="Arial" w:cs="Arial"/>
          <w:i/>
          <w:lang w:val="en-US" w:eastAsia="id-ID"/>
        </w:rPr>
      </w:pPr>
    </w:p>
    <w:p w:rsidR="00216BB9" w:rsidRPr="007633A1" w:rsidRDefault="00216BB9" w:rsidP="00B211AD">
      <w:pPr>
        <w:pStyle w:val="Listecouleur-Accent11"/>
        <w:autoSpaceDE w:val="0"/>
        <w:autoSpaceDN w:val="0"/>
        <w:adjustRightInd w:val="0"/>
        <w:ind w:left="1070"/>
        <w:jc w:val="right"/>
        <w:rPr>
          <w:rFonts w:ascii="Arial" w:hAnsi="Arial" w:cs="Arial"/>
          <w:i/>
          <w:lang w:val="en-US" w:eastAsia="id-ID"/>
        </w:rPr>
      </w:pPr>
    </w:p>
    <w:p w:rsidR="008C23F4" w:rsidRPr="007633A1" w:rsidRDefault="00B211AD" w:rsidP="00B211AD">
      <w:pPr>
        <w:pStyle w:val="Listecouleur-Accent11"/>
        <w:autoSpaceDE w:val="0"/>
        <w:autoSpaceDN w:val="0"/>
        <w:adjustRightInd w:val="0"/>
        <w:ind w:left="0"/>
        <w:jc w:val="both"/>
        <w:rPr>
          <w:rFonts w:ascii="Arial" w:hAnsi="Arial" w:cs="Arial"/>
          <w:lang w:val="en-US" w:eastAsia="id-ID"/>
        </w:rPr>
      </w:pPr>
      <w:r w:rsidRPr="007633A1">
        <w:rPr>
          <w:rFonts w:ascii="Arial" w:hAnsi="Arial" w:cs="Arial"/>
          <w:i/>
          <w:lang w:val="en-US" w:eastAsia="id-ID"/>
        </w:rPr>
        <w:t>(</w:t>
      </w:r>
      <w:r w:rsidRPr="007633A1">
        <w:rPr>
          <w:rFonts w:ascii="Arial" w:hAnsi="Arial" w:cs="Arial"/>
          <w:i/>
          <w:sz w:val="18"/>
          <w:lang w:val="en-US" w:eastAsia="id-ID"/>
        </w:rPr>
        <w:t>Source: Report by LBH Jakarta</w:t>
      </w:r>
      <w:r w:rsidRPr="007633A1">
        <w:rPr>
          <w:rFonts w:ascii="Arial" w:hAnsi="Arial" w:cs="Arial"/>
          <w:i/>
          <w:lang w:val="en-US" w:eastAsia="id-ID"/>
        </w:rPr>
        <w:t>)</w:t>
      </w:r>
    </w:p>
    <w:p w:rsidR="00B211AD" w:rsidRPr="007633A1" w:rsidRDefault="00B211AD" w:rsidP="00B211AD">
      <w:pPr>
        <w:pStyle w:val="Listecouleur-Accent11"/>
        <w:autoSpaceDE w:val="0"/>
        <w:autoSpaceDN w:val="0"/>
        <w:adjustRightInd w:val="0"/>
        <w:ind w:left="1070"/>
        <w:jc w:val="both"/>
        <w:rPr>
          <w:rFonts w:ascii="Arial" w:hAnsi="Arial" w:cs="Arial"/>
          <w:lang w:val="en-US" w:eastAsia="id-ID"/>
        </w:rPr>
      </w:pPr>
    </w:p>
    <w:p w:rsidR="00B211AD" w:rsidRPr="007633A1" w:rsidRDefault="00B211AD" w:rsidP="00202139">
      <w:pPr>
        <w:pStyle w:val="Listecouleur-Accent11"/>
        <w:autoSpaceDE w:val="0"/>
        <w:autoSpaceDN w:val="0"/>
        <w:adjustRightInd w:val="0"/>
        <w:ind w:left="1070"/>
        <w:jc w:val="both"/>
        <w:rPr>
          <w:rFonts w:ascii="Arial" w:hAnsi="Arial" w:cs="Arial"/>
          <w:lang w:val="en-US" w:eastAsia="id-ID"/>
        </w:rPr>
      </w:pPr>
    </w:p>
    <w:p w:rsidR="009630C3" w:rsidRPr="009630C3" w:rsidRDefault="00B211AD" w:rsidP="00F163F9">
      <w:pPr>
        <w:pStyle w:val="Listecouleur-Accent11"/>
        <w:numPr>
          <w:ilvl w:val="0"/>
          <w:numId w:val="10"/>
        </w:numPr>
        <w:autoSpaceDE w:val="0"/>
        <w:autoSpaceDN w:val="0"/>
        <w:adjustRightInd w:val="0"/>
        <w:ind w:left="426" w:hanging="426"/>
        <w:jc w:val="both"/>
        <w:rPr>
          <w:rFonts w:ascii="Arial" w:hAnsi="Arial" w:cs="Arial"/>
          <w:b/>
          <w:lang w:val="en-US" w:eastAsia="id-ID"/>
        </w:rPr>
      </w:pPr>
      <w:r w:rsidRPr="007633A1">
        <w:rPr>
          <w:rFonts w:ascii="Arial" w:hAnsi="Arial" w:cs="Arial"/>
          <w:lang w:val="en-US"/>
        </w:rPr>
        <w:t xml:space="preserve">The report of LBH Jakarta </w:t>
      </w:r>
      <w:r w:rsidR="00655688" w:rsidRPr="007633A1">
        <w:rPr>
          <w:rFonts w:ascii="Arial" w:hAnsi="Arial" w:cs="Arial"/>
          <w:lang w:val="en-US"/>
        </w:rPr>
        <w:t>“</w:t>
      </w:r>
      <w:r w:rsidRPr="007633A1">
        <w:rPr>
          <w:rFonts w:ascii="Arial" w:hAnsi="Arial" w:cs="Arial"/>
          <w:lang w:val="en-US"/>
        </w:rPr>
        <w:t>Research on Measuring the Reality and Perception of Torture in Indonesia of 2010</w:t>
      </w:r>
      <w:r w:rsidR="00655688" w:rsidRPr="007633A1">
        <w:rPr>
          <w:rFonts w:ascii="Arial" w:hAnsi="Arial" w:cs="Arial"/>
          <w:lang w:val="en-US"/>
        </w:rPr>
        <w:t>”, which was</w:t>
      </w:r>
      <w:r w:rsidRPr="007633A1">
        <w:rPr>
          <w:rFonts w:ascii="Arial" w:hAnsi="Arial" w:cs="Arial"/>
          <w:lang w:val="en-US"/>
        </w:rPr>
        <w:t xml:space="preserve"> conducted in five areas in Indonesia such as Jakarta, Makassar, Surabaya, Banda Aceh and Lhokseumawe</w:t>
      </w:r>
      <w:r w:rsidR="00202139" w:rsidRPr="007633A1">
        <w:rPr>
          <w:rFonts w:ascii="Arial" w:hAnsi="Arial" w:cs="Arial"/>
          <w:lang w:val="en-US"/>
        </w:rPr>
        <w:t>,</w:t>
      </w:r>
      <w:r w:rsidR="009705C1">
        <w:rPr>
          <w:rFonts w:ascii="Arial" w:hAnsi="Arial" w:cs="Arial"/>
          <w:lang w:val="en-US"/>
        </w:rPr>
        <w:t xml:space="preserve"> showed that</w:t>
      </w:r>
      <w:r w:rsidR="00A04BDA" w:rsidRPr="007633A1">
        <w:rPr>
          <w:rFonts w:ascii="Arial" w:hAnsi="Arial" w:cs="Arial"/>
          <w:lang w:val="en-US"/>
        </w:rPr>
        <w:t xml:space="preserve"> the highest prevalence of torture occurred at the level of </w:t>
      </w:r>
      <w:r w:rsidR="00A04BDA" w:rsidRPr="007633A1">
        <w:rPr>
          <w:rFonts w:ascii="Arial" w:hAnsi="Arial" w:cs="Arial"/>
          <w:b/>
          <w:lang w:val="en-US"/>
        </w:rPr>
        <w:t>investigation</w:t>
      </w:r>
      <w:r w:rsidR="009630C3">
        <w:rPr>
          <w:rFonts w:ascii="Arial" w:hAnsi="Arial" w:cs="Arial"/>
          <w:lang w:val="en-US"/>
        </w:rPr>
        <w:t xml:space="preserve"> and</w:t>
      </w:r>
      <w:r w:rsidR="00A04BDA" w:rsidRPr="007633A1">
        <w:rPr>
          <w:rFonts w:ascii="Arial" w:hAnsi="Arial" w:cs="Arial"/>
          <w:lang w:val="en-US"/>
        </w:rPr>
        <w:t xml:space="preserve"> </w:t>
      </w:r>
      <w:r w:rsidR="00A04BDA" w:rsidRPr="007633A1">
        <w:rPr>
          <w:rFonts w:ascii="Arial" w:hAnsi="Arial" w:cs="Arial"/>
          <w:b/>
          <w:lang w:val="en-US"/>
        </w:rPr>
        <w:t>pre trial detention</w:t>
      </w:r>
      <w:r w:rsidR="00A04BDA" w:rsidRPr="007633A1">
        <w:rPr>
          <w:rFonts w:ascii="Arial" w:hAnsi="Arial" w:cs="Arial"/>
          <w:lang w:val="en-US"/>
        </w:rPr>
        <w:t xml:space="preserve"> with various percentages above 53% to 97.9%. Prevalence</w:t>
      </w:r>
      <w:r w:rsidR="009630C3">
        <w:rPr>
          <w:rFonts w:ascii="Arial" w:hAnsi="Arial" w:cs="Arial"/>
          <w:lang w:val="en-US"/>
        </w:rPr>
        <w:t xml:space="preserve"> of torture </w:t>
      </w:r>
      <w:r w:rsidR="009705C1">
        <w:rPr>
          <w:rFonts w:ascii="Arial" w:hAnsi="Arial" w:cs="Arial"/>
          <w:lang w:val="en-US"/>
        </w:rPr>
        <w:t>was</w:t>
      </w:r>
      <w:r w:rsidR="009630C3">
        <w:rPr>
          <w:rFonts w:ascii="Arial" w:hAnsi="Arial" w:cs="Arial"/>
          <w:lang w:val="en-US"/>
        </w:rPr>
        <w:t xml:space="preserve"> quite low </w:t>
      </w:r>
      <w:r w:rsidR="00A04BDA" w:rsidRPr="007633A1">
        <w:rPr>
          <w:rFonts w:ascii="Arial" w:hAnsi="Arial" w:cs="Arial"/>
          <w:lang w:val="en-US"/>
        </w:rPr>
        <w:t xml:space="preserve">at </w:t>
      </w:r>
      <w:r w:rsidR="00A04BDA" w:rsidRPr="007633A1">
        <w:rPr>
          <w:rFonts w:ascii="Arial" w:hAnsi="Arial" w:cs="Arial"/>
          <w:b/>
          <w:lang w:val="en-US"/>
        </w:rPr>
        <w:t>punishment level,</w:t>
      </w:r>
      <w:r w:rsidR="00A04BDA" w:rsidRPr="007633A1">
        <w:rPr>
          <w:rFonts w:ascii="Arial" w:hAnsi="Arial" w:cs="Arial"/>
          <w:lang w:val="en-US"/>
        </w:rPr>
        <w:t xml:space="preserve"> with the highest rate </w:t>
      </w:r>
      <w:r w:rsidR="009705C1">
        <w:rPr>
          <w:rFonts w:ascii="Arial" w:hAnsi="Arial" w:cs="Arial"/>
          <w:lang w:val="en-US"/>
        </w:rPr>
        <w:t>at</w:t>
      </w:r>
      <w:r w:rsidR="00A04BDA" w:rsidRPr="007633A1">
        <w:rPr>
          <w:rFonts w:ascii="Arial" w:hAnsi="Arial" w:cs="Arial"/>
          <w:lang w:val="en-US"/>
        </w:rPr>
        <w:t xml:space="preserve"> 44%</w:t>
      </w:r>
      <w:r w:rsidR="009630C3">
        <w:rPr>
          <w:rFonts w:ascii="Arial" w:hAnsi="Arial" w:cs="Arial"/>
          <w:lang w:val="en-US"/>
        </w:rPr>
        <w:t xml:space="preserve"> in</w:t>
      </w:r>
      <w:r w:rsidR="00A04BDA" w:rsidRPr="007633A1">
        <w:rPr>
          <w:rFonts w:ascii="Arial" w:hAnsi="Arial" w:cs="Arial"/>
          <w:lang w:val="en-US"/>
        </w:rPr>
        <w:t xml:space="preserve"> Lhokseumawe</w:t>
      </w:r>
      <w:r w:rsidR="009630C3">
        <w:rPr>
          <w:rFonts w:ascii="Arial" w:hAnsi="Arial" w:cs="Arial"/>
          <w:lang w:val="en-US"/>
        </w:rPr>
        <w:t>.</w:t>
      </w:r>
    </w:p>
    <w:p w:rsidR="00972624" w:rsidRPr="007633A1" w:rsidRDefault="00A04BDA" w:rsidP="009630C3">
      <w:pPr>
        <w:pStyle w:val="Listecouleur-Accent11"/>
        <w:autoSpaceDE w:val="0"/>
        <w:autoSpaceDN w:val="0"/>
        <w:adjustRightInd w:val="0"/>
        <w:ind w:left="426"/>
        <w:jc w:val="both"/>
        <w:rPr>
          <w:rFonts w:ascii="Arial" w:hAnsi="Arial" w:cs="Arial"/>
          <w:b/>
          <w:lang w:val="en-US" w:eastAsia="id-ID"/>
        </w:rPr>
      </w:pPr>
      <w:r w:rsidRPr="007633A1">
        <w:rPr>
          <w:rFonts w:ascii="Arial" w:hAnsi="Arial" w:cs="Arial"/>
          <w:lang w:val="en-US"/>
        </w:rPr>
        <w:t xml:space="preserve"> </w:t>
      </w:r>
    </w:p>
    <w:p w:rsidR="006E2B3D" w:rsidRPr="007633A1" w:rsidRDefault="00A41DDD" w:rsidP="000D041D">
      <w:pPr>
        <w:pStyle w:val="Listecouleur-Accent11"/>
        <w:autoSpaceDE w:val="0"/>
        <w:autoSpaceDN w:val="0"/>
        <w:adjustRightInd w:val="0"/>
        <w:ind w:left="426" w:hanging="426"/>
        <w:jc w:val="both"/>
        <w:rPr>
          <w:rFonts w:ascii="Arial" w:hAnsi="Arial" w:cs="Arial"/>
          <w:strike/>
          <w:lang w:val="en-US" w:eastAsia="id-ID"/>
        </w:rPr>
      </w:pPr>
      <w:r w:rsidRPr="007633A1">
        <w:rPr>
          <w:rFonts w:ascii="Arial" w:hAnsi="Arial" w:cs="Arial"/>
          <w:lang w:val="en-US" w:eastAsia="id-ID"/>
        </w:rPr>
        <w:t xml:space="preserve">23. </w:t>
      </w:r>
      <w:r w:rsidR="00E346AF" w:rsidRPr="007633A1">
        <w:rPr>
          <w:rFonts w:ascii="Arial" w:hAnsi="Arial" w:cs="Arial"/>
          <w:lang w:val="en-US" w:eastAsia="id-ID"/>
        </w:rPr>
        <w:t>Since the past decade (2002-2012)</w:t>
      </w:r>
      <w:r w:rsidR="00CA220B" w:rsidRPr="007633A1">
        <w:rPr>
          <w:rFonts w:ascii="Arial" w:hAnsi="Arial" w:cs="Arial"/>
          <w:lang w:val="en-US" w:eastAsia="id-ID"/>
        </w:rPr>
        <w:t xml:space="preserve">, </w:t>
      </w:r>
      <w:r w:rsidR="00E346AF" w:rsidRPr="007633A1">
        <w:rPr>
          <w:rFonts w:ascii="Arial" w:hAnsi="Arial" w:cs="Arial"/>
          <w:lang w:val="en-US" w:eastAsia="id-ID"/>
        </w:rPr>
        <w:t>56 terrorist suspect</w:t>
      </w:r>
      <w:r w:rsidR="00CA220B" w:rsidRPr="007633A1">
        <w:rPr>
          <w:rFonts w:ascii="Arial" w:hAnsi="Arial" w:cs="Arial"/>
          <w:lang w:val="en-US" w:eastAsia="id-ID"/>
        </w:rPr>
        <w:t>s were shot</w:t>
      </w:r>
      <w:r w:rsidR="00E346AF" w:rsidRPr="007633A1">
        <w:rPr>
          <w:rFonts w:ascii="Arial" w:hAnsi="Arial" w:cs="Arial"/>
          <w:lang w:val="en-US" w:eastAsia="id-ID"/>
        </w:rPr>
        <w:t xml:space="preserve"> to dea</w:t>
      </w:r>
      <w:r w:rsidR="00CA220B" w:rsidRPr="007633A1">
        <w:rPr>
          <w:rFonts w:ascii="Arial" w:hAnsi="Arial" w:cs="Arial"/>
          <w:lang w:val="en-US" w:eastAsia="id-ID"/>
        </w:rPr>
        <w:t>th</w:t>
      </w:r>
      <w:r w:rsidR="00216BB9" w:rsidRPr="007633A1">
        <w:rPr>
          <w:rFonts w:ascii="Arial" w:hAnsi="Arial" w:cs="Arial"/>
          <w:lang w:val="en-US" w:eastAsia="id-ID"/>
        </w:rPr>
        <w:t xml:space="preserve"> </w:t>
      </w:r>
      <w:r w:rsidR="00CA220B" w:rsidRPr="007633A1">
        <w:rPr>
          <w:rFonts w:ascii="Arial" w:hAnsi="Arial" w:cs="Arial"/>
          <w:lang w:val="en-US" w:eastAsia="id-ID"/>
        </w:rPr>
        <w:t xml:space="preserve">during </w:t>
      </w:r>
      <w:r w:rsidR="00E346AF" w:rsidRPr="007633A1">
        <w:rPr>
          <w:rFonts w:ascii="Arial" w:hAnsi="Arial" w:cs="Arial"/>
          <w:lang w:val="en-US" w:eastAsia="id-ID"/>
        </w:rPr>
        <w:t>Indonesian Police (Special Detachment 88)</w:t>
      </w:r>
      <w:r w:rsidR="00A04BDA" w:rsidRPr="007633A1">
        <w:rPr>
          <w:rFonts w:ascii="Arial" w:hAnsi="Arial" w:cs="Arial"/>
          <w:lang w:val="en-US" w:eastAsia="id-ID"/>
        </w:rPr>
        <w:t xml:space="preserve"> </w:t>
      </w:r>
      <w:r w:rsidR="00E346AF" w:rsidRPr="007633A1">
        <w:rPr>
          <w:rFonts w:ascii="Arial" w:hAnsi="Arial" w:cs="Arial"/>
          <w:lang w:val="en-US" w:eastAsia="id-ID"/>
        </w:rPr>
        <w:t>operation</w:t>
      </w:r>
      <w:r w:rsidRPr="007633A1">
        <w:rPr>
          <w:rFonts w:ascii="Arial" w:hAnsi="Arial" w:cs="Arial"/>
          <w:lang w:val="en-US" w:eastAsia="id-ID"/>
        </w:rPr>
        <w:t>s</w:t>
      </w:r>
      <w:r w:rsidR="00C908A5" w:rsidRPr="007633A1">
        <w:rPr>
          <w:rFonts w:ascii="Arial" w:hAnsi="Arial" w:cs="Arial"/>
          <w:lang w:val="en-US" w:eastAsia="id-ID"/>
        </w:rPr>
        <w:t xml:space="preserve">. </w:t>
      </w:r>
      <w:r w:rsidR="00E405C3" w:rsidRPr="007633A1">
        <w:rPr>
          <w:rFonts w:ascii="Arial" w:hAnsi="Arial" w:cs="Arial"/>
          <w:lang w:val="en-US" w:eastAsia="id-ID"/>
        </w:rPr>
        <w:t>There</w:t>
      </w:r>
      <w:r w:rsidR="009630C3">
        <w:rPr>
          <w:rFonts w:ascii="Arial" w:hAnsi="Arial" w:cs="Arial"/>
          <w:lang w:val="en-US" w:eastAsia="id-ID"/>
        </w:rPr>
        <w:t xml:space="preserve"> i</w:t>
      </w:r>
      <w:r w:rsidR="00E405C3" w:rsidRPr="007633A1">
        <w:rPr>
          <w:rFonts w:ascii="Arial" w:hAnsi="Arial" w:cs="Arial"/>
          <w:lang w:val="en-US" w:eastAsia="id-ID"/>
        </w:rPr>
        <w:t xml:space="preserve">s no scrutiny mechanism </w:t>
      </w:r>
      <w:r w:rsidR="009630C3">
        <w:rPr>
          <w:rFonts w:ascii="Arial" w:hAnsi="Arial" w:cs="Arial"/>
          <w:lang w:val="en-US" w:eastAsia="id-ID"/>
        </w:rPr>
        <w:t>for</w:t>
      </w:r>
      <w:r w:rsidR="00E405C3" w:rsidRPr="007633A1">
        <w:rPr>
          <w:rFonts w:ascii="Arial" w:hAnsi="Arial" w:cs="Arial"/>
          <w:lang w:val="en-US" w:eastAsia="id-ID"/>
        </w:rPr>
        <w:t xml:space="preserve"> police official</w:t>
      </w:r>
      <w:r w:rsidR="009630C3">
        <w:rPr>
          <w:rFonts w:ascii="Arial" w:hAnsi="Arial" w:cs="Arial"/>
          <w:lang w:val="en-US" w:eastAsia="id-ID"/>
        </w:rPr>
        <w:t>s</w:t>
      </w:r>
      <w:r w:rsidR="00E405C3" w:rsidRPr="007633A1">
        <w:rPr>
          <w:rFonts w:ascii="Arial" w:hAnsi="Arial" w:cs="Arial"/>
          <w:lang w:val="en-US" w:eastAsia="id-ID"/>
        </w:rPr>
        <w:t xml:space="preserve"> on t</w:t>
      </w:r>
      <w:r w:rsidR="00AB0E93" w:rsidRPr="007633A1">
        <w:rPr>
          <w:rFonts w:ascii="Arial" w:hAnsi="Arial" w:cs="Arial"/>
          <w:lang w:val="en-US" w:eastAsia="id-ID"/>
        </w:rPr>
        <w:t>he</w:t>
      </w:r>
      <w:r w:rsidR="00E405C3" w:rsidRPr="007633A1">
        <w:rPr>
          <w:rFonts w:ascii="Arial" w:hAnsi="Arial" w:cs="Arial"/>
          <w:lang w:val="en-US" w:eastAsia="id-ID"/>
        </w:rPr>
        <w:t xml:space="preserve"> authority to arrest or </w:t>
      </w:r>
      <w:r w:rsidR="00C908A5" w:rsidRPr="007633A1">
        <w:rPr>
          <w:rFonts w:ascii="Arial" w:hAnsi="Arial" w:cs="Arial"/>
          <w:lang w:val="en-US" w:eastAsia="id-ID"/>
        </w:rPr>
        <w:t xml:space="preserve">to detain terrorist suspect. </w:t>
      </w:r>
      <w:r w:rsidR="00E346AF" w:rsidRPr="007633A1">
        <w:rPr>
          <w:rFonts w:ascii="Arial" w:hAnsi="Arial" w:cs="Arial"/>
          <w:lang w:val="en-US" w:eastAsia="id-ID"/>
        </w:rPr>
        <w:t>From 2010-2012 28 wrongful arrest</w:t>
      </w:r>
      <w:r w:rsidR="0099780A" w:rsidRPr="007633A1">
        <w:rPr>
          <w:rFonts w:ascii="Arial" w:hAnsi="Arial" w:cs="Arial"/>
          <w:lang w:val="en-US" w:eastAsia="id-ID"/>
        </w:rPr>
        <w:t>s</w:t>
      </w:r>
      <w:r w:rsidR="00AB0E93" w:rsidRPr="007633A1">
        <w:rPr>
          <w:rFonts w:ascii="Arial" w:hAnsi="Arial" w:cs="Arial"/>
          <w:lang w:val="en-US" w:eastAsia="id-ID"/>
        </w:rPr>
        <w:t xml:space="preserve"> were documented</w:t>
      </w:r>
      <w:r w:rsidR="00E346AF" w:rsidRPr="007633A1">
        <w:rPr>
          <w:rFonts w:ascii="Arial" w:hAnsi="Arial" w:cs="Arial"/>
          <w:lang w:val="en-US" w:eastAsia="id-ID"/>
        </w:rPr>
        <w:t>. Those people charged under ter</w:t>
      </w:r>
      <w:r w:rsidR="0099780A" w:rsidRPr="007633A1">
        <w:rPr>
          <w:rFonts w:ascii="Arial" w:hAnsi="Arial" w:cs="Arial"/>
          <w:lang w:val="en-US" w:eastAsia="id-ID"/>
        </w:rPr>
        <w:t>r</w:t>
      </w:r>
      <w:r w:rsidR="00E346AF" w:rsidRPr="007633A1">
        <w:rPr>
          <w:rFonts w:ascii="Arial" w:hAnsi="Arial" w:cs="Arial"/>
          <w:lang w:val="en-US" w:eastAsia="id-ID"/>
        </w:rPr>
        <w:t xml:space="preserve">orism </w:t>
      </w:r>
      <w:r w:rsidR="00AB0E93" w:rsidRPr="007633A1">
        <w:rPr>
          <w:rFonts w:ascii="Arial" w:hAnsi="Arial" w:cs="Arial"/>
          <w:lang w:val="en-US" w:eastAsia="id-ID"/>
        </w:rPr>
        <w:t xml:space="preserve">are </w:t>
      </w:r>
      <w:r w:rsidR="00E346AF" w:rsidRPr="007633A1">
        <w:rPr>
          <w:rFonts w:ascii="Arial" w:hAnsi="Arial" w:cs="Arial"/>
          <w:lang w:val="en-US" w:eastAsia="id-ID"/>
        </w:rPr>
        <w:t>without enough preliminary evidence. There are many terrorist suspect</w:t>
      </w:r>
      <w:r w:rsidR="0099780A" w:rsidRPr="007633A1">
        <w:rPr>
          <w:rFonts w:ascii="Arial" w:hAnsi="Arial" w:cs="Arial"/>
          <w:lang w:val="en-US" w:eastAsia="id-ID"/>
        </w:rPr>
        <w:t>s</w:t>
      </w:r>
      <w:r w:rsidR="00E346AF" w:rsidRPr="007633A1">
        <w:rPr>
          <w:rFonts w:ascii="Arial" w:hAnsi="Arial" w:cs="Arial"/>
          <w:lang w:val="en-US" w:eastAsia="id-ID"/>
        </w:rPr>
        <w:t xml:space="preserve"> arrested without warrant. Sometimes, police simply make the warrant after arresting terrorist suspect</w:t>
      </w:r>
      <w:r w:rsidR="0099780A" w:rsidRPr="007633A1">
        <w:rPr>
          <w:rFonts w:ascii="Arial" w:hAnsi="Arial" w:cs="Arial"/>
          <w:lang w:val="en-US" w:eastAsia="id-ID"/>
        </w:rPr>
        <w:t>s</w:t>
      </w:r>
      <w:r w:rsidR="00C908A5" w:rsidRPr="007633A1">
        <w:rPr>
          <w:rStyle w:val="FootnoteReference"/>
          <w:rFonts w:ascii="Arial" w:hAnsi="Arial" w:cs="Arial"/>
          <w:lang w:val="en-US" w:eastAsia="id-ID"/>
        </w:rPr>
        <w:footnoteReference w:id="10"/>
      </w:r>
      <w:r w:rsidR="00C908A5" w:rsidRPr="007633A1">
        <w:rPr>
          <w:rFonts w:ascii="Arial" w:hAnsi="Arial" w:cs="Arial"/>
          <w:lang w:val="en-US" w:eastAsia="id-ID"/>
        </w:rPr>
        <w:t xml:space="preserve">. </w:t>
      </w:r>
    </w:p>
    <w:p w:rsidR="00B211AD" w:rsidRPr="007633A1" w:rsidRDefault="00B211AD" w:rsidP="00B211AD">
      <w:pPr>
        <w:pStyle w:val="Listecouleur-Accent11"/>
        <w:spacing w:after="0"/>
        <w:jc w:val="both"/>
        <w:rPr>
          <w:rFonts w:ascii="Arial" w:hAnsi="Arial" w:cs="Arial"/>
          <w:lang w:val="en-US"/>
        </w:rPr>
      </w:pPr>
    </w:p>
    <w:p w:rsidR="000A5343" w:rsidRPr="007633A1" w:rsidRDefault="00C528BF" w:rsidP="00F163F9">
      <w:pPr>
        <w:pStyle w:val="Listecouleur-Accent11"/>
        <w:numPr>
          <w:ilvl w:val="0"/>
          <w:numId w:val="11"/>
        </w:numPr>
        <w:spacing w:after="0"/>
        <w:ind w:left="426" w:hanging="426"/>
        <w:jc w:val="both"/>
        <w:rPr>
          <w:rFonts w:ascii="Arial" w:hAnsi="Arial" w:cs="Arial"/>
          <w:b/>
          <w:color w:val="FF0000"/>
          <w:lang w:val="en-US"/>
        </w:rPr>
      </w:pPr>
      <w:r w:rsidRPr="007633A1">
        <w:rPr>
          <w:rFonts w:ascii="Arial" w:hAnsi="Arial" w:cs="Arial"/>
          <w:lang w:val="en-US"/>
        </w:rPr>
        <w:t>D</w:t>
      </w:r>
      <w:r w:rsidR="00B211AD" w:rsidRPr="007633A1">
        <w:rPr>
          <w:rFonts w:ascii="Arial" w:hAnsi="Arial" w:cs="Arial"/>
          <w:lang w:val="en-US"/>
        </w:rPr>
        <w:t>ata o</w:t>
      </w:r>
      <w:r w:rsidRPr="007633A1">
        <w:rPr>
          <w:rFonts w:ascii="Arial" w:hAnsi="Arial" w:cs="Arial"/>
          <w:lang w:val="en-US"/>
        </w:rPr>
        <w:t>n</w:t>
      </w:r>
      <w:r w:rsidR="00B211AD" w:rsidRPr="007633A1">
        <w:rPr>
          <w:rFonts w:ascii="Arial" w:hAnsi="Arial" w:cs="Arial"/>
          <w:lang w:val="en-US"/>
        </w:rPr>
        <w:t xml:space="preserve"> detainees and convicts in Indonesia can be accessed through th</w:t>
      </w:r>
      <w:r w:rsidR="00011BB5" w:rsidRPr="007633A1">
        <w:rPr>
          <w:rFonts w:ascii="Arial" w:hAnsi="Arial" w:cs="Arial"/>
          <w:lang w:val="en-US"/>
        </w:rPr>
        <w:t>e following</w:t>
      </w:r>
      <w:r w:rsidR="00B211AD" w:rsidRPr="007633A1">
        <w:rPr>
          <w:rFonts w:ascii="Arial" w:hAnsi="Arial" w:cs="Arial"/>
          <w:lang w:val="en-US"/>
        </w:rPr>
        <w:t xml:space="preserve"> updated website </w:t>
      </w:r>
      <w:hyperlink r:id="rId11" w:history="1">
        <w:r w:rsidR="00B211AD" w:rsidRPr="007633A1">
          <w:rPr>
            <w:rStyle w:val="Hyperlink"/>
            <w:rFonts w:ascii="Arial" w:hAnsi="Arial" w:cs="Arial"/>
            <w:color w:val="auto"/>
            <w:lang w:val="en-US"/>
          </w:rPr>
          <w:t>http://smslap.ditjenpas.go.id</w:t>
        </w:r>
      </w:hyperlink>
      <w:r w:rsidR="00A04BDA" w:rsidRPr="007633A1">
        <w:rPr>
          <w:lang w:val="en-US"/>
        </w:rPr>
        <w:t xml:space="preserve"> </w:t>
      </w:r>
      <w:r w:rsidR="006E2B3D" w:rsidRPr="007633A1">
        <w:rPr>
          <w:rFonts w:ascii="Arial" w:hAnsi="Arial" w:cs="Arial"/>
          <w:lang w:val="en-US"/>
        </w:rPr>
        <w:t>administered by the Directorate General of Correction</w:t>
      </w:r>
      <w:r w:rsidR="0046099D" w:rsidRPr="007633A1">
        <w:rPr>
          <w:rFonts w:ascii="Arial" w:hAnsi="Arial" w:cs="Arial"/>
          <w:lang w:val="en-US"/>
        </w:rPr>
        <w:t xml:space="preserve">. </w:t>
      </w:r>
      <w:r w:rsidR="009705C1">
        <w:rPr>
          <w:rFonts w:ascii="Arial" w:hAnsi="Arial" w:cs="Arial"/>
          <w:lang w:val="en-US"/>
        </w:rPr>
        <w:t>E</w:t>
      </w:r>
      <w:r w:rsidR="009705C1" w:rsidRPr="007633A1">
        <w:rPr>
          <w:rFonts w:ascii="Arial" w:hAnsi="Arial" w:cs="Arial"/>
          <w:lang w:val="en-US"/>
        </w:rPr>
        <w:t>very day</w:t>
      </w:r>
      <w:r w:rsidR="00B211AD" w:rsidRPr="007633A1">
        <w:rPr>
          <w:rFonts w:ascii="Arial" w:hAnsi="Arial" w:cs="Arial"/>
          <w:lang w:val="en-US"/>
        </w:rPr>
        <w:t xml:space="preserve"> it is reported that both the correction center</w:t>
      </w:r>
      <w:r w:rsidR="00E112CC" w:rsidRPr="007633A1">
        <w:rPr>
          <w:rFonts w:ascii="Arial" w:hAnsi="Arial" w:cs="Arial"/>
          <w:lang w:val="en-US"/>
        </w:rPr>
        <w:t>s</w:t>
      </w:r>
      <w:r w:rsidR="00B211AD" w:rsidRPr="007633A1">
        <w:rPr>
          <w:rFonts w:ascii="Arial" w:hAnsi="Arial" w:cs="Arial"/>
          <w:lang w:val="en-US"/>
        </w:rPr>
        <w:t xml:space="preserve"> and detention center</w:t>
      </w:r>
      <w:r w:rsidR="00E112CC" w:rsidRPr="007633A1">
        <w:rPr>
          <w:rFonts w:ascii="Arial" w:hAnsi="Arial" w:cs="Arial"/>
          <w:lang w:val="en-US"/>
        </w:rPr>
        <w:t>s</w:t>
      </w:r>
      <w:r w:rsidR="00B211AD" w:rsidRPr="007633A1">
        <w:rPr>
          <w:rFonts w:ascii="Arial" w:hAnsi="Arial" w:cs="Arial"/>
          <w:lang w:val="en-US"/>
        </w:rPr>
        <w:t xml:space="preserve"> are </w:t>
      </w:r>
      <w:r w:rsidR="00E112CC" w:rsidRPr="007633A1">
        <w:rPr>
          <w:rFonts w:ascii="Arial" w:hAnsi="Arial" w:cs="Arial"/>
          <w:lang w:val="en-US"/>
        </w:rPr>
        <w:t xml:space="preserve">in </w:t>
      </w:r>
      <w:r w:rsidR="00B211AD" w:rsidRPr="007633A1">
        <w:rPr>
          <w:rFonts w:ascii="Arial" w:hAnsi="Arial" w:cs="Arial"/>
          <w:lang w:val="en-US"/>
        </w:rPr>
        <w:t xml:space="preserve">overcapacity up to 150% from the available space. There </w:t>
      </w:r>
      <w:r w:rsidR="00E112CC" w:rsidRPr="007633A1">
        <w:rPr>
          <w:rFonts w:ascii="Arial" w:hAnsi="Arial" w:cs="Arial"/>
          <w:lang w:val="en-US"/>
        </w:rPr>
        <w:t>has been</w:t>
      </w:r>
      <w:r w:rsidR="00216BB9" w:rsidRPr="007633A1">
        <w:rPr>
          <w:rFonts w:ascii="Arial" w:hAnsi="Arial" w:cs="Arial"/>
          <w:lang w:val="en-US"/>
        </w:rPr>
        <w:t xml:space="preserve"> </w:t>
      </w:r>
      <w:r w:rsidR="00B211AD" w:rsidRPr="007633A1">
        <w:rPr>
          <w:rFonts w:ascii="Arial" w:hAnsi="Arial" w:cs="Arial"/>
          <w:lang w:val="en-US"/>
        </w:rPr>
        <w:t>no clear program to overcome this problem by the Ministry of Law and Human Rights</w:t>
      </w:r>
      <w:r w:rsidR="008F398C" w:rsidRPr="007633A1">
        <w:rPr>
          <w:rFonts w:ascii="Arial" w:hAnsi="Arial" w:cs="Arial"/>
          <w:lang w:val="en-US"/>
        </w:rPr>
        <w:t>, although it</w:t>
      </w:r>
      <w:r w:rsidR="00B211AD" w:rsidRPr="007633A1">
        <w:rPr>
          <w:rFonts w:ascii="Arial" w:hAnsi="Arial" w:cs="Arial"/>
          <w:lang w:val="en-US"/>
        </w:rPr>
        <w:t xml:space="preserve"> was supposed to </w:t>
      </w:r>
      <w:r w:rsidR="008F398C" w:rsidRPr="007633A1">
        <w:rPr>
          <w:rFonts w:ascii="Arial" w:hAnsi="Arial" w:cs="Arial"/>
          <w:lang w:val="en-US"/>
        </w:rPr>
        <w:t xml:space="preserve">design </w:t>
      </w:r>
      <w:r w:rsidR="00B211AD" w:rsidRPr="007633A1">
        <w:rPr>
          <w:rFonts w:ascii="Arial" w:hAnsi="Arial" w:cs="Arial"/>
          <w:lang w:val="en-US"/>
        </w:rPr>
        <w:t>a policy to overcome this situation</w:t>
      </w:r>
      <w:r w:rsidR="000A5E50" w:rsidRPr="007633A1">
        <w:rPr>
          <w:rFonts w:ascii="Arial" w:hAnsi="Arial" w:cs="Arial"/>
          <w:lang w:val="en-US"/>
        </w:rPr>
        <w:t>.</w:t>
      </w:r>
      <w:r w:rsidR="00B2412C" w:rsidRPr="007633A1">
        <w:rPr>
          <w:rFonts w:ascii="Arial" w:hAnsi="Arial" w:cs="Arial"/>
          <w:b/>
          <w:lang w:val="en-US"/>
        </w:rPr>
        <w:t xml:space="preserve"> </w:t>
      </w:r>
    </w:p>
    <w:p w:rsidR="00A04BDA" w:rsidRPr="007633A1" w:rsidRDefault="00A04BDA" w:rsidP="00A04BDA">
      <w:pPr>
        <w:pStyle w:val="Listecouleur-Accent11"/>
        <w:spacing w:after="0"/>
        <w:ind w:left="0"/>
        <w:jc w:val="both"/>
        <w:rPr>
          <w:rFonts w:ascii="Arial" w:hAnsi="Arial" w:cs="Arial"/>
          <w:lang w:val="en-US"/>
        </w:rPr>
      </w:pPr>
    </w:p>
    <w:p w:rsidR="000A5E50" w:rsidRPr="007633A1" w:rsidRDefault="000A5E50" w:rsidP="006D0983">
      <w:pPr>
        <w:pStyle w:val="Listecouleur-Accent11"/>
        <w:numPr>
          <w:ilvl w:val="0"/>
          <w:numId w:val="11"/>
        </w:numPr>
        <w:spacing w:after="0" w:line="240" w:lineRule="auto"/>
        <w:ind w:left="426"/>
        <w:jc w:val="both"/>
        <w:rPr>
          <w:rFonts w:ascii="Arial" w:hAnsi="Arial" w:cs="Arial"/>
          <w:lang w:val="en-GB"/>
        </w:rPr>
      </w:pPr>
      <w:r w:rsidRPr="007633A1">
        <w:rPr>
          <w:rFonts w:ascii="Arial" w:hAnsi="Arial" w:cs="Arial"/>
          <w:lang w:val="en-GB"/>
        </w:rPr>
        <w:t>OMCT published an urgent appeal in May 2013 on</w:t>
      </w:r>
      <w:r w:rsidR="00CB4FEB" w:rsidRPr="007633A1">
        <w:rPr>
          <w:rFonts w:ascii="Arial" w:hAnsi="Arial" w:cs="Arial"/>
          <w:lang w:val="en-GB"/>
        </w:rPr>
        <w:t xml:space="preserve"> the conditions of detention of Mr. Matan Klembiap, a 41-year-old Papuan, detained in Abepura prison since February 2013. OMCT had been informed about his poor health, resulting from the torture he </w:t>
      </w:r>
      <w:r w:rsidR="00CB4FEB" w:rsidRPr="007633A1">
        <w:rPr>
          <w:rFonts w:ascii="Arial" w:hAnsi="Arial" w:cs="Arial"/>
          <w:lang w:val="en-GB"/>
        </w:rPr>
        <w:lastRenderedPageBreak/>
        <w:t xml:space="preserve">suffered during his arrest and </w:t>
      </w:r>
      <w:r w:rsidR="00346DD8" w:rsidRPr="007633A1">
        <w:rPr>
          <w:rFonts w:ascii="Arial" w:hAnsi="Arial" w:cs="Arial"/>
          <w:lang w:val="en-GB"/>
        </w:rPr>
        <w:t xml:space="preserve">the </w:t>
      </w:r>
      <w:r w:rsidR="00CB4FEB" w:rsidRPr="007633A1">
        <w:rPr>
          <w:rFonts w:ascii="Arial" w:hAnsi="Arial" w:cs="Arial"/>
          <w:lang w:val="en-GB"/>
        </w:rPr>
        <w:t xml:space="preserve">interrogation process by the police, and the lack of medical treatment provided </w:t>
      </w:r>
      <w:r w:rsidR="00346DD8" w:rsidRPr="007633A1">
        <w:rPr>
          <w:rFonts w:ascii="Arial" w:hAnsi="Arial" w:cs="Arial"/>
          <w:lang w:val="en-GB"/>
        </w:rPr>
        <w:t xml:space="preserve">by the competent authorities </w:t>
      </w:r>
      <w:r w:rsidR="00CB4FEB" w:rsidRPr="007633A1">
        <w:rPr>
          <w:rFonts w:ascii="Arial" w:hAnsi="Arial" w:cs="Arial"/>
          <w:lang w:val="en-GB"/>
        </w:rPr>
        <w:t>since his detention</w:t>
      </w:r>
      <w:r w:rsidR="006045F5" w:rsidRPr="007633A1">
        <w:rPr>
          <w:rStyle w:val="FootnoteReference"/>
          <w:rFonts w:ascii="Arial" w:hAnsi="Arial" w:cs="Arial"/>
          <w:lang w:val="en-GB"/>
        </w:rPr>
        <w:footnoteReference w:id="11"/>
      </w:r>
      <w:r w:rsidR="00CB4FEB" w:rsidRPr="007633A1">
        <w:rPr>
          <w:rFonts w:ascii="Arial" w:hAnsi="Arial" w:cs="Arial"/>
          <w:lang w:val="en-GB"/>
        </w:rPr>
        <w:t xml:space="preserve">. </w:t>
      </w:r>
    </w:p>
    <w:p w:rsidR="00B211AD" w:rsidRPr="007633A1" w:rsidRDefault="00B211AD" w:rsidP="00AB0E93">
      <w:pPr>
        <w:pStyle w:val="Listecouleur-Accent11"/>
        <w:spacing w:after="0"/>
        <w:ind w:left="0"/>
        <w:jc w:val="both"/>
        <w:rPr>
          <w:rFonts w:ascii="Arial" w:hAnsi="Arial" w:cs="Arial"/>
          <w:lang w:val="en-US"/>
        </w:rPr>
      </w:pPr>
    </w:p>
    <w:p w:rsidR="000A5343" w:rsidRPr="007633A1" w:rsidRDefault="00B211AD" w:rsidP="00F163F9">
      <w:pPr>
        <w:pStyle w:val="Listecouleur-Accent11"/>
        <w:numPr>
          <w:ilvl w:val="0"/>
          <w:numId w:val="11"/>
        </w:numPr>
        <w:spacing w:after="0"/>
        <w:ind w:left="426" w:hanging="426"/>
        <w:jc w:val="both"/>
        <w:rPr>
          <w:rFonts w:ascii="Arial" w:hAnsi="Arial" w:cs="Arial"/>
          <w:lang w:val="en-US"/>
        </w:rPr>
      </w:pPr>
      <w:r w:rsidRPr="007633A1">
        <w:rPr>
          <w:rFonts w:ascii="Arial" w:hAnsi="Arial" w:cs="Arial"/>
          <w:lang w:val="en-US"/>
        </w:rPr>
        <w:t>Overcapacity</w:t>
      </w:r>
      <w:r w:rsidR="00A24922" w:rsidRPr="007633A1">
        <w:rPr>
          <w:rFonts w:ascii="Arial" w:hAnsi="Arial" w:cs="Arial"/>
          <w:lang w:val="en-US"/>
        </w:rPr>
        <w:t xml:space="preserve"> is</w:t>
      </w:r>
      <w:r w:rsidRPr="007633A1">
        <w:rPr>
          <w:rFonts w:ascii="Arial" w:hAnsi="Arial" w:cs="Arial"/>
          <w:lang w:val="en-US"/>
        </w:rPr>
        <w:t xml:space="preserve"> also </w:t>
      </w:r>
      <w:r w:rsidR="00A24922" w:rsidRPr="007633A1">
        <w:rPr>
          <w:rFonts w:ascii="Arial" w:hAnsi="Arial" w:cs="Arial"/>
          <w:lang w:val="en-US"/>
        </w:rPr>
        <w:t>a reality</w:t>
      </w:r>
      <w:r w:rsidRPr="007633A1">
        <w:rPr>
          <w:rFonts w:ascii="Arial" w:hAnsi="Arial" w:cs="Arial"/>
          <w:lang w:val="en-US"/>
        </w:rPr>
        <w:t xml:space="preserve"> in places of detention</w:t>
      </w:r>
      <w:r w:rsidR="00A24922" w:rsidRPr="007633A1">
        <w:rPr>
          <w:rFonts w:ascii="Arial" w:hAnsi="Arial" w:cs="Arial"/>
          <w:lang w:val="en-US"/>
        </w:rPr>
        <w:t xml:space="preserve"> of</w:t>
      </w:r>
      <w:r w:rsidRPr="007633A1">
        <w:rPr>
          <w:rFonts w:ascii="Arial" w:hAnsi="Arial" w:cs="Arial"/>
          <w:lang w:val="en-US"/>
        </w:rPr>
        <w:t xml:space="preserve"> the police</w:t>
      </w:r>
      <w:r w:rsidR="008F398C" w:rsidRPr="007633A1">
        <w:rPr>
          <w:rFonts w:ascii="Arial" w:hAnsi="Arial" w:cs="Arial"/>
          <w:lang w:val="en-US"/>
        </w:rPr>
        <w:t>.</w:t>
      </w:r>
      <w:r w:rsidR="00216BB9" w:rsidRPr="007633A1">
        <w:rPr>
          <w:rFonts w:ascii="Arial" w:hAnsi="Arial" w:cs="Arial"/>
          <w:lang w:val="en-US"/>
        </w:rPr>
        <w:t xml:space="preserve"> </w:t>
      </w:r>
      <w:r w:rsidR="008F398C" w:rsidRPr="007633A1">
        <w:rPr>
          <w:rFonts w:ascii="Arial" w:hAnsi="Arial" w:cs="Arial"/>
          <w:lang w:val="en-US"/>
        </w:rPr>
        <w:t>H</w:t>
      </w:r>
      <w:r w:rsidRPr="007633A1">
        <w:rPr>
          <w:rFonts w:ascii="Arial" w:hAnsi="Arial" w:cs="Arial"/>
          <w:lang w:val="en-US"/>
        </w:rPr>
        <w:t>owever</w:t>
      </w:r>
      <w:r w:rsidR="006F563A" w:rsidRPr="007633A1">
        <w:rPr>
          <w:rFonts w:ascii="Arial" w:hAnsi="Arial" w:cs="Arial"/>
          <w:lang w:val="en-US"/>
        </w:rPr>
        <w:t>,</w:t>
      </w:r>
      <w:r w:rsidRPr="007633A1">
        <w:rPr>
          <w:rFonts w:ascii="Arial" w:hAnsi="Arial" w:cs="Arial"/>
          <w:lang w:val="en-US"/>
        </w:rPr>
        <w:t xml:space="preserve"> no data</w:t>
      </w:r>
      <w:r w:rsidR="009630C3">
        <w:rPr>
          <w:rFonts w:ascii="Arial" w:hAnsi="Arial" w:cs="Arial"/>
          <w:lang w:val="en-US"/>
        </w:rPr>
        <w:t xml:space="preserve"> was available</w:t>
      </w:r>
      <w:r w:rsidRPr="007633A1">
        <w:rPr>
          <w:rFonts w:ascii="Arial" w:hAnsi="Arial" w:cs="Arial"/>
          <w:lang w:val="en-US"/>
        </w:rPr>
        <w:t xml:space="preserve"> to compare the number of detainees in the police </w:t>
      </w:r>
      <w:r w:rsidR="00AB0E93" w:rsidRPr="007633A1">
        <w:rPr>
          <w:rFonts w:ascii="Arial" w:hAnsi="Arial" w:cs="Arial"/>
          <w:lang w:val="en-US"/>
        </w:rPr>
        <w:t>facilities</w:t>
      </w:r>
      <w:r w:rsidR="00216BB9" w:rsidRPr="007633A1">
        <w:rPr>
          <w:rFonts w:ascii="Arial" w:hAnsi="Arial" w:cs="Arial"/>
          <w:lang w:val="en-US"/>
        </w:rPr>
        <w:t xml:space="preserve"> </w:t>
      </w:r>
      <w:r w:rsidRPr="007633A1">
        <w:rPr>
          <w:rFonts w:ascii="Arial" w:hAnsi="Arial" w:cs="Arial"/>
          <w:lang w:val="en-US"/>
        </w:rPr>
        <w:t>with the detention centers managed by the Directorate General of Correction</w:t>
      </w:r>
      <w:r w:rsidR="00A93F7C" w:rsidRPr="007633A1">
        <w:rPr>
          <w:rFonts w:ascii="Arial" w:hAnsi="Arial" w:cs="Arial"/>
          <w:lang w:val="en-US"/>
        </w:rPr>
        <w:t>s</w:t>
      </w:r>
      <w:r w:rsidRPr="007633A1">
        <w:rPr>
          <w:rFonts w:ascii="Arial" w:hAnsi="Arial" w:cs="Arial"/>
          <w:lang w:val="en-US"/>
        </w:rPr>
        <w:t>. The restricted information about the overcapacity in p</w:t>
      </w:r>
      <w:r w:rsidR="00745734" w:rsidRPr="007633A1">
        <w:rPr>
          <w:rFonts w:ascii="Arial" w:hAnsi="Arial" w:cs="Arial"/>
          <w:lang w:val="en-US"/>
        </w:rPr>
        <w:t>lace of detention of the police</w:t>
      </w:r>
      <w:r w:rsidRPr="007633A1">
        <w:rPr>
          <w:rFonts w:ascii="Arial" w:hAnsi="Arial" w:cs="Arial"/>
          <w:lang w:val="en-US"/>
        </w:rPr>
        <w:t xml:space="preserve"> shows </w:t>
      </w:r>
      <w:r w:rsidR="00745734" w:rsidRPr="007633A1">
        <w:rPr>
          <w:rFonts w:ascii="Arial" w:hAnsi="Arial" w:cs="Arial"/>
          <w:lang w:val="en-US"/>
        </w:rPr>
        <w:t>a lack of willingness</w:t>
      </w:r>
      <w:r w:rsidR="00A10F3A" w:rsidRPr="007633A1">
        <w:rPr>
          <w:rFonts w:ascii="Arial" w:hAnsi="Arial" w:cs="Arial"/>
          <w:lang w:val="en-US"/>
        </w:rPr>
        <w:t xml:space="preserve"> by the Indonesian police</w:t>
      </w:r>
      <w:r w:rsidR="00745734" w:rsidRPr="007633A1">
        <w:rPr>
          <w:rFonts w:ascii="Arial" w:hAnsi="Arial" w:cs="Arial"/>
          <w:lang w:val="en-US"/>
        </w:rPr>
        <w:t xml:space="preserve"> to communicate</w:t>
      </w:r>
      <w:r w:rsidR="003A31DD" w:rsidRPr="007633A1">
        <w:rPr>
          <w:rFonts w:ascii="Arial" w:hAnsi="Arial" w:cs="Arial"/>
          <w:lang w:val="en-US"/>
        </w:rPr>
        <w:t xml:space="preserve"> </w:t>
      </w:r>
      <w:r w:rsidR="00A10F3A" w:rsidRPr="007633A1">
        <w:rPr>
          <w:rFonts w:ascii="Arial" w:hAnsi="Arial" w:cs="Arial"/>
          <w:lang w:val="en-US"/>
        </w:rPr>
        <w:t>on the human rights situation</w:t>
      </w:r>
      <w:r w:rsidRPr="007633A1">
        <w:rPr>
          <w:rFonts w:ascii="Arial" w:hAnsi="Arial" w:cs="Arial"/>
          <w:lang w:val="en-US"/>
        </w:rPr>
        <w:t xml:space="preserve"> of detainees under </w:t>
      </w:r>
      <w:r w:rsidR="009630C3">
        <w:rPr>
          <w:rFonts w:ascii="Arial" w:hAnsi="Arial" w:cs="Arial"/>
          <w:lang w:val="en-US"/>
        </w:rPr>
        <w:t>police</w:t>
      </w:r>
      <w:r w:rsidRPr="007633A1">
        <w:rPr>
          <w:rFonts w:ascii="Arial" w:hAnsi="Arial" w:cs="Arial"/>
          <w:lang w:val="en-US"/>
        </w:rPr>
        <w:t xml:space="preserve"> custody. </w:t>
      </w:r>
    </w:p>
    <w:p w:rsidR="006E2B3D" w:rsidRPr="007633A1" w:rsidRDefault="006E2B3D" w:rsidP="00F27BE2">
      <w:pPr>
        <w:pStyle w:val="Listecouleur-Accent11"/>
        <w:spacing w:after="0"/>
        <w:ind w:left="0"/>
        <w:jc w:val="both"/>
        <w:rPr>
          <w:rFonts w:ascii="Arial" w:hAnsi="Arial" w:cs="Arial"/>
          <w:lang w:val="en-US"/>
        </w:rPr>
      </w:pPr>
    </w:p>
    <w:p w:rsidR="00B211AD" w:rsidRPr="007633A1" w:rsidRDefault="00D801CA" w:rsidP="00084D27">
      <w:pPr>
        <w:pBdr>
          <w:top w:val="single" w:sz="4" w:space="1" w:color="auto"/>
          <w:left w:val="single" w:sz="4" w:space="4" w:color="auto"/>
          <w:bottom w:val="single" w:sz="4" w:space="1" w:color="auto"/>
          <w:right w:val="single" w:sz="4" w:space="4" w:color="auto"/>
        </w:pBdr>
        <w:jc w:val="both"/>
        <w:outlineLvl w:val="0"/>
        <w:rPr>
          <w:rFonts w:ascii="Arial" w:hAnsi="Arial" w:cs="Arial"/>
          <w:lang w:val="en-US"/>
        </w:rPr>
      </w:pPr>
      <w:r w:rsidRPr="007633A1">
        <w:rPr>
          <w:rFonts w:ascii="Arial" w:hAnsi="Arial" w:cs="Arial"/>
          <w:b/>
          <w:lang w:val="en-US"/>
        </w:rPr>
        <w:t>Issue 13:</w:t>
      </w:r>
      <w:r w:rsidR="009630C3">
        <w:rPr>
          <w:rFonts w:ascii="Arial" w:hAnsi="Arial" w:cs="Arial"/>
          <w:b/>
          <w:lang w:val="en-US"/>
        </w:rPr>
        <w:t xml:space="preserve"> </w:t>
      </w:r>
      <w:r w:rsidR="00B211AD" w:rsidRPr="007633A1">
        <w:rPr>
          <w:rFonts w:ascii="Arial" w:hAnsi="Arial" w:cs="Arial"/>
          <w:lang w:val="en-US"/>
        </w:rPr>
        <w:t>Please provide information on the steps taken to grant access to prisons and detention facilities by independent monitoring bodies following the refusal by the government in 2009 to grant access to the International Committee of the Red Cross (ICRC) to inspect prisons and detention facilities in the State party. Please respond to allegations that the State party requested the ICRC to close its field offices in Aceh and Papua provinces. Please confirm whether an independent monitoring mechanism has been designated to monitor the conditions of imprisonment and detention and the situation of prisoners and detainees, with powers to conduct unannounced</w:t>
      </w:r>
    </w:p>
    <w:p w:rsidR="00B211AD" w:rsidRPr="007633A1" w:rsidRDefault="0043350B" w:rsidP="00F163F9">
      <w:pPr>
        <w:pStyle w:val="Listecouleur-Accent11"/>
        <w:numPr>
          <w:ilvl w:val="0"/>
          <w:numId w:val="11"/>
        </w:numPr>
        <w:spacing w:after="0"/>
        <w:ind w:left="426" w:hanging="426"/>
        <w:jc w:val="both"/>
        <w:rPr>
          <w:rFonts w:ascii="Arial" w:hAnsi="Arial" w:cs="Arial"/>
          <w:lang w:val="en-US"/>
        </w:rPr>
      </w:pPr>
      <w:r w:rsidRPr="007633A1">
        <w:rPr>
          <w:rFonts w:ascii="Arial" w:hAnsi="Arial" w:cs="Arial"/>
          <w:lang w:val="en-US"/>
        </w:rPr>
        <w:t xml:space="preserve">As of </w:t>
      </w:r>
      <w:r w:rsidR="0082632F" w:rsidRPr="007633A1">
        <w:rPr>
          <w:rFonts w:ascii="Arial" w:hAnsi="Arial" w:cs="Arial"/>
          <w:lang w:val="en-US"/>
        </w:rPr>
        <w:t>June 2013</w:t>
      </w:r>
      <w:r w:rsidRPr="007633A1">
        <w:rPr>
          <w:rFonts w:ascii="Arial" w:hAnsi="Arial" w:cs="Arial"/>
          <w:lang w:val="en-US"/>
        </w:rPr>
        <w:t>,</w:t>
      </w:r>
      <w:r w:rsidR="009630C3">
        <w:rPr>
          <w:rFonts w:ascii="Arial" w:hAnsi="Arial" w:cs="Arial"/>
          <w:lang w:val="en-US"/>
        </w:rPr>
        <w:t xml:space="preserve"> </w:t>
      </w:r>
      <w:r w:rsidR="00D801CA" w:rsidRPr="007633A1">
        <w:rPr>
          <w:rFonts w:ascii="Arial" w:hAnsi="Arial" w:cs="Arial"/>
          <w:lang w:val="en-US"/>
        </w:rPr>
        <w:t xml:space="preserve">Indonesia </w:t>
      </w:r>
      <w:r w:rsidR="009A73BC" w:rsidRPr="007633A1">
        <w:rPr>
          <w:rFonts w:ascii="Arial" w:hAnsi="Arial" w:cs="Arial"/>
          <w:lang w:val="en-US"/>
        </w:rPr>
        <w:t>does not</w:t>
      </w:r>
      <w:r w:rsidR="003A31DD" w:rsidRPr="007633A1">
        <w:rPr>
          <w:rFonts w:ascii="Arial" w:hAnsi="Arial" w:cs="Arial"/>
          <w:lang w:val="en-US"/>
        </w:rPr>
        <w:t xml:space="preserve"> </w:t>
      </w:r>
      <w:r w:rsidRPr="007633A1">
        <w:rPr>
          <w:rFonts w:ascii="Arial" w:hAnsi="Arial" w:cs="Arial"/>
          <w:lang w:val="en-US"/>
        </w:rPr>
        <w:t xml:space="preserve">have </w:t>
      </w:r>
      <w:r w:rsidR="00D801CA" w:rsidRPr="007633A1">
        <w:rPr>
          <w:rFonts w:ascii="Arial" w:hAnsi="Arial" w:cs="Arial"/>
          <w:lang w:val="en-US"/>
        </w:rPr>
        <w:t>a</w:t>
      </w:r>
      <w:r w:rsidR="009A73BC" w:rsidRPr="007633A1">
        <w:rPr>
          <w:rFonts w:ascii="Arial" w:hAnsi="Arial" w:cs="Arial"/>
          <w:lang w:val="en-US"/>
        </w:rPr>
        <w:t>n independent</w:t>
      </w:r>
      <w:r w:rsidR="00D801CA" w:rsidRPr="007633A1">
        <w:rPr>
          <w:rFonts w:ascii="Arial" w:hAnsi="Arial" w:cs="Arial"/>
          <w:lang w:val="en-US"/>
        </w:rPr>
        <w:t xml:space="preserve"> mechanism that conducts monitoring</w:t>
      </w:r>
      <w:r w:rsidR="00011BB5" w:rsidRPr="007633A1">
        <w:rPr>
          <w:rFonts w:ascii="Arial" w:hAnsi="Arial" w:cs="Arial"/>
          <w:lang w:val="en-US"/>
        </w:rPr>
        <w:t xml:space="preserve"> activities</w:t>
      </w:r>
      <w:r w:rsidR="00D801CA" w:rsidRPr="007633A1">
        <w:rPr>
          <w:rFonts w:ascii="Arial" w:hAnsi="Arial" w:cs="Arial"/>
          <w:lang w:val="en-US"/>
        </w:rPr>
        <w:t xml:space="preserve"> to places of detention. This is because Indonesia has not</w:t>
      </w:r>
      <w:r w:rsidR="009A73BC" w:rsidRPr="007633A1">
        <w:rPr>
          <w:rFonts w:ascii="Arial" w:hAnsi="Arial" w:cs="Arial"/>
          <w:lang w:val="en-US"/>
        </w:rPr>
        <w:t xml:space="preserve"> yet</w:t>
      </w:r>
      <w:r w:rsidR="00D801CA" w:rsidRPr="007633A1">
        <w:rPr>
          <w:rFonts w:ascii="Arial" w:hAnsi="Arial" w:cs="Arial"/>
          <w:lang w:val="en-US"/>
        </w:rPr>
        <w:t xml:space="preserve"> ratified the OPCAT </w:t>
      </w:r>
      <w:r w:rsidR="009A73BC" w:rsidRPr="007633A1">
        <w:rPr>
          <w:rFonts w:ascii="Arial" w:hAnsi="Arial" w:cs="Arial"/>
          <w:lang w:val="en-US"/>
        </w:rPr>
        <w:t xml:space="preserve">although it was included in the National Action Plan for Human Rights </w:t>
      </w:r>
      <w:r w:rsidR="003A31DD" w:rsidRPr="007633A1">
        <w:rPr>
          <w:rFonts w:ascii="Arial" w:hAnsi="Arial" w:cs="Arial"/>
          <w:lang w:val="en-US"/>
        </w:rPr>
        <w:t>(</w:t>
      </w:r>
      <w:r w:rsidR="009A73BC" w:rsidRPr="007633A1">
        <w:rPr>
          <w:rFonts w:ascii="Arial" w:hAnsi="Arial" w:cs="Arial"/>
          <w:lang w:val="en-US"/>
        </w:rPr>
        <w:t>RANHAM</w:t>
      </w:r>
      <w:r w:rsidR="003A31DD" w:rsidRPr="007633A1">
        <w:rPr>
          <w:rFonts w:ascii="Arial" w:hAnsi="Arial" w:cs="Arial"/>
          <w:lang w:val="en-US"/>
        </w:rPr>
        <w:t>)</w:t>
      </w:r>
      <w:r w:rsidR="009A73BC" w:rsidRPr="007633A1">
        <w:rPr>
          <w:rFonts w:ascii="Arial" w:hAnsi="Arial" w:cs="Arial"/>
          <w:lang w:val="en-US"/>
        </w:rPr>
        <w:t xml:space="preserve"> 2011-2014.</w:t>
      </w:r>
      <w:r w:rsidR="009630C3">
        <w:rPr>
          <w:rFonts w:ascii="Arial" w:hAnsi="Arial" w:cs="Arial"/>
          <w:lang w:val="en-US"/>
        </w:rPr>
        <w:t xml:space="preserve"> </w:t>
      </w:r>
      <w:r w:rsidRPr="007633A1">
        <w:rPr>
          <w:rFonts w:ascii="Arial" w:hAnsi="Arial" w:cs="Arial"/>
          <w:lang w:val="en-US"/>
        </w:rPr>
        <w:t>With regard to the ratification</w:t>
      </w:r>
      <w:r w:rsidR="003A31DD" w:rsidRPr="007633A1">
        <w:rPr>
          <w:rFonts w:ascii="Arial" w:hAnsi="Arial" w:cs="Arial"/>
          <w:lang w:val="en-US"/>
        </w:rPr>
        <w:t xml:space="preserve"> </w:t>
      </w:r>
      <w:r w:rsidRPr="007633A1">
        <w:rPr>
          <w:rFonts w:ascii="Arial" w:hAnsi="Arial" w:cs="Arial"/>
          <w:lang w:val="en-US"/>
        </w:rPr>
        <w:t xml:space="preserve">process of OPCAT, </w:t>
      </w:r>
      <w:r w:rsidR="006E2B3D" w:rsidRPr="007633A1">
        <w:rPr>
          <w:rFonts w:ascii="Arial" w:hAnsi="Arial" w:cs="Arial"/>
          <w:lang w:val="en-US"/>
        </w:rPr>
        <w:t xml:space="preserve">the Ministry of Law and Human Rights is </w:t>
      </w:r>
      <w:r w:rsidRPr="007633A1">
        <w:rPr>
          <w:rFonts w:ascii="Arial" w:hAnsi="Arial" w:cs="Arial"/>
          <w:lang w:val="en-US"/>
        </w:rPr>
        <w:t>currently</w:t>
      </w:r>
      <w:r w:rsidR="006E2B3D" w:rsidRPr="007633A1">
        <w:rPr>
          <w:rFonts w:ascii="Arial" w:hAnsi="Arial" w:cs="Arial"/>
          <w:lang w:val="en-US"/>
        </w:rPr>
        <w:t xml:space="preserve"> drafting the ratification law and academic manuscript.</w:t>
      </w:r>
    </w:p>
    <w:p w:rsidR="00B211AD" w:rsidRPr="007633A1" w:rsidRDefault="00B211AD" w:rsidP="00B211AD">
      <w:pPr>
        <w:pStyle w:val="Listecouleur-Accent11"/>
        <w:spacing w:after="0"/>
        <w:ind w:left="1070"/>
        <w:jc w:val="both"/>
        <w:rPr>
          <w:rFonts w:ascii="Arial" w:hAnsi="Arial" w:cs="Arial"/>
          <w:lang w:val="en-US"/>
        </w:rPr>
      </w:pPr>
    </w:p>
    <w:p w:rsidR="0029066F" w:rsidRPr="007633A1" w:rsidRDefault="00860B97" w:rsidP="00F163F9">
      <w:pPr>
        <w:pStyle w:val="Listecouleur-Accent11"/>
        <w:numPr>
          <w:ilvl w:val="0"/>
          <w:numId w:val="11"/>
        </w:numPr>
        <w:spacing w:after="0"/>
        <w:ind w:left="426" w:hanging="426"/>
        <w:jc w:val="both"/>
        <w:rPr>
          <w:rFonts w:ascii="Arial" w:hAnsi="Arial" w:cs="Arial"/>
          <w:lang w:val="en-US"/>
        </w:rPr>
      </w:pPr>
      <w:r w:rsidRPr="007633A1">
        <w:rPr>
          <w:rFonts w:ascii="Arial" w:hAnsi="Arial" w:cs="Arial"/>
          <w:lang w:val="en-US"/>
        </w:rPr>
        <w:t>Civil society can visit places of detention</w:t>
      </w:r>
      <w:r w:rsidR="003A31DD" w:rsidRPr="007633A1">
        <w:rPr>
          <w:rFonts w:ascii="Arial" w:hAnsi="Arial" w:cs="Arial"/>
          <w:lang w:val="en-US"/>
        </w:rPr>
        <w:t xml:space="preserve"> </w:t>
      </w:r>
      <w:r w:rsidR="009B1751" w:rsidRPr="007633A1">
        <w:rPr>
          <w:rFonts w:ascii="Arial" w:hAnsi="Arial" w:cs="Arial"/>
          <w:lang w:val="en-US"/>
        </w:rPr>
        <w:t>that</w:t>
      </w:r>
      <w:r w:rsidR="003A31DD" w:rsidRPr="007633A1">
        <w:rPr>
          <w:rFonts w:ascii="Arial" w:hAnsi="Arial" w:cs="Arial"/>
          <w:lang w:val="en-US"/>
        </w:rPr>
        <w:t xml:space="preserve"> </w:t>
      </w:r>
      <w:r w:rsidR="003A3CAB" w:rsidRPr="007633A1">
        <w:rPr>
          <w:rFonts w:ascii="Arial" w:hAnsi="Arial" w:cs="Arial"/>
          <w:lang w:val="en-US"/>
        </w:rPr>
        <w:t xml:space="preserve">fall </w:t>
      </w:r>
      <w:r w:rsidRPr="007633A1">
        <w:rPr>
          <w:rFonts w:ascii="Arial" w:hAnsi="Arial" w:cs="Arial"/>
          <w:lang w:val="en-US"/>
        </w:rPr>
        <w:t>under the jurisdiction of the Directorate General of Corrections</w:t>
      </w:r>
      <w:r w:rsidR="003A31DD" w:rsidRPr="007633A1">
        <w:rPr>
          <w:rFonts w:ascii="Arial" w:hAnsi="Arial" w:cs="Arial"/>
          <w:lang w:val="en-US"/>
        </w:rPr>
        <w:t xml:space="preserve"> </w:t>
      </w:r>
      <w:r w:rsidR="00B211AD" w:rsidRPr="007633A1">
        <w:rPr>
          <w:rFonts w:ascii="Arial" w:hAnsi="Arial" w:cs="Arial"/>
          <w:lang w:val="en-US"/>
        </w:rPr>
        <w:t xml:space="preserve">through a direct agreement (MoU) with the </w:t>
      </w:r>
      <w:r w:rsidRPr="007633A1">
        <w:rPr>
          <w:rFonts w:ascii="Arial" w:hAnsi="Arial" w:cs="Arial"/>
          <w:lang w:val="en-US"/>
        </w:rPr>
        <w:t xml:space="preserve">said </w:t>
      </w:r>
      <w:r w:rsidR="00B211AD" w:rsidRPr="007633A1">
        <w:rPr>
          <w:rFonts w:ascii="Arial" w:hAnsi="Arial" w:cs="Arial"/>
          <w:lang w:val="en-US"/>
        </w:rPr>
        <w:t xml:space="preserve">Directorate. However, </w:t>
      </w:r>
      <w:r w:rsidRPr="007633A1">
        <w:rPr>
          <w:rFonts w:ascii="Arial" w:hAnsi="Arial" w:cs="Arial"/>
          <w:lang w:val="en-US"/>
        </w:rPr>
        <w:t xml:space="preserve">these visits have to be announced and cannot be </w:t>
      </w:r>
      <w:r w:rsidR="00B211AD" w:rsidRPr="007633A1">
        <w:rPr>
          <w:rFonts w:ascii="Arial" w:hAnsi="Arial" w:cs="Arial"/>
          <w:lang w:val="en-US"/>
        </w:rPr>
        <w:t>impromptu visit</w:t>
      </w:r>
      <w:r w:rsidRPr="007633A1">
        <w:rPr>
          <w:rFonts w:ascii="Arial" w:hAnsi="Arial" w:cs="Arial"/>
          <w:lang w:val="en-US"/>
        </w:rPr>
        <w:t>s</w:t>
      </w:r>
      <w:r w:rsidR="00B211AD" w:rsidRPr="007633A1">
        <w:rPr>
          <w:rFonts w:ascii="Arial" w:hAnsi="Arial" w:cs="Arial"/>
          <w:lang w:val="en-US"/>
        </w:rPr>
        <w:t xml:space="preserve">. </w:t>
      </w:r>
      <w:r w:rsidR="00DC4417" w:rsidRPr="007633A1">
        <w:rPr>
          <w:rFonts w:ascii="Arial" w:hAnsi="Arial" w:cs="Arial"/>
          <w:lang w:val="en-US"/>
        </w:rPr>
        <w:t>P</w:t>
      </w:r>
      <w:r w:rsidR="00B211AD" w:rsidRPr="007633A1">
        <w:rPr>
          <w:rFonts w:ascii="Arial" w:hAnsi="Arial" w:cs="Arial"/>
          <w:lang w:val="en-US"/>
        </w:rPr>
        <w:t xml:space="preserve">laces of </w:t>
      </w:r>
      <w:r w:rsidR="009B1751" w:rsidRPr="007633A1">
        <w:rPr>
          <w:rFonts w:ascii="Arial" w:hAnsi="Arial" w:cs="Arial"/>
          <w:lang w:val="en-US"/>
        </w:rPr>
        <w:t>detention that fall under the jurisdiction of the police</w:t>
      </w:r>
      <w:r w:rsidR="003A31DD" w:rsidRPr="007633A1">
        <w:rPr>
          <w:rFonts w:ascii="Arial" w:hAnsi="Arial" w:cs="Arial"/>
          <w:lang w:val="en-US"/>
        </w:rPr>
        <w:t xml:space="preserve"> </w:t>
      </w:r>
      <w:r w:rsidR="00064C42" w:rsidRPr="007633A1">
        <w:rPr>
          <w:rFonts w:ascii="Arial" w:hAnsi="Arial" w:cs="Arial"/>
          <w:lang w:val="en-US"/>
        </w:rPr>
        <w:t>and</w:t>
      </w:r>
      <w:r w:rsidR="003A31DD" w:rsidRPr="007633A1">
        <w:rPr>
          <w:rFonts w:ascii="Arial" w:hAnsi="Arial" w:cs="Arial"/>
          <w:lang w:val="en-US"/>
        </w:rPr>
        <w:t xml:space="preserve"> </w:t>
      </w:r>
      <w:r w:rsidR="00064C42" w:rsidRPr="007633A1">
        <w:rPr>
          <w:rFonts w:ascii="Arial" w:hAnsi="Arial" w:cs="Arial"/>
          <w:lang w:val="en-US"/>
        </w:rPr>
        <w:t>TNI</w:t>
      </w:r>
      <w:r w:rsidR="006F563A" w:rsidRPr="007633A1">
        <w:rPr>
          <w:rFonts w:ascii="Arial" w:hAnsi="Arial" w:cs="Arial"/>
          <w:lang w:val="en-US"/>
        </w:rPr>
        <w:t xml:space="preserve"> (Indonesian Army)</w:t>
      </w:r>
      <w:r w:rsidR="003A31DD" w:rsidRPr="007633A1">
        <w:rPr>
          <w:rFonts w:ascii="Arial" w:hAnsi="Arial" w:cs="Arial"/>
          <w:lang w:val="en-US"/>
        </w:rPr>
        <w:t xml:space="preserve"> </w:t>
      </w:r>
      <w:r w:rsidR="009B1751" w:rsidRPr="007633A1">
        <w:rPr>
          <w:rFonts w:ascii="Arial" w:hAnsi="Arial" w:cs="Arial"/>
          <w:lang w:val="en-US"/>
        </w:rPr>
        <w:t>are</w:t>
      </w:r>
      <w:r w:rsidR="00B211AD" w:rsidRPr="007633A1">
        <w:rPr>
          <w:rFonts w:ascii="Arial" w:hAnsi="Arial" w:cs="Arial"/>
          <w:lang w:val="en-US"/>
        </w:rPr>
        <w:t xml:space="preserve"> still hard to access</w:t>
      </w:r>
      <w:r w:rsidR="00646D85" w:rsidRPr="007633A1">
        <w:rPr>
          <w:rFonts w:ascii="Arial" w:hAnsi="Arial" w:cs="Arial"/>
          <w:lang w:val="en-US"/>
        </w:rPr>
        <w:t xml:space="preserve"> for civil society</w:t>
      </w:r>
      <w:r w:rsidR="0029066F" w:rsidRPr="007633A1">
        <w:rPr>
          <w:rFonts w:ascii="Arial" w:hAnsi="Arial" w:cs="Arial"/>
          <w:lang w:val="en-US"/>
        </w:rPr>
        <w:t xml:space="preserve">. </w:t>
      </w:r>
    </w:p>
    <w:p w:rsidR="00B211AD" w:rsidRPr="007633A1" w:rsidRDefault="00B211AD" w:rsidP="00626752">
      <w:pPr>
        <w:pStyle w:val="Listecouleur-Accent11"/>
        <w:spacing w:after="0"/>
        <w:ind w:left="0"/>
        <w:jc w:val="both"/>
        <w:rPr>
          <w:rFonts w:ascii="Arial" w:hAnsi="Arial" w:cs="Arial"/>
          <w:lang w:val="en-US"/>
        </w:rPr>
      </w:pPr>
    </w:p>
    <w:p w:rsidR="00626752" w:rsidRPr="007633A1" w:rsidRDefault="00B211AD" w:rsidP="00F163F9">
      <w:pPr>
        <w:pStyle w:val="Listecouleur-Accent11"/>
        <w:numPr>
          <w:ilvl w:val="0"/>
          <w:numId w:val="11"/>
        </w:numPr>
        <w:spacing w:after="0"/>
        <w:ind w:left="426" w:hanging="426"/>
        <w:jc w:val="both"/>
        <w:rPr>
          <w:rFonts w:ascii="Arial" w:hAnsi="Arial" w:cs="Arial"/>
          <w:lang w:val="en-US"/>
        </w:rPr>
      </w:pPr>
      <w:r w:rsidRPr="007633A1">
        <w:rPr>
          <w:rFonts w:ascii="Arial" w:hAnsi="Arial" w:cs="Arial"/>
          <w:lang w:val="en-US"/>
        </w:rPr>
        <w:t xml:space="preserve">State institutions that </w:t>
      </w:r>
      <w:r w:rsidR="009630C3">
        <w:rPr>
          <w:rFonts w:ascii="Arial" w:hAnsi="Arial" w:cs="Arial"/>
          <w:lang w:val="en-US"/>
        </w:rPr>
        <w:t>can</w:t>
      </w:r>
      <w:r w:rsidRPr="007633A1">
        <w:rPr>
          <w:rFonts w:ascii="Arial" w:hAnsi="Arial" w:cs="Arial"/>
          <w:lang w:val="en-US"/>
        </w:rPr>
        <w:t xml:space="preserve"> monitor place</w:t>
      </w:r>
      <w:r w:rsidR="009630C3">
        <w:rPr>
          <w:rFonts w:ascii="Arial" w:hAnsi="Arial" w:cs="Arial"/>
          <w:lang w:val="en-US"/>
        </w:rPr>
        <w:t>s</w:t>
      </w:r>
      <w:r w:rsidRPr="007633A1">
        <w:rPr>
          <w:rFonts w:ascii="Arial" w:hAnsi="Arial" w:cs="Arial"/>
          <w:lang w:val="en-US"/>
        </w:rPr>
        <w:t xml:space="preserve"> of detention are the National Commission for Human Rights (Komnas HAM), the National Commission on Violence against Women, and the Ombudsman. However, </w:t>
      </w:r>
      <w:r w:rsidR="00626752" w:rsidRPr="007633A1">
        <w:rPr>
          <w:rFonts w:ascii="Arial" w:hAnsi="Arial" w:cs="Arial"/>
          <w:lang w:val="en-US"/>
        </w:rPr>
        <w:t xml:space="preserve">a </w:t>
      </w:r>
      <w:r w:rsidRPr="007633A1">
        <w:rPr>
          <w:rFonts w:ascii="Arial" w:hAnsi="Arial" w:cs="Arial"/>
          <w:lang w:val="en-US"/>
        </w:rPr>
        <w:t>visit can only be done if there is a complaint addressed to them.</w:t>
      </w:r>
      <w:r w:rsidR="006D0983" w:rsidRPr="007633A1">
        <w:rPr>
          <w:rFonts w:ascii="Arial" w:hAnsi="Arial" w:cs="Arial"/>
          <w:lang w:val="en-US"/>
        </w:rPr>
        <w:t xml:space="preserve"> </w:t>
      </w:r>
      <w:r w:rsidR="00626752" w:rsidRPr="007633A1">
        <w:rPr>
          <w:rFonts w:ascii="Arial" w:hAnsi="Arial" w:cs="Arial"/>
          <w:lang w:val="en-US"/>
        </w:rPr>
        <w:t xml:space="preserve">None of these institutions can carry out impromptu visits to places of detention. </w:t>
      </w:r>
    </w:p>
    <w:p w:rsidR="00B211AD" w:rsidRPr="007633A1" w:rsidRDefault="00B211AD" w:rsidP="00B211AD">
      <w:pPr>
        <w:pStyle w:val="Listecouleur-Accent11"/>
        <w:spacing w:after="0"/>
        <w:ind w:left="1070"/>
        <w:jc w:val="both"/>
        <w:rPr>
          <w:rFonts w:ascii="Arial" w:hAnsi="Arial" w:cs="Arial"/>
          <w:lang w:val="en-US"/>
        </w:rPr>
      </w:pPr>
    </w:p>
    <w:p w:rsidR="00051DF9" w:rsidRPr="007633A1" w:rsidRDefault="00E35FB0" w:rsidP="00F163F9">
      <w:pPr>
        <w:pStyle w:val="Listecouleur-Accent11"/>
        <w:numPr>
          <w:ilvl w:val="0"/>
          <w:numId w:val="11"/>
        </w:numPr>
        <w:spacing w:after="0"/>
        <w:ind w:left="426" w:hanging="426"/>
        <w:jc w:val="both"/>
        <w:rPr>
          <w:rFonts w:ascii="Arial" w:hAnsi="Arial" w:cs="Arial"/>
          <w:lang w:val="en-US"/>
        </w:rPr>
      </w:pPr>
      <w:r w:rsidRPr="007633A1">
        <w:rPr>
          <w:rFonts w:ascii="Arial" w:hAnsi="Arial" w:cs="Arial"/>
          <w:lang w:val="en-US"/>
        </w:rPr>
        <w:t xml:space="preserve">At the request of the Military and the Police, the Ministry of Foreign Affairs </w:t>
      </w:r>
      <w:r w:rsidR="009B1751" w:rsidRPr="007633A1">
        <w:rPr>
          <w:rFonts w:ascii="Arial" w:hAnsi="Arial" w:cs="Arial"/>
          <w:lang w:val="en-US"/>
        </w:rPr>
        <w:t>refused</w:t>
      </w:r>
      <w:r w:rsidR="009705C1">
        <w:rPr>
          <w:rFonts w:ascii="Arial" w:hAnsi="Arial" w:cs="Arial"/>
          <w:lang w:val="en-US"/>
        </w:rPr>
        <w:t>,</w:t>
      </w:r>
      <w:r w:rsidR="006F563A" w:rsidRPr="007633A1">
        <w:rPr>
          <w:rFonts w:ascii="Arial" w:hAnsi="Arial" w:cs="Arial"/>
          <w:lang w:val="en-US"/>
        </w:rPr>
        <w:t xml:space="preserve"> in 2009</w:t>
      </w:r>
      <w:r w:rsidR="009705C1">
        <w:rPr>
          <w:rFonts w:ascii="Arial" w:hAnsi="Arial" w:cs="Arial"/>
          <w:lang w:val="en-US"/>
        </w:rPr>
        <w:t>,</w:t>
      </w:r>
      <w:r w:rsidR="003A31DD" w:rsidRPr="007633A1">
        <w:rPr>
          <w:rFonts w:ascii="Arial" w:hAnsi="Arial" w:cs="Arial"/>
          <w:lang w:val="en-US"/>
        </w:rPr>
        <w:t xml:space="preserve"> </w:t>
      </w:r>
      <w:r w:rsidRPr="007633A1">
        <w:rPr>
          <w:rFonts w:ascii="Arial" w:hAnsi="Arial" w:cs="Arial"/>
          <w:lang w:val="en-US"/>
        </w:rPr>
        <w:t>t</w:t>
      </w:r>
      <w:r w:rsidR="00B211AD" w:rsidRPr="007633A1">
        <w:rPr>
          <w:rFonts w:ascii="Arial" w:hAnsi="Arial" w:cs="Arial"/>
          <w:lang w:val="en-US"/>
        </w:rPr>
        <w:t>he ICRC</w:t>
      </w:r>
      <w:r w:rsidR="003A31DD" w:rsidRPr="007633A1">
        <w:rPr>
          <w:rFonts w:ascii="Arial" w:hAnsi="Arial" w:cs="Arial"/>
          <w:lang w:val="en-US"/>
        </w:rPr>
        <w:t xml:space="preserve"> </w:t>
      </w:r>
      <w:r w:rsidRPr="007633A1">
        <w:rPr>
          <w:rFonts w:ascii="Arial" w:hAnsi="Arial" w:cs="Arial"/>
          <w:lang w:val="en-US"/>
        </w:rPr>
        <w:t xml:space="preserve">access </w:t>
      </w:r>
      <w:r w:rsidR="00452C24" w:rsidRPr="007633A1">
        <w:rPr>
          <w:rFonts w:ascii="Arial" w:hAnsi="Arial" w:cs="Arial"/>
          <w:lang w:val="en-US"/>
        </w:rPr>
        <w:t>to</w:t>
      </w:r>
      <w:r w:rsidR="003A31DD" w:rsidRPr="007633A1">
        <w:rPr>
          <w:rFonts w:ascii="Arial" w:hAnsi="Arial" w:cs="Arial"/>
          <w:lang w:val="en-US"/>
        </w:rPr>
        <w:t xml:space="preserve"> </w:t>
      </w:r>
      <w:r w:rsidRPr="007633A1">
        <w:rPr>
          <w:rFonts w:ascii="Arial" w:hAnsi="Arial" w:cs="Arial"/>
          <w:lang w:val="en-US"/>
        </w:rPr>
        <w:t>prisons and detention facilities</w:t>
      </w:r>
      <w:r w:rsidR="00B211AD" w:rsidRPr="007633A1">
        <w:rPr>
          <w:rFonts w:ascii="Arial" w:hAnsi="Arial" w:cs="Arial"/>
          <w:lang w:val="en-US"/>
        </w:rPr>
        <w:t xml:space="preserve">. </w:t>
      </w:r>
      <w:r w:rsidR="00516510" w:rsidRPr="007633A1">
        <w:rPr>
          <w:rFonts w:ascii="Arial" w:hAnsi="Arial" w:cs="Arial"/>
          <w:lang w:val="en-US"/>
        </w:rPr>
        <w:t>The WGAT considers that prisons visits by the</w:t>
      </w:r>
      <w:r w:rsidR="00B211AD" w:rsidRPr="007633A1">
        <w:rPr>
          <w:rFonts w:ascii="Arial" w:hAnsi="Arial" w:cs="Arial"/>
          <w:lang w:val="en-US"/>
        </w:rPr>
        <w:t xml:space="preserve"> ICRC could be very helpful for the improvement of sanitation and health </w:t>
      </w:r>
      <w:r w:rsidR="00E20414" w:rsidRPr="007633A1">
        <w:rPr>
          <w:rFonts w:ascii="Arial" w:hAnsi="Arial" w:cs="Arial"/>
          <w:lang w:val="en-US"/>
        </w:rPr>
        <w:t xml:space="preserve">conditions </w:t>
      </w:r>
      <w:r w:rsidR="00B211AD" w:rsidRPr="007633A1">
        <w:rPr>
          <w:rFonts w:ascii="Arial" w:hAnsi="Arial" w:cs="Arial"/>
          <w:lang w:val="en-US"/>
        </w:rPr>
        <w:t>in prisons, just like other international organizations that ha</w:t>
      </w:r>
      <w:r w:rsidR="003D5FB0" w:rsidRPr="007633A1">
        <w:rPr>
          <w:rFonts w:ascii="Arial" w:hAnsi="Arial" w:cs="Arial"/>
          <w:lang w:val="en-US"/>
        </w:rPr>
        <w:t>ve</w:t>
      </w:r>
      <w:r w:rsidR="00B211AD" w:rsidRPr="007633A1">
        <w:rPr>
          <w:rFonts w:ascii="Arial" w:hAnsi="Arial" w:cs="Arial"/>
          <w:lang w:val="en-US"/>
        </w:rPr>
        <w:t xml:space="preserve"> helped build a health monitoring system for the prevention of HIV/AIDS and other contagious illness.</w:t>
      </w:r>
    </w:p>
    <w:p w:rsidR="006E2B3D" w:rsidRPr="007633A1" w:rsidRDefault="006E2B3D" w:rsidP="00F27BE2">
      <w:pPr>
        <w:pStyle w:val="Listecouleur-Accent11"/>
        <w:spacing w:after="0"/>
        <w:ind w:left="0"/>
        <w:jc w:val="both"/>
        <w:rPr>
          <w:rFonts w:ascii="Arial" w:hAnsi="Arial" w:cs="Arial"/>
          <w:lang w:val="en-US"/>
        </w:rPr>
      </w:pPr>
    </w:p>
    <w:p w:rsidR="00B211AD" w:rsidRPr="007633A1" w:rsidRDefault="00D801CA" w:rsidP="008042E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7633A1">
        <w:rPr>
          <w:rFonts w:ascii="Arial" w:hAnsi="Arial" w:cs="Arial"/>
          <w:b/>
          <w:lang w:val="en-US"/>
        </w:rPr>
        <w:lastRenderedPageBreak/>
        <w:t>Issue14:</w:t>
      </w:r>
      <w:r w:rsidR="006D0983" w:rsidRPr="007633A1">
        <w:rPr>
          <w:rFonts w:ascii="Arial" w:hAnsi="Arial" w:cs="Arial"/>
          <w:b/>
          <w:lang w:val="en-US"/>
        </w:rPr>
        <w:t xml:space="preserve"> </w:t>
      </w:r>
      <w:r w:rsidR="00B211AD" w:rsidRPr="007633A1">
        <w:rPr>
          <w:rFonts w:ascii="Arial" w:hAnsi="Arial" w:cs="Arial"/>
          <w:lang w:val="en-US"/>
        </w:rPr>
        <w:t>Please respond to allegations that torture and ill treatment of detainees is widespread especially at the moment of apprehension and during pre-trial detention, and that it is mostly used to extract confessions.  What measures have been put in place to ensure that evidence obtained under torture is inadmissible and is excluded in court? Please provide data on the activities of the Internal Affairs Division and the National Police Commission</w:t>
      </w:r>
      <w:r w:rsidR="0096472C" w:rsidRPr="007633A1">
        <w:rPr>
          <w:rFonts w:ascii="Arial" w:hAnsi="Arial" w:cs="Arial"/>
          <w:lang w:val="en-US"/>
        </w:rPr>
        <w:t xml:space="preserve">, </w:t>
      </w:r>
      <w:r w:rsidR="00B211AD" w:rsidRPr="007633A1">
        <w:rPr>
          <w:rFonts w:ascii="Arial" w:hAnsi="Arial" w:cs="Arial"/>
          <w:lang w:val="en-US"/>
        </w:rPr>
        <w:t>which are mandated to investigate complaints against police officers. Specifically, please provide data on: (a) the number of complaints received against police officers; (c) investigations carried out; (d) prosecutions, convictions and types of penalties imposed; and (e) compensation awarded to the victims of torture or ill-treatment</w:t>
      </w:r>
    </w:p>
    <w:p w:rsidR="00B211AD" w:rsidRPr="007633A1" w:rsidRDefault="00B211AD" w:rsidP="00B211AD">
      <w:pPr>
        <w:spacing w:after="0"/>
        <w:jc w:val="both"/>
        <w:rPr>
          <w:rFonts w:ascii="Arial" w:hAnsi="Arial" w:cs="Arial"/>
          <w:lang w:val="en-US"/>
        </w:rPr>
      </w:pPr>
    </w:p>
    <w:p w:rsidR="00B211AD" w:rsidRPr="007633A1" w:rsidRDefault="00B211AD" w:rsidP="00F163F9">
      <w:pPr>
        <w:pStyle w:val="Listecouleur-Accent11"/>
        <w:numPr>
          <w:ilvl w:val="0"/>
          <w:numId w:val="11"/>
        </w:numPr>
        <w:spacing w:after="0"/>
        <w:ind w:left="426" w:hanging="426"/>
        <w:jc w:val="both"/>
        <w:rPr>
          <w:rStyle w:val="hps"/>
        </w:rPr>
      </w:pPr>
      <w:r w:rsidRPr="007633A1">
        <w:rPr>
          <w:rStyle w:val="hps"/>
          <w:rFonts w:ascii="Arial" w:hAnsi="Arial" w:cs="Arial"/>
          <w:lang w:val="en-US"/>
        </w:rPr>
        <w:t xml:space="preserve">Referring to </w:t>
      </w:r>
      <w:r w:rsidR="002D430F" w:rsidRPr="007633A1">
        <w:rPr>
          <w:rStyle w:val="hps"/>
          <w:rFonts w:ascii="Arial" w:hAnsi="Arial" w:cs="Arial"/>
          <w:lang w:val="en-US"/>
        </w:rPr>
        <w:t xml:space="preserve">previous </w:t>
      </w:r>
      <w:r w:rsidRPr="007633A1">
        <w:rPr>
          <w:rStyle w:val="hps"/>
          <w:rFonts w:ascii="Arial" w:hAnsi="Arial" w:cs="Arial"/>
          <w:lang w:val="en-US"/>
        </w:rPr>
        <w:t>paragraph</w:t>
      </w:r>
      <w:r w:rsidR="003D5FB0" w:rsidRPr="007633A1">
        <w:rPr>
          <w:rStyle w:val="hps"/>
          <w:rFonts w:ascii="Arial" w:hAnsi="Arial" w:cs="Arial"/>
          <w:lang w:val="en-US"/>
        </w:rPr>
        <w:t>s</w:t>
      </w:r>
      <w:r w:rsidR="00C602EA" w:rsidRPr="007633A1">
        <w:rPr>
          <w:rStyle w:val="hps"/>
          <w:rFonts w:ascii="Arial" w:hAnsi="Arial" w:cs="Arial"/>
          <w:lang w:val="en-US"/>
        </w:rPr>
        <w:t xml:space="preserve"> </w:t>
      </w:r>
      <w:r w:rsidR="002D430F" w:rsidRPr="007633A1">
        <w:rPr>
          <w:rStyle w:val="hps"/>
          <w:rFonts w:ascii="Arial" w:hAnsi="Arial" w:cs="Arial"/>
          <w:lang w:val="en-US"/>
        </w:rPr>
        <w:t xml:space="preserve">of </w:t>
      </w:r>
      <w:r w:rsidRPr="007633A1">
        <w:rPr>
          <w:rStyle w:val="hps"/>
          <w:rFonts w:ascii="Arial" w:hAnsi="Arial" w:cs="Arial"/>
          <w:lang w:val="en-US"/>
        </w:rPr>
        <w:t xml:space="preserve">the present </w:t>
      </w:r>
      <w:r w:rsidR="003D5FB0" w:rsidRPr="007633A1">
        <w:rPr>
          <w:rStyle w:val="hps"/>
          <w:rFonts w:ascii="Arial" w:hAnsi="Arial" w:cs="Arial"/>
          <w:lang w:val="en-US"/>
        </w:rPr>
        <w:t xml:space="preserve">alternative </w:t>
      </w:r>
      <w:r w:rsidRPr="007633A1">
        <w:rPr>
          <w:rStyle w:val="hps"/>
          <w:rFonts w:ascii="Arial" w:hAnsi="Arial" w:cs="Arial"/>
          <w:lang w:val="en-US"/>
        </w:rPr>
        <w:t>report, the practice of torture is still ongoing and likely to increase</w:t>
      </w:r>
      <w:r w:rsidR="00626752" w:rsidRPr="007633A1">
        <w:rPr>
          <w:rStyle w:val="hps"/>
          <w:rFonts w:ascii="Arial" w:hAnsi="Arial" w:cs="Arial"/>
          <w:lang w:val="en-US"/>
        </w:rPr>
        <w:t xml:space="preserve">. </w:t>
      </w:r>
      <w:r w:rsidR="00AA65BE" w:rsidRPr="007633A1">
        <w:rPr>
          <w:rStyle w:val="hps"/>
          <w:rFonts w:ascii="Arial" w:hAnsi="Arial" w:cs="Arial"/>
          <w:lang w:val="en-US"/>
        </w:rPr>
        <w:t>From January to November 2011,</w:t>
      </w:r>
      <w:r w:rsidR="006E2B3D" w:rsidRPr="007633A1">
        <w:rPr>
          <w:rStyle w:val="hps"/>
          <w:rFonts w:ascii="Arial" w:hAnsi="Arial" w:cs="Arial"/>
          <w:lang w:val="en-US"/>
        </w:rPr>
        <w:t xml:space="preserve"> ELSAM </w:t>
      </w:r>
      <w:r w:rsidR="00AA65BE" w:rsidRPr="007633A1">
        <w:rPr>
          <w:rStyle w:val="hps"/>
          <w:rFonts w:ascii="Arial" w:hAnsi="Arial" w:cs="Arial"/>
          <w:lang w:val="en-US"/>
        </w:rPr>
        <w:t>documented</w:t>
      </w:r>
      <w:r w:rsidR="006E2B3D" w:rsidRPr="007633A1">
        <w:rPr>
          <w:rStyle w:val="hps"/>
          <w:rFonts w:ascii="Arial" w:hAnsi="Arial" w:cs="Arial"/>
          <w:lang w:val="en-US"/>
        </w:rPr>
        <w:t xml:space="preserve"> 19 cases of torture and ill-treatment</w:t>
      </w:r>
      <w:r w:rsidR="007E38B1" w:rsidRPr="007633A1">
        <w:rPr>
          <w:rStyle w:val="FootnoteReference"/>
          <w:rFonts w:ascii="Arial" w:hAnsi="Arial" w:cs="Arial"/>
          <w:lang w:val="en-US"/>
        </w:rPr>
        <w:footnoteReference w:id="12"/>
      </w:r>
      <w:r w:rsidR="00AA65BE" w:rsidRPr="007633A1">
        <w:rPr>
          <w:rStyle w:val="hps"/>
          <w:rFonts w:ascii="Arial" w:hAnsi="Arial" w:cs="Arial"/>
          <w:lang w:val="en-US"/>
        </w:rPr>
        <w:t xml:space="preserve">, while it documented 83 similar cases from </w:t>
      </w:r>
      <w:r w:rsidR="006E2B3D" w:rsidRPr="007633A1">
        <w:rPr>
          <w:rStyle w:val="hps"/>
          <w:rFonts w:ascii="Arial" w:hAnsi="Arial" w:cs="Arial"/>
          <w:lang w:val="en-US"/>
        </w:rPr>
        <w:t xml:space="preserve">December 2011 </w:t>
      </w:r>
      <w:r w:rsidR="00AA65BE" w:rsidRPr="007633A1">
        <w:rPr>
          <w:rStyle w:val="hps"/>
          <w:rFonts w:ascii="Arial" w:hAnsi="Arial" w:cs="Arial"/>
          <w:lang w:val="en-US"/>
        </w:rPr>
        <w:t>to</w:t>
      </w:r>
      <w:r w:rsidR="006E2B3D" w:rsidRPr="007633A1">
        <w:rPr>
          <w:rStyle w:val="hps"/>
          <w:rFonts w:ascii="Arial" w:hAnsi="Arial" w:cs="Arial"/>
          <w:lang w:val="en-US"/>
        </w:rPr>
        <w:t xml:space="preserve"> November 2012</w:t>
      </w:r>
      <w:r w:rsidR="007E38B1" w:rsidRPr="007633A1">
        <w:rPr>
          <w:rStyle w:val="FootnoteReference"/>
          <w:rFonts w:ascii="Arial" w:hAnsi="Arial" w:cs="Arial"/>
          <w:lang w:val="en-US"/>
        </w:rPr>
        <w:footnoteReference w:id="13"/>
      </w:r>
      <w:r w:rsidR="006E2B3D" w:rsidRPr="007633A1">
        <w:rPr>
          <w:rStyle w:val="hps"/>
          <w:rFonts w:ascii="Arial" w:hAnsi="Arial" w:cs="Arial"/>
          <w:lang w:val="en-US"/>
        </w:rPr>
        <w:t>.</w:t>
      </w:r>
      <w:r w:rsidR="00C602EA" w:rsidRPr="007633A1">
        <w:rPr>
          <w:rStyle w:val="hps"/>
          <w:rFonts w:ascii="Arial" w:hAnsi="Arial" w:cs="Arial"/>
          <w:lang w:val="en-US"/>
        </w:rPr>
        <w:t xml:space="preserve"> </w:t>
      </w:r>
      <w:r w:rsidRPr="007633A1">
        <w:rPr>
          <w:rStyle w:val="hps"/>
          <w:rFonts w:ascii="Arial" w:hAnsi="Arial" w:cs="Arial"/>
          <w:lang w:val="en-US"/>
        </w:rPr>
        <w:t>From the monitoring</w:t>
      </w:r>
      <w:r w:rsidR="009D6306" w:rsidRPr="007633A1">
        <w:rPr>
          <w:rStyle w:val="hps"/>
          <w:rFonts w:ascii="Arial" w:hAnsi="Arial" w:cs="Arial"/>
          <w:lang w:val="en-US"/>
        </w:rPr>
        <w:t xml:space="preserve"> activities</w:t>
      </w:r>
      <w:r w:rsidRPr="007633A1">
        <w:rPr>
          <w:rStyle w:val="hps"/>
          <w:rFonts w:ascii="Arial" w:hAnsi="Arial" w:cs="Arial"/>
          <w:lang w:val="en-US"/>
        </w:rPr>
        <w:t xml:space="preserve"> conducted by ELSAM, most </w:t>
      </w:r>
      <w:r w:rsidR="00AA65BE" w:rsidRPr="007633A1">
        <w:rPr>
          <w:rStyle w:val="hps"/>
          <w:rFonts w:ascii="Arial" w:hAnsi="Arial" w:cs="Arial"/>
          <w:lang w:val="en-US"/>
        </w:rPr>
        <w:t xml:space="preserve">of the </w:t>
      </w:r>
      <w:r w:rsidR="009D6306" w:rsidRPr="007633A1">
        <w:rPr>
          <w:rStyle w:val="hps"/>
          <w:rFonts w:ascii="Arial" w:hAnsi="Arial" w:cs="Arial"/>
          <w:lang w:val="en-US"/>
        </w:rPr>
        <w:t xml:space="preserve">torture </w:t>
      </w:r>
      <w:r w:rsidRPr="007633A1">
        <w:rPr>
          <w:rStyle w:val="hps"/>
          <w:rFonts w:ascii="Arial" w:hAnsi="Arial" w:cs="Arial"/>
          <w:lang w:val="en-US"/>
        </w:rPr>
        <w:t>victims were offenders of petty crimes such as mobile phones theft, charity box theft, motor vehicle theft, and fights</w:t>
      </w:r>
      <w:r w:rsidRPr="007633A1">
        <w:rPr>
          <w:rStyle w:val="FootnoteReference"/>
          <w:rFonts w:ascii="Arial" w:hAnsi="Arial" w:cs="Arial"/>
          <w:lang w:val="en-US"/>
        </w:rPr>
        <w:footnoteReference w:id="14"/>
      </w:r>
      <w:r w:rsidRPr="007633A1">
        <w:rPr>
          <w:rStyle w:val="hps"/>
          <w:rFonts w:ascii="Arial" w:hAnsi="Arial" w:cs="Arial"/>
          <w:lang w:val="en-US"/>
        </w:rPr>
        <w:t>.</w:t>
      </w:r>
    </w:p>
    <w:p w:rsidR="00B211AD" w:rsidRPr="007633A1" w:rsidRDefault="00B211AD" w:rsidP="007E38B1">
      <w:pPr>
        <w:pStyle w:val="Listecouleur-Accent11"/>
        <w:tabs>
          <w:tab w:val="left" w:pos="7183"/>
        </w:tabs>
        <w:spacing w:after="0"/>
        <w:ind w:left="1070"/>
        <w:jc w:val="both"/>
        <w:rPr>
          <w:rStyle w:val="hps"/>
        </w:rPr>
      </w:pPr>
    </w:p>
    <w:p w:rsidR="00B211AD" w:rsidRPr="007633A1" w:rsidRDefault="009F5BAF" w:rsidP="006D0983">
      <w:pPr>
        <w:pStyle w:val="Listecouleur-Accent11"/>
        <w:numPr>
          <w:ilvl w:val="0"/>
          <w:numId w:val="11"/>
        </w:numPr>
        <w:spacing w:after="0"/>
        <w:ind w:left="426" w:hanging="426"/>
        <w:jc w:val="both"/>
        <w:rPr>
          <w:rStyle w:val="hps"/>
          <w:rFonts w:ascii="Arial" w:hAnsi="Arial" w:cs="Arial"/>
          <w:lang w:val="en-US"/>
        </w:rPr>
      </w:pPr>
      <w:r w:rsidRPr="007633A1">
        <w:rPr>
          <w:rStyle w:val="hps"/>
          <w:rFonts w:ascii="Arial" w:hAnsi="Arial" w:cs="Arial"/>
          <w:lang w:val="en-US"/>
        </w:rPr>
        <w:t xml:space="preserve">NGOs </w:t>
      </w:r>
      <w:r w:rsidR="009630C3">
        <w:rPr>
          <w:rStyle w:val="hps"/>
          <w:rFonts w:ascii="Arial" w:hAnsi="Arial" w:cs="Arial"/>
          <w:lang w:val="en-US"/>
        </w:rPr>
        <w:t xml:space="preserve">have </w:t>
      </w:r>
      <w:r w:rsidRPr="007633A1">
        <w:rPr>
          <w:rStyle w:val="hps"/>
          <w:rFonts w:ascii="Arial" w:hAnsi="Arial" w:cs="Arial"/>
          <w:lang w:val="en-US"/>
        </w:rPr>
        <w:t>submit</w:t>
      </w:r>
      <w:r w:rsidR="009630C3">
        <w:rPr>
          <w:rStyle w:val="hps"/>
          <w:rFonts w:ascii="Arial" w:hAnsi="Arial" w:cs="Arial"/>
          <w:lang w:val="en-US"/>
        </w:rPr>
        <w:t>ted</w:t>
      </w:r>
      <w:r w:rsidRPr="007633A1">
        <w:rPr>
          <w:rStyle w:val="hps"/>
          <w:rFonts w:ascii="Arial" w:hAnsi="Arial" w:cs="Arial"/>
          <w:lang w:val="en-US"/>
        </w:rPr>
        <w:t xml:space="preserve"> c</w:t>
      </w:r>
      <w:r w:rsidR="00B211AD" w:rsidRPr="007633A1">
        <w:rPr>
          <w:rStyle w:val="hps"/>
          <w:rFonts w:ascii="Arial" w:hAnsi="Arial" w:cs="Arial"/>
          <w:lang w:val="en-US"/>
        </w:rPr>
        <w:t xml:space="preserve">omplaints about </w:t>
      </w:r>
      <w:r w:rsidRPr="007633A1">
        <w:rPr>
          <w:rStyle w:val="hps"/>
          <w:rFonts w:ascii="Arial" w:hAnsi="Arial" w:cs="Arial"/>
          <w:lang w:val="en-US"/>
        </w:rPr>
        <w:t>torture practice</w:t>
      </w:r>
      <w:r w:rsidR="00B211AD" w:rsidRPr="007633A1">
        <w:rPr>
          <w:rStyle w:val="hps"/>
          <w:rFonts w:ascii="Arial" w:hAnsi="Arial" w:cs="Arial"/>
          <w:lang w:val="en-US"/>
        </w:rPr>
        <w:t xml:space="preserve"> to various institutions, </w:t>
      </w:r>
      <w:r w:rsidR="0047176F" w:rsidRPr="007633A1">
        <w:rPr>
          <w:rStyle w:val="hps"/>
          <w:rFonts w:ascii="Arial" w:hAnsi="Arial" w:cs="Arial"/>
          <w:lang w:val="en-US"/>
        </w:rPr>
        <w:t>starting</w:t>
      </w:r>
      <w:r w:rsidR="00A04BDA" w:rsidRPr="007633A1">
        <w:rPr>
          <w:rStyle w:val="hps"/>
          <w:rFonts w:ascii="Arial" w:hAnsi="Arial" w:cs="Arial"/>
          <w:lang w:val="en-US"/>
        </w:rPr>
        <w:t xml:space="preserve"> </w:t>
      </w:r>
      <w:r w:rsidR="00B211AD" w:rsidRPr="007633A1">
        <w:rPr>
          <w:rStyle w:val="hps"/>
          <w:rFonts w:ascii="Arial" w:hAnsi="Arial" w:cs="Arial"/>
          <w:lang w:val="en-US"/>
        </w:rPr>
        <w:t xml:space="preserve">from criminal reports at the Police Service Center, complaints to the Propam of the Indonesian Police Force, as well as to the National Police Commission. </w:t>
      </w:r>
      <w:r w:rsidRPr="007633A1">
        <w:rPr>
          <w:rStyle w:val="hps"/>
          <w:rFonts w:ascii="Arial" w:hAnsi="Arial" w:cs="Arial"/>
          <w:lang w:val="en-US"/>
        </w:rPr>
        <w:t>However, t</w:t>
      </w:r>
      <w:r w:rsidR="00B211AD" w:rsidRPr="007633A1">
        <w:rPr>
          <w:rStyle w:val="hps"/>
          <w:rFonts w:ascii="Arial" w:hAnsi="Arial" w:cs="Arial"/>
          <w:lang w:val="en-US"/>
        </w:rPr>
        <w:t>he response to the</w:t>
      </w:r>
      <w:r w:rsidR="00DA379A" w:rsidRPr="007633A1">
        <w:rPr>
          <w:rStyle w:val="hps"/>
          <w:rFonts w:ascii="Arial" w:hAnsi="Arial" w:cs="Arial"/>
          <w:lang w:val="en-US"/>
        </w:rPr>
        <w:t>se</w:t>
      </w:r>
      <w:r w:rsidR="00B211AD" w:rsidRPr="007633A1">
        <w:rPr>
          <w:rStyle w:val="hps"/>
          <w:rFonts w:ascii="Arial" w:hAnsi="Arial" w:cs="Arial"/>
          <w:lang w:val="en-US"/>
        </w:rPr>
        <w:t xml:space="preserve"> reports </w:t>
      </w:r>
      <w:r w:rsidR="000444A4" w:rsidRPr="007633A1">
        <w:rPr>
          <w:rStyle w:val="hps"/>
          <w:rFonts w:ascii="Arial" w:hAnsi="Arial" w:cs="Arial"/>
          <w:lang w:val="en-US"/>
        </w:rPr>
        <w:t xml:space="preserve">was </w:t>
      </w:r>
      <w:r w:rsidR="00B211AD" w:rsidRPr="007633A1">
        <w:rPr>
          <w:rStyle w:val="hps"/>
          <w:rFonts w:ascii="Arial" w:hAnsi="Arial" w:cs="Arial"/>
          <w:lang w:val="en-US"/>
        </w:rPr>
        <w:t>very slow, particularly in revealing the practice of torture. Reparation for the victims was barely received (see annex 1</w:t>
      </w:r>
      <w:r w:rsidR="00B211AD" w:rsidRPr="007633A1">
        <w:rPr>
          <w:rStyle w:val="hps"/>
          <w:rFonts w:ascii="Arial" w:hAnsi="Arial" w:cs="Arial"/>
          <w:b/>
          <w:lang w:val="en-US"/>
        </w:rPr>
        <w:t>).</w:t>
      </w:r>
      <w:r w:rsidR="00391B9E" w:rsidRPr="007633A1">
        <w:rPr>
          <w:rStyle w:val="hps"/>
          <w:rFonts w:ascii="Arial" w:hAnsi="Arial" w:cs="Arial"/>
          <w:b/>
          <w:lang w:val="en-US"/>
        </w:rPr>
        <w:t xml:space="preserve"> </w:t>
      </w:r>
    </w:p>
    <w:p w:rsidR="006D0983" w:rsidRPr="007633A1" w:rsidRDefault="006D0983" w:rsidP="007633A1">
      <w:pPr>
        <w:pStyle w:val="Listecouleur-Accent11"/>
        <w:spacing w:after="0"/>
        <w:ind w:left="0"/>
        <w:jc w:val="both"/>
        <w:rPr>
          <w:rFonts w:ascii="Arial" w:hAnsi="Arial" w:cs="Arial"/>
          <w:lang w:val="en-US"/>
        </w:rPr>
      </w:pPr>
    </w:p>
    <w:p w:rsidR="00A175D0" w:rsidRPr="007633A1" w:rsidRDefault="009F5BAF" w:rsidP="00F163F9">
      <w:pPr>
        <w:pStyle w:val="Listecouleur-Accent11"/>
        <w:numPr>
          <w:ilvl w:val="0"/>
          <w:numId w:val="11"/>
        </w:numPr>
        <w:spacing w:after="0"/>
        <w:ind w:left="426" w:hanging="426"/>
        <w:jc w:val="both"/>
        <w:rPr>
          <w:rFonts w:ascii="Arial" w:hAnsi="Arial" w:cs="Arial"/>
          <w:lang w:val="en-US"/>
        </w:rPr>
      </w:pPr>
      <w:r w:rsidRPr="007633A1">
        <w:rPr>
          <w:rFonts w:ascii="Arial" w:hAnsi="Arial" w:cs="Arial"/>
          <w:lang w:val="en-US"/>
        </w:rPr>
        <w:t>The practice</w:t>
      </w:r>
      <w:r w:rsidR="004A242C" w:rsidRPr="007633A1">
        <w:rPr>
          <w:rFonts w:ascii="Arial" w:hAnsi="Arial" w:cs="Arial"/>
          <w:lang w:val="en-US"/>
        </w:rPr>
        <w:t xml:space="preserve"> </w:t>
      </w:r>
      <w:r w:rsidR="009705C1">
        <w:rPr>
          <w:rFonts w:ascii="Arial" w:hAnsi="Arial" w:cs="Arial"/>
          <w:lang w:val="en-US"/>
        </w:rPr>
        <w:t>has showed</w:t>
      </w:r>
      <w:r w:rsidR="004A242C" w:rsidRPr="007633A1">
        <w:rPr>
          <w:rFonts w:ascii="Arial" w:hAnsi="Arial" w:cs="Arial"/>
          <w:lang w:val="en-US"/>
        </w:rPr>
        <w:t xml:space="preserve"> that most of the time not all perpetrators of torture </w:t>
      </w:r>
      <w:r w:rsidR="000444A4" w:rsidRPr="007633A1">
        <w:rPr>
          <w:rFonts w:ascii="Arial" w:hAnsi="Arial" w:cs="Arial"/>
          <w:lang w:val="en-US"/>
        </w:rPr>
        <w:t xml:space="preserve">were </w:t>
      </w:r>
      <w:r w:rsidR="004A242C" w:rsidRPr="007633A1">
        <w:rPr>
          <w:rFonts w:ascii="Arial" w:hAnsi="Arial" w:cs="Arial"/>
          <w:lang w:val="en-US"/>
        </w:rPr>
        <w:t xml:space="preserve">brought before trial. </w:t>
      </w:r>
      <w:r w:rsidR="000444A4" w:rsidRPr="007633A1">
        <w:rPr>
          <w:rFonts w:ascii="Arial" w:hAnsi="Arial" w:cs="Arial"/>
          <w:lang w:val="en-US"/>
        </w:rPr>
        <w:t>When it happened</w:t>
      </w:r>
      <w:r w:rsidR="004A242C" w:rsidRPr="007633A1">
        <w:rPr>
          <w:rFonts w:ascii="Arial" w:hAnsi="Arial" w:cs="Arial"/>
          <w:lang w:val="en-US"/>
        </w:rPr>
        <w:t xml:space="preserve">, it was </w:t>
      </w:r>
      <w:r w:rsidR="000444A4" w:rsidRPr="007633A1">
        <w:rPr>
          <w:rFonts w:ascii="Arial" w:hAnsi="Arial" w:cs="Arial"/>
          <w:lang w:val="en-US"/>
        </w:rPr>
        <w:t>mostly because of</w:t>
      </w:r>
      <w:r w:rsidR="004A242C" w:rsidRPr="007633A1">
        <w:rPr>
          <w:rFonts w:ascii="Arial" w:hAnsi="Arial" w:cs="Arial"/>
          <w:lang w:val="en-US"/>
        </w:rPr>
        <w:t xml:space="preserve"> public pressure </w:t>
      </w:r>
      <w:r w:rsidR="00B211AD" w:rsidRPr="007633A1">
        <w:rPr>
          <w:rFonts w:ascii="Arial" w:hAnsi="Arial" w:cs="Arial"/>
          <w:lang w:val="en-US"/>
        </w:rPr>
        <w:t>(such as from the media, the Komnas HAM, the LPSK and the civil society)</w:t>
      </w:r>
      <w:r w:rsidR="000444A4" w:rsidRPr="007633A1">
        <w:rPr>
          <w:rFonts w:ascii="Arial" w:hAnsi="Arial" w:cs="Arial"/>
          <w:lang w:val="en-US"/>
        </w:rPr>
        <w:t xml:space="preserve">. </w:t>
      </w:r>
      <w:r w:rsidR="009630C3">
        <w:rPr>
          <w:rFonts w:ascii="Arial" w:hAnsi="Arial" w:cs="Arial"/>
          <w:lang w:val="en-US"/>
        </w:rPr>
        <w:t>P</w:t>
      </w:r>
      <w:r w:rsidR="00B211AD" w:rsidRPr="007633A1">
        <w:rPr>
          <w:rFonts w:ascii="Arial" w:hAnsi="Arial" w:cs="Arial"/>
          <w:lang w:val="en-US"/>
        </w:rPr>
        <w:t>erpetrator</w:t>
      </w:r>
      <w:r w:rsidR="009630C3">
        <w:rPr>
          <w:rFonts w:ascii="Arial" w:hAnsi="Arial" w:cs="Arial"/>
          <w:lang w:val="en-US"/>
        </w:rPr>
        <w:t>s</w:t>
      </w:r>
      <w:r w:rsidR="00B211AD" w:rsidRPr="007633A1">
        <w:rPr>
          <w:rFonts w:ascii="Arial" w:hAnsi="Arial" w:cs="Arial"/>
          <w:lang w:val="en-US"/>
        </w:rPr>
        <w:t xml:space="preserve"> of torture brought to trial </w:t>
      </w:r>
      <w:r w:rsidR="009630C3">
        <w:rPr>
          <w:rFonts w:ascii="Arial" w:hAnsi="Arial" w:cs="Arial"/>
          <w:lang w:val="en-US"/>
        </w:rPr>
        <w:t>were</w:t>
      </w:r>
      <w:r w:rsidR="00B211AD" w:rsidRPr="007633A1">
        <w:rPr>
          <w:rFonts w:ascii="Arial" w:hAnsi="Arial" w:cs="Arial"/>
          <w:lang w:val="en-US"/>
        </w:rPr>
        <w:t xml:space="preserve"> convicted</w:t>
      </w:r>
      <w:r w:rsidR="00A04BDA" w:rsidRPr="007633A1">
        <w:rPr>
          <w:rFonts w:ascii="Arial" w:hAnsi="Arial" w:cs="Arial"/>
          <w:lang w:val="en-US"/>
        </w:rPr>
        <w:t xml:space="preserve"> </w:t>
      </w:r>
      <w:r w:rsidR="000444A4" w:rsidRPr="007633A1">
        <w:rPr>
          <w:rFonts w:ascii="Arial" w:hAnsi="Arial" w:cs="Arial"/>
          <w:lang w:val="en-US"/>
        </w:rPr>
        <w:t>under</w:t>
      </w:r>
      <w:r w:rsidR="00B211AD" w:rsidRPr="007633A1">
        <w:rPr>
          <w:rFonts w:ascii="Arial" w:hAnsi="Arial" w:cs="Arial"/>
          <w:lang w:val="en-US"/>
        </w:rPr>
        <w:t xml:space="preserve"> the provision of </w:t>
      </w:r>
      <w:r w:rsidR="00491366" w:rsidRPr="007633A1">
        <w:rPr>
          <w:rFonts w:ascii="Arial" w:hAnsi="Arial" w:cs="Arial"/>
          <w:lang w:val="en-US"/>
        </w:rPr>
        <w:t xml:space="preserve">maltreatment </w:t>
      </w:r>
      <w:r w:rsidR="00B211AD" w:rsidRPr="007633A1">
        <w:rPr>
          <w:rFonts w:ascii="Arial" w:hAnsi="Arial" w:cs="Arial"/>
          <w:lang w:val="en-US"/>
        </w:rPr>
        <w:t>under the Criminal Code</w:t>
      </w:r>
      <w:r w:rsidR="00A175D0" w:rsidRPr="007633A1">
        <w:rPr>
          <w:rFonts w:ascii="Arial" w:hAnsi="Arial" w:cs="Arial"/>
          <w:lang w:val="en-US"/>
        </w:rPr>
        <w:t>.</w:t>
      </w:r>
    </w:p>
    <w:p w:rsidR="00B211AD" w:rsidRPr="007633A1" w:rsidRDefault="00B211AD" w:rsidP="00BE58DD">
      <w:pPr>
        <w:pStyle w:val="Listecouleur-Accent11"/>
        <w:spacing w:after="0"/>
        <w:ind w:left="1353"/>
        <w:jc w:val="both"/>
        <w:rPr>
          <w:rFonts w:ascii="Arial" w:hAnsi="Arial" w:cs="Arial"/>
          <w:lang w:val="en-US"/>
        </w:rPr>
      </w:pPr>
    </w:p>
    <w:p w:rsidR="00B211AD" w:rsidRPr="007633A1" w:rsidRDefault="00B211AD" w:rsidP="00F163F9">
      <w:pPr>
        <w:pStyle w:val="Listecouleur-Accent11"/>
        <w:numPr>
          <w:ilvl w:val="0"/>
          <w:numId w:val="11"/>
        </w:numPr>
        <w:spacing w:after="0"/>
        <w:ind w:left="426" w:hanging="426"/>
        <w:jc w:val="both"/>
        <w:rPr>
          <w:rFonts w:ascii="Arial" w:hAnsi="Arial" w:cs="Arial"/>
          <w:lang w:val="en-US"/>
        </w:rPr>
      </w:pPr>
      <w:r w:rsidRPr="007633A1">
        <w:rPr>
          <w:rFonts w:ascii="Arial" w:hAnsi="Arial" w:cs="Arial"/>
          <w:lang w:val="en-US"/>
        </w:rPr>
        <w:t xml:space="preserve">Examples of cases that received attention from the media are, among others, the Sijunjung case (Faisal Budri) in late 2011, Erik Alamsyah in 2012 – both cases took place in West Sumatra, and the case of Charles Mali in East Nusa Tenggara in 2011. </w:t>
      </w:r>
      <w:r w:rsidR="000A3EF6" w:rsidRPr="007633A1">
        <w:rPr>
          <w:rFonts w:ascii="Arial" w:hAnsi="Arial" w:cs="Arial"/>
          <w:lang w:val="en-US"/>
        </w:rPr>
        <w:t xml:space="preserve">In </w:t>
      </w:r>
      <w:r w:rsidRPr="007633A1">
        <w:rPr>
          <w:rFonts w:ascii="Arial" w:hAnsi="Arial" w:cs="Arial"/>
          <w:lang w:val="en-US"/>
        </w:rPr>
        <w:t xml:space="preserve">the case of Erik Alamsyah and Sijunjung, the perpetrators, </w:t>
      </w:r>
      <w:r w:rsidR="000A3EF6" w:rsidRPr="007633A1">
        <w:rPr>
          <w:rFonts w:ascii="Arial" w:hAnsi="Arial" w:cs="Arial"/>
          <w:lang w:val="en-US"/>
        </w:rPr>
        <w:t>police officers</w:t>
      </w:r>
      <w:r w:rsidRPr="007633A1">
        <w:rPr>
          <w:rFonts w:ascii="Arial" w:hAnsi="Arial" w:cs="Arial"/>
          <w:lang w:val="en-US"/>
        </w:rPr>
        <w:t>, were sentenced to 1 to 2 years. While in the case of Charles Mali, the perpetrators, 22 persons</w:t>
      </w:r>
      <w:r w:rsidR="00A53056" w:rsidRPr="007633A1">
        <w:rPr>
          <w:rFonts w:ascii="Arial" w:hAnsi="Arial" w:cs="Arial"/>
          <w:lang w:val="en-US"/>
        </w:rPr>
        <w:t xml:space="preserve"> military</w:t>
      </w:r>
      <w:r w:rsidRPr="007633A1">
        <w:rPr>
          <w:rFonts w:ascii="Arial" w:hAnsi="Arial" w:cs="Arial"/>
          <w:lang w:val="en-US"/>
        </w:rPr>
        <w:t>, were prosecuted in Military Court and sentenced to 11 months of imprisonment</w:t>
      </w:r>
      <w:r w:rsidR="00A175D0" w:rsidRPr="007633A1">
        <w:rPr>
          <w:rFonts w:ascii="Arial" w:hAnsi="Arial" w:cs="Arial"/>
          <w:lang w:val="en-US"/>
        </w:rPr>
        <w:t xml:space="preserve"> (see Annex 2). </w:t>
      </w:r>
    </w:p>
    <w:p w:rsidR="00B211AD" w:rsidRPr="007633A1" w:rsidRDefault="00B211AD" w:rsidP="00B211AD">
      <w:pPr>
        <w:pStyle w:val="Listecouleur-Accent11"/>
        <w:jc w:val="both"/>
        <w:rPr>
          <w:rFonts w:ascii="Arial" w:hAnsi="Arial" w:cs="Arial"/>
          <w:lang w:val="en-US"/>
        </w:rPr>
      </w:pPr>
    </w:p>
    <w:p w:rsidR="004167BB" w:rsidRPr="007633A1" w:rsidRDefault="009630C3" w:rsidP="00F163F9">
      <w:pPr>
        <w:pStyle w:val="Listecouleur-Accent11"/>
        <w:numPr>
          <w:ilvl w:val="0"/>
          <w:numId w:val="11"/>
        </w:numPr>
        <w:spacing w:after="0"/>
        <w:ind w:left="426" w:hanging="426"/>
        <w:jc w:val="both"/>
        <w:rPr>
          <w:rFonts w:ascii="Arial" w:hAnsi="Arial" w:cs="Arial"/>
          <w:lang w:val="en-US"/>
        </w:rPr>
      </w:pPr>
      <w:r>
        <w:rPr>
          <w:rFonts w:ascii="Arial" w:hAnsi="Arial" w:cs="Arial"/>
          <w:lang w:val="en-US"/>
        </w:rPr>
        <w:t>Among o</w:t>
      </w:r>
      <w:r w:rsidR="00D801CA" w:rsidRPr="007633A1">
        <w:rPr>
          <w:rFonts w:ascii="Arial" w:hAnsi="Arial" w:cs="Arial"/>
          <w:lang w:val="en-US"/>
        </w:rPr>
        <w:t xml:space="preserve">ther forms of </w:t>
      </w:r>
      <w:r w:rsidR="000A3EF6" w:rsidRPr="007633A1">
        <w:rPr>
          <w:rFonts w:ascii="Arial" w:hAnsi="Arial" w:cs="Arial"/>
          <w:lang w:val="en-US"/>
        </w:rPr>
        <w:t>ill treatment</w:t>
      </w:r>
      <w:r w:rsidR="00D801CA" w:rsidRPr="007633A1">
        <w:rPr>
          <w:rFonts w:ascii="Arial" w:hAnsi="Arial" w:cs="Arial"/>
          <w:lang w:val="en-US"/>
        </w:rPr>
        <w:t xml:space="preserve"> against detainees</w:t>
      </w:r>
      <w:r>
        <w:rPr>
          <w:rFonts w:ascii="Arial" w:hAnsi="Arial" w:cs="Arial"/>
          <w:lang w:val="en-US"/>
        </w:rPr>
        <w:t xml:space="preserve"> that are of concern</w:t>
      </w:r>
      <w:r w:rsidR="00D801CA" w:rsidRPr="007633A1">
        <w:rPr>
          <w:rFonts w:ascii="Arial" w:hAnsi="Arial" w:cs="Arial"/>
          <w:lang w:val="en-US"/>
        </w:rPr>
        <w:t xml:space="preserve"> </w:t>
      </w:r>
      <w:r>
        <w:rPr>
          <w:rFonts w:ascii="Arial" w:hAnsi="Arial" w:cs="Arial"/>
          <w:lang w:val="en-US"/>
        </w:rPr>
        <w:t>is</w:t>
      </w:r>
      <w:r w:rsidR="00D801CA" w:rsidRPr="007633A1">
        <w:rPr>
          <w:rFonts w:ascii="Arial" w:hAnsi="Arial" w:cs="Arial"/>
          <w:lang w:val="en-US"/>
        </w:rPr>
        <w:t xml:space="preserve"> extortion in detention facili</w:t>
      </w:r>
      <w:r w:rsidR="00D801CA" w:rsidRPr="007633A1">
        <w:rPr>
          <w:rFonts w:ascii="Arial" w:hAnsi="Arial" w:cs="Arial"/>
          <w:b/>
          <w:lang w:val="en-US"/>
        </w:rPr>
        <w:t>tie</w:t>
      </w:r>
      <w:r w:rsidR="00D801CA" w:rsidRPr="007633A1">
        <w:rPr>
          <w:rFonts w:ascii="Arial" w:hAnsi="Arial" w:cs="Arial"/>
          <w:lang w:val="en-US"/>
        </w:rPr>
        <w:t>s both under the police and under the Directorate General of Correction</w:t>
      </w:r>
      <w:r>
        <w:rPr>
          <w:rFonts w:ascii="Arial" w:hAnsi="Arial" w:cs="Arial"/>
          <w:lang w:val="en-US"/>
        </w:rPr>
        <w:t>s</w:t>
      </w:r>
      <w:r w:rsidR="00D801CA" w:rsidRPr="007633A1">
        <w:rPr>
          <w:rFonts w:ascii="Arial" w:hAnsi="Arial" w:cs="Arial"/>
          <w:lang w:val="en-US"/>
        </w:rPr>
        <w:t xml:space="preserve">. </w:t>
      </w:r>
      <w:r w:rsidR="00D84674" w:rsidRPr="007633A1">
        <w:rPr>
          <w:rFonts w:ascii="Arial" w:hAnsi="Arial" w:cs="Arial"/>
          <w:lang w:val="en-US"/>
        </w:rPr>
        <w:t>The practice consist of o</w:t>
      </w:r>
      <w:r w:rsidR="00D801CA" w:rsidRPr="007633A1">
        <w:rPr>
          <w:rFonts w:ascii="Arial" w:hAnsi="Arial" w:cs="Arial"/>
          <w:lang w:val="en-US"/>
        </w:rPr>
        <w:t xml:space="preserve">fficers </w:t>
      </w:r>
      <w:r w:rsidR="00D84674" w:rsidRPr="007633A1">
        <w:rPr>
          <w:rFonts w:ascii="Arial" w:hAnsi="Arial" w:cs="Arial"/>
          <w:lang w:val="en-US"/>
        </w:rPr>
        <w:t>asking</w:t>
      </w:r>
      <w:r w:rsidR="00D801CA" w:rsidRPr="007633A1">
        <w:rPr>
          <w:rFonts w:ascii="Arial" w:hAnsi="Arial" w:cs="Arial"/>
          <w:lang w:val="en-US"/>
        </w:rPr>
        <w:t xml:space="preserve"> some of their trusted detainees to collect money for room rent, visits and other fees from other detainees, if a detainee or a convict wants to get something. </w:t>
      </w:r>
    </w:p>
    <w:p w:rsidR="00084D27" w:rsidRPr="007633A1" w:rsidRDefault="00084D27" w:rsidP="008F6D3D">
      <w:pPr>
        <w:pStyle w:val="Listecouleur-Accent11"/>
        <w:spacing w:after="0"/>
        <w:ind w:left="0"/>
        <w:jc w:val="both"/>
        <w:rPr>
          <w:rFonts w:ascii="Arial" w:hAnsi="Arial" w:cs="Arial"/>
          <w:lang w:val="en-US"/>
        </w:rPr>
      </w:pPr>
    </w:p>
    <w:p w:rsidR="006E2B3D" w:rsidRPr="007633A1" w:rsidRDefault="00D801CA" w:rsidP="00F27BE2">
      <w:pPr>
        <w:pStyle w:val="SingleTxtG"/>
        <w:pBdr>
          <w:top w:val="single" w:sz="4" w:space="1" w:color="auto"/>
          <w:left w:val="single" w:sz="4" w:space="4" w:color="auto"/>
          <w:bottom w:val="single" w:sz="4" w:space="1" w:color="auto"/>
          <w:right w:val="single" w:sz="4" w:space="4" w:color="auto"/>
        </w:pBdr>
        <w:tabs>
          <w:tab w:val="left" w:pos="8647"/>
          <w:tab w:val="left" w:pos="8931"/>
          <w:tab w:val="left" w:pos="9026"/>
        </w:tabs>
        <w:ind w:left="0" w:right="-46"/>
        <w:rPr>
          <w:rFonts w:ascii="Arial" w:hAnsi="Arial" w:cs="Arial"/>
          <w:sz w:val="22"/>
          <w:szCs w:val="22"/>
          <w:lang w:val="en-US"/>
        </w:rPr>
      </w:pPr>
      <w:r w:rsidRPr="007633A1">
        <w:rPr>
          <w:rFonts w:ascii="Arial" w:hAnsi="Arial" w:cs="Arial"/>
          <w:b/>
          <w:sz w:val="22"/>
          <w:szCs w:val="22"/>
          <w:lang w:val="en-US"/>
        </w:rPr>
        <w:lastRenderedPageBreak/>
        <w:t>Issue 15:</w:t>
      </w:r>
      <w:r w:rsidR="009630C3">
        <w:rPr>
          <w:rFonts w:ascii="Arial" w:hAnsi="Arial" w:cs="Arial"/>
          <w:b/>
          <w:sz w:val="22"/>
          <w:szCs w:val="22"/>
          <w:lang w:val="en-US"/>
        </w:rPr>
        <w:t xml:space="preserve"> </w:t>
      </w:r>
      <w:r w:rsidR="00B211AD" w:rsidRPr="007633A1">
        <w:rPr>
          <w:rFonts w:ascii="Arial" w:hAnsi="Arial" w:cs="Arial"/>
          <w:sz w:val="22"/>
          <w:szCs w:val="22"/>
          <w:lang w:val="en-US"/>
        </w:rPr>
        <w:t>Please provide information on measures taken to prohibit the widespread use of corporal punishment in the State party. What measures are being taken to repeal local legislation such as the Criminal Code of 2005 in Aceh, which introduced corporal punishment for certain offences, and whose enforcement is entrusted to the “morality police” (</w:t>
      </w:r>
      <w:r w:rsidR="00B211AD" w:rsidRPr="007633A1">
        <w:rPr>
          <w:rFonts w:ascii="Arial" w:hAnsi="Arial" w:cs="Arial"/>
          <w:i/>
          <w:sz w:val="22"/>
          <w:szCs w:val="22"/>
          <w:lang w:val="en-US"/>
        </w:rPr>
        <w:t>WilayatulHisbah</w:t>
      </w:r>
      <w:r w:rsidR="00B211AD" w:rsidRPr="007633A1">
        <w:rPr>
          <w:rFonts w:ascii="Arial" w:hAnsi="Arial" w:cs="Arial"/>
          <w:sz w:val="22"/>
          <w:szCs w:val="22"/>
          <w:lang w:val="en-US"/>
        </w:rPr>
        <w:t>) who execute these punishments in public by using methods such as flogging?</w:t>
      </w:r>
    </w:p>
    <w:p w:rsidR="00B211AD" w:rsidRPr="007633A1" w:rsidRDefault="00B211AD" w:rsidP="00B211AD">
      <w:pPr>
        <w:pStyle w:val="SingleTxtG"/>
        <w:ind w:left="1070" w:right="146"/>
        <w:rPr>
          <w:rFonts w:ascii="Arial" w:hAnsi="Arial" w:cs="Arial"/>
          <w:sz w:val="22"/>
          <w:szCs w:val="22"/>
          <w:lang w:val="en-US"/>
        </w:rPr>
      </w:pPr>
    </w:p>
    <w:p w:rsidR="00810E8F" w:rsidRPr="007633A1" w:rsidRDefault="009630C3" w:rsidP="009705C1">
      <w:pPr>
        <w:pStyle w:val="SingleTxtG"/>
        <w:numPr>
          <w:ilvl w:val="0"/>
          <w:numId w:val="12"/>
        </w:numPr>
        <w:ind w:right="146"/>
        <w:rPr>
          <w:rFonts w:ascii="Arial" w:hAnsi="Arial" w:cs="Arial"/>
          <w:sz w:val="22"/>
          <w:szCs w:val="22"/>
          <w:lang w:val="en-US"/>
        </w:rPr>
      </w:pPr>
      <w:r>
        <w:rPr>
          <w:rFonts w:ascii="Arial" w:hAnsi="Arial" w:cs="Arial"/>
          <w:sz w:val="22"/>
          <w:szCs w:val="22"/>
          <w:lang w:val="en-US"/>
        </w:rPr>
        <w:t xml:space="preserve">In 2009, </w:t>
      </w:r>
      <w:r w:rsidR="00F13168" w:rsidRPr="007633A1">
        <w:rPr>
          <w:rFonts w:ascii="Arial" w:hAnsi="Arial" w:cs="Arial"/>
          <w:sz w:val="22"/>
          <w:szCs w:val="22"/>
          <w:lang w:val="en-US"/>
        </w:rPr>
        <w:t>t</w:t>
      </w:r>
      <w:r w:rsidR="00B211AD" w:rsidRPr="007633A1">
        <w:rPr>
          <w:rFonts w:ascii="Arial" w:hAnsi="Arial" w:cs="Arial"/>
          <w:sz w:val="22"/>
          <w:szCs w:val="22"/>
          <w:lang w:val="en-US"/>
        </w:rPr>
        <w:t xml:space="preserve">he Aceh Province </w:t>
      </w:r>
      <w:r w:rsidR="00932729" w:rsidRPr="007633A1">
        <w:rPr>
          <w:rFonts w:ascii="Arial" w:hAnsi="Arial" w:cs="Arial"/>
          <w:sz w:val="22"/>
          <w:szCs w:val="22"/>
          <w:lang w:val="en-US"/>
        </w:rPr>
        <w:t xml:space="preserve">passed </w:t>
      </w:r>
      <w:r w:rsidR="00B211AD" w:rsidRPr="007633A1">
        <w:rPr>
          <w:rFonts w:ascii="Arial" w:hAnsi="Arial" w:cs="Arial"/>
          <w:sz w:val="22"/>
          <w:szCs w:val="22"/>
          <w:lang w:val="en-US"/>
        </w:rPr>
        <w:t xml:space="preserve">Law </w:t>
      </w:r>
      <w:r w:rsidR="00D801CA" w:rsidRPr="007633A1">
        <w:rPr>
          <w:rFonts w:ascii="Arial" w:hAnsi="Arial" w:cs="Arial"/>
          <w:sz w:val="22"/>
          <w:szCs w:val="22"/>
          <w:lang w:val="en-US"/>
        </w:rPr>
        <w:t>No.</w:t>
      </w:r>
      <w:r w:rsidR="0007436C" w:rsidRPr="007633A1">
        <w:rPr>
          <w:rFonts w:ascii="Arial" w:hAnsi="Arial" w:cs="Arial"/>
          <w:sz w:val="22"/>
          <w:szCs w:val="22"/>
          <w:lang w:val="en-US"/>
        </w:rPr>
        <w:t>11</w:t>
      </w:r>
      <w:r w:rsidR="00932729" w:rsidRPr="007633A1">
        <w:rPr>
          <w:rFonts w:ascii="Arial" w:hAnsi="Arial" w:cs="Arial"/>
          <w:sz w:val="22"/>
          <w:szCs w:val="22"/>
          <w:lang w:val="en-US"/>
        </w:rPr>
        <w:t xml:space="preserve">/ </w:t>
      </w:r>
      <w:r w:rsidR="0007436C" w:rsidRPr="007633A1">
        <w:rPr>
          <w:rFonts w:ascii="Arial" w:hAnsi="Arial" w:cs="Arial"/>
          <w:sz w:val="22"/>
          <w:szCs w:val="22"/>
          <w:lang w:val="en-US"/>
        </w:rPr>
        <w:t>2006</w:t>
      </w:r>
      <w:r w:rsidR="00AE0CED" w:rsidRPr="007633A1">
        <w:rPr>
          <w:rFonts w:ascii="Arial" w:hAnsi="Arial" w:cs="Arial"/>
          <w:sz w:val="22"/>
          <w:szCs w:val="22"/>
          <w:lang w:val="en-US"/>
        </w:rPr>
        <w:t xml:space="preserve"> (of the Government of Aceh)</w:t>
      </w:r>
      <w:r w:rsidR="00F13168" w:rsidRPr="007633A1">
        <w:rPr>
          <w:rFonts w:ascii="Arial" w:hAnsi="Arial" w:cs="Arial"/>
          <w:sz w:val="22"/>
          <w:szCs w:val="22"/>
          <w:lang w:val="en-US"/>
        </w:rPr>
        <w:t>,</w:t>
      </w:r>
      <w:r w:rsidR="009705C1">
        <w:rPr>
          <w:rFonts w:ascii="Arial" w:hAnsi="Arial" w:cs="Arial"/>
          <w:sz w:val="22"/>
          <w:szCs w:val="22"/>
          <w:lang w:val="en-US"/>
        </w:rPr>
        <w:t xml:space="preserve"> </w:t>
      </w:r>
      <w:r w:rsidR="00F13168" w:rsidRPr="007633A1">
        <w:rPr>
          <w:rFonts w:ascii="Arial" w:hAnsi="Arial" w:cs="Arial"/>
          <w:sz w:val="22"/>
          <w:szCs w:val="22"/>
          <w:lang w:val="en-US"/>
        </w:rPr>
        <w:t xml:space="preserve">which </w:t>
      </w:r>
      <w:r w:rsidR="00B211AD" w:rsidRPr="007633A1">
        <w:rPr>
          <w:rFonts w:ascii="Arial" w:hAnsi="Arial" w:cs="Arial"/>
          <w:sz w:val="22"/>
          <w:szCs w:val="22"/>
          <w:lang w:val="en-US"/>
        </w:rPr>
        <w:t xml:space="preserve">provides for corporal punishment such as </w:t>
      </w:r>
      <w:r w:rsidR="00970CF7" w:rsidRPr="007633A1">
        <w:rPr>
          <w:rFonts w:ascii="Arial" w:hAnsi="Arial" w:cs="Arial"/>
          <w:sz w:val="22"/>
          <w:szCs w:val="22"/>
          <w:lang w:val="en-US"/>
        </w:rPr>
        <w:t xml:space="preserve">flogging </w:t>
      </w:r>
      <w:r w:rsidR="00B211AD" w:rsidRPr="007633A1">
        <w:rPr>
          <w:rFonts w:ascii="Arial" w:hAnsi="Arial" w:cs="Arial"/>
          <w:sz w:val="22"/>
          <w:szCs w:val="22"/>
          <w:lang w:val="en-US"/>
        </w:rPr>
        <w:t>and stoning for criminal offenders.</w:t>
      </w:r>
      <w:r w:rsidR="009705C1">
        <w:rPr>
          <w:rFonts w:ascii="Arial" w:hAnsi="Arial" w:cs="Arial"/>
          <w:sz w:val="22"/>
          <w:szCs w:val="22"/>
          <w:lang w:val="en-US"/>
        </w:rPr>
        <w:t xml:space="preserve"> </w:t>
      </w:r>
      <w:r w:rsidR="00D801CA" w:rsidRPr="007633A1">
        <w:rPr>
          <w:rFonts w:ascii="Arial" w:hAnsi="Arial" w:cs="Arial"/>
          <w:sz w:val="22"/>
          <w:szCs w:val="22"/>
          <w:lang w:val="en-US"/>
        </w:rPr>
        <w:t>The Balai</w:t>
      </w:r>
      <w:r w:rsidR="00A04BDA" w:rsidRPr="007633A1">
        <w:rPr>
          <w:rFonts w:ascii="Arial" w:hAnsi="Arial" w:cs="Arial"/>
          <w:sz w:val="22"/>
          <w:szCs w:val="22"/>
          <w:lang w:val="en-US"/>
        </w:rPr>
        <w:t xml:space="preserve"> </w:t>
      </w:r>
      <w:r w:rsidR="00D801CA" w:rsidRPr="007633A1">
        <w:rPr>
          <w:rFonts w:ascii="Arial" w:hAnsi="Arial" w:cs="Arial"/>
          <w:sz w:val="22"/>
          <w:szCs w:val="22"/>
          <w:lang w:val="en-US"/>
        </w:rPr>
        <w:t>Syura</w:t>
      </w:r>
      <w:r w:rsidR="00EA0B13" w:rsidRPr="007633A1">
        <w:rPr>
          <w:rFonts w:ascii="Arial" w:hAnsi="Arial" w:cs="Arial"/>
          <w:sz w:val="22"/>
          <w:szCs w:val="22"/>
          <w:lang w:val="en-US"/>
        </w:rPr>
        <w:t xml:space="preserve"> Ureung Inong Aceh</w:t>
      </w:r>
      <w:r w:rsidR="009376F2" w:rsidRPr="007633A1">
        <w:rPr>
          <w:rStyle w:val="FootnoteReference"/>
          <w:rFonts w:ascii="Arial" w:hAnsi="Arial" w:cs="Arial"/>
          <w:sz w:val="22"/>
          <w:szCs w:val="22"/>
          <w:lang w:val="en-US"/>
        </w:rPr>
        <w:footnoteReference w:id="15"/>
      </w:r>
      <w:r w:rsidR="00A04BDA" w:rsidRPr="007633A1">
        <w:rPr>
          <w:rFonts w:ascii="Arial" w:hAnsi="Arial" w:cs="Arial"/>
          <w:sz w:val="22"/>
          <w:szCs w:val="22"/>
          <w:lang w:val="en-US"/>
        </w:rPr>
        <w:t xml:space="preserve"> </w:t>
      </w:r>
      <w:r w:rsidR="00B211AD" w:rsidRPr="007633A1">
        <w:rPr>
          <w:rFonts w:ascii="Arial" w:hAnsi="Arial" w:cs="Arial"/>
          <w:sz w:val="22"/>
          <w:szCs w:val="22"/>
          <w:lang w:val="en-US"/>
        </w:rPr>
        <w:t xml:space="preserve">recorded that the practice of </w:t>
      </w:r>
      <w:r w:rsidR="00932729" w:rsidRPr="007633A1">
        <w:rPr>
          <w:rFonts w:ascii="Arial" w:hAnsi="Arial" w:cs="Arial"/>
          <w:sz w:val="22"/>
          <w:szCs w:val="22"/>
          <w:lang w:val="en-US"/>
        </w:rPr>
        <w:t xml:space="preserve">flogging </w:t>
      </w:r>
      <w:r w:rsidR="00B211AD" w:rsidRPr="007633A1">
        <w:rPr>
          <w:rFonts w:ascii="Arial" w:hAnsi="Arial" w:cs="Arial"/>
          <w:sz w:val="22"/>
          <w:szCs w:val="22"/>
          <w:lang w:val="en-US"/>
        </w:rPr>
        <w:t xml:space="preserve">has been committed since 2002 in Aceh </w:t>
      </w:r>
      <w:r w:rsidR="00862CA1" w:rsidRPr="007633A1">
        <w:rPr>
          <w:rFonts w:ascii="Arial" w:hAnsi="Arial" w:cs="Arial"/>
          <w:sz w:val="22"/>
          <w:szCs w:val="22"/>
          <w:lang w:val="en-US"/>
        </w:rPr>
        <w:t xml:space="preserve">for </w:t>
      </w:r>
      <w:r w:rsidR="00B211AD" w:rsidRPr="007633A1">
        <w:rPr>
          <w:rFonts w:ascii="Arial" w:hAnsi="Arial" w:cs="Arial"/>
          <w:sz w:val="22"/>
          <w:szCs w:val="22"/>
          <w:lang w:val="en-US"/>
        </w:rPr>
        <w:t xml:space="preserve">offenses against </w:t>
      </w:r>
      <w:r w:rsidR="00B211AD" w:rsidRPr="007633A1">
        <w:rPr>
          <w:rFonts w:ascii="Arial" w:hAnsi="Arial" w:cs="Arial"/>
          <w:i/>
          <w:iCs/>
          <w:sz w:val="22"/>
          <w:szCs w:val="22"/>
          <w:lang w:val="en-US"/>
        </w:rPr>
        <w:t>qanun</w:t>
      </w:r>
      <w:r w:rsidR="00B211AD" w:rsidRPr="007633A1">
        <w:rPr>
          <w:rFonts w:ascii="Arial" w:hAnsi="Arial" w:cs="Arial"/>
          <w:sz w:val="22"/>
          <w:szCs w:val="22"/>
          <w:lang w:val="en-US"/>
        </w:rPr>
        <w:t xml:space="preserve"> governing outfits, </w:t>
      </w:r>
      <w:r w:rsidR="00B211AD" w:rsidRPr="007633A1">
        <w:rPr>
          <w:rFonts w:ascii="Arial" w:hAnsi="Arial" w:cs="Arial"/>
          <w:i/>
          <w:iCs/>
          <w:sz w:val="22"/>
          <w:szCs w:val="22"/>
          <w:lang w:val="en-US"/>
        </w:rPr>
        <w:t>qanun</w:t>
      </w:r>
      <w:r w:rsidR="00A04BDA" w:rsidRPr="007633A1">
        <w:rPr>
          <w:rFonts w:ascii="Arial" w:hAnsi="Arial" w:cs="Arial"/>
          <w:i/>
          <w:iCs/>
          <w:sz w:val="22"/>
          <w:szCs w:val="22"/>
          <w:lang w:val="en-US"/>
        </w:rPr>
        <w:t xml:space="preserve"> </w:t>
      </w:r>
      <w:r w:rsidR="00B211AD" w:rsidRPr="007633A1">
        <w:rPr>
          <w:rFonts w:ascii="Arial" w:hAnsi="Arial" w:cs="Arial"/>
          <w:i/>
          <w:iCs/>
          <w:sz w:val="22"/>
          <w:szCs w:val="22"/>
          <w:lang w:val="en-US"/>
        </w:rPr>
        <w:t>khalwat</w:t>
      </w:r>
      <w:r w:rsidR="00B211AD" w:rsidRPr="007633A1">
        <w:rPr>
          <w:rFonts w:ascii="Arial" w:hAnsi="Arial" w:cs="Arial"/>
          <w:sz w:val="22"/>
          <w:szCs w:val="22"/>
          <w:lang w:val="en-US"/>
        </w:rPr>
        <w:t xml:space="preserve"> prohibiting a man and a woman from being alone together in a </w:t>
      </w:r>
      <w:r w:rsidR="009705C1" w:rsidRPr="007633A1">
        <w:rPr>
          <w:rFonts w:ascii="Arial" w:hAnsi="Arial" w:cs="Arial"/>
          <w:sz w:val="22"/>
          <w:szCs w:val="22"/>
          <w:lang w:val="en-US"/>
        </w:rPr>
        <w:t>quiet</w:t>
      </w:r>
      <w:r w:rsidR="00A04BDA" w:rsidRPr="007633A1">
        <w:rPr>
          <w:rFonts w:ascii="Arial" w:hAnsi="Arial" w:cs="Arial"/>
          <w:sz w:val="22"/>
          <w:szCs w:val="22"/>
          <w:lang w:val="en-US"/>
        </w:rPr>
        <w:t xml:space="preserve"> </w:t>
      </w:r>
      <w:r w:rsidR="00B211AD" w:rsidRPr="007633A1">
        <w:rPr>
          <w:rFonts w:ascii="Arial" w:hAnsi="Arial" w:cs="Arial"/>
          <w:sz w:val="22"/>
          <w:szCs w:val="22"/>
          <w:lang w:val="en-US"/>
        </w:rPr>
        <w:t>place</w:t>
      </w:r>
      <w:r w:rsidR="00A04BDA" w:rsidRPr="007633A1">
        <w:rPr>
          <w:rStyle w:val="FootnoteReference"/>
          <w:rFonts w:ascii="Arial" w:hAnsi="Arial" w:cs="Arial"/>
          <w:sz w:val="22"/>
          <w:szCs w:val="22"/>
          <w:lang w:val="en-US"/>
        </w:rPr>
        <w:footnoteReference w:id="16"/>
      </w:r>
      <w:r w:rsidR="00B211AD" w:rsidRPr="007633A1">
        <w:rPr>
          <w:rFonts w:ascii="Arial" w:hAnsi="Arial" w:cs="Arial"/>
          <w:sz w:val="22"/>
          <w:szCs w:val="22"/>
          <w:lang w:val="en-US"/>
        </w:rPr>
        <w:t xml:space="preserve">; </w:t>
      </w:r>
      <w:r w:rsidR="00B211AD" w:rsidRPr="007633A1">
        <w:rPr>
          <w:rFonts w:ascii="Arial" w:hAnsi="Arial" w:cs="Arial"/>
          <w:i/>
          <w:iCs/>
          <w:sz w:val="22"/>
          <w:szCs w:val="22"/>
          <w:lang w:val="en-US"/>
        </w:rPr>
        <w:t>qanun</w:t>
      </w:r>
      <w:r w:rsidR="00A04BDA" w:rsidRPr="007633A1">
        <w:rPr>
          <w:rFonts w:ascii="Arial" w:hAnsi="Arial" w:cs="Arial"/>
          <w:i/>
          <w:iCs/>
          <w:sz w:val="22"/>
          <w:szCs w:val="22"/>
          <w:lang w:val="en-US"/>
        </w:rPr>
        <w:t xml:space="preserve"> </w:t>
      </w:r>
      <w:r w:rsidR="00B211AD" w:rsidRPr="007633A1">
        <w:rPr>
          <w:rFonts w:ascii="Arial" w:hAnsi="Arial" w:cs="Arial"/>
          <w:i/>
          <w:iCs/>
          <w:sz w:val="22"/>
          <w:szCs w:val="22"/>
          <w:lang w:val="en-US"/>
        </w:rPr>
        <w:t>maisir</w:t>
      </w:r>
      <w:r w:rsidR="00B211AD" w:rsidRPr="007633A1">
        <w:rPr>
          <w:rFonts w:ascii="Arial" w:hAnsi="Arial" w:cs="Arial"/>
          <w:sz w:val="22"/>
          <w:szCs w:val="22"/>
          <w:lang w:val="en-US"/>
        </w:rPr>
        <w:t xml:space="preserve"> prohibiting the consumption of alcohol; and </w:t>
      </w:r>
      <w:r w:rsidR="00B211AD" w:rsidRPr="007633A1">
        <w:rPr>
          <w:rFonts w:ascii="Arial" w:hAnsi="Arial" w:cs="Arial"/>
          <w:i/>
          <w:iCs/>
          <w:sz w:val="22"/>
          <w:szCs w:val="22"/>
          <w:lang w:val="en-US"/>
        </w:rPr>
        <w:t>qanun</w:t>
      </w:r>
      <w:r w:rsidR="00A04BDA" w:rsidRPr="007633A1">
        <w:rPr>
          <w:rFonts w:ascii="Arial" w:hAnsi="Arial" w:cs="Arial"/>
          <w:i/>
          <w:iCs/>
          <w:sz w:val="22"/>
          <w:szCs w:val="22"/>
          <w:lang w:val="en-US"/>
        </w:rPr>
        <w:t xml:space="preserve"> </w:t>
      </w:r>
      <w:r w:rsidR="00B211AD" w:rsidRPr="007633A1">
        <w:rPr>
          <w:rFonts w:ascii="Arial" w:hAnsi="Arial" w:cs="Arial"/>
          <w:i/>
          <w:iCs/>
          <w:sz w:val="22"/>
          <w:szCs w:val="22"/>
          <w:lang w:val="en-US"/>
        </w:rPr>
        <w:t>khamar</w:t>
      </w:r>
      <w:r w:rsidR="00B211AD" w:rsidRPr="007633A1">
        <w:rPr>
          <w:rFonts w:ascii="Arial" w:hAnsi="Arial" w:cs="Arial"/>
          <w:sz w:val="22"/>
          <w:szCs w:val="22"/>
          <w:lang w:val="en-US"/>
        </w:rPr>
        <w:t xml:space="preserve"> prohibiting gambling. </w:t>
      </w:r>
      <w:r w:rsidR="00862CA1" w:rsidRPr="007633A1">
        <w:rPr>
          <w:rFonts w:ascii="Arial" w:hAnsi="Arial" w:cs="Arial"/>
          <w:sz w:val="22"/>
          <w:szCs w:val="22"/>
          <w:lang w:val="en-US"/>
        </w:rPr>
        <w:t xml:space="preserve">The </w:t>
      </w:r>
      <w:r w:rsidR="00F13168" w:rsidRPr="007633A1">
        <w:rPr>
          <w:rFonts w:ascii="Arial" w:hAnsi="Arial" w:cs="Arial"/>
          <w:sz w:val="22"/>
          <w:szCs w:val="22"/>
          <w:lang w:val="en-US"/>
        </w:rPr>
        <w:t xml:space="preserve">flogging is </w:t>
      </w:r>
      <w:r w:rsidR="00B211AD" w:rsidRPr="007633A1">
        <w:rPr>
          <w:rFonts w:ascii="Arial" w:hAnsi="Arial" w:cs="Arial"/>
          <w:sz w:val="22"/>
          <w:szCs w:val="22"/>
          <w:lang w:val="en-US"/>
        </w:rPr>
        <w:t>done in public</w:t>
      </w:r>
      <w:r w:rsidR="00862CA1" w:rsidRPr="007633A1">
        <w:rPr>
          <w:rFonts w:ascii="Arial" w:hAnsi="Arial" w:cs="Arial"/>
          <w:sz w:val="22"/>
          <w:szCs w:val="22"/>
          <w:lang w:val="en-US"/>
        </w:rPr>
        <w:t>.</w:t>
      </w:r>
    </w:p>
    <w:p w:rsidR="00D87707" w:rsidRPr="007633A1" w:rsidRDefault="00862CA1" w:rsidP="00F163F9">
      <w:pPr>
        <w:pStyle w:val="ListParagraph"/>
        <w:numPr>
          <w:ilvl w:val="0"/>
          <w:numId w:val="12"/>
        </w:numPr>
        <w:spacing w:after="0" w:line="240" w:lineRule="auto"/>
        <w:ind w:left="426" w:hanging="426"/>
        <w:jc w:val="both"/>
        <w:rPr>
          <w:rFonts w:ascii="Arial" w:hAnsi="Arial" w:cs="Arial"/>
          <w:lang w:val="en-US"/>
        </w:rPr>
      </w:pPr>
      <w:r w:rsidRPr="007633A1">
        <w:rPr>
          <w:rFonts w:ascii="Arial" w:hAnsi="Arial" w:cs="Arial"/>
          <w:lang w:val="en-US"/>
        </w:rPr>
        <w:t>The</w:t>
      </w:r>
      <w:r w:rsidR="00B211AD" w:rsidRPr="007633A1">
        <w:rPr>
          <w:rFonts w:ascii="Arial" w:hAnsi="Arial" w:cs="Arial"/>
          <w:lang w:val="en-US"/>
        </w:rPr>
        <w:t xml:space="preserve"> poor, particularly women, are</w:t>
      </w:r>
      <w:r w:rsidR="00A04BDA" w:rsidRPr="007633A1">
        <w:rPr>
          <w:rFonts w:ascii="Arial" w:hAnsi="Arial" w:cs="Arial"/>
          <w:lang w:val="en-US"/>
        </w:rPr>
        <w:t xml:space="preserve"> </w:t>
      </w:r>
      <w:r w:rsidR="00B211AD" w:rsidRPr="007633A1">
        <w:rPr>
          <w:rFonts w:ascii="Arial" w:hAnsi="Arial" w:cs="Arial"/>
          <w:lang w:val="en-US"/>
        </w:rPr>
        <w:t xml:space="preserve">vulnerable to </w:t>
      </w:r>
      <w:r w:rsidR="00932729" w:rsidRPr="007633A1">
        <w:rPr>
          <w:rFonts w:ascii="Arial" w:hAnsi="Arial" w:cs="Arial"/>
          <w:lang w:val="en-US"/>
        </w:rPr>
        <w:t>flogging</w:t>
      </w:r>
      <w:r w:rsidRPr="007633A1">
        <w:rPr>
          <w:rFonts w:ascii="Arial" w:hAnsi="Arial" w:cs="Arial"/>
          <w:lang w:val="en-US"/>
        </w:rPr>
        <w:t>. I</w:t>
      </w:r>
      <w:r w:rsidR="00B211AD" w:rsidRPr="007633A1">
        <w:rPr>
          <w:rFonts w:ascii="Arial" w:hAnsi="Arial" w:cs="Arial"/>
          <w:lang w:val="en-US"/>
        </w:rPr>
        <w:t xml:space="preserve">n the </w:t>
      </w:r>
      <w:r w:rsidR="00FE54F4" w:rsidRPr="007633A1">
        <w:rPr>
          <w:rFonts w:ascii="Arial" w:hAnsi="Arial" w:cs="Arial"/>
          <w:lang w:val="en-US"/>
        </w:rPr>
        <w:t>law</w:t>
      </w:r>
      <w:r w:rsidR="00B211AD" w:rsidRPr="007633A1">
        <w:rPr>
          <w:rFonts w:ascii="Arial" w:hAnsi="Arial" w:cs="Arial"/>
          <w:lang w:val="en-US"/>
        </w:rPr>
        <w:t xml:space="preserve">, lashing is not the only punishment </w:t>
      </w:r>
      <w:r w:rsidR="00FE54F4" w:rsidRPr="007633A1">
        <w:rPr>
          <w:rFonts w:ascii="Arial" w:hAnsi="Arial" w:cs="Arial"/>
          <w:lang w:val="en-US"/>
        </w:rPr>
        <w:t>possible.</w:t>
      </w:r>
      <w:r w:rsidR="00B211AD" w:rsidRPr="007633A1">
        <w:rPr>
          <w:rFonts w:ascii="Arial" w:hAnsi="Arial" w:cs="Arial"/>
          <w:lang w:val="en-US"/>
        </w:rPr>
        <w:t xml:space="preserve"> Other sanctions include fines in forms of money and valuable objects such as gold</w:t>
      </w:r>
      <w:r w:rsidR="009979CA" w:rsidRPr="007633A1">
        <w:rPr>
          <w:rFonts w:ascii="Arial" w:hAnsi="Arial" w:cs="Arial"/>
          <w:lang w:val="en-US"/>
        </w:rPr>
        <w:t>. A</w:t>
      </w:r>
      <w:r w:rsidR="00B211AD" w:rsidRPr="007633A1">
        <w:rPr>
          <w:rFonts w:ascii="Arial" w:hAnsi="Arial" w:cs="Arial"/>
          <w:lang w:val="en-US"/>
        </w:rPr>
        <w:t>s a result, people from higher social strata can easily avoid lashing</w:t>
      </w:r>
      <w:r w:rsidR="00FE54F4" w:rsidRPr="007633A1">
        <w:rPr>
          <w:rFonts w:ascii="Arial" w:hAnsi="Arial" w:cs="Arial"/>
          <w:lang w:val="en-US"/>
        </w:rPr>
        <w:t xml:space="preserve">. Furthermore, </w:t>
      </w:r>
      <w:r w:rsidR="00B211AD" w:rsidRPr="007633A1">
        <w:rPr>
          <w:rFonts w:ascii="Arial" w:hAnsi="Arial" w:cs="Arial"/>
          <w:lang w:val="en-US"/>
        </w:rPr>
        <w:t xml:space="preserve">the justice system is very vulnerable to extortion and bribery. </w:t>
      </w:r>
    </w:p>
    <w:p w:rsidR="00D87707" w:rsidRPr="007633A1" w:rsidRDefault="00D87707" w:rsidP="00D87707">
      <w:pPr>
        <w:pStyle w:val="ListParagraph"/>
        <w:ind w:left="1353"/>
        <w:jc w:val="both"/>
        <w:rPr>
          <w:rFonts w:ascii="Arial" w:hAnsi="Arial" w:cs="Arial"/>
          <w:lang w:val="en-US"/>
        </w:rPr>
      </w:pPr>
    </w:p>
    <w:p w:rsidR="00917B2F" w:rsidRPr="007633A1" w:rsidRDefault="00D87707" w:rsidP="00F163F9">
      <w:pPr>
        <w:pStyle w:val="ListParagraph"/>
        <w:numPr>
          <w:ilvl w:val="0"/>
          <w:numId w:val="12"/>
        </w:numPr>
        <w:spacing w:after="0" w:line="240" w:lineRule="auto"/>
        <w:ind w:left="425" w:hanging="426"/>
        <w:jc w:val="both"/>
        <w:rPr>
          <w:rFonts w:ascii="Arial" w:hAnsi="Arial" w:cs="Arial"/>
          <w:lang w:val="en-US"/>
        </w:rPr>
      </w:pPr>
      <w:r w:rsidRPr="007633A1">
        <w:rPr>
          <w:rFonts w:ascii="Arial" w:hAnsi="Arial" w:cs="Arial"/>
          <w:lang w:val="en-US"/>
        </w:rPr>
        <w:t xml:space="preserve">The fact that </w:t>
      </w:r>
      <w:r w:rsidR="00B813A7" w:rsidRPr="007633A1">
        <w:rPr>
          <w:rFonts w:ascii="Arial" w:hAnsi="Arial" w:cs="Arial"/>
          <w:lang w:val="en-US"/>
        </w:rPr>
        <w:t>flogging</w:t>
      </w:r>
      <w:r w:rsidR="00A04BDA" w:rsidRPr="007633A1">
        <w:rPr>
          <w:rFonts w:ascii="Arial" w:hAnsi="Arial" w:cs="Arial"/>
          <w:lang w:val="en-US"/>
        </w:rPr>
        <w:t xml:space="preserve"> </w:t>
      </w:r>
      <w:r w:rsidR="00B211AD" w:rsidRPr="007633A1">
        <w:rPr>
          <w:rFonts w:ascii="Arial" w:hAnsi="Arial" w:cs="Arial"/>
          <w:lang w:val="en-US"/>
        </w:rPr>
        <w:t xml:space="preserve">is often applied for small offenses such as violation of </w:t>
      </w:r>
      <w:r w:rsidR="00FE54F4" w:rsidRPr="007633A1">
        <w:rPr>
          <w:rFonts w:ascii="Arial" w:hAnsi="Arial" w:cs="Arial"/>
          <w:lang w:val="en-US"/>
        </w:rPr>
        <w:t xml:space="preserve">the </w:t>
      </w:r>
      <w:r w:rsidR="00B211AD" w:rsidRPr="007633A1">
        <w:rPr>
          <w:rFonts w:ascii="Arial" w:hAnsi="Arial" w:cs="Arial"/>
          <w:lang w:val="en-US"/>
        </w:rPr>
        <w:t>Islamic dressing code, selling food during fasting month</w:t>
      </w:r>
      <w:r w:rsidR="00B813A7" w:rsidRPr="007633A1">
        <w:rPr>
          <w:rFonts w:ascii="Arial" w:hAnsi="Arial" w:cs="Arial"/>
          <w:lang w:val="en-US"/>
        </w:rPr>
        <w:t>s</w:t>
      </w:r>
      <w:r w:rsidR="00B211AD" w:rsidRPr="007633A1">
        <w:rPr>
          <w:rFonts w:ascii="Arial" w:hAnsi="Arial" w:cs="Arial"/>
          <w:lang w:val="en-US"/>
        </w:rPr>
        <w:t xml:space="preserve">, and being alone in a </w:t>
      </w:r>
      <w:r w:rsidR="00D801CA" w:rsidRPr="007633A1">
        <w:rPr>
          <w:rFonts w:ascii="Arial" w:hAnsi="Arial" w:cs="Arial"/>
          <w:lang w:val="en-US"/>
        </w:rPr>
        <w:t>qui</w:t>
      </w:r>
      <w:r w:rsidR="009705C1">
        <w:rPr>
          <w:rFonts w:ascii="Arial" w:hAnsi="Arial" w:cs="Arial"/>
          <w:lang w:val="en-US"/>
        </w:rPr>
        <w:t>et</w:t>
      </w:r>
      <w:r w:rsidR="00B211AD" w:rsidRPr="007633A1">
        <w:rPr>
          <w:rFonts w:ascii="Arial" w:hAnsi="Arial" w:cs="Arial"/>
          <w:lang w:val="en-US"/>
        </w:rPr>
        <w:t xml:space="preserve"> place with a man</w:t>
      </w:r>
      <w:r w:rsidRPr="007633A1">
        <w:rPr>
          <w:rFonts w:ascii="Arial" w:hAnsi="Arial" w:cs="Arial"/>
          <w:lang w:val="en-US"/>
        </w:rPr>
        <w:t>,</w:t>
      </w:r>
      <w:r w:rsidR="00B211AD" w:rsidRPr="007633A1">
        <w:rPr>
          <w:rFonts w:ascii="Arial" w:hAnsi="Arial" w:cs="Arial"/>
          <w:lang w:val="en-US"/>
        </w:rPr>
        <w:t xml:space="preserve"> has made women more vulnerable to </w:t>
      </w:r>
      <w:r w:rsidR="00B813A7" w:rsidRPr="007633A1">
        <w:rPr>
          <w:rFonts w:ascii="Arial" w:hAnsi="Arial" w:cs="Arial"/>
          <w:lang w:val="en-US"/>
        </w:rPr>
        <w:t>this form of punishment</w:t>
      </w:r>
      <w:r w:rsidR="00B211AD" w:rsidRPr="007633A1">
        <w:rPr>
          <w:rFonts w:ascii="Arial" w:hAnsi="Arial" w:cs="Arial"/>
          <w:lang w:val="en-US"/>
        </w:rPr>
        <w:t xml:space="preserve">. </w:t>
      </w:r>
      <w:r w:rsidRPr="007633A1">
        <w:rPr>
          <w:rFonts w:ascii="Arial" w:hAnsi="Arial" w:cs="Arial"/>
          <w:lang w:val="en-US"/>
        </w:rPr>
        <w:t xml:space="preserve">Furthermore, </w:t>
      </w:r>
      <w:r w:rsidR="00AE0CED" w:rsidRPr="007633A1">
        <w:rPr>
          <w:rFonts w:ascii="Arial" w:hAnsi="Arial" w:cs="Arial"/>
          <w:lang w:val="en-US"/>
        </w:rPr>
        <w:t>the sharia regulation (</w:t>
      </w:r>
      <w:r w:rsidRPr="007633A1">
        <w:rPr>
          <w:rFonts w:ascii="Arial" w:hAnsi="Arial" w:cs="Arial"/>
          <w:lang w:val="en-US"/>
        </w:rPr>
        <w:t>Q</w:t>
      </w:r>
      <w:r w:rsidR="00B211AD" w:rsidRPr="007633A1">
        <w:rPr>
          <w:rFonts w:ascii="Arial" w:hAnsi="Arial" w:cs="Arial"/>
          <w:i/>
          <w:lang w:val="en-US"/>
        </w:rPr>
        <w:t>anun</w:t>
      </w:r>
      <w:r w:rsidR="00AE0CED" w:rsidRPr="007633A1">
        <w:rPr>
          <w:rFonts w:ascii="Arial" w:hAnsi="Arial" w:cs="Arial"/>
          <w:i/>
          <w:lang w:val="en-US"/>
        </w:rPr>
        <w:t>)</w:t>
      </w:r>
      <w:r w:rsidR="00B211AD" w:rsidRPr="007633A1">
        <w:rPr>
          <w:rFonts w:ascii="Arial" w:hAnsi="Arial" w:cs="Arial"/>
          <w:lang w:val="en-US"/>
        </w:rPr>
        <w:t xml:space="preserve"> does not </w:t>
      </w:r>
      <w:r w:rsidR="00FE54F4" w:rsidRPr="007633A1">
        <w:rPr>
          <w:rFonts w:ascii="Arial" w:hAnsi="Arial" w:cs="Arial"/>
          <w:lang w:val="en-US"/>
        </w:rPr>
        <w:t>provide fo</w:t>
      </w:r>
      <w:r w:rsidRPr="007633A1">
        <w:rPr>
          <w:rFonts w:ascii="Arial" w:hAnsi="Arial" w:cs="Arial"/>
          <w:lang w:val="en-US"/>
        </w:rPr>
        <w:t xml:space="preserve">r </w:t>
      </w:r>
      <w:r w:rsidR="00B211AD" w:rsidRPr="007633A1">
        <w:rPr>
          <w:rFonts w:ascii="Arial" w:hAnsi="Arial" w:cs="Arial"/>
          <w:lang w:val="en-US"/>
        </w:rPr>
        <w:t xml:space="preserve">legal aid for those who are charged with lashing. </w:t>
      </w:r>
    </w:p>
    <w:p w:rsidR="00B813A7" w:rsidRPr="007633A1" w:rsidRDefault="00B813A7" w:rsidP="00B813A7">
      <w:pPr>
        <w:spacing w:after="0" w:line="240" w:lineRule="auto"/>
        <w:jc w:val="both"/>
        <w:rPr>
          <w:rFonts w:ascii="Arial" w:hAnsi="Arial" w:cs="Arial"/>
          <w:lang w:val="en-US"/>
        </w:rPr>
      </w:pPr>
    </w:p>
    <w:p w:rsidR="00D87707" w:rsidRPr="007633A1" w:rsidRDefault="006D0983" w:rsidP="006D0983">
      <w:pPr>
        <w:pStyle w:val="ListParagraph"/>
        <w:spacing w:after="0" w:line="240" w:lineRule="auto"/>
        <w:ind w:left="993" w:right="946"/>
        <w:jc w:val="both"/>
        <w:rPr>
          <w:rFonts w:ascii="Arial" w:hAnsi="Arial" w:cs="Arial"/>
          <w:lang w:val="en-US"/>
        </w:rPr>
      </w:pPr>
      <w:r w:rsidRPr="007633A1">
        <w:rPr>
          <w:rFonts w:ascii="Arial" w:hAnsi="Arial" w:cs="Arial"/>
          <w:lang w:val="en-US"/>
        </w:rPr>
        <w:t>“</w:t>
      </w:r>
      <w:r w:rsidR="00D87707" w:rsidRPr="007633A1">
        <w:rPr>
          <w:rFonts w:ascii="Arial" w:hAnsi="Arial" w:cs="Arial"/>
          <w:lang w:val="en-US"/>
        </w:rPr>
        <w:t>On 1 October 2010, two female street vendors, Rukiah (22) and Murni (17), both residents of Baitussalam Aceh Besar, were lashed in front of hundreds of people at the front yard of the Al Munawarah Mosque, two to three times, because they sold food during Ramadan</w:t>
      </w:r>
      <w:r w:rsidRPr="007633A1">
        <w:rPr>
          <w:rFonts w:ascii="Arial" w:hAnsi="Arial" w:cs="Arial"/>
          <w:lang w:val="en-US"/>
        </w:rPr>
        <w:t>”</w:t>
      </w:r>
      <w:r w:rsidR="00141FEF" w:rsidRPr="007633A1">
        <w:rPr>
          <w:rStyle w:val="FootnoteReference"/>
          <w:rFonts w:ascii="Arial" w:hAnsi="Arial" w:cs="Arial"/>
          <w:i/>
          <w:lang w:val="en-US"/>
        </w:rPr>
        <w:footnoteReference w:id="17"/>
      </w:r>
      <w:r w:rsidR="00D87707" w:rsidRPr="007633A1">
        <w:rPr>
          <w:rFonts w:ascii="Arial" w:hAnsi="Arial" w:cs="Arial"/>
          <w:lang w:val="en-US"/>
        </w:rPr>
        <w:t xml:space="preserve">. </w:t>
      </w:r>
    </w:p>
    <w:p w:rsidR="00B211AD" w:rsidRPr="007633A1" w:rsidRDefault="00B211AD" w:rsidP="00141FEF">
      <w:pPr>
        <w:pStyle w:val="SingleTxtG"/>
        <w:ind w:left="0" w:right="146"/>
        <w:rPr>
          <w:rFonts w:ascii="Arial" w:hAnsi="Arial" w:cs="Arial"/>
          <w:sz w:val="22"/>
          <w:szCs w:val="22"/>
          <w:lang w:val="en-US"/>
        </w:rPr>
      </w:pPr>
    </w:p>
    <w:p w:rsidR="00141FEF" w:rsidRPr="007633A1" w:rsidRDefault="00810E8F" w:rsidP="00A223B4">
      <w:pPr>
        <w:pStyle w:val="SingleTxtG"/>
        <w:ind w:left="426" w:right="146" w:hanging="426"/>
        <w:rPr>
          <w:rFonts w:ascii="Arial" w:hAnsi="Arial" w:cs="Arial"/>
          <w:sz w:val="22"/>
          <w:szCs w:val="22"/>
          <w:lang w:val="en-US"/>
        </w:rPr>
      </w:pPr>
      <w:r w:rsidRPr="007633A1">
        <w:rPr>
          <w:rFonts w:ascii="Arial" w:hAnsi="Arial" w:cs="Arial"/>
          <w:sz w:val="22"/>
          <w:szCs w:val="22"/>
          <w:lang w:val="id-ID"/>
        </w:rPr>
        <w:t>3</w:t>
      </w:r>
      <w:r w:rsidR="0019746B" w:rsidRPr="007633A1">
        <w:rPr>
          <w:rFonts w:ascii="Arial" w:hAnsi="Arial" w:cs="Arial"/>
          <w:sz w:val="22"/>
          <w:szCs w:val="22"/>
          <w:lang w:val="id-ID"/>
        </w:rPr>
        <w:t>8</w:t>
      </w:r>
      <w:r w:rsidRPr="007633A1">
        <w:rPr>
          <w:rFonts w:ascii="Arial" w:hAnsi="Arial" w:cs="Arial"/>
          <w:sz w:val="22"/>
          <w:szCs w:val="22"/>
          <w:lang w:val="id-ID"/>
        </w:rPr>
        <w:t xml:space="preserve">. </w:t>
      </w:r>
      <w:r w:rsidR="00B211AD" w:rsidRPr="007633A1">
        <w:rPr>
          <w:rFonts w:ascii="Arial" w:hAnsi="Arial" w:cs="Arial"/>
          <w:sz w:val="22"/>
          <w:szCs w:val="22"/>
          <w:lang w:val="en-US"/>
        </w:rPr>
        <w:t>The implementation of shariah law by Wilayatul</w:t>
      </w:r>
      <w:r w:rsidR="00060FF8" w:rsidRPr="007633A1">
        <w:rPr>
          <w:rFonts w:ascii="Arial" w:hAnsi="Arial" w:cs="Arial"/>
          <w:sz w:val="22"/>
          <w:szCs w:val="22"/>
          <w:lang w:val="en-US"/>
        </w:rPr>
        <w:t xml:space="preserve"> </w:t>
      </w:r>
      <w:r w:rsidR="00B211AD" w:rsidRPr="007633A1">
        <w:rPr>
          <w:rFonts w:ascii="Arial" w:hAnsi="Arial" w:cs="Arial"/>
          <w:sz w:val="22"/>
          <w:szCs w:val="22"/>
          <w:lang w:val="en-US"/>
        </w:rPr>
        <w:t>Hisbah</w:t>
      </w:r>
      <w:r w:rsidR="008D7473" w:rsidRPr="007633A1">
        <w:rPr>
          <w:rFonts w:ascii="Arial" w:hAnsi="Arial" w:cs="Arial"/>
          <w:sz w:val="22"/>
          <w:szCs w:val="22"/>
          <w:lang w:val="en-US"/>
        </w:rPr>
        <w:t xml:space="preserve"> (WH)</w:t>
      </w:r>
      <w:r w:rsidR="00060FF8" w:rsidRPr="007633A1">
        <w:rPr>
          <w:rFonts w:ascii="Arial" w:hAnsi="Arial" w:cs="Arial"/>
          <w:sz w:val="22"/>
          <w:szCs w:val="22"/>
          <w:lang w:val="en-US"/>
        </w:rPr>
        <w:t xml:space="preserve"> </w:t>
      </w:r>
      <w:r w:rsidR="008D7473" w:rsidRPr="007633A1">
        <w:rPr>
          <w:rFonts w:ascii="Arial" w:hAnsi="Arial" w:cs="Arial"/>
          <w:sz w:val="22"/>
          <w:szCs w:val="22"/>
          <w:lang w:val="en-US"/>
        </w:rPr>
        <w:t>is</w:t>
      </w:r>
      <w:r w:rsidR="00B211AD" w:rsidRPr="007633A1">
        <w:rPr>
          <w:rFonts w:ascii="Arial" w:hAnsi="Arial" w:cs="Arial"/>
          <w:sz w:val="22"/>
          <w:szCs w:val="22"/>
          <w:lang w:val="en-US"/>
        </w:rPr>
        <w:t xml:space="preserve"> also discriminatory and tends to use means that are inhuman and gender bias. </w:t>
      </w:r>
    </w:p>
    <w:p w:rsidR="004B60F7" w:rsidRPr="007633A1" w:rsidRDefault="009630C3" w:rsidP="006D0983">
      <w:pPr>
        <w:pStyle w:val="SingleTxtG"/>
        <w:ind w:left="993" w:right="946"/>
        <w:rPr>
          <w:rFonts w:ascii="Arial" w:hAnsi="Arial" w:cs="Arial"/>
          <w:sz w:val="22"/>
          <w:szCs w:val="22"/>
          <w:lang w:val="en-US"/>
        </w:rPr>
      </w:pPr>
      <w:r>
        <w:rPr>
          <w:rFonts w:ascii="Arial" w:hAnsi="Arial" w:cs="Arial"/>
          <w:sz w:val="22"/>
          <w:szCs w:val="22"/>
          <w:lang w:val="en-US"/>
        </w:rPr>
        <w:t>“</w:t>
      </w:r>
      <w:r w:rsidR="00B211AD" w:rsidRPr="007633A1">
        <w:rPr>
          <w:rFonts w:ascii="Arial" w:hAnsi="Arial" w:cs="Arial"/>
          <w:sz w:val="22"/>
          <w:szCs w:val="22"/>
          <w:lang w:val="en-US"/>
        </w:rPr>
        <w:t>Putri</w:t>
      </w:r>
      <w:r w:rsidR="00060FF8" w:rsidRPr="007633A1">
        <w:rPr>
          <w:rFonts w:ascii="Arial" w:hAnsi="Arial" w:cs="Arial"/>
          <w:sz w:val="22"/>
          <w:szCs w:val="22"/>
          <w:lang w:val="en-US"/>
        </w:rPr>
        <w:t xml:space="preserve"> </w:t>
      </w:r>
      <w:r w:rsidR="00B211AD" w:rsidRPr="007633A1">
        <w:rPr>
          <w:rFonts w:ascii="Arial" w:hAnsi="Arial" w:cs="Arial"/>
          <w:sz w:val="22"/>
          <w:szCs w:val="22"/>
          <w:lang w:val="en-US"/>
        </w:rPr>
        <w:t>Ermelia, a resident of Langsa Aceh</w:t>
      </w:r>
      <w:r w:rsidR="004B60F7" w:rsidRPr="007633A1">
        <w:rPr>
          <w:rFonts w:ascii="Arial" w:hAnsi="Arial" w:cs="Arial"/>
          <w:sz w:val="22"/>
          <w:szCs w:val="22"/>
          <w:lang w:val="en-US"/>
        </w:rPr>
        <w:t xml:space="preserve">, </w:t>
      </w:r>
      <w:r w:rsidR="00B211AD" w:rsidRPr="007633A1">
        <w:rPr>
          <w:rFonts w:ascii="Arial" w:hAnsi="Arial" w:cs="Arial"/>
          <w:sz w:val="22"/>
          <w:szCs w:val="22"/>
          <w:lang w:val="en-US"/>
        </w:rPr>
        <w:t xml:space="preserve">committed suicide </w:t>
      </w:r>
      <w:r w:rsidR="004B60F7" w:rsidRPr="007633A1">
        <w:rPr>
          <w:rFonts w:ascii="Arial" w:hAnsi="Arial" w:cs="Arial"/>
          <w:sz w:val="22"/>
          <w:szCs w:val="22"/>
          <w:lang w:val="en-US"/>
        </w:rPr>
        <w:t>after she was accused of p</w:t>
      </w:r>
      <w:r w:rsidR="00B211AD" w:rsidRPr="007633A1">
        <w:rPr>
          <w:rFonts w:ascii="Arial" w:hAnsi="Arial" w:cs="Arial"/>
          <w:sz w:val="22"/>
          <w:szCs w:val="22"/>
          <w:lang w:val="en-US"/>
        </w:rPr>
        <w:t xml:space="preserve">rostitution </w:t>
      </w:r>
      <w:r w:rsidR="004B60F7" w:rsidRPr="007633A1">
        <w:rPr>
          <w:rFonts w:ascii="Arial" w:hAnsi="Arial" w:cs="Arial"/>
          <w:sz w:val="22"/>
          <w:szCs w:val="22"/>
          <w:lang w:val="en-US"/>
        </w:rPr>
        <w:t xml:space="preserve">and </w:t>
      </w:r>
      <w:r w:rsidR="00B211AD" w:rsidRPr="007633A1">
        <w:rPr>
          <w:rFonts w:ascii="Arial" w:hAnsi="Arial" w:cs="Arial"/>
          <w:sz w:val="22"/>
          <w:szCs w:val="22"/>
          <w:lang w:val="en-US"/>
        </w:rPr>
        <w:t>arrest</w:t>
      </w:r>
      <w:r w:rsidR="004B60F7" w:rsidRPr="007633A1">
        <w:rPr>
          <w:rFonts w:ascii="Arial" w:hAnsi="Arial" w:cs="Arial"/>
          <w:sz w:val="22"/>
          <w:szCs w:val="22"/>
          <w:lang w:val="en-US"/>
        </w:rPr>
        <w:t>ed</w:t>
      </w:r>
      <w:r w:rsidR="00B211AD" w:rsidRPr="007633A1">
        <w:rPr>
          <w:rFonts w:ascii="Arial" w:hAnsi="Arial" w:cs="Arial"/>
          <w:sz w:val="22"/>
          <w:szCs w:val="22"/>
          <w:lang w:val="en-US"/>
        </w:rPr>
        <w:t xml:space="preserve"> by the WH</w:t>
      </w:r>
      <w:r w:rsidR="004B60F7" w:rsidRPr="007633A1">
        <w:rPr>
          <w:rFonts w:ascii="Arial" w:hAnsi="Arial" w:cs="Arial"/>
          <w:sz w:val="22"/>
          <w:szCs w:val="22"/>
          <w:lang w:val="en-US"/>
        </w:rPr>
        <w:t>. However, t</w:t>
      </w:r>
      <w:r w:rsidR="00B211AD" w:rsidRPr="007633A1">
        <w:rPr>
          <w:rFonts w:ascii="Arial" w:hAnsi="Arial" w:cs="Arial"/>
          <w:sz w:val="22"/>
          <w:szCs w:val="22"/>
          <w:lang w:val="en-US"/>
        </w:rPr>
        <w:t xml:space="preserve">he truth about the accusation </w:t>
      </w:r>
      <w:r w:rsidR="004B60F7" w:rsidRPr="007633A1">
        <w:rPr>
          <w:rFonts w:ascii="Arial" w:hAnsi="Arial" w:cs="Arial"/>
          <w:sz w:val="22"/>
          <w:szCs w:val="22"/>
          <w:lang w:val="en-US"/>
        </w:rPr>
        <w:t xml:space="preserve">has </w:t>
      </w:r>
      <w:r w:rsidR="00B211AD" w:rsidRPr="007633A1">
        <w:rPr>
          <w:rFonts w:ascii="Arial" w:hAnsi="Arial" w:cs="Arial"/>
          <w:sz w:val="22"/>
          <w:szCs w:val="22"/>
          <w:lang w:val="en-US"/>
        </w:rPr>
        <w:t>remained unclear</w:t>
      </w:r>
      <w:r w:rsidR="00B211AD" w:rsidRPr="007633A1">
        <w:rPr>
          <w:rStyle w:val="FootnoteReference"/>
          <w:rFonts w:ascii="Arial" w:hAnsi="Arial" w:cs="Arial"/>
          <w:sz w:val="22"/>
          <w:szCs w:val="22"/>
          <w:lang w:val="en-US"/>
        </w:rPr>
        <w:footnoteReference w:id="18"/>
      </w:r>
      <w:r w:rsidR="00B211AD" w:rsidRPr="007633A1">
        <w:rPr>
          <w:rFonts w:ascii="Arial" w:hAnsi="Arial" w:cs="Arial"/>
          <w:sz w:val="22"/>
          <w:szCs w:val="22"/>
          <w:lang w:val="en-US"/>
        </w:rPr>
        <w:t>.</w:t>
      </w:r>
      <w:r>
        <w:rPr>
          <w:rFonts w:ascii="Arial" w:hAnsi="Arial" w:cs="Arial"/>
          <w:sz w:val="22"/>
          <w:szCs w:val="22"/>
          <w:lang w:val="en-US"/>
        </w:rPr>
        <w:t>”</w:t>
      </w:r>
    </w:p>
    <w:p w:rsidR="006E2B3D" w:rsidRPr="007633A1" w:rsidRDefault="006E2B3D" w:rsidP="00F27BE2">
      <w:pPr>
        <w:pStyle w:val="SingleTxtG"/>
        <w:ind w:right="146"/>
        <w:rPr>
          <w:rFonts w:ascii="Arial" w:hAnsi="Arial" w:cs="Arial"/>
          <w:sz w:val="22"/>
          <w:szCs w:val="22"/>
          <w:lang w:val="en-US"/>
        </w:rPr>
      </w:pPr>
    </w:p>
    <w:p w:rsidR="00B211AD" w:rsidRPr="007633A1" w:rsidRDefault="00D801CA" w:rsidP="00814B47">
      <w:pPr>
        <w:pStyle w:val="SingleTxtG"/>
        <w:pBdr>
          <w:top w:val="single" w:sz="4" w:space="1" w:color="auto"/>
          <w:left w:val="single" w:sz="4" w:space="4" w:color="auto"/>
          <w:bottom w:val="single" w:sz="4" w:space="1" w:color="auto"/>
          <w:right w:val="single" w:sz="4" w:space="4" w:color="auto"/>
        </w:pBdr>
        <w:ind w:left="0" w:right="-46"/>
        <w:rPr>
          <w:rFonts w:ascii="Arial" w:hAnsi="Arial" w:cs="Arial"/>
          <w:sz w:val="22"/>
          <w:szCs w:val="22"/>
          <w:lang w:val="en-US"/>
        </w:rPr>
      </w:pPr>
      <w:r w:rsidRPr="007633A1">
        <w:rPr>
          <w:rFonts w:ascii="Arial" w:hAnsi="Arial" w:cs="Arial"/>
          <w:b/>
          <w:sz w:val="22"/>
          <w:szCs w:val="22"/>
          <w:lang w:val="en-US"/>
        </w:rPr>
        <w:t>Issue 16</w:t>
      </w:r>
      <w:r w:rsidR="00814B47" w:rsidRPr="007633A1">
        <w:rPr>
          <w:rFonts w:ascii="Arial" w:hAnsi="Arial" w:cs="Arial"/>
          <w:sz w:val="22"/>
          <w:szCs w:val="22"/>
          <w:lang w:val="en-US"/>
        </w:rPr>
        <w:t xml:space="preserve">: </w:t>
      </w:r>
      <w:r w:rsidR="00B211AD" w:rsidRPr="007633A1">
        <w:rPr>
          <w:rFonts w:ascii="Arial" w:hAnsi="Arial" w:cs="Arial"/>
          <w:sz w:val="22"/>
          <w:szCs w:val="22"/>
          <w:lang w:val="en-US"/>
        </w:rPr>
        <w:t>Please respond to reports that pre-trial detainees and convicted prisoners are not segregated in several of the State party’s prisons such as in the Pondok</w:t>
      </w:r>
      <w:r w:rsidR="00391B9E" w:rsidRPr="007633A1">
        <w:rPr>
          <w:rFonts w:ascii="Arial" w:hAnsi="Arial" w:cs="Arial"/>
          <w:sz w:val="22"/>
          <w:szCs w:val="22"/>
          <w:lang w:val="en-US"/>
        </w:rPr>
        <w:t xml:space="preserve"> </w:t>
      </w:r>
      <w:r w:rsidR="00B211AD" w:rsidRPr="007633A1">
        <w:rPr>
          <w:rFonts w:ascii="Arial" w:hAnsi="Arial" w:cs="Arial"/>
          <w:sz w:val="22"/>
          <w:szCs w:val="22"/>
          <w:lang w:val="en-US"/>
        </w:rPr>
        <w:t>Bambu prison (Jakarta) and the Juvenile Detention Centre of Kutoarjo (Central Java). Please also respond to allegations of lack of segregation between juveniles and adult prisoners and between accused and convicted persons in the State party. What measures are being taken to ensure such segregation is complied with in all places of deprivation of liberty in the State party?</w:t>
      </w:r>
    </w:p>
    <w:p w:rsidR="00B211AD" w:rsidRPr="007633A1" w:rsidRDefault="00B211AD" w:rsidP="001E6EBA">
      <w:pPr>
        <w:pStyle w:val="Listecouleur-Accent11"/>
        <w:spacing w:after="0" w:line="240" w:lineRule="auto"/>
        <w:ind w:left="426"/>
        <w:jc w:val="both"/>
        <w:rPr>
          <w:rFonts w:ascii="Arial" w:hAnsi="Arial" w:cs="Arial"/>
          <w:lang w:val="en-US"/>
        </w:rPr>
      </w:pPr>
      <w:r w:rsidRPr="007633A1">
        <w:rPr>
          <w:rFonts w:ascii="Arial" w:hAnsi="Arial" w:cs="Arial"/>
          <w:lang w:val="en-US"/>
        </w:rPr>
        <w:lastRenderedPageBreak/>
        <w:t>While</w:t>
      </w:r>
      <w:r w:rsidR="00060FF8" w:rsidRPr="007633A1">
        <w:rPr>
          <w:rFonts w:ascii="Arial" w:hAnsi="Arial" w:cs="Arial"/>
          <w:lang w:val="en-US"/>
        </w:rPr>
        <w:t xml:space="preserve"> </w:t>
      </w:r>
      <w:r w:rsidRPr="007633A1">
        <w:rPr>
          <w:rFonts w:ascii="Arial" w:hAnsi="Arial" w:cs="Arial"/>
          <w:lang w:val="en-US"/>
        </w:rPr>
        <w:t xml:space="preserve">children </w:t>
      </w:r>
      <w:r w:rsidR="00814B47" w:rsidRPr="007633A1">
        <w:rPr>
          <w:rFonts w:ascii="Arial" w:hAnsi="Arial" w:cs="Arial"/>
          <w:lang w:val="en-US"/>
        </w:rPr>
        <w:t>are</w:t>
      </w:r>
      <w:r w:rsidR="00060FF8" w:rsidRPr="007633A1">
        <w:rPr>
          <w:rFonts w:ascii="Arial" w:hAnsi="Arial" w:cs="Arial"/>
          <w:lang w:val="en-US"/>
        </w:rPr>
        <w:t xml:space="preserve"> </w:t>
      </w:r>
      <w:r w:rsidRPr="007633A1">
        <w:rPr>
          <w:rFonts w:ascii="Arial" w:hAnsi="Arial" w:cs="Arial"/>
          <w:lang w:val="en-US"/>
        </w:rPr>
        <w:t>no longer detained at the Pondok</w:t>
      </w:r>
      <w:r w:rsidR="00060FF8" w:rsidRPr="007633A1">
        <w:rPr>
          <w:rFonts w:ascii="Arial" w:hAnsi="Arial" w:cs="Arial"/>
          <w:lang w:val="en-US"/>
        </w:rPr>
        <w:t xml:space="preserve"> </w:t>
      </w:r>
      <w:r w:rsidRPr="007633A1">
        <w:rPr>
          <w:rFonts w:ascii="Arial" w:hAnsi="Arial" w:cs="Arial"/>
          <w:lang w:val="en-US"/>
        </w:rPr>
        <w:t xml:space="preserve">Bambu Detention Center, they were </w:t>
      </w:r>
      <w:r w:rsidR="009630C3">
        <w:rPr>
          <w:rFonts w:ascii="Arial" w:hAnsi="Arial" w:cs="Arial"/>
          <w:lang w:val="en-US"/>
        </w:rPr>
        <w:t>detained</w:t>
      </w:r>
      <w:r w:rsidRPr="007633A1">
        <w:rPr>
          <w:rFonts w:ascii="Arial" w:hAnsi="Arial" w:cs="Arial"/>
          <w:lang w:val="en-US"/>
        </w:rPr>
        <w:t xml:space="preserve"> in the same </w:t>
      </w:r>
      <w:r w:rsidR="00982663" w:rsidRPr="007633A1">
        <w:rPr>
          <w:rFonts w:ascii="Arial" w:hAnsi="Arial" w:cs="Arial"/>
          <w:lang w:val="en-US"/>
        </w:rPr>
        <w:t>cell</w:t>
      </w:r>
      <w:r w:rsidR="00060FF8" w:rsidRPr="007633A1">
        <w:rPr>
          <w:rFonts w:ascii="Arial" w:hAnsi="Arial" w:cs="Arial"/>
          <w:lang w:val="en-US"/>
        </w:rPr>
        <w:t xml:space="preserve"> </w:t>
      </w:r>
      <w:r w:rsidR="00982663" w:rsidRPr="007633A1">
        <w:rPr>
          <w:rFonts w:ascii="Arial" w:hAnsi="Arial" w:cs="Arial"/>
          <w:lang w:val="en-US"/>
        </w:rPr>
        <w:t>block</w:t>
      </w:r>
      <w:r w:rsidRPr="007633A1">
        <w:rPr>
          <w:rFonts w:ascii="Arial" w:hAnsi="Arial" w:cs="Arial"/>
          <w:lang w:val="en-US"/>
        </w:rPr>
        <w:t xml:space="preserve"> with adult male detainees at the Salemba Detention Center. </w:t>
      </w:r>
      <w:r w:rsidR="00D801CA" w:rsidRPr="007633A1">
        <w:rPr>
          <w:rFonts w:ascii="Arial" w:hAnsi="Arial" w:cs="Arial"/>
          <w:lang w:val="en-US"/>
        </w:rPr>
        <w:t xml:space="preserve">Law </w:t>
      </w:r>
      <w:r w:rsidR="007A730B" w:rsidRPr="007633A1">
        <w:rPr>
          <w:rFonts w:ascii="Arial" w:hAnsi="Arial" w:cs="Arial"/>
          <w:lang w:val="en-US"/>
        </w:rPr>
        <w:t xml:space="preserve">No. 11/ </w:t>
      </w:r>
      <w:r w:rsidR="00D801CA" w:rsidRPr="007633A1">
        <w:rPr>
          <w:rFonts w:ascii="Arial" w:hAnsi="Arial" w:cs="Arial"/>
          <w:lang w:val="en-US"/>
        </w:rPr>
        <w:t>2012 regarding Criminal Justice System for Children r</w:t>
      </w:r>
      <w:r w:rsidRPr="007633A1">
        <w:rPr>
          <w:rFonts w:ascii="Arial" w:hAnsi="Arial" w:cs="Arial"/>
          <w:lang w:val="en-US"/>
        </w:rPr>
        <w:t>equires separation between children and adults</w:t>
      </w:r>
      <w:r w:rsidR="007A730B" w:rsidRPr="007633A1">
        <w:rPr>
          <w:rFonts w:ascii="Arial" w:hAnsi="Arial" w:cs="Arial"/>
          <w:lang w:val="en-US"/>
        </w:rPr>
        <w:t xml:space="preserve"> in detention facilities</w:t>
      </w:r>
      <w:r w:rsidRPr="007633A1">
        <w:rPr>
          <w:rFonts w:ascii="Arial" w:hAnsi="Arial" w:cs="Arial"/>
          <w:lang w:val="en-US"/>
        </w:rPr>
        <w:t xml:space="preserve">. According to the </w:t>
      </w:r>
      <w:r w:rsidR="007A730B" w:rsidRPr="007633A1">
        <w:rPr>
          <w:rFonts w:ascii="Arial" w:hAnsi="Arial" w:cs="Arial"/>
          <w:lang w:val="en-US"/>
        </w:rPr>
        <w:t>l</w:t>
      </w:r>
      <w:r w:rsidRPr="007633A1">
        <w:rPr>
          <w:rFonts w:ascii="Arial" w:hAnsi="Arial" w:cs="Arial"/>
          <w:lang w:val="en-US"/>
        </w:rPr>
        <w:t>aw, children must be placed in temporary detention house</w:t>
      </w:r>
      <w:r w:rsidR="00982663" w:rsidRPr="007633A1">
        <w:rPr>
          <w:rFonts w:ascii="Arial" w:hAnsi="Arial" w:cs="Arial"/>
          <w:lang w:val="en-US"/>
        </w:rPr>
        <w:t>s</w:t>
      </w:r>
      <w:r w:rsidRPr="007633A1">
        <w:rPr>
          <w:rFonts w:ascii="Arial" w:hAnsi="Arial" w:cs="Arial"/>
          <w:lang w:val="en-US"/>
        </w:rPr>
        <w:t xml:space="preserve"> or an education facility for children that must be completely separated from the administration of Detention or Correction Facilities.</w:t>
      </w:r>
      <w:r w:rsidR="00D9229F" w:rsidRPr="007633A1">
        <w:rPr>
          <w:rFonts w:ascii="Arial" w:hAnsi="Arial" w:cs="Arial"/>
          <w:lang w:val="en-US"/>
        </w:rPr>
        <w:t xml:space="preserve"> However, the said law has yet to be </w:t>
      </w:r>
      <w:r w:rsidR="007633A1" w:rsidRPr="007633A1">
        <w:rPr>
          <w:rFonts w:ascii="Arial" w:hAnsi="Arial" w:cs="Arial"/>
          <w:lang w:val="en-US"/>
        </w:rPr>
        <w:t>established</w:t>
      </w:r>
      <w:r w:rsidR="00D9229F" w:rsidRPr="007633A1">
        <w:rPr>
          <w:rStyle w:val="FootnoteReference"/>
          <w:rFonts w:ascii="Arial" w:hAnsi="Arial" w:cs="Arial"/>
          <w:lang w:val="en-US"/>
        </w:rPr>
        <w:footnoteReference w:id="19"/>
      </w:r>
      <w:r w:rsidR="00D9229F" w:rsidRPr="007633A1">
        <w:rPr>
          <w:rFonts w:ascii="Arial" w:hAnsi="Arial" w:cs="Arial"/>
          <w:lang w:val="en-US"/>
        </w:rPr>
        <w:t xml:space="preserve">. </w:t>
      </w:r>
    </w:p>
    <w:p w:rsidR="001E6EBA" w:rsidRPr="007633A1" w:rsidRDefault="001E6EBA" w:rsidP="001E6EBA">
      <w:pPr>
        <w:pStyle w:val="Listecouleur-Accent11"/>
        <w:spacing w:after="0" w:line="240" w:lineRule="auto"/>
        <w:ind w:left="426"/>
        <w:jc w:val="both"/>
        <w:rPr>
          <w:rFonts w:ascii="Arial" w:hAnsi="Arial" w:cs="Arial"/>
          <w:lang w:val="en-US"/>
        </w:rPr>
      </w:pPr>
    </w:p>
    <w:p w:rsidR="00B211AD" w:rsidRPr="007633A1" w:rsidRDefault="00B211AD" w:rsidP="00F163F9">
      <w:pPr>
        <w:pStyle w:val="Listecouleur-Accent11"/>
        <w:numPr>
          <w:ilvl w:val="0"/>
          <w:numId w:val="13"/>
        </w:numPr>
        <w:spacing w:after="0" w:line="240" w:lineRule="auto"/>
        <w:ind w:left="426" w:hanging="426"/>
        <w:jc w:val="both"/>
        <w:rPr>
          <w:rFonts w:ascii="Arial" w:hAnsi="Arial" w:cs="Arial"/>
          <w:strike/>
          <w:lang w:val="en-US"/>
        </w:rPr>
      </w:pPr>
      <w:r w:rsidRPr="007633A1">
        <w:rPr>
          <w:rFonts w:ascii="Arial" w:hAnsi="Arial" w:cs="Arial"/>
          <w:lang w:val="en-US"/>
        </w:rPr>
        <w:t>Although Indonesia consists of 34 provinces, 410 regencies, and 98 municipalities, the number of detention facilities for children is only 19.</w:t>
      </w:r>
      <w:r w:rsidRPr="007633A1">
        <w:rPr>
          <w:rStyle w:val="FootnoteReference"/>
          <w:rFonts w:ascii="Arial" w:hAnsi="Arial" w:cs="Arial"/>
          <w:lang w:val="en-US"/>
        </w:rPr>
        <w:footnoteReference w:id="20"/>
      </w:r>
      <w:r w:rsidRPr="007633A1">
        <w:rPr>
          <w:rFonts w:ascii="Arial" w:hAnsi="Arial" w:cs="Arial"/>
          <w:lang w:val="en-US"/>
        </w:rPr>
        <w:t xml:space="preserve"> The limited number of detention facilities for children is not accompanied by any effort to tackle the root cause</w:t>
      </w:r>
      <w:r w:rsidR="00814B47" w:rsidRPr="007633A1">
        <w:rPr>
          <w:rFonts w:ascii="Arial" w:hAnsi="Arial" w:cs="Arial"/>
          <w:lang w:val="en-US"/>
        </w:rPr>
        <w:t>s</w:t>
      </w:r>
      <w:r w:rsidRPr="007633A1">
        <w:rPr>
          <w:rStyle w:val="FootnoteReference"/>
          <w:rFonts w:ascii="Arial" w:hAnsi="Arial" w:cs="Arial"/>
          <w:lang w:val="en-US"/>
        </w:rPr>
        <w:footnoteReference w:id="21"/>
      </w:r>
      <w:r w:rsidRPr="007633A1">
        <w:rPr>
          <w:rFonts w:ascii="Arial" w:hAnsi="Arial" w:cs="Arial"/>
          <w:lang w:val="en-US"/>
        </w:rPr>
        <w:t xml:space="preserve"> that drives children to commit an offense</w:t>
      </w:r>
      <w:r w:rsidR="00CA34F2" w:rsidRPr="007633A1">
        <w:rPr>
          <w:rFonts w:ascii="Arial" w:hAnsi="Arial" w:cs="Arial"/>
          <w:lang w:val="en-US"/>
        </w:rPr>
        <w:t>.</w:t>
      </w:r>
    </w:p>
    <w:p w:rsidR="006E2B3D" w:rsidRPr="007633A1" w:rsidRDefault="006E2B3D" w:rsidP="00E30277">
      <w:pPr>
        <w:pStyle w:val="Default"/>
        <w:jc w:val="both"/>
        <w:rPr>
          <w:rFonts w:ascii="Arial" w:hAnsi="Arial" w:cs="Arial"/>
          <w:sz w:val="23"/>
          <w:szCs w:val="23"/>
        </w:rPr>
      </w:pPr>
    </w:p>
    <w:p w:rsidR="006E2B3D" w:rsidRPr="007633A1" w:rsidRDefault="00B211AD" w:rsidP="00F163F9">
      <w:pPr>
        <w:pStyle w:val="Listecouleur-Accent11"/>
        <w:numPr>
          <w:ilvl w:val="0"/>
          <w:numId w:val="13"/>
        </w:numPr>
        <w:autoSpaceDE w:val="0"/>
        <w:autoSpaceDN w:val="0"/>
        <w:adjustRightInd w:val="0"/>
        <w:spacing w:after="0" w:line="240" w:lineRule="auto"/>
        <w:ind w:left="426" w:hanging="426"/>
        <w:jc w:val="both"/>
        <w:rPr>
          <w:rFonts w:ascii="Arial" w:hAnsi="Arial" w:cs="Arial"/>
          <w:lang w:val="en-US"/>
        </w:rPr>
      </w:pPr>
      <w:r w:rsidRPr="007633A1">
        <w:rPr>
          <w:rFonts w:ascii="Arial" w:hAnsi="Arial" w:cs="Arial"/>
          <w:lang w:val="en-US"/>
        </w:rPr>
        <w:t>Data from the National Police Headquarter shows the growing number of children committing crimes in 2007-2009</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188"/>
        <w:gridCol w:w="1710"/>
        <w:gridCol w:w="1980"/>
        <w:gridCol w:w="1620"/>
      </w:tblGrid>
      <w:tr w:rsidR="00B211AD" w:rsidRPr="007633A1">
        <w:trPr>
          <w:jc w:val="center"/>
        </w:trPr>
        <w:tc>
          <w:tcPr>
            <w:tcW w:w="1188" w:type="dxa"/>
            <w:tcBorders>
              <w:top w:val="single" w:sz="8" w:space="0" w:color="000000"/>
              <w:left w:val="nil"/>
              <w:bottom w:val="single" w:sz="8" w:space="0" w:color="000000"/>
              <w:right w:val="nil"/>
            </w:tcBorders>
          </w:tcPr>
          <w:p w:rsidR="00B211AD" w:rsidRPr="007633A1" w:rsidRDefault="00B211AD" w:rsidP="00B211AD">
            <w:pPr>
              <w:autoSpaceDE w:val="0"/>
              <w:autoSpaceDN w:val="0"/>
              <w:adjustRightInd w:val="0"/>
              <w:spacing w:after="0" w:line="240" w:lineRule="auto"/>
              <w:jc w:val="both"/>
              <w:rPr>
                <w:rFonts w:ascii="Arial" w:eastAsia="Times New Roman" w:hAnsi="Arial" w:cs="Arial"/>
                <w:b/>
                <w:bCs/>
                <w:lang w:val="en-US"/>
              </w:rPr>
            </w:pPr>
            <w:r w:rsidRPr="007633A1">
              <w:rPr>
                <w:rFonts w:ascii="Arial" w:eastAsia="Times New Roman" w:hAnsi="Arial" w:cs="Arial"/>
                <w:b/>
                <w:bCs/>
                <w:lang w:val="en-US"/>
              </w:rPr>
              <w:t>Year</w:t>
            </w:r>
          </w:p>
        </w:tc>
        <w:tc>
          <w:tcPr>
            <w:tcW w:w="1710" w:type="dxa"/>
            <w:tcBorders>
              <w:top w:val="single" w:sz="8" w:space="0" w:color="000000"/>
              <w:left w:val="nil"/>
              <w:bottom w:val="single" w:sz="8" w:space="0" w:color="000000"/>
              <w:right w:val="nil"/>
            </w:tcBorders>
          </w:tcPr>
          <w:p w:rsidR="00B211AD" w:rsidRPr="007633A1" w:rsidRDefault="00B211AD" w:rsidP="00B211AD">
            <w:pPr>
              <w:autoSpaceDE w:val="0"/>
              <w:autoSpaceDN w:val="0"/>
              <w:adjustRightInd w:val="0"/>
              <w:spacing w:after="0" w:line="240" w:lineRule="auto"/>
              <w:jc w:val="both"/>
              <w:rPr>
                <w:rFonts w:ascii="Arial" w:eastAsia="Times New Roman" w:hAnsi="Arial" w:cs="Arial"/>
                <w:b/>
                <w:bCs/>
                <w:lang w:val="en-US"/>
              </w:rPr>
            </w:pPr>
            <w:r w:rsidRPr="007633A1">
              <w:rPr>
                <w:rFonts w:ascii="Arial" w:eastAsia="Times New Roman" w:hAnsi="Arial" w:cs="Arial"/>
                <w:b/>
                <w:bCs/>
                <w:lang w:val="en-US"/>
              </w:rPr>
              <w:t>Boy</w:t>
            </w:r>
          </w:p>
        </w:tc>
        <w:tc>
          <w:tcPr>
            <w:tcW w:w="1980" w:type="dxa"/>
            <w:tcBorders>
              <w:top w:val="single" w:sz="8" w:space="0" w:color="000000"/>
              <w:left w:val="nil"/>
              <w:bottom w:val="single" w:sz="8" w:space="0" w:color="000000"/>
              <w:right w:val="nil"/>
            </w:tcBorders>
          </w:tcPr>
          <w:p w:rsidR="00B211AD" w:rsidRPr="007633A1" w:rsidRDefault="00B211AD" w:rsidP="00B211AD">
            <w:pPr>
              <w:autoSpaceDE w:val="0"/>
              <w:autoSpaceDN w:val="0"/>
              <w:adjustRightInd w:val="0"/>
              <w:spacing w:after="0" w:line="240" w:lineRule="auto"/>
              <w:jc w:val="both"/>
              <w:rPr>
                <w:rFonts w:ascii="Arial" w:eastAsia="Times New Roman" w:hAnsi="Arial" w:cs="Arial"/>
                <w:b/>
                <w:bCs/>
                <w:lang w:val="en-US"/>
              </w:rPr>
            </w:pPr>
            <w:r w:rsidRPr="007633A1">
              <w:rPr>
                <w:rFonts w:ascii="Arial" w:eastAsia="Times New Roman" w:hAnsi="Arial" w:cs="Arial"/>
                <w:b/>
                <w:bCs/>
                <w:lang w:val="en-US"/>
              </w:rPr>
              <w:t>Girl</w:t>
            </w:r>
          </w:p>
        </w:tc>
        <w:tc>
          <w:tcPr>
            <w:tcW w:w="1620" w:type="dxa"/>
            <w:tcBorders>
              <w:top w:val="single" w:sz="8" w:space="0" w:color="000000"/>
              <w:left w:val="nil"/>
              <w:bottom w:val="single" w:sz="8" w:space="0" w:color="000000"/>
              <w:right w:val="nil"/>
            </w:tcBorders>
          </w:tcPr>
          <w:p w:rsidR="00B211AD" w:rsidRPr="007633A1" w:rsidRDefault="00B211AD" w:rsidP="00B211AD">
            <w:pPr>
              <w:autoSpaceDE w:val="0"/>
              <w:autoSpaceDN w:val="0"/>
              <w:adjustRightInd w:val="0"/>
              <w:spacing w:after="0" w:line="240" w:lineRule="auto"/>
              <w:jc w:val="both"/>
              <w:rPr>
                <w:rFonts w:ascii="Arial" w:eastAsia="Times New Roman" w:hAnsi="Arial" w:cs="Arial"/>
                <w:b/>
                <w:bCs/>
                <w:lang w:val="en-US"/>
              </w:rPr>
            </w:pPr>
            <w:r w:rsidRPr="007633A1">
              <w:rPr>
                <w:rFonts w:ascii="Arial" w:eastAsia="Times New Roman" w:hAnsi="Arial" w:cs="Arial"/>
                <w:b/>
                <w:bCs/>
                <w:lang w:val="en-US"/>
              </w:rPr>
              <w:t>Total</w:t>
            </w:r>
          </w:p>
        </w:tc>
      </w:tr>
      <w:tr w:rsidR="00B211AD" w:rsidRPr="007633A1">
        <w:trPr>
          <w:jc w:val="center"/>
        </w:trPr>
        <w:tc>
          <w:tcPr>
            <w:tcW w:w="1188" w:type="dxa"/>
            <w:tcBorders>
              <w:left w:val="nil"/>
              <w:right w:val="nil"/>
            </w:tcBorders>
            <w:shd w:val="clear" w:color="auto" w:fill="C0C0C0"/>
          </w:tcPr>
          <w:p w:rsidR="00B211AD" w:rsidRPr="007633A1" w:rsidRDefault="00B211AD" w:rsidP="00B211AD">
            <w:pPr>
              <w:autoSpaceDE w:val="0"/>
              <w:autoSpaceDN w:val="0"/>
              <w:adjustRightInd w:val="0"/>
              <w:spacing w:after="0" w:line="240" w:lineRule="auto"/>
              <w:jc w:val="both"/>
              <w:rPr>
                <w:rFonts w:ascii="Arial" w:eastAsia="Times New Roman" w:hAnsi="Arial" w:cs="Arial"/>
                <w:b/>
                <w:bCs/>
                <w:lang w:val="en-US"/>
              </w:rPr>
            </w:pPr>
            <w:r w:rsidRPr="007633A1">
              <w:rPr>
                <w:rFonts w:ascii="Arial" w:eastAsia="Times New Roman" w:hAnsi="Arial" w:cs="Arial"/>
                <w:b/>
                <w:bCs/>
                <w:lang w:val="en-US"/>
              </w:rPr>
              <w:t>2007</w:t>
            </w:r>
          </w:p>
        </w:tc>
        <w:tc>
          <w:tcPr>
            <w:tcW w:w="1710" w:type="dxa"/>
            <w:tcBorders>
              <w:left w:val="nil"/>
              <w:right w:val="nil"/>
            </w:tcBorders>
            <w:shd w:val="clear" w:color="auto" w:fill="C0C0C0"/>
          </w:tcPr>
          <w:p w:rsidR="00B211AD" w:rsidRPr="007633A1" w:rsidRDefault="00B211AD" w:rsidP="00B211AD">
            <w:pPr>
              <w:autoSpaceDE w:val="0"/>
              <w:autoSpaceDN w:val="0"/>
              <w:adjustRightInd w:val="0"/>
              <w:spacing w:after="0" w:line="240" w:lineRule="auto"/>
              <w:jc w:val="both"/>
              <w:rPr>
                <w:rFonts w:ascii="Arial" w:eastAsia="Times New Roman" w:hAnsi="Arial" w:cs="Arial"/>
                <w:b/>
                <w:lang w:val="en-US"/>
              </w:rPr>
            </w:pPr>
            <w:r w:rsidRPr="007633A1">
              <w:rPr>
                <w:rFonts w:ascii="Arial" w:eastAsia="Times New Roman" w:hAnsi="Arial" w:cs="Arial"/>
                <w:b/>
                <w:lang w:val="en-US"/>
              </w:rPr>
              <w:t>2.785</w:t>
            </w:r>
          </w:p>
        </w:tc>
        <w:tc>
          <w:tcPr>
            <w:tcW w:w="1980" w:type="dxa"/>
            <w:tcBorders>
              <w:left w:val="nil"/>
              <w:right w:val="nil"/>
            </w:tcBorders>
            <w:shd w:val="clear" w:color="auto" w:fill="C0C0C0"/>
          </w:tcPr>
          <w:p w:rsidR="00B211AD" w:rsidRPr="007633A1" w:rsidRDefault="00B211AD" w:rsidP="00B211AD">
            <w:pPr>
              <w:autoSpaceDE w:val="0"/>
              <w:autoSpaceDN w:val="0"/>
              <w:adjustRightInd w:val="0"/>
              <w:spacing w:after="0" w:line="240" w:lineRule="auto"/>
              <w:jc w:val="both"/>
              <w:rPr>
                <w:rFonts w:ascii="Arial" w:eastAsia="Times New Roman" w:hAnsi="Arial" w:cs="Arial"/>
                <w:b/>
                <w:lang w:val="en-US"/>
              </w:rPr>
            </w:pPr>
            <w:r w:rsidRPr="007633A1">
              <w:rPr>
                <w:rFonts w:ascii="Arial" w:eastAsia="Times New Roman" w:hAnsi="Arial" w:cs="Arial"/>
                <w:b/>
                <w:lang w:val="en-US"/>
              </w:rPr>
              <w:t>360</w:t>
            </w:r>
          </w:p>
        </w:tc>
        <w:tc>
          <w:tcPr>
            <w:tcW w:w="1620" w:type="dxa"/>
            <w:tcBorders>
              <w:left w:val="nil"/>
              <w:right w:val="nil"/>
            </w:tcBorders>
            <w:shd w:val="clear" w:color="auto" w:fill="C0C0C0"/>
          </w:tcPr>
          <w:p w:rsidR="00B211AD" w:rsidRPr="007633A1" w:rsidRDefault="00B211AD" w:rsidP="00B211AD">
            <w:pPr>
              <w:autoSpaceDE w:val="0"/>
              <w:autoSpaceDN w:val="0"/>
              <w:adjustRightInd w:val="0"/>
              <w:spacing w:after="0" w:line="240" w:lineRule="auto"/>
              <w:jc w:val="both"/>
              <w:rPr>
                <w:rFonts w:ascii="Arial" w:eastAsia="Times New Roman" w:hAnsi="Arial" w:cs="Arial"/>
                <w:b/>
                <w:lang w:val="en-US"/>
              </w:rPr>
            </w:pPr>
            <w:r w:rsidRPr="007633A1">
              <w:rPr>
                <w:rFonts w:ascii="Arial" w:eastAsia="Times New Roman" w:hAnsi="Arial" w:cs="Arial"/>
                <w:b/>
                <w:lang w:val="en-US"/>
              </w:rPr>
              <w:t>3.145</w:t>
            </w:r>
          </w:p>
        </w:tc>
      </w:tr>
      <w:tr w:rsidR="00B211AD" w:rsidRPr="007633A1">
        <w:trPr>
          <w:jc w:val="center"/>
        </w:trPr>
        <w:tc>
          <w:tcPr>
            <w:tcW w:w="1188" w:type="dxa"/>
          </w:tcPr>
          <w:p w:rsidR="00B211AD" w:rsidRPr="007633A1" w:rsidRDefault="00B211AD" w:rsidP="00B211AD">
            <w:pPr>
              <w:autoSpaceDE w:val="0"/>
              <w:autoSpaceDN w:val="0"/>
              <w:adjustRightInd w:val="0"/>
              <w:spacing w:after="0" w:line="240" w:lineRule="auto"/>
              <w:jc w:val="both"/>
              <w:rPr>
                <w:rFonts w:ascii="Arial" w:eastAsia="Times New Roman" w:hAnsi="Arial" w:cs="Arial"/>
                <w:b/>
                <w:bCs/>
                <w:lang w:val="en-US"/>
              </w:rPr>
            </w:pPr>
            <w:r w:rsidRPr="007633A1">
              <w:rPr>
                <w:rFonts w:ascii="Arial" w:eastAsia="Times New Roman" w:hAnsi="Arial" w:cs="Arial"/>
                <w:b/>
                <w:bCs/>
                <w:lang w:val="en-US"/>
              </w:rPr>
              <w:t>2008</w:t>
            </w:r>
          </w:p>
        </w:tc>
        <w:tc>
          <w:tcPr>
            <w:tcW w:w="1710" w:type="dxa"/>
          </w:tcPr>
          <w:p w:rsidR="00B211AD" w:rsidRPr="007633A1" w:rsidRDefault="00B211AD" w:rsidP="00B211AD">
            <w:pPr>
              <w:autoSpaceDE w:val="0"/>
              <w:autoSpaceDN w:val="0"/>
              <w:adjustRightInd w:val="0"/>
              <w:spacing w:after="0" w:line="240" w:lineRule="auto"/>
              <w:jc w:val="both"/>
              <w:rPr>
                <w:rFonts w:ascii="Arial" w:eastAsia="Times New Roman" w:hAnsi="Arial" w:cs="Arial"/>
                <w:lang w:val="en-US"/>
              </w:rPr>
            </w:pPr>
            <w:r w:rsidRPr="007633A1">
              <w:rPr>
                <w:rFonts w:ascii="Arial" w:eastAsia="Times New Roman" w:hAnsi="Arial" w:cs="Arial"/>
                <w:lang w:val="en-US"/>
              </w:rPr>
              <w:t>2.797</w:t>
            </w:r>
          </w:p>
        </w:tc>
        <w:tc>
          <w:tcPr>
            <w:tcW w:w="1980" w:type="dxa"/>
          </w:tcPr>
          <w:p w:rsidR="00B211AD" w:rsidRPr="007633A1" w:rsidRDefault="00B211AD" w:rsidP="00B211AD">
            <w:pPr>
              <w:autoSpaceDE w:val="0"/>
              <w:autoSpaceDN w:val="0"/>
              <w:adjustRightInd w:val="0"/>
              <w:spacing w:after="0" w:line="240" w:lineRule="auto"/>
              <w:jc w:val="both"/>
              <w:rPr>
                <w:rFonts w:ascii="Arial" w:eastAsia="Times New Roman" w:hAnsi="Arial" w:cs="Arial"/>
                <w:lang w:val="en-US"/>
              </w:rPr>
            </w:pPr>
            <w:r w:rsidRPr="007633A1">
              <w:rPr>
                <w:rFonts w:ascii="Arial" w:eastAsia="Times New Roman" w:hAnsi="Arial" w:cs="Arial"/>
                <w:lang w:val="en-US"/>
              </w:rPr>
              <w:t>483</w:t>
            </w:r>
          </w:p>
        </w:tc>
        <w:tc>
          <w:tcPr>
            <w:tcW w:w="1620" w:type="dxa"/>
          </w:tcPr>
          <w:p w:rsidR="00B211AD" w:rsidRPr="007633A1" w:rsidRDefault="00B211AD" w:rsidP="00B211AD">
            <w:pPr>
              <w:autoSpaceDE w:val="0"/>
              <w:autoSpaceDN w:val="0"/>
              <w:adjustRightInd w:val="0"/>
              <w:spacing w:after="0" w:line="240" w:lineRule="auto"/>
              <w:jc w:val="both"/>
              <w:rPr>
                <w:rFonts w:ascii="Arial" w:eastAsia="Times New Roman" w:hAnsi="Arial" w:cs="Arial"/>
                <w:lang w:val="en-US"/>
              </w:rPr>
            </w:pPr>
            <w:r w:rsidRPr="007633A1">
              <w:rPr>
                <w:rFonts w:ascii="Arial" w:eastAsia="Times New Roman" w:hAnsi="Arial" w:cs="Arial"/>
                <w:lang w:val="en-US"/>
              </w:rPr>
              <w:t>3.280</w:t>
            </w:r>
          </w:p>
        </w:tc>
      </w:tr>
      <w:tr w:rsidR="00B211AD" w:rsidRPr="007633A1">
        <w:trPr>
          <w:jc w:val="center"/>
        </w:trPr>
        <w:tc>
          <w:tcPr>
            <w:tcW w:w="1188" w:type="dxa"/>
            <w:tcBorders>
              <w:left w:val="nil"/>
              <w:right w:val="nil"/>
            </w:tcBorders>
            <w:shd w:val="clear" w:color="auto" w:fill="C0C0C0"/>
          </w:tcPr>
          <w:p w:rsidR="00B211AD" w:rsidRPr="007633A1" w:rsidRDefault="00B211AD" w:rsidP="00B211AD">
            <w:pPr>
              <w:autoSpaceDE w:val="0"/>
              <w:autoSpaceDN w:val="0"/>
              <w:adjustRightInd w:val="0"/>
              <w:spacing w:after="0" w:line="240" w:lineRule="auto"/>
              <w:jc w:val="both"/>
              <w:rPr>
                <w:rFonts w:ascii="Arial" w:eastAsia="Times New Roman" w:hAnsi="Arial" w:cs="Arial"/>
                <w:b/>
                <w:bCs/>
                <w:lang w:val="en-US"/>
              </w:rPr>
            </w:pPr>
            <w:r w:rsidRPr="007633A1">
              <w:rPr>
                <w:rFonts w:ascii="Arial" w:eastAsia="Times New Roman" w:hAnsi="Arial" w:cs="Arial"/>
                <w:b/>
                <w:bCs/>
                <w:lang w:val="en-US"/>
              </w:rPr>
              <w:t>2009</w:t>
            </w:r>
          </w:p>
        </w:tc>
        <w:tc>
          <w:tcPr>
            <w:tcW w:w="1710" w:type="dxa"/>
            <w:tcBorders>
              <w:left w:val="nil"/>
              <w:right w:val="nil"/>
            </w:tcBorders>
            <w:shd w:val="clear" w:color="auto" w:fill="C0C0C0"/>
          </w:tcPr>
          <w:p w:rsidR="00B211AD" w:rsidRPr="007633A1" w:rsidRDefault="00B211AD" w:rsidP="00B211AD">
            <w:pPr>
              <w:autoSpaceDE w:val="0"/>
              <w:autoSpaceDN w:val="0"/>
              <w:adjustRightInd w:val="0"/>
              <w:spacing w:after="0" w:line="240" w:lineRule="auto"/>
              <w:jc w:val="both"/>
              <w:rPr>
                <w:rFonts w:ascii="Arial" w:eastAsia="Times New Roman" w:hAnsi="Arial" w:cs="Arial"/>
                <w:lang w:val="en-US"/>
              </w:rPr>
            </w:pPr>
            <w:r w:rsidRPr="007633A1">
              <w:rPr>
                <w:rFonts w:ascii="Arial" w:eastAsia="Times New Roman" w:hAnsi="Arial" w:cs="Arial"/>
                <w:lang w:val="en-US"/>
              </w:rPr>
              <w:t>3.200</w:t>
            </w:r>
          </w:p>
        </w:tc>
        <w:tc>
          <w:tcPr>
            <w:tcW w:w="1980" w:type="dxa"/>
            <w:tcBorders>
              <w:left w:val="nil"/>
              <w:right w:val="nil"/>
            </w:tcBorders>
            <w:shd w:val="clear" w:color="auto" w:fill="C0C0C0"/>
          </w:tcPr>
          <w:p w:rsidR="00B211AD" w:rsidRPr="007633A1" w:rsidRDefault="00B211AD" w:rsidP="00B211AD">
            <w:pPr>
              <w:autoSpaceDE w:val="0"/>
              <w:autoSpaceDN w:val="0"/>
              <w:adjustRightInd w:val="0"/>
              <w:spacing w:after="0" w:line="240" w:lineRule="auto"/>
              <w:jc w:val="both"/>
              <w:rPr>
                <w:rFonts w:ascii="Arial" w:eastAsia="Times New Roman" w:hAnsi="Arial" w:cs="Arial"/>
                <w:lang w:val="en-US"/>
              </w:rPr>
            </w:pPr>
            <w:r w:rsidRPr="007633A1">
              <w:rPr>
                <w:rFonts w:ascii="Arial" w:eastAsia="Times New Roman" w:hAnsi="Arial" w:cs="Arial"/>
                <w:lang w:val="en-US"/>
              </w:rPr>
              <w:t>1.013</w:t>
            </w:r>
          </w:p>
        </w:tc>
        <w:tc>
          <w:tcPr>
            <w:tcW w:w="1620" w:type="dxa"/>
            <w:tcBorders>
              <w:left w:val="nil"/>
              <w:right w:val="nil"/>
            </w:tcBorders>
            <w:shd w:val="clear" w:color="auto" w:fill="C0C0C0"/>
          </w:tcPr>
          <w:p w:rsidR="00B211AD" w:rsidRPr="007633A1" w:rsidRDefault="00B211AD" w:rsidP="00B211AD">
            <w:pPr>
              <w:autoSpaceDE w:val="0"/>
              <w:autoSpaceDN w:val="0"/>
              <w:adjustRightInd w:val="0"/>
              <w:spacing w:after="0" w:line="240" w:lineRule="auto"/>
              <w:jc w:val="both"/>
              <w:rPr>
                <w:rFonts w:ascii="Arial" w:eastAsia="Times New Roman" w:hAnsi="Arial" w:cs="Arial"/>
                <w:lang w:val="en-US"/>
              </w:rPr>
            </w:pPr>
            <w:r w:rsidRPr="007633A1">
              <w:rPr>
                <w:rFonts w:ascii="Arial" w:eastAsia="Times New Roman" w:hAnsi="Arial" w:cs="Arial"/>
                <w:lang w:val="en-US"/>
              </w:rPr>
              <w:t>4.213</w:t>
            </w:r>
          </w:p>
        </w:tc>
      </w:tr>
    </w:tbl>
    <w:p w:rsidR="00B211AD" w:rsidRPr="007633A1" w:rsidRDefault="00B211AD" w:rsidP="00B211AD">
      <w:pPr>
        <w:autoSpaceDE w:val="0"/>
        <w:autoSpaceDN w:val="0"/>
        <w:adjustRightInd w:val="0"/>
        <w:spacing w:after="0" w:line="240" w:lineRule="auto"/>
        <w:jc w:val="both"/>
        <w:rPr>
          <w:rFonts w:ascii="Arial" w:eastAsia="Times New Roman" w:hAnsi="Arial" w:cs="Arial"/>
          <w:lang w:val="en-US"/>
        </w:rPr>
      </w:pPr>
    </w:p>
    <w:p w:rsidR="00B211AD" w:rsidRPr="007633A1" w:rsidRDefault="00B211AD" w:rsidP="00B211AD">
      <w:pPr>
        <w:spacing w:after="0" w:line="240" w:lineRule="auto"/>
        <w:ind w:left="720" w:firstLine="720"/>
        <w:jc w:val="both"/>
        <w:rPr>
          <w:rFonts w:ascii="Arial" w:eastAsia="Times New Roman" w:hAnsi="Arial" w:cs="Arial"/>
          <w:sz w:val="18"/>
          <w:lang w:val="en-US"/>
        </w:rPr>
      </w:pPr>
      <w:r w:rsidRPr="007633A1">
        <w:rPr>
          <w:rFonts w:ascii="Arial" w:eastAsia="Times New Roman" w:hAnsi="Arial" w:cs="Arial"/>
          <w:sz w:val="18"/>
          <w:lang w:val="en-US"/>
        </w:rPr>
        <w:t xml:space="preserve">Source: </w:t>
      </w:r>
    </w:p>
    <w:p w:rsidR="00B211AD" w:rsidRPr="007633A1" w:rsidRDefault="00B211AD" w:rsidP="00B211AD">
      <w:pPr>
        <w:spacing w:after="0" w:line="240" w:lineRule="auto"/>
        <w:ind w:left="720" w:firstLine="720"/>
        <w:jc w:val="both"/>
        <w:rPr>
          <w:rFonts w:ascii="Arial" w:eastAsia="Times New Roman" w:hAnsi="Arial" w:cs="Arial"/>
          <w:sz w:val="18"/>
          <w:lang w:val="en-US"/>
        </w:rPr>
      </w:pPr>
      <w:r w:rsidRPr="007633A1">
        <w:rPr>
          <w:rFonts w:ascii="Arial" w:hAnsi="Arial" w:cs="Arial"/>
          <w:sz w:val="18"/>
          <w:lang w:val="en-US"/>
        </w:rPr>
        <w:t>Children Profile of 2011, Ministry of Women Empowerment and Child Protection, 2012</w:t>
      </w:r>
    </w:p>
    <w:p w:rsidR="00B211AD" w:rsidRPr="007633A1" w:rsidRDefault="00B211AD" w:rsidP="00B211AD">
      <w:pPr>
        <w:spacing w:after="0" w:line="240" w:lineRule="auto"/>
        <w:jc w:val="both"/>
        <w:rPr>
          <w:rFonts w:ascii="Arial" w:eastAsia="Times New Roman" w:hAnsi="Arial" w:cs="Arial"/>
          <w:lang w:val="en-US"/>
        </w:rPr>
      </w:pPr>
    </w:p>
    <w:p w:rsidR="00903063" w:rsidRPr="007633A1" w:rsidRDefault="00B211AD" w:rsidP="00F163F9">
      <w:pPr>
        <w:pStyle w:val="Listecouleur-Accent11"/>
        <w:numPr>
          <w:ilvl w:val="0"/>
          <w:numId w:val="13"/>
        </w:numPr>
        <w:spacing w:after="0" w:line="240" w:lineRule="auto"/>
        <w:ind w:left="567" w:hanging="567"/>
        <w:jc w:val="both"/>
        <w:rPr>
          <w:rFonts w:ascii="Arial" w:eastAsia="Times New Roman" w:hAnsi="Arial" w:cs="Arial"/>
          <w:lang w:val="en-US"/>
        </w:rPr>
      </w:pPr>
      <w:r w:rsidRPr="007633A1">
        <w:rPr>
          <w:rFonts w:ascii="Arial" w:eastAsia="Times New Roman" w:hAnsi="Arial" w:cs="Arial"/>
          <w:lang w:val="en-US"/>
        </w:rPr>
        <w:t xml:space="preserve">According to </w:t>
      </w:r>
      <w:r w:rsidR="003077B0" w:rsidRPr="007633A1">
        <w:rPr>
          <w:rFonts w:ascii="Arial" w:eastAsia="Times New Roman" w:hAnsi="Arial" w:cs="Arial"/>
          <w:lang w:val="en-US"/>
        </w:rPr>
        <w:t xml:space="preserve">Ms. </w:t>
      </w:r>
      <w:r w:rsidRPr="007633A1">
        <w:rPr>
          <w:rFonts w:ascii="Arial" w:eastAsia="Times New Roman" w:hAnsi="Arial" w:cs="Arial"/>
          <w:lang w:val="en-US"/>
        </w:rPr>
        <w:t>Harkristuti</w:t>
      </w:r>
      <w:r w:rsidR="008A63B2" w:rsidRPr="007633A1">
        <w:rPr>
          <w:rFonts w:ascii="Arial" w:eastAsia="Times New Roman" w:hAnsi="Arial" w:cs="Arial"/>
          <w:lang w:val="en-US"/>
        </w:rPr>
        <w:t xml:space="preserve"> </w:t>
      </w:r>
      <w:r w:rsidRPr="007633A1">
        <w:rPr>
          <w:rFonts w:ascii="Arial" w:eastAsia="Times New Roman" w:hAnsi="Arial" w:cs="Arial"/>
          <w:lang w:val="en-US"/>
        </w:rPr>
        <w:t>Harkrisnowo,</w:t>
      </w:r>
      <w:r w:rsidR="00814B47" w:rsidRPr="007633A1">
        <w:rPr>
          <w:rFonts w:ascii="Arial" w:eastAsia="Times New Roman" w:hAnsi="Arial" w:cs="Arial"/>
          <w:lang w:val="en-US"/>
        </w:rPr>
        <w:t xml:space="preserve"> General Director of Human Rights at the Ministry of Justice and Human Rights, </w:t>
      </w:r>
      <w:r w:rsidRPr="007633A1">
        <w:rPr>
          <w:rFonts w:ascii="Arial" w:eastAsia="Times New Roman" w:hAnsi="Arial" w:cs="Arial"/>
          <w:lang w:val="en-US"/>
        </w:rPr>
        <w:t xml:space="preserve">the majority of children in conflict with the law were deprived </w:t>
      </w:r>
      <w:r w:rsidR="00814B47" w:rsidRPr="007633A1">
        <w:rPr>
          <w:rFonts w:ascii="Arial" w:eastAsia="Times New Roman" w:hAnsi="Arial" w:cs="Arial"/>
          <w:lang w:val="en-US"/>
        </w:rPr>
        <w:t>of</w:t>
      </w:r>
      <w:r w:rsidR="009630C3">
        <w:rPr>
          <w:rFonts w:ascii="Arial" w:eastAsia="Times New Roman" w:hAnsi="Arial" w:cs="Arial"/>
          <w:lang w:val="en-US"/>
        </w:rPr>
        <w:t xml:space="preserve"> </w:t>
      </w:r>
      <w:r w:rsidRPr="007633A1">
        <w:rPr>
          <w:rFonts w:ascii="Arial" w:eastAsia="Times New Roman" w:hAnsi="Arial" w:cs="Arial"/>
          <w:lang w:val="en-US"/>
        </w:rPr>
        <w:t>liberty due to the absence of legal counsels.</w:t>
      </w:r>
      <w:r w:rsidRPr="007633A1">
        <w:rPr>
          <w:rStyle w:val="FootnoteReference"/>
          <w:rFonts w:ascii="Arial" w:eastAsia="Times New Roman" w:hAnsi="Arial" w:cs="Arial"/>
          <w:lang w:val="en-US"/>
        </w:rPr>
        <w:footnoteReference w:id="22"/>
      </w:r>
      <w:r w:rsidRPr="007633A1">
        <w:rPr>
          <w:rFonts w:ascii="Arial" w:eastAsia="Times New Roman" w:hAnsi="Arial" w:cs="Arial"/>
          <w:lang w:val="en-US"/>
        </w:rPr>
        <w:t xml:space="preserve"> A study conducted by LBH Jakarta in 2012 shows that during arrest, interrogation and detention, children experienced torture.</w:t>
      </w:r>
      <w:r w:rsidR="009630C3">
        <w:rPr>
          <w:rFonts w:ascii="Arial" w:eastAsia="Times New Roman" w:hAnsi="Arial" w:cs="Arial"/>
          <w:lang w:val="en-US"/>
        </w:rPr>
        <w:t xml:space="preserve"> </w:t>
      </w:r>
      <w:r w:rsidRPr="007633A1">
        <w:rPr>
          <w:rFonts w:ascii="Arial" w:hAnsi="Arial" w:cs="Arial"/>
        </w:rPr>
        <w:t>Torture against children during detention is possible</w:t>
      </w:r>
      <w:r w:rsidR="003077B0" w:rsidRPr="007633A1">
        <w:rPr>
          <w:rFonts w:ascii="Arial" w:hAnsi="Arial" w:cs="Arial"/>
        </w:rPr>
        <w:t xml:space="preserve"> notably</w:t>
      </w:r>
      <w:r w:rsidRPr="007633A1">
        <w:rPr>
          <w:rFonts w:ascii="Arial" w:hAnsi="Arial" w:cs="Arial"/>
        </w:rPr>
        <w:t xml:space="preserve"> due to the lenght of detention.</w:t>
      </w:r>
      <w:r w:rsidRPr="007633A1">
        <w:rPr>
          <w:rStyle w:val="FootnoteReference"/>
          <w:rFonts w:ascii="Arial" w:eastAsia="Times New Roman" w:hAnsi="Arial" w:cs="Arial"/>
          <w:lang w:val="en-US"/>
        </w:rPr>
        <w:footnoteReference w:id="23"/>
      </w:r>
    </w:p>
    <w:p w:rsidR="00903063" w:rsidRPr="007633A1" w:rsidRDefault="00903063" w:rsidP="004F20B0">
      <w:pPr>
        <w:pStyle w:val="Listecouleur-Accent11"/>
        <w:spacing w:after="0" w:line="240" w:lineRule="auto"/>
        <w:ind w:left="0"/>
        <w:jc w:val="both"/>
        <w:rPr>
          <w:rFonts w:ascii="Arial" w:eastAsia="Times New Roman" w:hAnsi="Arial" w:cs="Arial"/>
          <w:lang w:val="en-US"/>
        </w:rPr>
      </w:pPr>
    </w:p>
    <w:p w:rsidR="001912AB" w:rsidRPr="007633A1" w:rsidRDefault="002A7855" w:rsidP="002A7855">
      <w:pPr>
        <w:pStyle w:val="Listecouleur-Accent11"/>
        <w:spacing w:after="0" w:line="240" w:lineRule="auto"/>
        <w:ind w:left="567" w:hanging="567"/>
        <w:jc w:val="both"/>
        <w:rPr>
          <w:rFonts w:ascii="Arial" w:eastAsia="Times New Roman" w:hAnsi="Arial" w:cs="Arial"/>
          <w:lang w:val="en-US"/>
        </w:rPr>
      </w:pPr>
      <w:r w:rsidRPr="007633A1">
        <w:rPr>
          <w:rFonts w:ascii="Arial" w:eastAsia="Times New Roman" w:hAnsi="Arial" w:cs="Arial"/>
          <w:lang w:val="en-US"/>
        </w:rPr>
        <w:t xml:space="preserve">43.    </w:t>
      </w:r>
      <w:r w:rsidR="00DC4BFF" w:rsidRPr="007633A1">
        <w:rPr>
          <w:rFonts w:ascii="Arial" w:eastAsia="Times New Roman" w:hAnsi="Arial" w:cs="Arial"/>
          <w:lang w:val="en-US"/>
        </w:rPr>
        <w:t xml:space="preserve">The total detention duration during the investigation process for children </w:t>
      </w:r>
      <w:r w:rsidR="00BB34A6" w:rsidRPr="007633A1">
        <w:rPr>
          <w:rFonts w:ascii="Arial" w:eastAsia="Times New Roman" w:hAnsi="Arial" w:cs="Arial"/>
          <w:lang w:val="en-US"/>
        </w:rPr>
        <w:t xml:space="preserve">in </w:t>
      </w:r>
      <w:r w:rsidR="00DC4BFF" w:rsidRPr="007633A1">
        <w:rPr>
          <w:rFonts w:ascii="Arial" w:eastAsia="Times New Roman" w:hAnsi="Arial" w:cs="Arial"/>
          <w:lang w:val="en-US"/>
        </w:rPr>
        <w:t xml:space="preserve">conflict with law is </w:t>
      </w:r>
      <w:r w:rsidR="00BB34A6" w:rsidRPr="007633A1">
        <w:rPr>
          <w:rFonts w:ascii="Arial" w:eastAsia="Times New Roman" w:hAnsi="Arial" w:cs="Arial"/>
          <w:lang w:val="en-US"/>
        </w:rPr>
        <w:t xml:space="preserve">a </w:t>
      </w:r>
      <w:r w:rsidR="009630C3">
        <w:rPr>
          <w:rFonts w:ascii="Arial" w:eastAsia="Times New Roman" w:hAnsi="Arial" w:cs="Arial"/>
          <w:lang w:val="en-US"/>
        </w:rPr>
        <w:t xml:space="preserve">maximum of 200 days. </w:t>
      </w:r>
      <w:r w:rsidR="00DC4BFF" w:rsidRPr="007633A1">
        <w:rPr>
          <w:rFonts w:ascii="Arial" w:eastAsia="Times New Roman" w:hAnsi="Arial" w:cs="Arial"/>
          <w:lang w:val="en-US"/>
        </w:rPr>
        <w:t>The said duration is deemed too long for the children.</w:t>
      </w:r>
    </w:p>
    <w:p w:rsidR="002A7855" w:rsidRPr="007633A1" w:rsidRDefault="002A7855" w:rsidP="008F6D3D">
      <w:pPr>
        <w:pStyle w:val="Listecouleur-Accent11"/>
        <w:spacing w:after="0" w:line="240" w:lineRule="auto"/>
        <w:ind w:left="360"/>
        <w:jc w:val="both"/>
        <w:rPr>
          <w:rFonts w:ascii="Arial" w:eastAsia="Times New Roman" w:hAnsi="Arial" w:cs="Arial"/>
          <w:lang w:val="en-US"/>
        </w:rPr>
      </w:pPr>
    </w:p>
    <w:p w:rsidR="001912AB" w:rsidRPr="007633A1" w:rsidRDefault="002A7855" w:rsidP="008F6D3D">
      <w:pPr>
        <w:pStyle w:val="Listecouleur-Accent11"/>
        <w:spacing w:after="0" w:line="240" w:lineRule="auto"/>
        <w:ind w:left="567" w:hanging="567"/>
        <w:jc w:val="both"/>
        <w:rPr>
          <w:rFonts w:ascii="Arial" w:eastAsia="Times New Roman" w:hAnsi="Arial" w:cs="Arial"/>
          <w:lang w:val="en-US"/>
        </w:rPr>
      </w:pPr>
      <w:r w:rsidRPr="007633A1">
        <w:rPr>
          <w:rFonts w:ascii="Arial" w:eastAsia="Times New Roman" w:hAnsi="Arial" w:cs="Arial"/>
          <w:lang w:val="en-US"/>
        </w:rPr>
        <w:t xml:space="preserve">44. </w:t>
      </w:r>
      <w:r w:rsidR="00DC4BFF" w:rsidRPr="007633A1">
        <w:rPr>
          <w:rFonts w:ascii="Arial" w:eastAsia="Times New Roman" w:hAnsi="Arial" w:cs="Arial"/>
          <w:lang w:val="en-US"/>
        </w:rPr>
        <w:t>Recently, Indonesia has</w:t>
      </w:r>
      <w:r w:rsidR="008A63B2" w:rsidRPr="007633A1">
        <w:rPr>
          <w:rFonts w:ascii="Arial" w:eastAsia="Times New Roman" w:hAnsi="Arial" w:cs="Arial"/>
          <w:lang w:val="en-US"/>
        </w:rPr>
        <w:t xml:space="preserve"> </w:t>
      </w:r>
      <w:r w:rsidR="00BB34A6" w:rsidRPr="007633A1">
        <w:rPr>
          <w:rFonts w:ascii="Arial" w:eastAsia="Times New Roman" w:hAnsi="Arial" w:cs="Arial"/>
          <w:lang w:val="en-US"/>
        </w:rPr>
        <w:t>adopted</w:t>
      </w:r>
      <w:r w:rsidR="00DC4BFF" w:rsidRPr="007633A1">
        <w:rPr>
          <w:rFonts w:ascii="Arial" w:eastAsia="Times New Roman" w:hAnsi="Arial" w:cs="Arial"/>
          <w:lang w:val="en-US"/>
        </w:rPr>
        <w:t xml:space="preserve"> Law No 11</w:t>
      </w:r>
      <w:r w:rsidR="00256685" w:rsidRPr="007633A1">
        <w:rPr>
          <w:rFonts w:ascii="Arial" w:eastAsia="Times New Roman" w:hAnsi="Arial" w:cs="Arial"/>
          <w:lang w:val="en-US"/>
        </w:rPr>
        <w:t xml:space="preserve">/ </w:t>
      </w:r>
      <w:r w:rsidR="00DC4BFF" w:rsidRPr="007633A1">
        <w:rPr>
          <w:rFonts w:ascii="Arial" w:eastAsia="Times New Roman" w:hAnsi="Arial" w:cs="Arial"/>
          <w:lang w:val="en-US"/>
        </w:rPr>
        <w:t>2012 on the Children Justice System</w:t>
      </w:r>
      <w:r w:rsidR="00EE13C0" w:rsidRPr="007633A1">
        <w:rPr>
          <w:rFonts w:ascii="Arial" w:eastAsia="Times New Roman" w:hAnsi="Arial" w:cs="Arial"/>
          <w:lang w:val="en-US"/>
        </w:rPr>
        <w:t xml:space="preserve"> replacing Law No 3</w:t>
      </w:r>
      <w:r w:rsidR="00D84562" w:rsidRPr="007633A1">
        <w:rPr>
          <w:rFonts w:ascii="Arial" w:eastAsia="Times New Roman" w:hAnsi="Arial" w:cs="Arial"/>
          <w:lang w:val="en-US"/>
        </w:rPr>
        <w:t>/</w:t>
      </w:r>
      <w:r w:rsidR="00EE13C0" w:rsidRPr="007633A1">
        <w:rPr>
          <w:rFonts w:ascii="Arial" w:eastAsia="Times New Roman" w:hAnsi="Arial" w:cs="Arial"/>
          <w:lang w:val="en-US"/>
        </w:rPr>
        <w:t xml:space="preserve">1997. There are three issues considered as a progress </w:t>
      </w:r>
      <w:r w:rsidR="00BB34A6" w:rsidRPr="007633A1">
        <w:rPr>
          <w:rFonts w:ascii="Arial" w:eastAsia="Times New Roman" w:hAnsi="Arial" w:cs="Arial"/>
          <w:lang w:val="en-US"/>
        </w:rPr>
        <w:t xml:space="preserve">in </w:t>
      </w:r>
      <w:r w:rsidR="00EE13C0" w:rsidRPr="007633A1">
        <w:rPr>
          <w:rFonts w:ascii="Arial" w:eastAsia="Times New Roman" w:hAnsi="Arial" w:cs="Arial"/>
          <w:lang w:val="en-US"/>
        </w:rPr>
        <w:t>Law No 11</w:t>
      </w:r>
      <w:r w:rsidR="00D84562" w:rsidRPr="007633A1">
        <w:rPr>
          <w:rFonts w:ascii="Arial" w:eastAsia="Times New Roman" w:hAnsi="Arial" w:cs="Arial"/>
          <w:lang w:val="en-US"/>
        </w:rPr>
        <w:t xml:space="preserve">/ </w:t>
      </w:r>
      <w:r w:rsidR="00EE13C0" w:rsidRPr="007633A1">
        <w:rPr>
          <w:rFonts w:ascii="Arial" w:eastAsia="Times New Roman" w:hAnsi="Arial" w:cs="Arial"/>
          <w:lang w:val="en-US"/>
        </w:rPr>
        <w:t>2012, which is</w:t>
      </w:r>
      <w:r w:rsidR="001B40BB" w:rsidRPr="007633A1">
        <w:rPr>
          <w:rFonts w:ascii="Arial" w:eastAsia="Times New Roman" w:hAnsi="Arial" w:cs="Arial"/>
          <w:lang w:val="en-US"/>
        </w:rPr>
        <w:t xml:space="preserve"> 1) </w:t>
      </w:r>
      <w:r w:rsidR="000B6AC6" w:rsidRPr="007633A1">
        <w:rPr>
          <w:rFonts w:ascii="Arial" w:eastAsia="Times New Roman" w:hAnsi="Arial" w:cs="Arial"/>
          <w:lang w:val="en-US"/>
        </w:rPr>
        <w:t>the age of criminal responsibility which has been increased to</w:t>
      </w:r>
      <w:r w:rsidR="001B40BB" w:rsidRPr="007633A1">
        <w:rPr>
          <w:rFonts w:ascii="Arial" w:eastAsia="Times New Roman" w:hAnsi="Arial" w:cs="Arial"/>
          <w:lang w:val="en-US"/>
        </w:rPr>
        <w:t xml:space="preserve"> 14</w:t>
      </w:r>
      <w:r w:rsidR="000B6AC6" w:rsidRPr="007633A1">
        <w:rPr>
          <w:rFonts w:ascii="Arial" w:eastAsia="Times New Roman" w:hAnsi="Arial" w:cs="Arial"/>
          <w:lang w:val="en-US"/>
        </w:rPr>
        <w:t xml:space="preserve"> years old</w:t>
      </w:r>
      <w:r w:rsidR="001B40BB" w:rsidRPr="007633A1">
        <w:rPr>
          <w:rFonts w:ascii="Arial" w:eastAsia="Times New Roman" w:hAnsi="Arial" w:cs="Arial"/>
          <w:lang w:val="en-US"/>
        </w:rPr>
        <w:t xml:space="preserve">, while the previous law specifies that the age limit of children to be incriminated is 8 years old, 2) it introduces </w:t>
      </w:r>
      <w:r w:rsidR="00E22614" w:rsidRPr="007633A1">
        <w:rPr>
          <w:rFonts w:ascii="Arial" w:eastAsia="Times New Roman" w:hAnsi="Arial" w:cs="Arial"/>
          <w:lang w:val="en-US"/>
        </w:rPr>
        <w:t>“</w:t>
      </w:r>
      <w:r w:rsidR="001B40BB" w:rsidRPr="007633A1">
        <w:rPr>
          <w:rFonts w:ascii="Arial" w:eastAsia="Times New Roman" w:hAnsi="Arial" w:cs="Arial"/>
          <w:lang w:val="en-US"/>
        </w:rPr>
        <w:t>diversion</w:t>
      </w:r>
      <w:r w:rsidR="00E22614" w:rsidRPr="007633A1">
        <w:rPr>
          <w:rFonts w:ascii="Arial" w:eastAsia="Times New Roman" w:hAnsi="Arial" w:cs="Arial"/>
          <w:lang w:val="en-US"/>
        </w:rPr>
        <w:t>”</w:t>
      </w:r>
      <w:r w:rsidR="001B40BB" w:rsidRPr="007633A1">
        <w:rPr>
          <w:rFonts w:ascii="Arial" w:eastAsia="Times New Roman" w:hAnsi="Arial" w:cs="Arial"/>
          <w:lang w:val="en-US"/>
        </w:rPr>
        <w:t xml:space="preserve"> which means the case settlement </w:t>
      </w:r>
      <w:r w:rsidR="00190107" w:rsidRPr="007633A1">
        <w:rPr>
          <w:rFonts w:ascii="Arial" w:eastAsia="Times New Roman" w:hAnsi="Arial" w:cs="Arial"/>
          <w:lang w:val="en-US"/>
        </w:rPr>
        <w:t xml:space="preserve">outside </w:t>
      </w:r>
      <w:r w:rsidR="001B40BB" w:rsidRPr="007633A1">
        <w:rPr>
          <w:rFonts w:ascii="Arial" w:eastAsia="Times New Roman" w:hAnsi="Arial" w:cs="Arial"/>
          <w:lang w:val="en-US"/>
        </w:rPr>
        <w:t>criminal court, 3) it regulates the re</w:t>
      </w:r>
      <w:r w:rsidR="000A0314" w:rsidRPr="007633A1">
        <w:rPr>
          <w:rFonts w:ascii="Arial" w:eastAsia="Times New Roman" w:hAnsi="Arial" w:cs="Arial"/>
          <w:lang w:val="en-US"/>
        </w:rPr>
        <w:t>s</w:t>
      </w:r>
      <w:r w:rsidR="001B40BB" w:rsidRPr="007633A1">
        <w:rPr>
          <w:rFonts w:ascii="Arial" w:eastAsia="Times New Roman" w:hAnsi="Arial" w:cs="Arial"/>
          <w:lang w:val="en-US"/>
        </w:rPr>
        <w:t>torative justice.</w:t>
      </w:r>
      <w:r w:rsidR="00D9229F" w:rsidRPr="007633A1">
        <w:rPr>
          <w:rFonts w:ascii="Arial" w:eastAsia="Times New Roman" w:hAnsi="Arial" w:cs="Arial"/>
          <w:lang w:val="en-US"/>
        </w:rPr>
        <w:t xml:space="preserve"> </w:t>
      </w:r>
      <w:r w:rsidR="001B40BB" w:rsidRPr="007633A1">
        <w:rPr>
          <w:rFonts w:ascii="Arial" w:eastAsia="Times New Roman" w:hAnsi="Arial" w:cs="Arial"/>
          <w:lang w:val="en-US"/>
        </w:rPr>
        <w:t xml:space="preserve">However, the </w:t>
      </w:r>
      <w:r w:rsidR="008A1491" w:rsidRPr="007633A1">
        <w:rPr>
          <w:rFonts w:ascii="Arial" w:eastAsia="Times New Roman" w:hAnsi="Arial" w:cs="Arial"/>
          <w:lang w:val="en-US"/>
        </w:rPr>
        <w:t xml:space="preserve">implementation </w:t>
      </w:r>
      <w:r w:rsidR="001B40BB" w:rsidRPr="007633A1">
        <w:rPr>
          <w:rFonts w:ascii="Arial" w:eastAsia="Times New Roman" w:hAnsi="Arial" w:cs="Arial"/>
          <w:lang w:val="en-US"/>
        </w:rPr>
        <w:t>of Law No 11</w:t>
      </w:r>
      <w:r w:rsidR="00D84562" w:rsidRPr="007633A1">
        <w:rPr>
          <w:rFonts w:ascii="Arial" w:eastAsia="Times New Roman" w:hAnsi="Arial" w:cs="Arial"/>
          <w:lang w:val="en-US"/>
        </w:rPr>
        <w:t>/</w:t>
      </w:r>
      <w:r w:rsidR="001B40BB" w:rsidRPr="007633A1">
        <w:rPr>
          <w:rFonts w:ascii="Arial" w:eastAsia="Times New Roman" w:hAnsi="Arial" w:cs="Arial"/>
          <w:lang w:val="en-US"/>
        </w:rPr>
        <w:t xml:space="preserve"> 2012 is still </w:t>
      </w:r>
      <w:r w:rsidR="000B6AC6" w:rsidRPr="007633A1">
        <w:rPr>
          <w:rFonts w:ascii="Arial" w:eastAsia="Times New Roman" w:hAnsi="Arial" w:cs="Arial"/>
          <w:lang w:val="en-US"/>
        </w:rPr>
        <w:t>at the</w:t>
      </w:r>
      <w:r w:rsidR="001B40BB" w:rsidRPr="007633A1">
        <w:rPr>
          <w:rFonts w:ascii="Arial" w:eastAsia="Times New Roman" w:hAnsi="Arial" w:cs="Arial"/>
          <w:lang w:val="en-US"/>
        </w:rPr>
        <w:t xml:space="preserve"> personal initiative of law enforcement officer, and has yet </w:t>
      </w:r>
      <w:r w:rsidR="000B6AC6" w:rsidRPr="007633A1">
        <w:rPr>
          <w:rFonts w:ascii="Arial" w:eastAsia="Times New Roman" w:hAnsi="Arial" w:cs="Arial"/>
          <w:lang w:val="en-US"/>
        </w:rPr>
        <w:t xml:space="preserve">to </w:t>
      </w:r>
      <w:r w:rsidR="001B40BB" w:rsidRPr="007633A1">
        <w:rPr>
          <w:rFonts w:ascii="Arial" w:eastAsia="Times New Roman" w:hAnsi="Arial" w:cs="Arial"/>
          <w:lang w:val="en-US"/>
        </w:rPr>
        <w:t xml:space="preserve">be fully </w:t>
      </w:r>
      <w:r w:rsidR="00190107" w:rsidRPr="007633A1">
        <w:rPr>
          <w:rFonts w:ascii="Arial" w:eastAsia="Times New Roman" w:hAnsi="Arial" w:cs="Arial"/>
          <w:lang w:val="en-US"/>
        </w:rPr>
        <w:t>implemented</w:t>
      </w:r>
      <w:r w:rsidR="001B40BB" w:rsidRPr="007633A1">
        <w:rPr>
          <w:rFonts w:ascii="Arial" w:eastAsia="Times New Roman" w:hAnsi="Arial" w:cs="Arial"/>
          <w:lang w:val="en-US"/>
        </w:rPr>
        <w:t xml:space="preserve">. Until today, the government regulation of the said Law is still in the process of discussion </w:t>
      </w:r>
      <w:r w:rsidR="000B6AC6" w:rsidRPr="007633A1">
        <w:rPr>
          <w:rFonts w:ascii="Arial" w:eastAsia="Times New Roman" w:hAnsi="Arial" w:cs="Arial"/>
          <w:lang w:val="en-US"/>
        </w:rPr>
        <w:t>at</w:t>
      </w:r>
      <w:r w:rsidR="001B40BB" w:rsidRPr="007633A1">
        <w:rPr>
          <w:rFonts w:ascii="Arial" w:eastAsia="Times New Roman" w:hAnsi="Arial" w:cs="Arial"/>
          <w:lang w:val="en-US"/>
        </w:rPr>
        <w:t xml:space="preserve"> the Ministry of Law and Human Rights. Therefore, the applied regulation </w:t>
      </w:r>
      <w:r w:rsidR="000B6AC6" w:rsidRPr="007633A1">
        <w:rPr>
          <w:rFonts w:ascii="Arial" w:eastAsia="Times New Roman" w:hAnsi="Arial" w:cs="Arial"/>
          <w:lang w:val="en-US"/>
        </w:rPr>
        <w:t xml:space="preserve">remains </w:t>
      </w:r>
      <w:r w:rsidR="00A43F6B" w:rsidRPr="007633A1">
        <w:rPr>
          <w:rFonts w:ascii="Arial" w:eastAsia="Times New Roman" w:hAnsi="Arial" w:cs="Arial"/>
          <w:lang w:val="en-US"/>
        </w:rPr>
        <w:t>Law No 3</w:t>
      </w:r>
      <w:r w:rsidR="009630C3">
        <w:rPr>
          <w:rFonts w:ascii="Arial" w:eastAsia="Times New Roman" w:hAnsi="Arial" w:cs="Arial"/>
          <w:lang w:val="en-US"/>
        </w:rPr>
        <w:t>/</w:t>
      </w:r>
      <w:r w:rsidR="00A43F6B" w:rsidRPr="007633A1">
        <w:rPr>
          <w:rFonts w:ascii="Arial" w:eastAsia="Times New Roman" w:hAnsi="Arial" w:cs="Arial"/>
          <w:lang w:val="en-US"/>
        </w:rPr>
        <w:t>1997.</w:t>
      </w:r>
    </w:p>
    <w:p w:rsidR="006E2B3D" w:rsidRPr="007633A1" w:rsidRDefault="006E2B3D" w:rsidP="004F20B0">
      <w:pPr>
        <w:pStyle w:val="Listecouleur-Accent11"/>
        <w:spacing w:after="0" w:line="240" w:lineRule="auto"/>
        <w:ind w:left="567" w:hanging="567"/>
        <w:jc w:val="both"/>
        <w:rPr>
          <w:rFonts w:ascii="Arial" w:eastAsia="Times New Roman" w:hAnsi="Arial" w:cs="Arial"/>
          <w:lang w:val="en-US"/>
        </w:rPr>
      </w:pPr>
    </w:p>
    <w:p w:rsidR="00B211AD" w:rsidRPr="007633A1" w:rsidRDefault="00B211AD" w:rsidP="00B211AD">
      <w:pPr>
        <w:spacing w:after="0" w:line="240" w:lineRule="auto"/>
        <w:jc w:val="both"/>
        <w:rPr>
          <w:rFonts w:ascii="Arial" w:eastAsia="Times New Roman" w:hAnsi="Arial" w:cs="Arial"/>
          <w:lang w:val="en-US"/>
        </w:rPr>
      </w:pPr>
    </w:p>
    <w:p w:rsidR="00B211AD" w:rsidRPr="007633A1" w:rsidRDefault="00B211AD" w:rsidP="00F163F9">
      <w:pPr>
        <w:pStyle w:val="Listecouleur-Accent11"/>
        <w:numPr>
          <w:ilvl w:val="0"/>
          <w:numId w:val="14"/>
        </w:numPr>
        <w:spacing w:after="0" w:line="240" w:lineRule="auto"/>
        <w:ind w:left="567" w:hanging="567"/>
        <w:jc w:val="both"/>
        <w:rPr>
          <w:rFonts w:ascii="Arial" w:eastAsia="Times New Roman" w:hAnsi="Arial" w:cs="Arial"/>
          <w:lang w:val="en-US"/>
        </w:rPr>
      </w:pPr>
      <w:r w:rsidRPr="007633A1">
        <w:rPr>
          <w:rFonts w:ascii="Arial" w:eastAsia="Times New Roman" w:hAnsi="Arial" w:cs="Arial"/>
          <w:lang w:val="en-US"/>
        </w:rPr>
        <w:t>As a consequence of this situation, the number of child</w:t>
      </w:r>
      <w:r w:rsidR="009630C3">
        <w:rPr>
          <w:rFonts w:ascii="Arial" w:eastAsia="Times New Roman" w:hAnsi="Arial" w:cs="Arial"/>
          <w:lang w:val="en-US"/>
        </w:rPr>
        <w:t>ren</w:t>
      </w:r>
      <w:r w:rsidRPr="007633A1">
        <w:rPr>
          <w:rFonts w:ascii="Arial" w:eastAsia="Times New Roman" w:hAnsi="Arial" w:cs="Arial"/>
          <w:lang w:val="en-US"/>
        </w:rPr>
        <w:t xml:space="preserve"> </w:t>
      </w:r>
      <w:r w:rsidR="00D801CA" w:rsidRPr="007633A1">
        <w:rPr>
          <w:rFonts w:ascii="Arial" w:eastAsia="Times New Roman" w:hAnsi="Arial" w:cs="Arial"/>
          <w:lang w:val="en-US"/>
        </w:rPr>
        <w:t>detainees and convicts</w:t>
      </w:r>
      <w:r w:rsidR="009630C3">
        <w:rPr>
          <w:rFonts w:ascii="Arial" w:eastAsia="Times New Roman" w:hAnsi="Arial" w:cs="Arial"/>
          <w:lang w:val="en-US"/>
        </w:rPr>
        <w:t xml:space="preserve"> </w:t>
      </w:r>
      <w:r w:rsidRPr="007633A1">
        <w:rPr>
          <w:rFonts w:ascii="Arial" w:eastAsia="Times New Roman" w:hAnsi="Arial" w:cs="Arial"/>
          <w:lang w:val="en-US"/>
        </w:rPr>
        <w:t>will keep growing high as shown in the data from the Directorate General of Correction</w:t>
      </w:r>
      <w:r w:rsidR="001F710C" w:rsidRPr="007633A1">
        <w:rPr>
          <w:rFonts w:ascii="Arial" w:eastAsia="Times New Roman" w:hAnsi="Arial" w:cs="Arial"/>
          <w:lang w:val="en-US"/>
        </w:rPr>
        <w:t>s</w:t>
      </w:r>
      <w:r w:rsidRPr="007633A1">
        <w:rPr>
          <w:rFonts w:ascii="Arial" w:eastAsia="Times New Roman" w:hAnsi="Arial" w:cs="Arial"/>
          <w:lang w:val="en-US"/>
        </w:rPr>
        <w:t xml:space="preserve"> of 2011 below.</w:t>
      </w:r>
    </w:p>
    <w:p w:rsidR="00B211AD" w:rsidRPr="007633A1" w:rsidRDefault="00B211AD" w:rsidP="00B211AD">
      <w:pPr>
        <w:spacing w:after="0" w:line="240" w:lineRule="auto"/>
        <w:jc w:val="both"/>
        <w:rPr>
          <w:rFonts w:ascii="Arial" w:hAnsi="Arial" w:cs="Arial"/>
          <w:lang w:val="en-US"/>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1449"/>
        <w:gridCol w:w="1313"/>
        <w:gridCol w:w="1274"/>
        <w:gridCol w:w="1834"/>
      </w:tblGrid>
      <w:tr w:rsidR="00B211AD" w:rsidRPr="007633A1">
        <w:trPr>
          <w:jc w:val="center"/>
        </w:trPr>
        <w:tc>
          <w:tcPr>
            <w:tcW w:w="1449" w:type="dxa"/>
            <w:tcBorders>
              <w:top w:val="single" w:sz="8" w:space="0" w:color="000000"/>
              <w:left w:val="nil"/>
              <w:bottom w:val="single" w:sz="8" w:space="0" w:color="000000"/>
              <w:right w:val="nil"/>
            </w:tcBorders>
          </w:tcPr>
          <w:p w:rsidR="00B211AD" w:rsidRPr="007633A1" w:rsidRDefault="00B211AD" w:rsidP="00B211AD">
            <w:pPr>
              <w:spacing w:after="0" w:line="240" w:lineRule="auto"/>
              <w:jc w:val="both"/>
              <w:rPr>
                <w:rFonts w:ascii="Arial" w:eastAsia="Times New Roman" w:hAnsi="Arial" w:cs="Arial"/>
                <w:b/>
                <w:bCs/>
                <w:lang w:val="en-US"/>
              </w:rPr>
            </w:pPr>
            <w:r w:rsidRPr="007633A1">
              <w:rPr>
                <w:rFonts w:ascii="Arial" w:eastAsia="Times New Roman" w:hAnsi="Arial" w:cs="Arial"/>
                <w:b/>
                <w:bCs/>
                <w:lang w:val="en-US"/>
              </w:rPr>
              <w:t>Status</w:t>
            </w:r>
          </w:p>
        </w:tc>
        <w:tc>
          <w:tcPr>
            <w:tcW w:w="1313" w:type="dxa"/>
            <w:tcBorders>
              <w:top w:val="single" w:sz="8" w:space="0" w:color="000000"/>
              <w:left w:val="nil"/>
              <w:bottom w:val="single" w:sz="8" w:space="0" w:color="000000"/>
              <w:right w:val="nil"/>
            </w:tcBorders>
          </w:tcPr>
          <w:p w:rsidR="00B211AD" w:rsidRPr="007633A1" w:rsidRDefault="00B211AD" w:rsidP="00B211AD">
            <w:pPr>
              <w:spacing w:after="0" w:line="240" w:lineRule="auto"/>
              <w:jc w:val="both"/>
              <w:rPr>
                <w:rFonts w:ascii="Arial" w:eastAsia="Times New Roman" w:hAnsi="Arial" w:cs="Arial"/>
                <w:b/>
                <w:bCs/>
                <w:lang w:val="en-US"/>
              </w:rPr>
            </w:pPr>
            <w:r w:rsidRPr="007633A1">
              <w:rPr>
                <w:rFonts w:ascii="Arial" w:eastAsia="Times New Roman" w:hAnsi="Arial" w:cs="Arial"/>
                <w:b/>
                <w:bCs/>
                <w:lang w:val="en-US"/>
              </w:rPr>
              <w:t>Boy</w:t>
            </w:r>
          </w:p>
        </w:tc>
        <w:tc>
          <w:tcPr>
            <w:tcW w:w="1274" w:type="dxa"/>
            <w:tcBorders>
              <w:top w:val="single" w:sz="8" w:space="0" w:color="000000"/>
              <w:left w:val="nil"/>
              <w:bottom w:val="single" w:sz="8" w:space="0" w:color="000000"/>
              <w:right w:val="nil"/>
            </w:tcBorders>
          </w:tcPr>
          <w:p w:rsidR="00B211AD" w:rsidRPr="007633A1" w:rsidRDefault="00B211AD" w:rsidP="00B211AD">
            <w:pPr>
              <w:spacing w:after="0" w:line="240" w:lineRule="auto"/>
              <w:jc w:val="both"/>
              <w:rPr>
                <w:rFonts w:ascii="Arial" w:eastAsia="Times New Roman" w:hAnsi="Arial" w:cs="Arial"/>
                <w:b/>
                <w:bCs/>
                <w:lang w:val="en-US"/>
              </w:rPr>
            </w:pPr>
            <w:r w:rsidRPr="007633A1">
              <w:rPr>
                <w:rFonts w:ascii="Arial" w:eastAsia="Times New Roman" w:hAnsi="Arial" w:cs="Arial"/>
                <w:b/>
                <w:bCs/>
                <w:lang w:val="en-US"/>
              </w:rPr>
              <w:t>Girl</w:t>
            </w:r>
          </w:p>
        </w:tc>
        <w:tc>
          <w:tcPr>
            <w:tcW w:w="1834" w:type="dxa"/>
            <w:tcBorders>
              <w:top w:val="single" w:sz="8" w:space="0" w:color="000000"/>
              <w:left w:val="nil"/>
              <w:bottom w:val="single" w:sz="8" w:space="0" w:color="000000"/>
              <w:right w:val="nil"/>
            </w:tcBorders>
          </w:tcPr>
          <w:p w:rsidR="00B211AD" w:rsidRPr="007633A1" w:rsidRDefault="00B211AD" w:rsidP="00B211AD">
            <w:pPr>
              <w:spacing w:after="0" w:line="240" w:lineRule="auto"/>
              <w:jc w:val="both"/>
              <w:rPr>
                <w:rFonts w:ascii="Arial" w:eastAsia="Times New Roman" w:hAnsi="Arial" w:cs="Arial"/>
                <w:b/>
                <w:bCs/>
                <w:lang w:val="en-US"/>
              </w:rPr>
            </w:pPr>
            <w:r w:rsidRPr="007633A1">
              <w:rPr>
                <w:rFonts w:ascii="Arial" w:eastAsia="Times New Roman" w:hAnsi="Arial" w:cs="Arial"/>
                <w:b/>
                <w:bCs/>
                <w:lang w:val="en-US"/>
              </w:rPr>
              <w:t>Total</w:t>
            </w:r>
          </w:p>
        </w:tc>
      </w:tr>
      <w:tr w:rsidR="00B211AD" w:rsidRPr="007633A1">
        <w:trPr>
          <w:jc w:val="center"/>
        </w:trPr>
        <w:tc>
          <w:tcPr>
            <w:tcW w:w="1449" w:type="dxa"/>
            <w:tcBorders>
              <w:left w:val="nil"/>
              <w:right w:val="nil"/>
            </w:tcBorders>
            <w:shd w:val="clear" w:color="auto" w:fill="C0C0C0"/>
          </w:tcPr>
          <w:p w:rsidR="00B211AD" w:rsidRPr="007633A1" w:rsidRDefault="00466CB4" w:rsidP="00B211AD">
            <w:pPr>
              <w:spacing w:after="0" w:line="240" w:lineRule="auto"/>
              <w:jc w:val="both"/>
              <w:rPr>
                <w:rFonts w:ascii="Arial" w:eastAsia="Times New Roman" w:hAnsi="Arial" w:cs="Arial"/>
                <w:b/>
                <w:bCs/>
                <w:lang w:val="en-US"/>
              </w:rPr>
            </w:pPr>
            <w:r w:rsidRPr="007633A1">
              <w:rPr>
                <w:rFonts w:ascii="Arial" w:eastAsia="Times New Roman" w:hAnsi="Arial" w:cs="Arial"/>
                <w:b/>
                <w:bCs/>
                <w:lang w:val="en-US"/>
              </w:rPr>
              <w:t xml:space="preserve">Prisoners </w:t>
            </w:r>
          </w:p>
        </w:tc>
        <w:tc>
          <w:tcPr>
            <w:tcW w:w="1313" w:type="dxa"/>
            <w:tcBorders>
              <w:left w:val="nil"/>
              <w:right w:val="nil"/>
            </w:tcBorders>
            <w:shd w:val="clear" w:color="auto" w:fill="C0C0C0"/>
          </w:tcPr>
          <w:p w:rsidR="00B211AD" w:rsidRPr="007633A1" w:rsidRDefault="00B211AD" w:rsidP="00B211AD">
            <w:pPr>
              <w:spacing w:after="0" w:line="240" w:lineRule="auto"/>
              <w:jc w:val="both"/>
              <w:rPr>
                <w:rFonts w:ascii="Arial" w:eastAsia="Times New Roman" w:hAnsi="Arial" w:cs="Arial"/>
                <w:lang w:val="en-US"/>
              </w:rPr>
            </w:pPr>
            <w:r w:rsidRPr="007633A1">
              <w:rPr>
                <w:rFonts w:ascii="Arial" w:hAnsi="Arial" w:cs="Arial"/>
                <w:lang w:val="en-US"/>
              </w:rPr>
              <w:t>3.038</w:t>
            </w:r>
          </w:p>
        </w:tc>
        <w:tc>
          <w:tcPr>
            <w:tcW w:w="1274" w:type="dxa"/>
            <w:tcBorders>
              <w:left w:val="nil"/>
              <w:right w:val="nil"/>
            </w:tcBorders>
            <w:shd w:val="clear" w:color="auto" w:fill="C0C0C0"/>
          </w:tcPr>
          <w:p w:rsidR="00B211AD" w:rsidRPr="007633A1" w:rsidRDefault="00B211AD" w:rsidP="00B211AD">
            <w:pPr>
              <w:spacing w:after="0" w:line="240" w:lineRule="auto"/>
              <w:jc w:val="both"/>
              <w:rPr>
                <w:rFonts w:ascii="Arial" w:eastAsia="Times New Roman" w:hAnsi="Arial" w:cs="Arial"/>
                <w:lang w:val="en-US"/>
              </w:rPr>
            </w:pPr>
            <w:r w:rsidRPr="007633A1">
              <w:rPr>
                <w:rFonts w:ascii="Arial" w:hAnsi="Arial" w:cs="Arial"/>
                <w:lang w:val="en-US"/>
              </w:rPr>
              <w:t>274</w:t>
            </w:r>
          </w:p>
        </w:tc>
        <w:tc>
          <w:tcPr>
            <w:tcW w:w="1834" w:type="dxa"/>
            <w:tcBorders>
              <w:left w:val="nil"/>
              <w:right w:val="nil"/>
            </w:tcBorders>
            <w:shd w:val="clear" w:color="auto" w:fill="C0C0C0"/>
          </w:tcPr>
          <w:p w:rsidR="00B211AD" w:rsidRPr="007633A1" w:rsidRDefault="00B211AD" w:rsidP="00B211AD">
            <w:pPr>
              <w:spacing w:after="0" w:line="240" w:lineRule="auto"/>
              <w:jc w:val="both"/>
              <w:rPr>
                <w:rFonts w:ascii="Arial" w:eastAsia="Times New Roman" w:hAnsi="Arial" w:cs="Arial"/>
                <w:lang w:val="en-US"/>
              </w:rPr>
            </w:pPr>
            <w:r w:rsidRPr="007633A1">
              <w:rPr>
                <w:rFonts w:ascii="Arial" w:hAnsi="Arial" w:cs="Arial"/>
                <w:lang w:val="en-US"/>
              </w:rPr>
              <w:t>3.312</w:t>
            </w:r>
          </w:p>
        </w:tc>
      </w:tr>
      <w:tr w:rsidR="00B211AD" w:rsidRPr="007633A1">
        <w:trPr>
          <w:jc w:val="center"/>
        </w:trPr>
        <w:tc>
          <w:tcPr>
            <w:tcW w:w="1449" w:type="dxa"/>
          </w:tcPr>
          <w:p w:rsidR="00B211AD" w:rsidRPr="007633A1" w:rsidRDefault="00B211AD" w:rsidP="00B211AD">
            <w:pPr>
              <w:spacing w:after="0" w:line="240" w:lineRule="auto"/>
              <w:jc w:val="both"/>
              <w:rPr>
                <w:rFonts w:ascii="Arial" w:eastAsia="Times New Roman" w:hAnsi="Arial" w:cs="Arial"/>
                <w:b/>
                <w:bCs/>
                <w:lang w:val="en-US"/>
              </w:rPr>
            </w:pPr>
            <w:r w:rsidRPr="007633A1">
              <w:rPr>
                <w:rFonts w:ascii="Arial" w:eastAsia="Times New Roman" w:hAnsi="Arial" w:cs="Arial"/>
                <w:b/>
                <w:bCs/>
                <w:lang w:val="en-US"/>
              </w:rPr>
              <w:t xml:space="preserve">Detainees </w:t>
            </w:r>
          </w:p>
        </w:tc>
        <w:tc>
          <w:tcPr>
            <w:tcW w:w="1313" w:type="dxa"/>
          </w:tcPr>
          <w:p w:rsidR="00B211AD" w:rsidRPr="007633A1" w:rsidRDefault="00B211AD" w:rsidP="00B211AD">
            <w:pPr>
              <w:spacing w:after="0" w:line="240" w:lineRule="auto"/>
              <w:jc w:val="both"/>
              <w:rPr>
                <w:rFonts w:ascii="Arial" w:eastAsia="Times New Roman" w:hAnsi="Arial" w:cs="Arial"/>
                <w:lang w:val="en-US"/>
              </w:rPr>
            </w:pPr>
            <w:r w:rsidRPr="007633A1">
              <w:rPr>
                <w:rFonts w:ascii="Arial" w:hAnsi="Arial" w:cs="Arial"/>
                <w:lang w:val="en-US"/>
              </w:rPr>
              <w:t>49.238</w:t>
            </w:r>
          </w:p>
        </w:tc>
        <w:tc>
          <w:tcPr>
            <w:tcW w:w="1274" w:type="dxa"/>
          </w:tcPr>
          <w:p w:rsidR="00B211AD" w:rsidRPr="007633A1" w:rsidRDefault="00B211AD" w:rsidP="00B211AD">
            <w:pPr>
              <w:spacing w:after="0" w:line="240" w:lineRule="auto"/>
              <w:jc w:val="both"/>
              <w:rPr>
                <w:rFonts w:ascii="Arial" w:eastAsia="Times New Roman" w:hAnsi="Arial" w:cs="Arial"/>
                <w:lang w:val="en-US"/>
              </w:rPr>
            </w:pPr>
            <w:r w:rsidRPr="007633A1">
              <w:rPr>
                <w:rFonts w:ascii="Arial" w:hAnsi="Arial" w:cs="Arial"/>
                <w:lang w:val="en-US"/>
              </w:rPr>
              <w:t>2.162</w:t>
            </w:r>
          </w:p>
        </w:tc>
        <w:tc>
          <w:tcPr>
            <w:tcW w:w="1834" w:type="dxa"/>
          </w:tcPr>
          <w:p w:rsidR="00B211AD" w:rsidRPr="007633A1" w:rsidRDefault="00B211AD" w:rsidP="00B211AD">
            <w:pPr>
              <w:spacing w:after="0" w:line="240" w:lineRule="auto"/>
              <w:jc w:val="both"/>
              <w:rPr>
                <w:rFonts w:ascii="Arial" w:eastAsia="Times New Roman" w:hAnsi="Arial" w:cs="Arial"/>
                <w:lang w:val="en-US"/>
              </w:rPr>
            </w:pPr>
            <w:r w:rsidRPr="007633A1">
              <w:rPr>
                <w:rFonts w:ascii="Arial" w:hAnsi="Arial" w:cs="Arial"/>
                <w:lang w:val="en-US"/>
              </w:rPr>
              <w:t>51.400</w:t>
            </w:r>
          </w:p>
        </w:tc>
      </w:tr>
      <w:tr w:rsidR="00B211AD" w:rsidRPr="007633A1">
        <w:trPr>
          <w:jc w:val="center"/>
        </w:trPr>
        <w:tc>
          <w:tcPr>
            <w:tcW w:w="1449" w:type="dxa"/>
            <w:tcBorders>
              <w:left w:val="nil"/>
              <w:right w:val="nil"/>
            </w:tcBorders>
            <w:shd w:val="clear" w:color="auto" w:fill="C0C0C0"/>
          </w:tcPr>
          <w:p w:rsidR="00B211AD" w:rsidRPr="007633A1" w:rsidRDefault="00B211AD" w:rsidP="00B211AD">
            <w:pPr>
              <w:spacing w:after="0" w:line="240" w:lineRule="auto"/>
              <w:jc w:val="both"/>
              <w:rPr>
                <w:rFonts w:ascii="Arial" w:eastAsia="Times New Roman" w:hAnsi="Arial" w:cs="Arial"/>
                <w:b/>
                <w:bCs/>
                <w:lang w:val="en-US"/>
              </w:rPr>
            </w:pPr>
            <w:r w:rsidRPr="007633A1">
              <w:rPr>
                <w:rFonts w:ascii="Arial" w:eastAsia="Times New Roman" w:hAnsi="Arial" w:cs="Arial"/>
                <w:b/>
                <w:bCs/>
                <w:lang w:val="en-US"/>
              </w:rPr>
              <w:t xml:space="preserve">Total </w:t>
            </w:r>
          </w:p>
        </w:tc>
        <w:tc>
          <w:tcPr>
            <w:tcW w:w="1313" w:type="dxa"/>
            <w:tcBorders>
              <w:left w:val="nil"/>
              <w:right w:val="nil"/>
            </w:tcBorders>
            <w:shd w:val="clear" w:color="auto" w:fill="C0C0C0"/>
          </w:tcPr>
          <w:p w:rsidR="00B211AD" w:rsidRPr="007633A1" w:rsidRDefault="00B211AD" w:rsidP="00B211AD">
            <w:pPr>
              <w:spacing w:after="0" w:line="240" w:lineRule="auto"/>
              <w:jc w:val="both"/>
              <w:rPr>
                <w:rFonts w:ascii="Arial" w:eastAsia="Times New Roman" w:hAnsi="Arial" w:cs="Arial"/>
                <w:lang w:val="en-US"/>
              </w:rPr>
            </w:pPr>
            <w:r w:rsidRPr="007633A1">
              <w:rPr>
                <w:rFonts w:ascii="Arial" w:hAnsi="Arial" w:cs="Arial"/>
                <w:lang w:val="en-US"/>
              </w:rPr>
              <w:t>52.276</w:t>
            </w:r>
          </w:p>
        </w:tc>
        <w:tc>
          <w:tcPr>
            <w:tcW w:w="1274" w:type="dxa"/>
            <w:tcBorders>
              <w:left w:val="nil"/>
              <w:right w:val="nil"/>
            </w:tcBorders>
            <w:shd w:val="clear" w:color="auto" w:fill="C0C0C0"/>
          </w:tcPr>
          <w:p w:rsidR="00B211AD" w:rsidRPr="007633A1" w:rsidRDefault="00B211AD" w:rsidP="00B211AD">
            <w:pPr>
              <w:spacing w:after="0" w:line="240" w:lineRule="auto"/>
              <w:jc w:val="both"/>
              <w:rPr>
                <w:rFonts w:ascii="Arial" w:eastAsia="Times New Roman" w:hAnsi="Arial" w:cs="Arial"/>
                <w:lang w:val="en-US"/>
              </w:rPr>
            </w:pPr>
            <w:r w:rsidRPr="007633A1">
              <w:rPr>
                <w:rFonts w:ascii="Arial" w:hAnsi="Arial" w:cs="Arial"/>
                <w:lang w:val="en-US"/>
              </w:rPr>
              <w:t>2.436</w:t>
            </w:r>
          </w:p>
        </w:tc>
        <w:tc>
          <w:tcPr>
            <w:tcW w:w="1834" w:type="dxa"/>
            <w:tcBorders>
              <w:left w:val="nil"/>
              <w:right w:val="nil"/>
            </w:tcBorders>
            <w:shd w:val="clear" w:color="auto" w:fill="C0C0C0"/>
          </w:tcPr>
          <w:p w:rsidR="00B211AD" w:rsidRPr="007633A1" w:rsidRDefault="00B211AD" w:rsidP="00B211AD">
            <w:pPr>
              <w:spacing w:after="0" w:line="240" w:lineRule="auto"/>
              <w:jc w:val="both"/>
              <w:rPr>
                <w:rFonts w:ascii="Arial" w:eastAsia="Times New Roman" w:hAnsi="Arial" w:cs="Arial"/>
                <w:lang w:val="en-US"/>
              </w:rPr>
            </w:pPr>
            <w:r w:rsidRPr="007633A1">
              <w:rPr>
                <w:rFonts w:ascii="Arial" w:hAnsi="Arial" w:cs="Arial"/>
                <w:lang w:val="en-US"/>
              </w:rPr>
              <w:t>54.712</w:t>
            </w:r>
          </w:p>
        </w:tc>
      </w:tr>
    </w:tbl>
    <w:p w:rsidR="00B211AD" w:rsidRPr="007633A1" w:rsidRDefault="00B211AD" w:rsidP="00B211AD">
      <w:pPr>
        <w:spacing w:after="0" w:line="240" w:lineRule="auto"/>
        <w:jc w:val="both"/>
        <w:rPr>
          <w:rFonts w:ascii="Arial" w:eastAsia="Times New Roman" w:hAnsi="Arial" w:cs="Arial"/>
          <w:lang w:val="en-US"/>
        </w:rPr>
      </w:pPr>
    </w:p>
    <w:p w:rsidR="00B211AD" w:rsidRPr="007633A1" w:rsidRDefault="00B211AD" w:rsidP="00B211AD">
      <w:pPr>
        <w:spacing w:after="0" w:line="240" w:lineRule="auto"/>
        <w:ind w:left="720" w:firstLine="720"/>
        <w:jc w:val="both"/>
        <w:rPr>
          <w:rFonts w:ascii="Arial" w:eastAsia="Times New Roman" w:hAnsi="Arial" w:cs="Arial"/>
          <w:sz w:val="18"/>
          <w:lang w:val="en-US"/>
        </w:rPr>
      </w:pPr>
      <w:r w:rsidRPr="007633A1">
        <w:rPr>
          <w:rFonts w:ascii="Arial" w:eastAsia="Times New Roman" w:hAnsi="Arial" w:cs="Arial"/>
          <w:sz w:val="18"/>
          <w:lang w:val="en-US"/>
        </w:rPr>
        <w:t xml:space="preserve">Source: </w:t>
      </w:r>
    </w:p>
    <w:p w:rsidR="00B211AD" w:rsidRPr="007633A1" w:rsidRDefault="00B211AD" w:rsidP="00B211AD">
      <w:pPr>
        <w:spacing w:after="0" w:line="240" w:lineRule="auto"/>
        <w:ind w:left="720" w:firstLine="720"/>
        <w:jc w:val="both"/>
        <w:rPr>
          <w:rFonts w:ascii="Arial" w:eastAsia="Times New Roman" w:hAnsi="Arial" w:cs="Arial"/>
          <w:sz w:val="18"/>
          <w:lang w:val="en-US"/>
        </w:rPr>
      </w:pPr>
      <w:r w:rsidRPr="007633A1">
        <w:rPr>
          <w:rFonts w:ascii="Arial" w:hAnsi="Arial" w:cs="Arial"/>
          <w:sz w:val="18"/>
          <w:lang w:val="en-US"/>
        </w:rPr>
        <w:t>Children Profile of 2011, Ministry of Women Empowerment and Child Protection, 2012</w:t>
      </w:r>
    </w:p>
    <w:p w:rsidR="00B211AD" w:rsidRPr="007633A1" w:rsidRDefault="00B211AD" w:rsidP="00B211AD">
      <w:pPr>
        <w:spacing w:after="0" w:line="240" w:lineRule="auto"/>
        <w:jc w:val="both"/>
        <w:rPr>
          <w:rFonts w:ascii="Arial" w:eastAsia="Times New Roman" w:hAnsi="Arial" w:cs="Arial"/>
          <w:lang w:val="en-US"/>
        </w:rPr>
      </w:pPr>
    </w:p>
    <w:p w:rsidR="00B211AD" w:rsidRPr="007633A1" w:rsidRDefault="00B211AD" w:rsidP="00F163F9">
      <w:pPr>
        <w:pStyle w:val="Listecouleur-Accent11"/>
        <w:numPr>
          <w:ilvl w:val="0"/>
          <w:numId w:val="14"/>
        </w:numPr>
        <w:spacing w:after="0" w:line="240" w:lineRule="auto"/>
        <w:ind w:left="567" w:hanging="567"/>
        <w:jc w:val="both"/>
        <w:rPr>
          <w:rFonts w:ascii="Arial" w:hAnsi="Arial" w:cs="Arial"/>
          <w:lang w:val="en-US"/>
        </w:rPr>
      </w:pPr>
      <w:r w:rsidRPr="007633A1">
        <w:rPr>
          <w:rFonts w:ascii="Arial" w:hAnsi="Arial" w:cs="Arial"/>
          <w:lang w:val="en-US"/>
        </w:rPr>
        <w:t xml:space="preserve">Moreover, the overcapacity of detention facilities for children is one of the </w:t>
      </w:r>
      <w:r w:rsidR="005C200C" w:rsidRPr="007633A1">
        <w:rPr>
          <w:rFonts w:ascii="Arial" w:hAnsi="Arial" w:cs="Arial"/>
          <w:lang w:val="en-US"/>
        </w:rPr>
        <w:t>consequences</w:t>
      </w:r>
      <w:r w:rsidR="009630C3">
        <w:rPr>
          <w:rFonts w:ascii="Arial" w:hAnsi="Arial" w:cs="Arial"/>
          <w:lang w:val="en-US"/>
        </w:rPr>
        <w:t xml:space="preserve"> </w:t>
      </w:r>
      <w:r w:rsidRPr="007633A1">
        <w:rPr>
          <w:rFonts w:ascii="Arial" w:hAnsi="Arial" w:cs="Arial"/>
          <w:lang w:val="en-US"/>
        </w:rPr>
        <w:t xml:space="preserve">when children have to </w:t>
      </w:r>
      <w:r w:rsidR="005C200C" w:rsidRPr="007633A1">
        <w:rPr>
          <w:rFonts w:ascii="Arial" w:hAnsi="Arial" w:cs="Arial"/>
          <w:lang w:val="en-US"/>
        </w:rPr>
        <w:t>face</w:t>
      </w:r>
      <w:r w:rsidR="009630C3">
        <w:rPr>
          <w:rFonts w:ascii="Arial" w:hAnsi="Arial" w:cs="Arial"/>
          <w:lang w:val="en-US"/>
        </w:rPr>
        <w:t xml:space="preserve"> </w:t>
      </w:r>
      <w:r w:rsidRPr="007633A1">
        <w:rPr>
          <w:rFonts w:ascii="Arial" w:hAnsi="Arial" w:cs="Arial"/>
          <w:lang w:val="en-US"/>
        </w:rPr>
        <w:t>criminal justice. According to data from the Directorate General of Correction</w:t>
      </w:r>
      <w:r w:rsidR="00E27AAF" w:rsidRPr="007633A1">
        <w:rPr>
          <w:rFonts w:ascii="Arial" w:hAnsi="Arial" w:cs="Arial"/>
          <w:lang w:val="en-US"/>
        </w:rPr>
        <w:t>s</w:t>
      </w:r>
      <w:r w:rsidRPr="007633A1">
        <w:rPr>
          <w:rFonts w:ascii="Arial" w:hAnsi="Arial" w:cs="Arial"/>
          <w:lang w:val="en-US"/>
        </w:rPr>
        <w:t xml:space="preserve">, the overcapacity of </w:t>
      </w:r>
      <w:r w:rsidR="005C200C" w:rsidRPr="007633A1">
        <w:rPr>
          <w:rFonts w:ascii="Arial" w:hAnsi="Arial" w:cs="Arial"/>
          <w:lang w:val="en-US"/>
        </w:rPr>
        <w:t>d</w:t>
      </w:r>
      <w:r w:rsidRPr="007633A1">
        <w:rPr>
          <w:rFonts w:ascii="Arial" w:hAnsi="Arial" w:cs="Arial"/>
          <w:lang w:val="en-US"/>
        </w:rPr>
        <w:t xml:space="preserve">etention </w:t>
      </w:r>
      <w:r w:rsidR="005C200C" w:rsidRPr="007633A1">
        <w:rPr>
          <w:rFonts w:ascii="Arial" w:hAnsi="Arial" w:cs="Arial"/>
          <w:lang w:val="en-US"/>
        </w:rPr>
        <w:t>f</w:t>
      </w:r>
      <w:r w:rsidRPr="007633A1">
        <w:rPr>
          <w:rFonts w:ascii="Arial" w:hAnsi="Arial" w:cs="Arial"/>
          <w:lang w:val="en-US"/>
        </w:rPr>
        <w:t xml:space="preserve">acilities for </w:t>
      </w:r>
      <w:r w:rsidR="005C200C" w:rsidRPr="007633A1">
        <w:rPr>
          <w:rFonts w:ascii="Arial" w:hAnsi="Arial" w:cs="Arial"/>
          <w:lang w:val="en-US"/>
        </w:rPr>
        <w:t>c</w:t>
      </w:r>
      <w:r w:rsidRPr="007633A1">
        <w:rPr>
          <w:rFonts w:ascii="Arial" w:hAnsi="Arial" w:cs="Arial"/>
          <w:lang w:val="en-US"/>
        </w:rPr>
        <w:t>hildren can be seen in the following table</w:t>
      </w:r>
      <w:r w:rsidRPr="007633A1">
        <w:rPr>
          <w:rStyle w:val="FootnoteReference"/>
          <w:rFonts w:ascii="Arial" w:hAnsi="Arial" w:cs="Arial"/>
          <w:lang w:val="en-US"/>
        </w:rPr>
        <w:footnoteReference w:id="24"/>
      </w:r>
      <w:r w:rsidRPr="007633A1">
        <w:rPr>
          <w:rFonts w:ascii="Arial" w:hAnsi="Arial" w:cs="Arial"/>
          <w:lang w:val="en-US"/>
        </w:rPr>
        <w:t>:</w:t>
      </w:r>
    </w:p>
    <w:p w:rsidR="00B211AD" w:rsidRPr="007633A1" w:rsidRDefault="00B211AD" w:rsidP="00B211AD">
      <w:pPr>
        <w:spacing w:after="0" w:line="240" w:lineRule="auto"/>
        <w:jc w:val="both"/>
        <w:rPr>
          <w:rFonts w:ascii="Arial" w:hAnsi="Arial" w:cs="Arial"/>
          <w:lang w:val="en-US"/>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3069"/>
        <w:gridCol w:w="2520"/>
        <w:gridCol w:w="1710"/>
        <w:gridCol w:w="1598"/>
      </w:tblGrid>
      <w:tr w:rsidR="008B50E5" w:rsidRPr="007633A1">
        <w:trPr>
          <w:jc w:val="center"/>
        </w:trPr>
        <w:tc>
          <w:tcPr>
            <w:tcW w:w="3069" w:type="dxa"/>
            <w:tcBorders>
              <w:top w:val="single" w:sz="8" w:space="0" w:color="000000"/>
              <w:left w:val="nil"/>
              <w:bottom w:val="single" w:sz="8" w:space="0" w:color="000000"/>
              <w:right w:val="nil"/>
            </w:tcBorders>
          </w:tcPr>
          <w:p w:rsidR="00B211AD" w:rsidRPr="007633A1" w:rsidRDefault="00B211AD" w:rsidP="00B211AD">
            <w:pPr>
              <w:spacing w:after="0" w:line="240" w:lineRule="auto"/>
              <w:jc w:val="both"/>
              <w:rPr>
                <w:rFonts w:ascii="Arial" w:hAnsi="Arial" w:cs="Arial"/>
                <w:b/>
                <w:bCs/>
                <w:lang w:val="en-US"/>
              </w:rPr>
            </w:pPr>
            <w:r w:rsidRPr="007633A1">
              <w:rPr>
                <w:rFonts w:ascii="Arial" w:hAnsi="Arial" w:cs="Arial"/>
                <w:b/>
                <w:bCs/>
                <w:lang w:val="en-US"/>
              </w:rPr>
              <w:t>Name of detention facility</w:t>
            </w:r>
          </w:p>
        </w:tc>
        <w:tc>
          <w:tcPr>
            <w:tcW w:w="2520" w:type="dxa"/>
            <w:tcBorders>
              <w:top w:val="single" w:sz="8" w:space="0" w:color="000000"/>
              <w:left w:val="nil"/>
              <w:bottom w:val="single" w:sz="8" w:space="0" w:color="000000"/>
              <w:right w:val="nil"/>
            </w:tcBorders>
          </w:tcPr>
          <w:p w:rsidR="00B211AD" w:rsidRPr="007633A1" w:rsidRDefault="00B211AD" w:rsidP="00B211AD">
            <w:pPr>
              <w:spacing w:after="0" w:line="240" w:lineRule="auto"/>
              <w:jc w:val="both"/>
              <w:rPr>
                <w:rFonts w:ascii="Arial" w:hAnsi="Arial" w:cs="Arial"/>
                <w:b/>
                <w:bCs/>
                <w:lang w:val="en-US"/>
              </w:rPr>
            </w:pPr>
            <w:r w:rsidRPr="007633A1">
              <w:rPr>
                <w:rFonts w:ascii="Arial" w:hAnsi="Arial" w:cs="Arial"/>
                <w:b/>
                <w:bCs/>
                <w:lang w:val="en-US"/>
              </w:rPr>
              <w:t>Number of detainees/convicts</w:t>
            </w:r>
          </w:p>
        </w:tc>
        <w:tc>
          <w:tcPr>
            <w:tcW w:w="1710" w:type="dxa"/>
            <w:tcBorders>
              <w:top w:val="single" w:sz="8" w:space="0" w:color="000000"/>
              <w:left w:val="nil"/>
              <w:bottom w:val="single" w:sz="8" w:space="0" w:color="000000"/>
              <w:right w:val="nil"/>
            </w:tcBorders>
          </w:tcPr>
          <w:p w:rsidR="00B211AD" w:rsidRPr="007633A1" w:rsidRDefault="00B211AD" w:rsidP="00B211AD">
            <w:pPr>
              <w:spacing w:after="0" w:line="240" w:lineRule="auto"/>
              <w:jc w:val="both"/>
              <w:rPr>
                <w:rFonts w:ascii="Arial" w:hAnsi="Arial" w:cs="Arial"/>
                <w:b/>
                <w:bCs/>
                <w:lang w:val="en-US"/>
              </w:rPr>
            </w:pPr>
            <w:r w:rsidRPr="007633A1">
              <w:rPr>
                <w:rFonts w:ascii="Arial" w:hAnsi="Arial" w:cs="Arial"/>
                <w:b/>
                <w:bCs/>
                <w:lang w:val="en-US"/>
              </w:rPr>
              <w:t>Capacity</w:t>
            </w:r>
          </w:p>
        </w:tc>
        <w:tc>
          <w:tcPr>
            <w:tcW w:w="1449" w:type="dxa"/>
            <w:tcBorders>
              <w:top w:val="single" w:sz="8" w:space="0" w:color="000000"/>
              <w:left w:val="nil"/>
              <w:bottom w:val="single" w:sz="8" w:space="0" w:color="000000"/>
              <w:right w:val="nil"/>
            </w:tcBorders>
          </w:tcPr>
          <w:p w:rsidR="00B211AD" w:rsidRPr="007633A1" w:rsidRDefault="00B211AD" w:rsidP="00B211AD">
            <w:pPr>
              <w:spacing w:after="0" w:line="240" w:lineRule="auto"/>
              <w:jc w:val="both"/>
              <w:rPr>
                <w:rFonts w:ascii="Arial" w:hAnsi="Arial" w:cs="Arial"/>
                <w:b/>
                <w:bCs/>
                <w:lang w:val="en-US"/>
              </w:rPr>
            </w:pPr>
            <w:r w:rsidRPr="007633A1">
              <w:rPr>
                <w:rFonts w:ascii="Arial" w:hAnsi="Arial" w:cs="Arial"/>
                <w:b/>
                <w:bCs/>
                <w:lang w:val="en-US"/>
              </w:rPr>
              <w:t>% Overcapacity</w:t>
            </w:r>
          </w:p>
        </w:tc>
      </w:tr>
      <w:tr w:rsidR="008B50E5" w:rsidRPr="007633A1">
        <w:trPr>
          <w:jc w:val="center"/>
        </w:trPr>
        <w:tc>
          <w:tcPr>
            <w:tcW w:w="3069" w:type="dxa"/>
            <w:tcBorders>
              <w:left w:val="nil"/>
              <w:right w:val="nil"/>
            </w:tcBorders>
            <w:shd w:val="clear" w:color="auto" w:fill="C0C0C0"/>
          </w:tcPr>
          <w:p w:rsidR="00B211AD" w:rsidRPr="007633A1" w:rsidRDefault="00B211AD" w:rsidP="00B211AD">
            <w:pPr>
              <w:spacing w:after="0" w:line="240" w:lineRule="auto"/>
              <w:jc w:val="both"/>
              <w:rPr>
                <w:rFonts w:ascii="Arial" w:hAnsi="Arial" w:cs="Arial"/>
                <w:b/>
                <w:bCs/>
                <w:lang w:val="en-US"/>
              </w:rPr>
            </w:pPr>
            <w:r w:rsidRPr="007633A1">
              <w:rPr>
                <w:rFonts w:ascii="Arial" w:hAnsi="Arial" w:cs="Arial"/>
                <w:b/>
                <w:bCs/>
                <w:lang w:val="en-US"/>
              </w:rPr>
              <w:t>Tanggerang Male juvenile detention center</w:t>
            </w:r>
          </w:p>
        </w:tc>
        <w:tc>
          <w:tcPr>
            <w:tcW w:w="2520" w:type="dxa"/>
            <w:tcBorders>
              <w:left w:val="nil"/>
              <w:right w:val="nil"/>
            </w:tcBorders>
            <w:shd w:val="clear" w:color="auto" w:fill="C0C0C0"/>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241</w:t>
            </w:r>
          </w:p>
        </w:tc>
        <w:tc>
          <w:tcPr>
            <w:tcW w:w="1710" w:type="dxa"/>
            <w:tcBorders>
              <w:left w:val="nil"/>
              <w:right w:val="nil"/>
            </w:tcBorders>
            <w:shd w:val="clear" w:color="auto" w:fill="C0C0C0"/>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220</w:t>
            </w:r>
          </w:p>
        </w:tc>
        <w:tc>
          <w:tcPr>
            <w:tcW w:w="1449" w:type="dxa"/>
            <w:tcBorders>
              <w:left w:val="nil"/>
              <w:right w:val="nil"/>
            </w:tcBorders>
            <w:shd w:val="clear" w:color="auto" w:fill="C0C0C0"/>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110</w:t>
            </w:r>
          </w:p>
        </w:tc>
      </w:tr>
      <w:tr w:rsidR="008B50E5" w:rsidRPr="007633A1">
        <w:trPr>
          <w:jc w:val="center"/>
        </w:trPr>
        <w:tc>
          <w:tcPr>
            <w:tcW w:w="3069" w:type="dxa"/>
          </w:tcPr>
          <w:p w:rsidR="00B211AD" w:rsidRPr="007633A1" w:rsidRDefault="00B211AD" w:rsidP="00B211AD">
            <w:pPr>
              <w:spacing w:after="0" w:line="240" w:lineRule="auto"/>
              <w:jc w:val="both"/>
              <w:rPr>
                <w:rFonts w:ascii="Arial" w:hAnsi="Arial" w:cs="Arial"/>
                <w:b/>
                <w:bCs/>
                <w:lang w:val="en-US"/>
              </w:rPr>
            </w:pPr>
            <w:r w:rsidRPr="007633A1">
              <w:rPr>
                <w:rFonts w:ascii="Arial" w:hAnsi="Arial" w:cs="Arial"/>
                <w:b/>
                <w:bCs/>
                <w:lang w:val="en-US"/>
              </w:rPr>
              <w:t>Martapura Juvenile detention center</w:t>
            </w:r>
          </w:p>
        </w:tc>
        <w:tc>
          <w:tcPr>
            <w:tcW w:w="2520" w:type="dxa"/>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930</w:t>
            </w:r>
          </w:p>
        </w:tc>
        <w:tc>
          <w:tcPr>
            <w:tcW w:w="1710" w:type="dxa"/>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180</w:t>
            </w:r>
          </w:p>
        </w:tc>
        <w:tc>
          <w:tcPr>
            <w:tcW w:w="1449" w:type="dxa"/>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517</w:t>
            </w:r>
          </w:p>
        </w:tc>
      </w:tr>
      <w:tr w:rsidR="008B50E5" w:rsidRPr="007633A1">
        <w:trPr>
          <w:jc w:val="center"/>
        </w:trPr>
        <w:tc>
          <w:tcPr>
            <w:tcW w:w="3069" w:type="dxa"/>
            <w:tcBorders>
              <w:left w:val="nil"/>
              <w:right w:val="nil"/>
            </w:tcBorders>
            <w:shd w:val="clear" w:color="auto" w:fill="C0C0C0"/>
          </w:tcPr>
          <w:p w:rsidR="00B211AD" w:rsidRPr="007633A1" w:rsidRDefault="00B211AD" w:rsidP="00B211AD">
            <w:pPr>
              <w:spacing w:after="0" w:line="240" w:lineRule="auto"/>
              <w:jc w:val="both"/>
              <w:rPr>
                <w:rFonts w:ascii="Arial" w:hAnsi="Arial" w:cs="Arial"/>
                <w:b/>
                <w:bCs/>
                <w:lang w:val="en-US"/>
              </w:rPr>
            </w:pPr>
            <w:r w:rsidRPr="007633A1">
              <w:rPr>
                <w:rFonts w:ascii="Arial" w:hAnsi="Arial" w:cs="Arial"/>
                <w:b/>
                <w:bCs/>
                <w:lang w:val="en-US"/>
              </w:rPr>
              <w:t>PekanBaruJuvenile  Detention center</w:t>
            </w:r>
          </w:p>
        </w:tc>
        <w:tc>
          <w:tcPr>
            <w:tcW w:w="2520" w:type="dxa"/>
            <w:tcBorders>
              <w:left w:val="nil"/>
              <w:right w:val="nil"/>
            </w:tcBorders>
            <w:shd w:val="clear" w:color="auto" w:fill="C0C0C0"/>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207</w:t>
            </w:r>
          </w:p>
        </w:tc>
        <w:tc>
          <w:tcPr>
            <w:tcW w:w="1710" w:type="dxa"/>
            <w:tcBorders>
              <w:left w:val="nil"/>
              <w:right w:val="nil"/>
            </w:tcBorders>
            <w:shd w:val="clear" w:color="auto" w:fill="C0C0C0"/>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194</w:t>
            </w:r>
          </w:p>
        </w:tc>
        <w:tc>
          <w:tcPr>
            <w:tcW w:w="1449" w:type="dxa"/>
            <w:tcBorders>
              <w:left w:val="nil"/>
              <w:right w:val="nil"/>
            </w:tcBorders>
            <w:shd w:val="clear" w:color="auto" w:fill="C0C0C0"/>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107</w:t>
            </w:r>
          </w:p>
        </w:tc>
      </w:tr>
      <w:tr w:rsidR="008B50E5" w:rsidRPr="007633A1">
        <w:trPr>
          <w:jc w:val="center"/>
        </w:trPr>
        <w:tc>
          <w:tcPr>
            <w:tcW w:w="3069" w:type="dxa"/>
          </w:tcPr>
          <w:p w:rsidR="00B211AD" w:rsidRPr="007633A1" w:rsidRDefault="00B211AD" w:rsidP="00B211AD">
            <w:pPr>
              <w:spacing w:after="0" w:line="240" w:lineRule="auto"/>
              <w:jc w:val="both"/>
              <w:rPr>
                <w:rFonts w:ascii="Arial" w:hAnsi="Arial" w:cs="Arial"/>
                <w:b/>
                <w:bCs/>
                <w:lang w:val="en-US"/>
              </w:rPr>
            </w:pPr>
            <w:r w:rsidRPr="007633A1">
              <w:rPr>
                <w:rFonts w:ascii="Arial" w:hAnsi="Arial" w:cs="Arial"/>
                <w:b/>
                <w:bCs/>
                <w:lang w:val="en-US"/>
              </w:rPr>
              <w:t>Medan Juvenile Detention Center</w:t>
            </w:r>
          </w:p>
        </w:tc>
        <w:tc>
          <w:tcPr>
            <w:tcW w:w="2520" w:type="dxa"/>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588</w:t>
            </w:r>
          </w:p>
        </w:tc>
        <w:tc>
          <w:tcPr>
            <w:tcW w:w="1710" w:type="dxa"/>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250</w:t>
            </w:r>
          </w:p>
        </w:tc>
        <w:tc>
          <w:tcPr>
            <w:tcW w:w="1449" w:type="dxa"/>
          </w:tcPr>
          <w:p w:rsidR="00B211AD" w:rsidRPr="007633A1" w:rsidRDefault="00B211AD" w:rsidP="00B211AD">
            <w:pPr>
              <w:spacing w:after="0" w:line="240" w:lineRule="auto"/>
              <w:jc w:val="both"/>
              <w:rPr>
                <w:rFonts w:ascii="Arial" w:hAnsi="Arial" w:cs="Arial"/>
                <w:lang w:val="en-US"/>
              </w:rPr>
            </w:pPr>
            <w:r w:rsidRPr="007633A1">
              <w:rPr>
                <w:rFonts w:ascii="Arial" w:hAnsi="Arial" w:cs="Arial"/>
                <w:lang w:val="en-US"/>
              </w:rPr>
              <w:t>235</w:t>
            </w:r>
          </w:p>
        </w:tc>
      </w:tr>
    </w:tbl>
    <w:p w:rsidR="00B211AD" w:rsidRPr="007633A1" w:rsidRDefault="00B211AD" w:rsidP="00B211AD">
      <w:pPr>
        <w:spacing w:after="0" w:line="240" w:lineRule="auto"/>
        <w:jc w:val="both"/>
        <w:rPr>
          <w:rFonts w:ascii="Arial" w:hAnsi="Arial" w:cs="Arial"/>
          <w:lang w:val="en-US"/>
        </w:rPr>
      </w:pPr>
    </w:p>
    <w:p w:rsidR="00B211AD" w:rsidRPr="007633A1" w:rsidRDefault="009630C3" w:rsidP="000C4497">
      <w:pPr>
        <w:pStyle w:val="Listecouleur-Accent11"/>
        <w:spacing w:after="0" w:line="240" w:lineRule="auto"/>
        <w:ind w:left="1070"/>
        <w:jc w:val="both"/>
        <w:rPr>
          <w:rFonts w:ascii="Arial" w:hAnsi="Arial" w:cs="Arial"/>
          <w:lang w:val="en-US"/>
        </w:rPr>
      </w:pPr>
      <w:r>
        <w:rPr>
          <w:rFonts w:ascii="Arial" w:hAnsi="Arial" w:cs="Arial"/>
          <w:lang w:val="en-US"/>
        </w:rPr>
        <w:t>Several factors that hamper</w:t>
      </w:r>
      <w:r w:rsidR="000C4497" w:rsidRPr="007633A1">
        <w:rPr>
          <w:rFonts w:ascii="Arial" w:hAnsi="Arial" w:cs="Arial"/>
          <w:lang w:val="en-US"/>
        </w:rPr>
        <w:t xml:space="preserve"> access to justice for children in conflict with</w:t>
      </w:r>
      <w:r>
        <w:rPr>
          <w:rFonts w:ascii="Arial" w:hAnsi="Arial" w:cs="Arial"/>
          <w:lang w:val="en-US"/>
        </w:rPr>
        <w:t xml:space="preserve"> the law are lack</w:t>
      </w:r>
      <w:r w:rsidR="000C4497" w:rsidRPr="007633A1">
        <w:rPr>
          <w:rFonts w:ascii="Arial" w:hAnsi="Arial" w:cs="Arial"/>
          <w:lang w:val="en-US"/>
        </w:rPr>
        <w:t xml:space="preserve"> of capacity</w:t>
      </w:r>
      <w:r>
        <w:rPr>
          <w:rFonts w:ascii="Arial" w:hAnsi="Arial" w:cs="Arial"/>
          <w:lang w:val="en-US"/>
        </w:rPr>
        <w:t xml:space="preserve"> and number of law enforcement </w:t>
      </w:r>
      <w:r w:rsidR="000C4497" w:rsidRPr="007633A1">
        <w:rPr>
          <w:rFonts w:ascii="Arial" w:hAnsi="Arial" w:cs="Arial"/>
          <w:lang w:val="en-US"/>
        </w:rPr>
        <w:t>and lawyer</w:t>
      </w:r>
      <w:r>
        <w:rPr>
          <w:rFonts w:ascii="Arial" w:hAnsi="Arial" w:cs="Arial"/>
          <w:lang w:val="en-US"/>
        </w:rPr>
        <w:t>s</w:t>
      </w:r>
      <w:r w:rsidR="000C4497" w:rsidRPr="007633A1">
        <w:rPr>
          <w:rFonts w:ascii="Arial" w:hAnsi="Arial" w:cs="Arial"/>
          <w:lang w:val="en-US"/>
        </w:rPr>
        <w:t xml:space="preserve">. </w:t>
      </w:r>
      <w:r w:rsidR="00B211AD" w:rsidRPr="007633A1">
        <w:rPr>
          <w:rFonts w:ascii="Arial" w:hAnsi="Arial" w:cs="Arial"/>
          <w:lang w:val="en-US"/>
        </w:rPr>
        <w:t>In addition</w:t>
      </w:r>
      <w:r>
        <w:rPr>
          <w:rFonts w:ascii="Arial" w:hAnsi="Arial" w:cs="Arial"/>
          <w:lang w:val="en-US"/>
        </w:rPr>
        <w:t xml:space="preserve">, the facilities </w:t>
      </w:r>
      <w:r w:rsidR="000C4497" w:rsidRPr="007633A1">
        <w:rPr>
          <w:rFonts w:ascii="Arial" w:hAnsi="Arial" w:cs="Arial"/>
          <w:lang w:val="en-US"/>
        </w:rPr>
        <w:t>and infrastructure</w:t>
      </w:r>
      <w:r>
        <w:rPr>
          <w:rFonts w:ascii="Arial" w:hAnsi="Arial" w:cs="Arial"/>
          <w:lang w:val="en-US"/>
        </w:rPr>
        <w:t>s</w:t>
      </w:r>
      <w:r w:rsidR="000C4497" w:rsidRPr="007633A1">
        <w:rPr>
          <w:rFonts w:ascii="Arial" w:hAnsi="Arial" w:cs="Arial"/>
          <w:lang w:val="en-US"/>
        </w:rPr>
        <w:t xml:space="preserve"> are limited as well. </w:t>
      </w:r>
      <w:r w:rsidR="00B211AD" w:rsidRPr="007633A1">
        <w:rPr>
          <w:rFonts w:ascii="Arial" w:hAnsi="Arial" w:cs="Arial"/>
          <w:lang w:val="en-US"/>
        </w:rPr>
        <w:t xml:space="preserve"> </w:t>
      </w:r>
    </w:p>
    <w:p w:rsidR="00B211AD" w:rsidRPr="007633A1" w:rsidRDefault="00B211AD" w:rsidP="00F163F9">
      <w:pPr>
        <w:pStyle w:val="Listecouleur-Accent11"/>
        <w:numPr>
          <w:ilvl w:val="0"/>
          <w:numId w:val="14"/>
        </w:numPr>
        <w:spacing w:after="0" w:line="240" w:lineRule="auto"/>
        <w:ind w:left="567" w:hanging="567"/>
        <w:jc w:val="both"/>
        <w:rPr>
          <w:rFonts w:ascii="Arial" w:hAnsi="Arial" w:cs="Arial"/>
          <w:lang w:val="en-US"/>
        </w:rPr>
      </w:pPr>
      <w:r w:rsidRPr="007633A1">
        <w:rPr>
          <w:rFonts w:ascii="Arial" w:hAnsi="Arial" w:cs="Arial"/>
          <w:lang w:val="en-US"/>
        </w:rPr>
        <w:t>Therefore, it is necessary to develop a specific integrated juvenile justice system (</w:t>
      </w:r>
      <w:r w:rsidRPr="007633A1">
        <w:rPr>
          <w:rFonts w:ascii="Arial" w:hAnsi="Arial" w:cs="Arial"/>
          <w:i/>
          <w:lang w:val="en-US"/>
        </w:rPr>
        <w:t>lex</w:t>
      </w:r>
      <w:r w:rsidR="008A63B2" w:rsidRPr="007633A1">
        <w:rPr>
          <w:rFonts w:ascii="Arial" w:hAnsi="Arial" w:cs="Arial"/>
          <w:i/>
          <w:lang w:val="en-US"/>
        </w:rPr>
        <w:t xml:space="preserve"> </w:t>
      </w:r>
      <w:r w:rsidRPr="007633A1">
        <w:rPr>
          <w:rFonts w:ascii="Arial" w:hAnsi="Arial" w:cs="Arial"/>
          <w:i/>
          <w:lang w:val="en-US"/>
        </w:rPr>
        <w:t>specialis</w:t>
      </w:r>
      <w:r w:rsidRPr="007633A1">
        <w:rPr>
          <w:rFonts w:ascii="Arial" w:hAnsi="Arial" w:cs="Arial"/>
          <w:lang w:val="en-US"/>
        </w:rPr>
        <w:t xml:space="preserve">) that includes both material law and formal law in order for juvenile justice system to be </w:t>
      </w:r>
      <w:r w:rsidRPr="007633A1">
        <w:rPr>
          <w:rFonts w:ascii="Arial" w:hAnsi="Arial" w:cs="Arial"/>
          <w:i/>
          <w:lang w:val="en-US"/>
        </w:rPr>
        <w:t>sui generis</w:t>
      </w:r>
      <w:r w:rsidRPr="007633A1">
        <w:rPr>
          <w:rFonts w:ascii="Arial" w:hAnsi="Arial" w:cs="Arial"/>
          <w:lang w:val="en-US"/>
        </w:rPr>
        <w:t>.</w:t>
      </w:r>
      <w:r w:rsidRPr="007633A1">
        <w:rPr>
          <w:rStyle w:val="FootnoteReference"/>
          <w:rFonts w:ascii="Arial" w:hAnsi="Arial" w:cs="Arial"/>
          <w:i/>
          <w:lang w:val="en-US"/>
        </w:rPr>
        <w:footnoteReference w:id="25"/>
      </w:r>
      <w:r w:rsidRPr="007633A1">
        <w:rPr>
          <w:rFonts w:ascii="Arial" w:hAnsi="Arial" w:cs="Arial"/>
          <w:lang w:val="en-US"/>
        </w:rPr>
        <w:t xml:space="preserve">The use of </w:t>
      </w:r>
      <w:r w:rsidR="00D801CA" w:rsidRPr="007633A1">
        <w:rPr>
          <w:rFonts w:ascii="Arial" w:hAnsi="Arial" w:cs="Arial"/>
          <w:lang w:val="en-US"/>
        </w:rPr>
        <w:t>diversion</w:t>
      </w:r>
      <w:r w:rsidRPr="007633A1">
        <w:rPr>
          <w:rFonts w:ascii="Arial" w:hAnsi="Arial" w:cs="Arial"/>
          <w:lang w:val="en-US"/>
        </w:rPr>
        <w:t xml:space="preserve"> and restorative justice mechanisms </w:t>
      </w:r>
      <w:r w:rsidR="007451D7">
        <w:rPr>
          <w:rFonts w:ascii="Arial" w:hAnsi="Arial" w:cs="Arial"/>
          <w:lang w:val="en-US"/>
        </w:rPr>
        <w:lastRenderedPageBreak/>
        <w:t xml:space="preserve">should </w:t>
      </w:r>
      <w:r w:rsidR="000C4497" w:rsidRPr="007633A1">
        <w:rPr>
          <w:rFonts w:ascii="Arial" w:hAnsi="Arial" w:cs="Arial"/>
          <w:lang w:val="en-US"/>
        </w:rPr>
        <w:t xml:space="preserve">become </w:t>
      </w:r>
      <w:r w:rsidRPr="007633A1">
        <w:rPr>
          <w:rFonts w:ascii="Arial" w:hAnsi="Arial" w:cs="Arial"/>
          <w:lang w:val="en-US"/>
        </w:rPr>
        <w:t>a model to deal with children in conflict with the law in the future.</w:t>
      </w:r>
      <w:r w:rsidRPr="007633A1">
        <w:rPr>
          <w:rStyle w:val="FootnoteReference"/>
          <w:rFonts w:ascii="Arial" w:hAnsi="Arial" w:cs="Arial"/>
          <w:i/>
          <w:lang w:val="en-US"/>
        </w:rPr>
        <w:footnoteReference w:id="26"/>
      </w:r>
      <w:r w:rsidRPr="007633A1">
        <w:rPr>
          <w:rFonts w:ascii="Arial" w:hAnsi="Arial" w:cs="Arial"/>
          <w:lang w:val="en-US"/>
        </w:rPr>
        <w:t xml:space="preserve"> The Law No. 11</w:t>
      </w:r>
      <w:r w:rsidR="007B2FC8" w:rsidRPr="007633A1">
        <w:rPr>
          <w:rFonts w:ascii="Arial" w:hAnsi="Arial" w:cs="Arial"/>
          <w:lang w:val="en-US"/>
        </w:rPr>
        <w:t>/</w:t>
      </w:r>
      <w:r w:rsidRPr="007633A1">
        <w:rPr>
          <w:rFonts w:ascii="Arial" w:hAnsi="Arial" w:cs="Arial"/>
          <w:lang w:val="en-US"/>
        </w:rPr>
        <w:t xml:space="preserve"> 2012 on Juvenile Justice System has accommodated diversion and restorative justice mechanisms, although there are some critical points, since detention of children is still being used in the juvenile justice system. Moreover, the length of detention for children in conflict with the law in every stage of criminal justice processes is still too long for children for it takes up to </w:t>
      </w:r>
      <w:r w:rsidR="000C4497" w:rsidRPr="007633A1">
        <w:rPr>
          <w:rFonts w:ascii="Arial" w:hAnsi="Arial" w:cs="Arial"/>
          <w:lang w:val="en-US"/>
        </w:rPr>
        <w:t xml:space="preserve">110 </w:t>
      </w:r>
      <w:r w:rsidRPr="007633A1">
        <w:rPr>
          <w:rFonts w:ascii="Arial" w:hAnsi="Arial" w:cs="Arial"/>
          <w:lang w:val="en-US"/>
        </w:rPr>
        <w:t>days</w:t>
      </w:r>
      <w:r w:rsidR="000C4497" w:rsidRPr="007633A1">
        <w:rPr>
          <w:rStyle w:val="FootnoteReference"/>
          <w:rFonts w:ascii="Arial" w:hAnsi="Arial" w:cs="Arial"/>
          <w:b/>
          <w:lang w:val="en-US"/>
        </w:rPr>
        <w:footnoteReference w:id="27"/>
      </w:r>
      <w:r w:rsidRPr="007633A1">
        <w:rPr>
          <w:rFonts w:ascii="Arial" w:hAnsi="Arial" w:cs="Arial"/>
          <w:lang w:val="en-US"/>
        </w:rPr>
        <w:t>. Furthermore, there has not been any provision governing that any child arrested shall be physically brought before a juvenile judge in order for the judge to know the condition of the child and to assess whether the child needs to be detained or not.</w:t>
      </w:r>
    </w:p>
    <w:p w:rsidR="00B211AD" w:rsidRPr="007633A1" w:rsidRDefault="00B211AD" w:rsidP="00B211AD">
      <w:pPr>
        <w:spacing w:after="0" w:line="240" w:lineRule="auto"/>
        <w:jc w:val="both"/>
        <w:rPr>
          <w:rFonts w:ascii="Arial" w:eastAsia="Times New Roman" w:hAnsi="Arial" w:cs="Arial"/>
          <w:lang w:val="en-US"/>
        </w:rPr>
      </w:pPr>
    </w:p>
    <w:p w:rsidR="008F6D3D" w:rsidRPr="007633A1" w:rsidRDefault="008F6D3D" w:rsidP="00B211AD">
      <w:pPr>
        <w:spacing w:after="0" w:line="240" w:lineRule="auto"/>
        <w:jc w:val="both"/>
        <w:rPr>
          <w:rFonts w:ascii="Arial" w:hAnsi="Arial" w:cs="Arial"/>
          <w:lang w:val="en-US"/>
        </w:rPr>
      </w:pPr>
    </w:p>
    <w:p w:rsidR="00B211AD" w:rsidRPr="007633A1" w:rsidRDefault="00094BE7" w:rsidP="00094BE7">
      <w:pPr>
        <w:pStyle w:val="SingleTxtG"/>
        <w:pBdr>
          <w:top w:val="single" w:sz="4" w:space="1" w:color="auto"/>
          <w:left w:val="single" w:sz="4" w:space="4" w:color="auto"/>
          <w:bottom w:val="single" w:sz="4" w:space="1" w:color="auto"/>
          <w:right w:val="single" w:sz="4" w:space="4" w:color="auto"/>
        </w:pBdr>
        <w:ind w:left="0" w:right="-46"/>
        <w:rPr>
          <w:rFonts w:ascii="Arial" w:hAnsi="Arial" w:cs="Arial"/>
          <w:sz w:val="22"/>
          <w:szCs w:val="22"/>
          <w:lang w:val="en-US"/>
        </w:rPr>
      </w:pPr>
      <w:r w:rsidRPr="007633A1">
        <w:rPr>
          <w:rFonts w:ascii="Arial" w:hAnsi="Arial" w:cs="Arial"/>
          <w:b/>
          <w:sz w:val="22"/>
          <w:szCs w:val="22"/>
          <w:lang w:val="en-US"/>
        </w:rPr>
        <w:t>Issue 17:</w:t>
      </w:r>
      <w:r w:rsidR="007451D7">
        <w:rPr>
          <w:rFonts w:ascii="Arial" w:hAnsi="Arial" w:cs="Arial"/>
          <w:b/>
          <w:sz w:val="22"/>
          <w:szCs w:val="22"/>
          <w:lang w:val="en-US"/>
        </w:rPr>
        <w:t xml:space="preserve"> </w:t>
      </w:r>
      <w:r w:rsidR="00B211AD" w:rsidRPr="007633A1">
        <w:rPr>
          <w:rFonts w:ascii="Arial" w:hAnsi="Arial" w:cs="Arial"/>
          <w:sz w:val="22"/>
          <w:szCs w:val="22"/>
          <w:lang w:val="en-US"/>
        </w:rPr>
        <w:t xml:space="preserve">Please respond to reports that although the law </w:t>
      </w:r>
      <w:r w:rsidR="007633A1" w:rsidRPr="007633A1">
        <w:rPr>
          <w:rFonts w:ascii="Arial" w:hAnsi="Arial" w:cs="Arial"/>
          <w:sz w:val="22"/>
          <w:szCs w:val="22"/>
          <w:lang w:val="en-US"/>
        </w:rPr>
        <w:t>criminalizes</w:t>
      </w:r>
      <w:r w:rsidR="00B211AD" w:rsidRPr="007633A1">
        <w:rPr>
          <w:rFonts w:ascii="Arial" w:hAnsi="Arial" w:cs="Arial"/>
          <w:sz w:val="22"/>
          <w:szCs w:val="22"/>
          <w:lang w:val="en-US"/>
        </w:rPr>
        <w:t xml:space="preserve"> rape, the incidence of rape is high and that courts bestow minimum sentences on persons convicted of rape. Please provide information on specific measures that are being taken to ensure that sentences for rape deter others from committing this crime.</w:t>
      </w:r>
    </w:p>
    <w:p w:rsidR="007D1736" w:rsidRPr="007633A1" w:rsidRDefault="00B211AD" w:rsidP="00F163F9">
      <w:pPr>
        <w:widowControl w:val="0"/>
        <w:numPr>
          <w:ilvl w:val="0"/>
          <w:numId w:val="14"/>
        </w:numPr>
        <w:autoSpaceDE w:val="0"/>
        <w:autoSpaceDN w:val="0"/>
        <w:adjustRightInd w:val="0"/>
        <w:spacing w:after="120" w:line="240" w:lineRule="atLeast"/>
        <w:ind w:left="567" w:right="146" w:hanging="567"/>
        <w:jc w:val="both"/>
      </w:pPr>
      <w:r w:rsidRPr="007633A1">
        <w:rPr>
          <w:rFonts w:ascii="Arial" w:hAnsi="Arial" w:cs="Arial"/>
          <w:lang w:val="en-US"/>
        </w:rPr>
        <w:t>In 2011, violence against women in Indonesia was dominated by the number of rape</w:t>
      </w:r>
      <w:r w:rsidR="008E107E" w:rsidRPr="007633A1">
        <w:rPr>
          <w:rFonts w:ascii="Arial" w:hAnsi="Arial" w:cs="Arial"/>
          <w:lang w:val="en-US"/>
        </w:rPr>
        <w:t xml:space="preserve"> cases</w:t>
      </w:r>
      <w:r w:rsidR="007451D7">
        <w:rPr>
          <w:rFonts w:ascii="Arial" w:hAnsi="Arial" w:cs="Arial"/>
          <w:lang w:val="en-US"/>
        </w:rPr>
        <w:t xml:space="preserve">. </w:t>
      </w:r>
      <w:r w:rsidRPr="007633A1">
        <w:rPr>
          <w:rFonts w:ascii="Arial" w:hAnsi="Arial" w:cs="Arial"/>
          <w:lang w:val="en-US"/>
        </w:rPr>
        <w:t>400.939 cases</w:t>
      </w:r>
      <w:r w:rsidR="00CA56E1" w:rsidRPr="007633A1">
        <w:rPr>
          <w:rFonts w:ascii="Arial" w:hAnsi="Arial" w:cs="Arial"/>
          <w:lang w:val="en-US"/>
        </w:rPr>
        <w:t xml:space="preserve"> were documented</w:t>
      </w:r>
      <w:r w:rsidR="008E107E" w:rsidRPr="007633A1">
        <w:rPr>
          <w:rFonts w:ascii="Arial" w:hAnsi="Arial" w:cs="Arial"/>
          <w:lang w:val="en-US"/>
        </w:rPr>
        <w:t xml:space="preserve">, among which </w:t>
      </w:r>
      <w:r w:rsidRPr="007633A1">
        <w:rPr>
          <w:rFonts w:ascii="Arial" w:hAnsi="Arial" w:cs="Arial"/>
          <w:lang w:val="en-US"/>
        </w:rPr>
        <w:t>70.115 cases</w:t>
      </w:r>
      <w:r w:rsidR="008A63B2" w:rsidRPr="007633A1">
        <w:rPr>
          <w:rFonts w:ascii="Arial" w:hAnsi="Arial" w:cs="Arial"/>
          <w:lang w:val="en-US"/>
        </w:rPr>
        <w:t xml:space="preserve"> </w:t>
      </w:r>
      <w:r w:rsidR="008E107E" w:rsidRPr="007633A1">
        <w:rPr>
          <w:rFonts w:ascii="Arial" w:hAnsi="Arial" w:cs="Arial"/>
          <w:lang w:val="en-US"/>
        </w:rPr>
        <w:t>were</w:t>
      </w:r>
      <w:r w:rsidR="008A63B2" w:rsidRPr="007633A1">
        <w:rPr>
          <w:rFonts w:ascii="Arial" w:hAnsi="Arial" w:cs="Arial"/>
          <w:lang w:val="en-US"/>
        </w:rPr>
        <w:t xml:space="preserve"> </w:t>
      </w:r>
      <w:r w:rsidRPr="007633A1">
        <w:rPr>
          <w:rFonts w:ascii="Arial" w:hAnsi="Arial" w:cs="Arial"/>
          <w:lang w:val="en-US"/>
        </w:rPr>
        <w:t>committed at home. The rapists were</w:t>
      </w:r>
      <w:r w:rsidR="007451D7">
        <w:rPr>
          <w:rFonts w:ascii="Arial" w:hAnsi="Arial" w:cs="Arial"/>
          <w:lang w:val="en-US"/>
        </w:rPr>
        <w:t xml:space="preserve"> fathers, parents, siblings</w:t>
      </w:r>
      <w:r w:rsidRPr="007633A1">
        <w:rPr>
          <w:rFonts w:ascii="Arial" w:hAnsi="Arial" w:cs="Arial"/>
          <w:lang w:val="en-US"/>
        </w:rPr>
        <w:t xml:space="preserve"> and relatives. 22.285 cases</w:t>
      </w:r>
      <w:r w:rsidR="008E107E" w:rsidRPr="007633A1">
        <w:rPr>
          <w:rFonts w:ascii="Arial" w:hAnsi="Arial" w:cs="Arial"/>
          <w:lang w:val="en-US"/>
        </w:rPr>
        <w:t xml:space="preserve"> of rape took place in public places, including in public transportations.</w:t>
      </w:r>
      <w:r w:rsidR="008A63B2" w:rsidRPr="007633A1">
        <w:rPr>
          <w:rFonts w:ascii="Arial" w:hAnsi="Arial" w:cs="Arial"/>
          <w:lang w:val="en-US"/>
        </w:rPr>
        <w:t xml:space="preserve"> </w:t>
      </w:r>
      <w:r w:rsidR="007451D7">
        <w:rPr>
          <w:rFonts w:ascii="Arial" w:hAnsi="Arial" w:cs="Arial"/>
          <w:lang w:val="en-US"/>
        </w:rPr>
        <w:t>Moreover, the S</w:t>
      </w:r>
      <w:r w:rsidRPr="007633A1">
        <w:rPr>
          <w:rFonts w:ascii="Arial" w:hAnsi="Arial" w:cs="Arial"/>
          <w:lang w:val="en-US"/>
        </w:rPr>
        <w:t>tate has committed similar crime by allowing 1.561 cases of rape un</w:t>
      </w:r>
      <w:r w:rsidR="007451D7">
        <w:rPr>
          <w:rFonts w:ascii="Arial" w:hAnsi="Arial" w:cs="Arial"/>
          <w:lang w:val="en-US"/>
        </w:rPr>
        <w:t>investigated</w:t>
      </w:r>
      <w:r w:rsidRPr="007633A1">
        <w:rPr>
          <w:rFonts w:ascii="Arial" w:hAnsi="Arial" w:cs="Arial"/>
          <w:lang w:val="en-US"/>
        </w:rPr>
        <w:t xml:space="preserve"> (Report of the National Commission on Violence against Women of 2011). At the beginning of 2013 the number of rape was quite high and mostly happened to girls under the age of 18.</w:t>
      </w:r>
    </w:p>
    <w:p w:rsidR="001B557F" w:rsidRPr="007633A1" w:rsidRDefault="00B211AD" w:rsidP="00F163F9">
      <w:pPr>
        <w:pStyle w:val="SingleTxtG"/>
        <w:numPr>
          <w:ilvl w:val="0"/>
          <w:numId w:val="14"/>
        </w:numPr>
        <w:ind w:left="567" w:right="146" w:hanging="567"/>
        <w:rPr>
          <w:rFonts w:ascii="Arial" w:hAnsi="Arial" w:cs="Arial"/>
          <w:sz w:val="22"/>
          <w:szCs w:val="22"/>
          <w:lang w:val="en-US"/>
        </w:rPr>
      </w:pPr>
      <w:r w:rsidRPr="007633A1">
        <w:rPr>
          <w:rFonts w:ascii="Arial" w:hAnsi="Arial" w:cs="Arial"/>
          <w:sz w:val="22"/>
          <w:szCs w:val="22"/>
          <w:lang w:val="en-US"/>
        </w:rPr>
        <w:t>In an annual report published by the Indonesian Women Coalition for Justice and Democracy,</w:t>
      </w:r>
      <w:r w:rsidR="00AE1533" w:rsidRPr="007633A1">
        <w:rPr>
          <w:rFonts w:ascii="Arial" w:hAnsi="Arial" w:cs="Arial"/>
          <w:sz w:val="22"/>
          <w:szCs w:val="22"/>
          <w:lang w:val="en-US"/>
        </w:rPr>
        <w:t xml:space="preserve"> it is showed that</w:t>
      </w:r>
      <w:r w:rsidRPr="007633A1">
        <w:rPr>
          <w:rFonts w:ascii="Arial" w:hAnsi="Arial" w:cs="Arial"/>
          <w:sz w:val="22"/>
          <w:szCs w:val="22"/>
          <w:lang w:val="en-US"/>
        </w:rPr>
        <w:t xml:space="preserve"> rapes often take place at home</w:t>
      </w:r>
      <w:r w:rsidR="00F67F88" w:rsidRPr="007633A1">
        <w:rPr>
          <w:rFonts w:ascii="Arial" w:hAnsi="Arial" w:cs="Arial"/>
          <w:sz w:val="22"/>
          <w:szCs w:val="22"/>
          <w:lang w:val="en-US"/>
        </w:rPr>
        <w:t>.</w:t>
      </w:r>
      <w:r w:rsidR="00604E19" w:rsidRPr="007633A1">
        <w:rPr>
          <w:rFonts w:ascii="Arial" w:hAnsi="Arial" w:cs="Arial"/>
          <w:sz w:val="22"/>
          <w:szCs w:val="22"/>
          <w:lang w:val="en-US"/>
        </w:rPr>
        <w:t xml:space="preserve"> </w:t>
      </w:r>
      <w:r w:rsidR="00F67F88" w:rsidRPr="007633A1">
        <w:rPr>
          <w:rFonts w:ascii="Arial" w:hAnsi="Arial" w:cs="Arial"/>
          <w:sz w:val="22"/>
          <w:szCs w:val="22"/>
          <w:lang w:val="en-US"/>
        </w:rPr>
        <w:t>T</w:t>
      </w:r>
      <w:r w:rsidRPr="007633A1">
        <w:rPr>
          <w:rFonts w:ascii="Arial" w:hAnsi="Arial" w:cs="Arial"/>
          <w:sz w:val="22"/>
          <w:szCs w:val="22"/>
          <w:lang w:val="en-US"/>
        </w:rPr>
        <w:t xml:space="preserve">his </w:t>
      </w:r>
      <w:r w:rsidR="002A7BC6" w:rsidRPr="007633A1">
        <w:rPr>
          <w:rFonts w:ascii="Arial" w:hAnsi="Arial" w:cs="Arial"/>
          <w:sz w:val="22"/>
          <w:szCs w:val="22"/>
          <w:lang w:val="en-US"/>
        </w:rPr>
        <w:t>i</w:t>
      </w:r>
      <w:r w:rsidRPr="007633A1">
        <w:rPr>
          <w:rFonts w:ascii="Arial" w:hAnsi="Arial" w:cs="Arial"/>
          <w:sz w:val="22"/>
          <w:szCs w:val="22"/>
          <w:lang w:val="en-US"/>
        </w:rPr>
        <w:t xml:space="preserve">s due to </w:t>
      </w:r>
      <w:r w:rsidR="00D801CA" w:rsidRPr="007633A1">
        <w:rPr>
          <w:rFonts w:ascii="Arial" w:hAnsi="Arial" w:cs="Arial"/>
          <w:sz w:val="22"/>
          <w:szCs w:val="22"/>
          <w:lang w:val="en-US"/>
        </w:rPr>
        <w:t>inadequate standard of housing</w:t>
      </w:r>
      <w:r w:rsidR="007451D7">
        <w:rPr>
          <w:rFonts w:ascii="Arial" w:hAnsi="Arial" w:cs="Arial"/>
          <w:sz w:val="22"/>
          <w:szCs w:val="22"/>
          <w:lang w:val="en-US"/>
        </w:rPr>
        <w:t xml:space="preserve"> in Indonesia</w:t>
      </w:r>
      <w:r w:rsidR="00094BE7" w:rsidRPr="007633A1">
        <w:rPr>
          <w:rFonts w:ascii="Arial" w:hAnsi="Arial" w:cs="Arial"/>
          <w:sz w:val="22"/>
          <w:szCs w:val="22"/>
          <w:lang w:val="en-US"/>
        </w:rPr>
        <w:t xml:space="preserve"> (</w:t>
      </w:r>
      <w:r w:rsidR="002A7BC6" w:rsidRPr="007633A1">
        <w:rPr>
          <w:rFonts w:ascii="Arial" w:hAnsi="Arial" w:cs="Arial"/>
          <w:sz w:val="22"/>
          <w:szCs w:val="22"/>
          <w:lang w:val="en-US"/>
        </w:rPr>
        <w:t>the houses are too small with no separate bedrooms)</w:t>
      </w:r>
      <w:r w:rsidR="00AE1533" w:rsidRPr="007633A1">
        <w:rPr>
          <w:rFonts w:ascii="Arial" w:hAnsi="Arial" w:cs="Arial"/>
          <w:sz w:val="22"/>
          <w:szCs w:val="22"/>
          <w:lang w:val="en-US"/>
        </w:rPr>
        <w:t>.</w:t>
      </w:r>
      <w:r w:rsidR="005D0FD1" w:rsidRPr="007633A1">
        <w:rPr>
          <w:rFonts w:ascii="Arial" w:hAnsi="Arial" w:cs="Arial"/>
          <w:sz w:val="22"/>
          <w:szCs w:val="22"/>
          <w:lang w:val="en-US"/>
        </w:rPr>
        <w:t xml:space="preserve"> </w:t>
      </w:r>
      <w:r w:rsidR="00AE1533" w:rsidRPr="007633A1">
        <w:rPr>
          <w:rFonts w:ascii="Arial" w:hAnsi="Arial" w:cs="Arial"/>
          <w:sz w:val="22"/>
          <w:szCs w:val="22"/>
          <w:lang w:val="en-US"/>
        </w:rPr>
        <w:t>P</w:t>
      </w:r>
      <w:r w:rsidRPr="007633A1">
        <w:rPr>
          <w:rFonts w:ascii="Arial" w:hAnsi="Arial" w:cs="Arial"/>
          <w:sz w:val="22"/>
          <w:szCs w:val="22"/>
          <w:lang w:val="en-US"/>
        </w:rPr>
        <w:t>overty hampers people from obtaining an adequate standard of housing</w:t>
      </w:r>
      <w:r w:rsidR="001118B6" w:rsidRPr="007633A1">
        <w:rPr>
          <w:rFonts w:ascii="Arial" w:hAnsi="Arial" w:cs="Arial"/>
          <w:sz w:val="22"/>
          <w:szCs w:val="22"/>
          <w:lang w:val="en-US"/>
        </w:rPr>
        <w:t xml:space="preserve"> and</w:t>
      </w:r>
      <w:r w:rsidRPr="007633A1">
        <w:rPr>
          <w:rFonts w:ascii="Arial" w:hAnsi="Arial" w:cs="Arial"/>
          <w:sz w:val="22"/>
          <w:szCs w:val="22"/>
          <w:lang w:val="en-US"/>
        </w:rPr>
        <w:t xml:space="preserve"> as a result, women and girls </w:t>
      </w:r>
      <w:r w:rsidR="001118B6" w:rsidRPr="007633A1">
        <w:rPr>
          <w:rFonts w:ascii="Arial" w:hAnsi="Arial" w:cs="Arial"/>
          <w:sz w:val="22"/>
          <w:szCs w:val="22"/>
          <w:lang w:val="en-US"/>
        </w:rPr>
        <w:t>remain</w:t>
      </w:r>
      <w:r w:rsidR="005D0FD1" w:rsidRPr="007633A1">
        <w:rPr>
          <w:rFonts w:ascii="Arial" w:hAnsi="Arial" w:cs="Arial"/>
          <w:sz w:val="22"/>
          <w:szCs w:val="22"/>
          <w:lang w:val="en-US"/>
        </w:rPr>
        <w:t xml:space="preserve"> </w:t>
      </w:r>
      <w:r w:rsidRPr="007633A1">
        <w:rPr>
          <w:rFonts w:ascii="Arial" w:hAnsi="Arial" w:cs="Arial"/>
          <w:sz w:val="22"/>
          <w:szCs w:val="22"/>
          <w:lang w:val="en-US"/>
        </w:rPr>
        <w:t xml:space="preserve">vulnerable to harassment and sexual violence </w:t>
      </w:r>
      <w:r w:rsidR="001118B6" w:rsidRPr="007633A1">
        <w:rPr>
          <w:rFonts w:ascii="Arial" w:hAnsi="Arial" w:cs="Arial"/>
          <w:sz w:val="22"/>
          <w:szCs w:val="22"/>
          <w:lang w:val="en-US"/>
        </w:rPr>
        <w:t>in their</w:t>
      </w:r>
      <w:r w:rsidRPr="007633A1">
        <w:rPr>
          <w:rFonts w:ascii="Arial" w:hAnsi="Arial" w:cs="Arial"/>
          <w:sz w:val="22"/>
          <w:szCs w:val="22"/>
          <w:lang w:val="en-US"/>
        </w:rPr>
        <w:t xml:space="preserve"> own homes. </w:t>
      </w:r>
    </w:p>
    <w:p w:rsidR="00B211AD" w:rsidRPr="007633A1" w:rsidRDefault="007451D7" w:rsidP="00B33739">
      <w:pPr>
        <w:pStyle w:val="SingleTxtG"/>
        <w:ind w:left="567" w:right="146"/>
        <w:rPr>
          <w:rFonts w:ascii="Arial" w:hAnsi="Arial" w:cs="Arial"/>
          <w:sz w:val="22"/>
          <w:szCs w:val="22"/>
          <w:lang w:val="en-US"/>
        </w:rPr>
      </w:pPr>
      <w:r>
        <w:rPr>
          <w:rFonts w:ascii="Arial" w:hAnsi="Arial" w:cs="Arial"/>
          <w:sz w:val="22"/>
          <w:szCs w:val="22"/>
          <w:lang w:val="en-US"/>
        </w:rPr>
        <w:t xml:space="preserve">In addition to that, </w:t>
      </w:r>
      <w:r w:rsidR="00B211AD" w:rsidRPr="007633A1">
        <w:rPr>
          <w:rFonts w:ascii="Arial" w:hAnsi="Arial" w:cs="Arial"/>
          <w:sz w:val="22"/>
          <w:szCs w:val="22"/>
          <w:lang w:val="en-US"/>
        </w:rPr>
        <w:t>rape</w:t>
      </w:r>
      <w:r>
        <w:rPr>
          <w:rFonts w:ascii="Arial" w:hAnsi="Arial" w:cs="Arial"/>
          <w:sz w:val="22"/>
          <w:szCs w:val="22"/>
          <w:lang w:val="en-US"/>
        </w:rPr>
        <w:t xml:space="preserve"> is considered</w:t>
      </w:r>
      <w:r w:rsidR="00B211AD" w:rsidRPr="007633A1">
        <w:rPr>
          <w:rFonts w:ascii="Arial" w:hAnsi="Arial" w:cs="Arial"/>
          <w:sz w:val="22"/>
          <w:szCs w:val="22"/>
          <w:lang w:val="en-US"/>
        </w:rPr>
        <w:t xml:space="preserve"> as a taboo </w:t>
      </w:r>
      <w:r>
        <w:rPr>
          <w:rFonts w:ascii="Arial" w:hAnsi="Arial" w:cs="Arial"/>
          <w:sz w:val="22"/>
          <w:szCs w:val="22"/>
          <w:lang w:val="en-US"/>
        </w:rPr>
        <w:t xml:space="preserve">in the society </w:t>
      </w:r>
      <w:r w:rsidR="00AE1533" w:rsidRPr="007633A1">
        <w:rPr>
          <w:rFonts w:ascii="Arial" w:hAnsi="Arial" w:cs="Arial"/>
          <w:sz w:val="22"/>
          <w:szCs w:val="22"/>
          <w:lang w:val="en-US"/>
        </w:rPr>
        <w:t>and</w:t>
      </w:r>
      <w:r w:rsidR="005D0FD1" w:rsidRPr="007633A1">
        <w:rPr>
          <w:rFonts w:ascii="Arial" w:hAnsi="Arial" w:cs="Arial"/>
          <w:sz w:val="22"/>
          <w:szCs w:val="22"/>
          <w:lang w:val="en-US"/>
        </w:rPr>
        <w:t xml:space="preserve"> </w:t>
      </w:r>
      <w:r w:rsidR="00B211AD" w:rsidRPr="007633A1">
        <w:rPr>
          <w:rFonts w:ascii="Arial" w:hAnsi="Arial" w:cs="Arial"/>
          <w:sz w:val="22"/>
          <w:szCs w:val="22"/>
          <w:lang w:val="en-US"/>
        </w:rPr>
        <w:t>makes</w:t>
      </w:r>
      <w:r w:rsidR="005D0FD1" w:rsidRPr="007633A1">
        <w:rPr>
          <w:rFonts w:ascii="Arial" w:hAnsi="Arial" w:cs="Arial"/>
          <w:sz w:val="22"/>
          <w:szCs w:val="22"/>
          <w:lang w:val="en-US"/>
        </w:rPr>
        <w:t xml:space="preserve"> </w:t>
      </w:r>
      <w:r w:rsidR="001118B6" w:rsidRPr="007633A1">
        <w:rPr>
          <w:rFonts w:ascii="Arial" w:hAnsi="Arial" w:cs="Arial"/>
          <w:sz w:val="22"/>
          <w:szCs w:val="22"/>
          <w:lang w:val="en-US"/>
        </w:rPr>
        <w:t xml:space="preserve">it </w:t>
      </w:r>
      <w:r w:rsidR="00AE1533" w:rsidRPr="007633A1">
        <w:rPr>
          <w:rFonts w:ascii="Arial" w:hAnsi="Arial" w:cs="Arial"/>
          <w:sz w:val="22"/>
          <w:szCs w:val="22"/>
          <w:lang w:val="en-US"/>
        </w:rPr>
        <w:t>therefore</w:t>
      </w:r>
      <w:r w:rsidR="001118B6" w:rsidRPr="007633A1">
        <w:rPr>
          <w:rFonts w:ascii="Arial" w:hAnsi="Arial" w:cs="Arial"/>
          <w:sz w:val="22"/>
          <w:szCs w:val="22"/>
          <w:lang w:val="en-US"/>
        </w:rPr>
        <w:t xml:space="preserve"> difficult for</w:t>
      </w:r>
      <w:r w:rsidR="005D0FD1" w:rsidRPr="007633A1">
        <w:rPr>
          <w:rFonts w:ascii="Arial" w:hAnsi="Arial" w:cs="Arial"/>
          <w:sz w:val="22"/>
          <w:szCs w:val="22"/>
          <w:lang w:val="en-US"/>
        </w:rPr>
        <w:t xml:space="preserve"> </w:t>
      </w:r>
      <w:r w:rsidR="001118B6" w:rsidRPr="007633A1">
        <w:rPr>
          <w:rFonts w:ascii="Arial" w:hAnsi="Arial" w:cs="Arial"/>
          <w:sz w:val="22"/>
          <w:szCs w:val="22"/>
          <w:lang w:val="en-US"/>
        </w:rPr>
        <w:t xml:space="preserve">women and girls to report. </w:t>
      </w:r>
    </w:p>
    <w:p w:rsidR="00B211AD" w:rsidRPr="007633A1" w:rsidRDefault="00B211AD" w:rsidP="00F163F9">
      <w:pPr>
        <w:pStyle w:val="SingleTxtG"/>
        <w:numPr>
          <w:ilvl w:val="0"/>
          <w:numId w:val="14"/>
        </w:numPr>
        <w:ind w:left="567" w:right="146" w:hanging="567"/>
        <w:rPr>
          <w:rFonts w:ascii="Arial" w:hAnsi="Arial" w:cs="Arial"/>
          <w:sz w:val="22"/>
          <w:szCs w:val="22"/>
          <w:lang w:val="en-US"/>
        </w:rPr>
      </w:pPr>
      <w:r w:rsidRPr="007633A1">
        <w:rPr>
          <w:rFonts w:ascii="Arial" w:hAnsi="Arial" w:cs="Arial"/>
          <w:sz w:val="22"/>
          <w:szCs w:val="22"/>
          <w:lang w:val="en-US"/>
        </w:rPr>
        <w:t>Law enforcement personnel such as the Police, Prosecutors, and Judges did not perform their work in a well manner, particularly in punishing rapists</w:t>
      </w:r>
      <w:r w:rsidR="0008018B" w:rsidRPr="007633A1">
        <w:rPr>
          <w:rFonts w:ascii="Arial" w:hAnsi="Arial" w:cs="Arial"/>
          <w:sz w:val="22"/>
          <w:szCs w:val="22"/>
          <w:lang w:val="en-US"/>
        </w:rPr>
        <w:t>.</w:t>
      </w:r>
      <w:r w:rsidR="005D0FD1" w:rsidRPr="007633A1">
        <w:rPr>
          <w:rFonts w:ascii="Arial" w:hAnsi="Arial" w:cs="Arial"/>
          <w:sz w:val="22"/>
          <w:szCs w:val="22"/>
          <w:lang w:val="en-US"/>
        </w:rPr>
        <w:t xml:space="preserve"> </w:t>
      </w:r>
      <w:r w:rsidR="0008018B" w:rsidRPr="007633A1">
        <w:rPr>
          <w:rFonts w:ascii="Arial" w:hAnsi="Arial" w:cs="Arial"/>
          <w:sz w:val="22"/>
          <w:szCs w:val="22"/>
          <w:lang w:val="en-US"/>
        </w:rPr>
        <w:t>A</w:t>
      </w:r>
      <w:r w:rsidRPr="007633A1">
        <w:rPr>
          <w:rFonts w:ascii="Arial" w:hAnsi="Arial" w:cs="Arial"/>
          <w:sz w:val="22"/>
          <w:szCs w:val="22"/>
          <w:lang w:val="en-US"/>
        </w:rPr>
        <w:t xml:space="preserve">s a result, there was no deterrent effect. When rape is not immediately revealed and resolved by the police, it will always be a trend among the perpetrators. The perspective of law enforcement personnel was still gender bias. Of all cases of rape, most of them were decided </w:t>
      </w:r>
      <w:r w:rsidR="00B33739" w:rsidRPr="007633A1">
        <w:rPr>
          <w:rFonts w:ascii="Arial" w:hAnsi="Arial" w:cs="Arial"/>
          <w:sz w:val="22"/>
          <w:szCs w:val="22"/>
          <w:lang w:val="en-US"/>
        </w:rPr>
        <w:t xml:space="preserve">as </w:t>
      </w:r>
      <w:r w:rsidRPr="007633A1">
        <w:rPr>
          <w:rFonts w:ascii="Arial" w:hAnsi="Arial" w:cs="Arial"/>
          <w:sz w:val="22"/>
          <w:szCs w:val="22"/>
          <w:lang w:val="en-US"/>
        </w:rPr>
        <w:t>consensual</w:t>
      </w:r>
      <w:r w:rsidRPr="007633A1">
        <w:rPr>
          <w:rStyle w:val="FootnoteReference"/>
          <w:rFonts w:ascii="Arial" w:hAnsi="Arial" w:cs="Arial"/>
          <w:sz w:val="22"/>
          <w:szCs w:val="22"/>
          <w:lang w:val="en-US"/>
        </w:rPr>
        <w:footnoteReference w:id="28"/>
      </w:r>
      <w:r w:rsidRPr="007633A1">
        <w:rPr>
          <w:rFonts w:ascii="Arial" w:hAnsi="Arial" w:cs="Arial"/>
          <w:sz w:val="22"/>
          <w:szCs w:val="22"/>
          <w:lang w:val="en-US"/>
        </w:rPr>
        <w:t>.</w:t>
      </w:r>
    </w:p>
    <w:p w:rsidR="00B211AD" w:rsidRPr="007633A1" w:rsidRDefault="00B211AD" w:rsidP="00F163F9">
      <w:pPr>
        <w:pStyle w:val="SingleTxtG"/>
        <w:numPr>
          <w:ilvl w:val="0"/>
          <w:numId w:val="14"/>
        </w:numPr>
        <w:ind w:left="567" w:right="146" w:hanging="567"/>
        <w:rPr>
          <w:rFonts w:ascii="Arial" w:hAnsi="Arial" w:cs="Arial"/>
          <w:sz w:val="22"/>
          <w:szCs w:val="22"/>
          <w:lang w:val="en-US"/>
        </w:rPr>
      </w:pPr>
      <w:r w:rsidRPr="007633A1">
        <w:rPr>
          <w:rFonts w:ascii="Arial" w:hAnsi="Arial" w:cs="Arial"/>
          <w:sz w:val="22"/>
          <w:szCs w:val="22"/>
          <w:lang w:val="en-US"/>
        </w:rPr>
        <w:t xml:space="preserve">Sanctions for rapists are also very low and do not satisfy the victims. This is due to the provision regarding rape under the Criminal Code </w:t>
      </w:r>
      <w:r w:rsidR="00094BE7" w:rsidRPr="007633A1">
        <w:rPr>
          <w:rFonts w:ascii="Arial" w:hAnsi="Arial" w:cs="Arial"/>
          <w:sz w:val="22"/>
          <w:szCs w:val="22"/>
          <w:lang w:val="en-US"/>
        </w:rPr>
        <w:t xml:space="preserve">that </w:t>
      </w:r>
      <w:r w:rsidRPr="007633A1">
        <w:rPr>
          <w:rFonts w:ascii="Arial" w:hAnsi="Arial" w:cs="Arial"/>
          <w:sz w:val="22"/>
          <w:szCs w:val="22"/>
          <w:lang w:val="en-US"/>
        </w:rPr>
        <w:t>has not been amended in accordance with existing regulations and policies in Indonesia.</w:t>
      </w:r>
    </w:p>
    <w:p w:rsidR="00B211AD" w:rsidRPr="007633A1" w:rsidRDefault="00B211AD" w:rsidP="00B33739">
      <w:pPr>
        <w:ind w:left="1418"/>
        <w:jc w:val="both"/>
        <w:rPr>
          <w:rFonts w:ascii="Arial" w:hAnsi="Arial" w:cs="Arial"/>
          <w:i/>
          <w:lang w:val="en-US"/>
        </w:rPr>
      </w:pPr>
      <w:r w:rsidRPr="007633A1">
        <w:rPr>
          <w:rFonts w:ascii="Arial" w:hAnsi="Arial" w:cs="Arial"/>
          <w:i/>
          <w:lang w:val="en-US"/>
        </w:rPr>
        <w:t>Article 285 regarding rape</w:t>
      </w:r>
    </w:p>
    <w:p w:rsidR="00B211AD" w:rsidRPr="007633A1" w:rsidRDefault="00B211AD" w:rsidP="00B33739">
      <w:pPr>
        <w:ind w:left="1418"/>
        <w:jc w:val="both"/>
        <w:rPr>
          <w:rFonts w:ascii="Arial" w:eastAsia="Times New Roman" w:hAnsi="Arial" w:cs="Arial"/>
          <w:i/>
          <w:lang w:val="en-US"/>
        </w:rPr>
      </w:pPr>
      <w:r w:rsidRPr="007633A1">
        <w:rPr>
          <w:rFonts w:ascii="Arial" w:eastAsia="Times New Roman" w:hAnsi="Arial" w:cs="Arial"/>
          <w:i/>
          <w:lang w:val="en-US"/>
        </w:rPr>
        <w:t xml:space="preserve">Any person using violence or a threat to force a woman to have intercourse with him outside marriage shall be charged of rape and punishable by maximum 12 years imprisonment. </w:t>
      </w:r>
    </w:p>
    <w:p w:rsidR="006E2B3D" w:rsidRPr="007633A1" w:rsidRDefault="00AE1533" w:rsidP="00B33739">
      <w:pPr>
        <w:pStyle w:val="SingleTxtG"/>
        <w:tabs>
          <w:tab w:val="left" w:pos="567"/>
        </w:tabs>
        <w:ind w:left="567" w:right="146"/>
        <w:rPr>
          <w:rFonts w:ascii="Arial" w:hAnsi="Arial" w:cs="Arial"/>
          <w:sz w:val="22"/>
          <w:szCs w:val="22"/>
          <w:lang w:val="en-US"/>
        </w:rPr>
      </w:pPr>
      <w:r w:rsidRPr="007633A1">
        <w:rPr>
          <w:rFonts w:ascii="Arial" w:hAnsi="Arial" w:cs="Arial"/>
          <w:sz w:val="22"/>
          <w:szCs w:val="22"/>
          <w:lang w:val="en-US"/>
        </w:rPr>
        <w:lastRenderedPageBreak/>
        <w:t>R</w:t>
      </w:r>
      <w:r w:rsidR="00B211AD" w:rsidRPr="007633A1">
        <w:rPr>
          <w:rFonts w:ascii="Arial" w:hAnsi="Arial" w:cs="Arial"/>
          <w:sz w:val="22"/>
          <w:szCs w:val="22"/>
          <w:lang w:val="en-US"/>
        </w:rPr>
        <w:t>ape is defined as an act “…using vi</w:t>
      </w:r>
      <w:r w:rsidR="007451D7">
        <w:rPr>
          <w:rFonts w:ascii="Arial" w:hAnsi="Arial" w:cs="Arial"/>
          <w:sz w:val="22"/>
          <w:szCs w:val="22"/>
          <w:lang w:val="en-US"/>
        </w:rPr>
        <w:t>olence or threat to force a woma</w:t>
      </w:r>
      <w:r w:rsidR="00B211AD" w:rsidRPr="007633A1">
        <w:rPr>
          <w:rFonts w:ascii="Arial" w:hAnsi="Arial" w:cs="Arial"/>
          <w:sz w:val="22"/>
          <w:szCs w:val="22"/>
          <w:lang w:val="en-US"/>
        </w:rPr>
        <w:t xml:space="preserve">n who is not his wife to have sexual intercourse with him…” The elements in this offense are, among others: using violence or threat; to force a woman who is not his wife; to have sexual intercourse. In the current social context, the formulation is obviously outdated, since rape has rapidly </w:t>
      </w:r>
      <w:r w:rsidRPr="007633A1">
        <w:rPr>
          <w:rFonts w:ascii="Arial" w:hAnsi="Arial" w:cs="Arial"/>
          <w:sz w:val="22"/>
          <w:szCs w:val="22"/>
          <w:lang w:val="en-US"/>
        </w:rPr>
        <w:t>changed</w:t>
      </w:r>
      <w:r w:rsidR="005D0FD1" w:rsidRPr="007633A1">
        <w:rPr>
          <w:rFonts w:ascii="Arial" w:hAnsi="Arial" w:cs="Arial"/>
          <w:sz w:val="22"/>
          <w:szCs w:val="22"/>
          <w:lang w:val="en-US"/>
        </w:rPr>
        <w:t xml:space="preserve"> </w:t>
      </w:r>
      <w:r w:rsidR="00B211AD" w:rsidRPr="007633A1">
        <w:rPr>
          <w:rFonts w:ascii="Arial" w:hAnsi="Arial" w:cs="Arial"/>
          <w:sz w:val="22"/>
          <w:szCs w:val="22"/>
          <w:lang w:val="en-US"/>
        </w:rPr>
        <w:t xml:space="preserve">in terms of modus operandi and models. </w:t>
      </w:r>
    </w:p>
    <w:p w:rsidR="001E6EBA" w:rsidRPr="007633A1" w:rsidRDefault="001E6EBA" w:rsidP="00B33739">
      <w:pPr>
        <w:pStyle w:val="SingleTxtG"/>
        <w:tabs>
          <w:tab w:val="left" w:pos="567"/>
        </w:tabs>
        <w:ind w:left="567" w:right="146"/>
      </w:pPr>
    </w:p>
    <w:p w:rsidR="00B211AD" w:rsidRPr="007633A1" w:rsidRDefault="00D801CA" w:rsidP="001C05AA">
      <w:pPr>
        <w:pStyle w:val="SingleTxtG"/>
        <w:pBdr>
          <w:top w:val="single" w:sz="4" w:space="1" w:color="auto"/>
          <w:left w:val="single" w:sz="4" w:space="4" w:color="auto"/>
          <w:bottom w:val="single" w:sz="4" w:space="1" w:color="auto"/>
          <w:right w:val="single" w:sz="4" w:space="4" w:color="auto"/>
        </w:pBdr>
        <w:tabs>
          <w:tab w:val="left" w:pos="9026"/>
        </w:tabs>
        <w:ind w:left="0" w:right="-46"/>
        <w:rPr>
          <w:rFonts w:ascii="Arial" w:hAnsi="Arial" w:cs="Arial"/>
          <w:sz w:val="22"/>
          <w:szCs w:val="22"/>
          <w:lang w:val="en-US"/>
        </w:rPr>
      </w:pPr>
      <w:r w:rsidRPr="007633A1">
        <w:rPr>
          <w:rFonts w:ascii="Arial" w:hAnsi="Arial" w:cs="Arial"/>
          <w:b/>
          <w:sz w:val="22"/>
          <w:szCs w:val="22"/>
          <w:lang w:val="en-US"/>
        </w:rPr>
        <w:t>Issue 18:</w:t>
      </w:r>
      <w:r w:rsidR="001E6EBA" w:rsidRPr="007633A1">
        <w:rPr>
          <w:rFonts w:ascii="Arial" w:hAnsi="Arial" w:cs="Arial"/>
          <w:b/>
          <w:sz w:val="22"/>
          <w:szCs w:val="22"/>
          <w:lang w:val="en-US"/>
        </w:rPr>
        <w:t xml:space="preserve"> </w:t>
      </w:r>
      <w:r w:rsidR="00B211AD" w:rsidRPr="007633A1">
        <w:rPr>
          <w:rFonts w:ascii="Arial" w:hAnsi="Arial" w:cs="Arial"/>
          <w:sz w:val="22"/>
          <w:szCs w:val="22"/>
          <w:lang w:val="en-US"/>
        </w:rPr>
        <w:t>Please respond to reports that violence against women, including domestic violence remains a problem that is exacerbated by under-reporting and poor documentation by State authorities. Furthermore, please respond to reports that the law does not prohibit female genital mutilation (FGM), and that in November 2010 the Ministry of Health issued a decree that prohibits “grave types of FGM” but explicitly permits doctors, midwives and licensed nurses to conduct FGM. Please explain how the medicalization of the practice of FGM is compatible with the rights provided under the Covenant.</w:t>
      </w:r>
    </w:p>
    <w:p w:rsidR="00B211AD" w:rsidRPr="007633A1" w:rsidRDefault="00B211AD" w:rsidP="00F163F9">
      <w:pPr>
        <w:pStyle w:val="NormalWeb"/>
        <w:numPr>
          <w:ilvl w:val="0"/>
          <w:numId w:val="14"/>
        </w:numPr>
        <w:tabs>
          <w:tab w:val="left" w:pos="567"/>
        </w:tabs>
        <w:spacing w:before="0" w:beforeAutospacing="0" w:after="0" w:afterAutospacing="0"/>
        <w:ind w:left="567" w:hanging="567"/>
        <w:jc w:val="both"/>
        <w:rPr>
          <w:rFonts w:ascii="Arial" w:hAnsi="Arial" w:cs="Arial"/>
          <w:sz w:val="22"/>
          <w:szCs w:val="22"/>
          <w:lang w:val="en-US"/>
        </w:rPr>
      </w:pPr>
      <w:r w:rsidRPr="007633A1">
        <w:rPr>
          <w:rFonts w:ascii="Arial" w:hAnsi="Arial" w:cs="Arial"/>
          <w:sz w:val="22"/>
          <w:szCs w:val="22"/>
          <w:lang w:val="en-US"/>
        </w:rPr>
        <w:t>Female circumcision is still being practiced in many places in Indonesia. A research conducted by the Ministry of Health and the Ministry of Women Empowerment and Child Protection seven years ago show</w:t>
      </w:r>
      <w:r w:rsidR="007451D7">
        <w:rPr>
          <w:rFonts w:ascii="Arial" w:hAnsi="Arial" w:cs="Arial"/>
          <w:sz w:val="22"/>
          <w:szCs w:val="22"/>
          <w:lang w:val="en-US"/>
        </w:rPr>
        <w:t>ed</w:t>
      </w:r>
      <w:r w:rsidRPr="007633A1">
        <w:rPr>
          <w:rFonts w:ascii="Arial" w:hAnsi="Arial" w:cs="Arial"/>
          <w:sz w:val="22"/>
          <w:szCs w:val="22"/>
          <w:lang w:val="en-US"/>
        </w:rPr>
        <w:t xml:space="preserve"> that 68 percent of female circumcision in South Sulawesi and Banten, for instance, was still performed by non-medical personnel. The research was the reason why the Minister of Health issued a prohibition against female circumcision in 2006</w:t>
      </w:r>
      <w:r w:rsidR="00A9603E" w:rsidRPr="007633A1">
        <w:rPr>
          <w:rFonts w:ascii="Arial" w:hAnsi="Arial" w:cs="Arial"/>
          <w:sz w:val="22"/>
          <w:szCs w:val="22"/>
          <w:lang w:val="en-US"/>
        </w:rPr>
        <w:t xml:space="preserve"> (Circular Letter of the Directorate General of Community Health, Ministry of Health Number HK. 00.07.1.31047a of 20 April 2006 on the Prohibition of Female Circumcision)</w:t>
      </w:r>
      <w:r w:rsidR="0046566E" w:rsidRPr="007633A1">
        <w:rPr>
          <w:rFonts w:ascii="Arial" w:hAnsi="Arial" w:cs="Arial"/>
          <w:sz w:val="22"/>
          <w:szCs w:val="22"/>
          <w:lang w:val="en-US"/>
        </w:rPr>
        <w:t>.</w:t>
      </w:r>
    </w:p>
    <w:p w:rsidR="00B211AD" w:rsidRPr="007633A1" w:rsidRDefault="00B211AD" w:rsidP="00B211AD">
      <w:pPr>
        <w:pStyle w:val="NormalWeb"/>
        <w:spacing w:before="0" w:beforeAutospacing="0" w:after="0" w:afterAutospacing="0"/>
        <w:ind w:left="928"/>
        <w:jc w:val="both"/>
        <w:rPr>
          <w:rFonts w:ascii="Arial" w:hAnsi="Arial" w:cs="Arial"/>
          <w:sz w:val="22"/>
          <w:szCs w:val="22"/>
          <w:lang w:val="en-US"/>
        </w:rPr>
      </w:pPr>
    </w:p>
    <w:p w:rsidR="00B211AD" w:rsidRPr="007633A1" w:rsidRDefault="00B211AD" w:rsidP="00F163F9">
      <w:pPr>
        <w:pStyle w:val="NormalWeb"/>
        <w:numPr>
          <w:ilvl w:val="0"/>
          <w:numId w:val="14"/>
        </w:numPr>
        <w:spacing w:before="0" w:beforeAutospacing="0" w:after="0" w:afterAutospacing="0"/>
        <w:ind w:left="567" w:hanging="567"/>
        <w:jc w:val="both"/>
        <w:rPr>
          <w:rFonts w:ascii="Arial" w:hAnsi="Arial" w:cs="Arial"/>
          <w:sz w:val="22"/>
          <w:szCs w:val="22"/>
          <w:lang w:val="en-US"/>
        </w:rPr>
      </w:pPr>
      <w:r w:rsidRPr="007633A1">
        <w:rPr>
          <w:rFonts w:ascii="Arial" w:hAnsi="Arial" w:cs="Arial"/>
          <w:sz w:val="22"/>
          <w:szCs w:val="22"/>
          <w:lang w:val="en-US"/>
        </w:rPr>
        <w:t xml:space="preserve">However, two years later, the Indonesian Ulema Council (MUI) issued a resolution refusing the prohibition </w:t>
      </w:r>
      <w:r w:rsidR="00AE1533" w:rsidRPr="007633A1">
        <w:rPr>
          <w:rFonts w:ascii="Arial" w:hAnsi="Arial" w:cs="Arial"/>
          <w:sz w:val="22"/>
          <w:szCs w:val="22"/>
          <w:lang w:val="en-US"/>
        </w:rPr>
        <w:t>formulated</w:t>
      </w:r>
      <w:r w:rsidR="007451D7">
        <w:rPr>
          <w:rFonts w:ascii="Arial" w:hAnsi="Arial" w:cs="Arial"/>
          <w:sz w:val="22"/>
          <w:szCs w:val="22"/>
          <w:lang w:val="en-US"/>
        </w:rPr>
        <w:t xml:space="preserve"> </w:t>
      </w:r>
      <w:r w:rsidRPr="007633A1">
        <w:rPr>
          <w:rFonts w:ascii="Arial" w:hAnsi="Arial" w:cs="Arial"/>
          <w:sz w:val="22"/>
          <w:szCs w:val="22"/>
          <w:lang w:val="en-US"/>
        </w:rPr>
        <w:t>by the Minister of Health on the ground that female circumcision is part of shariah and</w:t>
      </w:r>
      <w:r w:rsidR="007451D7">
        <w:rPr>
          <w:rFonts w:ascii="Arial" w:hAnsi="Arial" w:cs="Arial"/>
          <w:sz w:val="22"/>
          <w:szCs w:val="22"/>
          <w:lang w:val="en-US"/>
        </w:rPr>
        <w:t>,</w:t>
      </w:r>
      <w:r w:rsidRPr="007633A1">
        <w:rPr>
          <w:rFonts w:ascii="Arial" w:hAnsi="Arial" w:cs="Arial"/>
          <w:sz w:val="22"/>
          <w:szCs w:val="22"/>
          <w:lang w:val="en-US"/>
        </w:rPr>
        <w:t xml:space="preserve"> in 2010, the Indonesian Ulema Council (MUI) urged the </w:t>
      </w:r>
      <w:r w:rsidR="00A9603E" w:rsidRPr="007633A1">
        <w:rPr>
          <w:rFonts w:ascii="Arial" w:hAnsi="Arial" w:cs="Arial"/>
          <w:sz w:val="22"/>
          <w:szCs w:val="22"/>
          <w:lang w:val="en-US"/>
        </w:rPr>
        <w:t>M</w:t>
      </w:r>
      <w:r w:rsidRPr="007633A1">
        <w:rPr>
          <w:rFonts w:ascii="Arial" w:hAnsi="Arial" w:cs="Arial"/>
          <w:sz w:val="22"/>
          <w:szCs w:val="22"/>
          <w:lang w:val="en-US"/>
        </w:rPr>
        <w:t xml:space="preserve">inistry of </w:t>
      </w:r>
      <w:r w:rsidR="00A9603E" w:rsidRPr="007633A1">
        <w:rPr>
          <w:rFonts w:ascii="Arial" w:hAnsi="Arial" w:cs="Arial"/>
          <w:sz w:val="22"/>
          <w:szCs w:val="22"/>
          <w:lang w:val="en-US"/>
        </w:rPr>
        <w:t>H</w:t>
      </w:r>
      <w:r w:rsidRPr="007633A1">
        <w:rPr>
          <w:rFonts w:ascii="Arial" w:hAnsi="Arial" w:cs="Arial"/>
          <w:sz w:val="22"/>
          <w:szCs w:val="22"/>
          <w:lang w:val="en-US"/>
        </w:rPr>
        <w:t xml:space="preserve">ealth to issue </w:t>
      </w:r>
      <w:r w:rsidR="00A9603E" w:rsidRPr="007633A1">
        <w:rPr>
          <w:rFonts w:ascii="Arial" w:hAnsi="Arial" w:cs="Arial"/>
          <w:sz w:val="22"/>
          <w:szCs w:val="22"/>
          <w:lang w:val="en-US"/>
        </w:rPr>
        <w:t xml:space="preserve">decree </w:t>
      </w:r>
      <w:r w:rsidRPr="007633A1">
        <w:rPr>
          <w:rFonts w:ascii="Arial" w:hAnsi="Arial" w:cs="Arial"/>
          <w:sz w:val="22"/>
          <w:szCs w:val="22"/>
          <w:lang w:val="en-US"/>
        </w:rPr>
        <w:t>PMK No. 163</w:t>
      </w:r>
      <w:r w:rsidR="00666FE9" w:rsidRPr="007633A1">
        <w:rPr>
          <w:rFonts w:ascii="Arial" w:hAnsi="Arial" w:cs="Arial"/>
          <w:sz w:val="22"/>
          <w:szCs w:val="22"/>
          <w:lang w:val="en-US"/>
        </w:rPr>
        <w:t>/</w:t>
      </w:r>
      <w:r w:rsidRPr="007633A1">
        <w:rPr>
          <w:rFonts w:ascii="Arial" w:hAnsi="Arial" w:cs="Arial"/>
          <w:sz w:val="22"/>
          <w:szCs w:val="22"/>
          <w:lang w:val="en-US"/>
        </w:rPr>
        <w:t xml:space="preserve"> 2010 </w:t>
      </w:r>
      <w:r w:rsidR="00AE1533" w:rsidRPr="007633A1">
        <w:rPr>
          <w:rFonts w:ascii="Arial" w:hAnsi="Arial" w:cs="Arial"/>
          <w:sz w:val="22"/>
          <w:szCs w:val="22"/>
          <w:lang w:val="en-US"/>
        </w:rPr>
        <w:t>allowing</w:t>
      </w:r>
      <w:r w:rsidRPr="007633A1">
        <w:rPr>
          <w:rFonts w:ascii="Arial" w:hAnsi="Arial" w:cs="Arial"/>
          <w:sz w:val="22"/>
          <w:szCs w:val="22"/>
          <w:lang w:val="en-US"/>
        </w:rPr>
        <w:t xml:space="preserve"> female circumcisio</w:t>
      </w:r>
      <w:r w:rsidR="00A9603E" w:rsidRPr="007633A1">
        <w:rPr>
          <w:rFonts w:ascii="Arial" w:hAnsi="Arial" w:cs="Arial"/>
          <w:sz w:val="22"/>
          <w:szCs w:val="22"/>
          <w:lang w:val="en-US"/>
        </w:rPr>
        <w:t>n</w:t>
      </w:r>
      <w:r w:rsidR="00AE1533" w:rsidRPr="007633A1">
        <w:rPr>
          <w:rFonts w:ascii="Arial" w:hAnsi="Arial" w:cs="Arial"/>
          <w:sz w:val="22"/>
          <w:szCs w:val="22"/>
          <w:lang w:val="en-US"/>
        </w:rPr>
        <w:t>.</w:t>
      </w:r>
    </w:p>
    <w:p w:rsidR="00B211AD" w:rsidRPr="007633A1" w:rsidRDefault="00B211AD" w:rsidP="00B211AD">
      <w:pPr>
        <w:pStyle w:val="NormalWeb"/>
        <w:spacing w:before="0" w:beforeAutospacing="0" w:after="0" w:afterAutospacing="0"/>
        <w:ind w:left="930"/>
        <w:jc w:val="both"/>
        <w:rPr>
          <w:rFonts w:ascii="Arial" w:hAnsi="Arial" w:cs="Arial"/>
          <w:sz w:val="22"/>
          <w:szCs w:val="22"/>
          <w:lang w:val="en-US"/>
        </w:rPr>
      </w:pPr>
    </w:p>
    <w:p w:rsidR="00B211AD" w:rsidRPr="007633A1" w:rsidRDefault="00B211AD" w:rsidP="00F163F9">
      <w:pPr>
        <w:pStyle w:val="NormalWeb"/>
        <w:numPr>
          <w:ilvl w:val="0"/>
          <w:numId w:val="14"/>
        </w:numPr>
        <w:spacing w:before="0" w:beforeAutospacing="0" w:after="0" w:afterAutospacing="0"/>
        <w:ind w:left="567" w:hanging="567"/>
        <w:jc w:val="both"/>
        <w:rPr>
          <w:rFonts w:ascii="Arial" w:hAnsi="Arial" w:cs="Arial"/>
          <w:sz w:val="22"/>
          <w:szCs w:val="22"/>
          <w:lang w:val="en-US"/>
        </w:rPr>
      </w:pPr>
      <w:r w:rsidRPr="007633A1">
        <w:rPr>
          <w:rFonts w:ascii="Arial" w:hAnsi="Arial" w:cs="Arial"/>
          <w:sz w:val="22"/>
          <w:szCs w:val="22"/>
          <w:lang w:val="en-US"/>
        </w:rPr>
        <w:t>In some parts of Indonesia, such as West Sumat</w:t>
      </w:r>
      <w:r w:rsidR="00A9603E" w:rsidRPr="007633A1">
        <w:rPr>
          <w:rFonts w:ascii="Arial" w:hAnsi="Arial" w:cs="Arial"/>
          <w:sz w:val="22"/>
          <w:szCs w:val="22"/>
          <w:lang w:val="en-US"/>
        </w:rPr>
        <w:t>r</w:t>
      </w:r>
      <w:r w:rsidRPr="007633A1">
        <w:rPr>
          <w:rFonts w:ascii="Arial" w:hAnsi="Arial" w:cs="Arial"/>
          <w:sz w:val="22"/>
          <w:szCs w:val="22"/>
          <w:lang w:val="en-US"/>
        </w:rPr>
        <w:t xml:space="preserve">a, West Java, Madura, West Nusa Tenggara, and South Sulawesi, the practice of female circumcision </w:t>
      </w:r>
      <w:r w:rsidR="001118B6" w:rsidRPr="007633A1">
        <w:rPr>
          <w:rFonts w:ascii="Arial" w:hAnsi="Arial" w:cs="Arial"/>
          <w:sz w:val="22"/>
          <w:szCs w:val="22"/>
          <w:lang w:val="en-US"/>
        </w:rPr>
        <w:t>remains a</w:t>
      </w:r>
      <w:r w:rsidRPr="007633A1">
        <w:rPr>
          <w:rFonts w:ascii="Arial" w:hAnsi="Arial" w:cs="Arial"/>
          <w:sz w:val="22"/>
          <w:szCs w:val="22"/>
          <w:lang w:val="en-US"/>
        </w:rPr>
        <w:t xml:space="preserve"> tradition. The practice is tightly related to a religious teaching, particularly Islam</w:t>
      </w:r>
      <w:r w:rsidR="00A9603E" w:rsidRPr="007633A1">
        <w:rPr>
          <w:rFonts w:ascii="Arial" w:hAnsi="Arial" w:cs="Arial"/>
          <w:sz w:val="22"/>
          <w:szCs w:val="22"/>
          <w:lang w:val="en-US"/>
        </w:rPr>
        <w:t>.</w:t>
      </w:r>
      <w:r w:rsidRPr="007633A1">
        <w:rPr>
          <w:rFonts w:ascii="Arial" w:hAnsi="Arial" w:cs="Arial"/>
          <w:sz w:val="22"/>
          <w:szCs w:val="22"/>
          <w:lang w:val="en-US"/>
        </w:rPr>
        <w:t xml:space="preserve"> As </w:t>
      </w:r>
      <w:r w:rsidR="007F3D60" w:rsidRPr="007633A1">
        <w:rPr>
          <w:rFonts w:ascii="Arial" w:hAnsi="Arial" w:cs="Arial"/>
          <w:sz w:val="22"/>
          <w:szCs w:val="22"/>
          <w:lang w:val="en-US"/>
        </w:rPr>
        <w:t>a consequence</w:t>
      </w:r>
      <w:r w:rsidRPr="007633A1">
        <w:rPr>
          <w:rFonts w:ascii="Arial" w:hAnsi="Arial" w:cs="Arial"/>
          <w:sz w:val="22"/>
          <w:szCs w:val="22"/>
          <w:lang w:val="en-US"/>
        </w:rPr>
        <w:t xml:space="preserve"> of the PMK No. 1636, every hospital, even private maternity clinic, performs female circumcision on the ground that it is safer and more hygienic if it is performed in a medical manner.</w:t>
      </w:r>
    </w:p>
    <w:p w:rsidR="00B211AD" w:rsidRPr="007633A1" w:rsidRDefault="00B211AD" w:rsidP="00B211AD">
      <w:pPr>
        <w:pStyle w:val="NormalWeb"/>
        <w:spacing w:before="0" w:beforeAutospacing="0" w:after="0" w:afterAutospacing="0"/>
        <w:ind w:left="930"/>
        <w:jc w:val="both"/>
        <w:rPr>
          <w:rFonts w:ascii="Arial" w:hAnsi="Arial" w:cs="Arial"/>
          <w:sz w:val="22"/>
          <w:szCs w:val="22"/>
          <w:lang w:val="en-US"/>
        </w:rPr>
      </w:pPr>
    </w:p>
    <w:p w:rsidR="00B211AD" w:rsidRPr="007633A1" w:rsidRDefault="00D801CA" w:rsidP="006715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7633A1">
        <w:rPr>
          <w:rFonts w:ascii="Arial" w:hAnsi="Arial" w:cs="Arial"/>
          <w:b/>
          <w:lang w:val="en-US"/>
        </w:rPr>
        <w:t>Issue 19</w:t>
      </w:r>
      <w:r w:rsidR="00A9603E" w:rsidRPr="007633A1">
        <w:rPr>
          <w:rFonts w:ascii="Arial" w:hAnsi="Arial" w:cs="Arial"/>
          <w:lang w:val="en-US"/>
        </w:rPr>
        <w:t xml:space="preserve">: </w:t>
      </w:r>
      <w:r w:rsidR="00B211AD" w:rsidRPr="007633A1">
        <w:rPr>
          <w:rFonts w:ascii="Arial" w:hAnsi="Arial" w:cs="Arial"/>
          <w:lang w:val="en-US"/>
        </w:rPr>
        <w:t>Please respond to reports that the law permits the police to detain accused persons for an initial period of 20 days which can be extended to 60 days, and that prosecutors may further detain a suspect for a further 30 days and can only seek an extension from the courts if they intend to extend the detention for a further 20 days. Please state how this is compatible with the Covenant.</w:t>
      </w:r>
    </w:p>
    <w:p w:rsidR="0046566E" w:rsidRPr="007633A1" w:rsidRDefault="0046566E" w:rsidP="0067159F">
      <w:pPr>
        <w:pStyle w:val="Listecouleur-Accent11"/>
        <w:spacing w:after="0" w:line="240" w:lineRule="auto"/>
        <w:ind w:left="567"/>
        <w:jc w:val="both"/>
        <w:rPr>
          <w:rFonts w:ascii="Arial" w:hAnsi="Arial" w:cs="Arial"/>
          <w:lang w:val="en-US"/>
        </w:rPr>
      </w:pPr>
    </w:p>
    <w:p w:rsidR="00B211AD" w:rsidRPr="007633A1" w:rsidRDefault="00B211AD" w:rsidP="00F163F9">
      <w:pPr>
        <w:pStyle w:val="Listecouleur-Accent11"/>
        <w:numPr>
          <w:ilvl w:val="0"/>
          <w:numId w:val="14"/>
        </w:numPr>
        <w:spacing w:after="0" w:line="240" w:lineRule="auto"/>
        <w:ind w:left="567" w:hanging="567"/>
        <w:jc w:val="both"/>
        <w:rPr>
          <w:rFonts w:ascii="Arial" w:hAnsi="Arial" w:cs="Arial"/>
          <w:lang w:val="en-US"/>
        </w:rPr>
      </w:pPr>
      <w:r w:rsidRPr="007633A1">
        <w:rPr>
          <w:rFonts w:ascii="Arial" w:hAnsi="Arial" w:cs="Arial"/>
          <w:lang w:val="en-US"/>
        </w:rPr>
        <w:t xml:space="preserve">The Criminal Procedure Code allows investigators and prosecutors to extend detention if the investigation has not been completed, and if investigators as well as prosecutors have not finalized the document of the case. Investigators are allowed to detain a person for maximum 20 days </w:t>
      </w:r>
      <w:r w:rsidR="00FC4ED9" w:rsidRPr="007633A1">
        <w:rPr>
          <w:rFonts w:ascii="Arial" w:hAnsi="Arial" w:cs="Arial"/>
          <w:lang w:val="en-US"/>
        </w:rPr>
        <w:t>that can</w:t>
      </w:r>
      <w:r w:rsidRPr="007633A1">
        <w:rPr>
          <w:rFonts w:ascii="Arial" w:hAnsi="Arial" w:cs="Arial"/>
          <w:lang w:val="en-US"/>
        </w:rPr>
        <w:t xml:space="preserve"> be extended to maximum 40 days. Prosecutors can detain a person for maximum 20 days </w:t>
      </w:r>
      <w:r w:rsidR="00FC4ED9" w:rsidRPr="007633A1">
        <w:rPr>
          <w:rFonts w:ascii="Arial" w:hAnsi="Arial" w:cs="Arial"/>
          <w:lang w:val="en-US"/>
        </w:rPr>
        <w:t xml:space="preserve">that </w:t>
      </w:r>
      <w:r w:rsidRPr="007633A1">
        <w:rPr>
          <w:rFonts w:ascii="Arial" w:hAnsi="Arial" w:cs="Arial"/>
          <w:lang w:val="en-US"/>
        </w:rPr>
        <w:t xml:space="preserve">can be extended for maximum 30 days. Judges can detain a person for maximum 30 days </w:t>
      </w:r>
      <w:r w:rsidR="00FC4ED9" w:rsidRPr="007633A1">
        <w:rPr>
          <w:rFonts w:ascii="Arial" w:hAnsi="Arial" w:cs="Arial"/>
          <w:lang w:val="en-US"/>
        </w:rPr>
        <w:t xml:space="preserve">that </w:t>
      </w:r>
      <w:r w:rsidRPr="007633A1">
        <w:rPr>
          <w:rFonts w:ascii="Arial" w:hAnsi="Arial" w:cs="Arial"/>
          <w:lang w:val="en-US"/>
        </w:rPr>
        <w:t>can be extended to 60 days. And the Criminal Procedure Code mentions that the provision does not rule out the possibility of releasing a detainee before the detention time expires, if the investigation has been completed. If the detention time expires and the case has not been completed, the defendant must be exempted by law. However, in practice, we can still find arbitrary detention, without any arrest or detention warrant</w:t>
      </w:r>
      <w:r w:rsidR="00D34CE3" w:rsidRPr="007633A1">
        <w:rPr>
          <w:rFonts w:ascii="Arial" w:hAnsi="Arial" w:cs="Arial"/>
          <w:lang w:val="en-US"/>
        </w:rPr>
        <w:t xml:space="preserve"> (see </w:t>
      </w:r>
      <w:r w:rsidR="00F657A0" w:rsidRPr="007633A1">
        <w:rPr>
          <w:rFonts w:ascii="Arial" w:hAnsi="Arial" w:cs="Arial"/>
        </w:rPr>
        <w:t>annex</w:t>
      </w:r>
      <w:r w:rsidR="00D34CE3" w:rsidRPr="007633A1">
        <w:rPr>
          <w:rFonts w:ascii="Arial" w:hAnsi="Arial" w:cs="Arial"/>
        </w:rPr>
        <w:t>es 1 and</w:t>
      </w:r>
      <w:r w:rsidR="00F657A0" w:rsidRPr="007633A1">
        <w:rPr>
          <w:rFonts w:ascii="Arial" w:hAnsi="Arial" w:cs="Arial"/>
        </w:rPr>
        <w:t xml:space="preserve"> 2)</w:t>
      </w:r>
      <w:r w:rsidR="00131FBB" w:rsidRPr="007633A1">
        <w:rPr>
          <w:rFonts w:ascii="Arial" w:hAnsi="Arial" w:cs="Arial"/>
          <w:lang w:val="en-US"/>
        </w:rPr>
        <w:t>.</w:t>
      </w:r>
    </w:p>
    <w:p w:rsidR="00B211AD" w:rsidRPr="007633A1" w:rsidRDefault="00B211AD" w:rsidP="0067159F">
      <w:pPr>
        <w:pStyle w:val="Listecouleur-Accent11"/>
        <w:spacing w:after="0" w:line="240" w:lineRule="auto"/>
        <w:ind w:left="1070"/>
        <w:jc w:val="both"/>
        <w:rPr>
          <w:rFonts w:ascii="Arial" w:hAnsi="Arial" w:cs="Arial"/>
          <w:lang w:val="en-US"/>
        </w:rPr>
      </w:pPr>
    </w:p>
    <w:p w:rsidR="00B211AD" w:rsidRPr="007633A1" w:rsidRDefault="00B211AD" w:rsidP="00F163F9">
      <w:pPr>
        <w:pStyle w:val="Listecouleur-Accent11"/>
        <w:numPr>
          <w:ilvl w:val="0"/>
          <w:numId w:val="14"/>
        </w:numPr>
        <w:spacing w:after="0" w:line="240" w:lineRule="auto"/>
        <w:ind w:left="567" w:hanging="567"/>
        <w:jc w:val="both"/>
        <w:rPr>
          <w:rFonts w:ascii="Arial" w:hAnsi="Arial" w:cs="Arial"/>
          <w:lang w:val="en-US"/>
        </w:rPr>
      </w:pPr>
      <w:r w:rsidRPr="007633A1">
        <w:rPr>
          <w:rFonts w:ascii="Arial" w:hAnsi="Arial" w:cs="Arial"/>
          <w:lang w:val="en-US"/>
        </w:rPr>
        <w:lastRenderedPageBreak/>
        <w:t>The total number of days for detention, from the investigation stage up to the trial at the Supreme Court, is 400 days. If the time limit expires and the examination has not been completed, the suspect/</w:t>
      </w:r>
      <w:r w:rsidR="007451D7">
        <w:rPr>
          <w:rFonts w:ascii="Arial" w:hAnsi="Arial" w:cs="Arial"/>
          <w:lang w:val="en-US"/>
        </w:rPr>
        <w:t xml:space="preserve"> </w:t>
      </w:r>
      <w:r w:rsidRPr="007633A1">
        <w:rPr>
          <w:rFonts w:ascii="Arial" w:hAnsi="Arial" w:cs="Arial"/>
          <w:lang w:val="en-US"/>
        </w:rPr>
        <w:t>defendant shall be exempted by la</w:t>
      </w:r>
      <w:r w:rsidR="00F64180" w:rsidRPr="007633A1">
        <w:rPr>
          <w:rFonts w:ascii="Arial" w:hAnsi="Arial" w:cs="Arial"/>
          <w:lang w:val="en-US"/>
        </w:rPr>
        <w:t>w.</w:t>
      </w:r>
    </w:p>
    <w:p w:rsidR="00B211AD" w:rsidRPr="007633A1" w:rsidRDefault="00B211AD" w:rsidP="0067159F">
      <w:pPr>
        <w:pStyle w:val="Listecouleur-Accent11"/>
        <w:spacing w:after="0" w:line="240" w:lineRule="auto"/>
        <w:ind w:left="1070" w:hanging="786"/>
        <w:jc w:val="both"/>
        <w:rPr>
          <w:rFonts w:ascii="Arial" w:hAnsi="Arial" w:cs="Arial"/>
          <w:lang w:val="en-US"/>
        </w:rPr>
      </w:pPr>
    </w:p>
    <w:p w:rsidR="00B211AD" w:rsidRPr="007633A1" w:rsidRDefault="00B211AD" w:rsidP="00F163F9">
      <w:pPr>
        <w:pStyle w:val="Listecouleur-Accent11"/>
        <w:numPr>
          <w:ilvl w:val="0"/>
          <w:numId w:val="14"/>
        </w:numPr>
        <w:spacing w:after="0" w:line="240" w:lineRule="auto"/>
        <w:ind w:left="567" w:hanging="567"/>
        <w:jc w:val="both"/>
        <w:rPr>
          <w:rFonts w:ascii="Arial" w:hAnsi="Arial" w:cs="Arial"/>
          <w:lang w:val="en-US"/>
        </w:rPr>
      </w:pPr>
      <w:r w:rsidRPr="007633A1">
        <w:rPr>
          <w:rFonts w:ascii="Arial" w:hAnsi="Arial" w:cs="Arial"/>
          <w:lang w:val="en-US"/>
        </w:rPr>
        <w:t xml:space="preserve">The </w:t>
      </w:r>
      <w:r w:rsidR="00226119" w:rsidRPr="007633A1">
        <w:rPr>
          <w:rFonts w:ascii="Arial" w:hAnsi="Arial" w:cs="Arial"/>
          <w:lang w:val="en-US"/>
        </w:rPr>
        <w:t>time of</w:t>
      </w:r>
      <w:r w:rsidRPr="007633A1">
        <w:rPr>
          <w:rFonts w:ascii="Arial" w:hAnsi="Arial" w:cs="Arial"/>
          <w:lang w:val="en-US"/>
        </w:rPr>
        <w:t xml:space="preserve"> detention in Indonesia is lengthy and </w:t>
      </w:r>
      <w:r w:rsidR="00226119" w:rsidRPr="007633A1">
        <w:rPr>
          <w:rFonts w:ascii="Arial" w:hAnsi="Arial" w:cs="Arial"/>
          <w:lang w:val="en-US"/>
        </w:rPr>
        <w:t>can facilitate the occurrence of</w:t>
      </w:r>
      <w:r w:rsidRPr="007633A1">
        <w:rPr>
          <w:rFonts w:ascii="Arial" w:hAnsi="Arial" w:cs="Arial"/>
          <w:lang w:val="en-US"/>
        </w:rPr>
        <w:t xml:space="preserve"> torture. And </w:t>
      </w:r>
      <w:r w:rsidR="00226119" w:rsidRPr="007633A1">
        <w:rPr>
          <w:rFonts w:ascii="Arial" w:hAnsi="Arial" w:cs="Arial"/>
          <w:lang w:val="en-US"/>
        </w:rPr>
        <w:t xml:space="preserve">it </w:t>
      </w:r>
      <w:r w:rsidRPr="007633A1">
        <w:rPr>
          <w:rFonts w:ascii="Arial" w:hAnsi="Arial" w:cs="Arial"/>
          <w:lang w:val="en-US"/>
        </w:rPr>
        <w:t xml:space="preserve">also violates the </w:t>
      </w:r>
      <w:r w:rsidR="00AB5003" w:rsidRPr="007633A1">
        <w:rPr>
          <w:rFonts w:ascii="Arial" w:hAnsi="Arial" w:cs="Arial"/>
          <w:lang w:val="en-US"/>
        </w:rPr>
        <w:t>principles</w:t>
      </w:r>
      <w:r w:rsidR="005D0FD1" w:rsidRPr="007633A1">
        <w:rPr>
          <w:rFonts w:ascii="Arial" w:hAnsi="Arial" w:cs="Arial"/>
          <w:lang w:val="en-US"/>
        </w:rPr>
        <w:t xml:space="preserve"> </w:t>
      </w:r>
      <w:r w:rsidRPr="007633A1">
        <w:rPr>
          <w:rFonts w:ascii="Arial" w:hAnsi="Arial" w:cs="Arial"/>
          <w:lang w:val="en-US"/>
        </w:rPr>
        <w:t xml:space="preserve">of </w:t>
      </w:r>
      <w:r w:rsidR="00AB5003" w:rsidRPr="007633A1">
        <w:rPr>
          <w:rFonts w:ascii="Arial" w:hAnsi="Arial" w:cs="Arial"/>
          <w:lang w:val="en-US"/>
        </w:rPr>
        <w:t xml:space="preserve">a </w:t>
      </w:r>
      <w:r w:rsidRPr="007633A1">
        <w:rPr>
          <w:rFonts w:ascii="Arial" w:hAnsi="Arial" w:cs="Arial"/>
          <w:lang w:val="en-US"/>
        </w:rPr>
        <w:t>prompt, inexpensive, and simple trial.</w:t>
      </w:r>
    </w:p>
    <w:p w:rsidR="00B211AD" w:rsidRPr="007633A1" w:rsidRDefault="00B211AD" w:rsidP="0067159F">
      <w:pPr>
        <w:pStyle w:val="Listecouleur-Accent11"/>
        <w:spacing w:after="0" w:line="240" w:lineRule="auto"/>
        <w:ind w:left="1070" w:hanging="786"/>
        <w:jc w:val="both"/>
        <w:rPr>
          <w:rFonts w:ascii="Arial" w:hAnsi="Arial" w:cs="Arial"/>
          <w:lang w:val="en-US"/>
        </w:rPr>
      </w:pPr>
    </w:p>
    <w:p w:rsidR="00B211AD" w:rsidRPr="007633A1" w:rsidRDefault="007451D7" w:rsidP="00F163F9">
      <w:pPr>
        <w:pStyle w:val="Listecouleur-Accent11"/>
        <w:numPr>
          <w:ilvl w:val="0"/>
          <w:numId w:val="14"/>
        </w:numPr>
        <w:spacing w:after="0" w:line="240" w:lineRule="auto"/>
        <w:ind w:left="567" w:hanging="567"/>
        <w:jc w:val="both"/>
        <w:rPr>
          <w:rFonts w:ascii="Arial" w:hAnsi="Arial" w:cs="Arial"/>
          <w:lang w:val="en-US"/>
        </w:rPr>
      </w:pPr>
      <w:r>
        <w:rPr>
          <w:rFonts w:ascii="Arial" w:hAnsi="Arial" w:cs="Arial"/>
          <w:lang w:val="en-US"/>
        </w:rPr>
        <w:t>There was</w:t>
      </w:r>
      <w:r w:rsidR="00B211AD" w:rsidRPr="007633A1">
        <w:rPr>
          <w:rFonts w:ascii="Arial" w:hAnsi="Arial" w:cs="Arial"/>
          <w:lang w:val="en-US"/>
        </w:rPr>
        <w:t xml:space="preserve"> still a number of detainees</w:t>
      </w:r>
      <w:r>
        <w:rPr>
          <w:rFonts w:ascii="Arial" w:hAnsi="Arial" w:cs="Arial"/>
          <w:lang w:val="en-US"/>
        </w:rPr>
        <w:t xml:space="preserve">, </w:t>
      </w:r>
      <w:r w:rsidR="00B211AD" w:rsidRPr="007633A1">
        <w:rPr>
          <w:rFonts w:ascii="Arial" w:hAnsi="Arial" w:cs="Arial"/>
          <w:lang w:val="en-US"/>
        </w:rPr>
        <w:t xml:space="preserve">whose </w:t>
      </w:r>
      <w:r w:rsidR="00AB5003" w:rsidRPr="007633A1">
        <w:rPr>
          <w:rFonts w:ascii="Arial" w:hAnsi="Arial" w:cs="Arial"/>
          <w:lang w:val="en-US"/>
        </w:rPr>
        <w:t>detention time</w:t>
      </w:r>
      <w:r w:rsidR="00B211AD" w:rsidRPr="007633A1">
        <w:rPr>
          <w:rFonts w:ascii="Arial" w:hAnsi="Arial" w:cs="Arial"/>
          <w:lang w:val="en-US"/>
        </w:rPr>
        <w:t xml:space="preserve"> ha</w:t>
      </w:r>
      <w:r>
        <w:rPr>
          <w:rFonts w:ascii="Arial" w:hAnsi="Arial" w:cs="Arial"/>
          <w:lang w:val="en-US"/>
        </w:rPr>
        <w:t>ve</w:t>
      </w:r>
      <w:r w:rsidR="005D0FD1" w:rsidRPr="007633A1">
        <w:rPr>
          <w:rFonts w:ascii="Arial" w:hAnsi="Arial" w:cs="Arial"/>
          <w:lang w:val="en-US"/>
        </w:rPr>
        <w:t xml:space="preserve"> </w:t>
      </w:r>
      <w:r w:rsidR="00B211AD" w:rsidRPr="007633A1">
        <w:rPr>
          <w:rFonts w:ascii="Arial" w:hAnsi="Arial" w:cs="Arial"/>
          <w:lang w:val="en-US"/>
        </w:rPr>
        <w:t>expired</w:t>
      </w:r>
      <w:r>
        <w:rPr>
          <w:rFonts w:ascii="Arial" w:hAnsi="Arial" w:cs="Arial"/>
          <w:lang w:val="en-US"/>
        </w:rPr>
        <w:t>,</w:t>
      </w:r>
      <w:r w:rsidR="00B211AD" w:rsidRPr="007633A1">
        <w:rPr>
          <w:rFonts w:ascii="Arial" w:hAnsi="Arial" w:cs="Arial"/>
          <w:lang w:val="en-US"/>
        </w:rPr>
        <w:t xml:space="preserve"> and yet were still being detained due to uncompleted paper works from the office of prosecutors.</w:t>
      </w:r>
    </w:p>
    <w:p w:rsidR="006E2B3D" w:rsidRPr="007633A1" w:rsidRDefault="006E2B3D" w:rsidP="00F27BE2">
      <w:pPr>
        <w:pStyle w:val="Listecouleur-Accent11"/>
        <w:ind w:left="0"/>
        <w:jc w:val="both"/>
        <w:rPr>
          <w:rFonts w:ascii="Arial" w:hAnsi="Arial" w:cs="Arial"/>
          <w:lang w:val="en-US"/>
        </w:rPr>
      </w:pPr>
    </w:p>
    <w:p w:rsidR="00B211AD" w:rsidRPr="007633A1" w:rsidRDefault="00D801CA" w:rsidP="00FC4ED9">
      <w:pPr>
        <w:pStyle w:val="SingleTxtG"/>
        <w:pBdr>
          <w:top w:val="single" w:sz="4" w:space="1" w:color="auto"/>
          <w:left w:val="single" w:sz="4" w:space="4" w:color="auto"/>
          <w:bottom w:val="single" w:sz="4" w:space="1" w:color="auto"/>
          <w:right w:val="single" w:sz="4" w:space="4" w:color="auto"/>
        </w:pBdr>
        <w:ind w:left="0" w:right="-46"/>
        <w:rPr>
          <w:rFonts w:ascii="Arial" w:hAnsi="Arial" w:cs="Arial"/>
          <w:sz w:val="22"/>
          <w:szCs w:val="22"/>
          <w:lang w:val="en-US"/>
        </w:rPr>
      </w:pPr>
      <w:r w:rsidRPr="007633A1">
        <w:rPr>
          <w:rFonts w:ascii="Arial" w:hAnsi="Arial" w:cs="Arial"/>
          <w:b/>
          <w:sz w:val="22"/>
          <w:szCs w:val="22"/>
          <w:lang w:val="en-US"/>
        </w:rPr>
        <w:t>Issue 20:</w:t>
      </w:r>
      <w:r w:rsidR="007451D7">
        <w:rPr>
          <w:rFonts w:ascii="Arial" w:hAnsi="Arial" w:cs="Arial"/>
          <w:b/>
          <w:sz w:val="22"/>
          <w:szCs w:val="22"/>
          <w:lang w:val="en-US"/>
        </w:rPr>
        <w:t xml:space="preserve"> </w:t>
      </w:r>
      <w:r w:rsidR="00B211AD" w:rsidRPr="007633A1">
        <w:rPr>
          <w:rFonts w:ascii="Arial" w:hAnsi="Arial" w:cs="Arial"/>
          <w:sz w:val="22"/>
          <w:szCs w:val="22"/>
          <w:lang w:val="en-US"/>
        </w:rPr>
        <w:t xml:space="preserve">Please state the measures that the State party is taking to ensure that suspects have access to lawyers and legal aid. Please respond to reports of corruption in the provision of legal aid services, including an allegation that the speed of cases funded under the legal aid scheme depends on the payment of a bribe. </w:t>
      </w:r>
    </w:p>
    <w:p w:rsidR="00B211AD" w:rsidRPr="007633A1" w:rsidRDefault="00B211AD" w:rsidP="00F163F9">
      <w:pPr>
        <w:pStyle w:val="Listecouleur-Accent11"/>
        <w:numPr>
          <w:ilvl w:val="0"/>
          <w:numId w:val="14"/>
        </w:numPr>
        <w:spacing w:after="0" w:line="240" w:lineRule="auto"/>
        <w:ind w:left="567" w:hanging="567"/>
        <w:jc w:val="both"/>
        <w:rPr>
          <w:rFonts w:ascii="Arial" w:hAnsi="Arial" w:cs="Arial"/>
          <w:lang w:val="en-US"/>
        </w:rPr>
      </w:pPr>
      <w:r w:rsidRPr="007633A1">
        <w:rPr>
          <w:rFonts w:ascii="Arial" w:hAnsi="Arial" w:cs="Arial"/>
          <w:lang w:val="en-US"/>
        </w:rPr>
        <w:t>The right to legal aid is a constitutional right of all citizens granted by the 1945 Constitution, particularly by Article 1 paragraph (3), Article 27 paragraph (1) and Article 28D of the 1945 Constitution and by the Ruling of the Constitutional Court No. 006/PUU-II/2004. Furthermore, the right to legal aid is provided for in Articles 17, 18, 19 and 34 of the Law No. 39/1999 on Human Rights, the law No. 14/1970 on Judiciary Power, with its amendment of Law No. 34/1999, the Law No. 16</w:t>
      </w:r>
      <w:r w:rsidR="0073186D" w:rsidRPr="007633A1">
        <w:rPr>
          <w:rFonts w:ascii="Arial" w:hAnsi="Arial" w:cs="Arial"/>
          <w:lang w:val="en-US"/>
        </w:rPr>
        <w:t>/</w:t>
      </w:r>
      <w:r w:rsidRPr="007633A1">
        <w:rPr>
          <w:rFonts w:ascii="Arial" w:hAnsi="Arial" w:cs="Arial"/>
          <w:lang w:val="en-US"/>
        </w:rPr>
        <w:t xml:space="preserve"> 2011 on Legal Aid and Articles 54, 55, and 56 of the Law No. 8</w:t>
      </w:r>
      <w:r w:rsidR="0073186D" w:rsidRPr="007633A1">
        <w:rPr>
          <w:rFonts w:ascii="Arial" w:hAnsi="Arial" w:cs="Arial"/>
          <w:lang w:val="en-US"/>
        </w:rPr>
        <w:t>/</w:t>
      </w:r>
      <w:r w:rsidRPr="007633A1">
        <w:rPr>
          <w:rFonts w:ascii="Arial" w:hAnsi="Arial" w:cs="Arial"/>
          <w:lang w:val="en-US"/>
        </w:rPr>
        <w:t xml:space="preserve"> 1981 on the Criminal Procedure Code.</w:t>
      </w:r>
    </w:p>
    <w:p w:rsidR="00B211AD" w:rsidRPr="007633A1" w:rsidRDefault="00B211AD" w:rsidP="00B211AD">
      <w:pPr>
        <w:pStyle w:val="Listecouleur-Accent11"/>
        <w:jc w:val="both"/>
        <w:rPr>
          <w:rFonts w:ascii="Arial" w:hAnsi="Arial" w:cs="Arial"/>
          <w:lang w:val="en-US"/>
        </w:rPr>
      </w:pPr>
    </w:p>
    <w:p w:rsidR="00B211AD" w:rsidRPr="007633A1" w:rsidRDefault="00B211AD" w:rsidP="00F163F9">
      <w:pPr>
        <w:pStyle w:val="Listecouleur-Accent11"/>
        <w:numPr>
          <w:ilvl w:val="0"/>
          <w:numId w:val="14"/>
        </w:numPr>
        <w:spacing w:after="0" w:line="240" w:lineRule="auto"/>
        <w:ind w:left="567" w:hanging="567"/>
        <w:jc w:val="both"/>
        <w:rPr>
          <w:rFonts w:ascii="Arial" w:hAnsi="Arial" w:cs="Arial"/>
          <w:lang w:val="en-US"/>
        </w:rPr>
      </w:pPr>
      <w:r w:rsidRPr="007633A1">
        <w:rPr>
          <w:rFonts w:ascii="Arial" w:hAnsi="Arial" w:cs="Arial"/>
          <w:lang w:val="en-US"/>
        </w:rPr>
        <w:t xml:space="preserve">The Criminal Procedure Code is </w:t>
      </w:r>
      <w:r w:rsidR="006A3FC3" w:rsidRPr="007633A1">
        <w:rPr>
          <w:rFonts w:ascii="Arial" w:hAnsi="Arial" w:cs="Arial"/>
          <w:lang w:val="en-US"/>
        </w:rPr>
        <w:t>used</w:t>
      </w:r>
      <w:r w:rsidRPr="007633A1">
        <w:rPr>
          <w:rFonts w:ascii="Arial" w:hAnsi="Arial" w:cs="Arial"/>
          <w:lang w:val="en-US"/>
        </w:rPr>
        <w:t xml:space="preserve"> as a reference for legal aid. The formulation of legal aid under the Criminal Procedure Code has some weaknesses as follows: 1) It is only provided for poor/underprivileged people who are sentenced to five years of imprisonment or more. As a result, poor people who are sentenced to less than 5 years of imprisonment los</w:t>
      </w:r>
      <w:r w:rsidR="00C57B04" w:rsidRPr="007633A1">
        <w:rPr>
          <w:rFonts w:ascii="Arial" w:hAnsi="Arial" w:cs="Arial"/>
          <w:lang w:val="en-US"/>
        </w:rPr>
        <w:t>e</w:t>
      </w:r>
      <w:r w:rsidRPr="007633A1">
        <w:rPr>
          <w:rFonts w:ascii="Arial" w:hAnsi="Arial" w:cs="Arial"/>
          <w:lang w:val="en-US"/>
        </w:rPr>
        <w:t xml:space="preserve"> their right to counsel</w:t>
      </w:r>
      <w:r w:rsidR="00437755" w:rsidRPr="007633A1">
        <w:rPr>
          <w:rFonts w:ascii="Arial" w:hAnsi="Arial" w:cs="Arial"/>
          <w:lang w:val="en-US"/>
        </w:rPr>
        <w:t>;</w:t>
      </w:r>
      <w:r w:rsidRPr="007633A1">
        <w:rPr>
          <w:rFonts w:ascii="Arial" w:hAnsi="Arial" w:cs="Arial"/>
          <w:lang w:val="en-US"/>
        </w:rPr>
        <w:t xml:space="preserve"> this </w:t>
      </w:r>
      <w:r w:rsidR="00437755" w:rsidRPr="007633A1">
        <w:rPr>
          <w:rFonts w:ascii="Arial" w:hAnsi="Arial" w:cs="Arial"/>
          <w:lang w:val="en-US"/>
        </w:rPr>
        <w:t>happens</w:t>
      </w:r>
      <w:r w:rsidR="00103C24" w:rsidRPr="007633A1">
        <w:rPr>
          <w:rFonts w:ascii="Arial" w:hAnsi="Arial" w:cs="Arial"/>
          <w:lang w:val="en-US"/>
        </w:rPr>
        <w:t xml:space="preserve"> </w:t>
      </w:r>
      <w:r w:rsidRPr="007633A1">
        <w:rPr>
          <w:rFonts w:ascii="Arial" w:hAnsi="Arial" w:cs="Arial"/>
          <w:lang w:val="en-US"/>
        </w:rPr>
        <w:t>in cases of criminalization against</w:t>
      </w:r>
      <w:r w:rsidR="00103C24" w:rsidRPr="007633A1">
        <w:rPr>
          <w:rFonts w:ascii="Arial" w:hAnsi="Arial" w:cs="Arial"/>
          <w:lang w:val="en-US"/>
        </w:rPr>
        <w:t xml:space="preserve"> </w:t>
      </w:r>
      <w:r w:rsidRPr="007633A1">
        <w:rPr>
          <w:rFonts w:ascii="Arial" w:hAnsi="Arial" w:cs="Arial"/>
          <w:lang w:val="en-US"/>
        </w:rPr>
        <w:t>freedom of religion/belief, land dispute, labor dispute, etc</w:t>
      </w:r>
      <w:r w:rsidR="00437755" w:rsidRPr="007633A1">
        <w:rPr>
          <w:rFonts w:ascii="Arial" w:hAnsi="Arial" w:cs="Arial"/>
          <w:lang w:val="en-US"/>
        </w:rPr>
        <w:t>.</w:t>
      </w:r>
      <w:r w:rsidRPr="007633A1">
        <w:rPr>
          <w:rFonts w:ascii="Arial" w:hAnsi="Arial" w:cs="Arial"/>
          <w:lang w:val="en-US"/>
        </w:rPr>
        <w:t>; 2)</w:t>
      </w:r>
      <w:r w:rsidR="00103C24" w:rsidRPr="007633A1">
        <w:rPr>
          <w:rFonts w:ascii="Arial" w:hAnsi="Arial" w:cs="Arial"/>
          <w:lang w:val="en-US"/>
        </w:rPr>
        <w:t xml:space="preserve">. </w:t>
      </w:r>
      <w:r w:rsidR="007451D7">
        <w:rPr>
          <w:rFonts w:ascii="Arial" w:hAnsi="Arial" w:cs="Arial"/>
          <w:lang w:val="en-US"/>
        </w:rPr>
        <w:t>The C</w:t>
      </w:r>
      <w:r w:rsidR="00A5466B" w:rsidRPr="007633A1">
        <w:rPr>
          <w:rFonts w:ascii="Arial" w:hAnsi="Arial" w:cs="Arial"/>
          <w:lang w:val="en-US"/>
        </w:rPr>
        <w:t xml:space="preserve">riminal </w:t>
      </w:r>
      <w:r w:rsidR="007451D7">
        <w:rPr>
          <w:rFonts w:ascii="Arial" w:hAnsi="Arial" w:cs="Arial"/>
          <w:lang w:val="en-US"/>
        </w:rPr>
        <w:t>Procedural C</w:t>
      </w:r>
      <w:r w:rsidR="00A5466B" w:rsidRPr="007633A1">
        <w:rPr>
          <w:rFonts w:ascii="Arial" w:hAnsi="Arial" w:cs="Arial"/>
          <w:lang w:val="en-US"/>
        </w:rPr>
        <w:t xml:space="preserve">ode </w:t>
      </w:r>
      <w:r w:rsidR="00FC5B46" w:rsidRPr="007633A1">
        <w:rPr>
          <w:rFonts w:ascii="Arial" w:hAnsi="Arial" w:cs="Arial"/>
          <w:lang w:val="en-US"/>
        </w:rPr>
        <w:t>mention</w:t>
      </w:r>
      <w:r w:rsidR="007451D7">
        <w:rPr>
          <w:rFonts w:ascii="Arial" w:hAnsi="Arial" w:cs="Arial"/>
          <w:lang w:val="en-US"/>
        </w:rPr>
        <w:t>s</w:t>
      </w:r>
      <w:r w:rsidR="00FC5B46" w:rsidRPr="007633A1">
        <w:rPr>
          <w:rFonts w:ascii="Arial" w:hAnsi="Arial" w:cs="Arial"/>
          <w:lang w:val="en-US"/>
        </w:rPr>
        <w:t xml:space="preserve"> that there is an obligation</w:t>
      </w:r>
      <w:r w:rsidR="00A5466B" w:rsidRPr="007633A1">
        <w:rPr>
          <w:rFonts w:ascii="Arial" w:hAnsi="Arial" w:cs="Arial"/>
          <w:lang w:val="en-US"/>
        </w:rPr>
        <w:t xml:space="preserve"> for </w:t>
      </w:r>
      <w:r w:rsidR="00FC5B46" w:rsidRPr="007633A1">
        <w:rPr>
          <w:rFonts w:ascii="Arial" w:hAnsi="Arial" w:cs="Arial"/>
          <w:lang w:val="en-US"/>
        </w:rPr>
        <w:t>the</w:t>
      </w:r>
      <w:r w:rsidR="00A5466B" w:rsidRPr="007633A1">
        <w:rPr>
          <w:rFonts w:ascii="Arial" w:hAnsi="Arial" w:cs="Arial"/>
          <w:lang w:val="en-US"/>
        </w:rPr>
        <w:t xml:space="preserve"> defendant under sentence </w:t>
      </w:r>
      <w:r w:rsidR="00FC5B46" w:rsidRPr="007633A1">
        <w:rPr>
          <w:rFonts w:ascii="Arial" w:hAnsi="Arial" w:cs="Arial"/>
          <w:lang w:val="en-US"/>
        </w:rPr>
        <w:t>of 5 years or more</w:t>
      </w:r>
      <w:r w:rsidR="00A5466B" w:rsidRPr="007633A1">
        <w:rPr>
          <w:rFonts w:ascii="Arial" w:hAnsi="Arial" w:cs="Arial"/>
          <w:lang w:val="en-US"/>
        </w:rPr>
        <w:t xml:space="preserve">, to be </w:t>
      </w:r>
      <w:r w:rsidR="00FC5B46" w:rsidRPr="007633A1">
        <w:rPr>
          <w:rFonts w:ascii="Arial" w:hAnsi="Arial" w:cs="Arial"/>
          <w:lang w:val="en-US"/>
        </w:rPr>
        <w:t xml:space="preserve">accompanied by a lawyer, but if this obligation is not implemented, there </w:t>
      </w:r>
      <w:r w:rsidR="007451D7">
        <w:rPr>
          <w:rFonts w:ascii="Arial" w:hAnsi="Arial" w:cs="Arial"/>
          <w:lang w:val="en-US"/>
        </w:rPr>
        <w:t>are</w:t>
      </w:r>
      <w:r w:rsidR="00FC5B46" w:rsidRPr="007633A1">
        <w:rPr>
          <w:rFonts w:ascii="Arial" w:hAnsi="Arial" w:cs="Arial"/>
          <w:lang w:val="en-US"/>
        </w:rPr>
        <w:t xml:space="preserve"> no consequences for violati</w:t>
      </w:r>
      <w:r w:rsidR="007451D7">
        <w:rPr>
          <w:rFonts w:ascii="Arial" w:hAnsi="Arial" w:cs="Arial"/>
          <w:lang w:val="en-US"/>
        </w:rPr>
        <w:t>ng</w:t>
      </w:r>
      <w:r w:rsidR="00FC5B46" w:rsidRPr="007633A1">
        <w:rPr>
          <w:rFonts w:ascii="Arial" w:hAnsi="Arial" w:cs="Arial"/>
          <w:lang w:val="en-US"/>
        </w:rPr>
        <w:t xml:space="preserve"> </w:t>
      </w:r>
      <w:r w:rsidR="007451D7">
        <w:rPr>
          <w:rFonts w:ascii="Arial" w:hAnsi="Arial" w:cs="Arial"/>
          <w:lang w:val="en-US"/>
        </w:rPr>
        <w:t>the procedural law. I</w:t>
      </w:r>
      <w:r w:rsidR="00FC5B46" w:rsidRPr="007633A1">
        <w:rPr>
          <w:rFonts w:ascii="Arial" w:hAnsi="Arial" w:cs="Arial"/>
          <w:lang w:val="en-US"/>
        </w:rPr>
        <w:t xml:space="preserve">n many cases where the defendant is under sentence of 5 years imprisonment or more is not accompanied by a lawyer, the process </w:t>
      </w:r>
      <w:r w:rsidR="00041D41" w:rsidRPr="007633A1">
        <w:rPr>
          <w:rFonts w:ascii="Arial" w:hAnsi="Arial" w:cs="Arial"/>
          <w:lang w:val="en-US"/>
        </w:rPr>
        <w:t>in the court will still</w:t>
      </w:r>
      <w:r w:rsidR="007451D7">
        <w:rPr>
          <w:rFonts w:ascii="Arial" w:hAnsi="Arial" w:cs="Arial"/>
          <w:lang w:val="en-US"/>
        </w:rPr>
        <w:t xml:space="preserve"> be</w:t>
      </w:r>
      <w:r w:rsidR="00041D41" w:rsidRPr="007633A1">
        <w:rPr>
          <w:rFonts w:ascii="Arial" w:hAnsi="Arial" w:cs="Arial"/>
          <w:lang w:val="en-US"/>
        </w:rPr>
        <w:t xml:space="preserve"> conducted </w:t>
      </w:r>
      <w:r w:rsidR="00FC5B46" w:rsidRPr="007633A1">
        <w:rPr>
          <w:rFonts w:ascii="Arial" w:hAnsi="Arial" w:cs="Arial"/>
          <w:lang w:val="en-US"/>
        </w:rPr>
        <w:t>by judges</w:t>
      </w:r>
      <w:r w:rsidR="007451D7">
        <w:rPr>
          <w:rFonts w:ascii="Arial" w:hAnsi="Arial" w:cs="Arial"/>
          <w:lang w:val="en-US"/>
        </w:rPr>
        <w:t xml:space="preserve"> </w:t>
      </w:r>
      <w:r w:rsidRPr="007633A1">
        <w:rPr>
          <w:rFonts w:ascii="Arial" w:hAnsi="Arial" w:cs="Arial"/>
          <w:lang w:val="en-US"/>
        </w:rPr>
        <w:t>and; 3)</w:t>
      </w:r>
      <w:r w:rsidR="007451D7">
        <w:rPr>
          <w:rFonts w:ascii="Arial" w:hAnsi="Arial" w:cs="Arial"/>
          <w:lang w:val="en-US"/>
        </w:rPr>
        <w:t xml:space="preserve">. </w:t>
      </w:r>
      <w:r w:rsidRPr="007633A1">
        <w:rPr>
          <w:rFonts w:ascii="Arial" w:hAnsi="Arial" w:cs="Arial"/>
          <w:lang w:val="en-US"/>
        </w:rPr>
        <w:t xml:space="preserve">There </w:t>
      </w:r>
      <w:r w:rsidR="007451D7">
        <w:rPr>
          <w:rFonts w:ascii="Arial" w:hAnsi="Arial" w:cs="Arial"/>
          <w:lang w:val="en-US"/>
        </w:rPr>
        <w:t>are</w:t>
      </w:r>
      <w:r w:rsidRPr="007633A1">
        <w:rPr>
          <w:rFonts w:ascii="Arial" w:hAnsi="Arial" w:cs="Arial"/>
          <w:lang w:val="en-US"/>
        </w:rPr>
        <w:t xml:space="preserve"> no sanction</w:t>
      </w:r>
      <w:r w:rsidR="007451D7">
        <w:rPr>
          <w:rFonts w:ascii="Arial" w:hAnsi="Arial" w:cs="Arial"/>
          <w:lang w:val="en-US"/>
        </w:rPr>
        <w:t>s</w:t>
      </w:r>
      <w:r w:rsidRPr="007633A1">
        <w:rPr>
          <w:rFonts w:ascii="Arial" w:hAnsi="Arial" w:cs="Arial"/>
          <w:lang w:val="en-US"/>
        </w:rPr>
        <w:t xml:space="preserve"> against investigators who do not fulfill the right to legal aid.</w:t>
      </w:r>
    </w:p>
    <w:p w:rsidR="00821825" w:rsidRPr="007633A1" w:rsidRDefault="00821825" w:rsidP="001C551D">
      <w:pPr>
        <w:pStyle w:val="Listecouleur-Accent11"/>
        <w:ind w:left="0"/>
        <w:jc w:val="both"/>
        <w:rPr>
          <w:rFonts w:ascii="Arial" w:hAnsi="Arial" w:cs="Arial"/>
          <w:strike/>
          <w:lang w:val="en-US"/>
        </w:rPr>
      </w:pPr>
    </w:p>
    <w:p w:rsidR="00B320FB" w:rsidRPr="007633A1" w:rsidRDefault="00B211AD" w:rsidP="00F163F9">
      <w:pPr>
        <w:pStyle w:val="Listecouleur-Accent11"/>
        <w:numPr>
          <w:ilvl w:val="0"/>
          <w:numId w:val="14"/>
        </w:numPr>
        <w:spacing w:after="0" w:line="240" w:lineRule="auto"/>
        <w:ind w:left="567" w:hanging="567"/>
        <w:jc w:val="both"/>
        <w:rPr>
          <w:rFonts w:ascii="Arial" w:hAnsi="Arial" w:cs="Arial"/>
          <w:strike/>
          <w:lang w:val="en-US"/>
        </w:rPr>
      </w:pPr>
      <w:r w:rsidRPr="007633A1">
        <w:rPr>
          <w:rFonts w:ascii="Arial" w:hAnsi="Arial" w:cs="Arial"/>
          <w:lang w:val="en-US"/>
        </w:rPr>
        <w:t>On 31 October</w:t>
      </w:r>
      <w:r w:rsidR="00041D41" w:rsidRPr="007633A1">
        <w:rPr>
          <w:rFonts w:ascii="Arial" w:hAnsi="Arial" w:cs="Arial"/>
          <w:lang w:val="en-US"/>
        </w:rPr>
        <w:t xml:space="preserve"> </w:t>
      </w:r>
      <w:r w:rsidR="00C57B04" w:rsidRPr="007633A1">
        <w:rPr>
          <w:rFonts w:ascii="Arial" w:hAnsi="Arial" w:cs="Arial"/>
          <w:lang w:val="en-US"/>
        </w:rPr>
        <w:t>2011</w:t>
      </w:r>
      <w:r w:rsidRPr="007633A1">
        <w:rPr>
          <w:rFonts w:ascii="Arial" w:hAnsi="Arial" w:cs="Arial"/>
          <w:lang w:val="en-US"/>
        </w:rPr>
        <w:t>, Indonesia adopted Law No. 1</w:t>
      </w:r>
      <w:r w:rsidR="007A49A5" w:rsidRPr="007633A1">
        <w:rPr>
          <w:rFonts w:ascii="Arial" w:hAnsi="Arial" w:cs="Arial"/>
        </w:rPr>
        <w:t>6</w:t>
      </w:r>
      <w:r w:rsidR="009F256E" w:rsidRPr="007633A1">
        <w:rPr>
          <w:rFonts w:ascii="Arial" w:hAnsi="Arial" w:cs="Arial"/>
          <w:lang w:val="en-US"/>
        </w:rPr>
        <w:t>/</w:t>
      </w:r>
      <w:r w:rsidRPr="007633A1">
        <w:rPr>
          <w:rFonts w:ascii="Arial" w:hAnsi="Arial" w:cs="Arial"/>
          <w:lang w:val="en-US"/>
        </w:rPr>
        <w:t xml:space="preserve"> 2011 </w:t>
      </w:r>
      <w:r w:rsidR="00131FBB" w:rsidRPr="007633A1">
        <w:rPr>
          <w:rFonts w:ascii="Arial" w:hAnsi="Arial" w:cs="Arial"/>
          <w:lang w:val="en-US"/>
        </w:rPr>
        <w:t>on</w:t>
      </w:r>
      <w:r w:rsidR="007633A1">
        <w:rPr>
          <w:rFonts w:ascii="Arial" w:hAnsi="Arial" w:cs="Arial"/>
          <w:lang w:val="en-US"/>
        </w:rPr>
        <w:t xml:space="preserve"> </w:t>
      </w:r>
      <w:r w:rsidRPr="007633A1">
        <w:rPr>
          <w:rFonts w:ascii="Arial" w:hAnsi="Arial" w:cs="Arial"/>
          <w:lang w:val="en-US"/>
        </w:rPr>
        <w:t>Legal Aid,</w:t>
      </w:r>
      <w:r w:rsidR="007633A1">
        <w:rPr>
          <w:rFonts w:ascii="Arial" w:hAnsi="Arial" w:cs="Arial"/>
          <w:lang w:val="en-US"/>
        </w:rPr>
        <w:t xml:space="preserve"> </w:t>
      </w:r>
      <w:r w:rsidR="00131FBB" w:rsidRPr="007633A1">
        <w:rPr>
          <w:rFonts w:ascii="Arial" w:hAnsi="Arial" w:cs="Arial"/>
          <w:lang w:val="en-US"/>
        </w:rPr>
        <w:t>which</w:t>
      </w:r>
      <w:r w:rsidR="00294193" w:rsidRPr="007633A1">
        <w:rPr>
          <w:rFonts w:ascii="Arial" w:hAnsi="Arial" w:cs="Arial"/>
          <w:lang w:val="en-US"/>
        </w:rPr>
        <w:t xml:space="preserve"> provides</w:t>
      </w:r>
      <w:r w:rsidR="00131FBB" w:rsidRPr="007633A1">
        <w:rPr>
          <w:rFonts w:ascii="Arial" w:hAnsi="Arial" w:cs="Arial"/>
          <w:lang w:val="en-US"/>
        </w:rPr>
        <w:t xml:space="preserve"> legal aid on the form of access and fund to legal aid institution</w:t>
      </w:r>
      <w:r w:rsidR="009D1622" w:rsidRPr="007633A1">
        <w:rPr>
          <w:rFonts w:ascii="Arial" w:hAnsi="Arial" w:cs="Arial"/>
          <w:lang w:val="en-US"/>
        </w:rPr>
        <w:t>s</w:t>
      </w:r>
      <w:r w:rsidR="00131FBB" w:rsidRPr="007633A1">
        <w:rPr>
          <w:rFonts w:ascii="Arial" w:hAnsi="Arial" w:cs="Arial"/>
          <w:lang w:val="en-US"/>
        </w:rPr>
        <w:t>. There has been</w:t>
      </w:r>
      <w:r w:rsidR="001118B6" w:rsidRPr="007633A1">
        <w:rPr>
          <w:rFonts w:ascii="Arial" w:hAnsi="Arial" w:cs="Arial"/>
          <w:lang w:val="en-US"/>
        </w:rPr>
        <w:t xml:space="preserve"> a</w:t>
      </w:r>
      <w:r w:rsidR="00131FBB" w:rsidRPr="007633A1">
        <w:rPr>
          <w:rFonts w:ascii="Arial" w:hAnsi="Arial" w:cs="Arial"/>
          <w:lang w:val="en-US"/>
        </w:rPr>
        <w:t xml:space="preserve"> sub</w:t>
      </w:r>
      <w:r w:rsidR="007633A1">
        <w:rPr>
          <w:rFonts w:ascii="Arial" w:hAnsi="Arial" w:cs="Arial"/>
          <w:lang w:val="en-US"/>
        </w:rPr>
        <w:t xml:space="preserve"> </w:t>
      </w:r>
      <w:r w:rsidR="00131FBB" w:rsidRPr="007633A1">
        <w:rPr>
          <w:rFonts w:ascii="Arial" w:hAnsi="Arial" w:cs="Arial"/>
          <w:lang w:val="en-US"/>
        </w:rPr>
        <w:t>regulation</w:t>
      </w:r>
      <w:r w:rsidR="001118B6" w:rsidRPr="007633A1">
        <w:rPr>
          <w:rFonts w:ascii="Arial" w:hAnsi="Arial" w:cs="Arial"/>
          <w:lang w:val="en-US"/>
        </w:rPr>
        <w:t xml:space="preserve"> to</w:t>
      </w:r>
      <w:r w:rsidR="00131FBB" w:rsidRPr="007633A1">
        <w:rPr>
          <w:rFonts w:ascii="Arial" w:hAnsi="Arial" w:cs="Arial"/>
          <w:lang w:val="en-US"/>
        </w:rPr>
        <w:t xml:space="preserve"> this law</w:t>
      </w:r>
      <w:r w:rsidR="001118B6" w:rsidRPr="007633A1">
        <w:rPr>
          <w:rFonts w:ascii="Arial" w:hAnsi="Arial" w:cs="Arial"/>
          <w:lang w:val="en-US"/>
        </w:rPr>
        <w:t>,</w:t>
      </w:r>
      <w:r w:rsidR="00131FBB" w:rsidRPr="007633A1">
        <w:rPr>
          <w:rFonts w:ascii="Arial" w:hAnsi="Arial" w:cs="Arial"/>
          <w:lang w:val="en-US"/>
        </w:rPr>
        <w:t xml:space="preserve"> which is Government Regulation No 42</w:t>
      </w:r>
      <w:r w:rsidR="009F256E" w:rsidRPr="007633A1">
        <w:rPr>
          <w:rFonts w:ascii="Arial" w:hAnsi="Arial" w:cs="Arial"/>
          <w:lang w:val="en-US"/>
        </w:rPr>
        <w:t>/</w:t>
      </w:r>
      <w:r w:rsidR="00131FBB" w:rsidRPr="007633A1">
        <w:rPr>
          <w:rFonts w:ascii="Arial" w:hAnsi="Arial" w:cs="Arial"/>
          <w:lang w:val="en-US"/>
        </w:rPr>
        <w:t xml:space="preserve"> 2013 on the Requirements and Procedures of giving and distributing the legal aid</w:t>
      </w:r>
      <w:r w:rsidR="00930F1F" w:rsidRPr="007633A1">
        <w:rPr>
          <w:rFonts w:ascii="Arial" w:hAnsi="Arial" w:cs="Arial"/>
          <w:lang w:val="en-US"/>
        </w:rPr>
        <w:t xml:space="preserve"> - as well as</w:t>
      </w:r>
      <w:r w:rsidR="007633A1">
        <w:rPr>
          <w:rFonts w:ascii="Arial" w:hAnsi="Arial" w:cs="Arial"/>
          <w:lang w:val="en-US"/>
        </w:rPr>
        <w:t xml:space="preserve"> </w:t>
      </w:r>
      <w:r w:rsidR="00930F1F" w:rsidRPr="007633A1">
        <w:rPr>
          <w:rFonts w:ascii="Arial" w:hAnsi="Arial" w:cs="Arial"/>
          <w:lang w:val="en-US"/>
        </w:rPr>
        <w:t>Regulation of Ministry of Law and Human Rights No 3</w:t>
      </w:r>
      <w:r w:rsidR="009F256E" w:rsidRPr="007633A1">
        <w:rPr>
          <w:rFonts w:ascii="Arial" w:hAnsi="Arial" w:cs="Arial"/>
          <w:lang w:val="en-US"/>
        </w:rPr>
        <w:t xml:space="preserve">/ </w:t>
      </w:r>
      <w:r w:rsidR="00930F1F" w:rsidRPr="007633A1">
        <w:rPr>
          <w:rFonts w:ascii="Arial" w:hAnsi="Arial" w:cs="Arial"/>
          <w:lang w:val="en-US"/>
        </w:rPr>
        <w:t>2013 on the Verification and Accrediting Procedures of Legal Aid Institution</w:t>
      </w:r>
      <w:r w:rsidR="009D1622" w:rsidRPr="007633A1">
        <w:rPr>
          <w:rFonts w:ascii="Arial" w:hAnsi="Arial" w:cs="Arial"/>
          <w:lang w:val="en-US"/>
        </w:rPr>
        <w:t>s</w:t>
      </w:r>
      <w:r w:rsidR="00930F1F" w:rsidRPr="007633A1">
        <w:rPr>
          <w:rFonts w:ascii="Arial" w:hAnsi="Arial" w:cs="Arial"/>
          <w:lang w:val="en-US"/>
        </w:rPr>
        <w:t xml:space="preserve"> and Society Organization</w:t>
      </w:r>
      <w:r w:rsidR="009D1622" w:rsidRPr="007633A1">
        <w:rPr>
          <w:rFonts w:ascii="Arial" w:hAnsi="Arial" w:cs="Arial"/>
          <w:lang w:val="en-US"/>
        </w:rPr>
        <w:t>s</w:t>
      </w:r>
      <w:r w:rsidR="00930F1F" w:rsidRPr="007633A1">
        <w:rPr>
          <w:rFonts w:ascii="Arial" w:hAnsi="Arial" w:cs="Arial"/>
          <w:lang w:val="en-US"/>
        </w:rPr>
        <w:t xml:space="preserve">. This sub-regulation </w:t>
      </w:r>
      <w:r w:rsidR="001118B6" w:rsidRPr="007633A1">
        <w:rPr>
          <w:rFonts w:ascii="Arial" w:hAnsi="Arial" w:cs="Arial"/>
          <w:lang w:val="en-US"/>
        </w:rPr>
        <w:t>has not yet been effectively implemented</w:t>
      </w:r>
      <w:r w:rsidR="00930F1F" w:rsidRPr="007633A1">
        <w:rPr>
          <w:rFonts w:ascii="Arial" w:hAnsi="Arial" w:cs="Arial"/>
          <w:lang w:val="en-US"/>
        </w:rPr>
        <w:t xml:space="preserve">.    </w:t>
      </w:r>
    </w:p>
    <w:p w:rsidR="00B211AD" w:rsidRPr="007633A1" w:rsidRDefault="00B211AD" w:rsidP="001C551D">
      <w:pPr>
        <w:pStyle w:val="Listecouleur-Accent11"/>
        <w:spacing w:after="0" w:line="240" w:lineRule="auto"/>
        <w:jc w:val="both"/>
        <w:rPr>
          <w:rFonts w:ascii="Arial" w:hAnsi="Arial" w:cs="Arial"/>
          <w:lang w:val="en-US"/>
        </w:rPr>
      </w:pPr>
    </w:p>
    <w:p w:rsidR="00B211AD" w:rsidRPr="007633A1" w:rsidRDefault="00B211AD" w:rsidP="00F163F9">
      <w:pPr>
        <w:pStyle w:val="Listecouleur-Accent11"/>
        <w:numPr>
          <w:ilvl w:val="0"/>
          <w:numId w:val="14"/>
        </w:numPr>
        <w:spacing w:after="0" w:line="240" w:lineRule="auto"/>
        <w:ind w:left="567" w:hanging="567"/>
        <w:jc w:val="both"/>
        <w:rPr>
          <w:rFonts w:ascii="Arial" w:hAnsi="Arial" w:cs="Arial"/>
          <w:lang w:val="en-US"/>
        </w:rPr>
      </w:pPr>
      <w:r w:rsidRPr="007633A1">
        <w:rPr>
          <w:rFonts w:ascii="Arial" w:hAnsi="Arial" w:cs="Arial"/>
          <w:lang w:val="en-US"/>
        </w:rPr>
        <w:t>According to a report published by LBH Jakarta in 2012</w:t>
      </w:r>
      <w:r w:rsidR="007227E5" w:rsidRPr="007633A1">
        <w:rPr>
          <w:rFonts w:ascii="Arial" w:hAnsi="Arial" w:cs="Arial"/>
          <w:lang w:val="en-US"/>
        </w:rPr>
        <w:t>,</w:t>
      </w:r>
      <w:r w:rsidR="007451D7">
        <w:rPr>
          <w:rFonts w:ascii="Arial" w:hAnsi="Arial" w:cs="Arial"/>
          <w:lang w:val="en-US"/>
        </w:rPr>
        <w:t xml:space="preserve"> </w:t>
      </w:r>
      <w:r w:rsidRPr="007633A1">
        <w:rPr>
          <w:rFonts w:ascii="Arial" w:hAnsi="Arial" w:cs="Arial"/>
          <w:lang w:val="en-US"/>
        </w:rPr>
        <w:t>effort</w:t>
      </w:r>
      <w:r w:rsidR="00443926" w:rsidRPr="007633A1">
        <w:rPr>
          <w:rFonts w:ascii="Arial" w:hAnsi="Arial" w:cs="Arial"/>
          <w:lang w:val="en-US"/>
        </w:rPr>
        <w:t>s</w:t>
      </w:r>
      <w:r w:rsidRPr="007633A1">
        <w:rPr>
          <w:rFonts w:ascii="Arial" w:hAnsi="Arial" w:cs="Arial"/>
          <w:lang w:val="en-US"/>
        </w:rPr>
        <w:t xml:space="preserve"> to provide legal </w:t>
      </w:r>
      <w:r w:rsidR="009B170E" w:rsidRPr="007633A1">
        <w:rPr>
          <w:rFonts w:ascii="Arial" w:hAnsi="Arial" w:cs="Arial"/>
        </w:rPr>
        <w:t xml:space="preserve">aid </w:t>
      </w:r>
      <w:r w:rsidR="00443926" w:rsidRPr="007633A1">
        <w:rPr>
          <w:rFonts w:ascii="Arial" w:hAnsi="Arial" w:cs="Arial"/>
          <w:lang w:val="en-US"/>
        </w:rPr>
        <w:t>has</w:t>
      </w:r>
      <w:r w:rsidRPr="007633A1">
        <w:rPr>
          <w:rFonts w:ascii="Arial" w:hAnsi="Arial" w:cs="Arial"/>
          <w:lang w:val="en-US"/>
        </w:rPr>
        <w:t xml:space="preserve"> a significant impact </w:t>
      </w:r>
      <w:r w:rsidR="00443926" w:rsidRPr="007633A1">
        <w:rPr>
          <w:rFonts w:ascii="Arial" w:hAnsi="Arial" w:cs="Arial"/>
          <w:lang w:val="en-US"/>
        </w:rPr>
        <w:t xml:space="preserve">for </w:t>
      </w:r>
      <w:r w:rsidRPr="007633A1">
        <w:rPr>
          <w:rFonts w:ascii="Arial" w:hAnsi="Arial" w:cs="Arial"/>
          <w:lang w:val="en-US"/>
        </w:rPr>
        <w:t>the poor</w:t>
      </w:r>
      <w:r w:rsidR="00443926" w:rsidRPr="007633A1">
        <w:rPr>
          <w:rFonts w:ascii="Arial" w:hAnsi="Arial" w:cs="Arial"/>
          <w:lang w:val="en-US"/>
        </w:rPr>
        <w:t xml:space="preserve"> with regard</w:t>
      </w:r>
      <w:r w:rsidR="007633A1">
        <w:rPr>
          <w:rFonts w:ascii="Arial" w:hAnsi="Arial" w:cs="Arial"/>
          <w:lang w:val="en-US"/>
        </w:rPr>
        <w:t xml:space="preserve"> </w:t>
      </w:r>
      <w:r w:rsidR="00443926" w:rsidRPr="007633A1">
        <w:rPr>
          <w:rFonts w:ascii="Arial" w:hAnsi="Arial" w:cs="Arial"/>
          <w:lang w:val="en-US"/>
        </w:rPr>
        <w:t xml:space="preserve">victim’s </w:t>
      </w:r>
      <w:r w:rsidRPr="007633A1">
        <w:rPr>
          <w:rFonts w:ascii="Arial" w:hAnsi="Arial" w:cs="Arial"/>
          <w:lang w:val="en-US"/>
        </w:rPr>
        <w:t xml:space="preserve">reparation </w:t>
      </w:r>
      <w:r w:rsidR="007227E5" w:rsidRPr="007633A1">
        <w:rPr>
          <w:rFonts w:ascii="Arial" w:hAnsi="Arial" w:cs="Arial"/>
          <w:lang w:val="en-US"/>
        </w:rPr>
        <w:t xml:space="preserve">and </w:t>
      </w:r>
      <w:r w:rsidRPr="007633A1">
        <w:rPr>
          <w:rFonts w:ascii="Arial" w:hAnsi="Arial" w:cs="Arial"/>
          <w:lang w:val="en-US"/>
        </w:rPr>
        <w:t>punishment of perpetrators of torture. This is what happened in the case of Hasan</w:t>
      </w:r>
      <w:r w:rsidR="007451D7">
        <w:rPr>
          <w:rFonts w:ascii="Arial" w:hAnsi="Arial" w:cs="Arial"/>
          <w:lang w:val="en-US"/>
        </w:rPr>
        <w:t xml:space="preserve"> </w:t>
      </w:r>
      <w:r w:rsidRPr="007633A1">
        <w:rPr>
          <w:rFonts w:ascii="Arial" w:hAnsi="Arial" w:cs="Arial"/>
          <w:lang w:val="en-US"/>
        </w:rPr>
        <w:t>Basri, a victim of false arrest, who experienced torture</w:t>
      </w:r>
      <w:r w:rsidR="00443926" w:rsidRPr="007633A1">
        <w:rPr>
          <w:rFonts w:ascii="Arial" w:hAnsi="Arial" w:cs="Arial"/>
          <w:lang w:val="en-US"/>
        </w:rPr>
        <w:t xml:space="preserve"> in custody</w:t>
      </w:r>
      <w:r w:rsidR="009B170E" w:rsidRPr="007633A1">
        <w:rPr>
          <w:rFonts w:ascii="Arial" w:hAnsi="Arial" w:cs="Arial"/>
        </w:rPr>
        <w:t xml:space="preserve"> (please refer to annex 1</w:t>
      </w:r>
      <w:r w:rsidR="00930F1F" w:rsidRPr="007633A1">
        <w:rPr>
          <w:rFonts w:ascii="Arial" w:hAnsi="Arial" w:cs="Arial"/>
          <w:lang w:val="en-US"/>
        </w:rPr>
        <w:t>in the list of cases in 2012</w:t>
      </w:r>
      <w:r w:rsidR="009B170E" w:rsidRPr="007633A1">
        <w:rPr>
          <w:rFonts w:ascii="Arial" w:hAnsi="Arial" w:cs="Arial"/>
        </w:rPr>
        <w:t>)</w:t>
      </w:r>
      <w:r w:rsidRPr="007633A1">
        <w:rPr>
          <w:rFonts w:ascii="Arial" w:hAnsi="Arial" w:cs="Arial"/>
          <w:lang w:val="en-US"/>
        </w:rPr>
        <w:t xml:space="preserve">. </w:t>
      </w:r>
      <w:r w:rsidR="007227E5" w:rsidRPr="007633A1">
        <w:rPr>
          <w:rFonts w:ascii="Arial" w:hAnsi="Arial" w:cs="Arial"/>
          <w:lang w:val="en-US"/>
        </w:rPr>
        <w:t>He was</w:t>
      </w:r>
      <w:r w:rsidRPr="007633A1">
        <w:rPr>
          <w:rFonts w:ascii="Arial" w:hAnsi="Arial" w:cs="Arial"/>
          <w:lang w:val="en-US"/>
        </w:rPr>
        <w:t xml:space="preserve"> released because </w:t>
      </w:r>
      <w:r w:rsidR="007227E5" w:rsidRPr="007633A1">
        <w:rPr>
          <w:rFonts w:ascii="Arial" w:hAnsi="Arial" w:cs="Arial"/>
          <w:lang w:val="en-US"/>
        </w:rPr>
        <w:t>his</w:t>
      </w:r>
      <w:r w:rsidRPr="007633A1">
        <w:rPr>
          <w:rFonts w:ascii="Arial" w:hAnsi="Arial" w:cs="Arial"/>
          <w:lang w:val="en-US"/>
        </w:rPr>
        <w:t xml:space="preserve"> legal counsels could prove that the case was manipulated and the defendants were tortured</w:t>
      </w:r>
      <w:r w:rsidR="00443926" w:rsidRPr="007633A1">
        <w:rPr>
          <w:rFonts w:ascii="Arial" w:hAnsi="Arial" w:cs="Arial"/>
          <w:lang w:val="en-US"/>
        </w:rPr>
        <w:t xml:space="preserve">. </w:t>
      </w:r>
    </w:p>
    <w:p w:rsidR="009F256E" w:rsidRPr="007633A1" w:rsidRDefault="009F256E" w:rsidP="009F256E">
      <w:pPr>
        <w:pStyle w:val="Listecouleur-Accent11"/>
        <w:spacing w:after="0" w:line="240" w:lineRule="auto"/>
        <w:ind w:left="0"/>
        <w:jc w:val="both"/>
        <w:rPr>
          <w:rFonts w:ascii="Arial" w:hAnsi="Arial" w:cs="Arial"/>
          <w:lang w:val="en-US"/>
        </w:rPr>
      </w:pPr>
    </w:p>
    <w:p w:rsidR="00B211AD" w:rsidRPr="007633A1" w:rsidRDefault="00B211AD" w:rsidP="00F163F9">
      <w:pPr>
        <w:pStyle w:val="SingleTxtG"/>
        <w:numPr>
          <w:ilvl w:val="0"/>
          <w:numId w:val="14"/>
        </w:numPr>
        <w:ind w:left="567" w:right="-46" w:hanging="567"/>
        <w:rPr>
          <w:rFonts w:ascii="Arial" w:hAnsi="Arial" w:cs="Arial"/>
          <w:sz w:val="22"/>
          <w:szCs w:val="22"/>
          <w:lang w:val="en-US"/>
        </w:rPr>
      </w:pPr>
      <w:r w:rsidRPr="007633A1">
        <w:rPr>
          <w:rFonts w:ascii="Arial" w:hAnsi="Arial" w:cs="Arial"/>
          <w:sz w:val="22"/>
          <w:szCs w:val="22"/>
          <w:lang w:val="en-US"/>
        </w:rPr>
        <w:lastRenderedPageBreak/>
        <w:t>There were also funds for legal aid in various state institutions, for instance in the Bank of Indonesia. In the implementation process, the use of funds is prone to misuse. For instance, the funds were used to advocate the bank’s officials who are suspected of committing corruption in the case of BLBI.</w:t>
      </w:r>
      <w:r w:rsidR="0027237A" w:rsidRPr="007633A1">
        <w:rPr>
          <w:rStyle w:val="FootnoteReference"/>
          <w:rFonts w:ascii="Arial" w:hAnsi="Arial" w:cs="Arial"/>
          <w:sz w:val="22"/>
          <w:szCs w:val="22"/>
          <w:lang w:val="en-US"/>
        </w:rPr>
        <w:footnoteReference w:id="29"/>
      </w:r>
    </w:p>
    <w:p w:rsidR="00B211AD" w:rsidRPr="007633A1" w:rsidRDefault="00B211AD" w:rsidP="00F163F9">
      <w:pPr>
        <w:pStyle w:val="SingleTxtG"/>
        <w:numPr>
          <w:ilvl w:val="0"/>
          <w:numId w:val="14"/>
        </w:numPr>
        <w:ind w:left="567" w:right="-46" w:hanging="567"/>
        <w:rPr>
          <w:rFonts w:ascii="Arial" w:hAnsi="Arial" w:cs="Arial"/>
          <w:sz w:val="22"/>
          <w:szCs w:val="22"/>
          <w:lang w:val="en-US"/>
        </w:rPr>
      </w:pPr>
      <w:r w:rsidRPr="007633A1">
        <w:rPr>
          <w:rFonts w:ascii="Arial" w:hAnsi="Arial" w:cs="Arial"/>
          <w:sz w:val="22"/>
          <w:szCs w:val="22"/>
          <w:lang w:val="en-US"/>
        </w:rPr>
        <w:t>Bribery in legal processes is still ongoing in Indonesia. Bribery in corruption cases also involved law enforcement personnel such as judges, prosecutors</w:t>
      </w:r>
      <w:r w:rsidR="007451D7">
        <w:rPr>
          <w:rFonts w:ascii="Arial" w:hAnsi="Arial" w:cs="Arial"/>
          <w:sz w:val="22"/>
          <w:szCs w:val="22"/>
          <w:lang w:val="en-US"/>
        </w:rPr>
        <w:t xml:space="preserve"> and the police. The S</w:t>
      </w:r>
      <w:r w:rsidRPr="007633A1">
        <w:rPr>
          <w:rFonts w:ascii="Arial" w:hAnsi="Arial" w:cs="Arial"/>
          <w:sz w:val="22"/>
          <w:szCs w:val="22"/>
          <w:lang w:val="en-US"/>
        </w:rPr>
        <w:t>tate has taken legal actions to respond to this practice of bribery, particularly towards law enforcement personnel. However, the said legal action</w:t>
      </w:r>
      <w:r w:rsidR="00E87A1E" w:rsidRPr="007633A1">
        <w:rPr>
          <w:rFonts w:ascii="Arial" w:hAnsi="Arial" w:cs="Arial"/>
          <w:sz w:val="22"/>
          <w:szCs w:val="22"/>
          <w:lang w:val="en-US"/>
        </w:rPr>
        <w:t>s</w:t>
      </w:r>
      <w:r w:rsidR="007633A1">
        <w:rPr>
          <w:rFonts w:ascii="Arial" w:hAnsi="Arial" w:cs="Arial"/>
          <w:sz w:val="22"/>
          <w:szCs w:val="22"/>
          <w:lang w:val="en-US"/>
        </w:rPr>
        <w:t xml:space="preserve"> </w:t>
      </w:r>
      <w:r w:rsidR="00E87A1E" w:rsidRPr="007633A1">
        <w:rPr>
          <w:rFonts w:ascii="Arial" w:hAnsi="Arial" w:cs="Arial"/>
          <w:sz w:val="22"/>
          <w:szCs w:val="22"/>
          <w:lang w:val="en-US"/>
        </w:rPr>
        <w:t>were</w:t>
      </w:r>
      <w:r w:rsidR="007633A1">
        <w:rPr>
          <w:rFonts w:ascii="Arial" w:hAnsi="Arial" w:cs="Arial"/>
          <w:sz w:val="22"/>
          <w:szCs w:val="22"/>
          <w:lang w:val="en-US"/>
        </w:rPr>
        <w:t xml:space="preserve"> </w:t>
      </w:r>
      <w:r w:rsidRPr="007633A1">
        <w:rPr>
          <w:rFonts w:ascii="Arial" w:hAnsi="Arial" w:cs="Arial"/>
          <w:sz w:val="22"/>
          <w:szCs w:val="22"/>
          <w:lang w:val="en-US"/>
        </w:rPr>
        <w:t xml:space="preserve">still insufficient, and bribery involving law enforcement </w:t>
      </w:r>
      <w:r w:rsidR="007A49A5" w:rsidRPr="007633A1">
        <w:rPr>
          <w:rFonts w:ascii="Arial" w:hAnsi="Arial" w:cs="Arial"/>
          <w:sz w:val="22"/>
          <w:szCs w:val="22"/>
          <w:lang w:val="id-ID"/>
        </w:rPr>
        <w:t>s</w:t>
      </w:r>
      <w:r w:rsidRPr="007633A1">
        <w:rPr>
          <w:rFonts w:ascii="Arial" w:hAnsi="Arial" w:cs="Arial"/>
          <w:sz w:val="22"/>
          <w:szCs w:val="22"/>
          <w:lang w:val="en-US"/>
        </w:rPr>
        <w:t xml:space="preserve">personnel is still ongoing. </w:t>
      </w:r>
    </w:p>
    <w:p w:rsidR="00B211AD" w:rsidRPr="007633A1" w:rsidRDefault="00B211AD" w:rsidP="00B211AD">
      <w:pPr>
        <w:pStyle w:val="SingleTxtG"/>
        <w:ind w:left="0"/>
        <w:rPr>
          <w:rFonts w:ascii="Arial" w:hAnsi="Arial" w:cs="Arial"/>
          <w:sz w:val="22"/>
          <w:szCs w:val="22"/>
          <w:lang w:val="en-US"/>
        </w:rPr>
      </w:pPr>
    </w:p>
    <w:p w:rsidR="00B211AD" w:rsidRPr="007633A1" w:rsidRDefault="00F85B36" w:rsidP="00B211AD">
      <w:pPr>
        <w:pStyle w:val="SingleTxtG"/>
        <w:pBdr>
          <w:top w:val="single" w:sz="4" w:space="1" w:color="auto"/>
          <w:left w:val="single" w:sz="4" w:space="4" w:color="auto"/>
          <w:bottom w:val="single" w:sz="4" w:space="1" w:color="auto"/>
          <w:right w:val="single" w:sz="4" w:space="4" w:color="auto"/>
        </w:pBdr>
        <w:ind w:left="0" w:right="-46"/>
        <w:rPr>
          <w:rFonts w:ascii="Arial" w:hAnsi="Arial" w:cs="Arial"/>
          <w:sz w:val="22"/>
          <w:szCs w:val="22"/>
          <w:lang w:val="en-US"/>
        </w:rPr>
      </w:pPr>
      <w:r w:rsidRPr="007633A1">
        <w:rPr>
          <w:rFonts w:ascii="Arial" w:hAnsi="Arial" w:cs="Arial"/>
          <w:b/>
          <w:sz w:val="22"/>
          <w:szCs w:val="22"/>
          <w:lang w:val="en-US"/>
        </w:rPr>
        <w:t>Issue 21</w:t>
      </w:r>
      <w:r w:rsidRPr="007633A1">
        <w:rPr>
          <w:rFonts w:ascii="Arial" w:hAnsi="Arial" w:cs="Arial"/>
          <w:sz w:val="22"/>
          <w:szCs w:val="22"/>
          <w:lang w:val="en-US"/>
        </w:rPr>
        <w:t xml:space="preserve">: </w:t>
      </w:r>
      <w:r w:rsidR="00B211AD" w:rsidRPr="007633A1">
        <w:rPr>
          <w:rFonts w:ascii="Arial" w:hAnsi="Arial" w:cs="Arial"/>
          <w:sz w:val="22"/>
          <w:szCs w:val="22"/>
          <w:lang w:val="en-US"/>
        </w:rPr>
        <w:t xml:space="preserve">Please provide information on the progress made by the “Taskforce to Eradicate Judicial Mafia” following reports by an independent fact-finding team of investigators that established that corruption is widespread at all levels of the State party’s system of administration of justice. Please provide statistical data on (a) the number of investigations that have been conducted; (b) the number of persons that have been prosecuted and convicted for corruption involving the judiciary; and (c) the number of persons that are subject to disciplinary action. </w:t>
      </w:r>
    </w:p>
    <w:p w:rsidR="00B211AD" w:rsidRPr="007633A1" w:rsidRDefault="00B211AD" w:rsidP="00B211AD">
      <w:pPr>
        <w:pStyle w:val="SingleTxtG"/>
        <w:ind w:left="0"/>
        <w:rPr>
          <w:rFonts w:ascii="Arial" w:hAnsi="Arial" w:cs="Arial"/>
          <w:sz w:val="22"/>
          <w:szCs w:val="22"/>
          <w:lang w:val="en-US"/>
        </w:rPr>
      </w:pPr>
    </w:p>
    <w:p w:rsidR="00B211AD" w:rsidRPr="007633A1" w:rsidRDefault="00B211AD" w:rsidP="00F163F9">
      <w:pPr>
        <w:pStyle w:val="SingleTxtG"/>
        <w:numPr>
          <w:ilvl w:val="0"/>
          <w:numId w:val="14"/>
        </w:numPr>
        <w:ind w:left="567" w:right="-46" w:hanging="567"/>
        <w:rPr>
          <w:rFonts w:ascii="Arial" w:hAnsi="Arial" w:cs="Arial"/>
          <w:sz w:val="22"/>
          <w:szCs w:val="22"/>
          <w:lang w:val="en-US"/>
        </w:rPr>
      </w:pPr>
      <w:r w:rsidRPr="007633A1">
        <w:rPr>
          <w:rFonts w:ascii="Arial" w:hAnsi="Arial" w:cs="Arial"/>
          <w:sz w:val="22"/>
          <w:szCs w:val="22"/>
          <w:lang w:val="en-US"/>
        </w:rPr>
        <w:t>A Task Force for the Eradication of Judicial Ma</w:t>
      </w:r>
      <w:r w:rsidR="00707F18" w:rsidRPr="007633A1">
        <w:rPr>
          <w:rFonts w:ascii="Arial" w:hAnsi="Arial" w:cs="Arial"/>
          <w:sz w:val="22"/>
          <w:szCs w:val="22"/>
          <w:lang w:val="en-US"/>
        </w:rPr>
        <w:t>f</w:t>
      </w:r>
      <w:r w:rsidRPr="007633A1">
        <w:rPr>
          <w:rFonts w:ascii="Arial" w:hAnsi="Arial" w:cs="Arial"/>
          <w:sz w:val="22"/>
          <w:szCs w:val="22"/>
          <w:lang w:val="en-US"/>
        </w:rPr>
        <w:t>ia (Satgas PMH) was established in 2009 by the Presidential Decree No. 37</w:t>
      </w:r>
      <w:r w:rsidR="006B295B" w:rsidRPr="007633A1">
        <w:rPr>
          <w:rFonts w:ascii="Arial" w:hAnsi="Arial" w:cs="Arial"/>
          <w:sz w:val="22"/>
          <w:szCs w:val="22"/>
          <w:lang w:val="en-US"/>
        </w:rPr>
        <w:t>/</w:t>
      </w:r>
      <w:r w:rsidRPr="007633A1">
        <w:rPr>
          <w:rFonts w:ascii="Arial" w:hAnsi="Arial" w:cs="Arial"/>
          <w:sz w:val="22"/>
          <w:szCs w:val="22"/>
          <w:lang w:val="en-US"/>
        </w:rPr>
        <w:t xml:space="preserve"> 2009. The mandate of the Task Force </w:t>
      </w:r>
      <w:r w:rsidR="00DF0BD7" w:rsidRPr="007633A1">
        <w:rPr>
          <w:rFonts w:ascii="Arial" w:hAnsi="Arial" w:cs="Arial"/>
          <w:sz w:val="22"/>
          <w:szCs w:val="22"/>
          <w:lang w:val="en-US"/>
        </w:rPr>
        <w:t>was</w:t>
      </w:r>
      <w:r w:rsidR="005D0FD1" w:rsidRPr="007633A1">
        <w:rPr>
          <w:rFonts w:ascii="Arial" w:hAnsi="Arial" w:cs="Arial"/>
          <w:sz w:val="22"/>
          <w:szCs w:val="22"/>
          <w:lang w:val="en-US"/>
        </w:rPr>
        <w:t xml:space="preserve"> </w:t>
      </w:r>
      <w:r w:rsidRPr="007633A1">
        <w:rPr>
          <w:rFonts w:ascii="Arial" w:hAnsi="Arial" w:cs="Arial"/>
          <w:sz w:val="22"/>
          <w:szCs w:val="22"/>
          <w:lang w:val="en-US"/>
        </w:rPr>
        <w:t xml:space="preserve">to conduct coordination, evaluation, correction and monitoring </w:t>
      </w:r>
      <w:r w:rsidR="00DF0BD7" w:rsidRPr="007633A1">
        <w:rPr>
          <w:rFonts w:ascii="Arial" w:hAnsi="Arial" w:cs="Arial"/>
          <w:sz w:val="22"/>
          <w:szCs w:val="22"/>
          <w:lang w:val="en-US"/>
        </w:rPr>
        <w:t xml:space="preserve">activities </w:t>
      </w:r>
      <w:r w:rsidRPr="007633A1">
        <w:rPr>
          <w:rFonts w:ascii="Arial" w:hAnsi="Arial" w:cs="Arial"/>
          <w:sz w:val="22"/>
          <w:szCs w:val="22"/>
          <w:lang w:val="en-US"/>
        </w:rPr>
        <w:t xml:space="preserve">in order </w:t>
      </w:r>
      <w:r w:rsidR="00DF0BD7" w:rsidRPr="007633A1">
        <w:rPr>
          <w:rFonts w:ascii="Arial" w:hAnsi="Arial" w:cs="Arial"/>
          <w:sz w:val="22"/>
          <w:szCs w:val="22"/>
          <w:lang w:val="en-US"/>
        </w:rPr>
        <w:t>to eradicate</w:t>
      </w:r>
      <w:r w:rsidRPr="007633A1">
        <w:rPr>
          <w:rFonts w:ascii="Arial" w:hAnsi="Arial" w:cs="Arial"/>
          <w:sz w:val="22"/>
          <w:szCs w:val="22"/>
          <w:lang w:val="en-US"/>
        </w:rPr>
        <w:t xml:space="preserve"> judicial mafia. </w:t>
      </w:r>
    </w:p>
    <w:p w:rsidR="00B211AD" w:rsidRPr="007633A1" w:rsidRDefault="00B211AD" w:rsidP="00F163F9">
      <w:pPr>
        <w:pStyle w:val="SingleTxtG"/>
        <w:numPr>
          <w:ilvl w:val="0"/>
          <w:numId w:val="14"/>
        </w:numPr>
        <w:spacing w:after="0" w:line="240" w:lineRule="auto"/>
        <w:ind w:left="567" w:right="96" w:hanging="567"/>
        <w:rPr>
          <w:rFonts w:ascii="Arial" w:hAnsi="Arial" w:cs="Arial"/>
          <w:sz w:val="22"/>
          <w:szCs w:val="22"/>
          <w:lang w:val="en-US"/>
        </w:rPr>
      </w:pPr>
      <w:r w:rsidRPr="007633A1">
        <w:rPr>
          <w:rFonts w:ascii="Arial" w:hAnsi="Arial" w:cs="Arial"/>
          <w:sz w:val="22"/>
          <w:szCs w:val="22"/>
          <w:lang w:val="en-US"/>
        </w:rPr>
        <w:t>For 2 years, the Task Force received 2869 reports start</w:t>
      </w:r>
      <w:r w:rsidR="006575D3" w:rsidRPr="007633A1">
        <w:rPr>
          <w:rFonts w:ascii="Arial" w:hAnsi="Arial" w:cs="Arial"/>
          <w:sz w:val="22"/>
          <w:szCs w:val="22"/>
          <w:lang w:val="en-US"/>
        </w:rPr>
        <w:t>ing</w:t>
      </w:r>
      <w:r w:rsidRPr="007633A1">
        <w:rPr>
          <w:rFonts w:ascii="Arial" w:hAnsi="Arial" w:cs="Arial"/>
          <w:sz w:val="22"/>
          <w:szCs w:val="22"/>
          <w:lang w:val="en-US"/>
        </w:rPr>
        <w:t xml:space="preserve"> from 6 August 2010</w:t>
      </w:r>
      <w:r w:rsidR="006575D3" w:rsidRPr="007633A1">
        <w:rPr>
          <w:rFonts w:ascii="Arial" w:hAnsi="Arial" w:cs="Arial"/>
          <w:sz w:val="22"/>
          <w:szCs w:val="22"/>
          <w:lang w:val="en-US"/>
        </w:rPr>
        <w:t>. According to the reports</w:t>
      </w:r>
      <w:r w:rsidRPr="007633A1">
        <w:rPr>
          <w:rFonts w:ascii="Arial" w:hAnsi="Arial" w:cs="Arial"/>
          <w:sz w:val="22"/>
          <w:szCs w:val="22"/>
          <w:lang w:val="en-US"/>
        </w:rPr>
        <w:t>, there were 410 cases of corruption involving the state police, 283 cases involving the judiciary, and 232 cases involving the office of prosecutors</w:t>
      </w:r>
      <w:r w:rsidRPr="007633A1">
        <w:rPr>
          <w:rStyle w:val="FootnoteReference"/>
          <w:rFonts w:ascii="Arial" w:hAnsi="Arial" w:cs="Arial"/>
          <w:sz w:val="22"/>
          <w:szCs w:val="22"/>
          <w:lang w:val="en-US"/>
        </w:rPr>
        <w:footnoteReference w:id="30"/>
      </w:r>
      <w:r w:rsidRPr="007633A1">
        <w:rPr>
          <w:rFonts w:ascii="Arial" w:hAnsi="Arial" w:cs="Arial"/>
          <w:sz w:val="22"/>
          <w:szCs w:val="22"/>
          <w:lang w:val="en-US"/>
        </w:rPr>
        <w:t>. The performance of the Task Force that was well appreciated was related to the impromptu visits to places of detention</w:t>
      </w:r>
      <w:r w:rsidRPr="007633A1">
        <w:rPr>
          <w:rFonts w:ascii="Arial" w:hAnsi="Arial" w:cs="Arial"/>
          <w:b/>
          <w:sz w:val="22"/>
          <w:szCs w:val="22"/>
          <w:lang w:val="en-US"/>
        </w:rPr>
        <w:t>.</w:t>
      </w:r>
      <w:r w:rsidRPr="007633A1">
        <w:rPr>
          <w:rFonts w:ascii="Arial" w:hAnsi="Arial" w:cs="Arial"/>
          <w:sz w:val="22"/>
          <w:szCs w:val="22"/>
          <w:lang w:val="en-US"/>
        </w:rPr>
        <w:t xml:space="preserve"> However, on the other hand, the performance of the Task Force was also criticized by various social elements</w:t>
      </w:r>
      <w:r w:rsidR="00041D41" w:rsidRPr="007633A1">
        <w:rPr>
          <w:rFonts w:ascii="Arial" w:hAnsi="Arial" w:cs="Arial"/>
          <w:sz w:val="22"/>
          <w:szCs w:val="22"/>
          <w:lang w:val="en-US"/>
        </w:rPr>
        <w:t xml:space="preserve">, for example </w:t>
      </w:r>
      <w:r w:rsidR="0027237A" w:rsidRPr="007633A1">
        <w:rPr>
          <w:rFonts w:ascii="Arial" w:hAnsi="Arial" w:cs="Arial"/>
          <w:sz w:val="22"/>
          <w:szCs w:val="22"/>
          <w:lang w:val="en-US"/>
        </w:rPr>
        <w:t xml:space="preserve">social </w:t>
      </w:r>
      <w:r w:rsidR="00041D41" w:rsidRPr="007633A1">
        <w:rPr>
          <w:rFonts w:ascii="Arial" w:hAnsi="Arial" w:cs="Arial"/>
          <w:sz w:val="22"/>
          <w:szCs w:val="22"/>
          <w:lang w:val="en-US"/>
        </w:rPr>
        <w:t xml:space="preserve">figures, civil society </w:t>
      </w:r>
      <w:r w:rsidRPr="007633A1">
        <w:rPr>
          <w:rFonts w:ascii="Arial" w:hAnsi="Arial" w:cs="Arial"/>
          <w:sz w:val="22"/>
          <w:szCs w:val="22"/>
          <w:lang w:val="en-US"/>
        </w:rPr>
        <w:t xml:space="preserve">and also by the Commission III of the House of Representatives, particularly regarding to the exemption of </w:t>
      </w:r>
      <w:r w:rsidR="007633A1" w:rsidRPr="007633A1">
        <w:rPr>
          <w:rFonts w:ascii="Arial" w:hAnsi="Arial" w:cs="Arial"/>
          <w:sz w:val="22"/>
          <w:szCs w:val="22"/>
          <w:lang w:val="en-US"/>
        </w:rPr>
        <w:t>corruptors. The</w:t>
      </w:r>
      <w:r w:rsidRPr="007633A1">
        <w:rPr>
          <w:rFonts w:ascii="Arial" w:hAnsi="Arial" w:cs="Arial"/>
          <w:sz w:val="22"/>
          <w:szCs w:val="22"/>
          <w:lang w:val="en-US"/>
        </w:rPr>
        <w:t xml:space="preserve"> Task Force was accused of not perfor</w:t>
      </w:r>
      <w:r w:rsidR="007451D7">
        <w:rPr>
          <w:rFonts w:ascii="Arial" w:hAnsi="Arial" w:cs="Arial"/>
          <w:sz w:val="22"/>
          <w:szCs w:val="22"/>
          <w:lang w:val="en-US"/>
        </w:rPr>
        <w:t>ming its tasks in a well manner.</w:t>
      </w:r>
      <w:r w:rsidRPr="007633A1">
        <w:rPr>
          <w:rFonts w:ascii="Arial" w:hAnsi="Arial" w:cs="Arial"/>
          <w:sz w:val="22"/>
          <w:szCs w:val="22"/>
          <w:lang w:val="en-US"/>
        </w:rPr>
        <w:t xml:space="preserve"> </w:t>
      </w:r>
      <w:r w:rsidR="007451D7">
        <w:rPr>
          <w:rFonts w:ascii="Arial" w:hAnsi="Arial" w:cs="Arial"/>
          <w:sz w:val="22"/>
          <w:szCs w:val="22"/>
          <w:lang w:val="en-US"/>
        </w:rPr>
        <w:t>T</w:t>
      </w:r>
      <w:r w:rsidRPr="007633A1">
        <w:rPr>
          <w:rFonts w:ascii="Arial" w:hAnsi="Arial" w:cs="Arial"/>
          <w:sz w:val="22"/>
          <w:szCs w:val="22"/>
          <w:lang w:val="en-US"/>
        </w:rPr>
        <w:t xml:space="preserve">herefore, the suggestion not to extend its </w:t>
      </w:r>
      <w:r w:rsidR="007451D7">
        <w:rPr>
          <w:rFonts w:ascii="Arial" w:hAnsi="Arial" w:cs="Arial"/>
          <w:sz w:val="22"/>
          <w:szCs w:val="22"/>
          <w:lang w:val="en-US"/>
        </w:rPr>
        <w:t>mandate</w:t>
      </w:r>
      <w:r w:rsidRPr="007633A1">
        <w:rPr>
          <w:rFonts w:ascii="Arial" w:hAnsi="Arial" w:cs="Arial"/>
          <w:sz w:val="22"/>
          <w:szCs w:val="22"/>
          <w:lang w:val="en-US"/>
        </w:rPr>
        <w:t xml:space="preserve"> was growing. Finally, on 30 December</w:t>
      </w:r>
      <w:r w:rsidR="007451D7">
        <w:rPr>
          <w:rFonts w:ascii="Arial" w:hAnsi="Arial" w:cs="Arial"/>
          <w:sz w:val="22"/>
          <w:szCs w:val="22"/>
          <w:lang w:val="en-US"/>
        </w:rPr>
        <w:t xml:space="preserve"> </w:t>
      </w:r>
      <w:r w:rsidR="00B876A9" w:rsidRPr="007633A1">
        <w:rPr>
          <w:rFonts w:ascii="Arial" w:hAnsi="Arial" w:cs="Arial"/>
          <w:sz w:val="22"/>
          <w:szCs w:val="22"/>
          <w:lang w:val="id-ID"/>
        </w:rPr>
        <w:t>2011</w:t>
      </w:r>
      <w:r w:rsidRPr="007633A1">
        <w:rPr>
          <w:rFonts w:ascii="Arial" w:hAnsi="Arial" w:cs="Arial"/>
          <w:sz w:val="22"/>
          <w:szCs w:val="22"/>
          <w:lang w:val="en-US"/>
        </w:rPr>
        <w:t>, the mandat</w:t>
      </w:r>
      <w:r w:rsidR="007451D7">
        <w:rPr>
          <w:rFonts w:ascii="Arial" w:hAnsi="Arial" w:cs="Arial"/>
          <w:sz w:val="22"/>
          <w:szCs w:val="22"/>
          <w:lang w:val="en-US"/>
        </w:rPr>
        <w:t>e for the Task Force was ended and some of its</w:t>
      </w:r>
      <w:r w:rsidRPr="007633A1">
        <w:rPr>
          <w:rFonts w:ascii="Arial" w:hAnsi="Arial" w:cs="Arial"/>
          <w:sz w:val="22"/>
          <w:szCs w:val="22"/>
          <w:lang w:val="en-US"/>
        </w:rPr>
        <w:t xml:space="preserve"> tasks</w:t>
      </w:r>
      <w:r w:rsidR="007451D7">
        <w:rPr>
          <w:rFonts w:ascii="Arial" w:hAnsi="Arial" w:cs="Arial"/>
          <w:sz w:val="22"/>
          <w:szCs w:val="22"/>
          <w:lang w:val="en-US"/>
        </w:rPr>
        <w:t>,</w:t>
      </w:r>
      <w:r w:rsidRPr="007633A1">
        <w:rPr>
          <w:rFonts w:ascii="Arial" w:hAnsi="Arial" w:cs="Arial"/>
          <w:sz w:val="22"/>
          <w:szCs w:val="22"/>
          <w:lang w:val="en-US"/>
        </w:rPr>
        <w:t xml:space="preserve"> such as system improvement, receiving complaints and following them up were diverted to the UKP-PPP</w:t>
      </w:r>
      <w:r w:rsidR="00604E19" w:rsidRPr="007633A1">
        <w:rPr>
          <w:rStyle w:val="FootnoteReference"/>
          <w:rFonts w:ascii="Arial" w:hAnsi="Arial" w:cs="Arial"/>
          <w:sz w:val="22"/>
          <w:szCs w:val="22"/>
          <w:lang w:val="en-US"/>
        </w:rPr>
        <w:footnoteReference w:id="31"/>
      </w:r>
      <w:r w:rsidR="006575D3" w:rsidRPr="007633A1">
        <w:rPr>
          <w:rFonts w:ascii="Arial" w:hAnsi="Arial" w:cs="Arial"/>
          <w:sz w:val="22"/>
          <w:szCs w:val="22"/>
          <w:lang w:val="en-US"/>
        </w:rPr>
        <w:t xml:space="preserve">. </w:t>
      </w:r>
    </w:p>
    <w:p w:rsidR="005846E8" w:rsidRDefault="005846E8" w:rsidP="006B295B">
      <w:pPr>
        <w:pStyle w:val="SingleTxtG"/>
        <w:ind w:left="993" w:right="95"/>
        <w:rPr>
          <w:rFonts w:ascii="Arial" w:hAnsi="Arial" w:cs="Arial"/>
          <w:sz w:val="22"/>
          <w:szCs w:val="22"/>
          <w:lang w:val="en-US"/>
        </w:rPr>
      </w:pPr>
    </w:p>
    <w:p w:rsidR="007451D7" w:rsidRDefault="007451D7" w:rsidP="006B295B">
      <w:pPr>
        <w:pStyle w:val="SingleTxtG"/>
        <w:ind w:left="993" w:right="95"/>
        <w:rPr>
          <w:rFonts w:ascii="Arial" w:hAnsi="Arial" w:cs="Arial"/>
          <w:sz w:val="22"/>
          <w:szCs w:val="22"/>
          <w:lang w:val="en-US"/>
        </w:rPr>
      </w:pPr>
    </w:p>
    <w:p w:rsidR="007451D7" w:rsidRDefault="007451D7" w:rsidP="006B295B">
      <w:pPr>
        <w:pStyle w:val="SingleTxtG"/>
        <w:ind w:left="993" w:right="95"/>
        <w:rPr>
          <w:rFonts w:ascii="Arial" w:hAnsi="Arial" w:cs="Arial"/>
          <w:sz w:val="22"/>
          <w:szCs w:val="22"/>
          <w:lang w:val="en-US"/>
        </w:rPr>
      </w:pPr>
    </w:p>
    <w:p w:rsidR="007451D7" w:rsidRPr="007633A1" w:rsidRDefault="007451D7" w:rsidP="006B295B">
      <w:pPr>
        <w:pStyle w:val="SingleTxtG"/>
        <w:ind w:left="993" w:right="95"/>
        <w:rPr>
          <w:rFonts w:ascii="Arial" w:hAnsi="Arial" w:cs="Arial"/>
          <w:sz w:val="22"/>
          <w:szCs w:val="22"/>
          <w:lang w:val="en-US"/>
        </w:rPr>
      </w:pPr>
    </w:p>
    <w:p w:rsidR="00B211AD" w:rsidRPr="007633A1" w:rsidRDefault="00F20BEE" w:rsidP="00F20BEE">
      <w:pPr>
        <w:pStyle w:val="SingleTxtG"/>
        <w:spacing w:after="0" w:line="240" w:lineRule="auto"/>
        <w:ind w:left="0"/>
        <w:rPr>
          <w:rFonts w:ascii="Arial" w:hAnsi="Arial" w:cs="Arial"/>
          <w:b/>
          <w:sz w:val="22"/>
          <w:szCs w:val="22"/>
          <w:lang w:val="en-US"/>
        </w:rPr>
      </w:pPr>
      <w:r w:rsidRPr="007633A1">
        <w:rPr>
          <w:rFonts w:ascii="Arial" w:hAnsi="Arial" w:cs="Arial"/>
          <w:b/>
          <w:sz w:val="22"/>
          <w:szCs w:val="22"/>
          <w:lang w:val="id-ID"/>
        </w:rPr>
        <w:lastRenderedPageBreak/>
        <w:t xml:space="preserve">III. </w:t>
      </w:r>
      <w:r w:rsidR="00B211AD" w:rsidRPr="007633A1">
        <w:rPr>
          <w:rFonts w:ascii="Arial" w:hAnsi="Arial" w:cs="Arial"/>
          <w:b/>
          <w:sz w:val="22"/>
          <w:szCs w:val="22"/>
          <w:lang w:val="en-US"/>
        </w:rPr>
        <w:t xml:space="preserve"> RECOMENDATION</w:t>
      </w:r>
      <w:r w:rsidR="00F25319" w:rsidRPr="007633A1">
        <w:rPr>
          <w:rFonts w:ascii="Arial" w:hAnsi="Arial" w:cs="Arial"/>
          <w:b/>
          <w:sz w:val="22"/>
          <w:szCs w:val="22"/>
          <w:lang w:val="en-US"/>
        </w:rPr>
        <w:t>S</w:t>
      </w:r>
    </w:p>
    <w:p w:rsidR="00B211AD" w:rsidRPr="007633A1" w:rsidRDefault="00B211AD" w:rsidP="00B211AD">
      <w:pPr>
        <w:pStyle w:val="SingleTxtG"/>
        <w:spacing w:after="0" w:line="240" w:lineRule="auto"/>
        <w:ind w:left="0"/>
        <w:rPr>
          <w:rFonts w:ascii="Arial" w:hAnsi="Arial" w:cs="Arial"/>
          <w:sz w:val="22"/>
          <w:szCs w:val="22"/>
          <w:lang w:val="en-US"/>
        </w:rPr>
      </w:pPr>
    </w:p>
    <w:p w:rsidR="00B211AD" w:rsidRPr="007633A1" w:rsidRDefault="002F3236" w:rsidP="00B211AD">
      <w:pPr>
        <w:pStyle w:val="SingleTxtG"/>
        <w:spacing w:after="0" w:line="240" w:lineRule="auto"/>
        <w:ind w:left="0"/>
        <w:rPr>
          <w:rFonts w:ascii="Arial" w:hAnsi="Arial" w:cs="Arial"/>
          <w:sz w:val="22"/>
          <w:szCs w:val="22"/>
          <w:lang w:val="en-US"/>
        </w:rPr>
      </w:pPr>
      <w:r w:rsidRPr="007633A1">
        <w:rPr>
          <w:rFonts w:ascii="Arial" w:hAnsi="Arial" w:cs="Arial"/>
          <w:sz w:val="22"/>
          <w:szCs w:val="22"/>
          <w:lang w:val="en-US"/>
        </w:rPr>
        <w:t>The</w:t>
      </w:r>
      <w:r w:rsidR="00B211AD" w:rsidRPr="007633A1">
        <w:rPr>
          <w:rFonts w:ascii="Arial" w:hAnsi="Arial" w:cs="Arial"/>
          <w:sz w:val="22"/>
          <w:szCs w:val="22"/>
          <w:lang w:val="en-US"/>
        </w:rPr>
        <w:t xml:space="preserve"> WGAT </w:t>
      </w:r>
      <w:r w:rsidRPr="007633A1">
        <w:rPr>
          <w:rFonts w:ascii="Arial" w:hAnsi="Arial" w:cs="Arial"/>
          <w:sz w:val="22"/>
          <w:szCs w:val="22"/>
          <w:lang w:val="en-US"/>
        </w:rPr>
        <w:t xml:space="preserve">would like to </w:t>
      </w:r>
      <w:r w:rsidR="003E54D3" w:rsidRPr="007633A1">
        <w:rPr>
          <w:rFonts w:ascii="Arial" w:hAnsi="Arial" w:cs="Arial"/>
          <w:sz w:val="22"/>
          <w:szCs w:val="22"/>
          <w:lang w:val="en-US"/>
        </w:rPr>
        <w:t xml:space="preserve">make </w:t>
      </w:r>
      <w:r w:rsidRPr="007633A1">
        <w:rPr>
          <w:rFonts w:ascii="Arial" w:hAnsi="Arial" w:cs="Arial"/>
          <w:sz w:val="22"/>
          <w:szCs w:val="22"/>
          <w:lang w:val="en-US"/>
        </w:rPr>
        <w:t xml:space="preserve">the following </w:t>
      </w:r>
      <w:r w:rsidR="003E54D3" w:rsidRPr="007633A1">
        <w:rPr>
          <w:rFonts w:ascii="Arial" w:hAnsi="Arial" w:cs="Arial"/>
          <w:sz w:val="22"/>
          <w:szCs w:val="22"/>
          <w:lang w:val="en-US"/>
        </w:rPr>
        <w:t>recommendations</w:t>
      </w:r>
      <w:r w:rsidR="0016620C" w:rsidRPr="007633A1">
        <w:rPr>
          <w:rFonts w:ascii="Arial" w:hAnsi="Arial" w:cs="Arial"/>
          <w:sz w:val="22"/>
          <w:szCs w:val="22"/>
          <w:lang w:val="en-US"/>
        </w:rPr>
        <w:t xml:space="preserve"> to the State party</w:t>
      </w:r>
      <w:r w:rsidR="003E54D3" w:rsidRPr="007633A1">
        <w:rPr>
          <w:rFonts w:ascii="Arial" w:hAnsi="Arial" w:cs="Arial"/>
          <w:sz w:val="22"/>
          <w:szCs w:val="22"/>
          <w:lang w:val="en-US"/>
        </w:rPr>
        <w:t>:</w:t>
      </w:r>
    </w:p>
    <w:p w:rsidR="0047467A" w:rsidRPr="007633A1" w:rsidRDefault="0047467A" w:rsidP="00B211AD">
      <w:pPr>
        <w:pStyle w:val="SingleTxtG"/>
        <w:spacing w:after="0" w:line="240" w:lineRule="auto"/>
        <w:ind w:left="0"/>
        <w:rPr>
          <w:rFonts w:ascii="Arial" w:hAnsi="Arial" w:cs="Arial"/>
          <w:sz w:val="22"/>
          <w:szCs w:val="22"/>
          <w:lang w:val="en-US"/>
        </w:rPr>
      </w:pPr>
    </w:p>
    <w:p w:rsidR="00532744" w:rsidRPr="007633A1" w:rsidRDefault="00532744" w:rsidP="0027237A">
      <w:pPr>
        <w:pStyle w:val="Listecouleur-Accent11"/>
        <w:numPr>
          <w:ilvl w:val="0"/>
          <w:numId w:val="16"/>
        </w:numPr>
        <w:spacing w:after="0" w:line="240" w:lineRule="auto"/>
        <w:jc w:val="both"/>
        <w:rPr>
          <w:rFonts w:ascii="Arial" w:hAnsi="Arial" w:cs="Arial"/>
          <w:lang w:val="en-US"/>
        </w:rPr>
      </w:pPr>
      <w:r w:rsidRPr="007633A1">
        <w:rPr>
          <w:rFonts w:ascii="Arial" w:hAnsi="Arial" w:cs="Arial"/>
          <w:lang w:val="en-US"/>
        </w:rPr>
        <w:t>Abide by its obligations under international law in relation to the absolute prohibition of torture and ill-treatment, including the absolute prohibition of non-refoul</w:t>
      </w:r>
      <w:r w:rsidR="001E6EBA" w:rsidRPr="007633A1">
        <w:rPr>
          <w:rFonts w:ascii="Arial" w:hAnsi="Arial" w:cs="Arial"/>
          <w:lang w:val="en-US"/>
        </w:rPr>
        <w:t>e</w:t>
      </w:r>
      <w:r w:rsidR="007451D7">
        <w:rPr>
          <w:rFonts w:ascii="Arial" w:hAnsi="Arial" w:cs="Arial"/>
          <w:lang w:val="en-US"/>
        </w:rPr>
        <w:t xml:space="preserve">ment, </w:t>
      </w:r>
      <w:r w:rsidRPr="007633A1">
        <w:rPr>
          <w:rFonts w:ascii="Arial" w:hAnsi="Arial" w:cs="Arial"/>
          <w:lang w:val="en-US"/>
        </w:rPr>
        <w:t xml:space="preserve">prohibition of enforced disappearance and incommunicado detention; </w:t>
      </w:r>
    </w:p>
    <w:p w:rsidR="00974DCB" w:rsidRPr="007633A1" w:rsidRDefault="00974DCB" w:rsidP="0027237A">
      <w:pPr>
        <w:pStyle w:val="Listecouleur-Accent11"/>
        <w:numPr>
          <w:ilvl w:val="0"/>
          <w:numId w:val="16"/>
        </w:numPr>
        <w:spacing w:after="0" w:line="240" w:lineRule="auto"/>
        <w:jc w:val="both"/>
        <w:rPr>
          <w:rFonts w:ascii="Arial" w:hAnsi="Arial" w:cs="Arial"/>
          <w:lang w:val="en-GB"/>
        </w:rPr>
      </w:pPr>
      <w:r w:rsidRPr="007633A1">
        <w:rPr>
          <w:rFonts w:ascii="Arial" w:hAnsi="Arial" w:cs="Arial"/>
          <w:szCs w:val="24"/>
          <w:lang w:val="en-GB" w:eastAsia="fr-FR"/>
        </w:rPr>
        <w:t>Reform practices and national laws (notably the draft Criminal code and Criminal procedure code) to prohibit any form of torture and ill-treatment and comply with the provisions of UNCAT in relation to the definition of torture, punishment by appropriate penalties and redress for victims and their families;</w:t>
      </w:r>
    </w:p>
    <w:p w:rsidR="00974DCB" w:rsidRPr="007633A1" w:rsidRDefault="00974DCB" w:rsidP="0027237A">
      <w:pPr>
        <w:pStyle w:val="Listecouleur-Accent11"/>
        <w:numPr>
          <w:ilvl w:val="0"/>
          <w:numId w:val="16"/>
        </w:numPr>
        <w:spacing w:after="0" w:line="240" w:lineRule="auto"/>
        <w:jc w:val="both"/>
        <w:rPr>
          <w:rFonts w:ascii="Arial" w:hAnsi="Arial" w:cs="Arial"/>
          <w:lang w:val="en-GB"/>
        </w:rPr>
      </w:pPr>
      <w:r w:rsidRPr="007633A1">
        <w:rPr>
          <w:rFonts w:ascii="Arial" w:hAnsi="Arial" w:cs="Arial"/>
          <w:szCs w:val="24"/>
          <w:lang w:val="en-GB" w:eastAsia="fr-FR"/>
        </w:rPr>
        <w:t xml:space="preserve">Ensures that the draft Criminal Code and the draft Criminal procedure code complies with human rights standards; </w:t>
      </w:r>
    </w:p>
    <w:p w:rsidR="003E54D3" w:rsidRPr="007633A1" w:rsidRDefault="0016620C" w:rsidP="0027237A">
      <w:pPr>
        <w:pStyle w:val="Listecouleur-Accent11"/>
        <w:numPr>
          <w:ilvl w:val="0"/>
          <w:numId w:val="16"/>
        </w:numPr>
        <w:spacing w:after="0" w:line="240" w:lineRule="auto"/>
        <w:jc w:val="both"/>
        <w:rPr>
          <w:rFonts w:ascii="Arial" w:hAnsi="Arial" w:cs="Arial"/>
          <w:lang w:val="en-US"/>
        </w:rPr>
      </w:pPr>
      <w:r w:rsidRPr="007633A1">
        <w:rPr>
          <w:rFonts w:ascii="Arial" w:hAnsi="Arial" w:cs="Arial"/>
          <w:lang w:val="en-US"/>
        </w:rPr>
        <w:t>Include</w:t>
      </w:r>
      <w:r w:rsidR="005D0FD1" w:rsidRPr="007633A1">
        <w:rPr>
          <w:rFonts w:ascii="Arial" w:hAnsi="Arial" w:cs="Arial"/>
          <w:lang w:val="en-US"/>
        </w:rPr>
        <w:t xml:space="preserve"> </w:t>
      </w:r>
      <w:r w:rsidR="00B211AD" w:rsidRPr="007633A1">
        <w:rPr>
          <w:rFonts w:ascii="Arial" w:hAnsi="Arial" w:cs="Arial"/>
          <w:lang w:val="en-US"/>
        </w:rPr>
        <w:t xml:space="preserve">occupancy data </w:t>
      </w:r>
      <w:r w:rsidR="000C46F8" w:rsidRPr="007633A1">
        <w:rPr>
          <w:rFonts w:ascii="Arial" w:hAnsi="Arial" w:cs="Arial"/>
          <w:lang w:val="en-US"/>
        </w:rPr>
        <w:t>of</w:t>
      </w:r>
      <w:r w:rsidR="005D0FD1" w:rsidRPr="007633A1">
        <w:rPr>
          <w:rFonts w:ascii="Arial" w:hAnsi="Arial" w:cs="Arial"/>
          <w:lang w:val="en-US"/>
        </w:rPr>
        <w:t xml:space="preserve"> </w:t>
      </w:r>
      <w:r w:rsidR="000C46F8" w:rsidRPr="007633A1">
        <w:rPr>
          <w:rFonts w:ascii="Arial" w:hAnsi="Arial" w:cs="Arial"/>
          <w:lang w:val="en-US"/>
        </w:rPr>
        <w:t>police detention facilities within</w:t>
      </w:r>
      <w:r w:rsidR="00B211AD" w:rsidRPr="007633A1">
        <w:rPr>
          <w:rFonts w:ascii="Arial" w:hAnsi="Arial" w:cs="Arial"/>
          <w:lang w:val="en-US"/>
        </w:rPr>
        <w:t xml:space="preserve"> the data from the Directorate General of Correction</w:t>
      </w:r>
      <w:r w:rsidR="00CC146F">
        <w:rPr>
          <w:rFonts w:ascii="Arial" w:hAnsi="Arial" w:cs="Arial"/>
          <w:lang w:val="en-US"/>
        </w:rPr>
        <w:t>s</w:t>
      </w:r>
      <w:r w:rsidR="00B211AD" w:rsidRPr="007633A1">
        <w:rPr>
          <w:rFonts w:ascii="Arial" w:hAnsi="Arial" w:cs="Arial"/>
          <w:lang w:val="en-US"/>
        </w:rPr>
        <w:t xml:space="preserve"> and other criminal justice sub-systems</w:t>
      </w:r>
      <w:r w:rsidR="000C46F8" w:rsidRPr="007633A1">
        <w:rPr>
          <w:rFonts w:ascii="Arial" w:hAnsi="Arial" w:cs="Arial"/>
          <w:lang w:val="en-US"/>
        </w:rPr>
        <w:t xml:space="preserve">; </w:t>
      </w:r>
    </w:p>
    <w:p w:rsidR="004E0E5D" w:rsidRPr="007633A1" w:rsidRDefault="004E0E5D" w:rsidP="0027237A">
      <w:pPr>
        <w:pStyle w:val="Listecouleur-Accent11"/>
        <w:numPr>
          <w:ilvl w:val="0"/>
          <w:numId w:val="16"/>
        </w:numPr>
        <w:spacing w:after="0" w:line="240" w:lineRule="auto"/>
        <w:jc w:val="both"/>
        <w:rPr>
          <w:rFonts w:ascii="Arial" w:hAnsi="Arial" w:cs="Arial"/>
          <w:lang w:val="en-US"/>
        </w:rPr>
      </w:pPr>
      <w:r w:rsidRPr="007633A1">
        <w:rPr>
          <w:rFonts w:ascii="Arial" w:hAnsi="Arial" w:cs="Arial"/>
          <w:lang w:val="en-US"/>
        </w:rPr>
        <w:t>Publish informat</w:t>
      </w:r>
      <w:r w:rsidR="00C55A58" w:rsidRPr="007633A1">
        <w:rPr>
          <w:rFonts w:ascii="Arial" w:hAnsi="Arial" w:cs="Arial"/>
          <w:lang w:val="en-US"/>
        </w:rPr>
        <w:t>ion on the number of death</w:t>
      </w:r>
      <w:r w:rsidR="007C1D60" w:rsidRPr="007633A1">
        <w:rPr>
          <w:rFonts w:ascii="Arial" w:hAnsi="Arial" w:cs="Arial"/>
          <w:lang w:val="en-US"/>
        </w:rPr>
        <w:t>s</w:t>
      </w:r>
      <w:r w:rsidR="00C55A58" w:rsidRPr="007633A1">
        <w:rPr>
          <w:rFonts w:ascii="Arial" w:hAnsi="Arial" w:cs="Arial"/>
          <w:lang w:val="en-US"/>
        </w:rPr>
        <w:t xml:space="preserve"> in police custody and the causes of death in each instance; </w:t>
      </w:r>
    </w:p>
    <w:p w:rsidR="00532744" w:rsidRPr="007633A1" w:rsidRDefault="00D46046" w:rsidP="0027237A">
      <w:pPr>
        <w:pStyle w:val="Listecouleur-Accent11"/>
        <w:numPr>
          <w:ilvl w:val="0"/>
          <w:numId w:val="16"/>
        </w:numPr>
        <w:spacing w:after="0" w:line="240" w:lineRule="auto"/>
        <w:jc w:val="both"/>
        <w:rPr>
          <w:rFonts w:ascii="Arial" w:hAnsi="Arial" w:cs="Arial"/>
          <w:lang w:val="en-GB"/>
        </w:rPr>
      </w:pPr>
      <w:r w:rsidRPr="007633A1">
        <w:rPr>
          <w:rFonts w:ascii="Arial" w:hAnsi="Arial" w:cs="Arial"/>
          <w:lang w:val="en-GB"/>
        </w:rPr>
        <w:t>Ensure that all allegations of torture and ill-treatment as well as suspicious deaths in detention are p</w:t>
      </w:r>
      <w:r w:rsidR="00C55A58" w:rsidRPr="007633A1">
        <w:rPr>
          <w:rFonts w:ascii="Arial" w:hAnsi="Arial" w:cs="Arial"/>
          <w:lang w:val="en-GB"/>
        </w:rPr>
        <w:t>romptly</w:t>
      </w:r>
      <w:r w:rsidRPr="007633A1">
        <w:rPr>
          <w:rFonts w:ascii="Arial" w:hAnsi="Arial" w:cs="Arial"/>
          <w:lang w:val="en-GB"/>
        </w:rPr>
        <w:t xml:space="preserve"> and thoroughly</w:t>
      </w:r>
      <w:r w:rsidR="00C55A58" w:rsidRPr="007633A1">
        <w:rPr>
          <w:rFonts w:ascii="Arial" w:hAnsi="Arial" w:cs="Arial"/>
          <w:lang w:val="en-GB"/>
        </w:rPr>
        <w:t xml:space="preserve"> investigate</w:t>
      </w:r>
      <w:r w:rsidRPr="007633A1">
        <w:rPr>
          <w:rFonts w:ascii="Arial" w:hAnsi="Arial" w:cs="Arial"/>
          <w:lang w:val="en-GB"/>
        </w:rPr>
        <w:t>d</w:t>
      </w:r>
      <w:r w:rsidR="00C55A58" w:rsidRPr="007633A1">
        <w:rPr>
          <w:rFonts w:ascii="Arial" w:hAnsi="Arial" w:cs="Arial"/>
          <w:lang w:val="en-GB"/>
        </w:rPr>
        <w:t xml:space="preserve">, </w:t>
      </w:r>
      <w:r w:rsidR="00C55A58" w:rsidRPr="007633A1">
        <w:rPr>
          <w:rFonts w:ascii="Arial" w:hAnsi="Arial" w:cs="Arial"/>
          <w:szCs w:val="24"/>
          <w:lang w:val="en-GB" w:eastAsia="fr-FR"/>
        </w:rPr>
        <w:t>the result of which must be made public, in order to bring those responsible before a competent, indepe</w:t>
      </w:r>
      <w:r w:rsidR="00532744" w:rsidRPr="007633A1">
        <w:rPr>
          <w:rFonts w:ascii="Arial" w:hAnsi="Arial" w:cs="Arial"/>
          <w:szCs w:val="24"/>
          <w:lang w:val="en-GB" w:eastAsia="fr-FR"/>
        </w:rPr>
        <w:t>ndent and impartial tribunal with proper punishments</w:t>
      </w:r>
      <w:r w:rsidR="009E11A3" w:rsidRPr="007633A1">
        <w:rPr>
          <w:rFonts w:ascii="Arial" w:hAnsi="Arial" w:cs="Arial"/>
          <w:szCs w:val="24"/>
          <w:lang w:val="en-GB" w:eastAsia="fr-FR"/>
        </w:rPr>
        <w:t xml:space="preserve">; </w:t>
      </w:r>
    </w:p>
    <w:p w:rsidR="009E11A3" w:rsidRPr="007633A1" w:rsidRDefault="009E11A3" w:rsidP="0027237A">
      <w:pPr>
        <w:pStyle w:val="Listecouleur-Accent11"/>
        <w:numPr>
          <w:ilvl w:val="0"/>
          <w:numId w:val="16"/>
        </w:numPr>
        <w:spacing w:after="0" w:line="240" w:lineRule="auto"/>
        <w:jc w:val="both"/>
        <w:rPr>
          <w:rFonts w:ascii="Arial" w:hAnsi="Arial" w:cs="Arial"/>
          <w:lang w:val="en-GB"/>
        </w:rPr>
      </w:pPr>
      <w:r w:rsidRPr="007633A1">
        <w:rPr>
          <w:rFonts w:ascii="Arial" w:hAnsi="Arial" w:cs="Arial"/>
          <w:szCs w:val="24"/>
          <w:lang w:val="en-GB" w:eastAsia="fr-FR"/>
        </w:rPr>
        <w:t xml:space="preserve">Ensure that victims and their families are provided with adequate remedies, including compensation and rehabilitation; </w:t>
      </w:r>
    </w:p>
    <w:p w:rsidR="009C4642" w:rsidRPr="007633A1" w:rsidRDefault="009C4642" w:rsidP="0027237A">
      <w:pPr>
        <w:pStyle w:val="Listecouleur-Accent11"/>
        <w:numPr>
          <w:ilvl w:val="0"/>
          <w:numId w:val="16"/>
        </w:numPr>
        <w:spacing w:after="0" w:line="240" w:lineRule="auto"/>
        <w:jc w:val="both"/>
        <w:rPr>
          <w:rFonts w:ascii="Arial" w:hAnsi="Arial" w:cs="Arial"/>
          <w:lang w:val="en-GB"/>
        </w:rPr>
      </w:pPr>
      <w:r w:rsidRPr="007633A1">
        <w:rPr>
          <w:rFonts w:ascii="Arial" w:hAnsi="Arial" w:cs="Arial"/>
          <w:szCs w:val="24"/>
          <w:lang w:val="en-GB" w:eastAsia="fr-FR"/>
        </w:rPr>
        <w:t xml:space="preserve">Reinforce that information obtained by torture or ill-treatment, cannot, whatsoever, be invoked as evidence in proceedings; </w:t>
      </w:r>
    </w:p>
    <w:p w:rsidR="005B1459" w:rsidRPr="007633A1" w:rsidRDefault="005B1459" w:rsidP="0027237A">
      <w:pPr>
        <w:pStyle w:val="Listecouleur-Accent11"/>
        <w:numPr>
          <w:ilvl w:val="0"/>
          <w:numId w:val="16"/>
        </w:numPr>
        <w:spacing w:after="0" w:line="240" w:lineRule="auto"/>
        <w:jc w:val="both"/>
        <w:rPr>
          <w:rFonts w:ascii="Arial" w:hAnsi="Arial" w:cs="Arial"/>
          <w:lang w:val="en-GB"/>
        </w:rPr>
      </w:pPr>
      <w:r w:rsidRPr="007633A1">
        <w:rPr>
          <w:rFonts w:ascii="Arial" w:hAnsi="Arial" w:cs="Arial"/>
          <w:szCs w:val="24"/>
          <w:lang w:val="en-GB" w:eastAsia="fr-FR"/>
        </w:rPr>
        <w:t>Ensure that the police, including all special police units, the TNI, the judiciary</w:t>
      </w:r>
      <w:r w:rsidR="006A7F4D" w:rsidRPr="007633A1">
        <w:rPr>
          <w:rFonts w:ascii="Arial" w:hAnsi="Arial" w:cs="Arial"/>
          <w:szCs w:val="24"/>
          <w:lang w:val="en-GB" w:eastAsia="fr-FR"/>
        </w:rPr>
        <w:t xml:space="preserve">, </w:t>
      </w:r>
      <w:r w:rsidR="00746B89" w:rsidRPr="007633A1">
        <w:rPr>
          <w:rFonts w:ascii="Arial" w:hAnsi="Arial" w:cs="Arial"/>
          <w:szCs w:val="24"/>
          <w:lang w:val="en-GB" w:eastAsia="fr-FR"/>
        </w:rPr>
        <w:t xml:space="preserve">the </w:t>
      </w:r>
      <w:r w:rsidR="006A7F4D" w:rsidRPr="007633A1">
        <w:rPr>
          <w:rFonts w:ascii="Arial" w:hAnsi="Arial" w:cs="Arial"/>
          <w:szCs w:val="24"/>
          <w:lang w:val="en-GB" w:eastAsia="fr-FR"/>
        </w:rPr>
        <w:t>medical person</w:t>
      </w:r>
      <w:r w:rsidR="00746B89" w:rsidRPr="007633A1">
        <w:rPr>
          <w:rFonts w:ascii="Arial" w:hAnsi="Arial" w:cs="Arial"/>
          <w:szCs w:val="24"/>
          <w:lang w:val="en-GB" w:eastAsia="fr-FR"/>
        </w:rPr>
        <w:t>nel</w:t>
      </w:r>
      <w:r w:rsidR="006A7F4D" w:rsidRPr="007633A1">
        <w:rPr>
          <w:rFonts w:ascii="Arial" w:hAnsi="Arial" w:cs="Arial"/>
          <w:szCs w:val="24"/>
          <w:lang w:val="en-GB" w:eastAsia="fr-FR"/>
        </w:rPr>
        <w:t xml:space="preserve"> in detention facilities</w:t>
      </w:r>
      <w:r w:rsidRPr="007633A1">
        <w:rPr>
          <w:rFonts w:ascii="Arial" w:hAnsi="Arial" w:cs="Arial"/>
          <w:szCs w:val="24"/>
          <w:lang w:val="en-GB" w:eastAsia="fr-FR"/>
        </w:rPr>
        <w:t xml:space="preserve"> and all other relevant authorities </w:t>
      </w:r>
      <w:r w:rsidR="00E0793C" w:rsidRPr="007633A1">
        <w:rPr>
          <w:rFonts w:ascii="Arial" w:hAnsi="Arial" w:cs="Arial"/>
          <w:szCs w:val="24"/>
          <w:lang w:val="en-GB" w:eastAsia="fr-FR"/>
        </w:rPr>
        <w:t>receive adequate</w:t>
      </w:r>
      <w:r w:rsidR="004E2646" w:rsidRPr="007633A1">
        <w:rPr>
          <w:rFonts w:ascii="Arial" w:hAnsi="Arial" w:cs="Arial"/>
          <w:szCs w:val="24"/>
          <w:lang w:val="en-GB" w:eastAsia="fr-FR"/>
        </w:rPr>
        <w:t xml:space="preserve"> and regular</w:t>
      </w:r>
      <w:r w:rsidR="00E0793C" w:rsidRPr="007633A1">
        <w:rPr>
          <w:rFonts w:ascii="Arial" w:hAnsi="Arial" w:cs="Arial"/>
          <w:szCs w:val="24"/>
          <w:lang w:val="en-GB" w:eastAsia="fr-FR"/>
        </w:rPr>
        <w:t xml:space="preserve"> training on the absolute prohibition </w:t>
      </w:r>
      <w:r w:rsidR="00343C49" w:rsidRPr="007633A1">
        <w:rPr>
          <w:rFonts w:ascii="Arial" w:hAnsi="Arial" w:cs="Arial"/>
          <w:szCs w:val="24"/>
          <w:lang w:val="en-GB" w:eastAsia="fr-FR"/>
        </w:rPr>
        <w:t>of torture and ill-treatment</w:t>
      </w:r>
      <w:r w:rsidR="006A7F4D" w:rsidRPr="007633A1">
        <w:rPr>
          <w:rFonts w:ascii="Arial" w:hAnsi="Arial" w:cs="Arial"/>
          <w:szCs w:val="24"/>
          <w:lang w:val="en-GB" w:eastAsia="fr-FR"/>
        </w:rPr>
        <w:t xml:space="preserve">; </w:t>
      </w:r>
    </w:p>
    <w:p w:rsidR="00914FDD" w:rsidRPr="007633A1" w:rsidRDefault="004E2646" w:rsidP="0027237A">
      <w:pPr>
        <w:pStyle w:val="Listecouleur-Accent11"/>
        <w:numPr>
          <w:ilvl w:val="0"/>
          <w:numId w:val="16"/>
        </w:numPr>
        <w:spacing w:after="0" w:line="240" w:lineRule="auto"/>
        <w:jc w:val="both"/>
        <w:rPr>
          <w:rFonts w:ascii="Arial" w:hAnsi="Arial" w:cs="Arial"/>
          <w:lang w:val="en-GB"/>
        </w:rPr>
      </w:pPr>
      <w:r w:rsidRPr="007633A1">
        <w:rPr>
          <w:rFonts w:ascii="Arial" w:hAnsi="Arial" w:cs="Arial"/>
          <w:szCs w:val="24"/>
          <w:lang w:val="en-GB" w:eastAsia="fr-FR"/>
        </w:rPr>
        <w:t>Improve dissemination and</w:t>
      </w:r>
      <w:r w:rsidR="00B743A8" w:rsidRPr="007633A1">
        <w:rPr>
          <w:rFonts w:ascii="Arial" w:hAnsi="Arial" w:cs="Arial"/>
          <w:szCs w:val="24"/>
          <w:lang w:val="en-GB" w:eastAsia="fr-FR"/>
        </w:rPr>
        <w:t xml:space="preserve"> socialisation</w:t>
      </w:r>
      <w:r w:rsidR="001E6EBA" w:rsidRPr="007633A1">
        <w:rPr>
          <w:rFonts w:ascii="Arial" w:hAnsi="Arial" w:cs="Arial"/>
          <w:szCs w:val="24"/>
          <w:lang w:val="en-GB" w:eastAsia="fr-FR"/>
        </w:rPr>
        <w:t xml:space="preserve"> </w:t>
      </w:r>
      <w:r w:rsidRPr="007633A1">
        <w:rPr>
          <w:rFonts w:ascii="Arial" w:hAnsi="Arial" w:cs="Arial"/>
          <w:szCs w:val="24"/>
          <w:lang w:val="en-GB" w:eastAsia="fr-FR"/>
        </w:rPr>
        <w:t>of as well as</w:t>
      </w:r>
      <w:r w:rsidR="006A7F4D" w:rsidRPr="007633A1">
        <w:rPr>
          <w:rFonts w:ascii="Arial" w:hAnsi="Arial" w:cs="Arial"/>
          <w:szCs w:val="24"/>
          <w:lang w:val="en-GB" w:eastAsia="fr-FR"/>
        </w:rPr>
        <w:t xml:space="preserve"> training</w:t>
      </w:r>
      <w:r w:rsidRPr="007633A1">
        <w:rPr>
          <w:rFonts w:ascii="Arial" w:hAnsi="Arial" w:cs="Arial"/>
          <w:szCs w:val="24"/>
          <w:lang w:val="en-GB" w:eastAsia="fr-FR"/>
        </w:rPr>
        <w:t xml:space="preserve"> of the police (including all police special units)</w:t>
      </w:r>
      <w:r w:rsidR="006A7F4D" w:rsidRPr="007633A1">
        <w:rPr>
          <w:rFonts w:ascii="Arial" w:hAnsi="Arial" w:cs="Arial"/>
          <w:szCs w:val="24"/>
          <w:lang w:val="en-GB" w:eastAsia="fr-FR"/>
        </w:rPr>
        <w:t xml:space="preserve"> in Police Regulation 8/2009</w:t>
      </w:r>
      <w:r w:rsidR="00914FDD" w:rsidRPr="007633A1">
        <w:rPr>
          <w:rFonts w:ascii="Arial" w:hAnsi="Arial" w:cs="Arial"/>
          <w:szCs w:val="24"/>
          <w:lang w:val="en-GB" w:eastAsia="fr-FR"/>
        </w:rPr>
        <w:t>;</w:t>
      </w:r>
    </w:p>
    <w:p w:rsidR="00914FDD" w:rsidRPr="007633A1" w:rsidRDefault="00914FDD" w:rsidP="0027237A">
      <w:pPr>
        <w:pStyle w:val="Listecouleur-Accent11"/>
        <w:numPr>
          <w:ilvl w:val="0"/>
          <w:numId w:val="16"/>
        </w:numPr>
        <w:spacing w:after="0" w:line="240" w:lineRule="auto"/>
        <w:jc w:val="both"/>
        <w:rPr>
          <w:rFonts w:ascii="Arial" w:hAnsi="Arial" w:cs="Arial"/>
          <w:lang w:val="en-GB"/>
        </w:rPr>
      </w:pPr>
      <w:r w:rsidRPr="007633A1">
        <w:rPr>
          <w:rFonts w:ascii="Arial" w:hAnsi="Arial" w:cs="Arial"/>
          <w:szCs w:val="24"/>
          <w:lang w:val="en-GB" w:eastAsia="fr-FR"/>
        </w:rPr>
        <w:t>Ensure that the police and TNI make a clear commitment to ending impunity for torture and ill-treatment</w:t>
      </w:r>
      <w:r w:rsidR="00C86514" w:rsidRPr="007633A1">
        <w:rPr>
          <w:rFonts w:ascii="Arial" w:hAnsi="Arial" w:cs="Arial"/>
          <w:szCs w:val="24"/>
          <w:lang w:val="en-GB" w:eastAsia="fr-FR"/>
        </w:rPr>
        <w:t>;</w:t>
      </w:r>
    </w:p>
    <w:p w:rsidR="007451D7" w:rsidRDefault="00621637" w:rsidP="0027237A">
      <w:pPr>
        <w:pStyle w:val="Listecouleur-Accent11"/>
        <w:numPr>
          <w:ilvl w:val="0"/>
          <w:numId w:val="16"/>
        </w:numPr>
        <w:spacing w:after="0" w:line="240" w:lineRule="auto"/>
        <w:jc w:val="both"/>
        <w:rPr>
          <w:rFonts w:ascii="Arial" w:hAnsi="Arial" w:cs="Arial"/>
          <w:szCs w:val="24"/>
          <w:lang w:val="en-GB" w:eastAsia="fr-FR"/>
        </w:rPr>
      </w:pPr>
      <w:r w:rsidRPr="007633A1">
        <w:rPr>
          <w:rFonts w:ascii="Arial" w:hAnsi="Arial" w:cs="Arial"/>
          <w:szCs w:val="24"/>
          <w:lang w:val="en-GB" w:eastAsia="fr-FR"/>
        </w:rPr>
        <w:t>Ensure that all counter-terrorism measures comply wit</w:t>
      </w:r>
      <w:r w:rsidR="00A25968" w:rsidRPr="007633A1">
        <w:rPr>
          <w:rFonts w:ascii="Arial" w:hAnsi="Arial" w:cs="Arial"/>
          <w:szCs w:val="24"/>
          <w:lang w:val="en-GB" w:eastAsia="fr-FR"/>
        </w:rPr>
        <w:t>h</w:t>
      </w:r>
      <w:r w:rsidR="001E6EBA" w:rsidRPr="007633A1">
        <w:rPr>
          <w:rFonts w:ascii="Arial" w:hAnsi="Arial" w:cs="Arial"/>
          <w:szCs w:val="24"/>
          <w:lang w:val="en-GB" w:eastAsia="fr-FR"/>
        </w:rPr>
        <w:t xml:space="preserve"> </w:t>
      </w:r>
      <w:r w:rsidRPr="007633A1">
        <w:rPr>
          <w:rFonts w:ascii="Arial" w:hAnsi="Arial" w:cs="Arial"/>
          <w:szCs w:val="24"/>
          <w:lang w:val="en-GB" w:eastAsia="fr-FR"/>
        </w:rPr>
        <w:t>its international obligations, including the UNCAT and ICCPR;</w:t>
      </w:r>
    </w:p>
    <w:p w:rsidR="00CC146F" w:rsidRDefault="00CC146F" w:rsidP="0027237A">
      <w:pPr>
        <w:pStyle w:val="ListParagraph"/>
        <w:numPr>
          <w:ilvl w:val="0"/>
          <w:numId w:val="16"/>
        </w:numPr>
        <w:spacing w:after="0" w:line="240" w:lineRule="auto"/>
        <w:jc w:val="both"/>
        <w:rPr>
          <w:rFonts w:ascii="Arial" w:hAnsi="Arial" w:cs="Arial"/>
          <w:szCs w:val="24"/>
          <w:lang w:val="en-GB" w:eastAsia="fr-FR"/>
        </w:rPr>
      </w:pPr>
      <w:r w:rsidRPr="00CC146F">
        <w:rPr>
          <w:rFonts w:ascii="Arial" w:hAnsi="Arial" w:cs="Arial"/>
          <w:szCs w:val="24"/>
          <w:lang w:val="en-GB" w:eastAsia="fr-FR"/>
        </w:rPr>
        <w:t>Shorten the detention length in order to reduce the occurrence of torture during the initial examination.</w:t>
      </w:r>
    </w:p>
    <w:p w:rsidR="007451D7" w:rsidRPr="00CC146F" w:rsidRDefault="009405A8" w:rsidP="0027237A">
      <w:pPr>
        <w:pStyle w:val="ListParagraph"/>
        <w:numPr>
          <w:ilvl w:val="0"/>
          <w:numId w:val="16"/>
        </w:numPr>
        <w:spacing w:after="0" w:line="240" w:lineRule="auto"/>
        <w:jc w:val="both"/>
        <w:rPr>
          <w:rFonts w:ascii="Arial" w:hAnsi="Arial" w:cs="Arial"/>
          <w:szCs w:val="24"/>
          <w:lang w:val="en-GB" w:eastAsia="fr-FR"/>
        </w:rPr>
      </w:pPr>
      <w:r w:rsidRPr="00CC146F">
        <w:rPr>
          <w:rFonts w:ascii="Arial" w:hAnsi="Arial" w:cs="Arial"/>
          <w:szCs w:val="24"/>
          <w:lang w:val="en-GB" w:eastAsia="fr-FR"/>
        </w:rPr>
        <w:t xml:space="preserve">Utilize non-custodial sentences and accord favourable bail terms to ease the prison population especially those charged with petty offences; </w:t>
      </w:r>
    </w:p>
    <w:p w:rsidR="00C92469" w:rsidRPr="007633A1" w:rsidRDefault="00C92469" w:rsidP="0027237A">
      <w:pPr>
        <w:pStyle w:val="Listecouleur-Accent11"/>
        <w:numPr>
          <w:ilvl w:val="0"/>
          <w:numId w:val="16"/>
        </w:numPr>
        <w:spacing w:after="0" w:line="240" w:lineRule="auto"/>
        <w:jc w:val="both"/>
        <w:rPr>
          <w:rFonts w:ascii="Arial" w:hAnsi="Arial" w:cs="Arial"/>
          <w:szCs w:val="24"/>
          <w:lang w:val="en-GB" w:eastAsia="fr-FR"/>
        </w:rPr>
      </w:pPr>
      <w:r w:rsidRPr="007633A1">
        <w:rPr>
          <w:rFonts w:ascii="Arial" w:hAnsi="Arial" w:cs="Arial"/>
          <w:szCs w:val="24"/>
          <w:lang w:val="en-GB" w:eastAsia="fr-FR"/>
        </w:rPr>
        <w:t xml:space="preserve">Protect detainees by allowing them prompt and regular access to a lawyer, doctor and to family members; </w:t>
      </w:r>
    </w:p>
    <w:p w:rsidR="00C92469" w:rsidRPr="007633A1" w:rsidRDefault="00C92469" w:rsidP="0027237A">
      <w:pPr>
        <w:pStyle w:val="Listecouleur-Accent11"/>
        <w:numPr>
          <w:ilvl w:val="0"/>
          <w:numId w:val="16"/>
        </w:numPr>
        <w:spacing w:after="0" w:line="240" w:lineRule="auto"/>
        <w:jc w:val="both"/>
        <w:rPr>
          <w:rFonts w:ascii="Arial" w:hAnsi="Arial" w:cs="Arial"/>
          <w:lang w:val="en-US"/>
        </w:rPr>
      </w:pPr>
      <w:r w:rsidRPr="007633A1">
        <w:rPr>
          <w:rFonts w:ascii="Arial" w:hAnsi="Arial" w:cs="Arial"/>
          <w:szCs w:val="24"/>
          <w:lang w:val="en-GB" w:eastAsia="fr-FR"/>
        </w:rPr>
        <w:t>Ensure that the Department of Genera</w:t>
      </w:r>
      <w:r w:rsidRPr="007633A1">
        <w:rPr>
          <w:rFonts w:ascii="Arial" w:hAnsi="Arial" w:cs="Arial"/>
          <w:lang w:val="en-US"/>
        </w:rPr>
        <w:t>l Correction</w:t>
      </w:r>
      <w:r w:rsidR="007451D7">
        <w:rPr>
          <w:rFonts w:ascii="Arial" w:hAnsi="Arial" w:cs="Arial"/>
          <w:lang w:val="en-US"/>
        </w:rPr>
        <w:t>s</w:t>
      </w:r>
      <w:r w:rsidRPr="007633A1">
        <w:rPr>
          <w:rFonts w:ascii="Arial" w:hAnsi="Arial" w:cs="Arial"/>
          <w:lang w:val="en-US"/>
        </w:rPr>
        <w:t xml:space="preserve"> complies with the UN standards and principles on the treatment of prisoners and that all prisoners are provided with proper medical care and full access to medical care and treatment in adequate health facilities; </w:t>
      </w:r>
    </w:p>
    <w:p w:rsidR="003E54D3" w:rsidRPr="00CC146F" w:rsidRDefault="0016620C" w:rsidP="0027237A">
      <w:pPr>
        <w:pStyle w:val="Listecouleur-Accent11"/>
        <w:numPr>
          <w:ilvl w:val="0"/>
          <w:numId w:val="16"/>
        </w:numPr>
        <w:spacing w:after="0" w:line="240" w:lineRule="auto"/>
        <w:jc w:val="both"/>
        <w:rPr>
          <w:rFonts w:ascii="Arial" w:hAnsi="Arial" w:cs="Arial"/>
          <w:b/>
          <w:lang w:val="en-US"/>
        </w:rPr>
      </w:pPr>
      <w:r w:rsidRPr="007633A1">
        <w:rPr>
          <w:rFonts w:ascii="Arial" w:hAnsi="Arial" w:cs="Arial"/>
          <w:lang w:val="en-US"/>
        </w:rPr>
        <w:t>Grant</w:t>
      </w:r>
      <w:r w:rsidR="00B211AD" w:rsidRPr="007633A1">
        <w:rPr>
          <w:rFonts w:ascii="Arial" w:hAnsi="Arial" w:cs="Arial"/>
          <w:lang w:val="en-US"/>
        </w:rPr>
        <w:t xml:space="preserve"> access </w:t>
      </w:r>
      <w:r w:rsidR="006A09E3" w:rsidRPr="007633A1">
        <w:rPr>
          <w:rFonts w:ascii="Arial" w:hAnsi="Arial" w:cs="Arial"/>
          <w:lang w:val="en-US"/>
        </w:rPr>
        <w:t>to Komnas</w:t>
      </w:r>
      <w:r w:rsidR="008E1B06" w:rsidRPr="007633A1">
        <w:rPr>
          <w:rFonts w:ascii="Arial" w:hAnsi="Arial" w:cs="Arial"/>
          <w:lang w:val="en-US"/>
        </w:rPr>
        <w:t xml:space="preserve"> Ham, the Ombudsman and the National Commission on Women’s Rights</w:t>
      </w:r>
      <w:r w:rsidR="006A09E3" w:rsidRPr="007633A1">
        <w:rPr>
          <w:rFonts w:ascii="Arial" w:hAnsi="Arial" w:cs="Arial"/>
          <w:lang w:val="en-US"/>
        </w:rPr>
        <w:t xml:space="preserve"> and civil society </w:t>
      </w:r>
      <w:r w:rsidR="00B211AD" w:rsidRPr="007633A1">
        <w:rPr>
          <w:rFonts w:ascii="Arial" w:hAnsi="Arial" w:cs="Arial"/>
          <w:lang w:val="en-US"/>
        </w:rPr>
        <w:t xml:space="preserve">to conduct </w:t>
      </w:r>
      <w:r w:rsidRPr="007633A1">
        <w:rPr>
          <w:rFonts w:ascii="Arial" w:hAnsi="Arial" w:cs="Arial"/>
          <w:lang w:val="en-US"/>
        </w:rPr>
        <w:t>monitoring activities</w:t>
      </w:r>
      <w:r w:rsidR="00B211AD" w:rsidRPr="007633A1">
        <w:rPr>
          <w:rFonts w:ascii="Arial" w:hAnsi="Arial" w:cs="Arial"/>
          <w:lang w:val="en-US"/>
        </w:rPr>
        <w:t xml:space="preserve"> in </w:t>
      </w:r>
      <w:r w:rsidR="000C46F8" w:rsidRPr="007633A1">
        <w:rPr>
          <w:rFonts w:ascii="Arial" w:hAnsi="Arial" w:cs="Arial"/>
          <w:lang w:val="en-US"/>
        </w:rPr>
        <w:t>police</w:t>
      </w:r>
      <w:r w:rsidR="004E0E5D" w:rsidRPr="007633A1">
        <w:rPr>
          <w:rFonts w:ascii="Arial" w:hAnsi="Arial" w:cs="Arial"/>
          <w:lang w:val="en-US"/>
        </w:rPr>
        <w:t xml:space="preserve"> and TNI</w:t>
      </w:r>
      <w:r w:rsidR="005D0FD1" w:rsidRPr="007633A1">
        <w:rPr>
          <w:rFonts w:ascii="Arial" w:hAnsi="Arial" w:cs="Arial"/>
          <w:lang w:val="en-US"/>
        </w:rPr>
        <w:t xml:space="preserve"> </w:t>
      </w:r>
      <w:r w:rsidR="00CC146F">
        <w:rPr>
          <w:rFonts w:ascii="Arial" w:hAnsi="Arial" w:cs="Arial"/>
          <w:lang w:val="en-US"/>
        </w:rPr>
        <w:t>detention facilities;</w:t>
      </w:r>
    </w:p>
    <w:p w:rsidR="00CC146F" w:rsidRPr="00CC146F" w:rsidRDefault="00CC146F" w:rsidP="0027237A">
      <w:pPr>
        <w:pStyle w:val="ListParagraph"/>
        <w:numPr>
          <w:ilvl w:val="0"/>
          <w:numId w:val="16"/>
        </w:numPr>
        <w:spacing w:after="0" w:line="240" w:lineRule="auto"/>
        <w:jc w:val="both"/>
        <w:rPr>
          <w:rFonts w:ascii="Arial" w:hAnsi="Arial" w:cs="Arial"/>
          <w:lang w:val="en-US"/>
        </w:rPr>
      </w:pPr>
      <w:r w:rsidRPr="00CC146F">
        <w:rPr>
          <w:rFonts w:ascii="Arial" w:hAnsi="Arial" w:cs="Arial"/>
          <w:b/>
          <w:lang w:val="en-US"/>
        </w:rPr>
        <w:t>Accelerate the process of ratification of the OPCAT;</w:t>
      </w:r>
    </w:p>
    <w:p w:rsidR="00E10281" w:rsidRPr="00CC146F" w:rsidRDefault="00E10281" w:rsidP="0027237A">
      <w:pPr>
        <w:pStyle w:val="ListParagraph"/>
        <w:numPr>
          <w:ilvl w:val="0"/>
          <w:numId w:val="16"/>
        </w:numPr>
        <w:spacing w:after="0" w:line="240" w:lineRule="auto"/>
        <w:jc w:val="both"/>
        <w:rPr>
          <w:rFonts w:ascii="Arial" w:hAnsi="Arial" w:cs="Arial"/>
          <w:lang w:val="en-US"/>
        </w:rPr>
      </w:pPr>
      <w:r w:rsidRPr="00CC146F">
        <w:rPr>
          <w:rFonts w:ascii="Arial" w:hAnsi="Arial" w:cs="Arial"/>
          <w:lang w:val="en-US"/>
        </w:rPr>
        <w:t>Invite the ICRC to reestablish monitoring activities in</w:t>
      </w:r>
      <w:r w:rsidR="00841E1D" w:rsidRPr="00CC146F">
        <w:rPr>
          <w:rFonts w:ascii="Arial" w:hAnsi="Arial" w:cs="Arial"/>
          <w:lang w:val="en-US"/>
        </w:rPr>
        <w:t xml:space="preserve"> detention facilities in</w:t>
      </w:r>
      <w:r w:rsidRPr="00CC146F">
        <w:rPr>
          <w:rFonts w:ascii="Arial" w:hAnsi="Arial" w:cs="Arial"/>
          <w:lang w:val="en-US"/>
        </w:rPr>
        <w:t xml:space="preserve"> Indonesia, including in West Papua; </w:t>
      </w:r>
    </w:p>
    <w:p w:rsidR="00CC146F" w:rsidRPr="00CC146F" w:rsidRDefault="00446CC0" w:rsidP="0027237A">
      <w:pPr>
        <w:pStyle w:val="Listecouleur-Accent11"/>
        <w:numPr>
          <w:ilvl w:val="0"/>
          <w:numId w:val="16"/>
        </w:numPr>
        <w:spacing w:after="0" w:line="240" w:lineRule="auto"/>
        <w:jc w:val="both"/>
        <w:rPr>
          <w:rFonts w:ascii="Arial" w:hAnsi="Arial" w:cs="Arial"/>
          <w:b/>
          <w:lang w:val="en-US" w:eastAsia="id-ID"/>
        </w:rPr>
      </w:pPr>
      <w:r w:rsidRPr="007633A1">
        <w:rPr>
          <w:rFonts w:ascii="Arial" w:hAnsi="Arial" w:cs="Arial"/>
          <w:lang w:val="en-US" w:eastAsia="id-ID"/>
        </w:rPr>
        <w:t>Ensure that the draft</w:t>
      </w:r>
      <w:r w:rsidR="00B211AD" w:rsidRPr="007633A1">
        <w:rPr>
          <w:rFonts w:ascii="Arial" w:hAnsi="Arial" w:cs="Arial"/>
          <w:lang w:val="en-US" w:eastAsia="id-ID"/>
        </w:rPr>
        <w:t xml:space="preserve"> of the Criminal Procedure Code, which is still being deliberated </w:t>
      </w:r>
      <w:r w:rsidR="00414AC7" w:rsidRPr="007633A1">
        <w:rPr>
          <w:rFonts w:ascii="Arial" w:hAnsi="Arial" w:cs="Arial"/>
          <w:lang w:val="en-US" w:eastAsia="id-ID"/>
        </w:rPr>
        <w:t>at</w:t>
      </w:r>
      <w:r w:rsidR="00B211AD" w:rsidRPr="007633A1">
        <w:rPr>
          <w:rFonts w:ascii="Arial" w:hAnsi="Arial" w:cs="Arial"/>
          <w:lang w:val="en-US" w:eastAsia="id-ID"/>
        </w:rPr>
        <w:t xml:space="preserve"> the House</w:t>
      </w:r>
      <w:r w:rsidR="00532744" w:rsidRPr="007633A1">
        <w:rPr>
          <w:rFonts w:ascii="Arial" w:hAnsi="Arial" w:cs="Arial"/>
          <w:lang w:val="en-US" w:eastAsia="id-ID"/>
        </w:rPr>
        <w:t xml:space="preserve"> of Rep</w:t>
      </w:r>
      <w:r w:rsidR="00414AC7" w:rsidRPr="007633A1">
        <w:rPr>
          <w:rFonts w:ascii="Arial" w:hAnsi="Arial" w:cs="Arial"/>
          <w:lang w:val="en-US" w:eastAsia="id-ID"/>
        </w:rPr>
        <w:t>resentative</w:t>
      </w:r>
      <w:r w:rsidR="00B211AD" w:rsidRPr="007633A1">
        <w:rPr>
          <w:rFonts w:ascii="Arial" w:hAnsi="Arial" w:cs="Arial"/>
          <w:lang w:val="en-US" w:eastAsia="id-ID"/>
        </w:rPr>
        <w:t>, include</w:t>
      </w:r>
      <w:r w:rsidRPr="007633A1">
        <w:rPr>
          <w:rFonts w:ascii="Arial" w:hAnsi="Arial" w:cs="Arial"/>
          <w:lang w:val="en-US" w:eastAsia="id-ID"/>
        </w:rPr>
        <w:t>s</w:t>
      </w:r>
      <w:r w:rsidR="00B211AD" w:rsidRPr="007633A1">
        <w:rPr>
          <w:rFonts w:ascii="Arial" w:hAnsi="Arial" w:cs="Arial"/>
          <w:lang w:val="en-US" w:eastAsia="id-ID"/>
        </w:rPr>
        <w:t xml:space="preserve"> a provision to regulate that reparation for victims of torture shall only require a court </w:t>
      </w:r>
      <w:r w:rsidR="00756441" w:rsidRPr="007633A1">
        <w:rPr>
          <w:rFonts w:ascii="Arial" w:hAnsi="Arial" w:cs="Arial"/>
          <w:lang w:val="en-US" w:eastAsia="id-ID"/>
        </w:rPr>
        <w:t xml:space="preserve">decision </w:t>
      </w:r>
      <w:r w:rsidR="00B211AD" w:rsidRPr="007633A1">
        <w:rPr>
          <w:rFonts w:ascii="Arial" w:hAnsi="Arial" w:cs="Arial"/>
          <w:lang w:val="en-US" w:eastAsia="id-ID"/>
        </w:rPr>
        <w:t>and</w:t>
      </w:r>
      <w:r w:rsidR="00756441" w:rsidRPr="007633A1">
        <w:rPr>
          <w:rFonts w:ascii="Arial" w:hAnsi="Arial" w:cs="Arial"/>
          <w:lang w:val="en-US" w:eastAsia="id-ID"/>
        </w:rPr>
        <w:t>/</w:t>
      </w:r>
      <w:r w:rsidR="00B211AD" w:rsidRPr="007633A1">
        <w:rPr>
          <w:rFonts w:ascii="Arial" w:hAnsi="Arial" w:cs="Arial"/>
          <w:lang w:val="en-US" w:eastAsia="id-ID"/>
        </w:rPr>
        <w:t xml:space="preserve">or a </w:t>
      </w:r>
      <w:r w:rsidR="00756441" w:rsidRPr="007633A1">
        <w:rPr>
          <w:rFonts w:ascii="Arial" w:hAnsi="Arial" w:cs="Arial"/>
          <w:lang w:val="en-US" w:eastAsia="id-ID"/>
        </w:rPr>
        <w:lastRenderedPageBreak/>
        <w:t xml:space="preserve">decision </w:t>
      </w:r>
      <w:r w:rsidR="00B211AD" w:rsidRPr="007633A1">
        <w:rPr>
          <w:rFonts w:ascii="Arial" w:hAnsi="Arial" w:cs="Arial"/>
          <w:lang w:val="en-US" w:eastAsia="id-ID"/>
        </w:rPr>
        <w:t>from code of conduct hearing in respective institutions. The burden of proof for torture shall not be borne by the victims of torture but by the perpetrators who allegedly commit</w:t>
      </w:r>
      <w:r w:rsidR="00CC146F">
        <w:rPr>
          <w:rFonts w:ascii="Arial" w:hAnsi="Arial" w:cs="Arial"/>
          <w:lang w:val="en-US" w:eastAsia="id-ID"/>
        </w:rPr>
        <w:t>ted</w:t>
      </w:r>
      <w:r w:rsidR="00B211AD" w:rsidRPr="007633A1">
        <w:rPr>
          <w:rFonts w:ascii="Arial" w:hAnsi="Arial" w:cs="Arial"/>
          <w:lang w:val="en-US" w:eastAsia="id-ID"/>
        </w:rPr>
        <w:t xml:space="preserve"> torture.</w:t>
      </w:r>
      <w:r w:rsidR="00414AC7" w:rsidRPr="007633A1">
        <w:rPr>
          <w:rFonts w:ascii="Arial" w:hAnsi="Arial" w:cs="Arial"/>
          <w:lang w:val="en-US" w:eastAsia="id-ID"/>
        </w:rPr>
        <w:t xml:space="preserve"> </w:t>
      </w:r>
    </w:p>
    <w:p w:rsidR="00CC146F" w:rsidRPr="00CC146F" w:rsidRDefault="000C46F8" w:rsidP="0027237A">
      <w:pPr>
        <w:pStyle w:val="Listecouleur-Accent11"/>
        <w:numPr>
          <w:ilvl w:val="0"/>
          <w:numId w:val="16"/>
        </w:numPr>
        <w:spacing w:after="0" w:line="240" w:lineRule="auto"/>
        <w:jc w:val="both"/>
        <w:rPr>
          <w:rFonts w:ascii="Arial" w:hAnsi="Arial" w:cs="Arial"/>
          <w:b/>
          <w:lang w:val="en-US" w:eastAsia="id-ID"/>
        </w:rPr>
      </w:pPr>
      <w:r w:rsidRPr="007633A1">
        <w:rPr>
          <w:rFonts w:ascii="Arial" w:hAnsi="Arial" w:cs="Arial"/>
          <w:lang w:val="en-US" w:eastAsia="id-ID"/>
        </w:rPr>
        <w:t>End the practice of</w:t>
      </w:r>
      <w:r w:rsidR="00B211AD" w:rsidRPr="007633A1">
        <w:rPr>
          <w:rFonts w:ascii="Arial" w:hAnsi="Arial" w:cs="Arial"/>
          <w:lang w:val="en-US" w:eastAsia="id-ID"/>
        </w:rPr>
        <w:t xml:space="preserve"> illegal detention facilities/prisons outside the authority of the Ministry of Law and Human Rights to facilitate supervision and prevention of torture</w:t>
      </w:r>
      <w:r w:rsidR="00B211AD" w:rsidRPr="007633A1">
        <w:rPr>
          <w:rFonts w:ascii="Arial" w:eastAsia="Cambria" w:hAnsi="Arial" w:cs="Arial"/>
          <w:lang w:val="en-US" w:eastAsia="id-ID"/>
        </w:rPr>
        <w:t xml:space="preserve"> and other cruel, inhuman or degrading treatment</w:t>
      </w:r>
      <w:r w:rsidR="00CC146F">
        <w:rPr>
          <w:rFonts w:ascii="Arial" w:eastAsia="Cambria" w:hAnsi="Arial" w:cs="Arial"/>
          <w:lang w:val="en-US" w:eastAsia="id-ID"/>
        </w:rPr>
        <w:t>;</w:t>
      </w:r>
    </w:p>
    <w:p w:rsidR="000C46F8" w:rsidRPr="007633A1" w:rsidRDefault="000C46F8" w:rsidP="0027237A">
      <w:pPr>
        <w:pStyle w:val="Listecouleur-Accent11"/>
        <w:numPr>
          <w:ilvl w:val="0"/>
          <w:numId w:val="16"/>
        </w:numPr>
        <w:spacing w:after="0" w:line="240" w:lineRule="auto"/>
        <w:jc w:val="both"/>
        <w:rPr>
          <w:rFonts w:ascii="Arial" w:hAnsi="Arial" w:cs="Arial"/>
          <w:b/>
          <w:lang w:val="en-US" w:eastAsia="id-ID"/>
        </w:rPr>
      </w:pPr>
      <w:r w:rsidRPr="007633A1">
        <w:rPr>
          <w:rFonts w:ascii="Arial" w:hAnsi="Arial" w:cs="Arial"/>
          <w:lang w:val="en-US" w:eastAsia="id-ID"/>
        </w:rPr>
        <w:t>E</w:t>
      </w:r>
      <w:r w:rsidR="00B211AD" w:rsidRPr="007633A1">
        <w:rPr>
          <w:rFonts w:ascii="Arial" w:hAnsi="Arial" w:cs="Arial"/>
          <w:lang w:val="en-US" w:eastAsia="id-ID"/>
        </w:rPr>
        <w:t xml:space="preserve">ncourage the government to harmonize </w:t>
      </w:r>
      <w:r w:rsidRPr="007633A1">
        <w:rPr>
          <w:rFonts w:ascii="Arial" w:hAnsi="Arial" w:cs="Arial"/>
          <w:lang w:val="en-US" w:eastAsia="id-ID"/>
        </w:rPr>
        <w:t xml:space="preserve">its </w:t>
      </w:r>
      <w:r w:rsidR="00CC146F">
        <w:rPr>
          <w:rFonts w:ascii="Arial" w:hAnsi="Arial" w:cs="Arial"/>
          <w:lang w:val="en-US" w:eastAsia="id-ID"/>
        </w:rPr>
        <w:t xml:space="preserve">legislations, </w:t>
      </w:r>
      <w:r w:rsidR="00B211AD" w:rsidRPr="007633A1">
        <w:rPr>
          <w:rFonts w:ascii="Arial" w:hAnsi="Arial" w:cs="Arial"/>
          <w:lang w:val="en-US" w:eastAsia="id-ID"/>
        </w:rPr>
        <w:t>especially in Aceh, in accordance with human rights in</w:t>
      </w:r>
      <w:r w:rsidR="004D1FEC" w:rsidRPr="007633A1">
        <w:rPr>
          <w:rFonts w:ascii="Arial" w:hAnsi="Arial" w:cs="Arial"/>
          <w:lang w:val="en-US" w:eastAsia="id-ID"/>
        </w:rPr>
        <w:t>s</w:t>
      </w:r>
      <w:r w:rsidR="00B211AD" w:rsidRPr="007633A1">
        <w:rPr>
          <w:rFonts w:ascii="Arial" w:hAnsi="Arial" w:cs="Arial"/>
          <w:lang w:val="en-US" w:eastAsia="id-ID"/>
        </w:rPr>
        <w:t>truments</w:t>
      </w:r>
      <w:r w:rsidR="003E54D3" w:rsidRPr="007633A1">
        <w:rPr>
          <w:rFonts w:ascii="Arial" w:hAnsi="Arial" w:cs="Arial"/>
          <w:lang w:val="en-US" w:eastAsia="id-ID"/>
        </w:rPr>
        <w:t>;</w:t>
      </w:r>
    </w:p>
    <w:p w:rsidR="000C46F8" w:rsidRPr="007633A1" w:rsidRDefault="000C46F8" w:rsidP="0027237A">
      <w:pPr>
        <w:pStyle w:val="Listecouleur-Accent11"/>
        <w:numPr>
          <w:ilvl w:val="0"/>
          <w:numId w:val="16"/>
        </w:numPr>
        <w:spacing w:after="0" w:line="240" w:lineRule="auto"/>
        <w:jc w:val="both"/>
        <w:rPr>
          <w:rFonts w:ascii="Arial" w:hAnsi="Arial" w:cs="Arial"/>
          <w:b/>
          <w:lang w:val="en-US" w:eastAsia="id-ID"/>
        </w:rPr>
      </w:pPr>
      <w:r w:rsidRPr="007633A1">
        <w:rPr>
          <w:rFonts w:ascii="Arial" w:hAnsi="Arial" w:cs="Arial"/>
          <w:lang w:val="en-US" w:eastAsia="id-ID"/>
        </w:rPr>
        <w:t>D</w:t>
      </w:r>
      <w:r w:rsidR="00B211AD" w:rsidRPr="007633A1">
        <w:rPr>
          <w:rFonts w:ascii="Arial" w:hAnsi="Arial" w:cs="Arial"/>
          <w:lang w:val="en-US" w:eastAsia="id-ID"/>
        </w:rPr>
        <w:t>evelop a specific integrated juvenile justice sy</w:t>
      </w:r>
      <w:r w:rsidR="00B211AD" w:rsidRPr="007633A1">
        <w:rPr>
          <w:rFonts w:ascii="Arial" w:eastAsia="Cambria" w:hAnsi="Arial" w:cs="Arial"/>
          <w:lang w:val="en-US" w:eastAsia="id-ID"/>
        </w:rPr>
        <w:t>stem (lex</w:t>
      </w:r>
      <w:r w:rsidR="00756441" w:rsidRPr="007633A1">
        <w:rPr>
          <w:rFonts w:ascii="Arial" w:eastAsia="Cambria" w:hAnsi="Arial" w:cs="Arial"/>
          <w:lang w:val="en-US" w:eastAsia="id-ID"/>
        </w:rPr>
        <w:t xml:space="preserve"> </w:t>
      </w:r>
      <w:r w:rsidR="00B211AD" w:rsidRPr="007633A1">
        <w:rPr>
          <w:rFonts w:ascii="Arial" w:eastAsia="Cambria" w:hAnsi="Arial" w:cs="Arial"/>
          <w:lang w:val="en-US" w:eastAsia="id-ID"/>
        </w:rPr>
        <w:t xml:space="preserve">specialis) that includes both material </w:t>
      </w:r>
      <w:r w:rsidR="00B211AD" w:rsidRPr="007633A1">
        <w:rPr>
          <w:rFonts w:ascii="Arial" w:hAnsi="Arial" w:cs="Arial"/>
          <w:lang w:val="en-US" w:eastAsia="id-ID"/>
        </w:rPr>
        <w:t xml:space="preserve">and formal laws in order for the juvenile justice system to be </w:t>
      </w:r>
      <w:r w:rsidR="00B211AD" w:rsidRPr="007633A1">
        <w:rPr>
          <w:rFonts w:ascii="Arial" w:hAnsi="Arial" w:cs="Arial"/>
          <w:i/>
          <w:lang w:val="en-US" w:eastAsia="id-ID"/>
        </w:rPr>
        <w:t>sui generi</w:t>
      </w:r>
      <w:r w:rsidR="003E54D3" w:rsidRPr="007633A1">
        <w:rPr>
          <w:rFonts w:ascii="Arial" w:hAnsi="Arial" w:cs="Arial"/>
          <w:i/>
          <w:lang w:val="en-US" w:eastAsia="id-ID"/>
        </w:rPr>
        <w:t>s</w:t>
      </w:r>
      <w:r w:rsidRPr="007633A1">
        <w:rPr>
          <w:rFonts w:ascii="Arial" w:hAnsi="Arial" w:cs="Arial"/>
          <w:i/>
          <w:lang w:val="en-US" w:eastAsia="id-ID"/>
        </w:rPr>
        <w:t xml:space="preserve">; </w:t>
      </w:r>
    </w:p>
    <w:p w:rsidR="00DB3ADC" w:rsidRPr="007633A1" w:rsidRDefault="00DB3ADC" w:rsidP="0027237A">
      <w:pPr>
        <w:pStyle w:val="Listecouleur-Accent11"/>
        <w:numPr>
          <w:ilvl w:val="0"/>
          <w:numId w:val="16"/>
        </w:numPr>
        <w:spacing w:after="0" w:line="240" w:lineRule="auto"/>
        <w:jc w:val="both"/>
        <w:rPr>
          <w:rFonts w:ascii="Arial" w:hAnsi="Arial" w:cs="Arial"/>
          <w:b/>
          <w:lang w:val="en-US" w:eastAsia="id-ID"/>
        </w:rPr>
      </w:pPr>
      <w:r w:rsidRPr="007633A1">
        <w:rPr>
          <w:rFonts w:ascii="Arial" w:hAnsi="Arial" w:cs="Arial"/>
          <w:lang w:val="en-US" w:eastAsia="id-ID"/>
        </w:rPr>
        <w:t>Ensure that children are effectively separa</w:t>
      </w:r>
      <w:r w:rsidRPr="007633A1">
        <w:rPr>
          <w:rFonts w:ascii="Arial" w:hAnsi="Arial" w:cs="Arial"/>
          <w:b/>
          <w:lang w:val="en-US" w:eastAsia="id-ID"/>
        </w:rPr>
        <w:t>t</w:t>
      </w:r>
      <w:r w:rsidRPr="007633A1">
        <w:rPr>
          <w:rFonts w:ascii="Arial" w:hAnsi="Arial" w:cs="Arial"/>
          <w:lang w:val="en-US" w:eastAsia="id-ID"/>
        </w:rPr>
        <w:t xml:space="preserve">ed from adults in detention facilities; </w:t>
      </w:r>
    </w:p>
    <w:p w:rsidR="000C46F8" w:rsidRPr="007633A1" w:rsidRDefault="00414AC7" w:rsidP="0027237A">
      <w:pPr>
        <w:pStyle w:val="Listecouleur-Accent11"/>
        <w:numPr>
          <w:ilvl w:val="0"/>
          <w:numId w:val="16"/>
        </w:numPr>
        <w:spacing w:after="0" w:line="240" w:lineRule="auto"/>
        <w:jc w:val="both"/>
        <w:rPr>
          <w:rFonts w:ascii="Arial" w:hAnsi="Arial" w:cs="Arial"/>
          <w:b/>
          <w:lang w:val="en-US"/>
        </w:rPr>
      </w:pPr>
      <w:r w:rsidRPr="007633A1">
        <w:rPr>
          <w:rFonts w:ascii="Arial" w:hAnsi="Arial" w:cs="Arial"/>
          <w:lang w:val="en-US" w:eastAsia="id-ID"/>
        </w:rPr>
        <w:t>A</w:t>
      </w:r>
      <w:r w:rsidR="00B211AD" w:rsidRPr="007633A1">
        <w:rPr>
          <w:rFonts w:ascii="Arial" w:hAnsi="Arial" w:cs="Arial"/>
          <w:lang w:val="en-US" w:eastAsia="id-ID"/>
        </w:rPr>
        <w:t xml:space="preserve">mend the </w:t>
      </w:r>
      <w:r w:rsidR="00442F56" w:rsidRPr="007633A1">
        <w:rPr>
          <w:rFonts w:ascii="Arial" w:hAnsi="Arial" w:cs="Arial"/>
          <w:lang w:val="en-US" w:eastAsia="id-ID"/>
        </w:rPr>
        <w:t xml:space="preserve">Criminal Code and the </w:t>
      </w:r>
      <w:r w:rsidR="00B211AD" w:rsidRPr="007633A1">
        <w:rPr>
          <w:rFonts w:ascii="Arial" w:hAnsi="Arial" w:cs="Arial"/>
          <w:lang w:val="en-US" w:eastAsia="id-ID"/>
        </w:rPr>
        <w:t>Crimi</w:t>
      </w:r>
      <w:r w:rsidR="00B211AD" w:rsidRPr="007633A1">
        <w:rPr>
          <w:rFonts w:ascii="Arial" w:eastAsia="Cambria" w:hAnsi="Arial" w:cs="Arial"/>
          <w:lang w:val="en-US" w:eastAsia="id-ID"/>
        </w:rPr>
        <w:t>nal Procedure Code with regard to violence again</w:t>
      </w:r>
      <w:r w:rsidR="00B211AD" w:rsidRPr="007633A1">
        <w:rPr>
          <w:rFonts w:ascii="Arial" w:hAnsi="Arial" w:cs="Arial"/>
          <w:lang w:val="en-US" w:eastAsia="id-ID"/>
        </w:rPr>
        <w:t>st women, domestic violence, rape,</w:t>
      </w:r>
      <w:r w:rsidR="00CA0D01" w:rsidRPr="007633A1">
        <w:rPr>
          <w:rFonts w:ascii="Arial" w:hAnsi="Arial" w:cs="Arial"/>
          <w:lang w:val="en-US" w:eastAsia="id-ID"/>
        </w:rPr>
        <w:t xml:space="preserve"> marital rape,</w:t>
      </w:r>
      <w:r w:rsidR="00B211AD" w:rsidRPr="007633A1">
        <w:rPr>
          <w:rFonts w:ascii="Arial" w:hAnsi="Arial" w:cs="Arial"/>
          <w:lang w:val="en-US" w:eastAsia="id-ID"/>
        </w:rPr>
        <w:t xml:space="preserve"> molestation, pornography, and other crimes against women and children. </w:t>
      </w:r>
      <w:r w:rsidR="00B211AD" w:rsidRPr="007633A1">
        <w:rPr>
          <w:rFonts w:ascii="Arial" w:hAnsi="Arial" w:cs="Arial"/>
          <w:b/>
          <w:lang w:val="en-US" w:eastAsia="id-ID"/>
        </w:rPr>
        <w:t>T</w:t>
      </w:r>
      <w:r w:rsidR="00B211AD" w:rsidRPr="007633A1">
        <w:rPr>
          <w:rFonts w:ascii="Arial" w:hAnsi="Arial" w:cs="Arial"/>
          <w:lang w:val="en-US"/>
        </w:rPr>
        <w:t>o this end, the Government of Indonesia shall hold a high commitment to amend both the Criminal Procedure Code and the Criminal Code.</w:t>
      </w:r>
    </w:p>
    <w:p w:rsidR="00CA0D01" w:rsidRPr="007633A1" w:rsidRDefault="00CA0D01" w:rsidP="0027237A">
      <w:pPr>
        <w:pStyle w:val="Listecouleur-Accent11"/>
        <w:numPr>
          <w:ilvl w:val="0"/>
          <w:numId w:val="16"/>
        </w:numPr>
        <w:spacing w:after="0" w:line="240" w:lineRule="auto"/>
        <w:jc w:val="both"/>
        <w:rPr>
          <w:rFonts w:ascii="Arial" w:hAnsi="Arial" w:cs="Arial"/>
          <w:b/>
          <w:lang w:val="en-US"/>
        </w:rPr>
      </w:pPr>
      <w:r w:rsidRPr="007633A1">
        <w:rPr>
          <w:rFonts w:ascii="Arial" w:hAnsi="Arial" w:cs="Arial"/>
          <w:lang w:val="en-US"/>
        </w:rPr>
        <w:t xml:space="preserve">Launch public </w:t>
      </w:r>
      <w:r w:rsidR="005063EC" w:rsidRPr="007633A1">
        <w:rPr>
          <w:rFonts w:ascii="Arial" w:hAnsi="Arial" w:cs="Arial"/>
          <w:lang w:val="en-US"/>
        </w:rPr>
        <w:t>awareness</w:t>
      </w:r>
      <w:r w:rsidRPr="007633A1">
        <w:rPr>
          <w:rFonts w:ascii="Arial" w:hAnsi="Arial" w:cs="Arial"/>
          <w:lang w:val="en-US"/>
        </w:rPr>
        <w:t xml:space="preserve"> campaigns on the gravity and consequences of Female Genital Mutilations (FGM); </w:t>
      </w:r>
    </w:p>
    <w:p w:rsidR="00666FE9" w:rsidRPr="007633A1" w:rsidRDefault="00666FE9" w:rsidP="0027237A">
      <w:pPr>
        <w:pStyle w:val="Listecouleur-Accent11"/>
        <w:numPr>
          <w:ilvl w:val="0"/>
          <w:numId w:val="16"/>
        </w:numPr>
        <w:spacing w:after="0" w:line="240" w:lineRule="auto"/>
        <w:jc w:val="both"/>
        <w:rPr>
          <w:rFonts w:ascii="Arial" w:hAnsi="Arial" w:cs="Arial"/>
          <w:b/>
          <w:lang w:val="en-US"/>
        </w:rPr>
      </w:pPr>
      <w:r w:rsidRPr="007633A1">
        <w:rPr>
          <w:rFonts w:ascii="Arial" w:hAnsi="Arial" w:cs="Arial"/>
          <w:lang w:val="en-US"/>
        </w:rPr>
        <w:t xml:space="preserve">Withdraw the Ministry of Health decree PMK No. 163/ 2010 allowing female circumcision; </w:t>
      </w:r>
    </w:p>
    <w:p w:rsidR="005001A2" w:rsidRPr="007633A1" w:rsidRDefault="005001A2" w:rsidP="0027237A">
      <w:pPr>
        <w:pStyle w:val="Listecouleur-Accent11"/>
        <w:numPr>
          <w:ilvl w:val="0"/>
          <w:numId w:val="16"/>
        </w:numPr>
        <w:spacing w:after="0" w:line="240" w:lineRule="auto"/>
        <w:jc w:val="both"/>
        <w:rPr>
          <w:rFonts w:ascii="Arial" w:hAnsi="Arial" w:cs="Arial"/>
          <w:b/>
          <w:lang w:val="en-US"/>
        </w:rPr>
      </w:pPr>
      <w:r w:rsidRPr="007633A1">
        <w:rPr>
          <w:rFonts w:ascii="Arial" w:hAnsi="Arial" w:cs="Arial"/>
          <w:lang w:val="en-US"/>
        </w:rPr>
        <w:t xml:space="preserve">Live up to the provision of article 5 of the UN Convention on the Elimination of all Forms of Discrimination against Women and to eliminate cultural traditional practices that perpetuate discrimination on and gender stereotyping of women; </w:t>
      </w:r>
    </w:p>
    <w:p w:rsidR="00657D06" w:rsidRPr="007633A1" w:rsidRDefault="00C55A58" w:rsidP="0027237A">
      <w:pPr>
        <w:pStyle w:val="Listecouleur-Accent11"/>
        <w:numPr>
          <w:ilvl w:val="0"/>
          <w:numId w:val="16"/>
        </w:numPr>
        <w:spacing w:after="0" w:line="240" w:lineRule="auto"/>
        <w:jc w:val="both"/>
        <w:rPr>
          <w:rFonts w:ascii="Arial" w:hAnsi="Arial" w:cs="Arial"/>
          <w:lang w:val="en-US"/>
        </w:rPr>
      </w:pPr>
      <w:r w:rsidRPr="007633A1">
        <w:rPr>
          <w:rFonts w:ascii="Arial" w:hAnsi="Arial" w:cs="Arial"/>
          <w:lang w:val="en-US"/>
        </w:rPr>
        <w:t xml:space="preserve">Include in the </w:t>
      </w:r>
      <w:r w:rsidR="00B211AD" w:rsidRPr="007633A1">
        <w:rPr>
          <w:rFonts w:ascii="Arial" w:hAnsi="Arial" w:cs="Arial"/>
          <w:lang w:val="en-US"/>
        </w:rPr>
        <w:t>Draft of the Criminal Procedure Code, which is now being deliberated by the House of Representatives</w:t>
      </w:r>
      <w:r w:rsidRPr="007633A1">
        <w:rPr>
          <w:rFonts w:ascii="Arial" w:hAnsi="Arial" w:cs="Arial"/>
          <w:lang w:val="en-US"/>
        </w:rPr>
        <w:t>,</w:t>
      </w:r>
      <w:r w:rsidR="00B211AD" w:rsidRPr="007633A1">
        <w:rPr>
          <w:rFonts w:ascii="Arial" w:hAnsi="Arial" w:cs="Arial"/>
          <w:lang w:val="en-US"/>
        </w:rPr>
        <w:t xml:space="preserve"> the right to legal aid for suspects/defendants from vulnerable groups such as children, women, indigenous people, disable people who face less than 5 (five) years sentence. The Draft of the Criminal Procedure Code should also provide for the consequences of deprivation of the right to legal aid, as well as in the Law No. 11</w:t>
      </w:r>
      <w:r w:rsidR="00CC146F">
        <w:rPr>
          <w:rFonts w:ascii="Arial" w:hAnsi="Arial" w:cs="Arial"/>
          <w:lang w:val="en-US"/>
        </w:rPr>
        <w:t>/</w:t>
      </w:r>
      <w:r w:rsidR="00B211AD" w:rsidRPr="007633A1">
        <w:rPr>
          <w:rFonts w:ascii="Arial" w:hAnsi="Arial" w:cs="Arial"/>
          <w:lang w:val="en-US"/>
        </w:rPr>
        <w:t xml:space="preserve"> 2011 on Legal Aid, it has to expand the beneficiaries of legal aid to go beyond suspects/defendants but also for witnesses/victims of crimes, because a witness or a victim of a crime is also vulnerable to torture</w:t>
      </w:r>
      <w:r w:rsidR="00B211AD" w:rsidRPr="007633A1">
        <w:rPr>
          <w:rFonts w:ascii="Arial" w:eastAsia="Cambria" w:hAnsi="Arial" w:cs="Arial"/>
          <w:lang w:val="en-US"/>
        </w:rPr>
        <w:t xml:space="preserve"> and </w:t>
      </w:r>
      <w:r w:rsidR="00CC146F">
        <w:rPr>
          <w:rFonts w:ascii="Arial" w:eastAsia="Cambria" w:hAnsi="Arial" w:cs="Arial"/>
          <w:lang w:val="en-US"/>
        </w:rPr>
        <w:t>ill-treatment</w:t>
      </w:r>
      <w:r w:rsidR="00B211AD" w:rsidRPr="007633A1">
        <w:rPr>
          <w:rFonts w:ascii="Arial" w:eastAsia="Cambria" w:hAnsi="Arial" w:cs="Arial"/>
          <w:lang w:val="en-US"/>
        </w:rPr>
        <w:t xml:space="preserve"> from law enforcement pers</w:t>
      </w:r>
      <w:r w:rsidR="00CC146F">
        <w:rPr>
          <w:rFonts w:ascii="Arial" w:eastAsia="Cambria" w:hAnsi="Arial" w:cs="Arial"/>
          <w:lang w:val="en-US"/>
        </w:rPr>
        <w:t>onnel and from public officials;</w:t>
      </w:r>
    </w:p>
    <w:p w:rsidR="00FC3A3C" w:rsidRPr="007633A1" w:rsidRDefault="00FC3A3C" w:rsidP="0027237A">
      <w:pPr>
        <w:pStyle w:val="Listecouleur-Accent11"/>
        <w:numPr>
          <w:ilvl w:val="0"/>
          <w:numId w:val="16"/>
        </w:numPr>
        <w:spacing w:after="0" w:line="240" w:lineRule="auto"/>
        <w:jc w:val="both"/>
        <w:rPr>
          <w:rFonts w:ascii="Arial" w:hAnsi="Arial" w:cs="Arial"/>
          <w:lang w:val="en-US"/>
        </w:rPr>
      </w:pPr>
      <w:r w:rsidRPr="007633A1">
        <w:rPr>
          <w:rFonts w:ascii="Arial" w:eastAsia="Cambria" w:hAnsi="Arial" w:cs="Arial"/>
          <w:lang w:val="en-US"/>
        </w:rPr>
        <w:t xml:space="preserve">Withdraw restrictions on access to West Papua for foreign journalists and international human rights and humanitarian </w:t>
      </w:r>
      <w:r w:rsidR="00756441" w:rsidRPr="007633A1">
        <w:rPr>
          <w:rFonts w:ascii="Arial" w:eastAsia="Cambria" w:hAnsi="Arial" w:cs="Arial"/>
          <w:lang w:val="en-US"/>
        </w:rPr>
        <w:t>organizations</w:t>
      </w:r>
      <w:r w:rsidRPr="007633A1">
        <w:rPr>
          <w:rFonts w:ascii="Arial" w:eastAsia="Cambria" w:hAnsi="Arial" w:cs="Arial"/>
          <w:lang w:val="en-US"/>
        </w:rPr>
        <w:t xml:space="preserve">; </w:t>
      </w:r>
    </w:p>
    <w:p w:rsidR="00D43AE9" w:rsidRPr="007633A1" w:rsidRDefault="00D43AE9" w:rsidP="0027237A">
      <w:pPr>
        <w:pStyle w:val="Listecouleur-Accent11"/>
        <w:numPr>
          <w:ilvl w:val="0"/>
          <w:numId w:val="16"/>
        </w:numPr>
        <w:spacing w:after="0" w:line="240" w:lineRule="auto"/>
        <w:jc w:val="both"/>
        <w:rPr>
          <w:rFonts w:ascii="Arial" w:hAnsi="Arial" w:cs="Arial"/>
          <w:lang w:val="en-US"/>
        </w:rPr>
      </w:pPr>
      <w:r w:rsidRPr="007633A1">
        <w:rPr>
          <w:rFonts w:ascii="Arial" w:eastAsia="Cambria" w:hAnsi="Arial" w:cs="Arial"/>
          <w:lang w:val="en-US"/>
        </w:rPr>
        <w:t xml:space="preserve">Effectively follow-up on UN Treaty Bodies recommendations, including the 2008 UNCAT recommendations; </w:t>
      </w:r>
    </w:p>
    <w:p w:rsidR="000D10D1" w:rsidRPr="007633A1" w:rsidRDefault="000D10D1" w:rsidP="0027237A">
      <w:pPr>
        <w:pStyle w:val="Listecouleur-Accent11"/>
        <w:numPr>
          <w:ilvl w:val="0"/>
          <w:numId w:val="16"/>
        </w:numPr>
        <w:spacing w:after="0" w:line="240" w:lineRule="auto"/>
        <w:jc w:val="both"/>
        <w:rPr>
          <w:rFonts w:ascii="Arial" w:hAnsi="Arial" w:cs="Arial"/>
          <w:lang w:val="en-US"/>
        </w:rPr>
      </w:pPr>
      <w:r w:rsidRPr="007633A1">
        <w:rPr>
          <w:rFonts w:ascii="Arial" w:eastAsia="Cambria" w:hAnsi="Arial" w:cs="Arial"/>
          <w:lang w:val="en-US"/>
        </w:rPr>
        <w:t>Extend an open invitation to all UN Special Rapporteurs and guarantee then free access to the province of West Papua and Maluku</w:t>
      </w:r>
      <w:r w:rsidR="00FC3A3C" w:rsidRPr="007633A1">
        <w:rPr>
          <w:rFonts w:ascii="Arial" w:eastAsia="Cambria" w:hAnsi="Arial" w:cs="Arial"/>
          <w:lang w:val="en-US"/>
        </w:rPr>
        <w:t xml:space="preserve">; </w:t>
      </w:r>
    </w:p>
    <w:p w:rsidR="00FC3A3C" w:rsidRPr="007633A1" w:rsidRDefault="00FC3A3C" w:rsidP="00FC3A3C">
      <w:pPr>
        <w:pStyle w:val="Listecouleur-Accent11"/>
        <w:spacing w:after="0" w:line="240" w:lineRule="auto"/>
        <w:ind w:left="0"/>
        <w:jc w:val="both"/>
        <w:rPr>
          <w:rFonts w:ascii="Arial" w:hAnsi="Arial" w:cs="Arial"/>
          <w:lang w:val="en-US"/>
        </w:rPr>
      </w:pPr>
    </w:p>
    <w:p w:rsidR="008F6D3D" w:rsidRPr="007633A1" w:rsidRDefault="008F6D3D" w:rsidP="006B4A8C">
      <w:pPr>
        <w:spacing w:after="0" w:line="240" w:lineRule="auto"/>
        <w:rPr>
          <w:rFonts w:ascii="Arial" w:hAnsi="Arial" w:cs="Arial"/>
          <w:b/>
          <w:lang w:val="en-US"/>
        </w:rPr>
      </w:pPr>
      <w:r w:rsidRPr="007633A1">
        <w:rPr>
          <w:rFonts w:ascii="Arial" w:hAnsi="Arial" w:cs="Arial"/>
          <w:b/>
          <w:lang w:val="en-US"/>
        </w:rPr>
        <w:br w:type="page"/>
      </w:r>
    </w:p>
    <w:p w:rsidR="00B211AD" w:rsidRPr="007633A1" w:rsidRDefault="00B211AD" w:rsidP="00B211AD">
      <w:pPr>
        <w:pStyle w:val="Listecouleur-Accent11"/>
        <w:ind w:left="502"/>
        <w:jc w:val="both"/>
        <w:rPr>
          <w:rFonts w:ascii="Arial" w:hAnsi="Arial" w:cs="Arial"/>
          <w:b/>
          <w:lang w:val="en-US"/>
        </w:rPr>
      </w:pPr>
      <w:r w:rsidRPr="007633A1">
        <w:rPr>
          <w:rFonts w:ascii="Arial" w:hAnsi="Arial" w:cs="Arial"/>
          <w:b/>
          <w:lang w:val="en-US"/>
        </w:rPr>
        <w:lastRenderedPageBreak/>
        <w:t>ANNEX 1: DATABASE OF TORTURE FROM LBH JAKARTA FOR THE YEARS OF 2010, 2011, 2012</w:t>
      </w:r>
    </w:p>
    <w:p w:rsidR="00B211AD" w:rsidRPr="007633A1" w:rsidRDefault="00B211AD" w:rsidP="00B211AD">
      <w:pPr>
        <w:pStyle w:val="Listecouleur-Accent11"/>
        <w:ind w:left="502"/>
        <w:jc w:val="both"/>
        <w:rPr>
          <w:rFonts w:ascii="Arial" w:hAnsi="Arial" w:cs="Arial"/>
          <w:b/>
          <w:lang w:val="en-US"/>
        </w:rPr>
      </w:pPr>
    </w:p>
    <w:p w:rsidR="00B211AD" w:rsidRPr="007633A1" w:rsidRDefault="00B211AD" w:rsidP="003828CE">
      <w:pPr>
        <w:pStyle w:val="Listecouleur-Accent11"/>
        <w:spacing w:after="0" w:line="240" w:lineRule="auto"/>
        <w:ind w:left="505"/>
        <w:jc w:val="both"/>
        <w:rPr>
          <w:rFonts w:ascii="Arial" w:hAnsi="Arial" w:cs="Arial"/>
          <w:b/>
          <w:lang w:val="en-US"/>
        </w:rPr>
      </w:pPr>
      <w:r w:rsidRPr="007633A1">
        <w:rPr>
          <w:rFonts w:ascii="Arial" w:hAnsi="Arial" w:cs="Arial"/>
          <w:b/>
          <w:lang w:val="en-US"/>
        </w:rPr>
        <w:t>2010</w:t>
      </w:r>
    </w:p>
    <w:tbl>
      <w:tblPr>
        <w:tblpPr w:leftFromText="180" w:rightFromText="180" w:vertAnchor="page" w:horzAnchor="margin" w:tblpXSpec="center" w:tblpY="14932"/>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3425"/>
        <w:gridCol w:w="2128"/>
        <w:gridCol w:w="2575"/>
      </w:tblGrid>
      <w:tr w:rsidR="000C09AC" w:rsidRPr="007633A1">
        <w:trPr>
          <w:trHeight w:val="131"/>
        </w:trPr>
        <w:tc>
          <w:tcPr>
            <w:tcW w:w="687" w:type="dxa"/>
          </w:tcPr>
          <w:p w:rsidR="00B211AD" w:rsidRPr="007633A1" w:rsidRDefault="00B211AD" w:rsidP="00B211AD">
            <w:pPr>
              <w:pStyle w:val="Grillemoyenne21"/>
              <w:rPr>
                <w:rFonts w:ascii="Arial" w:hAnsi="Arial" w:cs="Arial"/>
                <w:b/>
                <w:sz w:val="20"/>
                <w:szCs w:val="20"/>
                <w:lang w:val="en-US"/>
              </w:rPr>
            </w:pPr>
            <w:r w:rsidRPr="007633A1">
              <w:rPr>
                <w:rFonts w:ascii="Arial" w:hAnsi="Arial" w:cs="Arial"/>
                <w:b/>
                <w:sz w:val="20"/>
                <w:szCs w:val="20"/>
                <w:lang w:val="en-US"/>
              </w:rPr>
              <w:t>No</w:t>
            </w:r>
          </w:p>
        </w:tc>
        <w:tc>
          <w:tcPr>
            <w:tcW w:w="3425" w:type="dxa"/>
          </w:tcPr>
          <w:p w:rsidR="00B211AD" w:rsidRPr="007633A1" w:rsidRDefault="00B211AD" w:rsidP="00B211AD">
            <w:pPr>
              <w:pStyle w:val="Grillemoyenne21"/>
              <w:rPr>
                <w:rFonts w:ascii="Arial" w:hAnsi="Arial" w:cs="Arial"/>
                <w:b/>
                <w:sz w:val="20"/>
                <w:szCs w:val="20"/>
                <w:lang w:val="en-US"/>
              </w:rPr>
            </w:pPr>
            <w:r w:rsidRPr="007633A1">
              <w:rPr>
                <w:rFonts w:ascii="Arial" w:hAnsi="Arial" w:cs="Arial"/>
                <w:b/>
                <w:sz w:val="20"/>
                <w:szCs w:val="20"/>
                <w:lang w:val="en-US"/>
              </w:rPr>
              <w:t>Description</w:t>
            </w:r>
          </w:p>
        </w:tc>
        <w:tc>
          <w:tcPr>
            <w:tcW w:w="2128" w:type="dxa"/>
          </w:tcPr>
          <w:p w:rsidR="00B211AD" w:rsidRPr="007633A1" w:rsidRDefault="00B211AD" w:rsidP="00B211AD">
            <w:pPr>
              <w:pStyle w:val="Grillemoyenne21"/>
              <w:rPr>
                <w:rFonts w:ascii="Arial" w:hAnsi="Arial" w:cs="Arial"/>
                <w:b/>
                <w:sz w:val="20"/>
                <w:szCs w:val="20"/>
                <w:lang w:val="en-US"/>
              </w:rPr>
            </w:pPr>
            <w:r w:rsidRPr="007633A1">
              <w:rPr>
                <w:rFonts w:ascii="Arial" w:hAnsi="Arial" w:cs="Arial"/>
                <w:b/>
                <w:sz w:val="20"/>
                <w:szCs w:val="20"/>
                <w:lang w:val="en-US"/>
              </w:rPr>
              <w:t>Action Taken</w:t>
            </w:r>
          </w:p>
        </w:tc>
        <w:tc>
          <w:tcPr>
            <w:tcW w:w="2575" w:type="dxa"/>
          </w:tcPr>
          <w:p w:rsidR="00B211AD" w:rsidRPr="007633A1" w:rsidRDefault="00B211AD" w:rsidP="00B211AD">
            <w:pPr>
              <w:pStyle w:val="Grillemoyenne21"/>
              <w:rPr>
                <w:rFonts w:ascii="Arial" w:hAnsi="Arial" w:cs="Arial"/>
                <w:b/>
                <w:sz w:val="20"/>
                <w:szCs w:val="20"/>
                <w:lang w:val="en-US"/>
              </w:rPr>
            </w:pPr>
            <w:r w:rsidRPr="007633A1">
              <w:rPr>
                <w:rFonts w:ascii="Arial" w:hAnsi="Arial" w:cs="Arial"/>
                <w:b/>
                <w:sz w:val="20"/>
                <w:szCs w:val="20"/>
                <w:lang w:val="en-US"/>
              </w:rPr>
              <w:t>Progress</w:t>
            </w:r>
          </w:p>
        </w:tc>
      </w:tr>
      <w:tr w:rsidR="000C09AC" w:rsidRPr="007633A1">
        <w:trPr>
          <w:trHeight w:val="131"/>
        </w:trPr>
        <w:tc>
          <w:tcPr>
            <w:tcW w:w="687"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1.</w:t>
            </w:r>
          </w:p>
        </w:tc>
        <w:tc>
          <w:tcPr>
            <w:tcW w:w="342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xml:space="preserve">RS experienced assaults as provided for in Article 352 of the Criminal Code. RS was flushed with beers, urinated, kicked, and burnt with cigarettes. RS was a victim of false arrest and the perpetrators were police officers at the South Jakarta Precinct.  </w:t>
            </w:r>
          </w:p>
        </w:tc>
        <w:tc>
          <w:tcPr>
            <w:tcW w:w="2128" w:type="dxa"/>
          </w:tcPr>
          <w:p w:rsidR="00407A94" w:rsidRPr="007633A1" w:rsidRDefault="00B211AD">
            <w:pPr>
              <w:pStyle w:val="Grillemoyenne21"/>
              <w:numPr>
                <w:ilvl w:val="0"/>
                <w:numId w:val="5"/>
              </w:numPr>
              <w:ind w:left="459"/>
              <w:contextualSpacing/>
              <w:rPr>
                <w:rFonts w:ascii="Arial" w:hAnsi="Arial" w:cs="Arial"/>
                <w:sz w:val="20"/>
                <w:szCs w:val="20"/>
                <w:lang w:val="en-US"/>
              </w:rPr>
            </w:pPr>
            <w:r w:rsidRPr="007633A1">
              <w:rPr>
                <w:rFonts w:ascii="Arial" w:hAnsi="Arial" w:cs="Arial"/>
                <w:sz w:val="20"/>
                <w:szCs w:val="20"/>
                <w:lang w:val="en-US"/>
              </w:rPr>
              <w:t>Reported the incident as a violation of code of conducts to the Propam of the Regional Police on 2 February 2010;</w:t>
            </w:r>
          </w:p>
          <w:p w:rsidR="00B211AD" w:rsidRPr="007633A1" w:rsidRDefault="00B211AD" w:rsidP="00B211AD">
            <w:pPr>
              <w:pStyle w:val="Grillemoyenne21"/>
              <w:ind w:left="459"/>
              <w:contextualSpacing/>
              <w:rPr>
                <w:rFonts w:ascii="Arial" w:hAnsi="Arial" w:cs="Arial"/>
                <w:sz w:val="20"/>
                <w:szCs w:val="20"/>
                <w:lang w:val="en-US"/>
              </w:rPr>
            </w:pPr>
          </w:p>
          <w:p w:rsidR="00407A94" w:rsidRPr="007633A1" w:rsidRDefault="00B211AD">
            <w:pPr>
              <w:pStyle w:val="Grillemoyenne21"/>
              <w:numPr>
                <w:ilvl w:val="0"/>
                <w:numId w:val="5"/>
              </w:numPr>
              <w:ind w:left="459"/>
              <w:contextualSpacing/>
              <w:rPr>
                <w:rFonts w:ascii="Arial" w:hAnsi="Arial" w:cs="Arial"/>
                <w:sz w:val="20"/>
                <w:szCs w:val="20"/>
                <w:lang w:val="en-US"/>
              </w:rPr>
            </w:pPr>
            <w:r w:rsidRPr="007633A1">
              <w:rPr>
                <w:rFonts w:ascii="Arial" w:hAnsi="Arial" w:cs="Arial"/>
                <w:sz w:val="20"/>
                <w:szCs w:val="20"/>
                <w:lang w:val="en-US"/>
              </w:rPr>
              <w:t>Reported the torture to the Regional Police of Jakarta;</w:t>
            </w:r>
          </w:p>
          <w:p w:rsidR="00B211AD" w:rsidRPr="007633A1" w:rsidRDefault="00B211AD" w:rsidP="00B211AD">
            <w:pPr>
              <w:pStyle w:val="Grillemoyenne21"/>
              <w:rPr>
                <w:rFonts w:ascii="Arial" w:hAnsi="Arial" w:cs="Arial"/>
                <w:sz w:val="20"/>
                <w:szCs w:val="20"/>
                <w:lang w:val="en-US"/>
              </w:rPr>
            </w:pPr>
          </w:p>
        </w:tc>
        <w:tc>
          <w:tcPr>
            <w:tcW w:w="257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No follow up from the police. Until today, the progress is still unclear.</w:t>
            </w:r>
          </w:p>
          <w:p w:rsidR="00B211AD" w:rsidRPr="007633A1" w:rsidRDefault="00B211AD" w:rsidP="00B211AD">
            <w:pPr>
              <w:pStyle w:val="Grillemoyenne21"/>
              <w:rPr>
                <w:rFonts w:ascii="Arial" w:hAnsi="Arial" w:cs="Arial"/>
                <w:sz w:val="20"/>
                <w:szCs w:val="20"/>
                <w:lang w:val="en-US"/>
              </w:rPr>
            </w:pPr>
          </w:p>
          <w:p w:rsidR="00B211AD" w:rsidRPr="007633A1" w:rsidRDefault="00B211AD" w:rsidP="00B211AD">
            <w:pPr>
              <w:pStyle w:val="Grillemoyenne21"/>
              <w:rPr>
                <w:rFonts w:ascii="Arial" w:hAnsi="Arial" w:cs="Arial"/>
                <w:sz w:val="20"/>
                <w:szCs w:val="20"/>
                <w:lang w:val="en-US"/>
              </w:rPr>
            </w:pPr>
          </w:p>
        </w:tc>
      </w:tr>
      <w:tr w:rsidR="000C09AC" w:rsidRPr="007633A1">
        <w:trPr>
          <w:trHeight w:val="131"/>
        </w:trPr>
        <w:tc>
          <w:tcPr>
            <w:tcW w:w="687"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2.</w:t>
            </w:r>
          </w:p>
        </w:tc>
        <w:tc>
          <w:tcPr>
            <w:tcW w:w="342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Mul experienced torture committed by Ade Rosa, Eva Agustina, and Jack, investigators at the uni II sat III, Jatlantas, Ditreskirum of the Regional Police of Jakarta.</w:t>
            </w:r>
          </w:p>
        </w:tc>
        <w:tc>
          <w:tcPr>
            <w:tcW w:w="2128"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Reported the incident to the Regional Police with regard to the crime;</w:t>
            </w:r>
          </w:p>
          <w:p w:rsidR="00B211AD" w:rsidRPr="007633A1" w:rsidRDefault="00B211AD" w:rsidP="00B211AD">
            <w:pPr>
              <w:pStyle w:val="Grillemoyenne21"/>
              <w:rPr>
                <w:rFonts w:ascii="Arial" w:hAnsi="Arial" w:cs="Arial"/>
                <w:sz w:val="20"/>
                <w:szCs w:val="20"/>
                <w:lang w:val="en-US"/>
              </w:rPr>
            </w:pP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Reported the incident to the Propam with regard to the violation of code of conduct</w:t>
            </w:r>
          </w:p>
          <w:p w:rsidR="00B211AD" w:rsidRPr="007633A1" w:rsidRDefault="00B211AD" w:rsidP="00B211AD">
            <w:pPr>
              <w:pStyle w:val="Grillemoyenne21"/>
              <w:rPr>
                <w:rFonts w:ascii="Arial" w:hAnsi="Arial" w:cs="Arial"/>
                <w:sz w:val="20"/>
                <w:szCs w:val="20"/>
                <w:lang w:val="en-US"/>
              </w:rPr>
            </w:pP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Wrote an SP2HP letter with regard to the crime;</w:t>
            </w:r>
          </w:p>
          <w:p w:rsidR="00B211AD" w:rsidRPr="007633A1" w:rsidRDefault="00B211AD" w:rsidP="00B211AD">
            <w:pPr>
              <w:pStyle w:val="Grillemoyenne21"/>
              <w:rPr>
                <w:rFonts w:ascii="Arial" w:hAnsi="Arial" w:cs="Arial"/>
                <w:sz w:val="20"/>
                <w:szCs w:val="20"/>
                <w:lang w:val="en-US"/>
              </w:rPr>
            </w:pP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There has not been any follow up regarding the case from the investigators.</w:t>
            </w:r>
          </w:p>
        </w:tc>
        <w:tc>
          <w:tcPr>
            <w:tcW w:w="257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No follow up from the police. Until today, the progress is still unclear.</w:t>
            </w:r>
          </w:p>
          <w:p w:rsidR="00B211AD" w:rsidRPr="007633A1" w:rsidRDefault="00B211AD" w:rsidP="00B211AD">
            <w:pPr>
              <w:pStyle w:val="Grillemoyenne21"/>
              <w:rPr>
                <w:rFonts w:ascii="Arial" w:hAnsi="Arial" w:cs="Arial"/>
                <w:sz w:val="20"/>
                <w:szCs w:val="20"/>
                <w:lang w:val="en-US"/>
              </w:rPr>
            </w:pPr>
          </w:p>
          <w:p w:rsidR="00B211AD" w:rsidRPr="007633A1" w:rsidRDefault="00B211AD" w:rsidP="00B211AD">
            <w:pPr>
              <w:pStyle w:val="Grillemoyenne21"/>
              <w:rPr>
                <w:rFonts w:ascii="Arial" w:hAnsi="Arial" w:cs="Arial"/>
                <w:sz w:val="20"/>
                <w:szCs w:val="20"/>
                <w:lang w:val="en-US"/>
              </w:rPr>
            </w:pPr>
          </w:p>
          <w:p w:rsidR="00B211AD" w:rsidRPr="007633A1" w:rsidRDefault="00B211AD" w:rsidP="00B211AD">
            <w:pPr>
              <w:pStyle w:val="Grillemoyenne21"/>
              <w:rPr>
                <w:rFonts w:ascii="Arial" w:hAnsi="Arial" w:cs="Arial"/>
                <w:sz w:val="20"/>
                <w:szCs w:val="20"/>
                <w:lang w:val="en-US"/>
              </w:rPr>
            </w:pPr>
          </w:p>
        </w:tc>
      </w:tr>
      <w:tr w:rsidR="000C09AC" w:rsidRPr="007633A1">
        <w:trPr>
          <w:trHeight w:val="131"/>
        </w:trPr>
        <w:tc>
          <w:tcPr>
            <w:tcW w:w="687"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3</w:t>
            </w:r>
          </w:p>
          <w:p w:rsidR="00B211AD" w:rsidRPr="007633A1" w:rsidRDefault="00B211AD" w:rsidP="00B211AD">
            <w:pPr>
              <w:pStyle w:val="Grillemoyenne21"/>
              <w:rPr>
                <w:rFonts w:ascii="Arial" w:hAnsi="Arial" w:cs="Arial"/>
                <w:sz w:val="20"/>
                <w:szCs w:val="20"/>
                <w:lang w:val="en-US"/>
              </w:rPr>
            </w:pPr>
          </w:p>
        </w:tc>
        <w:tc>
          <w:tcPr>
            <w:tcW w:w="342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On 20 May, 2010, a resident was shot by a member of Mobile Brigade. The member of Mobile Brigade was then beaten up by some unknown people. DW was then accused of taking part in the beating. DW was tortured during interrogation process at the Regional Police of Jakarta. The perpetrators are members of the Mobile Brigade of Central Jakarta and Regional Police of Jakarta;</w:t>
            </w:r>
          </w:p>
        </w:tc>
        <w:tc>
          <w:tcPr>
            <w:tcW w:w="2128"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Submited a request to the Director of General Criminal Unit for a copy of the Police Investigation Report to DW;</w:t>
            </w:r>
          </w:p>
          <w:p w:rsidR="00B211AD" w:rsidRPr="007633A1" w:rsidRDefault="00B211AD" w:rsidP="00B211AD">
            <w:pPr>
              <w:pStyle w:val="Grillemoyenne21"/>
              <w:rPr>
                <w:rFonts w:ascii="Arial" w:hAnsi="Arial" w:cs="Arial"/>
                <w:sz w:val="20"/>
                <w:szCs w:val="20"/>
                <w:lang w:val="en-US"/>
              </w:rPr>
            </w:pP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Sent a protest letter on the violation of code of conduct and torture;</w:t>
            </w:r>
          </w:p>
          <w:p w:rsidR="00B211AD" w:rsidRPr="007633A1" w:rsidRDefault="00B211AD" w:rsidP="00B211AD">
            <w:pPr>
              <w:pStyle w:val="Grillemoyenne21"/>
              <w:rPr>
                <w:rFonts w:ascii="Arial" w:hAnsi="Arial" w:cs="Arial"/>
                <w:sz w:val="20"/>
                <w:szCs w:val="20"/>
                <w:lang w:val="en-US"/>
              </w:rPr>
            </w:pP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Made a report to the Propam of the Regional Police</w:t>
            </w:r>
          </w:p>
        </w:tc>
        <w:tc>
          <w:tcPr>
            <w:tcW w:w="257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No punishment against the perpetrators of torture.</w:t>
            </w:r>
          </w:p>
        </w:tc>
      </w:tr>
      <w:tr w:rsidR="000C09AC" w:rsidRPr="007633A1">
        <w:trPr>
          <w:trHeight w:val="131"/>
        </w:trPr>
        <w:tc>
          <w:tcPr>
            <w:tcW w:w="687"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4</w:t>
            </w:r>
          </w:p>
        </w:tc>
        <w:tc>
          <w:tcPr>
            <w:tcW w:w="342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xml:space="preserve">HF was arrested and tortured and accused for vandalism against Bellar Minus school due to religious hate. HF deny the accusation and claimed that he was not at the </w:t>
            </w:r>
            <w:r w:rsidRPr="007633A1">
              <w:rPr>
                <w:rFonts w:ascii="Arial" w:hAnsi="Arial" w:cs="Arial"/>
                <w:sz w:val="20"/>
                <w:szCs w:val="20"/>
                <w:lang w:val="en-US"/>
              </w:rPr>
              <w:lastRenderedPageBreak/>
              <w:t>scene when the vandalism took place. The perpetrators who committed the torture were members of Bekasi Police Precinct.</w:t>
            </w:r>
          </w:p>
        </w:tc>
        <w:tc>
          <w:tcPr>
            <w:tcW w:w="2128"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lastRenderedPageBreak/>
              <w:t>-Conducted a protest against the torture and made a request for a new interrogation.</w:t>
            </w:r>
          </w:p>
        </w:tc>
        <w:tc>
          <w:tcPr>
            <w:tcW w:w="257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No punishment against the perpetrators of torture.</w:t>
            </w:r>
          </w:p>
        </w:tc>
      </w:tr>
      <w:tr w:rsidR="000C09AC" w:rsidRPr="007633A1">
        <w:trPr>
          <w:trHeight w:val="131"/>
        </w:trPr>
        <w:tc>
          <w:tcPr>
            <w:tcW w:w="687"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lastRenderedPageBreak/>
              <w:t>5</w:t>
            </w:r>
          </w:p>
        </w:tc>
        <w:tc>
          <w:tcPr>
            <w:tcW w:w="342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ES was a driver working at the Embassy of Ukraine. He had been assaulted by Anatoli, an official at the Embassy of Ukraine. ES was then reported to the police and accused of committing assaults due to self defense and was finally arrested at the Regional Police of Jakarta.</w:t>
            </w:r>
          </w:p>
        </w:tc>
        <w:tc>
          <w:tcPr>
            <w:tcW w:w="2128"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Sent a letter of protest to the Embassy of Ukraine.</w:t>
            </w:r>
          </w:p>
          <w:p w:rsidR="00B211AD" w:rsidRPr="007633A1" w:rsidRDefault="00B211AD" w:rsidP="00B211AD">
            <w:pPr>
              <w:pStyle w:val="Grillemoyenne21"/>
              <w:rPr>
                <w:rFonts w:ascii="Arial" w:hAnsi="Arial" w:cs="Arial"/>
                <w:sz w:val="20"/>
                <w:szCs w:val="20"/>
                <w:lang w:val="en-US"/>
              </w:rPr>
            </w:pPr>
          </w:p>
        </w:tc>
        <w:tc>
          <w:tcPr>
            <w:tcW w:w="257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Punishment against the victim of torture.</w:t>
            </w:r>
          </w:p>
        </w:tc>
      </w:tr>
      <w:tr w:rsidR="000C09AC" w:rsidRPr="007633A1">
        <w:trPr>
          <w:trHeight w:val="131"/>
        </w:trPr>
        <w:tc>
          <w:tcPr>
            <w:tcW w:w="687"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6</w:t>
            </w:r>
          </w:p>
        </w:tc>
        <w:tc>
          <w:tcPr>
            <w:tcW w:w="3425" w:type="dxa"/>
          </w:tcPr>
          <w:p w:rsidR="00B211AD" w:rsidRPr="007633A1" w:rsidRDefault="00B211AD" w:rsidP="00B211AD">
            <w:pPr>
              <w:pStyle w:val="Grillemoyenne21"/>
              <w:rPr>
                <w:rFonts w:ascii="Arial" w:hAnsi="Arial" w:cs="Arial"/>
                <w:sz w:val="20"/>
                <w:szCs w:val="20"/>
                <w:lang w:val="en-US"/>
              </w:rPr>
            </w:pP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Jm was accused of stealing and reported. The police then arrested him, Damar, and Debry. During the arrest, the police shot Nus and Damar for 3 times for no reason. There were two bullets inside JM’s foot that left some marks. The police also committed torture against JS when he was detained at the South Jakarta Police Precinct. JS left a wife and a child who no longer have a breadwinner. The perpetrators are members of the South Jakarta Police Precinct.</w:t>
            </w:r>
          </w:p>
          <w:p w:rsidR="00B211AD" w:rsidRPr="007633A1" w:rsidRDefault="00B211AD" w:rsidP="00B211AD">
            <w:pPr>
              <w:pStyle w:val="Grillemoyenne21"/>
              <w:rPr>
                <w:rFonts w:ascii="Arial" w:hAnsi="Arial" w:cs="Arial"/>
                <w:sz w:val="20"/>
                <w:szCs w:val="20"/>
                <w:lang w:val="en-US"/>
              </w:rPr>
            </w:pPr>
          </w:p>
        </w:tc>
        <w:tc>
          <w:tcPr>
            <w:tcW w:w="2128"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Conducted a protest against the arbitrary shootings and torture, as well as sending a request to take out the remaining projectiles to the Chief of the Regional of Police of Jakarta.</w:t>
            </w:r>
          </w:p>
        </w:tc>
        <w:tc>
          <w:tcPr>
            <w:tcW w:w="257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No significant progress.</w:t>
            </w:r>
          </w:p>
        </w:tc>
      </w:tr>
      <w:tr w:rsidR="000C09AC" w:rsidRPr="007633A1">
        <w:trPr>
          <w:trHeight w:val="3728"/>
        </w:trPr>
        <w:tc>
          <w:tcPr>
            <w:tcW w:w="687"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7</w:t>
            </w:r>
          </w:p>
        </w:tc>
        <w:tc>
          <w:tcPr>
            <w:tcW w:w="342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xml:space="preserve">SR (14 years) was accused of stealing and tortured to confess the accusation. He was finally forced to admit the crime the he did not commit, he was detained together with adult detainees. After being detained for 5 days, the real thief was arrested.  </w:t>
            </w:r>
          </w:p>
        </w:tc>
        <w:tc>
          <w:tcPr>
            <w:tcW w:w="2128"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Reported and coordinated with the National Commission for Child Protection, KPAI, and the KOMPOLNAS;</w:t>
            </w: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Reported the incident to the Propam of the Regional Police of Jakarta;</w:t>
            </w: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Conducted a press conference;</w:t>
            </w: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Reported the incident to the Commission III of the House of Representatives, the Chief of the National Police sent a team from ITWASUM of the Police headquarter;</w:t>
            </w:r>
          </w:p>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Pre trial.</w:t>
            </w:r>
          </w:p>
        </w:tc>
        <w:tc>
          <w:tcPr>
            <w:tcW w:w="2575" w:type="dxa"/>
          </w:tcPr>
          <w:p w:rsidR="00B211AD" w:rsidRPr="007633A1" w:rsidRDefault="00B211AD" w:rsidP="00B211AD">
            <w:pPr>
              <w:pStyle w:val="Grillemoyenne21"/>
              <w:rPr>
                <w:rFonts w:ascii="Arial" w:hAnsi="Arial" w:cs="Arial"/>
                <w:sz w:val="20"/>
                <w:szCs w:val="20"/>
                <w:lang w:val="en-US"/>
              </w:rPr>
            </w:pPr>
            <w:r w:rsidRPr="007633A1">
              <w:rPr>
                <w:rFonts w:ascii="Arial" w:hAnsi="Arial" w:cs="Arial"/>
                <w:sz w:val="20"/>
                <w:szCs w:val="20"/>
                <w:lang w:val="en-US"/>
              </w:rPr>
              <w:t>- Accompanied the victim of torture and the court released SR, but no reparation has been made to him by the law enforcement personnel.</w:t>
            </w:r>
          </w:p>
        </w:tc>
      </w:tr>
    </w:tbl>
    <w:p w:rsidR="00B211AD" w:rsidRPr="007633A1" w:rsidRDefault="00B211AD" w:rsidP="00B211AD">
      <w:pPr>
        <w:pStyle w:val="Listecouleur-Accent11"/>
        <w:ind w:left="502"/>
        <w:jc w:val="both"/>
        <w:rPr>
          <w:rFonts w:ascii="Arial" w:hAnsi="Arial" w:cs="Arial"/>
          <w:sz w:val="20"/>
          <w:szCs w:val="20"/>
          <w:lang w:val="en-US"/>
        </w:rPr>
      </w:pPr>
    </w:p>
    <w:p w:rsidR="00B211AD" w:rsidRPr="007633A1" w:rsidRDefault="00B211AD" w:rsidP="00B211AD">
      <w:pPr>
        <w:ind w:left="360"/>
        <w:jc w:val="both"/>
        <w:rPr>
          <w:rFonts w:ascii="Arial" w:hAnsi="Arial" w:cs="Arial"/>
          <w:lang w:val="en-US"/>
        </w:rPr>
      </w:pPr>
    </w:p>
    <w:p w:rsidR="00B211AD" w:rsidRPr="007633A1" w:rsidRDefault="00B211AD" w:rsidP="00B211AD">
      <w:pPr>
        <w:ind w:left="360"/>
        <w:jc w:val="both"/>
        <w:rPr>
          <w:rFonts w:ascii="Arial" w:hAnsi="Arial" w:cs="Arial"/>
          <w:lang w:val="en-US"/>
        </w:rPr>
      </w:pPr>
    </w:p>
    <w:p w:rsidR="003828CE" w:rsidRPr="007633A1" w:rsidRDefault="003828CE" w:rsidP="00B211AD">
      <w:pPr>
        <w:ind w:left="360"/>
        <w:jc w:val="both"/>
        <w:rPr>
          <w:rFonts w:ascii="Arial" w:hAnsi="Arial" w:cs="Arial"/>
          <w:lang w:val="en-US"/>
        </w:rPr>
      </w:pPr>
    </w:p>
    <w:p w:rsidR="003828CE" w:rsidRPr="007633A1" w:rsidRDefault="003828CE" w:rsidP="00B211AD">
      <w:pPr>
        <w:ind w:left="360"/>
        <w:jc w:val="both"/>
        <w:rPr>
          <w:rFonts w:ascii="Arial" w:hAnsi="Arial" w:cs="Arial"/>
          <w:lang w:val="en-US"/>
        </w:rPr>
      </w:pPr>
    </w:p>
    <w:p w:rsidR="00B211AD" w:rsidRPr="007633A1" w:rsidRDefault="00B211AD" w:rsidP="00B211AD">
      <w:pPr>
        <w:ind w:left="360"/>
        <w:jc w:val="both"/>
        <w:rPr>
          <w:rFonts w:ascii="Arial" w:hAnsi="Arial" w:cs="Arial"/>
          <w:lang w:val="en-US"/>
        </w:rPr>
      </w:pPr>
    </w:p>
    <w:p w:rsidR="00B211AD" w:rsidRPr="007633A1" w:rsidRDefault="00B211AD" w:rsidP="00B211AD">
      <w:pPr>
        <w:ind w:left="360"/>
        <w:jc w:val="both"/>
        <w:rPr>
          <w:rFonts w:ascii="Arial" w:hAnsi="Arial" w:cs="Arial"/>
          <w:lang w:val="en-US"/>
        </w:rPr>
      </w:pPr>
    </w:p>
    <w:p w:rsidR="00B211AD" w:rsidRPr="007633A1" w:rsidRDefault="00B211AD" w:rsidP="00B211AD">
      <w:pPr>
        <w:ind w:left="360"/>
        <w:jc w:val="both"/>
        <w:rPr>
          <w:rFonts w:ascii="Arial" w:hAnsi="Arial" w:cs="Arial"/>
          <w:lang w:val="en-US"/>
        </w:rPr>
      </w:pPr>
    </w:p>
    <w:p w:rsidR="00B211AD" w:rsidRPr="007633A1" w:rsidRDefault="00B211AD" w:rsidP="00084D27">
      <w:pPr>
        <w:ind w:left="360"/>
        <w:jc w:val="both"/>
        <w:outlineLvl w:val="0"/>
        <w:rPr>
          <w:rFonts w:ascii="Arial" w:hAnsi="Arial" w:cs="Arial"/>
          <w:b/>
          <w:lang w:val="en-US"/>
        </w:rPr>
      </w:pPr>
      <w:r w:rsidRPr="007633A1">
        <w:rPr>
          <w:rFonts w:ascii="Arial" w:hAnsi="Arial" w:cs="Arial"/>
          <w:b/>
          <w:lang w:val="en-US"/>
        </w:rPr>
        <w:t>CASES of 2011</w:t>
      </w:r>
    </w:p>
    <w:tbl>
      <w:tblPr>
        <w:tblW w:w="94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3"/>
        <w:gridCol w:w="2693"/>
        <w:gridCol w:w="1843"/>
      </w:tblGrid>
      <w:tr w:rsidR="000C09AC" w:rsidRPr="007633A1">
        <w:tc>
          <w:tcPr>
            <w:tcW w:w="708" w:type="dxa"/>
          </w:tcPr>
          <w:p w:rsidR="00B211AD" w:rsidRPr="007633A1" w:rsidRDefault="00B211AD" w:rsidP="000C09AC">
            <w:pPr>
              <w:ind w:left="33"/>
              <w:jc w:val="center"/>
              <w:rPr>
                <w:rFonts w:ascii="Arial" w:hAnsi="Arial" w:cs="Arial"/>
                <w:b/>
                <w:lang w:val="en-US"/>
              </w:rPr>
            </w:pPr>
            <w:r w:rsidRPr="007633A1">
              <w:rPr>
                <w:rFonts w:ascii="Arial" w:hAnsi="Arial" w:cs="Arial"/>
                <w:b/>
                <w:lang w:val="en-US"/>
              </w:rPr>
              <w:t>NO</w:t>
            </w:r>
          </w:p>
        </w:tc>
        <w:tc>
          <w:tcPr>
            <w:tcW w:w="4253" w:type="dxa"/>
          </w:tcPr>
          <w:p w:rsidR="00B211AD" w:rsidRPr="007633A1" w:rsidRDefault="00B211AD" w:rsidP="00B211AD">
            <w:pPr>
              <w:ind w:left="360"/>
              <w:jc w:val="center"/>
              <w:rPr>
                <w:rFonts w:ascii="Arial" w:hAnsi="Arial" w:cs="Arial"/>
                <w:b/>
                <w:lang w:val="en-US"/>
              </w:rPr>
            </w:pPr>
            <w:r w:rsidRPr="007633A1">
              <w:rPr>
                <w:rFonts w:ascii="Arial" w:hAnsi="Arial" w:cs="Arial"/>
                <w:b/>
                <w:lang w:val="en-US"/>
              </w:rPr>
              <w:t xml:space="preserve">Description  </w:t>
            </w:r>
          </w:p>
        </w:tc>
        <w:tc>
          <w:tcPr>
            <w:tcW w:w="2693" w:type="dxa"/>
          </w:tcPr>
          <w:p w:rsidR="00B211AD" w:rsidRPr="007633A1" w:rsidRDefault="00B211AD" w:rsidP="00B211AD">
            <w:pPr>
              <w:ind w:left="360"/>
              <w:jc w:val="center"/>
              <w:rPr>
                <w:rFonts w:ascii="Arial" w:hAnsi="Arial" w:cs="Arial"/>
                <w:b/>
                <w:lang w:val="en-US"/>
              </w:rPr>
            </w:pPr>
            <w:r w:rsidRPr="007633A1">
              <w:rPr>
                <w:rFonts w:ascii="Arial" w:hAnsi="Arial" w:cs="Arial"/>
                <w:b/>
                <w:lang w:val="en-US"/>
              </w:rPr>
              <w:t>Action Taken</w:t>
            </w:r>
          </w:p>
        </w:tc>
        <w:tc>
          <w:tcPr>
            <w:tcW w:w="1843" w:type="dxa"/>
          </w:tcPr>
          <w:p w:rsidR="00B211AD" w:rsidRPr="007633A1" w:rsidRDefault="000C09AC" w:rsidP="00B211AD">
            <w:pPr>
              <w:ind w:left="360"/>
              <w:jc w:val="center"/>
              <w:rPr>
                <w:rFonts w:ascii="Arial" w:hAnsi="Arial" w:cs="Arial"/>
                <w:b/>
                <w:lang w:val="en-US"/>
              </w:rPr>
            </w:pPr>
            <w:r w:rsidRPr="007633A1">
              <w:rPr>
                <w:rFonts w:ascii="Arial" w:hAnsi="Arial" w:cs="Arial"/>
                <w:b/>
                <w:lang w:val="en-US"/>
              </w:rPr>
              <w:t>P</w:t>
            </w:r>
            <w:r w:rsidR="00B211AD" w:rsidRPr="007633A1">
              <w:rPr>
                <w:rFonts w:ascii="Arial" w:hAnsi="Arial" w:cs="Arial"/>
                <w:b/>
                <w:lang w:val="en-US"/>
              </w:rPr>
              <w:t>rogress</w:t>
            </w:r>
          </w:p>
        </w:tc>
      </w:tr>
      <w:tr w:rsidR="000C09AC" w:rsidRPr="007633A1">
        <w:tc>
          <w:tcPr>
            <w:tcW w:w="708" w:type="dxa"/>
          </w:tcPr>
          <w:p w:rsidR="00B211AD" w:rsidRPr="007633A1" w:rsidRDefault="00B211AD" w:rsidP="00B211AD">
            <w:pPr>
              <w:ind w:left="360"/>
              <w:jc w:val="both"/>
              <w:rPr>
                <w:rFonts w:ascii="Arial" w:hAnsi="Arial" w:cs="Arial"/>
                <w:lang w:val="en-US"/>
              </w:rPr>
            </w:pPr>
            <w:r w:rsidRPr="007633A1">
              <w:rPr>
                <w:rFonts w:ascii="Arial" w:hAnsi="Arial" w:cs="Arial"/>
                <w:lang w:val="en-US"/>
              </w:rPr>
              <w:t>1</w:t>
            </w:r>
          </w:p>
        </w:tc>
        <w:tc>
          <w:tcPr>
            <w:tcW w:w="4253" w:type="dxa"/>
          </w:tcPr>
          <w:p w:rsidR="00B211AD" w:rsidRPr="007633A1" w:rsidRDefault="00B211AD"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NurRamadhan was found unconscious with wounds all over his body at Bajing aisle. He was brought to a hospital for a treatment. When he was conscious, he told about the violence he had experienced and mentioned the name of the perpetrator. The perpetrator was then reported to the sub-district police station of Kemayoran for a follow up.</w:t>
            </w:r>
          </w:p>
        </w:tc>
        <w:tc>
          <w:tcPr>
            <w:tcW w:w="2693" w:type="dxa"/>
          </w:tcPr>
          <w:p w:rsidR="000C09AC"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Reported the incident to the sub-district police station of kemayoran, Central</w:t>
            </w:r>
          </w:p>
          <w:p w:rsidR="00B211AD"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Jakarta.</w:t>
            </w:r>
          </w:p>
        </w:tc>
        <w:tc>
          <w:tcPr>
            <w:tcW w:w="1843" w:type="dxa"/>
          </w:tcPr>
          <w:p w:rsidR="00B211AD"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No progress regarding the report.</w:t>
            </w:r>
          </w:p>
          <w:p w:rsidR="00B211AD"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The perpetrator was not punished.</w:t>
            </w:r>
          </w:p>
        </w:tc>
      </w:tr>
      <w:tr w:rsidR="000C09AC" w:rsidRPr="007633A1">
        <w:tc>
          <w:tcPr>
            <w:tcW w:w="708" w:type="dxa"/>
          </w:tcPr>
          <w:p w:rsidR="00B211AD" w:rsidRPr="007633A1" w:rsidRDefault="00B211AD" w:rsidP="00B211AD">
            <w:pPr>
              <w:ind w:left="360"/>
              <w:jc w:val="both"/>
              <w:rPr>
                <w:rFonts w:ascii="Arial" w:hAnsi="Arial" w:cs="Arial"/>
                <w:lang w:val="en-US"/>
              </w:rPr>
            </w:pPr>
            <w:r w:rsidRPr="007633A1">
              <w:rPr>
                <w:rFonts w:ascii="Arial" w:hAnsi="Arial" w:cs="Arial"/>
                <w:lang w:val="en-US"/>
              </w:rPr>
              <w:t>2</w:t>
            </w:r>
          </w:p>
        </w:tc>
        <w:tc>
          <w:tcPr>
            <w:tcW w:w="4253" w:type="dxa"/>
          </w:tcPr>
          <w:p w:rsidR="00B211AD" w:rsidRPr="007633A1" w:rsidRDefault="00B211AD"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On 26 December, 2011, around 3 o’clock in the morning, a group of unknown people carrying guns came to her house and took her husband, Yusli (23 years old), into a blue minivan, she found out later that her husband was taken by law enforcement personnel from the sub-district police station of Cisauk (Tangerang).</w:t>
            </w:r>
          </w:p>
          <w:p w:rsidR="00B211AD" w:rsidRPr="007633A1" w:rsidRDefault="00B211AD"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 xml:space="preserve">On the day after, SitiMaryamah and Yendi (the victim’s sister) sought for her husband to the nearest sub-district police stations, including the sub-district police station of Cisauk and was told that there had not been an arrest of the victim. However, on that day at around 5 pm, SitiMaryanah received a phone call from the Head of Rumpin sub-district that her husband was dead and his body was in at the Police Hospital of KramatJati. The Head of Rumpin sub-district told her that he received the information from a caller with an unknown number. When they came to the hospital, the family witnessed Yusli’s body full of the following wounds: wounds on his bleeding head. 3 Scratches of 10 cm each on his right chest; a wound that looked like a gunshot wound on his left chest right at his heart; bruises on his forehead; his lower face was full of scratches like wounds caused by asphalt. </w:t>
            </w:r>
          </w:p>
        </w:tc>
        <w:tc>
          <w:tcPr>
            <w:tcW w:w="2693" w:type="dxa"/>
          </w:tcPr>
          <w:p w:rsidR="00B211AD"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Reported the torture and murder to the Tanggerang Police Precinct.</w:t>
            </w:r>
          </w:p>
          <w:p w:rsidR="00B211AD"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Reported a violation of code of conduct to the police Propam.</w:t>
            </w:r>
          </w:p>
          <w:p w:rsidR="00B211AD"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Established a correspondent with the police.</w:t>
            </w:r>
          </w:p>
          <w:p w:rsidR="00B211AD"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Lodged a complaint to the Commision III of the House of Representatives.</w:t>
            </w:r>
          </w:p>
          <w:p w:rsidR="00B211AD"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Asked international organizations to conduct a monitoring.</w:t>
            </w:r>
          </w:p>
        </w:tc>
        <w:tc>
          <w:tcPr>
            <w:tcW w:w="1843" w:type="dxa"/>
          </w:tcPr>
          <w:p w:rsidR="00B211AD" w:rsidRPr="007633A1" w:rsidRDefault="00B211AD"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3 perpetrators of torture from the sub-district police were sentenced to prison, however there was no reparation made for the family of the victim</w:t>
            </w:r>
          </w:p>
        </w:tc>
      </w:tr>
    </w:tbl>
    <w:p w:rsidR="00B211AD" w:rsidRPr="007633A1" w:rsidRDefault="00B211AD" w:rsidP="00B211AD">
      <w:pPr>
        <w:ind w:left="360"/>
        <w:jc w:val="both"/>
        <w:rPr>
          <w:rFonts w:ascii="Arial" w:hAnsi="Arial" w:cs="Arial"/>
          <w:lang w:val="en-US"/>
        </w:rPr>
      </w:pPr>
    </w:p>
    <w:p w:rsidR="00B211AD" w:rsidRPr="007633A1" w:rsidRDefault="00B211AD" w:rsidP="00B211AD">
      <w:pPr>
        <w:ind w:left="360"/>
        <w:jc w:val="both"/>
        <w:rPr>
          <w:rFonts w:ascii="Arial" w:hAnsi="Arial" w:cs="Arial"/>
          <w:lang w:val="en-US"/>
        </w:rPr>
      </w:pPr>
    </w:p>
    <w:p w:rsidR="00B211AD" w:rsidRPr="007633A1" w:rsidRDefault="00B211AD" w:rsidP="00B211AD">
      <w:pPr>
        <w:ind w:left="360"/>
        <w:jc w:val="both"/>
        <w:rPr>
          <w:rFonts w:ascii="Arial" w:hAnsi="Arial" w:cs="Arial"/>
          <w:lang w:val="en-US"/>
        </w:rPr>
      </w:pPr>
    </w:p>
    <w:p w:rsidR="00B211AD" w:rsidRPr="007633A1" w:rsidRDefault="00B211AD" w:rsidP="000C09AC">
      <w:pPr>
        <w:spacing w:after="0" w:line="240" w:lineRule="auto"/>
        <w:ind w:left="360"/>
        <w:jc w:val="both"/>
        <w:rPr>
          <w:rFonts w:ascii="Arial" w:hAnsi="Arial" w:cs="Arial"/>
          <w:b/>
          <w:sz w:val="20"/>
          <w:szCs w:val="20"/>
          <w:lang w:val="en-US"/>
        </w:rPr>
      </w:pPr>
      <w:r w:rsidRPr="007633A1">
        <w:rPr>
          <w:rFonts w:ascii="Arial" w:hAnsi="Arial" w:cs="Arial"/>
          <w:b/>
          <w:sz w:val="20"/>
          <w:szCs w:val="20"/>
          <w:lang w:val="en-US"/>
        </w:rPr>
        <w:lastRenderedPageBreak/>
        <w:t>2012</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2693"/>
        <w:gridCol w:w="2268"/>
      </w:tblGrid>
      <w:tr w:rsidR="00B211AD" w:rsidRPr="007633A1">
        <w:tc>
          <w:tcPr>
            <w:tcW w:w="993" w:type="dxa"/>
          </w:tcPr>
          <w:p w:rsidR="00B211AD" w:rsidRPr="007633A1" w:rsidRDefault="00B211AD" w:rsidP="000C09AC">
            <w:pPr>
              <w:pStyle w:val="Grillemoyenne21"/>
              <w:rPr>
                <w:rFonts w:ascii="Arial" w:hAnsi="Arial" w:cs="Arial"/>
                <w:b/>
                <w:sz w:val="20"/>
                <w:szCs w:val="20"/>
                <w:lang w:val="en-US"/>
              </w:rPr>
            </w:pPr>
            <w:r w:rsidRPr="007633A1">
              <w:rPr>
                <w:rFonts w:ascii="Arial" w:hAnsi="Arial" w:cs="Arial"/>
                <w:b/>
                <w:sz w:val="20"/>
                <w:szCs w:val="20"/>
                <w:lang w:val="en-US"/>
              </w:rPr>
              <w:t>NO</w:t>
            </w:r>
          </w:p>
        </w:tc>
        <w:tc>
          <w:tcPr>
            <w:tcW w:w="3969" w:type="dxa"/>
          </w:tcPr>
          <w:p w:rsidR="00B211AD" w:rsidRPr="007633A1" w:rsidRDefault="00B211AD" w:rsidP="000C09AC">
            <w:pPr>
              <w:pStyle w:val="Grillemoyenne21"/>
              <w:rPr>
                <w:rFonts w:ascii="Arial" w:hAnsi="Arial" w:cs="Arial"/>
                <w:b/>
                <w:sz w:val="20"/>
                <w:szCs w:val="20"/>
                <w:lang w:val="en-US"/>
              </w:rPr>
            </w:pPr>
            <w:r w:rsidRPr="007633A1">
              <w:rPr>
                <w:rFonts w:ascii="Arial" w:hAnsi="Arial" w:cs="Arial"/>
                <w:b/>
                <w:sz w:val="20"/>
                <w:szCs w:val="20"/>
                <w:lang w:val="en-US"/>
              </w:rPr>
              <w:t>Description</w:t>
            </w:r>
          </w:p>
        </w:tc>
        <w:tc>
          <w:tcPr>
            <w:tcW w:w="2693" w:type="dxa"/>
          </w:tcPr>
          <w:p w:rsidR="00B211AD" w:rsidRPr="007633A1" w:rsidRDefault="00B211AD" w:rsidP="000C09AC">
            <w:pPr>
              <w:pStyle w:val="Grillemoyenne21"/>
              <w:rPr>
                <w:rFonts w:ascii="Arial" w:hAnsi="Arial" w:cs="Arial"/>
                <w:b/>
                <w:sz w:val="20"/>
                <w:szCs w:val="20"/>
                <w:lang w:val="en-US"/>
              </w:rPr>
            </w:pPr>
            <w:r w:rsidRPr="007633A1">
              <w:rPr>
                <w:rFonts w:ascii="Arial" w:hAnsi="Arial" w:cs="Arial"/>
                <w:b/>
                <w:sz w:val="20"/>
                <w:szCs w:val="20"/>
                <w:lang w:val="en-US"/>
              </w:rPr>
              <w:t>Action Taken</w:t>
            </w:r>
          </w:p>
        </w:tc>
        <w:tc>
          <w:tcPr>
            <w:tcW w:w="2268" w:type="dxa"/>
          </w:tcPr>
          <w:p w:rsidR="00B211AD" w:rsidRPr="007633A1" w:rsidRDefault="00B211AD" w:rsidP="000C09AC">
            <w:pPr>
              <w:pStyle w:val="Grillemoyenne21"/>
              <w:rPr>
                <w:rFonts w:ascii="Arial" w:hAnsi="Arial" w:cs="Arial"/>
                <w:b/>
                <w:sz w:val="20"/>
                <w:szCs w:val="20"/>
                <w:lang w:val="en-US"/>
              </w:rPr>
            </w:pPr>
            <w:r w:rsidRPr="007633A1">
              <w:rPr>
                <w:rFonts w:ascii="Arial" w:hAnsi="Arial" w:cs="Arial"/>
                <w:b/>
                <w:sz w:val="20"/>
                <w:szCs w:val="20"/>
                <w:lang w:val="en-US"/>
              </w:rPr>
              <w:t>Progress</w:t>
            </w:r>
          </w:p>
        </w:tc>
      </w:tr>
      <w:tr w:rsidR="00B211AD" w:rsidRPr="007633A1">
        <w:tc>
          <w:tcPr>
            <w:tcW w:w="993" w:type="dxa"/>
          </w:tcPr>
          <w:p w:rsidR="00B211AD" w:rsidRPr="007633A1" w:rsidRDefault="00C91646"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1</w:t>
            </w:r>
          </w:p>
        </w:tc>
        <w:tc>
          <w:tcPr>
            <w:tcW w:w="3969" w:type="dxa"/>
          </w:tcPr>
          <w:p w:rsidR="00B211AD" w:rsidRPr="007633A1" w:rsidRDefault="00C91646" w:rsidP="000C09AC">
            <w:pPr>
              <w:spacing w:after="0" w:line="240" w:lineRule="auto"/>
              <w:ind w:left="360"/>
              <w:jc w:val="both"/>
              <w:rPr>
                <w:rFonts w:ascii="Arial" w:hAnsi="Arial" w:cs="Arial"/>
                <w:sz w:val="20"/>
                <w:szCs w:val="20"/>
                <w:lang w:val="en-US"/>
              </w:rPr>
            </w:pPr>
            <w:r w:rsidRPr="007633A1">
              <w:rPr>
                <w:rFonts w:ascii="Arial" w:hAnsi="Arial" w:cs="Arial"/>
                <w:iCs/>
                <w:sz w:val="20"/>
                <w:szCs w:val="20"/>
                <w:lang w:val="en-US"/>
              </w:rPr>
              <w:t>HasanBasri, a motorcycle taxi driver, was arrested by the Central Jakarta Police Precinct and was accused of stealing. During the arrest, he was tortured, his head and his body were beaten up, his eyes were blindfolded, he was intimidated during interrogation and did not receive legal assistance during the interrogation as a suspect as provided for in Article 56 of the Criminal Procedure Code.</w:t>
            </w:r>
          </w:p>
        </w:tc>
        <w:tc>
          <w:tcPr>
            <w:tcW w:w="2693" w:type="dxa"/>
          </w:tcPr>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Reported the incident to Propam of the National Police Headquarter</w:t>
            </w:r>
          </w:p>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Reported the incident to the National Commission on Human Rights.</w:t>
            </w:r>
          </w:p>
          <w:p w:rsidR="00B211AD" w:rsidRPr="007633A1" w:rsidRDefault="00C91646"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Reported the incident to the Kompolnas.</w:t>
            </w:r>
          </w:p>
          <w:p w:rsidR="00B211AD" w:rsidRPr="007633A1" w:rsidRDefault="00B211AD" w:rsidP="000C09AC">
            <w:pPr>
              <w:keepNext/>
              <w:keepLines/>
              <w:spacing w:before="200" w:after="0" w:line="240" w:lineRule="auto"/>
              <w:ind w:left="360"/>
              <w:jc w:val="both"/>
              <w:outlineLvl w:val="2"/>
              <w:rPr>
                <w:rFonts w:ascii="Arial" w:hAnsi="Arial" w:cs="Arial"/>
                <w:sz w:val="20"/>
                <w:szCs w:val="20"/>
                <w:lang w:val="en-US"/>
              </w:rPr>
            </w:pPr>
          </w:p>
        </w:tc>
        <w:tc>
          <w:tcPr>
            <w:tcW w:w="2268" w:type="dxa"/>
          </w:tcPr>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HasanBasri was released by the Cout due to false arrest.</w:t>
            </w:r>
          </w:p>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The Propam did not follow up the complaint.</w:t>
            </w:r>
          </w:p>
          <w:p w:rsidR="00B211AD" w:rsidRPr="007633A1" w:rsidRDefault="00C91646"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The Kompolnas did not follow up the complaint.</w:t>
            </w:r>
          </w:p>
          <w:p w:rsidR="00B211AD" w:rsidRPr="007633A1" w:rsidRDefault="00C91646"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Until now, the National Police and the office of prosecutors did not make any reparation for the victim of torture.</w:t>
            </w:r>
          </w:p>
        </w:tc>
      </w:tr>
      <w:tr w:rsidR="00B211AD" w:rsidRPr="007633A1">
        <w:tc>
          <w:tcPr>
            <w:tcW w:w="993" w:type="dxa"/>
          </w:tcPr>
          <w:p w:rsidR="00B211AD" w:rsidRPr="007633A1" w:rsidRDefault="00C91646"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2</w:t>
            </w:r>
          </w:p>
        </w:tc>
        <w:tc>
          <w:tcPr>
            <w:tcW w:w="3969" w:type="dxa"/>
          </w:tcPr>
          <w:p w:rsidR="00B211AD" w:rsidRPr="007633A1" w:rsidRDefault="00E81CB9"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Nur Farida illegitimately married to Sugianto, a police officer at the Kemayoran sub-district police station on 10 May 2010 at HutanPanjang. A problem emerged between Nur Farida and her husband, Sugianto, and Sugianto committed violence against his wife. Nur Farida was pushed, kicked, beaten up, and her head was banged on a wood/pole, this was done in the street.</w:t>
            </w:r>
          </w:p>
        </w:tc>
        <w:tc>
          <w:tcPr>
            <w:tcW w:w="2693" w:type="dxa"/>
          </w:tcPr>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Reported the incident to the Propam</w:t>
            </w:r>
          </w:p>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 xml:space="preserve"> Reported the offense that violated Article 351 of the Criminal Code.</w:t>
            </w:r>
          </w:p>
          <w:p w:rsidR="00B211AD" w:rsidRPr="007633A1" w:rsidRDefault="00B211AD" w:rsidP="000C09AC">
            <w:pPr>
              <w:keepNext/>
              <w:keepLines/>
              <w:spacing w:before="200" w:after="0" w:line="240" w:lineRule="auto"/>
              <w:ind w:left="360"/>
              <w:jc w:val="both"/>
              <w:outlineLvl w:val="2"/>
              <w:rPr>
                <w:rFonts w:ascii="Arial" w:hAnsi="Arial" w:cs="Arial"/>
                <w:sz w:val="20"/>
                <w:szCs w:val="20"/>
                <w:lang w:val="en-US"/>
              </w:rPr>
            </w:pPr>
          </w:p>
        </w:tc>
        <w:tc>
          <w:tcPr>
            <w:tcW w:w="2268" w:type="dxa"/>
          </w:tcPr>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The Propam has decided that it was a disciplinary violation and delayed his promotion for 1 year and placed him in a special place for 21 (twenty one) days;</w:t>
            </w:r>
          </w:p>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There was no significant progress on the criminal report from the Central Jakarta Precinct.</w:t>
            </w:r>
          </w:p>
        </w:tc>
      </w:tr>
      <w:tr w:rsidR="00B211AD" w:rsidRPr="007633A1">
        <w:tc>
          <w:tcPr>
            <w:tcW w:w="993" w:type="dxa"/>
          </w:tcPr>
          <w:p w:rsidR="00B211AD" w:rsidRPr="007633A1" w:rsidRDefault="00C91646"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3</w:t>
            </w:r>
          </w:p>
        </w:tc>
        <w:tc>
          <w:tcPr>
            <w:tcW w:w="3969" w:type="dxa"/>
          </w:tcPr>
          <w:p w:rsidR="00B211AD" w:rsidRPr="007633A1" w:rsidRDefault="00C91646"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EndihKusnadi was arrested on 12 May 2011 by members of the Regional Police of Jakarta on the accusation of possessing drugs. The police was not accompanied by any warrant both for the arrest and the search. EndihKusnadi was then taken by a car to the Headquarter of the Regional Police of Jakarta. He was tortured there, he was beaten up and insulted, as a result, his body was bruised and his arm was broken.</w:t>
            </w:r>
          </w:p>
        </w:tc>
        <w:tc>
          <w:tcPr>
            <w:tcW w:w="2693" w:type="dxa"/>
          </w:tcPr>
          <w:p w:rsidR="00B211AD" w:rsidRPr="007633A1" w:rsidRDefault="00C91646"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Lodged a complaint to the Propam of the Regional Police of Jakarta No. SPSP2/525/II/2012/Renmin on 20 February 2011;</w:t>
            </w:r>
          </w:p>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Establishe a correspondent with the Head of Profession and Security Division at the National Police Headquarter on the follow up of the complaint.</w:t>
            </w:r>
          </w:p>
        </w:tc>
        <w:tc>
          <w:tcPr>
            <w:tcW w:w="2268" w:type="dxa"/>
          </w:tcPr>
          <w:p w:rsidR="00B211AD" w:rsidRPr="007633A1" w:rsidRDefault="00C91646"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There has not been any significant development and follow up regarding the complaint lodged to the Propam.</w:t>
            </w:r>
          </w:p>
        </w:tc>
      </w:tr>
      <w:tr w:rsidR="00B211AD" w:rsidRPr="007633A1">
        <w:tc>
          <w:tcPr>
            <w:tcW w:w="993" w:type="dxa"/>
          </w:tcPr>
          <w:p w:rsidR="00B211AD" w:rsidRPr="007633A1" w:rsidRDefault="00E81CB9"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4</w:t>
            </w:r>
          </w:p>
        </w:tc>
        <w:tc>
          <w:tcPr>
            <w:tcW w:w="3969" w:type="dxa"/>
          </w:tcPr>
          <w:p w:rsidR="00B211AD" w:rsidRPr="007633A1" w:rsidRDefault="00E81CB9" w:rsidP="000C09AC">
            <w:pPr>
              <w:spacing w:after="0" w:line="240" w:lineRule="auto"/>
              <w:ind w:left="360"/>
              <w:jc w:val="both"/>
              <w:rPr>
                <w:rFonts w:ascii="Arial" w:hAnsi="Arial" w:cs="Arial"/>
                <w:sz w:val="20"/>
                <w:szCs w:val="20"/>
                <w:lang w:val="en-US"/>
              </w:rPr>
            </w:pPr>
            <w:r w:rsidRPr="007633A1">
              <w:rPr>
                <w:rFonts w:ascii="Arial" w:hAnsi="Arial" w:cs="Arial"/>
                <w:sz w:val="20"/>
                <w:szCs w:val="20"/>
                <w:lang w:val="en-US"/>
              </w:rPr>
              <w:t>An act of Police brutality took place in Cianjur, West Java on 25 and 27 September 2012. The police forcedly dismissed a protest about the movie “Innocence of Muslims” at the Loktian Roundabout, Cinajur, West Java. In the incident, the police committed torture, and severely injured 4 students, while dozens experienced trauma, some student’s vehicles were destroyed.</w:t>
            </w:r>
          </w:p>
        </w:tc>
        <w:tc>
          <w:tcPr>
            <w:tcW w:w="2693" w:type="dxa"/>
          </w:tcPr>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Reported the incident to the Propam of the West Java Regional Police.</w:t>
            </w:r>
          </w:p>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Reported the incident to the Kompolnas.</w:t>
            </w:r>
          </w:p>
        </w:tc>
        <w:tc>
          <w:tcPr>
            <w:tcW w:w="2268" w:type="dxa"/>
          </w:tcPr>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The West Java Propam Division, through a letter had punished the members of police who committed torture without involving the victims.</w:t>
            </w:r>
          </w:p>
          <w:p w:rsidR="00B211AD" w:rsidRPr="007633A1" w:rsidRDefault="00E81CB9" w:rsidP="000C09AC">
            <w:pPr>
              <w:spacing w:after="0" w:line="240" w:lineRule="auto"/>
              <w:jc w:val="both"/>
              <w:rPr>
                <w:rFonts w:ascii="Arial" w:hAnsi="Arial" w:cs="Arial"/>
                <w:sz w:val="20"/>
                <w:szCs w:val="20"/>
                <w:lang w:val="en-US"/>
              </w:rPr>
            </w:pPr>
            <w:r w:rsidRPr="007633A1">
              <w:rPr>
                <w:rFonts w:ascii="Arial" w:hAnsi="Arial" w:cs="Arial"/>
                <w:sz w:val="20"/>
                <w:szCs w:val="20"/>
                <w:lang w:val="en-US"/>
              </w:rPr>
              <w:t>The Kompolnas did not perform its duty.</w:t>
            </w:r>
          </w:p>
        </w:tc>
      </w:tr>
    </w:tbl>
    <w:p w:rsidR="00B211AD" w:rsidRPr="007633A1" w:rsidRDefault="00B211AD" w:rsidP="000C09AC">
      <w:pPr>
        <w:spacing w:after="0" w:line="240" w:lineRule="auto"/>
        <w:ind w:left="360"/>
        <w:jc w:val="both"/>
        <w:rPr>
          <w:rFonts w:ascii="Arial" w:hAnsi="Arial" w:cs="Arial"/>
          <w:sz w:val="20"/>
          <w:szCs w:val="20"/>
          <w:lang w:val="en-US"/>
        </w:rPr>
      </w:pPr>
    </w:p>
    <w:p w:rsidR="00B211AD" w:rsidRPr="007633A1" w:rsidRDefault="00B211AD" w:rsidP="00B211AD">
      <w:pPr>
        <w:ind w:left="360"/>
        <w:jc w:val="both"/>
        <w:rPr>
          <w:rFonts w:ascii="Arial" w:hAnsi="Arial" w:cs="Arial"/>
          <w:lang w:val="en-US"/>
        </w:rPr>
      </w:pPr>
      <w:r w:rsidRPr="007633A1">
        <w:rPr>
          <w:rFonts w:ascii="Arial" w:hAnsi="Arial" w:cs="Arial"/>
          <w:lang w:val="en-US"/>
        </w:rPr>
        <w:br w:type="page"/>
      </w:r>
    </w:p>
    <w:p w:rsidR="00B211AD" w:rsidRPr="007633A1" w:rsidRDefault="00B211AD" w:rsidP="00B211AD">
      <w:pPr>
        <w:ind w:left="360"/>
        <w:jc w:val="both"/>
        <w:rPr>
          <w:rFonts w:ascii="Arial" w:hAnsi="Arial" w:cs="Arial"/>
          <w:lang w:val="en-US"/>
        </w:rPr>
      </w:pPr>
      <w:r w:rsidRPr="007633A1">
        <w:rPr>
          <w:rFonts w:ascii="Arial" w:hAnsi="Arial" w:cs="Arial"/>
          <w:lang w:val="en-US"/>
        </w:rPr>
        <w:lastRenderedPageBreak/>
        <w:t>Annex 2</w:t>
      </w:r>
      <w:r w:rsidR="000C09AC" w:rsidRPr="007633A1">
        <w:rPr>
          <w:rFonts w:ascii="Arial" w:hAnsi="Arial" w:cs="Arial"/>
          <w:lang w:val="en-US"/>
        </w:rPr>
        <w:t>:</w:t>
      </w:r>
    </w:p>
    <w:p w:rsidR="00B211AD" w:rsidRPr="007633A1" w:rsidRDefault="00B211AD" w:rsidP="00084D27">
      <w:pPr>
        <w:ind w:left="360"/>
        <w:jc w:val="both"/>
        <w:outlineLvl w:val="0"/>
        <w:rPr>
          <w:rFonts w:ascii="Arial" w:hAnsi="Arial" w:cs="Arial"/>
          <w:b/>
          <w:lang w:val="en-US"/>
        </w:rPr>
      </w:pPr>
      <w:r w:rsidRPr="007633A1">
        <w:rPr>
          <w:rFonts w:ascii="Arial" w:hAnsi="Arial" w:cs="Arial"/>
          <w:b/>
          <w:lang w:val="en-US"/>
        </w:rPr>
        <w:t xml:space="preserve"> COURT TRIAL MONITORING of TORTURE CASE</w:t>
      </w:r>
      <w:r w:rsidRPr="007633A1">
        <w:rPr>
          <w:rStyle w:val="FootnoteReference"/>
          <w:rFonts w:ascii="Arial" w:hAnsi="Arial" w:cs="Arial"/>
          <w:b/>
          <w:lang w:val="en-US"/>
        </w:rPr>
        <w:footnoteReference w:id="32"/>
      </w:r>
    </w:p>
    <w:p w:rsidR="00B211AD" w:rsidRPr="007633A1" w:rsidRDefault="008D77A3" w:rsidP="00B211AD">
      <w:pPr>
        <w:jc w:val="both"/>
        <w:rPr>
          <w:rFonts w:ascii="Arial" w:hAnsi="Arial" w:cs="Arial"/>
          <w:lang w:val="en-US"/>
        </w:rPr>
      </w:pPr>
      <w:r>
        <w:rPr>
          <w:rFonts w:ascii="Arial" w:hAnsi="Arial" w:cs="Arial"/>
          <w:noProof/>
          <w:lang w:val="fr-FR"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35.8pt;margin-top:27.8pt;width:519.9pt;height:476.6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fmgisCAABRBAAADgAAAGRycy9lMm9Eb2MueG1srFTbbtswDH0fsH8Q9L7YcZM0NeIUXboMA7oL&#10;0O4DZFmOhUmiJimxs68fJadZ0G0vw/wgSCJ1SJ5DenU7aEUOwnkJpqLTSU6JMBwaaXYV/fq0fbOk&#10;xAdmGqbAiIoehae369evVr0tRQEdqEY4giDGl72taBeCLbPM805o5idghUFjC06zgEe3yxrHekTX&#10;KivyfJH14BrrgAvv8fZ+NNJ1wm9bwcPntvUiEFVRzC2k1aW1jmu2XrFy55jtJD+lwf4hC82kwaBn&#10;qHsWGNk7+RuUltyBhzZMOOgM2lZykWrAaqb5i2oeO2ZFqgXJ8fZMk/9/sPzT4YsjsqnoFSWGaZTo&#10;SQyBvIWBFJGd3voSnR4tuoUBr1HlVKm3D8C/eWJg0zGzE3fOQd8J1mB20/gyu3g64vgIUvcfocEw&#10;bB8gAQ2t05E6JIMgOqp0PCsTU+F4uVjkxfUVmjjaFvm8WBZJu4yVz8+t8+G9AE3ipqIOpU/w7PDg&#10;Q0yHlc8uMZoHJZutVCod3K7eKEcODNtkm75UwQs3ZUhf0Zt5MR8Z+CtEnr4/QWgZsN+V1BVdnp1Y&#10;GXl7Z5rUjYFJNe4xZWVOREbuRhbDUA8nYWpojkipg7GvcQ5x04H7QUmPPV1R/33PnKBEfTAoy810&#10;NotDkA6z+TVySNylpb60MMMRqqKBknG7CePg7K2Tuw4jjY1g4A6lbGUiOWo+ZnXKG/s2cX+asTgY&#10;l+fk9etPsP4JAAD//wMAUEsDBBQABgAIAAAAIQCJiKHk4QAAAAsBAAAPAAAAZHJzL2Rvd25yZXYu&#10;eG1sTI/LTsMwEEX3SPyDNUhsUOu00NQNcSqEBKI7aCvYuvE0ifAj2G4a/p5hBavRaI7unFuuR2vY&#10;gCF23kmYTTNg6GqvO9dI2O+eJgJYTMppZbxDCd8YYV1dXpSq0P7s3nDYpoZRiIuFktCm1Becx7pF&#10;q+LU9+jodvTBqkRraLgO6kzh1vB5luXcqs7Rh1b1+Nhi/bk9WQni7mX4iJvb1/c6P5pVulkOz19B&#10;yuur8eEeWMIx/cHwq0/qUJHTwZ+cjsxImCxnOaESFguaBKxyMQd2IDLLhABelfx/h+oHAAD//wMA&#10;UEsBAi0AFAAGAAgAAAAhAOSZw8D7AAAA4QEAABMAAAAAAAAAAAAAAAAAAAAAAFtDb250ZW50X1R5&#10;cGVzXS54bWxQSwECLQAUAAYACAAAACEAI7Jq4dcAAACUAQAACwAAAAAAAAAAAAAAAAAsAQAAX3Jl&#10;bHMvLnJlbHNQSwECLQAUAAYACAAAACEASofmgisCAABRBAAADgAAAAAAAAAAAAAAAAAsAgAAZHJz&#10;L2Uyb0RvYy54bWxQSwECLQAUAAYACAAAACEAiYih5OEAAAALAQAADwAAAAAAAAAAAAAAAACDBAAA&#10;ZHJzL2Rvd25yZXYueG1sUEsFBgAAAAAEAAQA8wAAAJEFAAAAAA==&#10;">
            <v:textbox>
              <w:txbxContent>
                <w:p w:rsidR="008D77A3" w:rsidRPr="00DB0224" w:rsidRDefault="008D77A3" w:rsidP="00B211AD">
                  <w:pPr>
                    <w:numPr>
                      <w:ilvl w:val="0"/>
                      <w:numId w:val="6"/>
                    </w:numPr>
                    <w:jc w:val="both"/>
                    <w:rPr>
                      <w:rFonts w:ascii="Times New Roman" w:hAnsi="Times New Roman"/>
                      <w:b/>
                      <w:sz w:val="24"/>
                      <w:szCs w:val="24"/>
                      <w:lang w:val="en-US"/>
                    </w:rPr>
                  </w:pPr>
                  <w:r w:rsidRPr="00DB0224">
                    <w:rPr>
                      <w:rFonts w:ascii="Times New Roman" w:hAnsi="Times New Roman"/>
                      <w:b/>
                      <w:sz w:val="24"/>
                      <w:szCs w:val="24"/>
                      <w:lang w:val="en-US"/>
                    </w:rPr>
                    <w:t>The Case of Erik Alamsyah</w:t>
                  </w:r>
                </w:p>
                <w:p w:rsidR="008D77A3" w:rsidRPr="00DB0224" w:rsidRDefault="008D77A3" w:rsidP="00B211AD">
                  <w:pPr>
                    <w:ind w:left="720"/>
                    <w:jc w:val="both"/>
                    <w:rPr>
                      <w:rFonts w:ascii="Times New Roman" w:hAnsi="Times New Roman"/>
                      <w:sz w:val="24"/>
                      <w:szCs w:val="24"/>
                      <w:lang w:val="en-US"/>
                    </w:rPr>
                  </w:pPr>
                  <w:r w:rsidRPr="00DB0224">
                    <w:rPr>
                      <w:rFonts w:ascii="Arial" w:hAnsi="Arial" w:cs="Calibri"/>
                      <w:lang w:val="en-US"/>
                    </w:rPr>
                    <w:t>Erik Alamsyah was a detainee (for theft) at the Bukittinggi District Police who died in detention on 30 March, 2012. As a result of Erik’s death, 6 officers from Bukittinggi sub-district Police station were made suspects. In its report on Erick’s case, Komnas HAM mentions that Erick was dead from torture committed at the Bukittinggi sub-district Police station.</w:t>
                  </w:r>
                </w:p>
                <w:p w:rsidR="008D77A3" w:rsidRDefault="008D77A3" w:rsidP="00B211AD">
                  <w:pPr>
                    <w:ind w:left="720"/>
                    <w:jc w:val="both"/>
                    <w:rPr>
                      <w:rFonts w:ascii="Times New Roman" w:hAnsi="Times New Roman"/>
                      <w:sz w:val="24"/>
                      <w:szCs w:val="24"/>
                      <w:lang w:val="en-US"/>
                    </w:rPr>
                  </w:pPr>
                  <w:r w:rsidRPr="00B211AD">
                    <w:rPr>
                      <w:rFonts w:ascii="Arial" w:eastAsia="Cambria" w:hAnsi="Arial" w:cs="Calibri"/>
                      <w:lang w:val="en-US"/>
                    </w:rPr>
                    <w:t xml:space="preserve">The legal proceeding against the perpetrators involved in Erik’s death was relatively speedy. Erik's death was on 30 March 2012, and on 3 April 2012, West Sumatra Provincial Police established 6 members of the </w:t>
                  </w:r>
                  <w:r w:rsidRPr="00DB0224">
                    <w:rPr>
                      <w:rFonts w:ascii="Arial" w:hAnsi="Arial" w:cs="Calibri"/>
                      <w:lang w:val="en-US"/>
                    </w:rPr>
                    <w:t xml:space="preserve">Bukittinggi sub-district Police station </w:t>
                  </w:r>
                  <w:r w:rsidRPr="00B211AD">
                    <w:rPr>
                      <w:rFonts w:ascii="Arial" w:eastAsia="Cambria" w:hAnsi="Arial" w:cs="Calibri"/>
                      <w:lang w:val="en-US"/>
                    </w:rPr>
                    <w:t xml:space="preserve">as suspects and detained them. Four of the perpetrators were sentenced to 10 months imprisonment, while two others were sentenced to 1 year imprisonment. </w:t>
                  </w:r>
                </w:p>
                <w:p w:rsidR="008D77A3" w:rsidRPr="00855049" w:rsidRDefault="008D77A3" w:rsidP="00B211AD">
                  <w:pPr>
                    <w:ind w:left="720"/>
                    <w:jc w:val="both"/>
                    <w:rPr>
                      <w:rFonts w:ascii="Times New Roman" w:hAnsi="Times New Roman"/>
                      <w:sz w:val="24"/>
                      <w:szCs w:val="24"/>
                      <w:lang w:val="en-US"/>
                    </w:rPr>
                  </w:pPr>
                  <w:r w:rsidRPr="00DB0224">
                    <w:rPr>
                      <w:rFonts w:ascii="Times New Roman" w:hAnsi="Times New Roman"/>
                      <w:noProof/>
                      <w:sz w:val="24"/>
                      <w:lang w:val="en-US"/>
                    </w:rPr>
                    <w:t xml:space="preserve">The legal proceeding has failed to imprison the perpetrators due to the </w:t>
                  </w:r>
                  <w:r>
                    <w:rPr>
                      <w:rFonts w:ascii="Times New Roman" w:hAnsi="Times New Roman"/>
                      <w:noProof/>
                      <w:sz w:val="24"/>
                      <w:lang w:val="en-US"/>
                    </w:rPr>
                    <w:t>light sentence and also failed to send a message to other members of the police that torture committed in detention facility will be punished in a proportional manner. In their ruling, the panel of judges argued that the torture was committed by the defendants to perform their task to reveal the stealing [committed by Erik and his fellows] and therefore considered it as a mitigating factor for the defendants.</w:t>
                  </w:r>
                </w:p>
                <w:p w:rsidR="008D77A3" w:rsidRPr="00DB0224" w:rsidRDefault="008D77A3" w:rsidP="00B211AD">
                  <w:pPr>
                    <w:spacing w:after="0"/>
                    <w:ind w:left="709"/>
                    <w:jc w:val="both"/>
                    <w:rPr>
                      <w:rFonts w:ascii="Times New Roman" w:hAnsi="Times New Roman"/>
                      <w:bCs/>
                      <w:sz w:val="24"/>
                      <w:lang w:val="en-US"/>
                    </w:rPr>
                  </w:pPr>
                  <w:r>
                    <w:rPr>
                      <w:rFonts w:ascii="Times New Roman" w:hAnsi="Times New Roman"/>
                      <w:bCs/>
                      <w:sz w:val="24"/>
                      <w:lang w:val="en-US"/>
                    </w:rPr>
                    <w:t xml:space="preserve">In the their ruling, the Panel of Judges overturned the request for restitution or remedy made by the victim against the Defendants because the letter was not accompanied by any proof of loss suffered by the victim or his family authorized by a public official in charge of it as profided for in the Article 22 paragraph (2) of the Government Regulation of the Republic of Indonesia No. 44 of 2008 on compensation, restitution, and assistance for witnesses and victims. </w:t>
                  </w:r>
                </w:p>
                <w:p w:rsidR="008D77A3" w:rsidRPr="00DB0224" w:rsidRDefault="008D77A3" w:rsidP="00B211AD">
                  <w:pPr>
                    <w:spacing w:after="0"/>
                    <w:ind w:left="709"/>
                    <w:jc w:val="both"/>
                    <w:rPr>
                      <w:rFonts w:ascii="Times New Roman" w:hAnsi="Times New Roman"/>
                      <w:bCs/>
                      <w:sz w:val="24"/>
                      <w:lang w:val="en-US"/>
                    </w:rPr>
                  </w:pPr>
                </w:p>
                <w:p w:rsidR="008D77A3" w:rsidRPr="00DB0224" w:rsidRDefault="008D77A3" w:rsidP="00B211AD">
                  <w:pPr>
                    <w:ind w:left="720"/>
                    <w:jc w:val="both"/>
                    <w:rPr>
                      <w:rFonts w:ascii="Times New Roman" w:hAnsi="Times New Roman"/>
                      <w:sz w:val="28"/>
                      <w:szCs w:val="24"/>
                      <w:lang w:val="en-US"/>
                    </w:rPr>
                  </w:pPr>
                </w:p>
                <w:p w:rsidR="008D77A3" w:rsidRPr="00DB0224" w:rsidRDefault="008D77A3" w:rsidP="00B211AD">
                  <w:pPr>
                    <w:ind w:left="720"/>
                    <w:jc w:val="both"/>
                    <w:rPr>
                      <w:rFonts w:ascii="Times New Roman" w:hAnsi="Times New Roman"/>
                      <w:sz w:val="24"/>
                      <w:szCs w:val="24"/>
                      <w:lang w:val="en-US"/>
                    </w:rPr>
                  </w:pPr>
                </w:p>
              </w:txbxContent>
            </v:textbox>
            <w10:wrap type="square"/>
          </v:shape>
        </w:pict>
      </w:r>
    </w:p>
    <w:p w:rsidR="00B211AD" w:rsidRPr="007633A1" w:rsidRDefault="008D77A3" w:rsidP="003B3951">
      <w:pPr>
        <w:jc w:val="both"/>
        <w:rPr>
          <w:rFonts w:ascii="Arial" w:hAnsi="Arial" w:cs="Arial"/>
          <w:lang w:val="en-US"/>
        </w:rPr>
      </w:pPr>
      <w:r>
        <w:rPr>
          <w:rFonts w:ascii="Arial" w:hAnsi="Arial" w:cs="Arial"/>
          <w:noProof/>
          <w:lang w:val="fr-FR" w:eastAsia="fr-FR"/>
        </w:rPr>
        <w:lastRenderedPageBreak/>
        <w:pict>
          <v:shape id="Text Box 3" o:spid="_x0000_s1027" type="#_x0000_t202" style="position:absolute;left:0;text-align:left;margin-left:-53.95pt;margin-top:-35.95pt;width:477pt;height:411.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tZRiwCAABYBAAADgAAAGRycy9lMm9Eb2MueG1srFTbbtswDH0fsH8Q9L7Y8eI2MeIUXboMA7oL&#10;0O4DZFm2hcmiJimxs68fJadpdnsZ5geBFKlD8pD0+mbsFTkI6yToks5nKSVCc6ilbkv65XH3akmJ&#10;80zXTIEWJT0KR282L1+sB1OIDDpQtbAEQbQrBlPSzntTJInjneiZm4ERGo0N2J55VG2b1JYNiN6r&#10;JEvTq2QAWxsLXDiHt3eTkW4iftMI7j81jROeqJJibj6eNp5VOJPNmhWtZaaT/JQG+4cseiY1Bj1D&#10;3THPyN7K36B6yS04aPyMQ59A00guYg1YzTz9pZqHjhkRa0FynDnT5P4fLP94+GyJrEuaUaJZjy16&#10;FKMnb2AkrwM7g3EFOj0YdPMjXmOXY6XO3AP/6oiGbcd0K26thaETrMbs5uFlcvF0wnEBpBo+QI1h&#10;2N5DBBob2wfqkAyC6Nil47kzIRWOl1dpfr1K0cTRlmdZtrzOYwxWPD031vl3AnoShJJabH2EZ4d7&#10;50M6rHhyCdEcKFnvpFJRsW21VZYcGI7JLn4n9J/clCZDSVd5lk8M/BUijd+fIHrpcd6V7Eu6PDux&#10;IvD2VtdxGj2TapIxZaVPRAbuJhb9WI2xY5HlQHIF9RGZtTCNN64jCh3Y75QMONoldd/2zApK1HuN&#10;3VnNF4uwC1FZ5NcZKvbSUl1amOYIVVJPySRu/bQ/e2Nl22GkaR403GJHGxm5fs7qlD6Ob2zBadXC&#10;flzq0ev5h7D5AQAA//8DAFBLAwQUAAYACAAAACEABOkaN+EAAAAMAQAADwAAAGRycy9kb3ducmV2&#10;LnhtbEyPwU7DMAyG70i8Q2QkLmhLCqPtStMJIYHgBgPBNWuytiJxSpJ15e0xJ7j9lj/9/lxvZmfZ&#10;ZEIcPErIlgKYwdbrATsJb6/3ixJYTAq1sh6NhG8TYdOcntSq0v6IL2bapo5RCcZKSehTGivOY9sb&#10;p+LSjwZpt/fBqURj6LgO6kjlzvJLIXLu1IB0oVejuetN+7k9OAnl6nH6iE9Xz+9tvrfrdFFMD19B&#10;yvOz+fYGWDJz+oPhV5/UoSGnnT+gjsxKWGSiWBNLqcgoEFKu8gzYTkJxLXLgTc3/P9H8AAAA//8D&#10;AFBLAQItABQABgAIAAAAIQDkmcPA+wAAAOEBAAATAAAAAAAAAAAAAAAAAAAAAABbQ29udGVudF9U&#10;eXBlc10ueG1sUEsBAi0AFAAGAAgAAAAhACOyauHXAAAAlAEAAAsAAAAAAAAAAAAAAAAALAEAAF9y&#10;ZWxzLy5yZWxzUEsBAi0AFAAGAAgAAAAhALLbWUYsAgAAWAQAAA4AAAAAAAAAAAAAAAAALAIAAGRy&#10;cy9lMm9Eb2MueG1sUEsBAi0AFAAGAAgAAAAhAATpGjfhAAAADAEAAA8AAAAAAAAAAAAAAAAAhAQA&#10;AGRycy9kb3ducmV2LnhtbFBLBQYAAAAABAAEAPMAAACSBQAAAAA=&#10;">
            <v:textbox>
              <w:txbxContent>
                <w:p w:rsidR="008D77A3" w:rsidRDefault="008D77A3" w:rsidP="00B211AD">
                  <w:pPr>
                    <w:numPr>
                      <w:ilvl w:val="0"/>
                      <w:numId w:val="6"/>
                    </w:numPr>
                    <w:jc w:val="both"/>
                    <w:rPr>
                      <w:rFonts w:ascii="Times New Roman" w:hAnsi="Times New Roman"/>
                      <w:b/>
                      <w:sz w:val="24"/>
                      <w:szCs w:val="24"/>
                      <w:lang w:val="en-US"/>
                    </w:rPr>
                  </w:pPr>
                  <w:r>
                    <w:rPr>
                      <w:rFonts w:ascii="Times New Roman" w:hAnsi="Times New Roman"/>
                      <w:b/>
                      <w:sz w:val="24"/>
                      <w:szCs w:val="24"/>
                      <w:lang w:val="en-US"/>
                    </w:rPr>
                    <w:t>The  Sijunjung Case</w:t>
                  </w:r>
                </w:p>
                <w:p w:rsidR="008D77A3" w:rsidRDefault="008D77A3" w:rsidP="00B211AD">
                  <w:pPr>
                    <w:ind w:left="720"/>
                    <w:jc w:val="both"/>
                    <w:rPr>
                      <w:rFonts w:ascii="Times New Roman" w:hAnsi="Times New Roman"/>
                      <w:sz w:val="24"/>
                      <w:szCs w:val="24"/>
                      <w:lang w:val="en-US"/>
                    </w:rPr>
                  </w:pPr>
                  <w:r>
                    <w:rPr>
                      <w:rFonts w:ascii="Times New Roman" w:hAnsi="Times New Roman"/>
                      <w:sz w:val="24"/>
                      <w:szCs w:val="24"/>
                      <w:lang w:val="en-US"/>
                    </w:rPr>
                    <w:t>Faisal (14 years old) and Budri (18 years) were siblings; they had been detained by the Sijunjung sub-district police station in West Sumatera on the accusation of stealing. They were dead on 28 December 2011. The police saw an act of negligence on the part of the Sijunjung sub-district police station causing Faisal and Budri to commit suicide in their cell.</w:t>
                  </w:r>
                </w:p>
                <w:p w:rsidR="008D77A3" w:rsidRDefault="008D77A3" w:rsidP="00B211AD">
                  <w:pPr>
                    <w:ind w:left="720"/>
                    <w:jc w:val="both"/>
                    <w:rPr>
                      <w:rFonts w:ascii="Times New Roman" w:hAnsi="Times New Roman"/>
                      <w:sz w:val="24"/>
                      <w:szCs w:val="24"/>
                      <w:lang w:val="en-US"/>
                    </w:rPr>
                  </w:pPr>
                  <w:r>
                    <w:rPr>
                      <w:rFonts w:ascii="Times New Roman" w:hAnsi="Times New Roman"/>
                      <w:sz w:val="24"/>
                      <w:szCs w:val="24"/>
                      <w:lang w:val="en-US"/>
                    </w:rPr>
                    <w:t>As a result of the incident, 9 members of the police were investigated by the Propam of the West Sumatera Regional Police on 5 January 2012, and 4 among them were established as suspects to be brought to trial at the Muaro District Court in Sijunjung Regency. The trial proceeding itself was started on 13 November, 2012. The lengthy time of the proceeding was due to a different perception between the prosecutors and the police regarding the indictment.</w:t>
                  </w:r>
                </w:p>
                <w:p w:rsidR="008D77A3" w:rsidRDefault="008D77A3" w:rsidP="00B211AD">
                  <w:pPr>
                    <w:ind w:left="720"/>
                    <w:jc w:val="both"/>
                    <w:rPr>
                      <w:rFonts w:ascii="Times New Roman" w:hAnsi="Times New Roman"/>
                      <w:sz w:val="24"/>
                      <w:szCs w:val="24"/>
                      <w:lang w:val="en-US"/>
                    </w:rPr>
                  </w:pPr>
                  <w:r>
                    <w:rPr>
                      <w:rFonts w:ascii="Times New Roman" w:hAnsi="Times New Roman"/>
                      <w:sz w:val="24"/>
                      <w:szCs w:val="24"/>
                      <w:lang w:val="en-US"/>
                    </w:rPr>
                    <w:t>The indictment referred to the article regarding to assault (article 351 of the Criminal Code) and used article 80 paragraph 3 of the Law No. 23 of 2002 on Child Protection.</w:t>
                  </w:r>
                </w:p>
                <w:p w:rsidR="008D77A3" w:rsidRDefault="008D77A3" w:rsidP="00B211AD">
                  <w:pPr>
                    <w:widowControl w:val="0"/>
                    <w:autoSpaceDE w:val="0"/>
                    <w:autoSpaceDN w:val="0"/>
                    <w:adjustRightInd w:val="0"/>
                    <w:ind w:left="720"/>
                    <w:jc w:val="both"/>
                    <w:rPr>
                      <w:rFonts w:ascii="Times New Roman" w:hAnsi="Times New Roman"/>
                      <w:sz w:val="24"/>
                      <w:szCs w:val="24"/>
                      <w:lang w:val="en-US"/>
                    </w:rPr>
                  </w:pPr>
                  <w:r>
                    <w:rPr>
                      <w:rFonts w:ascii="Times New Roman" w:hAnsi="Times New Roman"/>
                      <w:sz w:val="24"/>
                      <w:szCs w:val="24"/>
                      <w:lang w:val="en-US"/>
                    </w:rPr>
                    <w:t>There were some irregularities in the trial process, for instance, the conclusion made by the prosecutors was related to the weaknesses in the trial process, particularly regarding the indictment and the evidence verification process. There were many facts remained unexplored because the trial only focused on the violence and not the death of the two victims.</w:t>
                  </w:r>
                </w:p>
                <w:p w:rsidR="008D77A3" w:rsidRPr="00A836B3" w:rsidRDefault="008D77A3" w:rsidP="00B211AD">
                  <w:pPr>
                    <w:ind w:left="720"/>
                    <w:jc w:val="both"/>
                    <w:rPr>
                      <w:rFonts w:ascii="Times New Roman" w:hAnsi="Times New Roman"/>
                      <w:sz w:val="24"/>
                      <w:szCs w:val="24"/>
                      <w:lang w:val="en-US"/>
                    </w:rPr>
                  </w:pPr>
                  <w:r>
                    <w:rPr>
                      <w:rFonts w:ascii="Times New Roman" w:hAnsi="Times New Roman"/>
                      <w:sz w:val="24"/>
                      <w:szCs w:val="24"/>
                      <w:lang w:val="en-US"/>
                    </w:rPr>
                    <w:t>The judge ruled sentences of 1 year and 6 months and 2 years.</w:t>
                  </w:r>
                </w:p>
              </w:txbxContent>
            </v:textbox>
            <w10:wrap type="square"/>
          </v:shape>
        </w:pict>
      </w:r>
    </w:p>
    <w:p w:rsidR="003B3951" w:rsidRPr="007633A1" w:rsidRDefault="003B3951">
      <w:pPr>
        <w:spacing w:after="0" w:line="240" w:lineRule="auto"/>
        <w:rPr>
          <w:rFonts w:ascii="Arial" w:hAnsi="Arial" w:cs="Arial"/>
          <w:lang w:val="en-US"/>
        </w:rPr>
      </w:pPr>
      <w:r w:rsidRPr="007633A1">
        <w:rPr>
          <w:rFonts w:ascii="Arial" w:hAnsi="Arial" w:cs="Arial"/>
          <w:lang w:val="en-US"/>
        </w:rPr>
        <w:br w:type="page"/>
      </w:r>
    </w:p>
    <w:p w:rsidR="002001A6" w:rsidRDefault="002001A6" w:rsidP="00B211AD">
      <w:pPr>
        <w:ind w:left="720"/>
        <w:jc w:val="both"/>
        <w:rPr>
          <w:rFonts w:ascii="Arial" w:hAnsi="Arial" w:cs="Arial"/>
          <w:lang w:val="en-US"/>
        </w:rPr>
        <w:sectPr w:rsidR="002001A6" w:rsidSect="009461E5">
          <w:footerReference w:type="even" r:id="rId12"/>
          <w:footerReference w:type="default" r:id="rId13"/>
          <w:pgSz w:w="11906" w:h="16838" w:code="9"/>
          <w:pgMar w:top="1440" w:right="1440" w:bottom="1440" w:left="1440" w:header="709" w:footer="709" w:gutter="0"/>
          <w:pgNumType w:start="0"/>
          <w:cols w:space="708"/>
          <w:titlePg/>
          <w:docGrid w:linePitch="360"/>
        </w:sectPr>
      </w:pPr>
    </w:p>
    <w:p w:rsidR="003B3951" w:rsidRPr="007633A1" w:rsidRDefault="003B3951" w:rsidP="00B211AD">
      <w:pPr>
        <w:ind w:left="720"/>
        <w:jc w:val="both"/>
        <w:rPr>
          <w:rFonts w:ascii="Arial" w:hAnsi="Arial" w:cs="Arial"/>
          <w:lang w:val="en-US"/>
        </w:rPr>
      </w:pPr>
    </w:p>
    <w:p w:rsidR="009461E5" w:rsidRPr="002001A6" w:rsidRDefault="0040059B" w:rsidP="009461E5">
      <w:pPr>
        <w:rPr>
          <w:b/>
          <w:noProof/>
          <w:sz w:val="28"/>
          <w:lang w:val="en-US"/>
        </w:rPr>
      </w:pPr>
      <w:r w:rsidRPr="002001A6">
        <w:rPr>
          <w:b/>
          <w:sz w:val="28"/>
          <w:lang w:val="en-US"/>
        </w:rPr>
        <w:t>Annex 3 :</w:t>
      </w:r>
      <w:r w:rsidR="009461E5" w:rsidRPr="002001A6">
        <w:rPr>
          <w:b/>
          <w:noProof/>
          <w:sz w:val="28"/>
          <w:lang w:val="en-US"/>
        </w:rPr>
        <w:t xml:space="preserve"> </w:t>
      </w:r>
    </w:p>
    <w:p w:rsidR="00B211AD" w:rsidRPr="007633A1" w:rsidRDefault="009461E5" w:rsidP="009461E5">
      <w:pPr>
        <w:rPr>
          <w:lang w:val="en-US"/>
        </w:rPr>
      </w:pPr>
      <w:r w:rsidRPr="007633A1">
        <w:rPr>
          <w:noProof/>
          <w:lang w:val="en-GB" w:eastAsia="en-GB"/>
        </w:rPr>
        <w:drawing>
          <wp:inline distT="0" distB="0" distL="0" distR="0" wp14:anchorId="0D392F0F" wp14:editId="65CEF8BC">
            <wp:extent cx="8898964" cy="4497572"/>
            <wp:effectExtent l="19050" t="0" r="16436"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3951" w:rsidRPr="007633A1" w:rsidRDefault="002001A6" w:rsidP="002001A6">
      <w:pPr>
        <w:ind w:left="-567"/>
        <w:jc w:val="both"/>
        <w:rPr>
          <w:rFonts w:ascii="Arial" w:hAnsi="Arial" w:cs="Arial"/>
          <w:lang w:val="en-US"/>
        </w:rPr>
      </w:pPr>
      <w:r w:rsidRPr="007633A1">
        <w:rPr>
          <w:rFonts w:ascii="Arial" w:hAnsi="Arial" w:cs="Arial"/>
          <w:sz w:val="18"/>
          <w:lang w:val="en-US"/>
        </w:rPr>
        <w:t>(Source : Center Detainee Studies</w:t>
      </w:r>
      <w:r>
        <w:rPr>
          <w:rFonts w:ascii="Arial" w:hAnsi="Arial" w:cs="Arial"/>
          <w:lang w:val="en-US"/>
        </w:rPr>
        <w:t>)</w:t>
      </w:r>
    </w:p>
    <w:sectPr w:rsidR="003B3951" w:rsidRPr="007633A1" w:rsidSect="002001A6">
      <w:pgSz w:w="16838" w:h="11906" w:orient="landscape"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CA" w:rsidRDefault="00E919CA" w:rsidP="00B211AD">
      <w:pPr>
        <w:spacing w:after="0" w:line="240" w:lineRule="auto"/>
      </w:pPr>
      <w:r>
        <w:separator/>
      </w:r>
    </w:p>
  </w:endnote>
  <w:endnote w:type="continuationSeparator" w:id="0">
    <w:p w:rsidR="00E919CA" w:rsidRDefault="00E919CA" w:rsidP="00B2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roid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A3" w:rsidRDefault="008D77A3" w:rsidP="003D1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7A3" w:rsidRDefault="008D77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A3" w:rsidRDefault="008D77A3" w:rsidP="003D1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5C1">
      <w:rPr>
        <w:rStyle w:val="PageNumber"/>
        <w:noProof/>
      </w:rPr>
      <w:t>18</w:t>
    </w:r>
    <w:r>
      <w:rPr>
        <w:rStyle w:val="PageNumber"/>
      </w:rPr>
      <w:fldChar w:fldCharType="end"/>
    </w:r>
  </w:p>
  <w:p w:rsidR="008D77A3" w:rsidRDefault="008D77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CA" w:rsidRDefault="00E919CA" w:rsidP="00B211AD">
      <w:pPr>
        <w:spacing w:after="0" w:line="240" w:lineRule="auto"/>
      </w:pPr>
      <w:r>
        <w:separator/>
      </w:r>
    </w:p>
  </w:footnote>
  <w:footnote w:type="continuationSeparator" w:id="0">
    <w:p w:rsidR="00E919CA" w:rsidRDefault="00E919CA" w:rsidP="00B211AD">
      <w:pPr>
        <w:spacing w:after="0" w:line="240" w:lineRule="auto"/>
      </w:pPr>
      <w:r>
        <w:continuationSeparator/>
      </w:r>
    </w:p>
  </w:footnote>
  <w:footnote w:id="1">
    <w:p w:rsidR="008D77A3" w:rsidRPr="007633A1" w:rsidRDefault="008D77A3">
      <w:pPr>
        <w:pStyle w:val="FootnoteText"/>
        <w:rPr>
          <w:rFonts w:ascii="Arial" w:hAnsi="Arial" w:cs="Arial"/>
          <w:sz w:val="18"/>
          <w:szCs w:val="18"/>
          <w:lang w:val="fr-FR"/>
        </w:rPr>
      </w:pPr>
      <w:r w:rsidRPr="007633A1">
        <w:rPr>
          <w:rStyle w:val="FootnoteReference"/>
          <w:rFonts w:ascii="Arial" w:hAnsi="Arial" w:cs="Arial"/>
          <w:sz w:val="18"/>
          <w:szCs w:val="18"/>
        </w:rPr>
        <w:footnoteRef/>
      </w:r>
      <w:r w:rsidRPr="007633A1">
        <w:rPr>
          <w:rFonts w:ascii="Arial" w:hAnsi="Arial" w:cs="Arial"/>
          <w:sz w:val="18"/>
          <w:szCs w:val="18"/>
          <w:lang w:val="fr-FR"/>
        </w:rPr>
        <w:t xml:space="preserve"> Document CCPR/C/IDN/Q/1.</w:t>
      </w:r>
    </w:p>
  </w:footnote>
  <w:footnote w:id="2">
    <w:p w:rsidR="008D77A3" w:rsidRPr="007633A1" w:rsidRDefault="008D77A3">
      <w:pPr>
        <w:pStyle w:val="FootnoteText"/>
      </w:pPr>
      <w:r w:rsidRPr="007633A1">
        <w:rPr>
          <w:rStyle w:val="FootnoteReference"/>
          <w:rFonts w:ascii="Arial" w:hAnsi="Arial" w:cs="Arial"/>
          <w:sz w:val="18"/>
          <w:szCs w:val="18"/>
        </w:rPr>
        <w:footnoteRef/>
      </w:r>
      <w:r w:rsidRPr="007633A1">
        <w:rPr>
          <w:rFonts w:ascii="Arial" w:hAnsi="Arial" w:cs="Arial"/>
          <w:sz w:val="18"/>
          <w:szCs w:val="18"/>
          <w:lang w:val="en-US"/>
        </w:rPr>
        <w:t xml:space="preserve"> Law No. 26/ 2000 on Human Rights Courts: Article 34 concerns the Protection of Witnesses and Victims and Article 35 concerns compensation, restitution and rehabilitation</w:t>
      </w:r>
    </w:p>
  </w:footnote>
  <w:footnote w:id="3">
    <w:p w:rsidR="008D77A3" w:rsidRPr="00C57AF0" w:rsidRDefault="008D77A3" w:rsidP="00064BA6">
      <w:pPr>
        <w:pStyle w:val="FootnoteText"/>
        <w:jc w:val="both"/>
        <w:rPr>
          <w:rFonts w:ascii="Arial" w:hAnsi="Arial" w:cs="Arial"/>
          <w:sz w:val="18"/>
          <w:szCs w:val="18"/>
          <w:lang w:val="en-US"/>
        </w:rPr>
      </w:pPr>
      <w:r w:rsidRPr="00C57AF0">
        <w:rPr>
          <w:rStyle w:val="FootnoteReference"/>
          <w:rFonts w:ascii="Arial" w:hAnsi="Arial" w:cs="Arial"/>
          <w:sz w:val="18"/>
          <w:szCs w:val="18"/>
        </w:rPr>
        <w:footnoteRef/>
      </w:r>
      <w:r w:rsidRPr="00C57AF0">
        <w:rPr>
          <w:rFonts w:ascii="Arial" w:hAnsi="Arial" w:cs="Arial"/>
          <w:sz w:val="18"/>
          <w:szCs w:val="18"/>
        </w:rPr>
        <w:t xml:space="preserve"> </w:t>
      </w:r>
      <w:r w:rsidRPr="00C57AF0">
        <w:rPr>
          <w:rFonts w:ascii="Arial" w:hAnsi="Arial" w:cs="Arial"/>
          <w:sz w:val="18"/>
          <w:szCs w:val="18"/>
          <w:lang w:val="en-US"/>
        </w:rPr>
        <w:t xml:space="preserve"> Based on LPSK </w:t>
      </w:r>
      <w:r w:rsidR="00CC146F">
        <w:rPr>
          <w:rFonts w:ascii="Arial" w:hAnsi="Arial" w:cs="Arial"/>
          <w:sz w:val="18"/>
          <w:szCs w:val="18"/>
          <w:lang w:val="en-US"/>
        </w:rPr>
        <w:t xml:space="preserve"> </w:t>
      </w:r>
      <w:r w:rsidRPr="00C57AF0">
        <w:rPr>
          <w:rFonts w:ascii="Arial" w:hAnsi="Arial" w:cs="Arial"/>
          <w:sz w:val="18"/>
          <w:szCs w:val="18"/>
          <w:lang w:val="en-US"/>
        </w:rPr>
        <w:t>Regulation</w:t>
      </w:r>
      <w:r w:rsidR="00CC146F">
        <w:rPr>
          <w:rFonts w:ascii="Arial" w:hAnsi="Arial" w:cs="Arial"/>
          <w:sz w:val="18"/>
          <w:szCs w:val="18"/>
          <w:lang w:val="en-US"/>
        </w:rPr>
        <w:t xml:space="preserve"> </w:t>
      </w:r>
      <w:r w:rsidRPr="00C57AF0">
        <w:rPr>
          <w:rFonts w:ascii="Arial" w:hAnsi="Arial" w:cs="Arial"/>
          <w:sz w:val="18"/>
          <w:szCs w:val="18"/>
          <w:lang w:val="en-US"/>
        </w:rPr>
        <w:t xml:space="preserve"> No.  3</w:t>
      </w:r>
      <w:r>
        <w:rPr>
          <w:rFonts w:ascii="Arial" w:hAnsi="Arial" w:cs="Arial"/>
          <w:sz w:val="18"/>
          <w:szCs w:val="18"/>
          <w:lang w:val="en-US"/>
        </w:rPr>
        <w:t>/</w:t>
      </w:r>
      <w:r w:rsidRPr="00C57AF0">
        <w:rPr>
          <w:rFonts w:ascii="Arial" w:hAnsi="Arial" w:cs="Arial"/>
          <w:sz w:val="18"/>
          <w:szCs w:val="18"/>
          <w:lang w:val="en-US"/>
        </w:rPr>
        <w:t xml:space="preserve"> 2010, there</w:t>
      </w:r>
      <w:r>
        <w:rPr>
          <w:rFonts w:ascii="Arial" w:hAnsi="Arial" w:cs="Arial"/>
          <w:sz w:val="18"/>
          <w:szCs w:val="18"/>
          <w:lang w:val="en-US"/>
        </w:rPr>
        <w:t xml:space="preserve"> are</w:t>
      </w:r>
      <w:r w:rsidRPr="00C57AF0">
        <w:rPr>
          <w:rFonts w:ascii="Arial" w:hAnsi="Arial" w:cs="Arial"/>
          <w:sz w:val="18"/>
          <w:szCs w:val="18"/>
          <w:lang w:val="en-US"/>
        </w:rPr>
        <w:t xml:space="preserve"> no </w:t>
      </w:r>
      <w:r>
        <w:rPr>
          <w:rFonts w:ascii="Arial" w:hAnsi="Arial" w:cs="Arial"/>
          <w:sz w:val="18"/>
          <w:szCs w:val="18"/>
          <w:lang w:val="en-US"/>
        </w:rPr>
        <w:t>clear information</w:t>
      </w:r>
      <w:r w:rsidRPr="00C57AF0">
        <w:rPr>
          <w:rFonts w:ascii="Arial" w:hAnsi="Arial" w:cs="Arial"/>
          <w:sz w:val="18"/>
          <w:szCs w:val="18"/>
          <w:lang w:val="en-US"/>
        </w:rPr>
        <w:t xml:space="preserve"> when the plenary meeting </w:t>
      </w:r>
      <w:r>
        <w:rPr>
          <w:rFonts w:ascii="Arial" w:hAnsi="Arial" w:cs="Arial"/>
          <w:sz w:val="18"/>
          <w:szCs w:val="18"/>
          <w:lang w:val="en-US"/>
        </w:rPr>
        <w:t>has to be</w:t>
      </w:r>
      <w:r w:rsidRPr="00C57AF0">
        <w:rPr>
          <w:rFonts w:ascii="Arial" w:hAnsi="Arial" w:cs="Arial"/>
          <w:sz w:val="18"/>
          <w:szCs w:val="18"/>
          <w:lang w:val="en-US"/>
        </w:rPr>
        <w:t xml:space="preserve"> held. Article 9 of the Regulation mentions</w:t>
      </w:r>
      <w:r>
        <w:rPr>
          <w:rFonts w:ascii="Arial" w:hAnsi="Arial" w:cs="Arial"/>
          <w:sz w:val="18"/>
          <w:szCs w:val="18"/>
          <w:lang w:val="en-US"/>
        </w:rPr>
        <w:t xml:space="preserve"> that</w:t>
      </w:r>
      <w:r w:rsidRPr="00C57AF0">
        <w:rPr>
          <w:rFonts w:ascii="Arial" w:hAnsi="Arial" w:cs="Arial"/>
          <w:sz w:val="18"/>
          <w:szCs w:val="18"/>
          <w:lang w:val="en-US"/>
        </w:rPr>
        <w:t xml:space="preserve"> Plenary Session will </w:t>
      </w:r>
      <w:r>
        <w:rPr>
          <w:rFonts w:ascii="Arial" w:hAnsi="Arial" w:cs="Arial"/>
          <w:sz w:val="18"/>
          <w:szCs w:val="18"/>
          <w:lang w:val="en-US"/>
        </w:rPr>
        <w:t xml:space="preserve">be </w:t>
      </w:r>
      <w:r w:rsidR="00CC146F">
        <w:rPr>
          <w:rFonts w:ascii="Arial" w:hAnsi="Arial" w:cs="Arial"/>
          <w:sz w:val="18"/>
          <w:szCs w:val="18"/>
          <w:lang w:val="en-US"/>
        </w:rPr>
        <w:t>le</w:t>
      </w:r>
      <w:r w:rsidRPr="00C57AF0">
        <w:rPr>
          <w:rFonts w:ascii="Arial" w:hAnsi="Arial" w:cs="Arial"/>
          <w:sz w:val="18"/>
          <w:szCs w:val="18"/>
          <w:lang w:val="en-US"/>
        </w:rPr>
        <w:t>d by the Agency Head</w:t>
      </w:r>
      <w:r w:rsidR="00CC146F">
        <w:rPr>
          <w:rFonts w:ascii="Arial" w:hAnsi="Arial" w:cs="Arial"/>
          <w:sz w:val="18"/>
          <w:szCs w:val="18"/>
          <w:lang w:val="en-US"/>
        </w:rPr>
        <w:t xml:space="preserve"> and</w:t>
      </w:r>
      <w:r w:rsidRPr="00C57AF0">
        <w:rPr>
          <w:rFonts w:ascii="Arial" w:hAnsi="Arial" w:cs="Arial"/>
          <w:sz w:val="18"/>
          <w:szCs w:val="18"/>
          <w:lang w:val="en-US"/>
        </w:rPr>
        <w:t xml:space="preserve"> prece</w:t>
      </w:r>
      <w:r w:rsidR="00CC146F">
        <w:rPr>
          <w:rFonts w:ascii="Arial" w:hAnsi="Arial" w:cs="Arial"/>
          <w:sz w:val="18"/>
          <w:szCs w:val="18"/>
          <w:lang w:val="en-US"/>
        </w:rPr>
        <w:t>e</w:t>
      </w:r>
      <w:r w:rsidRPr="00C57AF0">
        <w:rPr>
          <w:rFonts w:ascii="Arial" w:hAnsi="Arial" w:cs="Arial"/>
          <w:sz w:val="18"/>
          <w:szCs w:val="18"/>
          <w:lang w:val="en-US"/>
        </w:rPr>
        <w:t xml:space="preserve">ded by an invitation. </w:t>
      </w:r>
      <w:r>
        <w:rPr>
          <w:rFonts w:ascii="Arial" w:hAnsi="Arial" w:cs="Arial"/>
          <w:sz w:val="18"/>
          <w:szCs w:val="18"/>
          <w:lang w:val="en-US"/>
        </w:rPr>
        <w:t>However, o</w:t>
      </w:r>
      <w:r w:rsidRPr="00C57AF0">
        <w:rPr>
          <w:rFonts w:ascii="Arial" w:hAnsi="Arial" w:cs="Arial"/>
          <w:sz w:val="18"/>
          <w:szCs w:val="18"/>
          <w:lang w:val="en-US"/>
        </w:rPr>
        <w:t xml:space="preserve">ften in practice, members of the Agency </w:t>
      </w:r>
      <w:r>
        <w:rPr>
          <w:rFonts w:ascii="Arial" w:hAnsi="Arial" w:cs="Arial"/>
          <w:sz w:val="18"/>
          <w:szCs w:val="18"/>
          <w:lang w:val="en-US"/>
        </w:rPr>
        <w:t>are</w:t>
      </w:r>
      <w:r w:rsidRPr="00C57AF0">
        <w:rPr>
          <w:rFonts w:ascii="Arial" w:hAnsi="Arial" w:cs="Arial"/>
          <w:sz w:val="18"/>
          <w:szCs w:val="18"/>
          <w:lang w:val="en-US"/>
        </w:rPr>
        <w:t xml:space="preserve"> </w:t>
      </w:r>
      <w:r>
        <w:rPr>
          <w:rFonts w:ascii="Arial" w:hAnsi="Arial" w:cs="Arial"/>
          <w:sz w:val="18"/>
          <w:szCs w:val="18"/>
          <w:lang w:val="en-US"/>
        </w:rPr>
        <w:t>not taking part in the</w:t>
      </w:r>
      <w:r w:rsidRPr="00C57AF0">
        <w:rPr>
          <w:rFonts w:ascii="Arial" w:hAnsi="Arial" w:cs="Arial"/>
          <w:sz w:val="18"/>
          <w:szCs w:val="18"/>
          <w:lang w:val="en-US"/>
        </w:rPr>
        <w:t xml:space="preserve"> Plenary</w:t>
      </w:r>
      <w:r>
        <w:rPr>
          <w:rFonts w:ascii="Arial" w:hAnsi="Arial" w:cs="Arial"/>
          <w:sz w:val="18"/>
          <w:szCs w:val="18"/>
          <w:lang w:val="en-US"/>
        </w:rPr>
        <w:t xml:space="preserve"> (because of unclear schedule)</w:t>
      </w:r>
      <w:r w:rsidRPr="00C57AF0">
        <w:rPr>
          <w:rFonts w:ascii="Arial" w:hAnsi="Arial" w:cs="Arial"/>
          <w:sz w:val="18"/>
          <w:szCs w:val="18"/>
          <w:lang w:val="en-US"/>
        </w:rPr>
        <w:t xml:space="preserve">, so meetings often retreat to </w:t>
      </w:r>
      <w:r>
        <w:rPr>
          <w:rFonts w:ascii="Arial" w:hAnsi="Arial" w:cs="Arial"/>
          <w:sz w:val="18"/>
          <w:szCs w:val="18"/>
          <w:lang w:val="en-US"/>
        </w:rPr>
        <w:t>q</w:t>
      </w:r>
      <w:r w:rsidRPr="00C57AF0">
        <w:rPr>
          <w:rFonts w:ascii="Arial" w:hAnsi="Arial" w:cs="Arial"/>
          <w:sz w:val="18"/>
          <w:szCs w:val="18"/>
          <w:lang w:val="en-US"/>
        </w:rPr>
        <w:t>uorum</w:t>
      </w:r>
      <w:r>
        <w:rPr>
          <w:rFonts w:ascii="Arial" w:hAnsi="Arial" w:cs="Arial"/>
          <w:sz w:val="18"/>
          <w:szCs w:val="18"/>
          <w:lang w:val="en-US"/>
        </w:rPr>
        <w:t>.</w:t>
      </w:r>
    </w:p>
  </w:footnote>
  <w:footnote w:id="4">
    <w:p w:rsidR="008D77A3" w:rsidRPr="001D3ED1" w:rsidRDefault="008D77A3" w:rsidP="008C74E0">
      <w:pPr>
        <w:pStyle w:val="FootnoteText"/>
        <w:jc w:val="both"/>
        <w:rPr>
          <w:lang w:val="en-US"/>
        </w:rPr>
      </w:pPr>
      <w:r>
        <w:rPr>
          <w:rStyle w:val="FootnoteReference"/>
        </w:rPr>
        <w:footnoteRef/>
      </w:r>
      <w:r>
        <w:rPr>
          <w:lang w:val="en-US"/>
        </w:rPr>
        <w:t xml:space="preserve"> Based on a 2012 Report on the Situation of Human Rights in Indonesia “</w:t>
      </w:r>
      <w:r w:rsidRPr="009965E0">
        <w:rPr>
          <w:i/>
          <w:lang w:val="en-US"/>
        </w:rPr>
        <w:t>Tahun</w:t>
      </w:r>
      <w:r>
        <w:rPr>
          <w:i/>
          <w:lang w:val="en-US"/>
        </w:rPr>
        <w:t xml:space="preserve"> </w:t>
      </w:r>
      <w:r w:rsidRPr="009965E0">
        <w:rPr>
          <w:i/>
          <w:lang w:val="en-US"/>
        </w:rPr>
        <w:t>Peningkatan</w:t>
      </w:r>
      <w:r>
        <w:rPr>
          <w:i/>
          <w:lang w:val="en-US"/>
        </w:rPr>
        <w:t xml:space="preserve"> </w:t>
      </w:r>
      <w:r w:rsidRPr="009965E0">
        <w:rPr>
          <w:i/>
          <w:lang w:val="en-US"/>
        </w:rPr>
        <w:t>Kekerasan</w:t>
      </w:r>
      <w:r>
        <w:rPr>
          <w:i/>
          <w:lang w:val="en-US"/>
        </w:rPr>
        <w:t xml:space="preserve"> </w:t>
      </w:r>
      <w:r w:rsidRPr="009965E0">
        <w:rPr>
          <w:i/>
          <w:lang w:val="en-US"/>
        </w:rPr>
        <w:t>dan</w:t>
      </w:r>
      <w:r>
        <w:rPr>
          <w:i/>
          <w:lang w:val="en-US"/>
        </w:rPr>
        <w:t xml:space="preserve"> </w:t>
      </w:r>
      <w:r w:rsidRPr="009965E0">
        <w:rPr>
          <w:i/>
          <w:lang w:val="en-US"/>
        </w:rPr>
        <w:t>Pengabaian</w:t>
      </w:r>
      <w:r>
        <w:rPr>
          <w:i/>
          <w:lang w:val="en-US"/>
        </w:rPr>
        <w:t xml:space="preserve"> </w:t>
      </w:r>
      <w:r w:rsidRPr="009965E0">
        <w:rPr>
          <w:i/>
          <w:lang w:val="en-US"/>
        </w:rPr>
        <w:t>Hak</w:t>
      </w:r>
      <w:r>
        <w:rPr>
          <w:i/>
          <w:lang w:val="en-US"/>
        </w:rPr>
        <w:t xml:space="preserve"> </w:t>
      </w:r>
      <w:r w:rsidRPr="009965E0">
        <w:rPr>
          <w:i/>
          <w:lang w:val="en-US"/>
        </w:rPr>
        <w:t>Asasi</w:t>
      </w:r>
      <w:r>
        <w:rPr>
          <w:i/>
          <w:lang w:val="en-US"/>
        </w:rPr>
        <w:t xml:space="preserve"> </w:t>
      </w:r>
      <w:r w:rsidRPr="009965E0">
        <w:rPr>
          <w:i/>
          <w:lang w:val="en-US"/>
        </w:rPr>
        <w:t>Manusia</w:t>
      </w:r>
      <w:r>
        <w:rPr>
          <w:lang w:val="en-US"/>
        </w:rPr>
        <w:t>”, ELSAM 2012.</w:t>
      </w:r>
    </w:p>
  </w:footnote>
  <w:footnote w:id="5">
    <w:p w:rsidR="008D77A3" w:rsidRPr="007B65B7" w:rsidRDefault="008D77A3" w:rsidP="0089598E">
      <w:pPr>
        <w:pStyle w:val="FootnoteText"/>
        <w:jc w:val="both"/>
        <w:rPr>
          <w:lang w:val="en-US"/>
        </w:rPr>
      </w:pPr>
      <w:r>
        <w:rPr>
          <w:rStyle w:val="FootnoteReference"/>
        </w:rPr>
        <w:footnoteRef/>
      </w:r>
      <w:r>
        <w:rPr>
          <w:lang w:val="en-US"/>
        </w:rPr>
        <w:t xml:space="preserve"> Criminal Code (KUHP) art 351.</w:t>
      </w:r>
    </w:p>
  </w:footnote>
  <w:footnote w:id="6">
    <w:p w:rsidR="008D77A3" w:rsidRPr="007B65B7" w:rsidRDefault="008D77A3" w:rsidP="00F46741">
      <w:pPr>
        <w:pStyle w:val="FootnoteText"/>
        <w:jc w:val="both"/>
        <w:rPr>
          <w:lang w:val="en-US"/>
        </w:rPr>
      </w:pPr>
      <w:r>
        <w:rPr>
          <w:rStyle w:val="FootnoteReference"/>
        </w:rPr>
        <w:footnoteRef/>
      </w:r>
      <w:r>
        <w:rPr>
          <w:lang w:val="en-US"/>
        </w:rPr>
        <w:t xml:space="preserve"> Alternative Follow Up Report on The Progress of the Implementation of the recommendation made by the Committee Against Torture to Indonesia; WGAT Report, March 2010</w:t>
      </w:r>
    </w:p>
  </w:footnote>
  <w:footnote w:id="7">
    <w:p w:rsidR="008D77A3" w:rsidRPr="006D0983" w:rsidRDefault="008D77A3" w:rsidP="001F4865">
      <w:pPr>
        <w:pStyle w:val="FootnoteText"/>
        <w:jc w:val="both"/>
        <w:rPr>
          <w:rFonts w:asciiTheme="majorHAnsi" w:hAnsiTheme="majorHAnsi" w:cs="Arial"/>
        </w:rPr>
      </w:pPr>
      <w:r>
        <w:rPr>
          <w:rStyle w:val="FootnoteReference"/>
        </w:rPr>
        <w:footnoteRef/>
      </w:r>
      <w:r>
        <w:rPr>
          <w:rFonts w:ascii="Arial" w:hAnsi="Arial" w:cs="Arial"/>
          <w:lang w:val="en-US"/>
        </w:rPr>
        <w:t xml:space="preserve"> </w:t>
      </w:r>
      <w:r w:rsidRPr="006D0983">
        <w:rPr>
          <w:rFonts w:asciiTheme="majorHAnsi" w:hAnsiTheme="majorHAnsi" w:cs="Arial"/>
          <w:lang w:val="en-US"/>
        </w:rPr>
        <w:t xml:space="preserve">Criminal Code Draft version 2012 article 404 on Torture reads </w:t>
      </w:r>
      <w:r w:rsidRPr="006D0983">
        <w:rPr>
          <w:rFonts w:asciiTheme="majorHAnsi" w:hAnsiTheme="majorHAnsi" w:cs="Arial"/>
        </w:rPr>
        <w:t>“Every public official or other persons acting in an official capacity or at the in</w:t>
      </w:r>
      <w:r w:rsidRPr="006D0983">
        <w:rPr>
          <w:rFonts w:asciiTheme="majorHAnsi" w:hAnsiTheme="majorHAnsi" w:cs="Arial"/>
          <w:lang w:val="en-US"/>
        </w:rPr>
        <w:t>ve</w:t>
      </w:r>
      <w:r w:rsidRPr="006D0983">
        <w:rPr>
          <w:rFonts w:asciiTheme="majorHAnsi" w:hAnsiTheme="majorHAnsi" w:cs="Arial"/>
        </w:rPr>
        <w:t>stigation of or with the acquiescence of a public official, who committed any act which inflict severe pain or suffering, whether physical or mental,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is punishable with imprisonment of at least five years and a maximum of 20 years.”</w:t>
      </w:r>
    </w:p>
  </w:footnote>
  <w:footnote w:id="8">
    <w:p w:rsidR="008D77A3" w:rsidRPr="006D0983" w:rsidRDefault="008D77A3" w:rsidP="008C74E0">
      <w:pPr>
        <w:pStyle w:val="FootnoteText"/>
        <w:jc w:val="both"/>
        <w:rPr>
          <w:rFonts w:asciiTheme="majorHAnsi" w:hAnsiTheme="majorHAnsi" w:cs="Arial"/>
          <w:lang w:val="en-US"/>
        </w:rPr>
      </w:pPr>
      <w:r w:rsidRPr="006D0983">
        <w:rPr>
          <w:rStyle w:val="FootnoteReference"/>
          <w:rFonts w:asciiTheme="majorHAnsi" w:hAnsiTheme="majorHAnsi" w:cs="Arial"/>
        </w:rPr>
        <w:footnoteRef/>
      </w:r>
      <w:r w:rsidRPr="006D0983">
        <w:rPr>
          <w:rFonts w:asciiTheme="majorHAnsi" w:hAnsiTheme="majorHAnsi" w:cs="Arial"/>
          <w:lang w:val="en-US"/>
        </w:rPr>
        <w:t xml:space="preserve">Refers to </w:t>
      </w:r>
      <w:hyperlink r:id="rId1" w:history="1">
        <w:r w:rsidRPr="006D0983">
          <w:rPr>
            <w:rStyle w:val="Hyperlink"/>
            <w:rFonts w:asciiTheme="majorHAnsi" w:hAnsiTheme="majorHAnsi" w:cs="Arial"/>
          </w:rPr>
          <w:t>http://www.elsam.or.id/?act=view&amp;id=2384&amp;cat=c/101</w:t>
        </w:r>
      </w:hyperlink>
    </w:p>
  </w:footnote>
  <w:footnote w:id="9">
    <w:p w:rsidR="008D77A3" w:rsidRPr="008B50E5" w:rsidRDefault="008D77A3" w:rsidP="001F4865">
      <w:pPr>
        <w:pStyle w:val="FootnoteText"/>
        <w:jc w:val="both"/>
        <w:rPr>
          <w:lang w:val="en-US"/>
        </w:rPr>
      </w:pPr>
      <w:r w:rsidRPr="000D041D">
        <w:rPr>
          <w:rStyle w:val="FootnoteReference"/>
          <w:rFonts w:ascii="Arial" w:hAnsi="Arial" w:cs="Arial"/>
        </w:rPr>
        <w:footnoteRef/>
      </w:r>
      <w:r w:rsidRPr="000D041D">
        <w:rPr>
          <w:rFonts w:ascii="Arial" w:hAnsi="Arial" w:cs="Arial"/>
          <w:lang w:val="en-US"/>
        </w:rPr>
        <w:t>This can be seen in the End of Year Note issued by LBH Jakarta in 2010, 2011, and 2012.</w:t>
      </w:r>
      <w:r w:rsidRPr="008B50E5">
        <w:rPr>
          <w:lang w:val="en-US"/>
        </w:rPr>
        <w:t xml:space="preserve"> </w:t>
      </w:r>
    </w:p>
  </w:footnote>
  <w:footnote w:id="10">
    <w:p w:rsidR="008D77A3" w:rsidRPr="00A223B4" w:rsidRDefault="008D77A3" w:rsidP="00AB0E93">
      <w:pPr>
        <w:pStyle w:val="FootnoteText"/>
        <w:jc w:val="both"/>
        <w:rPr>
          <w:rFonts w:ascii="Arial" w:hAnsi="Arial" w:cs="Arial"/>
        </w:rPr>
      </w:pPr>
      <w:r w:rsidRPr="00932729">
        <w:rPr>
          <w:rStyle w:val="FootnoteReference"/>
          <w:rFonts w:ascii="Arial" w:hAnsi="Arial" w:cs="Arial"/>
        </w:rPr>
        <w:footnoteRef/>
      </w:r>
      <w:r w:rsidRPr="00F13168">
        <w:rPr>
          <w:rFonts w:ascii="Arial" w:hAnsi="Arial" w:cs="Arial"/>
        </w:rPr>
        <w:t xml:space="preserve"> Data from</w:t>
      </w:r>
      <w:r w:rsidRPr="00CA070D">
        <w:rPr>
          <w:rFonts w:ascii="Arial" w:hAnsi="Arial" w:cs="Arial"/>
          <w:lang w:val="en-US"/>
        </w:rPr>
        <w:t xml:space="preserve"> </w:t>
      </w:r>
      <w:r w:rsidRPr="00B813A7">
        <w:rPr>
          <w:rFonts w:ascii="Arial" w:hAnsi="Arial" w:cs="Arial"/>
          <w:bCs/>
          <w:lang w:val="en-US"/>
        </w:rPr>
        <w:t>Taufik Andrie, Research Director</w:t>
      </w:r>
      <w:r w:rsidRPr="003F3504">
        <w:rPr>
          <w:rFonts w:ascii="Arial" w:hAnsi="Arial" w:cs="Arial"/>
          <w:lang w:val="en-US"/>
        </w:rPr>
        <w:t xml:space="preserve"> from the </w:t>
      </w:r>
      <w:r w:rsidRPr="00B36DD4">
        <w:rPr>
          <w:rFonts w:ascii="Arial" w:hAnsi="Arial" w:cs="Arial"/>
          <w:bCs/>
        </w:rPr>
        <w:t>Institute for International Peace Building</w:t>
      </w:r>
      <w:r w:rsidRPr="0025366E">
        <w:rPr>
          <w:rFonts w:ascii="Arial" w:hAnsi="Arial" w:cs="Arial"/>
          <w:bCs/>
          <w:lang w:val="en-US"/>
        </w:rPr>
        <w:t xml:space="preserve"> in Jakarta, presented in a Workshop on the Situation of Security Laws in Asean, ICJ-ELSAM-LIBERTAS, October 2012.</w:t>
      </w:r>
    </w:p>
  </w:footnote>
  <w:footnote w:id="11">
    <w:p w:rsidR="008D77A3" w:rsidRDefault="008D77A3">
      <w:pPr>
        <w:pStyle w:val="FootnoteText"/>
      </w:pPr>
      <w:r>
        <w:rPr>
          <w:rStyle w:val="FootnoteReference"/>
        </w:rPr>
        <w:footnoteRef/>
      </w:r>
      <w:r>
        <w:t xml:space="preserve"> See OMCT urgent appeal IDN 270513 available on www.omct.org</w:t>
      </w:r>
    </w:p>
  </w:footnote>
  <w:footnote w:id="12">
    <w:p w:rsidR="008D77A3" w:rsidRPr="007A54D9" w:rsidRDefault="008D77A3" w:rsidP="0019746B">
      <w:pPr>
        <w:pStyle w:val="FootnoteText"/>
        <w:jc w:val="both"/>
        <w:rPr>
          <w:rFonts w:ascii="Arial" w:hAnsi="Arial" w:cs="Arial"/>
          <w:lang w:val="en-US"/>
        </w:rPr>
      </w:pPr>
      <w:r w:rsidRPr="007A54D9">
        <w:rPr>
          <w:rStyle w:val="FootnoteReference"/>
          <w:rFonts w:ascii="Arial" w:hAnsi="Arial" w:cs="Arial"/>
        </w:rPr>
        <w:footnoteRef/>
      </w:r>
      <w:r>
        <w:rPr>
          <w:rFonts w:ascii="Arial" w:hAnsi="Arial" w:cs="Arial"/>
          <w:lang w:val="en-US"/>
        </w:rPr>
        <w:t xml:space="preserve"> </w:t>
      </w:r>
      <w:r w:rsidRPr="007A54D9">
        <w:rPr>
          <w:rFonts w:ascii="Arial" w:hAnsi="Arial" w:cs="Arial"/>
          <w:lang w:val="en-US"/>
        </w:rPr>
        <w:t xml:space="preserve">Report on the Human Rights Situation of 2011, Towards the Lowest Point of Human Rights Protection; Institute for Policy Research and Advocay (ELSAM), January 2012. </w:t>
      </w:r>
    </w:p>
  </w:footnote>
  <w:footnote w:id="13">
    <w:p w:rsidR="008D77A3" w:rsidRPr="007A54D9" w:rsidRDefault="008D77A3" w:rsidP="00BB5AE2">
      <w:pPr>
        <w:pStyle w:val="FootnoteText"/>
        <w:jc w:val="both"/>
        <w:rPr>
          <w:rFonts w:ascii="Arial" w:hAnsi="Arial" w:cs="Arial"/>
          <w:lang w:val="en-US"/>
        </w:rPr>
      </w:pPr>
      <w:r w:rsidRPr="007A54D9">
        <w:rPr>
          <w:rStyle w:val="FootnoteReference"/>
          <w:rFonts w:ascii="Arial" w:hAnsi="Arial" w:cs="Arial"/>
        </w:rPr>
        <w:footnoteRef/>
      </w:r>
      <w:r>
        <w:rPr>
          <w:rFonts w:ascii="Arial" w:hAnsi="Arial" w:cs="Arial"/>
          <w:lang w:val="en-US"/>
        </w:rPr>
        <w:t xml:space="preserve"> </w:t>
      </w:r>
      <w:r w:rsidRPr="007A54D9">
        <w:rPr>
          <w:rFonts w:ascii="Arial" w:hAnsi="Arial" w:cs="Arial"/>
          <w:lang w:val="en-US"/>
        </w:rPr>
        <w:t xml:space="preserve">2012 Report on the Situation of Human Rights in Indonesia </w:t>
      </w:r>
    </w:p>
    <w:p w:rsidR="008D77A3" w:rsidRPr="007A54D9" w:rsidRDefault="008D77A3" w:rsidP="00F25319">
      <w:pPr>
        <w:pStyle w:val="FootnoteText"/>
        <w:jc w:val="both"/>
        <w:rPr>
          <w:rFonts w:ascii="Arial" w:hAnsi="Arial" w:cs="Arial"/>
          <w:lang w:val="en-US"/>
        </w:rPr>
      </w:pPr>
      <w:r w:rsidRPr="007A54D9">
        <w:rPr>
          <w:rFonts w:ascii="Arial" w:hAnsi="Arial" w:cs="Arial"/>
          <w:lang w:val="en-US"/>
        </w:rPr>
        <w:t>“</w:t>
      </w:r>
      <w:r w:rsidRPr="007A54D9">
        <w:rPr>
          <w:rFonts w:ascii="Arial" w:hAnsi="Arial" w:cs="Arial"/>
          <w:i/>
          <w:lang w:val="en-US"/>
        </w:rPr>
        <w:t>TahunPeningkatanKekerasandanPengabaianHakAsasiManusia</w:t>
      </w:r>
      <w:r w:rsidRPr="007A54D9">
        <w:rPr>
          <w:rFonts w:ascii="Arial" w:hAnsi="Arial" w:cs="Arial"/>
          <w:lang w:val="en-US"/>
        </w:rPr>
        <w:t>”</w:t>
      </w:r>
      <w:r w:rsidR="009630C3">
        <w:rPr>
          <w:rFonts w:ascii="Arial" w:hAnsi="Arial" w:cs="Arial"/>
          <w:lang w:val="en-US"/>
        </w:rPr>
        <w:t>,</w:t>
      </w:r>
      <w:r w:rsidRPr="007A54D9">
        <w:rPr>
          <w:rFonts w:ascii="Arial" w:hAnsi="Arial" w:cs="Arial"/>
          <w:lang w:val="en-US"/>
        </w:rPr>
        <w:t xml:space="preserve"> ELSAM 2012.</w:t>
      </w:r>
    </w:p>
  </w:footnote>
  <w:footnote w:id="14">
    <w:p w:rsidR="008D77A3" w:rsidRPr="007A54D9" w:rsidRDefault="008D77A3" w:rsidP="00C80B03">
      <w:pPr>
        <w:pStyle w:val="FootnoteText"/>
        <w:jc w:val="both"/>
        <w:rPr>
          <w:rFonts w:ascii="Arial" w:hAnsi="Arial" w:cs="Arial"/>
          <w:lang w:val="en-US"/>
        </w:rPr>
      </w:pPr>
      <w:r w:rsidRPr="007A54D9">
        <w:rPr>
          <w:rStyle w:val="FootnoteReference"/>
          <w:rFonts w:ascii="Arial" w:hAnsi="Arial" w:cs="Arial"/>
        </w:rPr>
        <w:footnoteRef/>
      </w:r>
      <w:r>
        <w:rPr>
          <w:rFonts w:ascii="Arial" w:hAnsi="Arial" w:cs="Arial"/>
          <w:lang w:val="en-US"/>
        </w:rPr>
        <w:t xml:space="preserve"> </w:t>
      </w:r>
      <w:r w:rsidRPr="007A54D9">
        <w:rPr>
          <w:rFonts w:ascii="Arial" w:hAnsi="Arial" w:cs="Arial"/>
          <w:lang w:val="en-US"/>
        </w:rPr>
        <w:t>2012 Report on the Situation of Human Rights</w:t>
      </w:r>
    </w:p>
    <w:p w:rsidR="008D77A3" w:rsidRDefault="008D77A3">
      <w:pPr>
        <w:pStyle w:val="FootnoteText"/>
        <w:jc w:val="both"/>
        <w:rPr>
          <w:lang w:val="en-US"/>
        </w:rPr>
      </w:pPr>
      <w:r w:rsidRPr="007A54D9">
        <w:rPr>
          <w:rFonts w:ascii="Arial" w:hAnsi="Arial" w:cs="Arial"/>
          <w:lang w:val="en-US"/>
        </w:rPr>
        <w:t>in Indonesia“</w:t>
      </w:r>
      <w:r w:rsidRPr="007A54D9">
        <w:rPr>
          <w:rFonts w:ascii="Arial" w:hAnsi="Arial" w:cs="Arial"/>
          <w:i/>
          <w:lang w:val="en-US"/>
        </w:rPr>
        <w:t>TahunPeningkatanKekerasandanPengabaianHakAsasiManusia</w:t>
      </w:r>
      <w:r w:rsidRPr="007A54D9">
        <w:rPr>
          <w:rFonts w:ascii="Arial" w:hAnsi="Arial" w:cs="Arial"/>
          <w:lang w:val="en-US"/>
        </w:rPr>
        <w:t>”; ELSAM 2012</w:t>
      </w:r>
    </w:p>
  </w:footnote>
  <w:footnote w:id="15">
    <w:p w:rsidR="008D77A3" w:rsidRPr="00F02BF7" w:rsidRDefault="008D77A3" w:rsidP="00F02BF7">
      <w:pPr>
        <w:pStyle w:val="FootnoteText"/>
        <w:jc w:val="both"/>
        <w:rPr>
          <w:rFonts w:ascii="Arial" w:hAnsi="Arial" w:cs="Arial"/>
        </w:rPr>
      </w:pPr>
      <w:r w:rsidRPr="00CF0910">
        <w:rPr>
          <w:rStyle w:val="FootnoteReference"/>
          <w:rFonts w:ascii="Arial" w:hAnsi="Arial" w:cs="Arial"/>
        </w:rPr>
        <w:footnoteRef/>
      </w:r>
      <w:r w:rsidR="009630C3">
        <w:rPr>
          <w:rFonts w:ascii="Arial" w:hAnsi="Arial" w:cs="Arial"/>
          <w:lang w:val="en-US"/>
        </w:rPr>
        <w:t xml:space="preserve"> </w:t>
      </w:r>
      <w:r w:rsidRPr="00F02BF7">
        <w:rPr>
          <w:rFonts w:ascii="Arial" w:hAnsi="Arial" w:cs="Arial"/>
          <w:lang w:val="en-US"/>
        </w:rPr>
        <w:t>Balai Syura Ureung Inong Aceh is a civil society organization, which gives reinforcement to the Aceh women post conflicts. One of the mandates is to ensure that there will be women representation in the decision</w:t>
      </w:r>
      <w:r w:rsidRPr="00A223B4">
        <w:rPr>
          <w:rFonts w:ascii="Arial" w:hAnsi="Arial" w:cs="Arial"/>
          <w:lang w:val="en-US"/>
        </w:rPr>
        <w:t>making process and conflict settlement in Aceh peacefully through dialogues</w:t>
      </w:r>
      <w:r w:rsidRPr="00A223B4">
        <w:rPr>
          <w:rFonts w:ascii="Arial" w:hAnsi="Arial" w:cs="Arial"/>
        </w:rPr>
        <w:t xml:space="preserve">. </w:t>
      </w:r>
      <w:r w:rsidRPr="00A223B4">
        <w:rPr>
          <w:rFonts w:ascii="Arial" w:hAnsi="Arial" w:cs="Arial"/>
          <w:lang w:val="en-US"/>
        </w:rPr>
        <w:t>Web :</w:t>
      </w:r>
      <w:hyperlink r:id="rId2" w:history="1">
        <w:r w:rsidRPr="00F02BF7">
          <w:rPr>
            <w:rStyle w:val="Hyperlink"/>
            <w:rFonts w:ascii="Arial" w:hAnsi="Arial" w:cs="Arial"/>
          </w:rPr>
          <w:t>http://bsuia.wordpress.com/sejarah-bsuia/</w:t>
        </w:r>
      </w:hyperlink>
      <w:r w:rsidRPr="00F02BF7">
        <w:rPr>
          <w:rFonts w:ascii="Arial" w:hAnsi="Arial" w:cs="Arial"/>
          <w:lang w:val="en-US"/>
        </w:rPr>
        <w:t>.</w:t>
      </w:r>
    </w:p>
  </w:footnote>
  <w:footnote w:id="16">
    <w:p w:rsidR="008D77A3" w:rsidRPr="00A04BDA" w:rsidRDefault="008D77A3">
      <w:pPr>
        <w:pStyle w:val="FootnoteText"/>
        <w:rPr>
          <w:lang w:val="en-US"/>
        </w:rPr>
      </w:pPr>
    </w:p>
  </w:footnote>
  <w:footnote w:id="17">
    <w:p w:rsidR="008D77A3" w:rsidRDefault="008D77A3" w:rsidP="00F02BF7">
      <w:pPr>
        <w:pStyle w:val="FootnoteText"/>
        <w:jc w:val="both"/>
      </w:pPr>
      <w:r w:rsidRPr="00F02BF7">
        <w:rPr>
          <w:rStyle w:val="FootnoteReference"/>
          <w:rFonts w:ascii="Arial" w:hAnsi="Arial" w:cs="Arial"/>
        </w:rPr>
        <w:footnoteRef/>
      </w:r>
      <w:r w:rsidRPr="00F02BF7">
        <w:rPr>
          <w:rFonts w:ascii="Arial" w:hAnsi="Arial" w:cs="Arial"/>
        </w:rPr>
        <w:t xml:space="preserve"> </w:t>
      </w:r>
      <w:hyperlink r:id="rId3" w:history="1">
        <w:r w:rsidRPr="00F02BF7">
          <w:rPr>
            <w:rStyle w:val="Hyperlink"/>
            <w:rFonts w:ascii="Arial" w:hAnsi="Arial" w:cs="Arial"/>
          </w:rPr>
          <w:t>www.detik.com</w:t>
        </w:r>
      </w:hyperlink>
    </w:p>
  </w:footnote>
  <w:footnote w:id="18">
    <w:p w:rsidR="008D77A3" w:rsidRPr="00E30277" w:rsidRDefault="008D77A3" w:rsidP="00001242">
      <w:pPr>
        <w:pStyle w:val="FootnoteText"/>
        <w:jc w:val="both"/>
        <w:rPr>
          <w:rFonts w:ascii="Arial" w:hAnsi="Arial" w:cs="Arial"/>
        </w:rPr>
      </w:pPr>
      <w:r w:rsidRPr="00E81CB9">
        <w:rPr>
          <w:rStyle w:val="FootnoteReference"/>
          <w:rFonts w:ascii="Arial" w:hAnsi="Arial" w:cs="Arial"/>
        </w:rPr>
        <w:footnoteRef/>
      </w:r>
      <w:r w:rsidRPr="00E81CB9">
        <w:rPr>
          <w:rFonts w:ascii="Arial" w:hAnsi="Arial" w:cs="Arial"/>
        </w:rPr>
        <w:t xml:space="preserve"> Documented by the Aceh based Indonesian Women’s Coallition – Claura Evanty, Local Secretary of the Indonesian Women’s Coalition in Aceh.</w:t>
      </w:r>
    </w:p>
  </w:footnote>
  <w:footnote w:id="19">
    <w:p w:rsidR="008D77A3" w:rsidRPr="00D9229F" w:rsidRDefault="008D77A3">
      <w:pPr>
        <w:pStyle w:val="FootnoteText"/>
        <w:rPr>
          <w:lang w:val="en-US"/>
        </w:rPr>
      </w:pPr>
      <w:r>
        <w:rPr>
          <w:rStyle w:val="FootnoteReference"/>
        </w:rPr>
        <w:footnoteRef/>
      </w:r>
      <w:r>
        <w:t>Th</w:t>
      </w:r>
      <w:r>
        <w:rPr>
          <w:lang w:val="en-US"/>
        </w:rPr>
        <w:t xml:space="preserve">is </w:t>
      </w:r>
      <w:r>
        <w:t xml:space="preserve"> </w:t>
      </w:r>
      <w:r>
        <w:rPr>
          <w:lang w:val="en-US"/>
        </w:rPr>
        <w:t>regulation specified that it will be established after 2 years of issu</w:t>
      </w:r>
      <w:r w:rsidR="009630C3">
        <w:rPr>
          <w:lang w:val="en-US"/>
        </w:rPr>
        <w:t>ance</w:t>
      </w:r>
      <w:r>
        <w:rPr>
          <w:lang w:val="en-US"/>
        </w:rPr>
        <w:t xml:space="preserve">.  </w:t>
      </w:r>
    </w:p>
  </w:footnote>
  <w:footnote w:id="20">
    <w:p w:rsidR="008D77A3" w:rsidRPr="00E30277" w:rsidRDefault="008D77A3" w:rsidP="00B211AD">
      <w:pPr>
        <w:autoSpaceDE w:val="0"/>
        <w:autoSpaceDN w:val="0"/>
        <w:adjustRightInd w:val="0"/>
        <w:spacing w:after="0" w:line="240" w:lineRule="auto"/>
        <w:jc w:val="both"/>
        <w:rPr>
          <w:rFonts w:ascii="Arial" w:hAnsi="Arial" w:cs="Arial"/>
          <w:sz w:val="20"/>
          <w:szCs w:val="20"/>
        </w:rPr>
      </w:pPr>
      <w:r w:rsidRPr="00E81CB9">
        <w:rPr>
          <w:rStyle w:val="FootnoteReference"/>
          <w:rFonts w:ascii="Arial" w:hAnsi="Arial" w:cs="Arial"/>
          <w:sz w:val="20"/>
          <w:szCs w:val="20"/>
        </w:rPr>
        <w:footnoteRef/>
      </w:r>
      <w:r w:rsidRPr="00E81CB9">
        <w:rPr>
          <w:rFonts w:ascii="Arial" w:hAnsi="Arial" w:cs="Arial"/>
          <w:sz w:val="20"/>
          <w:szCs w:val="20"/>
          <w:lang w:val="en-US"/>
        </w:rPr>
        <w:t xml:space="preserve"> The 19 juvenile detention facilities all over Indonesia, are as follows: Gianyar Juvenile Detention Facility, Bali Province; (2) Male Juvenile Detention Facility, Banten Province; (3) Female Juvenile Detention Facility, Tanggerang; (4) MuaraBulian Juvenile Detention Facility, Jambi Province; (5) Bandung Juvenile Detention Facility, West Java Province; (6) Kutoarjo Juvenile Detention Facility, Central Java Province; (7) Blitar Juvenile Detention Facility, East Java Province; (8) Pontianak Juvenile Detention Facility, West Kalimantan Province; (10) Bandar Lampung Juvenile Detention Facility, Lampung Province; (11) Kota Bumi Juvenile Detention Facility, Lampung Province, (12) Medan Juvenile Detention Facility, (13) TanjungPati Juvenile Detention Facility, West Sumatera Province; (14) PekanBaru Juvenile Detention Facility, Riau Province; (15) Palembang Juvenile Detention Facility, South Sulawesi Province; (16) Tomohon Juvenile Detention Facility, North Sulawesi Province; (17) Pare-Pare Juvenile Detention Facility, South Sulawesi; (18) Mataram Juvenile Detention Facility, West Nusa Tenggara Province; and (19) Kupang Juvenile Detention Facility, East Nusa Tenggara. See </w:t>
      </w:r>
      <w:hyperlink r:id="rId4" w:history="1">
        <w:r w:rsidRPr="00E30277">
          <w:rPr>
            <w:rFonts w:ascii="Arial" w:hAnsi="Arial" w:cs="Arial"/>
            <w:color w:val="0000FF"/>
            <w:sz w:val="20"/>
            <w:szCs w:val="20"/>
            <w:u w:val="single" w:color="0000FF"/>
            <w:lang w:val="en-US"/>
          </w:rPr>
          <w:t>http://smslap.ditjenpas.go.id/</w:t>
        </w:r>
      </w:hyperlink>
    </w:p>
  </w:footnote>
  <w:footnote w:id="21">
    <w:p w:rsidR="008D77A3" w:rsidRPr="00E30277" w:rsidRDefault="008D77A3" w:rsidP="00F574E4">
      <w:pPr>
        <w:pStyle w:val="FootnoteText"/>
        <w:jc w:val="both"/>
        <w:rPr>
          <w:rFonts w:ascii="Arial" w:hAnsi="Arial" w:cs="Arial"/>
        </w:rPr>
      </w:pPr>
      <w:r w:rsidRPr="00E30277">
        <w:rPr>
          <w:rStyle w:val="FootnoteReference"/>
          <w:rFonts w:ascii="Arial" w:hAnsi="Arial" w:cs="Arial"/>
        </w:rPr>
        <w:footnoteRef/>
      </w:r>
      <w:r w:rsidRPr="00E30277">
        <w:rPr>
          <w:rFonts w:ascii="Arial" w:hAnsi="Arial" w:cs="Arial"/>
          <w:lang w:val="en-US"/>
        </w:rPr>
        <w:t xml:space="preserve"> Some roots causes contributing to crimes committed by juvenile are, among others, the education cost that has become more expensive, the high </w:t>
      </w:r>
      <w:r w:rsidR="009630C3">
        <w:rPr>
          <w:rFonts w:ascii="Arial" w:hAnsi="Arial" w:cs="Arial"/>
          <w:lang w:val="en-US"/>
        </w:rPr>
        <w:t>level</w:t>
      </w:r>
      <w:r w:rsidRPr="00E30277">
        <w:rPr>
          <w:rFonts w:ascii="Arial" w:hAnsi="Arial" w:cs="Arial"/>
          <w:lang w:val="en-US"/>
        </w:rPr>
        <w:t xml:space="preserve"> of poverty, easy access to pornography that is not accompanied with sex and reproductive health education, insufficient public space for children to play and express themselves, public spaces were shifted to commercial spaces.</w:t>
      </w:r>
    </w:p>
  </w:footnote>
  <w:footnote w:id="22">
    <w:p w:rsidR="008D77A3" w:rsidRPr="005C200C" w:rsidRDefault="008D77A3" w:rsidP="005C200C">
      <w:pPr>
        <w:pStyle w:val="FootnoteText"/>
        <w:jc w:val="both"/>
        <w:rPr>
          <w:rFonts w:ascii="Arial" w:hAnsi="Arial" w:cs="Arial"/>
        </w:rPr>
      </w:pPr>
      <w:r w:rsidRPr="00F65B87">
        <w:rPr>
          <w:rStyle w:val="FootnoteReference"/>
        </w:rPr>
        <w:footnoteRef/>
      </w:r>
      <w:r>
        <w:rPr>
          <w:rFonts w:cs="Calibri"/>
          <w:lang w:val="en-US"/>
        </w:rPr>
        <w:t xml:space="preserve"> </w:t>
      </w:r>
      <w:r w:rsidRPr="005C200C">
        <w:rPr>
          <w:rFonts w:ascii="Arial" w:hAnsi="Arial" w:cs="Arial"/>
          <w:lang w:val="en-US"/>
        </w:rPr>
        <w:t xml:space="preserve">According to a 2011 study conducted by UNICEF and the Criminology Study Center at the University of Indonesia, out of 85% cases involving children through the justice system, 80% of them were put </w:t>
      </w:r>
      <w:r>
        <w:rPr>
          <w:rFonts w:ascii="Arial" w:hAnsi="Arial" w:cs="Arial"/>
          <w:lang w:val="en-US"/>
        </w:rPr>
        <w:t>in</w:t>
      </w:r>
      <w:r w:rsidRPr="005C200C">
        <w:rPr>
          <w:rFonts w:ascii="Arial" w:hAnsi="Arial" w:cs="Arial"/>
          <w:lang w:val="en-US"/>
        </w:rPr>
        <w:t xml:space="preserve"> prison. According to a study conducted by LBH Jakarta, 71% cases involving children were not solved by using diversion mechanisms (such as dialogue). See Restaria F. Hutabarat, et.al.,</w:t>
      </w:r>
      <w:r w:rsidRPr="005C200C">
        <w:rPr>
          <w:rFonts w:ascii="Arial" w:hAnsi="Arial" w:cs="Arial"/>
          <w:i/>
          <w:iCs/>
          <w:lang w:val="en-US"/>
        </w:rPr>
        <w:t>Memudarnya Batas Kejahatan</w:t>
      </w:r>
      <w:r>
        <w:rPr>
          <w:rFonts w:ascii="Arial" w:hAnsi="Arial" w:cs="Arial"/>
          <w:i/>
          <w:iCs/>
          <w:lang w:val="en-US"/>
        </w:rPr>
        <w:t xml:space="preserve"> </w:t>
      </w:r>
      <w:r w:rsidRPr="005C200C">
        <w:rPr>
          <w:rFonts w:ascii="Arial" w:hAnsi="Arial" w:cs="Arial"/>
          <w:i/>
          <w:iCs/>
          <w:lang w:val="en-US"/>
        </w:rPr>
        <w:t>dan</w:t>
      </w:r>
      <w:r>
        <w:rPr>
          <w:rFonts w:ascii="Arial" w:hAnsi="Arial" w:cs="Arial"/>
          <w:i/>
          <w:iCs/>
          <w:lang w:val="en-US"/>
        </w:rPr>
        <w:t xml:space="preserve"> </w:t>
      </w:r>
      <w:r w:rsidRPr="005C200C">
        <w:rPr>
          <w:rFonts w:ascii="Arial" w:hAnsi="Arial" w:cs="Arial"/>
          <w:i/>
          <w:iCs/>
          <w:lang w:val="en-US"/>
        </w:rPr>
        <w:t>Penegakan</w:t>
      </w:r>
      <w:r>
        <w:rPr>
          <w:rFonts w:ascii="Arial" w:hAnsi="Arial" w:cs="Arial"/>
          <w:i/>
          <w:iCs/>
          <w:lang w:val="en-US"/>
        </w:rPr>
        <w:t xml:space="preserve"> </w:t>
      </w:r>
      <w:r w:rsidRPr="005C200C">
        <w:rPr>
          <w:rFonts w:ascii="Arial" w:hAnsi="Arial" w:cs="Arial"/>
          <w:i/>
          <w:iCs/>
          <w:lang w:val="en-US"/>
        </w:rPr>
        <w:t>Hukum: Situasi</w:t>
      </w:r>
      <w:r>
        <w:rPr>
          <w:rFonts w:ascii="Arial" w:hAnsi="Arial" w:cs="Arial"/>
          <w:i/>
          <w:iCs/>
          <w:lang w:val="en-US"/>
        </w:rPr>
        <w:t xml:space="preserve"> </w:t>
      </w:r>
      <w:r w:rsidRPr="005C200C">
        <w:rPr>
          <w:rFonts w:ascii="Arial" w:hAnsi="Arial" w:cs="Arial"/>
          <w:i/>
          <w:iCs/>
          <w:lang w:val="en-US"/>
        </w:rPr>
        <w:t>Pelanggaran</w:t>
      </w:r>
      <w:r>
        <w:rPr>
          <w:rFonts w:ascii="Arial" w:hAnsi="Arial" w:cs="Arial"/>
          <w:i/>
          <w:iCs/>
          <w:lang w:val="en-US"/>
        </w:rPr>
        <w:t xml:space="preserve"> </w:t>
      </w:r>
      <w:r w:rsidRPr="005C200C">
        <w:rPr>
          <w:rFonts w:ascii="Arial" w:hAnsi="Arial" w:cs="Arial"/>
          <w:i/>
          <w:iCs/>
          <w:lang w:val="en-US"/>
        </w:rPr>
        <w:t>Hak</w:t>
      </w:r>
      <w:r>
        <w:rPr>
          <w:rFonts w:ascii="Arial" w:hAnsi="Arial" w:cs="Arial"/>
          <w:i/>
          <w:iCs/>
          <w:lang w:val="en-US"/>
        </w:rPr>
        <w:t xml:space="preserve"> </w:t>
      </w:r>
      <w:r w:rsidRPr="005C200C">
        <w:rPr>
          <w:rFonts w:ascii="Arial" w:hAnsi="Arial" w:cs="Arial"/>
          <w:i/>
          <w:iCs/>
          <w:lang w:val="en-US"/>
        </w:rPr>
        <w:t>Anak</w:t>
      </w:r>
      <w:r>
        <w:rPr>
          <w:rFonts w:ascii="Arial" w:hAnsi="Arial" w:cs="Arial"/>
          <w:i/>
          <w:iCs/>
          <w:lang w:val="en-US"/>
        </w:rPr>
        <w:t xml:space="preserve"> </w:t>
      </w:r>
      <w:r w:rsidRPr="005C200C">
        <w:rPr>
          <w:rFonts w:ascii="Arial" w:hAnsi="Arial" w:cs="Arial"/>
          <w:i/>
          <w:iCs/>
          <w:lang w:val="en-US"/>
        </w:rPr>
        <w:t>dalam</w:t>
      </w:r>
      <w:r>
        <w:rPr>
          <w:rFonts w:ascii="Arial" w:hAnsi="Arial" w:cs="Arial"/>
          <w:i/>
          <w:iCs/>
          <w:lang w:val="en-US"/>
        </w:rPr>
        <w:t xml:space="preserve"> </w:t>
      </w:r>
      <w:r w:rsidRPr="005C200C">
        <w:rPr>
          <w:rFonts w:ascii="Arial" w:hAnsi="Arial" w:cs="Arial"/>
          <w:i/>
          <w:iCs/>
          <w:lang w:val="en-US"/>
        </w:rPr>
        <w:t>Peradilan</w:t>
      </w:r>
      <w:r>
        <w:rPr>
          <w:rFonts w:ascii="Arial" w:hAnsi="Arial" w:cs="Arial"/>
          <w:i/>
          <w:iCs/>
          <w:lang w:val="en-US"/>
        </w:rPr>
        <w:t xml:space="preserve"> </w:t>
      </w:r>
      <w:r w:rsidRPr="005C200C">
        <w:rPr>
          <w:rFonts w:ascii="Arial" w:hAnsi="Arial" w:cs="Arial"/>
          <w:i/>
          <w:iCs/>
          <w:lang w:val="en-US"/>
        </w:rPr>
        <w:t>Pidana</w:t>
      </w:r>
      <w:r w:rsidRPr="005C200C">
        <w:rPr>
          <w:rFonts w:ascii="Arial" w:hAnsi="Arial" w:cs="Arial"/>
          <w:lang w:val="en-US"/>
        </w:rPr>
        <w:t>, LBH Jakarta, Jakarta, 2012</w:t>
      </w:r>
    </w:p>
  </w:footnote>
  <w:footnote w:id="23">
    <w:p w:rsidR="008D77A3" w:rsidRPr="005C200C" w:rsidRDefault="008D77A3" w:rsidP="005C200C">
      <w:pPr>
        <w:pStyle w:val="FootnoteText"/>
        <w:jc w:val="both"/>
        <w:rPr>
          <w:rFonts w:ascii="Arial" w:hAnsi="Arial" w:cs="Arial"/>
        </w:rPr>
      </w:pPr>
      <w:r w:rsidRPr="005C200C">
        <w:rPr>
          <w:rStyle w:val="FootnoteReference"/>
          <w:rFonts w:ascii="Arial" w:hAnsi="Arial" w:cs="Arial"/>
        </w:rPr>
        <w:footnoteRef/>
      </w:r>
      <w:r>
        <w:rPr>
          <w:rFonts w:ascii="Arial" w:hAnsi="Arial" w:cs="Arial"/>
          <w:lang w:val="en-US"/>
        </w:rPr>
        <w:t xml:space="preserve"> </w:t>
      </w:r>
      <w:r w:rsidRPr="005C200C">
        <w:rPr>
          <w:rFonts w:ascii="Arial" w:hAnsi="Arial" w:cs="Arial"/>
          <w:lang w:val="en-US"/>
        </w:rPr>
        <w:t>According to a study conducted by LBH Jakarta, 58% of children in conflict with the law were detained more than 60 days. Referring to the Law No. 3</w:t>
      </w:r>
      <w:r>
        <w:rPr>
          <w:rFonts w:ascii="Arial" w:hAnsi="Arial" w:cs="Arial"/>
          <w:lang w:val="en-US"/>
        </w:rPr>
        <w:t>/</w:t>
      </w:r>
      <w:r w:rsidRPr="005C200C">
        <w:rPr>
          <w:rFonts w:ascii="Arial" w:hAnsi="Arial" w:cs="Arial"/>
          <w:lang w:val="en-US"/>
        </w:rPr>
        <w:t xml:space="preserve"> 1997 on Juvenile Court, the duration for detention of children in all stages is maximum 200 days. </w:t>
      </w:r>
    </w:p>
  </w:footnote>
  <w:footnote w:id="24">
    <w:p w:rsidR="008D77A3" w:rsidRPr="005C200C" w:rsidRDefault="008D77A3" w:rsidP="005C200C">
      <w:pPr>
        <w:pStyle w:val="FootnoteText"/>
        <w:jc w:val="both"/>
        <w:rPr>
          <w:rFonts w:ascii="Arial" w:hAnsi="Arial" w:cs="Arial"/>
        </w:rPr>
      </w:pPr>
      <w:r w:rsidRPr="005C200C">
        <w:rPr>
          <w:rStyle w:val="FootnoteReference"/>
          <w:rFonts w:ascii="Arial" w:hAnsi="Arial" w:cs="Arial"/>
        </w:rPr>
        <w:footnoteRef/>
      </w:r>
      <w:hyperlink r:id="rId5" w:history="1">
        <w:r w:rsidRPr="005C200C">
          <w:rPr>
            <w:rStyle w:val="Hyperlink"/>
            <w:rFonts w:ascii="Arial" w:hAnsi="Arial" w:cs="Arial"/>
          </w:rPr>
          <w:t>http://smslap.ditjenpas.go.id/</w:t>
        </w:r>
      </w:hyperlink>
      <w:r w:rsidRPr="005C200C">
        <w:rPr>
          <w:rFonts w:ascii="Arial" w:hAnsi="Arial" w:cs="Arial"/>
        </w:rPr>
        <w:t>, accessed on 22 May 2013</w:t>
      </w:r>
    </w:p>
  </w:footnote>
  <w:footnote w:id="25">
    <w:p w:rsidR="008D77A3" w:rsidRPr="003B7728" w:rsidRDefault="008D77A3" w:rsidP="0047467A">
      <w:pPr>
        <w:pStyle w:val="FootnoteText"/>
        <w:jc w:val="both"/>
        <w:rPr>
          <w:rFonts w:ascii="Arial" w:hAnsi="Arial" w:cs="Arial"/>
        </w:rPr>
      </w:pPr>
      <w:r w:rsidRPr="003B7728">
        <w:rPr>
          <w:rStyle w:val="FootnoteReference"/>
          <w:rFonts w:ascii="Arial" w:hAnsi="Arial" w:cs="Arial"/>
        </w:rPr>
        <w:footnoteRef/>
      </w:r>
      <w:r w:rsidRPr="003B7728">
        <w:rPr>
          <w:rFonts w:ascii="Arial" w:hAnsi="Arial" w:cs="Arial"/>
        </w:rPr>
        <w:t xml:space="preserve"> The Law No. 3 </w:t>
      </w:r>
      <w:r>
        <w:rPr>
          <w:rFonts w:ascii="Arial" w:hAnsi="Arial" w:cs="Arial"/>
        </w:rPr>
        <w:t>/</w:t>
      </w:r>
      <w:r w:rsidRPr="003B7728">
        <w:rPr>
          <w:rFonts w:ascii="Arial" w:hAnsi="Arial" w:cs="Arial"/>
        </w:rPr>
        <w:t>1997 on Juvenile Court and the Law No. 11</w:t>
      </w:r>
      <w:r>
        <w:rPr>
          <w:rFonts w:ascii="Arial" w:hAnsi="Arial" w:cs="Arial"/>
        </w:rPr>
        <w:t>/</w:t>
      </w:r>
      <w:r w:rsidRPr="003B7728">
        <w:rPr>
          <w:rFonts w:ascii="Arial" w:hAnsi="Arial" w:cs="Arial"/>
        </w:rPr>
        <w:t xml:space="preserve"> 2012 on Juvenile Criminal Justice System are still applying the provision of the Criminal Procedure Code as juvenile criminal procedure.</w:t>
      </w:r>
    </w:p>
  </w:footnote>
  <w:footnote w:id="26">
    <w:p w:rsidR="008D77A3" w:rsidRPr="00F65B87" w:rsidRDefault="008D77A3" w:rsidP="00F25319">
      <w:pPr>
        <w:pStyle w:val="FootnoteText"/>
        <w:jc w:val="both"/>
      </w:pPr>
      <w:r w:rsidRPr="003B7728">
        <w:rPr>
          <w:rStyle w:val="FootnoteReference"/>
          <w:rFonts w:ascii="Arial" w:hAnsi="Arial" w:cs="Arial"/>
        </w:rPr>
        <w:footnoteRef/>
      </w:r>
      <w:r w:rsidR="007451D7">
        <w:rPr>
          <w:rFonts w:ascii="Arial" w:hAnsi="Arial" w:cs="Arial"/>
          <w:lang w:val="en-GB"/>
        </w:rPr>
        <w:t xml:space="preserve"> </w:t>
      </w:r>
      <w:r w:rsidRPr="003B7728">
        <w:rPr>
          <w:rFonts w:ascii="Arial" w:hAnsi="Arial" w:cs="Arial"/>
        </w:rPr>
        <w:t>The Law No. 3</w:t>
      </w:r>
      <w:r>
        <w:rPr>
          <w:rFonts w:ascii="Arial" w:hAnsi="Arial" w:cs="Arial"/>
        </w:rPr>
        <w:t>/</w:t>
      </w:r>
      <w:r w:rsidRPr="003B7728">
        <w:rPr>
          <w:rFonts w:ascii="Arial" w:hAnsi="Arial" w:cs="Arial"/>
        </w:rPr>
        <w:t>1997 on Juvenile Court and the Law No. 11</w:t>
      </w:r>
      <w:r>
        <w:rPr>
          <w:rFonts w:ascii="Arial" w:hAnsi="Arial" w:cs="Arial"/>
        </w:rPr>
        <w:t>/</w:t>
      </w:r>
      <w:r w:rsidRPr="003B7728">
        <w:rPr>
          <w:rFonts w:ascii="Arial" w:hAnsi="Arial" w:cs="Arial"/>
        </w:rPr>
        <w:t xml:space="preserve"> 2012 on Juvenile Criminal Justice System are still applying the provi</w:t>
      </w:r>
      <w:r w:rsidR="009705C1">
        <w:rPr>
          <w:rFonts w:ascii="Arial" w:hAnsi="Arial" w:cs="Arial"/>
          <w:lang w:val="en-GB"/>
        </w:rPr>
        <w:t>s</w:t>
      </w:r>
      <w:r w:rsidRPr="003B7728">
        <w:rPr>
          <w:rFonts w:ascii="Arial" w:hAnsi="Arial" w:cs="Arial"/>
        </w:rPr>
        <w:t>ion of the Criminal Procedure Code as juvenile criminal procedure.</w:t>
      </w:r>
    </w:p>
  </w:footnote>
  <w:footnote w:id="27">
    <w:p w:rsidR="008D77A3" w:rsidRPr="000C4497" w:rsidRDefault="008D77A3">
      <w:pPr>
        <w:pStyle w:val="FootnoteText"/>
        <w:rPr>
          <w:lang w:val="en-US"/>
        </w:rPr>
      </w:pPr>
      <w:r>
        <w:rPr>
          <w:rStyle w:val="FootnoteReference"/>
        </w:rPr>
        <w:footnoteRef/>
      </w:r>
      <w:r>
        <w:t xml:space="preserve"> </w:t>
      </w:r>
      <w:r>
        <w:rPr>
          <w:lang w:val="en-US"/>
        </w:rPr>
        <w:t xml:space="preserve">Comparing to the former regulation which takes up to 200 days, the newer regulation takes up 110 days is still considered too long for the children.  </w:t>
      </w:r>
    </w:p>
  </w:footnote>
  <w:footnote w:id="28">
    <w:p w:rsidR="008D77A3" w:rsidRPr="0008018B" w:rsidRDefault="008D77A3" w:rsidP="00B211AD">
      <w:pPr>
        <w:pStyle w:val="FootnoteText"/>
        <w:rPr>
          <w:rFonts w:ascii="Arial" w:hAnsi="Arial" w:cs="Arial"/>
        </w:rPr>
      </w:pPr>
      <w:r w:rsidRPr="0008018B">
        <w:rPr>
          <w:rStyle w:val="FootnoteReference"/>
          <w:rFonts w:ascii="Arial" w:hAnsi="Arial" w:cs="Arial"/>
        </w:rPr>
        <w:footnoteRef/>
      </w:r>
      <w:r w:rsidR="007451D7">
        <w:rPr>
          <w:rFonts w:ascii="Arial" w:hAnsi="Arial" w:cs="Arial"/>
          <w:lang w:val="en-GB"/>
        </w:rPr>
        <w:t xml:space="preserve"> </w:t>
      </w:r>
      <w:r w:rsidRPr="0008018B">
        <w:rPr>
          <w:rFonts w:ascii="Arial" w:hAnsi="Arial" w:cs="Arial"/>
        </w:rPr>
        <w:t>Report from LBH Apik Jakarta of 2006-2010</w:t>
      </w:r>
      <w:r>
        <w:rPr>
          <w:rFonts w:ascii="Arial" w:hAnsi="Arial" w:cs="Arial"/>
        </w:rPr>
        <w:t>.</w:t>
      </w:r>
    </w:p>
  </w:footnote>
  <w:footnote w:id="29">
    <w:p w:rsidR="008D77A3" w:rsidRPr="0027237A" w:rsidRDefault="008D77A3">
      <w:pPr>
        <w:pStyle w:val="FootnoteText"/>
        <w:rPr>
          <w:lang w:val="en-US"/>
        </w:rPr>
      </w:pPr>
      <w:r>
        <w:rPr>
          <w:rStyle w:val="FootnoteReference"/>
        </w:rPr>
        <w:footnoteRef/>
      </w:r>
      <w:r>
        <w:t xml:space="preserve"> </w:t>
      </w:r>
      <w:hyperlink r:id="rId6" w:history="1">
        <w:r>
          <w:rPr>
            <w:rStyle w:val="Hyperlink"/>
          </w:rPr>
          <w:t>http://english.kompas.com/read/2009/06/12/2040428/Aulia.Says.His.Case.Thick.with.Political.Interests</w:t>
        </w:r>
      </w:hyperlink>
    </w:p>
  </w:footnote>
  <w:footnote w:id="30">
    <w:p w:rsidR="008D77A3" w:rsidRPr="00B172F9" w:rsidRDefault="008D77A3" w:rsidP="00B172F9">
      <w:pPr>
        <w:pStyle w:val="FootnoteText"/>
        <w:rPr>
          <w:rFonts w:ascii="Arial" w:hAnsi="Arial" w:cs="Arial"/>
        </w:rPr>
      </w:pPr>
      <w:r w:rsidRPr="00B172F9">
        <w:rPr>
          <w:rStyle w:val="FootnoteReference"/>
          <w:rFonts w:ascii="Arial" w:hAnsi="Arial" w:cs="Arial"/>
        </w:rPr>
        <w:footnoteRef/>
      </w:r>
      <w:r w:rsidRPr="00B172F9">
        <w:rPr>
          <w:rFonts w:ascii="Arial" w:hAnsi="Arial" w:cs="Arial"/>
        </w:rPr>
        <w:t xml:space="preserve"> Police is the most complained institution, 7 August 2010 can be seen at:</w:t>
      </w:r>
    </w:p>
    <w:p w:rsidR="008D77A3" w:rsidRPr="00B172F9" w:rsidRDefault="008D77A3" w:rsidP="00B172F9">
      <w:pPr>
        <w:spacing w:after="0" w:line="240" w:lineRule="auto"/>
        <w:rPr>
          <w:rFonts w:ascii="Arial" w:hAnsi="Arial" w:cs="Arial"/>
          <w:sz w:val="20"/>
          <w:szCs w:val="20"/>
        </w:rPr>
      </w:pPr>
      <w:hyperlink r:id="rId7" w:history="1">
        <w:r w:rsidRPr="00B172F9">
          <w:rPr>
            <w:rStyle w:val="Hyperlink"/>
            <w:rFonts w:ascii="Arial" w:hAnsi="Arial" w:cs="Arial"/>
            <w:sz w:val="20"/>
            <w:szCs w:val="20"/>
          </w:rPr>
          <w:t>http://nasional.kompas.com/read/2010/08/07/11412176/Kepolisian.Paling.Banyak.Dikeluhkan-3</w:t>
        </w:r>
      </w:hyperlink>
    </w:p>
  </w:footnote>
  <w:footnote w:id="31">
    <w:p w:rsidR="008D77A3" w:rsidRPr="007451D7" w:rsidRDefault="008D77A3">
      <w:pPr>
        <w:pStyle w:val="FootnoteText"/>
        <w:rPr>
          <w:lang w:val="en-GB"/>
        </w:rPr>
      </w:pPr>
      <w:r>
        <w:rPr>
          <w:rStyle w:val="FootnoteReference"/>
        </w:rPr>
        <w:footnoteRef/>
      </w:r>
      <w:r>
        <w:t xml:space="preserve"> </w:t>
      </w:r>
      <w:r w:rsidRPr="007633A1">
        <w:rPr>
          <w:rFonts w:ascii="Arial" w:hAnsi="Arial" w:cs="Arial"/>
        </w:rPr>
        <w:t>UKP-PPP (</w:t>
      </w:r>
      <w:r w:rsidR="007451D7">
        <w:rPr>
          <w:rFonts w:ascii="Arial" w:hAnsi="Arial" w:cs="Arial"/>
          <w:lang w:val="en-US"/>
        </w:rPr>
        <w:t>Task Fo</w:t>
      </w:r>
      <w:r w:rsidRPr="007633A1">
        <w:rPr>
          <w:rFonts w:ascii="Arial" w:hAnsi="Arial" w:cs="Arial"/>
          <w:lang w:val="en-US"/>
        </w:rPr>
        <w:t xml:space="preserve">rce and </w:t>
      </w:r>
      <w:r w:rsidRPr="007633A1">
        <w:rPr>
          <w:rFonts w:ascii="Arial" w:hAnsi="Arial" w:cs="Arial"/>
        </w:rPr>
        <w:t>the Presidential</w:t>
      </w:r>
      <w:r w:rsidRPr="007633A1">
        <w:rPr>
          <w:rFonts w:ascii="Arial" w:hAnsi="Arial" w:cs="Arial"/>
          <w:lang w:val="en-US"/>
        </w:rPr>
        <w:t xml:space="preserve"> Delivery Unit For Development Monitoring and Oversight</w:t>
      </w:r>
      <w:r w:rsidR="007451D7">
        <w:rPr>
          <w:rFonts w:ascii="Arial" w:hAnsi="Arial" w:cs="Arial"/>
          <w:lang w:val="en-US"/>
        </w:rPr>
        <w:t>)</w:t>
      </w:r>
      <w:r w:rsidRPr="007633A1">
        <w:rPr>
          <w:rFonts w:ascii="DroidSansRegular" w:hAnsi="DroidSansRegular"/>
          <w:color w:val="777777"/>
          <w:sz w:val="18"/>
          <w:szCs w:val="18"/>
          <w:shd w:val="clear" w:color="auto" w:fill="F7F7F9"/>
        </w:rPr>
        <w:t>,</w:t>
      </w:r>
      <w:r w:rsidRPr="007633A1">
        <w:rPr>
          <w:rFonts w:ascii="Arial" w:hAnsi="Arial" w:cs="Arial"/>
        </w:rPr>
        <w:t xml:space="preserve"> is a</w:t>
      </w:r>
      <w:r w:rsidRPr="007633A1">
        <w:rPr>
          <w:rFonts w:ascii="Arial" w:hAnsi="Arial" w:cs="Arial"/>
          <w:lang w:val="en-US"/>
        </w:rPr>
        <w:t xml:space="preserve"> presidential </w:t>
      </w:r>
      <w:r w:rsidRPr="007633A1">
        <w:rPr>
          <w:rFonts w:ascii="Arial" w:hAnsi="Arial" w:cs="Arial"/>
        </w:rPr>
        <w:t xml:space="preserve"> unit  for Supervision and Control</w:t>
      </w:r>
      <w:r w:rsidRPr="007633A1">
        <w:rPr>
          <w:rFonts w:ascii="Arial" w:hAnsi="Arial" w:cs="Arial"/>
          <w:lang w:val="en-US"/>
        </w:rPr>
        <w:t xml:space="preserve"> </w:t>
      </w:r>
      <w:r w:rsidRPr="007633A1">
        <w:rPr>
          <w:rFonts w:ascii="Arial" w:hAnsi="Arial" w:cs="Arial"/>
        </w:rPr>
        <w:t>positioned under, and directly responsible to, the president.</w:t>
      </w:r>
      <w:r w:rsidRPr="007633A1">
        <w:rPr>
          <w:rFonts w:ascii="Arial" w:hAnsi="Arial" w:cs="Arial"/>
          <w:lang w:val="en-US"/>
        </w:rPr>
        <w:t xml:space="preserve"> Its b</w:t>
      </w:r>
      <w:r w:rsidRPr="007633A1">
        <w:rPr>
          <w:rFonts w:ascii="Arial" w:hAnsi="Arial" w:cs="Arial"/>
        </w:rPr>
        <w:t xml:space="preserve">asic formation </w:t>
      </w:r>
      <w:r w:rsidRPr="007633A1">
        <w:rPr>
          <w:rFonts w:ascii="Arial" w:hAnsi="Arial" w:cs="Arial"/>
          <w:lang w:val="en-US"/>
        </w:rPr>
        <w:t xml:space="preserve">is </w:t>
      </w:r>
      <w:r w:rsidRPr="007633A1">
        <w:rPr>
          <w:rFonts w:ascii="Arial" w:hAnsi="Arial" w:cs="Arial"/>
        </w:rPr>
        <w:t xml:space="preserve">based on </w:t>
      </w:r>
      <w:r w:rsidRPr="007633A1">
        <w:rPr>
          <w:rFonts w:ascii="Arial" w:hAnsi="Arial" w:cs="Arial"/>
          <w:lang w:val="en-US"/>
        </w:rPr>
        <w:t xml:space="preserve">Presidential Decree </w:t>
      </w:r>
      <w:r w:rsidRPr="007633A1">
        <w:rPr>
          <w:rFonts w:ascii="Arial" w:hAnsi="Arial" w:cs="Arial"/>
        </w:rPr>
        <w:t>No.</w:t>
      </w:r>
      <w:r w:rsidRPr="007633A1">
        <w:rPr>
          <w:rFonts w:ascii="Arial" w:hAnsi="Arial" w:cs="Arial"/>
          <w:lang w:val="en-US"/>
        </w:rPr>
        <w:t xml:space="preserve"> </w:t>
      </w:r>
      <w:r w:rsidRPr="007633A1">
        <w:rPr>
          <w:rFonts w:ascii="Arial" w:hAnsi="Arial" w:cs="Arial"/>
        </w:rPr>
        <w:t>54 in 2009. In</w:t>
      </w:r>
      <w:r w:rsidRPr="004478FB">
        <w:rPr>
          <w:rFonts w:ascii="Arial" w:hAnsi="Arial" w:cs="Arial"/>
          <w:b/>
        </w:rPr>
        <w:t xml:space="preserve"> </w:t>
      </w:r>
      <w:r w:rsidRPr="007633A1">
        <w:rPr>
          <w:rFonts w:ascii="Arial" w:hAnsi="Arial" w:cs="Arial"/>
        </w:rPr>
        <w:t xml:space="preserve">performing its duties, UKP-PPP </w:t>
      </w:r>
      <w:r w:rsidRPr="007633A1">
        <w:rPr>
          <w:rFonts w:ascii="Arial" w:hAnsi="Arial" w:cs="Arial"/>
          <w:lang w:val="en-US"/>
        </w:rPr>
        <w:t xml:space="preserve">has a </w:t>
      </w:r>
      <w:r w:rsidRPr="007633A1">
        <w:rPr>
          <w:rFonts w:ascii="Arial" w:hAnsi="Arial" w:cs="Arial"/>
        </w:rPr>
        <w:t>collaboration with the Vice-President and coordinate</w:t>
      </w:r>
      <w:r w:rsidRPr="007633A1">
        <w:rPr>
          <w:rFonts w:ascii="Arial" w:hAnsi="Arial" w:cs="Arial"/>
          <w:lang w:val="en-US"/>
        </w:rPr>
        <w:t>s</w:t>
      </w:r>
      <w:r w:rsidRPr="007633A1">
        <w:rPr>
          <w:rFonts w:ascii="Arial" w:hAnsi="Arial" w:cs="Arial"/>
        </w:rPr>
        <w:t xml:space="preserve"> with and obtains information and technical support-ministries, </w:t>
      </w:r>
      <w:r w:rsidRPr="007633A1">
        <w:rPr>
          <w:rFonts w:ascii="Arial" w:hAnsi="Arial" w:cs="Arial"/>
          <w:lang w:val="en-US"/>
        </w:rPr>
        <w:t xml:space="preserve">non ministries, </w:t>
      </w:r>
      <w:r w:rsidRPr="007633A1">
        <w:rPr>
          <w:rFonts w:ascii="Arial" w:hAnsi="Arial" w:cs="Arial"/>
        </w:rPr>
        <w:t xml:space="preserve">government agencies, local governments (LGs), and other relevant parties. </w:t>
      </w:r>
      <w:r w:rsidRPr="007633A1">
        <w:rPr>
          <w:rFonts w:ascii="Arial" w:hAnsi="Arial" w:cs="Arial"/>
          <w:lang w:val="en-US"/>
        </w:rPr>
        <w:t>D</w:t>
      </w:r>
      <w:r w:rsidRPr="007633A1">
        <w:rPr>
          <w:rFonts w:ascii="Arial" w:hAnsi="Arial" w:cs="Arial"/>
        </w:rPr>
        <w:t>uties</w:t>
      </w:r>
      <w:r w:rsidR="009705C1">
        <w:rPr>
          <w:rFonts w:ascii="Arial" w:hAnsi="Arial" w:cs="Arial"/>
          <w:lang w:val="en-US"/>
        </w:rPr>
        <w:t xml:space="preserve"> of</w:t>
      </w:r>
      <w:r w:rsidRPr="007633A1">
        <w:rPr>
          <w:rFonts w:ascii="Arial" w:hAnsi="Arial" w:cs="Arial"/>
        </w:rPr>
        <w:t xml:space="preserve"> UKP-PPP, according to Article 3 of Presidential Decree 54/2009, </w:t>
      </w:r>
      <w:r w:rsidR="009705C1">
        <w:rPr>
          <w:rFonts w:ascii="Arial" w:hAnsi="Arial" w:cs="Arial"/>
          <w:lang w:val="en-GB"/>
        </w:rPr>
        <w:t xml:space="preserve">are </w:t>
      </w:r>
      <w:bookmarkStart w:id="0" w:name="_GoBack"/>
      <w:bookmarkEnd w:id="0"/>
      <w:r w:rsidRPr="007633A1">
        <w:rPr>
          <w:rFonts w:ascii="Arial" w:hAnsi="Arial" w:cs="Arial"/>
        </w:rPr>
        <w:t xml:space="preserve"> "to assist the President in carrying out the supervision and control of the development so as to achieve national development targets with full settlement</w:t>
      </w:r>
      <w:r w:rsidR="007451D7">
        <w:rPr>
          <w:rFonts w:ascii="Arial" w:hAnsi="Arial" w:cs="Arial"/>
          <w:lang w:val="en-GB"/>
        </w:rPr>
        <w:t>.</w:t>
      </w:r>
    </w:p>
  </w:footnote>
  <w:footnote w:id="32">
    <w:p w:rsidR="008D77A3" w:rsidRPr="00A836B3" w:rsidRDefault="008D77A3">
      <w:pPr>
        <w:pStyle w:val="FootnoteText"/>
        <w:rPr>
          <w:lang w:val="en-US"/>
        </w:rPr>
      </w:pPr>
      <w:r>
        <w:rPr>
          <w:rStyle w:val="FootnoteReference"/>
        </w:rPr>
        <w:footnoteRef/>
      </w:r>
      <w:r>
        <w:rPr>
          <w:lang w:val="en-US"/>
        </w:rPr>
        <w:t xml:space="preserve">Source :  Court Trial Monitoring  of Torture Case by ELSAM and LBH Padang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B74"/>
    <w:multiLevelType w:val="hybridMultilevel"/>
    <w:tmpl w:val="63B6D862"/>
    <w:lvl w:ilvl="0" w:tplc="040C000F">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B7753D"/>
    <w:multiLevelType w:val="hybridMultilevel"/>
    <w:tmpl w:val="90848B4A"/>
    <w:lvl w:ilvl="0" w:tplc="05C489B8">
      <w:start w:val="12"/>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CF2B48"/>
    <w:multiLevelType w:val="hybridMultilevel"/>
    <w:tmpl w:val="CE5E77B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326FBC"/>
    <w:multiLevelType w:val="hybridMultilevel"/>
    <w:tmpl w:val="26CE1D4E"/>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2531F9"/>
    <w:multiLevelType w:val="hybridMultilevel"/>
    <w:tmpl w:val="69DC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82A66"/>
    <w:multiLevelType w:val="hybridMultilevel"/>
    <w:tmpl w:val="B7F4A4F4"/>
    <w:lvl w:ilvl="0" w:tplc="CE5C3CE4">
      <w:start w:val="45"/>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015F0E"/>
    <w:multiLevelType w:val="multilevel"/>
    <w:tmpl w:val="EB0853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73E041E"/>
    <w:multiLevelType w:val="hybridMultilevel"/>
    <w:tmpl w:val="0298D32A"/>
    <w:lvl w:ilvl="0" w:tplc="00C86D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0BC37C2"/>
    <w:multiLevelType w:val="hybridMultilevel"/>
    <w:tmpl w:val="89A064D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CB21AE0"/>
    <w:multiLevelType w:val="hybridMultilevel"/>
    <w:tmpl w:val="76DA215A"/>
    <w:lvl w:ilvl="0" w:tplc="94F29E30">
      <w:start w:val="6"/>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91D1E"/>
    <w:multiLevelType w:val="hybridMultilevel"/>
    <w:tmpl w:val="35D477AC"/>
    <w:lvl w:ilvl="0" w:tplc="0421000F">
      <w:start w:val="1"/>
      <w:numFmt w:val="decimal"/>
      <w:lvlText w:val="%1."/>
      <w:lvlJc w:val="left"/>
      <w:pPr>
        <w:ind w:left="135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A325AF"/>
    <w:multiLevelType w:val="hybridMultilevel"/>
    <w:tmpl w:val="5270271C"/>
    <w:lvl w:ilvl="0" w:tplc="D4D477B0">
      <w:start w:val="24"/>
      <w:numFmt w:val="decimal"/>
      <w:lvlText w:val="%1."/>
      <w:lvlJc w:val="left"/>
      <w:pPr>
        <w:ind w:left="720" w:hanging="360"/>
      </w:pPr>
      <w:rPr>
        <w:rFonts w:ascii="Arial" w:hAnsi="Arial" w:cs="Arial"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006176"/>
    <w:multiLevelType w:val="hybridMultilevel"/>
    <w:tmpl w:val="715062C2"/>
    <w:lvl w:ilvl="0" w:tplc="040C000F">
      <w:start w:val="3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6065DD"/>
    <w:multiLevelType w:val="hybridMultilevel"/>
    <w:tmpl w:val="5E229E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8E965D0"/>
    <w:multiLevelType w:val="hybridMultilevel"/>
    <w:tmpl w:val="2FBEDCBE"/>
    <w:lvl w:ilvl="0" w:tplc="EF729194">
      <w:start w:val="1"/>
      <w:numFmt w:val="upperRoman"/>
      <w:lvlText w:val="%1."/>
      <w:lvlJc w:val="left"/>
      <w:pPr>
        <w:ind w:left="720" w:hanging="360"/>
      </w:pPr>
      <w:rPr>
        <w:rFonts w:ascii="Arial" w:eastAsia="Calibri" w:hAnsi="Arial" w:cs="Aria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806A75"/>
    <w:multiLevelType w:val="hybridMultilevel"/>
    <w:tmpl w:val="3AE48DF6"/>
    <w:lvl w:ilvl="0" w:tplc="F448FF0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8"/>
  </w:num>
  <w:num w:numId="5">
    <w:abstractNumId w:val="9"/>
  </w:num>
  <w:num w:numId="6">
    <w:abstractNumId w:val="4"/>
  </w:num>
  <w:num w:numId="7">
    <w:abstractNumId w:val="15"/>
  </w:num>
  <w:num w:numId="8">
    <w:abstractNumId w:val="2"/>
  </w:num>
  <w:num w:numId="9">
    <w:abstractNumId w:val="3"/>
  </w:num>
  <w:num w:numId="10">
    <w:abstractNumId w:val="1"/>
  </w:num>
  <w:num w:numId="11">
    <w:abstractNumId w:val="11"/>
  </w:num>
  <w:num w:numId="12">
    <w:abstractNumId w:val="0"/>
  </w:num>
  <w:num w:numId="13">
    <w:abstractNumId w:val="12"/>
  </w:num>
  <w:num w:numId="14">
    <w:abstractNumId w:val="5"/>
  </w:num>
  <w:num w:numId="15">
    <w:abstractNumId w:val="6"/>
  </w:num>
  <w:num w:numId="1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21DA"/>
    <w:rsid w:val="00001242"/>
    <w:rsid w:val="00003A40"/>
    <w:rsid w:val="00003A99"/>
    <w:rsid w:val="00005C65"/>
    <w:rsid w:val="00011BB5"/>
    <w:rsid w:val="00013C10"/>
    <w:rsid w:val="0001666E"/>
    <w:rsid w:val="00031689"/>
    <w:rsid w:val="000336AC"/>
    <w:rsid w:val="00041D41"/>
    <w:rsid w:val="000444A4"/>
    <w:rsid w:val="00051DF9"/>
    <w:rsid w:val="000520D4"/>
    <w:rsid w:val="00056884"/>
    <w:rsid w:val="00060FF8"/>
    <w:rsid w:val="00062DDB"/>
    <w:rsid w:val="00063DF3"/>
    <w:rsid w:val="00064BA6"/>
    <w:rsid w:val="00064C42"/>
    <w:rsid w:val="00072183"/>
    <w:rsid w:val="0007436C"/>
    <w:rsid w:val="0008018B"/>
    <w:rsid w:val="00084D27"/>
    <w:rsid w:val="00090D70"/>
    <w:rsid w:val="00094BE7"/>
    <w:rsid w:val="000A0314"/>
    <w:rsid w:val="000A3EF6"/>
    <w:rsid w:val="000A5343"/>
    <w:rsid w:val="000A53EE"/>
    <w:rsid w:val="000A5E50"/>
    <w:rsid w:val="000B4894"/>
    <w:rsid w:val="000B6AC6"/>
    <w:rsid w:val="000C09AC"/>
    <w:rsid w:val="000C4497"/>
    <w:rsid w:val="000C46F8"/>
    <w:rsid w:val="000C77B9"/>
    <w:rsid w:val="000D041D"/>
    <w:rsid w:val="000D10D1"/>
    <w:rsid w:val="000D15FE"/>
    <w:rsid w:val="000D785B"/>
    <w:rsid w:val="000F692A"/>
    <w:rsid w:val="000F7D64"/>
    <w:rsid w:val="00103C24"/>
    <w:rsid w:val="0010728D"/>
    <w:rsid w:val="001118B6"/>
    <w:rsid w:val="00112E14"/>
    <w:rsid w:val="00115C72"/>
    <w:rsid w:val="00116122"/>
    <w:rsid w:val="00117756"/>
    <w:rsid w:val="00123E21"/>
    <w:rsid w:val="00131FBB"/>
    <w:rsid w:val="00132C63"/>
    <w:rsid w:val="00134A7F"/>
    <w:rsid w:val="0013547B"/>
    <w:rsid w:val="00141B3D"/>
    <w:rsid w:val="00141FEF"/>
    <w:rsid w:val="00145403"/>
    <w:rsid w:val="00146954"/>
    <w:rsid w:val="001611D7"/>
    <w:rsid w:val="0016483D"/>
    <w:rsid w:val="00165519"/>
    <w:rsid w:val="0016620C"/>
    <w:rsid w:val="001740F7"/>
    <w:rsid w:val="00181F53"/>
    <w:rsid w:val="00182541"/>
    <w:rsid w:val="00190107"/>
    <w:rsid w:val="001912AB"/>
    <w:rsid w:val="00192260"/>
    <w:rsid w:val="001966F8"/>
    <w:rsid w:val="0019746B"/>
    <w:rsid w:val="001A0A8E"/>
    <w:rsid w:val="001A5568"/>
    <w:rsid w:val="001A6EB1"/>
    <w:rsid w:val="001B2668"/>
    <w:rsid w:val="001B3970"/>
    <w:rsid w:val="001B40BB"/>
    <w:rsid w:val="001B557F"/>
    <w:rsid w:val="001B5732"/>
    <w:rsid w:val="001B5FF1"/>
    <w:rsid w:val="001B6418"/>
    <w:rsid w:val="001B6F59"/>
    <w:rsid w:val="001C05AA"/>
    <w:rsid w:val="001C551D"/>
    <w:rsid w:val="001D134B"/>
    <w:rsid w:val="001D5160"/>
    <w:rsid w:val="001E2D60"/>
    <w:rsid w:val="001E5B92"/>
    <w:rsid w:val="001E6DB7"/>
    <w:rsid w:val="001E6EBA"/>
    <w:rsid w:val="001E7D0C"/>
    <w:rsid w:val="001F4865"/>
    <w:rsid w:val="001F5521"/>
    <w:rsid w:val="001F5B57"/>
    <w:rsid w:val="001F710C"/>
    <w:rsid w:val="002001A6"/>
    <w:rsid w:val="00202139"/>
    <w:rsid w:val="00216BB9"/>
    <w:rsid w:val="00216D16"/>
    <w:rsid w:val="00222BAC"/>
    <w:rsid w:val="00223096"/>
    <w:rsid w:val="00226119"/>
    <w:rsid w:val="00227C77"/>
    <w:rsid w:val="002336DA"/>
    <w:rsid w:val="00237DAE"/>
    <w:rsid w:val="002413F5"/>
    <w:rsid w:val="00241AD1"/>
    <w:rsid w:val="0025366E"/>
    <w:rsid w:val="0025549E"/>
    <w:rsid w:val="00256685"/>
    <w:rsid w:val="00256F42"/>
    <w:rsid w:val="00262287"/>
    <w:rsid w:val="00262388"/>
    <w:rsid w:val="002649F5"/>
    <w:rsid w:val="00270A27"/>
    <w:rsid w:val="0027237A"/>
    <w:rsid w:val="00281BA1"/>
    <w:rsid w:val="0028616C"/>
    <w:rsid w:val="0029066F"/>
    <w:rsid w:val="0029271D"/>
    <w:rsid w:val="00294193"/>
    <w:rsid w:val="00295E25"/>
    <w:rsid w:val="002A00C9"/>
    <w:rsid w:val="002A7855"/>
    <w:rsid w:val="002A7BC6"/>
    <w:rsid w:val="002B279A"/>
    <w:rsid w:val="002C0169"/>
    <w:rsid w:val="002C4F81"/>
    <w:rsid w:val="002C5868"/>
    <w:rsid w:val="002C6E82"/>
    <w:rsid w:val="002D430F"/>
    <w:rsid w:val="002D7DAC"/>
    <w:rsid w:val="002E245E"/>
    <w:rsid w:val="002E3C13"/>
    <w:rsid w:val="002E415B"/>
    <w:rsid w:val="002E4D33"/>
    <w:rsid w:val="002E654B"/>
    <w:rsid w:val="002E781D"/>
    <w:rsid w:val="002F0003"/>
    <w:rsid w:val="002F03AF"/>
    <w:rsid w:val="002F3236"/>
    <w:rsid w:val="00300CED"/>
    <w:rsid w:val="0030338C"/>
    <w:rsid w:val="003055C0"/>
    <w:rsid w:val="003077B0"/>
    <w:rsid w:val="00312CE5"/>
    <w:rsid w:val="003353F1"/>
    <w:rsid w:val="003403D0"/>
    <w:rsid w:val="003418B2"/>
    <w:rsid w:val="00343A09"/>
    <w:rsid w:val="00343C49"/>
    <w:rsid w:val="00343C74"/>
    <w:rsid w:val="00344377"/>
    <w:rsid w:val="003456D0"/>
    <w:rsid w:val="00346DD8"/>
    <w:rsid w:val="00347214"/>
    <w:rsid w:val="00355FAB"/>
    <w:rsid w:val="00362D93"/>
    <w:rsid w:val="00366D87"/>
    <w:rsid w:val="00371743"/>
    <w:rsid w:val="0037232E"/>
    <w:rsid w:val="003828CE"/>
    <w:rsid w:val="003848D1"/>
    <w:rsid w:val="00391B9E"/>
    <w:rsid w:val="003A31DD"/>
    <w:rsid w:val="003A3CAB"/>
    <w:rsid w:val="003B21DA"/>
    <w:rsid w:val="003B3013"/>
    <w:rsid w:val="003B3951"/>
    <w:rsid w:val="003B7728"/>
    <w:rsid w:val="003C1EA8"/>
    <w:rsid w:val="003C35C9"/>
    <w:rsid w:val="003C4FF8"/>
    <w:rsid w:val="003D1B0C"/>
    <w:rsid w:val="003D34BC"/>
    <w:rsid w:val="003D40FF"/>
    <w:rsid w:val="003D5FB0"/>
    <w:rsid w:val="003E2A9E"/>
    <w:rsid w:val="003E48C1"/>
    <w:rsid w:val="003E54D3"/>
    <w:rsid w:val="003E7F1B"/>
    <w:rsid w:val="003F3504"/>
    <w:rsid w:val="003F3A62"/>
    <w:rsid w:val="0040059B"/>
    <w:rsid w:val="004037EF"/>
    <w:rsid w:val="0040442A"/>
    <w:rsid w:val="00404614"/>
    <w:rsid w:val="00405112"/>
    <w:rsid w:val="00407A94"/>
    <w:rsid w:val="00414AC7"/>
    <w:rsid w:val="004167BB"/>
    <w:rsid w:val="004202FE"/>
    <w:rsid w:val="00420317"/>
    <w:rsid w:val="00420759"/>
    <w:rsid w:val="0043350B"/>
    <w:rsid w:val="004344AC"/>
    <w:rsid w:val="00436E86"/>
    <w:rsid w:val="0043766B"/>
    <w:rsid w:val="00437755"/>
    <w:rsid w:val="00440999"/>
    <w:rsid w:val="00442F56"/>
    <w:rsid w:val="00442FFE"/>
    <w:rsid w:val="00443926"/>
    <w:rsid w:val="00446CC0"/>
    <w:rsid w:val="0044706F"/>
    <w:rsid w:val="004478FB"/>
    <w:rsid w:val="00451D66"/>
    <w:rsid w:val="00452C24"/>
    <w:rsid w:val="0046099D"/>
    <w:rsid w:val="00462E64"/>
    <w:rsid w:val="0046566E"/>
    <w:rsid w:val="004658EE"/>
    <w:rsid w:val="00466CB4"/>
    <w:rsid w:val="0047176F"/>
    <w:rsid w:val="00472625"/>
    <w:rsid w:val="0047467A"/>
    <w:rsid w:val="00475457"/>
    <w:rsid w:val="00475A8C"/>
    <w:rsid w:val="004764C6"/>
    <w:rsid w:val="00477872"/>
    <w:rsid w:val="00487ADC"/>
    <w:rsid w:val="00491366"/>
    <w:rsid w:val="00492004"/>
    <w:rsid w:val="004A242C"/>
    <w:rsid w:val="004A3219"/>
    <w:rsid w:val="004A3898"/>
    <w:rsid w:val="004A61E7"/>
    <w:rsid w:val="004A6AF3"/>
    <w:rsid w:val="004B09F3"/>
    <w:rsid w:val="004B3A68"/>
    <w:rsid w:val="004B5C45"/>
    <w:rsid w:val="004B60F7"/>
    <w:rsid w:val="004D1FEC"/>
    <w:rsid w:val="004D27A4"/>
    <w:rsid w:val="004D4DA0"/>
    <w:rsid w:val="004D7608"/>
    <w:rsid w:val="004D7837"/>
    <w:rsid w:val="004E0E5D"/>
    <w:rsid w:val="004E2646"/>
    <w:rsid w:val="004F07FB"/>
    <w:rsid w:val="004F20B0"/>
    <w:rsid w:val="004F6046"/>
    <w:rsid w:val="004F6C9C"/>
    <w:rsid w:val="005001A2"/>
    <w:rsid w:val="005063EC"/>
    <w:rsid w:val="00506F48"/>
    <w:rsid w:val="00516510"/>
    <w:rsid w:val="00522659"/>
    <w:rsid w:val="00526BFD"/>
    <w:rsid w:val="00532744"/>
    <w:rsid w:val="00534C1E"/>
    <w:rsid w:val="00536FFB"/>
    <w:rsid w:val="005442A4"/>
    <w:rsid w:val="00550832"/>
    <w:rsid w:val="00550B14"/>
    <w:rsid w:val="00554293"/>
    <w:rsid w:val="00554F41"/>
    <w:rsid w:val="005564BE"/>
    <w:rsid w:val="0056487D"/>
    <w:rsid w:val="00565ED4"/>
    <w:rsid w:val="0057287C"/>
    <w:rsid w:val="00577B4A"/>
    <w:rsid w:val="00582648"/>
    <w:rsid w:val="005836AC"/>
    <w:rsid w:val="005846E8"/>
    <w:rsid w:val="00586EFB"/>
    <w:rsid w:val="0059554A"/>
    <w:rsid w:val="005A39CE"/>
    <w:rsid w:val="005B1459"/>
    <w:rsid w:val="005B7F01"/>
    <w:rsid w:val="005C06A4"/>
    <w:rsid w:val="005C08D0"/>
    <w:rsid w:val="005C200C"/>
    <w:rsid w:val="005C6EF1"/>
    <w:rsid w:val="005D0B2F"/>
    <w:rsid w:val="005D0FD1"/>
    <w:rsid w:val="005D1716"/>
    <w:rsid w:val="005D70A6"/>
    <w:rsid w:val="005F0F63"/>
    <w:rsid w:val="005F1032"/>
    <w:rsid w:val="005F3AAA"/>
    <w:rsid w:val="00600E5D"/>
    <w:rsid w:val="006020C5"/>
    <w:rsid w:val="006045F5"/>
    <w:rsid w:val="00604E19"/>
    <w:rsid w:val="00606C1B"/>
    <w:rsid w:val="00606E3D"/>
    <w:rsid w:val="00607CF1"/>
    <w:rsid w:val="0061429E"/>
    <w:rsid w:val="006168F7"/>
    <w:rsid w:val="00621637"/>
    <w:rsid w:val="006229FA"/>
    <w:rsid w:val="00626752"/>
    <w:rsid w:val="00630BB9"/>
    <w:rsid w:val="00631257"/>
    <w:rsid w:val="00632386"/>
    <w:rsid w:val="006346F1"/>
    <w:rsid w:val="0063771C"/>
    <w:rsid w:val="00646D85"/>
    <w:rsid w:val="00650913"/>
    <w:rsid w:val="006512DA"/>
    <w:rsid w:val="00655688"/>
    <w:rsid w:val="006565DC"/>
    <w:rsid w:val="0065673B"/>
    <w:rsid w:val="00657035"/>
    <w:rsid w:val="006575D3"/>
    <w:rsid w:val="00657D06"/>
    <w:rsid w:val="00663AF2"/>
    <w:rsid w:val="00664D21"/>
    <w:rsid w:val="00665306"/>
    <w:rsid w:val="006669D5"/>
    <w:rsid w:val="00666FE9"/>
    <w:rsid w:val="006712F5"/>
    <w:rsid w:val="0067159F"/>
    <w:rsid w:val="00671F74"/>
    <w:rsid w:val="00677F33"/>
    <w:rsid w:val="00682153"/>
    <w:rsid w:val="0068521B"/>
    <w:rsid w:val="00685EDA"/>
    <w:rsid w:val="00690072"/>
    <w:rsid w:val="006940D9"/>
    <w:rsid w:val="0069559F"/>
    <w:rsid w:val="006A09E3"/>
    <w:rsid w:val="006A3FC3"/>
    <w:rsid w:val="006A61E3"/>
    <w:rsid w:val="006A7F4D"/>
    <w:rsid w:val="006B295B"/>
    <w:rsid w:val="006B4A8C"/>
    <w:rsid w:val="006B5766"/>
    <w:rsid w:val="006B5FFA"/>
    <w:rsid w:val="006C4232"/>
    <w:rsid w:val="006C6FBB"/>
    <w:rsid w:val="006C7707"/>
    <w:rsid w:val="006D0983"/>
    <w:rsid w:val="006E0FC1"/>
    <w:rsid w:val="006E2B3D"/>
    <w:rsid w:val="006F375F"/>
    <w:rsid w:val="006F3AFE"/>
    <w:rsid w:val="006F563A"/>
    <w:rsid w:val="006F6F97"/>
    <w:rsid w:val="006F7AF0"/>
    <w:rsid w:val="00703504"/>
    <w:rsid w:val="00707F18"/>
    <w:rsid w:val="00710EE3"/>
    <w:rsid w:val="00713749"/>
    <w:rsid w:val="00716A52"/>
    <w:rsid w:val="007227A4"/>
    <w:rsid w:val="007227E5"/>
    <w:rsid w:val="00727DA6"/>
    <w:rsid w:val="0073186D"/>
    <w:rsid w:val="007325B0"/>
    <w:rsid w:val="00733240"/>
    <w:rsid w:val="00733968"/>
    <w:rsid w:val="00740554"/>
    <w:rsid w:val="007451D7"/>
    <w:rsid w:val="00745734"/>
    <w:rsid w:val="00746B89"/>
    <w:rsid w:val="00746FE2"/>
    <w:rsid w:val="0075356E"/>
    <w:rsid w:val="00753FEB"/>
    <w:rsid w:val="00754587"/>
    <w:rsid w:val="00756441"/>
    <w:rsid w:val="007622ED"/>
    <w:rsid w:val="007633A1"/>
    <w:rsid w:val="007653BC"/>
    <w:rsid w:val="007708E6"/>
    <w:rsid w:val="00787360"/>
    <w:rsid w:val="00793D2F"/>
    <w:rsid w:val="007A3636"/>
    <w:rsid w:val="007A49A5"/>
    <w:rsid w:val="007A54D9"/>
    <w:rsid w:val="007A730B"/>
    <w:rsid w:val="007B0423"/>
    <w:rsid w:val="007B05DC"/>
    <w:rsid w:val="007B07CA"/>
    <w:rsid w:val="007B2169"/>
    <w:rsid w:val="007B2FC8"/>
    <w:rsid w:val="007B5E1E"/>
    <w:rsid w:val="007B65B7"/>
    <w:rsid w:val="007B670F"/>
    <w:rsid w:val="007C0742"/>
    <w:rsid w:val="007C1193"/>
    <w:rsid w:val="007C1D60"/>
    <w:rsid w:val="007C5642"/>
    <w:rsid w:val="007C7668"/>
    <w:rsid w:val="007D1736"/>
    <w:rsid w:val="007D7ED6"/>
    <w:rsid w:val="007E38B1"/>
    <w:rsid w:val="007E5488"/>
    <w:rsid w:val="007F3D60"/>
    <w:rsid w:val="007F7EFB"/>
    <w:rsid w:val="0080288A"/>
    <w:rsid w:val="008042EE"/>
    <w:rsid w:val="00807815"/>
    <w:rsid w:val="00810E8F"/>
    <w:rsid w:val="0081159B"/>
    <w:rsid w:val="00812B31"/>
    <w:rsid w:val="00814647"/>
    <w:rsid w:val="00814B47"/>
    <w:rsid w:val="00816F37"/>
    <w:rsid w:val="00821825"/>
    <w:rsid w:val="00824C16"/>
    <w:rsid w:val="00825A07"/>
    <w:rsid w:val="0082632F"/>
    <w:rsid w:val="0082765B"/>
    <w:rsid w:val="008302B1"/>
    <w:rsid w:val="0083211D"/>
    <w:rsid w:val="0084197B"/>
    <w:rsid w:val="00841E1D"/>
    <w:rsid w:val="00852090"/>
    <w:rsid w:val="008545C3"/>
    <w:rsid w:val="00855A62"/>
    <w:rsid w:val="00860B97"/>
    <w:rsid w:val="00862CA1"/>
    <w:rsid w:val="00863C4F"/>
    <w:rsid w:val="0086587D"/>
    <w:rsid w:val="00873DBB"/>
    <w:rsid w:val="00876650"/>
    <w:rsid w:val="00894B16"/>
    <w:rsid w:val="0089585B"/>
    <w:rsid w:val="0089598E"/>
    <w:rsid w:val="008965AE"/>
    <w:rsid w:val="008A1491"/>
    <w:rsid w:val="008A23D3"/>
    <w:rsid w:val="008A3ACD"/>
    <w:rsid w:val="008A44E5"/>
    <w:rsid w:val="008A47F8"/>
    <w:rsid w:val="008A5D46"/>
    <w:rsid w:val="008A63B2"/>
    <w:rsid w:val="008B0DED"/>
    <w:rsid w:val="008B50E5"/>
    <w:rsid w:val="008C0A3E"/>
    <w:rsid w:val="008C118F"/>
    <w:rsid w:val="008C23F4"/>
    <w:rsid w:val="008C74E0"/>
    <w:rsid w:val="008D18E2"/>
    <w:rsid w:val="008D3AFA"/>
    <w:rsid w:val="008D7473"/>
    <w:rsid w:val="008D77A3"/>
    <w:rsid w:val="008E107E"/>
    <w:rsid w:val="008E1B06"/>
    <w:rsid w:val="008E2380"/>
    <w:rsid w:val="008E4D03"/>
    <w:rsid w:val="008F0F96"/>
    <w:rsid w:val="008F1134"/>
    <w:rsid w:val="008F398C"/>
    <w:rsid w:val="008F3B81"/>
    <w:rsid w:val="008F6D3D"/>
    <w:rsid w:val="00901EFD"/>
    <w:rsid w:val="00903063"/>
    <w:rsid w:val="0090352A"/>
    <w:rsid w:val="00906313"/>
    <w:rsid w:val="009101EE"/>
    <w:rsid w:val="0091026D"/>
    <w:rsid w:val="00912F7E"/>
    <w:rsid w:val="00914FDD"/>
    <w:rsid w:val="00917B2F"/>
    <w:rsid w:val="00923241"/>
    <w:rsid w:val="00930C44"/>
    <w:rsid w:val="00930F1F"/>
    <w:rsid w:val="009325B4"/>
    <w:rsid w:val="00932729"/>
    <w:rsid w:val="009376F2"/>
    <w:rsid w:val="009405A8"/>
    <w:rsid w:val="009461E5"/>
    <w:rsid w:val="00947310"/>
    <w:rsid w:val="009568E7"/>
    <w:rsid w:val="009630C3"/>
    <w:rsid w:val="0096472C"/>
    <w:rsid w:val="00964AB7"/>
    <w:rsid w:val="009652F3"/>
    <w:rsid w:val="009705C1"/>
    <w:rsid w:val="009705EF"/>
    <w:rsid w:val="00970CF7"/>
    <w:rsid w:val="00972624"/>
    <w:rsid w:val="00974DCB"/>
    <w:rsid w:val="00982663"/>
    <w:rsid w:val="00991890"/>
    <w:rsid w:val="00994DAF"/>
    <w:rsid w:val="0099780A"/>
    <w:rsid w:val="009979CA"/>
    <w:rsid w:val="009A6B16"/>
    <w:rsid w:val="009A73BC"/>
    <w:rsid w:val="009B170E"/>
    <w:rsid w:val="009B1751"/>
    <w:rsid w:val="009B5189"/>
    <w:rsid w:val="009B5987"/>
    <w:rsid w:val="009C37DA"/>
    <w:rsid w:val="009C4642"/>
    <w:rsid w:val="009C5E65"/>
    <w:rsid w:val="009D080A"/>
    <w:rsid w:val="009D1622"/>
    <w:rsid w:val="009D274C"/>
    <w:rsid w:val="009D4B19"/>
    <w:rsid w:val="009D6306"/>
    <w:rsid w:val="009D6C21"/>
    <w:rsid w:val="009D77BC"/>
    <w:rsid w:val="009E11A3"/>
    <w:rsid w:val="009E2663"/>
    <w:rsid w:val="009E2A42"/>
    <w:rsid w:val="009E3EEB"/>
    <w:rsid w:val="009F256E"/>
    <w:rsid w:val="009F5BAF"/>
    <w:rsid w:val="00A04BDA"/>
    <w:rsid w:val="00A10F3A"/>
    <w:rsid w:val="00A125A1"/>
    <w:rsid w:val="00A175D0"/>
    <w:rsid w:val="00A20538"/>
    <w:rsid w:val="00A223B4"/>
    <w:rsid w:val="00A24922"/>
    <w:rsid w:val="00A25968"/>
    <w:rsid w:val="00A26A14"/>
    <w:rsid w:val="00A30E26"/>
    <w:rsid w:val="00A41DDD"/>
    <w:rsid w:val="00A43F6B"/>
    <w:rsid w:val="00A44DFB"/>
    <w:rsid w:val="00A4713A"/>
    <w:rsid w:val="00A53056"/>
    <w:rsid w:val="00A5466B"/>
    <w:rsid w:val="00A556AC"/>
    <w:rsid w:val="00A62897"/>
    <w:rsid w:val="00A63191"/>
    <w:rsid w:val="00A635EE"/>
    <w:rsid w:val="00A636D4"/>
    <w:rsid w:val="00A63F51"/>
    <w:rsid w:val="00A6407E"/>
    <w:rsid w:val="00A71BF0"/>
    <w:rsid w:val="00A74B32"/>
    <w:rsid w:val="00A85CA6"/>
    <w:rsid w:val="00A91BB5"/>
    <w:rsid w:val="00A93F7C"/>
    <w:rsid w:val="00A94C62"/>
    <w:rsid w:val="00A95104"/>
    <w:rsid w:val="00A9603E"/>
    <w:rsid w:val="00AA1161"/>
    <w:rsid w:val="00AA4C4B"/>
    <w:rsid w:val="00AA65BE"/>
    <w:rsid w:val="00AB0E93"/>
    <w:rsid w:val="00AB5003"/>
    <w:rsid w:val="00AC23BE"/>
    <w:rsid w:val="00AC29E0"/>
    <w:rsid w:val="00AC4B13"/>
    <w:rsid w:val="00AC7145"/>
    <w:rsid w:val="00AC7359"/>
    <w:rsid w:val="00AE0CED"/>
    <w:rsid w:val="00AE1533"/>
    <w:rsid w:val="00AE1FA9"/>
    <w:rsid w:val="00AE4C54"/>
    <w:rsid w:val="00AE6F5E"/>
    <w:rsid w:val="00AF1996"/>
    <w:rsid w:val="00AF23D5"/>
    <w:rsid w:val="00AF2C4A"/>
    <w:rsid w:val="00B06171"/>
    <w:rsid w:val="00B10299"/>
    <w:rsid w:val="00B172F9"/>
    <w:rsid w:val="00B211AD"/>
    <w:rsid w:val="00B2412C"/>
    <w:rsid w:val="00B242AD"/>
    <w:rsid w:val="00B27D03"/>
    <w:rsid w:val="00B320FB"/>
    <w:rsid w:val="00B33739"/>
    <w:rsid w:val="00B36AB3"/>
    <w:rsid w:val="00B36DD4"/>
    <w:rsid w:val="00B3745F"/>
    <w:rsid w:val="00B40A8A"/>
    <w:rsid w:val="00B41D29"/>
    <w:rsid w:val="00B43704"/>
    <w:rsid w:val="00B47277"/>
    <w:rsid w:val="00B577F1"/>
    <w:rsid w:val="00B57D36"/>
    <w:rsid w:val="00B7059C"/>
    <w:rsid w:val="00B70741"/>
    <w:rsid w:val="00B743A8"/>
    <w:rsid w:val="00B74C21"/>
    <w:rsid w:val="00B75FE9"/>
    <w:rsid w:val="00B813A7"/>
    <w:rsid w:val="00B84B3C"/>
    <w:rsid w:val="00B876A9"/>
    <w:rsid w:val="00B92CC3"/>
    <w:rsid w:val="00B938B9"/>
    <w:rsid w:val="00BA3393"/>
    <w:rsid w:val="00BA59CD"/>
    <w:rsid w:val="00BA669E"/>
    <w:rsid w:val="00BA7444"/>
    <w:rsid w:val="00BB34A6"/>
    <w:rsid w:val="00BB456C"/>
    <w:rsid w:val="00BB5AE2"/>
    <w:rsid w:val="00BC5364"/>
    <w:rsid w:val="00BE0363"/>
    <w:rsid w:val="00BE2296"/>
    <w:rsid w:val="00BE5372"/>
    <w:rsid w:val="00BE58DD"/>
    <w:rsid w:val="00BE5B62"/>
    <w:rsid w:val="00BF55AD"/>
    <w:rsid w:val="00C109EC"/>
    <w:rsid w:val="00C1293A"/>
    <w:rsid w:val="00C17372"/>
    <w:rsid w:val="00C24B06"/>
    <w:rsid w:val="00C2700D"/>
    <w:rsid w:val="00C27D98"/>
    <w:rsid w:val="00C3123C"/>
    <w:rsid w:val="00C31690"/>
    <w:rsid w:val="00C33F09"/>
    <w:rsid w:val="00C35D15"/>
    <w:rsid w:val="00C40CAC"/>
    <w:rsid w:val="00C42FFE"/>
    <w:rsid w:val="00C51152"/>
    <w:rsid w:val="00C528BF"/>
    <w:rsid w:val="00C53BA2"/>
    <w:rsid w:val="00C550B2"/>
    <w:rsid w:val="00C5587A"/>
    <w:rsid w:val="00C55A58"/>
    <w:rsid w:val="00C55EEE"/>
    <w:rsid w:val="00C57AF0"/>
    <w:rsid w:val="00C57B04"/>
    <w:rsid w:val="00C602EA"/>
    <w:rsid w:val="00C7101B"/>
    <w:rsid w:val="00C80B03"/>
    <w:rsid w:val="00C8461E"/>
    <w:rsid w:val="00C864C3"/>
    <w:rsid w:val="00C86514"/>
    <w:rsid w:val="00C908A5"/>
    <w:rsid w:val="00C91646"/>
    <w:rsid w:val="00C92228"/>
    <w:rsid w:val="00C92469"/>
    <w:rsid w:val="00C957BA"/>
    <w:rsid w:val="00C978A4"/>
    <w:rsid w:val="00CA070D"/>
    <w:rsid w:val="00CA0D01"/>
    <w:rsid w:val="00CA220B"/>
    <w:rsid w:val="00CA34F2"/>
    <w:rsid w:val="00CA56E1"/>
    <w:rsid w:val="00CA622C"/>
    <w:rsid w:val="00CA7B02"/>
    <w:rsid w:val="00CB2E7D"/>
    <w:rsid w:val="00CB4FEB"/>
    <w:rsid w:val="00CB5F3C"/>
    <w:rsid w:val="00CB642D"/>
    <w:rsid w:val="00CC146F"/>
    <w:rsid w:val="00CC3573"/>
    <w:rsid w:val="00CE12CD"/>
    <w:rsid w:val="00CE3B42"/>
    <w:rsid w:val="00CE3ED6"/>
    <w:rsid w:val="00CF0910"/>
    <w:rsid w:val="00CF7125"/>
    <w:rsid w:val="00CF7CF6"/>
    <w:rsid w:val="00D014F7"/>
    <w:rsid w:val="00D022C3"/>
    <w:rsid w:val="00D05635"/>
    <w:rsid w:val="00D20595"/>
    <w:rsid w:val="00D26F74"/>
    <w:rsid w:val="00D34477"/>
    <w:rsid w:val="00D34CE3"/>
    <w:rsid w:val="00D412BD"/>
    <w:rsid w:val="00D43AE9"/>
    <w:rsid w:val="00D46046"/>
    <w:rsid w:val="00D5110F"/>
    <w:rsid w:val="00D52C34"/>
    <w:rsid w:val="00D53A48"/>
    <w:rsid w:val="00D56C8C"/>
    <w:rsid w:val="00D60214"/>
    <w:rsid w:val="00D64BFB"/>
    <w:rsid w:val="00D718D3"/>
    <w:rsid w:val="00D801CA"/>
    <w:rsid w:val="00D80989"/>
    <w:rsid w:val="00D81738"/>
    <w:rsid w:val="00D81A4B"/>
    <w:rsid w:val="00D84562"/>
    <w:rsid w:val="00D84674"/>
    <w:rsid w:val="00D8717D"/>
    <w:rsid w:val="00D87707"/>
    <w:rsid w:val="00D87D41"/>
    <w:rsid w:val="00D90A3B"/>
    <w:rsid w:val="00D9201E"/>
    <w:rsid w:val="00D9229F"/>
    <w:rsid w:val="00DA29F3"/>
    <w:rsid w:val="00DA379A"/>
    <w:rsid w:val="00DA3CB7"/>
    <w:rsid w:val="00DA5599"/>
    <w:rsid w:val="00DA6E7A"/>
    <w:rsid w:val="00DB3ADC"/>
    <w:rsid w:val="00DC4417"/>
    <w:rsid w:val="00DC4BFF"/>
    <w:rsid w:val="00DC5F68"/>
    <w:rsid w:val="00DE4BBE"/>
    <w:rsid w:val="00DE5FBD"/>
    <w:rsid w:val="00DF0BD7"/>
    <w:rsid w:val="00DF2261"/>
    <w:rsid w:val="00DF67A6"/>
    <w:rsid w:val="00E00F73"/>
    <w:rsid w:val="00E0793C"/>
    <w:rsid w:val="00E10281"/>
    <w:rsid w:val="00E10CE7"/>
    <w:rsid w:val="00E112CC"/>
    <w:rsid w:val="00E1448D"/>
    <w:rsid w:val="00E20414"/>
    <w:rsid w:val="00E21E10"/>
    <w:rsid w:val="00E22614"/>
    <w:rsid w:val="00E27AAF"/>
    <w:rsid w:val="00E30277"/>
    <w:rsid w:val="00E346AF"/>
    <w:rsid w:val="00E35FB0"/>
    <w:rsid w:val="00E405C3"/>
    <w:rsid w:val="00E5022C"/>
    <w:rsid w:val="00E50BE5"/>
    <w:rsid w:val="00E71DAD"/>
    <w:rsid w:val="00E81CB9"/>
    <w:rsid w:val="00E8662B"/>
    <w:rsid w:val="00E875C1"/>
    <w:rsid w:val="00E87A1E"/>
    <w:rsid w:val="00E903E2"/>
    <w:rsid w:val="00E919CA"/>
    <w:rsid w:val="00E9400A"/>
    <w:rsid w:val="00EA0B13"/>
    <w:rsid w:val="00EC09F5"/>
    <w:rsid w:val="00EC258A"/>
    <w:rsid w:val="00ED1AF5"/>
    <w:rsid w:val="00ED2543"/>
    <w:rsid w:val="00ED5801"/>
    <w:rsid w:val="00EE13C0"/>
    <w:rsid w:val="00EE3DAD"/>
    <w:rsid w:val="00EE5F09"/>
    <w:rsid w:val="00EE7FBB"/>
    <w:rsid w:val="00EF75C9"/>
    <w:rsid w:val="00F02BF7"/>
    <w:rsid w:val="00F13168"/>
    <w:rsid w:val="00F163F9"/>
    <w:rsid w:val="00F20BEE"/>
    <w:rsid w:val="00F215BA"/>
    <w:rsid w:val="00F25319"/>
    <w:rsid w:val="00F27BE2"/>
    <w:rsid w:val="00F30AE6"/>
    <w:rsid w:val="00F342E4"/>
    <w:rsid w:val="00F375D3"/>
    <w:rsid w:val="00F422F6"/>
    <w:rsid w:val="00F46741"/>
    <w:rsid w:val="00F55AEE"/>
    <w:rsid w:val="00F562ED"/>
    <w:rsid w:val="00F574E4"/>
    <w:rsid w:val="00F616DD"/>
    <w:rsid w:val="00F63ABB"/>
    <w:rsid w:val="00F64180"/>
    <w:rsid w:val="00F657A0"/>
    <w:rsid w:val="00F662B7"/>
    <w:rsid w:val="00F67F88"/>
    <w:rsid w:val="00F82124"/>
    <w:rsid w:val="00F841EE"/>
    <w:rsid w:val="00F85B36"/>
    <w:rsid w:val="00F875D3"/>
    <w:rsid w:val="00F966B4"/>
    <w:rsid w:val="00FC0B8D"/>
    <w:rsid w:val="00FC3A3C"/>
    <w:rsid w:val="00FC4ED9"/>
    <w:rsid w:val="00FC5B46"/>
    <w:rsid w:val="00FC612B"/>
    <w:rsid w:val="00FC6442"/>
    <w:rsid w:val="00FD159F"/>
    <w:rsid w:val="00FD1763"/>
    <w:rsid w:val="00FD5321"/>
    <w:rsid w:val="00FE07E5"/>
    <w:rsid w:val="00FE17E2"/>
    <w:rsid w:val="00FE54F4"/>
    <w:rsid w:val="00FF22DA"/>
    <w:rsid w:val="00FF4828"/>
    <w:rsid w:val="00FF5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44"/>
    <w:pPr>
      <w:spacing w:after="200" w:line="276" w:lineRule="auto"/>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couleur-Accent11">
    <w:name w:val="Liste couleur - Accent 11"/>
    <w:basedOn w:val="Normal"/>
    <w:uiPriority w:val="34"/>
    <w:qFormat/>
    <w:rsid w:val="00582396"/>
    <w:pPr>
      <w:ind w:left="720"/>
      <w:contextualSpacing/>
    </w:pPr>
  </w:style>
  <w:style w:type="paragraph" w:customStyle="1" w:styleId="SingleTxtG">
    <w:name w:val="_ Single Txt_G"/>
    <w:basedOn w:val="Normal"/>
    <w:rsid w:val="00582396"/>
    <w:pPr>
      <w:suppressAutoHyphens/>
      <w:spacing w:after="120" w:line="240" w:lineRule="atLeast"/>
      <w:ind w:left="1134" w:right="1134"/>
      <w:jc w:val="both"/>
    </w:pPr>
    <w:rPr>
      <w:rFonts w:ascii="Times New Roman" w:eastAsia="Times New Roman" w:hAnsi="Times New Roman"/>
      <w:sz w:val="20"/>
      <w:szCs w:val="20"/>
      <w:lang w:val="en-GB"/>
    </w:rPr>
  </w:style>
  <w:style w:type="paragraph" w:styleId="NormalWeb">
    <w:name w:val="Normal (Web)"/>
    <w:basedOn w:val="Normal"/>
    <w:uiPriority w:val="99"/>
    <w:unhideWhenUsed/>
    <w:rsid w:val="002A5506"/>
    <w:pPr>
      <w:spacing w:before="100" w:beforeAutospacing="1" w:after="100" w:afterAutospacing="1" w:line="240" w:lineRule="auto"/>
    </w:pPr>
    <w:rPr>
      <w:rFonts w:ascii="Times New Roman" w:eastAsia="Times New Roman" w:hAnsi="Times New Roman"/>
      <w:sz w:val="24"/>
      <w:szCs w:val="24"/>
      <w:lang w:eastAsia="id-ID"/>
    </w:rPr>
  </w:style>
  <w:style w:type="paragraph" w:styleId="FootnoteText">
    <w:name w:val="footnote text"/>
    <w:basedOn w:val="Normal"/>
    <w:link w:val="FootnoteTextChar"/>
    <w:uiPriority w:val="99"/>
    <w:unhideWhenUsed/>
    <w:rsid w:val="00E70D76"/>
    <w:pPr>
      <w:spacing w:after="0" w:line="240" w:lineRule="auto"/>
    </w:pPr>
    <w:rPr>
      <w:sz w:val="20"/>
      <w:szCs w:val="20"/>
    </w:rPr>
  </w:style>
  <w:style w:type="character" w:customStyle="1" w:styleId="FootnoteTextChar">
    <w:name w:val="Footnote Text Char"/>
    <w:link w:val="FootnoteText"/>
    <w:uiPriority w:val="99"/>
    <w:rsid w:val="00E70D76"/>
    <w:rPr>
      <w:sz w:val="20"/>
      <w:szCs w:val="20"/>
    </w:rPr>
  </w:style>
  <w:style w:type="character" w:styleId="FootnoteReference">
    <w:name w:val="footnote reference"/>
    <w:aliases w:val="4_G"/>
    <w:uiPriority w:val="99"/>
    <w:unhideWhenUsed/>
    <w:rsid w:val="00E70D76"/>
    <w:rPr>
      <w:vertAlign w:val="superscript"/>
    </w:rPr>
  </w:style>
  <w:style w:type="character" w:customStyle="1" w:styleId="apple-converted-space">
    <w:name w:val="apple-converted-space"/>
    <w:basedOn w:val="DefaultParagraphFont"/>
    <w:rsid w:val="00E70D76"/>
  </w:style>
  <w:style w:type="character" w:styleId="Hyperlink">
    <w:name w:val="Hyperlink"/>
    <w:uiPriority w:val="99"/>
    <w:unhideWhenUsed/>
    <w:rsid w:val="00E70D76"/>
    <w:rPr>
      <w:color w:val="0000FF"/>
      <w:u w:val="single"/>
    </w:rPr>
  </w:style>
  <w:style w:type="character" w:customStyle="1" w:styleId="cabu01kompas2011">
    <w:name w:val="c_abu01_kompas2011"/>
    <w:basedOn w:val="DefaultParagraphFont"/>
    <w:rsid w:val="00E70D76"/>
  </w:style>
  <w:style w:type="paragraph" w:styleId="BodyTextIndent">
    <w:name w:val="Body Text Indent"/>
    <w:basedOn w:val="Normal"/>
    <w:link w:val="BodyTextIndentChar"/>
    <w:uiPriority w:val="99"/>
    <w:rsid w:val="00A2637B"/>
    <w:pPr>
      <w:autoSpaceDE w:val="0"/>
      <w:autoSpaceDN w:val="0"/>
      <w:spacing w:after="0" w:line="240" w:lineRule="auto"/>
      <w:jc w:val="both"/>
    </w:pPr>
    <w:rPr>
      <w:rFonts w:ascii="Tahoma" w:eastAsia="Times New Roman" w:hAnsi="Tahoma" w:cs="Tahoma"/>
      <w:sz w:val="28"/>
      <w:szCs w:val="28"/>
      <w:lang w:val="en-US"/>
    </w:rPr>
  </w:style>
  <w:style w:type="character" w:customStyle="1" w:styleId="BodyTextIndentChar">
    <w:name w:val="Body Text Indent Char"/>
    <w:link w:val="BodyTextIndent"/>
    <w:uiPriority w:val="99"/>
    <w:rsid w:val="00A2637B"/>
    <w:rPr>
      <w:rFonts w:ascii="Tahoma" w:eastAsia="Times New Roman" w:hAnsi="Tahoma" w:cs="Tahoma"/>
      <w:sz w:val="28"/>
      <w:szCs w:val="28"/>
      <w:lang w:val="en-US"/>
    </w:rPr>
  </w:style>
  <w:style w:type="character" w:customStyle="1" w:styleId="hps">
    <w:name w:val="hps"/>
    <w:basedOn w:val="DefaultParagraphFont"/>
    <w:rsid w:val="00A2637B"/>
  </w:style>
  <w:style w:type="character" w:customStyle="1" w:styleId="A2">
    <w:name w:val="A2"/>
    <w:uiPriority w:val="99"/>
    <w:rsid w:val="00A2637B"/>
    <w:rPr>
      <w:rFonts w:cs="Adobe Garamond Pro"/>
      <w:color w:val="000000"/>
      <w:sz w:val="22"/>
      <w:szCs w:val="22"/>
    </w:rPr>
  </w:style>
  <w:style w:type="table" w:styleId="TableGrid">
    <w:name w:val="Table Grid"/>
    <w:basedOn w:val="TableNormal"/>
    <w:uiPriority w:val="59"/>
    <w:rsid w:val="00A2637B"/>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669B3"/>
    <w:rPr>
      <w:sz w:val="16"/>
      <w:szCs w:val="16"/>
    </w:rPr>
  </w:style>
  <w:style w:type="paragraph" w:styleId="CommentText">
    <w:name w:val="annotation text"/>
    <w:basedOn w:val="Normal"/>
    <w:link w:val="CommentTextChar"/>
    <w:uiPriority w:val="99"/>
    <w:unhideWhenUsed/>
    <w:rsid w:val="003669B3"/>
    <w:pPr>
      <w:spacing w:line="240" w:lineRule="auto"/>
    </w:pPr>
    <w:rPr>
      <w:sz w:val="20"/>
      <w:szCs w:val="20"/>
    </w:rPr>
  </w:style>
  <w:style w:type="character" w:customStyle="1" w:styleId="CommentTextChar">
    <w:name w:val="Comment Text Char"/>
    <w:link w:val="CommentText"/>
    <w:uiPriority w:val="99"/>
    <w:rsid w:val="003669B3"/>
    <w:rPr>
      <w:sz w:val="20"/>
      <w:szCs w:val="20"/>
    </w:rPr>
  </w:style>
  <w:style w:type="paragraph" w:styleId="CommentSubject">
    <w:name w:val="annotation subject"/>
    <w:basedOn w:val="CommentText"/>
    <w:next w:val="CommentText"/>
    <w:link w:val="CommentSubjectChar"/>
    <w:uiPriority w:val="99"/>
    <w:semiHidden/>
    <w:unhideWhenUsed/>
    <w:rsid w:val="003669B3"/>
    <w:rPr>
      <w:b/>
      <w:bCs/>
    </w:rPr>
  </w:style>
  <w:style w:type="character" w:customStyle="1" w:styleId="CommentSubjectChar">
    <w:name w:val="Comment Subject Char"/>
    <w:link w:val="CommentSubject"/>
    <w:uiPriority w:val="99"/>
    <w:semiHidden/>
    <w:rsid w:val="003669B3"/>
    <w:rPr>
      <w:b/>
      <w:bCs/>
      <w:sz w:val="20"/>
      <w:szCs w:val="20"/>
    </w:rPr>
  </w:style>
  <w:style w:type="paragraph" w:styleId="BalloonText">
    <w:name w:val="Balloon Text"/>
    <w:basedOn w:val="Normal"/>
    <w:link w:val="BalloonTextChar"/>
    <w:uiPriority w:val="99"/>
    <w:semiHidden/>
    <w:unhideWhenUsed/>
    <w:rsid w:val="003669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69B3"/>
    <w:rPr>
      <w:rFonts w:ascii="Tahoma" w:hAnsi="Tahoma" w:cs="Tahoma"/>
      <w:sz w:val="16"/>
      <w:szCs w:val="16"/>
    </w:rPr>
  </w:style>
  <w:style w:type="paragraph" w:styleId="Header">
    <w:name w:val="header"/>
    <w:basedOn w:val="Normal"/>
    <w:link w:val="HeaderChar"/>
    <w:uiPriority w:val="99"/>
    <w:unhideWhenUsed/>
    <w:rsid w:val="0094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2AC"/>
  </w:style>
  <w:style w:type="paragraph" w:styleId="Footer">
    <w:name w:val="footer"/>
    <w:basedOn w:val="Normal"/>
    <w:link w:val="FooterChar"/>
    <w:uiPriority w:val="99"/>
    <w:unhideWhenUsed/>
    <w:rsid w:val="0094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2AC"/>
  </w:style>
  <w:style w:type="character" w:styleId="Strong">
    <w:name w:val="Strong"/>
    <w:uiPriority w:val="22"/>
    <w:qFormat/>
    <w:rsid w:val="009462AC"/>
    <w:rPr>
      <w:b/>
      <w:bCs/>
    </w:rPr>
  </w:style>
  <w:style w:type="character" w:styleId="Emphasis">
    <w:name w:val="Emphasis"/>
    <w:uiPriority w:val="20"/>
    <w:qFormat/>
    <w:rsid w:val="009462AC"/>
    <w:rPr>
      <w:i/>
      <w:iCs/>
    </w:rPr>
  </w:style>
  <w:style w:type="paragraph" w:customStyle="1" w:styleId="Grillemoyenne21">
    <w:name w:val="Grille moyenne 21"/>
    <w:link w:val="Grillemoyenne2Car"/>
    <w:uiPriority w:val="1"/>
    <w:qFormat/>
    <w:rsid w:val="0090720A"/>
    <w:rPr>
      <w:sz w:val="22"/>
      <w:szCs w:val="22"/>
      <w:lang w:val="id-ID" w:eastAsia="id-ID"/>
    </w:rPr>
  </w:style>
  <w:style w:type="character" w:customStyle="1" w:styleId="Grillemoyenne2Car">
    <w:name w:val="Grille moyenne 2 Car"/>
    <w:link w:val="Grillemoyenne21"/>
    <w:uiPriority w:val="1"/>
    <w:rsid w:val="004C340A"/>
    <w:rPr>
      <w:sz w:val="22"/>
      <w:szCs w:val="22"/>
      <w:lang w:val="id-ID" w:bidi="ar-SA"/>
    </w:rPr>
  </w:style>
  <w:style w:type="paragraph" w:styleId="ListParagraph">
    <w:name w:val="List Paragraph"/>
    <w:basedOn w:val="Normal"/>
    <w:uiPriority w:val="34"/>
    <w:qFormat/>
    <w:rsid w:val="00420759"/>
    <w:pPr>
      <w:ind w:left="720"/>
      <w:contextualSpacing/>
    </w:pPr>
  </w:style>
  <w:style w:type="paragraph" w:styleId="NoSpacing">
    <w:name w:val="No Spacing"/>
    <w:link w:val="NoSpacingChar"/>
    <w:uiPriority w:val="1"/>
    <w:qFormat/>
    <w:rsid w:val="00506F48"/>
    <w:rPr>
      <w:rFonts w:eastAsia="MS Mincho" w:cs="Arial"/>
      <w:sz w:val="22"/>
      <w:szCs w:val="22"/>
      <w:lang w:val="en-US" w:eastAsia="ja-JP"/>
    </w:rPr>
  </w:style>
  <w:style w:type="character" w:customStyle="1" w:styleId="NoSpacingChar">
    <w:name w:val="No Spacing Char"/>
    <w:link w:val="NoSpacing"/>
    <w:uiPriority w:val="1"/>
    <w:rsid w:val="00506F48"/>
    <w:rPr>
      <w:rFonts w:eastAsia="MS Mincho" w:cs="Arial"/>
      <w:sz w:val="22"/>
      <w:szCs w:val="22"/>
      <w:lang w:val="en-US" w:eastAsia="ja-JP"/>
    </w:rPr>
  </w:style>
  <w:style w:type="character" w:styleId="PageNumber">
    <w:name w:val="page number"/>
    <w:basedOn w:val="DefaultParagraphFont"/>
    <w:uiPriority w:val="99"/>
    <w:semiHidden/>
    <w:unhideWhenUsed/>
    <w:rsid w:val="00BE5B62"/>
  </w:style>
  <w:style w:type="character" w:styleId="FollowedHyperlink">
    <w:name w:val="FollowedHyperlink"/>
    <w:basedOn w:val="DefaultParagraphFont"/>
    <w:uiPriority w:val="99"/>
    <w:semiHidden/>
    <w:unhideWhenUsed/>
    <w:rsid w:val="001740F7"/>
    <w:rPr>
      <w:color w:val="800080" w:themeColor="followedHyperlink"/>
      <w:u w:val="single"/>
    </w:rPr>
  </w:style>
  <w:style w:type="paragraph" w:customStyle="1" w:styleId="Default">
    <w:name w:val="Default"/>
    <w:rsid w:val="00E9400A"/>
    <w:pPr>
      <w:autoSpaceDE w:val="0"/>
      <w:autoSpaceDN w:val="0"/>
      <w:adjustRightInd w:val="0"/>
    </w:pPr>
    <w:rPr>
      <w:rFonts w:ascii="Bookman Old Style" w:hAnsi="Bookman Old Style" w:cs="Bookman Old Style"/>
      <w:color w:val="000000"/>
      <w:sz w:val="24"/>
      <w:szCs w:val="24"/>
      <w:lang w:val="en-US"/>
    </w:rPr>
  </w:style>
  <w:style w:type="paragraph" w:styleId="Revision">
    <w:name w:val="Revision"/>
    <w:hidden/>
    <w:uiPriority w:val="71"/>
    <w:rsid w:val="008F0F96"/>
    <w:rPr>
      <w:sz w:val="22"/>
      <w:szCs w:val="22"/>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44"/>
    <w:pPr>
      <w:spacing w:after="200" w:line="276" w:lineRule="auto"/>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couleur-Accent11">
    <w:name w:val="Liste couleur - Accent 11"/>
    <w:basedOn w:val="Normal"/>
    <w:uiPriority w:val="34"/>
    <w:qFormat/>
    <w:rsid w:val="00582396"/>
    <w:pPr>
      <w:ind w:left="720"/>
      <w:contextualSpacing/>
    </w:pPr>
  </w:style>
  <w:style w:type="paragraph" w:customStyle="1" w:styleId="SingleTxtG">
    <w:name w:val="_ Single Txt_G"/>
    <w:basedOn w:val="Normal"/>
    <w:rsid w:val="00582396"/>
    <w:pPr>
      <w:suppressAutoHyphens/>
      <w:spacing w:after="120" w:line="240" w:lineRule="atLeast"/>
      <w:ind w:left="1134" w:right="1134"/>
      <w:jc w:val="both"/>
    </w:pPr>
    <w:rPr>
      <w:rFonts w:ascii="Times New Roman" w:eastAsia="Times New Roman" w:hAnsi="Times New Roman"/>
      <w:sz w:val="20"/>
      <w:szCs w:val="20"/>
      <w:lang w:val="en-GB"/>
    </w:rPr>
  </w:style>
  <w:style w:type="paragraph" w:styleId="NormalWeb">
    <w:name w:val="Normal (Web)"/>
    <w:basedOn w:val="Normal"/>
    <w:uiPriority w:val="99"/>
    <w:unhideWhenUsed/>
    <w:rsid w:val="002A5506"/>
    <w:pPr>
      <w:spacing w:before="100" w:beforeAutospacing="1" w:after="100" w:afterAutospacing="1" w:line="240" w:lineRule="auto"/>
    </w:pPr>
    <w:rPr>
      <w:rFonts w:ascii="Times New Roman" w:eastAsia="Times New Roman" w:hAnsi="Times New Roman"/>
      <w:sz w:val="24"/>
      <w:szCs w:val="24"/>
      <w:lang w:eastAsia="id-ID"/>
    </w:rPr>
  </w:style>
  <w:style w:type="paragraph" w:styleId="FootnoteText">
    <w:name w:val="footnote text"/>
    <w:basedOn w:val="Normal"/>
    <w:link w:val="FootnoteTextChar"/>
    <w:uiPriority w:val="99"/>
    <w:unhideWhenUsed/>
    <w:rsid w:val="00E70D76"/>
    <w:pPr>
      <w:spacing w:after="0" w:line="240" w:lineRule="auto"/>
    </w:pPr>
    <w:rPr>
      <w:sz w:val="20"/>
      <w:szCs w:val="20"/>
    </w:rPr>
  </w:style>
  <w:style w:type="character" w:customStyle="1" w:styleId="FootnoteTextChar">
    <w:name w:val="Note de bas de page Car"/>
    <w:link w:val="FootnoteText"/>
    <w:uiPriority w:val="99"/>
    <w:rsid w:val="00E70D76"/>
    <w:rPr>
      <w:sz w:val="20"/>
      <w:szCs w:val="20"/>
    </w:rPr>
  </w:style>
  <w:style w:type="character" w:styleId="FootnoteReference">
    <w:name w:val="footnote reference"/>
    <w:aliases w:val="4_G"/>
    <w:uiPriority w:val="99"/>
    <w:unhideWhenUsed/>
    <w:rsid w:val="00E70D76"/>
    <w:rPr>
      <w:vertAlign w:val="superscript"/>
    </w:rPr>
  </w:style>
  <w:style w:type="character" w:customStyle="1" w:styleId="apple-converted-space">
    <w:name w:val="apple-converted-space"/>
    <w:basedOn w:val="DefaultParagraphFont"/>
    <w:rsid w:val="00E70D76"/>
  </w:style>
  <w:style w:type="character" w:styleId="Hyperlink">
    <w:name w:val="Hyperlink"/>
    <w:uiPriority w:val="99"/>
    <w:unhideWhenUsed/>
    <w:rsid w:val="00E70D76"/>
    <w:rPr>
      <w:color w:val="0000FF"/>
      <w:u w:val="single"/>
    </w:rPr>
  </w:style>
  <w:style w:type="character" w:customStyle="1" w:styleId="cabu01kompas2011">
    <w:name w:val="c_abu01_kompas2011"/>
    <w:basedOn w:val="DefaultParagraphFont"/>
    <w:rsid w:val="00E70D76"/>
  </w:style>
  <w:style w:type="paragraph" w:styleId="BodyTextIndent">
    <w:name w:val="Body Text Indent"/>
    <w:basedOn w:val="Normal"/>
    <w:link w:val="BodyTextIndentChar"/>
    <w:uiPriority w:val="99"/>
    <w:rsid w:val="00A2637B"/>
    <w:pPr>
      <w:autoSpaceDE w:val="0"/>
      <w:autoSpaceDN w:val="0"/>
      <w:spacing w:after="0" w:line="240" w:lineRule="auto"/>
      <w:jc w:val="both"/>
    </w:pPr>
    <w:rPr>
      <w:rFonts w:ascii="Tahoma" w:eastAsia="Times New Roman" w:hAnsi="Tahoma" w:cs="Tahoma"/>
      <w:sz w:val="28"/>
      <w:szCs w:val="28"/>
      <w:lang w:val="en-US"/>
    </w:rPr>
  </w:style>
  <w:style w:type="character" w:customStyle="1" w:styleId="BodyTextIndentChar">
    <w:name w:val="Retrait corps de texte Car"/>
    <w:link w:val="BodyTextIndent"/>
    <w:uiPriority w:val="99"/>
    <w:rsid w:val="00A2637B"/>
    <w:rPr>
      <w:rFonts w:ascii="Tahoma" w:eastAsia="Times New Roman" w:hAnsi="Tahoma" w:cs="Tahoma"/>
      <w:sz w:val="28"/>
      <w:szCs w:val="28"/>
      <w:lang w:val="en-US"/>
    </w:rPr>
  </w:style>
  <w:style w:type="character" w:customStyle="1" w:styleId="hps">
    <w:name w:val="hps"/>
    <w:basedOn w:val="DefaultParagraphFont"/>
    <w:rsid w:val="00A2637B"/>
  </w:style>
  <w:style w:type="character" w:customStyle="1" w:styleId="A2">
    <w:name w:val="A2"/>
    <w:uiPriority w:val="99"/>
    <w:rsid w:val="00A2637B"/>
    <w:rPr>
      <w:rFonts w:cs="Adobe Garamond Pro"/>
      <w:color w:val="000000"/>
      <w:sz w:val="22"/>
      <w:szCs w:val="22"/>
    </w:rPr>
  </w:style>
  <w:style w:type="table" w:styleId="TableGrid">
    <w:name w:val="Table Grid"/>
    <w:basedOn w:val="TableNormal"/>
    <w:uiPriority w:val="59"/>
    <w:rsid w:val="00A2637B"/>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669B3"/>
    <w:rPr>
      <w:sz w:val="16"/>
      <w:szCs w:val="16"/>
    </w:rPr>
  </w:style>
  <w:style w:type="paragraph" w:styleId="CommentText">
    <w:name w:val="annotation text"/>
    <w:basedOn w:val="Normal"/>
    <w:link w:val="CommentTextChar"/>
    <w:uiPriority w:val="99"/>
    <w:unhideWhenUsed/>
    <w:rsid w:val="003669B3"/>
    <w:pPr>
      <w:spacing w:line="240" w:lineRule="auto"/>
    </w:pPr>
    <w:rPr>
      <w:sz w:val="20"/>
      <w:szCs w:val="20"/>
    </w:rPr>
  </w:style>
  <w:style w:type="character" w:customStyle="1" w:styleId="CommentTextChar">
    <w:name w:val="Commentaire Car"/>
    <w:link w:val="CommentText"/>
    <w:uiPriority w:val="99"/>
    <w:rsid w:val="003669B3"/>
    <w:rPr>
      <w:sz w:val="20"/>
      <w:szCs w:val="20"/>
    </w:rPr>
  </w:style>
  <w:style w:type="paragraph" w:styleId="CommentSubject">
    <w:name w:val="annotation subject"/>
    <w:basedOn w:val="CommentText"/>
    <w:next w:val="CommentText"/>
    <w:link w:val="CommentSubjectChar"/>
    <w:uiPriority w:val="99"/>
    <w:semiHidden/>
    <w:unhideWhenUsed/>
    <w:rsid w:val="003669B3"/>
    <w:rPr>
      <w:b/>
      <w:bCs/>
    </w:rPr>
  </w:style>
  <w:style w:type="character" w:customStyle="1" w:styleId="CommentSubjectChar">
    <w:name w:val="Objet du commentaire Car"/>
    <w:link w:val="CommentSubject"/>
    <w:uiPriority w:val="99"/>
    <w:semiHidden/>
    <w:rsid w:val="003669B3"/>
    <w:rPr>
      <w:b/>
      <w:bCs/>
      <w:sz w:val="20"/>
      <w:szCs w:val="20"/>
    </w:rPr>
  </w:style>
  <w:style w:type="paragraph" w:styleId="BalloonText">
    <w:name w:val="Balloon Text"/>
    <w:basedOn w:val="Normal"/>
    <w:link w:val="BalloonTextChar"/>
    <w:uiPriority w:val="99"/>
    <w:semiHidden/>
    <w:unhideWhenUsed/>
    <w:rsid w:val="003669B3"/>
    <w:pPr>
      <w:spacing w:after="0" w:line="240" w:lineRule="auto"/>
    </w:pPr>
    <w:rPr>
      <w:rFonts w:ascii="Tahoma" w:hAnsi="Tahoma" w:cs="Tahoma"/>
      <w:sz w:val="16"/>
      <w:szCs w:val="16"/>
    </w:rPr>
  </w:style>
  <w:style w:type="character" w:customStyle="1" w:styleId="BalloonTextChar">
    <w:name w:val="Texte de bulles Car"/>
    <w:link w:val="BalloonText"/>
    <w:uiPriority w:val="99"/>
    <w:semiHidden/>
    <w:rsid w:val="003669B3"/>
    <w:rPr>
      <w:rFonts w:ascii="Tahoma" w:hAnsi="Tahoma" w:cs="Tahoma"/>
      <w:sz w:val="16"/>
      <w:szCs w:val="16"/>
    </w:rPr>
  </w:style>
  <w:style w:type="paragraph" w:styleId="Header">
    <w:name w:val="header"/>
    <w:basedOn w:val="Normal"/>
    <w:link w:val="HeaderChar"/>
    <w:uiPriority w:val="99"/>
    <w:unhideWhenUsed/>
    <w:rsid w:val="009462AC"/>
    <w:pPr>
      <w:tabs>
        <w:tab w:val="center" w:pos="4513"/>
        <w:tab w:val="right" w:pos="9026"/>
      </w:tabs>
      <w:spacing w:after="0" w:line="240" w:lineRule="auto"/>
    </w:pPr>
  </w:style>
  <w:style w:type="character" w:customStyle="1" w:styleId="HeaderChar">
    <w:name w:val="En-tête Car"/>
    <w:basedOn w:val="DefaultParagraphFont"/>
    <w:link w:val="Header"/>
    <w:uiPriority w:val="99"/>
    <w:rsid w:val="009462AC"/>
  </w:style>
  <w:style w:type="paragraph" w:styleId="Footer">
    <w:name w:val="footer"/>
    <w:basedOn w:val="Normal"/>
    <w:link w:val="FooterChar"/>
    <w:uiPriority w:val="99"/>
    <w:unhideWhenUsed/>
    <w:rsid w:val="009462AC"/>
    <w:pPr>
      <w:tabs>
        <w:tab w:val="center" w:pos="4513"/>
        <w:tab w:val="right" w:pos="9026"/>
      </w:tabs>
      <w:spacing w:after="0" w:line="240" w:lineRule="auto"/>
    </w:pPr>
  </w:style>
  <w:style w:type="character" w:customStyle="1" w:styleId="FooterChar">
    <w:name w:val="Pied de page Car"/>
    <w:basedOn w:val="DefaultParagraphFont"/>
    <w:link w:val="Footer"/>
    <w:uiPriority w:val="99"/>
    <w:rsid w:val="009462AC"/>
  </w:style>
  <w:style w:type="character" w:styleId="Strong">
    <w:name w:val="Strong"/>
    <w:uiPriority w:val="22"/>
    <w:qFormat/>
    <w:rsid w:val="009462AC"/>
    <w:rPr>
      <w:b/>
      <w:bCs/>
    </w:rPr>
  </w:style>
  <w:style w:type="character" w:styleId="Emphasis">
    <w:name w:val="Emphasis"/>
    <w:uiPriority w:val="20"/>
    <w:qFormat/>
    <w:rsid w:val="009462AC"/>
    <w:rPr>
      <w:i/>
      <w:iCs/>
    </w:rPr>
  </w:style>
  <w:style w:type="paragraph" w:customStyle="1" w:styleId="Grillemoyenne21">
    <w:name w:val="Grille moyenne 21"/>
    <w:link w:val="Grillemoyenne2Car"/>
    <w:uiPriority w:val="1"/>
    <w:qFormat/>
    <w:rsid w:val="0090720A"/>
    <w:rPr>
      <w:sz w:val="22"/>
      <w:szCs w:val="22"/>
      <w:lang w:val="id-ID" w:eastAsia="id-ID"/>
    </w:rPr>
  </w:style>
  <w:style w:type="character" w:customStyle="1" w:styleId="Grillemoyenne2Car">
    <w:name w:val="Grille moyenne 2 Car"/>
    <w:link w:val="Grillemoyenne21"/>
    <w:uiPriority w:val="1"/>
    <w:rsid w:val="004C340A"/>
    <w:rPr>
      <w:sz w:val="22"/>
      <w:szCs w:val="22"/>
      <w:lang w:val="id-ID" w:bidi="ar-SA"/>
    </w:rPr>
  </w:style>
  <w:style w:type="paragraph" w:styleId="ListParagraph">
    <w:name w:val="List Paragraph"/>
    <w:basedOn w:val="Normal"/>
    <w:uiPriority w:val="34"/>
    <w:qFormat/>
    <w:rsid w:val="00420759"/>
    <w:pPr>
      <w:ind w:left="720"/>
      <w:contextualSpacing/>
    </w:pPr>
  </w:style>
  <w:style w:type="paragraph" w:styleId="NoSpacing">
    <w:name w:val="No Spacing"/>
    <w:link w:val="NoSpacingChar"/>
    <w:uiPriority w:val="1"/>
    <w:qFormat/>
    <w:rsid w:val="00506F48"/>
    <w:rPr>
      <w:rFonts w:eastAsia="MS Mincho" w:cs="Arial"/>
      <w:sz w:val="22"/>
      <w:szCs w:val="22"/>
      <w:lang w:val="en-US" w:eastAsia="ja-JP"/>
    </w:rPr>
  </w:style>
  <w:style w:type="character" w:customStyle="1" w:styleId="NoSpacingChar">
    <w:name w:val="Sans interligne Car"/>
    <w:link w:val="NoSpacing"/>
    <w:uiPriority w:val="1"/>
    <w:rsid w:val="00506F48"/>
    <w:rPr>
      <w:rFonts w:eastAsia="MS Mincho" w:cs="Arial"/>
      <w:sz w:val="22"/>
      <w:szCs w:val="22"/>
      <w:lang w:val="en-US" w:eastAsia="ja-JP"/>
    </w:rPr>
  </w:style>
  <w:style w:type="character" w:styleId="PageNumber">
    <w:name w:val="page number"/>
    <w:basedOn w:val="DefaultParagraphFont"/>
    <w:uiPriority w:val="99"/>
    <w:semiHidden/>
    <w:unhideWhenUsed/>
    <w:rsid w:val="00BE5B62"/>
  </w:style>
  <w:style w:type="character" w:styleId="FollowedHyperlink">
    <w:name w:val="FollowedHyperlink"/>
    <w:basedOn w:val="DefaultParagraphFont"/>
    <w:uiPriority w:val="99"/>
    <w:semiHidden/>
    <w:unhideWhenUsed/>
    <w:rsid w:val="001740F7"/>
    <w:rPr>
      <w:color w:val="800080" w:themeColor="followedHyperlink"/>
      <w:u w:val="single"/>
    </w:rPr>
  </w:style>
  <w:style w:type="paragraph" w:customStyle="1" w:styleId="Default">
    <w:name w:val="Default"/>
    <w:rsid w:val="00E9400A"/>
    <w:pPr>
      <w:autoSpaceDE w:val="0"/>
      <w:autoSpaceDN w:val="0"/>
      <w:adjustRightInd w:val="0"/>
    </w:pPr>
    <w:rPr>
      <w:rFonts w:ascii="Bookman Old Style" w:hAnsi="Bookman Old Style" w:cs="Bookman Old Style"/>
      <w:color w:val="000000"/>
      <w:sz w:val="24"/>
      <w:szCs w:val="24"/>
      <w:lang w:val="en-US"/>
    </w:rPr>
  </w:style>
  <w:style w:type="paragraph" w:styleId="Revision">
    <w:name w:val="Revision"/>
    <w:hidden/>
    <w:uiPriority w:val="71"/>
    <w:rsid w:val="008F0F96"/>
    <w:rPr>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3238">
      <w:bodyDiv w:val="1"/>
      <w:marLeft w:val="0"/>
      <w:marRight w:val="0"/>
      <w:marTop w:val="0"/>
      <w:marBottom w:val="0"/>
      <w:divBdr>
        <w:top w:val="none" w:sz="0" w:space="0" w:color="auto"/>
        <w:left w:val="none" w:sz="0" w:space="0" w:color="auto"/>
        <w:bottom w:val="none" w:sz="0" w:space="0" w:color="auto"/>
        <w:right w:val="none" w:sz="0" w:space="0" w:color="auto"/>
      </w:divBdr>
      <w:divsChild>
        <w:div w:id="304162379">
          <w:marLeft w:val="576"/>
          <w:marRight w:val="0"/>
          <w:marTop w:val="80"/>
          <w:marBottom w:val="0"/>
          <w:divBdr>
            <w:top w:val="none" w:sz="0" w:space="0" w:color="auto"/>
            <w:left w:val="none" w:sz="0" w:space="0" w:color="auto"/>
            <w:bottom w:val="none" w:sz="0" w:space="0" w:color="auto"/>
            <w:right w:val="none" w:sz="0" w:space="0" w:color="auto"/>
          </w:divBdr>
        </w:div>
      </w:divsChild>
    </w:div>
    <w:div w:id="885264907">
      <w:bodyDiv w:val="1"/>
      <w:marLeft w:val="0"/>
      <w:marRight w:val="0"/>
      <w:marTop w:val="0"/>
      <w:marBottom w:val="0"/>
      <w:divBdr>
        <w:top w:val="none" w:sz="0" w:space="0" w:color="auto"/>
        <w:left w:val="none" w:sz="0" w:space="0" w:color="auto"/>
        <w:bottom w:val="none" w:sz="0" w:space="0" w:color="auto"/>
        <w:right w:val="none" w:sz="0" w:space="0" w:color="auto"/>
      </w:divBdr>
      <w:divsChild>
        <w:div w:id="1315984978">
          <w:marLeft w:val="576"/>
          <w:marRight w:val="0"/>
          <w:marTop w:val="80"/>
          <w:marBottom w:val="0"/>
          <w:divBdr>
            <w:top w:val="none" w:sz="0" w:space="0" w:color="auto"/>
            <w:left w:val="none" w:sz="0" w:space="0" w:color="auto"/>
            <w:bottom w:val="none" w:sz="0" w:space="0" w:color="auto"/>
            <w:right w:val="none" w:sz="0" w:space="0" w:color="auto"/>
          </w:divBdr>
        </w:div>
        <w:div w:id="935789246">
          <w:marLeft w:val="576"/>
          <w:marRight w:val="0"/>
          <w:marTop w:val="80"/>
          <w:marBottom w:val="0"/>
          <w:divBdr>
            <w:top w:val="none" w:sz="0" w:space="0" w:color="auto"/>
            <w:left w:val="none" w:sz="0" w:space="0" w:color="auto"/>
            <w:bottom w:val="none" w:sz="0" w:space="0" w:color="auto"/>
            <w:right w:val="none" w:sz="0" w:space="0" w:color="auto"/>
          </w:divBdr>
        </w:div>
      </w:divsChild>
    </w:div>
    <w:div w:id="1025984969">
      <w:bodyDiv w:val="1"/>
      <w:marLeft w:val="0"/>
      <w:marRight w:val="0"/>
      <w:marTop w:val="0"/>
      <w:marBottom w:val="0"/>
      <w:divBdr>
        <w:top w:val="none" w:sz="0" w:space="0" w:color="auto"/>
        <w:left w:val="none" w:sz="0" w:space="0" w:color="auto"/>
        <w:bottom w:val="none" w:sz="0" w:space="0" w:color="auto"/>
        <w:right w:val="none" w:sz="0" w:space="0" w:color="auto"/>
      </w:divBdr>
    </w:div>
    <w:div w:id="1395736060">
      <w:bodyDiv w:val="1"/>
      <w:marLeft w:val="0"/>
      <w:marRight w:val="0"/>
      <w:marTop w:val="0"/>
      <w:marBottom w:val="0"/>
      <w:divBdr>
        <w:top w:val="none" w:sz="0" w:space="0" w:color="auto"/>
        <w:left w:val="none" w:sz="0" w:space="0" w:color="auto"/>
        <w:bottom w:val="none" w:sz="0" w:space="0" w:color="auto"/>
        <w:right w:val="none" w:sz="0" w:space="0" w:color="auto"/>
      </w:divBdr>
    </w:div>
    <w:div w:id="1471433700">
      <w:bodyDiv w:val="1"/>
      <w:marLeft w:val="0"/>
      <w:marRight w:val="0"/>
      <w:marTop w:val="0"/>
      <w:marBottom w:val="0"/>
      <w:divBdr>
        <w:top w:val="none" w:sz="0" w:space="0" w:color="auto"/>
        <w:left w:val="none" w:sz="0" w:space="0" w:color="auto"/>
        <w:bottom w:val="none" w:sz="0" w:space="0" w:color="auto"/>
        <w:right w:val="none" w:sz="0" w:space="0" w:color="auto"/>
      </w:divBdr>
    </w:div>
    <w:div w:id="1635793317">
      <w:bodyDiv w:val="1"/>
      <w:marLeft w:val="0"/>
      <w:marRight w:val="0"/>
      <w:marTop w:val="0"/>
      <w:marBottom w:val="0"/>
      <w:divBdr>
        <w:top w:val="none" w:sz="0" w:space="0" w:color="auto"/>
        <w:left w:val="none" w:sz="0" w:space="0" w:color="auto"/>
        <w:bottom w:val="none" w:sz="0" w:space="0" w:color="auto"/>
        <w:right w:val="none" w:sz="0" w:space="0" w:color="auto"/>
      </w:divBdr>
    </w:div>
    <w:div w:id="1732579941">
      <w:bodyDiv w:val="1"/>
      <w:marLeft w:val="0"/>
      <w:marRight w:val="0"/>
      <w:marTop w:val="0"/>
      <w:marBottom w:val="0"/>
      <w:divBdr>
        <w:top w:val="none" w:sz="0" w:space="0" w:color="auto"/>
        <w:left w:val="none" w:sz="0" w:space="0" w:color="auto"/>
        <w:bottom w:val="none" w:sz="0" w:space="0" w:color="auto"/>
        <w:right w:val="none" w:sz="0" w:space="0" w:color="auto"/>
      </w:divBdr>
      <w:divsChild>
        <w:div w:id="218709436">
          <w:marLeft w:val="57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lap.ditjenpas.go.id"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office@elsam.or.id"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detik.com" TargetMode="External"/><Relationship Id="rId7" Type="http://schemas.openxmlformats.org/officeDocument/2006/relationships/hyperlink" Target="http://nasional.kompas.com/read/2010/08/07/11412176/Kepolisian.Paling.Banyak.Dikeluhkan-3" TargetMode="External"/><Relationship Id="rId2" Type="http://schemas.openxmlformats.org/officeDocument/2006/relationships/hyperlink" Target="http://bsuia.wordpress.com/sejarah-bsuia/" TargetMode="External"/><Relationship Id="rId1" Type="http://schemas.openxmlformats.org/officeDocument/2006/relationships/hyperlink" Target="http://www.elsam.or.id/?act=view&amp;id=2384&amp;cat=c/101" TargetMode="External"/><Relationship Id="rId6" Type="http://schemas.openxmlformats.org/officeDocument/2006/relationships/hyperlink" Target="http://english.kompas.com/read/2009/06/12/2040428/Aulia.Says.His.Case.Thick.with.Political.Interests" TargetMode="External"/><Relationship Id="rId5" Type="http://schemas.openxmlformats.org/officeDocument/2006/relationships/hyperlink" Target="http://smslap.ditjenpas.go.id/" TargetMode="External"/><Relationship Id="rId4" Type="http://schemas.openxmlformats.org/officeDocument/2006/relationships/hyperlink" Target="http://smslap.ditjenpas.g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Recapitulation of Causes of Prisoners  and Detainee death in Prison and Detention Place in Indonesia  2010-2012</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1.9310056800345653E-2"/>
          <c:y val="0.33902826946993647"/>
          <c:w val="0.95396527409996279"/>
          <c:h val="0.36945710348012301"/>
        </c:manualLayout>
      </c:layout>
      <c:bar3DChart>
        <c:barDir val="col"/>
        <c:grouping val="clustered"/>
        <c:varyColors val="0"/>
        <c:ser>
          <c:idx val="0"/>
          <c:order val="0"/>
          <c:tx>
            <c:strRef>
              <c:f>Sheet1!$B$1</c:f>
              <c:strCache>
                <c:ptCount val="1"/>
                <c:pt idx="0">
                  <c:v>2010</c:v>
                </c:pt>
              </c:strCache>
            </c:strRef>
          </c:tx>
          <c:invertIfNegative val="0"/>
          <c:cat>
            <c:strRef>
              <c:f>Sheet1!$A$2:$A$13</c:f>
              <c:strCache>
                <c:ptCount val="12"/>
                <c:pt idx="0">
                  <c:v>HIV AIDS</c:v>
                </c:pt>
                <c:pt idx="1">
                  <c:v>Tubercolosis (TBC)</c:v>
                </c:pt>
                <c:pt idx="2">
                  <c:v>Hepatitis</c:v>
                </c:pt>
                <c:pt idx="3">
                  <c:v>Respiratory Infection</c:v>
                </c:pt>
                <c:pt idx="4">
                  <c:v>Kidney Desease</c:v>
                </c:pt>
                <c:pt idx="5">
                  <c:v>Digestion Infection </c:v>
                </c:pt>
                <c:pt idx="6">
                  <c:v>Neurogical Desease</c:v>
                </c:pt>
                <c:pt idx="7">
                  <c:v>Heart Attack</c:v>
                </c:pt>
                <c:pt idx="8">
                  <c:v>Suicide</c:v>
                </c:pt>
                <c:pt idx="9">
                  <c:v>Being killed during fight</c:v>
                </c:pt>
                <c:pt idx="10">
                  <c:v>Diabetes Melitus</c:v>
                </c:pt>
                <c:pt idx="11">
                  <c:v>etc</c:v>
                </c:pt>
              </c:strCache>
            </c:strRef>
          </c:cat>
          <c:val>
            <c:numRef>
              <c:f>Sheet1!$B$2:$B$13</c:f>
              <c:numCache>
                <c:formatCode>General</c:formatCode>
                <c:ptCount val="12"/>
                <c:pt idx="0">
                  <c:v>204</c:v>
                </c:pt>
                <c:pt idx="1">
                  <c:v>137</c:v>
                </c:pt>
                <c:pt idx="2">
                  <c:v>56</c:v>
                </c:pt>
                <c:pt idx="3">
                  <c:v>132</c:v>
                </c:pt>
                <c:pt idx="4">
                  <c:v>10</c:v>
                </c:pt>
                <c:pt idx="5">
                  <c:v>119</c:v>
                </c:pt>
                <c:pt idx="6">
                  <c:v>33</c:v>
                </c:pt>
                <c:pt idx="7">
                  <c:v>70</c:v>
                </c:pt>
                <c:pt idx="8">
                  <c:v>14</c:v>
                </c:pt>
                <c:pt idx="9">
                  <c:v>8</c:v>
                </c:pt>
                <c:pt idx="10">
                  <c:v>12</c:v>
                </c:pt>
                <c:pt idx="11">
                  <c:v>45</c:v>
                </c:pt>
              </c:numCache>
            </c:numRef>
          </c:val>
        </c:ser>
        <c:ser>
          <c:idx val="1"/>
          <c:order val="1"/>
          <c:tx>
            <c:strRef>
              <c:f>Sheet1!$C$1</c:f>
              <c:strCache>
                <c:ptCount val="1"/>
                <c:pt idx="0">
                  <c:v>2011</c:v>
                </c:pt>
              </c:strCache>
            </c:strRef>
          </c:tx>
          <c:invertIfNegative val="0"/>
          <c:dLbls>
            <c:dLbl>
              <c:idx val="0"/>
              <c:layout>
                <c:manualLayout>
                  <c:x val="1.2213207711768301E-2"/>
                  <c:y val="-2.4537039337096968E-2"/>
                </c:manualLayout>
              </c:layout>
              <c:showLegendKey val="0"/>
              <c:showVal val="1"/>
              <c:showCatName val="0"/>
              <c:showSerName val="0"/>
              <c:showPercent val="0"/>
              <c:showBubbleSize val="0"/>
            </c:dLbl>
            <c:dLbl>
              <c:idx val="3"/>
              <c:layout>
                <c:manualLayout>
                  <c:x val="9.6414504021016256E-3"/>
                  <c:y val="-1.8012102147056761E-2"/>
                </c:manualLayout>
              </c:layout>
              <c:showLegendKey val="0"/>
              <c:showVal val="1"/>
              <c:showCatName val="0"/>
              <c:showSerName val="0"/>
              <c:showPercent val="0"/>
              <c:showBubbleSize val="0"/>
            </c:dLbl>
            <c:dLbl>
              <c:idx val="5"/>
              <c:layout>
                <c:manualLayout>
                  <c:x val="9.6414504021016256E-3"/>
                  <c:y val="-1.8012102147056761E-2"/>
                </c:manualLayout>
              </c:layout>
              <c:showLegendKey val="0"/>
              <c:showVal val="1"/>
              <c:showCatName val="0"/>
              <c:showSerName val="0"/>
              <c:showPercent val="0"/>
              <c:showBubbleSize val="0"/>
            </c:dLbl>
            <c:dLbl>
              <c:idx val="6"/>
              <c:layout>
                <c:manualLayout>
                  <c:x val="0"/>
                  <c:y val="-5.7038323465679726E-2"/>
                </c:manualLayout>
              </c:layout>
              <c:showLegendKey val="0"/>
              <c:showVal val="1"/>
              <c:showCatName val="0"/>
              <c:showSerName val="0"/>
              <c:showPercent val="0"/>
              <c:showBubbleSize val="0"/>
            </c:dLbl>
            <c:dLbl>
              <c:idx val="7"/>
              <c:layout>
                <c:manualLayout>
                  <c:x val="7.7131603216812998E-3"/>
                  <c:y val="-1.50100851225473E-2"/>
                </c:manualLayout>
              </c:layout>
              <c:showLegendKey val="0"/>
              <c:showVal val="1"/>
              <c:showCatName val="0"/>
              <c:showSerName val="0"/>
              <c:showPercent val="0"/>
              <c:showBubbleSize val="0"/>
            </c:dLbl>
            <c:dLbl>
              <c:idx val="8"/>
              <c:layout>
                <c:manualLayout>
                  <c:x val="5.7848702412609749E-3"/>
                  <c:y val="-2.401613619607568E-2"/>
                </c:manualLayout>
              </c:layout>
              <c:showLegendKey val="0"/>
              <c:showVal val="1"/>
              <c:showCatName val="0"/>
              <c:showSerName val="0"/>
              <c:showPercent val="0"/>
              <c:showBubbleSize val="0"/>
            </c:dLbl>
            <c:dLbl>
              <c:idx val="10"/>
              <c:layout>
                <c:manualLayout>
                  <c:x val="0"/>
                  <c:y val="-3.602420429411351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Sheet1!$A$2:$A$13</c:f>
              <c:strCache>
                <c:ptCount val="12"/>
                <c:pt idx="0">
                  <c:v>HIV AIDS</c:v>
                </c:pt>
                <c:pt idx="1">
                  <c:v>Tubercolosis (TBC)</c:v>
                </c:pt>
                <c:pt idx="2">
                  <c:v>Hepatitis</c:v>
                </c:pt>
                <c:pt idx="3">
                  <c:v>Respiratory Infection</c:v>
                </c:pt>
                <c:pt idx="4">
                  <c:v>Kidney Desease</c:v>
                </c:pt>
                <c:pt idx="5">
                  <c:v>Digestion Infection </c:v>
                </c:pt>
                <c:pt idx="6">
                  <c:v>Neurogical Desease</c:v>
                </c:pt>
                <c:pt idx="7">
                  <c:v>Heart Attack</c:v>
                </c:pt>
                <c:pt idx="8">
                  <c:v>Suicide</c:v>
                </c:pt>
                <c:pt idx="9">
                  <c:v>Being killed during fight</c:v>
                </c:pt>
                <c:pt idx="10">
                  <c:v>Diabetes Melitus</c:v>
                </c:pt>
                <c:pt idx="11">
                  <c:v>etc</c:v>
                </c:pt>
              </c:strCache>
            </c:strRef>
          </c:cat>
          <c:val>
            <c:numRef>
              <c:f>Sheet1!$C$2:$C$13</c:f>
              <c:numCache>
                <c:formatCode>General</c:formatCode>
                <c:ptCount val="12"/>
                <c:pt idx="0">
                  <c:v>131</c:v>
                </c:pt>
                <c:pt idx="1">
                  <c:v>56</c:v>
                </c:pt>
                <c:pt idx="2">
                  <c:v>20</c:v>
                </c:pt>
                <c:pt idx="3">
                  <c:v>33</c:v>
                </c:pt>
                <c:pt idx="4">
                  <c:v>26</c:v>
                </c:pt>
                <c:pt idx="5">
                  <c:v>49</c:v>
                </c:pt>
                <c:pt idx="6">
                  <c:v>34</c:v>
                </c:pt>
                <c:pt idx="7">
                  <c:v>70</c:v>
                </c:pt>
                <c:pt idx="8">
                  <c:v>20</c:v>
                </c:pt>
                <c:pt idx="9">
                  <c:v>4</c:v>
                </c:pt>
                <c:pt idx="10">
                  <c:v>18</c:v>
                </c:pt>
                <c:pt idx="11">
                  <c:v>91</c:v>
                </c:pt>
              </c:numCache>
            </c:numRef>
          </c:val>
        </c:ser>
        <c:ser>
          <c:idx val="2"/>
          <c:order val="2"/>
          <c:tx>
            <c:strRef>
              <c:f>Sheet1!$D$1</c:f>
              <c:strCache>
                <c:ptCount val="1"/>
                <c:pt idx="0">
                  <c:v>2012</c:v>
                </c:pt>
              </c:strCache>
            </c:strRef>
          </c:tx>
          <c:invertIfNegative val="0"/>
          <c:dLbls>
            <c:dLbl>
              <c:idx val="0"/>
              <c:layout>
                <c:manualLayout>
                  <c:x val="1.0468463752944255E-2"/>
                  <c:y val="0"/>
                </c:manualLayout>
              </c:layout>
              <c:showLegendKey val="0"/>
              <c:showVal val="1"/>
              <c:showCatName val="0"/>
              <c:showSerName val="0"/>
              <c:showPercent val="0"/>
              <c:showBubbleSize val="0"/>
            </c:dLbl>
            <c:dLbl>
              <c:idx val="1"/>
              <c:layout>
                <c:manualLayout>
                  <c:x val="7.7131603216812998E-3"/>
                  <c:y val="0"/>
                </c:manualLayout>
              </c:layout>
              <c:showLegendKey val="0"/>
              <c:showVal val="1"/>
              <c:showCatName val="0"/>
              <c:showSerName val="0"/>
              <c:showPercent val="0"/>
              <c:showBubbleSize val="0"/>
            </c:dLbl>
            <c:dLbl>
              <c:idx val="2"/>
              <c:layout>
                <c:manualLayout>
                  <c:x val="9.6414504021016256E-3"/>
                  <c:y val="-2.1014119171566221E-2"/>
                </c:manualLayout>
              </c:layout>
              <c:showLegendKey val="0"/>
              <c:showVal val="1"/>
              <c:showCatName val="0"/>
              <c:showSerName val="0"/>
              <c:showPercent val="0"/>
              <c:showBubbleSize val="0"/>
            </c:dLbl>
            <c:dLbl>
              <c:idx val="3"/>
              <c:layout>
                <c:manualLayout>
                  <c:x val="1.5702695629416393E-2"/>
                  <c:y val="0"/>
                </c:manualLayout>
              </c:layout>
              <c:showLegendKey val="0"/>
              <c:showVal val="1"/>
              <c:showCatName val="0"/>
              <c:showSerName val="0"/>
              <c:showPercent val="0"/>
              <c:showBubbleSize val="0"/>
            </c:dLbl>
            <c:dLbl>
              <c:idx val="5"/>
              <c:layout>
                <c:manualLayout>
                  <c:x val="7.7131603216812998E-3"/>
                  <c:y val="0"/>
                </c:manualLayout>
              </c:layout>
              <c:showLegendKey val="0"/>
              <c:showVal val="1"/>
              <c:showCatName val="0"/>
              <c:showSerName val="0"/>
              <c:showPercent val="0"/>
              <c:showBubbleSize val="0"/>
            </c:dLbl>
            <c:dLbl>
              <c:idx val="6"/>
              <c:layout>
                <c:manualLayout>
                  <c:x val="7.7131603216812998E-3"/>
                  <c:y val="0"/>
                </c:manualLayout>
              </c:layout>
              <c:showLegendKey val="0"/>
              <c:showVal val="1"/>
              <c:showCatName val="0"/>
              <c:showSerName val="0"/>
              <c:showPercent val="0"/>
              <c:showBubbleSize val="0"/>
            </c:dLbl>
            <c:dLbl>
              <c:idx val="7"/>
              <c:layout>
                <c:manualLayout>
                  <c:x val="1.3498030562942276E-2"/>
                  <c:y val="0"/>
                </c:manualLayout>
              </c:layout>
              <c:showLegendKey val="0"/>
              <c:showVal val="1"/>
              <c:showCatName val="0"/>
              <c:showSerName val="0"/>
              <c:showPercent val="0"/>
              <c:showBubbleSize val="0"/>
            </c:dLbl>
            <c:dLbl>
              <c:idx val="11"/>
              <c:layout>
                <c:manualLayout>
                  <c:x val="1.735461072378292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Sheet1!$A$2:$A$13</c:f>
              <c:strCache>
                <c:ptCount val="12"/>
                <c:pt idx="0">
                  <c:v>HIV AIDS</c:v>
                </c:pt>
                <c:pt idx="1">
                  <c:v>Tubercolosis (TBC)</c:v>
                </c:pt>
                <c:pt idx="2">
                  <c:v>Hepatitis</c:v>
                </c:pt>
                <c:pt idx="3">
                  <c:v>Respiratory Infection</c:v>
                </c:pt>
                <c:pt idx="4">
                  <c:v>Kidney Desease</c:v>
                </c:pt>
                <c:pt idx="5">
                  <c:v>Digestion Infection </c:v>
                </c:pt>
                <c:pt idx="6">
                  <c:v>Neurogical Desease</c:v>
                </c:pt>
                <c:pt idx="7">
                  <c:v>Heart Attack</c:v>
                </c:pt>
                <c:pt idx="8">
                  <c:v>Suicide</c:v>
                </c:pt>
                <c:pt idx="9">
                  <c:v>Being killed during fight</c:v>
                </c:pt>
                <c:pt idx="10">
                  <c:v>Diabetes Melitus</c:v>
                </c:pt>
                <c:pt idx="11">
                  <c:v>etc</c:v>
                </c:pt>
              </c:strCache>
            </c:strRef>
          </c:cat>
          <c:val>
            <c:numRef>
              <c:f>Sheet1!$D$2:$D$13</c:f>
              <c:numCache>
                <c:formatCode>General</c:formatCode>
                <c:ptCount val="12"/>
                <c:pt idx="0">
                  <c:v>81</c:v>
                </c:pt>
                <c:pt idx="1">
                  <c:v>63</c:v>
                </c:pt>
                <c:pt idx="2">
                  <c:v>25</c:v>
                </c:pt>
                <c:pt idx="3">
                  <c:v>44</c:v>
                </c:pt>
                <c:pt idx="4">
                  <c:v>9</c:v>
                </c:pt>
                <c:pt idx="5">
                  <c:v>42</c:v>
                </c:pt>
                <c:pt idx="6">
                  <c:v>54</c:v>
                </c:pt>
                <c:pt idx="7">
                  <c:v>65</c:v>
                </c:pt>
                <c:pt idx="8">
                  <c:v>7</c:v>
                </c:pt>
                <c:pt idx="9">
                  <c:v>9</c:v>
                </c:pt>
                <c:pt idx="10">
                  <c:v>21</c:v>
                </c:pt>
                <c:pt idx="11">
                  <c:v>86</c:v>
                </c:pt>
              </c:numCache>
            </c:numRef>
          </c:val>
        </c:ser>
        <c:dLbls>
          <c:showLegendKey val="0"/>
          <c:showVal val="1"/>
          <c:showCatName val="0"/>
          <c:showSerName val="0"/>
          <c:showPercent val="0"/>
          <c:showBubbleSize val="0"/>
        </c:dLbls>
        <c:gapWidth val="150"/>
        <c:shape val="box"/>
        <c:axId val="70622592"/>
        <c:axId val="90183936"/>
        <c:axId val="0"/>
      </c:bar3DChart>
      <c:catAx>
        <c:axId val="70622592"/>
        <c:scaling>
          <c:orientation val="minMax"/>
        </c:scaling>
        <c:delete val="0"/>
        <c:axPos val="b"/>
        <c:majorTickMark val="none"/>
        <c:minorTickMark val="none"/>
        <c:tickLblPos val="nextTo"/>
        <c:crossAx val="90183936"/>
        <c:crosses val="autoZero"/>
        <c:auto val="1"/>
        <c:lblAlgn val="ctr"/>
        <c:lblOffset val="100"/>
        <c:noMultiLvlLbl val="0"/>
      </c:catAx>
      <c:valAx>
        <c:axId val="90183936"/>
        <c:scaling>
          <c:orientation val="minMax"/>
        </c:scaling>
        <c:delete val="1"/>
        <c:axPos val="l"/>
        <c:numFmt formatCode="General" sourceLinked="1"/>
        <c:majorTickMark val="none"/>
        <c:minorTickMark val="none"/>
        <c:tickLblPos val="nextTo"/>
        <c:crossAx val="70622592"/>
        <c:crosses val="autoZero"/>
        <c:crossBetween val="between"/>
      </c:valAx>
    </c:plotArea>
    <c:legend>
      <c:legendPos val="t"/>
      <c:overlay val="0"/>
    </c:legend>
    <c:plotVisOnly val="1"/>
    <c:dispBlanksAs val="gap"/>
    <c:showDLblsOverMax val="0"/>
  </c:chart>
  <c:spPr>
    <a:ln>
      <a:bevel/>
    </a:ln>
  </c:sp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2013</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82D51-1E99-46F6-AAD3-81762415296A}"/>
</file>

<file path=customXml/itemProps2.xml><?xml version="1.0" encoding="utf-8"?>
<ds:datastoreItem xmlns:ds="http://schemas.openxmlformats.org/officeDocument/2006/customXml" ds:itemID="{ED6487C3-B2AD-4FA9-BDFA-B8B08676BB70}"/>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C3B3FDB2-FBA0-4DA3-89B7-47C4F68C91B9}"/>
</file>

<file path=customXml/itemProps5.xml><?xml version="1.0" encoding="utf-8"?>
<ds:datastoreItem xmlns:ds="http://schemas.openxmlformats.org/officeDocument/2006/customXml" ds:itemID="{F463CBEF-4017-4AB2-A4BF-6CE524190CF2}"/>
</file>

<file path=docProps/app.xml><?xml version="1.0" encoding="utf-8"?>
<Properties xmlns="http://schemas.openxmlformats.org/officeDocument/2006/extended-properties" xmlns:vt="http://schemas.openxmlformats.org/officeDocument/2006/docPropsVTypes">
  <Template>Normal</Template>
  <TotalTime>1</TotalTime>
  <Pages>25</Pages>
  <Words>8444</Words>
  <Characters>48137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Response to The List of Issue from Initial Report of ICCPR-Indonesia</vt:lpstr>
    </vt:vector>
  </TitlesOfParts>
  <Company/>
  <LinksUpToDate>false</LinksUpToDate>
  <CharactersWithSpaces>56469</CharactersWithSpaces>
  <SharedDoc>false</SharedDoc>
  <HLinks>
    <vt:vector size="30" baseType="variant">
      <vt:variant>
        <vt:i4>7274531</vt:i4>
      </vt:variant>
      <vt:variant>
        <vt:i4>0</vt:i4>
      </vt:variant>
      <vt:variant>
        <vt:i4>0</vt:i4>
      </vt:variant>
      <vt:variant>
        <vt:i4>5</vt:i4>
      </vt:variant>
      <vt:variant>
        <vt:lpwstr>http://smslap.ditjenpas.go.id/</vt:lpwstr>
      </vt:variant>
      <vt:variant>
        <vt:lpwstr/>
      </vt:variant>
      <vt:variant>
        <vt:i4>4390940</vt:i4>
      </vt:variant>
      <vt:variant>
        <vt:i4>9</vt:i4>
      </vt:variant>
      <vt:variant>
        <vt:i4>0</vt:i4>
      </vt:variant>
      <vt:variant>
        <vt:i4>5</vt:i4>
      </vt:variant>
      <vt:variant>
        <vt:lpwstr>http://nasional.kompas.com/read/2010/08/07/11412176/Kepolisian.Paling.Banyak.Dikeluhkan-3</vt:lpwstr>
      </vt:variant>
      <vt:variant>
        <vt:lpwstr/>
      </vt:variant>
      <vt:variant>
        <vt:i4>7274531</vt:i4>
      </vt:variant>
      <vt:variant>
        <vt:i4>6</vt:i4>
      </vt:variant>
      <vt:variant>
        <vt:i4>0</vt:i4>
      </vt:variant>
      <vt:variant>
        <vt:i4>5</vt:i4>
      </vt:variant>
      <vt:variant>
        <vt:lpwstr>http://smslap.ditjenpas.go.id/</vt:lpwstr>
      </vt:variant>
      <vt:variant>
        <vt:lpwstr/>
      </vt:variant>
      <vt:variant>
        <vt:i4>7274531</vt:i4>
      </vt:variant>
      <vt:variant>
        <vt:i4>3</vt:i4>
      </vt:variant>
      <vt:variant>
        <vt:i4>0</vt:i4>
      </vt:variant>
      <vt:variant>
        <vt:i4>5</vt:i4>
      </vt:variant>
      <vt:variant>
        <vt:lpwstr>http://smslap.ditjenpas.go.id/</vt:lpwstr>
      </vt:variant>
      <vt:variant>
        <vt:lpwstr/>
      </vt:variant>
      <vt:variant>
        <vt:i4>6160413</vt:i4>
      </vt:variant>
      <vt:variant>
        <vt:i4>0</vt:i4>
      </vt:variant>
      <vt:variant>
        <vt:i4>0</vt:i4>
      </vt:variant>
      <vt:variant>
        <vt:i4>5</vt:i4>
      </vt:variant>
      <vt:variant>
        <vt:lpwstr>http://www.detik.com/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List of Issue from Initial Report of ICCPR-Indonesia</dc:title>
  <dc:subject>Torture Issue</dc:subject>
  <dc:creator>W</dc:creator>
  <cp:lastModifiedBy>Thistle</cp:lastModifiedBy>
  <cp:revision>2</cp:revision>
  <cp:lastPrinted>2013-06-26T05:14:00Z</cp:lastPrinted>
  <dcterms:created xsi:type="dcterms:W3CDTF">2013-06-26T20:19:00Z</dcterms:created>
  <dcterms:modified xsi:type="dcterms:W3CDTF">2013-06-26T20:19:00Z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