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79800" w14:textId="64CC4C34" w:rsidR="008C72F6" w:rsidRPr="008C72F6" w:rsidRDefault="008C72F6" w:rsidP="008C72F6">
      <w:pPr>
        <w:pBdr>
          <w:bottom w:val="single" w:sz="18" w:space="1" w:color="auto"/>
        </w:pBdr>
        <w:jc w:val="cente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72F6">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Committee on Enforced Disappearances Regarding The Republic of </w:t>
      </w:r>
      <w:r w:rsidRPr="008C72F6">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Iraq</w:t>
      </w:r>
    </w:p>
    <w:p w14:paraId="112B0A72" w14:textId="0EEE0F24" w:rsidR="008C72F6" w:rsidRPr="008C72F6" w:rsidRDefault="008C72F6" w:rsidP="008C72F6">
      <w:pPr>
        <w:pBdr>
          <w:bottom w:val="single" w:sz="18" w:space="1" w:color="auto"/>
        </w:pBdr>
        <w:jc w:val="center"/>
        <w:rPr>
          <w:rFonts w:asciiTheme="majorBidi" w:hAnsiTheme="majorBidi" w:cstheme="majorBidi"/>
          <w:b/>
          <w:color w:val="C45911" w:themeColor="accent2"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72F6">
        <w:rPr>
          <w:rFonts w:asciiTheme="majorBidi" w:hAnsiTheme="majorBidi" w:cstheme="majorBidi"/>
          <w:b/>
          <w:color w:val="C45911" w:themeColor="accent2"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June 2025</w:t>
      </w:r>
    </w:p>
    <w:p w14:paraId="542F3C06" w14:textId="18B7E197" w:rsidR="008C72F6" w:rsidRPr="008C72F6" w:rsidRDefault="008C72F6" w:rsidP="008C72F6">
      <w:pPr>
        <w:jc w:val="both"/>
        <w:rPr>
          <w:rFonts w:asciiTheme="majorBidi" w:hAnsiTheme="majorBidi" w:cstheme="majorBidi"/>
          <w:sz w:val="24"/>
          <w:szCs w:val="24"/>
        </w:rPr>
      </w:pPr>
      <w:r>
        <w:rPr>
          <w:rFonts w:asciiTheme="majorBidi" w:hAnsiTheme="majorBidi" w:cstheme="majorBidi"/>
          <w:sz w:val="24"/>
          <w:szCs w:val="24"/>
        </w:rPr>
        <w:t xml:space="preserve">The </w:t>
      </w:r>
      <w:r w:rsidRPr="008C72F6">
        <w:rPr>
          <w:rFonts w:asciiTheme="majorBidi" w:hAnsiTheme="majorBidi" w:cstheme="majorBidi"/>
          <w:sz w:val="24"/>
          <w:szCs w:val="24"/>
        </w:rPr>
        <w:t xml:space="preserve">Republic of Iraq ratified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 xml:space="preserve">International Convention for Protection of All Persons from Enforced Disappearance on November 23, 2010. By this ratification, Iraq became obligated to fully and without discrimination implement the provisions of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Convention, both concerning its citizens and foreign nationals residing on its territory.</w:t>
      </w:r>
      <w:r w:rsidRPr="008C72F6">
        <w:rPr>
          <w:rStyle w:val="FootnoteReference"/>
          <w:rFonts w:asciiTheme="majorBidi" w:hAnsiTheme="majorBidi" w:cstheme="majorBidi"/>
          <w:sz w:val="24"/>
          <w:szCs w:val="24"/>
        </w:rPr>
        <w:footnoteReference w:id="1"/>
      </w:r>
      <w:r w:rsidRPr="008C72F6">
        <w:rPr>
          <w:rFonts w:asciiTheme="majorBidi" w:hAnsiTheme="majorBidi" w:cstheme="majorBidi"/>
          <w:sz w:val="24"/>
          <w:szCs w:val="24"/>
        </w:rPr>
        <w:t xml:space="preserve"> Despite the efforts made by </w:t>
      </w:r>
      <w:r>
        <w:rPr>
          <w:rFonts w:asciiTheme="majorBidi" w:hAnsiTheme="majorBidi" w:cstheme="majorBidi"/>
          <w:sz w:val="24"/>
          <w:szCs w:val="24"/>
        </w:rPr>
        <w:t xml:space="preserve">The </w:t>
      </w:r>
      <w:r w:rsidRPr="008C72F6">
        <w:rPr>
          <w:rFonts w:asciiTheme="majorBidi" w:hAnsiTheme="majorBidi" w:cstheme="majorBidi"/>
          <w:sz w:val="24"/>
          <w:szCs w:val="24"/>
        </w:rPr>
        <w:t xml:space="preserve">Iraqi government, Maat observes that gaps continue to exist in the national legal framework regarding the crime of enforced disappearance, which hinders the effective and complete implementation of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Convention’s provisions within Iraq. These legal gaps are among the most significant challenges obstructing the guarantee of comprehensive protection for individuals against the risk of enforced disappearance, and they undermine the state's ability to fulfill its international obligations. Estimates indicate that Iraq has one of the highest numbers of missing and disappeared persons in the world, ranging from 250,000 to one million individuals.</w:t>
      </w:r>
      <w:r w:rsidRPr="008C72F6">
        <w:rPr>
          <w:rStyle w:val="FootnoteReference"/>
          <w:rFonts w:asciiTheme="majorBidi" w:hAnsiTheme="majorBidi" w:cstheme="majorBidi"/>
          <w:sz w:val="24"/>
          <w:szCs w:val="24"/>
        </w:rPr>
        <w:footnoteReference w:id="2"/>
      </w:r>
      <w:r w:rsidRPr="008C72F6">
        <w:rPr>
          <w:rFonts w:asciiTheme="majorBidi" w:hAnsiTheme="majorBidi" w:cstheme="majorBidi"/>
          <w:sz w:val="24"/>
          <w:szCs w:val="24"/>
        </w:rPr>
        <w:t xml:space="preserve"> In this context, Maat presents additional information before Iraq's review before the Committee on Enforced Disappearances,</w:t>
      </w:r>
      <w:r w:rsidRPr="008C72F6">
        <w:rPr>
          <w:rStyle w:val="FootnoteReference"/>
          <w:rFonts w:asciiTheme="majorBidi" w:hAnsiTheme="majorBidi" w:cstheme="majorBidi"/>
          <w:sz w:val="24"/>
          <w:szCs w:val="24"/>
        </w:rPr>
        <w:footnoteReference w:id="3"/>
      </w:r>
      <w:r w:rsidRPr="008C72F6">
        <w:rPr>
          <w:rFonts w:asciiTheme="majorBidi" w:hAnsiTheme="majorBidi" w:cstheme="majorBidi"/>
          <w:sz w:val="24"/>
          <w:szCs w:val="24"/>
        </w:rPr>
        <w:t xml:space="preserve"> with the hope that this information will enrich the review process.</w:t>
      </w:r>
    </w:p>
    <w:p w14:paraId="331E8E1E" w14:textId="77777777" w:rsidR="008C72F6" w:rsidRPr="008C72F6" w:rsidRDefault="008C72F6" w:rsidP="008C72F6">
      <w:pPr>
        <w:pStyle w:val="ListParagraph"/>
        <w:numPr>
          <w:ilvl w:val="0"/>
          <w:numId w:val="46"/>
        </w:numPr>
        <w:spacing w:line="278" w:lineRule="auto"/>
        <w:jc w:val="both"/>
        <w:rPr>
          <w:rFonts w:asciiTheme="majorBidi" w:hAnsiTheme="majorBidi" w:cstheme="majorBidi"/>
          <w:b/>
          <w:bCs/>
          <w:color w:val="C45911" w:themeColor="accent2" w:themeShade="BF"/>
          <w:sz w:val="28"/>
          <w:szCs w:val="28"/>
        </w:rPr>
      </w:pPr>
      <w:r w:rsidRPr="008C72F6">
        <w:rPr>
          <w:rFonts w:asciiTheme="majorBidi" w:hAnsiTheme="majorBidi" w:cstheme="majorBidi"/>
          <w:b/>
          <w:bCs/>
          <w:color w:val="C45911" w:themeColor="accent2" w:themeShade="BF"/>
          <w:sz w:val="28"/>
          <w:szCs w:val="28"/>
        </w:rPr>
        <w:t>Definition of Enforced Disappearance (Article 2)</w:t>
      </w:r>
    </w:p>
    <w:p w14:paraId="363EE9DE" w14:textId="61B08C1A" w:rsidR="008C72F6" w:rsidRPr="008C72F6" w:rsidRDefault="008C72F6" w:rsidP="008C72F6">
      <w:pPr>
        <w:jc w:val="both"/>
        <w:rPr>
          <w:rFonts w:asciiTheme="majorBidi" w:hAnsiTheme="majorBidi" w:cstheme="majorBidi"/>
          <w:sz w:val="24"/>
          <w:szCs w:val="24"/>
        </w:rPr>
      </w:pPr>
      <w:r w:rsidRPr="008C72F6">
        <w:rPr>
          <w:rFonts w:asciiTheme="majorBidi" w:hAnsiTheme="majorBidi" w:cstheme="majorBidi"/>
          <w:sz w:val="24"/>
          <w:szCs w:val="24"/>
        </w:rPr>
        <w:t xml:space="preserve">Maat notes that, as of June 2025, </w:t>
      </w:r>
      <w:r w:rsidRPr="00CE1439">
        <w:rPr>
          <w:rFonts w:asciiTheme="majorBidi" w:hAnsiTheme="majorBidi" w:cstheme="majorBidi"/>
          <w:sz w:val="24"/>
          <w:szCs w:val="24"/>
        </w:rPr>
        <w:t xml:space="preserve">Iraqi legislative framework still lacks a definition of the crime of enforced disappearance that aligns with Article 2 of </w:t>
      </w:r>
      <w:r w:rsidR="00596BB8">
        <w:rPr>
          <w:rFonts w:asciiTheme="majorBidi" w:hAnsiTheme="majorBidi" w:cstheme="majorBidi"/>
          <w:sz w:val="24"/>
          <w:szCs w:val="24"/>
        </w:rPr>
        <w:t xml:space="preserve">The </w:t>
      </w:r>
      <w:r w:rsidRPr="00CE1439">
        <w:rPr>
          <w:rFonts w:asciiTheme="majorBidi" w:hAnsiTheme="majorBidi" w:cstheme="majorBidi"/>
          <w:sz w:val="24"/>
          <w:szCs w:val="24"/>
        </w:rPr>
        <w:t>Convention. It is not recognized as a distinct legal concept in national legislation</w:t>
      </w:r>
      <w:r w:rsidRPr="008C72F6">
        <w:rPr>
          <w:rFonts w:asciiTheme="majorBidi" w:hAnsiTheme="majorBidi" w:cstheme="majorBidi"/>
          <w:sz w:val="24"/>
          <w:szCs w:val="24"/>
        </w:rPr>
        <w:t>. Maat observes a confusion between crimes such as abduction and unlawful detention or arrest and enforced disappearance, based on Articles 322 to 324 of Penal Code No. 111 of 1969 and its amendments.</w:t>
      </w:r>
      <w:r w:rsidRPr="008C72F6">
        <w:rPr>
          <w:rStyle w:val="FootnoteReference"/>
          <w:rFonts w:asciiTheme="majorBidi" w:hAnsiTheme="majorBidi" w:cstheme="majorBidi"/>
          <w:sz w:val="24"/>
          <w:szCs w:val="24"/>
        </w:rPr>
        <w:footnoteReference w:id="4"/>
      </w:r>
      <w:r w:rsidRPr="008C72F6">
        <w:rPr>
          <w:rFonts w:asciiTheme="majorBidi" w:hAnsiTheme="majorBidi" w:cstheme="majorBidi"/>
          <w:sz w:val="24"/>
          <w:szCs w:val="24"/>
        </w:rPr>
        <w:t xml:space="preserve"> However, this confusion dilutes the essence of enforced disappearance; it is not limited to the mere loss of liberty but extends to the denial of fate, which is the fundamental distinguishing element of the crime of enforced disappearance.</w:t>
      </w:r>
    </w:p>
    <w:p w14:paraId="269EC2BD" w14:textId="7A3C45AF" w:rsidR="008C72F6" w:rsidRPr="008C72F6" w:rsidRDefault="008C72F6" w:rsidP="008C72F6">
      <w:pPr>
        <w:jc w:val="both"/>
        <w:rPr>
          <w:rFonts w:asciiTheme="majorBidi" w:hAnsiTheme="majorBidi" w:cstheme="majorBidi"/>
          <w:sz w:val="24"/>
          <w:szCs w:val="24"/>
        </w:rPr>
      </w:pPr>
      <w:r w:rsidRPr="008C72F6">
        <w:rPr>
          <w:rFonts w:asciiTheme="majorBidi" w:hAnsiTheme="majorBidi" w:cstheme="majorBidi"/>
          <w:sz w:val="24"/>
          <w:szCs w:val="24"/>
        </w:rPr>
        <w:t xml:space="preserve">Maat believes that the absence of an explicit legal provision criminalizing enforced disappearance independently leads to the dilution of victims' complaints and undermines their available avenues for redress. According to information, the lack of independence in investigations, especially in </w:t>
      </w:r>
      <w:r w:rsidRPr="008C72F6">
        <w:rPr>
          <w:rFonts w:asciiTheme="majorBidi" w:hAnsiTheme="majorBidi" w:cstheme="majorBidi"/>
          <w:sz w:val="24"/>
          <w:szCs w:val="24"/>
        </w:rPr>
        <w:lastRenderedPageBreak/>
        <w:t xml:space="preserve">cases where the suspects are from security agencies or armed groups, exacerbates the suffering of families and makes proving the crime extremely difficult, particularly in light of the absence of official recognition and the lack of effective mechanisms for remedy or compensation. In this context, Iraqi authorities continue to apply the principle of statute of limitations to a crime that is, by its nature, ongoing, which contradicts the principles established by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Convention.</w:t>
      </w:r>
      <w:r w:rsidRPr="008C72F6">
        <w:rPr>
          <w:rStyle w:val="FootnoteReference"/>
          <w:rFonts w:asciiTheme="majorBidi" w:hAnsiTheme="majorBidi" w:cstheme="majorBidi"/>
          <w:sz w:val="24"/>
          <w:szCs w:val="24"/>
        </w:rPr>
        <w:footnoteReference w:id="5"/>
      </w:r>
    </w:p>
    <w:p w14:paraId="33A1A560" w14:textId="77777777" w:rsidR="008C72F6" w:rsidRPr="008C72F6" w:rsidRDefault="008C72F6" w:rsidP="00CE1439">
      <w:pPr>
        <w:jc w:val="both"/>
        <w:rPr>
          <w:rFonts w:asciiTheme="majorBidi" w:hAnsiTheme="majorBidi" w:cstheme="majorBidi"/>
          <w:sz w:val="24"/>
          <w:szCs w:val="24"/>
          <w:rtl/>
        </w:rPr>
      </w:pPr>
      <w:r w:rsidRPr="008C72F6">
        <w:rPr>
          <w:rFonts w:asciiTheme="majorBidi" w:hAnsiTheme="majorBidi" w:cstheme="majorBidi"/>
          <w:sz w:val="24"/>
          <w:szCs w:val="24"/>
        </w:rPr>
        <w:t>Although there are several draft laws related to the crime of enforced disappearance under discussion in Iraqi Parliament, none have been definitively adopted as of June 2025. The Parliament attempted in 2019 to legislate a law titled "Protection of Persons from Enforced Disappearance." However, the draft stalled after the first reading due to a lack of political will. In July 2023, Iraqi government referred a new draft law titled "Combating Enforced Disappearance" to Parliament, but it had not been adopted by June 2025. In August 2023, Iraqi Prime Minister announced that the government had approved the draft law and referred it to Parliament for a vote, but the draft faced widespread criticism for lacking effective mechanisms for monitoring and documenting cases of disappearance and determining the fate of victims.</w:t>
      </w:r>
    </w:p>
    <w:p w14:paraId="5B52301C" w14:textId="77777777" w:rsidR="008C72F6" w:rsidRPr="00CE1439" w:rsidRDefault="008C72F6" w:rsidP="008C72F6">
      <w:pPr>
        <w:pStyle w:val="ListParagraph"/>
        <w:numPr>
          <w:ilvl w:val="0"/>
          <w:numId w:val="46"/>
        </w:numPr>
        <w:spacing w:line="278" w:lineRule="auto"/>
        <w:jc w:val="both"/>
        <w:rPr>
          <w:rFonts w:asciiTheme="majorBidi" w:hAnsiTheme="majorBidi" w:cstheme="majorBidi"/>
          <w:b/>
          <w:bCs/>
          <w:color w:val="C45911" w:themeColor="accent2" w:themeShade="BF"/>
          <w:sz w:val="28"/>
          <w:szCs w:val="28"/>
        </w:rPr>
      </w:pPr>
      <w:r w:rsidRPr="00CE1439">
        <w:rPr>
          <w:rFonts w:asciiTheme="majorBidi" w:hAnsiTheme="majorBidi" w:cstheme="majorBidi"/>
          <w:b/>
          <w:bCs/>
          <w:color w:val="C45911" w:themeColor="accent2" w:themeShade="BF"/>
          <w:sz w:val="28"/>
          <w:szCs w:val="28"/>
        </w:rPr>
        <w:t>Investigation of Allegations of Enforced Disappearance (Article 3)</w:t>
      </w:r>
    </w:p>
    <w:p w14:paraId="7B0C9303" w14:textId="7106FECB" w:rsidR="008C72F6" w:rsidRPr="008C72F6" w:rsidRDefault="008C72F6" w:rsidP="008C72F6">
      <w:pPr>
        <w:jc w:val="both"/>
        <w:rPr>
          <w:rFonts w:asciiTheme="majorBidi" w:hAnsiTheme="majorBidi" w:cstheme="majorBidi"/>
          <w:sz w:val="24"/>
          <w:szCs w:val="24"/>
        </w:rPr>
      </w:pPr>
      <w:r w:rsidRPr="008C72F6">
        <w:rPr>
          <w:rFonts w:asciiTheme="majorBidi" w:hAnsiTheme="majorBidi" w:cstheme="majorBidi"/>
          <w:sz w:val="24"/>
          <w:szCs w:val="24"/>
        </w:rPr>
        <w:t xml:space="preserve">Maat notes the measures taken by </w:t>
      </w:r>
      <w:r w:rsidR="00CE1439">
        <w:rPr>
          <w:rFonts w:asciiTheme="majorBidi" w:hAnsiTheme="majorBidi" w:cstheme="majorBidi"/>
          <w:sz w:val="24"/>
          <w:szCs w:val="24"/>
        </w:rPr>
        <w:t xml:space="preserve">The </w:t>
      </w:r>
      <w:r w:rsidRPr="008C72F6">
        <w:rPr>
          <w:rFonts w:asciiTheme="majorBidi" w:hAnsiTheme="majorBidi" w:cstheme="majorBidi"/>
          <w:sz w:val="24"/>
          <w:szCs w:val="24"/>
        </w:rPr>
        <w:t xml:space="preserve">Iraqi government to investigate allegations of enforced disappearance, including the establishment of a ministerial committee headed by the Undersecretary of the Ministry of Justice to coordinate with ministries in obtaining information regarding each case of enforced disappearance. While this partially fulfills the commitments outlined in Article 3 of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Convention,</w:t>
      </w:r>
      <w:r w:rsidRPr="008C72F6">
        <w:rPr>
          <w:rStyle w:val="FootnoteReference"/>
          <w:rFonts w:asciiTheme="majorBidi" w:hAnsiTheme="majorBidi" w:cstheme="majorBidi"/>
          <w:sz w:val="24"/>
          <w:szCs w:val="24"/>
        </w:rPr>
        <w:footnoteReference w:id="6"/>
      </w:r>
      <w:r w:rsidRPr="008C72F6">
        <w:rPr>
          <w:rFonts w:asciiTheme="majorBidi" w:hAnsiTheme="majorBidi" w:cstheme="majorBidi"/>
          <w:sz w:val="24"/>
          <w:szCs w:val="24"/>
        </w:rPr>
        <w:t xml:space="preserve"> the practical reality shows a noticeable lack of action by Iraqi authorities in this area. Most investigations remain ineffective, and the fates and whereabouts of thousands of the disappeared remain unknown, due to weak political will and a lack of effective investigation mechanisms.</w:t>
      </w:r>
    </w:p>
    <w:p w14:paraId="2C70C90F" w14:textId="0293A950" w:rsidR="008C72F6" w:rsidRPr="008C72F6" w:rsidRDefault="008C72F6" w:rsidP="00CE1439">
      <w:pPr>
        <w:jc w:val="both"/>
        <w:rPr>
          <w:rFonts w:asciiTheme="majorBidi" w:hAnsiTheme="majorBidi" w:cstheme="majorBidi"/>
          <w:sz w:val="24"/>
          <w:szCs w:val="24"/>
        </w:rPr>
      </w:pPr>
      <w:r w:rsidRPr="008C72F6">
        <w:rPr>
          <w:rFonts w:asciiTheme="majorBidi" w:hAnsiTheme="majorBidi" w:cstheme="majorBidi"/>
          <w:sz w:val="24"/>
          <w:szCs w:val="24"/>
        </w:rPr>
        <w:t xml:space="preserve">Maat also has additional concerns due to the suspension of the activities of United Nations Investigative Team to Promote Accountability for Crimes Committed by ISIS in Iraq, which played an important role in documenting violations during its six-year mandate until 2024. The team, in cooperation with Iraqi authorities, uncovered 67 mass graves and digitized over 18 million paper documents containing information found at ISIS sites, integrating these documents into a centralized digital archive. However, </w:t>
      </w:r>
      <w:r w:rsidR="00CE1439">
        <w:rPr>
          <w:rFonts w:asciiTheme="majorBidi" w:hAnsiTheme="majorBidi" w:cstheme="majorBidi"/>
          <w:sz w:val="24"/>
          <w:szCs w:val="24"/>
        </w:rPr>
        <w:t xml:space="preserve">The </w:t>
      </w:r>
      <w:r w:rsidRPr="008C72F6">
        <w:rPr>
          <w:rFonts w:asciiTheme="majorBidi" w:hAnsiTheme="majorBidi" w:cstheme="majorBidi"/>
          <w:sz w:val="24"/>
          <w:szCs w:val="24"/>
        </w:rPr>
        <w:t>Iraqi government abruptly decided to halt the team's operations without providing clear justifications before it could complete its tasks in all provinces, leading to widespread criticism and accusations of "selectivity" in investigations.</w:t>
      </w:r>
    </w:p>
    <w:p w14:paraId="7DDE1EBC" w14:textId="77777777" w:rsidR="008C72F6" w:rsidRPr="008C72F6" w:rsidRDefault="008C72F6" w:rsidP="00CE1439">
      <w:pPr>
        <w:jc w:val="both"/>
        <w:rPr>
          <w:rFonts w:asciiTheme="majorBidi" w:hAnsiTheme="majorBidi" w:cstheme="majorBidi"/>
          <w:sz w:val="24"/>
          <w:szCs w:val="24"/>
        </w:rPr>
      </w:pPr>
      <w:r w:rsidRPr="008C72F6">
        <w:rPr>
          <w:rFonts w:asciiTheme="majorBidi" w:hAnsiTheme="majorBidi" w:cstheme="majorBidi"/>
          <w:sz w:val="24"/>
          <w:szCs w:val="24"/>
        </w:rPr>
        <w:lastRenderedPageBreak/>
        <w:t>Reports reviewed by Maat indicate that Iraqi government and its judicial institutions have focused their investigations on violations committed before 2003 and on crimes perpetrated by ISIS and Al-Qaeda. In contrast, they have largely ignored the serious violations that occurred during military operations against ISIS, committed by some armed factions affiliated with the Popular Mobilization Forces or government forces in areas such as Jurf al-</w:t>
      </w:r>
      <w:proofErr w:type="spellStart"/>
      <w:r w:rsidRPr="008C72F6">
        <w:rPr>
          <w:rFonts w:asciiTheme="majorBidi" w:hAnsiTheme="majorBidi" w:cstheme="majorBidi"/>
          <w:sz w:val="24"/>
          <w:szCs w:val="24"/>
        </w:rPr>
        <w:t>Sakhar</w:t>
      </w:r>
      <w:proofErr w:type="spellEnd"/>
      <w:r w:rsidRPr="008C72F6">
        <w:rPr>
          <w:rFonts w:asciiTheme="majorBidi" w:hAnsiTheme="majorBidi" w:cstheme="majorBidi"/>
          <w:sz w:val="24"/>
          <w:szCs w:val="24"/>
        </w:rPr>
        <w:t>, Anbar, Salah al-Din, Nineveh, Diyala, and Kirkuk.</w:t>
      </w:r>
    </w:p>
    <w:p w14:paraId="4D4E0DC7" w14:textId="77777777" w:rsidR="008C72F6" w:rsidRPr="008C72F6" w:rsidRDefault="008C72F6" w:rsidP="00CE1439">
      <w:pPr>
        <w:jc w:val="both"/>
        <w:rPr>
          <w:rFonts w:asciiTheme="majorBidi" w:hAnsiTheme="majorBidi" w:cstheme="majorBidi"/>
          <w:sz w:val="24"/>
          <w:szCs w:val="24"/>
        </w:rPr>
      </w:pPr>
      <w:r w:rsidRPr="008C72F6">
        <w:rPr>
          <w:rFonts w:asciiTheme="majorBidi" w:hAnsiTheme="majorBidi" w:cstheme="majorBidi"/>
          <w:sz w:val="24"/>
          <w:szCs w:val="24"/>
        </w:rPr>
        <w:t>In this context, despite Iraqi government's commitment to investigate and prosecute perpetrators in enforced disappearance cases as outlined in the report of United Nations Assistance Mission for Iraq,</w:t>
      </w:r>
      <w:r w:rsidRPr="008C72F6">
        <w:rPr>
          <w:rStyle w:val="FootnoteReference"/>
          <w:rFonts w:asciiTheme="majorBidi" w:hAnsiTheme="majorBidi" w:cstheme="majorBidi"/>
          <w:sz w:val="24"/>
          <w:szCs w:val="24"/>
        </w:rPr>
        <w:footnoteReference w:id="7"/>
      </w:r>
      <w:r w:rsidRPr="008C72F6">
        <w:rPr>
          <w:rFonts w:asciiTheme="majorBidi" w:hAnsiTheme="majorBidi" w:cstheme="majorBidi"/>
          <w:sz w:val="24"/>
          <w:szCs w:val="24"/>
        </w:rPr>
        <w:t xml:space="preserve"> and the directive from Iraqi Prime Minister to disclose the fate of individuals forcibly disappeared after the war against ISIS, the establishment of a follow-up committee for enforced disappearance crimes in August 2019—particularly in areas liberated from ISIS—remains largely rhetorical. The follow-up committee has only held limited meetings, leading to its marginalization and limited effectiveness.</w:t>
      </w:r>
      <w:r w:rsidRPr="008C72F6">
        <w:rPr>
          <w:rStyle w:val="FootnoteReference"/>
          <w:rFonts w:asciiTheme="majorBidi" w:hAnsiTheme="majorBidi" w:cstheme="majorBidi"/>
          <w:sz w:val="24"/>
          <w:szCs w:val="24"/>
        </w:rPr>
        <w:footnoteReference w:id="8"/>
      </w:r>
    </w:p>
    <w:p w14:paraId="46737252" w14:textId="77777777" w:rsidR="008C72F6" w:rsidRPr="00CE1439" w:rsidRDefault="008C72F6" w:rsidP="008C72F6">
      <w:pPr>
        <w:pStyle w:val="ListParagraph"/>
        <w:numPr>
          <w:ilvl w:val="0"/>
          <w:numId w:val="46"/>
        </w:numPr>
        <w:spacing w:line="278" w:lineRule="auto"/>
        <w:jc w:val="both"/>
        <w:rPr>
          <w:rFonts w:asciiTheme="majorBidi" w:hAnsiTheme="majorBidi" w:cstheme="majorBidi"/>
          <w:b/>
          <w:bCs/>
          <w:color w:val="C45911" w:themeColor="accent2" w:themeShade="BF"/>
          <w:sz w:val="28"/>
          <w:szCs w:val="28"/>
        </w:rPr>
      </w:pPr>
      <w:r w:rsidRPr="00CE1439">
        <w:rPr>
          <w:rFonts w:asciiTheme="majorBidi" w:hAnsiTheme="majorBidi" w:cstheme="majorBidi"/>
          <w:b/>
          <w:bCs/>
          <w:color w:val="C45911" w:themeColor="accent2" w:themeShade="BF"/>
          <w:sz w:val="28"/>
          <w:szCs w:val="28"/>
        </w:rPr>
        <w:t>Penalties for Crime of Enforced Disappearance (Article 7)</w:t>
      </w:r>
    </w:p>
    <w:p w14:paraId="55F58443" w14:textId="7642E899" w:rsidR="008C72F6" w:rsidRPr="008C72F6" w:rsidRDefault="008C72F6" w:rsidP="008C72F6">
      <w:pPr>
        <w:jc w:val="both"/>
        <w:rPr>
          <w:rFonts w:asciiTheme="majorBidi" w:hAnsiTheme="majorBidi" w:cstheme="majorBidi"/>
          <w:sz w:val="24"/>
          <w:szCs w:val="24"/>
        </w:rPr>
      </w:pPr>
      <w:r w:rsidRPr="008C72F6">
        <w:rPr>
          <w:rFonts w:asciiTheme="majorBidi" w:hAnsiTheme="majorBidi" w:cstheme="majorBidi"/>
          <w:sz w:val="24"/>
          <w:szCs w:val="24"/>
        </w:rPr>
        <w:t xml:space="preserve">Iraqi Penal Code No. 111 of 1969 still lacks an explicit provision criminalizing enforced disappearance as an independent crime, reflecting a clear legislative gap that contradicts Iraq's international obligations under Article 7 of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Convention. Instead of enacting specific penalties commensurate with the nature of this serious and complex crime, Iraqi authorities currently rely on classifying acts constituting enforced disappearance under other crimes, such as unlawful detention, torture, murder, or abuse of power. These classifications do not encompass all elements of the crime and fail to address its ongoing nature.</w:t>
      </w:r>
    </w:p>
    <w:p w14:paraId="46DFDB53" w14:textId="77777777" w:rsidR="008C72F6" w:rsidRPr="008C72F6" w:rsidRDefault="008C72F6" w:rsidP="00CE1439">
      <w:pPr>
        <w:jc w:val="both"/>
        <w:rPr>
          <w:rFonts w:asciiTheme="majorBidi" w:hAnsiTheme="majorBidi" w:cstheme="majorBidi"/>
          <w:sz w:val="24"/>
          <w:szCs w:val="24"/>
        </w:rPr>
      </w:pPr>
      <w:r w:rsidRPr="008C72F6">
        <w:rPr>
          <w:rFonts w:asciiTheme="majorBidi" w:hAnsiTheme="majorBidi" w:cstheme="majorBidi"/>
          <w:sz w:val="24"/>
          <w:szCs w:val="24"/>
        </w:rPr>
        <w:t>For example, Penal Code Article 322 stipulates that any public official or person charged with public service shall be punished with imprisonment for a period not exceeding seven years, or with detention, if they arrest, detain, or imprison someone in cases not permitted by law. The penalty is increased to ten years if crime is committed by a person impersonating an official or using a forged order attributed to a competent authority. Additionally, Article 324 punishes any official responsible for managing or guarding detention centers or prisons who detains a person without a judicial order, refuses to implement a release order, or retains them after the duration of their detention has expired.</w:t>
      </w:r>
      <w:r w:rsidRPr="008C72F6">
        <w:rPr>
          <w:rStyle w:val="FootnoteReference"/>
          <w:rFonts w:asciiTheme="majorBidi" w:hAnsiTheme="majorBidi" w:cstheme="majorBidi"/>
          <w:sz w:val="24"/>
          <w:szCs w:val="24"/>
        </w:rPr>
        <w:footnoteReference w:id="9"/>
      </w:r>
      <w:r w:rsidRPr="008C72F6">
        <w:rPr>
          <w:rFonts w:asciiTheme="majorBidi" w:hAnsiTheme="majorBidi" w:cstheme="majorBidi"/>
          <w:sz w:val="24"/>
          <w:szCs w:val="24"/>
        </w:rPr>
        <w:t xml:space="preserve"> Article 421 states that anyone who arrests or detains a person without an order from a competent authority shall be imprisoned, with the penalty increased to a maximum </w:t>
      </w:r>
      <w:r w:rsidRPr="008C72F6">
        <w:rPr>
          <w:rFonts w:asciiTheme="majorBidi" w:hAnsiTheme="majorBidi" w:cstheme="majorBidi"/>
          <w:sz w:val="24"/>
          <w:szCs w:val="24"/>
        </w:rPr>
        <w:lastRenderedPageBreak/>
        <w:t>of fifteen years in aggravated circumstances, which include impersonation, threats or torture, multiple offenders, prolonged detention, motives of revenge or extortion, or targeting a public official during their duties.</w:t>
      </w:r>
      <w:r w:rsidRPr="008C72F6">
        <w:rPr>
          <w:rStyle w:val="FootnoteReference"/>
          <w:rFonts w:asciiTheme="majorBidi" w:hAnsiTheme="majorBidi" w:cstheme="majorBidi"/>
          <w:sz w:val="24"/>
          <w:szCs w:val="24"/>
        </w:rPr>
        <w:footnoteReference w:id="10"/>
      </w:r>
    </w:p>
    <w:p w14:paraId="14EDE8F4" w14:textId="77777777" w:rsidR="008C72F6" w:rsidRPr="008C72F6" w:rsidRDefault="008C72F6" w:rsidP="00CE1439">
      <w:pPr>
        <w:jc w:val="both"/>
        <w:rPr>
          <w:rFonts w:asciiTheme="majorBidi" w:hAnsiTheme="majorBidi" w:cstheme="majorBidi"/>
          <w:sz w:val="24"/>
          <w:szCs w:val="24"/>
        </w:rPr>
      </w:pPr>
      <w:r w:rsidRPr="008C72F6">
        <w:rPr>
          <w:rFonts w:asciiTheme="majorBidi" w:hAnsiTheme="majorBidi" w:cstheme="majorBidi"/>
          <w:sz w:val="24"/>
          <w:szCs w:val="24"/>
        </w:rPr>
        <w:t>Despite these provisions covering some aspects of crimes related to enforced disappearance, Maat believes that these articles do not adequately address the essence of the crime. Enforced disappearance differs in legal nature, motives, and effects from the crimes outlined in the Penal Code. It is a continuous crime involving the denial of the victim's fate and deprivation of legal protection, often implicating an official party or state-affiliated entity, elements that the current legal framework does not encompass.</w:t>
      </w:r>
    </w:p>
    <w:p w14:paraId="060E9E67" w14:textId="76D78BA5" w:rsidR="008C72F6" w:rsidRPr="008C72F6" w:rsidRDefault="008C72F6" w:rsidP="00CE1439">
      <w:pPr>
        <w:jc w:val="both"/>
        <w:rPr>
          <w:rFonts w:asciiTheme="majorBidi" w:hAnsiTheme="majorBidi" w:cstheme="majorBidi"/>
          <w:sz w:val="24"/>
          <w:szCs w:val="24"/>
          <w:rtl/>
        </w:rPr>
      </w:pPr>
      <w:r w:rsidRPr="008C72F6">
        <w:rPr>
          <w:rFonts w:asciiTheme="majorBidi" w:hAnsiTheme="majorBidi" w:cstheme="majorBidi"/>
          <w:sz w:val="24"/>
          <w:szCs w:val="24"/>
        </w:rPr>
        <w:t xml:space="preserve">It emphasizes that reliance on general provisions fails to meet the standards established by </w:t>
      </w:r>
      <w:r w:rsidR="00CE1439">
        <w:rPr>
          <w:rFonts w:asciiTheme="majorBidi" w:hAnsiTheme="majorBidi" w:cstheme="majorBidi"/>
          <w:sz w:val="24"/>
          <w:szCs w:val="24"/>
        </w:rPr>
        <w:t xml:space="preserve">The </w:t>
      </w:r>
      <w:r w:rsidRPr="008C72F6">
        <w:rPr>
          <w:rFonts w:asciiTheme="majorBidi" w:hAnsiTheme="majorBidi" w:cstheme="majorBidi"/>
          <w:sz w:val="24"/>
          <w:szCs w:val="24"/>
        </w:rPr>
        <w:t>Convention, particularly regarding the need to include penalties that are proportionate to the seriousness of the crime and ensure that perpetrators do not escape punishment. Additionally, absence of clear legal texts hinders the efforts of victims and their families to seek justice and limits effectiveness of judicial mechanisms in addressing these violations.</w:t>
      </w:r>
    </w:p>
    <w:p w14:paraId="79DF8D03" w14:textId="77777777" w:rsidR="008C72F6" w:rsidRPr="00CE1439" w:rsidRDefault="008C72F6" w:rsidP="008C72F6">
      <w:pPr>
        <w:pStyle w:val="ListParagraph"/>
        <w:numPr>
          <w:ilvl w:val="0"/>
          <w:numId w:val="46"/>
        </w:numPr>
        <w:spacing w:line="278" w:lineRule="auto"/>
        <w:jc w:val="both"/>
        <w:rPr>
          <w:rFonts w:asciiTheme="majorBidi" w:hAnsiTheme="majorBidi" w:cstheme="majorBidi"/>
          <w:b/>
          <w:bCs/>
          <w:color w:val="C45911" w:themeColor="accent2" w:themeShade="BF"/>
          <w:sz w:val="28"/>
          <w:szCs w:val="28"/>
        </w:rPr>
      </w:pPr>
      <w:r w:rsidRPr="00CE1439">
        <w:rPr>
          <w:rFonts w:asciiTheme="majorBidi" w:hAnsiTheme="majorBidi" w:cstheme="majorBidi"/>
          <w:b/>
          <w:bCs/>
          <w:color w:val="C45911" w:themeColor="accent2" w:themeShade="BF"/>
          <w:sz w:val="28"/>
          <w:szCs w:val="28"/>
        </w:rPr>
        <w:t>Jurisdiction over Crime of Enforced Disappearance (Article 9)</w:t>
      </w:r>
    </w:p>
    <w:p w14:paraId="1031A3C1" w14:textId="77777777" w:rsidR="008C72F6" w:rsidRPr="008C72F6" w:rsidRDefault="008C72F6" w:rsidP="008C72F6">
      <w:pPr>
        <w:jc w:val="both"/>
        <w:rPr>
          <w:rFonts w:asciiTheme="majorBidi" w:hAnsiTheme="majorBidi" w:cstheme="majorBidi"/>
          <w:sz w:val="24"/>
          <w:szCs w:val="24"/>
        </w:rPr>
      </w:pPr>
      <w:r w:rsidRPr="008C72F6">
        <w:rPr>
          <w:rFonts w:asciiTheme="majorBidi" w:hAnsiTheme="majorBidi" w:cstheme="majorBidi"/>
          <w:sz w:val="24"/>
          <w:szCs w:val="24"/>
        </w:rPr>
        <w:t>Maat observes that the application of the principle of jurisdiction in Iraq concerning crimes of enforced disappearance faces various obstacles, including a lack of political will to hold perpetrators accountable, particularly when those involved belong to armed factions known as the "Popular Mobilization Forces." Maat also notes Iraqi government's weak handling of allegations of enforced disappearance coming from other countries, which undermines cooperation in this area. For instance, in July 2024, Pakistani Minister of Religious Affairs claimed the disappearance of 50,000 Pakistani citizens. While no specific period for their disappearance was indicated, Iraq denied these allegations.</w:t>
      </w:r>
      <w:r w:rsidRPr="008C72F6">
        <w:rPr>
          <w:rStyle w:val="FootnoteReference"/>
          <w:rFonts w:asciiTheme="majorBidi" w:hAnsiTheme="majorBidi" w:cstheme="majorBidi"/>
          <w:sz w:val="24"/>
          <w:szCs w:val="24"/>
        </w:rPr>
        <w:footnoteReference w:id="11"/>
      </w:r>
    </w:p>
    <w:p w14:paraId="5B63D9BC" w14:textId="60C5375E" w:rsidR="008C72F6" w:rsidRPr="008C72F6" w:rsidRDefault="008C72F6" w:rsidP="00CE1439">
      <w:pPr>
        <w:jc w:val="both"/>
        <w:rPr>
          <w:rFonts w:asciiTheme="majorBidi" w:hAnsiTheme="majorBidi" w:cstheme="majorBidi"/>
          <w:b/>
          <w:bCs/>
          <w:sz w:val="24"/>
          <w:szCs w:val="24"/>
        </w:rPr>
      </w:pPr>
      <w:r w:rsidRPr="008C72F6">
        <w:rPr>
          <w:rFonts w:asciiTheme="majorBidi" w:hAnsiTheme="majorBidi" w:cstheme="majorBidi"/>
          <w:sz w:val="24"/>
          <w:szCs w:val="24"/>
        </w:rPr>
        <w:t>In this context,</w:t>
      </w:r>
      <w:r w:rsidRPr="008C72F6">
        <w:rPr>
          <w:rFonts w:asciiTheme="majorBidi" w:hAnsiTheme="majorBidi" w:cstheme="majorBidi"/>
          <w:b/>
          <w:bCs/>
          <w:sz w:val="24"/>
          <w:szCs w:val="24"/>
        </w:rPr>
        <w:t xml:space="preserve"> </w:t>
      </w:r>
      <w:r w:rsidRPr="008C72F6">
        <w:rPr>
          <w:rFonts w:asciiTheme="majorBidi" w:hAnsiTheme="majorBidi" w:cstheme="majorBidi"/>
          <w:sz w:val="24"/>
          <w:szCs w:val="24"/>
        </w:rPr>
        <w:t xml:space="preserve">Maat notes that Iraqi state's treatment of victims of enforced disappearance varies depending on the time period during which the crime occurred. While victims of enforced disappearance before 2003 received official recognition and attention from Iraqi authorities, those after this date face clear discrimination and systematic deprivation of avenues for redress. This is due to the provisions of </w:t>
      </w:r>
      <w:r w:rsidR="00CE1439">
        <w:rPr>
          <w:rFonts w:asciiTheme="majorBidi" w:hAnsiTheme="majorBidi" w:cstheme="majorBidi"/>
          <w:sz w:val="24"/>
          <w:szCs w:val="24"/>
        </w:rPr>
        <w:t xml:space="preserve">The </w:t>
      </w:r>
      <w:r w:rsidRPr="008C72F6">
        <w:rPr>
          <w:rFonts w:asciiTheme="majorBidi" w:hAnsiTheme="majorBidi" w:cstheme="majorBidi"/>
          <w:sz w:val="24"/>
          <w:szCs w:val="24"/>
        </w:rPr>
        <w:t xml:space="preserve">Iraqi High Tribunal Law, specifically Articles 1 and 12, which limit the court's jurisdiction to crimes committed between July 17, 1968, and May 1, 2003, addressing enforced disappearance only as a crime against humanity within this time frame. Article 12 stipulates that "enforced disappearance" is considered a crime against humanity when committed </w:t>
      </w:r>
      <w:r w:rsidRPr="008C72F6">
        <w:rPr>
          <w:rFonts w:asciiTheme="majorBidi" w:hAnsiTheme="majorBidi" w:cstheme="majorBidi"/>
          <w:sz w:val="24"/>
          <w:szCs w:val="24"/>
        </w:rPr>
        <w:lastRenderedPageBreak/>
        <w:t>as part of a widespread or systematic attack against civilian populations.</w:t>
      </w:r>
      <w:r w:rsidRPr="008C72F6">
        <w:rPr>
          <w:rFonts w:asciiTheme="majorBidi" w:hAnsiTheme="majorBidi" w:cstheme="majorBidi"/>
          <w:b/>
          <w:bCs/>
          <w:sz w:val="24"/>
          <w:szCs w:val="24"/>
        </w:rPr>
        <w:t xml:space="preserve"> </w:t>
      </w:r>
      <w:r w:rsidRPr="008C72F6">
        <w:rPr>
          <w:rFonts w:asciiTheme="majorBidi" w:hAnsiTheme="majorBidi" w:cstheme="majorBidi"/>
          <w:sz w:val="24"/>
          <w:szCs w:val="24"/>
        </w:rPr>
        <w:t>This temporal limitation on jurisdiction has deprived the majority of victims, especially those who disappeared following military operations or in the context of sectarian conflicts after 2003, of any effective mechanism for investigation, accountability, or reparation. Existing compensation and redress programs cover only a limited segment of victims, often restricted to state employees who disappeared while performing their duties, neglecting the thousands of civilians who have disappeared under coercive circumstances.</w:t>
      </w:r>
      <w:r w:rsidRPr="008C72F6">
        <w:rPr>
          <w:rStyle w:val="FootnoteReference"/>
          <w:rFonts w:asciiTheme="majorBidi" w:hAnsiTheme="majorBidi" w:cstheme="majorBidi"/>
          <w:sz w:val="24"/>
          <w:szCs w:val="24"/>
        </w:rPr>
        <w:footnoteReference w:id="12"/>
      </w:r>
    </w:p>
    <w:p w14:paraId="20A4EB19" w14:textId="66F5F5A9" w:rsidR="008C72F6" w:rsidRPr="008C72F6" w:rsidRDefault="008C72F6" w:rsidP="00CE1439">
      <w:pPr>
        <w:jc w:val="both"/>
        <w:rPr>
          <w:rFonts w:asciiTheme="majorBidi" w:hAnsiTheme="majorBidi" w:cstheme="majorBidi"/>
          <w:sz w:val="24"/>
          <w:szCs w:val="24"/>
        </w:rPr>
      </w:pPr>
      <w:r w:rsidRPr="008C72F6">
        <w:rPr>
          <w:rFonts w:asciiTheme="majorBidi" w:hAnsiTheme="majorBidi" w:cstheme="majorBidi"/>
          <w:sz w:val="24"/>
          <w:szCs w:val="24"/>
        </w:rPr>
        <w:t>Maat expresses concern over the weak jurisdiction of Iraqi courts over recent cases of enforced disappearance. On January 16, 2025, a group of organizations submitted an urgent intervention request to United Nations Committee on Enforced Disappearances regarding the disappearance of Saudi citizen (A.H.), who has been detained since 2009 at Al-</w:t>
      </w:r>
      <w:proofErr w:type="spellStart"/>
      <w:r w:rsidRPr="008C72F6">
        <w:rPr>
          <w:rFonts w:asciiTheme="majorBidi" w:hAnsiTheme="majorBidi" w:cstheme="majorBidi"/>
          <w:sz w:val="24"/>
          <w:szCs w:val="24"/>
        </w:rPr>
        <w:t>Rusafa</w:t>
      </w:r>
      <w:proofErr w:type="spellEnd"/>
      <w:r w:rsidRPr="008C72F6">
        <w:rPr>
          <w:rFonts w:asciiTheme="majorBidi" w:hAnsiTheme="majorBidi" w:cstheme="majorBidi"/>
          <w:sz w:val="24"/>
          <w:szCs w:val="24"/>
        </w:rPr>
        <w:t xml:space="preserve"> Prison in Baghdad. Reports indicate that communication with him was completely cut off on November 25, 2024, and a fellow detainee later stated that he was transferred from his cell and has not been seen since, raising serious concerns about his fate. This case and others underscore the urgent need for a comprehensive reform of Iraqi legal and judicial framework to ensure full jurisdiction over crimes of enforced disappearance, regardless of the date of their commission, the victim's status, or the parties involved, in line with Iraq's international obligations under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Convention.</w:t>
      </w:r>
      <w:r w:rsidRPr="008C72F6">
        <w:rPr>
          <w:rStyle w:val="FootnoteReference"/>
          <w:rFonts w:asciiTheme="majorBidi" w:hAnsiTheme="majorBidi" w:cstheme="majorBidi"/>
          <w:sz w:val="24"/>
          <w:szCs w:val="24"/>
        </w:rPr>
        <w:footnoteReference w:id="13"/>
      </w:r>
    </w:p>
    <w:p w14:paraId="71DBE3D6" w14:textId="77777777" w:rsidR="008C72F6" w:rsidRPr="00596BB8" w:rsidRDefault="008C72F6" w:rsidP="008C72F6">
      <w:pPr>
        <w:jc w:val="both"/>
        <w:rPr>
          <w:rFonts w:asciiTheme="majorBidi" w:hAnsiTheme="majorBidi" w:cstheme="majorBidi"/>
          <w:b/>
          <w:bCs/>
          <w:color w:val="C45911" w:themeColor="accent2" w:themeShade="BF"/>
          <w:sz w:val="28"/>
          <w:szCs w:val="28"/>
        </w:rPr>
      </w:pPr>
      <w:r w:rsidRPr="00596BB8">
        <w:rPr>
          <w:rFonts w:asciiTheme="majorBidi" w:hAnsiTheme="majorBidi" w:cstheme="majorBidi"/>
          <w:b/>
          <w:bCs/>
          <w:color w:val="C45911" w:themeColor="accent2" w:themeShade="BF"/>
          <w:sz w:val="28"/>
          <w:szCs w:val="28"/>
        </w:rPr>
        <w:t>Maat recommends that Committee encourage Iraq to:</w:t>
      </w:r>
    </w:p>
    <w:p w14:paraId="1BC08D11" w14:textId="15F48BCA" w:rsidR="008C72F6" w:rsidRPr="008C72F6" w:rsidRDefault="008C72F6" w:rsidP="008C72F6">
      <w:pPr>
        <w:numPr>
          <w:ilvl w:val="0"/>
          <w:numId w:val="45"/>
        </w:numPr>
        <w:spacing w:line="278" w:lineRule="auto"/>
        <w:jc w:val="both"/>
        <w:rPr>
          <w:rFonts w:asciiTheme="majorBidi" w:hAnsiTheme="majorBidi" w:cstheme="majorBidi"/>
          <w:sz w:val="24"/>
          <w:szCs w:val="24"/>
        </w:rPr>
      </w:pPr>
      <w:r w:rsidRPr="008C72F6">
        <w:rPr>
          <w:rFonts w:asciiTheme="majorBidi" w:hAnsiTheme="majorBidi" w:cstheme="majorBidi"/>
          <w:sz w:val="24"/>
          <w:szCs w:val="24"/>
        </w:rPr>
        <w:t xml:space="preserve">Consider adopting a definition of enforced disappearance that aligns with the definition in Article 2 of </w:t>
      </w:r>
      <w:r w:rsidR="00596BB8">
        <w:rPr>
          <w:rFonts w:asciiTheme="majorBidi" w:hAnsiTheme="majorBidi" w:cstheme="majorBidi"/>
          <w:sz w:val="24"/>
          <w:szCs w:val="24"/>
        </w:rPr>
        <w:t xml:space="preserve">The </w:t>
      </w:r>
      <w:r w:rsidRPr="008C72F6">
        <w:rPr>
          <w:rFonts w:asciiTheme="majorBidi" w:hAnsiTheme="majorBidi" w:cstheme="majorBidi"/>
          <w:sz w:val="24"/>
          <w:szCs w:val="24"/>
        </w:rPr>
        <w:t>Convention.</w:t>
      </w:r>
    </w:p>
    <w:p w14:paraId="44F0969F" w14:textId="77777777" w:rsidR="008C72F6" w:rsidRPr="008C72F6" w:rsidRDefault="008C72F6" w:rsidP="008C72F6">
      <w:pPr>
        <w:numPr>
          <w:ilvl w:val="0"/>
          <w:numId w:val="45"/>
        </w:numPr>
        <w:spacing w:line="278" w:lineRule="auto"/>
        <w:jc w:val="both"/>
        <w:rPr>
          <w:rFonts w:asciiTheme="majorBidi" w:hAnsiTheme="majorBidi" w:cstheme="majorBidi"/>
          <w:sz w:val="24"/>
          <w:szCs w:val="24"/>
        </w:rPr>
      </w:pPr>
      <w:r w:rsidRPr="008C72F6">
        <w:rPr>
          <w:rFonts w:asciiTheme="majorBidi" w:hAnsiTheme="majorBidi" w:cstheme="majorBidi"/>
          <w:sz w:val="24"/>
          <w:szCs w:val="24"/>
        </w:rPr>
        <w:t>Study the activation of the Follow-up Committee for Enforced Disappearance Crimes established in August 2019, granting it sufficient powers to carry out its functions.</w:t>
      </w:r>
    </w:p>
    <w:p w14:paraId="5CCF3C9C" w14:textId="77777777" w:rsidR="008C72F6" w:rsidRPr="008C72F6" w:rsidRDefault="008C72F6" w:rsidP="008C72F6">
      <w:pPr>
        <w:numPr>
          <w:ilvl w:val="0"/>
          <w:numId w:val="45"/>
        </w:numPr>
        <w:spacing w:line="278" w:lineRule="auto"/>
        <w:jc w:val="both"/>
        <w:rPr>
          <w:rFonts w:asciiTheme="majorBidi" w:hAnsiTheme="majorBidi" w:cstheme="majorBidi"/>
          <w:sz w:val="24"/>
          <w:szCs w:val="24"/>
        </w:rPr>
      </w:pPr>
      <w:r w:rsidRPr="008C72F6">
        <w:rPr>
          <w:rFonts w:asciiTheme="majorBidi" w:hAnsiTheme="majorBidi" w:cstheme="majorBidi"/>
          <w:sz w:val="24"/>
          <w:szCs w:val="24"/>
        </w:rPr>
        <w:t>Consider opening investigations into crimes committed by armed factions operating with government forces in areas such as Jurf al-</w:t>
      </w:r>
      <w:proofErr w:type="spellStart"/>
      <w:r w:rsidRPr="008C72F6">
        <w:rPr>
          <w:rFonts w:asciiTheme="majorBidi" w:hAnsiTheme="majorBidi" w:cstheme="majorBidi"/>
          <w:sz w:val="24"/>
          <w:szCs w:val="24"/>
        </w:rPr>
        <w:t>Sakhar</w:t>
      </w:r>
      <w:proofErr w:type="spellEnd"/>
      <w:r w:rsidRPr="008C72F6">
        <w:rPr>
          <w:rFonts w:asciiTheme="majorBidi" w:hAnsiTheme="majorBidi" w:cstheme="majorBidi"/>
          <w:sz w:val="24"/>
          <w:szCs w:val="24"/>
        </w:rPr>
        <w:t>, Anbar, and Salah al-Din, and cooperate with the Working Group on Enforced Disappearances in this regard.</w:t>
      </w:r>
    </w:p>
    <w:p w14:paraId="15550743" w14:textId="77777777" w:rsidR="008C72F6" w:rsidRPr="008C72F6" w:rsidRDefault="008C72F6" w:rsidP="008C72F6">
      <w:pPr>
        <w:numPr>
          <w:ilvl w:val="0"/>
          <w:numId w:val="45"/>
        </w:numPr>
        <w:spacing w:line="278" w:lineRule="auto"/>
        <w:jc w:val="both"/>
        <w:rPr>
          <w:rFonts w:asciiTheme="majorBidi" w:hAnsiTheme="majorBidi" w:cstheme="majorBidi"/>
          <w:sz w:val="24"/>
          <w:szCs w:val="24"/>
        </w:rPr>
      </w:pPr>
      <w:r w:rsidRPr="008C72F6">
        <w:rPr>
          <w:rFonts w:asciiTheme="majorBidi" w:hAnsiTheme="majorBidi" w:cstheme="majorBidi"/>
          <w:sz w:val="24"/>
          <w:szCs w:val="24"/>
        </w:rPr>
        <w:t>Investigate the claims made by the Pakistani Minister of Religious Affairs regarding the disappearance of 50,000 Pakistanis in Iraq.</w:t>
      </w:r>
    </w:p>
    <w:p w14:paraId="7A045FF7" w14:textId="77777777" w:rsidR="008C72F6" w:rsidRPr="008C72F6" w:rsidRDefault="008C72F6" w:rsidP="008C72F6">
      <w:pPr>
        <w:numPr>
          <w:ilvl w:val="0"/>
          <w:numId w:val="45"/>
        </w:numPr>
        <w:spacing w:line="278" w:lineRule="auto"/>
        <w:jc w:val="both"/>
        <w:rPr>
          <w:rFonts w:asciiTheme="majorBidi" w:hAnsiTheme="majorBidi" w:cstheme="majorBidi"/>
          <w:sz w:val="24"/>
          <w:szCs w:val="24"/>
        </w:rPr>
      </w:pPr>
      <w:r w:rsidRPr="008C72F6">
        <w:rPr>
          <w:rFonts w:asciiTheme="majorBidi" w:hAnsiTheme="majorBidi" w:cstheme="majorBidi"/>
          <w:sz w:val="24"/>
          <w:szCs w:val="24"/>
        </w:rPr>
        <w:lastRenderedPageBreak/>
        <w:t>Reconsider the law of Iraqi High Tribunal so that the criminalization of enforced disappearance is not limited to crimes committed between 1968 and 2003.</w:t>
      </w:r>
    </w:p>
    <w:p w14:paraId="4994A190" w14:textId="532B01AF" w:rsidR="004A7201" w:rsidRPr="008C72F6" w:rsidRDefault="004A7201" w:rsidP="00BF478D">
      <w:pPr>
        <w:rPr>
          <w:sz w:val="24"/>
          <w:szCs w:val="24"/>
          <w:rtl/>
        </w:rPr>
      </w:pPr>
    </w:p>
    <w:sectPr w:rsidR="004A7201" w:rsidRPr="008C72F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57BFE" w14:textId="77777777" w:rsidR="00CE61E8" w:rsidRDefault="00CE61E8" w:rsidP="004F6D5A">
      <w:pPr>
        <w:spacing w:after="0" w:line="240" w:lineRule="auto"/>
      </w:pPr>
      <w:r>
        <w:separator/>
      </w:r>
    </w:p>
  </w:endnote>
  <w:endnote w:type="continuationSeparator" w:id="0">
    <w:p w14:paraId="3AA42E36" w14:textId="77777777" w:rsidR="00CE61E8" w:rsidRDefault="00CE61E8"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FF420" w14:textId="77777777" w:rsidR="00CE61E8" w:rsidRDefault="00CE61E8" w:rsidP="004F6D5A">
      <w:pPr>
        <w:spacing w:after="0" w:line="240" w:lineRule="auto"/>
      </w:pPr>
      <w:r>
        <w:separator/>
      </w:r>
    </w:p>
  </w:footnote>
  <w:footnote w:type="continuationSeparator" w:id="0">
    <w:p w14:paraId="3CF844BC" w14:textId="77777777" w:rsidR="00CE61E8" w:rsidRDefault="00CE61E8" w:rsidP="004F6D5A">
      <w:pPr>
        <w:spacing w:after="0" w:line="240" w:lineRule="auto"/>
      </w:pPr>
      <w:r>
        <w:continuationSeparator/>
      </w:r>
    </w:p>
  </w:footnote>
  <w:footnote w:id="1">
    <w:p w14:paraId="14E283A4" w14:textId="749BACF1"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Ratification, Reporting &amp; Documentation for Iraq, </w:t>
      </w:r>
      <w:r w:rsidR="00CE1439">
        <w:rPr>
          <w:rFonts w:ascii="Times New Roman" w:hAnsi="Times New Roman" w:cs="Times New Roman"/>
          <w:sz w:val="16"/>
          <w:szCs w:val="16"/>
        </w:rPr>
        <w:t>OHCHR</w:t>
      </w:r>
      <w:r w:rsidRPr="000400AF">
        <w:rPr>
          <w:rFonts w:ascii="Times New Roman" w:hAnsi="Times New Roman" w:cs="Times New Roman"/>
          <w:sz w:val="16"/>
          <w:szCs w:val="16"/>
        </w:rPr>
        <w:t xml:space="preserve">, </w:t>
      </w:r>
      <w:hyperlink r:id="rId1">
        <w:r w:rsidRPr="000400AF">
          <w:rPr>
            <w:rFonts w:ascii="Times New Roman" w:hAnsi="Times New Roman" w:cs="Times New Roman"/>
            <w:color w:val="1155CC"/>
            <w:sz w:val="16"/>
            <w:szCs w:val="16"/>
            <w:u w:val="single"/>
          </w:rPr>
          <w:t>https://2h.ae/wfUt</w:t>
        </w:r>
      </w:hyperlink>
    </w:p>
  </w:footnote>
  <w:footnote w:id="2">
    <w:p w14:paraId="50E0D643"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American invitations to legislate a law criminalizing kidnapping in Iraq, Middle East, </w:t>
      </w:r>
      <w:hyperlink r:id="rId2" w:history="1">
        <w:r w:rsidRPr="000400AF">
          <w:rPr>
            <w:rStyle w:val="Hyperlink"/>
            <w:rFonts w:ascii="Times New Roman" w:hAnsi="Times New Roman" w:cs="Times New Roman"/>
            <w:sz w:val="16"/>
            <w:szCs w:val="16"/>
          </w:rPr>
          <w:t>https://2h.ae/nwpg</w:t>
        </w:r>
      </w:hyperlink>
      <w:r w:rsidRPr="000400AF">
        <w:rPr>
          <w:rFonts w:ascii="Times New Roman" w:hAnsi="Times New Roman" w:cs="Times New Roman"/>
          <w:sz w:val="16"/>
          <w:szCs w:val="16"/>
        </w:rPr>
        <w:t xml:space="preserve"> </w:t>
      </w:r>
    </w:p>
  </w:footnote>
  <w:footnote w:id="3">
    <w:p w14:paraId="5C889E35" w14:textId="242E239A"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CED - Convention for the Protection of All Persons from Enforced Disappearance 29 Session (22 Sep 2025 - 03 Oct 2025), </w:t>
      </w:r>
      <w:r w:rsidR="00CE1439">
        <w:rPr>
          <w:rFonts w:ascii="Times New Roman" w:hAnsi="Times New Roman" w:cs="Times New Roman"/>
          <w:sz w:val="16"/>
          <w:szCs w:val="16"/>
        </w:rPr>
        <w:t>OHCHR</w:t>
      </w:r>
      <w:r w:rsidRPr="000400AF">
        <w:rPr>
          <w:rFonts w:ascii="Times New Roman" w:hAnsi="Times New Roman" w:cs="Times New Roman"/>
          <w:sz w:val="16"/>
          <w:szCs w:val="16"/>
        </w:rPr>
        <w:t xml:space="preserve">, </w:t>
      </w:r>
      <w:hyperlink r:id="rId3">
        <w:r w:rsidRPr="000400AF">
          <w:rPr>
            <w:rFonts w:ascii="Times New Roman" w:hAnsi="Times New Roman" w:cs="Times New Roman"/>
            <w:color w:val="1155CC"/>
            <w:sz w:val="16"/>
            <w:szCs w:val="16"/>
            <w:u w:val="single"/>
          </w:rPr>
          <w:t>https://2h.ae/xKvj</w:t>
        </w:r>
      </w:hyperlink>
      <w:r w:rsidRPr="000400AF">
        <w:rPr>
          <w:rFonts w:ascii="Times New Roman" w:hAnsi="Times New Roman" w:cs="Times New Roman"/>
          <w:sz w:val="16"/>
          <w:szCs w:val="16"/>
        </w:rPr>
        <w:t xml:space="preserve"> </w:t>
      </w:r>
    </w:p>
  </w:footnote>
  <w:footnote w:id="4">
    <w:p w14:paraId="002A373E"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See Iraqi Penal Code Articles 322 to 324 at: </w:t>
      </w:r>
      <w:hyperlink r:id="rId4" w:history="1">
        <w:r w:rsidRPr="000400AF">
          <w:rPr>
            <w:rStyle w:val="Hyperlink"/>
            <w:rFonts w:ascii="Times New Roman" w:hAnsi="Times New Roman" w:cs="Times New Roman"/>
            <w:sz w:val="16"/>
            <w:szCs w:val="16"/>
          </w:rPr>
          <w:t>https://tinyurl.com/49Cepj8a</w:t>
        </w:r>
      </w:hyperlink>
      <w:r w:rsidRPr="000400AF">
        <w:rPr>
          <w:rFonts w:ascii="Times New Roman" w:hAnsi="Times New Roman" w:cs="Times New Roman"/>
          <w:sz w:val="16"/>
          <w:szCs w:val="16"/>
        </w:rPr>
        <w:t xml:space="preserve"> </w:t>
      </w:r>
    </w:p>
  </w:footnote>
  <w:footnote w:id="5">
    <w:p w14:paraId="6E95ECC9" w14:textId="75D300C8"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Where are they? Iraqi families still trace the impact of the forcibly absent, Arab Independent, </w:t>
      </w:r>
      <w:hyperlink r:id="rId5" w:history="1">
        <w:r w:rsidRPr="000400AF">
          <w:rPr>
            <w:rStyle w:val="Hyperlink"/>
            <w:rFonts w:ascii="Times New Roman" w:hAnsi="Times New Roman" w:cs="Times New Roman"/>
            <w:sz w:val="16"/>
            <w:szCs w:val="16"/>
          </w:rPr>
          <w:t>https://2h.ae/und</w:t>
        </w:r>
      </w:hyperlink>
      <w:r w:rsidRPr="000400AF">
        <w:rPr>
          <w:rFonts w:ascii="Times New Roman" w:hAnsi="Times New Roman" w:cs="Times New Roman"/>
          <w:sz w:val="16"/>
          <w:szCs w:val="16"/>
        </w:rPr>
        <w:t xml:space="preserve"> </w:t>
      </w:r>
    </w:p>
  </w:footnote>
  <w:footnote w:id="6">
    <w:p w14:paraId="08A9BBC2"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International Convention for the Protection of All Persons from Enforced Disappearance, ARTICLE 3, </w:t>
      </w:r>
      <w:hyperlink r:id="rId6" w:history="1">
        <w:r w:rsidRPr="000400AF">
          <w:rPr>
            <w:rStyle w:val="Hyperlink"/>
            <w:rFonts w:ascii="Times New Roman" w:hAnsi="Times New Roman" w:cs="Times New Roman"/>
            <w:sz w:val="16"/>
            <w:szCs w:val="16"/>
          </w:rPr>
          <w:t>https://tinyurl.com/mwaeujvb</w:t>
        </w:r>
      </w:hyperlink>
    </w:p>
  </w:footnote>
  <w:footnote w:id="7">
    <w:p w14:paraId="7294B027"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Developments of demonstrations in Iraq: Accountability on violations and transgressions of human rights committed by "unidentified armed elements", United Nations Assisting Mission, p. 15, at the following link: </w:t>
      </w:r>
      <w:hyperlink r:id="rId7" w:history="1">
        <w:r w:rsidRPr="000400AF">
          <w:rPr>
            <w:rStyle w:val="Hyperlink"/>
            <w:rFonts w:ascii="Times New Roman" w:hAnsi="Times New Roman" w:cs="Times New Roman"/>
            <w:sz w:val="16"/>
            <w:szCs w:val="16"/>
          </w:rPr>
          <w:t>https://bit.ly/3fp1tuo</w:t>
        </w:r>
      </w:hyperlink>
      <w:r w:rsidRPr="000400AF">
        <w:rPr>
          <w:rFonts w:ascii="Times New Roman" w:hAnsi="Times New Roman" w:cs="Times New Roman"/>
          <w:sz w:val="16"/>
          <w:szCs w:val="16"/>
        </w:rPr>
        <w:t xml:space="preserve"> </w:t>
      </w:r>
    </w:p>
  </w:footnote>
  <w:footnote w:id="8">
    <w:p w14:paraId="4D36CE97"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Nakba of Families of Forcibly disappeared in Iraq, at </w:t>
      </w:r>
      <w:hyperlink r:id="rId8" w:history="1">
        <w:r w:rsidRPr="000400AF">
          <w:rPr>
            <w:rStyle w:val="Hyperlink"/>
            <w:rFonts w:ascii="Times New Roman" w:hAnsi="Times New Roman" w:cs="Times New Roman"/>
            <w:sz w:val="16"/>
            <w:szCs w:val="16"/>
          </w:rPr>
          <w:t>https://bit.ly/3fhebfa</w:t>
        </w:r>
      </w:hyperlink>
      <w:r w:rsidRPr="000400AF">
        <w:rPr>
          <w:rFonts w:ascii="Times New Roman" w:hAnsi="Times New Roman" w:cs="Times New Roman"/>
          <w:sz w:val="16"/>
          <w:szCs w:val="16"/>
        </w:rPr>
        <w:t xml:space="preserve"> </w:t>
      </w:r>
    </w:p>
  </w:footnote>
  <w:footnote w:id="9">
    <w:p w14:paraId="4AA04B99"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Iraqi Penal Code No. 111 of 1969, </w:t>
      </w:r>
      <w:hyperlink r:id="rId9" w:history="1">
        <w:r w:rsidRPr="000400AF">
          <w:rPr>
            <w:rStyle w:val="Hyperlink"/>
            <w:rFonts w:ascii="Times New Roman" w:hAnsi="Times New Roman" w:cs="Times New Roman"/>
            <w:sz w:val="16"/>
            <w:szCs w:val="16"/>
          </w:rPr>
          <w:t>https://2h.ae/hrts</w:t>
        </w:r>
      </w:hyperlink>
      <w:r w:rsidRPr="000400AF">
        <w:rPr>
          <w:rFonts w:ascii="Times New Roman" w:hAnsi="Times New Roman" w:cs="Times New Roman"/>
          <w:sz w:val="16"/>
          <w:szCs w:val="16"/>
        </w:rPr>
        <w:t xml:space="preserve"> </w:t>
      </w:r>
    </w:p>
  </w:footnote>
  <w:footnote w:id="10">
    <w:p w14:paraId="02811722"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Iraqi Penal Code No. 111 of 1969, </w:t>
      </w:r>
      <w:hyperlink r:id="rId10" w:history="1">
        <w:r w:rsidRPr="000400AF">
          <w:rPr>
            <w:rStyle w:val="Hyperlink"/>
            <w:rFonts w:ascii="Times New Roman" w:hAnsi="Times New Roman" w:cs="Times New Roman"/>
            <w:sz w:val="16"/>
            <w:szCs w:val="16"/>
          </w:rPr>
          <w:t>https://2h.ae/hrts</w:t>
        </w:r>
      </w:hyperlink>
      <w:r w:rsidRPr="000400AF">
        <w:rPr>
          <w:rFonts w:ascii="Times New Roman" w:hAnsi="Times New Roman" w:cs="Times New Roman"/>
          <w:sz w:val="16"/>
          <w:szCs w:val="16"/>
        </w:rPr>
        <w:t xml:space="preserve"> </w:t>
      </w:r>
    </w:p>
  </w:footnote>
  <w:footnote w:id="11">
    <w:p w14:paraId="2D613211"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Iraqi Foreign Ministry denies reports of 50,000 missing Pakistanis, </w:t>
      </w:r>
      <w:hyperlink r:id="rId11" w:history="1">
        <w:r w:rsidRPr="000400AF">
          <w:rPr>
            <w:rStyle w:val="Hyperlink"/>
            <w:rFonts w:ascii="Times New Roman" w:hAnsi="Times New Roman" w:cs="Times New Roman"/>
            <w:sz w:val="16"/>
            <w:szCs w:val="16"/>
          </w:rPr>
          <w:t>https://tinyurl.com/bdcvrvnr</w:t>
        </w:r>
      </w:hyperlink>
    </w:p>
  </w:footnote>
  <w:footnote w:id="12">
    <w:p w14:paraId="04CA914B" w14:textId="77777777"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Iraqi Supreme Criminal Court Law No. (10) of 2005, </w:t>
      </w:r>
      <w:hyperlink r:id="rId12" w:history="1">
        <w:r w:rsidRPr="000400AF">
          <w:rPr>
            <w:rStyle w:val="Hyperlink"/>
            <w:rFonts w:ascii="Times New Roman" w:hAnsi="Times New Roman" w:cs="Times New Roman"/>
            <w:sz w:val="16"/>
            <w:szCs w:val="16"/>
          </w:rPr>
          <w:t>https://2h.ae/hruo</w:t>
        </w:r>
      </w:hyperlink>
      <w:r w:rsidRPr="000400AF">
        <w:rPr>
          <w:rFonts w:ascii="Times New Roman" w:hAnsi="Times New Roman" w:cs="Times New Roman"/>
          <w:sz w:val="16"/>
          <w:szCs w:val="16"/>
        </w:rPr>
        <w:t xml:space="preserve"> </w:t>
      </w:r>
    </w:p>
  </w:footnote>
  <w:footnote w:id="13">
    <w:p w14:paraId="6A34AFED" w14:textId="459C55C6" w:rsidR="008C72F6" w:rsidRPr="000400AF" w:rsidRDefault="008C72F6" w:rsidP="008C72F6">
      <w:pPr>
        <w:pStyle w:val="FootnoteText"/>
        <w:rPr>
          <w:rFonts w:ascii="Times New Roman" w:hAnsi="Times New Roman" w:cs="Times New Roman"/>
          <w:sz w:val="16"/>
          <w:szCs w:val="16"/>
        </w:rPr>
      </w:pPr>
      <w:r w:rsidRPr="000400AF">
        <w:rPr>
          <w:rStyle w:val="FootnoteReference"/>
          <w:rFonts w:ascii="Times New Roman" w:hAnsi="Times New Roman" w:cs="Times New Roman"/>
          <w:sz w:val="16"/>
          <w:szCs w:val="16"/>
        </w:rPr>
        <w:footnoteRef/>
      </w:r>
      <w:r w:rsidRPr="000400AF">
        <w:rPr>
          <w:rFonts w:ascii="Times New Roman" w:hAnsi="Times New Roman" w:cs="Times New Roman"/>
          <w:sz w:val="16"/>
          <w:szCs w:val="16"/>
        </w:rPr>
        <w:t xml:space="preserve"> IRAQ: Disappearance of Ayesh AL HARBY while in detention, </w:t>
      </w:r>
      <w:proofErr w:type="spellStart"/>
      <w:r w:rsidRPr="000400AF">
        <w:rPr>
          <w:rFonts w:ascii="Times New Roman" w:hAnsi="Times New Roman" w:cs="Times New Roman"/>
          <w:sz w:val="16"/>
          <w:szCs w:val="16"/>
        </w:rPr>
        <w:t>Alkarama</w:t>
      </w:r>
      <w:proofErr w:type="spellEnd"/>
      <w:r w:rsidRPr="000400AF">
        <w:rPr>
          <w:rFonts w:ascii="Times New Roman" w:hAnsi="Times New Roman" w:cs="Times New Roman"/>
          <w:sz w:val="16"/>
          <w:szCs w:val="16"/>
        </w:rPr>
        <w:t xml:space="preserve"> urgently appeals to the CED, </w:t>
      </w:r>
      <w:proofErr w:type="spellStart"/>
      <w:r w:rsidR="00596BB8">
        <w:rPr>
          <w:rFonts w:ascii="Times New Roman" w:hAnsi="Times New Roman" w:cs="Times New Roman"/>
          <w:sz w:val="16"/>
          <w:szCs w:val="16"/>
        </w:rPr>
        <w:t>A</w:t>
      </w:r>
      <w:r w:rsidRPr="000400AF">
        <w:rPr>
          <w:rFonts w:ascii="Times New Roman" w:hAnsi="Times New Roman" w:cs="Times New Roman"/>
          <w:sz w:val="16"/>
          <w:szCs w:val="16"/>
        </w:rPr>
        <w:t>lkarama</w:t>
      </w:r>
      <w:proofErr w:type="spellEnd"/>
      <w:r w:rsidRPr="000400AF">
        <w:rPr>
          <w:rFonts w:ascii="Times New Roman" w:hAnsi="Times New Roman" w:cs="Times New Roman"/>
          <w:sz w:val="16"/>
          <w:szCs w:val="16"/>
        </w:rPr>
        <w:t xml:space="preserve">, </w:t>
      </w:r>
      <w:hyperlink r:id="rId13">
        <w:r w:rsidRPr="000400AF">
          <w:rPr>
            <w:rFonts w:ascii="Times New Roman" w:hAnsi="Times New Roman" w:cs="Times New Roman"/>
            <w:color w:val="1155CC"/>
            <w:sz w:val="16"/>
            <w:szCs w:val="16"/>
            <w:u w:val="single"/>
          </w:rPr>
          <w:t>https://2h.ae/hObi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4413427"/>
    <w:multiLevelType w:val="hybridMultilevel"/>
    <w:tmpl w:val="37565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8518F1"/>
    <w:multiLevelType w:val="multilevel"/>
    <w:tmpl w:val="2F54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7"/>
  </w:num>
  <w:num w:numId="3" w16cid:durableId="483819352">
    <w:abstractNumId w:val="1"/>
  </w:num>
  <w:num w:numId="4" w16cid:durableId="1550531087">
    <w:abstractNumId w:val="15"/>
  </w:num>
  <w:num w:numId="5" w16cid:durableId="365302262">
    <w:abstractNumId w:val="4"/>
  </w:num>
  <w:num w:numId="6" w16cid:durableId="1490904455">
    <w:abstractNumId w:val="34"/>
  </w:num>
  <w:num w:numId="7" w16cid:durableId="1975796718">
    <w:abstractNumId w:val="39"/>
  </w:num>
  <w:num w:numId="8" w16cid:durableId="168910388">
    <w:abstractNumId w:val="43"/>
  </w:num>
  <w:num w:numId="9" w16cid:durableId="864364265">
    <w:abstractNumId w:val="32"/>
  </w:num>
  <w:num w:numId="10" w16cid:durableId="1110662610">
    <w:abstractNumId w:val="35"/>
  </w:num>
  <w:num w:numId="11" w16cid:durableId="48504678">
    <w:abstractNumId w:val="26"/>
  </w:num>
  <w:num w:numId="12" w16cid:durableId="1057243330">
    <w:abstractNumId w:val="42"/>
  </w:num>
  <w:num w:numId="13" w16cid:durableId="113838224">
    <w:abstractNumId w:val="24"/>
  </w:num>
  <w:num w:numId="14" w16cid:durableId="1819300015">
    <w:abstractNumId w:val="10"/>
  </w:num>
  <w:num w:numId="15" w16cid:durableId="1354769003">
    <w:abstractNumId w:val="30"/>
  </w:num>
  <w:num w:numId="16" w16cid:durableId="765884069">
    <w:abstractNumId w:val="16"/>
  </w:num>
  <w:num w:numId="17" w16cid:durableId="1830708544">
    <w:abstractNumId w:val="0"/>
  </w:num>
  <w:num w:numId="18" w16cid:durableId="1195772453">
    <w:abstractNumId w:val="21"/>
  </w:num>
  <w:num w:numId="19" w16cid:durableId="116266373">
    <w:abstractNumId w:val="2"/>
  </w:num>
  <w:num w:numId="20" w16cid:durableId="1165899663">
    <w:abstractNumId w:val="12"/>
  </w:num>
  <w:num w:numId="21" w16cid:durableId="1921870603">
    <w:abstractNumId w:val="45"/>
  </w:num>
  <w:num w:numId="22" w16cid:durableId="1106846340">
    <w:abstractNumId w:val="14"/>
  </w:num>
  <w:num w:numId="23" w16cid:durableId="1120413215">
    <w:abstractNumId w:val="19"/>
  </w:num>
  <w:num w:numId="24" w16cid:durableId="884490536">
    <w:abstractNumId w:val="33"/>
  </w:num>
  <w:num w:numId="25" w16cid:durableId="1098991049">
    <w:abstractNumId w:val="37"/>
  </w:num>
  <w:num w:numId="26" w16cid:durableId="631596808">
    <w:abstractNumId w:val="11"/>
  </w:num>
  <w:num w:numId="27" w16cid:durableId="1306087360">
    <w:abstractNumId w:val="9"/>
  </w:num>
  <w:num w:numId="28" w16cid:durableId="909191109">
    <w:abstractNumId w:val="27"/>
  </w:num>
  <w:num w:numId="29" w16cid:durableId="556204899">
    <w:abstractNumId w:val="28"/>
  </w:num>
  <w:num w:numId="30" w16cid:durableId="1668284805">
    <w:abstractNumId w:val="17"/>
  </w:num>
  <w:num w:numId="31" w16cid:durableId="1777868951">
    <w:abstractNumId w:val="25"/>
  </w:num>
  <w:num w:numId="32" w16cid:durableId="1614898655">
    <w:abstractNumId w:val="8"/>
  </w:num>
  <w:num w:numId="33" w16cid:durableId="364449577">
    <w:abstractNumId w:val="13"/>
  </w:num>
  <w:num w:numId="34" w16cid:durableId="248081818">
    <w:abstractNumId w:val="41"/>
  </w:num>
  <w:num w:numId="35" w16cid:durableId="1742749116">
    <w:abstractNumId w:val="38"/>
  </w:num>
  <w:num w:numId="36" w16cid:durableId="1632056943">
    <w:abstractNumId w:val="29"/>
  </w:num>
  <w:num w:numId="37" w16cid:durableId="16198188">
    <w:abstractNumId w:val="36"/>
  </w:num>
  <w:num w:numId="38" w16cid:durableId="995642619">
    <w:abstractNumId w:val="22"/>
  </w:num>
  <w:num w:numId="39" w16cid:durableId="1951429902">
    <w:abstractNumId w:val="44"/>
  </w:num>
  <w:num w:numId="40" w16cid:durableId="1660618793">
    <w:abstractNumId w:val="23"/>
  </w:num>
  <w:num w:numId="41" w16cid:durableId="566649021">
    <w:abstractNumId w:val="40"/>
  </w:num>
  <w:num w:numId="42" w16cid:durableId="230387690">
    <w:abstractNumId w:val="18"/>
  </w:num>
  <w:num w:numId="43" w16cid:durableId="335613693">
    <w:abstractNumId w:val="3"/>
  </w:num>
  <w:num w:numId="44" w16cid:durableId="1955866269">
    <w:abstractNumId w:val="5"/>
  </w:num>
  <w:num w:numId="45" w16cid:durableId="1136223180">
    <w:abstractNumId w:val="31"/>
  </w:num>
  <w:num w:numId="46" w16cid:durableId="8741998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96BB8"/>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758ED"/>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C72F6"/>
    <w:rsid w:val="008F0744"/>
    <w:rsid w:val="008F2641"/>
    <w:rsid w:val="0091285A"/>
    <w:rsid w:val="00915048"/>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CE1439"/>
    <w:rsid w:val="00CE61E8"/>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3F6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bit.ly/3fhebfa" TargetMode="External"/><Relationship Id="rId13" Type="http://schemas.openxmlformats.org/officeDocument/2006/relationships/hyperlink" Target="https://2h.ae/hObi" TargetMode="External"/><Relationship Id="rId3" Type="http://schemas.openxmlformats.org/officeDocument/2006/relationships/hyperlink" Target="https://2h.ae/xKvj" TargetMode="External"/><Relationship Id="rId7" Type="http://schemas.openxmlformats.org/officeDocument/2006/relationships/hyperlink" Target="https://bit.ly/3fp1tuo" TargetMode="External"/><Relationship Id="rId12" Type="http://schemas.openxmlformats.org/officeDocument/2006/relationships/hyperlink" Target="https://2h.ae/hruo" TargetMode="External"/><Relationship Id="rId2" Type="http://schemas.openxmlformats.org/officeDocument/2006/relationships/hyperlink" Target="https://2h.ae/nwpg" TargetMode="External"/><Relationship Id="rId1" Type="http://schemas.openxmlformats.org/officeDocument/2006/relationships/hyperlink" Target="https://2h.ae/wfUt" TargetMode="External"/><Relationship Id="rId6" Type="http://schemas.openxmlformats.org/officeDocument/2006/relationships/hyperlink" Target="https://tinyurl.com/mwaeujvb" TargetMode="External"/><Relationship Id="rId11" Type="http://schemas.openxmlformats.org/officeDocument/2006/relationships/hyperlink" Target="https://tinyurl.com/bdcvrvnr" TargetMode="External"/><Relationship Id="rId5" Type="http://schemas.openxmlformats.org/officeDocument/2006/relationships/hyperlink" Target="https://2h.ae/und" TargetMode="External"/><Relationship Id="rId10" Type="http://schemas.openxmlformats.org/officeDocument/2006/relationships/hyperlink" Target="https://2h.ae/hrts" TargetMode="External"/><Relationship Id="rId4" Type="http://schemas.openxmlformats.org/officeDocument/2006/relationships/hyperlink" Target="https://tinyurl.com/49Cepj8a" TargetMode="External"/><Relationship Id="rId9" Type="http://schemas.openxmlformats.org/officeDocument/2006/relationships/hyperlink" Target="https://2h.ae/hr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2025-06-24T09:39:04+00:00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73B9C87E-B9D2-47E4-8003-49C0FD6F588B}"/>
</file>

<file path=customXml/itemProps3.xml><?xml version="1.0" encoding="utf-8"?>
<ds:datastoreItem xmlns:ds="http://schemas.openxmlformats.org/officeDocument/2006/customXml" ds:itemID="{75843FD4-873B-4FB0-B491-10ED81CEF3DC}"/>
</file>

<file path=customXml/itemProps4.xml><?xml version="1.0" encoding="utf-8"?>
<ds:datastoreItem xmlns:ds="http://schemas.openxmlformats.org/officeDocument/2006/customXml" ds:itemID="{748C0E59-344A-4685-BAC6-AA8A73D02808}"/>
</file>

<file path=docProps/app.xml><?xml version="1.0" encoding="utf-8"?>
<Properties xmlns="http://schemas.openxmlformats.org/officeDocument/2006/extended-properties" xmlns:vt="http://schemas.openxmlformats.org/officeDocument/2006/docPropsVTypes">
  <Template>Normal</Template>
  <TotalTime>1</TotalTime>
  <Pages>6</Pages>
  <Words>1943</Words>
  <Characters>11078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Perrine Deja</cp:lastModifiedBy>
  <cp:revision>2</cp:revision>
  <dcterms:created xsi:type="dcterms:W3CDTF">2025-06-24T09:39:00Z</dcterms:created>
  <dcterms:modified xsi:type="dcterms:W3CDTF">2025-06-24T09:39:00Z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0x010100F3F3498CE0ABCF44AFA9CE6E5EEF9E2B</vt:lpwstr>
  </property>
</Properties>
</file>