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FA7B7B" w:rsidRDefault="00FA7B7B">
      <w:pPr>
        <w:widowControl w:val="0"/>
        <w:pBdr>
          <w:top w:val="nil"/>
          <w:left w:val="nil"/>
          <w:bottom w:val="nil"/>
          <w:right w:val="nil"/>
          <w:between w:val="nil"/>
        </w:pBdr>
        <w:spacing w:line="276" w:lineRule="auto"/>
        <w:rPr>
          <w:rFonts w:ascii="Arial" w:eastAsia="Arial" w:hAnsi="Arial" w:cs="Arial"/>
          <w:color w:val="000000"/>
          <w:sz w:val="22"/>
          <w:szCs w:val="22"/>
        </w:rPr>
      </w:pPr>
      <w:bookmarkStart w:id="0" w:name="_GoBack"/>
      <w:bookmarkEnd w:id="0"/>
    </w:p>
    <w:tbl>
      <w:tblPr>
        <w:tblStyle w:val="a"/>
        <w:tblW w:w="88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1"/>
        <w:gridCol w:w="2400"/>
        <w:gridCol w:w="4315"/>
      </w:tblGrid>
      <w:tr w:rsidR="00FA7B7B" w14:paraId="71DF9044" w14:textId="77777777">
        <w:tc>
          <w:tcPr>
            <w:tcW w:w="4541" w:type="dxa"/>
            <w:gridSpan w:val="2"/>
          </w:tcPr>
          <w:p w14:paraId="00000002" w14:textId="77777777" w:rsidR="00FA7B7B" w:rsidRDefault="00245A63">
            <w:pPr>
              <w:rPr>
                <w:rFonts w:ascii="Times New Roman" w:eastAsia="Times New Roman" w:hAnsi="Times New Roman" w:cs="Times New Roman"/>
              </w:rPr>
            </w:pPr>
            <w:bookmarkStart w:id="1" w:name="_heading=h.gjdgxs" w:colFirst="0" w:colLast="0"/>
            <w:bookmarkEnd w:id="1"/>
            <w:r>
              <w:rPr>
                <w:noProof/>
                <w:lang w:val="en-GB" w:eastAsia="en-GB"/>
              </w:rPr>
              <w:drawing>
                <wp:anchor distT="0" distB="0" distL="114300" distR="114300" simplePos="0" relativeHeight="251658240" behindDoc="0" locked="0" layoutInCell="1" hidden="0" allowOverlap="1" wp14:anchorId="06105BA3" wp14:editId="3C98396F">
                  <wp:simplePos x="0" y="0"/>
                  <wp:positionH relativeFrom="column">
                    <wp:posOffset>1015637</wp:posOffset>
                  </wp:positionH>
                  <wp:positionV relativeFrom="paragraph">
                    <wp:posOffset>0</wp:posOffset>
                  </wp:positionV>
                  <wp:extent cx="898525" cy="887095"/>
                  <wp:effectExtent l="0" t="0" r="0"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898525" cy="887095"/>
                          </a:xfrm>
                          <a:prstGeom prst="rect">
                            <a:avLst/>
                          </a:prstGeom>
                          <a:ln/>
                        </pic:spPr>
                      </pic:pic>
                    </a:graphicData>
                  </a:graphic>
                </wp:anchor>
              </w:drawing>
            </w:r>
          </w:p>
          <w:p w14:paraId="00000003" w14:textId="77777777" w:rsidR="00FA7B7B" w:rsidRDefault="00FA7B7B">
            <w:pPr>
              <w:rPr>
                <w:rFonts w:ascii="Times New Roman" w:eastAsia="Times New Roman" w:hAnsi="Times New Roman" w:cs="Times New Roman"/>
              </w:rPr>
            </w:pPr>
          </w:p>
          <w:p w14:paraId="00000004" w14:textId="77777777" w:rsidR="00FA7B7B" w:rsidRDefault="00FA7B7B">
            <w:pPr>
              <w:rPr>
                <w:rFonts w:ascii="Times New Roman" w:eastAsia="Times New Roman" w:hAnsi="Times New Roman" w:cs="Times New Roman"/>
              </w:rPr>
            </w:pPr>
          </w:p>
        </w:tc>
        <w:tc>
          <w:tcPr>
            <w:tcW w:w="4315" w:type="dxa"/>
          </w:tcPr>
          <w:p w14:paraId="00000009" w14:textId="77777777" w:rsidR="00FA7B7B" w:rsidRDefault="00245A63">
            <w:pPr>
              <w:rPr>
                <w:rFonts w:ascii="Times New Roman" w:eastAsia="Times New Roman" w:hAnsi="Times New Roman" w:cs="Times New Roman"/>
                <w:b/>
              </w:rPr>
            </w:pPr>
            <w:r>
              <w:rPr>
                <w:rFonts w:ascii="Times New Roman" w:eastAsia="Times New Roman" w:hAnsi="Times New Roman" w:cs="Times New Roman"/>
                <w:b/>
              </w:rPr>
              <w:t>CRC # Session</w:t>
            </w:r>
          </w:p>
          <w:p w14:paraId="0000000A" w14:textId="77777777" w:rsidR="00FA7B7B" w:rsidRDefault="00245A63">
            <w:pPr>
              <w:rPr>
                <w:rFonts w:ascii="Times New Roman" w:eastAsia="Times New Roman" w:hAnsi="Times New Roman" w:cs="Times New Roman"/>
              </w:rPr>
            </w:pPr>
            <w:r>
              <w:rPr>
                <w:rFonts w:ascii="Times New Roman" w:eastAsia="Times New Roman" w:hAnsi="Times New Roman" w:cs="Times New Roman"/>
              </w:rPr>
              <w:t>Country name:</w:t>
            </w:r>
          </w:p>
          <w:p w14:paraId="0000000B" w14:textId="77777777" w:rsidR="00FA7B7B" w:rsidRDefault="00245A63">
            <w:pPr>
              <w:rPr>
                <w:rFonts w:ascii="Times New Roman" w:eastAsia="Times New Roman" w:hAnsi="Times New Roman" w:cs="Times New Roman"/>
              </w:rPr>
            </w:pPr>
            <w:r>
              <w:rPr>
                <w:rFonts w:ascii="Times New Roman" w:eastAsia="Times New Roman" w:hAnsi="Times New Roman" w:cs="Times New Roman"/>
              </w:rPr>
              <w:t>Dominican Republic</w:t>
            </w:r>
          </w:p>
        </w:tc>
      </w:tr>
      <w:tr w:rsidR="00FA7B7B" w14:paraId="07AB1AB3" w14:textId="77777777">
        <w:tc>
          <w:tcPr>
            <w:tcW w:w="8856" w:type="dxa"/>
            <w:gridSpan w:val="3"/>
          </w:tcPr>
          <w:p w14:paraId="0000000F" w14:textId="77777777" w:rsidR="00FA7B7B" w:rsidRDefault="00FA7B7B">
            <w:pPr>
              <w:jc w:val="both"/>
              <w:rPr>
                <w:rFonts w:ascii="Times New Roman" w:eastAsia="Times New Roman" w:hAnsi="Times New Roman" w:cs="Times New Roman"/>
                <w:color w:val="222222"/>
                <w:highlight w:val="white"/>
              </w:rPr>
            </w:pPr>
          </w:p>
          <w:p w14:paraId="00000010" w14:textId="77777777" w:rsidR="00FA7B7B" w:rsidRDefault="00245A63">
            <w:pPr>
              <w:jc w:val="center"/>
              <w:rPr>
                <w:rFonts w:ascii="Times New Roman" w:eastAsia="Times New Roman" w:hAnsi="Times New Roman" w:cs="Times New Roman"/>
                <w:b/>
                <w:color w:val="222222"/>
                <w:highlight w:val="white"/>
              </w:rPr>
            </w:pPr>
            <w:r>
              <w:rPr>
                <w:rFonts w:ascii="Times New Roman" w:eastAsia="Times New Roman" w:hAnsi="Times New Roman" w:cs="Times New Roman"/>
                <w:b/>
                <w:color w:val="222222"/>
                <w:highlight w:val="white"/>
              </w:rPr>
              <w:t>Appropriate pre-trial detention times for children</w:t>
            </w:r>
          </w:p>
          <w:p w14:paraId="00000011" w14:textId="77777777" w:rsidR="00FA7B7B" w:rsidRDefault="00FA7B7B">
            <w:pPr>
              <w:jc w:val="both"/>
              <w:rPr>
                <w:rFonts w:ascii="Times New Roman" w:eastAsia="Times New Roman" w:hAnsi="Times New Roman" w:cs="Times New Roman"/>
                <w:color w:val="222222"/>
                <w:highlight w:val="white"/>
              </w:rPr>
            </w:pPr>
          </w:p>
          <w:p w14:paraId="00000012" w14:textId="77777777" w:rsidR="00FA7B7B" w:rsidRDefault="00245A63">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Cluster of rights:</w:t>
            </w:r>
          </w:p>
          <w:p w14:paraId="00000013" w14:textId="77777777" w:rsidR="00FA7B7B" w:rsidRDefault="00245A63">
            <w:pPr>
              <w:pBdr>
                <w:top w:val="nil"/>
                <w:left w:val="nil"/>
                <w:bottom w:val="nil"/>
                <w:right w:val="nil"/>
                <w:between w:val="nil"/>
              </w:pBd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Convention on the Rights of the Child Article 37(b): No child shall be deprived of his or her liberty unlawfully or arbitrarily. The arrest, detention or imprisonment of a child shall be in conformity with the law and shall be used only as a measure of last resort and for the shortest appropriate period of time; </w:t>
            </w:r>
          </w:p>
          <w:p w14:paraId="00000014" w14:textId="77777777" w:rsidR="00FA7B7B" w:rsidRDefault="00245A63">
            <w:pPr>
              <w:pBdr>
                <w:top w:val="nil"/>
                <w:left w:val="nil"/>
                <w:bottom w:val="nil"/>
                <w:right w:val="nil"/>
                <w:between w:val="nil"/>
              </w:pBd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Convention Against Torture Article 2</w:t>
            </w:r>
          </w:p>
          <w:p w14:paraId="00000015" w14:textId="77777777" w:rsidR="00FA7B7B" w:rsidRDefault="00245A63">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Areas of concern:</w:t>
            </w:r>
          </w:p>
          <w:p w14:paraId="00000016" w14:textId="77777777" w:rsidR="00FA7B7B" w:rsidRDefault="00FA7B7B">
            <w:pPr>
              <w:jc w:val="both"/>
              <w:rPr>
                <w:rFonts w:ascii="Times New Roman" w:eastAsia="Times New Roman" w:hAnsi="Times New Roman" w:cs="Times New Roman"/>
                <w:color w:val="222222"/>
                <w:highlight w:val="white"/>
              </w:rPr>
            </w:pPr>
          </w:p>
          <w:p w14:paraId="00000017" w14:textId="77777777" w:rsidR="00FA7B7B" w:rsidRDefault="00245A63">
            <w:pPr>
              <w:jc w:val="both"/>
              <w:rPr>
                <w:rFonts w:ascii="Times New Roman" w:eastAsia="Times New Roman" w:hAnsi="Times New Roman" w:cs="Times New Roman"/>
              </w:rPr>
            </w:pPr>
            <w:bookmarkStart w:id="2" w:name="_heading=h.30j0zll" w:colFirst="0" w:colLast="0"/>
            <w:bookmarkEnd w:id="2"/>
            <w:r>
              <w:rPr>
                <w:rFonts w:ascii="Times New Roman" w:eastAsia="Times New Roman" w:hAnsi="Times New Roman" w:cs="Times New Roman"/>
              </w:rPr>
              <w:t>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Pretrial detention is only permitted as a measure of last resort and for “</w:t>
            </w:r>
            <w:r>
              <w:rPr>
                <w:rFonts w:ascii="Times New Roman" w:eastAsia="Times New Roman" w:hAnsi="Times New Roman" w:cs="Times New Roman"/>
                <w:i/>
              </w:rPr>
              <w:t>the shortest appropriate period of time</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However, there is no clarity around what is meant by an “</w:t>
            </w:r>
            <w:r>
              <w:rPr>
                <w:rFonts w:ascii="Times New Roman" w:eastAsia="Times New Roman" w:hAnsi="Times New Roman" w:cs="Times New Roman"/>
                <w:i/>
              </w:rPr>
              <w:t>appropriate period of time</w:t>
            </w:r>
            <w:r>
              <w:rPr>
                <w:rFonts w:ascii="Times New Roman" w:eastAsia="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The Committee additionally recommended that any such detention should be reviewed regularly by a competent body</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These recommendations can and should be strengthened.</w:t>
            </w:r>
          </w:p>
          <w:p w14:paraId="00000018" w14:textId="77777777" w:rsidR="00FA7B7B" w:rsidRDefault="00FA7B7B">
            <w:pPr>
              <w:jc w:val="both"/>
              <w:rPr>
                <w:rFonts w:ascii="Times New Roman" w:eastAsia="Times New Roman" w:hAnsi="Times New Roman" w:cs="Times New Roman"/>
              </w:rPr>
            </w:pPr>
          </w:p>
          <w:p w14:paraId="00000019" w14:textId="77777777" w:rsidR="00FA7B7B" w:rsidRDefault="00245A63">
            <w:pPr>
              <w:jc w:val="both"/>
              <w:rPr>
                <w:rFonts w:ascii="Times New Roman" w:eastAsia="Times New Roman" w:hAnsi="Times New Roman" w:cs="Times New Roman"/>
              </w:rPr>
            </w:pPr>
            <w:bookmarkStart w:id="3" w:name="_heading=h.1fob9te" w:colFirst="0" w:colLast="0"/>
            <w:bookmarkEnd w:id="3"/>
            <w:r>
              <w:rPr>
                <w:rFonts w:ascii="Times New Roman" w:eastAsia="Times New Roman" w:hAnsi="Times New Roman" w:cs="Times New Roman"/>
              </w:rPr>
              <w:t>Defendants in pretrial detention are more likely to be abused, mistreated and tortured,</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Pr>
                <w:rFonts w:ascii="Times New Roman" w:eastAsia="Times New Roman" w:hAnsi="Times New Roman" w:cs="Times New Roman"/>
              </w:rPr>
              <w:lastRenderedPageBreak/>
              <w:t>school drop-out, and drug use among children.</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Research shows that children’s sense of time is significantly different than adults, making even short periods of detention particularly harmful.</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14:paraId="0000001A" w14:textId="77777777" w:rsidR="00FA7B7B" w:rsidRDefault="00FA7B7B">
            <w:pPr>
              <w:jc w:val="both"/>
              <w:rPr>
                <w:rFonts w:ascii="Times New Roman" w:eastAsia="Times New Roman" w:hAnsi="Times New Roman" w:cs="Times New Roman"/>
              </w:rPr>
            </w:pPr>
          </w:p>
          <w:p w14:paraId="0000001B" w14:textId="77777777" w:rsidR="00FA7B7B" w:rsidRDefault="00245A63">
            <w:pPr>
              <w:jc w:val="both"/>
              <w:rPr>
                <w:rFonts w:ascii="Times New Roman" w:eastAsia="Times New Roman" w:hAnsi="Times New Roman" w:cs="Times New Roman"/>
              </w:rPr>
            </w:pPr>
            <w:bookmarkStart w:id="4" w:name="_heading=h.3znysh7" w:colFirst="0" w:colLast="0"/>
            <w:bookmarkEnd w:id="4"/>
            <w:r>
              <w:rPr>
                <w:rFonts w:ascii="Times New Roman" w:eastAsia="Times New Roman" w:hAnsi="Times New Roman" w:cs="Times New Roman"/>
              </w:rPr>
              <w:t>While significant research, documentation, and best practices exist for monitoring detention conditions and implementing alternatives to detention, there is very little international research that documents the duration of child pretrial detention. Some organizations advocate for a maximum of 30 days for children in pretrial detention, and many countries have clear legal maximums.</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Yet it is unclear which nations are in fact adhering to a statutory maximum, what the average pretrial duration is, or what emerging good practices may be for reducing the duration of pretrial detention. </w:t>
            </w:r>
          </w:p>
          <w:p w14:paraId="0000001C" w14:textId="77777777" w:rsidR="00FA7B7B" w:rsidRDefault="00FA7B7B">
            <w:pPr>
              <w:jc w:val="both"/>
              <w:rPr>
                <w:rFonts w:ascii="Times New Roman" w:eastAsia="Times New Roman" w:hAnsi="Times New Roman" w:cs="Times New Roman"/>
              </w:rPr>
            </w:pPr>
          </w:p>
          <w:p w14:paraId="0000001D" w14:textId="77777777" w:rsidR="00FA7B7B" w:rsidRDefault="00245A63">
            <w:pPr>
              <w:jc w:val="both"/>
              <w:rPr>
                <w:rFonts w:ascii="Times New Roman" w:eastAsia="Times New Roman" w:hAnsi="Times New Roman" w:cs="Times New Roman"/>
              </w:rPr>
            </w:pPr>
            <w:r>
              <w:rPr>
                <w:rFonts w:ascii="Times New Roman" w:eastAsia="Times New Roman" w:hAnsi="Times New Roman" w:cs="Times New Roman"/>
              </w:rPr>
              <w:t>Criminal justice procedures for children vary widely throughout the world, and it appears that international and regional human rights bodies have, to date, been reticent to prescribe what constitutes the “</w:t>
            </w:r>
            <w:r>
              <w:rPr>
                <w:rFonts w:ascii="Times New Roman" w:eastAsia="Times New Roman" w:hAnsi="Times New Roman" w:cs="Times New Roman"/>
                <w:i/>
              </w:rPr>
              <w:t>shortest appropriate time</w:t>
            </w:r>
            <w:r>
              <w:rPr>
                <w:rFonts w:ascii="Times New Roman" w:eastAsia="Times New Roman" w:hAnsi="Times New Roman" w:cs="Times New Roman"/>
              </w:rPr>
              <w:t>”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This means that the most significant time spent deprived of liberty is while awaiting trial, when children are ostensibly presumed innocent. </w:t>
            </w:r>
          </w:p>
          <w:p w14:paraId="0000001E" w14:textId="77777777" w:rsidR="00FA7B7B" w:rsidRDefault="00FA7B7B">
            <w:pPr>
              <w:jc w:val="both"/>
              <w:rPr>
                <w:rFonts w:ascii="Times New Roman" w:eastAsia="Times New Roman" w:hAnsi="Times New Roman" w:cs="Times New Roman"/>
              </w:rPr>
            </w:pPr>
          </w:p>
          <w:p w14:paraId="0000001F" w14:textId="77777777" w:rsidR="00FA7B7B" w:rsidRDefault="00245A63">
            <w:pPr>
              <w:jc w:val="both"/>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i/>
              </w:rPr>
              <w:t>Children in Pretrial Detention: Promoting Stronger International Time Limits</w:t>
            </w:r>
            <w:r>
              <w:rPr>
                <w:rFonts w:ascii="Times New Roman" w:eastAsia="Times New Roman" w:hAnsi="Times New Roman" w:cs="Times New Roman"/>
              </w:rPr>
              <w:t xml:space="preserve"> report serves as a baseline for the committee to expand on country practices regarding times of pre-trial detention of children. </w:t>
            </w:r>
          </w:p>
          <w:p w14:paraId="00000020" w14:textId="77777777" w:rsidR="00FA7B7B" w:rsidRDefault="00FA7B7B">
            <w:pPr>
              <w:jc w:val="both"/>
              <w:rPr>
                <w:rFonts w:ascii="Times New Roman" w:eastAsia="Times New Roman" w:hAnsi="Times New Roman" w:cs="Times New Roman"/>
              </w:rPr>
            </w:pPr>
          </w:p>
          <w:p w14:paraId="00000021" w14:textId="77777777" w:rsidR="00FA7B7B" w:rsidRDefault="00245A63">
            <w:pPr>
              <w:jc w:val="both"/>
              <w:rPr>
                <w:rFonts w:ascii="Times New Roman" w:eastAsia="Times New Roman" w:hAnsi="Times New Roman" w:cs="Times New Roman"/>
              </w:rPr>
            </w:pPr>
            <w:r>
              <w:rPr>
                <w:rFonts w:ascii="Times New Roman" w:eastAsia="Times New Roman" w:hAnsi="Times New Roman" w:cs="Times New Roman"/>
              </w:rPr>
              <w:t xml:space="preserve">State actors and civil society should be made aware that reducing the duration of pretrial detention for children is an urgent priority, and they need the tools to understand both </w:t>
            </w:r>
            <w:r>
              <w:rPr>
                <w:rFonts w:ascii="Times New Roman" w:eastAsia="Times New Roman" w:hAnsi="Times New Roman" w:cs="Times New Roman"/>
              </w:rPr>
              <w:lastRenderedPageBreak/>
              <w:t>effective practices which can reduce pretrial detention, as well as the governing international standards. This report represents an important step toward these goals.</w:t>
            </w:r>
          </w:p>
          <w:p w14:paraId="00000022" w14:textId="77777777" w:rsidR="00FA7B7B" w:rsidRDefault="00FA7B7B">
            <w:pPr>
              <w:rPr>
                <w:rFonts w:ascii="Times New Roman" w:eastAsia="Times New Roman" w:hAnsi="Times New Roman" w:cs="Times New Roman"/>
              </w:rPr>
            </w:pPr>
          </w:p>
          <w:p w14:paraId="00000023" w14:textId="77777777" w:rsidR="00FA7B7B" w:rsidRDefault="00FA7B7B">
            <w:pPr>
              <w:rPr>
                <w:rFonts w:ascii="Times New Roman" w:eastAsia="Times New Roman" w:hAnsi="Times New Roman" w:cs="Times New Roman"/>
              </w:rPr>
            </w:pPr>
            <w:bookmarkStart w:id="5" w:name="_heading=h.2et92p0" w:colFirst="0" w:colLast="0"/>
            <w:bookmarkEnd w:id="5"/>
          </w:p>
          <w:p w14:paraId="00000024" w14:textId="77777777" w:rsidR="00FA7B7B" w:rsidRDefault="00FA7B7B">
            <w:pPr>
              <w:jc w:val="both"/>
              <w:rPr>
                <w:rFonts w:ascii="Times New Roman" w:eastAsia="Times New Roman" w:hAnsi="Times New Roman" w:cs="Times New Roman"/>
                <w:color w:val="222222"/>
                <w:highlight w:val="white"/>
              </w:rPr>
            </w:pPr>
          </w:p>
          <w:p w14:paraId="00000025" w14:textId="77777777" w:rsidR="00FA7B7B" w:rsidRDefault="00245A63">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Methodology:</w:t>
            </w:r>
          </w:p>
          <w:p w14:paraId="00000026" w14:textId="77777777" w:rsidR="00FA7B7B" w:rsidRDefault="00FA7B7B">
            <w:pPr>
              <w:jc w:val="both"/>
              <w:rPr>
                <w:rFonts w:ascii="Times New Roman" w:eastAsia="Times New Roman" w:hAnsi="Times New Roman" w:cs="Times New Roman"/>
                <w:color w:val="222222"/>
                <w:highlight w:val="white"/>
              </w:rPr>
            </w:pPr>
          </w:p>
          <w:p w14:paraId="00000027" w14:textId="77777777" w:rsidR="00FA7B7B" w:rsidRDefault="00245A63">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This alternative report is based on a previous global 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IGO or NGO reports, were used to determine the content of the statute.</w:t>
            </w:r>
          </w:p>
          <w:p w14:paraId="00000028" w14:textId="77777777" w:rsidR="00FA7B7B" w:rsidRDefault="00FA7B7B">
            <w:pPr>
              <w:jc w:val="both"/>
              <w:rPr>
                <w:rFonts w:ascii="Times New Roman" w:eastAsia="Times New Roman" w:hAnsi="Times New Roman" w:cs="Times New Roman"/>
                <w:color w:val="222222"/>
                <w:highlight w:val="white"/>
              </w:rPr>
            </w:pPr>
          </w:p>
          <w:p w14:paraId="00000029" w14:textId="77777777" w:rsidR="00FA7B7B" w:rsidRDefault="00245A63">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14:paraId="0000002A" w14:textId="77777777" w:rsidR="00FA7B7B" w:rsidRDefault="00FA7B7B">
            <w:pPr>
              <w:jc w:val="both"/>
              <w:rPr>
                <w:rFonts w:ascii="Times New Roman" w:eastAsia="Times New Roman" w:hAnsi="Times New Roman" w:cs="Times New Roman"/>
                <w:color w:val="222222"/>
                <w:highlight w:val="white"/>
              </w:rPr>
            </w:pPr>
          </w:p>
          <w:p w14:paraId="0000002B" w14:textId="77777777" w:rsidR="00FA7B7B" w:rsidRDefault="00245A63">
            <w:pPr>
              <w:rPr>
                <w:rFonts w:ascii="Times New Roman" w:eastAsia="Times New Roman" w:hAnsi="Times New Roman" w:cs="Times New Roman"/>
              </w:rPr>
            </w:pPr>
            <w:r>
              <w:rPr>
                <w:rFonts w:ascii="Times New Roman" w:eastAsia="Times New Roman" w:hAnsi="Times New Roman" w:cs="Times New Roman"/>
                <w:color w:val="222222"/>
                <w:highlight w:val="white"/>
              </w:rPr>
              <w:t xml:space="preserve">The number of days were calculated at 30 days per month when the statue used a number of months rather than days for durations shorter than one year. Monthly durations beyond one year are added to a 365-day period. </w:t>
            </w:r>
            <w:r>
              <w:rPr>
                <w:rFonts w:ascii="Times New Roman" w:eastAsia="Times New Roman" w:hAnsi="Times New Roman" w:cs="Times New Roman"/>
              </w:rPr>
              <w:t>For example, 18 months was calculated as one year (365 days) plus six months (six 30-day periods, or180 days) to be 545 days. All time limits and averages were rounded to the closest whole day.</w:t>
            </w:r>
          </w:p>
          <w:p w14:paraId="0000002C" w14:textId="77777777" w:rsidR="00FA7B7B" w:rsidRDefault="00FA7B7B">
            <w:pPr>
              <w:rPr>
                <w:rFonts w:ascii="Times New Roman" w:eastAsia="Times New Roman" w:hAnsi="Times New Roman" w:cs="Times New Roman"/>
              </w:rPr>
            </w:pPr>
          </w:p>
          <w:p w14:paraId="0000002D" w14:textId="77777777" w:rsidR="00FA7B7B" w:rsidRDefault="00245A63">
            <w:pPr>
              <w:jc w:val="both"/>
              <w:rPr>
                <w:rFonts w:ascii="Times New Roman" w:eastAsia="Times New Roman" w:hAnsi="Times New Roman" w:cs="Times New Roman"/>
              </w:rPr>
            </w:pPr>
            <w:r>
              <w:rPr>
                <w:rFonts w:ascii="Times New Roman" w:eastAsia="Times New Roman" w:hAnsi="Times New Roman" w:cs="Times New Roman"/>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14:paraId="0000002E" w14:textId="77777777" w:rsidR="00FA7B7B" w:rsidRDefault="00FA7B7B">
            <w:pPr>
              <w:rPr>
                <w:rFonts w:ascii="Times New Roman" w:eastAsia="Times New Roman" w:hAnsi="Times New Roman" w:cs="Times New Roman"/>
              </w:rPr>
            </w:pPr>
          </w:p>
          <w:p w14:paraId="0000002F" w14:textId="77777777" w:rsidR="00FA7B7B" w:rsidRDefault="00245A63">
            <w:pPr>
              <w:rPr>
                <w:rFonts w:ascii="Times New Roman" w:eastAsia="Times New Roman" w:hAnsi="Times New Roman" w:cs="Times New Roman"/>
              </w:rPr>
            </w:pPr>
            <w:r>
              <w:rPr>
                <w:rFonts w:ascii="Times New Roman" w:eastAsia="Times New Roman" w:hAnsi="Times New Roman" w:cs="Times New Roman"/>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14:paraId="00000030" w14:textId="77777777" w:rsidR="00FA7B7B" w:rsidRDefault="00FA7B7B">
            <w:pPr>
              <w:rPr>
                <w:rFonts w:ascii="Times New Roman" w:eastAsia="Times New Roman" w:hAnsi="Times New Roman" w:cs="Times New Roman"/>
              </w:rPr>
            </w:pPr>
          </w:p>
          <w:p w14:paraId="00000031" w14:textId="77777777" w:rsidR="00FA7B7B" w:rsidRDefault="00245A63">
            <w:pPr>
              <w:rPr>
                <w:rFonts w:ascii="Times New Roman" w:eastAsia="Times New Roman" w:hAnsi="Times New Roman" w:cs="Times New Roman"/>
                <w:color w:val="222222"/>
                <w:highlight w:val="white"/>
              </w:rPr>
            </w:pPr>
            <w:r>
              <w:rPr>
                <w:rFonts w:ascii="Times New Roman" w:eastAsia="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p w14:paraId="00000032" w14:textId="77777777" w:rsidR="00FA7B7B" w:rsidRDefault="00FA7B7B">
            <w:pPr>
              <w:jc w:val="both"/>
              <w:rPr>
                <w:rFonts w:ascii="Times New Roman" w:eastAsia="Times New Roman" w:hAnsi="Times New Roman" w:cs="Times New Roman"/>
                <w:color w:val="222222"/>
                <w:highlight w:val="white"/>
              </w:rPr>
            </w:pPr>
          </w:p>
          <w:p w14:paraId="00000033" w14:textId="77777777" w:rsidR="00FA7B7B" w:rsidRDefault="00FA7B7B">
            <w:pPr>
              <w:jc w:val="both"/>
              <w:rPr>
                <w:rFonts w:ascii="Times New Roman" w:eastAsia="Times New Roman" w:hAnsi="Times New Roman" w:cs="Times New Roman"/>
                <w:color w:val="222222"/>
                <w:highlight w:val="white"/>
              </w:rPr>
            </w:pPr>
          </w:p>
        </w:tc>
      </w:tr>
      <w:tr w:rsidR="00FA7B7B" w14:paraId="72FD71B1" w14:textId="77777777">
        <w:tc>
          <w:tcPr>
            <w:tcW w:w="8856" w:type="dxa"/>
            <w:gridSpan w:val="3"/>
          </w:tcPr>
          <w:p w14:paraId="5ED1006A" w14:textId="77777777" w:rsidR="006A25C0" w:rsidRDefault="006A25C0">
            <w:pPr>
              <w:jc w:val="center"/>
              <w:rPr>
                <w:rFonts w:ascii="Times New Roman" w:eastAsia="Times New Roman" w:hAnsi="Times New Roman" w:cs="Times New Roman"/>
              </w:rPr>
            </w:pPr>
          </w:p>
          <w:p w14:paraId="0000004E" w14:textId="224C2916" w:rsidR="00FA7B7B" w:rsidRDefault="008250F4">
            <w:pPr>
              <w:jc w:val="center"/>
              <w:rPr>
                <w:rFonts w:ascii="Times New Roman" w:eastAsia="Times New Roman" w:hAnsi="Times New Roman" w:cs="Times New Roman"/>
              </w:rPr>
            </w:pPr>
            <w:r>
              <w:rPr>
                <w:rFonts w:ascii="Times New Roman" w:eastAsia="Times New Roman" w:hAnsi="Times New Roman" w:cs="Times New Roman"/>
              </w:rPr>
              <w:lastRenderedPageBreak/>
              <w:t xml:space="preserve">The Dominican Republic has a child-specific </w:t>
            </w:r>
            <w:r w:rsidR="006A25C0">
              <w:rPr>
                <w:rFonts w:ascii="Times New Roman" w:eastAsia="Times New Roman" w:hAnsi="Times New Roman" w:cs="Times New Roman"/>
              </w:rPr>
              <w:t>age based pretrial detention limit of a</w:t>
            </w:r>
            <w:r>
              <w:rPr>
                <w:rFonts w:ascii="Times New Roman" w:eastAsia="Times New Roman" w:hAnsi="Times New Roman" w:cs="Times New Roman"/>
              </w:rPr>
              <w:t xml:space="preserve"> maximum </w:t>
            </w:r>
            <w:r w:rsidR="006A25C0">
              <w:rPr>
                <w:rFonts w:ascii="Times New Roman" w:eastAsia="Times New Roman" w:hAnsi="Times New Roman" w:cs="Times New Roman"/>
              </w:rPr>
              <w:t xml:space="preserve">120 days. </w:t>
            </w:r>
            <w:r>
              <w:rPr>
                <w:rFonts w:ascii="Times New Roman" w:eastAsia="Times New Roman" w:hAnsi="Times New Roman" w:cs="Times New Roman"/>
              </w:rPr>
              <w:t xml:space="preserve">Using pretrial detention for children between 12-15 can only happen when there are no alternative, less burdensome options. Juveniles of this age cannot be provisionally detained for longer than 60 days as a blanket rule, but it has an exception. If the judge decides that the provisional detention should be extended, the maximum extension is 60 additional days. </w:t>
            </w:r>
          </w:p>
        </w:tc>
      </w:tr>
      <w:tr w:rsidR="00FA7B7B" w14:paraId="7FFF8F9A" w14:textId="77777777">
        <w:tc>
          <w:tcPr>
            <w:tcW w:w="2141" w:type="dxa"/>
          </w:tcPr>
          <w:p w14:paraId="00000057" w14:textId="77777777" w:rsidR="00FA7B7B" w:rsidRDefault="00245A63">
            <w:pPr>
              <w:rPr>
                <w:rFonts w:ascii="Times New Roman" w:eastAsia="Times New Roman" w:hAnsi="Times New Roman" w:cs="Times New Roman"/>
              </w:rPr>
            </w:pPr>
            <w:r>
              <w:rPr>
                <w:rFonts w:ascii="Times New Roman" w:eastAsia="Times New Roman" w:hAnsi="Times New Roman" w:cs="Times New Roman"/>
              </w:rPr>
              <w:lastRenderedPageBreak/>
              <w:t>Statute Citation</w:t>
            </w:r>
          </w:p>
        </w:tc>
        <w:tc>
          <w:tcPr>
            <w:tcW w:w="6715" w:type="dxa"/>
            <w:gridSpan w:val="2"/>
          </w:tcPr>
          <w:p w14:paraId="2B8E9955" w14:textId="63F91247" w:rsidR="00FA7B7B" w:rsidRDefault="0029171C">
            <w:pPr>
              <w:rPr>
                <w:rFonts w:ascii="Times New Roman" w:eastAsia="Times New Roman" w:hAnsi="Times New Roman" w:cs="Times New Roman"/>
              </w:rPr>
            </w:pPr>
            <w:r>
              <w:rPr>
                <w:rFonts w:ascii="Times New Roman" w:eastAsia="Times New Roman" w:hAnsi="Times New Roman" w:cs="Times New Roman"/>
              </w:rPr>
              <w:t xml:space="preserve">Ley de </w:t>
            </w:r>
            <w:proofErr w:type="spellStart"/>
            <w:r>
              <w:rPr>
                <w:rFonts w:ascii="Times New Roman" w:eastAsia="Times New Roman" w:hAnsi="Times New Roman" w:cs="Times New Roman"/>
              </w:rPr>
              <w:t>Justicia</w:t>
            </w:r>
            <w:proofErr w:type="spellEnd"/>
            <w:r>
              <w:rPr>
                <w:rFonts w:ascii="Times New Roman" w:eastAsia="Times New Roman" w:hAnsi="Times New Roman" w:cs="Times New Roman"/>
              </w:rPr>
              <w:t xml:space="preserve"> Penal </w:t>
            </w:r>
            <w:proofErr w:type="spellStart"/>
            <w:r>
              <w:rPr>
                <w:rFonts w:ascii="Times New Roman" w:eastAsia="Times New Roman" w:hAnsi="Times New Roman" w:cs="Times New Roman"/>
              </w:rPr>
              <w:t>Juvenil</w:t>
            </w:r>
            <w:proofErr w:type="spellEnd"/>
            <w:r>
              <w:rPr>
                <w:rFonts w:ascii="Times New Roman" w:eastAsia="Times New Roman" w:hAnsi="Times New Roman" w:cs="Times New Roman"/>
              </w:rPr>
              <w:t xml:space="preserve">, art. 59 </w:t>
            </w:r>
            <w:hyperlink r:id="rId9" w:history="1">
              <w:r w:rsidRPr="002A1753">
                <w:rPr>
                  <w:rStyle w:val="Hyperlink"/>
                  <w:rFonts w:ascii="Times New Roman" w:eastAsia="Times New Roman" w:hAnsi="Times New Roman" w:cs="Times New Roman"/>
                </w:rPr>
                <w:t>https://www.oas.org/juridico/mla/sp/cri/sp_cri-int-text-juv.html</w:t>
              </w:r>
            </w:hyperlink>
          </w:p>
          <w:p w14:paraId="3EDDDA79" w14:textId="77777777" w:rsidR="0029171C" w:rsidRDefault="0029171C">
            <w:pPr>
              <w:rPr>
                <w:rFonts w:ascii="Times New Roman" w:eastAsia="Times New Roman" w:hAnsi="Times New Roman" w:cs="Times New Roman"/>
              </w:rPr>
            </w:pPr>
          </w:p>
          <w:p w14:paraId="78589536" w14:textId="77777777" w:rsidR="0029171C" w:rsidRDefault="0029171C">
            <w:pPr>
              <w:rPr>
                <w:rFonts w:ascii="Times New Roman" w:eastAsia="Times New Roman" w:hAnsi="Times New Roman" w:cs="Times New Roman"/>
              </w:rPr>
            </w:pPr>
            <w:r>
              <w:rPr>
                <w:rFonts w:ascii="Times New Roman" w:eastAsia="Times New Roman" w:hAnsi="Times New Roman" w:cs="Times New Roman"/>
              </w:rPr>
              <w:t>Art. 59: Provisional detention shall be exceptional, especially for persons over twelve years of age and under fifteen, and shall only apply when it is not possible to apply another less burdensome measure.</w:t>
            </w:r>
          </w:p>
          <w:p w14:paraId="72BB4C00" w14:textId="77777777" w:rsidR="0029171C" w:rsidRDefault="0029171C">
            <w:pPr>
              <w:rPr>
                <w:rFonts w:ascii="Times New Roman" w:eastAsia="Times New Roman" w:hAnsi="Times New Roman" w:cs="Times New Roman"/>
              </w:rPr>
            </w:pPr>
            <w:r>
              <w:rPr>
                <w:rFonts w:ascii="Times New Roman" w:eastAsia="Times New Roman" w:hAnsi="Times New Roman" w:cs="Times New Roman"/>
                <w:b/>
                <w:bCs/>
              </w:rPr>
              <w:t>Provisional detention may not exceed two months.</w:t>
            </w:r>
            <w:r>
              <w:rPr>
                <w:rFonts w:ascii="Times New Roman" w:eastAsia="Times New Roman" w:hAnsi="Times New Roman" w:cs="Times New Roman"/>
              </w:rPr>
              <w:t xml:space="preserve"> When the Judge deems that it should be extended, it must be a specific period and must be supported with reason. </w:t>
            </w:r>
            <w:r>
              <w:rPr>
                <w:rFonts w:ascii="Times New Roman" w:eastAsia="Times New Roman" w:hAnsi="Times New Roman" w:cs="Times New Roman"/>
                <w:b/>
                <w:bCs/>
              </w:rPr>
              <w:t>In no case can the new term exceed two months</w:t>
            </w:r>
            <w:r>
              <w:rPr>
                <w:rFonts w:ascii="Times New Roman" w:eastAsia="Times New Roman" w:hAnsi="Times New Roman" w:cs="Times New Roman"/>
              </w:rPr>
              <w:t>, and must be approved by the juvenile court.</w:t>
            </w:r>
          </w:p>
          <w:p w14:paraId="6CA20C84" w14:textId="77777777" w:rsidR="0029171C" w:rsidRDefault="0029171C">
            <w:pPr>
              <w:rPr>
                <w:rFonts w:ascii="Times New Roman" w:eastAsia="Times New Roman" w:hAnsi="Times New Roman" w:cs="Times New Roman"/>
              </w:rPr>
            </w:pPr>
          </w:p>
          <w:p w14:paraId="650CB052" w14:textId="77777777" w:rsidR="00D067AA" w:rsidRPr="00D067AA" w:rsidRDefault="0029171C" w:rsidP="00D067AA">
            <w:pPr>
              <w:pStyle w:val="NormalWeb"/>
            </w:pPr>
            <w:r w:rsidRPr="00D067AA">
              <w:t xml:space="preserve">Art. 59: </w:t>
            </w:r>
            <w:r w:rsidR="00D067AA" w:rsidRPr="00D067AA">
              <w:t xml:space="preserve">La </w:t>
            </w:r>
            <w:proofErr w:type="spellStart"/>
            <w:r w:rsidR="00D067AA" w:rsidRPr="00D067AA">
              <w:t>detención</w:t>
            </w:r>
            <w:proofErr w:type="spellEnd"/>
            <w:r w:rsidR="00D067AA" w:rsidRPr="00D067AA">
              <w:t xml:space="preserve"> provisional </w:t>
            </w:r>
            <w:proofErr w:type="spellStart"/>
            <w:r w:rsidR="00D067AA" w:rsidRPr="00D067AA">
              <w:t>tendra</w:t>
            </w:r>
            <w:proofErr w:type="spellEnd"/>
            <w:r w:rsidR="00D067AA" w:rsidRPr="00D067AA">
              <w:t xml:space="preserve">́ </w:t>
            </w:r>
            <w:proofErr w:type="spellStart"/>
            <w:r w:rsidR="00D067AA" w:rsidRPr="00D067AA">
              <w:t>carácter</w:t>
            </w:r>
            <w:proofErr w:type="spellEnd"/>
            <w:r w:rsidR="00D067AA" w:rsidRPr="00D067AA">
              <w:t xml:space="preserve"> </w:t>
            </w:r>
            <w:proofErr w:type="spellStart"/>
            <w:r w:rsidR="00D067AA" w:rsidRPr="00D067AA">
              <w:t>excepcional</w:t>
            </w:r>
            <w:proofErr w:type="spellEnd"/>
            <w:r w:rsidR="00D067AA" w:rsidRPr="00D067AA">
              <w:t xml:space="preserve">, </w:t>
            </w:r>
            <w:proofErr w:type="spellStart"/>
            <w:r w:rsidR="00D067AA" w:rsidRPr="00D067AA">
              <w:t>especialmente</w:t>
            </w:r>
            <w:proofErr w:type="spellEnd"/>
            <w:r w:rsidR="00D067AA" w:rsidRPr="00D067AA">
              <w:t xml:space="preserve"> para los </w:t>
            </w:r>
            <w:proofErr w:type="spellStart"/>
            <w:r w:rsidR="00D067AA" w:rsidRPr="00D067AA">
              <w:t>mayores</w:t>
            </w:r>
            <w:proofErr w:type="spellEnd"/>
            <w:r w:rsidR="00D067AA" w:rsidRPr="00D067AA">
              <w:t xml:space="preserve"> de </w:t>
            </w:r>
            <w:proofErr w:type="spellStart"/>
            <w:r w:rsidR="00D067AA" w:rsidRPr="00D067AA">
              <w:t>doce</w:t>
            </w:r>
            <w:proofErr w:type="spellEnd"/>
            <w:r w:rsidR="00D067AA" w:rsidRPr="00D067AA">
              <w:t xml:space="preserve"> </w:t>
            </w:r>
            <w:proofErr w:type="spellStart"/>
            <w:r w:rsidR="00D067AA" w:rsidRPr="00D067AA">
              <w:t>años</w:t>
            </w:r>
            <w:proofErr w:type="spellEnd"/>
            <w:r w:rsidR="00D067AA" w:rsidRPr="00D067AA">
              <w:t xml:space="preserve"> y </w:t>
            </w:r>
            <w:proofErr w:type="spellStart"/>
            <w:r w:rsidR="00D067AA" w:rsidRPr="00D067AA">
              <w:t>menores</w:t>
            </w:r>
            <w:proofErr w:type="spellEnd"/>
            <w:r w:rsidR="00D067AA" w:rsidRPr="00D067AA">
              <w:t xml:space="preserve"> de quince y </w:t>
            </w:r>
            <w:proofErr w:type="spellStart"/>
            <w:r w:rsidR="00D067AA" w:rsidRPr="00D067AA">
              <w:t>sólo</w:t>
            </w:r>
            <w:proofErr w:type="spellEnd"/>
            <w:r w:rsidR="00D067AA" w:rsidRPr="00D067AA">
              <w:t xml:space="preserve"> se </w:t>
            </w:r>
            <w:proofErr w:type="spellStart"/>
            <w:r w:rsidR="00D067AA" w:rsidRPr="00D067AA">
              <w:t>aplicara</w:t>
            </w:r>
            <w:proofErr w:type="spellEnd"/>
            <w:r w:rsidR="00D067AA" w:rsidRPr="00D067AA">
              <w:t xml:space="preserve">́ </w:t>
            </w:r>
            <w:proofErr w:type="spellStart"/>
            <w:r w:rsidR="00D067AA" w:rsidRPr="00D067AA">
              <w:t>cuando</w:t>
            </w:r>
            <w:proofErr w:type="spellEnd"/>
            <w:r w:rsidR="00D067AA" w:rsidRPr="00D067AA">
              <w:t xml:space="preserve"> no sea </w:t>
            </w:r>
            <w:proofErr w:type="spellStart"/>
            <w:r w:rsidR="00D067AA" w:rsidRPr="00D067AA">
              <w:t>posible</w:t>
            </w:r>
            <w:proofErr w:type="spellEnd"/>
            <w:r w:rsidR="00D067AA" w:rsidRPr="00D067AA">
              <w:t xml:space="preserve"> </w:t>
            </w:r>
            <w:proofErr w:type="spellStart"/>
            <w:r w:rsidR="00D067AA" w:rsidRPr="00D067AA">
              <w:t>aplicar</w:t>
            </w:r>
            <w:proofErr w:type="spellEnd"/>
            <w:r w:rsidR="00D067AA" w:rsidRPr="00D067AA">
              <w:t xml:space="preserve"> </w:t>
            </w:r>
            <w:proofErr w:type="spellStart"/>
            <w:r w:rsidR="00D067AA" w:rsidRPr="00D067AA">
              <w:t>otra</w:t>
            </w:r>
            <w:proofErr w:type="spellEnd"/>
            <w:r w:rsidR="00D067AA" w:rsidRPr="00D067AA">
              <w:t xml:space="preserve"> </w:t>
            </w:r>
            <w:proofErr w:type="spellStart"/>
            <w:r w:rsidR="00D067AA" w:rsidRPr="00D067AA">
              <w:t>medida</w:t>
            </w:r>
            <w:proofErr w:type="spellEnd"/>
            <w:r w:rsidR="00D067AA" w:rsidRPr="00D067AA">
              <w:t xml:space="preserve"> </w:t>
            </w:r>
            <w:proofErr w:type="spellStart"/>
            <w:r w:rsidR="00D067AA" w:rsidRPr="00D067AA">
              <w:t>menos</w:t>
            </w:r>
            <w:proofErr w:type="spellEnd"/>
            <w:r w:rsidR="00D067AA" w:rsidRPr="00D067AA">
              <w:t xml:space="preserve"> </w:t>
            </w:r>
            <w:proofErr w:type="spellStart"/>
            <w:r w:rsidR="00D067AA" w:rsidRPr="00D067AA">
              <w:t>gravosa</w:t>
            </w:r>
            <w:proofErr w:type="spellEnd"/>
            <w:r w:rsidR="00D067AA" w:rsidRPr="00D067AA">
              <w:t xml:space="preserve">. </w:t>
            </w:r>
          </w:p>
          <w:p w14:paraId="32D532E0" w14:textId="77777777" w:rsidR="00D067AA" w:rsidRPr="00D067AA" w:rsidRDefault="00D067AA" w:rsidP="00D067AA">
            <w:pPr>
              <w:pStyle w:val="NormalWeb"/>
            </w:pPr>
            <w:r w:rsidRPr="00D067AA">
              <w:t xml:space="preserve">La </w:t>
            </w:r>
            <w:proofErr w:type="spellStart"/>
            <w:r w:rsidRPr="00D067AA">
              <w:t>detención</w:t>
            </w:r>
            <w:proofErr w:type="spellEnd"/>
            <w:r w:rsidRPr="00D067AA">
              <w:t xml:space="preserve"> provisional no </w:t>
            </w:r>
            <w:proofErr w:type="spellStart"/>
            <w:r w:rsidRPr="00D067AA">
              <w:t>podra</w:t>
            </w:r>
            <w:proofErr w:type="spellEnd"/>
            <w:r w:rsidRPr="00D067AA">
              <w:t xml:space="preserve">́ </w:t>
            </w:r>
            <w:proofErr w:type="spellStart"/>
            <w:r w:rsidRPr="00D067AA">
              <w:t>exceder</w:t>
            </w:r>
            <w:proofErr w:type="spellEnd"/>
            <w:r w:rsidRPr="00D067AA">
              <w:t xml:space="preserve"> de dos </w:t>
            </w:r>
            <w:proofErr w:type="spellStart"/>
            <w:r w:rsidRPr="00D067AA">
              <w:t>meses</w:t>
            </w:r>
            <w:proofErr w:type="spellEnd"/>
            <w:r w:rsidRPr="00D067AA">
              <w:t xml:space="preserve">. </w:t>
            </w:r>
            <w:proofErr w:type="spellStart"/>
            <w:r w:rsidRPr="00D067AA">
              <w:t>Cuando</w:t>
            </w:r>
            <w:proofErr w:type="spellEnd"/>
            <w:r w:rsidRPr="00D067AA">
              <w:t xml:space="preserve"> el </w:t>
            </w:r>
            <w:proofErr w:type="spellStart"/>
            <w:r w:rsidRPr="00D067AA">
              <w:t>Juez</w:t>
            </w:r>
            <w:proofErr w:type="spellEnd"/>
            <w:r w:rsidRPr="00D067AA">
              <w:t xml:space="preserve"> </w:t>
            </w:r>
            <w:proofErr w:type="spellStart"/>
            <w:r w:rsidRPr="00D067AA">
              <w:t>estime</w:t>
            </w:r>
            <w:proofErr w:type="spellEnd"/>
            <w:r w:rsidRPr="00D067AA">
              <w:t xml:space="preserve"> que </w:t>
            </w:r>
            <w:proofErr w:type="spellStart"/>
            <w:r w:rsidRPr="00D067AA">
              <w:t>debe</w:t>
            </w:r>
            <w:proofErr w:type="spellEnd"/>
            <w:r w:rsidRPr="00D067AA">
              <w:t xml:space="preserve"> </w:t>
            </w:r>
            <w:proofErr w:type="spellStart"/>
            <w:r w:rsidRPr="00D067AA">
              <w:t>prorrogarse</w:t>
            </w:r>
            <w:proofErr w:type="spellEnd"/>
            <w:r w:rsidRPr="00D067AA">
              <w:t xml:space="preserve">, lo </w:t>
            </w:r>
            <w:proofErr w:type="spellStart"/>
            <w:r w:rsidRPr="00D067AA">
              <w:t>acordara</w:t>
            </w:r>
            <w:proofErr w:type="spellEnd"/>
            <w:r w:rsidRPr="00D067AA">
              <w:t xml:space="preserve">́ </w:t>
            </w:r>
            <w:proofErr w:type="spellStart"/>
            <w:r w:rsidRPr="00D067AA">
              <w:t>asi</w:t>
            </w:r>
            <w:proofErr w:type="spellEnd"/>
            <w:r w:rsidRPr="00D067AA">
              <w:t xml:space="preserve">́, </w:t>
            </w:r>
            <w:proofErr w:type="spellStart"/>
            <w:r w:rsidRPr="00D067AA">
              <w:t>estableciendo</w:t>
            </w:r>
            <w:proofErr w:type="spellEnd"/>
            <w:r w:rsidRPr="00D067AA">
              <w:t xml:space="preserve"> el </w:t>
            </w:r>
            <w:proofErr w:type="spellStart"/>
            <w:r w:rsidRPr="00D067AA">
              <w:t>plazo</w:t>
            </w:r>
            <w:proofErr w:type="spellEnd"/>
            <w:r w:rsidRPr="00D067AA">
              <w:t xml:space="preserve"> de </w:t>
            </w:r>
            <w:proofErr w:type="spellStart"/>
            <w:r w:rsidRPr="00D067AA">
              <w:t>prórroga</w:t>
            </w:r>
            <w:proofErr w:type="spellEnd"/>
            <w:r w:rsidRPr="00D067AA">
              <w:t xml:space="preserve"> y las </w:t>
            </w:r>
            <w:proofErr w:type="spellStart"/>
            <w:r w:rsidRPr="00D067AA">
              <w:t>razones</w:t>
            </w:r>
            <w:proofErr w:type="spellEnd"/>
            <w:r w:rsidRPr="00D067AA">
              <w:t xml:space="preserve"> que lo </w:t>
            </w:r>
            <w:proofErr w:type="spellStart"/>
            <w:r w:rsidRPr="00D067AA">
              <w:t>fundamentan</w:t>
            </w:r>
            <w:proofErr w:type="spellEnd"/>
            <w:r w:rsidRPr="00D067AA">
              <w:t xml:space="preserve">. </w:t>
            </w:r>
          </w:p>
          <w:p w14:paraId="380D833B" w14:textId="77777777" w:rsidR="00D067AA" w:rsidRPr="00D067AA" w:rsidRDefault="00D067AA" w:rsidP="00D067AA">
            <w:pPr>
              <w:pStyle w:val="NormalWeb"/>
            </w:pPr>
            <w:proofErr w:type="spellStart"/>
            <w:r w:rsidRPr="00D067AA">
              <w:t>En</w:t>
            </w:r>
            <w:proofErr w:type="spellEnd"/>
            <w:r w:rsidRPr="00D067AA">
              <w:t xml:space="preserve"> </w:t>
            </w:r>
            <w:proofErr w:type="spellStart"/>
            <w:r w:rsidRPr="00D067AA">
              <w:t>ningún</w:t>
            </w:r>
            <w:proofErr w:type="spellEnd"/>
            <w:r w:rsidRPr="00D067AA">
              <w:t xml:space="preserve"> </w:t>
            </w:r>
            <w:proofErr w:type="spellStart"/>
            <w:r w:rsidRPr="00D067AA">
              <w:t>caso</w:t>
            </w:r>
            <w:proofErr w:type="spellEnd"/>
            <w:r w:rsidRPr="00D067AA">
              <w:t xml:space="preserve">, el </w:t>
            </w:r>
            <w:proofErr w:type="spellStart"/>
            <w:r w:rsidRPr="00D067AA">
              <w:t>nuevo</w:t>
            </w:r>
            <w:proofErr w:type="spellEnd"/>
            <w:r w:rsidRPr="00D067AA">
              <w:t xml:space="preserve"> </w:t>
            </w:r>
            <w:proofErr w:type="spellStart"/>
            <w:r w:rsidRPr="00D067AA">
              <w:t>término</w:t>
            </w:r>
            <w:proofErr w:type="spellEnd"/>
            <w:r w:rsidRPr="00D067AA">
              <w:t xml:space="preserve"> será mayor de dos meses y el auto </w:t>
            </w:r>
            <w:proofErr w:type="spellStart"/>
            <w:r w:rsidRPr="00D067AA">
              <w:t>en</w:t>
            </w:r>
            <w:proofErr w:type="spellEnd"/>
            <w:r w:rsidRPr="00D067AA">
              <w:t xml:space="preserve"> que se </w:t>
            </w:r>
            <w:proofErr w:type="spellStart"/>
            <w:r w:rsidRPr="00D067AA">
              <w:t>acuerde</w:t>
            </w:r>
            <w:proofErr w:type="spellEnd"/>
            <w:r w:rsidRPr="00D067AA">
              <w:t xml:space="preserve"> </w:t>
            </w:r>
            <w:proofErr w:type="spellStart"/>
            <w:r w:rsidRPr="00D067AA">
              <w:t>debera</w:t>
            </w:r>
            <w:proofErr w:type="spellEnd"/>
            <w:r w:rsidRPr="00D067AA">
              <w:t xml:space="preserve">́ </w:t>
            </w:r>
            <w:proofErr w:type="spellStart"/>
            <w:r w:rsidRPr="00D067AA">
              <w:t>consultarse</w:t>
            </w:r>
            <w:proofErr w:type="spellEnd"/>
            <w:r w:rsidRPr="00D067AA">
              <w:t xml:space="preserve"> al Tribunal Superior Penal </w:t>
            </w:r>
            <w:proofErr w:type="spellStart"/>
            <w:r w:rsidRPr="00D067AA">
              <w:t>Juvenil</w:t>
            </w:r>
            <w:proofErr w:type="spellEnd"/>
            <w:r w:rsidRPr="00D067AA">
              <w:t xml:space="preserve">, con </w:t>
            </w:r>
            <w:proofErr w:type="spellStart"/>
            <w:r w:rsidRPr="00D067AA">
              <w:t>remisión</w:t>
            </w:r>
            <w:proofErr w:type="spellEnd"/>
            <w:r w:rsidRPr="00D067AA">
              <w:t xml:space="preserve"> de </w:t>
            </w:r>
            <w:proofErr w:type="spellStart"/>
            <w:r w:rsidRPr="00D067AA">
              <w:t>copia</w:t>
            </w:r>
            <w:proofErr w:type="spellEnd"/>
            <w:r w:rsidRPr="00D067AA">
              <w:t xml:space="preserve"> de las </w:t>
            </w:r>
            <w:proofErr w:type="spellStart"/>
            <w:r w:rsidRPr="00D067AA">
              <w:t>actuaciones</w:t>
            </w:r>
            <w:proofErr w:type="spellEnd"/>
            <w:r w:rsidRPr="00D067AA">
              <w:t xml:space="preserve"> que el </w:t>
            </w:r>
            <w:proofErr w:type="spellStart"/>
            <w:r w:rsidRPr="00D067AA">
              <w:t>Juez</w:t>
            </w:r>
            <w:proofErr w:type="spellEnd"/>
            <w:r w:rsidRPr="00D067AA">
              <w:t xml:space="preserve"> </w:t>
            </w:r>
            <w:proofErr w:type="spellStart"/>
            <w:r w:rsidRPr="00D067AA">
              <w:t>estime</w:t>
            </w:r>
            <w:proofErr w:type="spellEnd"/>
            <w:r w:rsidRPr="00D067AA">
              <w:t xml:space="preserve"> </w:t>
            </w:r>
            <w:proofErr w:type="spellStart"/>
            <w:r w:rsidRPr="00D067AA">
              <w:t>deben</w:t>
            </w:r>
            <w:proofErr w:type="spellEnd"/>
            <w:r w:rsidRPr="00D067AA">
              <w:t xml:space="preserve"> </w:t>
            </w:r>
            <w:proofErr w:type="spellStart"/>
            <w:r w:rsidRPr="00D067AA">
              <w:t>valorarse</w:t>
            </w:r>
            <w:proofErr w:type="spellEnd"/>
            <w:r w:rsidRPr="00D067AA">
              <w:t xml:space="preserve"> para </w:t>
            </w:r>
            <w:proofErr w:type="spellStart"/>
            <w:r w:rsidRPr="00D067AA">
              <w:t>disponer</w:t>
            </w:r>
            <w:proofErr w:type="spellEnd"/>
            <w:r w:rsidRPr="00D067AA">
              <w:t xml:space="preserve"> </w:t>
            </w:r>
            <w:proofErr w:type="spellStart"/>
            <w:r w:rsidRPr="00D067AA">
              <w:t>sobre</w:t>
            </w:r>
            <w:proofErr w:type="spellEnd"/>
            <w:r w:rsidRPr="00D067AA">
              <w:t xml:space="preserve"> la </w:t>
            </w:r>
            <w:proofErr w:type="spellStart"/>
            <w:r w:rsidRPr="00D067AA">
              <w:t>prórroga</w:t>
            </w:r>
            <w:proofErr w:type="spellEnd"/>
            <w:r w:rsidRPr="00D067AA">
              <w:t xml:space="preserve">. </w:t>
            </w:r>
          </w:p>
          <w:p w14:paraId="00000058" w14:textId="79704FB0" w:rsidR="0029171C" w:rsidRPr="0029171C" w:rsidRDefault="0029171C">
            <w:pPr>
              <w:rPr>
                <w:rFonts w:ascii="Times New Roman" w:eastAsia="Times New Roman" w:hAnsi="Times New Roman" w:cs="Times New Roman"/>
              </w:rPr>
            </w:pPr>
          </w:p>
        </w:tc>
      </w:tr>
      <w:tr w:rsidR="00FA7B7B" w14:paraId="0A351457" w14:textId="77777777">
        <w:tc>
          <w:tcPr>
            <w:tcW w:w="2141" w:type="dxa"/>
          </w:tcPr>
          <w:p w14:paraId="00000060" w14:textId="77777777" w:rsidR="00FA7B7B" w:rsidRDefault="00245A63">
            <w:pPr>
              <w:rPr>
                <w:rFonts w:ascii="Times New Roman" w:eastAsia="Times New Roman" w:hAnsi="Times New Roman" w:cs="Times New Roman"/>
              </w:rPr>
            </w:pPr>
            <w:r>
              <w:rPr>
                <w:rFonts w:ascii="Times New Roman" w:eastAsia="Times New Roman" w:hAnsi="Times New Roman" w:cs="Times New Roman"/>
              </w:rPr>
              <w:t>JJI Recommendation</w:t>
            </w:r>
          </w:p>
        </w:tc>
        <w:tc>
          <w:tcPr>
            <w:tcW w:w="6715" w:type="dxa"/>
            <w:gridSpan w:val="2"/>
          </w:tcPr>
          <w:p w14:paraId="11B332C8" w14:textId="228B0325" w:rsidR="00FA7B7B" w:rsidRDefault="008250F4" w:rsidP="008250F4">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JJI recommends that the Dominican Republic limit the amount of time a juvenile can be detained before trial to a 30-day maximum.</w:t>
            </w:r>
          </w:p>
          <w:p w14:paraId="4A047310" w14:textId="238B17A0" w:rsidR="008250F4" w:rsidRDefault="008250F4" w:rsidP="008250F4">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JJI recommends that the 30-day maximum pretrial detention only be extendable for one 30-day period when the procedural needs of the specific case require it.</w:t>
            </w:r>
          </w:p>
          <w:p w14:paraId="4E284170" w14:textId="77777777" w:rsidR="008250F4" w:rsidRDefault="008250F4" w:rsidP="008250F4">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JJI recommends that children never be detained before trial in the same facilities as adults.</w:t>
            </w:r>
          </w:p>
          <w:p w14:paraId="13E755D1" w14:textId="77777777" w:rsidR="008250F4" w:rsidRDefault="008250F4" w:rsidP="008250F4">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JJI recommends that children who have been detained for the maximum days allowed pretrial be immediately placed in supervised release.</w:t>
            </w:r>
          </w:p>
          <w:p w14:paraId="00000061" w14:textId="2DD65E2B" w:rsidR="008250F4" w:rsidRPr="008250F4" w:rsidRDefault="008250F4" w:rsidP="008250F4">
            <w:pPr>
              <w:rPr>
                <w:rFonts w:ascii="Times New Roman" w:eastAsia="Times New Roman" w:hAnsi="Times New Roman" w:cs="Times New Roman"/>
              </w:rPr>
            </w:pPr>
            <w:r w:rsidRPr="008250F4">
              <w:rPr>
                <w:rFonts w:ascii="Times New Roman" w:eastAsia="Times New Roman" w:hAnsi="Times New Roman" w:cs="Times New Roman"/>
              </w:rPr>
              <w:t xml:space="preserve"> </w:t>
            </w:r>
          </w:p>
        </w:tc>
      </w:tr>
      <w:tr w:rsidR="00FA7B7B" w14:paraId="3159F7CB" w14:textId="77777777">
        <w:tc>
          <w:tcPr>
            <w:tcW w:w="2141" w:type="dxa"/>
          </w:tcPr>
          <w:p w14:paraId="00000069" w14:textId="77777777" w:rsidR="00FA7B7B" w:rsidRDefault="00245A63">
            <w:pPr>
              <w:rPr>
                <w:rFonts w:ascii="Times New Roman" w:eastAsia="Times New Roman" w:hAnsi="Times New Roman" w:cs="Times New Roman"/>
              </w:rPr>
            </w:pPr>
            <w:r>
              <w:rPr>
                <w:rFonts w:ascii="Times New Roman" w:eastAsia="Times New Roman" w:hAnsi="Times New Roman" w:cs="Times New Roman"/>
              </w:rPr>
              <w:lastRenderedPageBreak/>
              <w:t>Additional Information on the country</w:t>
            </w:r>
          </w:p>
        </w:tc>
        <w:tc>
          <w:tcPr>
            <w:tcW w:w="6715" w:type="dxa"/>
            <w:gridSpan w:val="2"/>
          </w:tcPr>
          <w:p w14:paraId="0000006A" w14:textId="0B74FE4B" w:rsidR="00FA7B7B" w:rsidRDefault="006A25C0">
            <w:pPr>
              <w:rPr>
                <w:rFonts w:ascii="Times New Roman" w:eastAsia="Times New Roman" w:hAnsi="Times New Roman" w:cs="Times New Roman"/>
              </w:rPr>
            </w:pPr>
            <w:r>
              <w:rPr>
                <w:rFonts w:ascii="Times New Roman" w:eastAsia="Times New Roman" w:hAnsi="Times New Roman" w:cs="Times New Roman"/>
              </w:rPr>
              <w:t>NA</w:t>
            </w:r>
          </w:p>
        </w:tc>
      </w:tr>
      <w:tr w:rsidR="00FA7B7B" w14:paraId="6383E456" w14:textId="77777777">
        <w:tc>
          <w:tcPr>
            <w:tcW w:w="2141" w:type="dxa"/>
          </w:tcPr>
          <w:p w14:paraId="00000072" w14:textId="77777777" w:rsidR="00FA7B7B" w:rsidRDefault="00245A63">
            <w:pPr>
              <w:rPr>
                <w:rFonts w:ascii="Times New Roman" w:eastAsia="Times New Roman" w:hAnsi="Times New Roman" w:cs="Times New Roman"/>
              </w:rPr>
            </w:pPr>
            <w:r>
              <w:rPr>
                <w:rFonts w:ascii="Times New Roman" w:eastAsia="Times New Roman" w:hAnsi="Times New Roman" w:cs="Times New Roman"/>
              </w:rPr>
              <w:t xml:space="preserve">Lines of Inquiry related to children </w:t>
            </w:r>
            <w:proofErr w:type="spellStart"/>
            <w:r>
              <w:rPr>
                <w:rFonts w:ascii="Times New Roman" w:eastAsia="Times New Roman" w:hAnsi="Times New Roman" w:cs="Times New Roman"/>
              </w:rPr>
              <w:t>pre trial</w:t>
            </w:r>
            <w:proofErr w:type="spellEnd"/>
            <w:r>
              <w:rPr>
                <w:rFonts w:ascii="Times New Roman" w:eastAsia="Times New Roman" w:hAnsi="Times New Roman" w:cs="Times New Roman"/>
              </w:rPr>
              <w:t xml:space="preserve"> detention </w:t>
            </w:r>
          </w:p>
        </w:tc>
        <w:tc>
          <w:tcPr>
            <w:tcW w:w="6715" w:type="dxa"/>
            <w:gridSpan w:val="2"/>
          </w:tcPr>
          <w:p w14:paraId="00000073" w14:textId="77777777" w:rsidR="00FA7B7B" w:rsidRDefault="00245A63">
            <w:p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rPr>
              <w:t>One or more if not already available:</w:t>
            </w:r>
          </w:p>
          <w:p w14:paraId="00000074" w14:textId="77777777" w:rsidR="00FA7B7B" w:rsidRDefault="00245A63">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the average time children actually spend in pretrial detention.</w:t>
            </w:r>
          </w:p>
          <w:p w14:paraId="00000075" w14:textId="77777777" w:rsidR="00FA7B7B" w:rsidRDefault="00245A63">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the number of children who spend longer than the maximum time in pretrial detention.</w:t>
            </w:r>
          </w:p>
          <w:p w14:paraId="00000076" w14:textId="77777777" w:rsidR="00FA7B7B" w:rsidRDefault="00245A63">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duration of pretrial detention as it varies by race, gender, religion or other relevant characteristics.</w:t>
            </w:r>
          </w:p>
          <w:p w14:paraId="00000077" w14:textId="77777777" w:rsidR="00FA7B7B" w:rsidRDefault="00245A63">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efforts to reduce the length of pretrial detention and expedite cases.</w:t>
            </w:r>
          </w:p>
          <w:p w14:paraId="00000078" w14:textId="77777777" w:rsidR="00FA7B7B" w:rsidRDefault="00245A63">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Information on how appeals and other challenges affect duration of pretrial detention.</w:t>
            </w:r>
          </w:p>
          <w:p w14:paraId="00000079" w14:textId="77777777" w:rsidR="00FA7B7B" w:rsidRDefault="00245A63">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Information on standards related to initial court appearance, determination of legality of initial detention, and judicial control over detention of children.</w:t>
            </w:r>
          </w:p>
          <w:p w14:paraId="0000007A" w14:textId="77777777" w:rsidR="00FA7B7B" w:rsidRDefault="00245A63">
            <w:pPr>
              <w:numPr>
                <w:ilvl w:val="1"/>
                <w:numId w:val="1"/>
              </w:numPr>
              <w:pBdr>
                <w:top w:val="nil"/>
                <w:left w:val="nil"/>
                <w:bottom w:val="nil"/>
                <w:right w:val="nil"/>
                <w:between w:val="nil"/>
              </w:pBdr>
              <w:spacing w:after="160"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oversight and children’s access to legal counsel within pretrial detention.</w:t>
            </w:r>
          </w:p>
          <w:p w14:paraId="0000007B" w14:textId="77777777" w:rsidR="00FA7B7B" w:rsidRDefault="00FA7B7B">
            <w:pPr>
              <w:rPr>
                <w:rFonts w:ascii="Times New Roman" w:eastAsia="Times New Roman" w:hAnsi="Times New Roman" w:cs="Times New Roman"/>
              </w:rPr>
            </w:pPr>
          </w:p>
        </w:tc>
      </w:tr>
      <w:tr w:rsidR="00FA7B7B" w14:paraId="55DB9CEB" w14:textId="77777777">
        <w:tc>
          <w:tcPr>
            <w:tcW w:w="2141" w:type="dxa"/>
          </w:tcPr>
          <w:p w14:paraId="00000083" w14:textId="77777777" w:rsidR="00FA7B7B" w:rsidRDefault="00245A63">
            <w:pPr>
              <w:rPr>
                <w:rFonts w:ascii="Times New Roman" w:eastAsia="Times New Roman" w:hAnsi="Times New Roman" w:cs="Times New Roman"/>
              </w:rPr>
            </w:pPr>
            <w:r>
              <w:rPr>
                <w:rFonts w:ascii="Times New Roman" w:eastAsia="Times New Roman" w:hAnsi="Times New Roman" w:cs="Times New Roman"/>
              </w:rPr>
              <w:t>Link to Global Study</w:t>
            </w:r>
          </w:p>
        </w:tc>
        <w:tc>
          <w:tcPr>
            <w:tcW w:w="6715" w:type="dxa"/>
            <w:gridSpan w:val="2"/>
          </w:tcPr>
          <w:p w14:paraId="00000084" w14:textId="77777777" w:rsidR="00FA7B7B" w:rsidRDefault="00EF5ECF">
            <w:pPr>
              <w:shd w:val="clear" w:color="auto" w:fill="FFFFFF"/>
              <w:rPr>
                <w:rFonts w:ascii="Arial" w:eastAsia="Arial" w:hAnsi="Arial" w:cs="Arial"/>
                <w:color w:val="222222"/>
              </w:rPr>
            </w:pPr>
            <w:hyperlink r:id="rId10">
              <w:r w:rsidR="00245A63">
                <w:rPr>
                  <w:rFonts w:ascii="Arial" w:eastAsia="Arial" w:hAnsi="Arial" w:cs="Arial"/>
                  <w:color w:val="1155CC"/>
                  <w:u w:val="single"/>
                </w:rPr>
                <w:br/>
                <w:t>https://jjimexico.org/ptd-report/</w:t>
              </w:r>
            </w:hyperlink>
          </w:p>
          <w:p w14:paraId="00000085" w14:textId="77777777" w:rsidR="00FA7B7B" w:rsidRDefault="00FA7B7B">
            <w:pPr>
              <w:rPr>
                <w:rFonts w:ascii="Times New Roman" w:eastAsia="Times New Roman" w:hAnsi="Times New Roman" w:cs="Times New Roman"/>
              </w:rPr>
            </w:pPr>
          </w:p>
        </w:tc>
      </w:tr>
    </w:tbl>
    <w:p w14:paraId="0000008D" w14:textId="77777777" w:rsidR="00FA7B7B" w:rsidRDefault="00FA7B7B">
      <w:pPr>
        <w:rPr>
          <w:rFonts w:ascii="Times New Roman" w:eastAsia="Times New Roman" w:hAnsi="Times New Roman" w:cs="Times New Roman"/>
        </w:rPr>
      </w:pPr>
    </w:p>
    <w:sectPr w:rsidR="00FA7B7B">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F412D9" w14:textId="77777777" w:rsidR="00193DB4" w:rsidRDefault="00193DB4">
      <w:r>
        <w:separator/>
      </w:r>
    </w:p>
  </w:endnote>
  <w:endnote w:type="continuationSeparator" w:id="0">
    <w:p w14:paraId="78EBE459" w14:textId="77777777" w:rsidR="00193DB4" w:rsidRDefault="00193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Grande">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B737C4" w14:textId="77777777" w:rsidR="00193DB4" w:rsidRDefault="00193DB4">
      <w:r>
        <w:separator/>
      </w:r>
    </w:p>
  </w:footnote>
  <w:footnote w:type="continuationSeparator" w:id="0">
    <w:p w14:paraId="6C945394" w14:textId="77777777" w:rsidR="00193DB4" w:rsidRDefault="00193DB4">
      <w:r>
        <w:continuationSeparator/>
      </w:r>
    </w:p>
  </w:footnote>
  <w:footnote w:id="1">
    <w:p w14:paraId="0000008E" w14:textId="77777777" w:rsidR="00FA7B7B" w:rsidRDefault="00245A63">
      <w:pPr>
        <w:rPr>
          <w:sz w:val="20"/>
          <w:szCs w:val="20"/>
        </w:rPr>
      </w:pPr>
      <w:r>
        <w:rPr>
          <w:rStyle w:val="FootnoteReference"/>
        </w:rPr>
        <w:footnoteRef/>
      </w:r>
      <w:r>
        <w:rPr>
          <w:sz w:val="20"/>
          <w:szCs w:val="20"/>
        </w:rPr>
        <w:t xml:space="preserve"> Patrick Webb &amp; William Allen </w:t>
      </w:r>
      <w:proofErr w:type="spellStart"/>
      <w:r>
        <w:rPr>
          <w:sz w:val="20"/>
          <w:szCs w:val="20"/>
        </w:rPr>
        <w:t>Kritsonis</w:t>
      </w:r>
      <w:proofErr w:type="spellEnd"/>
      <w:r>
        <w:rPr>
          <w:sz w:val="20"/>
          <w:szCs w:val="20"/>
        </w:rPr>
        <w:t xml:space="preserve">, </w:t>
      </w:r>
      <w:r>
        <w:rPr>
          <w:i/>
          <w:sz w:val="20"/>
          <w:szCs w:val="20"/>
        </w:rPr>
        <w:t>Controlling those Kids: Social Control and the Use of Pretrial Detention among Youth in the United States of America: National Implications</w:t>
      </w:r>
      <w:r>
        <w:rPr>
          <w:sz w:val="20"/>
          <w:szCs w:val="20"/>
        </w:rPr>
        <w:t xml:space="preserve">, </w:t>
      </w:r>
      <w:r>
        <w:rPr>
          <w:smallCaps/>
          <w:sz w:val="20"/>
          <w:szCs w:val="20"/>
        </w:rPr>
        <w:t xml:space="preserve">ERIC </w:t>
      </w:r>
      <w:r>
        <w:rPr>
          <w:sz w:val="20"/>
          <w:szCs w:val="20"/>
        </w:rPr>
        <w:t xml:space="preserve">(Oct. 2006), https://eric.ed.gov/?id=ED493565. </w:t>
      </w:r>
    </w:p>
  </w:footnote>
  <w:footnote w:id="2">
    <w:p w14:paraId="0000008F" w14:textId="77777777" w:rsidR="00FA7B7B" w:rsidRDefault="00245A63">
      <w:pPr>
        <w:rPr>
          <w:sz w:val="20"/>
          <w:szCs w:val="20"/>
        </w:rPr>
      </w:pPr>
      <w:r>
        <w:rPr>
          <w:rStyle w:val="FootnoteReference"/>
        </w:rPr>
        <w:footnoteRef/>
      </w:r>
      <w:r>
        <w:rPr>
          <w:sz w:val="20"/>
          <w:szCs w:val="20"/>
        </w:rPr>
        <w:t xml:space="preserve"> G.A. Res. 44/25, Convention on the Rights of the Child, art. 37(b) (Nov. 20, 1989) [hereinafter CRC].</w:t>
      </w:r>
    </w:p>
  </w:footnote>
  <w:footnote w:id="3">
    <w:p w14:paraId="00000090" w14:textId="77777777" w:rsidR="00FA7B7B" w:rsidRDefault="00245A63">
      <w:pPr>
        <w:pBdr>
          <w:top w:val="nil"/>
          <w:left w:val="nil"/>
          <w:bottom w:val="nil"/>
          <w:right w:val="nil"/>
          <w:between w:val="nil"/>
        </w:pBdr>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Comm. on the Rights of the Child, General Comment 10: Children's Rights in Juvenile Justice, § 80, U.N. Doc. CRC/C/GC/10 (Apr. 25, 2007) [hereinafter CRC General Comment 10].</w:t>
      </w:r>
    </w:p>
  </w:footnote>
  <w:footnote w:id="4">
    <w:p w14:paraId="00000091" w14:textId="77777777" w:rsidR="00FA7B7B" w:rsidRDefault="00245A63">
      <w:pPr>
        <w:pBdr>
          <w:top w:val="nil"/>
          <w:left w:val="nil"/>
          <w:bottom w:val="nil"/>
          <w:right w:val="nil"/>
          <w:between w:val="nil"/>
        </w:pBdr>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Id. </w:t>
      </w:r>
      <w:r>
        <w:rPr>
          <w:rFonts w:ascii="Times New Roman" w:eastAsia="Times New Roman" w:hAnsi="Times New Roman" w:cs="Times New Roman"/>
          <w:color w:val="000000"/>
          <w:sz w:val="20"/>
          <w:szCs w:val="20"/>
        </w:rPr>
        <w:t>¶ 83 (specifying that regular review is “preferably every two weeks”).</w:t>
      </w:r>
    </w:p>
  </w:footnote>
  <w:footnote w:id="5">
    <w:p w14:paraId="00000092" w14:textId="77777777" w:rsidR="00FA7B7B" w:rsidRDefault="00245A63">
      <w:pPr>
        <w:rPr>
          <w:sz w:val="20"/>
          <w:szCs w:val="20"/>
        </w:rPr>
      </w:pPr>
      <w:r>
        <w:rPr>
          <w:rStyle w:val="FootnoteReference"/>
        </w:rPr>
        <w:footnoteRef/>
      </w:r>
      <w:r>
        <w:rPr>
          <w:sz w:val="20"/>
          <w:szCs w:val="20"/>
        </w:rPr>
        <w:t xml:space="preserve"> Moritz </w:t>
      </w:r>
      <w:proofErr w:type="spellStart"/>
      <w:r>
        <w:rPr>
          <w:sz w:val="20"/>
          <w:szCs w:val="20"/>
        </w:rPr>
        <w:t>Birk</w:t>
      </w:r>
      <w:proofErr w:type="spellEnd"/>
      <w:r>
        <w:rPr>
          <w:sz w:val="20"/>
          <w:szCs w:val="20"/>
        </w:rPr>
        <w:t xml:space="preserve"> et. al., </w:t>
      </w:r>
      <w:r>
        <w:rPr>
          <w:i/>
          <w:sz w:val="20"/>
          <w:szCs w:val="20"/>
        </w:rPr>
        <w:t>Pretrial Detention and Torture: Why Pretrial Detainees Face the Greatest Risk</w:t>
      </w:r>
      <w:r>
        <w:rPr>
          <w:sz w:val="20"/>
          <w:szCs w:val="20"/>
        </w:rPr>
        <w:t xml:space="preserve">, 27, </w:t>
      </w:r>
      <w:r>
        <w:rPr>
          <w:smallCaps/>
          <w:sz w:val="20"/>
          <w:szCs w:val="20"/>
        </w:rPr>
        <w:t>Open Soc’y Found</w:t>
      </w:r>
      <w:r>
        <w:rPr>
          <w:sz w:val="20"/>
          <w:szCs w:val="20"/>
        </w:rPr>
        <w:t xml:space="preserve">. (2011)), </w:t>
      </w:r>
      <w:hyperlink r:id="rId1">
        <w:r>
          <w:rPr>
            <w:color w:val="000000"/>
            <w:sz w:val="20"/>
            <w:szCs w:val="20"/>
            <w:u w:val="single"/>
          </w:rPr>
          <w:t>https://www.opensocietyfoundations.org/sites/default/files/pretrial-detention-and-torture-06222011.pdf</w:t>
        </w:r>
      </w:hyperlink>
      <w:r>
        <w:rPr>
          <w:sz w:val="20"/>
          <w:szCs w:val="20"/>
        </w:rPr>
        <w:t xml:space="preserve">. </w:t>
      </w:r>
    </w:p>
  </w:footnote>
  <w:footnote w:id="6">
    <w:p w14:paraId="00000093" w14:textId="77777777" w:rsidR="00FA7B7B" w:rsidRDefault="00245A63">
      <w:pPr>
        <w:rPr>
          <w:sz w:val="20"/>
          <w:szCs w:val="20"/>
        </w:rPr>
      </w:pPr>
      <w:r>
        <w:rPr>
          <w:rStyle w:val="FootnoteReference"/>
        </w:rPr>
        <w:footnoteRef/>
      </w:r>
      <w:r>
        <w:rPr>
          <w:sz w:val="20"/>
          <w:szCs w:val="20"/>
        </w:rPr>
        <w:t xml:space="preserve"> Barry Holman &amp; Jason </w:t>
      </w:r>
      <w:proofErr w:type="spellStart"/>
      <w:r>
        <w:rPr>
          <w:sz w:val="20"/>
          <w:szCs w:val="20"/>
        </w:rPr>
        <w:t>Ziedenberg</w:t>
      </w:r>
      <w:proofErr w:type="spellEnd"/>
      <w:r>
        <w:rPr>
          <w:sz w:val="20"/>
          <w:szCs w:val="20"/>
        </w:rPr>
        <w:t xml:space="preserve">. </w:t>
      </w:r>
      <w:r>
        <w:rPr>
          <w:i/>
          <w:sz w:val="20"/>
          <w:szCs w:val="20"/>
        </w:rPr>
        <w:t>The Dangers of Detention: The Impact of Incarcerating Youth in Detention and Other Secure Facilities</w:t>
      </w:r>
      <w:r>
        <w:rPr>
          <w:sz w:val="20"/>
          <w:szCs w:val="20"/>
        </w:rPr>
        <w:t xml:space="preserve">, 3–10, </w:t>
      </w:r>
      <w:r>
        <w:rPr>
          <w:smallCaps/>
          <w:sz w:val="20"/>
          <w:szCs w:val="20"/>
        </w:rPr>
        <w:t xml:space="preserve">Just. </w:t>
      </w:r>
      <w:proofErr w:type="spellStart"/>
      <w:r>
        <w:rPr>
          <w:smallCaps/>
          <w:sz w:val="20"/>
          <w:szCs w:val="20"/>
        </w:rPr>
        <w:t>Pol’y</w:t>
      </w:r>
      <w:proofErr w:type="spellEnd"/>
      <w:r>
        <w:rPr>
          <w:smallCaps/>
          <w:sz w:val="20"/>
          <w:szCs w:val="20"/>
        </w:rPr>
        <w:t xml:space="preserve"> Inst.</w:t>
      </w:r>
      <w:r>
        <w:rPr>
          <w:sz w:val="20"/>
          <w:szCs w:val="20"/>
        </w:rPr>
        <w:t xml:space="preserve"> (Nov. 28, 2006), </w:t>
      </w:r>
      <w:hyperlink r:id="rId2">
        <w:r>
          <w:rPr>
            <w:color w:val="000000"/>
            <w:sz w:val="20"/>
            <w:szCs w:val="20"/>
            <w:u w:val="single"/>
          </w:rPr>
          <w:t>http://www.justicepolicy.org/images/upload/06-11_rep_dangersofdetention_jj.pdf</w:t>
        </w:r>
      </w:hyperlink>
      <w:r>
        <w:rPr>
          <w:sz w:val="20"/>
          <w:szCs w:val="20"/>
        </w:rPr>
        <w:t xml:space="preserve">. </w:t>
      </w:r>
    </w:p>
  </w:footnote>
  <w:footnote w:id="7">
    <w:p w14:paraId="00000094" w14:textId="77777777" w:rsidR="00FA7B7B" w:rsidRDefault="00245A63">
      <w:pPr>
        <w:pBdr>
          <w:top w:val="nil"/>
          <w:left w:val="nil"/>
          <w:bottom w:val="nil"/>
          <w:right w:val="nil"/>
          <w:between w:val="nil"/>
        </w:pBdr>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David E. Arredondo, </w:t>
      </w:r>
      <w:r>
        <w:rPr>
          <w:rFonts w:ascii="Times New Roman" w:eastAsia="Times New Roman" w:hAnsi="Times New Roman" w:cs="Times New Roman"/>
          <w:i/>
          <w:color w:val="000000"/>
          <w:sz w:val="20"/>
          <w:szCs w:val="20"/>
        </w:rPr>
        <w:t>Child Development, Children's Mental Health and the Juvenile Justice System: Principles for Effective Decision-Making</w:t>
      </w:r>
      <w:r>
        <w:rPr>
          <w:rFonts w:ascii="Times New Roman" w:eastAsia="Times New Roman" w:hAnsi="Times New Roman" w:cs="Times New Roman"/>
          <w:color w:val="000000"/>
          <w:sz w:val="20"/>
          <w:szCs w:val="20"/>
        </w:rPr>
        <w:t xml:space="preserve">, 14 </w:t>
      </w:r>
      <w:r>
        <w:rPr>
          <w:rFonts w:ascii="Times New Roman" w:eastAsia="Times New Roman" w:hAnsi="Times New Roman" w:cs="Times New Roman"/>
          <w:smallCaps/>
          <w:color w:val="000000"/>
          <w:sz w:val="20"/>
          <w:szCs w:val="20"/>
        </w:rPr>
        <w:t xml:space="preserve">Stan. L. &amp; </w:t>
      </w:r>
      <w:proofErr w:type="spellStart"/>
      <w:r>
        <w:rPr>
          <w:rFonts w:ascii="Times New Roman" w:eastAsia="Times New Roman" w:hAnsi="Times New Roman" w:cs="Times New Roman"/>
          <w:smallCaps/>
          <w:color w:val="000000"/>
          <w:sz w:val="20"/>
          <w:szCs w:val="20"/>
        </w:rPr>
        <w:t>Pol'y</w:t>
      </w:r>
      <w:proofErr w:type="spellEnd"/>
      <w:r>
        <w:rPr>
          <w:rFonts w:ascii="Times New Roman" w:eastAsia="Times New Roman" w:hAnsi="Times New Roman" w:cs="Times New Roman"/>
          <w:smallCaps/>
          <w:color w:val="000000"/>
          <w:sz w:val="20"/>
          <w:szCs w:val="20"/>
        </w:rPr>
        <w:t xml:space="preserve"> Rev</w:t>
      </w:r>
      <w:r>
        <w:rPr>
          <w:rFonts w:ascii="Times New Roman" w:eastAsia="Times New Roman" w:hAnsi="Times New Roman" w:cs="Times New Roman"/>
          <w:color w:val="000000"/>
          <w:sz w:val="20"/>
          <w:szCs w:val="20"/>
        </w:rPr>
        <w:t>. 13, 18–19 (2003).</w:t>
      </w:r>
    </w:p>
  </w:footnote>
  <w:footnote w:id="8">
    <w:p w14:paraId="00000095" w14:textId="77777777" w:rsidR="00FA7B7B" w:rsidRDefault="00245A63">
      <w:pPr>
        <w:rPr>
          <w:i/>
          <w:sz w:val="20"/>
          <w:szCs w:val="20"/>
        </w:rPr>
      </w:pPr>
      <w:r>
        <w:rPr>
          <w:rStyle w:val="FootnoteReference"/>
        </w:rPr>
        <w:footnoteRef/>
      </w:r>
      <w:r>
        <w:rPr>
          <w:sz w:val="20"/>
          <w:szCs w:val="20"/>
        </w:rPr>
        <w:t xml:space="preserve"> </w:t>
      </w:r>
      <w:r>
        <w:rPr>
          <w:i/>
          <w:sz w:val="20"/>
          <w:szCs w:val="20"/>
        </w:rPr>
        <w:t>E.g</w:t>
      </w:r>
      <w:r>
        <w:rPr>
          <w:sz w:val="20"/>
          <w:szCs w:val="20"/>
        </w:rPr>
        <w:t xml:space="preserve">. Marina </w:t>
      </w:r>
      <w:proofErr w:type="spellStart"/>
      <w:r>
        <w:rPr>
          <w:sz w:val="20"/>
          <w:szCs w:val="20"/>
        </w:rPr>
        <w:t>Ilminska</w:t>
      </w:r>
      <w:proofErr w:type="spellEnd"/>
      <w:r>
        <w:rPr>
          <w:sz w:val="20"/>
          <w:szCs w:val="20"/>
        </w:rPr>
        <w:t xml:space="preserve">, </w:t>
      </w:r>
      <w:r>
        <w:rPr>
          <w:i/>
          <w:sz w:val="20"/>
          <w:szCs w:val="20"/>
        </w:rPr>
        <w:t>Pretrial Detention of Juveniles: As Common as It Is Wrong</w:t>
      </w:r>
      <w:r>
        <w:rPr>
          <w:sz w:val="20"/>
          <w:szCs w:val="20"/>
        </w:rPr>
        <w:t xml:space="preserve">, </w:t>
      </w:r>
      <w:r>
        <w:rPr>
          <w:smallCaps/>
          <w:sz w:val="20"/>
          <w:szCs w:val="20"/>
        </w:rPr>
        <w:t>Open Soc’y Found.: Voices</w:t>
      </w:r>
      <w:r>
        <w:rPr>
          <w:sz w:val="20"/>
          <w:szCs w:val="20"/>
        </w:rPr>
        <w:t xml:space="preserve"> (Sept. 1, 2015), </w:t>
      </w:r>
      <w:hyperlink r:id="rId3">
        <w:r>
          <w:rPr>
            <w:color w:val="000000"/>
            <w:sz w:val="20"/>
            <w:szCs w:val="20"/>
            <w:u w:val="single"/>
          </w:rPr>
          <w:t>https://www.opensocietyfoundations.org/voices/pretrial-detention-juveniles-common-it-wrong</w:t>
        </w:r>
      </w:hyperlink>
      <w:r>
        <w:rPr>
          <w:sz w:val="20"/>
          <w:szCs w:val="20"/>
        </w:rPr>
        <w:t xml:space="preserve">. </w:t>
      </w:r>
    </w:p>
  </w:footnote>
  <w:footnote w:id="9">
    <w:p w14:paraId="00000096" w14:textId="77777777" w:rsidR="00FA7B7B" w:rsidRDefault="00245A63">
      <w:pPr>
        <w:rPr>
          <w:sz w:val="20"/>
          <w:szCs w:val="20"/>
        </w:rPr>
      </w:pPr>
      <w:r>
        <w:rPr>
          <w:rStyle w:val="FootnoteReference"/>
        </w:rPr>
        <w:footnoteRef/>
      </w:r>
      <w:r>
        <w:rPr>
          <w:sz w:val="20"/>
          <w:szCs w:val="20"/>
        </w:rPr>
        <w:t xml:space="preserve"> </w:t>
      </w:r>
      <w:r>
        <w:rPr>
          <w:i/>
          <w:sz w:val="20"/>
          <w:szCs w:val="20"/>
        </w:rPr>
        <w:t>E.g.</w:t>
      </w:r>
      <w:r>
        <w:rPr>
          <w:sz w:val="20"/>
          <w:szCs w:val="20"/>
        </w:rPr>
        <w:t xml:space="preserve">, </w:t>
      </w:r>
      <w:proofErr w:type="spellStart"/>
      <w:r>
        <w:rPr>
          <w:i/>
          <w:sz w:val="20"/>
          <w:szCs w:val="20"/>
        </w:rPr>
        <w:t>Diagnóstico</w:t>
      </w:r>
      <w:proofErr w:type="spellEnd"/>
      <w:r>
        <w:rPr>
          <w:i/>
          <w:sz w:val="20"/>
          <w:szCs w:val="20"/>
        </w:rPr>
        <w:t xml:space="preserve"> del Sistema de </w:t>
      </w:r>
      <w:proofErr w:type="spellStart"/>
      <w:r>
        <w:rPr>
          <w:i/>
          <w:sz w:val="20"/>
          <w:szCs w:val="20"/>
        </w:rPr>
        <w:t>Justicia</w:t>
      </w:r>
      <w:proofErr w:type="spellEnd"/>
      <w:r>
        <w:rPr>
          <w:i/>
          <w:sz w:val="20"/>
          <w:szCs w:val="20"/>
        </w:rPr>
        <w:t xml:space="preserve"> Para </w:t>
      </w:r>
      <w:proofErr w:type="spellStart"/>
      <w:r>
        <w:rPr>
          <w:i/>
          <w:sz w:val="20"/>
          <w:szCs w:val="20"/>
        </w:rPr>
        <w:t>Adolescentes</w:t>
      </w:r>
      <w:proofErr w:type="spellEnd"/>
      <w:r>
        <w:rPr>
          <w:i/>
          <w:sz w:val="20"/>
          <w:szCs w:val="20"/>
        </w:rPr>
        <w:t xml:space="preserve"> del Estado de Chihuahua: “</w:t>
      </w:r>
      <w:proofErr w:type="spellStart"/>
      <w:r>
        <w:rPr>
          <w:i/>
          <w:sz w:val="20"/>
          <w:szCs w:val="20"/>
        </w:rPr>
        <w:t>Buenas</w:t>
      </w:r>
      <w:proofErr w:type="spellEnd"/>
      <w:r>
        <w:rPr>
          <w:i/>
          <w:sz w:val="20"/>
          <w:szCs w:val="20"/>
        </w:rPr>
        <w:t xml:space="preserve"> </w:t>
      </w:r>
      <w:proofErr w:type="spellStart"/>
      <w:r>
        <w:rPr>
          <w:i/>
          <w:sz w:val="20"/>
          <w:szCs w:val="20"/>
        </w:rPr>
        <w:t>Prácticas</w:t>
      </w:r>
      <w:proofErr w:type="spellEnd"/>
      <w:r>
        <w:rPr>
          <w:i/>
          <w:sz w:val="20"/>
          <w:szCs w:val="20"/>
        </w:rPr>
        <w:t xml:space="preserve"> para las </w:t>
      </w:r>
      <w:proofErr w:type="spellStart"/>
      <w:r>
        <w:rPr>
          <w:i/>
          <w:sz w:val="20"/>
          <w:szCs w:val="20"/>
        </w:rPr>
        <w:t>Alternativas</w:t>
      </w:r>
      <w:proofErr w:type="spellEnd"/>
      <w:r>
        <w:rPr>
          <w:i/>
          <w:sz w:val="20"/>
          <w:szCs w:val="20"/>
        </w:rPr>
        <w:t xml:space="preserve"> a la </w:t>
      </w:r>
      <w:proofErr w:type="spellStart"/>
      <w:r>
        <w:rPr>
          <w:i/>
          <w:sz w:val="20"/>
          <w:szCs w:val="20"/>
        </w:rPr>
        <w:t>Detención</w:t>
      </w:r>
      <w:proofErr w:type="spellEnd"/>
      <w:r>
        <w:rPr>
          <w:i/>
          <w:sz w:val="20"/>
          <w:szCs w:val="20"/>
        </w:rPr>
        <w:t>”</w:t>
      </w:r>
      <w:r>
        <w:rPr>
          <w:sz w:val="20"/>
          <w:szCs w:val="20"/>
        </w:rPr>
        <w:t xml:space="preserve">, 8–10, </w:t>
      </w:r>
      <w:proofErr w:type="spellStart"/>
      <w:r>
        <w:rPr>
          <w:smallCaps/>
          <w:sz w:val="20"/>
          <w:szCs w:val="20"/>
        </w:rPr>
        <w:t>Justicia</w:t>
      </w:r>
      <w:proofErr w:type="spellEnd"/>
      <w:r>
        <w:rPr>
          <w:smallCaps/>
          <w:sz w:val="20"/>
          <w:szCs w:val="20"/>
        </w:rPr>
        <w:t xml:space="preserve"> </w:t>
      </w:r>
      <w:proofErr w:type="spellStart"/>
      <w:r>
        <w:rPr>
          <w:smallCaps/>
          <w:sz w:val="20"/>
          <w:szCs w:val="20"/>
        </w:rPr>
        <w:t>Juvenil</w:t>
      </w:r>
      <w:proofErr w:type="spellEnd"/>
      <w:r>
        <w:rPr>
          <w:smallCaps/>
          <w:sz w:val="20"/>
          <w:szCs w:val="20"/>
        </w:rPr>
        <w:t xml:space="preserve"> Int’l</w:t>
      </w:r>
      <w:r>
        <w:rPr>
          <w:sz w:val="20"/>
          <w:szCs w:val="20"/>
        </w:rPr>
        <w:t xml:space="preserve"> (Sept. 2017) https://jjimexico.org/projects/chihuahua</w:t>
      </w:r>
      <w:r>
        <w:rPr>
          <w:color w:val="FF0000"/>
          <w:sz w:val="20"/>
          <w:szCs w:val="20"/>
        </w:rPr>
        <w:t xml:space="preserve"> </w:t>
      </w:r>
      <w:r>
        <w:rPr>
          <w:sz w:val="20"/>
          <w:szCs w:val="20"/>
        </w:rPr>
        <w:t xml:space="preserve">[hereinafter </w:t>
      </w:r>
      <w:proofErr w:type="spellStart"/>
      <w:r>
        <w:rPr>
          <w:i/>
          <w:sz w:val="20"/>
          <w:szCs w:val="20"/>
        </w:rPr>
        <w:t>Diagnóstico</w:t>
      </w:r>
      <w:proofErr w:type="spellEnd"/>
      <w:r>
        <w:rPr>
          <w:i/>
          <w:sz w:val="20"/>
          <w:szCs w:val="20"/>
        </w:rPr>
        <w:t xml:space="preserve"> 2017</w:t>
      </w:r>
      <w:r>
        <w:rPr>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95600"/>
    <w:multiLevelType w:val="multilevel"/>
    <w:tmpl w:val="2D22EB84"/>
    <w:lvl w:ilvl="0">
      <w:start w:val="1"/>
      <w:numFmt w:val="decimal"/>
      <w:lvlText w:val="%1."/>
      <w:lvlJc w:val="left"/>
      <w:pPr>
        <w:ind w:left="720" w:hanging="360"/>
      </w:pPr>
    </w:lvl>
    <w:lvl w:ilvl="1">
      <w:start w:val="1"/>
      <w:numFmt w:val="bullet"/>
      <w:lvlText w:val="●"/>
      <w:lvlJc w:val="left"/>
      <w:pPr>
        <w:ind w:left="72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E72085D"/>
    <w:multiLevelType w:val="hybridMultilevel"/>
    <w:tmpl w:val="71A8D088"/>
    <w:lvl w:ilvl="0" w:tplc="04090001">
      <w:start w:val="6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B7B"/>
    <w:rsid w:val="00193DB4"/>
    <w:rsid w:val="00245A63"/>
    <w:rsid w:val="0029171C"/>
    <w:rsid w:val="006A25C0"/>
    <w:rsid w:val="008250F4"/>
    <w:rsid w:val="00AE7B05"/>
    <w:rsid w:val="00D067AA"/>
    <w:rsid w:val="00EF5ECF"/>
    <w:rsid w:val="00FA7B7B"/>
    <w:rsid w:val="00FF3D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61535"/>
  <w15:docId w15:val="{7225E621-BE98-A94A-8DD9-74F0E48F5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character" w:customStyle="1" w:styleId="UnresolvedMention">
    <w:name w:val="Unresolved Mention"/>
    <w:basedOn w:val="DefaultParagraphFont"/>
    <w:uiPriority w:val="99"/>
    <w:semiHidden/>
    <w:unhideWhenUsed/>
    <w:rsid w:val="002917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1620432">
      <w:bodyDiv w:val="1"/>
      <w:marLeft w:val="0"/>
      <w:marRight w:val="0"/>
      <w:marTop w:val="0"/>
      <w:marBottom w:val="0"/>
      <w:divBdr>
        <w:top w:val="none" w:sz="0" w:space="0" w:color="auto"/>
        <w:left w:val="none" w:sz="0" w:space="0" w:color="auto"/>
        <w:bottom w:val="none" w:sz="0" w:space="0" w:color="auto"/>
        <w:right w:val="none" w:sz="0" w:space="0" w:color="auto"/>
      </w:divBdr>
      <w:divsChild>
        <w:div w:id="1279678867">
          <w:marLeft w:val="0"/>
          <w:marRight w:val="0"/>
          <w:marTop w:val="0"/>
          <w:marBottom w:val="0"/>
          <w:divBdr>
            <w:top w:val="none" w:sz="0" w:space="0" w:color="auto"/>
            <w:left w:val="none" w:sz="0" w:space="0" w:color="auto"/>
            <w:bottom w:val="none" w:sz="0" w:space="0" w:color="auto"/>
            <w:right w:val="none" w:sz="0" w:space="0" w:color="auto"/>
          </w:divBdr>
          <w:divsChild>
            <w:div w:id="238053485">
              <w:marLeft w:val="0"/>
              <w:marRight w:val="0"/>
              <w:marTop w:val="0"/>
              <w:marBottom w:val="0"/>
              <w:divBdr>
                <w:top w:val="none" w:sz="0" w:space="0" w:color="auto"/>
                <w:left w:val="none" w:sz="0" w:space="0" w:color="auto"/>
                <w:bottom w:val="none" w:sz="0" w:space="0" w:color="auto"/>
                <w:right w:val="none" w:sz="0" w:space="0" w:color="auto"/>
              </w:divBdr>
              <w:divsChild>
                <w:div w:id="78742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s://jjimexico.org/ptd-report/" TargetMode="External"/><Relationship Id="rId4" Type="http://schemas.openxmlformats.org/officeDocument/2006/relationships/settings" Target="settings.xml"/><Relationship Id="rId9" Type="http://schemas.openxmlformats.org/officeDocument/2006/relationships/hyperlink" Target="https://www.oas.org/juridico/mla/sp/cri/sp_cri-int-text-juv.html"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opensocietyfoundations.org/voices/pretrial-detention-juveniles-common-it-wrong" TargetMode="External"/><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xltQtMEjDTEkgOtDz2+3YpS97g==">AMUW2mW1yGlzEFqD3EtyLF/QV+aPu+GcDxuug9q64sFopBiSXHecqf/NPGPjmO4ph+C4swyAVKvSyYB5j2m6mvfK4gLtpRGBVHD9QLCya4fY3XjqNGaHz9edibeHLyeLkIlHc1R3UopuU0Pet/OuPre5NIdgFcSyBFKKiwoh4MtKhaN090lRdm9zZYtQ/Gra7xxBav0MID6rwh+G0GW0sGrJS/z8jefsfQ3SfjjbwoTUpdjsOhd4QUZLt0Q5ED+/Scy2cXDhZ8Svp05+XHjkEyxoYlYejhknLB/BPtOM/GM4bNxFh3zasGlqVMqsyJzRh2ZnZv/3RAQYVq1DmGywot+DDRyXoGSOxFg5WUceBSABCiV1epT/+qPJs1Q0B6619PH4rRuOur/BNHaEbTgHo0BP23/wWdgvT7ogSGK/YgYRNN40EKrGu4di+aWa/7EC9tl+exslQHxbtIrKHUtyoBqN7XO9on8EceQY2hQb9fjzqggTsOOQewxCc0MfPWr3GZo3uWPZLG27iEo5EaEFqTMfuTnkaaoTIs/rp2mhwV3w80flGjtTO7z4NAzqPcy6htWwZl9nMIeMFv4AsGOyDMxiV3/Fzi0NTdRlQr8shjnXup5Fk1c7mAk3n9k6USz0eSJvIKfcAstJAkBjxrwwG28D/aB2x4P1Qfq7KVl3XmXLcU/fkhh963afEAjlwp1lRDf/kWGBNMQhX4rq+4c8IOPcy1wVvjP8FBmcJGYoEp9/zJ6fepNl7HJ/GOn0R8LvzqroeNOnu+D3kh4LDn9uWQrg+o41G34vno7IDKgugEZU3bPykavVtav52RAsQUOzkHyEKkZINFlUU+DFby+8WZHAqWBSG4arIM4QqkmUMgYnBOzENNZKOw0kyMkvJJTVfCW6awlXV37WCIfhWCYvtfgkc3co/jPnq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85C8F5B-CFC6-4579-B70A-51C9E28139C2}"/>
</file>

<file path=customXml/itemProps3.xml><?xml version="1.0" encoding="utf-8"?>
<ds:datastoreItem xmlns:ds="http://schemas.openxmlformats.org/officeDocument/2006/customXml" ds:itemID="{2117E0B0-9DB6-4F39-A89E-38752CF9C06D}"/>
</file>

<file path=customXml/itemProps4.xml><?xml version="1.0" encoding="utf-8"?>
<ds:datastoreItem xmlns:ds="http://schemas.openxmlformats.org/officeDocument/2006/customXml" ds:itemID="{A94A3507-53DA-481F-8C32-1CBD1E034B76}"/>
</file>

<file path=docProps/app.xml><?xml version="1.0" encoding="utf-8"?>
<Properties xmlns="http://schemas.openxmlformats.org/officeDocument/2006/extended-properties" xmlns:vt="http://schemas.openxmlformats.org/officeDocument/2006/docPropsVTypes">
  <Template>Normal.dotm</Template>
  <TotalTime>1</TotalTime>
  <Pages>5</Pages>
  <Words>1640</Words>
  <Characters>8808</Characters>
  <Application>Microsoft Office Word</Application>
  <DocSecurity>0</DocSecurity>
  <Lines>209</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Sarahi Garcia</dc:creator>
  <cp:lastModifiedBy>BOIT James</cp:lastModifiedBy>
  <cp:revision>2</cp:revision>
  <dcterms:created xsi:type="dcterms:W3CDTF">2022-11-10T15:27:00Z</dcterms:created>
  <dcterms:modified xsi:type="dcterms:W3CDTF">2022-11-10T15:27:00Z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