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26B0C" w14:textId="6C1A524E" w:rsidR="00DE68A6" w:rsidRPr="00485F80" w:rsidRDefault="00284B1E" w:rsidP="00AB5E60">
      <w:pPr>
        <w:spacing w:line="276" w:lineRule="auto"/>
        <w:jc w:val="center"/>
        <w:rPr>
          <w:rFonts w:ascii="Futura LT Pro Light" w:eastAsiaTheme="majorEastAsia" w:hAnsi="Futura LT Pro Light" w:cstheme="majorBidi"/>
          <w:color w:val="7092C7" w:themeColor="accent2"/>
          <w:sz w:val="56"/>
          <w:szCs w:val="56"/>
        </w:rPr>
      </w:pPr>
      <w:r>
        <w:rPr>
          <w:rFonts w:ascii="Futura LT Pro Light" w:eastAsiaTheme="majorEastAsia" w:hAnsi="Futura LT Pro Light" w:cstheme="majorBidi"/>
          <w:color w:val="7092C7" w:themeColor="accent2"/>
          <w:sz w:val="56"/>
          <w:szCs w:val="56"/>
        </w:rPr>
        <w:t>Indigenous Women’s Experiences of</w:t>
      </w:r>
      <w:r w:rsidR="009C0C9A" w:rsidRPr="1B70615B">
        <w:rPr>
          <w:rFonts w:ascii="Futura LT Pro Light" w:eastAsiaTheme="majorEastAsia" w:hAnsi="Futura LT Pro Light" w:cstheme="majorBidi"/>
          <w:color w:val="7092C7" w:themeColor="accent2"/>
          <w:sz w:val="56"/>
          <w:szCs w:val="56"/>
        </w:rPr>
        <w:t xml:space="preserve"> </w:t>
      </w:r>
      <w:r w:rsidR="00FC5998">
        <w:rPr>
          <w:rFonts w:ascii="Futura LT Pro Light" w:eastAsiaTheme="majorEastAsia" w:hAnsi="Futura LT Pro Light" w:cstheme="majorBidi"/>
          <w:color w:val="7092C7" w:themeColor="accent2"/>
          <w:sz w:val="56"/>
          <w:szCs w:val="56"/>
        </w:rPr>
        <w:t>the Convention</w:t>
      </w:r>
      <w:r w:rsidR="005F7138">
        <w:rPr>
          <w:rFonts w:ascii="Futura LT Pro Light" w:eastAsiaTheme="majorEastAsia" w:hAnsi="Futura LT Pro Light" w:cstheme="majorBidi"/>
          <w:color w:val="7092C7" w:themeColor="accent2"/>
          <w:sz w:val="56"/>
          <w:szCs w:val="56"/>
        </w:rPr>
        <w:t xml:space="preserve"> on the Elimination of all forms of Discrimination Against Women</w:t>
      </w:r>
      <w:r w:rsidR="00DA498A">
        <w:rPr>
          <w:rFonts w:ascii="Futura LT Pro Light" w:eastAsiaTheme="majorEastAsia" w:hAnsi="Futura LT Pro Light" w:cstheme="majorBidi"/>
          <w:color w:val="7092C7" w:themeColor="accent2"/>
          <w:sz w:val="56"/>
          <w:szCs w:val="56"/>
        </w:rPr>
        <w:t xml:space="preserve"> in Canada</w:t>
      </w:r>
    </w:p>
    <w:p w14:paraId="63A81020" w14:textId="77777777" w:rsidR="00882DFE" w:rsidRDefault="00882DFE" w:rsidP="00AB5E60">
      <w:pPr>
        <w:spacing w:line="276" w:lineRule="auto"/>
      </w:pPr>
    </w:p>
    <w:p w14:paraId="3888E421" w14:textId="77777777" w:rsidR="00AB4623" w:rsidRPr="000A02A5" w:rsidRDefault="00AB4623" w:rsidP="00AB5E60">
      <w:pPr>
        <w:spacing w:line="276" w:lineRule="auto"/>
      </w:pPr>
    </w:p>
    <w:p w14:paraId="20C11DCA" w14:textId="0D5F6B70" w:rsidR="00265071" w:rsidRDefault="007E69CE" w:rsidP="00AB5E60">
      <w:pPr>
        <w:pStyle w:val="Subtitle"/>
        <w:spacing w:line="276" w:lineRule="auto"/>
      </w:pPr>
      <w:r w:rsidRPr="00651A34">
        <w:rPr>
          <w:spacing w:val="0"/>
        </w:rPr>
        <w:t xml:space="preserve">prepared by the ontario native women’s association (onwa) for </w:t>
      </w:r>
      <w:r w:rsidR="00284B1E">
        <w:t>THE</w:t>
      </w:r>
      <w:r w:rsidR="004C37BF">
        <w:t xml:space="preserve"> </w:t>
      </w:r>
      <w:r w:rsidR="005F7138">
        <w:t xml:space="preserve">committee on </w:t>
      </w:r>
      <w:r w:rsidR="00FA6147" w:rsidRPr="00FA6147">
        <w:t>the Elimination of Discrimination against Women</w:t>
      </w:r>
      <w:r w:rsidR="009F63D7">
        <w:t>’s review of Canada</w:t>
      </w:r>
      <w:r w:rsidR="00BC255B">
        <w:t xml:space="preserve"> at the 89</w:t>
      </w:r>
      <w:r w:rsidR="00BC255B" w:rsidRPr="00BC255B">
        <w:rPr>
          <w:vertAlign w:val="superscript"/>
        </w:rPr>
        <w:t>th</w:t>
      </w:r>
      <w:r w:rsidR="00BC255B">
        <w:t xml:space="preserve"> CEDAW Session</w:t>
      </w:r>
      <w:r w:rsidR="009F63D7">
        <w:t xml:space="preserve"> </w:t>
      </w:r>
    </w:p>
    <w:p w14:paraId="00CBA561" w14:textId="77777777" w:rsidR="005D45BD" w:rsidRDefault="005D45BD" w:rsidP="00AB5E60">
      <w:pPr>
        <w:spacing w:line="276" w:lineRule="auto"/>
      </w:pPr>
    </w:p>
    <w:p w14:paraId="6E5610B6" w14:textId="7F408A09" w:rsidR="00FB62CE" w:rsidRDefault="009F63D7" w:rsidP="00AB5E60">
      <w:pPr>
        <w:pStyle w:val="Default"/>
        <w:spacing w:line="276" w:lineRule="auto"/>
        <w:jc w:val="center"/>
        <w:rPr>
          <w:color w:val="73769B"/>
          <w:sz w:val="28"/>
          <w:szCs w:val="28"/>
        </w:rPr>
      </w:pPr>
      <w:r>
        <w:rPr>
          <w:color w:val="73769B"/>
          <w:sz w:val="28"/>
          <w:szCs w:val="28"/>
        </w:rPr>
        <w:t>September</w:t>
      </w:r>
      <w:r w:rsidR="0073265F">
        <w:rPr>
          <w:color w:val="73769B"/>
          <w:sz w:val="28"/>
          <w:szCs w:val="28"/>
        </w:rPr>
        <w:t xml:space="preserve"> 20</w:t>
      </w:r>
      <w:r w:rsidR="00996260">
        <w:rPr>
          <w:color w:val="73769B"/>
          <w:sz w:val="28"/>
          <w:szCs w:val="28"/>
        </w:rPr>
        <w:t>2</w:t>
      </w:r>
      <w:r w:rsidR="000A02A5">
        <w:rPr>
          <w:color w:val="73769B"/>
          <w:sz w:val="28"/>
          <w:szCs w:val="28"/>
        </w:rPr>
        <w:t>4</w:t>
      </w:r>
    </w:p>
    <w:p w14:paraId="78D6CE78" w14:textId="77777777" w:rsidR="00AB4623" w:rsidRDefault="00AB4623" w:rsidP="00AB5E60">
      <w:pPr>
        <w:pStyle w:val="Default"/>
        <w:spacing w:line="276" w:lineRule="auto"/>
        <w:jc w:val="center"/>
        <w:rPr>
          <w:color w:val="73769B"/>
          <w:sz w:val="28"/>
          <w:szCs w:val="28"/>
        </w:rPr>
      </w:pPr>
    </w:p>
    <w:p w14:paraId="75955848" w14:textId="77777777" w:rsidR="00AB5E60" w:rsidRPr="00464406" w:rsidRDefault="00AB5E60" w:rsidP="00AB5E60">
      <w:pPr>
        <w:pStyle w:val="Default"/>
        <w:spacing w:line="276" w:lineRule="auto"/>
        <w:jc w:val="center"/>
        <w:rPr>
          <w:color w:val="73769B"/>
          <w:sz w:val="28"/>
          <w:szCs w:val="28"/>
        </w:rPr>
      </w:pPr>
    </w:p>
    <w:p w14:paraId="6EA4BFB6" w14:textId="6F73021D" w:rsidR="0073265F" w:rsidRDefault="0073265F" w:rsidP="00AB5E60">
      <w:pPr>
        <w:pStyle w:val="Default"/>
        <w:spacing w:line="276" w:lineRule="auto"/>
        <w:jc w:val="right"/>
        <w:rPr>
          <w:sz w:val="22"/>
          <w:szCs w:val="22"/>
        </w:rPr>
      </w:pPr>
      <w:r>
        <w:rPr>
          <w:sz w:val="22"/>
          <w:szCs w:val="22"/>
        </w:rPr>
        <w:t xml:space="preserve">Ontario Native Women’s Association </w:t>
      </w:r>
    </w:p>
    <w:p w14:paraId="415B905E" w14:textId="77777777" w:rsidR="0073265F" w:rsidRDefault="0073265F" w:rsidP="00AB5E60">
      <w:pPr>
        <w:pStyle w:val="Default"/>
        <w:spacing w:line="276" w:lineRule="auto"/>
        <w:jc w:val="right"/>
        <w:rPr>
          <w:sz w:val="22"/>
          <w:szCs w:val="22"/>
        </w:rPr>
      </w:pPr>
      <w:r>
        <w:rPr>
          <w:sz w:val="22"/>
          <w:szCs w:val="22"/>
        </w:rPr>
        <w:t xml:space="preserve">PO Box 15, 684 City Rd </w:t>
      </w:r>
    </w:p>
    <w:p w14:paraId="67259358" w14:textId="5783A6B2" w:rsidR="005D522B" w:rsidRDefault="0D870E22" w:rsidP="00AB5E60">
      <w:pPr>
        <w:pStyle w:val="Default"/>
        <w:spacing w:line="276" w:lineRule="auto"/>
        <w:jc w:val="right"/>
      </w:pPr>
      <w:r w:rsidRPr="7D980B85">
        <w:rPr>
          <w:sz w:val="22"/>
          <w:szCs w:val="22"/>
        </w:rPr>
        <w:t xml:space="preserve">Fort William First Nation, ON P7J 1K3 </w:t>
      </w:r>
    </w:p>
    <w:p w14:paraId="5FEC3BC6" w14:textId="77777777" w:rsidR="00615DF5" w:rsidRDefault="00615DF5" w:rsidP="00AB5E60">
      <w:pPr>
        <w:spacing w:line="276" w:lineRule="auto"/>
        <w:ind w:right="4"/>
        <w:sectPr w:rsidR="00615DF5" w:rsidSect="00DE4F11">
          <w:headerReference w:type="default" r:id="rId11"/>
          <w:footerReference w:type="even" r:id="rId12"/>
          <w:footerReference w:type="default" r:id="rId13"/>
          <w:headerReference w:type="first" r:id="rId14"/>
          <w:footerReference w:type="first" r:id="rId15"/>
          <w:pgSz w:w="12240" w:h="15840"/>
          <w:pgMar w:top="1440" w:right="1440" w:bottom="1440" w:left="1440" w:header="284" w:footer="551" w:gutter="0"/>
          <w:cols w:space="708"/>
          <w:titlePg/>
          <w:docGrid w:linePitch="360"/>
        </w:sectPr>
      </w:pPr>
    </w:p>
    <w:p w14:paraId="71BE8EC8" w14:textId="77777777" w:rsidR="00477C3E" w:rsidRDefault="00477C3E" w:rsidP="00477C3E">
      <w:pPr>
        <w:pStyle w:val="Default"/>
        <w:spacing w:line="276" w:lineRule="auto"/>
        <w:rPr>
          <w:sz w:val="22"/>
          <w:szCs w:val="22"/>
        </w:rPr>
      </w:pPr>
    </w:p>
    <w:p w14:paraId="5B9250A0" w14:textId="77777777" w:rsidR="00D1529C" w:rsidRPr="003660DD" w:rsidRDefault="00D1529C" w:rsidP="00D1529C">
      <w:pPr>
        <w:spacing w:line="276" w:lineRule="auto"/>
        <w:rPr>
          <w:rFonts w:cs="Calibri"/>
          <w:i/>
          <w:iCs/>
          <w:sz w:val="22"/>
          <w:lang w:val="en-US"/>
        </w:rPr>
      </w:pPr>
      <w:r w:rsidRPr="003660DD">
        <w:rPr>
          <w:rFonts w:cs="Calibri"/>
          <w:b/>
          <w:bCs/>
          <w:i/>
          <w:iCs/>
          <w:sz w:val="22"/>
          <w:lang w:val="en-US"/>
        </w:rPr>
        <w:t>“Safety looks like a whole community caring for Indigenous women, loving Indigenous women, uplifting their voices, protecting their children, educating their children, feeding their children. Safety looks like love multiplied. Safety is found at the end of colonial violence. Let’s stop the violence, the trauma. Let the women lead.”</w:t>
      </w:r>
      <w:r w:rsidRPr="003660DD">
        <w:rPr>
          <w:rFonts w:cs="Calibri"/>
          <w:b/>
          <w:bCs/>
          <w:i/>
          <w:iCs/>
          <w:sz w:val="22"/>
          <w:lang w:val="en-US"/>
        </w:rPr>
        <w:tab/>
      </w:r>
      <w:r w:rsidRPr="003660DD">
        <w:rPr>
          <w:rFonts w:cs="Calibri"/>
          <w:b/>
          <w:bCs/>
          <w:i/>
          <w:iCs/>
          <w:sz w:val="22"/>
          <w:lang w:val="en-US"/>
        </w:rPr>
        <w:tab/>
      </w:r>
      <w:r w:rsidRPr="003660DD">
        <w:rPr>
          <w:rFonts w:cs="Calibri"/>
          <w:b/>
          <w:bCs/>
          <w:i/>
          <w:iCs/>
          <w:sz w:val="22"/>
          <w:lang w:val="en-US"/>
        </w:rPr>
        <w:tab/>
      </w:r>
      <w:r w:rsidRPr="003660DD">
        <w:rPr>
          <w:rFonts w:cs="Calibri"/>
          <w:b/>
          <w:bCs/>
          <w:i/>
          <w:iCs/>
          <w:sz w:val="22"/>
          <w:lang w:val="en-US"/>
        </w:rPr>
        <w:tab/>
      </w:r>
      <w:r w:rsidRPr="003660DD">
        <w:rPr>
          <w:rFonts w:cs="Calibri"/>
          <w:b/>
          <w:bCs/>
          <w:i/>
          <w:iCs/>
          <w:sz w:val="22"/>
          <w:lang w:val="en-US"/>
        </w:rPr>
        <w:tab/>
      </w:r>
      <w:r w:rsidRPr="003660DD">
        <w:rPr>
          <w:rFonts w:cs="Calibri"/>
          <w:b/>
          <w:bCs/>
          <w:i/>
          <w:iCs/>
          <w:sz w:val="22"/>
          <w:lang w:val="en-US"/>
        </w:rPr>
        <w:tab/>
      </w:r>
      <w:r w:rsidRPr="003660DD">
        <w:rPr>
          <w:rFonts w:cs="Calibri"/>
          <w:i/>
          <w:iCs/>
          <w:sz w:val="22"/>
          <w:lang w:val="en-US"/>
        </w:rPr>
        <w:t>– Quote from Community Member, 2018</w:t>
      </w:r>
    </w:p>
    <w:p w14:paraId="172C02B0" w14:textId="77777777" w:rsidR="00D1529C" w:rsidRPr="003660DD" w:rsidRDefault="00D1529C" w:rsidP="00D1529C">
      <w:pPr>
        <w:spacing w:line="276" w:lineRule="auto"/>
        <w:rPr>
          <w:rFonts w:cs="Calibri"/>
          <w:i/>
          <w:iCs/>
          <w:sz w:val="22"/>
          <w:lang w:val="en-US"/>
        </w:rPr>
      </w:pPr>
    </w:p>
    <w:p w14:paraId="0E6FD762" w14:textId="77777777" w:rsidR="00D1529C" w:rsidRPr="003660DD" w:rsidRDefault="00D1529C" w:rsidP="00D1529C">
      <w:pPr>
        <w:spacing w:line="276" w:lineRule="auto"/>
        <w:rPr>
          <w:rFonts w:cs="Calibri"/>
          <w:i/>
          <w:iCs/>
          <w:sz w:val="22"/>
        </w:rPr>
      </w:pPr>
      <w:r w:rsidRPr="003660DD">
        <w:rPr>
          <w:rFonts w:cs="Calibri"/>
          <w:i/>
          <w:iCs/>
          <w:sz w:val="22"/>
        </w:rPr>
        <w:t>“</w:t>
      </w:r>
      <w:r w:rsidRPr="003660DD">
        <w:rPr>
          <w:rFonts w:cs="Calibri"/>
          <w:b/>
          <w:bCs/>
          <w:i/>
          <w:iCs/>
          <w:sz w:val="22"/>
        </w:rPr>
        <w:t>Regrettably, the most significant achievements are often acquired through court decisions or case settlement rather than implementation of governmental policies, and these advances are ultimately the result of Indigenous Peoples’ strong determination and unabated courage to defend their rights.”</w:t>
      </w:r>
      <w:r w:rsidRPr="003660DD">
        <w:rPr>
          <w:rFonts w:cs="Calibri"/>
          <w:i/>
          <w:iCs/>
          <w:sz w:val="22"/>
        </w:rPr>
        <w:t xml:space="preserve"> </w:t>
      </w:r>
    </w:p>
    <w:p w14:paraId="3A8F24A5" w14:textId="613FF8E9" w:rsidR="00D1529C" w:rsidRDefault="00D1529C" w:rsidP="00D1529C">
      <w:pPr>
        <w:spacing w:line="276" w:lineRule="auto"/>
        <w:jc w:val="right"/>
        <w:rPr>
          <w:rFonts w:ascii="Calibri" w:eastAsia="Calibri" w:hAnsi="Calibri" w:cs="Calibri"/>
          <w:b/>
          <w:bCs/>
          <w:i/>
          <w:iCs/>
          <w:sz w:val="22"/>
        </w:rPr>
      </w:pPr>
      <w:r>
        <w:rPr>
          <w:rFonts w:cs="Calibri"/>
          <w:i/>
          <w:iCs/>
          <w:sz w:val="22"/>
          <w:lang w:val="en-US"/>
        </w:rPr>
        <w:t xml:space="preserve">- </w:t>
      </w:r>
      <w:r w:rsidRPr="00D1529C">
        <w:rPr>
          <w:rFonts w:cs="Calibri"/>
          <w:i/>
          <w:iCs/>
          <w:sz w:val="22"/>
          <w:lang w:val="en-US"/>
        </w:rPr>
        <w:t xml:space="preserve">Special Rapporteur on the Rights of Indigenous Peoples’ </w:t>
      </w:r>
      <w:hyperlink r:id="rId16" w:history="1">
        <w:r w:rsidRPr="00D85B31">
          <w:rPr>
            <w:rStyle w:val="Hyperlink"/>
            <w:rFonts w:cs="Calibri"/>
            <w:i/>
            <w:iCs/>
            <w:sz w:val="22"/>
            <w:lang w:val="en-US"/>
          </w:rPr>
          <w:t>2023 Country Visit to Canada Report</w:t>
        </w:r>
      </w:hyperlink>
    </w:p>
    <w:p w14:paraId="2A0346CA" w14:textId="77777777" w:rsidR="00D1529C" w:rsidRDefault="00D1529C" w:rsidP="00D1529C"/>
    <w:p w14:paraId="1B32499D" w14:textId="25CBE0E9" w:rsidR="00251C90" w:rsidRDefault="00251C90" w:rsidP="005C02C5">
      <w:pPr>
        <w:pStyle w:val="Heading1"/>
        <w:spacing w:before="0" w:after="120"/>
        <w:rPr>
          <w:rFonts w:ascii="Calibri" w:hAnsi="Calibri" w:cs="Calibri"/>
        </w:rPr>
      </w:pPr>
      <w:bookmarkStart w:id="0" w:name="_Toc174446408"/>
      <w:bookmarkStart w:id="1" w:name="_Toc174446453"/>
      <w:bookmarkStart w:id="2" w:name="_Toc174446732"/>
      <w:bookmarkStart w:id="3" w:name="_Toc176510760"/>
      <w:r>
        <w:rPr>
          <w:rFonts w:ascii="Calibri" w:hAnsi="Calibri" w:cs="Calibri"/>
        </w:rPr>
        <w:t>Contents</w:t>
      </w:r>
      <w:bookmarkEnd w:id="0"/>
      <w:bookmarkEnd w:id="1"/>
      <w:bookmarkEnd w:id="2"/>
      <w:bookmarkEnd w:id="3"/>
    </w:p>
    <w:p w14:paraId="6DBB28CB" w14:textId="5219469E" w:rsidR="0049349E" w:rsidRPr="00030163" w:rsidRDefault="00CE163E" w:rsidP="00030163">
      <w:pPr>
        <w:pStyle w:val="TOC1"/>
        <w:numPr>
          <w:ilvl w:val="0"/>
          <w:numId w:val="30"/>
        </w:numPr>
        <w:spacing w:after="120" w:line="276" w:lineRule="auto"/>
        <w:ind w:left="357" w:hanging="357"/>
        <w:rPr>
          <w:rFonts w:eastAsiaTheme="minorEastAsia"/>
          <w:iCs w:val="0"/>
          <w:kern w:val="2"/>
          <w:sz w:val="22"/>
          <w:szCs w:val="22"/>
          <w:lang w:eastAsia="en-CA"/>
          <w14:ligatures w14:val="standardContextual"/>
        </w:rPr>
      </w:pPr>
      <w:r w:rsidRPr="00030163">
        <w:rPr>
          <w:sz w:val="22"/>
          <w:szCs w:val="22"/>
          <w:lang w:val="en-US"/>
        </w:rPr>
        <w:fldChar w:fldCharType="begin"/>
      </w:r>
      <w:r w:rsidRPr="00030163">
        <w:rPr>
          <w:sz w:val="22"/>
          <w:szCs w:val="22"/>
          <w:lang w:val="en-US"/>
        </w:rPr>
        <w:instrText xml:space="preserve"> TOC \o "1-3" \h \z \u </w:instrText>
      </w:r>
      <w:r w:rsidRPr="00030163">
        <w:rPr>
          <w:sz w:val="22"/>
          <w:szCs w:val="22"/>
          <w:lang w:val="en-US"/>
        </w:rPr>
        <w:fldChar w:fldCharType="separate"/>
      </w:r>
      <w:hyperlink w:anchor="_Toc176510760" w:history="1">
        <w:r w:rsidR="0049349E" w:rsidRPr="00030163">
          <w:rPr>
            <w:rStyle w:val="Hyperlink"/>
            <w:rFonts w:ascii="Calibri" w:hAnsi="Calibri" w:cs="Calibri"/>
            <w:sz w:val="22"/>
            <w:szCs w:val="22"/>
          </w:rPr>
          <w:t>Contents</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_Toc176510760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1</w:t>
        </w:r>
        <w:r w:rsidR="0049349E" w:rsidRPr="00030163">
          <w:rPr>
            <w:webHidden/>
            <w:sz w:val="22"/>
            <w:szCs w:val="22"/>
          </w:rPr>
          <w:fldChar w:fldCharType="end"/>
        </w:r>
      </w:hyperlink>
    </w:p>
    <w:p w14:paraId="4018F79F" w14:textId="6B783690" w:rsidR="0049349E" w:rsidRPr="00030163" w:rsidRDefault="00B052F8" w:rsidP="00030163">
      <w:pPr>
        <w:pStyle w:val="TOC1"/>
        <w:numPr>
          <w:ilvl w:val="0"/>
          <w:numId w:val="30"/>
        </w:numPr>
        <w:spacing w:after="120" w:line="276" w:lineRule="auto"/>
        <w:ind w:left="357" w:hanging="357"/>
        <w:rPr>
          <w:rFonts w:eastAsiaTheme="minorEastAsia"/>
          <w:iCs w:val="0"/>
          <w:kern w:val="2"/>
          <w:sz w:val="22"/>
          <w:szCs w:val="22"/>
          <w:lang w:eastAsia="en-CA"/>
          <w14:ligatures w14:val="standardContextual"/>
        </w:rPr>
      </w:pPr>
      <w:hyperlink w:anchor="_Toc176510761" w:history="1">
        <w:r w:rsidR="0049349E" w:rsidRPr="00030163">
          <w:rPr>
            <w:rStyle w:val="Hyperlink"/>
            <w:rFonts w:ascii="Calibri" w:hAnsi="Calibri" w:cs="Calibri"/>
            <w:sz w:val="22"/>
            <w:szCs w:val="22"/>
          </w:rPr>
          <w:t>Introduction</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_Toc176510761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2</w:t>
        </w:r>
        <w:r w:rsidR="0049349E" w:rsidRPr="00030163">
          <w:rPr>
            <w:webHidden/>
            <w:sz w:val="22"/>
            <w:szCs w:val="22"/>
          </w:rPr>
          <w:fldChar w:fldCharType="end"/>
        </w:r>
      </w:hyperlink>
    </w:p>
    <w:p w14:paraId="18E05C9D" w14:textId="2822D062" w:rsidR="0049349E" w:rsidRPr="00030163" w:rsidRDefault="00B052F8" w:rsidP="00030163">
      <w:pPr>
        <w:pStyle w:val="TOC1"/>
        <w:numPr>
          <w:ilvl w:val="0"/>
          <w:numId w:val="30"/>
        </w:numPr>
        <w:spacing w:after="120" w:line="276" w:lineRule="auto"/>
        <w:ind w:left="357" w:hanging="357"/>
        <w:rPr>
          <w:rFonts w:eastAsiaTheme="minorEastAsia"/>
          <w:iCs w:val="0"/>
          <w:kern w:val="2"/>
          <w:sz w:val="22"/>
          <w:szCs w:val="22"/>
          <w:lang w:eastAsia="en-CA"/>
          <w14:ligatures w14:val="standardContextual"/>
        </w:rPr>
      </w:pPr>
      <w:hyperlink w:anchor="_Toc176510762" w:history="1">
        <w:r w:rsidR="0049349E" w:rsidRPr="00030163">
          <w:rPr>
            <w:rStyle w:val="Hyperlink"/>
            <w:rFonts w:ascii="Calibri" w:hAnsi="Calibri" w:cs="Calibri"/>
            <w:sz w:val="22"/>
            <w:szCs w:val="22"/>
          </w:rPr>
          <w:t>ONWA’s Recommendations</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_Toc176510762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4</w:t>
        </w:r>
        <w:r w:rsidR="0049349E" w:rsidRPr="00030163">
          <w:rPr>
            <w:webHidden/>
            <w:sz w:val="22"/>
            <w:szCs w:val="22"/>
          </w:rPr>
          <w:fldChar w:fldCharType="end"/>
        </w:r>
      </w:hyperlink>
    </w:p>
    <w:p w14:paraId="724DC24E" w14:textId="403375F7" w:rsidR="0049349E" w:rsidRPr="00030163" w:rsidRDefault="00B052F8" w:rsidP="00030163">
      <w:pPr>
        <w:pStyle w:val="TOC1"/>
        <w:numPr>
          <w:ilvl w:val="0"/>
          <w:numId w:val="30"/>
        </w:numPr>
        <w:spacing w:after="120" w:line="276" w:lineRule="auto"/>
        <w:ind w:left="357" w:hanging="357"/>
        <w:rPr>
          <w:rFonts w:eastAsiaTheme="minorEastAsia"/>
          <w:iCs w:val="0"/>
          <w:kern w:val="2"/>
          <w:sz w:val="22"/>
          <w:szCs w:val="22"/>
          <w:lang w:eastAsia="en-CA"/>
          <w14:ligatures w14:val="standardContextual"/>
        </w:rPr>
      </w:pPr>
      <w:hyperlink w:anchor="_Toc176510763" w:history="1">
        <w:r w:rsidR="0049349E" w:rsidRPr="00030163">
          <w:rPr>
            <w:rStyle w:val="Hyperlink"/>
            <w:rFonts w:ascii="Calibri" w:hAnsi="Calibri" w:cs="Calibri"/>
            <w:sz w:val="22"/>
            <w:szCs w:val="22"/>
          </w:rPr>
          <w:t>Priority Area 1: Canada is not transparently, coherently and consistently implementing the Convention or the UN Declaration</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_Toc176510763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5</w:t>
        </w:r>
        <w:r w:rsidR="0049349E" w:rsidRPr="00030163">
          <w:rPr>
            <w:webHidden/>
            <w:sz w:val="22"/>
            <w:szCs w:val="22"/>
          </w:rPr>
          <w:fldChar w:fldCharType="end"/>
        </w:r>
      </w:hyperlink>
    </w:p>
    <w:p w14:paraId="2C243149" w14:textId="64766FB7" w:rsidR="0049349E" w:rsidRPr="00F12796" w:rsidRDefault="00B052F8" w:rsidP="00030163">
      <w:pPr>
        <w:pStyle w:val="TOC2"/>
        <w:spacing w:after="120"/>
        <w:rPr>
          <w:rFonts w:eastAsiaTheme="minorEastAsia"/>
          <w:noProof/>
          <w:kern w:val="2"/>
          <w:lang w:eastAsia="en-CA"/>
          <w14:ligatures w14:val="standardContextual"/>
        </w:rPr>
      </w:pPr>
      <w:hyperlink w:anchor="_Toc176510764" w:history="1">
        <w:r w:rsidR="0049349E" w:rsidRPr="00030163">
          <w:rPr>
            <w:rStyle w:val="Hyperlink"/>
            <w:noProof/>
            <w:sz w:val="22"/>
          </w:rPr>
          <w:t>Canada continues to use federalism as an excuse for inaction and a lack of accountability</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_Toc176510764 \h </w:instrText>
        </w:r>
        <w:r w:rsidR="0049349E" w:rsidRPr="00F12796">
          <w:rPr>
            <w:noProof/>
            <w:webHidden/>
          </w:rPr>
        </w:r>
        <w:r w:rsidR="0049349E" w:rsidRPr="00F12796">
          <w:rPr>
            <w:noProof/>
            <w:webHidden/>
          </w:rPr>
          <w:fldChar w:fldCharType="separate"/>
        </w:r>
        <w:r w:rsidR="0049349E" w:rsidRPr="00F12796">
          <w:rPr>
            <w:noProof/>
            <w:webHidden/>
          </w:rPr>
          <w:t>5</w:t>
        </w:r>
        <w:r w:rsidR="0049349E" w:rsidRPr="00F12796">
          <w:rPr>
            <w:noProof/>
            <w:webHidden/>
          </w:rPr>
          <w:fldChar w:fldCharType="end"/>
        </w:r>
      </w:hyperlink>
    </w:p>
    <w:p w14:paraId="0383763F" w14:textId="1019756A" w:rsidR="0049349E" w:rsidRPr="00F12796" w:rsidRDefault="00B052F8" w:rsidP="00030163">
      <w:pPr>
        <w:pStyle w:val="TOC2"/>
        <w:spacing w:after="120"/>
        <w:rPr>
          <w:rFonts w:eastAsiaTheme="minorEastAsia"/>
          <w:noProof/>
          <w:kern w:val="2"/>
          <w:lang w:eastAsia="en-CA"/>
          <w14:ligatures w14:val="standardContextual"/>
        </w:rPr>
      </w:pPr>
      <w:hyperlink w:anchor="_Toc176510765" w:history="1">
        <w:r w:rsidR="0049349E" w:rsidRPr="00030163">
          <w:rPr>
            <w:rStyle w:val="Hyperlink"/>
            <w:noProof/>
            <w:sz w:val="22"/>
          </w:rPr>
          <w:t>Canada’s national machinery is insufficient, lacks transparency and excludes Indigenous women</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_Toc176510765 \h </w:instrText>
        </w:r>
        <w:r w:rsidR="0049349E" w:rsidRPr="00F12796">
          <w:rPr>
            <w:noProof/>
            <w:webHidden/>
          </w:rPr>
        </w:r>
        <w:r w:rsidR="0049349E" w:rsidRPr="00F12796">
          <w:rPr>
            <w:noProof/>
            <w:webHidden/>
          </w:rPr>
          <w:fldChar w:fldCharType="separate"/>
        </w:r>
        <w:r w:rsidR="0049349E" w:rsidRPr="00F12796">
          <w:rPr>
            <w:noProof/>
            <w:webHidden/>
          </w:rPr>
          <w:t>6</w:t>
        </w:r>
        <w:r w:rsidR="0049349E" w:rsidRPr="00F12796">
          <w:rPr>
            <w:noProof/>
            <w:webHidden/>
          </w:rPr>
          <w:fldChar w:fldCharType="end"/>
        </w:r>
      </w:hyperlink>
    </w:p>
    <w:p w14:paraId="655BEF41" w14:textId="2D45A2BB" w:rsidR="0049349E" w:rsidRPr="00F12796" w:rsidRDefault="00B052F8" w:rsidP="00030163">
      <w:pPr>
        <w:pStyle w:val="TOC2"/>
        <w:spacing w:after="120"/>
        <w:rPr>
          <w:rFonts w:eastAsiaTheme="minorEastAsia"/>
          <w:noProof/>
          <w:kern w:val="2"/>
          <w:lang w:eastAsia="en-CA"/>
          <w14:ligatures w14:val="standardContextual"/>
        </w:rPr>
      </w:pPr>
      <w:hyperlink w:anchor="_Toc176510766" w:history="1">
        <w:r w:rsidR="0049349E" w:rsidRPr="00030163">
          <w:rPr>
            <w:rStyle w:val="Hyperlink"/>
            <w:noProof/>
            <w:sz w:val="22"/>
          </w:rPr>
          <w:t>Canada’s extractive industries violate Indigenous women’s rights and put our safety at risk</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_Toc176510766 \h </w:instrText>
        </w:r>
        <w:r w:rsidR="0049349E" w:rsidRPr="00F12796">
          <w:rPr>
            <w:noProof/>
            <w:webHidden/>
          </w:rPr>
        </w:r>
        <w:r w:rsidR="0049349E" w:rsidRPr="00F12796">
          <w:rPr>
            <w:noProof/>
            <w:webHidden/>
          </w:rPr>
          <w:fldChar w:fldCharType="separate"/>
        </w:r>
        <w:r w:rsidR="0049349E" w:rsidRPr="00F12796">
          <w:rPr>
            <w:noProof/>
            <w:webHidden/>
          </w:rPr>
          <w:t>8</w:t>
        </w:r>
        <w:r w:rsidR="0049349E" w:rsidRPr="00F12796">
          <w:rPr>
            <w:noProof/>
            <w:webHidden/>
          </w:rPr>
          <w:fldChar w:fldCharType="end"/>
        </w:r>
      </w:hyperlink>
    </w:p>
    <w:p w14:paraId="12F67C70" w14:textId="22B855F9" w:rsidR="0049349E" w:rsidRPr="00030163" w:rsidRDefault="00B052F8" w:rsidP="00030163">
      <w:pPr>
        <w:pStyle w:val="TOC1"/>
        <w:numPr>
          <w:ilvl w:val="0"/>
          <w:numId w:val="30"/>
        </w:numPr>
        <w:spacing w:after="120" w:line="276" w:lineRule="auto"/>
        <w:ind w:left="360"/>
        <w:rPr>
          <w:rFonts w:eastAsiaTheme="minorEastAsia"/>
          <w:iCs w:val="0"/>
          <w:kern w:val="2"/>
          <w:sz w:val="22"/>
          <w:szCs w:val="22"/>
          <w:lang w:eastAsia="en-CA"/>
          <w14:ligatures w14:val="standardContextual"/>
        </w:rPr>
      </w:pPr>
      <w:hyperlink w:anchor="_Toc176510767" w:history="1">
        <w:r w:rsidR="0049349E" w:rsidRPr="00030163">
          <w:rPr>
            <w:rStyle w:val="Hyperlink"/>
            <w:rFonts w:ascii="Calibri" w:hAnsi="Calibri" w:cs="Calibri"/>
            <w:sz w:val="22"/>
            <w:szCs w:val="22"/>
          </w:rPr>
          <w:t>Priority Area 2: Canada’s response to gender-based violence, and the national crisis of MMIWG is inadequate, further jeopardizing Indigenous women’s safety</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_Toc176510767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9</w:t>
        </w:r>
        <w:r w:rsidR="0049349E" w:rsidRPr="00030163">
          <w:rPr>
            <w:webHidden/>
            <w:sz w:val="22"/>
            <w:szCs w:val="22"/>
          </w:rPr>
          <w:fldChar w:fldCharType="end"/>
        </w:r>
      </w:hyperlink>
    </w:p>
    <w:p w14:paraId="151096C7" w14:textId="17996E44" w:rsidR="0049349E" w:rsidRPr="00F12796" w:rsidRDefault="00B052F8" w:rsidP="00030163">
      <w:pPr>
        <w:pStyle w:val="TOC2"/>
        <w:spacing w:after="120"/>
        <w:rPr>
          <w:rFonts w:eastAsiaTheme="minorEastAsia"/>
          <w:noProof/>
          <w:kern w:val="2"/>
          <w:lang w:eastAsia="en-CA"/>
          <w14:ligatures w14:val="standardContextual"/>
        </w:rPr>
      </w:pPr>
      <w:hyperlink w:anchor="_Toc176510768" w:history="1">
        <w:r w:rsidR="00336FF8">
          <w:rPr>
            <w:rStyle w:val="Hyperlink"/>
            <w:noProof/>
            <w:sz w:val="22"/>
          </w:rPr>
          <w:t>C</w:t>
        </w:r>
        <w:r w:rsidR="0049349E" w:rsidRPr="00030163">
          <w:rPr>
            <w:rStyle w:val="Hyperlink"/>
            <w:noProof/>
            <w:sz w:val="22"/>
          </w:rPr>
          <w:t>anada has not taken actual substantive action</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_Toc176510768 \h </w:instrText>
        </w:r>
        <w:r w:rsidR="0049349E" w:rsidRPr="00F12796">
          <w:rPr>
            <w:noProof/>
            <w:webHidden/>
          </w:rPr>
        </w:r>
        <w:r w:rsidR="0049349E" w:rsidRPr="00F12796">
          <w:rPr>
            <w:noProof/>
            <w:webHidden/>
          </w:rPr>
          <w:fldChar w:fldCharType="separate"/>
        </w:r>
        <w:r w:rsidR="0049349E" w:rsidRPr="00F12796">
          <w:rPr>
            <w:noProof/>
            <w:webHidden/>
          </w:rPr>
          <w:t>10</w:t>
        </w:r>
        <w:r w:rsidR="0049349E" w:rsidRPr="00F12796">
          <w:rPr>
            <w:noProof/>
            <w:webHidden/>
          </w:rPr>
          <w:fldChar w:fldCharType="end"/>
        </w:r>
      </w:hyperlink>
    </w:p>
    <w:p w14:paraId="38750BB6" w14:textId="434A5317" w:rsidR="0049349E" w:rsidRPr="00F12796" w:rsidRDefault="00B052F8" w:rsidP="00030163">
      <w:pPr>
        <w:pStyle w:val="TOC2"/>
        <w:spacing w:after="120"/>
        <w:rPr>
          <w:rFonts w:eastAsiaTheme="minorEastAsia"/>
          <w:noProof/>
          <w:kern w:val="2"/>
          <w:lang w:eastAsia="en-CA"/>
          <w14:ligatures w14:val="standardContextual"/>
        </w:rPr>
      </w:pPr>
      <w:hyperlink w:anchor="_Toc176510769" w:history="1">
        <w:r w:rsidR="0049349E" w:rsidRPr="00030163">
          <w:rPr>
            <w:rStyle w:val="Hyperlink"/>
            <w:noProof/>
            <w:sz w:val="22"/>
          </w:rPr>
          <w:t>Canada’s MMWIG funding lacks transparency and impact</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_Toc176510769 \h </w:instrText>
        </w:r>
        <w:r w:rsidR="0049349E" w:rsidRPr="00F12796">
          <w:rPr>
            <w:noProof/>
            <w:webHidden/>
          </w:rPr>
        </w:r>
        <w:r w:rsidR="0049349E" w:rsidRPr="00F12796">
          <w:rPr>
            <w:noProof/>
            <w:webHidden/>
          </w:rPr>
          <w:fldChar w:fldCharType="separate"/>
        </w:r>
        <w:r w:rsidR="0049349E" w:rsidRPr="00F12796">
          <w:rPr>
            <w:noProof/>
            <w:webHidden/>
          </w:rPr>
          <w:t>11</w:t>
        </w:r>
        <w:r w:rsidR="0049349E" w:rsidRPr="00F12796">
          <w:rPr>
            <w:noProof/>
            <w:webHidden/>
          </w:rPr>
          <w:fldChar w:fldCharType="end"/>
        </w:r>
      </w:hyperlink>
    </w:p>
    <w:p w14:paraId="7D4F2087" w14:textId="5FE1A9AC" w:rsidR="0049349E" w:rsidRPr="00030163" w:rsidRDefault="00B052F8" w:rsidP="00030163">
      <w:pPr>
        <w:pStyle w:val="TOC1"/>
        <w:numPr>
          <w:ilvl w:val="0"/>
          <w:numId w:val="30"/>
        </w:numPr>
        <w:spacing w:after="120" w:line="276" w:lineRule="auto"/>
        <w:ind w:left="360"/>
        <w:rPr>
          <w:rFonts w:eastAsiaTheme="minorEastAsia"/>
          <w:iCs w:val="0"/>
          <w:kern w:val="2"/>
          <w:sz w:val="22"/>
          <w:szCs w:val="22"/>
          <w:lang w:eastAsia="en-CA"/>
          <w14:ligatures w14:val="standardContextual"/>
        </w:rPr>
      </w:pPr>
      <w:hyperlink w:anchor="_Toc176510770" w:history="1">
        <w:r w:rsidR="0049349E" w:rsidRPr="00030163">
          <w:rPr>
            <w:rStyle w:val="Hyperlink"/>
            <w:rFonts w:ascii="Calibri" w:hAnsi="Calibri" w:cs="Calibri"/>
            <w:sz w:val="22"/>
            <w:szCs w:val="22"/>
          </w:rPr>
          <w:t>Priority Issue 3: Indigenous women continue to face systemic and intersectional discrimination, sexism and racism</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_Toc176510770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12</w:t>
        </w:r>
        <w:r w:rsidR="0049349E" w:rsidRPr="00030163">
          <w:rPr>
            <w:webHidden/>
            <w:sz w:val="22"/>
            <w:szCs w:val="22"/>
          </w:rPr>
          <w:fldChar w:fldCharType="end"/>
        </w:r>
      </w:hyperlink>
    </w:p>
    <w:p w14:paraId="5F9FCBF5" w14:textId="0F0C5C24" w:rsidR="0049349E" w:rsidRPr="00F12796" w:rsidRDefault="00B052F8" w:rsidP="00030163">
      <w:pPr>
        <w:pStyle w:val="TOC2"/>
        <w:spacing w:after="120"/>
        <w:rPr>
          <w:rFonts w:eastAsiaTheme="minorEastAsia"/>
          <w:noProof/>
          <w:kern w:val="2"/>
          <w:lang w:eastAsia="en-CA"/>
          <w14:ligatures w14:val="standardContextual"/>
        </w:rPr>
      </w:pPr>
      <w:hyperlink w:anchor="_Toc176510771" w:history="1">
        <w:r w:rsidR="0049349E" w:rsidRPr="00030163">
          <w:rPr>
            <w:rStyle w:val="Hyperlink"/>
            <w:noProof/>
            <w:sz w:val="22"/>
          </w:rPr>
          <w:t>Indigenous women face access barriers to supports and services</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_Toc176510771 \h </w:instrText>
        </w:r>
        <w:r w:rsidR="0049349E" w:rsidRPr="00F12796">
          <w:rPr>
            <w:noProof/>
            <w:webHidden/>
          </w:rPr>
        </w:r>
        <w:r w:rsidR="0049349E" w:rsidRPr="00F12796">
          <w:rPr>
            <w:noProof/>
            <w:webHidden/>
          </w:rPr>
          <w:fldChar w:fldCharType="separate"/>
        </w:r>
        <w:r w:rsidR="0049349E" w:rsidRPr="00F12796">
          <w:rPr>
            <w:noProof/>
            <w:webHidden/>
          </w:rPr>
          <w:t>12</w:t>
        </w:r>
        <w:r w:rsidR="0049349E" w:rsidRPr="00F12796">
          <w:rPr>
            <w:noProof/>
            <w:webHidden/>
          </w:rPr>
          <w:fldChar w:fldCharType="end"/>
        </w:r>
      </w:hyperlink>
    </w:p>
    <w:p w14:paraId="10606C05" w14:textId="0D96DA9D" w:rsidR="0049349E" w:rsidRPr="00F12796" w:rsidRDefault="00B052F8" w:rsidP="00030163">
      <w:pPr>
        <w:pStyle w:val="TOC2"/>
        <w:spacing w:after="120"/>
        <w:rPr>
          <w:rFonts w:eastAsiaTheme="minorEastAsia"/>
          <w:noProof/>
          <w:kern w:val="2"/>
          <w:lang w:eastAsia="en-CA"/>
          <w14:ligatures w14:val="standardContextual"/>
        </w:rPr>
      </w:pPr>
      <w:hyperlink w:anchor="_Toc176510772" w:history="1">
        <w:r w:rsidR="0049349E" w:rsidRPr="00030163">
          <w:rPr>
            <w:rStyle w:val="Hyperlink"/>
            <w:noProof/>
            <w:sz w:val="22"/>
          </w:rPr>
          <w:t>Indigenous women’s experiences are different from non-Indigenous women’s</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_Toc176510772 \h </w:instrText>
        </w:r>
        <w:r w:rsidR="0049349E" w:rsidRPr="00F12796">
          <w:rPr>
            <w:noProof/>
            <w:webHidden/>
          </w:rPr>
        </w:r>
        <w:r w:rsidR="0049349E" w:rsidRPr="00F12796">
          <w:rPr>
            <w:noProof/>
            <w:webHidden/>
          </w:rPr>
          <w:fldChar w:fldCharType="separate"/>
        </w:r>
        <w:r w:rsidR="0049349E" w:rsidRPr="00F12796">
          <w:rPr>
            <w:noProof/>
            <w:webHidden/>
          </w:rPr>
          <w:t>12</w:t>
        </w:r>
        <w:r w:rsidR="0049349E" w:rsidRPr="00F12796">
          <w:rPr>
            <w:noProof/>
            <w:webHidden/>
          </w:rPr>
          <w:fldChar w:fldCharType="end"/>
        </w:r>
      </w:hyperlink>
    </w:p>
    <w:p w14:paraId="5E1CB283" w14:textId="17C157DB" w:rsidR="0049349E" w:rsidRPr="00F12796" w:rsidRDefault="00B052F8" w:rsidP="00030163">
      <w:pPr>
        <w:pStyle w:val="TOC2"/>
        <w:spacing w:after="120"/>
        <w:rPr>
          <w:rFonts w:eastAsiaTheme="minorEastAsia"/>
          <w:noProof/>
          <w:kern w:val="2"/>
          <w:lang w:eastAsia="en-CA"/>
          <w14:ligatures w14:val="standardContextual"/>
        </w:rPr>
      </w:pPr>
      <w:hyperlink w:anchor="_Toc176510773" w:history="1">
        <w:r w:rsidR="0049349E" w:rsidRPr="00030163">
          <w:rPr>
            <w:rStyle w:val="Hyperlink"/>
            <w:noProof/>
            <w:sz w:val="22"/>
          </w:rPr>
          <w:t>Indigenous women lack sufficient access to recourse for violations of their rights</w:t>
        </w:r>
        <w:r w:rsidR="0049349E" w:rsidRPr="00F12796">
          <w:rPr>
            <w:noProof/>
            <w:webHidden/>
          </w:rPr>
          <w:tab/>
        </w:r>
        <w:r w:rsidR="0049349E" w:rsidRPr="00F12796">
          <w:rPr>
            <w:noProof/>
            <w:webHidden/>
          </w:rPr>
          <w:fldChar w:fldCharType="begin"/>
        </w:r>
        <w:r w:rsidR="0049349E" w:rsidRPr="00F12796">
          <w:rPr>
            <w:noProof/>
            <w:webHidden/>
          </w:rPr>
          <w:instrText xml:space="preserve"> PAGEREF _Toc176510773 \h </w:instrText>
        </w:r>
        <w:r w:rsidR="0049349E" w:rsidRPr="00F12796">
          <w:rPr>
            <w:noProof/>
            <w:webHidden/>
          </w:rPr>
        </w:r>
        <w:r w:rsidR="0049349E" w:rsidRPr="00F12796">
          <w:rPr>
            <w:noProof/>
            <w:webHidden/>
          </w:rPr>
          <w:fldChar w:fldCharType="separate"/>
        </w:r>
        <w:r w:rsidR="0049349E" w:rsidRPr="00F12796">
          <w:rPr>
            <w:noProof/>
            <w:webHidden/>
          </w:rPr>
          <w:t>13</w:t>
        </w:r>
        <w:r w:rsidR="0049349E" w:rsidRPr="00F12796">
          <w:rPr>
            <w:noProof/>
            <w:webHidden/>
          </w:rPr>
          <w:fldChar w:fldCharType="end"/>
        </w:r>
      </w:hyperlink>
    </w:p>
    <w:p w14:paraId="0DF93C5C" w14:textId="16FD32B7" w:rsidR="0049349E" w:rsidRPr="00030163" w:rsidRDefault="00B052F8" w:rsidP="00030163">
      <w:pPr>
        <w:pStyle w:val="TOC1"/>
        <w:numPr>
          <w:ilvl w:val="0"/>
          <w:numId w:val="30"/>
        </w:numPr>
        <w:spacing w:after="120" w:line="276" w:lineRule="auto"/>
        <w:ind w:left="360"/>
        <w:rPr>
          <w:rFonts w:eastAsiaTheme="minorEastAsia"/>
          <w:iCs w:val="0"/>
          <w:kern w:val="2"/>
          <w:sz w:val="22"/>
          <w:szCs w:val="22"/>
          <w:lang w:eastAsia="en-CA"/>
          <w14:ligatures w14:val="standardContextual"/>
        </w:rPr>
      </w:pPr>
      <w:hyperlink w:anchor="_Toc176510774" w:history="1">
        <w:r w:rsidR="0049349E" w:rsidRPr="00030163">
          <w:rPr>
            <w:rStyle w:val="Hyperlink"/>
            <w:rFonts w:ascii="Calibri" w:hAnsi="Calibri" w:cs="Calibri"/>
            <w:sz w:val="22"/>
            <w:szCs w:val="22"/>
          </w:rPr>
          <w:t>Conclusion</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_Toc176510774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13</w:t>
        </w:r>
        <w:r w:rsidR="0049349E" w:rsidRPr="00030163">
          <w:rPr>
            <w:webHidden/>
            <w:sz w:val="22"/>
            <w:szCs w:val="22"/>
          </w:rPr>
          <w:fldChar w:fldCharType="end"/>
        </w:r>
      </w:hyperlink>
    </w:p>
    <w:p w14:paraId="2D8D570F" w14:textId="569C7962" w:rsidR="0049349E" w:rsidRPr="00030163" w:rsidRDefault="00B052F8" w:rsidP="00030163">
      <w:pPr>
        <w:pStyle w:val="TOC1"/>
        <w:numPr>
          <w:ilvl w:val="0"/>
          <w:numId w:val="30"/>
        </w:numPr>
        <w:spacing w:after="120" w:line="276" w:lineRule="auto"/>
        <w:ind w:left="360"/>
        <w:rPr>
          <w:rFonts w:eastAsiaTheme="minorEastAsia"/>
          <w:iCs w:val="0"/>
          <w:kern w:val="2"/>
          <w:sz w:val="22"/>
          <w:szCs w:val="22"/>
          <w:lang w:eastAsia="en-CA"/>
          <w14:ligatures w14:val="standardContextual"/>
        </w:rPr>
      </w:pPr>
      <w:hyperlink w:anchor="_Toc176510775" w:history="1">
        <w:r w:rsidR="0049349E" w:rsidRPr="00030163">
          <w:rPr>
            <w:rStyle w:val="Hyperlink"/>
            <w:rFonts w:ascii="Calibri" w:hAnsi="Calibri" w:cs="Calibri"/>
            <w:bCs/>
            <w:sz w:val="22"/>
            <w:szCs w:val="22"/>
          </w:rPr>
          <w:t>Appendix 1: About the Ontario Native Women’s Association</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_Toc176510775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15</w:t>
        </w:r>
        <w:r w:rsidR="0049349E" w:rsidRPr="00030163">
          <w:rPr>
            <w:webHidden/>
            <w:sz w:val="22"/>
            <w:szCs w:val="22"/>
          </w:rPr>
          <w:fldChar w:fldCharType="end"/>
        </w:r>
      </w:hyperlink>
    </w:p>
    <w:p w14:paraId="2251B8C9" w14:textId="59C53E41" w:rsidR="0049349E" w:rsidRPr="00030163" w:rsidRDefault="00B052F8" w:rsidP="00030163">
      <w:pPr>
        <w:pStyle w:val="TOC1"/>
        <w:numPr>
          <w:ilvl w:val="0"/>
          <w:numId w:val="30"/>
        </w:numPr>
        <w:spacing w:after="120" w:line="276" w:lineRule="auto"/>
        <w:ind w:left="360"/>
        <w:rPr>
          <w:rFonts w:eastAsiaTheme="minorEastAsia"/>
          <w:iCs w:val="0"/>
          <w:kern w:val="2"/>
          <w:sz w:val="22"/>
          <w:szCs w:val="22"/>
          <w:lang w:eastAsia="en-CA"/>
          <w14:ligatures w14:val="standardContextual"/>
        </w:rPr>
      </w:pPr>
      <w:hyperlink w:anchor="_Toc176510776" w:history="1">
        <w:r w:rsidR="0049349E" w:rsidRPr="00030163">
          <w:rPr>
            <w:rStyle w:val="Hyperlink"/>
            <w:rFonts w:ascii="Calibri" w:hAnsi="Calibri" w:cs="Calibri"/>
            <w:sz w:val="22"/>
            <w:szCs w:val="22"/>
          </w:rPr>
          <w:t>Appendix 2: Indigenous women and human rights in Canada</w:t>
        </w:r>
        <w:r w:rsidR="0049349E" w:rsidRPr="00030163">
          <w:rPr>
            <w:webHidden/>
            <w:sz w:val="22"/>
            <w:szCs w:val="22"/>
          </w:rPr>
          <w:tab/>
        </w:r>
        <w:r w:rsidR="0049349E" w:rsidRPr="00030163">
          <w:rPr>
            <w:webHidden/>
            <w:sz w:val="22"/>
            <w:szCs w:val="22"/>
          </w:rPr>
          <w:fldChar w:fldCharType="begin"/>
        </w:r>
        <w:r w:rsidR="0049349E" w:rsidRPr="00030163">
          <w:rPr>
            <w:webHidden/>
            <w:sz w:val="22"/>
            <w:szCs w:val="22"/>
          </w:rPr>
          <w:instrText xml:space="preserve"> PAGEREF _Toc176510776 \h </w:instrText>
        </w:r>
        <w:r w:rsidR="0049349E" w:rsidRPr="00030163">
          <w:rPr>
            <w:webHidden/>
            <w:sz w:val="22"/>
            <w:szCs w:val="22"/>
          </w:rPr>
        </w:r>
        <w:r w:rsidR="0049349E" w:rsidRPr="00030163">
          <w:rPr>
            <w:webHidden/>
            <w:sz w:val="22"/>
            <w:szCs w:val="22"/>
          </w:rPr>
          <w:fldChar w:fldCharType="separate"/>
        </w:r>
        <w:r w:rsidR="0049349E" w:rsidRPr="00030163">
          <w:rPr>
            <w:webHidden/>
            <w:sz w:val="22"/>
            <w:szCs w:val="22"/>
          </w:rPr>
          <w:t>17</w:t>
        </w:r>
        <w:r w:rsidR="0049349E" w:rsidRPr="00030163">
          <w:rPr>
            <w:webHidden/>
            <w:sz w:val="22"/>
            <w:szCs w:val="22"/>
          </w:rPr>
          <w:fldChar w:fldCharType="end"/>
        </w:r>
      </w:hyperlink>
    </w:p>
    <w:p w14:paraId="2E78BA68" w14:textId="11686651" w:rsidR="00251C90" w:rsidRPr="00030163" w:rsidRDefault="00CE163E" w:rsidP="00030163">
      <w:pPr>
        <w:spacing w:after="120" w:line="276" w:lineRule="auto"/>
        <w:rPr>
          <w:sz w:val="22"/>
          <w:lang w:val="en-US"/>
        </w:rPr>
      </w:pPr>
      <w:r w:rsidRPr="00030163">
        <w:rPr>
          <w:sz w:val="22"/>
          <w:lang w:val="en-US"/>
        </w:rPr>
        <w:fldChar w:fldCharType="end"/>
      </w:r>
    </w:p>
    <w:p w14:paraId="30613414" w14:textId="733EC2A8" w:rsidR="004652AC" w:rsidRPr="0056356B" w:rsidRDefault="004652AC" w:rsidP="004652AC">
      <w:pPr>
        <w:pStyle w:val="Heading1"/>
        <w:spacing w:before="0" w:after="0"/>
        <w:rPr>
          <w:rFonts w:ascii="Calibri" w:hAnsi="Calibri" w:cs="Calibri"/>
        </w:rPr>
      </w:pPr>
      <w:bookmarkStart w:id="4" w:name="_Toc176510761"/>
      <w:r w:rsidRPr="383C20F0">
        <w:rPr>
          <w:rFonts w:ascii="Calibri" w:hAnsi="Calibri" w:cs="Calibri"/>
        </w:rPr>
        <w:lastRenderedPageBreak/>
        <w:t>Introduction</w:t>
      </w:r>
      <w:bookmarkEnd w:id="4"/>
      <w:r w:rsidRPr="383C20F0">
        <w:rPr>
          <w:rFonts w:ascii="Calibri" w:hAnsi="Calibri" w:cs="Calibri"/>
        </w:rPr>
        <w:t xml:space="preserve"> </w:t>
      </w:r>
    </w:p>
    <w:p w14:paraId="5850B5A7" w14:textId="77777777" w:rsidR="00200C85" w:rsidRPr="00DC0BAA" w:rsidRDefault="00200C85" w:rsidP="00AB5E60">
      <w:pPr>
        <w:pStyle w:val="Default"/>
        <w:spacing w:line="276" w:lineRule="auto"/>
        <w:rPr>
          <w:sz w:val="12"/>
          <w:szCs w:val="12"/>
        </w:rPr>
      </w:pPr>
    </w:p>
    <w:p w14:paraId="7E6D1353" w14:textId="57B873E3" w:rsidR="00222BCB" w:rsidRPr="00D4371A" w:rsidRDefault="00CC09F4" w:rsidP="00AB5E60">
      <w:pPr>
        <w:pStyle w:val="Default"/>
        <w:spacing w:line="276" w:lineRule="auto"/>
        <w:rPr>
          <w:color w:val="auto"/>
          <w:sz w:val="22"/>
          <w:szCs w:val="22"/>
        </w:rPr>
      </w:pPr>
      <w:r w:rsidRPr="00D4371A">
        <w:rPr>
          <w:sz w:val="22"/>
          <w:szCs w:val="22"/>
        </w:rPr>
        <w:t xml:space="preserve">The </w:t>
      </w:r>
      <w:r w:rsidRPr="00D4371A">
        <w:rPr>
          <w:color w:val="auto"/>
          <w:sz w:val="22"/>
          <w:szCs w:val="22"/>
        </w:rPr>
        <w:t xml:space="preserve">Ontario Native Women’s Association </w:t>
      </w:r>
      <w:r w:rsidR="00C35744" w:rsidRPr="00D4371A">
        <w:rPr>
          <w:color w:val="auto"/>
          <w:sz w:val="22"/>
          <w:szCs w:val="22"/>
        </w:rPr>
        <w:t>(ONWA)</w:t>
      </w:r>
      <w:r w:rsidRPr="00D4371A">
        <w:rPr>
          <w:color w:val="auto"/>
          <w:sz w:val="22"/>
          <w:szCs w:val="22"/>
        </w:rPr>
        <w:t xml:space="preserve"> is the oldest and largest Indigenous women’s organization in Canada</w:t>
      </w:r>
      <w:r w:rsidR="00174406">
        <w:rPr>
          <w:color w:val="auto"/>
          <w:sz w:val="22"/>
          <w:szCs w:val="22"/>
        </w:rPr>
        <w:t>, representing over 35 discrete Indigenous women’s organizations and groups</w:t>
      </w:r>
      <w:r w:rsidR="00F94FEE">
        <w:rPr>
          <w:color w:val="auto"/>
          <w:sz w:val="22"/>
          <w:szCs w:val="22"/>
        </w:rPr>
        <w:t xml:space="preserve"> (see Appendix 1)</w:t>
      </w:r>
      <w:r w:rsidRPr="00D4371A">
        <w:rPr>
          <w:color w:val="auto"/>
          <w:sz w:val="22"/>
          <w:szCs w:val="22"/>
        </w:rPr>
        <w:t xml:space="preserve">. </w:t>
      </w:r>
      <w:r w:rsidR="00690F40" w:rsidRPr="00D4371A">
        <w:rPr>
          <w:color w:val="auto"/>
          <w:sz w:val="22"/>
          <w:szCs w:val="22"/>
        </w:rPr>
        <w:t xml:space="preserve">For over 50 years, ONWA has </w:t>
      </w:r>
      <w:r w:rsidR="009E0FAC">
        <w:rPr>
          <w:color w:val="auto"/>
          <w:sz w:val="22"/>
          <w:szCs w:val="22"/>
        </w:rPr>
        <w:t>worked</w:t>
      </w:r>
      <w:r w:rsidR="00D0151C" w:rsidRPr="00D4371A">
        <w:rPr>
          <w:color w:val="auto"/>
          <w:sz w:val="22"/>
          <w:szCs w:val="22"/>
        </w:rPr>
        <w:t xml:space="preserve"> </w:t>
      </w:r>
      <w:r w:rsidR="00690F40" w:rsidRPr="00D4371A">
        <w:rPr>
          <w:color w:val="auto"/>
          <w:sz w:val="22"/>
          <w:szCs w:val="22"/>
        </w:rPr>
        <w:t>to</w:t>
      </w:r>
      <w:r w:rsidR="00D0151C" w:rsidRPr="00D4371A">
        <w:rPr>
          <w:color w:val="auto"/>
          <w:sz w:val="22"/>
          <w:szCs w:val="22"/>
        </w:rPr>
        <w:t xml:space="preserve"> end all forms of violence against Indigenous women</w:t>
      </w:r>
      <w:r w:rsidR="00D67AFA" w:rsidRPr="00D4371A">
        <w:rPr>
          <w:color w:val="auto"/>
          <w:sz w:val="22"/>
          <w:szCs w:val="22"/>
        </w:rPr>
        <w:t xml:space="preserve">, </w:t>
      </w:r>
      <w:r w:rsidR="00690F40" w:rsidRPr="00D4371A">
        <w:rPr>
          <w:color w:val="auto"/>
          <w:sz w:val="22"/>
          <w:szCs w:val="22"/>
        </w:rPr>
        <w:t xml:space="preserve">improve Indigenous women’s safety and </w:t>
      </w:r>
      <w:r w:rsidR="00D67AFA" w:rsidRPr="00D4371A">
        <w:rPr>
          <w:color w:val="auto"/>
          <w:sz w:val="22"/>
          <w:szCs w:val="22"/>
        </w:rPr>
        <w:t xml:space="preserve">restore </w:t>
      </w:r>
      <w:r w:rsidR="00214534">
        <w:rPr>
          <w:color w:val="auto"/>
          <w:sz w:val="22"/>
          <w:szCs w:val="22"/>
        </w:rPr>
        <w:t>ou</w:t>
      </w:r>
      <w:r w:rsidR="00D67AFA" w:rsidRPr="00D4371A">
        <w:rPr>
          <w:color w:val="auto"/>
          <w:sz w:val="22"/>
          <w:szCs w:val="22"/>
        </w:rPr>
        <w:t xml:space="preserve">r leadership. </w:t>
      </w:r>
      <w:r w:rsidR="00E32430" w:rsidRPr="00D4371A">
        <w:rPr>
          <w:rStyle w:val="normaltextrun"/>
          <w:color w:val="auto"/>
          <w:sz w:val="22"/>
          <w:szCs w:val="22"/>
          <w:shd w:val="clear" w:color="auto" w:fill="FFFFFF"/>
        </w:rPr>
        <w:t>ONWA recognizes that Indigenous women are the medicine needed to heal ourselves, families, and communities.</w:t>
      </w:r>
      <w:r w:rsidR="00776116" w:rsidRPr="00D4371A">
        <w:rPr>
          <w:color w:val="auto"/>
          <w:sz w:val="22"/>
          <w:szCs w:val="22"/>
        </w:rPr>
        <w:t xml:space="preserve"> </w:t>
      </w:r>
      <w:r w:rsidR="000F1CF3" w:rsidRPr="00D4371A">
        <w:rPr>
          <w:color w:val="auto"/>
          <w:sz w:val="22"/>
          <w:szCs w:val="22"/>
        </w:rPr>
        <w:t xml:space="preserve">Despite the </w:t>
      </w:r>
      <w:r w:rsidR="00E058DB" w:rsidRPr="00D4371A">
        <w:rPr>
          <w:color w:val="auto"/>
          <w:sz w:val="22"/>
          <w:szCs w:val="22"/>
        </w:rPr>
        <w:t xml:space="preserve">tireless </w:t>
      </w:r>
      <w:r w:rsidR="00EE0CD4" w:rsidRPr="00D4371A">
        <w:rPr>
          <w:color w:val="auto"/>
          <w:sz w:val="22"/>
          <w:szCs w:val="22"/>
        </w:rPr>
        <w:t xml:space="preserve">grassroots efforts and </w:t>
      </w:r>
      <w:r w:rsidR="00E058DB" w:rsidRPr="00D4371A">
        <w:rPr>
          <w:color w:val="auto"/>
          <w:sz w:val="22"/>
          <w:szCs w:val="22"/>
        </w:rPr>
        <w:t xml:space="preserve">advocacy </w:t>
      </w:r>
      <w:r w:rsidR="00EE0CD4" w:rsidRPr="00D4371A">
        <w:rPr>
          <w:color w:val="auto"/>
          <w:sz w:val="22"/>
          <w:szCs w:val="22"/>
        </w:rPr>
        <w:t>from</w:t>
      </w:r>
      <w:r w:rsidR="0024791B" w:rsidRPr="00D4371A">
        <w:rPr>
          <w:color w:val="auto"/>
          <w:sz w:val="22"/>
          <w:szCs w:val="22"/>
        </w:rPr>
        <w:t xml:space="preserve"> Indigenous women and </w:t>
      </w:r>
      <w:r w:rsidR="00A27F52">
        <w:rPr>
          <w:color w:val="auto"/>
          <w:sz w:val="22"/>
          <w:szCs w:val="22"/>
        </w:rPr>
        <w:t>ou</w:t>
      </w:r>
      <w:r w:rsidR="0024791B" w:rsidRPr="00D4371A">
        <w:rPr>
          <w:color w:val="auto"/>
          <w:sz w:val="22"/>
          <w:szCs w:val="22"/>
        </w:rPr>
        <w:t>r organizations</w:t>
      </w:r>
      <w:r w:rsidR="00F71F5B" w:rsidRPr="00D4371A">
        <w:rPr>
          <w:color w:val="auto"/>
          <w:sz w:val="22"/>
          <w:szCs w:val="22"/>
        </w:rPr>
        <w:t xml:space="preserve">, </w:t>
      </w:r>
      <w:r w:rsidR="00F71F5B" w:rsidRPr="00D4371A">
        <w:rPr>
          <w:b/>
          <w:bCs/>
          <w:color w:val="auto"/>
          <w:sz w:val="22"/>
          <w:szCs w:val="22"/>
        </w:rPr>
        <w:t xml:space="preserve">Indigenous women </w:t>
      </w:r>
      <w:r w:rsidR="00347260" w:rsidRPr="00D4371A">
        <w:rPr>
          <w:b/>
          <w:bCs/>
          <w:color w:val="auto"/>
          <w:sz w:val="22"/>
          <w:szCs w:val="22"/>
        </w:rPr>
        <w:t>are still not safe</w:t>
      </w:r>
      <w:r w:rsidR="006D278F">
        <w:rPr>
          <w:b/>
          <w:bCs/>
          <w:color w:val="auto"/>
          <w:sz w:val="22"/>
          <w:szCs w:val="22"/>
        </w:rPr>
        <w:t>,</w:t>
      </w:r>
      <w:r w:rsidR="00DF60DD" w:rsidRPr="00D4371A">
        <w:rPr>
          <w:b/>
          <w:bCs/>
          <w:color w:val="auto"/>
          <w:sz w:val="22"/>
          <w:szCs w:val="22"/>
        </w:rPr>
        <w:t xml:space="preserve"> </w:t>
      </w:r>
      <w:r w:rsidR="00222BCB" w:rsidRPr="00D4371A">
        <w:rPr>
          <w:b/>
          <w:bCs/>
          <w:color w:val="auto"/>
          <w:sz w:val="22"/>
          <w:szCs w:val="22"/>
        </w:rPr>
        <w:t xml:space="preserve">and our inherent rights continue to be </w:t>
      </w:r>
      <w:r w:rsidR="00C0356D" w:rsidRPr="00D4371A">
        <w:rPr>
          <w:b/>
          <w:bCs/>
          <w:color w:val="auto"/>
          <w:sz w:val="22"/>
          <w:szCs w:val="22"/>
        </w:rPr>
        <w:t>undermined</w:t>
      </w:r>
      <w:r w:rsidR="00222BCB" w:rsidRPr="00D4371A">
        <w:rPr>
          <w:color w:val="auto"/>
          <w:sz w:val="22"/>
          <w:szCs w:val="22"/>
        </w:rPr>
        <w:t xml:space="preserve">. </w:t>
      </w:r>
    </w:p>
    <w:p w14:paraId="321EAA52" w14:textId="77777777" w:rsidR="00222BCB" w:rsidRPr="00AA7EEE" w:rsidRDefault="00222BCB" w:rsidP="00AB5E60">
      <w:pPr>
        <w:pStyle w:val="Default"/>
        <w:spacing w:line="276" w:lineRule="auto"/>
        <w:rPr>
          <w:color w:val="auto"/>
          <w:sz w:val="22"/>
          <w:szCs w:val="22"/>
        </w:rPr>
      </w:pPr>
    </w:p>
    <w:p w14:paraId="32A53119" w14:textId="6C23D1D2" w:rsidR="002F04D7" w:rsidRDefault="00C335ED" w:rsidP="00AB5E60">
      <w:pPr>
        <w:pStyle w:val="Default"/>
        <w:spacing w:line="276" w:lineRule="auto"/>
        <w:rPr>
          <w:b/>
          <w:bCs/>
          <w:color w:val="auto"/>
          <w:sz w:val="22"/>
          <w:szCs w:val="22"/>
        </w:rPr>
      </w:pPr>
      <w:r w:rsidRPr="00D4371A">
        <w:rPr>
          <w:color w:val="auto"/>
          <w:sz w:val="22"/>
          <w:szCs w:val="22"/>
        </w:rPr>
        <w:t>Canada has taken</w:t>
      </w:r>
      <w:r w:rsidR="00586C5B" w:rsidRPr="00D4371A">
        <w:rPr>
          <w:color w:val="auto"/>
          <w:sz w:val="22"/>
          <w:szCs w:val="22"/>
        </w:rPr>
        <w:t xml:space="preserve"> some</w:t>
      </w:r>
      <w:r w:rsidRPr="00D4371A">
        <w:rPr>
          <w:color w:val="auto"/>
          <w:sz w:val="22"/>
          <w:szCs w:val="22"/>
        </w:rPr>
        <w:t xml:space="preserve"> steps</w:t>
      </w:r>
      <w:r w:rsidR="00731E82" w:rsidRPr="00D4371A">
        <w:rPr>
          <w:color w:val="auto"/>
          <w:sz w:val="22"/>
          <w:szCs w:val="22"/>
        </w:rPr>
        <w:t xml:space="preserve"> </w:t>
      </w:r>
      <w:r w:rsidR="00F86602" w:rsidRPr="1500309F">
        <w:rPr>
          <w:color w:val="auto"/>
          <w:sz w:val="22"/>
          <w:szCs w:val="22"/>
        </w:rPr>
        <w:t xml:space="preserve">to </w:t>
      </w:r>
      <w:r w:rsidR="00F276A9" w:rsidRPr="00D4371A">
        <w:rPr>
          <w:color w:val="auto"/>
          <w:sz w:val="22"/>
          <w:szCs w:val="22"/>
        </w:rPr>
        <w:t xml:space="preserve">address </w:t>
      </w:r>
      <w:r w:rsidR="00CE58C1" w:rsidRPr="00D4371A">
        <w:rPr>
          <w:color w:val="auto"/>
          <w:sz w:val="22"/>
          <w:szCs w:val="22"/>
        </w:rPr>
        <w:t>gender-based</w:t>
      </w:r>
      <w:r w:rsidR="00F276A9" w:rsidRPr="00D4371A">
        <w:rPr>
          <w:color w:val="auto"/>
          <w:sz w:val="22"/>
          <w:szCs w:val="22"/>
        </w:rPr>
        <w:t xml:space="preserve"> violence and discrimination</w:t>
      </w:r>
      <w:r w:rsidR="00731E82" w:rsidRPr="00D4371A">
        <w:rPr>
          <w:color w:val="auto"/>
          <w:sz w:val="22"/>
          <w:szCs w:val="22"/>
        </w:rPr>
        <w:t xml:space="preserve"> since its last periodic review by the CEDAW Committee</w:t>
      </w:r>
      <w:r w:rsidR="00116150">
        <w:rPr>
          <w:color w:val="auto"/>
          <w:sz w:val="22"/>
          <w:szCs w:val="22"/>
        </w:rPr>
        <w:t xml:space="preserve">, </w:t>
      </w:r>
      <w:r w:rsidR="00116150" w:rsidRPr="1500309F">
        <w:rPr>
          <w:color w:val="auto"/>
          <w:sz w:val="22"/>
          <w:szCs w:val="22"/>
        </w:rPr>
        <w:t xml:space="preserve">including the development of a </w:t>
      </w:r>
      <w:hyperlink r:id="rId17" w:history="1">
        <w:r w:rsidR="00116150" w:rsidRPr="007779CD">
          <w:rPr>
            <w:rStyle w:val="Hyperlink"/>
            <w:sz w:val="22"/>
            <w:szCs w:val="22"/>
          </w:rPr>
          <w:t>National Housing Strategy</w:t>
        </w:r>
      </w:hyperlink>
      <w:r w:rsidR="00116150" w:rsidRPr="1500309F">
        <w:rPr>
          <w:color w:val="auto"/>
          <w:sz w:val="22"/>
          <w:szCs w:val="22"/>
        </w:rPr>
        <w:t xml:space="preserve">, a </w:t>
      </w:r>
      <w:hyperlink r:id="rId18" w:history="1">
        <w:r w:rsidR="00116150" w:rsidRPr="007779CD">
          <w:rPr>
            <w:rStyle w:val="Hyperlink"/>
            <w:sz w:val="22"/>
            <w:szCs w:val="22"/>
          </w:rPr>
          <w:t>National Action Plan in response the National Inquiry into MMIWG2S+,</w:t>
        </w:r>
      </w:hyperlink>
      <w:r w:rsidR="00116150" w:rsidRPr="1500309F">
        <w:rPr>
          <w:color w:val="auto"/>
          <w:sz w:val="22"/>
          <w:szCs w:val="22"/>
        </w:rPr>
        <w:t xml:space="preserve"> and a </w:t>
      </w:r>
      <w:hyperlink r:id="rId19" w:history="1">
        <w:r w:rsidR="00116150" w:rsidRPr="007779CD">
          <w:rPr>
            <w:rStyle w:val="Hyperlink"/>
            <w:sz w:val="22"/>
            <w:szCs w:val="22"/>
          </w:rPr>
          <w:t>National Action Plan to end Gender Based Violence</w:t>
        </w:r>
      </w:hyperlink>
      <w:r w:rsidR="00264A44" w:rsidRPr="1500309F">
        <w:rPr>
          <w:color w:val="auto"/>
          <w:sz w:val="22"/>
          <w:szCs w:val="22"/>
        </w:rPr>
        <w:t>.</w:t>
      </w:r>
      <w:r w:rsidR="00F276A9" w:rsidRPr="00D4371A">
        <w:rPr>
          <w:color w:val="auto"/>
          <w:sz w:val="22"/>
          <w:szCs w:val="22"/>
        </w:rPr>
        <w:t xml:space="preserve"> </w:t>
      </w:r>
      <w:r w:rsidR="00C732D8" w:rsidRPr="00D4371A">
        <w:rPr>
          <w:color w:val="auto"/>
          <w:sz w:val="22"/>
          <w:szCs w:val="22"/>
        </w:rPr>
        <w:t>Despite th</w:t>
      </w:r>
      <w:r w:rsidR="00214534" w:rsidRPr="1500309F">
        <w:rPr>
          <w:color w:val="auto"/>
          <w:sz w:val="22"/>
          <w:szCs w:val="22"/>
        </w:rPr>
        <w:t>is</w:t>
      </w:r>
      <w:r w:rsidR="00C732D8" w:rsidRPr="00D4371A">
        <w:rPr>
          <w:color w:val="auto"/>
          <w:sz w:val="22"/>
          <w:szCs w:val="22"/>
        </w:rPr>
        <w:t xml:space="preserve">, ONWA remains concerned that </w:t>
      </w:r>
      <w:r w:rsidR="00AF2C63" w:rsidRPr="00D4371A">
        <w:rPr>
          <w:b/>
          <w:bCs/>
          <w:color w:val="auto"/>
          <w:sz w:val="22"/>
          <w:szCs w:val="22"/>
        </w:rPr>
        <w:t xml:space="preserve">Canada </w:t>
      </w:r>
      <w:r w:rsidR="000E0442" w:rsidRPr="00D4371A">
        <w:rPr>
          <w:b/>
          <w:bCs/>
          <w:color w:val="auto"/>
          <w:sz w:val="22"/>
          <w:szCs w:val="22"/>
        </w:rPr>
        <w:t>is not upholding its commitment to</w:t>
      </w:r>
      <w:r w:rsidR="00B2123C" w:rsidRPr="00D4371A">
        <w:rPr>
          <w:b/>
          <w:bCs/>
          <w:color w:val="auto"/>
          <w:sz w:val="22"/>
          <w:szCs w:val="22"/>
        </w:rPr>
        <w:t>,</w:t>
      </w:r>
      <w:r w:rsidR="000E0442" w:rsidRPr="00D4371A">
        <w:rPr>
          <w:b/>
          <w:bCs/>
          <w:color w:val="auto"/>
          <w:sz w:val="22"/>
          <w:szCs w:val="22"/>
        </w:rPr>
        <w:t xml:space="preserve"> and obligations under</w:t>
      </w:r>
      <w:r w:rsidR="00B2123C" w:rsidRPr="00D4371A">
        <w:rPr>
          <w:b/>
          <w:bCs/>
          <w:color w:val="auto"/>
          <w:sz w:val="22"/>
          <w:szCs w:val="22"/>
        </w:rPr>
        <w:t>,</w:t>
      </w:r>
      <w:r w:rsidR="000E0442" w:rsidRPr="00D4371A">
        <w:rPr>
          <w:b/>
          <w:bCs/>
          <w:color w:val="auto"/>
          <w:sz w:val="22"/>
          <w:szCs w:val="22"/>
        </w:rPr>
        <w:t xml:space="preserve"> </w:t>
      </w:r>
      <w:r w:rsidR="00D11E79" w:rsidRPr="00D4371A">
        <w:rPr>
          <w:b/>
          <w:bCs/>
          <w:color w:val="auto"/>
          <w:sz w:val="22"/>
          <w:szCs w:val="22"/>
        </w:rPr>
        <w:t>the</w:t>
      </w:r>
      <w:r w:rsidR="004F57D6" w:rsidRPr="00D4371A">
        <w:rPr>
          <w:b/>
          <w:bCs/>
          <w:color w:val="auto"/>
          <w:sz w:val="22"/>
          <w:szCs w:val="22"/>
        </w:rPr>
        <w:t xml:space="preserve"> CEDAW Convention</w:t>
      </w:r>
      <w:r w:rsidR="002F04D7">
        <w:rPr>
          <w:b/>
          <w:bCs/>
          <w:color w:val="auto"/>
          <w:sz w:val="22"/>
          <w:szCs w:val="22"/>
        </w:rPr>
        <w:t xml:space="preserve"> or the United Nations Declaration on the Rights of Indigenous Peoples</w:t>
      </w:r>
      <w:r w:rsidR="004F57D6" w:rsidRPr="00D4371A">
        <w:rPr>
          <w:b/>
          <w:bCs/>
          <w:color w:val="auto"/>
          <w:sz w:val="22"/>
          <w:szCs w:val="22"/>
        </w:rPr>
        <w:t>.</w:t>
      </w:r>
    </w:p>
    <w:p w14:paraId="2CC7D601" w14:textId="77777777" w:rsidR="002F04D7" w:rsidRPr="00AA7EEE" w:rsidRDefault="002F04D7" w:rsidP="00AB5E60">
      <w:pPr>
        <w:pStyle w:val="Default"/>
        <w:spacing w:line="276" w:lineRule="auto"/>
        <w:rPr>
          <w:b/>
          <w:bCs/>
          <w:color w:val="auto"/>
          <w:sz w:val="22"/>
          <w:szCs w:val="22"/>
        </w:rPr>
      </w:pPr>
    </w:p>
    <w:p w14:paraId="3FBC1A44" w14:textId="4F7FD323" w:rsidR="001C2445" w:rsidRDefault="00C719EE" w:rsidP="00AB5E60">
      <w:pPr>
        <w:pStyle w:val="Default"/>
        <w:spacing w:line="276" w:lineRule="auto"/>
        <w:rPr>
          <w:color w:val="auto"/>
          <w:sz w:val="22"/>
          <w:szCs w:val="22"/>
        </w:rPr>
      </w:pPr>
      <w:r w:rsidRPr="1500309F">
        <w:rPr>
          <w:color w:val="auto"/>
          <w:sz w:val="22"/>
          <w:szCs w:val="22"/>
        </w:rPr>
        <w:t>There remains a significant lack of action from Canada to ensure the implementation and application of the CEDAW Convention across Canada, which continues to jeopardize Indigenous women’s safety and wellness, and undermine our inherent rights</w:t>
      </w:r>
      <w:r w:rsidR="002417F6">
        <w:rPr>
          <w:color w:val="auto"/>
          <w:sz w:val="22"/>
          <w:szCs w:val="22"/>
        </w:rPr>
        <w:t>.</w:t>
      </w:r>
      <w:r w:rsidR="000B0572" w:rsidRPr="1500309F" w:rsidDel="000B0572">
        <w:rPr>
          <w:rStyle w:val="FootnoteReference"/>
          <w:color w:val="auto"/>
          <w:sz w:val="22"/>
          <w:szCs w:val="22"/>
        </w:rPr>
        <w:t xml:space="preserve"> </w:t>
      </w:r>
      <w:r w:rsidRPr="1500309F">
        <w:rPr>
          <w:color w:val="auto"/>
          <w:sz w:val="22"/>
          <w:szCs w:val="22"/>
        </w:rPr>
        <w:t xml:space="preserve"> </w:t>
      </w:r>
      <w:r w:rsidR="005226E6" w:rsidRPr="00D4371A">
        <w:rPr>
          <w:color w:val="auto"/>
          <w:sz w:val="22"/>
          <w:szCs w:val="22"/>
        </w:rPr>
        <w:t>Canada’s</w:t>
      </w:r>
      <w:r w:rsidR="007178AB" w:rsidRPr="00D4371A">
        <w:rPr>
          <w:color w:val="auto"/>
          <w:sz w:val="22"/>
          <w:szCs w:val="22"/>
        </w:rPr>
        <w:t xml:space="preserve"> tenth periodic report to CEDAW</w:t>
      </w:r>
      <w:r w:rsidR="00AF2C63" w:rsidRPr="00D4371A">
        <w:rPr>
          <w:color w:val="auto"/>
          <w:sz w:val="22"/>
          <w:szCs w:val="22"/>
        </w:rPr>
        <w:t xml:space="preserve"> (CEDAW/C/CAN/10)</w:t>
      </w:r>
      <w:r w:rsidR="002417F6">
        <w:rPr>
          <w:color w:val="auto"/>
          <w:sz w:val="22"/>
          <w:szCs w:val="22"/>
        </w:rPr>
        <w:t>,</w:t>
      </w:r>
      <w:r w:rsidR="00AF2C63" w:rsidRPr="00D4371A">
        <w:rPr>
          <w:color w:val="auto"/>
          <w:sz w:val="22"/>
          <w:szCs w:val="22"/>
        </w:rPr>
        <w:t xml:space="preserve"> and its </w:t>
      </w:r>
      <w:r w:rsidR="00AF2C63" w:rsidRPr="003132EB">
        <w:rPr>
          <w:color w:val="auto"/>
          <w:sz w:val="22"/>
          <w:szCs w:val="22"/>
        </w:rPr>
        <w:t>follow up</w:t>
      </w:r>
      <w:r w:rsidR="004F57D6" w:rsidRPr="003132EB">
        <w:rPr>
          <w:color w:val="auto"/>
          <w:sz w:val="22"/>
          <w:szCs w:val="22"/>
        </w:rPr>
        <w:t xml:space="preserve"> </w:t>
      </w:r>
      <w:r w:rsidR="00A856CE">
        <w:rPr>
          <w:color w:val="auto"/>
          <w:sz w:val="22"/>
          <w:szCs w:val="22"/>
        </w:rPr>
        <w:t xml:space="preserve">report </w:t>
      </w:r>
      <w:r w:rsidR="004F57D6" w:rsidRPr="003132EB">
        <w:rPr>
          <w:color w:val="auto"/>
          <w:sz w:val="22"/>
          <w:szCs w:val="22"/>
        </w:rPr>
        <w:t>to the CEDAW Committee’s Inquiry into M</w:t>
      </w:r>
      <w:r w:rsidR="004C6DA3" w:rsidRPr="003132EB">
        <w:rPr>
          <w:color w:val="auto"/>
          <w:sz w:val="22"/>
          <w:szCs w:val="22"/>
        </w:rPr>
        <w:t xml:space="preserve">issing and </w:t>
      </w:r>
      <w:r w:rsidR="004F57D6" w:rsidRPr="003132EB">
        <w:rPr>
          <w:color w:val="auto"/>
          <w:sz w:val="22"/>
          <w:szCs w:val="22"/>
        </w:rPr>
        <w:t>M</w:t>
      </w:r>
      <w:r w:rsidR="004C6DA3" w:rsidRPr="003132EB">
        <w:rPr>
          <w:color w:val="auto"/>
          <w:sz w:val="22"/>
          <w:szCs w:val="22"/>
        </w:rPr>
        <w:t xml:space="preserve">urdered </w:t>
      </w:r>
      <w:r w:rsidR="004F57D6" w:rsidRPr="003132EB">
        <w:rPr>
          <w:color w:val="auto"/>
          <w:sz w:val="22"/>
          <w:szCs w:val="22"/>
        </w:rPr>
        <w:t>I</w:t>
      </w:r>
      <w:r w:rsidR="004C6DA3" w:rsidRPr="003132EB">
        <w:rPr>
          <w:color w:val="auto"/>
          <w:sz w:val="22"/>
          <w:szCs w:val="22"/>
        </w:rPr>
        <w:t xml:space="preserve">ndigenous </w:t>
      </w:r>
      <w:r w:rsidR="004F57D6" w:rsidRPr="003132EB">
        <w:rPr>
          <w:color w:val="auto"/>
          <w:sz w:val="22"/>
          <w:szCs w:val="22"/>
        </w:rPr>
        <w:t>W</w:t>
      </w:r>
      <w:r w:rsidR="004C6DA3" w:rsidRPr="003132EB">
        <w:rPr>
          <w:color w:val="auto"/>
          <w:sz w:val="22"/>
          <w:szCs w:val="22"/>
        </w:rPr>
        <w:t xml:space="preserve">omen and </w:t>
      </w:r>
      <w:r w:rsidR="004F57D6" w:rsidRPr="003132EB">
        <w:rPr>
          <w:color w:val="auto"/>
          <w:sz w:val="22"/>
          <w:szCs w:val="22"/>
        </w:rPr>
        <w:t>G</w:t>
      </w:r>
      <w:r w:rsidR="004C6DA3" w:rsidRPr="003132EB">
        <w:rPr>
          <w:color w:val="auto"/>
          <w:sz w:val="22"/>
          <w:szCs w:val="22"/>
        </w:rPr>
        <w:t>irls</w:t>
      </w:r>
      <w:r w:rsidR="00914A4C" w:rsidRPr="003132EB">
        <w:rPr>
          <w:color w:val="auto"/>
          <w:sz w:val="22"/>
          <w:szCs w:val="22"/>
        </w:rPr>
        <w:t xml:space="preserve"> </w:t>
      </w:r>
      <w:r w:rsidR="00FB0C03" w:rsidRPr="003132EB">
        <w:rPr>
          <w:color w:val="auto"/>
          <w:sz w:val="22"/>
          <w:szCs w:val="22"/>
        </w:rPr>
        <w:t xml:space="preserve">(MMIWG) </w:t>
      </w:r>
      <w:r w:rsidR="00D05D79" w:rsidRPr="003132EB">
        <w:rPr>
          <w:color w:val="auto"/>
          <w:sz w:val="22"/>
          <w:szCs w:val="22"/>
        </w:rPr>
        <w:t>(</w:t>
      </w:r>
      <w:r w:rsidR="00184F52" w:rsidRPr="007F4AB4">
        <w:rPr>
          <w:color w:val="auto"/>
          <w:sz w:val="22"/>
          <w:szCs w:val="22"/>
        </w:rPr>
        <w:t>CEDAW/C/</w:t>
      </w:r>
      <w:r w:rsidR="00184F52" w:rsidRPr="00171D15">
        <w:rPr>
          <w:color w:val="auto"/>
          <w:sz w:val="22"/>
          <w:szCs w:val="22"/>
        </w:rPr>
        <w:t>OP.8/CAN/3/Add.1</w:t>
      </w:r>
      <w:r w:rsidR="00D05D79" w:rsidRPr="00171D15">
        <w:rPr>
          <w:color w:val="auto"/>
          <w:sz w:val="22"/>
          <w:szCs w:val="22"/>
        </w:rPr>
        <w:t>)</w:t>
      </w:r>
      <w:r w:rsidR="002417F6" w:rsidRPr="00171D15">
        <w:rPr>
          <w:color w:val="auto"/>
          <w:sz w:val="22"/>
          <w:szCs w:val="22"/>
        </w:rPr>
        <w:t>,</w:t>
      </w:r>
      <w:r w:rsidR="00D05D79" w:rsidRPr="00171D15">
        <w:rPr>
          <w:color w:val="auto"/>
          <w:sz w:val="22"/>
          <w:szCs w:val="22"/>
        </w:rPr>
        <w:t xml:space="preserve"> </w:t>
      </w:r>
      <w:r w:rsidR="00914A4C" w:rsidRPr="00171D15">
        <w:rPr>
          <w:color w:val="auto"/>
          <w:sz w:val="22"/>
          <w:szCs w:val="22"/>
        </w:rPr>
        <w:t>present</w:t>
      </w:r>
      <w:r w:rsidR="00D05D79" w:rsidRPr="00171D15">
        <w:rPr>
          <w:color w:val="auto"/>
          <w:sz w:val="22"/>
          <w:szCs w:val="22"/>
        </w:rPr>
        <w:t xml:space="preserve"> </w:t>
      </w:r>
      <w:r w:rsidR="00505083" w:rsidRPr="00171D15">
        <w:rPr>
          <w:color w:val="auto"/>
          <w:sz w:val="22"/>
          <w:szCs w:val="22"/>
        </w:rPr>
        <w:t xml:space="preserve">only </w:t>
      </w:r>
      <w:r w:rsidR="00914A4C" w:rsidRPr="00171D15">
        <w:rPr>
          <w:color w:val="auto"/>
          <w:sz w:val="22"/>
          <w:szCs w:val="22"/>
        </w:rPr>
        <w:t>high level</w:t>
      </w:r>
      <w:r w:rsidR="007F22F5" w:rsidRPr="00171D15">
        <w:rPr>
          <w:color w:val="auto"/>
          <w:sz w:val="22"/>
          <w:szCs w:val="22"/>
        </w:rPr>
        <w:t xml:space="preserve"> information</w:t>
      </w:r>
      <w:r w:rsidR="00D05D79" w:rsidRPr="00171D15">
        <w:rPr>
          <w:color w:val="auto"/>
          <w:sz w:val="22"/>
          <w:szCs w:val="22"/>
        </w:rPr>
        <w:t xml:space="preserve"> or acknowledgements</w:t>
      </w:r>
      <w:r w:rsidR="00BD5623" w:rsidRPr="00171D15">
        <w:rPr>
          <w:color w:val="auto"/>
          <w:sz w:val="22"/>
          <w:szCs w:val="22"/>
        </w:rPr>
        <w:t xml:space="preserve"> </w:t>
      </w:r>
      <w:r w:rsidR="00C335ED" w:rsidRPr="00171D15">
        <w:rPr>
          <w:color w:val="auto"/>
          <w:sz w:val="22"/>
          <w:szCs w:val="22"/>
        </w:rPr>
        <w:t xml:space="preserve">and </w:t>
      </w:r>
      <w:r w:rsidR="00BD5623" w:rsidRPr="00171D15">
        <w:rPr>
          <w:color w:val="auto"/>
          <w:sz w:val="22"/>
          <w:szCs w:val="22"/>
        </w:rPr>
        <w:t xml:space="preserve">offer </w:t>
      </w:r>
      <w:r w:rsidR="00C335ED" w:rsidRPr="00171D15">
        <w:rPr>
          <w:color w:val="auto"/>
          <w:sz w:val="22"/>
          <w:szCs w:val="22"/>
        </w:rPr>
        <w:t>incomplete responses to the Committee’s list of issues</w:t>
      </w:r>
      <w:r w:rsidR="00023812" w:rsidRPr="00171D15">
        <w:rPr>
          <w:color w:val="auto"/>
          <w:sz w:val="22"/>
          <w:szCs w:val="22"/>
        </w:rPr>
        <w:t xml:space="preserve"> (</w:t>
      </w:r>
      <w:r w:rsidR="00B575AB" w:rsidRPr="00171D15">
        <w:rPr>
          <w:bCs/>
          <w:sz w:val="22"/>
          <w:szCs w:val="22"/>
        </w:rPr>
        <w:fldChar w:fldCharType="begin"/>
      </w:r>
      <w:r w:rsidR="00B575AB" w:rsidRPr="00171D15">
        <w:rPr>
          <w:bCs/>
          <w:sz w:val="22"/>
          <w:szCs w:val="22"/>
        </w:rPr>
        <w:instrText xml:space="preserve"> DOCVARIABLE "sss1" \* MERGEFORMAT </w:instrText>
      </w:r>
      <w:r w:rsidR="00B575AB" w:rsidRPr="00171D15">
        <w:rPr>
          <w:bCs/>
          <w:sz w:val="22"/>
          <w:szCs w:val="22"/>
        </w:rPr>
        <w:fldChar w:fldCharType="separate"/>
      </w:r>
      <w:r w:rsidR="00B575AB" w:rsidRPr="00171D15">
        <w:rPr>
          <w:bCs/>
          <w:sz w:val="22"/>
          <w:szCs w:val="22"/>
        </w:rPr>
        <w:t>CEDAW/C/CAN/QPR/10</w:t>
      </w:r>
      <w:r w:rsidR="00B575AB" w:rsidRPr="00171D15">
        <w:rPr>
          <w:bCs/>
          <w:sz w:val="22"/>
          <w:szCs w:val="22"/>
        </w:rPr>
        <w:fldChar w:fldCharType="end"/>
      </w:r>
      <w:r w:rsidR="00023812" w:rsidRPr="00171D15">
        <w:rPr>
          <w:bCs/>
          <w:color w:val="auto"/>
          <w:sz w:val="22"/>
          <w:szCs w:val="22"/>
        </w:rPr>
        <w:t>)</w:t>
      </w:r>
      <w:r w:rsidR="00BD5623" w:rsidRPr="00171D15">
        <w:rPr>
          <w:color w:val="auto"/>
          <w:sz w:val="22"/>
          <w:szCs w:val="22"/>
        </w:rPr>
        <w:t xml:space="preserve"> and </w:t>
      </w:r>
      <w:r w:rsidR="00023812" w:rsidRPr="00171D15">
        <w:rPr>
          <w:color w:val="auto"/>
          <w:sz w:val="22"/>
          <w:szCs w:val="22"/>
        </w:rPr>
        <w:t>previous recommendations (</w:t>
      </w:r>
      <w:r w:rsidR="005F71BA" w:rsidRPr="00171D15">
        <w:rPr>
          <w:color w:val="auto"/>
          <w:sz w:val="22"/>
          <w:szCs w:val="22"/>
        </w:rPr>
        <w:t>CEDAW/C/CAN/CO/8-9</w:t>
      </w:r>
      <w:r w:rsidR="00023812" w:rsidRPr="00171D15">
        <w:rPr>
          <w:color w:val="auto"/>
          <w:sz w:val="22"/>
          <w:szCs w:val="22"/>
        </w:rPr>
        <w:t>)</w:t>
      </w:r>
      <w:r w:rsidR="001C0B8C" w:rsidRPr="00171D15">
        <w:rPr>
          <w:color w:val="auto"/>
          <w:sz w:val="22"/>
          <w:szCs w:val="22"/>
        </w:rPr>
        <w:t>.</w:t>
      </w:r>
      <w:r w:rsidR="001C0B8C" w:rsidRPr="0020724F">
        <w:rPr>
          <w:color w:val="auto"/>
          <w:sz w:val="22"/>
          <w:szCs w:val="22"/>
        </w:rPr>
        <w:t xml:space="preserve"> </w:t>
      </w:r>
    </w:p>
    <w:p w14:paraId="5B22D1A4" w14:textId="77777777" w:rsidR="004D4722" w:rsidRPr="00AA7EEE" w:rsidRDefault="004D4722" w:rsidP="00AB5E60">
      <w:pPr>
        <w:pStyle w:val="Default"/>
        <w:spacing w:line="276" w:lineRule="auto"/>
        <w:rPr>
          <w:color w:val="auto"/>
          <w:sz w:val="22"/>
          <w:szCs w:val="22"/>
        </w:rPr>
      </w:pPr>
    </w:p>
    <w:p w14:paraId="35176C3A" w14:textId="08CA1983" w:rsidR="00445E71" w:rsidRPr="00AB4521" w:rsidRDefault="00DB7494" w:rsidP="00DC0BAA">
      <w:pPr>
        <w:pStyle w:val="Default"/>
        <w:spacing w:after="160" w:line="276" w:lineRule="auto"/>
        <w:rPr>
          <w:color w:val="auto"/>
          <w:sz w:val="22"/>
          <w:szCs w:val="22"/>
        </w:rPr>
      </w:pPr>
      <w:r w:rsidRPr="00AB4521">
        <w:rPr>
          <w:color w:val="auto"/>
          <w:sz w:val="22"/>
          <w:szCs w:val="22"/>
        </w:rPr>
        <w:t xml:space="preserve">Through </w:t>
      </w:r>
      <w:r w:rsidR="005F71BA" w:rsidRPr="00AB4521">
        <w:rPr>
          <w:color w:val="auto"/>
          <w:sz w:val="22"/>
          <w:szCs w:val="22"/>
        </w:rPr>
        <w:t>t</w:t>
      </w:r>
      <w:r w:rsidR="00CD4235" w:rsidRPr="00AB4521">
        <w:rPr>
          <w:color w:val="auto"/>
          <w:sz w:val="22"/>
          <w:szCs w:val="22"/>
        </w:rPr>
        <w:t>his submission</w:t>
      </w:r>
      <w:r w:rsidR="005F71BA" w:rsidRPr="00AB4521">
        <w:rPr>
          <w:color w:val="auto"/>
          <w:sz w:val="22"/>
          <w:szCs w:val="22"/>
        </w:rPr>
        <w:t>,</w:t>
      </w:r>
      <w:r w:rsidRPr="00AB4521">
        <w:rPr>
          <w:color w:val="auto"/>
          <w:sz w:val="22"/>
          <w:szCs w:val="22"/>
        </w:rPr>
        <w:t xml:space="preserve"> we raise</w:t>
      </w:r>
      <w:r w:rsidR="00445E71" w:rsidRPr="00AB4521">
        <w:rPr>
          <w:color w:val="auto"/>
          <w:sz w:val="22"/>
          <w:szCs w:val="22"/>
        </w:rPr>
        <w:t xml:space="preserve"> </w:t>
      </w:r>
      <w:r w:rsidR="00445E71" w:rsidRPr="00DC0BAA">
        <w:rPr>
          <w:b/>
          <w:bCs/>
          <w:color w:val="auto"/>
          <w:sz w:val="22"/>
          <w:szCs w:val="22"/>
        </w:rPr>
        <w:t>three</w:t>
      </w:r>
      <w:r w:rsidR="00680491" w:rsidRPr="00DC0BAA">
        <w:rPr>
          <w:b/>
          <w:bCs/>
          <w:color w:val="auto"/>
          <w:sz w:val="22"/>
          <w:szCs w:val="22"/>
        </w:rPr>
        <w:t xml:space="preserve"> </w:t>
      </w:r>
      <w:r w:rsidR="00136968" w:rsidRPr="00C04247">
        <w:rPr>
          <w:b/>
          <w:bCs/>
          <w:color w:val="auto"/>
          <w:sz w:val="22"/>
          <w:szCs w:val="22"/>
        </w:rPr>
        <w:t>priority areas of</w:t>
      </w:r>
      <w:r w:rsidR="00680491" w:rsidRPr="00C04247">
        <w:rPr>
          <w:b/>
          <w:bCs/>
          <w:color w:val="auto"/>
          <w:sz w:val="22"/>
          <w:szCs w:val="22"/>
        </w:rPr>
        <w:t xml:space="preserve"> </w:t>
      </w:r>
      <w:r w:rsidR="00F10B4E" w:rsidRPr="00C04247">
        <w:rPr>
          <w:b/>
          <w:bCs/>
          <w:color w:val="auto"/>
          <w:sz w:val="22"/>
          <w:szCs w:val="22"/>
        </w:rPr>
        <w:t>concerns</w:t>
      </w:r>
      <w:r w:rsidR="00AA7EEE" w:rsidRPr="00C04247">
        <w:rPr>
          <w:color w:val="auto"/>
          <w:sz w:val="22"/>
          <w:szCs w:val="22"/>
        </w:rPr>
        <w:t>:</w:t>
      </w:r>
      <w:r w:rsidR="00680491" w:rsidRPr="00AB4521">
        <w:rPr>
          <w:color w:val="auto"/>
          <w:sz w:val="22"/>
          <w:szCs w:val="22"/>
        </w:rPr>
        <w:t xml:space="preserve"> </w:t>
      </w:r>
    </w:p>
    <w:p w14:paraId="6A2EAFA4" w14:textId="7E500845" w:rsidR="009B10B2" w:rsidRPr="00AB4521" w:rsidRDefault="00246B70" w:rsidP="00DC0BAA">
      <w:pPr>
        <w:pStyle w:val="Default"/>
        <w:numPr>
          <w:ilvl w:val="0"/>
          <w:numId w:val="2"/>
        </w:numPr>
        <w:spacing w:after="160" w:line="276" w:lineRule="auto"/>
        <w:rPr>
          <w:color w:val="auto"/>
          <w:sz w:val="22"/>
          <w:szCs w:val="22"/>
        </w:rPr>
      </w:pPr>
      <w:r w:rsidRPr="00AB4521">
        <w:rPr>
          <w:color w:val="auto"/>
          <w:sz w:val="22"/>
          <w:szCs w:val="22"/>
        </w:rPr>
        <w:t xml:space="preserve">Canada </w:t>
      </w:r>
      <w:r w:rsidR="00FA71D1" w:rsidRPr="00AB4521">
        <w:rPr>
          <w:color w:val="auto"/>
          <w:sz w:val="22"/>
          <w:szCs w:val="22"/>
        </w:rPr>
        <w:t xml:space="preserve">is not </w:t>
      </w:r>
      <w:r w:rsidR="00FA71D1" w:rsidRPr="00AB4521">
        <w:rPr>
          <w:sz w:val="22"/>
          <w:szCs w:val="22"/>
        </w:rPr>
        <w:t>transparently, coherently and consistently implementing the Convention</w:t>
      </w:r>
      <w:r w:rsidR="006E0C2C" w:rsidRPr="00AB4521">
        <w:rPr>
          <w:sz w:val="22"/>
          <w:szCs w:val="22"/>
        </w:rPr>
        <w:t xml:space="preserve"> within and outside of Canada</w:t>
      </w:r>
      <w:r w:rsidR="00F82D84" w:rsidRPr="00AB4521">
        <w:rPr>
          <w:sz w:val="22"/>
          <w:szCs w:val="22"/>
        </w:rPr>
        <w:t xml:space="preserve"> </w:t>
      </w:r>
      <w:r w:rsidR="007C6B75" w:rsidRPr="00AB4521">
        <w:rPr>
          <w:color w:val="auto"/>
          <w:sz w:val="22"/>
          <w:szCs w:val="22"/>
        </w:rPr>
        <w:t>in violation of CEDAW Articles 2, 24</w:t>
      </w:r>
      <w:r w:rsidR="009B7C9B" w:rsidRPr="00AB4521">
        <w:rPr>
          <w:color w:val="auto"/>
          <w:sz w:val="22"/>
          <w:szCs w:val="22"/>
        </w:rPr>
        <w:t>,</w:t>
      </w:r>
      <w:r w:rsidR="007C6B75" w:rsidRPr="00AB4521">
        <w:rPr>
          <w:color w:val="auto"/>
          <w:sz w:val="22"/>
          <w:szCs w:val="22"/>
        </w:rPr>
        <w:t xml:space="preserve"> </w:t>
      </w:r>
      <w:r w:rsidR="000C1E58" w:rsidRPr="00AB4521">
        <w:rPr>
          <w:color w:val="auto"/>
          <w:sz w:val="22"/>
          <w:szCs w:val="22"/>
        </w:rPr>
        <w:t>guidance provided through</w:t>
      </w:r>
      <w:r w:rsidR="007C6B75" w:rsidRPr="00AB4521">
        <w:rPr>
          <w:color w:val="auto"/>
          <w:sz w:val="22"/>
          <w:szCs w:val="22"/>
        </w:rPr>
        <w:t xml:space="preserve"> General Recommendation</w:t>
      </w:r>
      <w:r w:rsidRPr="00AB4521">
        <w:rPr>
          <w:color w:val="auto"/>
          <w:sz w:val="22"/>
          <w:szCs w:val="22"/>
        </w:rPr>
        <w:t>s</w:t>
      </w:r>
      <w:r w:rsidR="007C6B75" w:rsidRPr="00AB4521">
        <w:rPr>
          <w:color w:val="auto"/>
          <w:sz w:val="22"/>
          <w:szCs w:val="22"/>
        </w:rPr>
        <w:t xml:space="preserve"> 28 and 39</w:t>
      </w:r>
      <w:r w:rsidR="00213A85" w:rsidRPr="00AB4521">
        <w:rPr>
          <w:color w:val="auto"/>
          <w:sz w:val="22"/>
          <w:szCs w:val="22"/>
        </w:rPr>
        <w:t>,</w:t>
      </w:r>
      <w:r w:rsidR="009B7C9B" w:rsidRPr="00AB4521">
        <w:rPr>
          <w:color w:val="auto"/>
          <w:sz w:val="22"/>
          <w:szCs w:val="22"/>
        </w:rPr>
        <w:t xml:space="preserve"> and the UN Declaration on the Rights of Indigenous Peoples</w:t>
      </w:r>
      <w:r w:rsidR="003132EB" w:rsidRPr="00AB4521">
        <w:rPr>
          <w:color w:val="auto"/>
          <w:sz w:val="22"/>
          <w:szCs w:val="22"/>
        </w:rPr>
        <w:t>.</w:t>
      </w:r>
    </w:p>
    <w:p w14:paraId="53D23917" w14:textId="6CBD6AE2" w:rsidR="003B6CAD" w:rsidRPr="00AB4521" w:rsidRDefault="00F82D84" w:rsidP="00DC0BAA">
      <w:pPr>
        <w:pStyle w:val="Default"/>
        <w:numPr>
          <w:ilvl w:val="0"/>
          <w:numId w:val="2"/>
        </w:numPr>
        <w:spacing w:after="160" w:line="276" w:lineRule="auto"/>
        <w:rPr>
          <w:color w:val="auto"/>
          <w:sz w:val="22"/>
          <w:szCs w:val="22"/>
        </w:rPr>
      </w:pPr>
      <w:r w:rsidRPr="00AB4521">
        <w:rPr>
          <w:color w:val="auto"/>
          <w:sz w:val="22"/>
          <w:szCs w:val="22"/>
        </w:rPr>
        <w:t>Canada</w:t>
      </w:r>
      <w:r w:rsidR="00E9271B">
        <w:rPr>
          <w:color w:val="auto"/>
          <w:sz w:val="22"/>
          <w:szCs w:val="22"/>
        </w:rPr>
        <w:t>’s</w:t>
      </w:r>
      <w:r w:rsidRPr="00AB4521">
        <w:rPr>
          <w:color w:val="auto"/>
          <w:sz w:val="22"/>
          <w:szCs w:val="22"/>
        </w:rPr>
        <w:t xml:space="preserve"> </w:t>
      </w:r>
      <w:r w:rsidR="00DB4CAA" w:rsidRPr="00AB4521">
        <w:rPr>
          <w:color w:val="auto"/>
          <w:sz w:val="22"/>
          <w:szCs w:val="22"/>
        </w:rPr>
        <w:t>response to gender</w:t>
      </w:r>
      <w:r w:rsidR="00F2636D" w:rsidRPr="00AB4521">
        <w:rPr>
          <w:color w:val="auto"/>
          <w:sz w:val="22"/>
          <w:szCs w:val="22"/>
        </w:rPr>
        <w:t>-</w:t>
      </w:r>
      <w:r w:rsidR="00DB4CAA" w:rsidRPr="00AB4521">
        <w:rPr>
          <w:color w:val="auto"/>
          <w:sz w:val="22"/>
          <w:szCs w:val="22"/>
        </w:rPr>
        <w:t>based violence</w:t>
      </w:r>
      <w:r w:rsidR="00FC6C45">
        <w:rPr>
          <w:color w:val="auto"/>
          <w:sz w:val="22"/>
          <w:szCs w:val="22"/>
        </w:rPr>
        <w:t xml:space="preserve"> is inadequate</w:t>
      </w:r>
      <w:r w:rsidR="00C31681">
        <w:rPr>
          <w:color w:val="auto"/>
          <w:sz w:val="22"/>
          <w:szCs w:val="22"/>
        </w:rPr>
        <w:t>.</w:t>
      </w:r>
      <w:r w:rsidR="00DB4CAA" w:rsidRPr="00AB4521">
        <w:rPr>
          <w:color w:val="auto"/>
          <w:sz w:val="22"/>
          <w:szCs w:val="22"/>
        </w:rPr>
        <w:t xml:space="preserve"> </w:t>
      </w:r>
      <w:r w:rsidR="00C31681">
        <w:rPr>
          <w:color w:val="auto"/>
          <w:sz w:val="22"/>
          <w:szCs w:val="22"/>
        </w:rPr>
        <w:t>I</w:t>
      </w:r>
      <w:r w:rsidR="00DB4CAA" w:rsidRPr="00AB4521">
        <w:rPr>
          <w:color w:val="auto"/>
          <w:sz w:val="22"/>
          <w:szCs w:val="22"/>
        </w:rPr>
        <w:t xml:space="preserve">n particular, the national crisis of </w:t>
      </w:r>
      <w:r w:rsidR="00FB0C03" w:rsidRPr="00AB4521">
        <w:rPr>
          <w:color w:val="auto"/>
          <w:sz w:val="22"/>
          <w:szCs w:val="22"/>
        </w:rPr>
        <w:t>MMIWG</w:t>
      </w:r>
      <w:r w:rsidR="00246B70" w:rsidRPr="00AB4521">
        <w:rPr>
          <w:color w:val="auto"/>
          <w:sz w:val="22"/>
          <w:szCs w:val="22"/>
        </w:rPr>
        <w:t xml:space="preserve"> </w:t>
      </w:r>
      <w:r w:rsidR="008C6079">
        <w:rPr>
          <w:color w:val="auto"/>
          <w:sz w:val="22"/>
          <w:szCs w:val="22"/>
        </w:rPr>
        <w:t xml:space="preserve">violates </w:t>
      </w:r>
      <w:r w:rsidR="00246B70" w:rsidRPr="00AB4521">
        <w:rPr>
          <w:color w:val="auto"/>
          <w:sz w:val="22"/>
          <w:szCs w:val="22"/>
        </w:rPr>
        <w:t xml:space="preserve">CEDAW Articles </w:t>
      </w:r>
      <w:r w:rsidR="32BBE681" w:rsidRPr="00AB4521">
        <w:rPr>
          <w:color w:val="auto"/>
          <w:sz w:val="22"/>
          <w:szCs w:val="22"/>
        </w:rPr>
        <w:t>1, 2 (c)</w:t>
      </w:r>
      <w:r w:rsidR="00F64638" w:rsidRPr="00AB4521">
        <w:rPr>
          <w:color w:val="auto"/>
          <w:sz w:val="22"/>
          <w:szCs w:val="22"/>
        </w:rPr>
        <w:t>,</w:t>
      </w:r>
      <w:r w:rsidR="32BBE681" w:rsidRPr="00AB4521">
        <w:rPr>
          <w:color w:val="auto"/>
          <w:sz w:val="22"/>
          <w:szCs w:val="22"/>
        </w:rPr>
        <w:t xml:space="preserve"> (d)</w:t>
      </w:r>
      <w:r w:rsidR="00F64638" w:rsidRPr="00AB4521">
        <w:rPr>
          <w:color w:val="auto"/>
          <w:sz w:val="22"/>
          <w:szCs w:val="22"/>
        </w:rPr>
        <w:t>,</w:t>
      </w:r>
      <w:r w:rsidR="32BBE681" w:rsidRPr="00AB4521">
        <w:rPr>
          <w:color w:val="auto"/>
          <w:sz w:val="22"/>
          <w:szCs w:val="22"/>
        </w:rPr>
        <w:t xml:space="preserve"> (e) and (f), 3, and 5 (a)</w:t>
      </w:r>
      <w:r w:rsidR="00246B70" w:rsidRPr="00AB4521">
        <w:rPr>
          <w:color w:val="auto"/>
          <w:sz w:val="22"/>
          <w:szCs w:val="22"/>
        </w:rPr>
        <w:t xml:space="preserve"> and</w:t>
      </w:r>
      <w:r w:rsidR="00C04DBB" w:rsidRPr="00AB4521">
        <w:rPr>
          <w:color w:val="auto"/>
          <w:sz w:val="22"/>
          <w:szCs w:val="22"/>
        </w:rPr>
        <w:t xml:space="preserve"> the guidance provided through</w:t>
      </w:r>
      <w:r w:rsidR="00246B70" w:rsidRPr="00AB4521">
        <w:rPr>
          <w:color w:val="auto"/>
          <w:sz w:val="22"/>
          <w:szCs w:val="22"/>
        </w:rPr>
        <w:t xml:space="preserve"> General Recommendations 35 and 39</w:t>
      </w:r>
      <w:r w:rsidR="00D50ADD" w:rsidRPr="00AB4521">
        <w:rPr>
          <w:color w:val="auto"/>
          <w:sz w:val="22"/>
          <w:szCs w:val="22"/>
        </w:rPr>
        <w:t xml:space="preserve">. </w:t>
      </w:r>
    </w:p>
    <w:p w14:paraId="063636F5" w14:textId="4BB3CEDD" w:rsidR="00DB4CAA" w:rsidRPr="007F4AB4" w:rsidRDefault="003132EB" w:rsidP="00DC0BAA">
      <w:pPr>
        <w:pStyle w:val="Default"/>
        <w:numPr>
          <w:ilvl w:val="0"/>
          <w:numId w:val="2"/>
        </w:numPr>
        <w:spacing w:after="160" w:line="276" w:lineRule="auto"/>
        <w:rPr>
          <w:color w:val="auto"/>
          <w:sz w:val="22"/>
          <w:szCs w:val="22"/>
        </w:rPr>
      </w:pPr>
      <w:r w:rsidRPr="00AB4521">
        <w:rPr>
          <w:color w:val="auto"/>
          <w:sz w:val="22"/>
          <w:szCs w:val="22"/>
        </w:rPr>
        <w:t>Indigenous women continue to face s</w:t>
      </w:r>
      <w:r w:rsidR="009E0831" w:rsidRPr="00AB4521">
        <w:rPr>
          <w:color w:val="auto"/>
          <w:sz w:val="22"/>
          <w:szCs w:val="22"/>
        </w:rPr>
        <w:t>ystemic discrimination, sexism</w:t>
      </w:r>
      <w:r w:rsidR="003506D5" w:rsidRPr="00AB4521">
        <w:rPr>
          <w:color w:val="auto"/>
          <w:sz w:val="22"/>
          <w:szCs w:val="22"/>
        </w:rPr>
        <w:t xml:space="preserve"> and racism </w:t>
      </w:r>
      <w:r w:rsidR="00963795" w:rsidRPr="00AB4521">
        <w:rPr>
          <w:color w:val="auto"/>
          <w:sz w:val="22"/>
          <w:szCs w:val="22"/>
        </w:rPr>
        <w:t>in Canada</w:t>
      </w:r>
      <w:r w:rsidR="000077D1" w:rsidRPr="00AB4521">
        <w:rPr>
          <w:color w:val="auto"/>
          <w:sz w:val="22"/>
          <w:szCs w:val="22"/>
        </w:rPr>
        <w:t>,</w:t>
      </w:r>
      <w:r w:rsidR="00963795" w:rsidRPr="00AB4521">
        <w:rPr>
          <w:color w:val="auto"/>
          <w:sz w:val="22"/>
          <w:szCs w:val="22"/>
        </w:rPr>
        <w:t xml:space="preserve"> </w:t>
      </w:r>
      <w:r w:rsidR="003506D5" w:rsidRPr="00AB4521">
        <w:rPr>
          <w:color w:val="auto"/>
          <w:sz w:val="22"/>
          <w:szCs w:val="22"/>
        </w:rPr>
        <w:t>impact</w:t>
      </w:r>
      <w:r w:rsidRPr="00AB4521">
        <w:rPr>
          <w:color w:val="auto"/>
          <w:sz w:val="22"/>
          <w:szCs w:val="22"/>
        </w:rPr>
        <w:t>ing our</w:t>
      </w:r>
      <w:r w:rsidR="003506D5" w:rsidRPr="00AB4521">
        <w:rPr>
          <w:color w:val="auto"/>
          <w:sz w:val="22"/>
          <w:szCs w:val="22"/>
        </w:rPr>
        <w:t xml:space="preserve"> right to </w:t>
      </w:r>
      <w:r w:rsidR="36F5626F" w:rsidRPr="00AB4521">
        <w:rPr>
          <w:color w:val="auto"/>
          <w:sz w:val="22"/>
          <w:szCs w:val="22"/>
        </w:rPr>
        <w:t xml:space="preserve">living safe, healthy, and prosperous lives </w:t>
      </w:r>
      <w:r w:rsidR="005811B2" w:rsidRPr="00AB4521">
        <w:rPr>
          <w:color w:val="auto"/>
          <w:sz w:val="22"/>
          <w:szCs w:val="22"/>
        </w:rPr>
        <w:t>in</w:t>
      </w:r>
      <w:r w:rsidR="7333C494" w:rsidRPr="00AB4521">
        <w:rPr>
          <w:color w:val="auto"/>
          <w:sz w:val="22"/>
          <w:szCs w:val="22"/>
        </w:rPr>
        <w:t xml:space="preserve"> violation of </w:t>
      </w:r>
      <w:r w:rsidR="7277221C" w:rsidRPr="00AB4521">
        <w:rPr>
          <w:color w:val="auto"/>
          <w:sz w:val="22"/>
          <w:szCs w:val="22"/>
        </w:rPr>
        <w:t>CEDAW Article 2 (c), (d), and (e)</w:t>
      </w:r>
      <w:r w:rsidR="00EC26F2" w:rsidRPr="00AB4521">
        <w:rPr>
          <w:color w:val="auto"/>
          <w:sz w:val="22"/>
          <w:szCs w:val="22"/>
        </w:rPr>
        <w:t xml:space="preserve"> and the guidance provided through General Recommendations 39.</w:t>
      </w:r>
    </w:p>
    <w:p w14:paraId="34266831" w14:textId="052DD81E" w:rsidR="0D7A9123" w:rsidRDefault="0D7A9123" w:rsidP="007F4AB4">
      <w:pPr>
        <w:pStyle w:val="Default"/>
        <w:spacing w:after="240" w:line="276" w:lineRule="auto"/>
        <w:ind w:left="720"/>
        <w:rPr>
          <w:color w:val="auto"/>
          <w:sz w:val="22"/>
          <w:szCs w:val="22"/>
          <w:highlight w:val="yellow"/>
        </w:rPr>
      </w:pPr>
    </w:p>
    <w:p w14:paraId="2C52C9CF" w14:textId="77777777" w:rsidR="00DE18F2" w:rsidRDefault="00DE18F2">
      <w:pPr>
        <w:rPr>
          <w:rFonts w:ascii="Calibri" w:eastAsiaTheme="majorEastAsia" w:hAnsi="Calibri" w:cs="Calibri"/>
          <w:b/>
          <w:color w:val="7092C7" w:themeColor="accent2"/>
          <w:sz w:val="36"/>
          <w:szCs w:val="28"/>
        </w:rPr>
      </w:pPr>
      <w:r>
        <w:rPr>
          <w:rFonts w:ascii="Calibri" w:hAnsi="Calibri" w:cs="Calibri"/>
        </w:rPr>
        <w:br w:type="page"/>
      </w:r>
    </w:p>
    <w:p w14:paraId="5168609D" w14:textId="79C8EDAC" w:rsidR="009B747C" w:rsidRPr="0056356B" w:rsidRDefault="009B747C" w:rsidP="00AB5E60">
      <w:pPr>
        <w:pStyle w:val="Heading1"/>
        <w:spacing w:before="0" w:after="0" w:line="276" w:lineRule="auto"/>
        <w:rPr>
          <w:rFonts w:ascii="Calibri" w:hAnsi="Calibri" w:cs="Calibri"/>
        </w:rPr>
      </w:pPr>
      <w:bookmarkStart w:id="5" w:name="_Toc176510762"/>
      <w:r>
        <w:rPr>
          <w:rFonts w:ascii="Calibri" w:hAnsi="Calibri" w:cs="Calibri"/>
        </w:rPr>
        <w:lastRenderedPageBreak/>
        <w:t>ONWA’s Recommendations</w:t>
      </w:r>
      <w:bookmarkEnd w:id="5"/>
      <w:r w:rsidRPr="383C20F0">
        <w:rPr>
          <w:rFonts w:ascii="Calibri" w:hAnsi="Calibri" w:cs="Calibri"/>
        </w:rPr>
        <w:t xml:space="preserve"> </w:t>
      </w:r>
    </w:p>
    <w:p w14:paraId="6C30D2E1" w14:textId="4CCE9FDB" w:rsidR="00F4545D" w:rsidRPr="00FB4472" w:rsidRDefault="00F4545D" w:rsidP="007F4AB4">
      <w:pPr>
        <w:pStyle w:val="Default"/>
        <w:spacing w:after="80" w:line="276" w:lineRule="auto"/>
        <w:rPr>
          <w:color w:val="auto"/>
          <w:sz w:val="22"/>
          <w:szCs w:val="22"/>
        </w:rPr>
      </w:pPr>
      <w:r>
        <w:rPr>
          <w:color w:val="auto"/>
          <w:sz w:val="22"/>
          <w:szCs w:val="22"/>
        </w:rPr>
        <w:t>Immediately, and within two years, Canada must:</w:t>
      </w:r>
    </w:p>
    <w:p w14:paraId="6C594F9C" w14:textId="16E6F8BF" w:rsidR="00104671" w:rsidRDefault="00C005FC" w:rsidP="00131968">
      <w:pPr>
        <w:pStyle w:val="Default"/>
        <w:numPr>
          <w:ilvl w:val="0"/>
          <w:numId w:val="5"/>
        </w:numPr>
        <w:spacing w:after="80" w:line="276" w:lineRule="auto"/>
        <w:rPr>
          <w:color w:val="000000" w:themeColor="text1"/>
          <w:sz w:val="22"/>
          <w:szCs w:val="22"/>
        </w:rPr>
      </w:pPr>
      <w:r>
        <w:rPr>
          <w:color w:val="000000" w:themeColor="text1"/>
          <w:sz w:val="22"/>
          <w:szCs w:val="22"/>
        </w:rPr>
        <w:t>I</w:t>
      </w:r>
      <w:r w:rsidR="00104671" w:rsidRPr="007F4AB4">
        <w:rPr>
          <w:color w:val="000000" w:themeColor="text1"/>
          <w:sz w:val="22"/>
          <w:szCs w:val="22"/>
        </w:rPr>
        <w:t>mplement the National Action Plan on MMIWG2S</w:t>
      </w:r>
      <w:r>
        <w:rPr>
          <w:color w:val="000000" w:themeColor="text1"/>
          <w:sz w:val="22"/>
          <w:szCs w:val="22"/>
        </w:rPr>
        <w:t xml:space="preserve">, </w:t>
      </w:r>
      <w:r w:rsidR="00104671" w:rsidRPr="007F4AB4">
        <w:rPr>
          <w:color w:val="000000" w:themeColor="text1"/>
          <w:sz w:val="22"/>
          <w:szCs w:val="22"/>
        </w:rPr>
        <w:t xml:space="preserve">the Calls to Justice that prioritize Indigenous women’s safety and </w:t>
      </w:r>
      <w:r w:rsidR="00104671" w:rsidRPr="008A41AC">
        <w:rPr>
          <w:color w:val="000000" w:themeColor="text1"/>
          <w:sz w:val="22"/>
          <w:szCs w:val="22"/>
        </w:rPr>
        <w:t>healing</w:t>
      </w:r>
      <w:r w:rsidR="00496244" w:rsidRPr="008A41AC">
        <w:rPr>
          <w:color w:val="000000" w:themeColor="text1"/>
          <w:sz w:val="22"/>
          <w:szCs w:val="22"/>
        </w:rPr>
        <w:t>,</w:t>
      </w:r>
      <w:r w:rsidRPr="008A41AC">
        <w:rPr>
          <w:color w:val="000000" w:themeColor="text1"/>
          <w:sz w:val="22"/>
          <w:szCs w:val="22"/>
        </w:rPr>
        <w:t xml:space="preserve"> and the CEDAW Committee’s </w:t>
      </w:r>
      <w:r w:rsidR="00496244" w:rsidRPr="008A41AC">
        <w:rPr>
          <w:color w:val="000000" w:themeColor="text1"/>
          <w:sz w:val="22"/>
          <w:szCs w:val="22"/>
        </w:rPr>
        <w:t xml:space="preserve">previous </w:t>
      </w:r>
      <w:r w:rsidR="00564A44" w:rsidRPr="008A41AC">
        <w:rPr>
          <w:color w:val="000000" w:themeColor="text1"/>
          <w:sz w:val="22"/>
          <w:szCs w:val="22"/>
        </w:rPr>
        <w:t>recommendations</w:t>
      </w:r>
      <w:r>
        <w:rPr>
          <w:color w:val="000000" w:themeColor="text1"/>
          <w:sz w:val="22"/>
          <w:szCs w:val="22"/>
        </w:rPr>
        <w:t xml:space="preserve"> </w:t>
      </w:r>
    </w:p>
    <w:p w14:paraId="39500E2E" w14:textId="79BF0479" w:rsidR="00104671" w:rsidRPr="00CC4E5F" w:rsidRDefault="00104671" w:rsidP="00131968">
      <w:pPr>
        <w:pStyle w:val="Default"/>
        <w:numPr>
          <w:ilvl w:val="0"/>
          <w:numId w:val="5"/>
        </w:numPr>
        <w:spacing w:after="80" w:line="276" w:lineRule="auto"/>
        <w:rPr>
          <w:color w:val="auto"/>
          <w:sz w:val="22"/>
          <w:szCs w:val="22"/>
        </w:rPr>
      </w:pPr>
      <w:r w:rsidRPr="00CC4E5F">
        <w:rPr>
          <w:sz w:val="22"/>
          <w:szCs w:val="22"/>
        </w:rPr>
        <w:t xml:space="preserve">Create a co-ordinated accountability mechanism – across all levels of government and </w:t>
      </w:r>
      <w:r w:rsidRPr="00CC4E5F">
        <w:rPr>
          <w:sz w:val="22"/>
          <w:szCs w:val="22"/>
          <w:u w:val="single"/>
        </w:rPr>
        <w:t>with Indigenous women</w:t>
      </w:r>
      <w:r w:rsidRPr="00CC4E5F">
        <w:rPr>
          <w:sz w:val="22"/>
          <w:szCs w:val="22"/>
        </w:rPr>
        <w:t xml:space="preserve"> - with the mandate and resources </w:t>
      </w:r>
      <w:r w:rsidRPr="00CC4E5F">
        <w:rPr>
          <w:rFonts w:cs="Times New Roman"/>
          <w:sz w:val="22"/>
          <w:szCs w:val="22"/>
        </w:rPr>
        <w:t>for implementing and monitoring outcomes and recommendations</w:t>
      </w:r>
      <w:r w:rsidRPr="00CC4E5F">
        <w:rPr>
          <w:sz w:val="22"/>
          <w:szCs w:val="22"/>
        </w:rPr>
        <w:t xml:space="preserve"> that uphold Indigenous women’s rights and safety, ensure timely, transparent public reporting on progress</w:t>
      </w:r>
      <w:r w:rsidR="00357910" w:rsidRPr="00CC4E5F">
        <w:rPr>
          <w:sz w:val="22"/>
          <w:szCs w:val="22"/>
        </w:rPr>
        <w:t>, and implement the</w:t>
      </w:r>
      <w:r w:rsidR="009525CE" w:rsidRPr="00CC4E5F">
        <w:rPr>
          <w:sz w:val="22"/>
          <w:szCs w:val="22"/>
        </w:rPr>
        <w:t xml:space="preserve"> Special Rapporteur on the Rights of Indigenous Peoples’ recommendation </w:t>
      </w:r>
      <w:r w:rsidR="00E20949" w:rsidRPr="00DC0BAA">
        <w:rPr>
          <w:sz w:val="22"/>
          <w:szCs w:val="22"/>
        </w:rPr>
        <w:t>for</w:t>
      </w:r>
      <w:r w:rsidR="00357910" w:rsidRPr="00CC4E5F">
        <w:rPr>
          <w:sz w:val="22"/>
          <w:szCs w:val="22"/>
        </w:rPr>
        <w:t xml:space="preserve"> </w:t>
      </w:r>
      <w:r w:rsidR="009525CE" w:rsidRPr="00CC4E5F">
        <w:rPr>
          <w:sz w:val="22"/>
          <w:szCs w:val="22"/>
        </w:rPr>
        <w:t>independent Indigenous-led human rights mechanism</w:t>
      </w:r>
      <w:r w:rsidR="00AC2477" w:rsidRPr="00DC0BAA">
        <w:rPr>
          <w:sz w:val="22"/>
          <w:szCs w:val="22"/>
        </w:rPr>
        <w:t>s</w:t>
      </w:r>
      <w:r w:rsidRPr="00CC4E5F">
        <w:rPr>
          <w:sz w:val="22"/>
          <w:szCs w:val="22"/>
        </w:rPr>
        <w:t>.</w:t>
      </w:r>
      <w:r w:rsidR="009525CE" w:rsidRPr="00CC4E5F">
        <w:rPr>
          <w:rStyle w:val="FootnoteReference"/>
          <w:sz w:val="22"/>
          <w:szCs w:val="22"/>
        </w:rPr>
        <w:footnoteReference w:id="2"/>
      </w:r>
    </w:p>
    <w:p w14:paraId="4F3CD3F3" w14:textId="56A54E3C" w:rsidR="00104671" w:rsidRPr="001F2F8F" w:rsidRDefault="00104671" w:rsidP="00131968">
      <w:pPr>
        <w:pStyle w:val="Default"/>
        <w:numPr>
          <w:ilvl w:val="0"/>
          <w:numId w:val="5"/>
        </w:numPr>
        <w:spacing w:after="80" w:line="276" w:lineRule="auto"/>
        <w:rPr>
          <w:color w:val="auto"/>
          <w:sz w:val="22"/>
          <w:szCs w:val="22"/>
        </w:rPr>
      </w:pPr>
      <w:r w:rsidRPr="00CC4E5F">
        <w:rPr>
          <w:color w:val="auto"/>
          <w:sz w:val="22"/>
          <w:szCs w:val="22"/>
        </w:rPr>
        <w:t xml:space="preserve">Fully eliminate all sex discrimination in the </w:t>
      </w:r>
      <w:r w:rsidRPr="00CC4E5F">
        <w:rPr>
          <w:i/>
          <w:iCs/>
          <w:color w:val="auto"/>
          <w:sz w:val="22"/>
          <w:szCs w:val="22"/>
        </w:rPr>
        <w:t xml:space="preserve">Indian Act </w:t>
      </w:r>
      <w:r w:rsidR="000D52F8" w:rsidRPr="00CC4E5F">
        <w:rPr>
          <w:color w:val="auto"/>
          <w:sz w:val="22"/>
          <w:szCs w:val="22"/>
        </w:rPr>
        <w:t xml:space="preserve">as </w:t>
      </w:r>
      <w:r w:rsidR="006B0C7C" w:rsidRPr="00CC4E5F">
        <w:rPr>
          <w:color w:val="auto"/>
          <w:sz w:val="22"/>
          <w:szCs w:val="22"/>
        </w:rPr>
        <w:t xml:space="preserve">outlined in </w:t>
      </w:r>
      <w:r w:rsidR="006B0C7C" w:rsidRPr="00DC0BAA">
        <w:rPr>
          <w:color w:val="auto"/>
          <w:sz w:val="22"/>
          <w:szCs w:val="22"/>
        </w:rPr>
        <w:t>the</w:t>
      </w:r>
      <w:r w:rsidRPr="00CC4E5F">
        <w:rPr>
          <w:color w:val="auto"/>
          <w:sz w:val="22"/>
          <w:szCs w:val="22"/>
        </w:rPr>
        <w:t xml:space="preserve"> Indian Act Sex</w:t>
      </w:r>
      <w:r w:rsidRPr="001F2F8F">
        <w:rPr>
          <w:color w:val="auto"/>
          <w:sz w:val="22"/>
          <w:szCs w:val="22"/>
        </w:rPr>
        <w:t xml:space="preserve"> Discrimination Working Group’s Submission</w:t>
      </w:r>
      <w:r w:rsidR="006B0C7C">
        <w:rPr>
          <w:color w:val="auto"/>
          <w:sz w:val="22"/>
          <w:szCs w:val="22"/>
        </w:rPr>
        <w:t xml:space="preserve"> to CEDAW for Canada’s 10</w:t>
      </w:r>
      <w:r w:rsidR="006B0C7C" w:rsidRPr="00DC0BAA">
        <w:rPr>
          <w:color w:val="auto"/>
          <w:sz w:val="22"/>
          <w:szCs w:val="22"/>
          <w:vertAlign w:val="superscript"/>
        </w:rPr>
        <w:t>th</w:t>
      </w:r>
      <w:r w:rsidR="006B0C7C">
        <w:rPr>
          <w:color w:val="auto"/>
          <w:sz w:val="22"/>
          <w:szCs w:val="22"/>
        </w:rPr>
        <w:t xml:space="preserve"> review</w:t>
      </w:r>
      <w:r w:rsidR="008E2BF9">
        <w:rPr>
          <w:color w:val="auto"/>
          <w:sz w:val="22"/>
          <w:szCs w:val="22"/>
        </w:rPr>
        <w:t>.</w:t>
      </w:r>
    </w:p>
    <w:p w14:paraId="6B9BF7ED" w14:textId="33064E59" w:rsidR="00104671" w:rsidRPr="001F2F8F" w:rsidRDefault="00782124" w:rsidP="007F4AB4">
      <w:pPr>
        <w:pStyle w:val="Default"/>
        <w:spacing w:after="80" w:line="276" w:lineRule="auto"/>
        <w:rPr>
          <w:color w:val="auto"/>
          <w:sz w:val="22"/>
          <w:szCs w:val="22"/>
        </w:rPr>
      </w:pPr>
      <w:r>
        <w:rPr>
          <w:color w:val="auto"/>
          <w:sz w:val="22"/>
          <w:szCs w:val="22"/>
        </w:rPr>
        <w:t>B</w:t>
      </w:r>
      <w:r w:rsidR="00104671" w:rsidRPr="00D84C22">
        <w:rPr>
          <w:color w:val="auto"/>
          <w:sz w:val="22"/>
          <w:szCs w:val="22"/>
        </w:rPr>
        <w:t>efore</w:t>
      </w:r>
      <w:r w:rsidR="00104671">
        <w:rPr>
          <w:color w:val="auto"/>
          <w:sz w:val="22"/>
          <w:szCs w:val="22"/>
        </w:rPr>
        <w:t xml:space="preserve"> Canada’s next (11</w:t>
      </w:r>
      <w:r w:rsidR="00104671" w:rsidRPr="001F2F8F">
        <w:rPr>
          <w:color w:val="auto"/>
          <w:sz w:val="22"/>
          <w:szCs w:val="22"/>
          <w:vertAlign w:val="superscript"/>
        </w:rPr>
        <w:t>th</w:t>
      </w:r>
      <w:r w:rsidR="00104671">
        <w:rPr>
          <w:color w:val="auto"/>
          <w:sz w:val="22"/>
          <w:szCs w:val="22"/>
        </w:rPr>
        <w:t>) review by the CEDAW Committee, Canada must:</w:t>
      </w:r>
    </w:p>
    <w:p w14:paraId="59833974" w14:textId="1EB749F6" w:rsidR="00104671" w:rsidRPr="00FB4472" w:rsidRDefault="00104671" w:rsidP="00131968">
      <w:pPr>
        <w:pStyle w:val="Default"/>
        <w:numPr>
          <w:ilvl w:val="0"/>
          <w:numId w:val="5"/>
        </w:numPr>
        <w:spacing w:after="80" w:line="276" w:lineRule="auto"/>
        <w:rPr>
          <w:color w:val="auto"/>
          <w:sz w:val="22"/>
          <w:szCs w:val="22"/>
        </w:rPr>
      </w:pPr>
      <w:r>
        <w:rPr>
          <w:rFonts w:eastAsia="Times New Roman"/>
          <w:sz w:val="22"/>
          <w:szCs w:val="22"/>
          <w:lang w:eastAsia="en-CA"/>
        </w:rPr>
        <w:t>I</w:t>
      </w:r>
      <w:r w:rsidRPr="00FB4472">
        <w:rPr>
          <w:rFonts w:eastAsia="Times New Roman"/>
          <w:sz w:val="22"/>
          <w:szCs w:val="22"/>
          <w:lang w:eastAsia="en-CA"/>
        </w:rPr>
        <w:t>mplement a nation to nation/distinctions-based PLUS policy</w:t>
      </w:r>
      <w:r w:rsidRPr="00FB4472">
        <w:rPr>
          <w:rStyle w:val="FootnoteReference"/>
          <w:rFonts w:eastAsia="Times New Roman"/>
          <w:sz w:val="22"/>
          <w:szCs w:val="22"/>
          <w:lang w:eastAsia="en-CA"/>
        </w:rPr>
        <w:footnoteReference w:id="3"/>
      </w:r>
      <w:r w:rsidRPr="00FB4472">
        <w:rPr>
          <w:rFonts w:eastAsia="Times New Roman"/>
          <w:sz w:val="22"/>
          <w:szCs w:val="22"/>
          <w:lang w:eastAsia="en-CA"/>
        </w:rPr>
        <w:t xml:space="preserve"> </w:t>
      </w:r>
      <w:r w:rsidRPr="00FB4472">
        <w:rPr>
          <w:color w:val="000000" w:themeColor="text1"/>
          <w:sz w:val="22"/>
          <w:szCs w:val="22"/>
        </w:rPr>
        <w:t xml:space="preserve">to engagement, policy and program development, and funding models that ensure Indigenous women and </w:t>
      </w:r>
      <w:r w:rsidR="00C72D7A">
        <w:rPr>
          <w:color w:val="000000" w:themeColor="text1"/>
          <w:sz w:val="22"/>
          <w:szCs w:val="22"/>
        </w:rPr>
        <w:t>our</w:t>
      </w:r>
      <w:r w:rsidRPr="00FB4472">
        <w:rPr>
          <w:color w:val="000000" w:themeColor="text1"/>
          <w:sz w:val="22"/>
          <w:szCs w:val="22"/>
        </w:rPr>
        <w:t xml:space="preserve"> organizations </w:t>
      </w:r>
      <w:r w:rsidR="00085A15">
        <w:rPr>
          <w:color w:val="000000" w:themeColor="text1"/>
          <w:sz w:val="22"/>
          <w:szCs w:val="22"/>
        </w:rPr>
        <w:t>consent</w:t>
      </w:r>
      <w:r w:rsidR="009E7CF3">
        <w:rPr>
          <w:color w:val="000000" w:themeColor="text1"/>
          <w:sz w:val="22"/>
          <w:szCs w:val="22"/>
        </w:rPr>
        <w:t xml:space="preserve"> and that we </w:t>
      </w:r>
      <w:r w:rsidRPr="00FB4472">
        <w:rPr>
          <w:color w:val="000000" w:themeColor="text1"/>
          <w:sz w:val="22"/>
          <w:szCs w:val="22"/>
        </w:rPr>
        <w:t xml:space="preserve">are informed, involved, consulted, and benefit from resources being allocated to address key issues of concern </w:t>
      </w:r>
      <w:r w:rsidR="00C72D7A">
        <w:rPr>
          <w:color w:val="000000" w:themeColor="text1"/>
          <w:sz w:val="22"/>
          <w:szCs w:val="22"/>
        </w:rPr>
        <w:t>to</w:t>
      </w:r>
      <w:r w:rsidRPr="00FB4472">
        <w:rPr>
          <w:color w:val="000000" w:themeColor="text1"/>
          <w:sz w:val="22"/>
          <w:szCs w:val="22"/>
        </w:rPr>
        <w:t xml:space="preserve"> </w:t>
      </w:r>
      <w:r w:rsidR="00C72D7A">
        <w:rPr>
          <w:color w:val="000000" w:themeColor="text1"/>
          <w:sz w:val="22"/>
          <w:szCs w:val="22"/>
        </w:rPr>
        <w:t>us</w:t>
      </w:r>
      <w:r w:rsidRPr="00FB4472">
        <w:rPr>
          <w:color w:val="000000" w:themeColor="text1"/>
          <w:sz w:val="22"/>
          <w:szCs w:val="22"/>
        </w:rPr>
        <w:t xml:space="preserve"> and </w:t>
      </w:r>
      <w:r w:rsidR="00C72D7A">
        <w:rPr>
          <w:color w:val="000000" w:themeColor="text1"/>
          <w:sz w:val="22"/>
          <w:szCs w:val="22"/>
        </w:rPr>
        <w:t>ou</w:t>
      </w:r>
      <w:r w:rsidRPr="00FB4472">
        <w:rPr>
          <w:color w:val="000000" w:themeColor="text1"/>
          <w:sz w:val="22"/>
          <w:szCs w:val="22"/>
        </w:rPr>
        <w:t>r families</w:t>
      </w:r>
      <w:r>
        <w:rPr>
          <w:color w:val="000000" w:themeColor="text1"/>
          <w:sz w:val="22"/>
          <w:szCs w:val="22"/>
        </w:rPr>
        <w:t>.</w:t>
      </w:r>
    </w:p>
    <w:p w14:paraId="174A1662" w14:textId="789D2700" w:rsidR="00496244" w:rsidRPr="00763F05" w:rsidRDefault="00104671" w:rsidP="00131968">
      <w:pPr>
        <w:pStyle w:val="Default"/>
        <w:numPr>
          <w:ilvl w:val="0"/>
          <w:numId w:val="5"/>
        </w:numPr>
        <w:spacing w:after="80" w:line="276" w:lineRule="auto"/>
        <w:rPr>
          <w:rFonts w:eastAsia="Times New Roman"/>
          <w:lang w:eastAsia="en-CA"/>
        </w:rPr>
      </w:pPr>
      <w:r w:rsidRPr="00763F05">
        <w:rPr>
          <w:sz w:val="22"/>
          <w:szCs w:val="22"/>
        </w:rPr>
        <w:t>Provide core</w:t>
      </w:r>
      <w:r w:rsidR="007C41DD" w:rsidRPr="00763F05">
        <w:rPr>
          <w:sz w:val="22"/>
          <w:szCs w:val="22"/>
        </w:rPr>
        <w:t>,</w:t>
      </w:r>
      <w:r w:rsidRPr="00763F05">
        <w:rPr>
          <w:sz w:val="22"/>
          <w:szCs w:val="22"/>
        </w:rPr>
        <w:t xml:space="preserve"> sustainable funding to Indigenous women’s organizations to design, implement, and analyze Indigenous led, culturally grounded responses to the key issues </w:t>
      </w:r>
      <w:r w:rsidR="002173FF" w:rsidRPr="00763F05">
        <w:rPr>
          <w:sz w:val="22"/>
          <w:szCs w:val="22"/>
        </w:rPr>
        <w:t>we</w:t>
      </w:r>
      <w:r w:rsidRPr="00763F05">
        <w:rPr>
          <w:sz w:val="22"/>
          <w:szCs w:val="22"/>
        </w:rPr>
        <w:t xml:space="preserve"> face</w:t>
      </w:r>
      <w:r w:rsidR="00763F05" w:rsidRPr="00763F05">
        <w:rPr>
          <w:sz w:val="22"/>
          <w:szCs w:val="22"/>
        </w:rPr>
        <w:t xml:space="preserve">, and </w:t>
      </w:r>
      <w:r w:rsidR="00763F05">
        <w:rPr>
          <w:sz w:val="22"/>
          <w:szCs w:val="22"/>
        </w:rPr>
        <w:t>d</w:t>
      </w:r>
      <w:r w:rsidR="00496244" w:rsidRPr="007F4AB4">
        <w:rPr>
          <w:rFonts w:eastAsia="Times New Roman"/>
          <w:sz w:val="22"/>
          <w:szCs w:val="22"/>
          <w:lang w:eastAsia="en-CA"/>
        </w:rPr>
        <w:t>emonstrate accountability to Indigenous women through funding transparency</w:t>
      </w:r>
      <w:r w:rsidR="002C4950">
        <w:rPr>
          <w:rFonts w:eastAsia="Times New Roman"/>
          <w:sz w:val="22"/>
          <w:szCs w:val="22"/>
          <w:lang w:eastAsia="en-CA"/>
        </w:rPr>
        <w:t>,</w:t>
      </w:r>
      <w:r w:rsidR="00496244" w:rsidRPr="007F4AB4">
        <w:rPr>
          <w:rFonts w:eastAsia="Times New Roman"/>
          <w:sz w:val="22"/>
          <w:szCs w:val="22"/>
          <w:lang w:eastAsia="en-CA"/>
        </w:rPr>
        <w:t xml:space="preserve"> demonstrating how funding is improving our safety</w:t>
      </w:r>
      <w:r w:rsidR="002C4950">
        <w:rPr>
          <w:rFonts w:eastAsia="Times New Roman"/>
          <w:sz w:val="22"/>
          <w:szCs w:val="22"/>
          <w:lang w:eastAsia="en-CA"/>
        </w:rPr>
        <w:t>, and implementing a funding framework that represents and best addresses those most impacted by discrimination and violence</w:t>
      </w:r>
      <w:r w:rsidR="00496244" w:rsidRPr="007F4AB4">
        <w:rPr>
          <w:rFonts w:eastAsia="Times New Roman"/>
          <w:sz w:val="22"/>
          <w:szCs w:val="22"/>
          <w:lang w:eastAsia="en-CA"/>
        </w:rPr>
        <w:t xml:space="preserve">.  </w:t>
      </w:r>
    </w:p>
    <w:p w14:paraId="201FCCE9" w14:textId="402E3D17" w:rsidR="00B26313" w:rsidRDefault="002173FF" w:rsidP="00131968">
      <w:pPr>
        <w:pStyle w:val="Default"/>
        <w:numPr>
          <w:ilvl w:val="0"/>
          <w:numId w:val="5"/>
        </w:numPr>
        <w:spacing w:after="80" w:line="276" w:lineRule="auto"/>
        <w:rPr>
          <w:rFonts w:eastAsia="Times New Roman"/>
          <w:sz w:val="22"/>
          <w:szCs w:val="22"/>
          <w:lang w:eastAsia="en-CA"/>
        </w:rPr>
      </w:pPr>
      <w:r w:rsidRPr="1D5E8CE5">
        <w:rPr>
          <w:rFonts w:eastAsia="Times New Roman"/>
          <w:sz w:val="22"/>
          <w:szCs w:val="22"/>
          <w:lang w:eastAsia="en-CA"/>
        </w:rPr>
        <w:t>Introduce effective mechanisms independent from the Government of Canada to ensure Canadian extractive industries operating abroad are held accountable for human rights violations</w:t>
      </w:r>
      <w:r w:rsidR="434D3703" w:rsidRPr="1D5E8CE5">
        <w:rPr>
          <w:rFonts w:eastAsia="Times New Roman"/>
          <w:sz w:val="22"/>
          <w:szCs w:val="22"/>
          <w:lang w:eastAsia="en-CA"/>
        </w:rPr>
        <w:t>, including Indigenous women’s right to safety</w:t>
      </w:r>
      <w:r w:rsidR="003348DB" w:rsidRPr="1D5E8CE5">
        <w:rPr>
          <w:rFonts w:eastAsia="Times New Roman"/>
          <w:sz w:val="22"/>
          <w:szCs w:val="22"/>
          <w:lang w:eastAsia="en-CA"/>
        </w:rPr>
        <w:t>.</w:t>
      </w:r>
      <w:r w:rsidRPr="1D5E8CE5">
        <w:rPr>
          <w:rFonts w:eastAsia="Times New Roman"/>
          <w:sz w:val="22"/>
          <w:szCs w:val="22"/>
          <w:lang w:eastAsia="en-CA"/>
        </w:rPr>
        <w:t xml:space="preserve"> </w:t>
      </w:r>
    </w:p>
    <w:p w14:paraId="17CBA477" w14:textId="3FEE1386" w:rsidR="008B5C15" w:rsidRPr="007F4AB4" w:rsidRDefault="00763F05" w:rsidP="007F4AB4">
      <w:pPr>
        <w:pStyle w:val="Default"/>
        <w:numPr>
          <w:ilvl w:val="0"/>
          <w:numId w:val="5"/>
        </w:numPr>
        <w:spacing w:after="80" w:line="276" w:lineRule="auto"/>
        <w:rPr>
          <w:rFonts w:eastAsia="Times New Roman"/>
          <w:lang w:eastAsia="en-CA"/>
        </w:rPr>
      </w:pPr>
      <w:r w:rsidRPr="1D5E8CE5">
        <w:rPr>
          <w:rFonts w:asciiTheme="minorHAnsi" w:hAnsiTheme="minorHAnsi" w:cstheme="minorBidi"/>
          <w:sz w:val="22"/>
          <w:szCs w:val="22"/>
        </w:rPr>
        <w:t>Implement the Special Rapporteur</w:t>
      </w:r>
      <w:r w:rsidRPr="1D5E8CE5">
        <w:rPr>
          <w:rFonts w:cstheme="minorBidi"/>
          <w:sz w:val="22"/>
          <w:szCs w:val="22"/>
        </w:rPr>
        <w:t>’s</w:t>
      </w:r>
      <w:r w:rsidRPr="1D5E8CE5">
        <w:rPr>
          <w:rFonts w:asciiTheme="minorHAnsi" w:hAnsiTheme="minorHAnsi" w:cstheme="minorBidi"/>
          <w:sz w:val="22"/>
          <w:szCs w:val="22"/>
        </w:rPr>
        <w:t xml:space="preserve"> recommendations to remediate mercury contamination in the Grassy Narrows First Nation</w:t>
      </w:r>
      <w:r w:rsidR="00400A42" w:rsidRPr="1D5E8CE5">
        <w:rPr>
          <w:rFonts w:asciiTheme="minorHAnsi" w:hAnsiTheme="minorHAnsi" w:cstheme="minorBidi"/>
          <w:sz w:val="22"/>
          <w:szCs w:val="22"/>
        </w:rPr>
        <w:t>,</w:t>
      </w:r>
      <w:r w:rsidRPr="1D5E8CE5">
        <w:rPr>
          <w:rFonts w:asciiTheme="minorHAnsi" w:hAnsiTheme="minorHAnsi" w:cstheme="minorBidi"/>
          <w:sz w:val="22"/>
          <w:szCs w:val="22"/>
        </w:rPr>
        <w:t xml:space="preserve"> take immediate measures to address its ongoing impacts (</w:t>
      </w:r>
      <w:r w:rsidRPr="1D5E8CE5">
        <w:rPr>
          <w:rFonts w:cstheme="minorBidi"/>
          <w:sz w:val="22"/>
          <w:szCs w:val="22"/>
        </w:rPr>
        <w:t xml:space="preserve">A/HRC/54/31/Add.2, </w:t>
      </w:r>
      <w:r w:rsidRPr="1D5E8CE5">
        <w:rPr>
          <w:rFonts w:asciiTheme="minorHAnsi" w:hAnsiTheme="minorHAnsi" w:cstheme="minorBidi"/>
          <w:sz w:val="22"/>
          <w:szCs w:val="22"/>
        </w:rPr>
        <w:t>para 96 (h)</w:t>
      </w:r>
      <w:r w:rsidRPr="1D5E8CE5">
        <w:rPr>
          <w:rFonts w:cstheme="minorBidi"/>
          <w:sz w:val="22"/>
          <w:szCs w:val="22"/>
        </w:rPr>
        <w:t>)</w:t>
      </w:r>
      <w:r w:rsidRPr="1D5E8CE5">
        <w:rPr>
          <w:rFonts w:asciiTheme="minorHAnsi" w:hAnsiTheme="minorHAnsi" w:cstheme="minorBidi"/>
          <w:sz w:val="22"/>
          <w:szCs w:val="22"/>
        </w:rPr>
        <w:t>, and halt the criminalization of Indigenous human rights and land defenders</w:t>
      </w:r>
      <w:r w:rsidR="442278DD" w:rsidRPr="1D5E8CE5">
        <w:rPr>
          <w:rFonts w:cstheme="minorBidi"/>
          <w:sz w:val="22"/>
          <w:szCs w:val="22"/>
        </w:rPr>
        <w:t xml:space="preserve"> –</w:t>
      </w:r>
      <w:r w:rsidR="002B5C3B">
        <w:rPr>
          <w:rFonts w:cstheme="minorBidi"/>
          <w:sz w:val="22"/>
          <w:szCs w:val="22"/>
        </w:rPr>
        <w:t xml:space="preserve"> </w:t>
      </w:r>
      <w:r w:rsidR="442278DD" w:rsidRPr="1D5E8CE5">
        <w:rPr>
          <w:rFonts w:cstheme="minorBidi"/>
          <w:sz w:val="22"/>
          <w:szCs w:val="22"/>
        </w:rPr>
        <w:t xml:space="preserve">many of whom are Indigenous women </w:t>
      </w:r>
      <w:r w:rsidRPr="1D5E8CE5">
        <w:rPr>
          <w:rFonts w:asciiTheme="minorHAnsi" w:hAnsiTheme="minorHAnsi" w:cstheme="minorBidi"/>
          <w:sz w:val="22"/>
          <w:szCs w:val="22"/>
        </w:rPr>
        <w:t>(</w:t>
      </w:r>
      <w:r w:rsidRPr="1D5E8CE5">
        <w:rPr>
          <w:rFonts w:cstheme="minorBidi"/>
          <w:sz w:val="22"/>
          <w:szCs w:val="22"/>
        </w:rPr>
        <w:t xml:space="preserve">A/HRC/54/31/Add.2, </w:t>
      </w:r>
      <w:r w:rsidRPr="1D5E8CE5">
        <w:rPr>
          <w:rFonts w:asciiTheme="minorHAnsi" w:hAnsiTheme="minorHAnsi" w:cstheme="minorBidi"/>
          <w:sz w:val="22"/>
          <w:szCs w:val="22"/>
        </w:rPr>
        <w:t>para 96 (k)</w:t>
      </w:r>
      <w:r w:rsidRPr="1D5E8CE5">
        <w:rPr>
          <w:rFonts w:cstheme="minorBidi"/>
          <w:sz w:val="22"/>
          <w:szCs w:val="22"/>
        </w:rPr>
        <w:t>)</w:t>
      </w:r>
      <w:r w:rsidRPr="1D5E8CE5">
        <w:rPr>
          <w:rFonts w:asciiTheme="minorHAnsi" w:hAnsiTheme="minorHAnsi" w:cstheme="minorBidi"/>
          <w:sz w:val="22"/>
          <w:szCs w:val="22"/>
        </w:rPr>
        <w:t>.</w:t>
      </w:r>
    </w:p>
    <w:p w14:paraId="3CCE13C9" w14:textId="210292E2" w:rsidR="00FD5C90" w:rsidRPr="007F4AB4" w:rsidRDefault="006D2700" w:rsidP="003D29B1">
      <w:pPr>
        <w:pStyle w:val="Heading1"/>
        <w:spacing w:before="0" w:after="0"/>
        <w:rPr>
          <w:sz w:val="28"/>
        </w:rPr>
      </w:pPr>
      <w:bookmarkStart w:id="6" w:name="_Toc176510763"/>
      <w:r>
        <w:rPr>
          <w:rFonts w:ascii="Calibri" w:hAnsi="Calibri" w:cs="Calibri"/>
          <w:sz w:val="28"/>
        </w:rPr>
        <w:lastRenderedPageBreak/>
        <w:t xml:space="preserve">Priority Area 1: </w:t>
      </w:r>
      <w:r w:rsidR="00962866" w:rsidRPr="007F4AB4">
        <w:rPr>
          <w:rFonts w:ascii="Calibri" w:hAnsi="Calibri" w:cs="Calibri"/>
          <w:sz w:val="28"/>
        </w:rPr>
        <w:t>Canada is not transparently, coherently and consistently implementing the Convention</w:t>
      </w:r>
      <w:r w:rsidR="00B267DC" w:rsidRPr="007F4AB4">
        <w:rPr>
          <w:rFonts w:ascii="Calibri" w:hAnsi="Calibri" w:cs="Calibri"/>
          <w:sz w:val="28"/>
        </w:rPr>
        <w:t xml:space="preserve"> or the UN Declaration</w:t>
      </w:r>
      <w:bookmarkEnd w:id="6"/>
      <w:r w:rsidR="00B267DC" w:rsidRPr="007F4AB4">
        <w:rPr>
          <w:sz w:val="28"/>
        </w:rPr>
        <w:t xml:space="preserve"> </w:t>
      </w:r>
    </w:p>
    <w:p w14:paraId="3BC0381B" w14:textId="77777777" w:rsidR="00C70A67" w:rsidRDefault="00C70A67" w:rsidP="00AB5E60">
      <w:pPr>
        <w:spacing w:line="276" w:lineRule="auto"/>
        <w:rPr>
          <w:sz w:val="22"/>
        </w:rPr>
      </w:pPr>
    </w:p>
    <w:p w14:paraId="5E77F1E9" w14:textId="39BA59D3" w:rsidR="00DF4955" w:rsidRPr="002B63A5" w:rsidRDefault="00255E22" w:rsidP="00AB5E60">
      <w:pPr>
        <w:spacing w:line="276" w:lineRule="auto"/>
        <w:rPr>
          <w:sz w:val="22"/>
        </w:rPr>
      </w:pPr>
      <w:r w:rsidRPr="1500309F">
        <w:rPr>
          <w:sz w:val="22"/>
        </w:rPr>
        <w:t>The l</w:t>
      </w:r>
      <w:r w:rsidR="004766D9" w:rsidRPr="1500309F">
        <w:rPr>
          <w:sz w:val="22"/>
        </w:rPr>
        <w:t xml:space="preserve">ack of implementation </w:t>
      </w:r>
      <w:r w:rsidR="00A017E0" w:rsidRPr="1500309F">
        <w:rPr>
          <w:sz w:val="22"/>
        </w:rPr>
        <w:t xml:space="preserve">of </w:t>
      </w:r>
      <w:r w:rsidR="00DC39D9" w:rsidRPr="1500309F">
        <w:rPr>
          <w:sz w:val="22"/>
        </w:rPr>
        <w:t>the Convention</w:t>
      </w:r>
      <w:r w:rsidR="00F35368" w:rsidRPr="1500309F">
        <w:rPr>
          <w:sz w:val="22"/>
        </w:rPr>
        <w:t xml:space="preserve"> and </w:t>
      </w:r>
      <w:r w:rsidR="00A017E0" w:rsidRPr="1500309F">
        <w:rPr>
          <w:sz w:val="22"/>
        </w:rPr>
        <w:t xml:space="preserve">recommendations of studies, inquiries and symposium </w:t>
      </w:r>
      <w:r w:rsidR="006323AF" w:rsidRPr="1500309F">
        <w:rPr>
          <w:sz w:val="22"/>
        </w:rPr>
        <w:t>on upholding Indigenous women’s rights</w:t>
      </w:r>
      <w:r w:rsidR="006C68D7" w:rsidRPr="1500309F">
        <w:rPr>
          <w:sz w:val="22"/>
        </w:rPr>
        <w:t>,</w:t>
      </w:r>
      <w:r w:rsidR="006323AF" w:rsidRPr="1500309F">
        <w:rPr>
          <w:sz w:val="22"/>
        </w:rPr>
        <w:t xml:space="preserve"> </w:t>
      </w:r>
      <w:r w:rsidR="0003641F" w:rsidRPr="1500309F">
        <w:rPr>
          <w:sz w:val="22"/>
        </w:rPr>
        <w:t>and calls for accountability mechanisms are</w:t>
      </w:r>
      <w:r w:rsidR="004766D9" w:rsidRPr="1500309F">
        <w:rPr>
          <w:sz w:val="22"/>
        </w:rPr>
        <w:t xml:space="preserve"> a </w:t>
      </w:r>
      <w:r w:rsidR="006323AF" w:rsidRPr="1500309F">
        <w:rPr>
          <w:sz w:val="22"/>
        </w:rPr>
        <w:t>recurrent</w:t>
      </w:r>
      <w:r w:rsidR="004766D9" w:rsidRPr="1500309F">
        <w:rPr>
          <w:sz w:val="22"/>
        </w:rPr>
        <w:t xml:space="preserve"> </w:t>
      </w:r>
      <w:r w:rsidR="00A017E0" w:rsidRPr="1500309F">
        <w:rPr>
          <w:sz w:val="22"/>
        </w:rPr>
        <w:t xml:space="preserve">finding </w:t>
      </w:r>
      <w:r w:rsidR="006323AF" w:rsidRPr="1500309F">
        <w:rPr>
          <w:sz w:val="22"/>
        </w:rPr>
        <w:t>from</w:t>
      </w:r>
      <w:r w:rsidR="00A017E0" w:rsidRPr="1500309F">
        <w:rPr>
          <w:sz w:val="22"/>
        </w:rPr>
        <w:t xml:space="preserve"> </w:t>
      </w:r>
      <w:r w:rsidR="00C1729A" w:rsidRPr="1500309F">
        <w:rPr>
          <w:sz w:val="22"/>
        </w:rPr>
        <w:t>United Nations</w:t>
      </w:r>
      <w:r w:rsidR="006C68D7" w:rsidRPr="1500309F">
        <w:rPr>
          <w:sz w:val="22"/>
        </w:rPr>
        <w:t>’</w:t>
      </w:r>
      <w:r w:rsidR="00C1729A" w:rsidRPr="1500309F">
        <w:rPr>
          <w:sz w:val="22"/>
        </w:rPr>
        <w:t xml:space="preserve"> entities </w:t>
      </w:r>
      <w:r w:rsidR="0043385E" w:rsidRPr="1500309F">
        <w:rPr>
          <w:sz w:val="22"/>
        </w:rPr>
        <w:t xml:space="preserve">during reviews of, or country visits to, </w:t>
      </w:r>
      <w:r w:rsidR="00C1729A" w:rsidRPr="1500309F">
        <w:rPr>
          <w:sz w:val="22"/>
        </w:rPr>
        <w:t>Canada</w:t>
      </w:r>
      <w:r w:rsidR="006323AF" w:rsidRPr="1500309F">
        <w:rPr>
          <w:sz w:val="22"/>
        </w:rPr>
        <w:t xml:space="preserve">, and </w:t>
      </w:r>
      <w:r w:rsidR="0043385E" w:rsidRPr="1500309F">
        <w:rPr>
          <w:sz w:val="22"/>
        </w:rPr>
        <w:t xml:space="preserve">from Indigenous women and </w:t>
      </w:r>
      <w:r w:rsidR="0037510F">
        <w:rPr>
          <w:sz w:val="22"/>
        </w:rPr>
        <w:t>ou</w:t>
      </w:r>
      <w:r w:rsidR="0043385E" w:rsidRPr="1500309F">
        <w:rPr>
          <w:sz w:val="22"/>
        </w:rPr>
        <w:t>r organizations</w:t>
      </w:r>
      <w:r w:rsidR="00F35368" w:rsidRPr="1500309F">
        <w:rPr>
          <w:sz w:val="22"/>
        </w:rPr>
        <w:t>,</w:t>
      </w:r>
      <w:r w:rsidR="0043385E" w:rsidRPr="1500309F">
        <w:rPr>
          <w:sz w:val="22"/>
        </w:rPr>
        <w:t xml:space="preserve"> and civil society.</w:t>
      </w:r>
      <w:r w:rsidR="009310FB" w:rsidRPr="1500309F">
        <w:rPr>
          <w:rStyle w:val="FootnoteReference"/>
          <w:sz w:val="22"/>
        </w:rPr>
        <w:footnoteReference w:id="4"/>
      </w:r>
    </w:p>
    <w:p w14:paraId="2BFE280A" w14:textId="77777777" w:rsidR="001F5172" w:rsidRPr="002B63A5" w:rsidRDefault="001F5172" w:rsidP="001F5172">
      <w:pPr>
        <w:rPr>
          <w:sz w:val="22"/>
        </w:rPr>
      </w:pPr>
    </w:p>
    <w:p w14:paraId="5118ED69" w14:textId="3A07749D" w:rsidR="007F2874" w:rsidRPr="0015053E" w:rsidRDefault="00992BAB" w:rsidP="0015053E">
      <w:pPr>
        <w:pStyle w:val="Heading2"/>
        <w:numPr>
          <w:ilvl w:val="0"/>
          <w:numId w:val="15"/>
        </w:numPr>
        <w:spacing w:before="0"/>
        <w:rPr>
          <w:color w:val="auto"/>
          <w:sz w:val="22"/>
          <w:szCs w:val="22"/>
        </w:rPr>
      </w:pPr>
      <w:bookmarkStart w:id="7" w:name="_Toc176510764"/>
      <w:r w:rsidRPr="0015053E">
        <w:rPr>
          <w:color w:val="auto"/>
          <w:sz w:val="22"/>
          <w:szCs w:val="22"/>
        </w:rPr>
        <w:t xml:space="preserve">Canada continues to use federalism as an excuse for inaction and </w:t>
      </w:r>
      <w:r w:rsidR="00217F44" w:rsidRPr="0015053E">
        <w:rPr>
          <w:color w:val="auto"/>
          <w:sz w:val="22"/>
          <w:szCs w:val="22"/>
        </w:rPr>
        <w:t>a l</w:t>
      </w:r>
      <w:r w:rsidR="005A6F1F" w:rsidRPr="0015053E">
        <w:rPr>
          <w:color w:val="auto"/>
          <w:sz w:val="22"/>
          <w:szCs w:val="22"/>
        </w:rPr>
        <w:t xml:space="preserve">ack of </w:t>
      </w:r>
      <w:r w:rsidR="00977477" w:rsidRPr="0015053E">
        <w:rPr>
          <w:color w:val="auto"/>
          <w:sz w:val="22"/>
          <w:szCs w:val="22"/>
        </w:rPr>
        <w:t>accountability</w:t>
      </w:r>
      <w:bookmarkEnd w:id="7"/>
    </w:p>
    <w:p w14:paraId="6E3B1E44" w14:textId="334E57BE" w:rsidR="007F5E05" w:rsidRDefault="00CC684E" w:rsidP="00AB5E60">
      <w:pPr>
        <w:spacing w:after="160" w:line="276" w:lineRule="auto"/>
        <w:rPr>
          <w:rFonts w:ascii="Calibri" w:hAnsi="Calibri" w:cs="Calibri"/>
          <w:sz w:val="22"/>
        </w:rPr>
      </w:pPr>
      <w:r w:rsidRPr="1500309F">
        <w:rPr>
          <w:rFonts w:ascii="Calibri" w:hAnsi="Calibri" w:cs="Calibri"/>
          <w:sz w:val="22"/>
        </w:rPr>
        <w:t xml:space="preserve">Canada continues to use federalism and jurisdictional divides between federal, provincial and territorial (FPT) governments as an excuse for inaction and </w:t>
      </w:r>
      <w:r w:rsidR="00C90CFE" w:rsidRPr="1500309F">
        <w:rPr>
          <w:rFonts w:ascii="Calibri" w:hAnsi="Calibri" w:cs="Calibri"/>
          <w:sz w:val="22"/>
        </w:rPr>
        <w:t>a lack of</w:t>
      </w:r>
      <w:r w:rsidRPr="1500309F">
        <w:rPr>
          <w:rFonts w:ascii="Calibri" w:hAnsi="Calibri" w:cs="Calibri"/>
          <w:sz w:val="22"/>
        </w:rPr>
        <w:t xml:space="preserve"> </w:t>
      </w:r>
      <w:r w:rsidR="00977477" w:rsidRPr="1500309F">
        <w:rPr>
          <w:rFonts w:ascii="Calibri" w:hAnsi="Calibri" w:cs="Calibri"/>
          <w:sz w:val="22"/>
        </w:rPr>
        <w:t>accountability</w:t>
      </w:r>
      <w:r w:rsidR="00E8317A" w:rsidRPr="1500309F">
        <w:rPr>
          <w:rStyle w:val="FootnoteReference"/>
          <w:rFonts w:ascii="Calibri" w:hAnsi="Calibri" w:cs="Calibri"/>
          <w:sz w:val="22"/>
        </w:rPr>
        <w:footnoteReference w:id="5"/>
      </w:r>
      <w:r w:rsidRPr="1500309F">
        <w:rPr>
          <w:rFonts w:ascii="Calibri" w:hAnsi="Calibri" w:cs="Calibri"/>
          <w:sz w:val="22"/>
        </w:rPr>
        <w:t xml:space="preserve"> – </w:t>
      </w:r>
      <w:r w:rsidR="00A42C78" w:rsidRPr="1500309F">
        <w:rPr>
          <w:rFonts w:ascii="Calibri" w:hAnsi="Calibri" w:cs="Calibri"/>
          <w:sz w:val="22"/>
        </w:rPr>
        <w:t>this violates</w:t>
      </w:r>
      <w:r w:rsidRPr="1500309F">
        <w:rPr>
          <w:rFonts w:ascii="Calibri" w:hAnsi="Calibri" w:cs="Calibri"/>
          <w:sz w:val="22"/>
        </w:rPr>
        <w:t xml:space="preserve"> CEDAW Article 2 and General Recommendation 28</w:t>
      </w:r>
      <w:r w:rsidRPr="1500309F">
        <w:rPr>
          <w:rStyle w:val="FootnoteReference"/>
          <w:rFonts w:ascii="Calibri" w:hAnsi="Calibri" w:cs="Calibri"/>
          <w:sz w:val="22"/>
        </w:rPr>
        <w:footnoteReference w:id="6"/>
      </w:r>
      <w:r w:rsidR="00372337" w:rsidRPr="1500309F">
        <w:rPr>
          <w:rFonts w:ascii="Calibri" w:hAnsi="Calibri" w:cs="Calibri"/>
          <w:sz w:val="22"/>
        </w:rPr>
        <w:t>, and does not respond to the Committee’s previous concluding observations</w:t>
      </w:r>
      <w:r w:rsidR="009B05A4" w:rsidRPr="1500309F">
        <w:rPr>
          <w:rFonts w:ascii="Calibri" w:hAnsi="Calibri" w:cs="Calibri"/>
          <w:sz w:val="22"/>
        </w:rPr>
        <w:t>.</w:t>
      </w:r>
      <w:r w:rsidR="00377268" w:rsidRPr="1500309F">
        <w:rPr>
          <w:rStyle w:val="FootnoteReference"/>
          <w:rFonts w:ascii="Calibri" w:hAnsi="Calibri" w:cs="Calibri"/>
          <w:sz w:val="22"/>
        </w:rPr>
        <w:footnoteReference w:id="7"/>
      </w:r>
      <w:r w:rsidRPr="1500309F">
        <w:rPr>
          <w:rFonts w:ascii="Calibri" w:hAnsi="Calibri" w:cs="Calibri"/>
          <w:sz w:val="22"/>
        </w:rPr>
        <w:t xml:space="preserve"> </w:t>
      </w:r>
    </w:p>
    <w:p w14:paraId="76180CD5" w14:textId="55A6F3A8" w:rsidR="00361551" w:rsidRDefault="00222120" w:rsidP="00AB5E60">
      <w:pPr>
        <w:spacing w:after="160" w:line="276" w:lineRule="auto"/>
        <w:rPr>
          <w:sz w:val="22"/>
        </w:rPr>
      </w:pPr>
      <w:r w:rsidRPr="1500309F">
        <w:rPr>
          <w:rFonts w:ascii="Calibri" w:hAnsi="Calibri" w:cs="Calibri"/>
          <w:sz w:val="22"/>
        </w:rPr>
        <w:t xml:space="preserve">Responding </w:t>
      </w:r>
      <w:r w:rsidR="00CC684E" w:rsidRPr="1500309F">
        <w:rPr>
          <w:rFonts w:ascii="Calibri" w:hAnsi="Calibri" w:cs="Calibri"/>
          <w:sz w:val="22"/>
        </w:rPr>
        <w:t>to Issue 3</w:t>
      </w:r>
      <w:r w:rsidR="00F57211" w:rsidRPr="1500309F">
        <w:rPr>
          <w:rFonts w:ascii="Calibri" w:hAnsi="Calibri" w:cs="Calibri"/>
          <w:sz w:val="22"/>
        </w:rPr>
        <w:t xml:space="preserve"> (CEDAW/C/CAN/QPR/10; para. 3)</w:t>
      </w:r>
      <w:r w:rsidR="00CC684E" w:rsidRPr="1500309F">
        <w:rPr>
          <w:rFonts w:ascii="Calibri" w:hAnsi="Calibri" w:cs="Calibri"/>
          <w:sz w:val="22"/>
        </w:rPr>
        <w:t xml:space="preserve">, Canada explicitly rejects Article 2 </w:t>
      </w:r>
      <w:r w:rsidR="00F95DC5" w:rsidRPr="1500309F">
        <w:rPr>
          <w:rFonts w:ascii="Calibri" w:hAnsi="Calibri" w:cs="Calibri"/>
          <w:sz w:val="22"/>
        </w:rPr>
        <w:t xml:space="preserve">and General Recommendation </w:t>
      </w:r>
      <w:r w:rsidR="00C90CFE" w:rsidRPr="1500309F">
        <w:rPr>
          <w:rFonts w:ascii="Calibri" w:hAnsi="Calibri" w:cs="Calibri"/>
          <w:sz w:val="22"/>
        </w:rPr>
        <w:t xml:space="preserve">No. 28 </w:t>
      </w:r>
      <w:r w:rsidR="00CC684E" w:rsidRPr="1500309F">
        <w:rPr>
          <w:rFonts w:ascii="Calibri" w:hAnsi="Calibri" w:cs="Calibri"/>
          <w:sz w:val="22"/>
        </w:rPr>
        <w:t>by skirting its responsibilities</w:t>
      </w:r>
      <w:r w:rsidR="00186A8E" w:rsidRPr="1500309F">
        <w:rPr>
          <w:rFonts w:ascii="Calibri" w:hAnsi="Calibri" w:cs="Calibri"/>
          <w:sz w:val="22"/>
        </w:rPr>
        <w:t xml:space="preserve"> under the premise of federalism</w:t>
      </w:r>
      <w:r w:rsidR="00CC684E" w:rsidRPr="1500309F">
        <w:rPr>
          <w:rFonts w:ascii="Calibri" w:hAnsi="Calibri" w:cs="Calibri"/>
          <w:sz w:val="22"/>
        </w:rPr>
        <w:t>.</w:t>
      </w:r>
      <w:r w:rsidR="00CC684E" w:rsidRPr="1500309F">
        <w:rPr>
          <w:rStyle w:val="FootnoteReference"/>
          <w:rFonts w:ascii="Calibri" w:hAnsi="Calibri" w:cs="Calibri"/>
          <w:sz w:val="22"/>
        </w:rPr>
        <w:footnoteReference w:id="8"/>
      </w:r>
      <w:r w:rsidR="00186A8E" w:rsidRPr="1500309F">
        <w:rPr>
          <w:rFonts w:ascii="Calibri" w:hAnsi="Calibri" w:cs="Calibri"/>
          <w:sz w:val="22"/>
        </w:rPr>
        <w:t xml:space="preserve"> </w:t>
      </w:r>
      <w:r w:rsidR="00361551" w:rsidRPr="1500309F">
        <w:rPr>
          <w:sz w:val="22"/>
        </w:rPr>
        <w:t>Violence against Indigenous women is not confined to jurisdictional boundaries – action to address it and to uphold Indigenous women’s inherent rights must not be either.</w:t>
      </w:r>
      <w:r w:rsidR="00DA08C9" w:rsidRPr="1500309F">
        <w:rPr>
          <w:sz w:val="22"/>
        </w:rPr>
        <w:t xml:space="preserve"> </w:t>
      </w:r>
    </w:p>
    <w:p w14:paraId="280D0FCC" w14:textId="7E9E071F" w:rsidR="00EE1372" w:rsidRPr="002B63A5" w:rsidRDefault="00977477" w:rsidP="1D5E8CE5">
      <w:pPr>
        <w:spacing w:after="160" w:line="276" w:lineRule="auto"/>
        <w:rPr>
          <w:sz w:val="22"/>
        </w:rPr>
      </w:pPr>
      <w:r w:rsidRPr="1D5E8CE5">
        <w:rPr>
          <w:rFonts w:ascii="Calibri" w:hAnsi="Calibri" w:cs="Calibri"/>
          <w:sz w:val="22"/>
        </w:rPr>
        <w:t>While Canada references four FPT tables</w:t>
      </w:r>
      <w:r w:rsidR="002D47B7" w:rsidRPr="1D5E8CE5">
        <w:rPr>
          <w:rFonts w:ascii="Calibri" w:hAnsi="Calibri" w:cs="Calibri"/>
          <w:sz w:val="22"/>
        </w:rPr>
        <w:t>/committees</w:t>
      </w:r>
      <w:r w:rsidR="00E81BD5" w:rsidRPr="1D5E8CE5">
        <w:rPr>
          <w:sz w:val="22"/>
        </w:rPr>
        <w:t xml:space="preserve">, </w:t>
      </w:r>
      <w:r w:rsidR="00332075" w:rsidRPr="1D5E8CE5">
        <w:rPr>
          <w:sz w:val="22"/>
        </w:rPr>
        <w:t>these tables/committees meet infrequently</w:t>
      </w:r>
      <w:r w:rsidR="00A16DD5" w:rsidRPr="1D5E8CE5">
        <w:rPr>
          <w:sz w:val="22"/>
        </w:rPr>
        <w:t xml:space="preserve"> </w:t>
      </w:r>
      <w:r w:rsidR="00AE07AA" w:rsidRPr="1D5E8CE5">
        <w:rPr>
          <w:sz w:val="22"/>
        </w:rPr>
        <w:t xml:space="preserve">and </w:t>
      </w:r>
      <w:r w:rsidR="00C20A1F" w:rsidRPr="1D5E8CE5">
        <w:rPr>
          <w:sz w:val="22"/>
        </w:rPr>
        <w:t xml:space="preserve">offer limited engagement </w:t>
      </w:r>
      <w:r w:rsidR="001E1310" w:rsidRPr="1D5E8CE5">
        <w:rPr>
          <w:sz w:val="22"/>
        </w:rPr>
        <w:t xml:space="preserve">with Indigenous </w:t>
      </w:r>
      <w:r w:rsidR="50551F9B" w:rsidRPr="1D5E8CE5">
        <w:rPr>
          <w:sz w:val="22"/>
        </w:rPr>
        <w:t>women</w:t>
      </w:r>
      <w:r w:rsidR="001E1310" w:rsidRPr="1D5E8CE5">
        <w:rPr>
          <w:sz w:val="22"/>
        </w:rPr>
        <w:t xml:space="preserve">, </w:t>
      </w:r>
      <w:r w:rsidR="008F2E65" w:rsidRPr="1D5E8CE5">
        <w:rPr>
          <w:sz w:val="22"/>
        </w:rPr>
        <w:t>our</w:t>
      </w:r>
      <w:r w:rsidR="001E1310" w:rsidRPr="1D5E8CE5">
        <w:rPr>
          <w:sz w:val="22"/>
        </w:rPr>
        <w:t xml:space="preserve"> organization</w:t>
      </w:r>
      <w:r w:rsidR="00EC1A71" w:rsidRPr="1D5E8CE5">
        <w:rPr>
          <w:sz w:val="22"/>
        </w:rPr>
        <w:t>s,</w:t>
      </w:r>
      <w:r w:rsidR="001E1310" w:rsidRPr="1D5E8CE5">
        <w:rPr>
          <w:sz w:val="22"/>
        </w:rPr>
        <w:t xml:space="preserve"> and civil society, </w:t>
      </w:r>
      <w:r w:rsidR="00C523E9" w:rsidRPr="1D5E8CE5">
        <w:rPr>
          <w:sz w:val="22"/>
        </w:rPr>
        <w:t xml:space="preserve">lack transparency </w:t>
      </w:r>
      <w:r w:rsidR="005D19CB" w:rsidRPr="1D5E8CE5">
        <w:rPr>
          <w:sz w:val="22"/>
        </w:rPr>
        <w:t xml:space="preserve">and accountability, </w:t>
      </w:r>
      <w:r w:rsidR="001E1310" w:rsidRPr="1D5E8CE5">
        <w:rPr>
          <w:sz w:val="22"/>
        </w:rPr>
        <w:t xml:space="preserve">and </w:t>
      </w:r>
      <w:r w:rsidR="00EE1372" w:rsidRPr="1D5E8CE5">
        <w:rPr>
          <w:sz w:val="22"/>
        </w:rPr>
        <w:t>do not lead to action</w:t>
      </w:r>
      <w:r w:rsidR="005D19CB" w:rsidRPr="1D5E8CE5">
        <w:rPr>
          <w:sz w:val="22"/>
        </w:rPr>
        <w:t>.</w:t>
      </w:r>
      <w:r w:rsidR="008E5431" w:rsidRPr="1D5E8CE5">
        <w:rPr>
          <w:rStyle w:val="FootnoteReference"/>
          <w:sz w:val="22"/>
        </w:rPr>
        <w:footnoteReference w:id="9"/>
      </w:r>
      <w:r w:rsidR="00361551" w:rsidRPr="1D5E8CE5">
        <w:rPr>
          <w:sz w:val="22"/>
        </w:rPr>
        <w:t xml:space="preserve"> </w:t>
      </w:r>
      <w:r w:rsidR="00EE1372" w:rsidRPr="1D5E8CE5">
        <w:rPr>
          <w:sz w:val="22"/>
        </w:rPr>
        <w:t xml:space="preserve"> </w:t>
      </w:r>
    </w:p>
    <w:p w14:paraId="6B9ACCAD" w14:textId="55F49009" w:rsidR="002B63A5" w:rsidRDefault="002B63A5" w:rsidP="00E0079C">
      <w:pPr>
        <w:spacing w:after="160" w:line="276" w:lineRule="auto"/>
        <w:ind w:left="720"/>
        <w:rPr>
          <w:sz w:val="22"/>
        </w:rPr>
      </w:pPr>
      <w:r w:rsidRPr="1500309F">
        <w:rPr>
          <w:b/>
          <w:bCs/>
          <w:sz w:val="22"/>
        </w:rPr>
        <w:t xml:space="preserve">RECOMMENDATION: </w:t>
      </w:r>
      <w:r w:rsidR="0087055B">
        <w:rPr>
          <w:sz w:val="22"/>
        </w:rPr>
        <w:t>Co-create</w:t>
      </w:r>
      <w:r w:rsidRPr="1500309F">
        <w:rPr>
          <w:sz w:val="22"/>
        </w:rPr>
        <w:t xml:space="preserve"> a co-ordinated accountability mechanism – across all levels of government </w:t>
      </w:r>
      <w:r w:rsidRPr="1500309F">
        <w:rPr>
          <w:sz w:val="22"/>
          <w:u w:val="single"/>
        </w:rPr>
        <w:t>and with Indigenous women</w:t>
      </w:r>
      <w:r w:rsidRPr="1500309F">
        <w:rPr>
          <w:sz w:val="22"/>
        </w:rPr>
        <w:t xml:space="preserve"> - with the mandate and resources for implementing and </w:t>
      </w:r>
      <w:r w:rsidRPr="1500309F">
        <w:rPr>
          <w:sz w:val="22"/>
        </w:rPr>
        <w:lastRenderedPageBreak/>
        <w:t>monitoring outcomes and recommendations that uphold Indigenous women’s rights and safety</w:t>
      </w:r>
      <w:r w:rsidR="001054FB" w:rsidRPr="1500309F">
        <w:rPr>
          <w:sz w:val="22"/>
        </w:rPr>
        <w:t>,</w:t>
      </w:r>
      <w:r w:rsidRPr="1500309F">
        <w:rPr>
          <w:sz w:val="22"/>
        </w:rPr>
        <w:t xml:space="preserve"> and </w:t>
      </w:r>
      <w:r w:rsidR="001054FB" w:rsidRPr="1500309F">
        <w:rPr>
          <w:sz w:val="22"/>
        </w:rPr>
        <w:t xml:space="preserve">ensure </w:t>
      </w:r>
      <w:r w:rsidRPr="1500309F">
        <w:rPr>
          <w:sz w:val="22"/>
        </w:rPr>
        <w:t xml:space="preserve">timely, transparent public reporting on </w:t>
      </w:r>
      <w:r w:rsidRPr="00CC56B8">
        <w:rPr>
          <w:sz w:val="22"/>
        </w:rPr>
        <w:t>progress</w:t>
      </w:r>
      <w:r w:rsidR="00C33528" w:rsidRPr="00CC56B8">
        <w:rPr>
          <w:sz w:val="22"/>
        </w:rPr>
        <w:t>,</w:t>
      </w:r>
      <w:r w:rsidR="006D16AF" w:rsidRPr="00CC56B8">
        <w:rPr>
          <w:sz w:val="22"/>
        </w:rPr>
        <w:t xml:space="preserve"> and implement the Special Rapporteur on the Rights of Indigenous Peoples’ 2023 recommendation</w:t>
      </w:r>
      <w:r w:rsidR="00F74A2A">
        <w:rPr>
          <w:sz w:val="22"/>
        </w:rPr>
        <w:t xml:space="preserve"> and the National Inquiry in MMIWG’s C</w:t>
      </w:r>
      <w:r w:rsidR="00F74A2A" w:rsidRPr="004C3209">
        <w:rPr>
          <w:sz w:val="22"/>
        </w:rPr>
        <w:t>all for Jus</w:t>
      </w:r>
      <w:r w:rsidR="002A0A7F" w:rsidRPr="004C3209">
        <w:rPr>
          <w:sz w:val="22"/>
        </w:rPr>
        <w:t>tice</w:t>
      </w:r>
      <w:r w:rsidR="00F74A2A" w:rsidRPr="004C3209">
        <w:rPr>
          <w:sz w:val="22"/>
        </w:rPr>
        <w:t xml:space="preserve"> 1.7</w:t>
      </w:r>
      <w:r w:rsidR="004C3209" w:rsidRPr="004C3209">
        <w:rPr>
          <w:sz w:val="22"/>
        </w:rPr>
        <w:t xml:space="preserve"> to set up an independent Indigenous-led human rights mechanism</w:t>
      </w:r>
      <w:r w:rsidR="008A41AC" w:rsidRPr="004C3209">
        <w:rPr>
          <w:sz w:val="22"/>
        </w:rPr>
        <w:t>.</w:t>
      </w:r>
      <w:r w:rsidR="006D16AF" w:rsidRPr="00CC56B8">
        <w:rPr>
          <w:sz w:val="22"/>
        </w:rPr>
        <w:t xml:space="preserve"> </w:t>
      </w:r>
    </w:p>
    <w:p w14:paraId="23A9A775" w14:textId="77777777" w:rsidR="004C3209" w:rsidRDefault="008F2338" w:rsidP="00462876">
      <w:pPr>
        <w:spacing w:after="160" w:line="276" w:lineRule="auto"/>
        <w:rPr>
          <w:rFonts w:ascii="Calibri" w:hAnsi="Calibri" w:cs="Calibri"/>
          <w:sz w:val="22"/>
        </w:rPr>
      </w:pPr>
      <w:r w:rsidRPr="007F4AB4">
        <w:rPr>
          <w:rFonts w:ascii="Calibri" w:hAnsi="Calibri" w:cs="Calibri"/>
          <w:sz w:val="22"/>
        </w:rPr>
        <w:t xml:space="preserve">Responding </w:t>
      </w:r>
      <w:r w:rsidR="009941E9" w:rsidRPr="007F4AB4">
        <w:rPr>
          <w:rFonts w:ascii="Calibri" w:hAnsi="Calibri" w:cs="Calibri"/>
          <w:sz w:val="22"/>
        </w:rPr>
        <w:t>to Issue 4 (CEDAW/C/CAN/QPR/10; para. 4), Canada prov</w:t>
      </w:r>
      <w:r w:rsidR="00F5525A" w:rsidRPr="007F4AB4">
        <w:rPr>
          <w:rFonts w:ascii="Calibri" w:hAnsi="Calibri" w:cs="Calibri"/>
          <w:sz w:val="22"/>
        </w:rPr>
        <w:t>ides</w:t>
      </w:r>
      <w:r w:rsidR="00845FB3" w:rsidRPr="007F4AB4">
        <w:rPr>
          <w:rFonts w:ascii="Calibri" w:hAnsi="Calibri" w:cs="Calibri"/>
          <w:sz w:val="22"/>
        </w:rPr>
        <w:t xml:space="preserve"> high level information on </w:t>
      </w:r>
      <w:r w:rsidR="0062385D" w:rsidRPr="007F4AB4">
        <w:rPr>
          <w:rFonts w:ascii="Calibri" w:hAnsi="Calibri" w:cs="Calibri"/>
          <w:sz w:val="22"/>
        </w:rPr>
        <w:t xml:space="preserve">the </w:t>
      </w:r>
      <w:r w:rsidR="00D33AD1" w:rsidRPr="007F4AB4">
        <w:rPr>
          <w:rFonts w:ascii="Calibri" w:hAnsi="Calibri" w:cs="Calibri"/>
          <w:i/>
          <w:iCs/>
          <w:sz w:val="22"/>
        </w:rPr>
        <w:t>Indian Act</w:t>
      </w:r>
      <w:r w:rsidR="00D33AD1" w:rsidRPr="007F4AB4">
        <w:rPr>
          <w:rFonts w:ascii="Calibri" w:hAnsi="Calibri" w:cs="Calibri"/>
          <w:sz w:val="22"/>
        </w:rPr>
        <w:t xml:space="preserve">. </w:t>
      </w:r>
      <w:r w:rsidR="00E90050" w:rsidRPr="007F4AB4">
        <w:rPr>
          <w:rFonts w:ascii="Calibri" w:hAnsi="Calibri" w:cs="Calibri"/>
          <w:sz w:val="22"/>
        </w:rPr>
        <w:t xml:space="preserve">While some of the inequities in the </w:t>
      </w:r>
      <w:r w:rsidR="00E90050" w:rsidRPr="00DC0BAA">
        <w:rPr>
          <w:rFonts w:ascii="Calibri" w:hAnsi="Calibri" w:cs="Calibri"/>
          <w:i/>
          <w:iCs/>
          <w:sz w:val="22"/>
        </w:rPr>
        <w:t>Indian Act</w:t>
      </w:r>
      <w:r w:rsidR="00E90050" w:rsidRPr="007F4AB4">
        <w:rPr>
          <w:rFonts w:ascii="Calibri" w:hAnsi="Calibri" w:cs="Calibri"/>
          <w:sz w:val="22"/>
        </w:rPr>
        <w:t xml:space="preserve"> have been eliminated through</w:t>
      </w:r>
      <w:r w:rsidR="00297D88" w:rsidRPr="007F4AB4">
        <w:rPr>
          <w:rFonts w:ascii="Calibri" w:hAnsi="Calibri" w:cs="Calibri"/>
          <w:sz w:val="22"/>
        </w:rPr>
        <w:t xml:space="preserve"> the</w:t>
      </w:r>
      <w:r w:rsidR="00E90050" w:rsidRPr="007F4AB4">
        <w:rPr>
          <w:rFonts w:ascii="Calibri" w:hAnsi="Calibri" w:cs="Calibri"/>
          <w:sz w:val="22"/>
        </w:rPr>
        <w:t xml:space="preserve"> tireless efforts of First Nations women, Canada’s piecemeal and litigation driven approach to legislative changes has resulted in residual inequities that continue to negatively impact First Nations women and their families</w:t>
      </w:r>
      <w:r w:rsidR="00F41E8E" w:rsidRPr="007F4AB4">
        <w:rPr>
          <w:rFonts w:ascii="Calibri" w:hAnsi="Calibri" w:cs="Calibri"/>
          <w:sz w:val="22"/>
          <w:vertAlign w:val="superscript"/>
        </w:rPr>
        <w:t xml:space="preserve"> </w:t>
      </w:r>
      <w:r w:rsidR="00F41E8E" w:rsidRPr="007F4AB4">
        <w:rPr>
          <w:rFonts w:ascii="Calibri" w:hAnsi="Calibri" w:cs="Calibri"/>
          <w:sz w:val="22"/>
        </w:rPr>
        <w:t>- this continues to violate CEDAW Articles 2 and 9</w:t>
      </w:r>
      <w:r w:rsidR="00EC530F" w:rsidRPr="007F4AB4">
        <w:rPr>
          <w:rFonts w:ascii="Calibri" w:hAnsi="Calibri" w:cs="Calibri"/>
          <w:sz w:val="22"/>
        </w:rPr>
        <w:t xml:space="preserve"> and </w:t>
      </w:r>
      <w:r w:rsidR="00F56EDC" w:rsidRPr="007F4AB4">
        <w:rPr>
          <w:rFonts w:ascii="Calibri" w:hAnsi="Calibri" w:cs="Calibri"/>
          <w:sz w:val="22"/>
        </w:rPr>
        <w:t>UNDRIP</w:t>
      </w:r>
      <w:r w:rsidR="00F41E8E" w:rsidRPr="007F4AB4">
        <w:rPr>
          <w:rFonts w:ascii="Calibri" w:hAnsi="Calibri" w:cs="Calibri"/>
          <w:sz w:val="22"/>
        </w:rPr>
        <w:t xml:space="preserve">. </w:t>
      </w:r>
      <w:r w:rsidR="00967FC0" w:rsidRPr="007F4AB4">
        <w:rPr>
          <w:rFonts w:ascii="Calibri" w:hAnsi="Calibri" w:cs="Calibri"/>
          <w:sz w:val="22"/>
        </w:rPr>
        <w:t xml:space="preserve">The history of sex discrimination within the </w:t>
      </w:r>
      <w:r w:rsidR="00967FC0" w:rsidRPr="007F4AB4">
        <w:rPr>
          <w:rFonts w:ascii="Calibri" w:hAnsi="Calibri" w:cs="Calibri"/>
          <w:i/>
          <w:iCs/>
          <w:sz w:val="22"/>
        </w:rPr>
        <w:t>Indian Act</w:t>
      </w:r>
      <w:r w:rsidR="00967FC0" w:rsidRPr="007F4AB4">
        <w:rPr>
          <w:rFonts w:ascii="Calibri" w:hAnsi="Calibri" w:cs="Calibri"/>
          <w:sz w:val="22"/>
        </w:rPr>
        <w:t xml:space="preserve"> </w:t>
      </w:r>
      <w:r w:rsidR="003E6C80" w:rsidRPr="007F4AB4">
        <w:rPr>
          <w:rFonts w:ascii="Calibri" w:hAnsi="Calibri" w:cs="Calibri"/>
          <w:sz w:val="22"/>
        </w:rPr>
        <w:t>is directly</w:t>
      </w:r>
      <w:r w:rsidR="00967FC0" w:rsidRPr="007F4AB4">
        <w:rPr>
          <w:rFonts w:ascii="Calibri" w:hAnsi="Calibri" w:cs="Calibri"/>
          <w:sz w:val="22"/>
        </w:rPr>
        <w:t xml:space="preserve"> link</w:t>
      </w:r>
      <w:r w:rsidR="003E6C80" w:rsidRPr="007F4AB4">
        <w:rPr>
          <w:rFonts w:ascii="Calibri" w:hAnsi="Calibri" w:cs="Calibri"/>
          <w:sz w:val="22"/>
        </w:rPr>
        <w:t>ed</w:t>
      </w:r>
      <w:r w:rsidR="00967FC0" w:rsidRPr="007F4AB4">
        <w:rPr>
          <w:rFonts w:ascii="Calibri" w:hAnsi="Calibri" w:cs="Calibri"/>
          <w:sz w:val="22"/>
        </w:rPr>
        <w:t xml:space="preserve"> to current violence against Indigenous women and girls, as evidenced in the findings of the 2015 CEDAW Inquiry into discrimination against Indigenous women in Canada and the 2016-2019 National Inquiry MMIWG.</w:t>
      </w:r>
      <w:r w:rsidR="00967FC0">
        <w:rPr>
          <w:rStyle w:val="FootnoteReference"/>
          <w:rFonts w:ascii="Calibri" w:hAnsi="Calibri" w:cs="Calibri"/>
          <w:sz w:val="22"/>
        </w:rPr>
        <w:footnoteReference w:id="10"/>
      </w:r>
      <w:r w:rsidR="009267F0">
        <w:rPr>
          <w:rFonts w:ascii="Calibri" w:hAnsi="Calibri" w:cs="Calibri"/>
          <w:sz w:val="22"/>
        </w:rPr>
        <w:t xml:space="preserve"> </w:t>
      </w:r>
    </w:p>
    <w:p w14:paraId="42A1D61E" w14:textId="42C364AE" w:rsidR="00967FC0" w:rsidRPr="00DC0BAA" w:rsidRDefault="004C3209" w:rsidP="00462876">
      <w:pPr>
        <w:spacing w:after="160" w:line="276" w:lineRule="auto"/>
        <w:rPr>
          <w:rFonts w:cs="Calibri"/>
          <w:b/>
          <w:bCs/>
        </w:rPr>
      </w:pPr>
      <w:r w:rsidRPr="00DA42DF">
        <w:rPr>
          <w:rFonts w:ascii="Calibri" w:hAnsi="Calibri" w:cs="Calibri"/>
          <w:sz w:val="22"/>
        </w:rPr>
        <w:t>ONWA maintains that all Indigenous women have a right to their Indigenous identity, culture, and community, as well as a right to pass on their culture to their children.</w:t>
      </w:r>
      <w:r w:rsidRPr="00462876">
        <w:rPr>
          <w:rFonts w:ascii="Calibri" w:hAnsi="Calibri" w:cs="Calibri"/>
          <w:b/>
          <w:bCs/>
          <w:sz w:val="22"/>
        </w:rPr>
        <w:t xml:space="preserve"> </w:t>
      </w:r>
      <w:r w:rsidR="009267F0" w:rsidRPr="009267F0">
        <w:rPr>
          <w:rFonts w:ascii="Calibri" w:hAnsi="Calibri" w:cs="Calibri"/>
          <w:sz w:val="22"/>
        </w:rPr>
        <w:t xml:space="preserve">We have long called for the removal of all discriminatory provisions within the </w:t>
      </w:r>
      <w:r w:rsidR="009267F0" w:rsidRPr="009267F0">
        <w:rPr>
          <w:rFonts w:ascii="Calibri" w:hAnsi="Calibri" w:cs="Calibri"/>
          <w:i/>
          <w:iCs/>
          <w:sz w:val="22"/>
        </w:rPr>
        <w:t xml:space="preserve">Indian Act, </w:t>
      </w:r>
      <w:r w:rsidR="009267F0" w:rsidRPr="009267F0">
        <w:rPr>
          <w:rFonts w:ascii="Calibri" w:hAnsi="Calibri" w:cs="Calibri"/>
          <w:sz w:val="22"/>
        </w:rPr>
        <w:t>as well as addressing residual discrimination in communities that remains a legacy of the colonial governance structure embedded in the Act. While each community is unique, there exists a pattern of discrimination against First Nations women rooted in patriarchal values imposed on them through centuries of colonization. First Nations women have been forced to fight for decades to reclaim their places in society and in their communities as a result.</w:t>
      </w:r>
    </w:p>
    <w:p w14:paraId="0B5A054B" w14:textId="023A7513" w:rsidR="00AD692B" w:rsidRDefault="00202E44" w:rsidP="00030163">
      <w:pPr>
        <w:spacing w:line="276" w:lineRule="auto"/>
        <w:ind w:left="720"/>
        <w:rPr>
          <w:sz w:val="22"/>
        </w:rPr>
      </w:pPr>
      <w:r w:rsidRPr="003F15EA">
        <w:rPr>
          <w:b/>
          <w:bCs/>
          <w:sz w:val="22"/>
        </w:rPr>
        <w:t>RECOMMENDATION:</w:t>
      </w:r>
      <w:r w:rsidR="00031C08" w:rsidRPr="003F15EA">
        <w:rPr>
          <w:b/>
          <w:bCs/>
          <w:sz w:val="22"/>
        </w:rPr>
        <w:t xml:space="preserve"> </w:t>
      </w:r>
      <w:r w:rsidR="00171D15" w:rsidRPr="003F15EA">
        <w:rPr>
          <w:sz w:val="22"/>
        </w:rPr>
        <w:t>F</w:t>
      </w:r>
      <w:r w:rsidR="00FB38DF" w:rsidRPr="003F15EA">
        <w:rPr>
          <w:sz w:val="22"/>
        </w:rPr>
        <w:t>ull</w:t>
      </w:r>
      <w:r w:rsidR="00A939FB" w:rsidRPr="003F15EA">
        <w:rPr>
          <w:sz w:val="22"/>
        </w:rPr>
        <w:t>y</w:t>
      </w:r>
      <w:r w:rsidR="00FB38DF" w:rsidRPr="003F15EA">
        <w:rPr>
          <w:sz w:val="22"/>
        </w:rPr>
        <w:t xml:space="preserve"> eliminate </w:t>
      </w:r>
      <w:r w:rsidR="00031C08" w:rsidRPr="003F15EA">
        <w:rPr>
          <w:sz w:val="22"/>
        </w:rPr>
        <w:t xml:space="preserve">the sex discrimination in the </w:t>
      </w:r>
      <w:r w:rsidR="00031C08" w:rsidRPr="00DC0BAA">
        <w:rPr>
          <w:sz w:val="22"/>
        </w:rPr>
        <w:t>Indian Act</w:t>
      </w:r>
      <w:r w:rsidR="00801A1B" w:rsidRPr="003F15EA">
        <w:rPr>
          <w:sz w:val="22"/>
        </w:rPr>
        <w:t xml:space="preserve"> as outlined in the</w:t>
      </w:r>
      <w:r w:rsidR="00801A1B" w:rsidRPr="00DC0BAA">
        <w:rPr>
          <w:sz w:val="22"/>
        </w:rPr>
        <w:t xml:space="preserve"> Indian Act Sex Discrimination Working Group</w:t>
      </w:r>
      <w:r w:rsidR="006A5407">
        <w:rPr>
          <w:sz w:val="22"/>
        </w:rPr>
        <w:t>’s</w:t>
      </w:r>
      <w:r w:rsidR="00801A1B" w:rsidRPr="00DC0BAA">
        <w:rPr>
          <w:sz w:val="22"/>
        </w:rPr>
        <w:t xml:space="preserve"> Submission to </w:t>
      </w:r>
      <w:r w:rsidR="000812F8" w:rsidRPr="00DC0BAA">
        <w:rPr>
          <w:sz w:val="22"/>
        </w:rPr>
        <w:t xml:space="preserve">CEDAW </w:t>
      </w:r>
      <w:r w:rsidR="00801A1B" w:rsidRPr="00DC0BAA">
        <w:rPr>
          <w:sz w:val="22"/>
        </w:rPr>
        <w:t>for the Review of Canada, October 16, 2024</w:t>
      </w:r>
    </w:p>
    <w:p w14:paraId="38422B68" w14:textId="77777777" w:rsidR="00A922B1" w:rsidRPr="003F15EA" w:rsidRDefault="00A922B1" w:rsidP="00A972A3">
      <w:pPr>
        <w:spacing w:line="276" w:lineRule="auto"/>
        <w:ind w:left="720"/>
      </w:pPr>
    </w:p>
    <w:p w14:paraId="41319142" w14:textId="269BFCA5" w:rsidR="00B77A74" w:rsidRPr="0015053E" w:rsidRDefault="00B77A74" w:rsidP="0015053E">
      <w:pPr>
        <w:pStyle w:val="Heading2"/>
        <w:numPr>
          <w:ilvl w:val="0"/>
          <w:numId w:val="15"/>
        </w:numPr>
        <w:spacing w:before="0"/>
        <w:rPr>
          <w:color w:val="auto"/>
          <w:sz w:val="22"/>
          <w:szCs w:val="22"/>
        </w:rPr>
      </w:pPr>
      <w:bookmarkStart w:id="8" w:name="_Toc176510765"/>
      <w:r w:rsidRPr="0015053E">
        <w:rPr>
          <w:color w:val="auto"/>
          <w:sz w:val="22"/>
          <w:szCs w:val="22"/>
        </w:rPr>
        <w:t>Can</w:t>
      </w:r>
      <w:r w:rsidR="006B6D1C" w:rsidRPr="0015053E">
        <w:rPr>
          <w:color w:val="auto"/>
          <w:sz w:val="22"/>
          <w:szCs w:val="22"/>
        </w:rPr>
        <w:t>a</w:t>
      </w:r>
      <w:r w:rsidRPr="0015053E">
        <w:rPr>
          <w:color w:val="auto"/>
          <w:sz w:val="22"/>
          <w:szCs w:val="22"/>
        </w:rPr>
        <w:t>da’s national machinery is insufficient, lacks transparency and excludes Indigenous women</w:t>
      </w:r>
      <w:bookmarkEnd w:id="8"/>
    </w:p>
    <w:p w14:paraId="66997445" w14:textId="38626AAC" w:rsidR="00203486" w:rsidRDefault="00571792" w:rsidP="00420000">
      <w:pPr>
        <w:spacing w:after="160" w:line="276" w:lineRule="auto"/>
        <w:rPr>
          <w:rFonts w:ascii="Calibri" w:hAnsi="Calibri" w:cs="Calibri"/>
          <w:sz w:val="22"/>
        </w:rPr>
      </w:pPr>
      <w:r w:rsidRPr="1500309F">
        <w:rPr>
          <w:sz w:val="22"/>
        </w:rPr>
        <w:t xml:space="preserve">Responding </w:t>
      </w:r>
      <w:r w:rsidR="00E5162F" w:rsidRPr="1500309F">
        <w:rPr>
          <w:sz w:val="22"/>
        </w:rPr>
        <w:t>to Issue 7</w:t>
      </w:r>
      <w:r w:rsidR="00E0079C" w:rsidRPr="1500309F">
        <w:rPr>
          <w:sz w:val="22"/>
        </w:rPr>
        <w:t xml:space="preserve"> </w:t>
      </w:r>
      <w:r w:rsidR="00E0079C" w:rsidRPr="1500309F">
        <w:rPr>
          <w:rFonts w:ascii="Calibri" w:hAnsi="Calibri" w:cs="Calibri"/>
          <w:sz w:val="22"/>
        </w:rPr>
        <w:t>(CEDAW/C/CAN/QPR/10; para. 7),</w:t>
      </w:r>
      <w:r w:rsidR="00DA406B" w:rsidRPr="1500309F">
        <w:rPr>
          <w:rFonts w:ascii="Calibri" w:hAnsi="Calibri" w:cs="Calibri"/>
          <w:sz w:val="22"/>
        </w:rPr>
        <w:t xml:space="preserve"> Canada</w:t>
      </w:r>
      <w:r w:rsidR="0042621A" w:rsidRPr="1500309F">
        <w:rPr>
          <w:rFonts w:ascii="Calibri" w:hAnsi="Calibri" w:cs="Calibri"/>
          <w:sz w:val="22"/>
        </w:rPr>
        <w:t xml:space="preserve"> </w:t>
      </w:r>
      <w:r w:rsidR="0017660A" w:rsidRPr="1500309F">
        <w:rPr>
          <w:rFonts w:ascii="Calibri" w:hAnsi="Calibri" w:cs="Calibri"/>
          <w:sz w:val="22"/>
        </w:rPr>
        <w:t xml:space="preserve">provides </w:t>
      </w:r>
      <w:r w:rsidR="006F5ECB" w:rsidRPr="1500309F">
        <w:rPr>
          <w:rFonts w:ascii="Calibri" w:hAnsi="Calibri" w:cs="Calibri"/>
          <w:sz w:val="22"/>
        </w:rPr>
        <w:t>context</w:t>
      </w:r>
      <w:r w:rsidR="0017660A" w:rsidRPr="1500309F">
        <w:rPr>
          <w:rFonts w:ascii="Calibri" w:hAnsi="Calibri" w:cs="Calibri"/>
          <w:sz w:val="22"/>
        </w:rPr>
        <w:t xml:space="preserve"> on </w:t>
      </w:r>
      <w:r w:rsidR="00B9793F" w:rsidRPr="1500309F">
        <w:rPr>
          <w:rFonts w:ascii="Calibri" w:hAnsi="Calibri" w:cs="Calibri"/>
          <w:sz w:val="22"/>
        </w:rPr>
        <w:t xml:space="preserve">the </w:t>
      </w:r>
      <w:r w:rsidR="00DA406B" w:rsidRPr="1500309F">
        <w:rPr>
          <w:rFonts w:ascii="Calibri" w:hAnsi="Calibri" w:cs="Calibri"/>
          <w:sz w:val="22"/>
        </w:rPr>
        <w:t>federal Department for Women and Gender Equality (WAGE</w:t>
      </w:r>
      <w:r w:rsidR="005321D2" w:rsidRPr="1500309F">
        <w:rPr>
          <w:rFonts w:ascii="Calibri" w:hAnsi="Calibri" w:cs="Calibri"/>
          <w:sz w:val="22"/>
        </w:rPr>
        <w:t>)</w:t>
      </w:r>
      <w:r w:rsidR="00B9793F" w:rsidRPr="1500309F">
        <w:rPr>
          <w:rFonts w:ascii="Calibri" w:hAnsi="Calibri" w:cs="Calibri"/>
          <w:sz w:val="22"/>
        </w:rPr>
        <w:t>’s structure and financial and technical resources. Canada does not respond to the Committee’s request for information</w:t>
      </w:r>
      <w:r w:rsidR="00A26421">
        <w:rPr>
          <w:rFonts w:ascii="Calibri" w:hAnsi="Calibri" w:cs="Calibri"/>
          <w:sz w:val="22"/>
        </w:rPr>
        <w:t xml:space="preserve"> on WAGE’s au</w:t>
      </w:r>
      <w:r w:rsidR="00996706">
        <w:rPr>
          <w:rFonts w:ascii="Calibri" w:hAnsi="Calibri" w:cs="Calibri"/>
          <w:sz w:val="22"/>
        </w:rPr>
        <w:t xml:space="preserve">thority to </w:t>
      </w:r>
      <w:r w:rsidR="00431CC0">
        <w:rPr>
          <w:rFonts w:ascii="Calibri" w:hAnsi="Calibri" w:cs="Calibri"/>
          <w:sz w:val="22"/>
        </w:rPr>
        <w:t>coo</w:t>
      </w:r>
      <w:r w:rsidR="00EA5575">
        <w:rPr>
          <w:rFonts w:ascii="Calibri" w:hAnsi="Calibri" w:cs="Calibri"/>
          <w:sz w:val="22"/>
        </w:rPr>
        <w:t xml:space="preserve">rdinate </w:t>
      </w:r>
      <w:r w:rsidR="00825E8C">
        <w:rPr>
          <w:rFonts w:ascii="Calibri" w:hAnsi="Calibri" w:cs="Calibri"/>
          <w:sz w:val="22"/>
        </w:rPr>
        <w:t>policies across FPT g</w:t>
      </w:r>
      <w:r w:rsidR="00011DDB">
        <w:rPr>
          <w:rFonts w:ascii="Calibri" w:hAnsi="Calibri" w:cs="Calibri"/>
          <w:sz w:val="22"/>
        </w:rPr>
        <w:t>overnments</w:t>
      </w:r>
      <w:r w:rsidR="00847605">
        <w:rPr>
          <w:rFonts w:ascii="Calibri" w:hAnsi="Calibri" w:cs="Calibri"/>
          <w:sz w:val="22"/>
        </w:rPr>
        <w:t>,</w:t>
      </w:r>
      <w:r w:rsidR="00B9793F" w:rsidRPr="1500309F">
        <w:rPr>
          <w:rFonts w:ascii="Calibri" w:hAnsi="Calibri" w:cs="Calibri"/>
          <w:sz w:val="22"/>
        </w:rPr>
        <w:t xml:space="preserve"> </w:t>
      </w:r>
      <w:r w:rsidR="00537EB4" w:rsidRPr="1500309F">
        <w:rPr>
          <w:rFonts w:ascii="Calibri" w:hAnsi="Calibri" w:cs="Calibri"/>
          <w:sz w:val="22"/>
        </w:rPr>
        <w:t>nor does it</w:t>
      </w:r>
      <w:r w:rsidR="00937C58" w:rsidRPr="1500309F">
        <w:rPr>
          <w:rFonts w:ascii="Calibri" w:hAnsi="Calibri" w:cs="Calibri"/>
          <w:sz w:val="22"/>
        </w:rPr>
        <w:t xml:space="preserve"> respond to </w:t>
      </w:r>
      <w:r w:rsidR="00AD017A" w:rsidRPr="1500309F">
        <w:rPr>
          <w:rFonts w:ascii="Calibri" w:hAnsi="Calibri" w:cs="Calibri"/>
          <w:sz w:val="22"/>
        </w:rPr>
        <w:t xml:space="preserve">not-yet-fully-implemented </w:t>
      </w:r>
      <w:r w:rsidR="00937C58" w:rsidRPr="1500309F">
        <w:rPr>
          <w:rFonts w:ascii="Calibri" w:hAnsi="Calibri" w:cs="Calibri"/>
          <w:sz w:val="22"/>
        </w:rPr>
        <w:t xml:space="preserve">measures taken to address the </w:t>
      </w:r>
      <w:r w:rsidR="00C23C2C" w:rsidRPr="1500309F">
        <w:rPr>
          <w:rFonts w:ascii="Calibri" w:hAnsi="Calibri" w:cs="Calibri"/>
          <w:sz w:val="22"/>
        </w:rPr>
        <w:t xml:space="preserve">Committee’s previous </w:t>
      </w:r>
      <w:r w:rsidR="00937C58" w:rsidRPr="1500309F">
        <w:rPr>
          <w:rFonts w:ascii="Calibri" w:hAnsi="Calibri" w:cs="Calibri"/>
          <w:sz w:val="22"/>
        </w:rPr>
        <w:t>recommendations.</w:t>
      </w:r>
      <w:r w:rsidR="000C1F45" w:rsidRPr="1500309F">
        <w:rPr>
          <w:rFonts w:ascii="Calibri" w:hAnsi="Calibri" w:cs="Calibri"/>
          <w:sz w:val="22"/>
        </w:rPr>
        <w:t xml:space="preserve"> </w:t>
      </w:r>
      <w:r w:rsidR="00203486" w:rsidRPr="1500309F">
        <w:rPr>
          <w:rFonts w:ascii="Calibri" w:hAnsi="Calibri" w:cs="Calibri"/>
          <w:sz w:val="22"/>
        </w:rPr>
        <w:t xml:space="preserve">ONWA is particularly </w:t>
      </w:r>
      <w:r w:rsidR="00C23C2C" w:rsidRPr="1500309F">
        <w:rPr>
          <w:rFonts w:ascii="Calibri" w:hAnsi="Calibri" w:cs="Calibri"/>
          <w:sz w:val="22"/>
        </w:rPr>
        <w:t>concerned</w:t>
      </w:r>
      <w:r w:rsidR="00203486" w:rsidRPr="1500309F">
        <w:rPr>
          <w:rFonts w:ascii="Calibri" w:hAnsi="Calibri" w:cs="Calibri"/>
          <w:sz w:val="22"/>
        </w:rPr>
        <w:t xml:space="preserve"> with the</w:t>
      </w:r>
      <w:r w:rsidR="000B73AF">
        <w:rPr>
          <w:rFonts w:ascii="Calibri" w:hAnsi="Calibri" w:cs="Calibri"/>
          <w:sz w:val="22"/>
        </w:rPr>
        <w:t xml:space="preserve"> lack of response</w:t>
      </w:r>
      <w:r w:rsidR="00203486" w:rsidRPr="1500309F">
        <w:rPr>
          <w:rFonts w:ascii="Calibri" w:hAnsi="Calibri" w:cs="Calibri"/>
          <w:sz w:val="22"/>
        </w:rPr>
        <w:t xml:space="preserve"> </w:t>
      </w:r>
      <w:r w:rsidR="000B73AF">
        <w:rPr>
          <w:rFonts w:ascii="Calibri" w:hAnsi="Calibri" w:cs="Calibri"/>
          <w:sz w:val="22"/>
        </w:rPr>
        <w:t>to</w:t>
      </w:r>
      <w:r w:rsidR="00203486" w:rsidRPr="1500309F">
        <w:rPr>
          <w:rFonts w:ascii="Calibri" w:hAnsi="Calibri" w:cs="Calibri"/>
          <w:sz w:val="22"/>
        </w:rPr>
        <w:t xml:space="preserve"> </w:t>
      </w:r>
      <w:r w:rsidR="00DD0808" w:rsidRPr="1500309F">
        <w:rPr>
          <w:rFonts w:ascii="Calibri" w:hAnsi="Calibri" w:cs="Calibri"/>
          <w:sz w:val="22"/>
        </w:rPr>
        <w:t>the Committee’s previous</w:t>
      </w:r>
      <w:r w:rsidR="00261E3F" w:rsidRPr="1500309F">
        <w:rPr>
          <w:rFonts w:ascii="Calibri" w:hAnsi="Calibri" w:cs="Calibri"/>
          <w:sz w:val="22"/>
        </w:rPr>
        <w:t xml:space="preserve"> recommendation related to federal-Indigenous relations </w:t>
      </w:r>
      <w:r w:rsidR="00AD0E8B" w:rsidRPr="1500309F">
        <w:rPr>
          <w:rFonts w:ascii="Calibri" w:hAnsi="Calibri" w:cs="Calibri"/>
          <w:sz w:val="22"/>
        </w:rPr>
        <w:t>(CEDAW/C/CAN/CO/8-9, para. 21 (c)</w:t>
      </w:r>
      <w:r w:rsidR="00303C27">
        <w:rPr>
          <w:rFonts w:ascii="Calibri" w:hAnsi="Calibri" w:cs="Calibri"/>
          <w:sz w:val="22"/>
        </w:rPr>
        <w:t>)</w:t>
      </w:r>
      <w:r w:rsidR="00C036BA">
        <w:rPr>
          <w:rFonts w:ascii="Calibri" w:hAnsi="Calibri" w:cs="Calibri"/>
          <w:sz w:val="22"/>
        </w:rPr>
        <w:t>.</w:t>
      </w:r>
      <w:r w:rsidR="00AD0E8B" w:rsidRPr="00BA5D03">
        <w:rPr>
          <w:vertAlign w:val="superscript"/>
        </w:rPr>
        <w:footnoteReference w:id="11"/>
      </w:r>
    </w:p>
    <w:p w14:paraId="5911903B" w14:textId="77777777" w:rsidR="00802861" w:rsidRPr="00802861" w:rsidRDefault="00802861" w:rsidP="00802861">
      <w:pPr>
        <w:spacing w:after="160" w:line="276" w:lineRule="auto"/>
        <w:rPr>
          <w:rFonts w:ascii="Calibri" w:hAnsi="Calibri" w:cs="Calibri"/>
          <w:sz w:val="22"/>
        </w:rPr>
      </w:pPr>
      <w:r w:rsidRPr="00802861">
        <w:rPr>
          <w:rFonts w:ascii="Calibri" w:hAnsi="Calibri" w:cs="Calibri"/>
          <w:sz w:val="22"/>
        </w:rPr>
        <w:t xml:space="preserve">Indigenous women have inherent leadership rights and have always been leaders in their families, communities, and nations. While colonization and ongoing colonial practices and policies disrupted </w:t>
      </w:r>
      <w:r w:rsidRPr="00802861">
        <w:rPr>
          <w:rFonts w:ascii="Calibri" w:hAnsi="Calibri" w:cs="Calibri"/>
          <w:sz w:val="22"/>
        </w:rPr>
        <w:lastRenderedPageBreak/>
        <w:t>Indigenous women’s leadership, our right to leadership is inherent and must be upheld – this is affirmed under UNDRIP, CEDAW Convention and guidance provided by CEDAW General Recommendation No. 39.</w:t>
      </w:r>
    </w:p>
    <w:p w14:paraId="6E09D352" w14:textId="134CE2E8" w:rsidR="00D65656" w:rsidRPr="00D80B84" w:rsidRDefault="00D65656" w:rsidP="1D5E8CE5">
      <w:pPr>
        <w:spacing w:after="160" w:line="276" w:lineRule="auto"/>
        <w:rPr>
          <w:rFonts w:ascii="Calibri" w:hAnsi="Calibri" w:cs="Calibri"/>
          <w:sz w:val="22"/>
        </w:rPr>
      </w:pPr>
      <w:r w:rsidRPr="00802861">
        <w:rPr>
          <w:rFonts w:ascii="Calibri" w:hAnsi="Calibri" w:cs="Calibri"/>
          <w:sz w:val="22"/>
        </w:rPr>
        <w:t>Canada’s Nation-to-Nation</w:t>
      </w:r>
      <w:r w:rsidRPr="1D5E8CE5">
        <w:rPr>
          <w:rFonts w:ascii="Calibri" w:hAnsi="Calibri" w:cs="Calibri"/>
          <w:sz w:val="22"/>
        </w:rPr>
        <w:t>/Distinctions-Based policy to Indigenous relations is discriminatory towards Indigenous women, as it excludes Indigenous women</w:t>
      </w:r>
      <w:r w:rsidR="00DA531E" w:rsidRPr="1D5E8CE5">
        <w:rPr>
          <w:rFonts w:ascii="Calibri" w:hAnsi="Calibri" w:cs="Calibri"/>
          <w:sz w:val="22"/>
        </w:rPr>
        <w:t>,</w:t>
      </w:r>
      <w:r w:rsidRPr="1D5E8CE5">
        <w:rPr>
          <w:rFonts w:ascii="Calibri" w:hAnsi="Calibri" w:cs="Calibri"/>
          <w:sz w:val="22"/>
        </w:rPr>
        <w:t xml:space="preserve"> and the agencies </w:t>
      </w:r>
      <w:r w:rsidR="00C60038" w:rsidRPr="1D5E8CE5">
        <w:rPr>
          <w:rFonts w:ascii="Calibri" w:hAnsi="Calibri" w:cs="Calibri"/>
          <w:sz w:val="22"/>
        </w:rPr>
        <w:t>we</w:t>
      </w:r>
      <w:r w:rsidRPr="1D5E8CE5">
        <w:rPr>
          <w:rFonts w:ascii="Calibri" w:hAnsi="Calibri" w:cs="Calibri"/>
          <w:sz w:val="22"/>
        </w:rPr>
        <w:t xml:space="preserve"> have chosen to represent </w:t>
      </w:r>
      <w:r w:rsidR="00C60038" w:rsidRPr="1D5E8CE5">
        <w:rPr>
          <w:rFonts w:ascii="Calibri" w:hAnsi="Calibri" w:cs="Calibri"/>
          <w:sz w:val="22"/>
        </w:rPr>
        <w:t>us</w:t>
      </w:r>
      <w:r w:rsidR="00DA531E" w:rsidRPr="1D5E8CE5">
        <w:rPr>
          <w:rFonts w:ascii="Calibri" w:hAnsi="Calibri" w:cs="Calibri"/>
          <w:sz w:val="22"/>
        </w:rPr>
        <w:t>,</w:t>
      </w:r>
      <w:r w:rsidRPr="1D5E8CE5">
        <w:rPr>
          <w:rFonts w:ascii="Calibri" w:hAnsi="Calibri" w:cs="Calibri"/>
          <w:sz w:val="22"/>
        </w:rPr>
        <w:t xml:space="preserve"> as legitimate and equal partners in decision-making, engagement processes, policy development,</w:t>
      </w:r>
      <w:r w:rsidRPr="1D5E8CE5" w:rsidDel="00CB6B8B">
        <w:rPr>
          <w:rFonts w:ascii="Calibri" w:hAnsi="Calibri" w:cs="Calibri"/>
          <w:sz w:val="22"/>
        </w:rPr>
        <w:t xml:space="preserve"> </w:t>
      </w:r>
      <w:r w:rsidRPr="1D5E8CE5">
        <w:rPr>
          <w:rFonts w:ascii="Calibri" w:hAnsi="Calibri" w:cs="Calibri"/>
          <w:sz w:val="22"/>
        </w:rPr>
        <w:t xml:space="preserve">program design and funding models on issues that impact </w:t>
      </w:r>
      <w:r w:rsidR="00C60038" w:rsidRPr="1D5E8CE5">
        <w:rPr>
          <w:rFonts w:ascii="Calibri" w:hAnsi="Calibri" w:cs="Calibri"/>
          <w:sz w:val="22"/>
        </w:rPr>
        <w:t xml:space="preserve">our </w:t>
      </w:r>
      <w:r w:rsidRPr="1D5E8CE5">
        <w:rPr>
          <w:rFonts w:ascii="Calibri" w:hAnsi="Calibri" w:cs="Calibri"/>
          <w:sz w:val="22"/>
        </w:rPr>
        <w:t xml:space="preserve">rights and </w:t>
      </w:r>
      <w:r w:rsidR="00C60038" w:rsidRPr="1D5E8CE5">
        <w:rPr>
          <w:rFonts w:ascii="Calibri" w:hAnsi="Calibri" w:cs="Calibri"/>
          <w:sz w:val="22"/>
        </w:rPr>
        <w:t>our</w:t>
      </w:r>
      <w:r w:rsidRPr="1D5E8CE5">
        <w:rPr>
          <w:rFonts w:ascii="Calibri" w:hAnsi="Calibri" w:cs="Calibri"/>
          <w:sz w:val="22"/>
        </w:rPr>
        <w:t xml:space="preserve"> lives. This is in direct contradiction to UNDRIP</w:t>
      </w:r>
      <w:r w:rsidR="00A41495">
        <w:rPr>
          <w:rFonts w:ascii="Calibri" w:hAnsi="Calibri" w:cs="Calibri"/>
          <w:sz w:val="22"/>
        </w:rPr>
        <w:t xml:space="preserve"> </w:t>
      </w:r>
      <w:r w:rsidR="00435379">
        <w:rPr>
          <w:rFonts w:ascii="Calibri" w:hAnsi="Calibri" w:cs="Calibri"/>
          <w:sz w:val="22"/>
        </w:rPr>
        <w:t>Articles</w:t>
      </w:r>
      <w:r w:rsidR="00A41495">
        <w:rPr>
          <w:rFonts w:ascii="Calibri" w:hAnsi="Calibri" w:cs="Calibri"/>
          <w:sz w:val="22"/>
        </w:rPr>
        <w:t xml:space="preserve"> 18</w:t>
      </w:r>
      <w:r w:rsidR="00435379">
        <w:rPr>
          <w:rFonts w:ascii="Calibri" w:hAnsi="Calibri" w:cs="Calibri"/>
          <w:sz w:val="22"/>
        </w:rPr>
        <w:t>, 19 and 22</w:t>
      </w:r>
      <w:r w:rsidR="001D6272" w:rsidRPr="000C1F45">
        <w:rPr>
          <w:vertAlign w:val="superscript"/>
        </w:rPr>
        <w:footnoteReference w:id="12"/>
      </w:r>
      <w:r w:rsidR="00CB5153" w:rsidRPr="1D5E8CE5">
        <w:rPr>
          <w:rFonts w:ascii="Calibri" w:hAnsi="Calibri" w:cs="Calibri"/>
          <w:sz w:val="22"/>
        </w:rPr>
        <w:t>,</w:t>
      </w:r>
      <w:r w:rsidRPr="1D5E8CE5">
        <w:rPr>
          <w:rFonts w:ascii="Calibri" w:hAnsi="Calibri" w:cs="Calibri"/>
          <w:sz w:val="22"/>
        </w:rPr>
        <w:t xml:space="preserve"> </w:t>
      </w:r>
      <w:r w:rsidR="00DA531E" w:rsidRPr="1D5E8CE5">
        <w:rPr>
          <w:rFonts w:ascii="Calibri" w:hAnsi="Calibri" w:cs="Calibri"/>
          <w:sz w:val="22"/>
        </w:rPr>
        <w:t xml:space="preserve">violates </w:t>
      </w:r>
      <w:r w:rsidRPr="1D5E8CE5">
        <w:rPr>
          <w:rFonts w:ascii="Calibri" w:hAnsi="Calibri" w:cs="Calibri"/>
          <w:sz w:val="22"/>
        </w:rPr>
        <w:t xml:space="preserve">CEDAW </w:t>
      </w:r>
      <w:r w:rsidR="00DA531E" w:rsidRPr="1D5E8CE5">
        <w:rPr>
          <w:rFonts w:ascii="Calibri" w:hAnsi="Calibri" w:cs="Calibri"/>
          <w:sz w:val="22"/>
        </w:rPr>
        <w:t xml:space="preserve">Article </w:t>
      </w:r>
      <w:r w:rsidR="009E1D58" w:rsidRPr="1D5E8CE5">
        <w:rPr>
          <w:rFonts w:ascii="Calibri" w:hAnsi="Calibri" w:cs="Calibri"/>
          <w:sz w:val="22"/>
        </w:rPr>
        <w:t xml:space="preserve">2 </w:t>
      </w:r>
      <w:r w:rsidR="00AA719F" w:rsidRPr="1D5E8CE5">
        <w:rPr>
          <w:rFonts w:ascii="Calibri" w:hAnsi="Calibri" w:cs="Calibri"/>
          <w:sz w:val="22"/>
        </w:rPr>
        <w:t>(b)</w:t>
      </w:r>
      <w:r w:rsidR="0015039D" w:rsidRPr="1D5E8CE5">
        <w:rPr>
          <w:rFonts w:ascii="Calibri" w:hAnsi="Calibri" w:cs="Calibri"/>
          <w:sz w:val="22"/>
        </w:rPr>
        <w:t>, (c), (d)</w:t>
      </w:r>
      <w:r w:rsidR="005E2F42" w:rsidRPr="1D5E8CE5">
        <w:rPr>
          <w:rFonts w:ascii="Calibri" w:hAnsi="Calibri" w:cs="Calibri"/>
          <w:sz w:val="22"/>
        </w:rPr>
        <w:t>, (e)</w:t>
      </w:r>
      <w:r w:rsidR="002E23C2" w:rsidRPr="1D5E8CE5">
        <w:rPr>
          <w:rFonts w:ascii="Calibri" w:hAnsi="Calibri" w:cs="Calibri"/>
          <w:sz w:val="22"/>
        </w:rPr>
        <w:t>, and Arti</w:t>
      </w:r>
      <w:r w:rsidR="001F082D" w:rsidRPr="1D5E8CE5">
        <w:rPr>
          <w:rFonts w:ascii="Calibri" w:hAnsi="Calibri" w:cs="Calibri"/>
          <w:sz w:val="22"/>
        </w:rPr>
        <w:t>cle 7</w:t>
      </w:r>
      <w:r w:rsidR="008805CF" w:rsidRPr="1D5E8CE5">
        <w:rPr>
          <w:rFonts w:ascii="Calibri" w:hAnsi="Calibri" w:cs="Calibri"/>
          <w:sz w:val="22"/>
        </w:rPr>
        <w:t xml:space="preserve"> (c)</w:t>
      </w:r>
      <w:r w:rsidR="00CB5153" w:rsidRPr="1D5E8CE5">
        <w:rPr>
          <w:rFonts w:ascii="Calibri" w:hAnsi="Calibri" w:cs="Calibri"/>
          <w:sz w:val="22"/>
        </w:rPr>
        <w:t>,</w:t>
      </w:r>
      <w:r w:rsidR="00DA531E" w:rsidRPr="1D5E8CE5">
        <w:rPr>
          <w:rFonts w:ascii="Calibri" w:hAnsi="Calibri" w:cs="Calibri"/>
          <w:sz w:val="22"/>
        </w:rPr>
        <w:t xml:space="preserve"> </w:t>
      </w:r>
      <w:r w:rsidRPr="1D5E8CE5">
        <w:rPr>
          <w:rFonts w:ascii="Calibri" w:hAnsi="Calibri" w:cs="Calibri"/>
          <w:sz w:val="22"/>
        </w:rPr>
        <w:t>and the Beijing Declaration and Platform for Action strategic objective G.1, para 190(g).</w:t>
      </w:r>
      <w:r w:rsidRPr="00DD187A">
        <w:rPr>
          <w:vertAlign w:val="superscript"/>
        </w:rPr>
        <w:footnoteReference w:id="13"/>
      </w:r>
      <w:r w:rsidR="00F2483F" w:rsidRPr="1D5E8CE5">
        <w:rPr>
          <w:rFonts w:ascii="Calibri" w:hAnsi="Calibri" w:cs="Calibri"/>
          <w:sz w:val="22"/>
        </w:rPr>
        <w:t xml:space="preserve"> </w:t>
      </w:r>
      <w:r w:rsidRPr="1D5E8CE5">
        <w:rPr>
          <w:rFonts w:ascii="Calibri" w:hAnsi="Calibri" w:cs="Calibri"/>
          <w:sz w:val="22"/>
        </w:rPr>
        <w:t xml:space="preserve">Canada’s Nation-to-Nation/Distinctions-Based </w:t>
      </w:r>
      <w:r w:rsidRPr="00D80B84">
        <w:rPr>
          <w:rFonts w:ascii="Calibri" w:hAnsi="Calibri" w:cs="Calibri"/>
          <w:sz w:val="22"/>
        </w:rPr>
        <w:t>policy does not align with the current reality of where Indigenous women live</w:t>
      </w:r>
      <w:r w:rsidR="00404EE1" w:rsidRPr="00D80B84">
        <w:rPr>
          <w:rFonts w:ascii="Calibri" w:hAnsi="Calibri" w:cs="Calibri"/>
          <w:sz w:val="22"/>
        </w:rPr>
        <w:t xml:space="preserve"> and access services, contributing to ongoing service gaps and unmet needs</w:t>
      </w:r>
      <w:r w:rsidR="00A320F7" w:rsidRPr="00D80B84">
        <w:rPr>
          <w:rFonts w:ascii="Calibri" w:hAnsi="Calibri" w:cs="Calibri"/>
          <w:sz w:val="22"/>
        </w:rPr>
        <w:t>.</w:t>
      </w:r>
      <w:r w:rsidR="0080545C" w:rsidRPr="00030163">
        <w:rPr>
          <w:sz w:val="22"/>
        </w:rPr>
        <w:t xml:space="preserve"> In Canada 83% of Indigenous peoples and 83% of Indigenous women live “off-reserve” in rural and urban centres and access services from Indigenous organizations in these settings.</w:t>
      </w:r>
      <w:r w:rsidR="00F46E28" w:rsidRPr="00D80B84">
        <w:rPr>
          <w:rStyle w:val="FootnoteReference"/>
          <w:rFonts w:ascii="Calibri" w:hAnsi="Calibri" w:cs="Calibri"/>
          <w:sz w:val="22"/>
        </w:rPr>
        <w:footnoteReference w:id="14"/>
      </w:r>
    </w:p>
    <w:p w14:paraId="6E77C479" w14:textId="09984C33" w:rsidR="00D65656" w:rsidRPr="00F2483F" w:rsidRDefault="00D65656" w:rsidP="00DD187A">
      <w:pPr>
        <w:spacing w:after="160" w:line="276" w:lineRule="auto"/>
        <w:rPr>
          <w:rFonts w:ascii="Calibri" w:hAnsi="Calibri" w:cs="Calibri"/>
          <w:color w:val="000000"/>
          <w:sz w:val="22"/>
        </w:rPr>
      </w:pPr>
      <w:r w:rsidRPr="1500309F">
        <w:rPr>
          <w:rFonts w:ascii="Calibri" w:hAnsi="Calibri" w:cs="Calibri"/>
          <w:sz w:val="22"/>
        </w:rPr>
        <w:t xml:space="preserve">Engaging exclusively with national organizations and distinctions-based Indigenous governance organizations excludes the voices and needs of a significant proportion of Indigenous women who do not have a connection to these organizations and/or who live outside of Indigenous governed territory. The continued use of this policy is a propagation of paternalistic (and systemically racist and sexist) tactics that have long contributed to Indigenous women's marginalization and silencing.  </w:t>
      </w:r>
      <w:r w:rsidR="00D75083" w:rsidRPr="1500309F">
        <w:rPr>
          <w:rFonts w:ascii="Calibri" w:hAnsi="Calibri" w:cs="Calibri"/>
          <w:sz w:val="22"/>
        </w:rPr>
        <w:t xml:space="preserve">Without engagement with, and interventions led by and for Indigenous women, Indigenous women will continue to have </w:t>
      </w:r>
      <w:r w:rsidR="006E1C3B">
        <w:rPr>
          <w:rFonts w:ascii="Calibri" w:hAnsi="Calibri" w:cs="Calibri"/>
          <w:sz w:val="22"/>
        </w:rPr>
        <w:t>our</w:t>
      </w:r>
      <w:r w:rsidR="00D75083" w:rsidRPr="1500309F">
        <w:rPr>
          <w:rFonts w:ascii="Calibri" w:hAnsi="Calibri" w:cs="Calibri"/>
          <w:sz w:val="22"/>
        </w:rPr>
        <w:t xml:space="preserve"> safety compromised, experience disproportionate involvement with the child welfare system and overrepresentation in the justice system, and have </w:t>
      </w:r>
      <w:r w:rsidR="006E1C3B">
        <w:rPr>
          <w:rFonts w:ascii="Calibri" w:hAnsi="Calibri" w:cs="Calibri"/>
          <w:sz w:val="22"/>
        </w:rPr>
        <w:t>our</w:t>
      </w:r>
      <w:r w:rsidR="00D75083" w:rsidRPr="1500309F">
        <w:rPr>
          <w:rFonts w:ascii="Calibri" w:hAnsi="Calibri" w:cs="Calibri"/>
          <w:sz w:val="22"/>
        </w:rPr>
        <w:t xml:space="preserve"> social determinants of health impacted</w:t>
      </w:r>
      <w:r w:rsidR="006E1C3B">
        <w:rPr>
          <w:rFonts w:ascii="Calibri" w:hAnsi="Calibri" w:cs="Calibri"/>
          <w:sz w:val="22"/>
        </w:rPr>
        <w:t xml:space="preserve">. </w:t>
      </w:r>
      <w:r w:rsidRPr="1500309F">
        <w:rPr>
          <w:rFonts w:ascii="Calibri" w:hAnsi="Calibri" w:cs="Calibri"/>
          <w:sz w:val="22"/>
        </w:rPr>
        <w:t>The failure to adopt an approach that is inclusive of Indigenous women is a fundamental barrier to the advancement of human rights in Canada.</w:t>
      </w:r>
      <w:r w:rsidR="003E32DD" w:rsidRPr="1500309F">
        <w:rPr>
          <w:rFonts w:ascii="Calibri" w:hAnsi="Calibri" w:cs="Calibri"/>
          <w:sz w:val="22"/>
        </w:rPr>
        <w:t xml:space="preserve"> </w:t>
      </w:r>
    </w:p>
    <w:p w14:paraId="40D1349B" w14:textId="65614C35" w:rsidR="00F2483F" w:rsidRPr="00F2483F" w:rsidRDefault="00F2483F" w:rsidP="00A16984">
      <w:pPr>
        <w:autoSpaceDE w:val="0"/>
        <w:autoSpaceDN w:val="0"/>
        <w:adjustRightInd w:val="0"/>
        <w:ind w:left="720"/>
        <w:rPr>
          <w:rFonts w:ascii="Calibri" w:hAnsi="Calibri" w:cs="Calibri"/>
          <w:color w:val="000000"/>
          <w:sz w:val="22"/>
        </w:rPr>
      </w:pPr>
      <w:r w:rsidRPr="1500309F">
        <w:rPr>
          <w:rFonts w:ascii="Calibri" w:hAnsi="Calibri" w:cs="Calibri"/>
          <w:b/>
          <w:bCs/>
          <w:color w:val="000000"/>
          <w:sz w:val="22"/>
        </w:rPr>
        <w:t>RECOMMENDATION:</w:t>
      </w:r>
      <w:r w:rsidRPr="1500309F">
        <w:rPr>
          <w:rFonts w:ascii="Calibri" w:hAnsi="Calibri" w:cs="Calibri"/>
          <w:color w:val="000000"/>
          <w:sz w:val="22"/>
        </w:rPr>
        <w:t xml:space="preserve"> Canada must implement a nation to nation/distinctions-based PLUS policy</w:t>
      </w:r>
      <w:r w:rsidR="00A7737D">
        <w:rPr>
          <w:rFonts w:ascii="Calibri" w:hAnsi="Calibri" w:cs="Calibri"/>
          <w:color w:val="000000"/>
          <w:sz w:val="22"/>
        </w:rPr>
        <w:t xml:space="preserve"> approach to Indigenous relations</w:t>
      </w:r>
      <w:r w:rsidR="004D18B6">
        <w:rPr>
          <w:rFonts w:ascii="Calibri" w:hAnsi="Calibri" w:cs="Calibri"/>
          <w:color w:val="000000"/>
          <w:sz w:val="22"/>
        </w:rPr>
        <w:t>.</w:t>
      </w:r>
      <w:r w:rsidR="00D931B9" w:rsidRPr="1500309F">
        <w:rPr>
          <w:rFonts w:ascii="Calibri" w:hAnsi="Calibri" w:cs="Calibri"/>
          <w:color w:val="000000" w:themeColor="text1"/>
          <w:sz w:val="22"/>
        </w:rPr>
        <w:t xml:space="preserve"> </w:t>
      </w:r>
    </w:p>
    <w:p w14:paraId="08F36B32" w14:textId="77777777" w:rsidR="00024EA0" w:rsidRDefault="00024EA0" w:rsidP="00024EA0">
      <w:pPr>
        <w:spacing w:line="276" w:lineRule="auto"/>
        <w:rPr>
          <w:sz w:val="22"/>
        </w:rPr>
      </w:pPr>
    </w:p>
    <w:p w14:paraId="43D79739" w14:textId="570F9EA3" w:rsidR="00F2483F" w:rsidRDefault="008C40D3" w:rsidP="00024EA0">
      <w:pPr>
        <w:spacing w:after="160" w:line="276" w:lineRule="auto"/>
        <w:rPr>
          <w:rFonts w:ascii="Calibri" w:hAnsi="Calibri" w:cs="Calibri"/>
          <w:sz w:val="22"/>
        </w:rPr>
      </w:pPr>
      <w:r w:rsidRPr="1500309F">
        <w:rPr>
          <w:sz w:val="22"/>
        </w:rPr>
        <w:t>Canada’s</w:t>
      </w:r>
      <w:r w:rsidR="00024EA0" w:rsidRPr="1500309F">
        <w:rPr>
          <w:sz w:val="22"/>
        </w:rPr>
        <w:t xml:space="preserve"> response</w:t>
      </w:r>
      <w:r w:rsidR="004D18B6">
        <w:rPr>
          <w:sz w:val="22"/>
        </w:rPr>
        <w:t xml:space="preserve"> </w:t>
      </w:r>
      <w:r w:rsidR="00024EA0" w:rsidRPr="1500309F">
        <w:rPr>
          <w:sz w:val="22"/>
        </w:rPr>
        <w:t xml:space="preserve">to Issue 7 </w:t>
      </w:r>
      <w:r w:rsidR="00024EA0" w:rsidRPr="1500309F">
        <w:rPr>
          <w:rFonts w:ascii="Calibri" w:hAnsi="Calibri" w:cs="Calibri"/>
          <w:sz w:val="22"/>
        </w:rPr>
        <w:t xml:space="preserve">(CEDAW/C/CAN/QPR/10; para. 7), </w:t>
      </w:r>
      <w:r w:rsidR="002D61F0" w:rsidRPr="1500309F">
        <w:rPr>
          <w:rFonts w:ascii="Calibri" w:hAnsi="Calibri" w:cs="Calibri"/>
          <w:sz w:val="22"/>
        </w:rPr>
        <w:t xml:space="preserve">does not provide information on </w:t>
      </w:r>
      <w:r w:rsidR="00194CF3" w:rsidRPr="1500309F">
        <w:rPr>
          <w:rFonts w:ascii="Calibri" w:hAnsi="Calibri" w:cs="Calibri"/>
          <w:sz w:val="22"/>
        </w:rPr>
        <w:t xml:space="preserve">federal/national approaches </w:t>
      </w:r>
      <w:r w:rsidR="00FA55B8" w:rsidRPr="1500309F">
        <w:rPr>
          <w:rFonts w:ascii="Calibri" w:hAnsi="Calibri" w:cs="Calibri"/>
          <w:sz w:val="22"/>
        </w:rPr>
        <w:t>to gender</w:t>
      </w:r>
      <w:r w:rsidR="003632B3" w:rsidRPr="1500309F">
        <w:rPr>
          <w:rFonts w:ascii="Calibri" w:hAnsi="Calibri" w:cs="Calibri"/>
          <w:sz w:val="22"/>
        </w:rPr>
        <w:t xml:space="preserve"> budgeting </w:t>
      </w:r>
      <w:r w:rsidR="00194CF3" w:rsidRPr="1500309F">
        <w:rPr>
          <w:rFonts w:ascii="Calibri" w:hAnsi="Calibri" w:cs="Calibri"/>
          <w:sz w:val="22"/>
        </w:rPr>
        <w:t>nor consider the intersectional gendered lens required</w:t>
      </w:r>
      <w:r w:rsidR="00EB5989" w:rsidRPr="1500309F">
        <w:rPr>
          <w:rFonts w:ascii="Calibri" w:hAnsi="Calibri" w:cs="Calibri"/>
          <w:sz w:val="22"/>
        </w:rPr>
        <w:t xml:space="preserve"> within budgets</w:t>
      </w:r>
      <w:r w:rsidR="00194CF3" w:rsidRPr="1500309F">
        <w:rPr>
          <w:rFonts w:ascii="Calibri" w:hAnsi="Calibri" w:cs="Calibri"/>
          <w:sz w:val="22"/>
        </w:rPr>
        <w:t>.</w:t>
      </w:r>
      <w:r w:rsidR="00420D4C">
        <w:rPr>
          <w:rStyle w:val="FootnoteReference"/>
          <w:sz w:val="22"/>
        </w:rPr>
        <w:footnoteReference w:id="15"/>
      </w:r>
      <w:r w:rsidR="00420D4C" w:rsidRPr="1500309F">
        <w:rPr>
          <w:sz w:val="22"/>
        </w:rPr>
        <w:t xml:space="preserve"> </w:t>
      </w:r>
      <w:r w:rsidR="00194CF3" w:rsidRPr="1500309F">
        <w:rPr>
          <w:rFonts w:ascii="Calibri" w:hAnsi="Calibri" w:cs="Calibri"/>
          <w:sz w:val="22"/>
        </w:rPr>
        <w:t xml:space="preserve"> </w:t>
      </w:r>
    </w:p>
    <w:p w14:paraId="6597BBEF" w14:textId="32A30A0C" w:rsidR="00824827" w:rsidRPr="00824827" w:rsidRDefault="00824827" w:rsidP="00824827">
      <w:pPr>
        <w:spacing w:after="160" w:line="276" w:lineRule="auto"/>
        <w:rPr>
          <w:sz w:val="22"/>
        </w:rPr>
      </w:pPr>
      <w:r w:rsidRPr="1500309F">
        <w:rPr>
          <w:sz w:val="22"/>
        </w:rPr>
        <w:t>Canada’s most recent budget</w:t>
      </w:r>
      <w:r w:rsidR="00A24AEA">
        <w:rPr>
          <w:sz w:val="22"/>
        </w:rPr>
        <w:t xml:space="preserve"> </w:t>
      </w:r>
      <w:r w:rsidRPr="1500309F">
        <w:rPr>
          <w:sz w:val="22"/>
        </w:rPr>
        <w:t>commits an additional investment of $9B in new spending for Indigenous communities over the next five years, which will benefit Indigenous women and families.</w:t>
      </w:r>
      <w:r w:rsidR="00CF540F" w:rsidRPr="00CF540F">
        <w:rPr>
          <w:sz w:val="22"/>
          <w:vertAlign w:val="superscript"/>
        </w:rPr>
        <w:t xml:space="preserve"> </w:t>
      </w:r>
      <w:r w:rsidR="00CF540F" w:rsidRPr="1500309F">
        <w:rPr>
          <w:sz w:val="22"/>
          <w:vertAlign w:val="superscript"/>
        </w:rPr>
        <w:footnoteReference w:id="16"/>
      </w:r>
      <w:r w:rsidRPr="1500309F">
        <w:rPr>
          <w:sz w:val="22"/>
        </w:rPr>
        <w:t xml:space="preserve"> However, the federal budget does not commit any specific funding to improve Indigenous women’s safety or meet </w:t>
      </w:r>
      <w:r w:rsidR="00FA6E58">
        <w:rPr>
          <w:sz w:val="22"/>
        </w:rPr>
        <w:t xml:space="preserve">our </w:t>
      </w:r>
      <w:r w:rsidRPr="1500309F">
        <w:rPr>
          <w:sz w:val="22"/>
        </w:rPr>
        <w:t xml:space="preserve">unique needs. In fact, Indigenous women are referenced </w:t>
      </w:r>
      <w:r w:rsidRPr="007F4AB4">
        <w:rPr>
          <w:b/>
          <w:bCs/>
          <w:sz w:val="22"/>
        </w:rPr>
        <w:t>only twice</w:t>
      </w:r>
      <w:r w:rsidRPr="1500309F">
        <w:rPr>
          <w:sz w:val="22"/>
        </w:rPr>
        <w:t xml:space="preserve"> within the budget. </w:t>
      </w:r>
    </w:p>
    <w:p w14:paraId="06ECD625" w14:textId="33F51B0B" w:rsidR="00824827" w:rsidRPr="00824827" w:rsidRDefault="00824827" w:rsidP="00824827">
      <w:pPr>
        <w:spacing w:after="160" w:line="276" w:lineRule="auto"/>
        <w:rPr>
          <w:rFonts w:eastAsiaTheme="minorEastAsia"/>
          <w:sz w:val="22"/>
        </w:rPr>
      </w:pPr>
      <w:r w:rsidRPr="1500309F">
        <w:rPr>
          <w:sz w:val="22"/>
        </w:rPr>
        <w:lastRenderedPageBreak/>
        <w:t>The federal budget also does not provide funding for Indigenous women’s organizations, despite Call for Justice 1.8 and a commitment within the National Action Plan to End GBV to increase sustainable operational/core funding for GBV services</w:t>
      </w:r>
      <w:r w:rsidR="00A24AEA">
        <w:rPr>
          <w:sz w:val="22"/>
        </w:rPr>
        <w:t>.</w:t>
      </w:r>
      <w:r w:rsidR="006C7BD8">
        <w:rPr>
          <w:rStyle w:val="FootnoteReference"/>
          <w:sz w:val="22"/>
        </w:rPr>
        <w:footnoteReference w:id="17"/>
      </w:r>
      <w:r w:rsidR="00A24AEA">
        <w:rPr>
          <w:sz w:val="22"/>
        </w:rPr>
        <w:t xml:space="preserve"> </w:t>
      </w:r>
      <w:r w:rsidR="00EA181F">
        <w:rPr>
          <w:rStyle w:val="normaltextrun"/>
          <w:rFonts w:cs="Calibri"/>
          <w:sz w:val="22"/>
          <w:shd w:val="clear" w:color="auto" w:fill="FFFFFF"/>
        </w:rPr>
        <w:t>I</w:t>
      </w:r>
      <w:r w:rsidRPr="1500309F">
        <w:rPr>
          <w:rFonts w:eastAsiaTheme="minorEastAsia"/>
          <w:sz w:val="22"/>
        </w:rPr>
        <w:t>nvestments for Indigenous</w:t>
      </w:r>
      <w:r w:rsidR="00EA181F">
        <w:rPr>
          <w:rFonts w:eastAsiaTheme="minorEastAsia"/>
          <w:sz w:val="22"/>
        </w:rPr>
        <w:t xml:space="preserve"> P</w:t>
      </w:r>
      <w:r w:rsidRPr="1500309F">
        <w:rPr>
          <w:rFonts w:eastAsiaTheme="minorEastAsia"/>
          <w:sz w:val="22"/>
        </w:rPr>
        <w:t>eoples continue to be primarily distinctions-based, including housing, mental health and research</w:t>
      </w:r>
      <w:r w:rsidR="004B318D">
        <w:rPr>
          <w:rFonts w:eastAsiaTheme="minorEastAsia"/>
          <w:sz w:val="22"/>
        </w:rPr>
        <w:t xml:space="preserve">, </w:t>
      </w:r>
      <w:r w:rsidR="004B318D" w:rsidRPr="00515F4F">
        <w:rPr>
          <w:rFonts w:eastAsiaTheme="minorEastAsia"/>
          <w:sz w:val="22"/>
        </w:rPr>
        <w:t xml:space="preserve">which </w:t>
      </w:r>
      <w:r w:rsidRPr="00515F4F">
        <w:rPr>
          <w:rFonts w:eastAsiaTheme="minorEastAsia"/>
          <w:sz w:val="22"/>
        </w:rPr>
        <w:t>excludes Indigenous women</w:t>
      </w:r>
      <w:r w:rsidR="00515F4F" w:rsidRPr="00515F4F">
        <w:rPr>
          <w:rFonts w:eastAsiaTheme="minorEastAsia"/>
          <w:sz w:val="22"/>
        </w:rPr>
        <w:t xml:space="preserve"> who have been displaced from their communities because of patriarchal governance structures and discriminatory Indian Status provisions imposed through the </w:t>
      </w:r>
      <w:r w:rsidR="00515F4F" w:rsidRPr="00515F4F">
        <w:rPr>
          <w:rFonts w:eastAsiaTheme="minorEastAsia"/>
          <w:i/>
          <w:iCs/>
          <w:sz w:val="22"/>
        </w:rPr>
        <w:t>Indian Act</w:t>
      </w:r>
      <w:r w:rsidR="00CC56B8" w:rsidRPr="00515F4F">
        <w:rPr>
          <w:rFonts w:eastAsiaTheme="minorEastAsia"/>
          <w:sz w:val="22"/>
        </w:rPr>
        <w:t>.</w:t>
      </w:r>
    </w:p>
    <w:p w14:paraId="17F2751D" w14:textId="33C545BA" w:rsidR="00B30204" w:rsidRPr="00A16984" w:rsidRDefault="009B3A7A" w:rsidP="00B30204">
      <w:pPr>
        <w:spacing w:after="160" w:line="276" w:lineRule="auto"/>
        <w:rPr>
          <w:rFonts w:eastAsiaTheme="minorEastAsia"/>
          <w:sz w:val="22"/>
        </w:rPr>
      </w:pPr>
      <w:r w:rsidRPr="00A16984">
        <w:rPr>
          <w:sz w:val="22"/>
        </w:rPr>
        <w:t>C</w:t>
      </w:r>
      <w:r w:rsidR="00B30204" w:rsidRPr="00A16984">
        <w:rPr>
          <w:sz w:val="22"/>
        </w:rPr>
        <w:t>ore</w:t>
      </w:r>
      <w:r w:rsidRPr="00A16984">
        <w:rPr>
          <w:sz w:val="22"/>
        </w:rPr>
        <w:t xml:space="preserve"> sustainable</w:t>
      </w:r>
      <w:r w:rsidR="00B30204" w:rsidRPr="00A16984">
        <w:rPr>
          <w:sz w:val="22"/>
        </w:rPr>
        <w:t xml:space="preserve"> funding for Indigenous women’s organizations, is a critical part of upholding Indigenous women’s rights</w:t>
      </w:r>
      <w:r w:rsidRPr="00A16984">
        <w:rPr>
          <w:sz w:val="22"/>
        </w:rPr>
        <w:t>,</w:t>
      </w:r>
      <w:r w:rsidR="00B30204" w:rsidRPr="00A16984">
        <w:rPr>
          <w:sz w:val="22"/>
        </w:rPr>
        <w:t xml:space="preserve"> ensuring our safety and wellbeing</w:t>
      </w:r>
      <w:r w:rsidRPr="00A16984">
        <w:rPr>
          <w:sz w:val="22"/>
        </w:rPr>
        <w:t xml:space="preserve"> and building our capacity</w:t>
      </w:r>
      <w:r w:rsidR="00B30204" w:rsidRPr="00A16984">
        <w:rPr>
          <w:sz w:val="22"/>
        </w:rPr>
        <w:t xml:space="preserve">. Yet, Indigenous women’s organizations and other Indigenous organizations working to improve Indigenous women’s safety continue to operate with </w:t>
      </w:r>
      <w:r w:rsidR="0011571E" w:rsidRPr="00A16984">
        <w:rPr>
          <w:sz w:val="22"/>
        </w:rPr>
        <w:t xml:space="preserve">insufficient </w:t>
      </w:r>
      <w:r w:rsidR="00B30204" w:rsidRPr="00A16984">
        <w:rPr>
          <w:sz w:val="22"/>
        </w:rPr>
        <w:t xml:space="preserve">funding and must continually compete against one another for short-term project-based funding. This competitive process is not reflective of Indigenous worldviews and replicates </w:t>
      </w:r>
      <w:r w:rsidR="008C40D3" w:rsidRPr="00A16984">
        <w:rPr>
          <w:sz w:val="22"/>
        </w:rPr>
        <w:t xml:space="preserve">divisive </w:t>
      </w:r>
      <w:r w:rsidR="00B30204" w:rsidRPr="00A16984">
        <w:rPr>
          <w:sz w:val="22"/>
        </w:rPr>
        <w:t xml:space="preserve">colonial structures. Indigenous women’s lives are not projects, and we cannot </w:t>
      </w:r>
      <w:r w:rsidR="00B73BC6" w:rsidRPr="00A16984">
        <w:rPr>
          <w:sz w:val="22"/>
        </w:rPr>
        <w:t xml:space="preserve">create </w:t>
      </w:r>
      <w:r w:rsidR="00B30204" w:rsidRPr="00A16984">
        <w:rPr>
          <w:sz w:val="22"/>
        </w:rPr>
        <w:t>systemic change</w:t>
      </w:r>
      <w:r w:rsidR="00D00C50" w:rsidRPr="00A16984">
        <w:rPr>
          <w:sz w:val="22"/>
        </w:rPr>
        <w:t xml:space="preserve"> </w:t>
      </w:r>
      <w:r w:rsidR="00B30204" w:rsidRPr="00A16984">
        <w:rPr>
          <w:sz w:val="22"/>
        </w:rPr>
        <w:t>through project-based funding</w:t>
      </w:r>
      <w:r w:rsidR="00B30204" w:rsidRPr="00A16984">
        <w:rPr>
          <w:rFonts w:eastAsiaTheme="minorEastAsia"/>
          <w:sz w:val="22"/>
        </w:rPr>
        <w:t>.</w:t>
      </w:r>
    </w:p>
    <w:p w14:paraId="5A6724E1" w14:textId="2E06EDC6" w:rsidR="00B30204" w:rsidRPr="00A16984" w:rsidRDefault="00B30204" w:rsidP="00B30204">
      <w:pPr>
        <w:pStyle w:val="Default"/>
        <w:spacing w:line="276" w:lineRule="auto"/>
        <w:ind w:left="720"/>
        <w:rPr>
          <w:sz w:val="22"/>
          <w:szCs w:val="22"/>
        </w:rPr>
      </w:pPr>
      <w:r w:rsidRPr="00A16984">
        <w:rPr>
          <w:rFonts w:eastAsiaTheme="minorEastAsia"/>
          <w:b/>
          <w:bCs/>
          <w:sz w:val="22"/>
          <w:szCs w:val="22"/>
        </w:rPr>
        <w:t>RECOMMENDATION:</w:t>
      </w:r>
      <w:r w:rsidRPr="00A16984">
        <w:rPr>
          <w:rFonts w:eastAsiaTheme="minorEastAsia"/>
          <w:sz w:val="22"/>
          <w:szCs w:val="22"/>
        </w:rPr>
        <w:t xml:space="preserve"> </w:t>
      </w:r>
      <w:r w:rsidRPr="00A16984">
        <w:rPr>
          <w:sz w:val="22"/>
          <w:szCs w:val="22"/>
        </w:rPr>
        <w:t>Canada must provide core</w:t>
      </w:r>
      <w:r w:rsidR="00D3378A">
        <w:rPr>
          <w:sz w:val="22"/>
          <w:szCs w:val="22"/>
        </w:rPr>
        <w:t>,</w:t>
      </w:r>
      <w:r w:rsidR="0042126A" w:rsidRPr="00A16984">
        <w:rPr>
          <w:sz w:val="22"/>
          <w:szCs w:val="22"/>
        </w:rPr>
        <w:t xml:space="preserve"> </w:t>
      </w:r>
      <w:r w:rsidR="009E6CA6" w:rsidRPr="00A16984">
        <w:rPr>
          <w:sz w:val="22"/>
          <w:szCs w:val="22"/>
        </w:rPr>
        <w:t>sustainable</w:t>
      </w:r>
      <w:r w:rsidRPr="00A16984">
        <w:rPr>
          <w:sz w:val="22"/>
          <w:szCs w:val="22"/>
        </w:rPr>
        <w:t xml:space="preserve"> funding to Indigenous women’s organizations to design, implement, and analyze Indigenous led, culturally grounded responses to the key issues </w:t>
      </w:r>
      <w:r w:rsidR="0042126A" w:rsidRPr="00A16984">
        <w:rPr>
          <w:sz w:val="22"/>
          <w:szCs w:val="22"/>
        </w:rPr>
        <w:t>we</w:t>
      </w:r>
      <w:r w:rsidRPr="00A16984">
        <w:rPr>
          <w:sz w:val="22"/>
          <w:szCs w:val="22"/>
        </w:rPr>
        <w:t xml:space="preserve"> face</w:t>
      </w:r>
      <w:r w:rsidR="00C50BA9" w:rsidRPr="00833A6D">
        <w:rPr>
          <w:sz w:val="22"/>
          <w:szCs w:val="22"/>
        </w:rPr>
        <w:t xml:space="preserve">, and must implement a funding model </w:t>
      </w:r>
      <w:r w:rsidR="00956063" w:rsidRPr="00833A6D">
        <w:rPr>
          <w:sz w:val="22"/>
          <w:szCs w:val="22"/>
        </w:rPr>
        <w:t xml:space="preserve">that represents and best addresses </w:t>
      </w:r>
      <w:r w:rsidR="00BB3607" w:rsidRPr="00DC0BAA">
        <w:rPr>
          <w:sz w:val="22"/>
          <w:szCs w:val="22"/>
        </w:rPr>
        <w:t>those</w:t>
      </w:r>
      <w:r w:rsidR="00956063" w:rsidRPr="00833A6D">
        <w:rPr>
          <w:sz w:val="22"/>
          <w:szCs w:val="22"/>
        </w:rPr>
        <w:t xml:space="preserve"> most at risk of discrimination, gender-based </w:t>
      </w:r>
      <w:r w:rsidR="00D25E35" w:rsidRPr="00833A6D">
        <w:rPr>
          <w:sz w:val="22"/>
          <w:szCs w:val="22"/>
        </w:rPr>
        <w:t>violence</w:t>
      </w:r>
      <w:r w:rsidR="00956063" w:rsidRPr="00833A6D">
        <w:rPr>
          <w:sz w:val="22"/>
          <w:szCs w:val="22"/>
        </w:rPr>
        <w:t xml:space="preserve"> and </w:t>
      </w:r>
      <w:r w:rsidR="00D25E35" w:rsidRPr="00833A6D">
        <w:rPr>
          <w:sz w:val="22"/>
          <w:szCs w:val="22"/>
        </w:rPr>
        <w:t>being murdered or disappeared</w:t>
      </w:r>
      <w:r w:rsidR="00AE0F67" w:rsidRPr="00833A6D">
        <w:rPr>
          <w:sz w:val="22"/>
          <w:szCs w:val="22"/>
        </w:rPr>
        <w:t>.</w:t>
      </w:r>
      <w:r w:rsidRPr="00A16984">
        <w:rPr>
          <w:sz w:val="22"/>
          <w:szCs w:val="22"/>
        </w:rPr>
        <w:t xml:space="preserve"> </w:t>
      </w:r>
    </w:p>
    <w:p w14:paraId="6FE343C5" w14:textId="77777777" w:rsidR="00F95A92" w:rsidRPr="00A16984" w:rsidRDefault="00F95A92" w:rsidP="00B30204">
      <w:pPr>
        <w:pStyle w:val="Default"/>
        <w:spacing w:line="276" w:lineRule="auto"/>
        <w:ind w:left="720"/>
        <w:rPr>
          <w:sz w:val="22"/>
          <w:szCs w:val="22"/>
        </w:rPr>
      </w:pPr>
    </w:p>
    <w:p w14:paraId="2ABB1B99" w14:textId="2DACD83E" w:rsidR="00E17EB0" w:rsidRPr="0015053E" w:rsidRDefault="00F410BE" w:rsidP="0015053E">
      <w:pPr>
        <w:pStyle w:val="Heading2"/>
        <w:numPr>
          <w:ilvl w:val="0"/>
          <w:numId w:val="15"/>
        </w:numPr>
        <w:spacing w:before="0"/>
        <w:rPr>
          <w:color w:val="auto"/>
          <w:sz w:val="22"/>
          <w:szCs w:val="22"/>
        </w:rPr>
      </w:pPr>
      <w:bookmarkStart w:id="9" w:name="_Toc176510766"/>
      <w:r w:rsidRPr="0015053E">
        <w:rPr>
          <w:color w:val="auto"/>
          <w:sz w:val="22"/>
          <w:szCs w:val="22"/>
        </w:rPr>
        <w:t>Canada’s</w:t>
      </w:r>
      <w:r w:rsidR="00D4210F" w:rsidRPr="0015053E">
        <w:rPr>
          <w:color w:val="auto"/>
          <w:sz w:val="22"/>
          <w:szCs w:val="22"/>
        </w:rPr>
        <w:t xml:space="preserve"> </w:t>
      </w:r>
      <w:r w:rsidR="00105632" w:rsidRPr="0015053E">
        <w:rPr>
          <w:color w:val="auto"/>
          <w:sz w:val="22"/>
          <w:szCs w:val="22"/>
        </w:rPr>
        <w:t>extractive industries</w:t>
      </w:r>
      <w:r w:rsidR="00704AF2" w:rsidRPr="0015053E">
        <w:rPr>
          <w:color w:val="auto"/>
          <w:sz w:val="22"/>
          <w:szCs w:val="22"/>
        </w:rPr>
        <w:t xml:space="preserve"> violate Indigenous women’s right</w:t>
      </w:r>
      <w:r w:rsidR="0042126A" w:rsidRPr="0015053E">
        <w:rPr>
          <w:color w:val="auto"/>
          <w:sz w:val="22"/>
          <w:szCs w:val="22"/>
        </w:rPr>
        <w:t>s</w:t>
      </w:r>
      <w:r w:rsidR="00704AF2" w:rsidRPr="0015053E">
        <w:rPr>
          <w:color w:val="auto"/>
          <w:sz w:val="22"/>
          <w:szCs w:val="22"/>
        </w:rPr>
        <w:t xml:space="preserve"> and put </w:t>
      </w:r>
      <w:r w:rsidR="0042126A" w:rsidRPr="0015053E">
        <w:rPr>
          <w:color w:val="auto"/>
          <w:sz w:val="22"/>
          <w:szCs w:val="22"/>
        </w:rPr>
        <w:t xml:space="preserve">our </w:t>
      </w:r>
      <w:r w:rsidR="00704AF2" w:rsidRPr="0015053E">
        <w:rPr>
          <w:color w:val="auto"/>
          <w:sz w:val="22"/>
          <w:szCs w:val="22"/>
        </w:rPr>
        <w:t>safety at risk</w:t>
      </w:r>
      <w:bookmarkEnd w:id="9"/>
    </w:p>
    <w:p w14:paraId="06108548" w14:textId="08C1094A" w:rsidR="0072315A" w:rsidRDefault="00286E0C" w:rsidP="00995BD9">
      <w:pPr>
        <w:spacing w:after="160" w:line="276" w:lineRule="auto"/>
        <w:rPr>
          <w:sz w:val="22"/>
        </w:rPr>
      </w:pPr>
      <w:r w:rsidRPr="007F4AB4">
        <w:rPr>
          <w:sz w:val="22"/>
        </w:rPr>
        <w:t>Canada’s</w:t>
      </w:r>
      <w:r w:rsidR="00804ABA" w:rsidRPr="007F4AB4">
        <w:rPr>
          <w:sz w:val="22"/>
        </w:rPr>
        <w:t xml:space="preserve"> response to Issue 9 </w:t>
      </w:r>
      <w:r w:rsidR="00804ABA" w:rsidRPr="007F4AB4">
        <w:rPr>
          <w:rFonts w:ascii="Calibri" w:hAnsi="Calibri" w:cs="Calibri"/>
          <w:sz w:val="22"/>
        </w:rPr>
        <w:t>(CEDAW/C/CAN/QPR/10; para. 9)</w:t>
      </w:r>
      <w:r w:rsidR="00E251D7">
        <w:rPr>
          <w:rFonts w:ascii="Calibri" w:hAnsi="Calibri" w:cs="Calibri"/>
          <w:sz w:val="22"/>
        </w:rPr>
        <w:t xml:space="preserve"> </w:t>
      </w:r>
      <w:r w:rsidR="001D5FCC" w:rsidRPr="007F4AB4">
        <w:rPr>
          <w:sz w:val="22"/>
        </w:rPr>
        <w:t xml:space="preserve">does not </w:t>
      </w:r>
      <w:r w:rsidR="008D48BB" w:rsidRPr="007F4AB4">
        <w:rPr>
          <w:sz w:val="22"/>
        </w:rPr>
        <w:t xml:space="preserve">address </w:t>
      </w:r>
      <w:r w:rsidR="00907025" w:rsidRPr="007F4AB4">
        <w:rPr>
          <w:sz w:val="22"/>
        </w:rPr>
        <w:t xml:space="preserve">many of the </w:t>
      </w:r>
      <w:r w:rsidR="001D5FCC" w:rsidRPr="007F4AB4">
        <w:rPr>
          <w:sz w:val="22"/>
        </w:rPr>
        <w:t>Committee’s request</w:t>
      </w:r>
      <w:r w:rsidR="00907025" w:rsidRPr="007F4AB4">
        <w:rPr>
          <w:sz w:val="22"/>
        </w:rPr>
        <w:t>s</w:t>
      </w:r>
      <w:r w:rsidR="001D5FCC" w:rsidRPr="007F4AB4">
        <w:rPr>
          <w:sz w:val="22"/>
        </w:rPr>
        <w:t xml:space="preserve"> for information</w:t>
      </w:r>
      <w:r w:rsidR="00923BBA" w:rsidRPr="007F4AB4">
        <w:rPr>
          <w:sz w:val="22"/>
        </w:rPr>
        <w:t xml:space="preserve"> on </w:t>
      </w:r>
      <w:r w:rsidR="000D519D" w:rsidRPr="007F4AB4">
        <w:rPr>
          <w:sz w:val="22"/>
        </w:rPr>
        <w:t xml:space="preserve">the monitoring of </w:t>
      </w:r>
      <w:r w:rsidR="00F95021" w:rsidRPr="007F4AB4">
        <w:rPr>
          <w:sz w:val="22"/>
        </w:rPr>
        <w:t>Canadian-based companies operating abroad</w:t>
      </w:r>
      <w:r w:rsidR="00AB464B">
        <w:rPr>
          <w:sz w:val="22"/>
        </w:rPr>
        <w:t xml:space="preserve">, including </w:t>
      </w:r>
      <w:r w:rsidR="00AB464B" w:rsidRPr="00DC0BAA">
        <w:rPr>
          <w:sz w:val="22"/>
        </w:rPr>
        <w:t xml:space="preserve">whether </w:t>
      </w:r>
      <w:r w:rsidR="00287C88">
        <w:rPr>
          <w:sz w:val="22"/>
        </w:rPr>
        <w:t>Canada’</w:t>
      </w:r>
      <w:r w:rsidR="00AB464B" w:rsidRPr="00DC0BAA">
        <w:rPr>
          <w:sz w:val="22"/>
        </w:rPr>
        <w:t xml:space="preserve"> </w:t>
      </w:r>
      <w:r w:rsidR="00C63067" w:rsidRPr="00DC0BAA">
        <w:rPr>
          <w:i/>
          <w:iCs/>
          <w:sz w:val="22"/>
        </w:rPr>
        <w:t xml:space="preserve">Impact Assessment Act </w:t>
      </w:r>
      <w:r w:rsidR="00D10227" w:rsidRPr="00DC0BAA">
        <w:rPr>
          <w:sz w:val="22"/>
        </w:rPr>
        <w:t>(</w:t>
      </w:r>
      <w:r w:rsidR="00AB464B" w:rsidRPr="00DC0BAA">
        <w:rPr>
          <w:sz w:val="22"/>
        </w:rPr>
        <w:t>IAA</w:t>
      </w:r>
      <w:r w:rsidR="00D10227" w:rsidRPr="00D10227">
        <w:rPr>
          <w:sz w:val="22"/>
        </w:rPr>
        <w:t>)</w:t>
      </w:r>
      <w:r w:rsidR="00AB464B" w:rsidRPr="00DC0BAA">
        <w:rPr>
          <w:sz w:val="22"/>
        </w:rPr>
        <w:t xml:space="preserve"> applies to resource development projects executed abroad by transnational companies that are domiciled in Canada, and action taken to address the Committee’s previous recommendations (CEDAW/C/CAN/CO/8-9, para.</w:t>
      </w:r>
      <w:r w:rsidR="00AB464B" w:rsidRPr="007F4AB4">
        <w:rPr>
          <w:sz w:val="22"/>
        </w:rPr>
        <w:t xml:space="preserve"> </w:t>
      </w:r>
      <w:r w:rsidR="00AB464B" w:rsidRPr="00DC0BAA">
        <w:rPr>
          <w:sz w:val="22"/>
        </w:rPr>
        <w:t>19) or those made by the Working Group on the issue of human rights and transnational corporations and other business enterprises (</w:t>
      </w:r>
      <w:hyperlink r:id="rId20" w:history="1">
        <w:r w:rsidR="00AB464B" w:rsidRPr="00DC0BAA">
          <w:rPr>
            <w:sz w:val="22"/>
          </w:rPr>
          <w:t>A/HRC/38/48/Add.1</w:t>
        </w:r>
      </w:hyperlink>
      <w:r w:rsidR="00AB464B" w:rsidRPr="00DC0BAA">
        <w:rPr>
          <w:sz w:val="22"/>
        </w:rPr>
        <w:t>).</w:t>
      </w:r>
      <w:r w:rsidR="001D5FCC" w:rsidRPr="007F4AB4">
        <w:rPr>
          <w:sz w:val="22"/>
        </w:rPr>
        <w:t xml:space="preserve"> </w:t>
      </w:r>
      <w:r w:rsidRPr="007F4AB4">
        <w:rPr>
          <w:sz w:val="22"/>
        </w:rPr>
        <w:t xml:space="preserve"> </w:t>
      </w:r>
    </w:p>
    <w:p w14:paraId="68C1CDC5" w14:textId="4060C43B" w:rsidR="001A7BB5" w:rsidRDefault="003C2E15" w:rsidP="00995BD9">
      <w:pPr>
        <w:spacing w:after="160" w:line="276" w:lineRule="auto"/>
        <w:rPr>
          <w:sz w:val="22"/>
        </w:rPr>
      </w:pPr>
      <w:r w:rsidRPr="007F4AB4">
        <w:rPr>
          <w:sz w:val="22"/>
        </w:rPr>
        <w:t xml:space="preserve">ONWA remains </w:t>
      </w:r>
      <w:r w:rsidR="00554BBE" w:rsidRPr="007F4AB4">
        <w:rPr>
          <w:sz w:val="22"/>
        </w:rPr>
        <w:t>concerned about</w:t>
      </w:r>
      <w:r w:rsidR="008E2F71" w:rsidRPr="007F4AB4">
        <w:rPr>
          <w:sz w:val="22"/>
        </w:rPr>
        <w:t xml:space="preserve"> the impact of</w:t>
      </w:r>
      <w:r w:rsidR="00E072F8" w:rsidRPr="007F4AB4">
        <w:rPr>
          <w:sz w:val="22"/>
        </w:rPr>
        <w:t xml:space="preserve"> </w:t>
      </w:r>
      <w:r w:rsidR="008E2F71" w:rsidRPr="007F4AB4">
        <w:rPr>
          <w:sz w:val="22"/>
        </w:rPr>
        <w:t xml:space="preserve">Canadian </w:t>
      </w:r>
      <w:r w:rsidR="00E072F8" w:rsidRPr="007F4AB4">
        <w:rPr>
          <w:sz w:val="22"/>
        </w:rPr>
        <w:t xml:space="preserve">extractive industries </w:t>
      </w:r>
      <w:r w:rsidR="00554BBE" w:rsidRPr="007F4AB4">
        <w:rPr>
          <w:sz w:val="22"/>
        </w:rPr>
        <w:t xml:space="preserve">operating </w:t>
      </w:r>
      <w:r w:rsidR="001A3C8D">
        <w:rPr>
          <w:sz w:val="22"/>
        </w:rPr>
        <w:t xml:space="preserve">both within Canada, and </w:t>
      </w:r>
      <w:r w:rsidR="00554BBE" w:rsidRPr="007F4AB4">
        <w:rPr>
          <w:sz w:val="22"/>
        </w:rPr>
        <w:t xml:space="preserve">abroad </w:t>
      </w:r>
      <w:r w:rsidR="000E5E52" w:rsidRPr="007F4AB4">
        <w:rPr>
          <w:sz w:val="22"/>
        </w:rPr>
        <w:t>o</w:t>
      </w:r>
      <w:r w:rsidR="00BA35B8" w:rsidRPr="007F4AB4">
        <w:rPr>
          <w:sz w:val="22"/>
        </w:rPr>
        <w:t xml:space="preserve">n </w:t>
      </w:r>
      <w:r w:rsidR="008E2F71" w:rsidRPr="007F4AB4">
        <w:rPr>
          <w:sz w:val="22"/>
        </w:rPr>
        <w:t>Indigenous</w:t>
      </w:r>
      <w:r w:rsidR="00554BBE" w:rsidRPr="007F4AB4">
        <w:rPr>
          <w:sz w:val="22"/>
        </w:rPr>
        <w:t xml:space="preserve"> women </w:t>
      </w:r>
      <w:r w:rsidR="008E5DF2" w:rsidRPr="007F4AB4">
        <w:rPr>
          <w:sz w:val="22"/>
        </w:rPr>
        <w:t>human rights</w:t>
      </w:r>
      <w:r w:rsidR="00907025" w:rsidRPr="007F4AB4">
        <w:rPr>
          <w:rStyle w:val="FootnoteReference"/>
          <w:sz w:val="22"/>
        </w:rPr>
        <w:footnoteReference w:id="18"/>
      </w:r>
      <w:r w:rsidR="008E5DF2" w:rsidRPr="007F4AB4">
        <w:rPr>
          <w:sz w:val="22"/>
        </w:rPr>
        <w:t xml:space="preserve"> and land defenders</w:t>
      </w:r>
      <w:r w:rsidR="00AC7E52" w:rsidRPr="007F4AB4">
        <w:rPr>
          <w:sz w:val="22"/>
        </w:rPr>
        <w:t>’ rights</w:t>
      </w:r>
      <w:r w:rsidR="000A0BD5" w:rsidRPr="007F4AB4">
        <w:rPr>
          <w:sz w:val="22"/>
        </w:rPr>
        <w:t xml:space="preserve"> – in violation of CEDAW Article</w:t>
      </w:r>
      <w:r w:rsidR="003C3738" w:rsidRPr="007F4AB4">
        <w:rPr>
          <w:sz w:val="22"/>
        </w:rPr>
        <w:t>s</w:t>
      </w:r>
      <w:r w:rsidR="000A0BD5" w:rsidRPr="007F4AB4">
        <w:rPr>
          <w:sz w:val="22"/>
        </w:rPr>
        <w:t xml:space="preserve"> </w:t>
      </w:r>
      <w:r w:rsidR="006B0268" w:rsidRPr="007F4AB4">
        <w:rPr>
          <w:sz w:val="22"/>
        </w:rPr>
        <w:t>2</w:t>
      </w:r>
      <w:r w:rsidR="00590683">
        <w:rPr>
          <w:sz w:val="22"/>
        </w:rPr>
        <w:t xml:space="preserve"> and</w:t>
      </w:r>
      <w:r w:rsidR="00FE4D60" w:rsidRPr="007F4AB4">
        <w:rPr>
          <w:sz w:val="22"/>
        </w:rPr>
        <w:t xml:space="preserve"> 3</w:t>
      </w:r>
      <w:r w:rsidR="00C22FD3">
        <w:rPr>
          <w:sz w:val="22"/>
        </w:rPr>
        <w:t>, and General Recommendation 37</w:t>
      </w:r>
      <w:r w:rsidR="00A7504E">
        <w:rPr>
          <w:sz w:val="22"/>
        </w:rPr>
        <w:t>, paragraph 51(d) (</w:t>
      </w:r>
      <w:r w:rsidR="00A7504E" w:rsidRPr="00A7504E">
        <w:rPr>
          <w:sz w:val="22"/>
        </w:rPr>
        <w:t>CEDAW/C/GC</w:t>
      </w:r>
      <w:r w:rsidR="00A7504E" w:rsidRPr="000A6E44">
        <w:rPr>
          <w:sz w:val="22"/>
        </w:rPr>
        <w:t>/37).</w:t>
      </w:r>
      <w:r w:rsidR="004C63C4" w:rsidRPr="00DC0BAA">
        <w:rPr>
          <w:sz w:val="22"/>
        </w:rPr>
        <w:t xml:space="preserve"> There is a direct correlation between the violent victimization of Indigenous women and the socio-economic changes created by the presence of extractive industries in proximity to Indigenous communities.</w:t>
      </w:r>
      <w:r w:rsidR="004C63C4" w:rsidRPr="00DC0BAA">
        <w:rPr>
          <w:rStyle w:val="FootnoteReference"/>
          <w:sz w:val="22"/>
        </w:rPr>
        <w:footnoteReference w:id="19"/>
      </w:r>
      <w:r w:rsidR="004C63C4" w:rsidRPr="00DC0BAA">
        <w:rPr>
          <w:sz w:val="22"/>
        </w:rPr>
        <w:t xml:space="preserve"> </w:t>
      </w:r>
      <w:r w:rsidR="001B38DA" w:rsidRPr="001D3C00">
        <w:rPr>
          <w:sz w:val="22"/>
        </w:rPr>
        <w:t xml:space="preserve"> </w:t>
      </w:r>
      <w:r w:rsidRPr="001D3C00">
        <w:rPr>
          <w:sz w:val="22"/>
        </w:rPr>
        <w:lastRenderedPageBreak/>
        <w:t>Where</w:t>
      </w:r>
      <w:r w:rsidRPr="007F4AB4">
        <w:rPr>
          <w:sz w:val="22"/>
        </w:rPr>
        <w:t xml:space="preserve"> extractive industries operate, Indigenous women and girls experience higher rates of gender-based violence, including sex trafficking and intimate partner violence</w:t>
      </w:r>
      <w:r w:rsidR="00015D04" w:rsidRPr="007F4AB4">
        <w:rPr>
          <w:sz w:val="22"/>
        </w:rPr>
        <w:t>.</w:t>
      </w:r>
      <w:r w:rsidR="006804D0">
        <w:rPr>
          <w:sz w:val="22"/>
        </w:rPr>
        <w:t xml:space="preserve"> </w:t>
      </w:r>
    </w:p>
    <w:p w14:paraId="477E43BA" w14:textId="5B54E978" w:rsidR="008E34A6" w:rsidRPr="007F4AB4" w:rsidRDefault="001B38DA" w:rsidP="00995BD9">
      <w:pPr>
        <w:spacing w:after="160" w:line="276" w:lineRule="auto"/>
        <w:rPr>
          <w:sz w:val="22"/>
          <w:vertAlign w:val="superscript"/>
        </w:rPr>
      </w:pPr>
      <w:r w:rsidRPr="007F4AB4">
        <w:rPr>
          <w:sz w:val="22"/>
        </w:rPr>
        <w:t xml:space="preserve">ONWA stands in solidarity with </w:t>
      </w:r>
      <w:r w:rsidR="00A01B4D" w:rsidRPr="007F4AB4">
        <w:rPr>
          <w:sz w:val="22"/>
        </w:rPr>
        <w:t>our global Indigenous sisters who</w:t>
      </w:r>
      <w:r w:rsidR="003A7F8F" w:rsidRPr="007F4AB4">
        <w:rPr>
          <w:sz w:val="22"/>
        </w:rPr>
        <w:t xml:space="preserve"> continue to </w:t>
      </w:r>
      <w:r w:rsidR="007F2490" w:rsidRPr="007F4AB4">
        <w:rPr>
          <w:sz w:val="22"/>
        </w:rPr>
        <w:t>fight</w:t>
      </w:r>
      <w:r w:rsidR="003A7F8F" w:rsidRPr="007F4AB4">
        <w:rPr>
          <w:sz w:val="22"/>
        </w:rPr>
        <w:t xml:space="preserve"> courageously a</w:t>
      </w:r>
      <w:r w:rsidR="007F2490" w:rsidRPr="007F4AB4">
        <w:rPr>
          <w:sz w:val="22"/>
        </w:rPr>
        <w:t>gainst</w:t>
      </w:r>
      <w:r w:rsidR="003A7F8F" w:rsidRPr="007F4AB4">
        <w:rPr>
          <w:sz w:val="22"/>
        </w:rPr>
        <w:t xml:space="preserve"> the</w:t>
      </w:r>
      <w:r w:rsidR="00911E66" w:rsidRPr="007F4AB4">
        <w:rPr>
          <w:sz w:val="22"/>
        </w:rPr>
        <w:t xml:space="preserve"> </w:t>
      </w:r>
      <w:r w:rsidR="00840E7E" w:rsidRPr="007F4AB4">
        <w:rPr>
          <w:sz w:val="22"/>
        </w:rPr>
        <w:t xml:space="preserve">violations they face </w:t>
      </w:r>
      <w:r w:rsidR="00AE40A0" w:rsidRPr="007F4AB4">
        <w:rPr>
          <w:sz w:val="22"/>
        </w:rPr>
        <w:t>at</w:t>
      </w:r>
      <w:r w:rsidR="005D4623" w:rsidRPr="007F4AB4">
        <w:rPr>
          <w:sz w:val="22"/>
        </w:rPr>
        <w:t xml:space="preserve"> the hands of Canadian extractive industries.</w:t>
      </w:r>
      <w:r w:rsidR="007F2490" w:rsidRPr="007F4AB4">
        <w:rPr>
          <w:sz w:val="22"/>
          <w:vertAlign w:val="superscript"/>
        </w:rPr>
        <w:footnoteReference w:id="20"/>
      </w:r>
      <w:r w:rsidR="005D4623" w:rsidRPr="007F4AB4">
        <w:rPr>
          <w:sz w:val="22"/>
          <w:vertAlign w:val="superscript"/>
        </w:rPr>
        <w:t xml:space="preserve"> </w:t>
      </w:r>
    </w:p>
    <w:p w14:paraId="113BC61A" w14:textId="7EE5A81E" w:rsidR="00A93C61" w:rsidRPr="003348DB" w:rsidRDefault="000A087A" w:rsidP="00DC0BAA">
      <w:pPr>
        <w:spacing w:line="276" w:lineRule="auto"/>
        <w:ind w:left="720"/>
        <w:rPr>
          <w:sz w:val="22"/>
        </w:rPr>
      </w:pPr>
      <w:r w:rsidRPr="1D5E8CE5">
        <w:rPr>
          <w:b/>
          <w:bCs/>
          <w:sz w:val="22"/>
        </w:rPr>
        <w:t>RECOMMENDATION</w:t>
      </w:r>
      <w:r w:rsidRPr="1D5E8CE5">
        <w:rPr>
          <w:sz w:val="22"/>
        </w:rPr>
        <w:t>:</w:t>
      </w:r>
      <w:r w:rsidR="0067328D" w:rsidRPr="1D5E8CE5">
        <w:rPr>
          <w:sz w:val="22"/>
        </w:rPr>
        <w:t xml:space="preserve"> Canada must</w:t>
      </w:r>
      <w:r w:rsidR="004F477A" w:rsidRPr="1D5E8CE5">
        <w:rPr>
          <w:sz w:val="22"/>
        </w:rPr>
        <w:t xml:space="preserve"> </w:t>
      </w:r>
      <w:r w:rsidR="00E7036A">
        <w:rPr>
          <w:sz w:val="22"/>
        </w:rPr>
        <w:t>bolster</w:t>
      </w:r>
      <w:r w:rsidR="0067328D" w:rsidRPr="1D5E8CE5">
        <w:rPr>
          <w:sz w:val="22"/>
        </w:rPr>
        <w:t xml:space="preserve"> mechanisms </w:t>
      </w:r>
      <w:r w:rsidR="007247A9" w:rsidRPr="1D5E8CE5">
        <w:rPr>
          <w:sz w:val="22"/>
        </w:rPr>
        <w:t>independent from the Government of Canada</w:t>
      </w:r>
      <w:r w:rsidR="00E7036A">
        <w:rPr>
          <w:sz w:val="22"/>
        </w:rPr>
        <w:t xml:space="preserve">, </w:t>
      </w:r>
      <w:r w:rsidR="00C14CDF">
        <w:rPr>
          <w:sz w:val="22"/>
        </w:rPr>
        <w:t xml:space="preserve">like the </w:t>
      </w:r>
      <w:r w:rsidR="00E7036A">
        <w:rPr>
          <w:sz w:val="22"/>
        </w:rPr>
        <w:t>Canadian Ombudsperson for Responsible Enterprise (CORE)</w:t>
      </w:r>
      <w:r w:rsidR="00FB117D">
        <w:rPr>
          <w:rStyle w:val="FootnoteReference"/>
          <w:sz w:val="22"/>
        </w:rPr>
        <w:footnoteReference w:id="21"/>
      </w:r>
      <w:r w:rsidR="002378D1">
        <w:rPr>
          <w:sz w:val="22"/>
        </w:rPr>
        <w:t>,</w:t>
      </w:r>
      <w:r w:rsidR="00135692">
        <w:rPr>
          <w:sz w:val="22"/>
        </w:rPr>
        <w:t xml:space="preserve"> and introduce additional effective mechanisms</w:t>
      </w:r>
      <w:r w:rsidR="00E7036A">
        <w:rPr>
          <w:sz w:val="22"/>
        </w:rPr>
        <w:t xml:space="preserve"> </w:t>
      </w:r>
      <w:r w:rsidR="0067328D" w:rsidRPr="1D5E8CE5">
        <w:rPr>
          <w:sz w:val="22"/>
        </w:rPr>
        <w:t xml:space="preserve">to </w:t>
      </w:r>
      <w:r w:rsidR="005E52A2" w:rsidRPr="1D5E8CE5">
        <w:rPr>
          <w:sz w:val="22"/>
        </w:rPr>
        <w:t>ensure Canadian extractive industries operating ab</w:t>
      </w:r>
      <w:r w:rsidR="0098205C" w:rsidRPr="1D5E8CE5">
        <w:rPr>
          <w:sz w:val="22"/>
        </w:rPr>
        <w:t>road</w:t>
      </w:r>
      <w:r w:rsidR="009259FF">
        <w:rPr>
          <w:sz w:val="22"/>
        </w:rPr>
        <w:t>, and within Canada,</w:t>
      </w:r>
      <w:r w:rsidR="00D116BB" w:rsidRPr="1D5E8CE5">
        <w:rPr>
          <w:sz w:val="22"/>
        </w:rPr>
        <w:t xml:space="preserve"> </w:t>
      </w:r>
      <w:r w:rsidR="004F477A" w:rsidRPr="1D5E8CE5">
        <w:rPr>
          <w:sz w:val="22"/>
        </w:rPr>
        <w:t>are</w:t>
      </w:r>
      <w:r w:rsidR="00D116BB" w:rsidRPr="1D5E8CE5">
        <w:rPr>
          <w:sz w:val="22"/>
        </w:rPr>
        <w:t xml:space="preserve"> held accountable for huma</w:t>
      </w:r>
      <w:r w:rsidR="001C76D7" w:rsidRPr="1D5E8CE5">
        <w:rPr>
          <w:sz w:val="22"/>
        </w:rPr>
        <w:t>n</w:t>
      </w:r>
      <w:r w:rsidR="00D116BB" w:rsidRPr="1D5E8CE5">
        <w:rPr>
          <w:sz w:val="22"/>
        </w:rPr>
        <w:t xml:space="preserve"> rights violations, </w:t>
      </w:r>
      <w:r w:rsidR="0067328D" w:rsidRPr="1D5E8CE5">
        <w:rPr>
          <w:sz w:val="22"/>
        </w:rPr>
        <w:t xml:space="preserve">investigate complaints </w:t>
      </w:r>
      <w:r w:rsidR="00470D7B" w:rsidRPr="1D5E8CE5">
        <w:rPr>
          <w:sz w:val="22"/>
        </w:rPr>
        <w:t xml:space="preserve">from </w:t>
      </w:r>
      <w:r w:rsidR="003B48EA" w:rsidRPr="1D5E8CE5">
        <w:rPr>
          <w:sz w:val="22"/>
        </w:rPr>
        <w:t>Indigenous</w:t>
      </w:r>
      <w:r w:rsidR="0027069B">
        <w:rPr>
          <w:sz w:val="22"/>
        </w:rPr>
        <w:t xml:space="preserve"> women</w:t>
      </w:r>
      <w:r w:rsidR="00470D7B" w:rsidRPr="1D5E8CE5">
        <w:rPr>
          <w:sz w:val="22"/>
        </w:rPr>
        <w:t xml:space="preserve"> human rights and land defenders</w:t>
      </w:r>
      <w:r w:rsidR="003B48EA" w:rsidRPr="1D5E8CE5">
        <w:rPr>
          <w:sz w:val="22"/>
        </w:rPr>
        <w:t xml:space="preserve">, </w:t>
      </w:r>
      <w:r w:rsidR="0067328D" w:rsidRPr="1D5E8CE5">
        <w:rPr>
          <w:sz w:val="22"/>
        </w:rPr>
        <w:t>facilitate access to justice for</w:t>
      </w:r>
      <w:r w:rsidR="003B48EA" w:rsidRPr="1D5E8CE5">
        <w:rPr>
          <w:sz w:val="22"/>
        </w:rPr>
        <w:t xml:space="preserve"> Indigenous</w:t>
      </w:r>
      <w:r w:rsidR="0067328D" w:rsidRPr="1D5E8CE5">
        <w:rPr>
          <w:sz w:val="22"/>
        </w:rPr>
        <w:t xml:space="preserve"> women</w:t>
      </w:r>
      <w:r w:rsidR="002378D1">
        <w:rPr>
          <w:sz w:val="22"/>
        </w:rPr>
        <w:t xml:space="preserve">, and ensure </w:t>
      </w:r>
      <w:r w:rsidR="009900E1">
        <w:rPr>
          <w:sz w:val="22"/>
        </w:rPr>
        <w:t>Indigenous</w:t>
      </w:r>
      <w:r w:rsidR="002378D1">
        <w:rPr>
          <w:sz w:val="22"/>
        </w:rPr>
        <w:t xml:space="preserve"> women and their organizations are </w:t>
      </w:r>
      <w:r w:rsidR="009900E1">
        <w:rPr>
          <w:sz w:val="22"/>
        </w:rPr>
        <w:t>involved</w:t>
      </w:r>
      <w:r w:rsidR="00365B62">
        <w:rPr>
          <w:sz w:val="22"/>
        </w:rPr>
        <w:t xml:space="preserve"> in</w:t>
      </w:r>
      <w:r w:rsidR="009900E1">
        <w:rPr>
          <w:sz w:val="22"/>
        </w:rPr>
        <w:t>, consulted</w:t>
      </w:r>
      <w:r w:rsidR="00365B62">
        <w:rPr>
          <w:sz w:val="22"/>
        </w:rPr>
        <w:t xml:space="preserve"> on,</w:t>
      </w:r>
      <w:r w:rsidR="009900E1">
        <w:rPr>
          <w:sz w:val="22"/>
        </w:rPr>
        <w:t xml:space="preserve"> and consent to decisions which impact </w:t>
      </w:r>
      <w:r w:rsidR="00365B62">
        <w:rPr>
          <w:sz w:val="22"/>
        </w:rPr>
        <w:t>ou</w:t>
      </w:r>
      <w:r w:rsidR="009900E1">
        <w:rPr>
          <w:sz w:val="22"/>
        </w:rPr>
        <w:t>r human rights</w:t>
      </w:r>
      <w:r w:rsidR="003B48EA" w:rsidRPr="1D5E8CE5">
        <w:rPr>
          <w:sz w:val="22"/>
        </w:rPr>
        <w:t>.</w:t>
      </w:r>
      <w:r w:rsidR="00B47E10" w:rsidRPr="007F4AB4">
        <w:rPr>
          <w:vertAlign w:val="superscript"/>
        </w:rPr>
        <w:footnoteReference w:id="22"/>
      </w:r>
      <w:r w:rsidR="007A5DFD" w:rsidRPr="1D5E8CE5">
        <w:rPr>
          <w:sz w:val="22"/>
          <w:vertAlign w:val="superscript"/>
        </w:rPr>
        <w:t xml:space="preserve"> </w:t>
      </w:r>
    </w:p>
    <w:p w14:paraId="13A03D3D" w14:textId="77777777" w:rsidR="009B5F10" w:rsidRDefault="009B5F10" w:rsidP="009B5F10">
      <w:pPr>
        <w:pStyle w:val="Heading1"/>
        <w:spacing w:before="0" w:after="0"/>
      </w:pPr>
    </w:p>
    <w:p w14:paraId="45981F58" w14:textId="42DA9F50" w:rsidR="0037356D" w:rsidRPr="007F4AB4" w:rsidRDefault="00ED28AD" w:rsidP="00CA75F5">
      <w:pPr>
        <w:pStyle w:val="Heading1"/>
        <w:spacing w:before="0" w:after="0"/>
        <w:rPr>
          <w:rFonts w:ascii="Calibri" w:hAnsi="Calibri" w:cs="Calibri"/>
          <w:sz w:val="28"/>
        </w:rPr>
      </w:pPr>
      <w:bookmarkStart w:id="10" w:name="_Toc176510767"/>
      <w:r>
        <w:rPr>
          <w:rFonts w:ascii="Calibri" w:hAnsi="Calibri" w:cs="Calibri"/>
          <w:sz w:val="28"/>
        </w:rPr>
        <w:t xml:space="preserve">Priority Area 2: </w:t>
      </w:r>
      <w:r w:rsidR="00CA75F5" w:rsidRPr="007F4AB4">
        <w:rPr>
          <w:rFonts w:ascii="Calibri" w:hAnsi="Calibri" w:cs="Calibri"/>
          <w:sz w:val="28"/>
        </w:rPr>
        <w:t>Canada</w:t>
      </w:r>
      <w:r w:rsidR="000F5CBE">
        <w:rPr>
          <w:rFonts w:ascii="Calibri" w:hAnsi="Calibri" w:cs="Calibri"/>
          <w:sz w:val="28"/>
        </w:rPr>
        <w:t>’s</w:t>
      </w:r>
      <w:r w:rsidR="00CA75F5" w:rsidRPr="007F4AB4">
        <w:rPr>
          <w:rFonts w:ascii="Calibri" w:hAnsi="Calibri" w:cs="Calibri"/>
          <w:sz w:val="28"/>
        </w:rPr>
        <w:t xml:space="preserve"> response to gender-based violence, and the national crisis of </w:t>
      </w:r>
      <w:r w:rsidR="00F911C8" w:rsidRPr="007F4AB4">
        <w:rPr>
          <w:rFonts w:ascii="Calibri" w:hAnsi="Calibri" w:cs="Calibri"/>
          <w:sz w:val="28"/>
        </w:rPr>
        <w:t xml:space="preserve">MMIWG </w:t>
      </w:r>
      <w:r w:rsidR="00F05B61">
        <w:rPr>
          <w:rFonts w:ascii="Calibri" w:hAnsi="Calibri" w:cs="Calibri"/>
          <w:sz w:val="28"/>
        </w:rPr>
        <w:t>is inadequate</w:t>
      </w:r>
      <w:r w:rsidR="00F071B1">
        <w:rPr>
          <w:rFonts w:ascii="Calibri" w:hAnsi="Calibri" w:cs="Calibri"/>
          <w:sz w:val="28"/>
        </w:rPr>
        <w:t>, further jeopardizing Indigenous women’s safety</w:t>
      </w:r>
      <w:bookmarkEnd w:id="10"/>
    </w:p>
    <w:p w14:paraId="5EFC54C7" w14:textId="77777777" w:rsidR="00482623" w:rsidRDefault="00482623" w:rsidP="7A320C59"/>
    <w:p w14:paraId="47063FF5" w14:textId="06BEF78F" w:rsidR="0BCF8AF0" w:rsidRDefault="00482623" w:rsidP="00B24075">
      <w:pPr>
        <w:spacing w:after="160" w:line="276" w:lineRule="auto"/>
        <w:rPr>
          <w:rFonts w:eastAsiaTheme="minorEastAsia"/>
          <w:color w:val="000000" w:themeColor="text1"/>
          <w:sz w:val="22"/>
        </w:rPr>
      </w:pPr>
      <w:r>
        <w:rPr>
          <w:sz w:val="22"/>
        </w:rPr>
        <w:t xml:space="preserve">Several </w:t>
      </w:r>
      <w:r w:rsidRPr="007F4AB4">
        <w:rPr>
          <w:sz w:val="22"/>
        </w:rPr>
        <w:t>international bodies, including CEDAW</w:t>
      </w:r>
      <w:r w:rsidRPr="1500309F">
        <w:rPr>
          <w:rStyle w:val="FootnoteReference"/>
          <w:sz w:val="22"/>
        </w:rPr>
        <w:footnoteReference w:id="23"/>
      </w:r>
      <w:r w:rsidRPr="007F4AB4">
        <w:rPr>
          <w:sz w:val="22"/>
        </w:rPr>
        <w:t>, the Inter-American</w:t>
      </w:r>
      <w:r w:rsidRPr="1500309F">
        <w:rPr>
          <w:sz w:val="22"/>
        </w:rPr>
        <w:t xml:space="preserve"> C</w:t>
      </w:r>
      <w:r w:rsidRPr="007F4AB4">
        <w:rPr>
          <w:sz w:val="22"/>
        </w:rPr>
        <w:t>ommission on Human Rights</w:t>
      </w:r>
      <w:r w:rsidRPr="1500309F">
        <w:rPr>
          <w:rStyle w:val="FootnoteReference"/>
          <w:sz w:val="22"/>
        </w:rPr>
        <w:footnoteReference w:id="24"/>
      </w:r>
      <w:r w:rsidRPr="007F4AB4">
        <w:rPr>
          <w:sz w:val="22"/>
        </w:rPr>
        <w:t>, the</w:t>
      </w:r>
      <w:r>
        <w:rPr>
          <w:sz w:val="22"/>
        </w:rPr>
        <w:t xml:space="preserve"> </w:t>
      </w:r>
      <w:r w:rsidR="5EC60D61" w:rsidRPr="007F4AB4">
        <w:rPr>
          <w:sz w:val="22"/>
        </w:rPr>
        <w:t xml:space="preserve">Special Rapporteur on </w:t>
      </w:r>
      <w:r w:rsidR="00D667AF">
        <w:rPr>
          <w:sz w:val="22"/>
        </w:rPr>
        <w:t xml:space="preserve">the Rights of </w:t>
      </w:r>
      <w:r w:rsidR="5EC60D61" w:rsidRPr="007F4AB4">
        <w:rPr>
          <w:sz w:val="22"/>
        </w:rPr>
        <w:t>Indigenous Peoples</w:t>
      </w:r>
      <w:r w:rsidR="301FF69B" w:rsidRPr="1500309F">
        <w:rPr>
          <w:rStyle w:val="FootnoteReference"/>
          <w:sz w:val="22"/>
        </w:rPr>
        <w:footnoteReference w:id="25"/>
      </w:r>
      <w:r w:rsidR="6E0E6F51" w:rsidRPr="007F4AB4">
        <w:rPr>
          <w:rStyle w:val="FootnoteReference"/>
          <w:sz w:val="22"/>
        </w:rPr>
        <w:t xml:space="preserve"> </w:t>
      </w:r>
      <w:r w:rsidR="24541366" w:rsidRPr="007F4AB4">
        <w:rPr>
          <w:sz w:val="22"/>
        </w:rPr>
        <w:t xml:space="preserve">and </w:t>
      </w:r>
      <w:r w:rsidR="002C5295">
        <w:rPr>
          <w:sz w:val="22"/>
        </w:rPr>
        <w:t xml:space="preserve">the Human Rights Council </w:t>
      </w:r>
      <w:r w:rsidR="24541366" w:rsidRPr="007F4AB4">
        <w:rPr>
          <w:sz w:val="22"/>
        </w:rPr>
        <w:t>through</w:t>
      </w:r>
      <w:r w:rsidR="5EC60D61" w:rsidRPr="007F4AB4">
        <w:rPr>
          <w:sz w:val="22"/>
        </w:rPr>
        <w:t xml:space="preserve"> </w:t>
      </w:r>
      <w:r w:rsidR="24541366" w:rsidRPr="007F4AB4">
        <w:rPr>
          <w:sz w:val="22"/>
        </w:rPr>
        <w:t xml:space="preserve">the </w:t>
      </w:r>
      <w:r w:rsidR="00DE153D">
        <w:rPr>
          <w:sz w:val="22"/>
        </w:rPr>
        <w:lastRenderedPageBreak/>
        <w:t>U</w:t>
      </w:r>
      <w:r w:rsidR="24541366" w:rsidRPr="007F4AB4">
        <w:rPr>
          <w:sz w:val="22"/>
        </w:rPr>
        <w:t xml:space="preserve">niversal Periodic Review </w:t>
      </w:r>
      <w:r w:rsidR="00D739CB">
        <w:rPr>
          <w:sz w:val="22"/>
        </w:rPr>
        <w:t>p</w:t>
      </w:r>
      <w:r w:rsidR="24541366" w:rsidRPr="007F4AB4">
        <w:rPr>
          <w:sz w:val="22"/>
        </w:rPr>
        <w:t>rocess</w:t>
      </w:r>
      <w:r w:rsidR="001E73AF" w:rsidRPr="007F4AB4">
        <w:rPr>
          <w:rStyle w:val="FootnoteReference"/>
          <w:sz w:val="22"/>
        </w:rPr>
        <w:footnoteReference w:id="26"/>
      </w:r>
      <w:r w:rsidR="5EC60D61" w:rsidRPr="007F4AB4">
        <w:rPr>
          <w:sz w:val="22"/>
        </w:rPr>
        <w:t xml:space="preserve"> </w:t>
      </w:r>
      <w:r w:rsidR="00E57A98">
        <w:rPr>
          <w:sz w:val="22"/>
        </w:rPr>
        <w:t xml:space="preserve">have called on Canada to immediately </w:t>
      </w:r>
      <w:r w:rsidR="5EC60D61" w:rsidRPr="007F4AB4">
        <w:rPr>
          <w:sz w:val="22"/>
        </w:rPr>
        <w:t>respond to the ongoing MMIWG crisis.</w:t>
      </w:r>
      <w:r w:rsidR="39C766D6" w:rsidRPr="007F4AB4">
        <w:rPr>
          <w:sz w:val="22"/>
        </w:rPr>
        <w:t xml:space="preserve"> </w:t>
      </w:r>
      <w:r w:rsidR="0039194C">
        <w:rPr>
          <w:rFonts w:eastAsiaTheme="minorEastAsia"/>
          <w:color w:val="000000" w:themeColor="text1"/>
          <w:sz w:val="22"/>
        </w:rPr>
        <w:t xml:space="preserve"> </w:t>
      </w:r>
      <w:r w:rsidR="39C766D6" w:rsidRPr="007F4AB4">
        <w:rPr>
          <w:rFonts w:eastAsiaTheme="minorEastAsia"/>
          <w:color w:val="000000" w:themeColor="text1"/>
          <w:sz w:val="22"/>
        </w:rPr>
        <w:t>Canada’s continued inaction is a form of systemic and structural violence against Indigenous women, and violates its obligations under CEDAW Article</w:t>
      </w:r>
      <w:r w:rsidR="007466FF">
        <w:rPr>
          <w:rFonts w:eastAsiaTheme="minorEastAsia"/>
          <w:color w:val="000000" w:themeColor="text1"/>
          <w:sz w:val="22"/>
        </w:rPr>
        <w:t>s</w:t>
      </w:r>
      <w:r w:rsidR="39C766D6" w:rsidRPr="007F4AB4">
        <w:rPr>
          <w:rFonts w:eastAsiaTheme="minorEastAsia"/>
          <w:color w:val="000000" w:themeColor="text1"/>
          <w:sz w:val="22"/>
        </w:rPr>
        <w:t xml:space="preserve"> 1, 2, paragraphs (c) (d) (e) and (f), 3, and 5 (a), read in conjunction with </w:t>
      </w:r>
      <w:r w:rsidR="00BA10BB">
        <w:rPr>
          <w:rFonts w:eastAsiaTheme="minorEastAsia"/>
          <w:color w:val="000000" w:themeColor="text1"/>
          <w:sz w:val="22"/>
        </w:rPr>
        <w:t>A</w:t>
      </w:r>
      <w:r w:rsidR="39C766D6" w:rsidRPr="007F4AB4">
        <w:rPr>
          <w:rFonts w:eastAsiaTheme="minorEastAsia"/>
          <w:color w:val="000000" w:themeColor="text1"/>
          <w:sz w:val="22"/>
        </w:rPr>
        <w:t>rticles 14 (1) and 15 (1), of the Convention.</w:t>
      </w:r>
      <w:r w:rsidR="004F7D27">
        <w:rPr>
          <w:rStyle w:val="FootnoteReference"/>
          <w:rFonts w:eastAsiaTheme="minorEastAsia"/>
          <w:color w:val="000000" w:themeColor="text1"/>
          <w:sz w:val="22"/>
        </w:rPr>
        <w:footnoteReference w:id="27"/>
      </w:r>
    </w:p>
    <w:p w14:paraId="63B7D414" w14:textId="23199D12" w:rsidR="00041949" w:rsidRPr="007F4AB4" w:rsidRDefault="00041949" w:rsidP="00B24075">
      <w:pPr>
        <w:spacing w:after="160" w:line="276" w:lineRule="auto"/>
        <w:rPr>
          <w:rFonts w:eastAsiaTheme="minorEastAsia"/>
          <w:sz w:val="22"/>
        </w:rPr>
      </w:pPr>
      <w:r>
        <w:rPr>
          <w:rFonts w:eastAsiaTheme="minorEastAsia"/>
          <w:color w:val="000000" w:themeColor="text1"/>
          <w:sz w:val="22"/>
        </w:rPr>
        <w:t xml:space="preserve">Violence </w:t>
      </w:r>
      <w:r w:rsidRPr="00041949">
        <w:rPr>
          <w:rFonts w:eastAsiaTheme="minorEastAsia"/>
          <w:color w:val="000000" w:themeColor="text1"/>
          <w:sz w:val="22"/>
        </w:rPr>
        <w:t>experienced by Indigenous women is an intersectional issue rooted in colonialism and targeted assimilation policies in Canada, which severed Indigenous women from their identities, cultures, and communities. Direct links have been drawn between the disproportionate rates of violence that Indigenous women continue to face today and the patriarchal policies emerging from colonization that have dismantled Indigenous women's leadership, roles, and responsibilities.</w:t>
      </w:r>
    </w:p>
    <w:p w14:paraId="2FDDBE4F" w14:textId="1620203A" w:rsidR="2CE7C0EB" w:rsidRPr="002115F7" w:rsidRDefault="2CE7C0EB" w:rsidP="002115F7">
      <w:pPr>
        <w:pStyle w:val="Heading2"/>
        <w:numPr>
          <w:ilvl w:val="0"/>
          <w:numId w:val="16"/>
        </w:numPr>
        <w:spacing w:before="0"/>
        <w:rPr>
          <w:color w:val="auto"/>
          <w:sz w:val="22"/>
          <w:szCs w:val="22"/>
        </w:rPr>
      </w:pPr>
      <w:bookmarkStart w:id="11" w:name="_Toc176510768"/>
      <w:r w:rsidRPr="002115F7">
        <w:rPr>
          <w:color w:val="auto"/>
          <w:sz w:val="22"/>
          <w:szCs w:val="22"/>
        </w:rPr>
        <w:t>Canada</w:t>
      </w:r>
      <w:r w:rsidR="6023DD94" w:rsidRPr="002115F7">
        <w:rPr>
          <w:color w:val="auto"/>
          <w:sz w:val="22"/>
          <w:szCs w:val="22"/>
        </w:rPr>
        <w:t xml:space="preserve"> h</w:t>
      </w:r>
      <w:r w:rsidR="2173B40D" w:rsidRPr="002115F7">
        <w:rPr>
          <w:color w:val="auto"/>
          <w:sz w:val="22"/>
          <w:szCs w:val="22"/>
        </w:rPr>
        <w:t>as not taken actual</w:t>
      </w:r>
      <w:r w:rsidR="6023DD94" w:rsidRPr="002115F7">
        <w:rPr>
          <w:color w:val="auto"/>
          <w:sz w:val="22"/>
          <w:szCs w:val="22"/>
        </w:rPr>
        <w:t xml:space="preserve"> substantive action</w:t>
      </w:r>
      <w:bookmarkEnd w:id="11"/>
    </w:p>
    <w:p w14:paraId="196FFF40" w14:textId="2BEB2FF9" w:rsidR="00360E69" w:rsidRDefault="00F059E0" w:rsidP="1D5E8CE5">
      <w:pPr>
        <w:spacing w:after="160" w:line="276" w:lineRule="auto"/>
        <w:rPr>
          <w:rFonts w:eastAsiaTheme="minorEastAsia"/>
          <w:color w:val="000000" w:themeColor="text1"/>
          <w:sz w:val="22"/>
        </w:rPr>
      </w:pPr>
      <w:r w:rsidRPr="1D5E8CE5">
        <w:rPr>
          <w:rFonts w:eastAsiaTheme="minorEastAsia"/>
          <w:color w:val="000000" w:themeColor="text1"/>
          <w:sz w:val="22"/>
        </w:rPr>
        <w:t>In 2021, the Government of Canada released a national action plan in response to the findings of the National Inquiry into MMIWG.</w:t>
      </w:r>
      <w:r w:rsidRPr="1D5E8CE5">
        <w:rPr>
          <w:rFonts w:eastAsiaTheme="minorEastAsia"/>
          <w:color w:val="000000" w:themeColor="text1"/>
          <w:sz w:val="22"/>
          <w:vertAlign w:val="superscript"/>
        </w:rPr>
        <w:footnoteReference w:id="28"/>
      </w:r>
      <w:r w:rsidRPr="1D5E8CE5">
        <w:rPr>
          <w:rFonts w:eastAsiaTheme="minorEastAsia"/>
          <w:color w:val="000000" w:themeColor="text1"/>
          <w:sz w:val="22"/>
          <w:vertAlign w:val="superscript"/>
        </w:rPr>
        <w:t xml:space="preserve"> </w:t>
      </w:r>
      <w:r w:rsidRPr="1D5E8CE5">
        <w:rPr>
          <w:rFonts w:eastAsiaTheme="minorEastAsia"/>
          <w:color w:val="000000" w:themeColor="text1"/>
          <w:sz w:val="22"/>
        </w:rPr>
        <w:t>In 2022, the Government of Canada released a 5-year National Action Plan to End Gender-Based Violence, which includes an Indigenous-specific pillar</w:t>
      </w:r>
      <w:r w:rsidR="0043145B" w:rsidRPr="1D5E8CE5">
        <w:rPr>
          <w:rFonts w:eastAsiaTheme="minorEastAsia"/>
          <w:color w:val="000000" w:themeColor="text1"/>
          <w:sz w:val="22"/>
        </w:rPr>
        <w:t xml:space="preserve">. </w:t>
      </w:r>
      <w:r w:rsidR="00C82E2E" w:rsidRPr="1D5E8CE5">
        <w:rPr>
          <w:rFonts w:eastAsiaTheme="minorEastAsia"/>
          <w:color w:val="000000" w:themeColor="text1"/>
          <w:sz w:val="22"/>
        </w:rPr>
        <w:t xml:space="preserve">While </w:t>
      </w:r>
      <w:r w:rsidR="30FA076E" w:rsidRPr="1D5E8CE5">
        <w:rPr>
          <w:rFonts w:eastAsiaTheme="minorEastAsia"/>
          <w:color w:val="000000" w:themeColor="text1"/>
          <w:sz w:val="22"/>
        </w:rPr>
        <w:t>Canada</w:t>
      </w:r>
      <w:r w:rsidR="005B3F27" w:rsidRPr="1D5E8CE5">
        <w:rPr>
          <w:rFonts w:eastAsiaTheme="minorEastAsia"/>
          <w:color w:val="000000" w:themeColor="text1"/>
          <w:sz w:val="22"/>
        </w:rPr>
        <w:t xml:space="preserve"> </w:t>
      </w:r>
      <w:r w:rsidR="30FA076E" w:rsidRPr="1D5E8CE5">
        <w:rPr>
          <w:rFonts w:eastAsiaTheme="minorEastAsia"/>
          <w:color w:val="000000" w:themeColor="text1"/>
          <w:sz w:val="22"/>
        </w:rPr>
        <w:t xml:space="preserve">“acknowledges that substantial, immediate, and transformational change” is required to end </w:t>
      </w:r>
      <w:r w:rsidR="343DFCA5" w:rsidRPr="1D5E8CE5">
        <w:rPr>
          <w:rFonts w:eastAsiaTheme="minorEastAsia"/>
          <w:color w:val="000000" w:themeColor="text1"/>
          <w:sz w:val="22"/>
        </w:rPr>
        <w:t>the conditions that perpetuate MMIWG</w:t>
      </w:r>
      <w:r w:rsidR="00F57DF7" w:rsidRPr="1D5E8CE5">
        <w:rPr>
          <w:rFonts w:eastAsiaTheme="minorEastAsia"/>
          <w:color w:val="000000" w:themeColor="text1"/>
          <w:sz w:val="22"/>
        </w:rPr>
        <w:t xml:space="preserve"> (CEDAW/C/OP.8/CAN/3/Add.1.,</w:t>
      </w:r>
      <w:r w:rsidR="00B17328" w:rsidRPr="1D5E8CE5">
        <w:rPr>
          <w:rFonts w:eastAsiaTheme="minorEastAsia"/>
          <w:color w:val="000000" w:themeColor="text1"/>
          <w:sz w:val="22"/>
        </w:rPr>
        <w:t xml:space="preserve"> </w:t>
      </w:r>
      <w:r w:rsidR="00F57DF7" w:rsidRPr="1D5E8CE5">
        <w:rPr>
          <w:rFonts w:eastAsiaTheme="minorEastAsia"/>
          <w:color w:val="000000" w:themeColor="text1"/>
          <w:sz w:val="22"/>
        </w:rPr>
        <w:t>para.5)</w:t>
      </w:r>
      <w:r w:rsidR="00C82E2E" w:rsidRPr="1D5E8CE5">
        <w:rPr>
          <w:rFonts w:eastAsiaTheme="minorEastAsia"/>
          <w:color w:val="000000" w:themeColor="text1"/>
          <w:sz w:val="22"/>
        </w:rPr>
        <w:t>, ack</w:t>
      </w:r>
      <w:r w:rsidR="00F57DF7" w:rsidRPr="1D5E8CE5">
        <w:rPr>
          <w:rFonts w:eastAsiaTheme="minorEastAsia"/>
          <w:color w:val="000000" w:themeColor="text1"/>
          <w:sz w:val="22"/>
        </w:rPr>
        <w:t>nowledgement is not action</w:t>
      </w:r>
      <w:r w:rsidR="343DFCA5" w:rsidRPr="1D5E8CE5">
        <w:rPr>
          <w:rFonts w:eastAsiaTheme="minorEastAsia"/>
          <w:color w:val="000000" w:themeColor="text1"/>
          <w:sz w:val="22"/>
        </w:rPr>
        <w:t>.</w:t>
      </w:r>
      <w:r w:rsidR="30FA076E" w:rsidRPr="1D5E8CE5">
        <w:rPr>
          <w:rFonts w:eastAsiaTheme="minorEastAsia"/>
          <w:color w:val="000000" w:themeColor="text1"/>
          <w:sz w:val="22"/>
        </w:rPr>
        <w:t xml:space="preserve"> </w:t>
      </w:r>
      <w:r w:rsidR="00017507" w:rsidRPr="1D5E8CE5">
        <w:rPr>
          <w:rFonts w:eastAsiaTheme="minorEastAsia"/>
          <w:color w:val="000000" w:themeColor="text1"/>
          <w:sz w:val="22"/>
        </w:rPr>
        <w:t>T</w:t>
      </w:r>
      <w:r w:rsidR="0073641B" w:rsidRPr="1D5E8CE5">
        <w:rPr>
          <w:rFonts w:eastAsiaTheme="minorEastAsia"/>
          <w:color w:val="000000" w:themeColor="text1"/>
          <w:sz w:val="22"/>
        </w:rPr>
        <w:t xml:space="preserve">o-date </w:t>
      </w:r>
      <w:r w:rsidR="00303C0D" w:rsidRPr="1D5E8CE5">
        <w:rPr>
          <w:rFonts w:eastAsiaTheme="minorEastAsia"/>
          <w:b/>
          <w:bCs/>
          <w:color w:val="000000" w:themeColor="text1"/>
          <w:sz w:val="22"/>
        </w:rPr>
        <w:t>only two</w:t>
      </w:r>
      <w:r w:rsidR="00303C0D" w:rsidRPr="1D5E8CE5">
        <w:rPr>
          <w:rFonts w:eastAsiaTheme="minorEastAsia"/>
          <w:color w:val="000000" w:themeColor="text1"/>
          <w:sz w:val="22"/>
        </w:rPr>
        <w:t xml:space="preserve"> of 231 Calls for Justice </w:t>
      </w:r>
      <w:r w:rsidR="00216471" w:rsidRPr="1D5E8CE5">
        <w:rPr>
          <w:rFonts w:eastAsiaTheme="minorEastAsia"/>
          <w:color w:val="000000" w:themeColor="text1"/>
          <w:sz w:val="22"/>
        </w:rPr>
        <w:t>from t</w:t>
      </w:r>
      <w:r w:rsidR="00216471" w:rsidRPr="1D5E8CE5">
        <w:rPr>
          <w:rFonts w:eastAsiaTheme="minorEastAsia"/>
          <w:sz w:val="22"/>
        </w:rPr>
        <w:t xml:space="preserve">he National Inquiry into MMIWG </w:t>
      </w:r>
      <w:r w:rsidR="00303C0D" w:rsidRPr="1D5E8CE5">
        <w:rPr>
          <w:rFonts w:eastAsiaTheme="minorEastAsia"/>
          <w:sz w:val="22"/>
        </w:rPr>
        <w:t xml:space="preserve">are complete, and more than </w:t>
      </w:r>
      <w:r w:rsidR="00216471" w:rsidRPr="1D5E8CE5">
        <w:rPr>
          <w:rFonts w:eastAsiaTheme="minorEastAsia"/>
          <w:sz w:val="22"/>
        </w:rPr>
        <w:t>half</w:t>
      </w:r>
      <w:r w:rsidR="00303C0D" w:rsidRPr="1D5E8CE5">
        <w:rPr>
          <w:rFonts w:eastAsiaTheme="minorEastAsia"/>
          <w:sz w:val="22"/>
        </w:rPr>
        <w:t xml:space="preserve"> have not been started.</w:t>
      </w:r>
      <w:r w:rsidR="00303C0D" w:rsidRPr="1D5E8CE5">
        <w:rPr>
          <w:rFonts w:eastAsiaTheme="minorEastAsia"/>
          <w:sz w:val="22"/>
          <w:vertAlign w:val="superscript"/>
        </w:rPr>
        <w:footnoteReference w:id="29"/>
      </w:r>
      <w:r w:rsidR="0043145B" w:rsidRPr="1D5E8CE5">
        <w:rPr>
          <w:rFonts w:eastAsiaTheme="minorEastAsia"/>
          <w:sz w:val="22"/>
        </w:rPr>
        <w:t xml:space="preserve"> Ma</w:t>
      </w:r>
      <w:r w:rsidR="00220A59" w:rsidRPr="1D5E8CE5">
        <w:rPr>
          <w:rFonts w:eastAsiaTheme="minorEastAsia"/>
          <w:sz w:val="22"/>
        </w:rPr>
        <w:t>n</w:t>
      </w:r>
      <w:r w:rsidR="0043145B" w:rsidRPr="1D5E8CE5">
        <w:rPr>
          <w:rFonts w:eastAsiaTheme="minorEastAsia"/>
          <w:sz w:val="22"/>
        </w:rPr>
        <w:t xml:space="preserve">y of the </w:t>
      </w:r>
      <w:r w:rsidR="00A86468" w:rsidRPr="1D5E8CE5">
        <w:rPr>
          <w:rFonts w:eastAsiaTheme="minorEastAsia"/>
          <w:sz w:val="22"/>
        </w:rPr>
        <w:t>CEDAW Committee’s 3</w:t>
      </w:r>
      <w:r w:rsidR="009C280B" w:rsidRPr="1D5E8CE5">
        <w:rPr>
          <w:rFonts w:eastAsiaTheme="minorEastAsia"/>
          <w:sz w:val="22"/>
        </w:rPr>
        <w:t>8</w:t>
      </w:r>
      <w:r w:rsidR="00A86468" w:rsidRPr="1D5E8CE5">
        <w:rPr>
          <w:rFonts w:eastAsiaTheme="minorEastAsia"/>
          <w:sz w:val="22"/>
        </w:rPr>
        <w:t xml:space="preserve"> recommendations remain unfulfilled</w:t>
      </w:r>
      <w:r w:rsidR="00B455F5" w:rsidRPr="1D5E8CE5">
        <w:rPr>
          <w:rFonts w:eastAsiaTheme="minorEastAsia"/>
          <w:sz w:val="22"/>
        </w:rPr>
        <w:t>.</w:t>
      </w:r>
      <w:r w:rsidR="00A86468" w:rsidRPr="1D5E8CE5">
        <w:rPr>
          <w:rStyle w:val="FootnoteReference"/>
          <w:rFonts w:eastAsiaTheme="minorEastAsia"/>
          <w:sz w:val="22"/>
        </w:rPr>
        <w:footnoteReference w:id="30"/>
      </w:r>
      <w:r w:rsidR="00A86468" w:rsidRPr="1D5E8CE5">
        <w:rPr>
          <w:rFonts w:eastAsiaTheme="minorEastAsia"/>
          <w:sz w:val="22"/>
        </w:rPr>
        <w:t xml:space="preserve"> </w:t>
      </w:r>
      <w:r w:rsidR="003F1C49" w:rsidRPr="1D5E8CE5">
        <w:rPr>
          <w:rFonts w:eastAsiaTheme="minorEastAsia"/>
          <w:sz w:val="22"/>
        </w:rPr>
        <w:t xml:space="preserve">“Family members who have lost loved ones and Indigenous advocates expressed very clearly… that they believe there has been little action compounded by a lack of accountability. They have shared that striking committees does not constitute action. Continuous consultation does not constitute </w:t>
      </w:r>
      <w:r w:rsidR="003F1C49" w:rsidRPr="1D5E8CE5">
        <w:rPr>
          <w:rFonts w:eastAsiaTheme="minorEastAsia"/>
          <w:color w:val="000000" w:themeColor="text1"/>
          <w:sz w:val="22"/>
        </w:rPr>
        <w:t>action. Words filled with good intentions do not constitute action.”</w:t>
      </w:r>
      <w:r w:rsidR="003F1C49" w:rsidRPr="1D5E8CE5">
        <w:rPr>
          <w:rFonts w:eastAsiaTheme="minorEastAsia"/>
          <w:color w:val="000000" w:themeColor="text1"/>
          <w:sz w:val="22"/>
          <w:vertAlign w:val="superscript"/>
        </w:rPr>
        <w:footnoteReference w:id="31"/>
      </w:r>
      <w:r w:rsidR="00FA34AC" w:rsidRPr="1D5E8CE5">
        <w:rPr>
          <w:rFonts w:eastAsiaTheme="minorEastAsia"/>
          <w:color w:val="000000" w:themeColor="text1"/>
          <w:sz w:val="22"/>
        </w:rPr>
        <w:t xml:space="preserve"> </w:t>
      </w:r>
      <w:r w:rsidR="009E1DB6">
        <w:rPr>
          <w:sz w:val="22"/>
        </w:rPr>
        <w:t xml:space="preserve">As a result, Indigenous women continue to face among the highest rates of violent victimization of all population groups in Canada. </w:t>
      </w:r>
      <w:r w:rsidR="009E1DB6">
        <w:rPr>
          <w:rFonts w:eastAsiaTheme="minorEastAsia"/>
          <w:color w:val="000000" w:themeColor="text1"/>
          <w:sz w:val="22"/>
        </w:rPr>
        <w:t xml:space="preserve">Despite this, </w:t>
      </w:r>
      <w:r w:rsidR="008742A7">
        <w:rPr>
          <w:rFonts w:eastAsiaTheme="minorEastAsia"/>
          <w:color w:val="000000" w:themeColor="text1"/>
          <w:sz w:val="22"/>
        </w:rPr>
        <w:t>Canada’</w:t>
      </w:r>
      <w:r w:rsidR="008F331F">
        <w:rPr>
          <w:rFonts w:eastAsiaTheme="minorEastAsia"/>
          <w:color w:val="000000" w:themeColor="text1"/>
          <w:sz w:val="22"/>
        </w:rPr>
        <w:t>s</w:t>
      </w:r>
      <w:r w:rsidR="008742A7">
        <w:rPr>
          <w:rFonts w:eastAsiaTheme="minorEastAsia"/>
          <w:color w:val="000000" w:themeColor="text1"/>
          <w:sz w:val="22"/>
        </w:rPr>
        <w:t xml:space="preserve"> inaction persists. </w:t>
      </w:r>
      <w:r w:rsidR="00834156" w:rsidRPr="1D5E8CE5">
        <w:rPr>
          <w:rFonts w:eastAsiaTheme="minorEastAsia"/>
          <w:color w:val="000000" w:themeColor="text1"/>
          <w:sz w:val="22"/>
          <w:lang w:val="en-US"/>
        </w:rPr>
        <w:t>The most recent Federal Budget does not</w:t>
      </w:r>
      <w:r w:rsidR="00834156" w:rsidRPr="1D5E8CE5">
        <w:rPr>
          <w:sz w:val="22"/>
        </w:rPr>
        <w:t xml:space="preserve"> reflect an ongoing commitment to the implementation of the MMIWG National Action Plan. Instead of investing in violence </w:t>
      </w:r>
      <w:r w:rsidR="00834156" w:rsidRPr="1D5E8CE5">
        <w:rPr>
          <w:sz w:val="22"/>
        </w:rPr>
        <w:lastRenderedPageBreak/>
        <w:t>prevention and community healing to improve Indigenous women’s safety, the budget focuses on initiatives that deal with the</w:t>
      </w:r>
      <w:r w:rsidR="00834156" w:rsidRPr="1D5E8CE5">
        <w:rPr>
          <w:i/>
          <w:iCs/>
          <w:sz w:val="22"/>
        </w:rPr>
        <w:t xml:space="preserve"> aftermath</w:t>
      </w:r>
      <w:r w:rsidR="00834156" w:rsidRPr="1D5E8CE5">
        <w:rPr>
          <w:sz w:val="22"/>
        </w:rPr>
        <w:t xml:space="preserve"> of the violence.</w:t>
      </w:r>
      <w:r w:rsidR="00834156" w:rsidRPr="1D5E8CE5">
        <w:rPr>
          <w:rStyle w:val="FootnoteReference"/>
          <w:sz w:val="22"/>
        </w:rPr>
        <w:footnoteReference w:id="32"/>
      </w:r>
    </w:p>
    <w:p w14:paraId="5035FFF4" w14:textId="11612D3B" w:rsidR="577D2589" w:rsidRPr="007F4AB4" w:rsidRDefault="26138750" w:rsidP="00B24075">
      <w:pPr>
        <w:spacing w:after="160" w:line="276" w:lineRule="auto"/>
        <w:ind w:left="720"/>
        <w:rPr>
          <w:rFonts w:eastAsiaTheme="minorEastAsia"/>
          <w:sz w:val="22"/>
        </w:rPr>
      </w:pPr>
      <w:r w:rsidRPr="007F4AB4">
        <w:rPr>
          <w:rFonts w:eastAsiaTheme="minorEastAsia"/>
          <w:b/>
          <w:sz w:val="22"/>
        </w:rPr>
        <w:t xml:space="preserve">RECOMMENDATION: </w:t>
      </w:r>
      <w:r w:rsidRPr="007F4AB4">
        <w:rPr>
          <w:rStyle w:val="normaltextrun"/>
          <w:rFonts w:eastAsiaTheme="minorEastAsia"/>
          <w:color w:val="000000" w:themeColor="text1"/>
          <w:sz w:val="22"/>
        </w:rPr>
        <w:t>Canada must immediately implement the National Action Plan on MMIWG2S</w:t>
      </w:r>
      <w:r w:rsidR="009D068F">
        <w:rPr>
          <w:rStyle w:val="normaltextrun"/>
          <w:rFonts w:eastAsiaTheme="minorEastAsia"/>
          <w:color w:val="000000" w:themeColor="text1"/>
          <w:sz w:val="22"/>
        </w:rPr>
        <w:t>,</w:t>
      </w:r>
      <w:r w:rsidRPr="007F4AB4">
        <w:rPr>
          <w:rStyle w:val="normaltextrun"/>
          <w:rFonts w:eastAsiaTheme="minorEastAsia"/>
          <w:color w:val="000000" w:themeColor="text1"/>
          <w:sz w:val="22"/>
        </w:rPr>
        <w:t xml:space="preserve"> the Calls to Justice that prioritize Indigenous women’s safety and healing</w:t>
      </w:r>
      <w:r w:rsidR="00C67A40">
        <w:rPr>
          <w:rStyle w:val="normaltextrun"/>
          <w:rFonts w:eastAsiaTheme="minorEastAsia"/>
          <w:color w:val="000000" w:themeColor="text1"/>
          <w:sz w:val="22"/>
        </w:rPr>
        <w:t>,</w:t>
      </w:r>
      <w:r w:rsidR="009D068F">
        <w:rPr>
          <w:rStyle w:val="normaltextrun"/>
          <w:rFonts w:eastAsiaTheme="minorEastAsia"/>
          <w:color w:val="000000" w:themeColor="text1"/>
          <w:sz w:val="22"/>
        </w:rPr>
        <w:t xml:space="preserve"> and the CEDAW Committee’s previous </w:t>
      </w:r>
      <w:r w:rsidR="00773E79">
        <w:rPr>
          <w:rStyle w:val="normaltextrun"/>
          <w:rFonts w:eastAsiaTheme="minorEastAsia"/>
          <w:color w:val="000000" w:themeColor="text1"/>
          <w:sz w:val="22"/>
        </w:rPr>
        <w:t>recommendation</w:t>
      </w:r>
      <w:r w:rsidR="009D068F">
        <w:rPr>
          <w:rStyle w:val="normaltextrun"/>
          <w:rFonts w:eastAsiaTheme="minorEastAsia"/>
          <w:color w:val="000000" w:themeColor="text1"/>
          <w:sz w:val="22"/>
        </w:rPr>
        <w:t>s</w:t>
      </w:r>
      <w:r w:rsidR="00773E79">
        <w:rPr>
          <w:rStyle w:val="normaltextrun"/>
          <w:rFonts w:eastAsiaTheme="minorEastAsia"/>
          <w:color w:val="000000" w:themeColor="text1"/>
          <w:sz w:val="22"/>
        </w:rPr>
        <w:t xml:space="preserve"> </w:t>
      </w:r>
      <w:r w:rsidR="0096139A">
        <w:rPr>
          <w:rStyle w:val="normaltextrun"/>
          <w:rFonts w:eastAsiaTheme="minorEastAsia"/>
          <w:color w:val="000000" w:themeColor="text1"/>
          <w:sz w:val="22"/>
        </w:rPr>
        <w:t>(</w:t>
      </w:r>
      <w:hyperlink r:id="rId21" w:history="1">
        <w:r w:rsidR="00773E79" w:rsidRPr="00773E79">
          <w:rPr>
            <w:rStyle w:val="Hyperlink"/>
            <w:rFonts w:eastAsiaTheme="minorEastAsia"/>
            <w:sz w:val="22"/>
          </w:rPr>
          <w:t>CEDAW/C/OP.8/CAN/1</w:t>
        </w:r>
      </w:hyperlink>
      <w:r w:rsidR="00773E79">
        <w:rPr>
          <w:rFonts w:eastAsiaTheme="minorEastAsia"/>
          <w:color w:val="000000" w:themeColor="text1"/>
          <w:sz w:val="22"/>
        </w:rPr>
        <w:t>)</w:t>
      </w:r>
      <w:r w:rsidRPr="007F4AB4">
        <w:rPr>
          <w:rStyle w:val="normaltextrun"/>
          <w:rFonts w:eastAsiaTheme="minorEastAsia"/>
          <w:color w:val="000000" w:themeColor="text1"/>
          <w:sz w:val="22"/>
        </w:rPr>
        <w:t>. </w:t>
      </w:r>
    </w:p>
    <w:p w14:paraId="298781E7" w14:textId="22E8EB33" w:rsidR="20F12D6D" w:rsidRPr="002115F7" w:rsidRDefault="7BEF2F55" w:rsidP="002115F7">
      <w:pPr>
        <w:pStyle w:val="Heading2"/>
        <w:numPr>
          <w:ilvl w:val="0"/>
          <w:numId w:val="16"/>
        </w:numPr>
        <w:spacing w:before="0"/>
        <w:rPr>
          <w:color w:val="auto"/>
          <w:sz w:val="22"/>
          <w:szCs w:val="22"/>
        </w:rPr>
      </w:pPr>
      <w:bookmarkStart w:id="12" w:name="_Toc176510769"/>
      <w:r w:rsidRPr="002115F7">
        <w:rPr>
          <w:color w:val="auto"/>
          <w:sz w:val="22"/>
          <w:szCs w:val="22"/>
        </w:rPr>
        <w:t>Canada</w:t>
      </w:r>
      <w:r w:rsidR="00AA1A8D" w:rsidRPr="002115F7">
        <w:rPr>
          <w:color w:val="auto"/>
          <w:sz w:val="22"/>
          <w:szCs w:val="22"/>
        </w:rPr>
        <w:t>’s MMWIG funding lack</w:t>
      </w:r>
      <w:r w:rsidR="00D44217" w:rsidRPr="002115F7">
        <w:rPr>
          <w:color w:val="auto"/>
          <w:sz w:val="22"/>
          <w:szCs w:val="22"/>
        </w:rPr>
        <w:t>s</w:t>
      </w:r>
      <w:r w:rsidR="00AA1A8D" w:rsidRPr="002115F7">
        <w:rPr>
          <w:color w:val="auto"/>
          <w:sz w:val="22"/>
          <w:szCs w:val="22"/>
        </w:rPr>
        <w:t xml:space="preserve"> transparency</w:t>
      </w:r>
      <w:r w:rsidR="00DA60F9" w:rsidRPr="002115F7">
        <w:rPr>
          <w:color w:val="auto"/>
          <w:sz w:val="22"/>
          <w:szCs w:val="22"/>
        </w:rPr>
        <w:t xml:space="preserve"> and impact</w:t>
      </w:r>
      <w:bookmarkEnd w:id="12"/>
    </w:p>
    <w:p w14:paraId="3EBFA5AF" w14:textId="2C56A89B" w:rsidR="006F0337" w:rsidRDefault="00DA60F9" w:rsidP="00B24075">
      <w:pPr>
        <w:spacing w:after="160" w:line="276" w:lineRule="auto"/>
        <w:rPr>
          <w:rFonts w:eastAsiaTheme="minorEastAsia"/>
          <w:color w:val="000000" w:themeColor="text1"/>
          <w:sz w:val="22"/>
          <w:lang w:val="en-US"/>
        </w:rPr>
      </w:pPr>
      <w:r>
        <w:rPr>
          <w:rFonts w:eastAsiaTheme="minorEastAsia"/>
          <w:color w:val="000000" w:themeColor="text1"/>
          <w:sz w:val="22"/>
          <w:lang w:val="en-US"/>
        </w:rPr>
        <w:t xml:space="preserve">The 2021 </w:t>
      </w:r>
      <w:r w:rsidR="00E32638" w:rsidRPr="00E32638">
        <w:rPr>
          <w:rFonts w:eastAsiaTheme="minorEastAsia"/>
          <w:color w:val="000000" w:themeColor="text1"/>
          <w:sz w:val="22"/>
          <w:lang w:val="en-US"/>
        </w:rPr>
        <w:t xml:space="preserve">Federal Budget </w:t>
      </w:r>
      <w:r w:rsidRPr="00801FC6">
        <w:rPr>
          <w:rFonts w:eastAsiaTheme="minorEastAsia"/>
          <w:color w:val="000000" w:themeColor="text1"/>
          <w:sz w:val="22"/>
          <w:lang w:val="en-US"/>
        </w:rPr>
        <w:t>committed</w:t>
      </w:r>
      <w:r w:rsidRPr="007C1CAD">
        <w:rPr>
          <w:rFonts w:eastAsiaTheme="minorEastAsia"/>
          <w:color w:val="000000" w:themeColor="text1"/>
          <w:sz w:val="22"/>
          <w:lang w:val="en-US"/>
        </w:rPr>
        <w:t> $2.2 Billion over 5 years</w:t>
      </w:r>
      <w:r w:rsidRPr="00801FC6">
        <w:rPr>
          <w:rFonts w:eastAsiaTheme="minorEastAsia"/>
          <w:color w:val="000000" w:themeColor="text1"/>
          <w:sz w:val="22"/>
          <w:lang w:val="en-US"/>
        </w:rPr>
        <w:t> to addressing and responding to MMIWG. In 2022, ONWA undertook a preliminary analysis to identify where investments into MMIWG from </w:t>
      </w:r>
      <w:r w:rsidRPr="007C1CAD">
        <w:rPr>
          <w:rFonts w:eastAsiaTheme="minorEastAsia"/>
          <w:color w:val="000000" w:themeColor="text1"/>
          <w:sz w:val="22"/>
          <w:lang w:val="en-US"/>
        </w:rPr>
        <w:t>Budget 2021</w:t>
      </w:r>
      <w:r w:rsidRPr="00801FC6">
        <w:rPr>
          <w:rFonts w:eastAsiaTheme="minorEastAsia"/>
          <w:color w:val="000000" w:themeColor="text1"/>
          <w:sz w:val="22"/>
          <w:lang w:val="en-US"/>
        </w:rPr>
        <w:t> have been allocated</w:t>
      </w:r>
      <w:r>
        <w:rPr>
          <w:rFonts w:eastAsiaTheme="minorEastAsia"/>
          <w:color w:val="000000" w:themeColor="text1"/>
          <w:sz w:val="22"/>
          <w:lang w:val="en-US"/>
        </w:rPr>
        <w:t>.</w:t>
      </w:r>
      <w:r>
        <w:rPr>
          <w:rStyle w:val="FootnoteReference"/>
          <w:rFonts w:eastAsiaTheme="minorEastAsia"/>
          <w:color w:val="000000" w:themeColor="text1"/>
          <w:sz w:val="22"/>
          <w:lang w:val="en-US"/>
        </w:rPr>
        <w:footnoteReference w:id="33"/>
      </w:r>
      <w:r w:rsidR="00E32638" w:rsidRPr="00E32638">
        <w:rPr>
          <w:rFonts w:eastAsiaTheme="minorEastAsia"/>
          <w:color w:val="000000" w:themeColor="text1"/>
          <w:sz w:val="22"/>
          <w:lang w:val="en-US"/>
        </w:rPr>
        <w:t> </w:t>
      </w:r>
      <w:r>
        <w:rPr>
          <w:rFonts w:eastAsiaTheme="minorEastAsia"/>
          <w:color w:val="000000" w:themeColor="text1"/>
          <w:sz w:val="22"/>
          <w:lang w:val="en-US"/>
        </w:rPr>
        <w:t>With notable limitation</w:t>
      </w:r>
      <w:r w:rsidR="00CA5F1F">
        <w:rPr>
          <w:rFonts w:eastAsiaTheme="minorEastAsia"/>
          <w:color w:val="000000" w:themeColor="text1"/>
          <w:sz w:val="22"/>
          <w:lang w:val="en-US"/>
        </w:rPr>
        <w:t>s</w:t>
      </w:r>
      <w:r>
        <w:rPr>
          <w:rFonts w:eastAsiaTheme="minorEastAsia"/>
          <w:color w:val="000000" w:themeColor="text1"/>
          <w:sz w:val="22"/>
          <w:lang w:val="en-US"/>
        </w:rPr>
        <w:t>, we found</w:t>
      </w:r>
      <w:r w:rsidR="00E32638" w:rsidRPr="00E32638">
        <w:rPr>
          <w:rFonts w:eastAsiaTheme="minorEastAsia"/>
          <w:color w:val="000000" w:themeColor="text1"/>
          <w:sz w:val="22"/>
          <w:lang w:val="en-US"/>
        </w:rPr>
        <w:t xml:space="preserve"> a </w:t>
      </w:r>
      <w:r>
        <w:rPr>
          <w:rFonts w:eastAsiaTheme="minorEastAsia"/>
          <w:color w:val="000000" w:themeColor="text1"/>
          <w:sz w:val="22"/>
          <w:lang w:val="en-US"/>
        </w:rPr>
        <w:t xml:space="preserve">significant portion of </w:t>
      </w:r>
      <w:r w:rsidR="00E32638" w:rsidRPr="00E32638">
        <w:rPr>
          <w:rFonts w:eastAsiaTheme="minorEastAsia"/>
          <w:color w:val="000000" w:themeColor="text1"/>
          <w:sz w:val="22"/>
          <w:lang w:val="en-US"/>
        </w:rPr>
        <w:t xml:space="preserve">funding </w:t>
      </w:r>
      <w:r>
        <w:rPr>
          <w:rFonts w:eastAsiaTheme="minorEastAsia"/>
          <w:color w:val="000000" w:themeColor="text1"/>
          <w:sz w:val="22"/>
          <w:lang w:val="en-US"/>
        </w:rPr>
        <w:t xml:space="preserve">(88%) </w:t>
      </w:r>
      <w:r w:rsidR="00E32638" w:rsidRPr="00E32638">
        <w:rPr>
          <w:rFonts w:eastAsiaTheme="minorEastAsia"/>
          <w:color w:val="000000" w:themeColor="text1"/>
          <w:sz w:val="22"/>
          <w:lang w:val="en-US"/>
        </w:rPr>
        <w:t xml:space="preserve">was </w:t>
      </w:r>
      <w:r w:rsidRPr="007C1CAD">
        <w:rPr>
          <w:rFonts w:eastAsiaTheme="minorEastAsia"/>
          <w:color w:val="000000" w:themeColor="text1"/>
          <w:sz w:val="22"/>
          <w:u w:val="single"/>
          <w:lang w:val="en-US"/>
        </w:rPr>
        <w:t>not</w:t>
      </w:r>
      <w:r w:rsidR="00E32638" w:rsidRPr="00E32638">
        <w:rPr>
          <w:rFonts w:eastAsiaTheme="minorEastAsia"/>
          <w:color w:val="000000" w:themeColor="text1"/>
          <w:sz w:val="22"/>
          <w:lang w:val="en-US"/>
        </w:rPr>
        <w:t> going to Indigenous women's organizations</w:t>
      </w:r>
      <w:r w:rsidRPr="00107E40">
        <w:rPr>
          <w:rFonts w:eastAsiaTheme="minorEastAsia"/>
          <w:color w:val="000000" w:themeColor="text1"/>
          <w:sz w:val="22"/>
          <w:lang w:val="en-US"/>
        </w:rPr>
        <w:t>, raising concerns of ongoing systemic discrimination against Indigenous women</w:t>
      </w:r>
      <w:r w:rsidR="00D44217">
        <w:rPr>
          <w:rFonts w:eastAsiaTheme="minorEastAsia"/>
          <w:color w:val="000000" w:themeColor="text1"/>
          <w:sz w:val="22"/>
          <w:lang w:val="en-US"/>
        </w:rPr>
        <w:t xml:space="preserve"> and whether investments are actually </w:t>
      </w:r>
      <w:r w:rsidR="00CA5F1F">
        <w:rPr>
          <w:rFonts w:eastAsiaTheme="minorEastAsia"/>
          <w:color w:val="000000" w:themeColor="text1"/>
          <w:sz w:val="22"/>
          <w:lang w:val="en-US"/>
        </w:rPr>
        <w:t>improving our safety</w:t>
      </w:r>
      <w:r w:rsidR="00E32638" w:rsidRPr="00E32638">
        <w:rPr>
          <w:rFonts w:eastAsiaTheme="minorEastAsia"/>
          <w:color w:val="000000" w:themeColor="text1"/>
          <w:sz w:val="22"/>
          <w:lang w:val="en-US"/>
        </w:rPr>
        <w:t>.</w:t>
      </w:r>
      <w:r>
        <w:rPr>
          <w:rStyle w:val="FootnoteReference"/>
          <w:rFonts w:eastAsiaTheme="minorEastAsia"/>
          <w:color w:val="000000" w:themeColor="text1"/>
          <w:sz w:val="22"/>
          <w:lang w:val="en-US"/>
        </w:rPr>
        <w:footnoteReference w:id="34"/>
      </w:r>
      <w:r w:rsidR="00A62C5D">
        <w:rPr>
          <w:rFonts w:eastAsiaTheme="minorEastAsia"/>
          <w:color w:val="000000" w:themeColor="text1"/>
          <w:sz w:val="22"/>
          <w:lang w:val="en-US"/>
        </w:rPr>
        <w:t xml:space="preserve"> </w:t>
      </w:r>
      <w:r w:rsidR="000230B2">
        <w:rPr>
          <w:rFonts w:eastAsiaTheme="minorEastAsia"/>
          <w:color w:val="000000" w:themeColor="text1"/>
          <w:sz w:val="22"/>
          <w:lang w:val="en-US"/>
        </w:rPr>
        <w:t>S</w:t>
      </w:r>
      <w:r w:rsidR="00777B13">
        <w:rPr>
          <w:rFonts w:eastAsiaTheme="minorEastAsia"/>
          <w:color w:val="000000" w:themeColor="text1"/>
          <w:sz w:val="22"/>
          <w:lang w:val="en-US"/>
        </w:rPr>
        <w:t xml:space="preserve">ince the </w:t>
      </w:r>
      <w:r w:rsidR="00DF0A94">
        <w:rPr>
          <w:rFonts w:eastAsiaTheme="minorEastAsia"/>
          <w:color w:val="000000" w:themeColor="text1"/>
          <w:sz w:val="22"/>
          <w:lang w:val="en-US"/>
        </w:rPr>
        <w:t xml:space="preserve">National </w:t>
      </w:r>
      <w:r w:rsidR="00EA2E1D">
        <w:rPr>
          <w:rFonts w:eastAsiaTheme="minorEastAsia"/>
          <w:color w:val="000000" w:themeColor="text1"/>
          <w:sz w:val="22"/>
          <w:lang w:val="en-US"/>
        </w:rPr>
        <w:t>Inquiry</w:t>
      </w:r>
      <w:r w:rsidR="00DF0A94">
        <w:rPr>
          <w:rFonts w:eastAsiaTheme="minorEastAsia"/>
          <w:color w:val="000000" w:themeColor="text1"/>
          <w:sz w:val="22"/>
          <w:lang w:val="en-US"/>
        </w:rPr>
        <w:t xml:space="preserve"> into MMIWG</w:t>
      </w:r>
      <w:r w:rsidR="002A51FD">
        <w:rPr>
          <w:rFonts w:eastAsiaTheme="minorEastAsia"/>
          <w:color w:val="000000" w:themeColor="text1"/>
          <w:sz w:val="22"/>
          <w:lang w:val="en-US"/>
        </w:rPr>
        <w:t xml:space="preserve">, </w:t>
      </w:r>
      <w:r w:rsidR="00521C12">
        <w:rPr>
          <w:rFonts w:eastAsiaTheme="minorEastAsia"/>
          <w:color w:val="000000" w:themeColor="text1"/>
          <w:sz w:val="22"/>
          <w:lang w:val="en-US"/>
        </w:rPr>
        <w:t xml:space="preserve">the number of </w:t>
      </w:r>
      <w:r w:rsidR="00A16A9D">
        <w:rPr>
          <w:rFonts w:eastAsiaTheme="minorEastAsia"/>
          <w:color w:val="000000" w:themeColor="text1"/>
          <w:sz w:val="22"/>
          <w:lang w:val="en-US"/>
        </w:rPr>
        <w:t>Indigenous women</w:t>
      </w:r>
      <w:r w:rsidR="00B20452">
        <w:rPr>
          <w:rFonts w:eastAsiaTheme="minorEastAsia"/>
          <w:color w:val="000000" w:themeColor="text1"/>
          <w:sz w:val="22"/>
          <w:lang w:val="en-US"/>
        </w:rPr>
        <w:t xml:space="preserve"> victims of femicide</w:t>
      </w:r>
      <w:r w:rsidR="00A30C57">
        <w:rPr>
          <w:rFonts w:eastAsiaTheme="minorEastAsia"/>
          <w:color w:val="000000" w:themeColor="text1"/>
          <w:sz w:val="22"/>
          <w:lang w:val="en-US"/>
        </w:rPr>
        <w:t xml:space="preserve"> </w:t>
      </w:r>
      <w:r w:rsidR="007E0B34">
        <w:rPr>
          <w:rFonts w:eastAsiaTheme="minorEastAsia"/>
          <w:color w:val="000000" w:themeColor="text1"/>
          <w:sz w:val="22"/>
          <w:lang w:val="en-US"/>
        </w:rPr>
        <w:t>has increased</w:t>
      </w:r>
      <w:r w:rsidR="008833C2">
        <w:rPr>
          <w:rFonts w:eastAsiaTheme="minorEastAsia"/>
          <w:color w:val="000000" w:themeColor="text1"/>
          <w:sz w:val="22"/>
          <w:lang w:val="en-US"/>
        </w:rPr>
        <w:t xml:space="preserve"> and our</w:t>
      </w:r>
      <w:r w:rsidR="00297780">
        <w:rPr>
          <w:rFonts w:eastAsiaTheme="minorEastAsia"/>
          <w:color w:val="000000" w:themeColor="text1"/>
          <w:sz w:val="22"/>
          <w:lang w:val="en-US"/>
        </w:rPr>
        <w:t xml:space="preserve"> safe</w:t>
      </w:r>
      <w:r w:rsidR="00C418D5">
        <w:rPr>
          <w:rFonts w:eastAsiaTheme="minorEastAsia"/>
          <w:color w:val="000000" w:themeColor="text1"/>
          <w:sz w:val="22"/>
          <w:lang w:val="en-US"/>
        </w:rPr>
        <w:t>t</w:t>
      </w:r>
      <w:r w:rsidR="00297780">
        <w:rPr>
          <w:rFonts w:eastAsiaTheme="minorEastAsia"/>
          <w:color w:val="000000" w:themeColor="text1"/>
          <w:sz w:val="22"/>
          <w:lang w:val="en-US"/>
        </w:rPr>
        <w:t xml:space="preserve">y </w:t>
      </w:r>
      <w:r w:rsidR="008833C2">
        <w:rPr>
          <w:rFonts w:eastAsiaTheme="minorEastAsia"/>
          <w:color w:val="000000" w:themeColor="text1"/>
          <w:sz w:val="22"/>
          <w:lang w:val="en-US"/>
        </w:rPr>
        <w:t>continues</w:t>
      </w:r>
      <w:r w:rsidR="00CD4CD3">
        <w:rPr>
          <w:rFonts w:eastAsiaTheme="minorEastAsia"/>
          <w:color w:val="000000" w:themeColor="text1"/>
          <w:sz w:val="22"/>
          <w:lang w:val="en-US"/>
        </w:rPr>
        <w:t xml:space="preserve"> to be impacted</w:t>
      </w:r>
      <w:r w:rsidR="00297780">
        <w:rPr>
          <w:rFonts w:eastAsiaTheme="minorEastAsia"/>
          <w:color w:val="000000" w:themeColor="text1"/>
          <w:sz w:val="22"/>
          <w:lang w:val="en-US"/>
        </w:rPr>
        <w:t>.</w:t>
      </w:r>
      <w:r w:rsidR="00C418D5">
        <w:rPr>
          <w:rStyle w:val="FootnoteReference"/>
          <w:rFonts w:eastAsiaTheme="minorEastAsia"/>
          <w:color w:val="000000" w:themeColor="text1"/>
          <w:sz w:val="22"/>
          <w:lang w:val="en-US"/>
        </w:rPr>
        <w:footnoteReference w:id="35"/>
      </w:r>
      <w:r w:rsidR="006F0337">
        <w:rPr>
          <w:rFonts w:eastAsiaTheme="minorEastAsia"/>
          <w:color w:val="000000" w:themeColor="text1"/>
          <w:sz w:val="22"/>
          <w:lang w:val="en-US"/>
        </w:rPr>
        <w:t xml:space="preserve"> </w:t>
      </w:r>
    </w:p>
    <w:p w14:paraId="0386E1D4" w14:textId="1261416A" w:rsidR="009349E3" w:rsidRPr="00DC0BAA" w:rsidRDefault="00BE7AA9" w:rsidP="00DC0BAA">
      <w:pPr>
        <w:spacing w:line="276" w:lineRule="auto"/>
        <w:ind w:left="720"/>
        <w:rPr>
          <w:rFonts w:eastAsiaTheme="minorEastAsia"/>
          <w:color w:val="000000" w:themeColor="text1"/>
          <w:sz w:val="22"/>
        </w:rPr>
      </w:pPr>
      <w:r w:rsidRPr="1D5E8CE5">
        <w:rPr>
          <w:rFonts w:eastAsiaTheme="minorEastAsia"/>
          <w:b/>
          <w:bCs/>
          <w:color w:val="000000" w:themeColor="text1"/>
          <w:sz w:val="22"/>
          <w:lang w:val="en-US"/>
        </w:rPr>
        <w:t>Recommendation:</w:t>
      </w:r>
      <w:r w:rsidRPr="1D5E8CE5">
        <w:rPr>
          <w:rFonts w:eastAsiaTheme="minorEastAsia"/>
          <w:color w:val="000000" w:themeColor="text1"/>
          <w:sz w:val="22"/>
          <w:lang w:val="en-US"/>
        </w:rPr>
        <w:t xml:space="preserve"> </w:t>
      </w:r>
      <w:r w:rsidR="00F34088" w:rsidRPr="1D5E8CE5">
        <w:rPr>
          <w:color w:val="000000" w:themeColor="text1"/>
          <w:sz w:val="22"/>
        </w:rPr>
        <w:t xml:space="preserve">Canada </w:t>
      </w:r>
      <w:r w:rsidRPr="1D5E8CE5">
        <w:rPr>
          <w:color w:val="000000" w:themeColor="text1"/>
          <w:sz w:val="22"/>
        </w:rPr>
        <w:t>must demonstrate accountability to Indigenous women</w:t>
      </w:r>
      <w:r w:rsidR="001C4BD9" w:rsidRPr="1D5E8CE5">
        <w:rPr>
          <w:color w:val="000000" w:themeColor="text1"/>
          <w:sz w:val="22"/>
        </w:rPr>
        <w:t xml:space="preserve"> through funding transparency</w:t>
      </w:r>
      <w:r w:rsidR="009349E3">
        <w:rPr>
          <w:color w:val="000000" w:themeColor="text1"/>
          <w:sz w:val="22"/>
        </w:rPr>
        <w:t>,</w:t>
      </w:r>
      <w:r w:rsidRPr="1D5E8CE5">
        <w:rPr>
          <w:color w:val="000000" w:themeColor="text1"/>
          <w:sz w:val="22"/>
        </w:rPr>
        <w:t xml:space="preserve"> demonstrat</w:t>
      </w:r>
      <w:r w:rsidR="001C4BD9" w:rsidRPr="1D5E8CE5">
        <w:rPr>
          <w:color w:val="000000" w:themeColor="text1"/>
          <w:sz w:val="22"/>
        </w:rPr>
        <w:t>ing</w:t>
      </w:r>
      <w:r w:rsidRPr="1D5E8CE5">
        <w:rPr>
          <w:color w:val="000000" w:themeColor="text1"/>
          <w:sz w:val="22"/>
        </w:rPr>
        <w:t xml:space="preserve"> how funding is </w:t>
      </w:r>
      <w:r w:rsidRPr="009B5F10">
        <w:rPr>
          <w:color w:val="000000" w:themeColor="text1"/>
          <w:sz w:val="22"/>
        </w:rPr>
        <w:t>improving our safety</w:t>
      </w:r>
      <w:r w:rsidR="009349E3" w:rsidRPr="009B5F10">
        <w:rPr>
          <w:color w:val="000000" w:themeColor="text1"/>
          <w:sz w:val="22"/>
        </w:rPr>
        <w:t xml:space="preserve">, </w:t>
      </w:r>
      <w:r w:rsidR="009349E3" w:rsidRPr="00DC0BAA">
        <w:rPr>
          <w:sz w:val="22"/>
        </w:rPr>
        <w:t>implementing a funding model that represents and best addresses who is most at risk of gender-based violence and of being murdered or disappeared, and providing core,</w:t>
      </w:r>
      <w:r w:rsidR="2A3AF23C" w:rsidRPr="009B5F10">
        <w:rPr>
          <w:rFonts w:eastAsiaTheme="minorEastAsia"/>
          <w:color w:val="000000" w:themeColor="text1"/>
          <w:sz w:val="22"/>
        </w:rPr>
        <w:t xml:space="preserve"> </w:t>
      </w:r>
      <w:r w:rsidR="009349E3" w:rsidRPr="009B5F10">
        <w:rPr>
          <w:sz w:val="22"/>
        </w:rPr>
        <w:t>sustainable</w:t>
      </w:r>
      <w:r w:rsidR="009349E3" w:rsidRPr="00763F05">
        <w:rPr>
          <w:sz w:val="22"/>
        </w:rPr>
        <w:t xml:space="preserve"> funding to Indigenous women’s organizations</w:t>
      </w:r>
      <w:r w:rsidR="004B4F9A" w:rsidRPr="007F4AB4">
        <w:rPr>
          <w:rFonts w:eastAsia="Times New Roman"/>
          <w:sz w:val="22"/>
          <w:lang w:eastAsia="en-CA"/>
        </w:rPr>
        <w:t xml:space="preserve">. </w:t>
      </w:r>
    </w:p>
    <w:p w14:paraId="5A016B86" w14:textId="77777777" w:rsidR="009349E3" w:rsidRPr="007F4AB4" w:rsidRDefault="009349E3" w:rsidP="1D5E8CE5">
      <w:pPr>
        <w:spacing w:line="276" w:lineRule="auto"/>
        <w:ind w:left="720"/>
        <w:rPr>
          <w:rFonts w:eastAsiaTheme="minorEastAsia"/>
          <w:color w:val="000000" w:themeColor="text1"/>
          <w:sz w:val="22"/>
        </w:rPr>
      </w:pPr>
    </w:p>
    <w:p w14:paraId="18D1D66C" w14:textId="77777777" w:rsidR="00BE242F" w:rsidRDefault="00BE242F" w:rsidP="00AB5E60">
      <w:pPr>
        <w:spacing w:line="276" w:lineRule="auto"/>
      </w:pPr>
    </w:p>
    <w:p w14:paraId="50AC0F62" w14:textId="55DD3FE9" w:rsidR="00BE242F" w:rsidRDefault="00656F65" w:rsidP="00B21D72">
      <w:pPr>
        <w:pStyle w:val="Heading1"/>
        <w:spacing w:before="0" w:after="120"/>
        <w:rPr>
          <w:rFonts w:ascii="Calibri" w:hAnsi="Calibri" w:cs="Calibri"/>
          <w:sz w:val="28"/>
        </w:rPr>
      </w:pPr>
      <w:bookmarkStart w:id="13" w:name="_Toc176510770"/>
      <w:r>
        <w:rPr>
          <w:rFonts w:ascii="Calibri" w:hAnsi="Calibri" w:cs="Calibri"/>
          <w:sz w:val="28"/>
        </w:rPr>
        <w:lastRenderedPageBreak/>
        <w:t xml:space="preserve">Priority Issue 3: </w:t>
      </w:r>
      <w:r w:rsidR="006636CF" w:rsidRPr="007F4AB4">
        <w:rPr>
          <w:rFonts w:ascii="Calibri" w:hAnsi="Calibri" w:cs="Calibri"/>
          <w:sz w:val="28"/>
        </w:rPr>
        <w:t>Indigenous women continue to face s</w:t>
      </w:r>
      <w:r w:rsidR="00804DCA" w:rsidRPr="007F4AB4">
        <w:rPr>
          <w:rFonts w:ascii="Calibri" w:hAnsi="Calibri" w:cs="Calibri"/>
          <w:sz w:val="28"/>
        </w:rPr>
        <w:t xml:space="preserve">ystemic </w:t>
      </w:r>
      <w:r w:rsidR="00797F94">
        <w:rPr>
          <w:rFonts w:ascii="Calibri" w:hAnsi="Calibri" w:cs="Calibri"/>
          <w:sz w:val="28"/>
        </w:rPr>
        <w:t xml:space="preserve">and intersectional </w:t>
      </w:r>
      <w:r w:rsidR="00804DCA" w:rsidRPr="007F4AB4">
        <w:rPr>
          <w:rFonts w:ascii="Calibri" w:hAnsi="Calibri" w:cs="Calibri"/>
          <w:sz w:val="28"/>
        </w:rPr>
        <w:t>discrimination, sexism and racism</w:t>
      </w:r>
      <w:bookmarkEnd w:id="13"/>
      <w:r w:rsidR="00804DCA" w:rsidRPr="007F4AB4">
        <w:rPr>
          <w:rFonts w:ascii="Calibri" w:hAnsi="Calibri" w:cs="Calibri"/>
          <w:sz w:val="28"/>
        </w:rPr>
        <w:t xml:space="preserve"> </w:t>
      </w:r>
    </w:p>
    <w:p w14:paraId="2E0B4CA0" w14:textId="21A31931" w:rsidR="007718E6" w:rsidRDefault="618E3219" w:rsidP="002115F7">
      <w:pPr>
        <w:spacing w:after="160" w:line="276" w:lineRule="auto"/>
        <w:rPr>
          <w:rFonts w:eastAsia="Aptos" w:cstheme="minorHAnsi"/>
          <w:color w:val="000000" w:themeColor="text1"/>
          <w:sz w:val="22"/>
        </w:rPr>
      </w:pPr>
      <w:r w:rsidRPr="007F4AB4">
        <w:rPr>
          <w:rFonts w:eastAsia="Aptos" w:cstheme="minorHAnsi"/>
          <w:color w:val="000000" w:themeColor="text1"/>
          <w:sz w:val="22"/>
        </w:rPr>
        <w:t>Despite Canada’s international treaty obligations</w:t>
      </w:r>
      <w:r w:rsidR="3A31A056" w:rsidRPr="007F4AB4">
        <w:rPr>
          <w:rFonts w:eastAsia="Aptos" w:cstheme="minorHAnsi"/>
          <w:color w:val="000000" w:themeColor="text1"/>
          <w:sz w:val="22"/>
        </w:rPr>
        <w:t xml:space="preserve">, </w:t>
      </w:r>
      <w:r w:rsidRPr="007F4AB4">
        <w:rPr>
          <w:rFonts w:eastAsia="Aptos" w:cstheme="minorHAnsi"/>
          <w:color w:val="000000" w:themeColor="text1"/>
          <w:sz w:val="22"/>
        </w:rPr>
        <w:t xml:space="preserve">and its commitment to uphold Indigenous women’s rights through the </w:t>
      </w:r>
      <w:r w:rsidRPr="007F4AB4">
        <w:rPr>
          <w:rFonts w:eastAsia="Aptos" w:cstheme="minorHAnsi"/>
          <w:i/>
          <w:iCs/>
          <w:color w:val="000000" w:themeColor="text1"/>
          <w:sz w:val="22"/>
        </w:rPr>
        <w:t>United Nations Declaration on the Rights of Indigenous Peoples Act</w:t>
      </w:r>
      <w:r w:rsidR="00586A2B" w:rsidRPr="007F4AB4">
        <w:rPr>
          <w:rFonts w:eastAsia="Aptos" w:cstheme="minorHAnsi"/>
          <w:i/>
          <w:iCs/>
          <w:color w:val="000000" w:themeColor="text1"/>
          <w:sz w:val="22"/>
        </w:rPr>
        <w:t>,</w:t>
      </w:r>
      <w:r w:rsidRPr="007F4AB4">
        <w:rPr>
          <w:rFonts w:eastAsia="Aptos" w:cstheme="minorHAnsi"/>
          <w:i/>
          <w:iCs/>
          <w:color w:val="000000" w:themeColor="text1"/>
          <w:sz w:val="22"/>
        </w:rPr>
        <w:t> 2021</w:t>
      </w:r>
      <w:r w:rsidR="00AA79A4">
        <w:rPr>
          <w:rFonts w:eastAsia="Aptos" w:cstheme="minorHAnsi"/>
          <w:i/>
          <w:iCs/>
          <w:color w:val="000000" w:themeColor="text1"/>
          <w:sz w:val="22"/>
        </w:rPr>
        <w:t>,</w:t>
      </w:r>
      <w:r w:rsidRPr="007F4AB4">
        <w:rPr>
          <w:rFonts w:eastAsia="Aptos" w:cstheme="minorHAnsi"/>
          <w:color w:val="000000" w:themeColor="text1"/>
          <w:sz w:val="22"/>
        </w:rPr>
        <w:t xml:space="preserve"> Indigenous women in Canada do not experience full and equal enjoyment of their human right</w:t>
      </w:r>
      <w:r w:rsidR="00CF5060">
        <w:rPr>
          <w:rFonts w:eastAsia="Aptos" w:cstheme="minorHAnsi"/>
          <w:color w:val="000000" w:themeColor="text1"/>
          <w:sz w:val="22"/>
        </w:rPr>
        <w:t>s.</w:t>
      </w:r>
    </w:p>
    <w:p w14:paraId="0EEC90C8" w14:textId="221BFCBF" w:rsidR="6D14F173" w:rsidRPr="002115F7" w:rsidRDefault="000434A3" w:rsidP="002115F7">
      <w:pPr>
        <w:pStyle w:val="Heading2"/>
        <w:numPr>
          <w:ilvl w:val="0"/>
          <w:numId w:val="17"/>
        </w:numPr>
        <w:spacing w:before="0" w:line="276" w:lineRule="auto"/>
        <w:rPr>
          <w:color w:val="auto"/>
          <w:sz w:val="22"/>
          <w:szCs w:val="22"/>
        </w:rPr>
      </w:pPr>
      <w:bookmarkStart w:id="14" w:name="_Toc176510771"/>
      <w:r w:rsidRPr="002115F7">
        <w:rPr>
          <w:color w:val="auto"/>
          <w:sz w:val="22"/>
          <w:szCs w:val="22"/>
        </w:rPr>
        <w:t xml:space="preserve">Indigenous women </w:t>
      </w:r>
      <w:r w:rsidR="00F93C0F" w:rsidRPr="002115F7">
        <w:rPr>
          <w:color w:val="auto"/>
          <w:sz w:val="22"/>
          <w:szCs w:val="22"/>
        </w:rPr>
        <w:t xml:space="preserve">face access barriers to </w:t>
      </w:r>
      <w:r w:rsidR="00C9543C" w:rsidRPr="002115F7">
        <w:rPr>
          <w:color w:val="auto"/>
          <w:sz w:val="22"/>
          <w:szCs w:val="22"/>
        </w:rPr>
        <w:t>supports and services</w:t>
      </w:r>
      <w:bookmarkEnd w:id="14"/>
    </w:p>
    <w:p w14:paraId="7F34FF1E" w14:textId="3E2815B4" w:rsidR="006F68D2" w:rsidRDefault="00B738F3" w:rsidP="00AE7AD6">
      <w:pPr>
        <w:spacing w:after="120" w:line="276" w:lineRule="auto"/>
        <w:rPr>
          <w:rFonts w:cstheme="minorHAnsi"/>
          <w:sz w:val="22"/>
        </w:rPr>
      </w:pPr>
      <w:r>
        <w:rPr>
          <w:rFonts w:cstheme="minorHAnsi"/>
          <w:sz w:val="22"/>
        </w:rPr>
        <w:t xml:space="preserve">Responding </w:t>
      </w:r>
      <w:r w:rsidRPr="008D7930">
        <w:rPr>
          <w:rFonts w:cstheme="minorHAnsi"/>
          <w:sz w:val="22"/>
        </w:rPr>
        <w:t>to Issue 23 (</w:t>
      </w:r>
      <w:r w:rsidRPr="008D7930">
        <w:rPr>
          <w:rFonts w:cstheme="minorHAnsi"/>
          <w:sz w:val="22"/>
        </w:rPr>
        <w:fldChar w:fldCharType="begin"/>
      </w:r>
      <w:r w:rsidRPr="008D7930">
        <w:rPr>
          <w:rFonts w:cstheme="minorHAnsi"/>
          <w:sz w:val="22"/>
        </w:rPr>
        <w:instrText xml:space="preserve"> DOCVARIABLE "sss1" \* MERGEFORMAT </w:instrText>
      </w:r>
      <w:r w:rsidRPr="008D7930">
        <w:rPr>
          <w:rFonts w:cstheme="minorHAnsi"/>
          <w:sz w:val="22"/>
        </w:rPr>
        <w:fldChar w:fldCharType="separate"/>
      </w:r>
      <w:r w:rsidRPr="008D7930">
        <w:rPr>
          <w:rFonts w:cstheme="minorHAnsi"/>
          <w:sz w:val="22"/>
        </w:rPr>
        <w:t>CEDAW/C/CAN/QPR/10</w:t>
      </w:r>
      <w:r w:rsidRPr="008D7930">
        <w:rPr>
          <w:rFonts w:cstheme="minorHAnsi"/>
          <w:sz w:val="22"/>
        </w:rPr>
        <w:fldChar w:fldCharType="end"/>
      </w:r>
      <w:r w:rsidRPr="008D7930">
        <w:rPr>
          <w:rFonts w:cstheme="minorHAnsi"/>
          <w:sz w:val="22"/>
        </w:rPr>
        <w:t xml:space="preserve">, para. 23), Canada </w:t>
      </w:r>
      <w:r w:rsidR="00176B46">
        <w:rPr>
          <w:rFonts w:cstheme="minorHAnsi"/>
          <w:sz w:val="22"/>
        </w:rPr>
        <w:t xml:space="preserve">lists several </w:t>
      </w:r>
      <w:r w:rsidR="000A42AF">
        <w:rPr>
          <w:rFonts w:cstheme="minorHAnsi"/>
          <w:sz w:val="22"/>
        </w:rPr>
        <w:t xml:space="preserve">measures taken by </w:t>
      </w:r>
      <w:r w:rsidR="00176B46">
        <w:rPr>
          <w:rFonts w:cstheme="minorHAnsi"/>
          <w:sz w:val="22"/>
        </w:rPr>
        <w:t xml:space="preserve">FPT </w:t>
      </w:r>
      <w:r w:rsidR="000A42AF">
        <w:rPr>
          <w:rFonts w:cstheme="minorHAnsi"/>
          <w:sz w:val="22"/>
        </w:rPr>
        <w:t xml:space="preserve">government to improve </w:t>
      </w:r>
      <w:r w:rsidR="00480497" w:rsidRPr="007F4AB4">
        <w:rPr>
          <w:rFonts w:cstheme="minorHAnsi"/>
          <w:sz w:val="22"/>
        </w:rPr>
        <w:t xml:space="preserve">access </w:t>
      </w:r>
      <w:r w:rsidR="00480497">
        <w:rPr>
          <w:rFonts w:cstheme="minorHAnsi"/>
          <w:sz w:val="22"/>
        </w:rPr>
        <w:t xml:space="preserve">to </w:t>
      </w:r>
      <w:r w:rsidR="00480497" w:rsidRPr="007F4AB4">
        <w:rPr>
          <w:rFonts w:cstheme="minorHAnsi"/>
          <w:sz w:val="22"/>
        </w:rPr>
        <w:t>employment, health, education, housing, and participation in political and public life</w:t>
      </w:r>
      <w:r w:rsidR="006F68D2">
        <w:rPr>
          <w:rFonts w:cstheme="minorHAnsi"/>
          <w:sz w:val="22"/>
        </w:rPr>
        <w:t xml:space="preserve"> (</w:t>
      </w:r>
      <w:r w:rsidR="006F68D2" w:rsidRPr="007C1CAD">
        <w:rPr>
          <w:rFonts w:cstheme="minorHAnsi"/>
          <w:sz w:val="22"/>
        </w:rPr>
        <w:fldChar w:fldCharType="begin"/>
      </w:r>
      <w:r w:rsidR="006F68D2" w:rsidRPr="007C1CAD">
        <w:rPr>
          <w:rFonts w:cstheme="minorHAnsi"/>
          <w:sz w:val="22"/>
        </w:rPr>
        <w:instrText xml:space="preserve"> DOCVARIABLE "sss1" \* MERGEFORMAT </w:instrText>
      </w:r>
      <w:r w:rsidR="006F68D2" w:rsidRPr="007C1CAD">
        <w:rPr>
          <w:rFonts w:cstheme="minorHAnsi"/>
          <w:sz w:val="22"/>
        </w:rPr>
        <w:fldChar w:fldCharType="separate"/>
      </w:r>
      <w:r w:rsidR="006F68D2" w:rsidRPr="007C1CAD">
        <w:rPr>
          <w:rFonts w:cstheme="minorHAnsi"/>
          <w:sz w:val="22"/>
        </w:rPr>
        <w:t>CEDAW/C/CAN/10</w:t>
      </w:r>
      <w:r w:rsidR="006F68D2" w:rsidRPr="007C1CAD">
        <w:rPr>
          <w:rFonts w:cstheme="minorHAnsi"/>
          <w:sz w:val="22"/>
        </w:rPr>
        <w:fldChar w:fldCharType="end"/>
      </w:r>
      <w:r w:rsidR="006F68D2" w:rsidRPr="007C1CAD">
        <w:rPr>
          <w:rFonts w:cstheme="minorHAnsi"/>
          <w:sz w:val="22"/>
        </w:rPr>
        <w:t>)</w:t>
      </w:r>
      <w:r w:rsidR="00480497">
        <w:rPr>
          <w:rFonts w:cstheme="minorHAnsi"/>
          <w:sz w:val="22"/>
        </w:rPr>
        <w:t>.</w:t>
      </w:r>
      <w:r w:rsidR="00D8658E">
        <w:rPr>
          <w:rFonts w:cstheme="minorHAnsi"/>
          <w:sz w:val="22"/>
        </w:rPr>
        <w:t xml:space="preserve"> The high</w:t>
      </w:r>
      <w:r w:rsidR="000D7149">
        <w:rPr>
          <w:rFonts w:cstheme="minorHAnsi"/>
          <w:sz w:val="22"/>
        </w:rPr>
        <w:t>-</w:t>
      </w:r>
      <w:r w:rsidR="00D8658E">
        <w:rPr>
          <w:rFonts w:cstheme="minorHAnsi"/>
          <w:sz w:val="22"/>
        </w:rPr>
        <w:t xml:space="preserve">level information provided does not address the Committee’s previous concerns </w:t>
      </w:r>
      <w:r w:rsidR="00EC4B34">
        <w:rPr>
          <w:rFonts w:cstheme="minorHAnsi"/>
          <w:sz w:val="22"/>
        </w:rPr>
        <w:t xml:space="preserve">regarding the </w:t>
      </w:r>
      <w:r w:rsidR="00EC4B34" w:rsidRPr="007F4AB4">
        <w:rPr>
          <w:rFonts w:cstheme="minorHAnsi"/>
          <w:sz w:val="22"/>
        </w:rPr>
        <w:t xml:space="preserve">lack of a coherent plan or strategy to improve </w:t>
      </w:r>
      <w:r w:rsidR="009A1CB3" w:rsidRPr="007C1CAD">
        <w:rPr>
          <w:rFonts w:cstheme="minorHAnsi"/>
          <w:sz w:val="22"/>
        </w:rPr>
        <w:t>Indigenous women</w:t>
      </w:r>
      <w:r w:rsidR="009A1CB3">
        <w:rPr>
          <w:rFonts w:cstheme="minorHAnsi"/>
          <w:sz w:val="22"/>
        </w:rPr>
        <w:t>’s</w:t>
      </w:r>
      <w:r w:rsidR="009A1CB3" w:rsidRPr="009A1CB3">
        <w:rPr>
          <w:rFonts w:cstheme="minorHAnsi"/>
          <w:sz w:val="22"/>
        </w:rPr>
        <w:t xml:space="preserve"> </w:t>
      </w:r>
      <w:r w:rsidR="00EC4B34" w:rsidRPr="007F4AB4">
        <w:rPr>
          <w:rFonts w:cstheme="minorHAnsi"/>
          <w:sz w:val="22"/>
        </w:rPr>
        <w:t>socioeconomic conditions</w:t>
      </w:r>
      <w:r w:rsidR="003A2E94" w:rsidRPr="007F4AB4">
        <w:rPr>
          <w:rFonts w:cstheme="minorHAnsi"/>
          <w:sz w:val="22"/>
        </w:rPr>
        <w:t xml:space="preserve">, </w:t>
      </w:r>
      <w:r w:rsidR="00EC4B34" w:rsidRPr="007F4AB4">
        <w:rPr>
          <w:rFonts w:cstheme="minorHAnsi"/>
          <w:sz w:val="22"/>
        </w:rPr>
        <w:t>combat the root cause</w:t>
      </w:r>
      <w:r w:rsidR="003A2E94" w:rsidRPr="007F4AB4">
        <w:rPr>
          <w:rFonts w:cstheme="minorHAnsi"/>
          <w:sz w:val="22"/>
        </w:rPr>
        <w:t>s</w:t>
      </w:r>
      <w:r w:rsidR="00EC4B34" w:rsidRPr="007F4AB4">
        <w:rPr>
          <w:rFonts w:cstheme="minorHAnsi"/>
          <w:sz w:val="22"/>
        </w:rPr>
        <w:t xml:space="preserve"> </w:t>
      </w:r>
      <w:r w:rsidR="00DF36E2" w:rsidRPr="007F4AB4">
        <w:rPr>
          <w:rFonts w:cstheme="minorHAnsi"/>
          <w:sz w:val="22"/>
        </w:rPr>
        <w:t>of</w:t>
      </w:r>
      <w:r w:rsidR="00EC4B34" w:rsidRPr="007F4AB4">
        <w:rPr>
          <w:rFonts w:cstheme="minorHAnsi"/>
          <w:sz w:val="22"/>
        </w:rPr>
        <w:t xml:space="preserve"> violence,</w:t>
      </w:r>
      <w:r w:rsidR="00090AE4" w:rsidRPr="007F4AB4">
        <w:rPr>
          <w:rFonts w:cstheme="minorHAnsi"/>
          <w:sz w:val="22"/>
        </w:rPr>
        <w:t xml:space="preserve"> and</w:t>
      </w:r>
      <w:r w:rsidR="00EC4B34" w:rsidRPr="007F4AB4">
        <w:rPr>
          <w:rFonts w:cstheme="minorHAnsi"/>
          <w:sz w:val="22"/>
        </w:rPr>
        <w:t xml:space="preserve"> break the circle of distrust </w:t>
      </w:r>
      <w:r w:rsidR="00090AE4" w:rsidRPr="007F4AB4">
        <w:rPr>
          <w:rFonts w:cstheme="minorHAnsi"/>
          <w:sz w:val="22"/>
        </w:rPr>
        <w:t xml:space="preserve">with </w:t>
      </w:r>
      <w:r w:rsidR="00EC4B34" w:rsidRPr="007F4AB4">
        <w:rPr>
          <w:rFonts w:cstheme="minorHAnsi"/>
          <w:sz w:val="22"/>
        </w:rPr>
        <w:t>authorities</w:t>
      </w:r>
      <w:r w:rsidR="003B4504">
        <w:rPr>
          <w:rFonts w:cstheme="minorHAnsi"/>
          <w:sz w:val="22"/>
        </w:rPr>
        <w:t xml:space="preserve"> (</w:t>
      </w:r>
      <w:r w:rsidR="003B4504" w:rsidRPr="007F4AB4">
        <w:rPr>
          <w:rFonts w:cstheme="minorHAnsi"/>
          <w:sz w:val="22"/>
        </w:rPr>
        <w:t>CEDAW/C/CAN/CO/8-9, para. 28)</w:t>
      </w:r>
      <w:r w:rsidR="006F68D2">
        <w:rPr>
          <w:rFonts w:cstheme="minorHAnsi"/>
          <w:sz w:val="22"/>
        </w:rPr>
        <w:t xml:space="preserve">. </w:t>
      </w:r>
    </w:p>
    <w:p w14:paraId="653A2E55" w14:textId="0763A55C" w:rsidR="002F3588" w:rsidRDefault="00081F85" w:rsidP="00AE7AD6">
      <w:pPr>
        <w:spacing w:after="120" w:line="276" w:lineRule="auto"/>
        <w:rPr>
          <w:rFonts w:ascii="Calibri" w:hAnsi="Calibri" w:cs="Calibri"/>
          <w:sz w:val="22"/>
        </w:rPr>
      </w:pPr>
      <w:r>
        <w:rPr>
          <w:rFonts w:cstheme="minorHAnsi"/>
          <w:sz w:val="22"/>
        </w:rPr>
        <w:t>Indigenous</w:t>
      </w:r>
      <w:r w:rsidR="0083113A">
        <w:rPr>
          <w:rFonts w:cstheme="minorHAnsi"/>
          <w:sz w:val="22"/>
        </w:rPr>
        <w:t xml:space="preserve"> women continue to experience barriers to supports and </w:t>
      </w:r>
      <w:r>
        <w:rPr>
          <w:rFonts w:cstheme="minorHAnsi"/>
          <w:sz w:val="22"/>
        </w:rPr>
        <w:t>services</w:t>
      </w:r>
      <w:r w:rsidR="0083113A">
        <w:rPr>
          <w:rFonts w:cstheme="minorHAnsi"/>
          <w:sz w:val="22"/>
        </w:rPr>
        <w:t xml:space="preserve">. </w:t>
      </w:r>
      <w:r w:rsidR="00FE3B9E" w:rsidRPr="1D5E8CE5">
        <w:rPr>
          <w:sz w:val="22"/>
        </w:rPr>
        <w:t xml:space="preserve">Many Indigenous women must leave community and/or their families to access </w:t>
      </w:r>
      <w:r w:rsidR="00FE3B9E">
        <w:rPr>
          <w:sz w:val="22"/>
        </w:rPr>
        <w:t xml:space="preserve">health and </w:t>
      </w:r>
      <w:r w:rsidR="00FE3B9E" w:rsidRPr="1D5E8CE5">
        <w:rPr>
          <w:sz w:val="22"/>
        </w:rPr>
        <w:t>healing services, preventing collective family healing</w:t>
      </w:r>
      <w:r w:rsidR="00FE3B9E">
        <w:rPr>
          <w:rFonts w:cstheme="minorHAnsi"/>
          <w:sz w:val="22"/>
        </w:rPr>
        <w:t xml:space="preserve"> and support from </w:t>
      </w:r>
      <w:r w:rsidR="001525D6">
        <w:rPr>
          <w:rFonts w:cstheme="minorHAnsi"/>
          <w:sz w:val="22"/>
        </w:rPr>
        <w:t>community</w:t>
      </w:r>
      <w:r w:rsidR="00FE3B9E">
        <w:rPr>
          <w:rFonts w:cstheme="minorHAnsi"/>
          <w:sz w:val="22"/>
        </w:rPr>
        <w:t xml:space="preserve">. </w:t>
      </w:r>
      <w:r w:rsidR="002F3588">
        <w:rPr>
          <w:rFonts w:cstheme="minorHAnsi"/>
          <w:sz w:val="22"/>
        </w:rPr>
        <w:t xml:space="preserve">Consider, for example, </w:t>
      </w:r>
      <w:r w:rsidR="002F3588">
        <w:rPr>
          <w:rFonts w:ascii="Calibri" w:hAnsi="Calibri" w:cs="Calibri"/>
          <w:sz w:val="22"/>
        </w:rPr>
        <w:t xml:space="preserve">the death of </w:t>
      </w:r>
      <w:r w:rsidR="002F3588" w:rsidRPr="00BC0224">
        <w:rPr>
          <w:rFonts w:ascii="Calibri" w:hAnsi="Calibri" w:cs="Calibri"/>
          <w:sz w:val="22"/>
        </w:rPr>
        <w:t>Joyce Echaquan, a member of the Atikamekw community of Manawan, at the Joliette Hospital Center in Lanaudière, Quebec</w:t>
      </w:r>
      <w:r w:rsidR="00D738C7">
        <w:rPr>
          <w:rFonts w:ascii="Calibri" w:hAnsi="Calibri" w:cs="Calibri"/>
          <w:sz w:val="22"/>
        </w:rPr>
        <w:t xml:space="preserve">, </w:t>
      </w:r>
      <w:r w:rsidR="00541C19">
        <w:rPr>
          <w:rFonts w:ascii="Calibri" w:hAnsi="Calibri" w:cs="Calibri"/>
          <w:sz w:val="22"/>
        </w:rPr>
        <w:t>and</w:t>
      </w:r>
      <w:r w:rsidR="00D738C7">
        <w:rPr>
          <w:rFonts w:ascii="Calibri" w:hAnsi="Calibri" w:cs="Calibri"/>
          <w:sz w:val="22"/>
        </w:rPr>
        <w:t xml:space="preserve"> the death of </w:t>
      </w:r>
      <w:r w:rsidR="00F72DEA">
        <w:rPr>
          <w:rFonts w:ascii="Calibri" w:hAnsi="Calibri" w:cs="Calibri"/>
          <w:sz w:val="22"/>
        </w:rPr>
        <w:t xml:space="preserve">Heather </w:t>
      </w:r>
      <w:r w:rsidR="00155086">
        <w:rPr>
          <w:rFonts w:ascii="Calibri" w:hAnsi="Calibri" w:cs="Calibri"/>
          <w:sz w:val="22"/>
        </w:rPr>
        <w:t>Winterstein</w:t>
      </w:r>
      <w:r w:rsidR="00F72DEA">
        <w:rPr>
          <w:rFonts w:ascii="Calibri" w:hAnsi="Calibri" w:cs="Calibri"/>
          <w:sz w:val="22"/>
        </w:rPr>
        <w:t>, a First Nations woman</w:t>
      </w:r>
      <w:r w:rsidR="00DD3A76">
        <w:rPr>
          <w:rFonts w:ascii="Calibri" w:hAnsi="Calibri" w:cs="Calibri"/>
          <w:sz w:val="22"/>
        </w:rPr>
        <w:t>, at the St. Catherine’s Hospital in St. Catherine’s</w:t>
      </w:r>
      <w:r w:rsidR="00CD4F52">
        <w:rPr>
          <w:rFonts w:ascii="Calibri" w:hAnsi="Calibri" w:cs="Calibri"/>
          <w:sz w:val="22"/>
        </w:rPr>
        <w:t>,</w:t>
      </w:r>
      <w:r w:rsidR="00DD3A76">
        <w:rPr>
          <w:rFonts w:ascii="Calibri" w:hAnsi="Calibri" w:cs="Calibri"/>
          <w:sz w:val="22"/>
        </w:rPr>
        <w:t xml:space="preserve"> Ontario</w:t>
      </w:r>
      <w:r w:rsidR="002809E3">
        <w:rPr>
          <w:rFonts w:ascii="Calibri" w:hAnsi="Calibri" w:cs="Calibri"/>
          <w:sz w:val="22"/>
        </w:rPr>
        <w:t xml:space="preserve"> – both of whom</w:t>
      </w:r>
      <w:r w:rsidR="00541C19">
        <w:rPr>
          <w:rFonts w:ascii="Calibri" w:hAnsi="Calibri" w:cs="Calibri"/>
          <w:sz w:val="22"/>
        </w:rPr>
        <w:t xml:space="preserve"> died in hospital </w:t>
      </w:r>
      <w:r w:rsidR="002F3588">
        <w:rPr>
          <w:rFonts w:ascii="Calibri" w:hAnsi="Calibri" w:cs="Calibri"/>
          <w:sz w:val="22"/>
        </w:rPr>
        <w:t>while seeking medical assistance</w:t>
      </w:r>
      <w:r w:rsidR="004B779F">
        <w:rPr>
          <w:rFonts w:ascii="Calibri" w:hAnsi="Calibri" w:cs="Calibri"/>
          <w:sz w:val="22"/>
        </w:rPr>
        <w:t>.</w:t>
      </w:r>
      <w:r w:rsidR="002F3588">
        <w:rPr>
          <w:rStyle w:val="FootnoteReference"/>
          <w:rFonts w:ascii="Calibri" w:hAnsi="Calibri" w:cs="Calibri"/>
          <w:sz w:val="22"/>
        </w:rPr>
        <w:footnoteReference w:id="36"/>
      </w:r>
      <w:r w:rsidR="002F3588">
        <w:rPr>
          <w:rFonts w:ascii="Calibri" w:hAnsi="Calibri" w:cs="Calibri"/>
          <w:sz w:val="22"/>
        </w:rPr>
        <w:t xml:space="preserve"> </w:t>
      </w:r>
    </w:p>
    <w:p w14:paraId="5786994B" w14:textId="26CF0361" w:rsidR="003E6E12" w:rsidRDefault="00602CFE" w:rsidP="1D5E8CE5">
      <w:pPr>
        <w:spacing w:line="276" w:lineRule="auto"/>
        <w:rPr>
          <w:sz w:val="22"/>
        </w:rPr>
      </w:pPr>
      <w:r w:rsidRPr="1D5E8CE5">
        <w:rPr>
          <w:sz w:val="22"/>
        </w:rPr>
        <w:t>As leaders in community, Indigenous women have built vibrant communities and developed Indigenous women’s organizations that provide essential services grounded in</w:t>
      </w:r>
      <w:r w:rsidR="00C50C3A">
        <w:rPr>
          <w:sz w:val="22"/>
        </w:rPr>
        <w:t xml:space="preserve"> </w:t>
      </w:r>
      <w:r w:rsidR="005B2FE5">
        <w:rPr>
          <w:sz w:val="22"/>
        </w:rPr>
        <w:t>Indigenous</w:t>
      </w:r>
      <w:r w:rsidR="00C50C3A">
        <w:rPr>
          <w:sz w:val="22"/>
        </w:rPr>
        <w:t xml:space="preserve"> women’s sacred and traditional knowledge, including a cu</w:t>
      </w:r>
      <w:r w:rsidR="005B2FE5">
        <w:rPr>
          <w:sz w:val="22"/>
        </w:rPr>
        <w:t>lturally-based, trauma-informed approach</w:t>
      </w:r>
      <w:r w:rsidRPr="1D5E8CE5">
        <w:rPr>
          <w:sz w:val="22"/>
        </w:rPr>
        <w:t xml:space="preserve">. Yet, </w:t>
      </w:r>
      <w:r w:rsidR="003042FF" w:rsidRPr="1D5E8CE5">
        <w:rPr>
          <w:sz w:val="22"/>
        </w:rPr>
        <w:t xml:space="preserve">Indigenous women’s work continues to be unrecognized and underfunded. </w:t>
      </w:r>
      <w:r w:rsidR="002E6E4E" w:rsidRPr="1D5E8CE5">
        <w:rPr>
          <w:sz w:val="22"/>
        </w:rPr>
        <w:t xml:space="preserve">Indigenous women often do not have access to comprehensive, wraparound, culturally-grounded supports that are designed, developed, and implemented by and for them, which creates a significant gap </w:t>
      </w:r>
      <w:r w:rsidR="006A6915" w:rsidRPr="1D5E8CE5">
        <w:rPr>
          <w:sz w:val="22"/>
        </w:rPr>
        <w:t xml:space="preserve">to </w:t>
      </w:r>
      <w:r w:rsidR="0075303B" w:rsidRPr="1D5E8CE5">
        <w:rPr>
          <w:sz w:val="22"/>
        </w:rPr>
        <w:t>healing.</w:t>
      </w:r>
      <w:r w:rsidR="00B16079" w:rsidRPr="1D5E8CE5">
        <w:rPr>
          <w:sz w:val="22"/>
        </w:rPr>
        <w:t xml:space="preserve"> </w:t>
      </w:r>
      <w:r w:rsidR="00603F76">
        <w:rPr>
          <w:sz w:val="22"/>
        </w:rPr>
        <w:t xml:space="preserve">ONWA recognizes that </w:t>
      </w:r>
      <w:r w:rsidR="000B7CF6">
        <w:rPr>
          <w:sz w:val="22"/>
        </w:rPr>
        <w:t>healing</w:t>
      </w:r>
      <w:r w:rsidR="00603F76">
        <w:rPr>
          <w:sz w:val="22"/>
        </w:rPr>
        <w:t xml:space="preserve"> takes time and is not a one time</w:t>
      </w:r>
      <w:r w:rsidR="00607266">
        <w:rPr>
          <w:sz w:val="22"/>
        </w:rPr>
        <w:t xml:space="preserve"> “service”. Healing is ongoing</w:t>
      </w:r>
      <w:r w:rsidR="000B7CF6">
        <w:rPr>
          <w:sz w:val="22"/>
        </w:rPr>
        <w:t>,</w:t>
      </w:r>
      <w:r w:rsidR="00607266">
        <w:rPr>
          <w:sz w:val="22"/>
        </w:rPr>
        <w:t xml:space="preserve"> an</w:t>
      </w:r>
      <w:r w:rsidR="000B7CF6">
        <w:rPr>
          <w:sz w:val="22"/>
        </w:rPr>
        <w:t>d</w:t>
      </w:r>
      <w:r w:rsidR="00607266">
        <w:rPr>
          <w:sz w:val="22"/>
        </w:rPr>
        <w:t xml:space="preserve"> services and supports need to meet </w:t>
      </w:r>
      <w:r w:rsidR="000B7CF6">
        <w:rPr>
          <w:sz w:val="22"/>
        </w:rPr>
        <w:t>Indigenous</w:t>
      </w:r>
      <w:r w:rsidR="00607266">
        <w:rPr>
          <w:sz w:val="22"/>
        </w:rPr>
        <w:t xml:space="preserve"> women where they are at in their healing journeys, not create barriers. Yet</w:t>
      </w:r>
      <w:r w:rsidR="00607266" w:rsidRPr="000B7CF6">
        <w:rPr>
          <w:sz w:val="22"/>
        </w:rPr>
        <w:t xml:space="preserve">, </w:t>
      </w:r>
      <w:r w:rsidR="0009413F" w:rsidRPr="00DC0BAA">
        <w:rPr>
          <w:rFonts w:cstheme="minorHAnsi"/>
          <w:sz w:val="22"/>
        </w:rPr>
        <w:t xml:space="preserve">lack of </w:t>
      </w:r>
      <w:r w:rsidR="000B7CF6" w:rsidRPr="00DC0BAA">
        <w:rPr>
          <w:rFonts w:cstheme="minorHAnsi"/>
          <w:sz w:val="22"/>
        </w:rPr>
        <w:t>funding</w:t>
      </w:r>
      <w:r w:rsidR="0009413F" w:rsidRPr="00DC0BAA">
        <w:rPr>
          <w:rFonts w:cstheme="minorHAnsi"/>
          <w:sz w:val="22"/>
        </w:rPr>
        <w:t xml:space="preserve"> to Indigenous </w:t>
      </w:r>
      <w:r w:rsidR="000B7CF6" w:rsidRPr="00DC0BAA">
        <w:rPr>
          <w:rFonts w:cstheme="minorHAnsi"/>
          <w:sz w:val="22"/>
        </w:rPr>
        <w:t>women’s</w:t>
      </w:r>
      <w:r w:rsidR="0009413F" w:rsidRPr="00DC0BAA">
        <w:rPr>
          <w:rFonts w:cstheme="minorHAnsi"/>
          <w:sz w:val="22"/>
        </w:rPr>
        <w:t xml:space="preserve"> </w:t>
      </w:r>
      <w:r w:rsidR="000B7CF6" w:rsidRPr="00DC0BAA">
        <w:rPr>
          <w:rFonts w:cstheme="minorHAnsi"/>
          <w:sz w:val="22"/>
        </w:rPr>
        <w:t>organizations</w:t>
      </w:r>
      <w:r w:rsidR="0009413F" w:rsidRPr="00DC0BAA">
        <w:rPr>
          <w:rFonts w:cstheme="minorHAnsi"/>
          <w:sz w:val="22"/>
        </w:rPr>
        <w:t xml:space="preserve"> and jurisdictional disputes between FPT governments contribute to continued gaps in services for Indigenous women living in Indigenous and urban communities</w:t>
      </w:r>
      <w:r w:rsidR="000B7CF6" w:rsidRPr="000B7CF6">
        <w:rPr>
          <w:sz w:val="22"/>
        </w:rPr>
        <w:t>.</w:t>
      </w:r>
    </w:p>
    <w:p w14:paraId="41880B3B" w14:textId="77777777" w:rsidR="006A54AE" w:rsidRDefault="006A54AE" w:rsidP="007F4AB4">
      <w:pPr>
        <w:pStyle w:val="Header"/>
        <w:ind w:left="720"/>
        <w:rPr>
          <w:rFonts w:cstheme="minorHAnsi"/>
          <w:b/>
          <w:bCs/>
          <w:sz w:val="22"/>
        </w:rPr>
      </w:pPr>
    </w:p>
    <w:p w14:paraId="6BECDF38" w14:textId="6B8286EE" w:rsidR="491A02E9" w:rsidRPr="002115F7" w:rsidRDefault="491A02E9" w:rsidP="002115F7">
      <w:pPr>
        <w:pStyle w:val="Heading2"/>
        <w:numPr>
          <w:ilvl w:val="0"/>
          <w:numId w:val="17"/>
        </w:numPr>
        <w:spacing w:before="0"/>
        <w:rPr>
          <w:color w:val="auto"/>
          <w:sz w:val="22"/>
          <w:szCs w:val="22"/>
        </w:rPr>
      </w:pPr>
      <w:bookmarkStart w:id="15" w:name="_Toc176510772"/>
      <w:r w:rsidRPr="002115F7">
        <w:rPr>
          <w:color w:val="auto"/>
          <w:sz w:val="22"/>
          <w:szCs w:val="22"/>
        </w:rPr>
        <w:t xml:space="preserve">Indigenous </w:t>
      </w:r>
      <w:r w:rsidR="00AC0E6D" w:rsidRPr="002115F7">
        <w:rPr>
          <w:color w:val="auto"/>
          <w:sz w:val="22"/>
          <w:szCs w:val="22"/>
        </w:rPr>
        <w:t>w</w:t>
      </w:r>
      <w:r w:rsidRPr="002115F7">
        <w:rPr>
          <w:color w:val="auto"/>
          <w:sz w:val="22"/>
          <w:szCs w:val="22"/>
        </w:rPr>
        <w:t xml:space="preserve">omen’s </w:t>
      </w:r>
      <w:r w:rsidR="00AC0E6D" w:rsidRPr="002115F7">
        <w:rPr>
          <w:color w:val="auto"/>
          <w:sz w:val="22"/>
          <w:szCs w:val="22"/>
        </w:rPr>
        <w:t>e</w:t>
      </w:r>
      <w:r w:rsidRPr="002115F7">
        <w:rPr>
          <w:color w:val="auto"/>
          <w:sz w:val="22"/>
          <w:szCs w:val="22"/>
        </w:rPr>
        <w:t xml:space="preserve">xperiences </w:t>
      </w:r>
      <w:r w:rsidR="006A54AE" w:rsidRPr="002115F7">
        <w:rPr>
          <w:color w:val="auto"/>
          <w:sz w:val="22"/>
          <w:szCs w:val="22"/>
        </w:rPr>
        <w:t>are different from non-Indigenous women’s</w:t>
      </w:r>
      <w:bookmarkEnd w:id="15"/>
    </w:p>
    <w:p w14:paraId="1A628261" w14:textId="7148B00F" w:rsidR="00CF5060" w:rsidRDefault="00253C4F" w:rsidP="47667877">
      <w:pPr>
        <w:spacing w:after="160" w:line="259" w:lineRule="auto"/>
        <w:rPr>
          <w:rFonts w:eastAsia="Aptos" w:cstheme="minorHAnsi"/>
          <w:color w:val="000000" w:themeColor="text1"/>
          <w:sz w:val="22"/>
        </w:rPr>
      </w:pPr>
      <w:r w:rsidRPr="007F4AB4">
        <w:rPr>
          <w:rFonts w:cstheme="minorHAnsi"/>
          <w:sz w:val="22"/>
        </w:rPr>
        <w:t>Responding to Issue 1 (</w:t>
      </w:r>
      <w:r w:rsidRPr="008D7930">
        <w:rPr>
          <w:rFonts w:cstheme="minorHAnsi"/>
          <w:sz w:val="22"/>
        </w:rPr>
        <w:fldChar w:fldCharType="begin"/>
      </w:r>
      <w:r w:rsidRPr="008D7930">
        <w:rPr>
          <w:rFonts w:cstheme="minorHAnsi"/>
          <w:sz w:val="22"/>
        </w:rPr>
        <w:instrText xml:space="preserve"> DOCVARIABLE "sss1" \* MERGEFORMAT </w:instrText>
      </w:r>
      <w:r w:rsidRPr="008D7930">
        <w:rPr>
          <w:rFonts w:cstheme="minorHAnsi"/>
          <w:sz w:val="22"/>
        </w:rPr>
        <w:fldChar w:fldCharType="separate"/>
      </w:r>
      <w:r w:rsidRPr="008D7930">
        <w:rPr>
          <w:rFonts w:cstheme="minorHAnsi"/>
          <w:sz w:val="22"/>
        </w:rPr>
        <w:t>CEDAW/C/CAN/QPR/10</w:t>
      </w:r>
      <w:r w:rsidRPr="008D7930">
        <w:rPr>
          <w:rFonts w:cstheme="minorHAnsi"/>
          <w:sz w:val="22"/>
        </w:rPr>
        <w:fldChar w:fldCharType="end"/>
      </w:r>
      <w:r w:rsidRPr="008D7930">
        <w:rPr>
          <w:rFonts w:cstheme="minorHAnsi"/>
          <w:sz w:val="22"/>
        </w:rPr>
        <w:t>, para</w:t>
      </w:r>
      <w:r w:rsidRPr="007F4AB4" w:rsidDel="00513B8A">
        <w:rPr>
          <w:rFonts w:cstheme="minorHAnsi"/>
          <w:sz w:val="22"/>
        </w:rPr>
        <w:t xml:space="preserve"> </w:t>
      </w:r>
      <w:r w:rsidRPr="007F4AB4">
        <w:rPr>
          <w:rFonts w:cstheme="minorHAnsi"/>
          <w:sz w:val="22"/>
        </w:rPr>
        <w:t xml:space="preserve">1), </w:t>
      </w:r>
      <w:r w:rsidR="7FFDC640" w:rsidRPr="007F4AB4">
        <w:rPr>
          <w:rFonts w:cstheme="minorHAnsi"/>
          <w:sz w:val="22"/>
        </w:rPr>
        <w:t>Canada</w:t>
      </w:r>
      <w:r w:rsidR="002266A4" w:rsidRPr="007F4AB4">
        <w:rPr>
          <w:rFonts w:cstheme="minorHAnsi"/>
          <w:sz w:val="22"/>
        </w:rPr>
        <w:t xml:space="preserve"> provides</w:t>
      </w:r>
      <w:r w:rsidR="7FFDC640" w:rsidRPr="007F4AB4">
        <w:rPr>
          <w:rFonts w:cstheme="minorHAnsi"/>
          <w:sz w:val="22"/>
        </w:rPr>
        <w:t xml:space="preserve"> statistics </w:t>
      </w:r>
      <w:r w:rsidR="008925CB" w:rsidRPr="007F4AB4">
        <w:rPr>
          <w:rFonts w:cstheme="minorHAnsi"/>
          <w:sz w:val="22"/>
        </w:rPr>
        <w:t>related to the current situation of women in Canada (</w:t>
      </w:r>
      <w:r w:rsidR="00077D57" w:rsidRPr="007F4AB4">
        <w:rPr>
          <w:rFonts w:cstheme="minorHAnsi"/>
          <w:sz w:val="22"/>
        </w:rPr>
        <w:t xml:space="preserve">INT/CEDAW/ADR/CAN/49094/E; Annex 2). </w:t>
      </w:r>
      <w:r w:rsidR="2CFBBF18" w:rsidRPr="007F4AB4">
        <w:rPr>
          <w:rFonts w:cstheme="minorHAnsi"/>
          <w:sz w:val="22"/>
        </w:rPr>
        <w:t xml:space="preserve">Indigenous women’s perspectives and experiences </w:t>
      </w:r>
      <w:r w:rsidR="00C501F2" w:rsidRPr="007F4AB4">
        <w:rPr>
          <w:rFonts w:cstheme="minorHAnsi"/>
          <w:sz w:val="22"/>
        </w:rPr>
        <w:t xml:space="preserve">are distinctly absent </w:t>
      </w:r>
      <w:r w:rsidR="2CFBBF18" w:rsidRPr="007F4AB4">
        <w:rPr>
          <w:rFonts w:cstheme="minorHAnsi"/>
          <w:sz w:val="22"/>
        </w:rPr>
        <w:t>in this report</w:t>
      </w:r>
      <w:r w:rsidR="37DB07D6" w:rsidRPr="007F4AB4">
        <w:rPr>
          <w:rFonts w:cstheme="minorHAnsi"/>
          <w:sz w:val="22"/>
        </w:rPr>
        <w:t xml:space="preserve">, effectively silencing and ignoring </w:t>
      </w:r>
      <w:r w:rsidR="00547BB3" w:rsidRPr="007F4AB4">
        <w:rPr>
          <w:rFonts w:cstheme="minorHAnsi"/>
          <w:sz w:val="22"/>
        </w:rPr>
        <w:t>our</w:t>
      </w:r>
      <w:r w:rsidR="37DB07D6" w:rsidRPr="007F4AB4">
        <w:rPr>
          <w:rFonts w:cstheme="minorHAnsi"/>
          <w:sz w:val="22"/>
        </w:rPr>
        <w:t xml:space="preserve"> lived realities</w:t>
      </w:r>
      <w:r w:rsidR="2A01DFC3" w:rsidRPr="007F4AB4">
        <w:rPr>
          <w:rFonts w:cstheme="minorHAnsi"/>
          <w:sz w:val="22"/>
        </w:rPr>
        <w:t>.</w:t>
      </w:r>
      <w:r w:rsidR="00C501F2" w:rsidRPr="007F4AB4">
        <w:rPr>
          <w:vertAlign w:val="superscript"/>
        </w:rPr>
        <w:footnoteReference w:id="37"/>
      </w:r>
      <w:r w:rsidR="00583424" w:rsidRPr="00583424">
        <w:rPr>
          <w:rFonts w:cstheme="minorHAnsi"/>
          <w:sz w:val="22"/>
        </w:rPr>
        <w:t xml:space="preserve"> </w:t>
      </w:r>
      <w:r w:rsidR="00583424">
        <w:rPr>
          <w:rFonts w:cstheme="minorHAnsi"/>
          <w:sz w:val="22"/>
        </w:rPr>
        <w:t>See Appendix for a more accurate depiction.</w:t>
      </w:r>
    </w:p>
    <w:p w14:paraId="0A7B537C" w14:textId="10EEFC4E" w:rsidR="00CF5060" w:rsidRPr="00C465B1" w:rsidRDefault="00CF5060" w:rsidP="1D5E8CE5">
      <w:pPr>
        <w:spacing w:line="276" w:lineRule="auto"/>
        <w:rPr>
          <w:sz w:val="22"/>
        </w:rPr>
      </w:pPr>
      <w:r w:rsidRPr="1D5E8CE5">
        <w:rPr>
          <w:sz w:val="22"/>
        </w:rPr>
        <w:lastRenderedPageBreak/>
        <w:t xml:space="preserve">Indigenous women’s experiences of violence and discrimination and the context in which it occurs are different from that of non-Indigenous women. Indigenous women’s experiences must be understood through the racism, sexism and discrimination </w:t>
      </w:r>
      <w:r w:rsidR="009B3AD2" w:rsidRPr="1D5E8CE5">
        <w:rPr>
          <w:sz w:val="22"/>
        </w:rPr>
        <w:t>we</w:t>
      </w:r>
      <w:r w:rsidRPr="1D5E8CE5">
        <w:rPr>
          <w:sz w:val="22"/>
        </w:rPr>
        <w:t xml:space="preserve"> face both as women and as Indigenous peoples. The violence and discrimination </w:t>
      </w:r>
      <w:r w:rsidR="00743B90" w:rsidRPr="1D5E8CE5">
        <w:rPr>
          <w:sz w:val="22"/>
        </w:rPr>
        <w:t xml:space="preserve">we </w:t>
      </w:r>
      <w:r w:rsidRPr="1D5E8CE5">
        <w:rPr>
          <w:sz w:val="22"/>
        </w:rPr>
        <w:t>experience</w:t>
      </w:r>
      <w:r w:rsidR="00743B90" w:rsidRPr="1D5E8CE5">
        <w:rPr>
          <w:sz w:val="22"/>
        </w:rPr>
        <w:t xml:space="preserve"> </w:t>
      </w:r>
      <w:r w:rsidRPr="1D5E8CE5">
        <w:rPr>
          <w:sz w:val="22"/>
        </w:rPr>
        <w:t xml:space="preserve">is unique, because it is rooted in the legacy of colonialism and targeted assimilation policies in Canada, as well as systemic racism and the dismissal of </w:t>
      </w:r>
      <w:r w:rsidR="00743B90" w:rsidRPr="1D5E8CE5">
        <w:rPr>
          <w:sz w:val="22"/>
        </w:rPr>
        <w:t xml:space="preserve">our </w:t>
      </w:r>
      <w:r w:rsidRPr="1D5E8CE5">
        <w:rPr>
          <w:sz w:val="22"/>
        </w:rPr>
        <w:t xml:space="preserve">safety. </w:t>
      </w:r>
      <w:r w:rsidR="005A681C" w:rsidRPr="00DC0BAA">
        <w:rPr>
          <w:sz w:val="22"/>
        </w:rPr>
        <w:t xml:space="preserve"> In Can</w:t>
      </w:r>
      <w:r w:rsidR="007C5F9C">
        <w:rPr>
          <w:sz w:val="22"/>
        </w:rPr>
        <w:t>a</w:t>
      </w:r>
      <w:r w:rsidR="005A681C" w:rsidRPr="00DC0BAA">
        <w:rPr>
          <w:sz w:val="22"/>
        </w:rPr>
        <w:t xml:space="preserve">da, colonial state action (and inaction), past and ongoing, is the root cause of discrimination against Indigenous women. Settler colonialism created the conditions for </w:t>
      </w:r>
      <w:r w:rsidR="005A681C">
        <w:rPr>
          <w:sz w:val="22"/>
        </w:rPr>
        <w:t xml:space="preserve">the </w:t>
      </w:r>
      <w:r w:rsidR="005A681C" w:rsidRPr="00DC0BAA">
        <w:rPr>
          <w:sz w:val="22"/>
        </w:rPr>
        <w:t xml:space="preserve">racism, discrimination and violence that continue to impact Indigenous women and </w:t>
      </w:r>
      <w:r w:rsidR="005A681C">
        <w:rPr>
          <w:sz w:val="22"/>
        </w:rPr>
        <w:t>our</w:t>
      </w:r>
      <w:r w:rsidR="00176381">
        <w:rPr>
          <w:sz w:val="22"/>
        </w:rPr>
        <w:t xml:space="preserve"> </w:t>
      </w:r>
      <w:r w:rsidR="005A681C" w:rsidRPr="00DC0BAA">
        <w:rPr>
          <w:sz w:val="22"/>
        </w:rPr>
        <w:t xml:space="preserve">families. Canada created these systems, and continues to fail to address them, placing the burden on Indigenous women to have to fight for our safety </w:t>
      </w:r>
      <w:r w:rsidR="005A681C" w:rsidRPr="00C465B1">
        <w:rPr>
          <w:sz w:val="22"/>
        </w:rPr>
        <w:t>and our lives.</w:t>
      </w:r>
    </w:p>
    <w:p w14:paraId="56F4D967" w14:textId="77777777" w:rsidR="008D4C02" w:rsidRPr="00C465B1" w:rsidRDefault="008D4C02" w:rsidP="002115F7">
      <w:pPr>
        <w:rPr>
          <w:rFonts w:cstheme="minorHAnsi"/>
          <w:sz w:val="22"/>
        </w:rPr>
      </w:pPr>
    </w:p>
    <w:p w14:paraId="45033B88" w14:textId="7EA68DD3" w:rsidR="00810A7E" w:rsidRPr="00C465B1" w:rsidRDefault="000E16E4" w:rsidP="002115F7">
      <w:pPr>
        <w:pStyle w:val="Heading2"/>
        <w:numPr>
          <w:ilvl w:val="0"/>
          <w:numId w:val="17"/>
        </w:numPr>
        <w:spacing w:before="0"/>
        <w:rPr>
          <w:color w:val="auto"/>
          <w:sz w:val="22"/>
          <w:szCs w:val="22"/>
        </w:rPr>
      </w:pPr>
      <w:bookmarkStart w:id="16" w:name="_Toc176510773"/>
      <w:r w:rsidRPr="00C465B1">
        <w:rPr>
          <w:color w:val="auto"/>
          <w:sz w:val="22"/>
          <w:szCs w:val="22"/>
        </w:rPr>
        <w:t xml:space="preserve">Indigenous women lack sufficient access to recourse </w:t>
      </w:r>
      <w:r w:rsidR="007C703A" w:rsidRPr="00C465B1">
        <w:rPr>
          <w:color w:val="auto"/>
          <w:sz w:val="22"/>
          <w:szCs w:val="22"/>
        </w:rPr>
        <w:t>for violations of their rights</w:t>
      </w:r>
      <w:bookmarkEnd w:id="16"/>
      <w:r w:rsidR="00FF4BFC" w:rsidRPr="00C465B1">
        <w:rPr>
          <w:color w:val="auto"/>
          <w:sz w:val="22"/>
          <w:szCs w:val="22"/>
        </w:rPr>
        <w:t xml:space="preserve"> </w:t>
      </w:r>
    </w:p>
    <w:p w14:paraId="1DCB8BD7" w14:textId="44FDF439" w:rsidR="007718E6" w:rsidRPr="00C465B1" w:rsidRDefault="007718E6" w:rsidP="1D5E8CE5">
      <w:pPr>
        <w:spacing w:after="120" w:line="276" w:lineRule="auto"/>
        <w:rPr>
          <w:sz w:val="22"/>
        </w:rPr>
      </w:pPr>
      <w:r w:rsidRPr="00C465B1">
        <w:rPr>
          <w:sz w:val="22"/>
        </w:rPr>
        <w:t>ONWA</w:t>
      </w:r>
      <w:r w:rsidR="00286DC1" w:rsidRPr="00C465B1">
        <w:rPr>
          <w:sz w:val="22"/>
        </w:rPr>
        <w:t xml:space="preserve"> reiterates the </w:t>
      </w:r>
      <w:r w:rsidR="00624E5E" w:rsidRPr="00C465B1">
        <w:rPr>
          <w:sz w:val="22"/>
        </w:rPr>
        <w:t xml:space="preserve">Special Rapporteur on the Rights of Indigenous Peoples’ concern </w:t>
      </w:r>
      <w:r w:rsidR="00DA30E1" w:rsidRPr="00C465B1">
        <w:rPr>
          <w:sz w:val="22"/>
        </w:rPr>
        <w:t>with “the devastating intergenerational consequences</w:t>
      </w:r>
      <w:r w:rsidR="0002669E" w:rsidRPr="00C465B1">
        <w:rPr>
          <w:sz w:val="22"/>
        </w:rPr>
        <w:t xml:space="preserve"> </w:t>
      </w:r>
      <w:r w:rsidR="00DA30E1" w:rsidRPr="00C465B1">
        <w:rPr>
          <w:sz w:val="22"/>
        </w:rPr>
        <w:t>of decades of mercury contamination</w:t>
      </w:r>
      <w:r w:rsidR="00DA30E1" w:rsidRPr="00C465B1">
        <w:rPr>
          <w:sz w:val="22"/>
          <w:vertAlign w:val="superscript"/>
        </w:rPr>
        <w:t xml:space="preserve"> </w:t>
      </w:r>
      <w:r w:rsidR="00DA30E1" w:rsidRPr="00C465B1">
        <w:rPr>
          <w:sz w:val="22"/>
        </w:rPr>
        <w:t>on the Grassy Narrows First Nation</w:t>
      </w:r>
      <w:r w:rsidR="000229AE" w:rsidRPr="00C465B1">
        <w:rPr>
          <w:sz w:val="22"/>
        </w:rPr>
        <w:t xml:space="preserve">, which </w:t>
      </w:r>
      <w:r w:rsidR="00DA30E1" w:rsidRPr="00C465B1">
        <w:rPr>
          <w:sz w:val="22"/>
        </w:rPr>
        <w:t>is threatening the community members’ health, cultural practices, plant medicine and food security.</w:t>
      </w:r>
      <w:r w:rsidR="000229AE" w:rsidRPr="00C465B1">
        <w:rPr>
          <w:vertAlign w:val="superscript"/>
        </w:rPr>
        <w:footnoteReference w:id="38"/>
      </w:r>
      <w:r w:rsidR="00DA30E1" w:rsidRPr="00C465B1">
        <w:rPr>
          <w:sz w:val="22"/>
          <w:vertAlign w:val="superscript"/>
        </w:rPr>
        <w:t xml:space="preserve"> </w:t>
      </w:r>
      <w:r w:rsidR="00DA30E1" w:rsidRPr="00C465B1">
        <w:rPr>
          <w:sz w:val="22"/>
        </w:rPr>
        <w:t>Most Grassy Narrows members have received no compensation for harm caused by the ongoing mercury contamination.</w:t>
      </w:r>
      <w:r w:rsidR="00496745" w:rsidRPr="00C465B1">
        <w:rPr>
          <w:sz w:val="22"/>
        </w:rPr>
        <w:t xml:space="preserve"> Th</w:t>
      </w:r>
      <w:r w:rsidR="008B78F8" w:rsidRPr="00C465B1">
        <w:rPr>
          <w:sz w:val="22"/>
        </w:rPr>
        <w:t>e</w:t>
      </w:r>
      <w:r w:rsidRPr="00C465B1">
        <w:rPr>
          <w:sz w:val="22"/>
        </w:rPr>
        <w:t xml:space="preserve"> lack of action </w:t>
      </w:r>
      <w:r w:rsidR="003A76EF" w:rsidRPr="00C465B1">
        <w:rPr>
          <w:sz w:val="22"/>
        </w:rPr>
        <w:t>to remediate mercury contamination and to address its ongoing impacts on the community’s health and well-being</w:t>
      </w:r>
      <w:r w:rsidR="000229AE" w:rsidRPr="00C465B1">
        <w:rPr>
          <w:sz w:val="22"/>
        </w:rPr>
        <w:t xml:space="preserve"> (</w:t>
      </w:r>
      <w:r w:rsidR="00286DC1" w:rsidRPr="00C465B1">
        <w:rPr>
          <w:sz w:val="22"/>
        </w:rPr>
        <w:t>including compensation</w:t>
      </w:r>
      <w:r w:rsidR="000229AE" w:rsidRPr="00C465B1">
        <w:rPr>
          <w:sz w:val="22"/>
        </w:rPr>
        <w:t>)</w:t>
      </w:r>
      <w:r w:rsidR="00286DC1" w:rsidRPr="00C465B1">
        <w:rPr>
          <w:sz w:val="22"/>
        </w:rPr>
        <w:t xml:space="preserve"> </w:t>
      </w:r>
      <w:r w:rsidR="00DB4A9F" w:rsidRPr="00C465B1">
        <w:rPr>
          <w:sz w:val="22"/>
        </w:rPr>
        <w:t xml:space="preserve">stands in violation of CEDAW Articles </w:t>
      </w:r>
      <w:r w:rsidR="00072500" w:rsidRPr="00C465B1">
        <w:rPr>
          <w:sz w:val="22"/>
        </w:rPr>
        <w:t>2</w:t>
      </w:r>
      <w:r w:rsidR="00C839CF" w:rsidRPr="00C465B1">
        <w:rPr>
          <w:sz w:val="22"/>
        </w:rPr>
        <w:t xml:space="preserve"> (d), (e)</w:t>
      </w:r>
      <w:r w:rsidR="00BD6E79" w:rsidRPr="00C465B1">
        <w:rPr>
          <w:sz w:val="22"/>
        </w:rPr>
        <w:t>, (f)</w:t>
      </w:r>
      <w:r w:rsidR="00DB4A9F" w:rsidRPr="00C465B1">
        <w:rPr>
          <w:sz w:val="22"/>
        </w:rPr>
        <w:t xml:space="preserve">, </w:t>
      </w:r>
      <w:r w:rsidR="001A011C" w:rsidRPr="00C465B1">
        <w:rPr>
          <w:sz w:val="22"/>
        </w:rPr>
        <w:t>the enjoyment of a range of rights enshrined in the Covenant on Economic, Social and Cultural Rights</w:t>
      </w:r>
      <w:r w:rsidR="000D783A" w:rsidRPr="00C465B1">
        <w:rPr>
          <w:sz w:val="22"/>
        </w:rPr>
        <w:t xml:space="preserve"> and </w:t>
      </w:r>
      <w:r w:rsidR="006D27CD" w:rsidRPr="00C465B1">
        <w:rPr>
          <w:sz w:val="22"/>
        </w:rPr>
        <w:t>UNDRIP</w:t>
      </w:r>
      <w:r w:rsidR="00810A7E" w:rsidRPr="00C465B1">
        <w:rPr>
          <w:sz w:val="22"/>
        </w:rPr>
        <w:t>.</w:t>
      </w:r>
      <w:r w:rsidR="00810A7E" w:rsidRPr="00C465B1">
        <w:rPr>
          <w:vertAlign w:val="superscript"/>
        </w:rPr>
        <w:footnoteReference w:id="39"/>
      </w:r>
    </w:p>
    <w:p w14:paraId="16770793" w14:textId="753632C8" w:rsidR="008B78F8" w:rsidRPr="00C465B1" w:rsidRDefault="008C3B0E" w:rsidP="007F4AB4">
      <w:pPr>
        <w:spacing w:line="276" w:lineRule="auto"/>
        <w:ind w:left="720"/>
        <w:rPr>
          <w:rFonts w:cstheme="minorHAnsi"/>
          <w:sz w:val="22"/>
        </w:rPr>
      </w:pPr>
      <w:r w:rsidRPr="00C465B1">
        <w:rPr>
          <w:rFonts w:cstheme="minorHAnsi"/>
          <w:b/>
          <w:bCs/>
          <w:sz w:val="22"/>
        </w:rPr>
        <w:t>RECOMMENDATION:</w:t>
      </w:r>
      <w:r w:rsidR="00906CB3" w:rsidRPr="00C465B1">
        <w:rPr>
          <w:rFonts w:cstheme="minorHAnsi"/>
          <w:sz w:val="22"/>
        </w:rPr>
        <w:t xml:space="preserve"> Implement the Sp</w:t>
      </w:r>
      <w:r w:rsidR="00B14BA8" w:rsidRPr="00C465B1">
        <w:rPr>
          <w:rFonts w:cstheme="minorHAnsi"/>
          <w:sz w:val="22"/>
        </w:rPr>
        <w:t xml:space="preserve">ecial </w:t>
      </w:r>
      <w:r w:rsidR="001E5D50" w:rsidRPr="00C465B1">
        <w:rPr>
          <w:rFonts w:cstheme="minorHAnsi"/>
          <w:sz w:val="22"/>
        </w:rPr>
        <w:t>Rapporteur</w:t>
      </w:r>
      <w:r w:rsidR="0028479B" w:rsidRPr="00C465B1">
        <w:rPr>
          <w:rFonts w:cstheme="minorHAnsi"/>
          <w:sz w:val="22"/>
        </w:rPr>
        <w:t>’s</w:t>
      </w:r>
      <w:r w:rsidR="00FF3C88" w:rsidRPr="00C465B1">
        <w:rPr>
          <w:rFonts w:cstheme="minorHAnsi"/>
          <w:sz w:val="22"/>
        </w:rPr>
        <w:t xml:space="preserve"> recommendations </w:t>
      </w:r>
      <w:r w:rsidR="00E61926" w:rsidRPr="00C465B1">
        <w:rPr>
          <w:rFonts w:cstheme="minorHAnsi"/>
          <w:sz w:val="22"/>
        </w:rPr>
        <w:t>to remediate mercury contamination in the Grassy Narrows First Nation and take immediate measures to address its ongoing impacts (</w:t>
      </w:r>
      <w:r w:rsidR="00166237" w:rsidRPr="00C465B1">
        <w:rPr>
          <w:rFonts w:cstheme="minorHAnsi"/>
          <w:sz w:val="22"/>
        </w:rPr>
        <w:t xml:space="preserve">A/HRC/54/31/Add.2, </w:t>
      </w:r>
      <w:r w:rsidR="00E61926" w:rsidRPr="00C465B1">
        <w:rPr>
          <w:rFonts w:cstheme="minorHAnsi"/>
          <w:sz w:val="22"/>
        </w:rPr>
        <w:t>para 96 (h)</w:t>
      </w:r>
      <w:r w:rsidR="00166237" w:rsidRPr="00C465B1">
        <w:rPr>
          <w:rFonts w:cstheme="minorHAnsi"/>
          <w:sz w:val="22"/>
        </w:rPr>
        <w:t>)</w:t>
      </w:r>
      <w:r w:rsidR="00E61926" w:rsidRPr="00C465B1">
        <w:rPr>
          <w:rFonts w:cstheme="minorHAnsi"/>
          <w:sz w:val="22"/>
        </w:rPr>
        <w:t>, and halt</w:t>
      </w:r>
      <w:r w:rsidR="0054365B" w:rsidRPr="00C465B1">
        <w:rPr>
          <w:rFonts w:cstheme="minorHAnsi"/>
          <w:sz w:val="22"/>
        </w:rPr>
        <w:t xml:space="preserve"> the criminalization of Indigenous human rights</w:t>
      </w:r>
      <w:r w:rsidR="00E67E38" w:rsidRPr="00C465B1">
        <w:rPr>
          <w:rFonts w:cstheme="minorHAnsi"/>
          <w:sz w:val="22"/>
        </w:rPr>
        <w:t xml:space="preserve"> and land</w:t>
      </w:r>
      <w:r w:rsidR="0054365B" w:rsidRPr="00C465B1">
        <w:rPr>
          <w:rFonts w:cstheme="minorHAnsi"/>
          <w:sz w:val="22"/>
        </w:rPr>
        <w:t xml:space="preserve"> defenders</w:t>
      </w:r>
      <w:r w:rsidR="00166237" w:rsidRPr="00C465B1">
        <w:rPr>
          <w:rFonts w:cstheme="minorHAnsi"/>
          <w:sz w:val="22"/>
        </w:rPr>
        <w:t xml:space="preserve"> </w:t>
      </w:r>
      <w:r w:rsidR="0054365B" w:rsidRPr="00C465B1">
        <w:rPr>
          <w:rFonts w:cstheme="minorHAnsi"/>
          <w:sz w:val="22"/>
        </w:rPr>
        <w:t>(</w:t>
      </w:r>
      <w:r w:rsidR="00166237" w:rsidRPr="00C465B1">
        <w:rPr>
          <w:rFonts w:cstheme="minorHAnsi"/>
          <w:sz w:val="22"/>
        </w:rPr>
        <w:t xml:space="preserve">A/HRC/54/31/Add.2, </w:t>
      </w:r>
      <w:r w:rsidR="0054365B" w:rsidRPr="00C465B1">
        <w:rPr>
          <w:rFonts w:cstheme="minorHAnsi"/>
          <w:sz w:val="22"/>
        </w:rPr>
        <w:t>para 96 (k)</w:t>
      </w:r>
      <w:r w:rsidR="00166237" w:rsidRPr="00C465B1">
        <w:rPr>
          <w:rFonts w:cstheme="minorHAnsi"/>
          <w:sz w:val="22"/>
        </w:rPr>
        <w:t>)</w:t>
      </w:r>
      <w:r w:rsidR="00E67E38" w:rsidRPr="00C465B1">
        <w:rPr>
          <w:rFonts w:cstheme="minorHAnsi"/>
          <w:sz w:val="22"/>
        </w:rPr>
        <w:t>.</w:t>
      </w:r>
    </w:p>
    <w:p w14:paraId="094BB340" w14:textId="49D6D484" w:rsidR="00C30659" w:rsidRPr="00C465B1" w:rsidRDefault="00C30659" w:rsidP="00C820E8">
      <w:pPr>
        <w:rPr>
          <w:rFonts w:cstheme="minorHAnsi"/>
          <w:sz w:val="22"/>
        </w:rPr>
      </w:pPr>
    </w:p>
    <w:p w14:paraId="5EE975DF" w14:textId="77777777" w:rsidR="0037356D" w:rsidRPr="00C465B1" w:rsidRDefault="0037356D" w:rsidP="003F188B">
      <w:pPr>
        <w:pStyle w:val="Heading1"/>
        <w:spacing w:before="0" w:after="0"/>
        <w:rPr>
          <w:rFonts w:ascii="Calibri" w:hAnsi="Calibri" w:cs="Calibri"/>
        </w:rPr>
      </w:pPr>
      <w:bookmarkStart w:id="17" w:name="_Toc170379301"/>
      <w:bookmarkStart w:id="18" w:name="_Toc176510774"/>
      <w:r w:rsidRPr="00C465B1">
        <w:rPr>
          <w:rFonts w:ascii="Calibri" w:hAnsi="Calibri" w:cs="Calibri"/>
        </w:rPr>
        <w:t>Conclusion</w:t>
      </w:r>
      <w:bookmarkEnd w:id="17"/>
      <w:bookmarkEnd w:id="18"/>
    </w:p>
    <w:p w14:paraId="04FFAEC0" w14:textId="7772E4AB" w:rsidR="0082385D" w:rsidRPr="005D69B1" w:rsidRDefault="0037356D" w:rsidP="0082385D">
      <w:pPr>
        <w:pStyle w:val="Default"/>
        <w:spacing w:line="276" w:lineRule="auto"/>
        <w:rPr>
          <w:color w:val="auto"/>
          <w:sz w:val="22"/>
          <w:szCs w:val="22"/>
        </w:rPr>
      </w:pPr>
      <w:r w:rsidRPr="00C465B1">
        <w:rPr>
          <w:sz w:val="22"/>
          <w:szCs w:val="22"/>
          <w:lang w:val="en-US"/>
        </w:rPr>
        <w:t xml:space="preserve">If we are to achieve sustainable change, then we need to deconstruct the current systems that perpetuate violence </w:t>
      </w:r>
      <w:r w:rsidR="00B10B1C" w:rsidRPr="00C465B1">
        <w:rPr>
          <w:sz w:val="22"/>
          <w:szCs w:val="22"/>
          <w:lang w:val="en-US"/>
        </w:rPr>
        <w:t xml:space="preserve">and discrimination </w:t>
      </w:r>
      <w:r w:rsidRPr="00C465B1">
        <w:rPr>
          <w:sz w:val="22"/>
          <w:szCs w:val="22"/>
          <w:lang w:val="en-US"/>
        </w:rPr>
        <w:t>against Indigenous women and reconstruct Indigenous women’s leadership, voices, honour and empowerment.</w:t>
      </w:r>
      <w:r w:rsidR="00C95B7F" w:rsidRPr="00C465B1">
        <w:rPr>
          <w:sz w:val="22"/>
          <w:lang w:val="en-GB"/>
        </w:rPr>
        <w:t xml:space="preserve"> </w:t>
      </w:r>
      <w:r w:rsidR="00EE3D9D" w:rsidRPr="00C465B1">
        <w:rPr>
          <w:sz w:val="22"/>
          <w:lang w:val="en-GB"/>
        </w:rPr>
        <w:t>Canada has made little progress on implementing the recommendations in the Committee's 2016 Concluding Observations or in responding</w:t>
      </w:r>
      <w:r w:rsidR="00A372C3" w:rsidRPr="00C465B1">
        <w:rPr>
          <w:sz w:val="22"/>
          <w:lang w:val="en-GB"/>
        </w:rPr>
        <w:t xml:space="preserve"> to</w:t>
      </w:r>
      <w:r w:rsidR="00EE3D9D" w:rsidRPr="00C465B1">
        <w:rPr>
          <w:sz w:val="22"/>
          <w:lang w:val="en-GB"/>
        </w:rPr>
        <w:t xml:space="preserve"> the Committee’s more recent list of issue</w:t>
      </w:r>
      <w:r w:rsidR="003277FB" w:rsidRPr="00C465B1">
        <w:rPr>
          <w:sz w:val="22"/>
          <w:lang w:val="en-GB"/>
        </w:rPr>
        <w:t>s.</w:t>
      </w:r>
      <w:r w:rsidR="00EE3D9D" w:rsidRPr="00C465B1">
        <w:rPr>
          <w:color w:val="auto"/>
          <w:sz w:val="22"/>
          <w:szCs w:val="22"/>
        </w:rPr>
        <w:t xml:space="preserve"> </w:t>
      </w:r>
      <w:r w:rsidR="0082385D" w:rsidRPr="00C465B1">
        <w:rPr>
          <w:color w:val="auto"/>
          <w:sz w:val="22"/>
          <w:szCs w:val="22"/>
        </w:rPr>
        <w:t>In conducting</w:t>
      </w:r>
      <w:r w:rsidR="0082385D" w:rsidRPr="00FC7DB1">
        <w:rPr>
          <w:color w:val="auto"/>
          <w:sz w:val="22"/>
          <w:szCs w:val="22"/>
        </w:rPr>
        <w:t xml:space="preserve"> its review of Canada, ONWA encourages the CEDAW Committee to continue to</w:t>
      </w:r>
      <w:r w:rsidR="003277FB" w:rsidRPr="00FC7DB1">
        <w:rPr>
          <w:color w:val="auto"/>
          <w:sz w:val="22"/>
          <w:szCs w:val="22"/>
        </w:rPr>
        <w:t xml:space="preserve"> hold Canada accountable to its treaty obligations</w:t>
      </w:r>
      <w:r w:rsidR="005453FC" w:rsidRPr="00FC7DB1">
        <w:rPr>
          <w:color w:val="auto"/>
          <w:sz w:val="22"/>
          <w:szCs w:val="22"/>
        </w:rPr>
        <w:t xml:space="preserve"> and ensure the Convention is implemented alongside </w:t>
      </w:r>
      <w:r w:rsidR="0082385D" w:rsidRPr="00FC7DB1">
        <w:rPr>
          <w:color w:val="auto"/>
          <w:sz w:val="22"/>
          <w:szCs w:val="22"/>
        </w:rPr>
        <w:t xml:space="preserve">the United Nations Declaration on the Rights of Indigenous </w:t>
      </w:r>
      <w:r w:rsidR="0082385D" w:rsidRPr="00445D8E">
        <w:rPr>
          <w:color w:val="auto"/>
          <w:sz w:val="22"/>
          <w:szCs w:val="22"/>
        </w:rPr>
        <w:t>Peoples.</w:t>
      </w:r>
      <w:r w:rsidR="00C9402D" w:rsidRPr="00445D8E">
        <w:rPr>
          <w:color w:val="auto"/>
          <w:sz w:val="22"/>
          <w:szCs w:val="22"/>
        </w:rPr>
        <w:t xml:space="preserve"> </w:t>
      </w:r>
      <w:r w:rsidR="00C9402D" w:rsidRPr="00DC0BAA">
        <w:rPr>
          <w:sz w:val="22"/>
          <w:szCs w:val="22"/>
          <w:lang w:val="en-US"/>
        </w:rPr>
        <w:t>We thank the Committee for its consideration</w:t>
      </w:r>
      <w:r w:rsidR="004B4F9A" w:rsidRPr="00DC0BAA">
        <w:rPr>
          <w:sz w:val="22"/>
          <w:szCs w:val="22"/>
          <w:lang w:val="en-US"/>
        </w:rPr>
        <w:t>.</w:t>
      </w:r>
      <w:r w:rsidR="004B4F9A" w:rsidRPr="005D69B1">
        <w:rPr>
          <w:sz w:val="22"/>
          <w:szCs w:val="22"/>
          <w:lang w:val="en-US"/>
        </w:rPr>
        <w:t xml:space="preserve"> </w:t>
      </w:r>
    </w:p>
    <w:p w14:paraId="65BA7E7E" w14:textId="77777777" w:rsidR="0037356D" w:rsidRDefault="0037356D" w:rsidP="0037356D">
      <w:pPr>
        <w:spacing w:line="276" w:lineRule="auto"/>
        <w:rPr>
          <w:rFonts w:ascii="Calibri" w:eastAsiaTheme="majorEastAsia" w:hAnsi="Calibri" w:cs="Calibri"/>
          <w:b/>
          <w:color w:val="7092C7" w:themeColor="accent2"/>
          <w:sz w:val="36"/>
          <w:szCs w:val="28"/>
        </w:rPr>
      </w:pPr>
      <w:r>
        <w:rPr>
          <w:rFonts w:ascii="Calibri" w:hAnsi="Calibri" w:cs="Calibri"/>
        </w:rPr>
        <w:br w:type="page"/>
      </w:r>
    </w:p>
    <w:p w14:paraId="15AF45B3" w14:textId="56137454" w:rsidR="0058409F" w:rsidRPr="0058409F" w:rsidRDefault="0058409F" w:rsidP="00030163">
      <w:pPr>
        <w:pStyle w:val="Heading1"/>
        <w:spacing w:after="0"/>
        <w:rPr>
          <w:rFonts w:ascii="Calibri" w:hAnsi="Calibri" w:cs="Calibri"/>
          <w:bCs/>
        </w:rPr>
      </w:pPr>
      <w:bookmarkStart w:id="19" w:name="_Toc176510775"/>
      <w:r w:rsidRPr="0058409F">
        <w:rPr>
          <w:rFonts w:ascii="Calibri" w:hAnsi="Calibri" w:cs="Calibri"/>
          <w:bCs/>
        </w:rPr>
        <w:lastRenderedPageBreak/>
        <w:t>Appendix 1: Ontario Native Women’s Association</w:t>
      </w:r>
      <w:bookmarkEnd w:id="19"/>
      <w:r w:rsidRPr="0058409F">
        <w:rPr>
          <w:rFonts w:ascii="Calibri" w:hAnsi="Calibri" w:cs="Calibri"/>
          <w:bCs/>
        </w:rPr>
        <w:t> </w:t>
      </w:r>
      <w:r w:rsidR="00EF6C7B">
        <w:rPr>
          <w:rFonts w:ascii="Calibri" w:hAnsi="Calibri" w:cs="Calibri"/>
          <w:bCs/>
        </w:rPr>
        <w:t>Membership</w:t>
      </w:r>
    </w:p>
    <w:p w14:paraId="1FDF332C" w14:textId="22B78931" w:rsidR="00CF157F" w:rsidRPr="00975C0B" w:rsidRDefault="00CF157F" w:rsidP="00030163">
      <w:pPr>
        <w:pStyle w:val="Default"/>
        <w:spacing w:line="276" w:lineRule="auto"/>
        <w:rPr>
          <w:sz w:val="22"/>
          <w:szCs w:val="22"/>
          <w:lang w:val="en-US"/>
        </w:rPr>
      </w:pPr>
      <w:r w:rsidRPr="00B425F9">
        <w:rPr>
          <w:sz w:val="22"/>
          <w:szCs w:val="22"/>
          <w:lang w:val="en-US"/>
        </w:rPr>
        <w:t>Chapters (</w:t>
      </w:r>
      <w:r w:rsidRPr="00975C0B">
        <w:rPr>
          <w:sz w:val="22"/>
          <w:szCs w:val="22"/>
          <w:lang w:val="en-US"/>
        </w:rPr>
        <w:t>incorporated Indigenous women’s organizations):</w:t>
      </w:r>
    </w:p>
    <w:p w14:paraId="198251CC" w14:textId="2AB53DCD" w:rsidR="00CF157F" w:rsidRPr="00DC0BAA" w:rsidRDefault="00826A70"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Tyendinaga Native Women's Association</w:t>
      </w:r>
    </w:p>
    <w:p w14:paraId="5793CAFF" w14:textId="5BDF8DE6" w:rsidR="00826A70" w:rsidRPr="00DC0BAA" w:rsidRDefault="00826A70" w:rsidP="00DC0BAA">
      <w:pPr>
        <w:pStyle w:val="Default"/>
        <w:numPr>
          <w:ilvl w:val="0"/>
          <w:numId w:val="26"/>
        </w:numPr>
        <w:spacing w:line="276" w:lineRule="auto"/>
        <w:rPr>
          <w:rFonts w:eastAsia="Times New Roman"/>
          <w:color w:val="000000" w:themeColor="text1"/>
          <w:sz w:val="22"/>
          <w:szCs w:val="22"/>
          <w:lang w:eastAsia="en-CA"/>
        </w:rPr>
      </w:pPr>
      <w:r w:rsidRPr="00DC0BAA">
        <w:rPr>
          <w:rFonts w:eastAsia="Times New Roman"/>
          <w:color w:val="000000" w:themeColor="text1"/>
          <w:sz w:val="22"/>
          <w:szCs w:val="22"/>
          <w:lang w:eastAsia="en-CA"/>
        </w:rPr>
        <w:t>Niagara Chapter-Native Women Inc.</w:t>
      </w:r>
    </w:p>
    <w:p w14:paraId="5478B552" w14:textId="35D0F1F7" w:rsidR="00826A70" w:rsidRPr="00DC0BAA" w:rsidRDefault="00826A70"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Kateri Anishnabekwe Association</w:t>
      </w:r>
    </w:p>
    <w:p w14:paraId="23055CBE" w14:textId="1FC3AEFB" w:rsidR="00826A70" w:rsidRPr="00DC0BAA" w:rsidRDefault="00826A70"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Hamilton-Wentworth Chapter of Native Women Inc.</w:t>
      </w:r>
    </w:p>
    <w:p w14:paraId="7CDD1695" w14:textId="33046F8B" w:rsidR="00826A70" w:rsidRPr="00975C0B" w:rsidRDefault="00826A70" w:rsidP="00DC0BAA">
      <w:pPr>
        <w:pStyle w:val="Default"/>
        <w:numPr>
          <w:ilvl w:val="0"/>
          <w:numId w:val="26"/>
        </w:numPr>
        <w:spacing w:line="276" w:lineRule="auto"/>
        <w:rPr>
          <w:sz w:val="22"/>
          <w:szCs w:val="22"/>
          <w:lang w:val="en-US"/>
        </w:rPr>
      </w:pPr>
      <w:r w:rsidRPr="00DC0BAA">
        <w:rPr>
          <w:rFonts w:eastAsia="Times New Roman"/>
          <w:sz w:val="22"/>
          <w:szCs w:val="22"/>
          <w:lang w:eastAsia="en-CA"/>
        </w:rPr>
        <w:t>Kenora Anishinaabe-Kweg Aboriginal Women’s Organization</w:t>
      </w:r>
    </w:p>
    <w:p w14:paraId="127CB256" w14:textId="5C4510BC" w:rsidR="00826A70" w:rsidRPr="00975C0B" w:rsidRDefault="00826A70" w:rsidP="00DC0BAA">
      <w:pPr>
        <w:pStyle w:val="Default"/>
        <w:numPr>
          <w:ilvl w:val="0"/>
          <w:numId w:val="26"/>
        </w:numPr>
        <w:spacing w:line="276" w:lineRule="auto"/>
        <w:rPr>
          <w:sz w:val="22"/>
          <w:szCs w:val="22"/>
          <w:lang w:val="en-US"/>
        </w:rPr>
      </w:pPr>
      <w:r w:rsidRPr="00DC0BAA">
        <w:rPr>
          <w:rFonts w:eastAsia="Times New Roman"/>
          <w:sz w:val="22"/>
          <w:szCs w:val="22"/>
          <w:lang w:eastAsia="en-CA"/>
        </w:rPr>
        <w:t>Georgian Bay Native Women’s Association</w:t>
      </w:r>
    </w:p>
    <w:p w14:paraId="200FA6C6" w14:textId="1461C849" w:rsidR="00826A70" w:rsidRPr="00DC0BAA" w:rsidRDefault="00826A70"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Orillia Native Women's Group</w:t>
      </w:r>
    </w:p>
    <w:p w14:paraId="7B3F527C" w14:textId="38E247C8" w:rsidR="00826A70"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rPr>
        <w:t>Biminaawzogin Regional Aboriginal Women's Circle</w:t>
      </w:r>
    </w:p>
    <w:p w14:paraId="572E5496" w14:textId="0174E925" w:rsidR="00826A70"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Minwaashin Lodge</w:t>
      </w:r>
    </w:p>
    <w:p w14:paraId="44FB9D26" w14:textId="6A964A06" w:rsidR="006844BA" w:rsidRPr="00DC0BAA" w:rsidRDefault="006844BA" w:rsidP="00DC0BAA">
      <w:pPr>
        <w:pStyle w:val="Default"/>
        <w:numPr>
          <w:ilvl w:val="0"/>
          <w:numId w:val="26"/>
        </w:numPr>
        <w:spacing w:line="276" w:lineRule="auto"/>
        <w:rPr>
          <w:rFonts w:eastAsia="Calibri"/>
          <w:sz w:val="22"/>
          <w:szCs w:val="22"/>
        </w:rPr>
      </w:pPr>
      <w:r w:rsidRPr="00DC0BAA">
        <w:rPr>
          <w:rFonts w:eastAsia="Calibri"/>
          <w:sz w:val="22"/>
          <w:szCs w:val="22"/>
        </w:rPr>
        <w:t>Niijkiwendidaa Anishnaabekwewag Services Circle</w:t>
      </w:r>
    </w:p>
    <w:p w14:paraId="15A867CE" w14:textId="7196EE45" w:rsidR="006844BA"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Nahkendan: Knowing Your Truth</w:t>
      </w:r>
    </w:p>
    <w:p w14:paraId="175CDA4E" w14:textId="602FA6F8" w:rsidR="006844BA" w:rsidRPr="00DC0BAA" w:rsidRDefault="006844BA" w:rsidP="00DC0BAA">
      <w:pPr>
        <w:pStyle w:val="Default"/>
        <w:numPr>
          <w:ilvl w:val="0"/>
          <w:numId w:val="26"/>
        </w:numPr>
        <w:spacing w:line="276" w:lineRule="auto"/>
        <w:rPr>
          <w:rFonts w:eastAsia="Times New Roman"/>
          <w:color w:val="000000" w:themeColor="text1"/>
          <w:sz w:val="22"/>
          <w:szCs w:val="22"/>
          <w:lang w:eastAsia="en-CA"/>
        </w:rPr>
      </w:pPr>
      <w:r w:rsidRPr="00DC0BAA">
        <w:rPr>
          <w:rFonts w:eastAsia="Times New Roman"/>
          <w:color w:val="000000" w:themeColor="text1"/>
          <w:sz w:val="22"/>
          <w:szCs w:val="22"/>
          <w:lang w:eastAsia="en-CA"/>
        </w:rPr>
        <w:t>Lovesick Lake Native Women's Association</w:t>
      </w:r>
    </w:p>
    <w:p w14:paraId="47226A5E" w14:textId="0E577177" w:rsidR="006844BA"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Sunset Women's Aboriginal Circle</w:t>
      </w:r>
    </w:p>
    <w:p w14:paraId="7842E5CD" w14:textId="52E77BBF" w:rsidR="006844BA"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Native Women's Resource Centre of Toronto</w:t>
      </w:r>
    </w:p>
    <w:p w14:paraId="707B5ED8" w14:textId="56F30067" w:rsidR="006844BA"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Beendigen</w:t>
      </w:r>
    </w:p>
    <w:p w14:paraId="5ED72C69" w14:textId="313E0EFF" w:rsidR="006844BA" w:rsidRPr="00DC0BAA" w:rsidRDefault="006844BA" w:rsidP="00DC0BAA">
      <w:pPr>
        <w:pStyle w:val="Default"/>
        <w:numPr>
          <w:ilvl w:val="0"/>
          <w:numId w:val="26"/>
        </w:numPr>
        <w:spacing w:line="276" w:lineRule="auto"/>
        <w:rPr>
          <w:rFonts w:eastAsia="Times New Roman"/>
          <w:sz w:val="22"/>
          <w:szCs w:val="22"/>
          <w:lang w:eastAsia="en-CA"/>
        </w:rPr>
      </w:pPr>
      <w:r w:rsidRPr="00DC0BAA">
        <w:rPr>
          <w:rFonts w:eastAsia="Times New Roman"/>
          <w:sz w:val="22"/>
          <w:szCs w:val="22"/>
          <w:lang w:eastAsia="en-CA"/>
        </w:rPr>
        <w:t>Biidaajiwun Inc.</w:t>
      </w:r>
    </w:p>
    <w:p w14:paraId="145A1D98" w14:textId="6C496DD5" w:rsidR="00CF157F" w:rsidRPr="00975C0B" w:rsidRDefault="00CF157F" w:rsidP="00030163">
      <w:pPr>
        <w:pStyle w:val="Default"/>
        <w:spacing w:line="276" w:lineRule="auto"/>
        <w:rPr>
          <w:sz w:val="22"/>
          <w:szCs w:val="22"/>
          <w:lang w:val="en-US"/>
        </w:rPr>
      </w:pPr>
      <w:r w:rsidRPr="00975C0B">
        <w:rPr>
          <w:sz w:val="22"/>
          <w:szCs w:val="22"/>
          <w:lang w:val="en-US"/>
        </w:rPr>
        <w:t>Council</w:t>
      </w:r>
      <w:r w:rsidR="00975C0B">
        <w:rPr>
          <w:sz w:val="22"/>
          <w:szCs w:val="22"/>
          <w:lang w:val="en-US"/>
        </w:rPr>
        <w:t>s</w:t>
      </w:r>
      <w:r w:rsidRPr="00975C0B">
        <w:rPr>
          <w:sz w:val="22"/>
          <w:szCs w:val="22"/>
          <w:lang w:val="en-US"/>
        </w:rPr>
        <w:t xml:space="preserve"> (grassroots Indigenous women’s groups):</w:t>
      </w:r>
    </w:p>
    <w:p w14:paraId="29077BD0" w14:textId="107557F0"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Mamowedew</w:t>
      </w:r>
    </w:p>
    <w:p w14:paraId="227682AE" w14:textId="377FFF0A"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Mindemoweyag Women's Group</w:t>
      </w:r>
    </w:p>
    <w:p w14:paraId="41DF3FB1" w14:textId="3088B0E3"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Metis Women's Circle</w:t>
      </w:r>
    </w:p>
    <w:p w14:paraId="0CBC94F1" w14:textId="5B063600"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Waibejawong Anishnabequek</w:t>
      </w:r>
    </w:p>
    <w:p w14:paraId="2BEECC16" w14:textId="0318377F"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Deshkan Zii Bi Indigenous Women's Association</w:t>
      </w:r>
    </w:p>
    <w:p w14:paraId="55F05B07" w14:textId="406D0758" w:rsidR="00826A70" w:rsidRPr="00DC0BAA" w:rsidRDefault="00826A70"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Kingston Thunder Women</w:t>
      </w:r>
    </w:p>
    <w:p w14:paraId="1C1A4F64" w14:textId="4B61AE65"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The Matriarch’s</w:t>
      </w:r>
    </w:p>
    <w:p w14:paraId="1DDA25F1" w14:textId="60647D18"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Indigenous Women On-Line</w:t>
      </w:r>
    </w:p>
    <w:p w14:paraId="18BF71E0" w14:textId="03804E8F"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Rainbow Women</w:t>
      </w:r>
    </w:p>
    <w:p w14:paraId="57BC7C88" w14:textId="750245E5"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Batwating Anishabeqwewok Members</w:t>
      </w:r>
    </w:p>
    <w:p w14:paraId="75C76838" w14:textId="7DF629FF"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Indigenous Women of Niagara</w:t>
      </w:r>
    </w:p>
    <w:p w14:paraId="357B7689" w14:textId="6290358E"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All Our Relations</w:t>
      </w:r>
    </w:p>
    <w:p w14:paraId="35B09F0F" w14:textId="53D2CA62"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Daughters of the Fur Trade</w:t>
      </w:r>
    </w:p>
    <w:p w14:paraId="631FAF48" w14:textId="13CA41EE"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Thunder Bay Council</w:t>
      </w:r>
    </w:p>
    <w:p w14:paraId="4A62E4BB" w14:textId="7A5021BF" w:rsidR="006844BA" w:rsidRPr="00DC0BAA" w:rsidRDefault="006844BA"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Anishnawbequek Timmins</w:t>
      </w:r>
    </w:p>
    <w:p w14:paraId="299304F4" w14:textId="5821B752"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Aroland Ladies of 242</w:t>
      </w:r>
    </w:p>
    <w:p w14:paraId="1F2FE54F" w14:textId="78C948B8"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Constance Lake Anishinawbe Quek</w:t>
      </w:r>
    </w:p>
    <w:p w14:paraId="5A035991" w14:textId="4D8FEA90"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Ginoogaming First Nation</w:t>
      </w:r>
    </w:p>
    <w:p w14:paraId="1475DF3C" w14:textId="6AA21B63"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Grassy Narrows Women's Group</w:t>
      </w:r>
    </w:p>
    <w:p w14:paraId="0CB122CB" w14:textId="5F890994"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New Post Women’s Group</w:t>
      </w:r>
    </w:p>
    <w:p w14:paraId="33930715" w14:textId="33209C15"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Rocky Bay Women's Council</w:t>
      </w:r>
    </w:p>
    <w:p w14:paraId="6556ABC6" w14:textId="2D97136B"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Wiikwemkoong Anishnawbekwek</w:t>
      </w:r>
    </w:p>
    <w:p w14:paraId="43A70E90" w14:textId="221BAC16" w:rsidR="00975C0B" w:rsidRPr="00DC0BAA" w:rsidRDefault="00975C0B" w:rsidP="00DC0BAA">
      <w:pPr>
        <w:pStyle w:val="Default"/>
        <w:numPr>
          <w:ilvl w:val="0"/>
          <w:numId w:val="27"/>
        </w:numPr>
        <w:spacing w:line="276" w:lineRule="auto"/>
        <w:rPr>
          <w:rFonts w:eastAsia="Times New Roman"/>
          <w:sz w:val="22"/>
          <w:szCs w:val="22"/>
          <w:lang w:eastAsia="en-CA"/>
        </w:rPr>
      </w:pPr>
      <w:r w:rsidRPr="00DC0BAA">
        <w:rPr>
          <w:rFonts w:eastAsia="Times New Roman"/>
          <w:sz w:val="22"/>
          <w:szCs w:val="22"/>
          <w:lang w:eastAsia="en-CA"/>
        </w:rPr>
        <w:t>Wabigoon Aboriginal Women’s Group</w:t>
      </w:r>
    </w:p>
    <w:p w14:paraId="05AA1604" w14:textId="7BF178CB" w:rsidR="00B65DEA" w:rsidRPr="00E53210" w:rsidRDefault="00BD39F6" w:rsidP="00030163">
      <w:pPr>
        <w:pStyle w:val="Heading1"/>
        <w:spacing w:after="0"/>
        <w:rPr>
          <w:rFonts w:ascii="Calibri" w:hAnsi="Calibri" w:cs="Calibri"/>
        </w:rPr>
      </w:pPr>
      <w:r>
        <w:rPr>
          <w:rFonts w:ascii="Calibri" w:hAnsi="Calibri" w:cs="Calibri"/>
        </w:rPr>
        <w:br w:type="page"/>
      </w:r>
      <w:bookmarkStart w:id="20" w:name="_Toc176510776"/>
      <w:r w:rsidR="009C434B" w:rsidRPr="00573200">
        <w:rPr>
          <w:rFonts w:ascii="Calibri" w:hAnsi="Calibri" w:cs="Calibri"/>
          <w:bCs/>
        </w:rPr>
        <w:lastRenderedPageBreak/>
        <w:t>Appendix</w:t>
      </w:r>
      <w:r w:rsidR="0058409F" w:rsidRPr="00573200">
        <w:rPr>
          <w:rFonts w:ascii="Calibri" w:hAnsi="Calibri" w:cs="Calibri"/>
          <w:bCs/>
        </w:rPr>
        <w:t xml:space="preserve"> 2</w:t>
      </w:r>
      <w:r w:rsidR="00E53210" w:rsidRPr="00573200">
        <w:rPr>
          <w:rFonts w:ascii="Calibri" w:hAnsi="Calibri" w:cs="Calibri"/>
          <w:bCs/>
        </w:rPr>
        <w:t>: Indigenous women and human rights in Canada</w:t>
      </w:r>
      <w:bookmarkEnd w:id="20"/>
    </w:p>
    <w:p w14:paraId="061A9BE8" w14:textId="77777777" w:rsidR="009C400A" w:rsidRDefault="009C400A" w:rsidP="00AB5E60">
      <w:pPr>
        <w:pStyle w:val="paragraph"/>
        <w:spacing w:before="0" w:beforeAutospacing="0" w:after="0" w:afterAutospacing="0" w:line="276" w:lineRule="auto"/>
        <w:textAlignment w:val="baseline"/>
        <w:rPr>
          <w:rFonts w:ascii="Calibri" w:hAnsi="Calibri" w:cs="Calibri"/>
          <w:sz w:val="22"/>
          <w:szCs w:val="22"/>
        </w:rPr>
      </w:pPr>
    </w:p>
    <w:p w14:paraId="52887576" w14:textId="7186B625" w:rsidR="00E53210" w:rsidRPr="00ED32BB" w:rsidRDefault="00E53210" w:rsidP="00AB5E60">
      <w:pPr>
        <w:spacing w:line="276" w:lineRule="auto"/>
        <w:rPr>
          <w:rFonts w:cstheme="minorHAnsi"/>
          <w:sz w:val="22"/>
        </w:rPr>
      </w:pPr>
      <w:r w:rsidRPr="00ED32BB">
        <w:rPr>
          <w:sz w:val="22"/>
        </w:rPr>
        <w:t>Indigenous women in Canada face persistent, systemic</w:t>
      </w:r>
      <w:r w:rsidR="0087459E">
        <w:rPr>
          <w:sz w:val="22"/>
        </w:rPr>
        <w:t xml:space="preserve"> discrimination </w:t>
      </w:r>
      <w:r w:rsidRPr="00ED32BB">
        <w:rPr>
          <w:sz w:val="22"/>
        </w:rPr>
        <w:t xml:space="preserve">that </w:t>
      </w:r>
      <w:r w:rsidRPr="00ED32BB">
        <w:rPr>
          <w:rFonts w:cstheme="minorHAnsi"/>
          <w:sz w:val="22"/>
        </w:rPr>
        <w:t xml:space="preserve">impact their human rights: </w:t>
      </w:r>
    </w:p>
    <w:p w14:paraId="580F12B2" w14:textId="77777777" w:rsidR="00E53210" w:rsidRDefault="00E53210" w:rsidP="002115F7">
      <w:pPr>
        <w:pStyle w:val="ListParagraph"/>
        <w:numPr>
          <w:ilvl w:val="0"/>
          <w:numId w:val="4"/>
        </w:numPr>
        <w:spacing w:after="0" w:line="276" w:lineRule="auto"/>
        <w:rPr>
          <w:rStyle w:val="cf41"/>
          <w:rFonts w:asciiTheme="minorHAnsi" w:hAnsiTheme="minorHAnsi" w:cstheme="minorBidi"/>
          <w:sz w:val="22"/>
          <w:szCs w:val="22"/>
        </w:rPr>
      </w:pPr>
      <w:r w:rsidRPr="1D5E8CE5">
        <w:rPr>
          <w:rStyle w:val="cf01"/>
          <w:rFonts w:asciiTheme="minorHAnsi" w:hAnsiTheme="minorHAnsi" w:cstheme="minorBidi"/>
          <w:b/>
          <w:bCs/>
          <w:i/>
          <w:iCs/>
          <w:sz w:val="22"/>
          <w:szCs w:val="22"/>
        </w:rPr>
        <w:t xml:space="preserve">Right to </w:t>
      </w:r>
      <w:r w:rsidRPr="1D5E8CE5">
        <w:rPr>
          <w:rStyle w:val="cf41"/>
          <w:rFonts w:asciiTheme="minorHAnsi" w:hAnsiTheme="minorHAnsi" w:cstheme="minorBidi"/>
          <w:b/>
          <w:bCs/>
          <w:sz w:val="22"/>
          <w:szCs w:val="22"/>
        </w:rPr>
        <w:t>adequate</w:t>
      </w:r>
      <w:r w:rsidRPr="1D5E8CE5">
        <w:rPr>
          <w:rStyle w:val="cf12"/>
          <w:rFonts w:asciiTheme="minorHAnsi" w:hAnsiTheme="minorHAnsi" w:cstheme="minorBidi"/>
          <w:b/>
          <w:bCs/>
          <w:sz w:val="22"/>
          <w:szCs w:val="22"/>
        </w:rPr>
        <w:t xml:space="preserve"> standard of living: </w:t>
      </w:r>
      <w:r w:rsidRPr="1D5E8CE5">
        <w:rPr>
          <w:rStyle w:val="cf41"/>
          <w:rFonts w:asciiTheme="minorHAnsi" w:hAnsiTheme="minorHAnsi" w:cstheme="minorBidi"/>
          <w:sz w:val="22"/>
          <w:szCs w:val="22"/>
        </w:rPr>
        <w:t>Indigenous women have lower median incomes and are more likely than non-Indigenous Canadians to be living in poverty.</w:t>
      </w:r>
      <w:r w:rsidRPr="00ED32BB">
        <w:rPr>
          <w:rStyle w:val="FootnoteReference"/>
        </w:rPr>
        <w:footnoteReference w:id="40"/>
      </w:r>
    </w:p>
    <w:p w14:paraId="0BDA6FDF" w14:textId="77777777" w:rsidR="00E53210" w:rsidRPr="00ED32BB" w:rsidRDefault="00E53210" w:rsidP="002115F7">
      <w:pPr>
        <w:pStyle w:val="ListParagraph"/>
        <w:numPr>
          <w:ilvl w:val="0"/>
          <w:numId w:val="4"/>
        </w:numPr>
        <w:spacing w:after="0" w:line="276" w:lineRule="auto"/>
        <w:contextualSpacing w:val="0"/>
        <w:rPr>
          <w:rStyle w:val="cf01"/>
          <w:rFonts w:asciiTheme="minorHAnsi" w:hAnsiTheme="minorHAnsi" w:cstheme="minorHAnsi"/>
          <w:b/>
          <w:i/>
          <w:sz w:val="22"/>
          <w:szCs w:val="22"/>
        </w:rPr>
      </w:pPr>
      <w:r w:rsidRPr="00ED32BB">
        <w:rPr>
          <w:rStyle w:val="cf01"/>
          <w:rFonts w:asciiTheme="minorHAnsi" w:hAnsiTheme="minorHAnsi" w:cstheme="minorHAnsi"/>
          <w:b/>
          <w:i/>
          <w:sz w:val="22"/>
          <w:szCs w:val="22"/>
        </w:rPr>
        <w:t>Right to safety and to live free from all forms of violence</w:t>
      </w:r>
    </w:p>
    <w:p w14:paraId="56026C77" w14:textId="5D7D2D53" w:rsidR="00E53210" w:rsidRPr="00ED32BB" w:rsidRDefault="00E53210" w:rsidP="002115F7">
      <w:pPr>
        <w:pStyle w:val="pf2"/>
        <w:numPr>
          <w:ilvl w:val="1"/>
          <w:numId w:val="4"/>
        </w:numPr>
        <w:spacing w:before="0" w:beforeAutospacing="0" w:after="0" w:afterAutospacing="0" w:line="276" w:lineRule="auto"/>
        <w:rPr>
          <w:rStyle w:val="cf61"/>
          <w:rFonts w:asciiTheme="minorHAnsi" w:hAnsiTheme="minorHAnsi" w:cstheme="minorHAnsi"/>
          <w:sz w:val="22"/>
          <w:szCs w:val="22"/>
        </w:rPr>
      </w:pPr>
      <w:r w:rsidRPr="1D5E8CE5">
        <w:rPr>
          <w:rStyle w:val="cf61"/>
          <w:rFonts w:asciiTheme="minorHAnsi" w:hAnsiTheme="minorHAnsi" w:cstheme="minorBidi"/>
          <w:sz w:val="22"/>
          <w:szCs w:val="22"/>
        </w:rPr>
        <w:t>Indigenous women and girls are 12 times more likely to go missing or be murdered than any other women in Canada.</w:t>
      </w:r>
      <w:r w:rsidRPr="1D5E8CE5">
        <w:rPr>
          <w:rStyle w:val="FootnoteReference"/>
          <w:rFonts w:asciiTheme="minorHAnsi" w:hAnsiTheme="minorHAnsi" w:cstheme="minorBidi"/>
          <w:sz w:val="22"/>
          <w:szCs w:val="22"/>
          <w:shd w:val="clear" w:color="auto" w:fill="FFFFFF"/>
        </w:rPr>
        <w:footnoteReference w:id="41"/>
      </w:r>
    </w:p>
    <w:p w14:paraId="360802BF" w14:textId="1E3CEF8D" w:rsidR="00E53210" w:rsidRPr="00ED32BB" w:rsidRDefault="00E53210" w:rsidP="002115F7">
      <w:pPr>
        <w:pStyle w:val="pf2"/>
        <w:numPr>
          <w:ilvl w:val="1"/>
          <w:numId w:val="4"/>
        </w:numPr>
        <w:spacing w:before="0" w:beforeAutospacing="0" w:after="0" w:afterAutospacing="0" w:line="276" w:lineRule="auto"/>
        <w:rPr>
          <w:rStyle w:val="cf41"/>
          <w:rFonts w:asciiTheme="minorHAnsi" w:hAnsiTheme="minorHAnsi" w:cstheme="minorHAnsi"/>
          <w:sz w:val="22"/>
          <w:szCs w:val="22"/>
        </w:rPr>
      </w:pPr>
      <w:r w:rsidRPr="1D5E8CE5">
        <w:rPr>
          <w:rStyle w:val="cf41"/>
          <w:rFonts w:asciiTheme="minorHAnsi" w:hAnsiTheme="minorHAnsi" w:cstheme="minorBidi"/>
          <w:sz w:val="22"/>
          <w:szCs w:val="22"/>
        </w:rPr>
        <w:t>63% of Indigenous women have experienced violent victimization in their lifetime since age 15 compared to 45% of non-Indigenous women.</w:t>
      </w:r>
      <w:r w:rsidRPr="1D5E8CE5">
        <w:rPr>
          <w:rStyle w:val="FootnoteReference"/>
          <w:rFonts w:asciiTheme="minorHAnsi" w:hAnsiTheme="minorHAnsi" w:cstheme="minorBidi"/>
          <w:sz w:val="22"/>
          <w:szCs w:val="22"/>
        </w:rPr>
        <w:footnoteReference w:id="42"/>
      </w:r>
    </w:p>
    <w:p w14:paraId="592A3ECD" w14:textId="77777777" w:rsidR="00F0572F" w:rsidRPr="00ED32BB" w:rsidRDefault="00F0572F" w:rsidP="002115F7">
      <w:pPr>
        <w:pStyle w:val="pf2"/>
        <w:numPr>
          <w:ilvl w:val="1"/>
          <w:numId w:val="4"/>
        </w:numPr>
        <w:spacing w:before="0" w:beforeAutospacing="0" w:after="0" w:afterAutospacing="0" w:line="276" w:lineRule="auto"/>
        <w:rPr>
          <w:rFonts w:asciiTheme="minorHAnsi" w:eastAsiaTheme="minorHAnsi" w:hAnsiTheme="minorHAnsi" w:cstheme="minorHAnsi"/>
          <w:color w:val="000000"/>
          <w:sz w:val="22"/>
          <w:szCs w:val="22"/>
        </w:rPr>
      </w:pPr>
      <w:r w:rsidRPr="1D5E8CE5">
        <w:rPr>
          <w:rStyle w:val="cf41"/>
          <w:rFonts w:asciiTheme="minorHAnsi" w:hAnsiTheme="minorHAnsi" w:cstheme="minorBidi"/>
          <w:sz w:val="22"/>
          <w:szCs w:val="22"/>
        </w:rPr>
        <w:t>Indigenous</w:t>
      </w:r>
      <w:r w:rsidRPr="1D5E8CE5">
        <w:rPr>
          <w:rFonts w:asciiTheme="minorHAnsi" w:eastAsiaTheme="minorEastAsia" w:hAnsiTheme="minorHAnsi" w:cstheme="minorBidi"/>
          <w:color w:val="000000"/>
          <w:sz w:val="22"/>
          <w:szCs w:val="22"/>
        </w:rPr>
        <w:t xml:space="preserve"> women and girls make up 21% of all gender-related homicides of women and girls in Canada, despite comprising only 5% of the female population.</w:t>
      </w:r>
      <w:r w:rsidRPr="1D5E8CE5">
        <w:rPr>
          <w:rStyle w:val="FootnoteReference"/>
          <w:rFonts w:asciiTheme="minorHAnsi" w:eastAsiaTheme="minorEastAsia" w:hAnsiTheme="minorHAnsi" w:cstheme="minorBidi"/>
          <w:color w:val="000000"/>
          <w:sz w:val="22"/>
          <w:szCs w:val="22"/>
        </w:rPr>
        <w:footnoteReference w:id="43"/>
      </w:r>
    </w:p>
    <w:p w14:paraId="58E80C3C" w14:textId="4276B037" w:rsidR="00F0572F" w:rsidRPr="007F4AB4" w:rsidRDefault="00BC089A" w:rsidP="002115F7">
      <w:pPr>
        <w:pStyle w:val="pf2"/>
        <w:numPr>
          <w:ilvl w:val="1"/>
          <w:numId w:val="4"/>
        </w:numPr>
        <w:spacing w:before="0" w:beforeAutospacing="0" w:after="0" w:afterAutospacing="0" w:line="276" w:lineRule="auto"/>
        <w:rPr>
          <w:rFonts w:asciiTheme="minorHAnsi" w:hAnsiTheme="minorHAnsi" w:cstheme="minorHAnsi"/>
          <w:sz w:val="22"/>
          <w:szCs w:val="22"/>
        </w:rPr>
      </w:pPr>
      <w:r w:rsidRPr="1D5E8CE5">
        <w:rPr>
          <w:rStyle w:val="cf41"/>
          <w:rFonts w:asciiTheme="minorHAnsi" w:hAnsiTheme="minorHAnsi" w:cstheme="minorBidi"/>
          <w:sz w:val="22"/>
          <w:szCs w:val="22"/>
        </w:rPr>
        <w:t>The</w:t>
      </w:r>
      <w:r w:rsidRPr="1D5E8CE5">
        <w:rPr>
          <w:rFonts w:asciiTheme="minorHAnsi" w:hAnsiTheme="minorHAnsi" w:cstheme="minorBidi"/>
          <w:color w:val="242424"/>
          <w:sz w:val="22"/>
          <w:szCs w:val="22"/>
          <w:shd w:val="clear" w:color="auto" w:fill="FFFFFF"/>
        </w:rPr>
        <w:t xml:space="preserve"> proportion of </w:t>
      </w:r>
      <w:r w:rsidRPr="1D5E8CE5">
        <w:rPr>
          <w:rFonts w:asciiTheme="minorHAnsi" w:eastAsiaTheme="minorEastAsia" w:hAnsiTheme="minorHAnsi" w:cstheme="minorBidi"/>
          <w:color w:val="000000"/>
          <w:sz w:val="22"/>
          <w:szCs w:val="22"/>
        </w:rPr>
        <w:t>femicide victims who are Indigenous in Ontario has steadily increased since the National Inquiry into MMIWG, from 5.4% in 2019-20 to 8.1% in 2022-2</w:t>
      </w:r>
      <w:r w:rsidRPr="1D5E8CE5">
        <w:rPr>
          <w:rFonts w:asciiTheme="minorHAnsi" w:hAnsiTheme="minorHAnsi" w:cstheme="minorBidi"/>
          <w:color w:val="242424"/>
          <w:sz w:val="22"/>
          <w:szCs w:val="22"/>
          <w:shd w:val="clear" w:color="auto" w:fill="FFFFFF"/>
        </w:rPr>
        <w:t>3.</w:t>
      </w:r>
      <w:r w:rsidRPr="1D5E8CE5">
        <w:rPr>
          <w:rStyle w:val="FootnoteReference"/>
          <w:rFonts w:asciiTheme="minorHAnsi" w:hAnsiTheme="minorHAnsi" w:cstheme="minorBidi"/>
          <w:color w:val="242424"/>
          <w:sz w:val="22"/>
          <w:szCs w:val="22"/>
          <w:shd w:val="clear" w:color="auto" w:fill="FFFFFF"/>
        </w:rPr>
        <w:footnoteReference w:id="44"/>
      </w:r>
    </w:p>
    <w:p w14:paraId="75F11D74" w14:textId="64B5D4A7" w:rsidR="00E53210" w:rsidRPr="007F4AB4" w:rsidRDefault="00E53210" w:rsidP="002115F7">
      <w:pPr>
        <w:pStyle w:val="ListParagraph"/>
        <w:numPr>
          <w:ilvl w:val="0"/>
          <w:numId w:val="4"/>
        </w:numPr>
        <w:spacing w:after="0" w:line="276" w:lineRule="auto"/>
        <w:rPr>
          <w:rStyle w:val="cf01"/>
          <w:rFonts w:asciiTheme="minorHAnsi" w:hAnsiTheme="minorHAnsi" w:cstheme="minorBidi"/>
          <w:b/>
          <w:sz w:val="22"/>
          <w:szCs w:val="22"/>
        </w:rPr>
      </w:pPr>
      <w:r w:rsidRPr="007F4AB4">
        <w:rPr>
          <w:rStyle w:val="cf01"/>
          <w:rFonts w:asciiTheme="minorHAnsi" w:hAnsiTheme="minorHAnsi" w:cstheme="minorBidi"/>
          <w:b/>
          <w:i/>
          <w:sz w:val="22"/>
          <w:szCs w:val="22"/>
        </w:rPr>
        <w:t>Right</w:t>
      </w:r>
      <w:r w:rsidRPr="007F4AB4">
        <w:rPr>
          <w:rStyle w:val="cf01"/>
          <w:rFonts w:asciiTheme="minorHAnsi" w:hAnsiTheme="minorHAnsi" w:cstheme="minorBidi"/>
          <w:b/>
          <w:sz w:val="22"/>
          <w:szCs w:val="22"/>
        </w:rPr>
        <w:t xml:space="preserve"> </w:t>
      </w:r>
      <w:r w:rsidRPr="007F4AB4">
        <w:rPr>
          <w:rStyle w:val="cf01"/>
          <w:rFonts w:asciiTheme="minorHAnsi" w:hAnsiTheme="minorHAnsi" w:cstheme="minorBidi"/>
          <w:b/>
          <w:i/>
          <w:sz w:val="22"/>
          <w:szCs w:val="22"/>
        </w:rPr>
        <w:t>to full, equal and effective participation in decision-making on all matters that affect them</w:t>
      </w:r>
    </w:p>
    <w:p w14:paraId="53A12A48" w14:textId="3E13A65F" w:rsidR="009D723D" w:rsidRPr="007F4AB4" w:rsidRDefault="00E53210" w:rsidP="002115F7">
      <w:pPr>
        <w:pStyle w:val="pf2"/>
        <w:numPr>
          <w:ilvl w:val="1"/>
          <w:numId w:val="4"/>
        </w:numPr>
        <w:spacing w:before="0" w:beforeAutospacing="0" w:after="0" w:afterAutospacing="0" w:line="276" w:lineRule="auto"/>
        <w:rPr>
          <w:rStyle w:val="cf41"/>
          <w:rFonts w:asciiTheme="minorHAnsi" w:hAnsiTheme="minorHAnsi" w:cstheme="minorHAnsi"/>
          <w:sz w:val="22"/>
          <w:szCs w:val="22"/>
        </w:rPr>
      </w:pPr>
      <w:r w:rsidRPr="007F4AB4">
        <w:rPr>
          <w:rStyle w:val="cf41"/>
          <w:rFonts w:asciiTheme="minorHAnsi" w:hAnsiTheme="minorHAnsi" w:cstheme="minorBidi"/>
          <w:sz w:val="22"/>
          <w:szCs w:val="22"/>
        </w:rPr>
        <w:t>Canada</w:t>
      </w:r>
      <w:r w:rsidR="00CC56B8">
        <w:rPr>
          <w:rStyle w:val="cf41"/>
          <w:rFonts w:asciiTheme="minorHAnsi" w:hAnsiTheme="minorHAnsi" w:cstheme="minorBidi"/>
          <w:sz w:val="22"/>
          <w:szCs w:val="22"/>
        </w:rPr>
        <w:t xml:space="preserve">’s </w:t>
      </w:r>
      <w:r w:rsidRPr="007F4AB4">
        <w:rPr>
          <w:rStyle w:val="cf41"/>
          <w:rFonts w:asciiTheme="minorHAnsi" w:hAnsiTheme="minorHAnsi" w:cstheme="minorBidi"/>
          <w:sz w:val="22"/>
          <w:szCs w:val="22"/>
        </w:rPr>
        <w:t>distinctions-based, nation-to-nation policy for Indigenous relations excludes Indigenous women</w:t>
      </w:r>
      <w:r w:rsidR="004A7B79">
        <w:rPr>
          <w:rStyle w:val="cf41"/>
          <w:rFonts w:asciiTheme="minorHAnsi" w:hAnsiTheme="minorHAnsi" w:cstheme="minorBidi"/>
          <w:sz w:val="22"/>
          <w:szCs w:val="22"/>
        </w:rPr>
        <w:t xml:space="preserve"> from decision making on the issues that impact our lives</w:t>
      </w:r>
      <w:r w:rsidR="00C97AD6" w:rsidRPr="0037635C">
        <w:rPr>
          <w:rStyle w:val="cf41"/>
          <w:rFonts w:asciiTheme="minorHAnsi" w:hAnsiTheme="minorHAnsi" w:cstheme="minorBidi"/>
          <w:sz w:val="22"/>
          <w:szCs w:val="22"/>
        </w:rPr>
        <w:t>.</w:t>
      </w:r>
    </w:p>
    <w:p w14:paraId="392187E8" w14:textId="77777777" w:rsidR="00E53210" w:rsidRPr="00365DC7" w:rsidRDefault="00E53210" w:rsidP="002115F7">
      <w:pPr>
        <w:pStyle w:val="ListParagraph"/>
        <w:numPr>
          <w:ilvl w:val="0"/>
          <w:numId w:val="4"/>
        </w:numPr>
        <w:spacing w:after="0" w:line="276" w:lineRule="auto"/>
        <w:contextualSpacing w:val="0"/>
        <w:rPr>
          <w:rStyle w:val="cf41"/>
          <w:rFonts w:asciiTheme="minorHAnsi" w:hAnsiTheme="minorHAnsi" w:cstheme="minorHAnsi"/>
          <w:sz w:val="22"/>
          <w:szCs w:val="22"/>
        </w:rPr>
      </w:pPr>
      <w:r w:rsidRPr="1D5E8CE5">
        <w:rPr>
          <w:rStyle w:val="cf01"/>
          <w:rFonts w:asciiTheme="minorHAnsi" w:hAnsiTheme="minorHAnsi" w:cstheme="minorBidi"/>
          <w:b/>
          <w:bCs/>
          <w:i/>
          <w:iCs/>
          <w:sz w:val="22"/>
          <w:szCs w:val="22"/>
        </w:rPr>
        <w:t>Right to safe and affordable housing:</w:t>
      </w:r>
      <w:r w:rsidRPr="1D5E8CE5">
        <w:rPr>
          <w:rStyle w:val="cf01"/>
          <w:rFonts w:asciiTheme="minorHAnsi" w:hAnsiTheme="minorHAnsi" w:cstheme="minorBidi"/>
          <w:b/>
          <w:bCs/>
          <w:sz w:val="22"/>
          <w:szCs w:val="22"/>
        </w:rPr>
        <w:t xml:space="preserve"> </w:t>
      </w:r>
      <w:r w:rsidRPr="1D5E8CE5">
        <w:rPr>
          <w:rStyle w:val="cf41"/>
          <w:rFonts w:asciiTheme="minorHAnsi" w:hAnsiTheme="minorHAnsi" w:cstheme="minorBidi"/>
          <w:sz w:val="22"/>
          <w:szCs w:val="22"/>
        </w:rPr>
        <w:t>Indigenous women are 5 times more likely than non-Indigenous women to experience homelessness.</w:t>
      </w:r>
      <w:r w:rsidRPr="00ED32BB">
        <w:rPr>
          <w:rStyle w:val="FootnoteReference"/>
        </w:rPr>
        <w:footnoteReference w:id="45"/>
      </w:r>
    </w:p>
    <w:p w14:paraId="60518D22" w14:textId="77777777" w:rsidR="00E53210" w:rsidRPr="00ED32BB" w:rsidRDefault="00E53210" w:rsidP="002115F7">
      <w:pPr>
        <w:pStyle w:val="ListParagraph"/>
        <w:numPr>
          <w:ilvl w:val="0"/>
          <w:numId w:val="4"/>
        </w:numPr>
        <w:spacing w:after="0" w:line="276" w:lineRule="auto"/>
        <w:rPr>
          <w:rStyle w:val="cf01"/>
          <w:rFonts w:asciiTheme="minorHAnsi" w:hAnsiTheme="minorHAnsi" w:cstheme="minorBidi"/>
          <w:b/>
          <w:i/>
          <w:sz w:val="22"/>
          <w:szCs w:val="22"/>
        </w:rPr>
      </w:pPr>
      <w:r w:rsidRPr="00ED32BB">
        <w:rPr>
          <w:rStyle w:val="cf01"/>
          <w:rFonts w:asciiTheme="minorHAnsi" w:hAnsiTheme="minorHAnsi" w:cstheme="minorBidi"/>
          <w:b/>
          <w:i/>
          <w:sz w:val="22"/>
          <w:szCs w:val="22"/>
        </w:rPr>
        <w:t>Right to equal access to health services</w:t>
      </w:r>
      <w:r w:rsidRPr="00ED32BB">
        <w:rPr>
          <w:rStyle w:val="cf01"/>
          <w:rFonts w:asciiTheme="minorHAnsi" w:hAnsiTheme="minorHAnsi" w:cstheme="minorBidi"/>
          <w:b/>
          <w:bCs/>
          <w:i/>
          <w:iCs/>
          <w:sz w:val="22"/>
          <w:szCs w:val="22"/>
        </w:rPr>
        <w:t xml:space="preserve"> </w:t>
      </w:r>
    </w:p>
    <w:p w14:paraId="243B163D" w14:textId="77777777" w:rsidR="00E53210" w:rsidRPr="00ED32BB" w:rsidRDefault="00E53210" w:rsidP="002115F7">
      <w:pPr>
        <w:pStyle w:val="ListParagraph"/>
        <w:numPr>
          <w:ilvl w:val="1"/>
          <w:numId w:val="4"/>
        </w:numPr>
        <w:spacing w:after="0" w:line="276" w:lineRule="auto"/>
      </w:pPr>
      <w:r w:rsidRPr="00ED32BB">
        <w:t>Fewer Indigenous women compared to non-Indigenous women have access to a regular health care provider.</w:t>
      </w:r>
      <w:r w:rsidRPr="00ED32BB">
        <w:rPr>
          <w:rStyle w:val="FootnoteReference"/>
        </w:rPr>
        <w:footnoteReference w:id="46"/>
      </w:r>
      <w:r w:rsidRPr="00ED32BB">
        <w:t xml:space="preserve"> </w:t>
      </w:r>
    </w:p>
    <w:p w14:paraId="75601DFC" w14:textId="77777777" w:rsidR="007C2982" w:rsidRPr="007F4AB4" w:rsidRDefault="007C2982" w:rsidP="002115F7">
      <w:pPr>
        <w:pStyle w:val="ListParagraph"/>
        <w:numPr>
          <w:ilvl w:val="1"/>
          <w:numId w:val="4"/>
        </w:numPr>
        <w:spacing w:after="0" w:line="276" w:lineRule="auto"/>
      </w:pPr>
      <w:r>
        <w:t xml:space="preserve">Compared to non-Indigenous women, </w:t>
      </w:r>
      <w:r w:rsidR="00E53210" w:rsidRPr="00ED32BB">
        <w:t>Indigenous</w:t>
      </w:r>
      <w:r w:rsidR="00E53210" w:rsidRPr="00ED32BB">
        <w:rPr>
          <w:rFonts w:cs="Calibri"/>
          <w:color w:val="000000"/>
        </w:rPr>
        <w:t xml:space="preserve"> women living off-reserve report</w:t>
      </w:r>
      <w:r>
        <w:rPr>
          <w:rFonts w:cs="Calibri"/>
          <w:color w:val="000000"/>
        </w:rPr>
        <w:t>:</w:t>
      </w:r>
    </w:p>
    <w:p w14:paraId="09D0F5EF" w14:textId="0EE06964" w:rsidR="00E53210" w:rsidRPr="00ED32BB" w:rsidRDefault="00E53210" w:rsidP="002115F7">
      <w:pPr>
        <w:pStyle w:val="ListParagraph"/>
        <w:numPr>
          <w:ilvl w:val="2"/>
          <w:numId w:val="4"/>
        </w:numPr>
        <w:spacing w:after="0" w:line="276" w:lineRule="auto"/>
      </w:pPr>
      <w:r w:rsidRPr="00ED32BB">
        <w:rPr>
          <w:rFonts w:cs="Calibri"/>
          <w:color w:val="000000"/>
        </w:rPr>
        <w:t>worse physical and mental health, and higher prevalence of chronic diseases.</w:t>
      </w:r>
      <w:r w:rsidRPr="00ED32BB">
        <w:rPr>
          <w:vertAlign w:val="superscript"/>
        </w:rPr>
        <w:footnoteReference w:id="47"/>
      </w:r>
    </w:p>
    <w:p w14:paraId="30778826" w14:textId="4262366D" w:rsidR="00E53210" w:rsidRPr="007F4AB4" w:rsidRDefault="00E53210" w:rsidP="002115F7">
      <w:pPr>
        <w:pStyle w:val="ListParagraph"/>
        <w:numPr>
          <w:ilvl w:val="2"/>
          <w:numId w:val="4"/>
        </w:numPr>
        <w:spacing w:after="0" w:line="276" w:lineRule="auto"/>
        <w:rPr>
          <w:rStyle w:val="cf41"/>
          <w:rFonts w:asciiTheme="minorHAnsi" w:eastAsia="Times New Roman" w:hAnsiTheme="minorHAnsi" w:cstheme="minorHAnsi"/>
          <w:sz w:val="22"/>
          <w:szCs w:val="22"/>
          <w:lang w:eastAsia="en-CA"/>
        </w:rPr>
      </w:pPr>
      <w:r w:rsidRPr="00ED32BB">
        <w:t>unmet health needs, especially mental health care</w:t>
      </w:r>
      <w:r w:rsidRPr="1D5E8CE5">
        <w:rPr>
          <w:rStyle w:val="cf41"/>
          <w:rFonts w:asciiTheme="minorHAnsi" w:hAnsiTheme="minorHAnsi" w:cstheme="minorBidi"/>
          <w:sz w:val="22"/>
          <w:szCs w:val="22"/>
        </w:rPr>
        <w:t>.</w:t>
      </w:r>
      <w:r w:rsidRPr="00ED32BB">
        <w:rPr>
          <w:rStyle w:val="FootnoteReference"/>
        </w:rPr>
        <w:footnoteReference w:id="48"/>
      </w:r>
    </w:p>
    <w:p w14:paraId="0DFC7711" w14:textId="4AEBF6F9" w:rsidR="005A7352" w:rsidRPr="00ED32BB" w:rsidRDefault="005A7352" w:rsidP="002115F7">
      <w:pPr>
        <w:pStyle w:val="ListParagraph"/>
        <w:numPr>
          <w:ilvl w:val="1"/>
          <w:numId w:val="4"/>
        </w:numPr>
        <w:spacing w:after="0" w:line="276" w:lineRule="auto"/>
        <w:rPr>
          <w:rStyle w:val="cf41"/>
          <w:rFonts w:asciiTheme="minorHAnsi" w:eastAsia="Times New Roman" w:hAnsiTheme="minorHAnsi" w:cstheme="minorHAnsi"/>
          <w:sz w:val="22"/>
          <w:szCs w:val="22"/>
          <w:lang w:eastAsia="en-CA"/>
        </w:rPr>
      </w:pPr>
      <w:r w:rsidRPr="007F4AB4">
        <w:t>Indigenous households in Canada experience prevalence and severity of household food insecurity between 2-6 times greater than those for non-Indigenous households</w:t>
      </w:r>
      <w:r w:rsidR="006C6C06">
        <w:t>.</w:t>
      </w:r>
      <w:r w:rsidR="002A14AF">
        <w:rPr>
          <w:rStyle w:val="FootnoteReference"/>
          <w:rFonts w:ascii="Aptos" w:eastAsia="Aptos" w:hAnsi="Aptos" w:cs="Aptos"/>
          <w:color w:val="000000" w:themeColor="text1"/>
          <w:sz w:val="24"/>
          <w:szCs w:val="24"/>
        </w:rPr>
        <w:footnoteReference w:id="49"/>
      </w:r>
    </w:p>
    <w:p w14:paraId="74FCC72C" w14:textId="77777777" w:rsidR="00E53210" w:rsidRPr="00ED32BB" w:rsidRDefault="00E53210" w:rsidP="002115F7">
      <w:pPr>
        <w:pStyle w:val="ListParagraph"/>
        <w:numPr>
          <w:ilvl w:val="0"/>
          <w:numId w:val="4"/>
        </w:numPr>
        <w:spacing w:after="0" w:line="276" w:lineRule="auto"/>
        <w:rPr>
          <w:rStyle w:val="cf01"/>
          <w:rFonts w:asciiTheme="minorHAnsi" w:hAnsiTheme="minorHAnsi" w:cstheme="minorBidi"/>
          <w:b/>
          <w:i/>
          <w:sz w:val="22"/>
          <w:szCs w:val="22"/>
        </w:rPr>
      </w:pPr>
      <w:r w:rsidRPr="00ED32BB">
        <w:rPr>
          <w:rStyle w:val="cf01"/>
          <w:rFonts w:asciiTheme="minorHAnsi" w:hAnsiTheme="minorHAnsi" w:cstheme="minorBidi"/>
          <w:b/>
          <w:i/>
          <w:sz w:val="22"/>
          <w:szCs w:val="22"/>
        </w:rPr>
        <w:lastRenderedPageBreak/>
        <w:t>Right to live free from all forms of discrimination</w:t>
      </w:r>
    </w:p>
    <w:p w14:paraId="2071E5E3" w14:textId="77777777" w:rsidR="00E53210" w:rsidRPr="00ED32BB" w:rsidRDefault="00E53210" w:rsidP="002115F7">
      <w:pPr>
        <w:pStyle w:val="pf1"/>
        <w:numPr>
          <w:ilvl w:val="1"/>
          <w:numId w:val="4"/>
        </w:numPr>
        <w:spacing w:before="0" w:beforeAutospacing="0" w:after="0" w:afterAutospacing="0" w:line="276" w:lineRule="auto"/>
        <w:rPr>
          <w:rStyle w:val="cf81"/>
          <w:rFonts w:asciiTheme="minorHAnsi" w:hAnsiTheme="minorHAnsi" w:cstheme="minorHAnsi"/>
          <w:b w:val="0"/>
          <w:bCs w:val="0"/>
          <w:sz w:val="22"/>
          <w:szCs w:val="22"/>
        </w:rPr>
      </w:pPr>
      <w:r w:rsidRPr="00ED32BB">
        <w:rPr>
          <w:rStyle w:val="cf41"/>
          <w:rFonts w:asciiTheme="minorHAnsi" w:hAnsiTheme="minorHAnsi" w:cstheme="minorHAnsi"/>
          <w:sz w:val="22"/>
          <w:szCs w:val="22"/>
        </w:rPr>
        <w:t xml:space="preserve">Systemic discrimination against Indigenous women in the </w:t>
      </w:r>
      <w:r w:rsidRPr="00ED32BB">
        <w:rPr>
          <w:rStyle w:val="cf81"/>
          <w:rFonts w:asciiTheme="minorHAnsi" w:hAnsiTheme="minorHAnsi" w:cstheme="minorHAnsi"/>
          <w:sz w:val="22"/>
          <w:szCs w:val="22"/>
        </w:rPr>
        <w:t>criminal justice system:</w:t>
      </w:r>
    </w:p>
    <w:p w14:paraId="4C8CF587" w14:textId="33D19D30" w:rsidR="00E53210" w:rsidRPr="00ED32BB" w:rsidRDefault="00E53210" w:rsidP="002115F7">
      <w:pPr>
        <w:pStyle w:val="pf1"/>
        <w:numPr>
          <w:ilvl w:val="2"/>
          <w:numId w:val="4"/>
        </w:numPr>
        <w:spacing w:before="0" w:beforeAutospacing="0" w:after="0" w:afterAutospacing="0" w:line="276" w:lineRule="auto"/>
        <w:rPr>
          <w:rStyle w:val="cf41"/>
          <w:rFonts w:asciiTheme="minorHAnsi" w:hAnsiTheme="minorHAnsi" w:cstheme="minorBidi"/>
          <w:sz w:val="22"/>
          <w:szCs w:val="22"/>
        </w:rPr>
      </w:pPr>
      <w:r w:rsidRPr="1D5E8CE5">
        <w:rPr>
          <w:rStyle w:val="cf81"/>
          <w:rFonts w:asciiTheme="minorHAnsi" w:hAnsiTheme="minorHAnsi" w:cstheme="minorBidi"/>
          <w:b w:val="0"/>
          <w:bCs w:val="0"/>
          <w:sz w:val="22"/>
          <w:szCs w:val="22"/>
        </w:rPr>
        <w:t>A</w:t>
      </w:r>
      <w:r w:rsidRPr="1D5E8CE5">
        <w:rPr>
          <w:rStyle w:val="cf41"/>
          <w:rFonts w:asciiTheme="minorHAnsi" w:hAnsiTheme="minorHAnsi" w:cstheme="minorBidi"/>
          <w:sz w:val="22"/>
          <w:szCs w:val="22"/>
        </w:rPr>
        <w:t>lthough Indigenous women represent only 4% of the adult female population,  Indigenous women account for 50% of all federally incarcerated women and 65% of sentenced women in maximum security custodial centres across Canada.</w:t>
      </w:r>
      <w:r w:rsidRPr="1D5E8CE5">
        <w:rPr>
          <w:rStyle w:val="FootnoteReference"/>
          <w:rFonts w:asciiTheme="minorHAnsi" w:hAnsiTheme="minorHAnsi" w:cstheme="minorBidi"/>
          <w:sz w:val="22"/>
          <w:szCs w:val="22"/>
        </w:rPr>
        <w:footnoteReference w:id="50"/>
      </w:r>
    </w:p>
    <w:p w14:paraId="56B4217F" w14:textId="77777777" w:rsidR="00E53210" w:rsidRPr="00ED32BB" w:rsidRDefault="00E53210" w:rsidP="002115F7">
      <w:pPr>
        <w:pStyle w:val="pf1"/>
        <w:numPr>
          <w:ilvl w:val="2"/>
          <w:numId w:val="4"/>
        </w:numPr>
        <w:spacing w:before="0" w:beforeAutospacing="0" w:after="0" w:afterAutospacing="0" w:line="276" w:lineRule="auto"/>
        <w:rPr>
          <w:rFonts w:asciiTheme="minorHAnsi" w:hAnsiTheme="minorHAnsi" w:cstheme="minorBidi"/>
          <w:sz w:val="22"/>
          <w:szCs w:val="22"/>
        </w:rPr>
      </w:pPr>
      <w:r w:rsidRPr="1D5E8CE5">
        <w:rPr>
          <w:rStyle w:val="cf41"/>
          <w:rFonts w:asciiTheme="minorHAnsi" w:hAnsiTheme="minorHAnsi" w:cstheme="minorBidi"/>
          <w:sz w:val="22"/>
          <w:szCs w:val="22"/>
        </w:rPr>
        <w:t>Indigenous female youth accounted for 49% of all female youth admitted to provincial and territorial corrections systems in 2021-22.</w:t>
      </w:r>
      <w:r w:rsidRPr="1D5E8CE5">
        <w:rPr>
          <w:rStyle w:val="FootnoteReference"/>
          <w:rFonts w:asciiTheme="minorHAnsi" w:hAnsiTheme="minorHAnsi" w:cstheme="minorBidi"/>
          <w:sz w:val="22"/>
          <w:szCs w:val="22"/>
        </w:rPr>
        <w:footnoteReference w:id="51"/>
      </w:r>
    </w:p>
    <w:p w14:paraId="5775DCBA" w14:textId="77777777" w:rsidR="00E53210" w:rsidRPr="00ED32BB" w:rsidRDefault="00E53210" w:rsidP="002115F7">
      <w:pPr>
        <w:pStyle w:val="pf1"/>
        <w:numPr>
          <w:ilvl w:val="1"/>
          <w:numId w:val="4"/>
        </w:numPr>
        <w:spacing w:before="0" w:beforeAutospacing="0" w:after="0" w:afterAutospacing="0" w:line="276" w:lineRule="auto"/>
        <w:rPr>
          <w:rStyle w:val="cf41"/>
          <w:rFonts w:asciiTheme="minorHAnsi" w:hAnsiTheme="minorHAnsi" w:cstheme="minorHAnsi"/>
          <w:sz w:val="22"/>
          <w:szCs w:val="22"/>
        </w:rPr>
      </w:pPr>
      <w:r w:rsidRPr="00ED32BB">
        <w:rPr>
          <w:rStyle w:val="cf41"/>
          <w:rFonts w:asciiTheme="minorHAnsi" w:hAnsiTheme="minorHAnsi" w:cstheme="minorHAnsi"/>
          <w:sz w:val="22"/>
          <w:szCs w:val="22"/>
        </w:rPr>
        <w:t xml:space="preserve">Systemic discrimination against Indigenous women in the </w:t>
      </w:r>
      <w:r w:rsidRPr="00ED32BB">
        <w:rPr>
          <w:rStyle w:val="cf41"/>
          <w:rFonts w:asciiTheme="minorHAnsi" w:hAnsiTheme="minorHAnsi" w:cstheme="minorHAnsi"/>
          <w:b/>
          <w:bCs/>
          <w:sz w:val="22"/>
          <w:szCs w:val="22"/>
        </w:rPr>
        <w:t>child welfare system</w:t>
      </w:r>
      <w:r w:rsidRPr="00ED32BB">
        <w:rPr>
          <w:rStyle w:val="cf41"/>
          <w:rFonts w:asciiTheme="minorHAnsi" w:hAnsiTheme="minorHAnsi" w:cstheme="minorHAnsi"/>
          <w:sz w:val="22"/>
          <w:szCs w:val="22"/>
        </w:rPr>
        <w:t>:</w:t>
      </w:r>
    </w:p>
    <w:p w14:paraId="5FA1B25F" w14:textId="77777777" w:rsidR="00E53210" w:rsidRPr="00ED32BB" w:rsidRDefault="00E53210" w:rsidP="002115F7">
      <w:pPr>
        <w:pStyle w:val="pf1"/>
        <w:numPr>
          <w:ilvl w:val="2"/>
          <w:numId w:val="4"/>
        </w:numPr>
        <w:spacing w:before="0" w:beforeAutospacing="0" w:after="0" w:afterAutospacing="0" w:line="276" w:lineRule="auto"/>
        <w:rPr>
          <w:rStyle w:val="cf41"/>
          <w:rFonts w:asciiTheme="minorHAnsi" w:hAnsiTheme="minorHAnsi" w:cstheme="minorHAnsi"/>
          <w:sz w:val="22"/>
          <w:szCs w:val="22"/>
        </w:rPr>
      </w:pPr>
      <w:r w:rsidRPr="1D5E8CE5">
        <w:rPr>
          <w:rStyle w:val="cf41"/>
          <w:rFonts w:asciiTheme="minorHAnsi" w:hAnsiTheme="minorHAnsi" w:cstheme="minorBidi"/>
          <w:sz w:val="22"/>
          <w:szCs w:val="22"/>
        </w:rPr>
        <w:t>Indigenous children account for 53.8% of children in foster care despite representing only 7.7% of the child population.</w:t>
      </w:r>
      <w:r w:rsidRPr="1D5E8CE5">
        <w:rPr>
          <w:rStyle w:val="FootnoteReference"/>
          <w:rFonts w:asciiTheme="minorHAnsi" w:hAnsiTheme="minorHAnsi" w:cstheme="minorBidi"/>
          <w:sz w:val="22"/>
          <w:szCs w:val="22"/>
        </w:rPr>
        <w:footnoteReference w:id="52"/>
      </w:r>
    </w:p>
    <w:p w14:paraId="5944C871" w14:textId="77777777" w:rsidR="00E53210" w:rsidRPr="00ED32BB" w:rsidRDefault="00E53210" w:rsidP="002115F7">
      <w:pPr>
        <w:pStyle w:val="pf1"/>
        <w:numPr>
          <w:ilvl w:val="1"/>
          <w:numId w:val="4"/>
        </w:numPr>
        <w:spacing w:before="0" w:beforeAutospacing="0" w:after="0" w:afterAutospacing="0" w:line="276" w:lineRule="auto"/>
        <w:rPr>
          <w:rStyle w:val="cf41"/>
          <w:rFonts w:asciiTheme="minorHAnsi" w:hAnsiTheme="minorHAnsi" w:cstheme="minorHAnsi"/>
          <w:sz w:val="22"/>
          <w:szCs w:val="22"/>
        </w:rPr>
      </w:pPr>
      <w:r w:rsidRPr="00ED32BB">
        <w:rPr>
          <w:rStyle w:val="cf41"/>
          <w:rFonts w:asciiTheme="minorHAnsi" w:hAnsiTheme="minorHAnsi" w:cstheme="minorHAnsi"/>
          <w:sz w:val="22"/>
          <w:szCs w:val="22"/>
        </w:rPr>
        <w:t xml:space="preserve">Systemic discrimination against Indigenous women in the </w:t>
      </w:r>
      <w:r w:rsidRPr="00ED32BB">
        <w:rPr>
          <w:rStyle w:val="cf41"/>
          <w:rFonts w:asciiTheme="minorHAnsi" w:hAnsiTheme="minorHAnsi" w:cstheme="minorHAnsi"/>
          <w:b/>
          <w:bCs/>
          <w:sz w:val="22"/>
          <w:szCs w:val="22"/>
        </w:rPr>
        <w:t>labour market</w:t>
      </w:r>
      <w:r w:rsidRPr="00ED32BB">
        <w:rPr>
          <w:rStyle w:val="cf41"/>
          <w:rFonts w:asciiTheme="minorHAnsi" w:hAnsiTheme="minorHAnsi" w:cstheme="minorHAnsi"/>
          <w:sz w:val="22"/>
          <w:szCs w:val="22"/>
        </w:rPr>
        <w:t>:</w:t>
      </w:r>
    </w:p>
    <w:p w14:paraId="3ECA8066" w14:textId="77777777" w:rsidR="00E53210" w:rsidRPr="00ED32BB" w:rsidRDefault="00E53210" w:rsidP="002115F7">
      <w:pPr>
        <w:pStyle w:val="pf1"/>
        <w:numPr>
          <w:ilvl w:val="2"/>
          <w:numId w:val="4"/>
        </w:numPr>
        <w:spacing w:before="0" w:beforeAutospacing="0" w:after="0" w:afterAutospacing="0" w:line="276" w:lineRule="auto"/>
        <w:rPr>
          <w:rStyle w:val="cf81"/>
          <w:rFonts w:asciiTheme="minorHAnsi" w:hAnsiTheme="minorHAnsi" w:cstheme="minorHAnsi"/>
          <w:b w:val="0"/>
          <w:bCs w:val="0"/>
          <w:sz w:val="22"/>
          <w:szCs w:val="22"/>
        </w:rPr>
      </w:pPr>
      <w:r w:rsidRPr="1D5E8CE5">
        <w:rPr>
          <w:rStyle w:val="cf81"/>
          <w:rFonts w:asciiTheme="minorHAnsi" w:hAnsiTheme="minorHAnsi" w:cstheme="minorBidi"/>
          <w:b w:val="0"/>
          <w:bCs w:val="0"/>
          <w:sz w:val="22"/>
          <w:szCs w:val="22"/>
        </w:rPr>
        <w:t xml:space="preserve">The </w:t>
      </w:r>
      <w:r w:rsidRPr="1D5E8CE5">
        <w:rPr>
          <w:rStyle w:val="cf41"/>
          <w:rFonts w:asciiTheme="minorHAnsi" w:hAnsiTheme="minorHAnsi" w:cstheme="minorBidi"/>
          <w:sz w:val="22"/>
          <w:szCs w:val="22"/>
        </w:rPr>
        <w:t>gender</w:t>
      </w:r>
      <w:r w:rsidRPr="1D5E8CE5">
        <w:rPr>
          <w:rStyle w:val="cf81"/>
          <w:rFonts w:asciiTheme="minorHAnsi" w:hAnsiTheme="minorHAnsi" w:cstheme="minorBidi"/>
          <w:sz w:val="22"/>
          <w:szCs w:val="22"/>
        </w:rPr>
        <w:t xml:space="preserve"> </w:t>
      </w:r>
      <w:r w:rsidRPr="1D5E8CE5">
        <w:rPr>
          <w:rStyle w:val="cf81"/>
          <w:rFonts w:asciiTheme="minorHAnsi" w:hAnsiTheme="minorHAnsi" w:cstheme="minorBidi"/>
          <w:b w:val="0"/>
          <w:bCs w:val="0"/>
          <w:sz w:val="22"/>
          <w:szCs w:val="22"/>
        </w:rPr>
        <w:t>wage gap for Indigenous women is more than two times the wage gap for Canadian born women – Indigenous women earn 20% less than Canadian-born men, compared to Canadian-born women who earn 9.2% less.</w:t>
      </w:r>
      <w:r w:rsidRPr="1D5E8CE5">
        <w:rPr>
          <w:rStyle w:val="FootnoteReference"/>
          <w:rFonts w:asciiTheme="minorHAnsi" w:hAnsiTheme="minorHAnsi" w:cstheme="minorBidi"/>
          <w:b/>
          <w:bCs/>
          <w:sz w:val="22"/>
          <w:szCs w:val="22"/>
        </w:rPr>
        <w:footnoteReference w:id="53"/>
      </w:r>
    </w:p>
    <w:p w14:paraId="1860637A" w14:textId="38CBA31E" w:rsidR="0030770B" w:rsidRPr="007D72BD" w:rsidRDefault="0030770B" w:rsidP="00AB5E60">
      <w:pPr>
        <w:spacing w:line="276" w:lineRule="auto"/>
        <w:rPr>
          <w:rStyle w:val="ui-provider"/>
          <w:sz w:val="22"/>
        </w:rPr>
      </w:pPr>
    </w:p>
    <w:sectPr w:rsidR="0030770B" w:rsidRPr="007D72BD" w:rsidSect="000B4E17">
      <w:headerReference w:type="default" r:id="rId22"/>
      <w:footerReference w:type="default" r:id="rId23"/>
      <w:pgSz w:w="12240" w:h="15840"/>
      <w:pgMar w:top="1361" w:right="1361" w:bottom="1361" w:left="1361" w:header="284"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46FD9" w14:textId="77777777" w:rsidR="00587E20" w:rsidRDefault="00587E20" w:rsidP="00C810D2">
      <w:r>
        <w:separator/>
      </w:r>
    </w:p>
  </w:endnote>
  <w:endnote w:type="continuationSeparator" w:id="0">
    <w:p w14:paraId="0B533732" w14:textId="77777777" w:rsidR="00587E20" w:rsidRDefault="00587E20" w:rsidP="00C810D2">
      <w:r>
        <w:continuationSeparator/>
      </w:r>
    </w:p>
  </w:endnote>
  <w:endnote w:type="continuationNotice" w:id="1">
    <w:p w14:paraId="4D480609" w14:textId="77777777" w:rsidR="00587E20" w:rsidRDefault="00587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LT Pro Light">
    <w:altName w:val="Calibri"/>
    <w:panose1 w:val="020B0402020204020303"/>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87358466"/>
      <w:docPartObj>
        <w:docPartGallery w:val="Page Numbers (Bottom of Page)"/>
        <w:docPartUnique/>
      </w:docPartObj>
    </w:sdtPr>
    <w:sdtEndPr>
      <w:rPr>
        <w:rStyle w:val="PageNumber"/>
      </w:rPr>
    </w:sdtEndPr>
    <w:sdtContent>
      <w:p w14:paraId="35547967" w14:textId="77777777" w:rsidR="00BF68C9" w:rsidRDefault="00BF68C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C22A7B" w14:textId="77777777" w:rsidR="005D522B" w:rsidRDefault="005D52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EF58E" w14:textId="77777777" w:rsidR="0048767E" w:rsidRPr="0064382D" w:rsidRDefault="00FF2BDF" w:rsidP="00D23280">
    <w:pPr>
      <w:pStyle w:val="NoSpacing"/>
      <w:ind w:left="-567" w:right="-376"/>
      <w:jc w:val="center"/>
      <w:rPr>
        <w:color w:val="FFFFFF" w:themeColor="background1"/>
        <w:sz w:val="20"/>
        <w:szCs w:val="20"/>
      </w:rPr>
    </w:pPr>
    <w:r w:rsidRPr="00D938BF">
      <w:rPr>
        <w:b/>
        <w:noProof/>
        <w:color w:val="FFFFFF" w:themeColor="background1"/>
        <w:sz w:val="20"/>
        <w:szCs w:val="20"/>
      </w:rPr>
      <w:drawing>
        <wp:anchor distT="0" distB="0" distL="114300" distR="114300" simplePos="0" relativeHeight="251658242" behindDoc="1" locked="0" layoutInCell="1" allowOverlap="1" wp14:anchorId="75248401" wp14:editId="14E915B3">
          <wp:simplePos x="0" y="0"/>
          <wp:positionH relativeFrom="margin">
            <wp:posOffset>-914400</wp:posOffset>
          </wp:positionH>
          <wp:positionV relativeFrom="page">
            <wp:posOffset>9192895</wp:posOffset>
          </wp:positionV>
          <wp:extent cx="7772400" cy="481965"/>
          <wp:effectExtent l="0" t="0" r="0" b="635"/>
          <wp:wrapTight wrapText="bothSides">
            <wp:wrapPolygon edited="0">
              <wp:start x="0" y="0"/>
              <wp:lineTo x="0" y="21059"/>
              <wp:lineTo x="21565" y="21059"/>
              <wp:lineTo x="2156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 Header v2 _ 2b.jpg"/>
                  <pic:cNvPicPr/>
                </pic:nvPicPr>
                <pic:blipFill>
                  <a:blip r:embed="rId1">
                    <a:extLst>
                      <a:ext uri="{28A0092B-C50C-407E-A947-70E740481C1C}">
                        <a14:useLocalDpi xmlns:a14="http://schemas.microsoft.com/office/drawing/2010/main" val="0"/>
                      </a:ext>
                    </a:extLst>
                  </a:blip>
                  <a:stretch>
                    <a:fillRect/>
                  </a:stretch>
                </pic:blipFill>
                <pic:spPr>
                  <a:xfrm>
                    <a:off x="0" y="0"/>
                    <a:ext cx="7772400" cy="481965"/>
                  </a:xfrm>
                  <a:prstGeom prst="rect">
                    <a:avLst/>
                  </a:prstGeom>
                </pic:spPr>
              </pic:pic>
            </a:graphicData>
          </a:graphic>
          <wp14:sizeRelH relativeFrom="page">
            <wp14:pctWidth>0</wp14:pctWidth>
          </wp14:sizeRelH>
          <wp14:sizeRelV relativeFrom="page">
            <wp14:pctHeight>0</wp14:pctHeight>
          </wp14:sizeRelV>
        </wp:anchor>
      </w:drawing>
    </w:r>
    <w:r>
      <w:rPr>
        <w:b/>
        <w:noProof/>
        <w:color w:val="FFFFFF" w:themeColor="background1"/>
        <w:sz w:val="20"/>
        <w:szCs w:val="20"/>
      </w:rPr>
      <mc:AlternateContent>
        <mc:Choice Requires="wps">
          <w:drawing>
            <wp:anchor distT="0" distB="0" distL="114300" distR="114300" simplePos="0" relativeHeight="251658241" behindDoc="1" locked="0" layoutInCell="1" allowOverlap="1" wp14:anchorId="4CF226E7" wp14:editId="00CB5293">
              <wp:simplePos x="0" y="0"/>
              <wp:positionH relativeFrom="column">
                <wp:posOffset>-914400</wp:posOffset>
              </wp:positionH>
              <wp:positionV relativeFrom="page">
                <wp:posOffset>9192895</wp:posOffset>
              </wp:positionV>
              <wp:extent cx="7772400" cy="867410"/>
              <wp:effectExtent l="0" t="0" r="0" b="0"/>
              <wp:wrapNone/>
              <wp:docPr id="12" name="Rectangle 12"/>
              <wp:cNvGraphicFramePr/>
              <a:graphic xmlns:a="http://schemas.openxmlformats.org/drawingml/2006/main">
                <a:graphicData uri="http://schemas.microsoft.com/office/word/2010/wordprocessingShape">
                  <wps:wsp>
                    <wps:cNvSpPr/>
                    <wps:spPr>
                      <a:xfrm>
                        <a:off x="0" y="0"/>
                        <a:ext cx="7772400" cy="867410"/>
                      </a:xfrm>
                      <a:prstGeom prst="rect">
                        <a:avLst/>
                      </a:prstGeom>
                      <a:solidFill>
                        <a:srgbClr val="4F546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7FE02" id="Rectangle 12" o:spid="_x0000_s1026" style="position:absolute;margin-left:-1in;margin-top:723.85pt;width:612pt;height:68.3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" fillcolor="#4f5469" stroked="f" strokeweight="2pt">
              <w10:wrap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49410" w14:textId="77777777" w:rsidR="00C810D2" w:rsidRPr="0064382D" w:rsidRDefault="00B91BCC" w:rsidP="00DF0B47">
    <w:pPr>
      <w:pStyle w:val="NoSpacing"/>
      <w:ind w:left="-567" w:right="-376"/>
      <w:jc w:val="center"/>
      <w:rPr>
        <w:color w:val="7F7F7F" w:themeColor="text1" w:themeTint="80"/>
        <w:sz w:val="20"/>
        <w:szCs w:val="20"/>
      </w:rPr>
    </w:pPr>
    <w:r w:rsidRPr="00D938BF">
      <w:rPr>
        <w:b/>
        <w:noProof/>
        <w:color w:val="FFFFFF" w:themeColor="background1"/>
        <w:sz w:val="20"/>
        <w:szCs w:val="20"/>
      </w:rPr>
      <w:drawing>
        <wp:anchor distT="0" distB="0" distL="114300" distR="114300" simplePos="0" relativeHeight="251658246" behindDoc="0" locked="0" layoutInCell="1" allowOverlap="1" wp14:anchorId="7384C690" wp14:editId="47C26854">
          <wp:simplePos x="0" y="0"/>
          <wp:positionH relativeFrom="page">
            <wp:align>right</wp:align>
          </wp:positionH>
          <wp:positionV relativeFrom="bottomMargin">
            <wp:posOffset>50165</wp:posOffset>
          </wp:positionV>
          <wp:extent cx="7772400" cy="4819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 Header v2 _ 2b.jpg"/>
                  <pic:cNvPicPr/>
                </pic:nvPicPr>
                <pic:blipFill>
                  <a:blip r:embed="rId1">
                    <a:extLst>
                      <a:ext uri="{28A0092B-C50C-407E-A947-70E740481C1C}">
                        <a14:useLocalDpi xmlns:a14="http://schemas.microsoft.com/office/drawing/2010/main" val="0"/>
                      </a:ext>
                    </a:extLst>
                  </a:blip>
                  <a:stretch>
                    <a:fillRect/>
                  </a:stretch>
                </pic:blipFill>
                <pic:spPr>
                  <a:xfrm>
                    <a:off x="0" y="0"/>
                    <a:ext cx="7772400" cy="481965"/>
                  </a:xfrm>
                  <a:prstGeom prst="rect">
                    <a:avLst/>
                  </a:prstGeom>
                </pic:spPr>
              </pic:pic>
            </a:graphicData>
          </a:graphic>
          <wp14:sizeRelH relativeFrom="page">
            <wp14:pctWidth>0</wp14:pctWidth>
          </wp14:sizeRelH>
          <wp14:sizeRelV relativeFrom="page">
            <wp14:pctHeight>0</wp14:pctHeight>
          </wp14:sizeRelV>
        </wp:anchor>
      </w:drawing>
    </w:r>
    <w:r>
      <w:rPr>
        <w:b/>
        <w:noProof/>
        <w:color w:val="FFFFFF" w:themeColor="background1"/>
        <w:sz w:val="20"/>
        <w:szCs w:val="20"/>
      </w:rPr>
      <w:drawing>
        <wp:anchor distT="0" distB="0" distL="114300" distR="114300" simplePos="0" relativeHeight="251658248" behindDoc="0" locked="0" layoutInCell="1" allowOverlap="1" wp14:anchorId="082930DE" wp14:editId="2F4459AA">
          <wp:simplePos x="0" y="0"/>
          <wp:positionH relativeFrom="page">
            <wp:posOffset>0</wp:posOffset>
          </wp:positionH>
          <wp:positionV relativeFrom="bottomMargin">
            <wp:posOffset>-411175</wp:posOffset>
          </wp:positionV>
          <wp:extent cx="7772400" cy="450215"/>
          <wp:effectExtent l="0" t="0" r="0"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
                    <a:extLst>
                      <a:ext uri="{28A0092B-C50C-407E-A947-70E740481C1C}">
                        <a14:useLocalDpi xmlns:a14="http://schemas.microsoft.com/office/drawing/2010/main" val="0"/>
                      </a:ext>
                    </a:extLst>
                  </a:blip>
                  <a:stretch>
                    <a:fillRect/>
                  </a:stretch>
                </pic:blipFill>
                <pic:spPr>
                  <a:xfrm>
                    <a:off x="0" y="0"/>
                    <a:ext cx="7772400" cy="450215"/>
                  </a:xfrm>
                  <a:prstGeom prst="rect">
                    <a:avLst/>
                  </a:prstGeom>
                </pic:spPr>
              </pic:pic>
            </a:graphicData>
          </a:graphic>
          <wp14:sizeRelH relativeFrom="page">
            <wp14:pctWidth>0</wp14:pctWidth>
          </wp14:sizeRelH>
          <wp14:sizeRelV relativeFrom="page">
            <wp14:pctHeight>0</wp14:pctHeight>
          </wp14:sizeRelV>
        </wp:anchor>
      </w:drawing>
    </w:r>
    <w:r>
      <w:rPr>
        <w:b/>
        <w:noProof/>
        <w:color w:val="FFFFFF" w:themeColor="background1"/>
        <w:sz w:val="20"/>
        <w:szCs w:val="20"/>
      </w:rPr>
      <mc:AlternateContent>
        <mc:Choice Requires="wps">
          <w:drawing>
            <wp:anchor distT="0" distB="0" distL="114300" distR="114300" simplePos="0" relativeHeight="251658243" behindDoc="1" locked="0" layoutInCell="1" allowOverlap="1" wp14:anchorId="6C309E41" wp14:editId="2034191A">
              <wp:simplePos x="0" y="0"/>
              <wp:positionH relativeFrom="page">
                <wp:align>left</wp:align>
              </wp:positionH>
              <wp:positionV relativeFrom="page">
                <wp:align>bottom</wp:align>
              </wp:positionV>
              <wp:extent cx="7772400" cy="1360678"/>
              <wp:effectExtent l="0" t="0" r="0" b="0"/>
              <wp:wrapNone/>
              <wp:docPr id="15" name="Rectangle 15"/>
              <wp:cNvGraphicFramePr/>
              <a:graphic xmlns:a="http://schemas.openxmlformats.org/drawingml/2006/main">
                <a:graphicData uri="http://schemas.microsoft.com/office/word/2010/wordprocessingShape">
                  <wps:wsp>
                    <wps:cNvSpPr/>
                    <wps:spPr>
                      <a:xfrm>
                        <a:off x="0" y="0"/>
                        <a:ext cx="7772400" cy="1360678"/>
                      </a:xfrm>
                      <a:prstGeom prst="rect">
                        <a:avLst/>
                      </a:prstGeom>
                      <a:solidFill>
                        <a:srgbClr val="4F546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E4E55" id="Rectangle 15" o:spid="_x0000_s1026" style="position:absolute;margin-left:0;margin-top:0;width:612pt;height:107.15pt;z-index:-251658237;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" fillcolor="#4f5469" stroked="f" strokeweight="2pt">
              <w10:wrap anchorx="page" anchory="page"/>
            </v:rect>
          </w:pict>
        </mc:Fallback>
      </mc:AlternateContent>
    </w:r>
    <w:r w:rsidR="00FF2BDF" w:rsidRPr="002645C7">
      <w:rPr>
        <w:noProof/>
        <w:sz w:val="20"/>
        <w:szCs w:val="20"/>
      </w:rPr>
      <w:drawing>
        <wp:anchor distT="0" distB="0" distL="114300" distR="114300" simplePos="0" relativeHeight="251658247" behindDoc="0" locked="0" layoutInCell="1" allowOverlap="1" wp14:anchorId="09B3CD18" wp14:editId="51CFD29B">
          <wp:simplePos x="0" y="0"/>
          <wp:positionH relativeFrom="column">
            <wp:posOffset>-914400</wp:posOffset>
          </wp:positionH>
          <wp:positionV relativeFrom="page">
            <wp:posOffset>6687548</wp:posOffset>
          </wp:positionV>
          <wp:extent cx="7772400" cy="2031365"/>
          <wp:effectExtent l="0" t="0" r="0" b="635"/>
          <wp:wrapSquare wrapText="bothSides"/>
          <wp:docPr id="18" name="Picture 18" descr="A picture containing building, window, ru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Header v2 _ 2a.jpg"/>
                  <pic:cNvPicPr/>
                </pic:nvPicPr>
                <pic:blipFill>
                  <a:blip r:embed="rId3">
                    <a:extLst>
                      <a:ext uri="{28A0092B-C50C-407E-A947-70E740481C1C}">
                        <a14:useLocalDpi xmlns:a14="http://schemas.microsoft.com/office/drawing/2010/main" val="0"/>
                      </a:ext>
                    </a:extLst>
                  </a:blip>
                  <a:stretch>
                    <a:fillRect/>
                  </a:stretch>
                </pic:blipFill>
                <pic:spPr>
                  <a:xfrm>
                    <a:off x="0" y="0"/>
                    <a:ext cx="7772400" cy="2031365"/>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C861E" w14:textId="43CA1608" w:rsidR="005D522B" w:rsidRPr="009C7285" w:rsidRDefault="003D760D" w:rsidP="003D760D">
    <w:pPr>
      <w:jc w:val="center"/>
      <w:rPr>
        <w:noProof/>
        <w:sz w:val="22"/>
        <w:szCs w:val="20"/>
      </w:rPr>
    </w:pPr>
    <w:r w:rsidRPr="009C7285">
      <w:rPr>
        <w:sz w:val="22"/>
        <w:szCs w:val="20"/>
      </w:rPr>
      <w:fldChar w:fldCharType="begin"/>
    </w:r>
    <w:r w:rsidRPr="009C7285">
      <w:rPr>
        <w:sz w:val="22"/>
        <w:szCs w:val="20"/>
      </w:rPr>
      <w:instrText xml:space="preserve"> PAGE   \* MERGEFORMAT </w:instrText>
    </w:r>
    <w:r w:rsidRPr="009C7285">
      <w:rPr>
        <w:sz w:val="22"/>
        <w:szCs w:val="20"/>
      </w:rPr>
      <w:fldChar w:fldCharType="separate"/>
    </w:r>
    <w:r w:rsidRPr="009C7285">
      <w:rPr>
        <w:noProof/>
        <w:sz w:val="22"/>
        <w:szCs w:val="20"/>
      </w:rPr>
      <w:t>1</w:t>
    </w:r>
    <w:r w:rsidRPr="009C7285">
      <w:rPr>
        <w:noProof/>
        <w:sz w:val="22"/>
        <w:szCs w:val="20"/>
      </w:rPr>
      <w:fldChar w:fldCharType="end"/>
    </w:r>
  </w:p>
  <w:p w14:paraId="5C0906A4" w14:textId="77777777" w:rsidR="003D760D" w:rsidRPr="003D760D" w:rsidRDefault="003D760D" w:rsidP="003D760D">
    <w:pPr>
      <w:pStyle w:val="NoSpac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10FA1" w14:textId="77777777" w:rsidR="00587E20" w:rsidRDefault="00587E20" w:rsidP="00C810D2">
      <w:r>
        <w:separator/>
      </w:r>
    </w:p>
  </w:footnote>
  <w:footnote w:type="continuationSeparator" w:id="0">
    <w:p w14:paraId="53075F90" w14:textId="77777777" w:rsidR="00587E20" w:rsidRDefault="00587E20" w:rsidP="00C810D2">
      <w:r>
        <w:continuationSeparator/>
      </w:r>
    </w:p>
  </w:footnote>
  <w:footnote w:type="continuationNotice" w:id="1">
    <w:p w14:paraId="163132B4" w14:textId="77777777" w:rsidR="00587E20" w:rsidRDefault="00587E20"/>
  </w:footnote>
  <w:footnote w:id="2">
    <w:p w14:paraId="0D06757B" w14:textId="5029B95F" w:rsidR="1D5E8CE5" w:rsidRDefault="009525CE" w:rsidP="00CB6683">
      <w:pPr>
        <w:pStyle w:val="FootnoteText"/>
      </w:pPr>
      <w:r>
        <w:rPr>
          <w:rStyle w:val="FootnoteReference"/>
        </w:rPr>
        <w:footnoteRef/>
      </w:r>
      <w:r w:rsidR="668BDA00">
        <w:t xml:space="preserve"> The Special Rapporteur on the Rights of Indigenous Peoples’s 2023 visit to Canada report recommended Canada “</w:t>
      </w:r>
      <w:r w:rsidR="668BDA00" w:rsidRPr="009D04F3">
        <w:t xml:space="preserve">Set up an independent Indigenous-led human rights mechanism </w:t>
      </w:r>
      <w:r w:rsidR="00D0030B">
        <w:t>…</w:t>
      </w:r>
      <w:r w:rsidR="668BDA00" w:rsidRPr="009D04F3">
        <w:t>to monitor and enforce the implementation by Canada of the United Nations Declaration on the Rights of Indigenous Peoples and the United Nations Declaration on the Rights of Indigenous Peoples Act</w:t>
      </w:r>
      <w:r w:rsidR="668BDA00">
        <w:t>”</w:t>
      </w:r>
      <w:r w:rsidR="668BDA00" w:rsidRPr="009D04F3">
        <w:t xml:space="preserve"> </w:t>
      </w:r>
      <w:r w:rsidR="668BDA00">
        <w:t>(</w:t>
      </w:r>
      <w:r w:rsidR="668BDA00" w:rsidRPr="00787C1D">
        <w:t>A/HRC/54/31/Add.2</w:t>
      </w:r>
      <w:r w:rsidR="668BDA00">
        <w:t>)</w:t>
      </w:r>
      <w:r w:rsidR="009E7CF3">
        <w:t xml:space="preserve">; The </w:t>
      </w:r>
      <w:r w:rsidR="00CB6683">
        <w:t>National Inquiry into MMIWG also called for an</w:t>
      </w:r>
      <w:r w:rsidR="1D5E8CE5">
        <w:t xml:space="preserve"> independent Indigenous-led human rights mechanism (</w:t>
      </w:r>
      <w:hyperlink r:id="rId1" w:anchor="chp3" w:history="1">
        <w:r w:rsidR="1D5E8CE5" w:rsidRPr="009629FB">
          <w:rPr>
            <w:rStyle w:val="Hyperlink"/>
          </w:rPr>
          <w:t>Call for Justice 1.7</w:t>
        </w:r>
      </w:hyperlink>
      <w:r w:rsidR="1D5E8CE5">
        <w:t>)</w:t>
      </w:r>
    </w:p>
  </w:footnote>
  <w:footnote w:id="3">
    <w:p w14:paraId="54AE9A2E" w14:textId="77777777" w:rsidR="00104671" w:rsidRPr="000A3EBF" w:rsidRDefault="00104671" w:rsidP="00104671">
      <w:pPr>
        <w:pStyle w:val="Default"/>
      </w:pPr>
      <w:r w:rsidRPr="000B7CFD">
        <w:rPr>
          <w:rStyle w:val="FootnoteReference"/>
          <w:rFonts w:asciiTheme="minorHAnsi" w:hAnsiTheme="minorHAnsi" w:cstheme="minorHAnsi"/>
          <w:sz w:val="20"/>
          <w:szCs w:val="20"/>
        </w:rPr>
        <w:footnoteRef/>
      </w:r>
      <w:r w:rsidRPr="000B7CFD">
        <w:rPr>
          <w:rFonts w:asciiTheme="minorHAnsi" w:hAnsiTheme="minorHAnsi" w:cstheme="minorHAnsi"/>
          <w:sz w:val="20"/>
          <w:szCs w:val="20"/>
        </w:rPr>
        <w:t xml:space="preserve"> Nation to Nation/Distinctions-Based PLUS is an inclusive approach to relationship building with Indigenous Peoples and addressing matters impacting our rights and self-determination. It recognizes that many Indigenous Peoples, particularly Indigenous women and Indigenous Peoples living outside of their home community, are excluded from the First Nation, Métis, and Inuit governance structures that represent Indigenous Peoples affiliated with specific lands and territory. Nation to Nation/</w:t>
      </w:r>
      <w:r w:rsidRPr="000B7CFD">
        <w:rPr>
          <w:sz w:val="20"/>
          <w:szCs w:val="20"/>
        </w:rPr>
        <w:t xml:space="preserve"> Distinctions-Based PLUS goes beyond these governing organizations to include organizations that amplify, and are accountable to, the voices of Indigenous women and the growing population of Indigenous Peoples living in urban, rural and remote areas outside of government defined First Nation, Métis and Inuit territory.</w:t>
      </w:r>
      <w:r w:rsidRPr="007969DE">
        <w:rPr>
          <w:sz w:val="18"/>
          <w:szCs w:val="18"/>
        </w:rPr>
        <w:t xml:space="preserve"> </w:t>
      </w:r>
    </w:p>
  </w:footnote>
  <w:footnote w:id="4">
    <w:p w14:paraId="502CE57D" w14:textId="2C8DF6BE" w:rsidR="009310FB" w:rsidRPr="005D430B" w:rsidRDefault="009310FB" w:rsidP="009310FB">
      <w:pPr>
        <w:pStyle w:val="FootnoteText"/>
      </w:pPr>
      <w:r>
        <w:rPr>
          <w:rStyle w:val="FootnoteReference"/>
        </w:rPr>
        <w:footnoteRef/>
      </w:r>
      <w:r w:rsidRPr="005D430B">
        <w:t xml:space="preserve"> </w:t>
      </w:r>
      <w:r>
        <w:t>See</w:t>
      </w:r>
      <w:r w:rsidR="00E5231B">
        <w:t>:</w:t>
      </w:r>
      <w:r>
        <w:t xml:space="preserve"> </w:t>
      </w:r>
      <w:hyperlink r:id="rId2" w:history="1">
        <w:r w:rsidRPr="005D430B">
          <w:rPr>
            <w:rStyle w:val="Hyperlink"/>
          </w:rPr>
          <w:t>CEDAW/C/OP.8/CAN/1</w:t>
        </w:r>
      </w:hyperlink>
      <w:r w:rsidRPr="005D430B">
        <w:t xml:space="preserve">, para C.1; </w:t>
      </w:r>
      <w:hyperlink r:id="rId3" w:history="1">
        <w:r w:rsidRPr="00E260BA">
          <w:rPr>
            <w:rStyle w:val="Hyperlink"/>
          </w:rPr>
          <w:t>CEDAW/C/CAN/CO/8-9</w:t>
        </w:r>
      </w:hyperlink>
      <w:r>
        <w:t xml:space="preserve">; the </w:t>
      </w:r>
      <w:hyperlink r:id="rId4" w:history="1">
        <w:r w:rsidRPr="000B7CFD">
          <w:rPr>
            <w:rStyle w:val="Hyperlink"/>
          </w:rPr>
          <w:t>Report of the Working Group on the Universal Periodic Review – Canada</w:t>
        </w:r>
      </w:hyperlink>
      <w:r w:rsidRPr="000B7CFD">
        <w:t>, December 2023, (A/HRC/55/12)</w:t>
      </w:r>
      <w:r>
        <w:t xml:space="preserve">; the </w:t>
      </w:r>
      <w:hyperlink r:id="rId5" w:history="1">
        <w:r w:rsidRPr="000B7CFD">
          <w:rPr>
            <w:rStyle w:val="Hyperlink"/>
          </w:rPr>
          <w:t>Report of the Special Rapporteur on the rights of Indigenous Peoples, José Francisco Calí Tzay. Visit to Canada. A/HRC/54/31/Add.2, para</w:t>
        </w:r>
        <w:r>
          <w:rPr>
            <w:rStyle w:val="Hyperlink"/>
          </w:rPr>
          <w:t xml:space="preserve">. </w:t>
        </w:r>
        <w:r w:rsidRPr="000B7CFD">
          <w:rPr>
            <w:rStyle w:val="Hyperlink"/>
          </w:rPr>
          <w:t>87.</w:t>
        </w:r>
      </w:hyperlink>
      <w:r w:rsidRPr="000B7CFD">
        <w:t xml:space="preserve"> </w:t>
      </w:r>
    </w:p>
  </w:footnote>
  <w:footnote w:id="5">
    <w:p w14:paraId="136F5B00" w14:textId="62D257DF" w:rsidR="00E8317A" w:rsidRPr="00E8317A" w:rsidRDefault="00E8317A">
      <w:pPr>
        <w:pStyle w:val="FootnoteText"/>
      </w:pPr>
      <w:r>
        <w:rPr>
          <w:rStyle w:val="FootnoteReference"/>
        </w:rPr>
        <w:footnoteRef/>
      </w:r>
      <w:r>
        <w:t xml:space="preserve"> Canada consistently and regularly uses federalism as an excuse for inaction. See, Canada’s </w:t>
      </w:r>
      <w:r w:rsidR="00C031DC" w:rsidRPr="004B0AC3">
        <w:t>response to recommendations made during its fourth Universal Periodic Review</w:t>
      </w:r>
      <w:r w:rsidR="00A84CD9">
        <w:t xml:space="preserve">: </w:t>
      </w:r>
      <w:r w:rsidRPr="000B7CFD">
        <w:t xml:space="preserve">March 2024, A/HRC/55/12/Add.1  </w:t>
      </w:r>
    </w:p>
  </w:footnote>
  <w:footnote w:id="6">
    <w:p w14:paraId="1EDEC415" w14:textId="1A372D54" w:rsidR="00CC684E" w:rsidRPr="008145B3" w:rsidRDefault="00CC684E" w:rsidP="009C4DD2">
      <w:pPr>
        <w:outlineLvl w:val="3"/>
        <w:rPr>
          <w:rFonts w:ascii="Roboto" w:eastAsia="Times New Roman" w:hAnsi="Roboto" w:cs="Times New Roman"/>
          <w:szCs w:val="24"/>
          <w:lang w:eastAsia="en-CA"/>
        </w:rPr>
      </w:pPr>
      <w:r>
        <w:rPr>
          <w:rStyle w:val="FootnoteReference"/>
        </w:rPr>
        <w:footnoteRef/>
      </w:r>
      <w:r>
        <w:t xml:space="preserve"> </w:t>
      </w:r>
      <w:r w:rsidRPr="00CA4714">
        <w:rPr>
          <w:rFonts w:ascii="Calibri" w:hAnsi="Calibri" w:cs="Calibri"/>
          <w:sz w:val="20"/>
          <w:szCs w:val="20"/>
        </w:rPr>
        <w:t xml:space="preserve">CEDAW/C/GC/28; paragraph 39 states (emphasis added): “… </w:t>
      </w:r>
      <w:r w:rsidRPr="00CA4714">
        <w:rPr>
          <w:rFonts w:ascii="Calibri" w:hAnsi="Calibri" w:cs="Calibri"/>
          <w:b/>
          <w:bCs/>
          <w:sz w:val="20"/>
          <w:szCs w:val="20"/>
        </w:rPr>
        <w:t>The decentralization of power</w:t>
      </w:r>
      <w:r w:rsidRPr="00CA4714">
        <w:rPr>
          <w:rFonts w:ascii="Calibri" w:hAnsi="Calibri" w:cs="Calibri"/>
          <w:sz w:val="20"/>
          <w:szCs w:val="20"/>
        </w:rPr>
        <w:t xml:space="preserve">, through devolution and delegation of Government powers in both unitary and federal States, </w:t>
      </w:r>
      <w:r w:rsidRPr="00CA4714">
        <w:rPr>
          <w:rFonts w:ascii="Calibri" w:hAnsi="Calibri" w:cs="Calibri"/>
          <w:b/>
          <w:bCs/>
          <w:sz w:val="20"/>
          <w:szCs w:val="20"/>
        </w:rPr>
        <w:t>does not in any way negate or reduce the direct responsibility of the State party’s national or federal Government to fulfil its obligations to all women within its jurisdiction</w:t>
      </w:r>
      <w:r w:rsidRPr="00CA4714">
        <w:rPr>
          <w:rFonts w:ascii="Calibri" w:hAnsi="Calibri" w:cs="Calibri"/>
          <w:sz w:val="20"/>
          <w:szCs w:val="20"/>
        </w:rPr>
        <w:t>. In all circumstances, the State party that ratified or acceded to the Convention remains responsible for ensuring full implementation throughout the territories under its jurisdiction</w:t>
      </w:r>
      <w:r w:rsidR="000267B0">
        <w:rPr>
          <w:rFonts w:ascii="Calibri" w:hAnsi="Calibri" w:cs="Calibri"/>
          <w:sz w:val="20"/>
          <w:szCs w:val="20"/>
        </w:rPr>
        <w:t>”</w:t>
      </w:r>
    </w:p>
  </w:footnote>
  <w:footnote w:id="7">
    <w:p w14:paraId="690DE0DD" w14:textId="5ED50EB6" w:rsidR="00377268" w:rsidRPr="00377268" w:rsidRDefault="00377268">
      <w:pPr>
        <w:pStyle w:val="FootnoteText"/>
      </w:pPr>
      <w:r>
        <w:rPr>
          <w:rStyle w:val="FootnoteReference"/>
        </w:rPr>
        <w:footnoteRef/>
      </w:r>
      <w:r>
        <w:t xml:space="preserve"> See paragraph 9 of the Committee’s concluding observations </w:t>
      </w:r>
      <w:r w:rsidR="009B05A4">
        <w:t>under Canada’s 8</w:t>
      </w:r>
      <w:r w:rsidR="009B05A4" w:rsidRPr="009B05A4">
        <w:rPr>
          <w:vertAlign w:val="superscript"/>
        </w:rPr>
        <w:t>th</w:t>
      </w:r>
      <w:r w:rsidR="009B05A4">
        <w:t xml:space="preserve"> and 9</w:t>
      </w:r>
      <w:r w:rsidR="009B05A4" w:rsidRPr="009B05A4">
        <w:rPr>
          <w:vertAlign w:val="superscript"/>
        </w:rPr>
        <w:t>th</w:t>
      </w:r>
      <w:r w:rsidR="009B05A4">
        <w:t xml:space="preserve"> review:</w:t>
      </w:r>
      <w:r>
        <w:t xml:space="preserve"> </w:t>
      </w:r>
      <w:r w:rsidRPr="002B63A5">
        <w:rPr>
          <w:rFonts w:ascii="Calibri" w:hAnsi="Calibri" w:cs="Calibri"/>
          <w:sz w:val="22"/>
          <w:szCs w:val="22"/>
        </w:rPr>
        <w:t>CEDAW/C/CAN/CO/8-9, para. 9</w:t>
      </w:r>
    </w:p>
  </w:footnote>
  <w:footnote w:id="8">
    <w:p w14:paraId="63151711" w14:textId="3A81E88B" w:rsidR="00CC684E" w:rsidRPr="008145B3" w:rsidRDefault="00CC684E" w:rsidP="00CC684E">
      <w:pPr>
        <w:pStyle w:val="FootnoteText"/>
        <w:rPr>
          <w:lang w:val="en-US"/>
        </w:rPr>
      </w:pPr>
      <w:r>
        <w:rPr>
          <w:rStyle w:val="FootnoteReference"/>
        </w:rPr>
        <w:footnoteRef/>
      </w:r>
      <w:r>
        <w:t xml:space="preserve"> </w:t>
      </w:r>
      <w:r>
        <w:rPr>
          <w:rFonts w:ascii="Calibri" w:hAnsi="Calibri" w:cs="Calibri"/>
        </w:rPr>
        <w:t>Canada stat</w:t>
      </w:r>
      <w:r w:rsidR="00A34763">
        <w:rPr>
          <w:rFonts w:ascii="Calibri" w:hAnsi="Calibri" w:cs="Calibri"/>
        </w:rPr>
        <w:t>e</w:t>
      </w:r>
      <w:r>
        <w:rPr>
          <w:rFonts w:ascii="Calibri" w:hAnsi="Calibri" w:cs="Calibri"/>
        </w:rPr>
        <w:t>s in its tenth periodic report to CEDAW (emphasis added): “</w:t>
      </w:r>
      <w:r w:rsidRPr="00CA4714">
        <w:rPr>
          <w:rFonts w:ascii="Calibri" w:hAnsi="Calibri" w:cs="Calibri"/>
        </w:rPr>
        <w:t xml:space="preserve">Achieving gender equality and realizing the </w:t>
      </w:r>
      <w:r w:rsidRPr="00633802">
        <w:rPr>
          <w:rFonts w:ascii="Calibri" w:hAnsi="Calibri" w:cs="Calibri"/>
          <w:b/>
          <w:bCs/>
        </w:rPr>
        <w:t>commitments under the Convention are not solely the responsibility of the federal government</w:t>
      </w:r>
      <w:r w:rsidRPr="00CA4714">
        <w:rPr>
          <w:rFonts w:ascii="Calibri" w:hAnsi="Calibri" w:cs="Calibri"/>
        </w:rPr>
        <w:t>.” (CEDAW/C/CAN/10</w:t>
      </w:r>
      <w:r>
        <w:rPr>
          <w:rFonts w:ascii="Calibri" w:hAnsi="Calibri" w:cs="Calibri"/>
        </w:rPr>
        <w:t xml:space="preserve">, </w:t>
      </w:r>
      <w:r w:rsidRPr="00CA4714">
        <w:rPr>
          <w:rFonts w:ascii="Calibri" w:hAnsi="Calibri" w:cs="Calibri"/>
        </w:rPr>
        <w:t>para 19).</w:t>
      </w:r>
    </w:p>
  </w:footnote>
  <w:footnote w:id="9">
    <w:p w14:paraId="29AAA6BF" w14:textId="659F3C5A" w:rsidR="008E5431" w:rsidRPr="00E657AF" w:rsidRDefault="008E5431">
      <w:pPr>
        <w:pStyle w:val="FootnoteText"/>
      </w:pPr>
      <w:r>
        <w:rPr>
          <w:rStyle w:val="FootnoteReference"/>
        </w:rPr>
        <w:footnoteRef/>
      </w:r>
      <w:r>
        <w:t xml:space="preserve"> In June 2024, ONWA </w:t>
      </w:r>
      <w:r w:rsidR="00A14044">
        <w:t>was invited</w:t>
      </w:r>
      <w:r w:rsidR="002C1028">
        <w:t xml:space="preserve"> for the first time</w:t>
      </w:r>
      <w:r w:rsidR="00A14044">
        <w:t xml:space="preserve"> by the </w:t>
      </w:r>
      <w:r w:rsidR="002C1028">
        <w:t xml:space="preserve">federal government to attend a </w:t>
      </w:r>
      <w:r w:rsidR="00670885">
        <w:t xml:space="preserve">meeting of the </w:t>
      </w:r>
      <w:r w:rsidR="00670885" w:rsidRPr="00670885">
        <w:rPr>
          <w:lang w:val="en-US"/>
        </w:rPr>
        <w:t xml:space="preserve">Continuing </w:t>
      </w:r>
      <w:r w:rsidR="00670885" w:rsidRPr="00E657AF">
        <w:rPr>
          <w:lang w:val="en-US"/>
        </w:rPr>
        <w:t>Committee of Officials on Human Rights (</w:t>
      </w:r>
      <w:r w:rsidR="00670885" w:rsidRPr="00E657AF">
        <w:t>CCOHR) to discuss</w:t>
      </w:r>
      <w:r w:rsidR="00670885" w:rsidRPr="00E657AF">
        <w:rPr>
          <w:lang w:val="en-US"/>
        </w:rPr>
        <w:t xml:space="preserve"> an approach related to engagement and United Nations  treaty-body related </w:t>
      </w:r>
      <w:r w:rsidR="00670885" w:rsidRPr="00AB4521">
        <w:rPr>
          <w:lang w:val="en-US"/>
        </w:rPr>
        <w:t>matters</w:t>
      </w:r>
      <w:r w:rsidR="0060119E" w:rsidRPr="00AB4521">
        <w:rPr>
          <w:lang w:val="en-US"/>
        </w:rPr>
        <w:t xml:space="preserve">. </w:t>
      </w:r>
      <w:r w:rsidR="00D51509" w:rsidRPr="007F4AB4">
        <w:rPr>
          <w:lang w:val="en-US"/>
        </w:rPr>
        <w:t xml:space="preserve">The </w:t>
      </w:r>
      <w:r w:rsidR="00537278" w:rsidRPr="007F4AB4">
        <w:rPr>
          <w:lang w:val="en-US"/>
        </w:rPr>
        <w:t>3-</w:t>
      </w:r>
      <w:r w:rsidR="00D51509" w:rsidRPr="007F4AB4">
        <w:rPr>
          <w:lang w:val="en-US"/>
        </w:rPr>
        <w:t>hour meeting hosted over 300 people and organizations virtually and in person and did not allow sufficient time for engagement</w:t>
      </w:r>
      <w:r w:rsidR="00D22B1C" w:rsidRPr="007F4AB4">
        <w:rPr>
          <w:lang w:val="en-US"/>
        </w:rPr>
        <w:t>. Civil society expressed concerns with a lack of transparency</w:t>
      </w:r>
      <w:r w:rsidR="001D3560" w:rsidRPr="007F4AB4">
        <w:rPr>
          <w:lang w:val="en-US"/>
        </w:rPr>
        <w:t xml:space="preserve">, </w:t>
      </w:r>
      <w:r w:rsidR="00093813" w:rsidRPr="007F4AB4">
        <w:rPr>
          <w:lang w:val="en-US"/>
        </w:rPr>
        <w:t xml:space="preserve">lack of </w:t>
      </w:r>
      <w:r w:rsidR="00D3380D" w:rsidRPr="007F4AB4">
        <w:rPr>
          <w:lang w:val="en-US"/>
        </w:rPr>
        <w:t>accountability</w:t>
      </w:r>
      <w:r w:rsidR="00093813" w:rsidRPr="007F4AB4">
        <w:rPr>
          <w:lang w:val="en-US"/>
        </w:rPr>
        <w:t xml:space="preserve"> mechanisms and tracking, </w:t>
      </w:r>
      <w:r w:rsidR="00D3380D" w:rsidRPr="007F4AB4">
        <w:rPr>
          <w:lang w:val="en-US"/>
        </w:rPr>
        <w:t>the need to enhance connections with provinces/territories</w:t>
      </w:r>
      <w:r w:rsidR="006C4BF6" w:rsidRPr="007F4AB4">
        <w:rPr>
          <w:lang w:val="en-US"/>
        </w:rPr>
        <w:t xml:space="preserve">, lack of engagement with </w:t>
      </w:r>
      <w:r w:rsidR="0074601C" w:rsidRPr="007F4AB4">
        <w:rPr>
          <w:lang w:val="en-US"/>
        </w:rPr>
        <w:t>I</w:t>
      </w:r>
      <w:r w:rsidR="006C4BF6" w:rsidRPr="007F4AB4">
        <w:rPr>
          <w:lang w:val="en-US"/>
        </w:rPr>
        <w:t>ndigenous Peoples,</w:t>
      </w:r>
      <w:r w:rsidR="00041748" w:rsidRPr="007F4AB4">
        <w:rPr>
          <w:lang w:val="en-US"/>
        </w:rPr>
        <w:t xml:space="preserve"> </w:t>
      </w:r>
      <w:r w:rsidR="0074601C" w:rsidRPr="007F4AB4">
        <w:rPr>
          <w:lang w:val="en-US"/>
        </w:rPr>
        <w:t xml:space="preserve">and </w:t>
      </w:r>
      <w:r w:rsidR="00041748" w:rsidRPr="007F4AB4">
        <w:rPr>
          <w:lang w:val="en-US"/>
        </w:rPr>
        <w:t>lack of funding to support implementation</w:t>
      </w:r>
    </w:p>
  </w:footnote>
  <w:footnote w:id="10">
    <w:p w14:paraId="03AE9246" w14:textId="5C05C5D9" w:rsidR="000230B2" w:rsidRDefault="004F68F1">
      <w:pPr>
        <w:pStyle w:val="FootnoteText"/>
      </w:pPr>
      <w:r>
        <w:rPr>
          <w:rStyle w:val="FootnoteReference"/>
        </w:rPr>
        <w:footnoteRef/>
      </w:r>
      <w:r>
        <w:t xml:space="preserve"> </w:t>
      </w:r>
      <w:r w:rsidRPr="004F68F1">
        <w:t>CEDAW/C/OP.8/CAN/1</w:t>
      </w:r>
    </w:p>
  </w:footnote>
  <w:footnote w:id="11">
    <w:p w14:paraId="71E119E1" w14:textId="4A83BD5F" w:rsidR="00AD0E8B" w:rsidRPr="00494F52" w:rsidRDefault="00AD0E8B">
      <w:pPr>
        <w:pStyle w:val="FootnoteText"/>
      </w:pPr>
      <w:r w:rsidRPr="00494F52">
        <w:rPr>
          <w:rStyle w:val="FootnoteReference"/>
        </w:rPr>
        <w:footnoteRef/>
      </w:r>
      <w:r w:rsidRPr="00494F52">
        <w:t xml:space="preserve"> </w:t>
      </w:r>
      <w:r w:rsidR="00743B57" w:rsidRPr="00494F52">
        <w:t xml:space="preserve">The Committee’s previous recommendation </w:t>
      </w:r>
      <w:r w:rsidR="00494F52" w:rsidRPr="00494F52">
        <w:t>called for Canada to “</w:t>
      </w:r>
      <w:r w:rsidR="00DF3EC1">
        <w:rPr>
          <w:rFonts w:ascii="Calibri" w:hAnsi="Calibri" w:cs="Calibri"/>
        </w:rPr>
        <w:t>e</w:t>
      </w:r>
      <w:r w:rsidR="00C23C2C" w:rsidRPr="00494F52">
        <w:rPr>
          <w:rFonts w:ascii="Calibri" w:hAnsi="Calibri" w:cs="Calibri"/>
        </w:rPr>
        <w:t>nsure that indigenous women’s organizations are included in the countrywide nation-to-nation relationship in all cases in which issues of relevance to women apply</w:t>
      </w:r>
      <w:r w:rsidR="00494F52" w:rsidRPr="00494F52">
        <w:rPr>
          <w:rFonts w:ascii="Calibri" w:hAnsi="Calibri" w:cs="Calibri"/>
        </w:rPr>
        <w:t>” CEDAW/C/CAN/CO/8-9, para. 21 (c)).</w:t>
      </w:r>
    </w:p>
  </w:footnote>
  <w:footnote w:id="12">
    <w:p w14:paraId="069D78D1" w14:textId="20A61A7A" w:rsidR="001D6272" w:rsidRPr="001D6272" w:rsidRDefault="001D6272" w:rsidP="001D6272">
      <w:pPr>
        <w:pStyle w:val="FootnoteText"/>
      </w:pPr>
      <w:r w:rsidRPr="00494F52">
        <w:rPr>
          <w:rStyle w:val="FootnoteReference"/>
        </w:rPr>
        <w:footnoteRef/>
      </w:r>
      <w:r w:rsidRPr="00494F52">
        <w:t xml:space="preserve"> See UNDRIP Articles</w:t>
      </w:r>
      <w:r w:rsidR="00B06639" w:rsidRPr="00494F52">
        <w:t xml:space="preserve"> 18, 19, </w:t>
      </w:r>
      <w:r w:rsidR="00850617">
        <w:t xml:space="preserve">and </w:t>
      </w:r>
      <w:r w:rsidR="00B06639" w:rsidRPr="00494F52">
        <w:t>22</w:t>
      </w:r>
    </w:p>
  </w:footnote>
  <w:footnote w:id="13">
    <w:p w14:paraId="03B940F5" w14:textId="77777777" w:rsidR="00D65656" w:rsidRPr="000B7CFD" w:rsidRDefault="00D65656" w:rsidP="00D65656">
      <w:pPr>
        <w:pStyle w:val="FootnoteText"/>
        <w:rPr>
          <w:rFonts w:cstheme="minorHAnsi"/>
        </w:rPr>
      </w:pPr>
      <w:r w:rsidRPr="000B7CFD">
        <w:rPr>
          <w:rStyle w:val="FootnoteReference"/>
          <w:rFonts w:cstheme="minorHAnsi"/>
        </w:rPr>
        <w:footnoteRef/>
      </w:r>
      <w:r w:rsidRPr="000B7CFD">
        <w:rPr>
          <w:rFonts w:cstheme="minorHAnsi"/>
        </w:rPr>
        <w:t xml:space="preserve"> </w:t>
      </w:r>
      <w:hyperlink r:id="rId6" w:history="1">
        <w:r w:rsidRPr="000B7CFD">
          <w:rPr>
            <w:rStyle w:val="Hyperlink"/>
            <w:rFonts w:eastAsia="Times New Roman" w:cstheme="minorHAnsi"/>
            <w:lang w:eastAsia="en-CA"/>
          </w:rPr>
          <w:t>Beijing Declaration and Platform for Action strategic objective G.1, para 190(g</w:t>
        </w:r>
      </w:hyperlink>
      <w:r w:rsidRPr="000B7CFD">
        <w:rPr>
          <w:rFonts w:eastAsia="Times New Roman" w:cstheme="minorHAnsi"/>
          <w:lang w:eastAsia="en-CA"/>
        </w:rPr>
        <w:t xml:space="preserve">) (A/CONF.177/RES/1 UN): </w:t>
      </w:r>
      <w:r w:rsidRPr="000B7CFD">
        <w:rPr>
          <w:rFonts w:cstheme="minorHAnsi"/>
          <w:i/>
        </w:rPr>
        <w:t>Encourage greater involvement of indigenous women in decision-making at all levels</w:t>
      </w:r>
    </w:p>
  </w:footnote>
  <w:footnote w:id="14">
    <w:p w14:paraId="3E93DECD" w14:textId="7105229F" w:rsidR="00F46E28" w:rsidRDefault="00F46E28">
      <w:pPr>
        <w:pStyle w:val="FootnoteText"/>
      </w:pPr>
      <w:r>
        <w:rPr>
          <w:rStyle w:val="FootnoteReference"/>
        </w:rPr>
        <w:footnoteRef/>
      </w:r>
      <w:r w:rsidR="1D5E8CE5">
        <w:t xml:space="preserve">. </w:t>
      </w:r>
      <w:r w:rsidR="1D5E8CE5" w:rsidRPr="00F46E28">
        <w:t>Statistics Canada. 2022. https://www150.statcan.gc.ca/n1/daily-quotidien/220921/dq220921a-eng.htm</w:t>
      </w:r>
    </w:p>
  </w:footnote>
  <w:footnote w:id="15">
    <w:p w14:paraId="68CF26DE" w14:textId="77777777" w:rsidR="00420D4C" w:rsidRDefault="00420D4C" w:rsidP="00420D4C">
      <w:pPr>
        <w:pStyle w:val="FootnoteText"/>
      </w:pPr>
      <w:r>
        <w:rPr>
          <w:rStyle w:val="FootnoteReference"/>
        </w:rPr>
        <w:footnoteRef/>
      </w:r>
      <w:r>
        <w:t xml:space="preserve"> </w:t>
      </w:r>
      <w:r w:rsidRPr="000D77EB">
        <w:t>Canada notes that “many PT governments are considering gender in budgeting processes and decision making” (para. 55)</w:t>
      </w:r>
      <w:r>
        <w:t xml:space="preserve"> but does not provide specifics.</w:t>
      </w:r>
    </w:p>
  </w:footnote>
  <w:footnote w:id="16">
    <w:p w14:paraId="6F2A960D" w14:textId="77777777" w:rsidR="00CF540F" w:rsidRPr="003117AE" w:rsidRDefault="00CF540F" w:rsidP="00CF540F">
      <w:pPr>
        <w:pStyle w:val="FootnoteText"/>
        <w:rPr>
          <w:sz w:val="18"/>
          <w:szCs w:val="18"/>
        </w:rPr>
      </w:pPr>
      <w:r w:rsidRPr="000B7CFD">
        <w:rPr>
          <w:rStyle w:val="FootnoteReference"/>
        </w:rPr>
        <w:footnoteRef/>
      </w:r>
      <w:r w:rsidRPr="003117AE">
        <w:t xml:space="preserve"> </w:t>
      </w:r>
      <w:hyperlink r:id="rId7" w:history="1">
        <w:r w:rsidRPr="003117AE">
          <w:rPr>
            <w:rStyle w:val="Hyperlink"/>
          </w:rPr>
          <w:t>https://budget.canada.ca/2024/report-rapport/budget-2024.pdf</w:t>
        </w:r>
      </w:hyperlink>
    </w:p>
  </w:footnote>
  <w:footnote w:id="17">
    <w:p w14:paraId="31F51A5C" w14:textId="053BFA55" w:rsidR="006C7BD8" w:rsidRDefault="006C7BD8" w:rsidP="008B5337">
      <w:pPr>
        <w:pStyle w:val="FootnoteText"/>
      </w:pPr>
      <w:r w:rsidRPr="0025726A">
        <w:rPr>
          <w:rStyle w:val="FootnoteReference"/>
        </w:rPr>
        <w:footnoteRef/>
      </w:r>
      <w:r w:rsidRPr="0025726A">
        <w:t xml:space="preserve"> </w:t>
      </w:r>
      <w:r w:rsidR="00BF6EF2" w:rsidRPr="0025726A">
        <w:t>Call for Justice 1.8 state</w:t>
      </w:r>
      <w:r w:rsidR="00116D1F" w:rsidRPr="0025726A">
        <w:t>s ‘</w:t>
      </w:r>
      <w:r w:rsidR="0021088E">
        <w:t>…</w:t>
      </w:r>
      <w:r w:rsidR="00116D1F" w:rsidRPr="0025726A">
        <w:t>Core and sustainable funding, as opposed to program funding, must be provided to national and regional Indigenous women’s and 2SLGBTQQIA people’s organizations</w:t>
      </w:r>
      <w:r w:rsidR="00EB25CE" w:rsidRPr="0025726A">
        <w:t>”,</w:t>
      </w:r>
      <w:r w:rsidR="0025726A" w:rsidRPr="0025726A">
        <w:t xml:space="preserve"> </w:t>
      </w:r>
      <w:r w:rsidR="002754C0">
        <w:t>(</w:t>
      </w:r>
      <w:hyperlink r:id="rId8" w:history="1">
        <w:r w:rsidR="00D66337" w:rsidRPr="00D66337">
          <w:rPr>
            <w:rStyle w:val="Hyperlink"/>
          </w:rPr>
          <w:t>https://www.mmiwg-ffada.ca/final-report/</w:t>
        </w:r>
      </w:hyperlink>
      <w:r w:rsidR="008C2110" w:rsidRPr="0025726A">
        <w:t>)</w:t>
      </w:r>
    </w:p>
  </w:footnote>
  <w:footnote w:id="18">
    <w:p w14:paraId="4C0E56BA" w14:textId="5084BFB3" w:rsidR="00907025" w:rsidRDefault="00907025" w:rsidP="008B5337">
      <w:pPr>
        <w:pStyle w:val="FootnoteText"/>
      </w:pPr>
      <w:r>
        <w:rPr>
          <w:rStyle w:val="FootnoteReference"/>
        </w:rPr>
        <w:footnoteRef/>
      </w:r>
      <w:r>
        <w:t xml:space="preserve"> </w:t>
      </w:r>
      <w:r w:rsidRPr="00907025">
        <w:t>There is a direct correlation between the violent victimization of Indigenous women and the socio-economic changes created by the presence of extractive industries in proximity to Indigenous communities.</w:t>
      </w:r>
      <w:r w:rsidRPr="00907025">
        <w:rPr>
          <w:sz w:val="24"/>
          <w:szCs w:val="22"/>
        </w:rPr>
        <w:t xml:space="preserve"> </w:t>
      </w:r>
      <w:r w:rsidRPr="00907025">
        <w:t xml:space="preserve">The Special Rapporteur on the Rights of Indigenous Peoples’ 2023 report </w:t>
      </w:r>
      <w:r w:rsidR="00ED28AD">
        <w:t xml:space="preserve">on </w:t>
      </w:r>
      <w:r w:rsidRPr="00907025">
        <w:t>his visit to Canada notes: “The extractive industry is …at the root of conflicts created by the criminalization of Indigenous Peoples defending their lands and resources from companies and governments who support the projects of those companies” (A/HRC/54/31/Add.2, para. 63)</w:t>
      </w:r>
    </w:p>
  </w:footnote>
  <w:footnote w:id="19">
    <w:p w14:paraId="06D19253" w14:textId="77777777" w:rsidR="004C63C4" w:rsidRPr="00E52069" w:rsidRDefault="004C63C4" w:rsidP="004C63C4">
      <w:pPr>
        <w:pStyle w:val="FootnoteText"/>
      </w:pPr>
      <w:r w:rsidRPr="00E52069">
        <w:rPr>
          <w:rStyle w:val="FootnoteReference"/>
        </w:rPr>
        <w:footnoteRef/>
      </w:r>
      <w:r w:rsidRPr="00E52069">
        <w:t xml:space="preserve"> The Special Rapporteur on the Rights of Indigenous Peoples’ 2023 report following his visit to Canada notes: “The extractive industry is …at the root of conflicts created by the criminalization of Indigenous Peoples defending their lands and resources from companies and governments who support the projects of those companies” (A/HRC/54/31/Add.2, para. 63)</w:t>
      </w:r>
    </w:p>
  </w:footnote>
  <w:footnote w:id="20">
    <w:p w14:paraId="3383F819" w14:textId="18C90DA7" w:rsidR="007F2490" w:rsidRPr="00E52069" w:rsidRDefault="007F2490">
      <w:pPr>
        <w:pStyle w:val="FootnoteText"/>
      </w:pPr>
      <w:r w:rsidRPr="00E52069">
        <w:rPr>
          <w:rStyle w:val="FootnoteReference"/>
        </w:rPr>
        <w:footnoteRef/>
      </w:r>
      <w:r w:rsidR="00C3731F" w:rsidRPr="00E52069">
        <w:t xml:space="preserve"> The Special Rapporteur on the Rights of Indigenous Peoples’ 2023 report following his visit to Canada notes: </w:t>
      </w:r>
      <w:r w:rsidR="00E62329" w:rsidRPr="00E52069">
        <w:t>“</w:t>
      </w:r>
      <w:r w:rsidR="00C3731F" w:rsidRPr="00E52069">
        <w:t>On several occasions, the Special Rapporteur, along with other mandate holders, has expressed concern regarding human rights abuses against Indigenous Peoples committed by Canadian companies operating abroad.  United Nations treaty monitoring bodies have called on Canada to adopt a regulatory framework to hold these transnational corporations accountable for human rights violations and environmental abuses. According to the information received, Canada is home to almost half of the world’s publicly listed mining and mineral exploration companies, and 200 Canadian companies are present in 97 foreign countries</w:t>
      </w:r>
      <w:r w:rsidR="00183C24" w:rsidRPr="00E52069">
        <w:t>” (A/HRC/54/31/Add.2, para</w:t>
      </w:r>
      <w:r w:rsidR="00183C24" w:rsidRPr="00A737B6">
        <w:t>. 63)</w:t>
      </w:r>
      <w:r w:rsidRPr="00A737B6">
        <w:t xml:space="preserve"> </w:t>
      </w:r>
    </w:p>
  </w:footnote>
  <w:footnote w:id="21">
    <w:p w14:paraId="06784519" w14:textId="2284DB89" w:rsidR="00FB117D" w:rsidRPr="00FB117D" w:rsidRDefault="00FB117D">
      <w:pPr>
        <w:pStyle w:val="FootnoteText"/>
      </w:pPr>
      <w:r w:rsidRPr="00FB117D">
        <w:rPr>
          <w:rStyle w:val="FootnoteReference"/>
        </w:rPr>
        <w:footnoteRef/>
      </w:r>
      <w:r w:rsidRPr="00DC0BAA">
        <w:rPr>
          <w:rStyle w:val="FootnoteReference"/>
        </w:rPr>
        <w:t xml:space="preserve"> </w:t>
      </w:r>
      <w:r w:rsidRPr="00DC0BAA">
        <w:t xml:space="preserve">In 2019, Canada developed of the Canadian Ombudsperson for Responsible Enterprise (CORE) focused </w:t>
      </w:r>
      <w:r w:rsidR="00D66337">
        <w:t>on</w:t>
      </w:r>
      <w:r w:rsidRPr="00DC0BAA">
        <w:t xml:space="preserve"> hold</w:t>
      </w:r>
      <w:r w:rsidR="00D66337">
        <w:t>ing</w:t>
      </w:r>
      <w:r w:rsidRPr="00DC0BAA">
        <w:t xml:space="preserve"> garment, mining, and oil and gas companies accountable for their human rights actions in operations abroad. </w:t>
      </w:r>
      <w:r w:rsidR="001525D6">
        <w:t xml:space="preserve">It is unclear from publicly available information online the extent to which Indigenous women and their organizations have been engaged to inform CORE’s mandate. </w:t>
      </w:r>
    </w:p>
  </w:footnote>
  <w:footnote w:id="22">
    <w:p w14:paraId="73445C2B" w14:textId="77777777" w:rsidR="00B47E10" w:rsidRDefault="00B47E10" w:rsidP="00B47E10">
      <w:pPr>
        <w:pStyle w:val="FootnoteText"/>
      </w:pPr>
      <w:r>
        <w:rPr>
          <w:rStyle w:val="FootnoteReference"/>
        </w:rPr>
        <w:footnoteRef/>
      </w:r>
      <w:r>
        <w:t xml:space="preserve"> In alignment with</w:t>
      </w:r>
      <w:r w:rsidRPr="001C76D7">
        <w:t xml:space="preserve"> the Committee’s previous recommendations </w:t>
      </w:r>
      <w:r>
        <w:t>(</w:t>
      </w:r>
      <w:hyperlink r:id="rId9" w:history="1">
        <w:r w:rsidRPr="009A5622">
          <w:rPr>
            <w:rStyle w:val="Hyperlink"/>
          </w:rPr>
          <w:t>CEDAW/C/OP.8/CAN/1</w:t>
        </w:r>
      </w:hyperlink>
      <w:r>
        <w:t xml:space="preserve">) </w:t>
      </w:r>
      <w:r w:rsidRPr="001C76D7">
        <w:t>as well as the Special Rapporteur on the Right of Indigenous Peoples’ recommendations following his</w:t>
      </w:r>
      <w:r>
        <w:t xml:space="preserve"> 2023</w:t>
      </w:r>
      <w:r w:rsidRPr="001C76D7">
        <w:t xml:space="preserve"> visit to Canada (</w:t>
      </w:r>
      <w:r w:rsidRPr="00E52069">
        <w:t xml:space="preserve">A/HRC/54/31/Add.2, </w:t>
      </w:r>
      <w:r w:rsidRPr="001C76D7">
        <w:t>para. 96)</w:t>
      </w:r>
    </w:p>
  </w:footnote>
  <w:footnote w:id="23">
    <w:p w14:paraId="5A3C2F8D" w14:textId="77777777" w:rsidR="00482623" w:rsidRDefault="00482623" w:rsidP="00482623">
      <w:pPr>
        <w:pStyle w:val="FootnoteText"/>
      </w:pPr>
      <w:r w:rsidRPr="42386539">
        <w:rPr>
          <w:rStyle w:val="FootnoteReference"/>
        </w:rPr>
        <w:footnoteRef/>
      </w:r>
      <w:r>
        <w:t xml:space="preserve"> In 2015, the CEDAW Committee made 38 recommendations to Canada to immediately respond to the MMIWG crisis (</w:t>
      </w:r>
      <w:r w:rsidRPr="00E1449B">
        <w:t>CEDAW/C/OP.8/CAN/1</w:t>
      </w:r>
      <w:r>
        <w:t>)</w:t>
      </w:r>
    </w:p>
  </w:footnote>
  <w:footnote w:id="24">
    <w:p w14:paraId="51F92AAF" w14:textId="77777777" w:rsidR="00482623" w:rsidRPr="006E1661" w:rsidRDefault="00482623" w:rsidP="00482623">
      <w:pPr>
        <w:pStyle w:val="FootnoteText"/>
        <w:rPr>
          <w:rFonts w:cstheme="minorHAnsi"/>
        </w:rPr>
      </w:pPr>
      <w:r w:rsidRPr="52D16F0D">
        <w:rPr>
          <w:rStyle w:val="FootnoteReference"/>
        </w:rPr>
        <w:footnoteRef/>
      </w:r>
      <w:r>
        <w:t xml:space="preserve"> </w:t>
      </w:r>
      <w:r w:rsidRPr="006E1661">
        <w:rPr>
          <w:rFonts w:cstheme="minorHAnsi"/>
        </w:rPr>
        <w:t>The Inter-American Commission on Human Rights</w:t>
      </w:r>
      <w:r>
        <w:rPr>
          <w:rFonts w:cstheme="minorHAnsi"/>
        </w:rPr>
        <w:t>’ report</w:t>
      </w:r>
      <w:r w:rsidRPr="006E1661">
        <w:rPr>
          <w:rFonts w:cstheme="minorHAnsi"/>
        </w:rPr>
        <w:t xml:space="preserve"> on Missing and Murdered Indigenous women and girls in British Columbia, Canada</w:t>
      </w:r>
      <w:r>
        <w:rPr>
          <w:rFonts w:cstheme="minorHAnsi"/>
        </w:rPr>
        <w:t xml:space="preserve"> (</w:t>
      </w:r>
      <w:r w:rsidRPr="006E1661">
        <w:rPr>
          <w:rFonts w:cstheme="minorHAnsi"/>
        </w:rPr>
        <w:t>OEA/Ser.L/V/II</w:t>
      </w:r>
      <w:r>
        <w:rPr>
          <w:rFonts w:cstheme="minorHAnsi"/>
        </w:rPr>
        <w:t xml:space="preserve">. </w:t>
      </w:r>
      <w:r w:rsidRPr="003A103B">
        <w:rPr>
          <w:rFonts w:cstheme="minorHAnsi"/>
        </w:rPr>
        <w:t xml:space="preserve">Doc. 30/14 </w:t>
      </w:r>
      <w:r w:rsidRPr="006E1661">
        <w:rPr>
          <w:rFonts w:cstheme="minorHAnsi"/>
        </w:rPr>
        <w:t>21 December 2014</w:t>
      </w:r>
      <w:r>
        <w:rPr>
          <w:rFonts w:cstheme="minorHAnsi"/>
        </w:rPr>
        <w:t>)</w:t>
      </w:r>
      <w:r w:rsidRPr="006E1661">
        <w:rPr>
          <w:rFonts w:cstheme="minorHAnsi"/>
        </w:rPr>
        <w:t xml:space="preserve"> </w:t>
      </w:r>
    </w:p>
  </w:footnote>
  <w:footnote w:id="25">
    <w:p w14:paraId="34E6112C" w14:textId="68EEDF0C" w:rsidR="5B4DADFE" w:rsidRPr="006E1661" w:rsidRDefault="5B4DADFE" w:rsidP="007F4AB4">
      <w:r w:rsidRPr="007F4AB4">
        <w:rPr>
          <w:rStyle w:val="FootnoteReference"/>
          <w:rFonts w:cstheme="minorHAnsi"/>
          <w:sz w:val="20"/>
          <w:szCs w:val="20"/>
        </w:rPr>
        <w:footnoteRef/>
      </w:r>
      <w:r w:rsidR="617AFC9B" w:rsidRPr="007F4AB4">
        <w:rPr>
          <w:rFonts w:cstheme="minorHAnsi"/>
          <w:sz w:val="20"/>
          <w:szCs w:val="20"/>
        </w:rPr>
        <w:t xml:space="preserve"> </w:t>
      </w:r>
      <w:r w:rsidR="05D7C411" w:rsidRPr="007F4AB4">
        <w:rPr>
          <w:rFonts w:cstheme="minorHAnsi"/>
          <w:sz w:val="20"/>
          <w:szCs w:val="20"/>
        </w:rPr>
        <w:t>I</w:t>
      </w:r>
      <w:r w:rsidR="05D7C411" w:rsidRPr="007F4AB4">
        <w:rPr>
          <w:rFonts w:eastAsia="Aptos" w:cstheme="minorHAnsi"/>
          <w:color w:val="000000" w:themeColor="text1"/>
          <w:sz w:val="20"/>
          <w:szCs w:val="20"/>
        </w:rPr>
        <w:t>n</w:t>
      </w:r>
      <w:r w:rsidR="617AFC9B" w:rsidRPr="007F4AB4">
        <w:rPr>
          <w:rFonts w:eastAsia="Aptos" w:cstheme="minorHAnsi"/>
          <w:color w:val="000000" w:themeColor="text1"/>
          <w:sz w:val="20"/>
          <w:szCs w:val="20"/>
        </w:rPr>
        <w:t xml:space="preserve"> 2013, Canada was called upon by the Special Rapporteur on </w:t>
      </w:r>
      <w:r w:rsidR="00B833D1">
        <w:rPr>
          <w:rFonts w:eastAsia="Aptos" w:cstheme="minorHAnsi"/>
          <w:color w:val="000000" w:themeColor="text1"/>
          <w:sz w:val="20"/>
          <w:szCs w:val="20"/>
        </w:rPr>
        <w:t xml:space="preserve">the Rights of </w:t>
      </w:r>
      <w:r w:rsidR="617AFC9B" w:rsidRPr="007F4AB4">
        <w:rPr>
          <w:rFonts w:eastAsia="Aptos" w:cstheme="minorHAnsi"/>
          <w:color w:val="000000" w:themeColor="text1"/>
          <w:sz w:val="20"/>
          <w:szCs w:val="20"/>
        </w:rPr>
        <w:t>Indigenous Peoples to undertake a comprehensive, nationwide inquiry into the situation of missing and murdered Indigenous women and girls</w:t>
      </w:r>
      <w:r w:rsidR="32F1028C" w:rsidRPr="007F4AB4">
        <w:rPr>
          <w:rFonts w:eastAsia="Aptos" w:cstheme="minorHAnsi"/>
          <w:color w:val="000000" w:themeColor="text1"/>
          <w:sz w:val="20"/>
          <w:szCs w:val="20"/>
        </w:rPr>
        <w:t>(</w:t>
      </w:r>
      <w:r w:rsidR="32F1028C" w:rsidRPr="007F4AB4">
        <w:rPr>
          <w:rFonts w:eastAsia="Calibri" w:cstheme="minorHAnsi"/>
          <w:color w:val="000000" w:themeColor="text1"/>
          <w:sz w:val="20"/>
          <w:szCs w:val="20"/>
        </w:rPr>
        <w:t>A/HRC/27/52/Add.2, para. 89</w:t>
      </w:r>
      <w:r w:rsidR="05D7C411" w:rsidRPr="007F4AB4">
        <w:rPr>
          <w:rFonts w:eastAsia="Calibri" w:cstheme="minorHAnsi"/>
          <w:color w:val="000000" w:themeColor="text1"/>
          <w:sz w:val="20"/>
          <w:szCs w:val="20"/>
        </w:rPr>
        <w:t xml:space="preserve">.) </w:t>
      </w:r>
      <w:r w:rsidR="32F1028C" w:rsidRPr="007F4AB4">
        <w:rPr>
          <w:rFonts w:eastAsia="Aptos" w:cstheme="minorHAnsi"/>
          <w:color w:val="000000" w:themeColor="text1"/>
          <w:sz w:val="20"/>
          <w:szCs w:val="20"/>
        </w:rPr>
        <w:t>Ten</w:t>
      </w:r>
      <w:r w:rsidR="617AFC9B" w:rsidRPr="007F4AB4">
        <w:rPr>
          <w:rFonts w:eastAsia="Aptos" w:cstheme="minorHAnsi"/>
          <w:color w:val="000000" w:themeColor="text1"/>
          <w:sz w:val="20"/>
          <w:szCs w:val="20"/>
        </w:rPr>
        <w:t xml:space="preserve"> years later, in </w:t>
      </w:r>
      <w:r w:rsidR="00B833D1">
        <w:rPr>
          <w:rFonts w:eastAsia="Aptos" w:cstheme="minorHAnsi"/>
          <w:color w:val="000000" w:themeColor="text1"/>
          <w:sz w:val="20"/>
          <w:szCs w:val="20"/>
        </w:rPr>
        <w:t>his</w:t>
      </w:r>
      <w:r w:rsidR="617AFC9B" w:rsidRPr="007F4AB4">
        <w:rPr>
          <w:rFonts w:eastAsia="Aptos" w:cstheme="minorHAnsi"/>
          <w:color w:val="000000" w:themeColor="text1"/>
          <w:sz w:val="20"/>
          <w:szCs w:val="20"/>
        </w:rPr>
        <w:t xml:space="preserve"> 2023</w:t>
      </w:r>
      <w:r w:rsidR="00B833D1">
        <w:rPr>
          <w:rFonts w:eastAsia="Aptos" w:cstheme="minorHAnsi"/>
          <w:color w:val="000000" w:themeColor="text1"/>
          <w:sz w:val="20"/>
          <w:szCs w:val="20"/>
        </w:rPr>
        <w:t xml:space="preserve"> report on this country visit to Canada</w:t>
      </w:r>
      <w:r w:rsidR="617AFC9B" w:rsidRPr="007F4AB4">
        <w:rPr>
          <w:rFonts w:eastAsia="Aptos" w:cstheme="minorHAnsi"/>
          <w:color w:val="000000" w:themeColor="text1"/>
          <w:sz w:val="20"/>
          <w:szCs w:val="20"/>
        </w:rPr>
        <w:t xml:space="preserve">, the Special Rapporteur </w:t>
      </w:r>
      <w:r w:rsidR="00A67EDF">
        <w:rPr>
          <w:rFonts w:eastAsia="Aptos" w:cstheme="minorHAnsi"/>
          <w:color w:val="000000" w:themeColor="text1"/>
          <w:sz w:val="20"/>
          <w:szCs w:val="20"/>
        </w:rPr>
        <w:t>notes</w:t>
      </w:r>
      <w:r w:rsidR="617AFC9B" w:rsidRPr="007F4AB4">
        <w:rPr>
          <w:rFonts w:eastAsia="Aptos" w:cstheme="minorHAnsi"/>
          <w:color w:val="000000" w:themeColor="text1"/>
          <w:sz w:val="20"/>
          <w:szCs w:val="20"/>
        </w:rPr>
        <w:t xml:space="preserve"> the MMIWG genocide is ongoing and that many of the Calls for Justice have not been addressed, despite repeated calls from Indigenous </w:t>
      </w:r>
      <w:r w:rsidR="0097356E">
        <w:rPr>
          <w:rFonts w:eastAsia="Aptos" w:cstheme="minorHAnsi"/>
          <w:color w:val="000000" w:themeColor="text1"/>
          <w:sz w:val="20"/>
          <w:szCs w:val="20"/>
        </w:rPr>
        <w:t>P</w:t>
      </w:r>
      <w:r w:rsidR="617AFC9B" w:rsidRPr="007F4AB4">
        <w:rPr>
          <w:rFonts w:eastAsia="Aptos" w:cstheme="minorHAnsi"/>
          <w:color w:val="000000" w:themeColor="text1"/>
          <w:sz w:val="20"/>
          <w:szCs w:val="20"/>
        </w:rPr>
        <w:t>eoples and Indigenous-led organizations for Canada to address the growing crisis</w:t>
      </w:r>
      <w:r w:rsidR="0097356E">
        <w:rPr>
          <w:rFonts w:eastAsia="Aptos" w:cstheme="minorHAnsi"/>
          <w:color w:val="000000" w:themeColor="text1"/>
          <w:sz w:val="20"/>
          <w:szCs w:val="20"/>
        </w:rPr>
        <w:t xml:space="preserve"> (</w:t>
      </w:r>
      <w:r w:rsidR="0097356E" w:rsidRPr="0097356E">
        <w:rPr>
          <w:rFonts w:eastAsia="Aptos" w:cstheme="minorHAnsi"/>
          <w:color w:val="000000" w:themeColor="text1"/>
          <w:sz w:val="20"/>
          <w:szCs w:val="20"/>
        </w:rPr>
        <w:t>A/HRC/54/31/Add.2</w:t>
      </w:r>
      <w:r w:rsidR="0097356E">
        <w:rPr>
          <w:rFonts w:eastAsia="Aptos" w:cstheme="minorHAnsi"/>
          <w:color w:val="000000" w:themeColor="text1"/>
          <w:sz w:val="20"/>
          <w:szCs w:val="20"/>
        </w:rPr>
        <w:t>)</w:t>
      </w:r>
      <w:r w:rsidR="617AFC9B" w:rsidRPr="007F4AB4">
        <w:rPr>
          <w:rFonts w:eastAsia="Aptos" w:cstheme="minorHAnsi"/>
          <w:color w:val="000000" w:themeColor="text1"/>
          <w:sz w:val="20"/>
          <w:szCs w:val="20"/>
        </w:rPr>
        <w:t>.</w:t>
      </w:r>
      <w:r w:rsidR="03DE8590" w:rsidRPr="007F4AB4">
        <w:rPr>
          <w:rFonts w:eastAsia="Calibri" w:cstheme="minorHAnsi"/>
          <w:color w:val="000000" w:themeColor="text1"/>
          <w:sz w:val="20"/>
          <w:szCs w:val="20"/>
        </w:rPr>
        <w:t xml:space="preserve">  </w:t>
      </w:r>
    </w:p>
  </w:footnote>
  <w:footnote w:id="26">
    <w:p w14:paraId="6B04CC0F" w14:textId="0E787C08" w:rsidR="001E73AF" w:rsidRDefault="001E73AF">
      <w:pPr>
        <w:pStyle w:val="FootnoteText"/>
      </w:pPr>
      <w:r w:rsidRPr="006E1661">
        <w:rPr>
          <w:rStyle w:val="FootnoteReference"/>
          <w:rFonts w:cstheme="minorHAnsi"/>
        </w:rPr>
        <w:footnoteRef/>
      </w:r>
      <w:r w:rsidRPr="006E1661">
        <w:rPr>
          <w:rFonts w:cstheme="minorHAnsi"/>
        </w:rPr>
        <w:t xml:space="preserve"> </w:t>
      </w:r>
      <w:r w:rsidR="00A01E6E">
        <w:rPr>
          <w:rFonts w:cstheme="minorHAnsi"/>
        </w:rPr>
        <w:t xml:space="preserve">Through successive Universal Periodic Review cycles, Member States and the Human Rights Council </w:t>
      </w:r>
      <w:r w:rsidR="007171A6">
        <w:rPr>
          <w:rFonts w:cstheme="minorHAnsi"/>
        </w:rPr>
        <w:t xml:space="preserve">have </w:t>
      </w:r>
      <w:r w:rsidR="00761058" w:rsidRPr="006E1661">
        <w:rPr>
          <w:rFonts w:cstheme="minorHAnsi"/>
        </w:rPr>
        <w:t>repeatedly called upon</w:t>
      </w:r>
      <w:r w:rsidR="00A01E6E">
        <w:rPr>
          <w:rFonts w:cstheme="minorHAnsi"/>
        </w:rPr>
        <w:t xml:space="preserve"> Canada</w:t>
      </w:r>
      <w:r w:rsidR="00761058" w:rsidRPr="006E1661">
        <w:rPr>
          <w:rFonts w:cstheme="minorHAnsi"/>
        </w:rPr>
        <w:t xml:space="preserve"> to address the ongoing violence against Indigenous women and girls</w:t>
      </w:r>
      <w:r w:rsidR="00A01E6E">
        <w:rPr>
          <w:rFonts w:cstheme="minorHAnsi"/>
        </w:rPr>
        <w:t xml:space="preserve"> </w:t>
      </w:r>
      <w:r w:rsidR="009771D3">
        <w:rPr>
          <w:rFonts w:cstheme="minorHAnsi"/>
        </w:rPr>
        <w:t xml:space="preserve">- </w:t>
      </w:r>
      <w:r w:rsidR="00A01E6E">
        <w:rPr>
          <w:rFonts w:cstheme="minorHAnsi"/>
        </w:rPr>
        <w:t>see</w:t>
      </w:r>
      <w:r w:rsidR="000A45D3" w:rsidRPr="006E1661">
        <w:rPr>
          <w:rFonts w:cstheme="minorHAnsi"/>
        </w:rPr>
        <w:t xml:space="preserve">  A/HRC/11/17 </w:t>
      </w:r>
      <w:r w:rsidR="00226901">
        <w:rPr>
          <w:rFonts w:cstheme="minorHAnsi"/>
        </w:rPr>
        <w:t xml:space="preserve">Section II, </w:t>
      </w:r>
      <w:r w:rsidR="000A45D3" w:rsidRPr="006E1661">
        <w:rPr>
          <w:rFonts w:cstheme="minorHAnsi"/>
        </w:rPr>
        <w:t xml:space="preserve">paras </w:t>
      </w:r>
      <w:r w:rsidR="00226901">
        <w:rPr>
          <w:rFonts w:cstheme="minorHAnsi"/>
        </w:rPr>
        <w:t xml:space="preserve">86.15, </w:t>
      </w:r>
      <w:r w:rsidR="000A45D3" w:rsidRPr="006E1661">
        <w:rPr>
          <w:rFonts w:cstheme="minorHAnsi"/>
        </w:rPr>
        <w:t>86.27, 86.33-6</w:t>
      </w:r>
      <w:r w:rsidR="00817BBA">
        <w:rPr>
          <w:rFonts w:cstheme="minorHAnsi"/>
        </w:rPr>
        <w:t xml:space="preserve"> (</w:t>
      </w:r>
      <w:r w:rsidR="00817BBA" w:rsidRPr="006E1661">
        <w:rPr>
          <w:rFonts w:cstheme="minorHAnsi"/>
        </w:rPr>
        <w:t>5 October 200</w:t>
      </w:r>
      <w:r w:rsidR="00817BBA">
        <w:rPr>
          <w:rFonts w:cstheme="minorHAnsi"/>
        </w:rPr>
        <w:t xml:space="preserve">9); </w:t>
      </w:r>
      <w:r w:rsidR="000A45D3" w:rsidRPr="006E1661">
        <w:rPr>
          <w:rFonts w:cstheme="minorHAnsi"/>
        </w:rPr>
        <w:t>A/HRC/24/11</w:t>
      </w:r>
      <w:r w:rsidR="00817BBA">
        <w:rPr>
          <w:rFonts w:cstheme="minorHAnsi"/>
        </w:rPr>
        <w:t xml:space="preserve"> (</w:t>
      </w:r>
      <w:r w:rsidR="000A45D3" w:rsidRPr="006E1661">
        <w:rPr>
          <w:rFonts w:cstheme="minorHAnsi"/>
        </w:rPr>
        <w:t>28 June 2013</w:t>
      </w:r>
      <w:r w:rsidR="00817BBA">
        <w:rPr>
          <w:rFonts w:cstheme="minorHAnsi"/>
        </w:rPr>
        <w:t>)</w:t>
      </w:r>
      <w:r w:rsidR="003652E3">
        <w:rPr>
          <w:rFonts w:cstheme="minorHAnsi"/>
        </w:rPr>
        <w:t xml:space="preserve">; </w:t>
      </w:r>
      <w:r w:rsidR="007C670F" w:rsidRPr="007C670F">
        <w:rPr>
          <w:rFonts w:cstheme="minorHAnsi"/>
        </w:rPr>
        <w:t>A/HRC/39/11</w:t>
      </w:r>
      <w:r w:rsidR="007C670F">
        <w:rPr>
          <w:rFonts w:cstheme="minorHAnsi"/>
        </w:rPr>
        <w:t xml:space="preserve"> 11 July 2018); </w:t>
      </w:r>
      <w:r w:rsidR="006F4820" w:rsidRPr="006F4820">
        <w:rPr>
          <w:rFonts w:cstheme="minorHAnsi"/>
        </w:rPr>
        <w:t>A/HRC/39/2</w:t>
      </w:r>
      <w:r w:rsidR="006B62C7">
        <w:rPr>
          <w:rFonts w:cstheme="minorHAnsi"/>
        </w:rPr>
        <w:t>, paras 743-789</w:t>
      </w:r>
      <w:r w:rsidR="00D476E2">
        <w:rPr>
          <w:rFonts w:cstheme="minorHAnsi"/>
        </w:rPr>
        <w:t xml:space="preserve"> (16 December 2020)</w:t>
      </w:r>
      <w:r w:rsidR="007C670F">
        <w:rPr>
          <w:rFonts w:cstheme="minorHAnsi"/>
        </w:rPr>
        <w:t xml:space="preserve">; </w:t>
      </w:r>
      <w:r w:rsidR="006F4820">
        <w:rPr>
          <w:rFonts w:cstheme="minorHAnsi"/>
        </w:rPr>
        <w:t xml:space="preserve"> </w:t>
      </w:r>
      <w:r w:rsidR="003652E3" w:rsidRPr="003652E3">
        <w:rPr>
          <w:rFonts w:cstheme="minorHAnsi"/>
        </w:rPr>
        <w:t>A/HRC/55/12</w:t>
      </w:r>
      <w:r w:rsidR="00D42725">
        <w:rPr>
          <w:rFonts w:cstheme="minorHAnsi"/>
        </w:rPr>
        <w:t xml:space="preserve"> (19 December 2023)</w:t>
      </w:r>
      <w:r w:rsidR="0074541E">
        <w:rPr>
          <w:rFonts w:cstheme="minorHAnsi"/>
        </w:rPr>
        <w:t>.</w:t>
      </w:r>
    </w:p>
  </w:footnote>
  <w:footnote w:id="27">
    <w:p w14:paraId="0F48177A" w14:textId="5E4411D1" w:rsidR="004F7D27" w:rsidRPr="004F7D27" w:rsidRDefault="004F7D27">
      <w:pPr>
        <w:pStyle w:val="FootnoteText"/>
      </w:pPr>
      <w:r>
        <w:rPr>
          <w:rStyle w:val="FootnoteReference"/>
        </w:rPr>
        <w:footnoteRef/>
      </w:r>
      <w:r>
        <w:t xml:space="preserve"> </w:t>
      </w:r>
      <w:r w:rsidR="000551EA" w:rsidRPr="00092F8A">
        <w:t>Canada fails to act with due diligence (Article 2 (c), (e))</w:t>
      </w:r>
      <w:r w:rsidR="0080593D" w:rsidRPr="00092F8A">
        <w:t>, fails to</w:t>
      </w:r>
      <w:r w:rsidRPr="007F4AB4">
        <w:rPr>
          <w:rFonts w:eastAsiaTheme="minorEastAsia"/>
          <w:color w:val="000000" w:themeColor="text1"/>
        </w:rPr>
        <w:t xml:space="preserve"> ensure that Indigenous women are protected against discrimination committed by public institutions</w:t>
      </w:r>
      <w:r w:rsidR="0080593D" w:rsidRPr="007F4AB4">
        <w:rPr>
          <w:rFonts w:eastAsiaTheme="minorEastAsia"/>
          <w:color w:val="000000" w:themeColor="text1"/>
        </w:rPr>
        <w:t xml:space="preserve"> (A</w:t>
      </w:r>
      <w:r w:rsidRPr="007F4AB4">
        <w:rPr>
          <w:rFonts w:eastAsiaTheme="minorEastAsia"/>
          <w:color w:val="000000" w:themeColor="text1"/>
        </w:rPr>
        <w:t>rticle 2 (d)</w:t>
      </w:r>
      <w:r w:rsidR="0080593D" w:rsidRPr="007F4AB4">
        <w:rPr>
          <w:rFonts w:eastAsiaTheme="minorEastAsia"/>
          <w:color w:val="000000" w:themeColor="text1"/>
        </w:rPr>
        <w:t>) and</w:t>
      </w:r>
      <w:r w:rsidR="00773E79">
        <w:rPr>
          <w:rFonts w:eastAsiaTheme="minorEastAsia"/>
          <w:color w:val="000000" w:themeColor="text1"/>
        </w:rPr>
        <w:t xml:space="preserve"> </w:t>
      </w:r>
      <w:r w:rsidRPr="007F4AB4">
        <w:rPr>
          <w:rFonts w:eastAsiaTheme="minorEastAsia"/>
          <w:color w:val="000000" w:themeColor="text1"/>
        </w:rPr>
        <w:t>violates the rights of Indigenous women victims of violence, in particular those victims of murder and disappearance and their family members</w:t>
      </w:r>
      <w:r w:rsidR="00092F8A" w:rsidRPr="007F4AB4">
        <w:rPr>
          <w:rFonts w:eastAsiaTheme="minorEastAsia"/>
          <w:color w:val="000000" w:themeColor="text1"/>
        </w:rPr>
        <w:t xml:space="preserve"> (a</w:t>
      </w:r>
      <w:r w:rsidRPr="007F4AB4">
        <w:rPr>
          <w:rFonts w:eastAsiaTheme="minorEastAsia"/>
          <w:color w:val="000000" w:themeColor="text1"/>
        </w:rPr>
        <w:t>rticles 1, 2 (c) (d) (e) and (f), 3, and 5 (a</w:t>
      </w:r>
      <w:r w:rsidR="00092F8A" w:rsidRPr="007F4AB4">
        <w:rPr>
          <w:rFonts w:eastAsiaTheme="minorEastAsia"/>
          <w:color w:val="000000" w:themeColor="text1"/>
        </w:rPr>
        <w:t>)).</w:t>
      </w:r>
    </w:p>
  </w:footnote>
  <w:footnote w:id="28">
    <w:p w14:paraId="4BAC0304" w14:textId="77777777" w:rsidR="00F059E0" w:rsidRDefault="00F059E0" w:rsidP="00F059E0">
      <w:pPr>
        <w:pStyle w:val="FootnoteText"/>
      </w:pPr>
      <w:r>
        <w:rPr>
          <w:rStyle w:val="FootnoteReference"/>
        </w:rPr>
        <w:footnoteRef/>
      </w:r>
      <w:r>
        <w:t xml:space="preserve"> </w:t>
      </w:r>
      <w:r w:rsidRPr="007F4AB4">
        <w:rPr>
          <w:iCs/>
        </w:rPr>
        <w:t>Missing and Murdered Indigenous Women, Girls, and 2SLGBTQQIA+ People National Action Plan: Ending Violence Against Indigenous Women, Girls, and 2SLGBTQQIA+ People</w:t>
      </w:r>
    </w:p>
  </w:footnote>
  <w:footnote w:id="29">
    <w:p w14:paraId="6BCD905C" w14:textId="454B8651" w:rsidR="00303C0D" w:rsidRPr="00CE4C1F" w:rsidRDefault="00303C0D" w:rsidP="00303C0D">
      <w:pPr>
        <w:pStyle w:val="FootnoteText"/>
      </w:pPr>
      <w:r w:rsidRPr="00CE4C1F">
        <w:rPr>
          <w:rStyle w:val="FootnoteReference"/>
        </w:rPr>
        <w:footnoteRef/>
      </w:r>
      <w:r w:rsidR="1D5E8CE5" w:rsidRPr="00CE4C1F">
        <w:t xml:space="preserve"> </w:t>
      </w:r>
      <w:r w:rsidR="1D5E8CE5" w:rsidRPr="007F4AB4">
        <w:rPr>
          <w:rFonts w:ascii="Calibri" w:eastAsia="Calibri" w:hAnsi="Calibri" w:cs="Calibri"/>
          <w:color w:val="000000" w:themeColor="text1"/>
        </w:rPr>
        <w:t>A Report Card on the MMIWG Inquiry’s Calls for Justice. C</w:t>
      </w:r>
      <w:r w:rsidR="1D5E8CE5">
        <w:rPr>
          <w:rFonts w:ascii="Calibri" w:eastAsia="Calibri" w:hAnsi="Calibri" w:cs="Calibri"/>
          <w:color w:val="000000" w:themeColor="text1"/>
        </w:rPr>
        <w:t xml:space="preserve">anadian </w:t>
      </w:r>
      <w:r w:rsidR="1D5E8CE5" w:rsidRPr="007F4AB4">
        <w:rPr>
          <w:rFonts w:ascii="Calibri" w:eastAsia="Calibri" w:hAnsi="Calibri" w:cs="Calibri"/>
          <w:color w:val="000000" w:themeColor="text1"/>
        </w:rPr>
        <w:t>B</w:t>
      </w:r>
      <w:r w:rsidR="1D5E8CE5">
        <w:rPr>
          <w:rFonts w:ascii="Calibri" w:eastAsia="Calibri" w:hAnsi="Calibri" w:cs="Calibri"/>
          <w:color w:val="000000" w:themeColor="text1"/>
        </w:rPr>
        <w:t>roadcast Company (CBC)</w:t>
      </w:r>
      <w:r w:rsidR="1D5E8CE5" w:rsidRPr="007F4AB4">
        <w:rPr>
          <w:rFonts w:ascii="Calibri" w:eastAsia="Calibri" w:hAnsi="Calibri" w:cs="Calibri"/>
          <w:color w:val="000000" w:themeColor="text1"/>
        </w:rPr>
        <w:t>. 2023</w:t>
      </w:r>
      <w:r w:rsidR="1D5E8CE5">
        <w:rPr>
          <w:rFonts w:ascii="Calibri" w:eastAsia="Calibri" w:hAnsi="Calibri" w:cs="Calibri"/>
          <w:color w:val="000000" w:themeColor="text1"/>
        </w:rPr>
        <w:t xml:space="preserve"> (</w:t>
      </w:r>
      <w:hyperlink r:id="rId10" w:history="1">
        <w:r w:rsidR="1D5E8CE5" w:rsidRPr="1D5E8CE5">
          <w:rPr>
            <w:rStyle w:val="Hyperlink"/>
            <w:rFonts w:ascii="Calibri" w:eastAsia="Calibri" w:hAnsi="Calibri" w:cs="Calibri"/>
          </w:rPr>
          <w:t>https://www.cbc.ca/newsinteractives/features/cfj-report-cards</w:t>
        </w:r>
      </w:hyperlink>
      <w:r w:rsidR="1D5E8CE5" w:rsidRPr="1D5E8CE5">
        <w:rPr>
          <w:rFonts w:ascii="Calibri" w:eastAsia="Calibri" w:hAnsi="Calibri" w:cs="Calibri"/>
          <w:color w:val="000000" w:themeColor="text1"/>
        </w:rPr>
        <w:t>)</w:t>
      </w:r>
      <w:r w:rsidR="1D5E8CE5">
        <w:rPr>
          <w:rFonts w:ascii="Calibri" w:eastAsia="Calibri" w:hAnsi="Calibri" w:cs="Calibri"/>
          <w:color w:val="000000" w:themeColor="text1"/>
        </w:rPr>
        <w:t>; “</w:t>
      </w:r>
      <w:r w:rsidR="1D5E8CE5" w:rsidRPr="007F4AB4">
        <w:rPr>
          <w:rFonts w:ascii="Calibri" w:eastAsia="Calibri" w:hAnsi="Calibri" w:cs="Calibri"/>
          <w:color w:val="000000" w:themeColor="text1"/>
        </w:rPr>
        <w:t>Breathing</w:t>
      </w:r>
      <w:r w:rsidR="1D5E8CE5" w:rsidRPr="1D5E8CE5">
        <w:rPr>
          <w:rFonts w:ascii="Calibri" w:eastAsia="Calibri" w:hAnsi="Calibri" w:cs="Calibri"/>
          <w:color w:val="000000" w:themeColor="text1"/>
        </w:rPr>
        <w:t xml:space="preserve"> Life into the Calls for Justice“</w:t>
      </w:r>
      <w:r w:rsidR="009E6331">
        <w:rPr>
          <w:rFonts w:ascii="Calibri" w:eastAsia="Calibri" w:hAnsi="Calibri" w:cs="Calibri"/>
          <w:color w:val="000000" w:themeColor="text1"/>
        </w:rPr>
        <w:t xml:space="preserve">: </w:t>
      </w:r>
      <w:r w:rsidR="1D5E8CE5" w:rsidRPr="1D5E8CE5">
        <w:rPr>
          <w:rFonts w:ascii="Calibri" w:eastAsia="Calibri" w:hAnsi="Calibri" w:cs="Calibri"/>
          <w:color w:val="000000" w:themeColor="text1"/>
        </w:rPr>
        <w:t xml:space="preserve"> Assembly of First Nations. 2024. https://afn.bynder.com/m/2ea645db802ef4/original/Breathing-Life-into-the-Calls-for-Justice-A-CFJ-Progress-Report.pdf</w:t>
      </w:r>
    </w:p>
  </w:footnote>
  <w:footnote w:id="30">
    <w:p w14:paraId="62BC938C" w14:textId="71EBE2FB" w:rsidR="00A86468" w:rsidRDefault="00A86468">
      <w:pPr>
        <w:pStyle w:val="FootnoteText"/>
      </w:pPr>
      <w:r w:rsidRPr="00CE4C1F">
        <w:rPr>
          <w:rStyle w:val="FootnoteReference"/>
        </w:rPr>
        <w:footnoteRef/>
      </w:r>
      <w:r w:rsidRPr="00CE4C1F">
        <w:t xml:space="preserve"> </w:t>
      </w:r>
      <w:r w:rsidRPr="007F4AB4">
        <w:rPr>
          <w:rFonts w:ascii="Calibri" w:eastAsia="Calibri" w:hAnsi="Calibri" w:cs="Calibri"/>
          <w:color w:val="000000" w:themeColor="text1"/>
        </w:rPr>
        <w:t>CEDAW/C/OP.8/CAN/1</w:t>
      </w:r>
    </w:p>
  </w:footnote>
  <w:footnote w:id="31">
    <w:p w14:paraId="642E51DD" w14:textId="77777777" w:rsidR="003F1C49" w:rsidRDefault="003F1C49" w:rsidP="003F1C49">
      <w:pPr>
        <w:pStyle w:val="FootnoteText"/>
      </w:pPr>
      <w:r>
        <w:rPr>
          <w:rStyle w:val="FootnoteReference"/>
        </w:rPr>
        <w:footnoteRef/>
      </w:r>
      <w:r>
        <w:t xml:space="preserve"> Call for Justice 1.7 Final Report </w:t>
      </w:r>
      <w:hyperlink r:id="rId11" w:history="1">
        <w:r w:rsidRPr="009824C3">
          <w:rPr>
            <w:rStyle w:val="Hyperlink"/>
          </w:rPr>
          <w:t>https://www.rcaanc-cirnac.gc.ca/eng/1717103903695/1717103981609</w:t>
        </w:r>
      </w:hyperlink>
      <w:r>
        <w:t xml:space="preserve"> </w:t>
      </w:r>
    </w:p>
  </w:footnote>
  <w:footnote w:id="32">
    <w:p w14:paraId="2DF0D74C" w14:textId="7D6CA3FE" w:rsidR="00834156" w:rsidRPr="00CF086A" w:rsidRDefault="00834156" w:rsidP="00834156">
      <w:pPr>
        <w:pStyle w:val="FootnoteText"/>
      </w:pPr>
      <w:r>
        <w:rPr>
          <w:rStyle w:val="FootnoteReference"/>
        </w:rPr>
        <w:footnoteRef/>
      </w:r>
      <w:r>
        <w:t xml:space="preserve"> The Federal budget commits funding to the </w:t>
      </w:r>
      <w:r w:rsidRPr="00DC0BAA">
        <w:rPr>
          <w:i/>
          <w:iCs/>
        </w:rPr>
        <w:t>aftermath</w:t>
      </w:r>
      <w:r>
        <w:t xml:space="preserve"> of violence - </w:t>
      </w:r>
      <w:r w:rsidRPr="008C40D3">
        <w:t xml:space="preserve"> $1.3M over three years to implement a Red Dress Alert that notifies the public when an Indigenous woman, girl, or Two Spirit person goes missing; $20M to search the Prairie Green Landfill for </w:t>
      </w:r>
      <w:r w:rsidR="00967FB3">
        <w:t>the remains</w:t>
      </w:r>
      <w:r w:rsidR="00B33629">
        <w:t xml:space="preserve"> of missing and murdered </w:t>
      </w:r>
      <w:r w:rsidRPr="008C40D3">
        <w:t>Indigenous women</w:t>
      </w:r>
      <w:r>
        <w:t xml:space="preserve">. </w:t>
      </w:r>
      <w:r w:rsidRPr="008C40D3">
        <w:t xml:space="preserve">To further highlight the lack of investment into Indigenous women’s safety, in comparison, the Indigenous Screen Office will receive $65M in funding over five years </w:t>
      </w:r>
      <w:r w:rsidRPr="00CF086A">
        <w:t xml:space="preserve">through the federal budget, whereas the Red Dress Alert will only receive $1.3M in funding over </w:t>
      </w:r>
      <w:r w:rsidRPr="00CF086A">
        <w:rPr>
          <w:i/>
        </w:rPr>
        <w:t>three</w:t>
      </w:r>
      <w:r w:rsidRPr="00CF086A">
        <w:t xml:space="preserve"> years.</w:t>
      </w:r>
    </w:p>
  </w:footnote>
  <w:footnote w:id="33">
    <w:p w14:paraId="6E0337D7" w14:textId="0A222EDF" w:rsidR="00DA60F9" w:rsidRPr="007F4AB4" w:rsidRDefault="00DA60F9" w:rsidP="007F4AB4">
      <w:pPr>
        <w:spacing w:line="259" w:lineRule="auto"/>
        <w:rPr>
          <w:rFonts w:eastAsiaTheme="minorEastAsia"/>
          <w:color w:val="000000" w:themeColor="text1"/>
          <w:sz w:val="22"/>
        </w:rPr>
      </w:pPr>
      <w:r w:rsidRPr="00CF086A">
        <w:rPr>
          <w:rStyle w:val="FootnoteReference"/>
          <w:sz w:val="20"/>
          <w:szCs w:val="20"/>
        </w:rPr>
        <w:footnoteRef/>
      </w:r>
      <w:r w:rsidRPr="00CF086A">
        <w:rPr>
          <w:sz w:val="20"/>
          <w:szCs w:val="20"/>
        </w:rPr>
        <w:t xml:space="preserve"> ONWA’s analysis was limited to information readily available through federal announcements (e.g. press releases</w:t>
      </w:r>
      <w:r w:rsidRPr="007C1CAD">
        <w:rPr>
          <w:sz w:val="20"/>
          <w:szCs w:val="20"/>
        </w:rPr>
        <w:t>). Despite repeated request</w:t>
      </w:r>
      <w:r w:rsidR="00A71728">
        <w:rPr>
          <w:sz w:val="20"/>
          <w:szCs w:val="20"/>
        </w:rPr>
        <w:t>s</w:t>
      </w:r>
      <w:r w:rsidRPr="007C1CAD">
        <w:rPr>
          <w:sz w:val="20"/>
          <w:szCs w:val="20"/>
        </w:rPr>
        <w:t xml:space="preserve"> for information and transparency, the federal government has not publicly released information about funding recipients. </w:t>
      </w:r>
      <w:r w:rsidRPr="00456684">
        <w:rPr>
          <w:sz w:val="20"/>
          <w:szCs w:val="20"/>
          <w:lang w:val="en-US"/>
        </w:rPr>
        <w:t>)</w:t>
      </w:r>
      <w:r>
        <w:rPr>
          <w:sz w:val="20"/>
          <w:szCs w:val="20"/>
          <w:lang w:val="en-US"/>
        </w:rPr>
        <w:t xml:space="preserve">. </w:t>
      </w:r>
      <w:r w:rsidRPr="00456684">
        <w:rPr>
          <w:sz w:val="20"/>
          <w:szCs w:val="20"/>
          <w:lang w:val="en-US"/>
        </w:rPr>
        <w:t xml:space="preserve">Of the $2.2 billion committed to Canada’s </w:t>
      </w:r>
      <w:r w:rsidRPr="00656F65">
        <w:rPr>
          <w:sz w:val="20"/>
          <w:szCs w:val="20"/>
          <w:lang w:val="en-US"/>
        </w:rPr>
        <w:t xml:space="preserve">response to MMIWG, we were only able to find information on $86 million </w:t>
      </w:r>
      <w:r w:rsidR="0092564A">
        <w:rPr>
          <w:sz w:val="20"/>
          <w:szCs w:val="20"/>
          <w:lang w:val="en-US"/>
        </w:rPr>
        <w:t>from</w:t>
      </w:r>
      <w:r w:rsidR="0092564A" w:rsidRPr="00456684">
        <w:rPr>
          <w:sz w:val="20"/>
          <w:szCs w:val="20"/>
          <w:lang w:val="en-US"/>
        </w:rPr>
        <w:t xml:space="preserve"> 3 government departments</w:t>
      </w:r>
      <w:r w:rsidR="0092564A">
        <w:rPr>
          <w:sz w:val="20"/>
          <w:szCs w:val="20"/>
          <w:lang w:val="en-US"/>
        </w:rPr>
        <w:t xml:space="preserve"> (CIRNAC, ISC, WAGE)</w:t>
      </w:r>
      <w:r w:rsidR="0092564A" w:rsidRPr="00456684">
        <w:rPr>
          <w:sz w:val="20"/>
          <w:szCs w:val="20"/>
          <w:lang w:val="en-US"/>
        </w:rPr>
        <w:t xml:space="preserve">, for 6 MMIWG initiatives </w:t>
      </w:r>
      <w:r w:rsidRPr="00656F65">
        <w:rPr>
          <w:sz w:val="20"/>
          <w:szCs w:val="20"/>
          <w:lang w:val="en-US"/>
        </w:rPr>
        <w:t>– this accounts for only 4% of the total funding</w:t>
      </w:r>
      <w:r w:rsidR="004B4F9A" w:rsidRPr="00656F65">
        <w:rPr>
          <w:sz w:val="20"/>
          <w:szCs w:val="20"/>
          <w:lang w:val="en-US"/>
        </w:rPr>
        <w:t xml:space="preserve">. </w:t>
      </w:r>
      <w:r w:rsidRPr="007F4AB4">
        <w:rPr>
          <w:sz w:val="20"/>
          <w:szCs w:val="20"/>
        </w:rPr>
        <w:t xml:space="preserve">Data was analyzed using various lenses, including </w:t>
      </w:r>
      <w:r w:rsidR="003E76BB">
        <w:rPr>
          <w:sz w:val="20"/>
          <w:szCs w:val="20"/>
        </w:rPr>
        <w:t>w</w:t>
      </w:r>
      <w:r w:rsidRPr="007F4AB4">
        <w:rPr>
          <w:sz w:val="20"/>
          <w:szCs w:val="20"/>
        </w:rPr>
        <w:t>hether the recipient was</w:t>
      </w:r>
      <w:r w:rsidR="003E76BB">
        <w:rPr>
          <w:sz w:val="20"/>
          <w:szCs w:val="20"/>
        </w:rPr>
        <w:t>:</w:t>
      </w:r>
      <w:r w:rsidRPr="007F4AB4">
        <w:rPr>
          <w:sz w:val="20"/>
          <w:szCs w:val="20"/>
        </w:rPr>
        <w:t xml:space="preserve"> an Indigenous or a non-Indigenous organization; an Indigenous Women’s organization or a 2S+ organization or a non-Indigenous women’s organization; a political/governance organization (e.g. First Nation, Metis Nation, PTO) or an urban/rural frontline service provider; What province or territory the organization was located in. We further attempted to apply ONWA’s Indigenous Gender Based Analysis (IGBA) framework</w:t>
      </w:r>
      <w:r w:rsidR="0072660C" w:rsidRPr="00656F65">
        <w:rPr>
          <w:sz w:val="20"/>
          <w:szCs w:val="20"/>
        </w:rPr>
        <w:t>.</w:t>
      </w:r>
    </w:p>
  </w:footnote>
  <w:footnote w:id="34">
    <w:p w14:paraId="0C82358F" w14:textId="77777777" w:rsidR="00DA60F9" w:rsidRPr="00C65B10" w:rsidRDefault="00DA60F9" w:rsidP="00C65B10">
      <w:pPr>
        <w:pStyle w:val="FootnoteText"/>
      </w:pPr>
      <w:r>
        <w:rPr>
          <w:rStyle w:val="FootnoteReference"/>
        </w:rPr>
        <w:footnoteRef/>
      </w:r>
      <w:r>
        <w:t xml:space="preserve"> Of the </w:t>
      </w:r>
      <w:r w:rsidRPr="00EB0B3C">
        <w:rPr>
          <w:lang w:val="en-US"/>
        </w:rPr>
        <w:t>$86.3M that we have been able to track, only 12% of the funding went to Indigenous women’s organizations or 2S+ organizations.</w:t>
      </w:r>
      <w:r>
        <w:rPr>
          <w:lang w:val="en-US"/>
        </w:rPr>
        <w:t xml:space="preserve"> Comparatively, </w:t>
      </w:r>
      <w:r w:rsidRPr="00EB0B3C">
        <w:rPr>
          <w:lang w:val="en-US"/>
        </w:rPr>
        <w:t>61% of the funding went organizations that are not specifically focused on Indigenous women or 2S+ people</w:t>
      </w:r>
      <w:r>
        <w:rPr>
          <w:lang w:val="en-US"/>
        </w:rPr>
        <w:t xml:space="preserve">, and </w:t>
      </w:r>
      <w:r w:rsidRPr="00EB0B3C">
        <w:rPr>
          <w:lang w:val="en-US"/>
        </w:rPr>
        <w:t xml:space="preserve"> 27% of funding went to non-Indigenous organizations who had partnered with </w:t>
      </w:r>
      <w:r w:rsidRPr="00C65B10">
        <w:rPr>
          <w:lang w:val="en-US"/>
        </w:rPr>
        <w:t>Indigenous organizations.</w:t>
      </w:r>
    </w:p>
  </w:footnote>
  <w:footnote w:id="35">
    <w:p w14:paraId="70EE9891" w14:textId="7CC9E3F2" w:rsidR="00C418D5" w:rsidRPr="00176B46" w:rsidRDefault="00C418D5" w:rsidP="007F4AB4">
      <w:pPr>
        <w:pStyle w:val="pf2"/>
        <w:spacing w:before="0" w:beforeAutospacing="0" w:after="0" w:afterAutospacing="0"/>
        <w:ind w:left="0"/>
        <w:rPr>
          <w:rFonts w:cstheme="minorHAnsi"/>
        </w:rPr>
      </w:pPr>
      <w:r w:rsidRPr="007F4AB4">
        <w:rPr>
          <w:rStyle w:val="FootnoteReference"/>
          <w:sz w:val="20"/>
          <w:szCs w:val="20"/>
        </w:rPr>
        <w:footnoteRef/>
      </w:r>
      <w:r w:rsidRPr="007F4AB4">
        <w:rPr>
          <w:sz w:val="20"/>
          <w:szCs w:val="20"/>
        </w:rPr>
        <w:t xml:space="preserve"> </w:t>
      </w:r>
      <w:r w:rsidRPr="00C65B10">
        <w:rPr>
          <w:rStyle w:val="cf41"/>
          <w:rFonts w:asciiTheme="minorHAnsi" w:hAnsiTheme="minorHAnsi" w:cstheme="minorHAnsi"/>
          <w:sz w:val="20"/>
          <w:szCs w:val="20"/>
        </w:rPr>
        <w:t>The</w:t>
      </w:r>
      <w:r w:rsidRPr="007F4AB4">
        <w:rPr>
          <w:rFonts w:asciiTheme="minorHAnsi" w:hAnsiTheme="minorHAnsi" w:cstheme="minorHAnsi"/>
          <w:color w:val="242424"/>
          <w:sz w:val="20"/>
          <w:szCs w:val="20"/>
          <w:shd w:val="clear" w:color="auto" w:fill="FFFFFF"/>
        </w:rPr>
        <w:t xml:space="preserve"> proportion of </w:t>
      </w:r>
      <w:r w:rsidRPr="007F4AB4">
        <w:rPr>
          <w:rFonts w:asciiTheme="minorHAnsi" w:eastAsiaTheme="minorEastAsia" w:hAnsiTheme="minorHAnsi" w:cstheme="minorHAnsi"/>
          <w:color w:val="000000"/>
          <w:sz w:val="20"/>
          <w:szCs w:val="20"/>
        </w:rPr>
        <w:t>femicide victims who are Indigenous in Ontario has steadily increased since the National Inquiry into MMIWG, from 5.4% in 2019-20 to 8.1% in 2022-2</w:t>
      </w:r>
      <w:r w:rsidRPr="007F4AB4">
        <w:rPr>
          <w:rFonts w:asciiTheme="minorHAnsi" w:hAnsiTheme="minorHAnsi" w:cstheme="minorHAnsi"/>
          <w:color w:val="242424"/>
          <w:sz w:val="20"/>
          <w:szCs w:val="20"/>
          <w:shd w:val="clear" w:color="auto" w:fill="FFFFFF"/>
        </w:rPr>
        <w:t>3 (</w:t>
      </w:r>
      <w:hyperlink r:id="rId12" w:history="1">
        <w:r w:rsidRPr="00CD4F52">
          <w:rPr>
            <w:rStyle w:val="Hyperlink"/>
            <w:rFonts w:asciiTheme="minorHAnsi" w:hAnsiTheme="minorHAnsi" w:cstheme="minorHAnsi"/>
            <w:sz w:val="20"/>
            <w:szCs w:val="20"/>
          </w:rPr>
          <w:t>OAITH Annual Femicide Lists and Reports</w:t>
        </w:r>
      </w:hyperlink>
      <w:r w:rsidR="00CD4F52">
        <w:rPr>
          <w:rFonts w:asciiTheme="minorHAnsi" w:hAnsiTheme="minorHAnsi" w:cstheme="minorHAnsi"/>
          <w:sz w:val="20"/>
          <w:szCs w:val="20"/>
        </w:rPr>
        <w:t>)</w:t>
      </w:r>
      <w:r w:rsidR="00CD4F52" w:rsidRPr="007F4AB4" w:rsidDel="00CD4F52">
        <w:rPr>
          <w:rFonts w:asciiTheme="minorHAnsi" w:hAnsiTheme="minorHAnsi" w:cstheme="minorHAnsi"/>
          <w:sz w:val="20"/>
          <w:szCs w:val="20"/>
        </w:rPr>
        <w:t xml:space="preserve"> </w:t>
      </w:r>
    </w:p>
  </w:footnote>
  <w:footnote w:id="36">
    <w:p w14:paraId="014D75A8" w14:textId="7817A182" w:rsidR="002F3588" w:rsidRPr="00495F22" w:rsidRDefault="002F3588" w:rsidP="002F3588">
      <w:pPr>
        <w:pStyle w:val="FootnoteText"/>
        <w:rPr>
          <w:rFonts w:ascii="Calibri" w:hAnsi="Calibri" w:cs="Calibri"/>
          <w:lang w:val="en-US"/>
        </w:rPr>
      </w:pPr>
      <w:r w:rsidRPr="00495F22">
        <w:rPr>
          <w:rStyle w:val="FootnoteReference"/>
          <w:rFonts w:ascii="Calibri" w:hAnsi="Calibri" w:cs="Calibri"/>
        </w:rPr>
        <w:footnoteRef/>
      </w:r>
      <w:r w:rsidRPr="00495F22">
        <w:rPr>
          <w:rFonts w:ascii="Calibri" w:hAnsi="Calibri" w:cs="Calibri"/>
        </w:rPr>
        <w:t xml:space="preserve"> </w:t>
      </w:r>
      <w:r w:rsidRPr="00495F22">
        <w:rPr>
          <w:rFonts w:ascii="Calibri" w:hAnsi="Calibri" w:cs="Calibri"/>
          <w:lang w:val="en-US"/>
        </w:rPr>
        <w:t xml:space="preserve">Conseil de la Nation Atikamekw and the Conseil des Atikamekw de Manawan (2020), </w:t>
      </w:r>
      <w:hyperlink r:id="rId13" w:history="1">
        <w:r w:rsidRPr="00495F22">
          <w:rPr>
            <w:rStyle w:val="Hyperlink"/>
            <w:rFonts w:ascii="Calibri" w:hAnsi="Calibri" w:cs="Calibri"/>
            <w:lang w:val="en-US"/>
          </w:rPr>
          <w:t>Joyce’s Principle</w:t>
        </w:r>
      </w:hyperlink>
      <w:r w:rsidRPr="00495F22">
        <w:rPr>
          <w:rFonts w:ascii="Calibri" w:hAnsi="Calibri" w:cs="Calibri"/>
          <w:lang w:val="en-US"/>
        </w:rPr>
        <w:t>, A brief presented to the Government of Canada and to the Government of Quebec</w:t>
      </w:r>
      <w:r w:rsidR="00D014E2">
        <w:rPr>
          <w:rFonts w:ascii="Calibri" w:hAnsi="Calibri" w:cs="Calibri"/>
          <w:lang w:val="en-US"/>
        </w:rPr>
        <w:t xml:space="preserve">; The Special Rapporteur </w:t>
      </w:r>
      <w:r w:rsidR="00A459BD">
        <w:rPr>
          <w:rFonts w:ascii="Calibri" w:hAnsi="Calibri" w:cs="Calibri"/>
          <w:lang w:val="en-US"/>
        </w:rPr>
        <w:t xml:space="preserve">on the Rights of Indingeosu Peoples </w:t>
      </w:r>
      <w:r w:rsidR="00D014E2">
        <w:rPr>
          <w:rFonts w:ascii="Calibri" w:hAnsi="Calibri" w:cs="Calibri"/>
          <w:lang w:val="en-US"/>
        </w:rPr>
        <w:t xml:space="preserve">also </w:t>
      </w:r>
      <w:r w:rsidR="00A459BD">
        <w:rPr>
          <w:rFonts w:ascii="Calibri" w:hAnsi="Calibri" w:cs="Calibri"/>
          <w:lang w:val="en-US"/>
        </w:rPr>
        <w:t>highlighted the tragic death of Joyce E</w:t>
      </w:r>
      <w:r w:rsidR="001508BE">
        <w:rPr>
          <w:rFonts w:ascii="Calibri" w:hAnsi="Calibri" w:cs="Calibri"/>
          <w:lang w:val="en-US"/>
        </w:rPr>
        <w:t xml:space="preserve">chaquan in his </w:t>
      </w:r>
      <w:hyperlink r:id="rId14" w:history="1">
        <w:r w:rsidR="001508BE" w:rsidRPr="001508BE">
          <w:rPr>
            <w:rStyle w:val="Hyperlink"/>
            <w:rFonts w:ascii="Calibri" w:hAnsi="Calibri" w:cs="Calibri"/>
            <w:lang w:val="en-US"/>
          </w:rPr>
          <w:t>2023 End of Mission Statement</w:t>
        </w:r>
      </w:hyperlink>
      <w:r w:rsidR="001508BE">
        <w:rPr>
          <w:rFonts w:ascii="Calibri" w:hAnsi="Calibri" w:cs="Calibri"/>
          <w:lang w:val="en-US"/>
        </w:rPr>
        <w:t>.</w:t>
      </w:r>
    </w:p>
  </w:footnote>
  <w:footnote w:id="37">
    <w:p w14:paraId="57FFA29C" w14:textId="77777777" w:rsidR="00C501F2" w:rsidRPr="00D044C3" w:rsidRDefault="00C501F2" w:rsidP="00C501F2">
      <w:pPr>
        <w:pStyle w:val="FootnoteText"/>
      </w:pPr>
      <w:r w:rsidRPr="007C1CAD">
        <w:rPr>
          <w:vertAlign w:val="superscript"/>
        </w:rPr>
        <w:footnoteRef/>
      </w:r>
      <w:r w:rsidRPr="007C1CAD">
        <w:rPr>
          <w:vertAlign w:val="superscript"/>
        </w:rPr>
        <w:t xml:space="preserve"> </w:t>
      </w:r>
      <w:r w:rsidRPr="00D044C3">
        <w:t>For example, there were no statistics specific to Indigenous women related to experiences of poverty, food insecurity, or homelessness. The statistics profile also did not include key factors that Indigenous women are impacted by and disadvantaged as a result, including lifetime experience of violence, involvement with child welfare, justice system involvement, impacts from climate change, and discrimination in healthcare.</w:t>
      </w:r>
    </w:p>
  </w:footnote>
  <w:footnote w:id="38">
    <w:p w14:paraId="0DDBCD1C" w14:textId="03C964B4" w:rsidR="000229AE" w:rsidRPr="00DC0BAA" w:rsidRDefault="000229AE">
      <w:pPr>
        <w:pStyle w:val="FootnoteText"/>
      </w:pPr>
      <w:r w:rsidRPr="00D044C3">
        <w:rPr>
          <w:rStyle w:val="FootnoteReference"/>
        </w:rPr>
        <w:footnoteRef/>
      </w:r>
      <w:r w:rsidRPr="00DC0BAA">
        <w:t xml:space="preserve"> A/HRC/54/31/Add.2, para. 57</w:t>
      </w:r>
    </w:p>
  </w:footnote>
  <w:footnote w:id="39">
    <w:p w14:paraId="1969076A" w14:textId="5803EC9D" w:rsidR="00810A7E" w:rsidRPr="00810A7E" w:rsidRDefault="00810A7E">
      <w:pPr>
        <w:pStyle w:val="FootnoteText"/>
        <w:rPr>
          <w:lang w:val="en-US"/>
        </w:rPr>
      </w:pPr>
      <w:r w:rsidRPr="00D044C3">
        <w:rPr>
          <w:rStyle w:val="FootnoteReference"/>
        </w:rPr>
        <w:footnoteRef/>
      </w:r>
      <w:r w:rsidRPr="00D044C3">
        <w:t xml:space="preserve"> Committee on Economic, Social and Cultural Rights, general comment No. 26 (2022), para. 5</w:t>
      </w:r>
    </w:p>
  </w:footnote>
  <w:footnote w:id="40">
    <w:p w14:paraId="79ACB1BA" w14:textId="683ABEB6" w:rsidR="00E53210" w:rsidRPr="00B513AF" w:rsidRDefault="00E53210" w:rsidP="00E53210">
      <w:pPr>
        <w:pStyle w:val="FootnoteText"/>
      </w:pPr>
      <w:r w:rsidRPr="00B513AF">
        <w:rPr>
          <w:rStyle w:val="FootnoteReference"/>
        </w:rPr>
        <w:footnoteRef/>
      </w:r>
      <w:r w:rsidRPr="00B513AF">
        <w:t xml:space="preserve"> An update on the socio-economic gaps between Indigenous Peoples and the non-Indigenous population in Canada: </w:t>
      </w:r>
      <w:hyperlink r:id="rId15" w:history="1">
        <w:r w:rsidRPr="00D75AB4">
          <w:rPr>
            <w:rStyle w:val="Hyperlink"/>
          </w:rPr>
          <w:t>Highlights from the 2021 Census, Statistics Canada</w:t>
        </w:r>
      </w:hyperlink>
      <w:r w:rsidRPr="00B513AF">
        <w:t xml:space="preserve">. </w:t>
      </w:r>
    </w:p>
  </w:footnote>
  <w:footnote w:id="41">
    <w:p w14:paraId="712B2341" w14:textId="663936A6" w:rsidR="00E53210" w:rsidRPr="00B513AF" w:rsidRDefault="00E53210" w:rsidP="00E53210">
      <w:pPr>
        <w:pStyle w:val="FootnoteText"/>
      </w:pPr>
      <w:r w:rsidRPr="00B513AF">
        <w:rPr>
          <w:rStyle w:val="FootnoteReference"/>
        </w:rPr>
        <w:footnoteRef/>
      </w:r>
      <w:r w:rsidRPr="00B513AF">
        <w:t xml:space="preserve"> “</w:t>
      </w:r>
      <w:hyperlink r:id="rId16" w:history="1">
        <w:r w:rsidRPr="00D75AB4">
          <w:rPr>
            <w:rStyle w:val="Hyperlink"/>
          </w:rPr>
          <w:t xml:space="preserve">Reclaiming Power and Place: The Final Report of the National Inquiry into </w:t>
        </w:r>
        <w:r w:rsidR="00D75AB4" w:rsidRPr="00D75AB4">
          <w:rPr>
            <w:rStyle w:val="Hyperlink"/>
          </w:rPr>
          <w:t>MMIWG</w:t>
        </w:r>
      </w:hyperlink>
      <w:r w:rsidRPr="00B513AF">
        <w:t>”</w:t>
      </w:r>
      <w:r w:rsidR="00D75AB4">
        <w:t>.</w:t>
      </w:r>
      <w:r w:rsidRPr="00B513AF">
        <w:t xml:space="preserve"> </w:t>
      </w:r>
    </w:p>
  </w:footnote>
  <w:footnote w:id="42">
    <w:p w14:paraId="1EF46A07" w14:textId="0C77F880" w:rsidR="00E53210" w:rsidRPr="00B513AF" w:rsidRDefault="00E53210" w:rsidP="00E53210">
      <w:pPr>
        <w:pStyle w:val="FootnoteText"/>
      </w:pPr>
      <w:r w:rsidRPr="00B513AF">
        <w:rPr>
          <w:rStyle w:val="FootnoteReference"/>
        </w:rPr>
        <w:footnoteRef/>
      </w:r>
      <w:r w:rsidRPr="00B513AF">
        <w:t xml:space="preserve"> ”</w:t>
      </w:r>
      <w:hyperlink r:id="rId17" w:history="1">
        <w:r w:rsidRPr="00D75AB4">
          <w:rPr>
            <w:rStyle w:val="Hyperlink"/>
          </w:rPr>
          <w:t>Violent victimization and perceptions of safety: Experiences of First Nations, Métis and Inuit women in Canada”, Statistics Canada. 2022</w:t>
        </w:r>
      </w:hyperlink>
      <w:r w:rsidRPr="00B513AF">
        <w:t xml:space="preserve">. </w:t>
      </w:r>
    </w:p>
  </w:footnote>
  <w:footnote w:id="43">
    <w:p w14:paraId="44B8129E" w14:textId="5242BEF1" w:rsidR="00F0572F" w:rsidRPr="00B513AF" w:rsidRDefault="00F0572F" w:rsidP="00F0572F">
      <w:pPr>
        <w:pStyle w:val="FootnoteText"/>
      </w:pPr>
      <w:r w:rsidRPr="00B513AF">
        <w:rPr>
          <w:rStyle w:val="FootnoteReference"/>
        </w:rPr>
        <w:footnoteRef/>
      </w:r>
      <w:r w:rsidRPr="00B513AF">
        <w:t xml:space="preserve"> Sutton, D. (2023) </w:t>
      </w:r>
      <w:hyperlink r:id="rId18" w:history="1">
        <w:r w:rsidRPr="00D75AB4">
          <w:rPr>
            <w:rStyle w:val="Hyperlink"/>
          </w:rPr>
          <w:t>Gender-related homicide of women and girls in Canada</w:t>
        </w:r>
      </w:hyperlink>
      <w:r w:rsidRPr="00B513AF">
        <w:t xml:space="preserve">. </w:t>
      </w:r>
      <w:r w:rsidRPr="00B513AF">
        <w:rPr>
          <w:i/>
          <w:iCs/>
        </w:rPr>
        <w:t>The Daily.</w:t>
      </w:r>
      <w:r w:rsidRPr="00B513AF">
        <w:t xml:space="preserve"> Statistics Canada Catalogue no. 85-002-X. </w:t>
      </w:r>
    </w:p>
  </w:footnote>
  <w:footnote w:id="44">
    <w:p w14:paraId="091C9952" w14:textId="7632C53F" w:rsidR="00BC089A" w:rsidRPr="00B513AF" w:rsidRDefault="00BC089A" w:rsidP="00BC089A">
      <w:pPr>
        <w:pStyle w:val="FootnoteText"/>
      </w:pPr>
      <w:r w:rsidRPr="00B513AF">
        <w:rPr>
          <w:rStyle w:val="FootnoteReference"/>
        </w:rPr>
        <w:footnoteRef/>
      </w:r>
      <w:r w:rsidR="00836381">
        <w:t xml:space="preserve"> </w:t>
      </w:r>
      <w:hyperlink r:id="rId19" w:history="1">
        <w:r w:rsidRPr="00D75AB4">
          <w:rPr>
            <w:rStyle w:val="Hyperlink"/>
          </w:rPr>
          <w:t>OAITH Annual Femicide Lists and Reports</w:t>
        </w:r>
      </w:hyperlink>
      <w:r w:rsidRPr="00B513AF">
        <w:t xml:space="preserve">. </w:t>
      </w:r>
    </w:p>
  </w:footnote>
  <w:footnote w:id="45">
    <w:p w14:paraId="21945A4C" w14:textId="14C60816" w:rsidR="00E53210" w:rsidRPr="00B513AF" w:rsidRDefault="00E53210" w:rsidP="00E53210">
      <w:pPr>
        <w:pStyle w:val="FootnoteText"/>
      </w:pPr>
      <w:r w:rsidRPr="000B7CFD">
        <w:rPr>
          <w:rStyle w:val="FootnoteReference"/>
        </w:rPr>
        <w:footnoteRef/>
      </w:r>
      <w:r w:rsidRPr="00B513AF">
        <w:t xml:space="preserve">  </w:t>
      </w:r>
      <w:r w:rsidR="00AF4E46" w:rsidRPr="00B513AF">
        <w:t>“</w:t>
      </w:r>
      <w:hyperlink r:id="rId20" w:history="1">
        <w:r w:rsidRPr="00D75AB4">
          <w:rPr>
            <w:rStyle w:val="Hyperlink"/>
          </w:rPr>
          <w:t>Violent victimization and perceptions of safety: Experiences of First Nations, Métis and Inuit women in Canada</w:t>
        </w:r>
      </w:hyperlink>
      <w:r w:rsidRPr="00B513AF">
        <w:t xml:space="preserve">”, Statistics Canada. 2022. </w:t>
      </w:r>
    </w:p>
  </w:footnote>
  <w:footnote w:id="46">
    <w:p w14:paraId="5358E196" w14:textId="77777777" w:rsidR="00E53210" w:rsidRPr="00B513AF" w:rsidRDefault="00E53210" w:rsidP="00E53210">
      <w:pPr>
        <w:pStyle w:val="FootnoteText"/>
      </w:pPr>
      <w:r w:rsidRPr="00B513AF">
        <w:rPr>
          <w:rStyle w:val="FootnoteReference"/>
        </w:rPr>
        <w:footnoteRef/>
      </w:r>
      <w:r w:rsidRPr="00B513AF">
        <w:rPr>
          <w:lang w:val="es-ES"/>
        </w:rPr>
        <w:t xml:space="preserve"> Srugo, S.A. et al (2023). </w:t>
      </w:r>
      <w:r w:rsidRPr="00B513AF">
        <w:t>Disparities in primary and emergency health care among “off-reserve” Indigenous females compared with non-Indigenous females aged 15–55 years in Canada. Canadian Medical Association Journal 2023 August 28;195:E1097-111. doi: 10.1503/cmaj.221407.</w:t>
      </w:r>
    </w:p>
  </w:footnote>
  <w:footnote w:id="47">
    <w:p w14:paraId="13D31861" w14:textId="77777777" w:rsidR="00E53210" w:rsidRPr="00B513AF" w:rsidRDefault="00E53210" w:rsidP="00E53210">
      <w:pPr>
        <w:pStyle w:val="FootnoteText"/>
      </w:pPr>
      <w:r w:rsidRPr="00B513AF">
        <w:rPr>
          <w:rStyle w:val="FootnoteReference"/>
        </w:rPr>
        <w:footnoteRef/>
      </w:r>
      <w:r w:rsidRPr="00B513AF">
        <w:t xml:space="preserve"> Ibid.</w:t>
      </w:r>
    </w:p>
  </w:footnote>
  <w:footnote w:id="48">
    <w:p w14:paraId="245AEF65" w14:textId="77777777" w:rsidR="00E53210" w:rsidRPr="007F4AB4" w:rsidRDefault="00E53210" w:rsidP="00E53210">
      <w:pPr>
        <w:pStyle w:val="FootnoteText"/>
      </w:pPr>
      <w:r w:rsidRPr="00B513AF">
        <w:rPr>
          <w:rStyle w:val="FootnoteReference"/>
        </w:rPr>
        <w:footnoteRef/>
      </w:r>
      <w:r w:rsidRPr="00B513AF">
        <w:t xml:space="preserve"> Ibid.</w:t>
      </w:r>
    </w:p>
  </w:footnote>
  <w:footnote w:id="49">
    <w:p w14:paraId="79BB5BB4" w14:textId="7CD7DB03" w:rsidR="002A14AF" w:rsidRPr="00B513AF" w:rsidRDefault="002A14AF">
      <w:pPr>
        <w:pStyle w:val="FootnoteText"/>
      </w:pPr>
      <w:r w:rsidRPr="00B513AF">
        <w:rPr>
          <w:rStyle w:val="FootnoteReference"/>
        </w:rPr>
        <w:footnoteRef/>
      </w:r>
      <w:r w:rsidRPr="00B513AF">
        <w:t xml:space="preserve"> </w:t>
      </w:r>
      <w:hyperlink r:id="rId21" w:anchor=":~:text=10%2C%2011).-,Food%20insecurity%20is%20a%20significant%20public%20health%20problem%20for%20Indigenous,other%20Canadian%20households%20(12)." w:history="1">
        <w:r w:rsidRPr="007F4AB4">
          <w:rPr>
            <w:rFonts w:ascii="Calibri" w:eastAsia="Calibri" w:hAnsi="Calibri" w:cs="Calibri"/>
          </w:rPr>
          <w:t>Food Security Status of Indigenous Peoples in Canada According to the 4 Pillars of Food Security</w:t>
        </w:r>
      </w:hyperlink>
      <w:r w:rsidRPr="007F4AB4">
        <w:rPr>
          <w:rFonts w:ascii="Calibri" w:eastAsia="Calibri" w:hAnsi="Calibri" w:cs="Calibri"/>
          <w:color w:val="000000" w:themeColor="text1"/>
        </w:rPr>
        <w:t>: A Scoping Review, National Library of Medicine. 2022.</w:t>
      </w:r>
    </w:p>
  </w:footnote>
  <w:footnote w:id="50">
    <w:p w14:paraId="4F9ECB55" w14:textId="4D04230E" w:rsidR="00E53210" w:rsidRPr="00B513AF" w:rsidRDefault="00E53210" w:rsidP="00E53210">
      <w:pPr>
        <w:pStyle w:val="FootnoteText"/>
      </w:pPr>
      <w:r w:rsidRPr="00B513AF">
        <w:rPr>
          <w:rStyle w:val="FootnoteReference"/>
        </w:rPr>
        <w:footnoteRef/>
      </w:r>
      <w:r w:rsidRPr="00B513AF">
        <w:t xml:space="preserve"> ”</w:t>
      </w:r>
      <w:hyperlink r:id="rId22" w:history="1">
        <w:r w:rsidRPr="00661E62">
          <w:rPr>
            <w:rStyle w:val="Hyperlink"/>
          </w:rPr>
          <w:t>Parliamentary Committee Notes: Overrepresentation (Indigenous Offenders</w:t>
        </w:r>
      </w:hyperlink>
      <w:r w:rsidRPr="00B513AF">
        <w:t xml:space="preserve">)”, Public Safety Canada. 2023. </w:t>
      </w:r>
    </w:p>
  </w:footnote>
  <w:footnote w:id="51">
    <w:p w14:paraId="19EB6D53" w14:textId="77777777" w:rsidR="00E53210" w:rsidRPr="00B513AF" w:rsidRDefault="00E53210" w:rsidP="00E53210">
      <w:pPr>
        <w:pStyle w:val="FootnoteText"/>
      </w:pPr>
      <w:r w:rsidRPr="00B513AF">
        <w:rPr>
          <w:rStyle w:val="FootnoteReference"/>
        </w:rPr>
        <w:footnoteRef/>
      </w:r>
      <w:r w:rsidRPr="00B513AF">
        <w:t xml:space="preserve"> Statistics Canada. (2023</w:t>
      </w:r>
      <w:r w:rsidRPr="00B513AF">
        <w:rPr>
          <w:color w:val="4169A7"/>
        </w:rPr>
        <w:t>). Table: 35-10-0007-01 Youth admissions to correctional services, by Indigenous identity and sex</w:t>
      </w:r>
      <w:r w:rsidRPr="00B513AF">
        <w:t xml:space="preserve">.  </w:t>
      </w:r>
    </w:p>
  </w:footnote>
  <w:footnote w:id="52">
    <w:p w14:paraId="77CDBCC6" w14:textId="4CC2E232" w:rsidR="00E53210" w:rsidRPr="000B7CFD" w:rsidRDefault="00E53210" w:rsidP="00E53210">
      <w:pPr>
        <w:pStyle w:val="FootnoteText"/>
      </w:pPr>
      <w:r w:rsidRPr="00B513AF">
        <w:rPr>
          <w:rStyle w:val="FootnoteReference"/>
        </w:rPr>
        <w:footnoteRef/>
      </w:r>
      <w:r w:rsidRPr="00B513AF">
        <w:t xml:space="preserve"> ”</w:t>
      </w:r>
      <w:hyperlink r:id="rId23" w:history="1">
        <w:r w:rsidRPr="00661E62">
          <w:rPr>
            <w:rStyle w:val="Hyperlink"/>
          </w:rPr>
          <w:t>Reducing the number of Indigenous children in care</w:t>
        </w:r>
      </w:hyperlink>
      <w:r w:rsidRPr="00B513AF">
        <w:t xml:space="preserve">”, First Nations Child and Family Services, Government of Canada. </w:t>
      </w:r>
    </w:p>
  </w:footnote>
  <w:footnote w:id="53">
    <w:p w14:paraId="2ACFFDE7" w14:textId="3DB13BC1" w:rsidR="00E53210" w:rsidRPr="004766D9" w:rsidRDefault="00E53210" w:rsidP="00E53210">
      <w:pPr>
        <w:pStyle w:val="FootnoteText"/>
      </w:pPr>
      <w:r w:rsidRPr="000B7CFD">
        <w:rPr>
          <w:rStyle w:val="FootnoteReference"/>
        </w:rPr>
        <w:footnoteRef/>
      </w:r>
      <w:r w:rsidRPr="000B7CFD">
        <w:t xml:space="preserve"> ”</w:t>
      </w:r>
      <w:hyperlink r:id="rId24" w:history="1">
        <w:r w:rsidRPr="00661E62">
          <w:rPr>
            <w:rStyle w:val="Hyperlink"/>
          </w:rPr>
          <w:t>Intersectional perspective on the Canadian gender wage gap</w:t>
        </w:r>
      </w:hyperlink>
      <w:r w:rsidRPr="000B7CFD">
        <w:t xml:space="preserve">”, Statistics Canada. </w:t>
      </w:r>
      <w:r w:rsidRPr="004766D9">
        <w:t xml:space="preserve">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27702" w14:textId="77777777" w:rsidR="0048767E" w:rsidRDefault="005D522B" w:rsidP="00C810D2">
    <w:pPr>
      <w:pStyle w:val="Header"/>
    </w:pPr>
    <w:r>
      <w:rPr>
        <w:noProof/>
      </w:rPr>
      <mc:AlternateContent>
        <mc:Choice Requires="wps">
          <w:drawing>
            <wp:anchor distT="0" distB="0" distL="114300" distR="114300" simplePos="0" relativeHeight="251658240" behindDoc="1" locked="0" layoutInCell="1" allowOverlap="1" wp14:anchorId="1F12E2A4" wp14:editId="328D633A">
              <wp:simplePos x="0" y="0"/>
              <wp:positionH relativeFrom="column">
                <wp:posOffset>-914400</wp:posOffset>
              </wp:positionH>
              <wp:positionV relativeFrom="paragraph">
                <wp:posOffset>-179705</wp:posOffset>
              </wp:positionV>
              <wp:extent cx="7772400" cy="10058400"/>
              <wp:effectExtent l="0" t="0" r="0" b="0"/>
              <wp:wrapNone/>
              <wp:docPr id="7" name="Rectangle 7"/>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3EF5EE" w14:textId="77777777" w:rsidR="005D522B" w:rsidRDefault="005D522B" w:rsidP="00D77CE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2E2A4" id="Rectangle 7" o:spid="_x0000_s1026" style="position:absolute;margin-left:-1in;margin-top:-14.15pt;width:612pt;height:1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" fillcolor="#e3e3eb [671]" stroked="f" strokeweight="2pt">
              <v:textbox>
                <w:txbxContent>
                  <w:p w14:paraId="1E3EF5EE" w14:textId="77777777" w:rsidR="005D522B" w:rsidRDefault="005D522B" w:rsidP="00D77CE6"/>
                </w:txbxContent>
              </v:textbox>
            </v:rect>
          </w:pict>
        </mc:Fallback>
      </mc:AlternateContent>
    </w:r>
    <w:r w:rsidR="008730B4" w:rsidRPr="008730B4">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7972A" w14:textId="77777777" w:rsidR="0064382D" w:rsidRDefault="00B91BCC" w:rsidP="0064382D">
    <w:pPr>
      <w:pStyle w:val="Header"/>
      <w:tabs>
        <w:tab w:val="clear" w:pos="9360"/>
      </w:tabs>
    </w:pPr>
    <w:r>
      <w:rPr>
        <w:noProof/>
      </w:rPr>
      <w:drawing>
        <wp:anchor distT="0" distB="0" distL="114300" distR="114300" simplePos="0" relativeHeight="251658249" behindDoc="1" locked="0" layoutInCell="1" allowOverlap="1" wp14:anchorId="132B7F09" wp14:editId="06B54781">
          <wp:simplePos x="0" y="0"/>
          <wp:positionH relativeFrom="page">
            <wp:posOffset>-415290</wp:posOffset>
          </wp:positionH>
          <wp:positionV relativeFrom="paragraph">
            <wp:posOffset>-180480</wp:posOffset>
          </wp:positionV>
          <wp:extent cx="8682630" cy="6709558"/>
          <wp:effectExtent l="0" t="0" r="4445" b="0"/>
          <wp:wrapNone/>
          <wp:docPr id="13" name="Picture 1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82630" cy="6709558"/>
                  </a:xfrm>
                  <a:prstGeom prst="rect">
                    <a:avLst/>
                  </a:prstGeom>
                </pic:spPr>
              </pic:pic>
            </a:graphicData>
          </a:graphic>
          <wp14:sizeRelH relativeFrom="page">
            <wp14:pctWidth>0</wp14:pctWidth>
          </wp14:sizeRelH>
          <wp14:sizeRelV relativeFrom="page">
            <wp14:pctHeight>0</wp14:pctHeight>
          </wp14:sizeRelV>
        </wp:anchor>
      </w:drawing>
    </w:r>
    <w:r w:rsidR="0064382D">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76D9D" w14:textId="35D2748E" w:rsidR="00FF2BDF" w:rsidRPr="00E06BB1" w:rsidRDefault="00FA79D7" w:rsidP="00655E82">
    <w:pPr>
      <w:pStyle w:val="Header"/>
      <w:tabs>
        <w:tab w:val="clear" w:pos="9360"/>
      </w:tabs>
      <w:jc w:val="right"/>
      <w:rPr>
        <w:noProof/>
        <w:sz w:val="16"/>
        <w:szCs w:val="16"/>
      </w:rPr>
    </w:pPr>
    <w:r w:rsidRPr="00401723">
      <w:rPr>
        <w:noProof/>
        <w:sz w:val="6"/>
        <w:szCs w:val="6"/>
      </w:rPr>
      <mc:AlternateContent>
        <mc:Choice Requires="wps">
          <w:drawing>
            <wp:anchor distT="0" distB="0" distL="114300" distR="114300" simplePos="0" relativeHeight="251658245" behindDoc="1" locked="0" layoutInCell="1" allowOverlap="1" wp14:anchorId="2CCF69B0" wp14:editId="55D538F1">
              <wp:simplePos x="0" y="0"/>
              <wp:positionH relativeFrom="page">
                <wp:align>right</wp:align>
              </wp:positionH>
              <wp:positionV relativeFrom="page">
                <wp:posOffset>358140</wp:posOffset>
              </wp:positionV>
              <wp:extent cx="7764780" cy="397510"/>
              <wp:effectExtent l="0" t="0" r="7620" b="2540"/>
              <wp:wrapNone/>
              <wp:docPr id="6" name="Rectangle 6"/>
              <wp:cNvGraphicFramePr/>
              <a:graphic xmlns:a="http://schemas.openxmlformats.org/drawingml/2006/main">
                <a:graphicData uri="http://schemas.microsoft.com/office/word/2010/wordprocessingShape">
                  <wps:wsp>
                    <wps:cNvSpPr/>
                    <wps:spPr>
                      <a:xfrm>
                        <a:off x="0" y="0"/>
                        <a:ext cx="7764780" cy="397510"/>
                      </a:xfrm>
                      <a:prstGeom prst="rect">
                        <a:avLst/>
                      </a:prstGeom>
                      <a:solidFill>
                        <a:srgbClr val="73769B"/>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EAE06" id="Rectangle 6" o:spid="_x0000_s1026" style="position:absolute;margin-left:560.2pt;margin-top:28.2pt;width:611.4pt;height:31.3pt;z-index:-251658235;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" fillcolor="#73769b" stroked="f" strokeweight="2pt">
              <w10:wrap anchorx="page" anchory="page"/>
            </v:rect>
          </w:pict>
        </mc:Fallback>
      </mc:AlternateContent>
    </w:r>
    <w:r w:rsidR="00401723" w:rsidRPr="00401723">
      <w:rPr>
        <w:noProof/>
      </w:rPr>
      <w:t xml:space="preserve">  </w:t>
    </w:r>
    <w:r w:rsidR="00401723" w:rsidRPr="00401723">
      <w:rPr>
        <w:noProof/>
        <w:sz w:val="22"/>
      </w:rPr>
      <w:drawing>
        <wp:anchor distT="0" distB="0" distL="114300" distR="114300" simplePos="0" relativeHeight="251658244" behindDoc="0" locked="0" layoutInCell="1" allowOverlap="1" wp14:anchorId="6FDD39DF" wp14:editId="15020192">
          <wp:simplePos x="0" y="0"/>
          <wp:positionH relativeFrom="page">
            <wp:align>right</wp:align>
          </wp:positionH>
          <wp:positionV relativeFrom="page">
            <wp:posOffset>13970</wp:posOffset>
          </wp:positionV>
          <wp:extent cx="7772400" cy="482453"/>
          <wp:effectExtent l="0" t="0" r="0" b="0"/>
          <wp:wrapSquare wrapText="bothSides"/>
          <wp:docPr id="1301304165" name="Picture 130130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 Header v2 _ 2b.jpg"/>
                  <pic:cNvPicPr/>
                </pic:nvPicPr>
                <pic:blipFill>
                  <a:blip r:embed="rId1">
                    <a:extLst>
                      <a:ext uri="{28A0092B-C50C-407E-A947-70E740481C1C}">
                        <a14:useLocalDpi xmlns:a14="http://schemas.microsoft.com/office/drawing/2010/main" val="0"/>
                      </a:ext>
                    </a:extLst>
                  </a:blip>
                  <a:stretch>
                    <a:fillRect/>
                  </a:stretch>
                </pic:blipFill>
                <pic:spPr>
                  <a:xfrm>
                    <a:off x="0" y="0"/>
                    <a:ext cx="7772400" cy="482453"/>
                  </a:xfrm>
                  <a:prstGeom prst="rect">
                    <a:avLst/>
                  </a:prstGeom>
                </pic:spPr>
              </pic:pic>
            </a:graphicData>
          </a:graphic>
          <wp14:sizeRelH relativeFrom="page">
            <wp14:pctWidth>0</wp14:pctWidth>
          </wp14:sizeRelH>
          <wp14:sizeRelV relativeFrom="page">
            <wp14:pctHeight>0</wp14:pctHeight>
          </wp14:sizeRelV>
        </wp:anchor>
      </w:drawing>
    </w:r>
    <w:r w:rsidR="00401723" w:rsidRPr="00401723">
      <w:rPr>
        <w:noProof/>
        <w:sz w:val="22"/>
      </w:rPr>
      <w:t xml:space="preserve"> </w:t>
    </w:r>
    <w:r w:rsidR="00401723" w:rsidRPr="00401723">
      <w:rPr>
        <w:rFonts w:ascii="Calibri" w:hAnsi="Calibri" w:cs="Times New Roman (Body CS)"/>
        <w:b/>
        <w:bCs/>
        <w:caps/>
        <w:color w:val="FFFFFF" w:themeColor="background1"/>
        <w:sz w:val="32"/>
        <w:szCs w:val="32"/>
      </w:rPr>
      <w:t xml:space="preserve"> </w:t>
    </w:r>
    <w:r w:rsidR="00867A7F" w:rsidRPr="00E06BB1">
      <w:rPr>
        <w:rFonts w:ascii="Calibri" w:hAnsi="Calibri" w:cs="Times New Roman (Body CS)"/>
        <w:b/>
        <w:caps/>
        <w:color w:val="FFFFFF" w:themeColor="background1"/>
        <w:sz w:val="28"/>
        <w:szCs w:val="30"/>
      </w:rPr>
      <w:t>ONWA</w:t>
    </w:r>
    <w:r w:rsidR="008F58DB" w:rsidRPr="00E06BB1">
      <w:rPr>
        <w:rFonts w:ascii="Calibri" w:hAnsi="Calibri" w:cs="Times New Roman (Body CS)"/>
        <w:b/>
        <w:caps/>
        <w:color w:val="FFFFFF" w:themeColor="background1"/>
        <w:sz w:val="28"/>
        <w:szCs w:val="30"/>
      </w:rPr>
      <w:t xml:space="preserve"> </w:t>
    </w:r>
    <w:r w:rsidR="00BC255B">
      <w:rPr>
        <w:rFonts w:ascii="Calibri" w:hAnsi="Calibri" w:cs="Times New Roman (Body CS)"/>
        <w:b/>
        <w:caps/>
        <w:color w:val="FFFFFF" w:themeColor="background1"/>
        <w:sz w:val="28"/>
        <w:szCs w:val="30"/>
      </w:rPr>
      <w:t>submission to CEDAW</w:t>
    </w:r>
    <w:r w:rsidR="00446C2F">
      <w:rPr>
        <w:rFonts w:ascii="Calibri" w:hAnsi="Calibri" w:cs="Times New Roman (Body CS)"/>
        <w:b/>
        <w:caps/>
        <w:color w:val="FFFFFF" w:themeColor="background1"/>
        <w:sz w:val="28"/>
        <w:szCs w:val="30"/>
      </w:rPr>
      <w:t xml:space="preserve"> (Canada’s review)</w:t>
    </w:r>
    <w:r w:rsidR="00BC255B">
      <w:rPr>
        <w:rFonts w:ascii="Calibri" w:hAnsi="Calibri" w:cs="Times New Roman (Body CS)"/>
        <w:b/>
        <w:caps/>
        <w:color w:val="FFFFFF" w:themeColor="background1"/>
        <w:sz w:val="28"/>
        <w:szCs w:val="30"/>
      </w:rPr>
      <w:t xml:space="preserve"> </w:t>
    </w:r>
    <w:r w:rsidR="00633943" w:rsidRPr="00E06BB1">
      <w:rPr>
        <w:rFonts w:ascii="Calibri" w:hAnsi="Calibri" w:cs="Times New Roman (Body CS)"/>
        <w:b/>
        <w:caps/>
        <w:color w:val="FFFFFF" w:themeColor="background1"/>
        <w:sz w:val="28"/>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87F30"/>
    <w:multiLevelType w:val="hybridMultilevel"/>
    <w:tmpl w:val="4F9C7FEC"/>
    <w:lvl w:ilvl="0" w:tplc="10090001">
      <w:start w:val="1"/>
      <w:numFmt w:val="bullet"/>
      <w:lvlText w:val=""/>
      <w:lvlJc w:val="left"/>
      <w:pPr>
        <w:ind w:left="501" w:hanging="360"/>
      </w:pPr>
      <w:rPr>
        <w:rFonts w:ascii="Symbol" w:hAnsi="Symbol" w:hint="default"/>
      </w:rPr>
    </w:lvl>
    <w:lvl w:ilvl="1" w:tplc="10090003">
      <w:start w:val="1"/>
      <w:numFmt w:val="bullet"/>
      <w:lvlText w:val="o"/>
      <w:lvlJc w:val="left"/>
      <w:pPr>
        <w:ind w:left="1221" w:hanging="360"/>
      </w:pPr>
      <w:rPr>
        <w:rFonts w:ascii="Courier New" w:hAnsi="Courier New" w:cs="Courier New" w:hint="default"/>
      </w:rPr>
    </w:lvl>
    <w:lvl w:ilvl="2" w:tplc="10090005">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 w15:restartNumberingAfterBreak="0">
    <w:nsid w:val="02ED5DC4"/>
    <w:multiLevelType w:val="hybridMultilevel"/>
    <w:tmpl w:val="C62E496C"/>
    <w:lvl w:ilvl="0" w:tplc="1009000F">
      <w:start w:val="1"/>
      <w:numFmt w:val="decimal"/>
      <w:lvlText w:val="%1."/>
      <w:lvlJc w:val="left"/>
      <w:pPr>
        <w:ind w:left="720" w:hanging="360"/>
      </w:pPr>
      <w:rPr>
        <w:rFonts w:hint="default"/>
      </w:rPr>
    </w:lvl>
    <w:lvl w:ilvl="1" w:tplc="1009001B">
      <w:start w:val="1"/>
      <w:numFmt w:val="lowerRoman"/>
      <w:lvlText w:val="%2."/>
      <w:lvlJc w:val="right"/>
      <w:pPr>
        <w:ind w:left="1211"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D91DFC"/>
    <w:multiLevelType w:val="hybridMultilevel"/>
    <w:tmpl w:val="49A6D452"/>
    <w:lvl w:ilvl="0" w:tplc="FFFFFFFF">
      <w:start w:val="1"/>
      <w:numFmt w:val="decimal"/>
      <w:lvlText w:val="%1."/>
      <w:lvlJc w:val="left"/>
      <w:pPr>
        <w:ind w:left="720" w:hanging="360"/>
      </w:pPr>
      <w:rPr>
        <w:rFonts w:eastAsiaTheme="minorHAnsi" w:hint="default"/>
        <w:b w:val="0"/>
        <w:color w:val="0000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D57C88"/>
    <w:multiLevelType w:val="hybridMultilevel"/>
    <w:tmpl w:val="6772ED08"/>
    <w:lvl w:ilvl="0" w:tplc="298E9248">
      <w:start w:val="1"/>
      <w:numFmt w:val="decimal"/>
      <w:lvlText w:val="%1."/>
      <w:lvlJc w:val="left"/>
      <w:pPr>
        <w:ind w:left="720" w:hanging="360"/>
      </w:pPr>
      <w:rPr>
        <w:rFonts w:eastAsiaTheme="minorHAnsi" w:hint="default"/>
        <w:b w:val="0"/>
        <w:color w:val="00000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AFE40E1"/>
    <w:multiLevelType w:val="hybridMultilevel"/>
    <w:tmpl w:val="645EE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27147B"/>
    <w:multiLevelType w:val="hybridMultilevel"/>
    <w:tmpl w:val="B6321F8E"/>
    <w:lvl w:ilvl="0" w:tplc="F02ED2CE">
      <w:start w:val="1"/>
      <w:numFmt w:val="bullet"/>
      <w:lvlText w:val="•"/>
      <w:lvlJc w:val="left"/>
      <w:pPr>
        <w:tabs>
          <w:tab w:val="num" w:pos="720"/>
        </w:tabs>
        <w:ind w:left="720" w:hanging="360"/>
      </w:pPr>
      <w:rPr>
        <w:rFonts w:ascii="Arial" w:hAnsi="Arial" w:hint="default"/>
      </w:rPr>
    </w:lvl>
    <w:lvl w:ilvl="1" w:tplc="C6BCA6E8" w:tentative="1">
      <w:start w:val="1"/>
      <w:numFmt w:val="bullet"/>
      <w:lvlText w:val="•"/>
      <w:lvlJc w:val="left"/>
      <w:pPr>
        <w:tabs>
          <w:tab w:val="num" w:pos="1440"/>
        </w:tabs>
        <w:ind w:left="1440" w:hanging="360"/>
      </w:pPr>
      <w:rPr>
        <w:rFonts w:ascii="Arial" w:hAnsi="Arial" w:hint="default"/>
      </w:rPr>
    </w:lvl>
    <w:lvl w:ilvl="2" w:tplc="890E4136" w:tentative="1">
      <w:start w:val="1"/>
      <w:numFmt w:val="bullet"/>
      <w:lvlText w:val="•"/>
      <w:lvlJc w:val="left"/>
      <w:pPr>
        <w:tabs>
          <w:tab w:val="num" w:pos="2160"/>
        </w:tabs>
        <w:ind w:left="2160" w:hanging="360"/>
      </w:pPr>
      <w:rPr>
        <w:rFonts w:ascii="Arial" w:hAnsi="Arial" w:hint="default"/>
      </w:rPr>
    </w:lvl>
    <w:lvl w:ilvl="3" w:tplc="02909AB2" w:tentative="1">
      <w:start w:val="1"/>
      <w:numFmt w:val="bullet"/>
      <w:lvlText w:val="•"/>
      <w:lvlJc w:val="left"/>
      <w:pPr>
        <w:tabs>
          <w:tab w:val="num" w:pos="2880"/>
        </w:tabs>
        <w:ind w:left="2880" w:hanging="360"/>
      </w:pPr>
      <w:rPr>
        <w:rFonts w:ascii="Arial" w:hAnsi="Arial" w:hint="default"/>
      </w:rPr>
    </w:lvl>
    <w:lvl w:ilvl="4" w:tplc="04A0E728" w:tentative="1">
      <w:start w:val="1"/>
      <w:numFmt w:val="bullet"/>
      <w:lvlText w:val="•"/>
      <w:lvlJc w:val="left"/>
      <w:pPr>
        <w:tabs>
          <w:tab w:val="num" w:pos="3600"/>
        </w:tabs>
        <w:ind w:left="3600" w:hanging="360"/>
      </w:pPr>
      <w:rPr>
        <w:rFonts w:ascii="Arial" w:hAnsi="Arial" w:hint="default"/>
      </w:rPr>
    </w:lvl>
    <w:lvl w:ilvl="5" w:tplc="A266D18A" w:tentative="1">
      <w:start w:val="1"/>
      <w:numFmt w:val="bullet"/>
      <w:lvlText w:val="•"/>
      <w:lvlJc w:val="left"/>
      <w:pPr>
        <w:tabs>
          <w:tab w:val="num" w:pos="4320"/>
        </w:tabs>
        <w:ind w:left="4320" w:hanging="360"/>
      </w:pPr>
      <w:rPr>
        <w:rFonts w:ascii="Arial" w:hAnsi="Arial" w:hint="default"/>
      </w:rPr>
    </w:lvl>
    <w:lvl w:ilvl="6" w:tplc="3D6CE034" w:tentative="1">
      <w:start w:val="1"/>
      <w:numFmt w:val="bullet"/>
      <w:lvlText w:val="•"/>
      <w:lvlJc w:val="left"/>
      <w:pPr>
        <w:tabs>
          <w:tab w:val="num" w:pos="5040"/>
        </w:tabs>
        <w:ind w:left="5040" w:hanging="360"/>
      </w:pPr>
      <w:rPr>
        <w:rFonts w:ascii="Arial" w:hAnsi="Arial" w:hint="default"/>
      </w:rPr>
    </w:lvl>
    <w:lvl w:ilvl="7" w:tplc="D8E45C2A" w:tentative="1">
      <w:start w:val="1"/>
      <w:numFmt w:val="bullet"/>
      <w:lvlText w:val="•"/>
      <w:lvlJc w:val="left"/>
      <w:pPr>
        <w:tabs>
          <w:tab w:val="num" w:pos="5760"/>
        </w:tabs>
        <w:ind w:left="5760" w:hanging="360"/>
      </w:pPr>
      <w:rPr>
        <w:rFonts w:ascii="Arial" w:hAnsi="Arial" w:hint="default"/>
      </w:rPr>
    </w:lvl>
    <w:lvl w:ilvl="8" w:tplc="352C46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713278"/>
    <w:multiLevelType w:val="hybridMultilevel"/>
    <w:tmpl w:val="32F8A976"/>
    <w:lvl w:ilvl="0" w:tplc="9DEE2FD2">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E23378C"/>
    <w:multiLevelType w:val="hybridMultilevel"/>
    <w:tmpl w:val="84DE9CA8"/>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2FA16AAC"/>
    <w:multiLevelType w:val="hybridMultilevel"/>
    <w:tmpl w:val="301E76C4"/>
    <w:lvl w:ilvl="0" w:tplc="FFFFFFFF">
      <w:start w:val="1"/>
      <w:numFmt w:val="decimal"/>
      <w:lvlText w:val="%1."/>
      <w:lvlJc w:val="left"/>
      <w:pPr>
        <w:ind w:left="360" w:hanging="360"/>
      </w:pPr>
      <w:rPr>
        <w:rFonts w:eastAsiaTheme="minorHAnsi" w:hint="default"/>
        <w:b w:val="0"/>
        <w:color w:val="000000"/>
        <w:sz w:val="22"/>
        <w:szCs w:val="22"/>
      </w:rPr>
    </w:lvl>
    <w:lvl w:ilvl="1" w:tplc="A984C30C">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2FDC2EE4"/>
    <w:multiLevelType w:val="hybridMultilevel"/>
    <w:tmpl w:val="FFFFFFFF"/>
    <w:lvl w:ilvl="0" w:tplc="D78EF51C">
      <w:start w:val="1"/>
      <w:numFmt w:val="decimal"/>
      <w:lvlText w:val="%1."/>
      <w:lvlJc w:val="left"/>
      <w:pPr>
        <w:ind w:left="720" w:hanging="360"/>
      </w:pPr>
    </w:lvl>
    <w:lvl w:ilvl="1" w:tplc="F5B84AC2">
      <w:start w:val="1"/>
      <w:numFmt w:val="lowerLetter"/>
      <w:lvlText w:val="%2."/>
      <w:lvlJc w:val="left"/>
      <w:pPr>
        <w:ind w:left="1440" w:hanging="360"/>
      </w:pPr>
    </w:lvl>
    <w:lvl w:ilvl="2" w:tplc="63EE19B4">
      <w:start w:val="1"/>
      <w:numFmt w:val="lowerRoman"/>
      <w:lvlText w:val="%3."/>
      <w:lvlJc w:val="right"/>
      <w:pPr>
        <w:ind w:left="2160" w:hanging="180"/>
      </w:pPr>
    </w:lvl>
    <w:lvl w:ilvl="3" w:tplc="8530F28A">
      <w:start w:val="1"/>
      <w:numFmt w:val="decimal"/>
      <w:lvlText w:val="%4."/>
      <w:lvlJc w:val="left"/>
      <w:pPr>
        <w:ind w:left="2880" w:hanging="360"/>
      </w:pPr>
    </w:lvl>
    <w:lvl w:ilvl="4" w:tplc="351866DE">
      <w:start w:val="1"/>
      <w:numFmt w:val="lowerLetter"/>
      <w:lvlText w:val="%5."/>
      <w:lvlJc w:val="left"/>
      <w:pPr>
        <w:ind w:left="3600" w:hanging="360"/>
      </w:pPr>
    </w:lvl>
    <w:lvl w:ilvl="5" w:tplc="D1AC444E">
      <w:start w:val="1"/>
      <w:numFmt w:val="lowerRoman"/>
      <w:lvlText w:val="%6."/>
      <w:lvlJc w:val="right"/>
      <w:pPr>
        <w:ind w:left="4320" w:hanging="180"/>
      </w:pPr>
    </w:lvl>
    <w:lvl w:ilvl="6" w:tplc="E7AA16FA">
      <w:start w:val="1"/>
      <w:numFmt w:val="decimal"/>
      <w:lvlText w:val="%7."/>
      <w:lvlJc w:val="left"/>
      <w:pPr>
        <w:ind w:left="5040" w:hanging="360"/>
      </w:pPr>
    </w:lvl>
    <w:lvl w:ilvl="7" w:tplc="F640B3FA">
      <w:start w:val="1"/>
      <w:numFmt w:val="lowerLetter"/>
      <w:lvlText w:val="%8."/>
      <w:lvlJc w:val="left"/>
      <w:pPr>
        <w:ind w:left="5760" w:hanging="360"/>
      </w:pPr>
    </w:lvl>
    <w:lvl w:ilvl="8" w:tplc="ECE21CF2">
      <w:start w:val="1"/>
      <w:numFmt w:val="lowerRoman"/>
      <w:lvlText w:val="%9."/>
      <w:lvlJc w:val="right"/>
      <w:pPr>
        <w:ind w:left="6480" w:hanging="180"/>
      </w:pPr>
    </w:lvl>
  </w:abstractNum>
  <w:abstractNum w:abstractNumId="10" w15:restartNumberingAfterBreak="0">
    <w:nsid w:val="31AC5289"/>
    <w:multiLevelType w:val="hybridMultilevel"/>
    <w:tmpl w:val="EE0A9AAE"/>
    <w:lvl w:ilvl="0" w:tplc="1009000F">
      <w:start w:val="1"/>
      <w:numFmt w:val="decimal"/>
      <w:lvlText w:val="%1."/>
      <w:lvlJc w:val="left"/>
      <w:pPr>
        <w:ind w:left="720" w:hanging="360"/>
      </w:pPr>
    </w:lvl>
    <w:lvl w:ilvl="1" w:tplc="B0B0EE9C">
      <w:start w:val="1"/>
      <w:numFmt w:val="lowerLetter"/>
      <w:pStyle w:val="TOC2"/>
      <w:lvlText w:val="%2."/>
      <w:lvlJc w:val="left"/>
      <w:pPr>
        <w:ind w:left="107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1EB3A48"/>
    <w:multiLevelType w:val="hybridMultilevel"/>
    <w:tmpl w:val="5BA68352"/>
    <w:lvl w:ilvl="0" w:tplc="298E9248">
      <w:start w:val="1"/>
      <w:numFmt w:val="decimal"/>
      <w:lvlText w:val="%1."/>
      <w:lvlJc w:val="left"/>
      <w:pPr>
        <w:ind w:left="720" w:hanging="360"/>
      </w:pPr>
      <w:rPr>
        <w:rFonts w:eastAsiaTheme="minorHAnsi" w:hint="default"/>
        <w:b w:val="0"/>
        <w:color w:val="00000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A993EC4"/>
    <w:multiLevelType w:val="hybridMultilevel"/>
    <w:tmpl w:val="3DC6504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15:restartNumberingAfterBreak="0">
    <w:nsid w:val="3E311232"/>
    <w:multiLevelType w:val="hybridMultilevel"/>
    <w:tmpl w:val="49A6D452"/>
    <w:lvl w:ilvl="0" w:tplc="FFFFFFFF">
      <w:start w:val="1"/>
      <w:numFmt w:val="decimal"/>
      <w:lvlText w:val="%1."/>
      <w:lvlJc w:val="left"/>
      <w:pPr>
        <w:ind w:left="720" w:hanging="360"/>
      </w:pPr>
      <w:rPr>
        <w:rFonts w:eastAsiaTheme="minorHAnsi" w:hint="default"/>
        <w:b w:val="0"/>
        <w:color w:val="0000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A351E01"/>
    <w:multiLevelType w:val="hybridMultilevel"/>
    <w:tmpl w:val="69903CB6"/>
    <w:lvl w:ilvl="0" w:tplc="83223ED0">
      <w:start w:val="1"/>
      <w:numFmt w:val="bullet"/>
      <w:lvlText w:val="•"/>
      <w:lvlJc w:val="left"/>
      <w:pPr>
        <w:tabs>
          <w:tab w:val="num" w:pos="720"/>
        </w:tabs>
        <w:ind w:left="720" w:hanging="360"/>
      </w:pPr>
      <w:rPr>
        <w:rFonts w:ascii="Arial" w:hAnsi="Arial" w:hint="default"/>
      </w:rPr>
    </w:lvl>
    <w:lvl w:ilvl="1" w:tplc="2A8EFCF4">
      <w:numFmt w:val="bullet"/>
      <w:lvlText w:val="-"/>
      <w:lvlJc w:val="left"/>
      <w:pPr>
        <w:tabs>
          <w:tab w:val="num" w:pos="1440"/>
        </w:tabs>
        <w:ind w:left="1440" w:hanging="360"/>
      </w:pPr>
      <w:rPr>
        <w:rFonts w:ascii="Calibri" w:hAnsi="Calibri" w:hint="default"/>
      </w:rPr>
    </w:lvl>
    <w:lvl w:ilvl="2" w:tplc="A06E1DA0">
      <w:numFmt w:val="bullet"/>
      <w:lvlText w:val="o"/>
      <w:lvlJc w:val="left"/>
      <w:pPr>
        <w:tabs>
          <w:tab w:val="num" w:pos="2160"/>
        </w:tabs>
        <w:ind w:left="2160" w:hanging="360"/>
      </w:pPr>
      <w:rPr>
        <w:rFonts w:ascii="Courier New" w:hAnsi="Courier New" w:hint="default"/>
      </w:rPr>
    </w:lvl>
    <w:lvl w:ilvl="3" w:tplc="C21C5BF6" w:tentative="1">
      <w:start w:val="1"/>
      <w:numFmt w:val="bullet"/>
      <w:lvlText w:val="•"/>
      <w:lvlJc w:val="left"/>
      <w:pPr>
        <w:tabs>
          <w:tab w:val="num" w:pos="2880"/>
        </w:tabs>
        <w:ind w:left="2880" w:hanging="360"/>
      </w:pPr>
      <w:rPr>
        <w:rFonts w:ascii="Arial" w:hAnsi="Arial" w:hint="default"/>
      </w:rPr>
    </w:lvl>
    <w:lvl w:ilvl="4" w:tplc="728A716A" w:tentative="1">
      <w:start w:val="1"/>
      <w:numFmt w:val="bullet"/>
      <w:lvlText w:val="•"/>
      <w:lvlJc w:val="left"/>
      <w:pPr>
        <w:tabs>
          <w:tab w:val="num" w:pos="3600"/>
        </w:tabs>
        <w:ind w:left="3600" w:hanging="360"/>
      </w:pPr>
      <w:rPr>
        <w:rFonts w:ascii="Arial" w:hAnsi="Arial" w:hint="default"/>
      </w:rPr>
    </w:lvl>
    <w:lvl w:ilvl="5" w:tplc="49B2BF88" w:tentative="1">
      <w:start w:val="1"/>
      <w:numFmt w:val="bullet"/>
      <w:lvlText w:val="•"/>
      <w:lvlJc w:val="left"/>
      <w:pPr>
        <w:tabs>
          <w:tab w:val="num" w:pos="4320"/>
        </w:tabs>
        <w:ind w:left="4320" w:hanging="360"/>
      </w:pPr>
      <w:rPr>
        <w:rFonts w:ascii="Arial" w:hAnsi="Arial" w:hint="default"/>
      </w:rPr>
    </w:lvl>
    <w:lvl w:ilvl="6" w:tplc="653AC88E" w:tentative="1">
      <w:start w:val="1"/>
      <w:numFmt w:val="bullet"/>
      <w:lvlText w:val="•"/>
      <w:lvlJc w:val="left"/>
      <w:pPr>
        <w:tabs>
          <w:tab w:val="num" w:pos="5040"/>
        </w:tabs>
        <w:ind w:left="5040" w:hanging="360"/>
      </w:pPr>
      <w:rPr>
        <w:rFonts w:ascii="Arial" w:hAnsi="Arial" w:hint="default"/>
      </w:rPr>
    </w:lvl>
    <w:lvl w:ilvl="7" w:tplc="89AC235E" w:tentative="1">
      <w:start w:val="1"/>
      <w:numFmt w:val="bullet"/>
      <w:lvlText w:val="•"/>
      <w:lvlJc w:val="left"/>
      <w:pPr>
        <w:tabs>
          <w:tab w:val="num" w:pos="5760"/>
        </w:tabs>
        <w:ind w:left="5760" w:hanging="360"/>
      </w:pPr>
      <w:rPr>
        <w:rFonts w:ascii="Arial" w:hAnsi="Arial" w:hint="default"/>
      </w:rPr>
    </w:lvl>
    <w:lvl w:ilvl="8" w:tplc="3CCCBB6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C146492"/>
    <w:multiLevelType w:val="hybridMultilevel"/>
    <w:tmpl w:val="1C2E852A"/>
    <w:lvl w:ilvl="0" w:tplc="38F8D5CC">
      <w:start w:val="1"/>
      <w:numFmt w:val="bullet"/>
      <w:lvlText w:val="•"/>
      <w:lvlJc w:val="left"/>
      <w:pPr>
        <w:tabs>
          <w:tab w:val="num" w:pos="720"/>
        </w:tabs>
        <w:ind w:left="720" w:hanging="360"/>
      </w:pPr>
      <w:rPr>
        <w:rFonts w:ascii="Arial" w:hAnsi="Arial" w:hint="default"/>
      </w:rPr>
    </w:lvl>
    <w:lvl w:ilvl="1" w:tplc="A3E8826E" w:tentative="1">
      <w:start w:val="1"/>
      <w:numFmt w:val="bullet"/>
      <w:lvlText w:val="•"/>
      <w:lvlJc w:val="left"/>
      <w:pPr>
        <w:tabs>
          <w:tab w:val="num" w:pos="1440"/>
        </w:tabs>
        <w:ind w:left="1440" w:hanging="360"/>
      </w:pPr>
      <w:rPr>
        <w:rFonts w:ascii="Arial" w:hAnsi="Arial" w:hint="default"/>
      </w:rPr>
    </w:lvl>
    <w:lvl w:ilvl="2" w:tplc="1E9A5672" w:tentative="1">
      <w:start w:val="1"/>
      <w:numFmt w:val="bullet"/>
      <w:lvlText w:val="•"/>
      <w:lvlJc w:val="left"/>
      <w:pPr>
        <w:tabs>
          <w:tab w:val="num" w:pos="2160"/>
        </w:tabs>
        <w:ind w:left="2160" w:hanging="360"/>
      </w:pPr>
      <w:rPr>
        <w:rFonts w:ascii="Arial" w:hAnsi="Arial" w:hint="default"/>
      </w:rPr>
    </w:lvl>
    <w:lvl w:ilvl="3" w:tplc="A8FE927A" w:tentative="1">
      <w:start w:val="1"/>
      <w:numFmt w:val="bullet"/>
      <w:lvlText w:val="•"/>
      <w:lvlJc w:val="left"/>
      <w:pPr>
        <w:tabs>
          <w:tab w:val="num" w:pos="2880"/>
        </w:tabs>
        <w:ind w:left="2880" w:hanging="360"/>
      </w:pPr>
      <w:rPr>
        <w:rFonts w:ascii="Arial" w:hAnsi="Arial" w:hint="default"/>
      </w:rPr>
    </w:lvl>
    <w:lvl w:ilvl="4" w:tplc="CF0CAA48" w:tentative="1">
      <w:start w:val="1"/>
      <w:numFmt w:val="bullet"/>
      <w:lvlText w:val="•"/>
      <w:lvlJc w:val="left"/>
      <w:pPr>
        <w:tabs>
          <w:tab w:val="num" w:pos="3600"/>
        </w:tabs>
        <w:ind w:left="3600" w:hanging="360"/>
      </w:pPr>
      <w:rPr>
        <w:rFonts w:ascii="Arial" w:hAnsi="Arial" w:hint="default"/>
      </w:rPr>
    </w:lvl>
    <w:lvl w:ilvl="5" w:tplc="3DF0918E" w:tentative="1">
      <w:start w:val="1"/>
      <w:numFmt w:val="bullet"/>
      <w:lvlText w:val="•"/>
      <w:lvlJc w:val="left"/>
      <w:pPr>
        <w:tabs>
          <w:tab w:val="num" w:pos="4320"/>
        </w:tabs>
        <w:ind w:left="4320" w:hanging="360"/>
      </w:pPr>
      <w:rPr>
        <w:rFonts w:ascii="Arial" w:hAnsi="Arial" w:hint="default"/>
      </w:rPr>
    </w:lvl>
    <w:lvl w:ilvl="6" w:tplc="97D43690" w:tentative="1">
      <w:start w:val="1"/>
      <w:numFmt w:val="bullet"/>
      <w:lvlText w:val="•"/>
      <w:lvlJc w:val="left"/>
      <w:pPr>
        <w:tabs>
          <w:tab w:val="num" w:pos="5040"/>
        </w:tabs>
        <w:ind w:left="5040" w:hanging="360"/>
      </w:pPr>
      <w:rPr>
        <w:rFonts w:ascii="Arial" w:hAnsi="Arial" w:hint="default"/>
      </w:rPr>
    </w:lvl>
    <w:lvl w:ilvl="7" w:tplc="8826886C" w:tentative="1">
      <w:start w:val="1"/>
      <w:numFmt w:val="bullet"/>
      <w:lvlText w:val="•"/>
      <w:lvlJc w:val="left"/>
      <w:pPr>
        <w:tabs>
          <w:tab w:val="num" w:pos="5760"/>
        </w:tabs>
        <w:ind w:left="5760" w:hanging="360"/>
      </w:pPr>
      <w:rPr>
        <w:rFonts w:ascii="Arial" w:hAnsi="Arial" w:hint="default"/>
      </w:rPr>
    </w:lvl>
    <w:lvl w:ilvl="8" w:tplc="2B3285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A36226"/>
    <w:multiLevelType w:val="hybridMultilevel"/>
    <w:tmpl w:val="12AA86E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52A13F1A"/>
    <w:multiLevelType w:val="hybridMultilevel"/>
    <w:tmpl w:val="CC603726"/>
    <w:lvl w:ilvl="0" w:tplc="1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10090001">
      <w:start w:val="1"/>
      <w:numFmt w:val="bullet"/>
      <w:lvlText w:val=""/>
      <w:lvlJc w:val="left"/>
      <w:pPr>
        <w:ind w:left="234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5F82E5E"/>
    <w:multiLevelType w:val="hybridMultilevel"/>
    <w:tmpl w:val="FFFFFFFF"/>
    <w:lvl w:ilvl="0" w:tplc="812009D6">
      <w:start w:val="1"/>
      <w:numFmt w:val="decimal"/>
      <w:lvlText w:val="%1."/>
      <w:lvlJc w:val="left"/>
      <w:pPr>
        <w:ind w:left="720" w:hanging="360"/>
      </w:pPr>
    </w:lvl>
    <w:lvl w:ilvl="1" w:tplc="A704EC3C">
      <w:start w:val="1"/>
      <w:numFmt w:val="lowerLetter"/>
      <w:lvlText w:val="%2."/>
      <w:lvlJc w:val="left"/>
      <w:pPr>
        <w:ind w:left="1440" w:hanging="360"/>
      </w:pPr>
    </w:lvl>
    <w:lvl w:ilvl="2" w:tplc="43FEEB1A">
      <w:start w:val="1"/>
      <w:numFmt w:val="lowerRoman"/>
      <w:lvlText w:val="%3."/>
      <w:lvlJc w:val="right"/>
      <w:pPr>
        <w:ind w:left="2160" w:hanging="180"/>
      </w:pPr>
    </w:lvl>
    <w:lvl w:ilvl="3" w:tplc="D0E6C35C">
      <w:start w:val="1"/>
      <w:numFmt w:val="decimal"/>
      <w:lvlText w:val="%4."/>
      <w:lvlJc w:val="left"/>
      <w:pPr>
        <w:ind w:left="2880" w:hanging="360"/>
      </w:pPr>
    </w:lvl>
    <w:lvl w:ilvl="4" w:tplc="143CC7BC">
      <w:start w:val="1"/>
      <w:numFmt w:val="lowerLetter"/>
      <w:lvlText w:val="%5."/>
      <w:lvlJc w:val="left"/>
      <w:pPr>
        <w:ind w:left="3600" w:hanging="360"/>
      </w:pPr>
    </w:lvl>
    <w:lvl w:ilvl="5" w:tplc="1180C49A">
      <w:start w:val="1"/>
      <w:numFmt w:val="lowerRoman"/>
      <w:lvlText w:val="%6."/>
      <w:lvlJc w:val="right"/>
      <w:pPr>
        <w:ind w:left="4320" w:hanging="180"/>
      </w:pPr>
    </w:lvl>
    <w:lvl w:ilvl="6" w:tplc="D73A669C">
      <w:start w:val="1"/>
      <w:numFmt w:val="decimal"/>
      <w:lvlText w:val="%7."/>
      <w:lvlJc w:val="left"/>
      <w:pPr>
        <w:ind w:left="5040" w:hanging="360"/>
      </w:pPr>
    </w:lvl>
    <w:lvl w:ilvl="7" w:tplc="DDAE13BE">
      <w:start w:val="1"/>
      <w:numFmt w:val="lowerLetter"/>
      <w:lvlText w:val="%8."/>
      <w:lvlJc w:val="left"/>
      <w:pPr>
        <w:ind w:left="5760" w:hanging="360"/>
      </w:pPr>
    </w:lvl>
    <w:lvl w:ilvl="8" w:tplc="D3981A82">
      <w:start w:val="1"/>
      <w:numFmt w:val="lowerRoman"/>
      <w:lvlText w:val="%9."/>
      <w:lvlJc w:val="right"/>
      <w:pPr>
        <w:ind w:left="6480" w:hanging="180"/>
      </w:pPr>
    </w:lvl>
  </w:abstractNum>
  <w:abstractNum w:abstractNumId="19" w15:restartNumberingAfterBreak="0">
    <w:nsid w:val="62FE79CF"/>
    <w:multiLevelType w:val="hybridMultilevel"/>
    <w:tmpl w:val="E6A83808"/>
    <w:lvl w:ilvl="0" w:tplc="BBD0CAB4">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8C21D8E"/>
    <w:multiLevelType w:val="hybridMultilevel"/>
    <w:tmpl w:val="49A6D452"/>
    <w:lvl w:ilvl="0" w:tplc="CFB294DA">
      <w:start w:val="1"/>
      <w:numFmt w:val="decimal"/>
      <w:lvlText w:val="%1."/>
      <w:lvlJc w:val="left"/>
      <w:pPr>
        <w:ind w:left="720" w:hanging="360"/>
      </w:pPr>
      <w:rPr>
        <w:rFonts w:eastAsiaTheme="minorHAnsi" w:hint="default"/>
        <w:b w:val="0"/>
        <w:color w:val="0000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2B2714E"/>
    <w:multiLevelType w:val="hybridMultilevel"/>
    <w:tmpl w:val="388CE3EE"/>
    <w:lvl w:ilvl="0" w:tplc="1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541B2E"/>
    <w:multiLevelType w:val="hybridMultilevel"/>
    <w:tmpl w:val="E7F42C9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16cid:durableId="40907176">
    <w:abstractNumId w:val="9"/>
  </w:num>
  <w:num w:numId="2" w16cid:durableId="734204087">
    <w:abstractNumId w:val="6"/>
  </w:num>
  <w:num w:numId="3" w16cid:durableId="586040042">
    <w:abstractNumId w:val="1"/>
  </w:num>
  <w:num w:numId="4" w16cid:durableId="841548365">
    <w:abstractNumId w:val="0"/>
  </w:num>
  <w:num w:numId="5" w16cid:durableId="2145462758">
    <w:abstractNumId w:val="21"/>
  </w:num>
  <w:num w:numId="6" w16cid:durableId="2110928710">
    <w:abstractNumId w:val="17"/>
  </w:num>
  <w:num w:numId="7" w16cid:durableId="842283135">
    <w:abstractNumId w:val="7"/>
  </w:num>
  <w:num w:numId="8" w16cid:durableId="1098671168">
    <w:abstractNumId w:val="18"/>
  </w:num>
  <w:num w:numId="9" w16cid:durableId="1077897575">
    <w:abstractNumId w:val="19"/>
  </w:num>
  <w:num w:numId="10" w16cid:durableId="1412241573">
    <w:abstractNumId w:val="5"/>
  </w:num>
  <w:num w:numId="11" w16cid:durableId="1840921687">
    <w:abstractNumId w:val="14"/>
  </w:num>
  <w:num w:numId="12" w16cid:durableId="1118718531">
    <w:abstractNumId w:val="15"/>
  </w:num>
  <w:num w:numId="13" w16cid:durableId="763189260">
    <w:abstractNumId w:val="11"/>
  </w:num>
  <w:num w:numId="14" w16cid:durableId="1053502036">
    <w:abstractNumId w:val="3"/>
  </w:num>
  <w:num w:numId="15" w16cid:durableId="397552537">
    <w:abstractNumId w:val="20"/>
  </w:num>
  <w:num w:numId="16" w16cid:durableId="88893251">
    <w:abstractNumId w:val="2"/>
  </w:num>
  <w:num w:numId="17" w16cid:durableId="1099906455">
    <w:abstractNumId w:val="13"/>
  </w:num>
  <w:num w:numId="18" w16cid:durableId="1775858636">
    <w:abstractNumId w:val="8"/>
  </w:num>
  <w:num w:numId="19" w16cid:durableId="442266897">
    <w:abstractNumId w:val="8"/>
  </w:num>
  <w:num w:numId="20" w16cid:durableId="161438394">
    <w:abstractNumId w:val="8"/>
  </w:num>
  <w:num w:numId="21" w16cid:durableId="535192519">
    <w:abstractNumId w:val="8"/>
  </w:num>
  <w:num w:numId="22" w16cid:durableId="1794322763">
    <w:abstractNumId w:val="8"/>
  </w:num>
  <w:num w:numId="23" w16cid:durableId="869680325">
    <w:abstractNumId w:val="8"/>
  </w:num>
  <w:num w:numId="24" w16cid:durableId="48038333">
    <w:abstractNumId w:val="8"/>
  </w:num>
  <w:num w:numId="25" w16cid:durableId="2108887697">
    <w:abstractNumId w:val="8"/>
  </w:num>
  <w:num w:numId="26" w16cid:durableId="1834952872">
    <w:abstractNumId w:val="22"/>
  </w:num>
  <w:num w:numId="27" w16cid:durableId="1886871506">
    <w:abstractNumId w:val="12"/>
  </w:num>
  <w:num w:numId="28" w16cid:durableId="1003897818">
    <w:abstractNumId w:val="16"/>
  </w:num>
  <w:num w:numId="29" w16cid:durableId="1128940165">
    <w:abstractNumId w:val="4"/>
  </w:num>
  <w:num w:numId="30" w16cid:durableId="55863158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5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857"/>
    <w:rsid w:val="00000298"/>
    <w:rsid w:val="00000E73"/>
    <w:rsid w:val="00001A33"/>
    <w:rsid w:val="000034D0"/>
    <w:rsid w:val="00003B95"/>
    <w:rsid w:val="00003F61"/>
    <w:rsid w:val="00004180"/>
    <w:rsid w:val="00004286"/>
    <w:rsid w:val="00004292"/>
    <w:rsid w:val="000046FB"/>
    <w:rsid w:val="0000471A"/>
    <w:rsid w:val="00007567"/>
    <w:rsid w:val="0000760D"/>
    <w:rsid w:val="000077D1"/>
    <w:rsid w:val="0000796E"/>
    <w:rsid w:val="00010B2B"/>
    <w:rsid w:val="00010C33"/>
    <w:rsid w:val="00011DDB"/>
    <w:rsid w:val="000122BB"/>
    <w:rsid w:val="000126C6"/>
    <w:rsid w:val="00012C97"/>
    <w:rsid w:val="00013042"/>
    <w:rsid w:val="000131E6"/>
    <w:rsid w:val="000133AE"/>
    <w:rsid w:val="00013404"/>
    <w:rsid w:val="000135E1"/>
    <w:rsid w:val="0001368D"/>
    <w:rsid w:val="00013863"/>
    <w:rsid w:val="00014058"/>
    <w:rsid w:val="0001439A"/>
    <w:rsid w:val="00014874"/>
    <w:rsid w:val="00014C22"/>
    <w:rsid w:val="000151B8"/>
    <w:rsid w:val="000153A8"/>
    <w:rsid w:val="00015768"/>
    <w:rsid w:val="00015D04"/>
    <w:rsid w:val="00016520"/>
    <w:rsid w:val="00016526"/>
    <w:rsid w:val="00016C89"/>
    <w:rsid w:val="00016DE6"/>
    <w:rsid w:val="000174EB"/>
    <w:rsid w:val="00017507"/>
    <w:rsid w:val="00017897"/>
    <w:rsid w:val="00017CCB"/>
    <w:rsid w:val="00017D5B"/>
    <w:rsid w:val="00017DE5"/>
    <w:rsid w:val="0002068F"/>
    <w:rsid w:val="0002086B"/>
    <w:rsid w:val="00020B54"/>
    <w:rsid w:val="00020CFA"/>
    <w:rsid w:val="000211FC"/>
    <w:rsid w:val="00021230"/>
    <w:rsid w:val="00021A58"/>
    <w:rsid w:val="00021B0F"/>
    <w:rsid w:val="000229AE"/>
    <w:rsid w:val="00022AD6"/>
    <w:rsid w:val="000230B2"/>
    <w:rsid w:val="00023251"/>
    <w:rsid w:val="000232C8"/>
    <w:rsid w:val="00023307"/>
    <w:rsid w:val="000235AE"/>
    <w:rsid w:val="00023812"/>
    <w:rsid w:val="00023834"/>
    <w:rsid w:val="00023A24"/>
    <w:rsid w:val="0002403C"/>
    <w:rsid w:val="00024BA4"/>
    <w:rsid w:val="00024CB8"/>
    <w:rsid w:val="00024E21"/>
    <w:rsid w:val="00024EA0"/>
    <w:rsid w:val="000254CA"/>
    <w:rsid w:val="000259E6"/>
    <w:rsid w:val="00025ADD"/>
    <w:rsid w:val="00025C27"/>
    <w:rsid w:val="00025D53"/>
    <w:rsid w:val="00026444"/>
    <w:rsid w:val="0002669E"/>
    <w:rsid w:val="000267B0"/>
    <w:rsid w:val="00026894"/>
    <w:rsid w:val="00026A91"/>
    <w:rsid w:val="00027842"/>
    <w:rsid w:val="000279B3"/>
    <w:rsid w:val="00027A3A"/>
    <w:rsid w:val="00027A8A"/>
    <w:rsid w:val="00030087"/>
    <w:rsid w:val="00030163"/>
    <w:rsid w:val="00031102"/>
    <w:rsid w:val="00031A1F"/>
    <w:rsid w:val="00031C08"/>
    <w:rsid w:val="000326C5"/>
    <w:rsid w:val="000326DB"/>
    <w:rsid w:val="00032A79"/>
    <w:rsid w:val="000338AF"/>
    <w:rsid w:val="00033F56"/>
    <w:rsid w:val="00035857"/>
    <w:rsid w:val="00035C0F"/>
    <w:rsid w:val="000362A1"/>
    <w:rsid w:val="0003641F"/>
    <w:rsid w:val="00036958"/>
    <w:rsid w:val="000402CD"/>
    <w:rsid w:val="00040886"/>
    <w:rsid w:val="00041394"/>
    <w:rsid w:val="00041748"/>
    <w:rsid w:val="00041949"/>
    <w:rsid w:val="00041F64"/>
    <w:rsid w:val="00042013"/>
    <w:rsid w:val="000427C4"/>
    <w:rsid w:val="00042824"/>
    <w:rsid w:val="00043029"/>
    <w:rsid w:val="000434A3"/>
    <w:rsid w:val="00043642"/>
    <w:rsid w:val="00043961"/>
    <w:rsid w:val="00043E0F"/>
    <w:rsid w:val="00044060"/>
    <w:rsid w:val="000440CF"/>
    <w:rsid w:val="00044C3C"/>
    <w:rsid w:val="00044D5B"/>
    <w:rsid w:val="00044F75"/>
    <w:rsid w:val="00044FC0"/>
    <w:rsid w:val="00044FD3"/>
    <w:rsid w:val="00045696"/>
    <w:rsid w:val="0004603F"/>
    <w:rsid w:val="0004624D"/>
    <w:rsid w:val="00046B45"/>
    <w:rsid w:val="00046F03"/>
    <w:rsid w:val="000474A8"/>
    <w:rsid w:val="00047959"/>
    <w:rsid w:val="00050B00"/>
    <w:rsid w:val="0005107D"/>
    <w:rsid w:val="00051826"/>
    <w:rsid w:val="00051981"/>
    <w:rsid w:val="00051BB6"/>
    <w:rsid w:val="00051EE8"/>
    <w:rsid w:val="00052327"/>
    <w:rsid w:val="00052585"/>
    <w:rsid w:val="00052963"/>
    <w:rsid w:val="00052B61"/>
    <w:rsid w:val="00052D0D"/>
    <w:rsid w:val="000536AA"/>
    <w:rsid w:val="000538F5"/>
    <w:rsid w:val="00053A1E"/>
    <w:rsid w:val="00053F17"/>
    <w:rsid w:val="000543B0"/>
    <w:rsid w:val="0005499A"/>
    <w:rsid w:val="00055131"/>
    <w:rsid w:val="000551EA"/>
    <w:rsid w:val="00055487"/>
    <w:rsid w:val="000558C2"/>
    <w:rsid w:val="00055A3F"/>
    <w:rsid w:val="00055E06"/>
    <w:rsid w:val="0005603F"/>
    <w:rsid w:val="0005618C"/>
    <w:rsid w:val="0005628A"/>
    <w:rsid w:val="00056389"/>
    <w:rsid w:val="0005657C"/>
    <w:rsid w:val="000568F2"/>
    <w:rsid w:val="000568FA"/>
    <w:rsid w:val="00056960"/>
    <w:rsid w:val="00056F4E"/>
    <w:rsid w:val="00057A5F"/>
    <w:rsid w:val="00057F6B"/>
    <w:rsid w:val="000602C7"/>
    <w:rsid w:val="00060757"/>
    <w:rsid w:val="00060AD8"/>
    <w:rsid w:val="00061117"/>
    <w:rsid w:val="000619F9"/>
    <w:rsid w:val="00061AED"/>
    <w:rsid w:val="00061B49"/>
    <w:rsid w:val="00061E2D"/>
    <w:rsid w:val="000621D4"/>
    <w:rsid w:val="00062207"/>
    <w:rsid w:val="00062F52"/>
    <w:rsid w:val="00063991"/>
    <w:rsid w:val="00064FDF"/>
    <w:rsid w:val="0006524A"/>
    <w:rsid w:val="00065EC1"/>
    <w:rsid w:val="000661DF"/>
    <w:rsid w:val="00066595"/>
    <w:rsid w:val="000668B5"/>
    <w:rsid w:val="00066AB2"/>
    <w:rsid w:val="00066B92"/>
    <w:rsid w:val="000674A3"/>
    <w:rsid w:val="00067A6B"/>
    <w:rsid w:val="00070D11"/>
    <w:rsid w:val="00070D90"/>
    <w:rsid w:val="00070E33"/>
    <w:rsid w:val="0007102B"/>
    <w:rsid w:val="00071836"/>
    <w:rsid w:val="00071A98"/>
    <w:rsid w:val="00071C3A"/>
    <w:rsid w:val="00071C79"/>
    <w:rsid w:val="00071D23"/>
    <w:rsid w:val="00071E1A"/>
    <w:rsid w:val="00071F1B"/>
    <w:rsid w:val="00072500"/>
    <w:rsid w:val="000729D6"/>
    <w:rsid w:val="00072CA8"/>
    <w:rsid w:val="00072E86"/>
    <w:rsid w:val="000737B2"/>
    <w:rsid w:val="00073B6C"/>
    <w:rsid w:val="00073C17"/>
    <w:rsid w:val="000742ED"/>
    <w:rsid w:val="000744D8"/>
    <w:rsid w:val="00074C5B"/>
    <w:rsid w:val="00074E2D"/>
    <w:rsid w:val="00075258"/>
    <w:rsid w:val="00075688"/>
    <w:rsid w:val="00076027"/>
    <w:rsid w:val="00076414"/>
    <w:rsid w:val="00076EF3"/>
    <w:rsid w:val="00077551"/>
    <w:rsid w:val="00077C00"/>
    <w:rsid w:val="00077D57"/>
    <w:rsid w:val="0008005C"/>
    <w:rsid w:val="000800F5"/>
    <w:rsid w:val="000802C0"/>
    <w:rsid w:val="00080955"/>
    <w:rsid w:val="000812F8"/>
    <w:rsid w:val="00081866"/>
    <w:rsid w:val="00081F85"/>
    <w:rsid w:val="000820A0"/>
    <w:rsid w:val="00082B8C"/>
    <w:rsid w:val="00082E51"/>
    <w:rsid w:val="00083138"/>
    <w:rsid w:val="0008323F"/>
    <w:rsid w:val="0008389F"/>
    <w:rsid w:val="00083DF5"/>
    <w:rsid w:val="00083EE8"/>
    <w:rsid w:val="000840AE"/>
    <w:rsid w:val="0008437C"/>
    <w:rsid w:val="000847B5"/>
    <w:rsid w:val="00084816"/>
    <w:rsid w:val="00084C16"/>
    <w:rsid w:val="000855AC"/>
    <w:rsid w:val="000855B1"/>
    <w:rsid w:val="00085A15"/>
    <w:rsid w:val="00085A57"/>
    <w:rsid w:val="00085F46"/>
    <w:rsid w:val="00086501"/>
    <w:rsid w:val="0008736C"/>
    <w:rsid w:val="000875F1"/>
    <w:rsid w:val="00087663"/>
    <w:rsid w:val="00087B17"/>
    <w:rsid w:val="00087DC6"/>
    <w:rsid w:val="000901FD"/>
    <w:rsid w:val="000901FF"/>
    <w:rsid w:val="00090AE4"/>
    <w:rsid w:val="00090E0C"/>
    <w:rsid w:val="00091075"/>
    <w:rsid w:val="00091352"/>
    <w:rsid w:val="0009159D"/>
    <w:rsid w:val="00091780"/>
    <w:rsid w:val="00091A4A"/>
    <w:rsid w:val="00091D5E"/>
    <w:rsid w:val="0009242F"/>
    <w:rsid w:val="00092447"/>
    <w:rsid w:val="00092585"/>
    <w:rsid w:val="00092F8A"/>
    <w:rsid w:val="00093577"/>
    <w:rsid w:val="000937D5"/>
    <w:rsid w:val="00093813"/>
    <w:rsid w:val="00093955"/>
    <w:rsid w:val="000939E2"/>
    <w:rsid w:val="00093BD5"/>
    <w:rsid w:val="00093BE5"/>
    <w:rsid w:val="00093D40"/>
    <w:rsid w:val="0009413F"/>
    <w:rsid w:val="000943C6"/>
    <w:rsid w:val="000948E2"/>
    <w:rsid w:val="00094A5A"/>
    <w:rsid w:val="000957B5"/>
    <w:rsid w:val="00095814"/>
    <w:rsid w:val="00095BA1"/>
    <w:rsid w:val="00095E1F"/>
    <w:rsid w:val="00096708"/>
    <w:rsid w:val="00096B25"/>
    <w:rsid w:val="00097719"/>
    <w:rsid w:val="0009788A"/>
    <w:rsid w:val="000979D0"/>
    <w:rsid w:val="000979E1"/>
    <w:rsid w:val="00097C74"/>
    <w:rsid w:val="00097D9C"/>
    <w:rsid w:val="00097ECD"/>
    <w:rsid w:val="00097FBE"/>
    <w:rsid w:val="000A02A5"/>
    <w:rsid w:val="000A02AB"/>
    <w:rsid w:val="000A04ED"/>
    <w:rsid w:val="000A05B1"/>
    <w:rsid w:val="000A075E"/>
    <w:rsid w:val="000A087A"/>
    <w:rsid w:val="000A089A"/>
    <w:rsid w:val="000A0BD5"/>
    <w:rsid w:val="000A0C0C"/>
    <w:rsid w:val="000A0CA0"/>
    <w:rsid w:val="000A1D51"/>
    <w:rsid w:val="000A1E25"/>
    <w:rsid w:val="000A2680"/>
    <w:rsid w:val="000A2EE8"/>
    <w:rsid w:val="000A37E3"/>
    <w:rsid w:val="000A3CF5"/>
    <w:rsid w:val="000A3E76"/>
    <w:rsid w:val="000A42AF"/>
    <w:rsid w:val="000A45D3"/>
    <w:rsid w:val="000A5D75"/>
    <w:rsid w:val="000A6014"/>
    <w:rsid w:val="000A6472"/>
    <w:rsid w:val="000A66F1"/>
    <w:rsid w:val="000A6860"/>
    <w:rsid w:val="000A695B"/>
    <w:rsid w:val="000A6E44"/>
    <w:rsid w:val="000A7446"/>
    <w:rsid w:val="000A7DED"/>
    <w:rsid w:val="000A7E25"/>
    <w:rsid w:val="000B00F2"/>
    <w:rsid w:val="000B023E"/>
    <w:rsid w:val="000B0572"/>
    <w:rsid w:val="000B077C"/>
    <w:rsid w:val="000B190B"/>
    <w:rsid w:val="000B1D38"/>
    <w:rsid w:val="000B1D87"/>
    <w:rsid w:val="000B2098"/>
    <w:rsid w:val="000B25D0"/>
    <w:rsid w:val="000B2625"/>
    <w:rsid w:val="000B2955"/>
    <w:rsid w:val="000B2974"/>
    <w:rsid w:val="000B2D90"/>
    <w:rsid w:val="000B3232"/>
    <w:rsid w:val="000B358D"/>
    <w:rsid w:val="000B388D"/>
    <w:rsid w:val="000B3892"/>
    <w:rsid w:val="000B39A3"/>
    <w:rsid w:val="000B41A9"/>
    <w:rsid w:val="000B444E"/>
    <w:rsid w:val="000B4E17"/>
    <w:rsid w:val="000B4FB2"/>
    <w:rsid w:val="000B533C"/>
    <w:rsid w:val="000B65FC"/>
    <w:rsid w:val="000B6BF4"/>
    <w:rsid w:val="000B6E03"/>
    <w:rsid w:val="000B73AF"/>
    <w:rsid w:val="000B7CF6"/>
    <w:rsid w:val="000C0399"/>
    <w:rsid w:val="000C0C77"/>
    <w:rsid w:val="000C0E62"/>
    <w:rsid w:val="000C0FC2"/>
    <w:rsid w:val="000C105B"/>
    <w:rsid w:val="000C13AC"/>
    <w:rsid w:val="000C17B0"/>
    <w:rsid w:val="000C19BD"/>
    <w:rsid w:val="000C1C3E"/>
    <w:rsid w:val="000C1E58"/>
    <w:rsid w:val="000C1F45"/>
    <w:rsid w:val="000C2115"/>
    <w:rsid w:val="000C2675"/>
    <w:rsid w:val="000C28AC"/>
    <w:rsid w:val="000C2D22"/>
    <w:rsid w:val="000C318A"/>
    <w:rsid w:val="000C382C"/>
    <w:rsid w:val="000C4984"/>
    <w:rsid w:val="000C4C03"/>
    <w:rsid w:val="000C5166"/>
    <w:rsid w:val="000C57C5"/>
    <w:rsid w:val="000C611E"/>
    <w:rsid w:val="000C6294"/>
    <w:rsid w:val="000C6594"/>
    <w:rsid w:val="000C65E4"/>
    <w:rsid w:val="000C6F1E"/>
    <w:rsid w:val="000C71A8"/>
    <w:rsid w:val="000C7568"/>
    <w:rsid w:val="000C7D06"/>
    <w:rsid w:val="000D03AF"/>
    <w:rsid w:val="000D0440"/>
    <w:rsid w:val="000D0BB8"/>
    <w:rsid w:val="000D114D"/>
    <w:rsid w:val="000D13DC"/>
    <w:rsid w:val="000D1DD4"/>
    <w:rsid w:val="000D244F"/>
    <w:rsid w:val="000D2D4F"/>
    <w:rsid w:val="000D317B"/>
    <w:rsid w:val="000D32E1"/>
    <w:rsid w:val="000D3C4E"/>
    <w:rsid w:val="000D3D85"/>
    <w:rsid w:val="000D4666"/>
    <w:rsid w:val="000D46EC"/>
    <w:rsid w:val="000D4A1A"/>
    <w:rsid w:val="000D4DA7"/>
    <w:rsid w:val="000D519D"/>
    <w:rsid w:val="000D52F8"/>
    <w:rsid w:val="000D5CA8"/>
    <w:rsid w:val="000D5D59"/>
    <w:rsid w:val="000D5E6D"/>
    <w:rsid w:val="000D638F"/>
    <w:rsid w:val="000D6478"/>
    <w:rsid w:val="000D64F1"/>
    <w:rsid w:val="000D675D"/>
    <w:rsid w:val="000D6813"/>
    <w:rsid w:val="000D68F5"/>
    <w:rsid w:val="000D7149"/>
    <w:rsid w:val="000D75EB"/>
    <w:rsid w:val="000D762A"/>
    <w:rsid w:val="000D768C"/>
    <w:rsid w:val="000D7700"/>
    <w:rsid w:val="000D77EB"/>
    <w:rsid w:val="000D783A"/>
    <w:rsid w:val="000E000C"/>
    <w:rsid w:val="000E0442"/>
    <w:rsid w:val="000E05DE"/>
    <w:rsid w:val="000E08ED"/>
    <w:rsid w:val="000E10D9"/>
    <w:rsid w:val="000E15EC"/>
    <w:rsid w:val="000E16E4"/>
    <w:rsid w:val="000E1A9D"/>
    <w:rsid w:val="000E1D02"/>
    <w:rsid w:val="000E2B59"/>
    <w:rsid w:val="000E3081"/>
    <w:rsid w:val="000E391E"/>
    <w:rsid w:val="000E3949"/>
    <w:rsid w:val="000E3A7B"/>
    <w:rsid w:val="000E3AF2"/>
    <w:rsid w:val="000E4185"/>
    <w:rsid w:val="000E4750"/>
    <w:rsid w:val="000E4F37"/>
    <w:rsid w:val="000E5375"/>
    <w:rsid w:val="000E556D"/>
    <w:rsid w:val="000E5E52"/>
    <w:rsid w:val="000E6B83"/>
    <w:rsid w:val="000E7106"/>
    <w:rsid w:val="000E7708"/>
    <w:rsid w:val="000F0155"/>
    <w:rsid w:val="000F0507"/>
    <w:rsid w:val="000F0923"/>
    <w:rsid w:val="000F0E33"/>
    <w:rsid w:val="000F0F31"/>
    <w:rsid w:val="000F0F90"/>
    <w:rsid w:val="000F149B"/>
    <w:rsid w:val="000F1CF3"/>
    <w:rsid w:val="000F1D45"/>
    <w:rsid w:val="000F1E24"/>
    <w:rsid w:val="000F2C71"/>
    <w:rsid w:val="000F2DB1"/>
    <w:rsid w:val="000F3E74"/>
    <w:rsid w:val="000F4491"/>
    <w:rsid w:val="000F50B5"/>
    <w:rsid w:val="000F50C1"/>
    <w:rsid w:val="000F5824"/>
    <w:rsid w:val="000F5A77"/>
    <w:rsid w:val="000F5CBE"/>
    <w:rsid w:val="000F5DF4"/>
    <w:rsid w:val="000F6521"/>
    <w:rsid w:val="000F6B6F"/>
    <w:rsid w:val="000F6DF5"/>
    <w:rsid w:val="000F7248"/>
    <w:rsid w:val="000F72E6"/>
    <w:rsid w:val="0010005B"/>
    <w:rsid w:val="00100081"/>
    <w:rsid w:val="0010016B"/>
    <w:rsid w:val="0010020F"/>
    <w:rsid w:val="00100260"/>
    <w:rsid w:val="001002E2"/>
    <w:rsid w:val="00100B21"/>
    <w:rsid w:val="00100D29"/>
    <w:rsid w:val="00100E30"/>
    <w:rsid w:val="0010152A"/>
    <w:rsid w:val="00101993"/>
    <w:rsid w:val="001019E8"/>
    <w:rsid w:val="00101AA0"/>
    <w:rsid w:val="00101D74"/>
    <w:rsid w:val="00101E38"/>
    <w:rsid w:val="00102421"/>
    <w:rsid w:val="0010261A"/>
    <w:rsid w:val="00102A0A"/>
    <w:rsid w:val="00102B58"/>
    <w:rsid w:val="00102E09"/>
    <w:rsid w:val="0010323D"/>
    <w:rsid w:val="0010361A"/>
    <w:rsid w:val="001040BA"/>
    <w:rsid w:val="00104671"/>
    <w:rsid w:val="0010475F"/>
    <w:rsid w:val="0010485B"/>
    <w:rsid w:val="001048D6"/>
    <w:rsid w:val="001054FB"/>
    <w:rsid w:val="00105632"/>
    <w:rsid w:val="001057DF"/>
    <w:rsid w:val="00105C86"/>
    <w:rsid w:val="0010679A"/>
    <w:rsid w:val="00106A7A"/>
    <w:rsid w:val="00106F16"/>
    <w:rsid w:val="0010789B"/>
    <w:rsid w:val="001078AC"/>
    <w:rsid w:val="001078D0"/>
    <w:rsid w:val="00107E40"/>
    <w:rsid w:val="0011025D"/>
    <w:rsid w:val="001109B4"/>
    <w:rsid w:val="001111E2"/>
    <w:rsid w:val="001119ED"/>
    <w:rsid w:val="00111D2C"/>
    <w:rsid w:val="001123FA"/>
    <w:rsid w:val="00112445"/>
    <w:rsid w:val="00112662"/>
    <w:rsid w:val="001132C4"/>
    <w:rsid w:val="00113B01"/>
    <w:rsid w:val="00114297"/>
    <w:rsid w:val="001146F2"/>
    <w:rsid w:val="00114A61"/>
    <w:rsid w:val="0011571E"/>
    <w:rsid w:val="00115A16"/>
    <w:rsid w:val="00115B79"/>
    <w:rsid w:val="00115C61"/>
    <w:rsid w:val="00115D94"/>
    <w:rsid w:val="00116150"/>
    <w:rsid w:val="0011626B"/>
    <w:rsid w:val="00116D1F"/>
    <w:rsid w:val="0012035E"/>
    <w:rsid w:val="00120C6B"/>
    <w:rsid w:val="00120CB9"/>
    <w:rsid w:val="00121046"/>
    <w:rsid w:val="001215F8"/>
    <w:rsid w:val="0012203A"/>
    <w:rsid w:val="00122822"/>
    <w:rsid w:val="00124013"/>
    <w:rsid w:val="0012429D"/>
    <w:rsid w:val="00124329"/>
    <w:rsid w:val="00124DCC"/>
    <w:rsid w:val="00124F33"/>
    <w:rsid w:val="0012548D"/>
    <w:rsid w:val="001257A3"/>
    <w:rsid w:val="00125E8B"/>
    <w:rsid w:val="00125EAB"/>
    <w:rsid w:val="001260C5"/>
    <w:rsid w:val="00126611"/>
    <w:rsid w:val="0012677F"/>
    <w:rsid w:val="0012693B"/>
    <w:rsid w:val="0012739D"/>
    <w:rsid w:val="00127861"/>
    <w:rsid w:val="00127CE2"/>
    <w:rsid w:val="00130214"/>
    <w:rsid w:val="001306AA"/>
    <w:rsid w:val="00131544"/>
    <w:rsid w:val="00131968"/>
    <w:rsid w:val="00132A29"/>
    <w:rsid w:val="00132C10"/>
    <w:rsid w:val="0013330A"/>
    <w:rsid w:val="001333B4"/>
    <w:rsid w:val="001336F7"/>
    <w:rsid w:val="00133F2A"/>
    <w:rsid w:val="00134380"/>
    <w:rsid w:val="00134750"/>
    <w:rsid w:val="00134A1B"/>
    <w:rsid w:val="001352F4"/>
    <w:rsid w:val="001353F8"/>
    <w:rsid w:val="001353FD"/>
    <w:rsid w:val="00135598"/>
    <w:rsid w:val="00135692"/>
    <w:rsid w:val="00135814"/>
    <w:rsid w:val="00135B6E"/>
    <w:rsid w:val="00135C1F"/>
    <w:rsid w:val="00135F10"/>
    <w:rsid w:val="00136378"/>
    <w:rsid w:val="00136968"/>
    <w:rsid w:val="00136EEF"/>
    <w:rsid w:val="00137170"/>
    <w:rsid w:val="001376AB"/>
    <w:rsid w:val="00137A11"/>
    <w:rsid w:val="00137E14"/>
    <w:rsid w:val="00140CDE"/>
    <w:rsid w:val="001411E4"/>
    <w:rsid w:val="001415C4"/>
    <w:rsid w:val="00141A68"/>
    <w:rsid w:val="001424D0"/>
    <w:rsid w:val="00142D3C"/>
    <w:rsid w:val="00142E93"/>
    <w:rsid w:val="00142F10"/>
    <w:rsid w:val="00143139"/>
    <w:rsid w:val="00143488"/>
    <w:rsid w:val="001434A4"/>
    <w:rsid w:val="00143597"/>
    <w:rsid w:val="00143B8F"/>
    <w:rsid w:val="00143E70"/>
    <w:rsid w:val="00144943"/>
    <w:rsid w:val="001449B6"/>
    <w:rsid w:val="00145AAB"/>
    <w:rsid w:val="00145E5A"/>
    <w:rsid w:val="001465B0"/>
    <w:rsid w:val="00146854"/>
    <w:rsid w:val="00146C57"/>
    <w:rsid w:val="0014725A"/>
    <w:rsid w:val="001473DD"/>
    <w:rsid w:val="0014744B"/>
    <w:rsid w:val="00147453"/>
    <w:rsid w:val="0014769A"/>
    <w:rsid w:val="001477F2"/>
    <w:rsid w:val="00147912"/>
    <w:rsid w:val="00147936"/>
    <w:rsid w:val="00150098"/>
    <w:rsid w:val="0015039D"/>
    <w:rsid w:val="0015053E"/>
    <w:rsid w:val="001508BE"/>
    <w:rsid w:val="001510AF"/>
    <w:rsid w:val="00151358"/>
    <w:rsid w:val="001513D3"/>
    <w:rsid w:val="00151FBD"/>
    <w:rsid w:val="00152555"/>
    <w:rsid w:val="001525D6"/>
    <w:rsid w:val="00152D48"/>
    <w:rsid w:val="001534D7"/>
    <w:rsid w:val="001535DC"/>
    <w:rsid w:val="00153692"/>
    <w:rsid w:val="00153B63"/>
    <w:rsid w:val="00153D76"/>
    <w:rsid w:val="00153F97"/>
    <w:rsid w:val="0015446D"/>
    <w:rsid w:val="0015459C"/>
    <w:rsid w:val="0015469D"/>
    <w:rsid w:val="00154B39"/>
    <w:rsid w:val="00154FDC"/>
    <w:rsid w:val="00155086"/>
    <w:rsid w:val="00155694"/>
    <w:rsid w:val="0015583A"/>
    <w:rsid w:val="00155DBA"/>
    <w:rsid w:val="00155FAD"/>
    <w:rsid w:val="001563E3"/>
    <w:rsid w:val="0015680A"/>
    <w:rsid w:val="00156D7F"/>
    <w:rsid w:val="001571ED"/>
    <w:rsid w:val="0015734C"/>
    <w:rsid w:val="001575AE"/>
    <w:rsid w:val="001576FA"/>
    <w:rsid w:val="001576FE"/>
    <w:rsid w:val="0015777E"/>
    <w:rsid w:val="001600C3"/>
    <w:rsid w:val="001604E2"/>
    <w:rsid w:val="00160857"/>
    <w:rsid w:val="00160D2A"/>
    <w:rsid w:val="00160DC4"/>
    <w:rsid w:val="0016152D"/>
    <w:rsid w:val="0016166C"/>
    <w:rsid w:val="00161959"/>
    <w:rsid w:val="00161C98"/>
    <w:rsid w:val="00162A65"/>
    <w:rsid w:val="00162E64"/>
    <w:rsid w:val="00163EE2"/>
    <w:rsid w:val="00164B43"/>
    <w:rsid w:val="00165E12"/>
    <w:rsid w:val="00166237"/>
    <w:rsid w:val="0016625E"/>
    <w:rsid w:val="00166A04"/>
    <w:rsid w:val="00166F66"/>
    <w:rsid w:val="00167141"/>
    <w:rsid w:val="0016727D"/>
    <w:rsid w:val="001678B2"/>
    <w:rsid w:val="00167A12"/>
    <w:rsid w:val="00170554"/>
    <w:rsid w:val="0017057D"/>
    <w:rsid w:val="00170591"/>
    <w:rsid w:val="00170D6D"/>
    <w:rsid w:val="00170F8F"/>
    <w:rsid w:val="00171094"/>
    <w:rsid w:val="00171968"/>
    <w:rsid w:val="00171D15"/>
    <w:rsid w:val="00171FCD"/>
    <w:rsid w:val="00172115"/>
    <w:rsid w:val="001722EC"/>
    <w:rsid w:val="00172BCB"/>
    <w:rsid w:val="00172CCE"/>
    <w:rsid w:val="001731E7"/>
    <w:rsid w:val="00173680"/>
    <w:rsid w:val="00174406"/>
    <w:rsid w:val="00174A39"/>
    <w:rsid w:val="00174EC0"/>
    <w:rsid w:val="00174F9E"/>
    <w:rsid w:val="00175146"/>
    <w:rsid w:val="0017549B"/>
    <w:rsid w:val="00175946"/>
    <w:rsid w:val="00175D27"/>
    <w:rsid w:val="00175ECB"/>
    <w:rsid w:val="00176381"/>
    <w:rsid w:val="001763C0"/>
    <w:rsid w:val="0017660A"/>
    <w:rsid w:val="00176B46"/>
    <w:rsid w:val="00176FF1"/>
    <w:rsid w:val="00177BC1"/>
    <w:rsid w:val="00177DD8"/>
    <w:rsid w:val="001800B1"/>
    <w:rsid w:val="00180897"/>
    <w:rsid w:val="00180F42"/>
    <w:rsid w:val="00181687"/>
    <w:rsid w:val="00181CFB"/>
    <w:rsid w:val="0018200F"/>
    <w:rsid w:val="001820A7"/>
    <w:rsid w:val="00182E99"/>
    <w:rsid w:val="00183533"/>
    <w:rsid w:val="00183654"/>
    <w:rsid w:val="001838D2"/>
    <w:rsid w:val="00183A45"/>
    <w:rsid w:val="00183C24"/>
    <w:rsid w:val="00183C63"/>
    <w:rsid w:val="00184C61"/>
    <w:rsid w:val="00184CD7"/>
    <w:rsid w:val="00184F4D"/>
    <w:rsid w:val="00184F52"/>
    <w:rsid w:val="0018606C"/>
    <w:rsid w:val="00186A8E"/>
    <w:rsid w:val="00186CF4"/>
    <w:rsid w:val="00186F23"/>
    <w:rsid w:val="00187231"/>
    <w:rsid w:val="00187E2F"/>
    <w:rsid w:val="001903EA"/>
    <w:rsid w:val="001906D7"/>
    <w:rsid w:val="001907A4"/>
    <w:rsid w:val="00190BCF"/>
    <w:rsid w:val="00190FB8"/>
    <w:rsid w:val="00191602"/>
    <w:rsid w:val="00191803"/>
    <w:rsid w:val="00191FA8"/>
    <w:rsid w:val="001920A2"/>
    <w:rsid w:val="00192198"/>
    <w:rsid w:val="0019235E"/>
    <w:rsid w:val="0019240D"/>
    <w:rsid w:val="00192497"/>
    <w:rsid w:val="001938F9"/>
    <w:rsid w:val="00193A8E"/>
    <w:rsid w:val="00193B5D"/>
    <w:rsid w:val="00193D5E"/>
    <w:rsid w:val="00193F0E"/>
    <w:rsid w:val="001942ED"/>
    <w:rsid w:val="0019437F"/>
    <w:rsid w:val="00194BC3"/>
    <w:rsid w:val="00194CF3"/>
    <w:rsid w:val="00194D93"/>
    <w:rsid w:val="00195562"/>
    <w:rsid w:val="00195950"/>
    <w:rsid w:val="00195B22"/>
    <w:rsid w:val="00196299"/>
    <w:rsid w:val="001966A4"/>
    <w:rsid w:val="00196B77"/>
    <w:rsid w:val="00196D12"/>
    <w:rsid w:val="00197197"/>
    <w:rsid w:val="001975C8"/>
    <w:rsid w:val="001979B5"/>
    <w:rsid w:val="00197A81"/>
    <w:rsid w:val="00197AC7"/>
    <w:rsid w:val="00197AE3"/>
    <w:rsid w:val="00197EC6"/>
    <w:rsid w:val="001A011C"/>
    <w:rsid w:val="001A0C32"/>
    <w:rsid w:val="001A0C9B"/>
    <w:rsid w:val="001A1336"/>
    <w:rsid w:val="001A19D9"/>
    <w:rsid w:val="001A1F02"/>
    <w:rsid w:val="001A2096"/>
    <w:rsid w:val="001A2208"/>
    <w:rsid w:val="001A279E"/>
    <w:rsid w:val="001A2B0F"/>
    <w:rsid w:val="001A2DF8"/>
    <w:rsid w:val="001A37DC"/>
    <w:rsid w:val="001A3B0D"/>
    <w:rsid w:val="001A3C8D"/>
    <w:rsid w:val="001A4AD2"/>
    <w:rsid w:val="001A4B4E"/>
    <w:rsid w:val="001A4E23"/>
    <w:rsid w:val="001A4FF0"/>
    <w:rsid w:val="001A5142"/>
    <w:rsid w:val="001A5AC6"/>
    <w:rsid w:val="001A5C8B"/>
    <w:rsid w:val="001A631C"/>
    <w:rsid w:val="001A6643"/>
    <w:rsid w:val="001A67D8"/>
    <w:rsid w:val="001A6831"/>
    <w:rsid w:val="001A749B"/>
    <w:rsid w:val="001A798C"/>
    <w:rsid w:val="001A7A2D"/>
    <w:rsid w:val="001A7BB5"/>
    <w:rsid w:val="001A7ECE"/>
    <w:rsid w:val="001B01F2"/>
    <w:rsid w:val="001B064E"/>
    <w:rsid w:val="001B0D04"/>
    <w:rsid w:val="001B1170"/>
    <w:rsid w:val="001B1C9D"/>
    <w:rsid w:val="001B1E5E"/>
    <w:rsid w:val="001B21B8"/>
    <w:rsid w:val="001B28D2"/>
    <w:rsid w:val="001B2CC2"/>
    <w:rsid w:val="001B3007"/>
    <w:rsid w:val="001B353F"/>
    <w:rsid w:val="001B38DA"/>
    <w:rsid w:val="001B3D0B"/>
    <w:rsid w:val="001B4176"/>
    <w:rsid w:val="001B47DE"/>
    <w:rsid w:val="001B4930"/>
    <w:rsid w:val="001B4CEF"/>
    <w:rsid w:val="001B4F59"/>
    <w:rsid w:val="001B4F91"/>
    <w:rsid w:val="001B5073"/>
    <w:rsid w:val="001B5091"/>
    <w:rsid w:val="001B5BA4"/>
    <w:rsid w:val="001B5E87"/>
    <w:rsid w:val="001B6230"/>
    <w:rsid w:val="001B63E5"/>
    <w:rsid w:val="001B6B03"/>
    <w:rsid w:val="001B6D2A"/>
    <w:rsid w:val="001B76A5"/>
    <w:rsid w:val="001B7878"/>
    <w:rsid w:val="001B7D08"/>
    <w:rsid w:val="001B7D17"/>
    <w:rsid w:val="001C0608"/>
    <w:rsid w:val="001C0A21"/>
    <w:rsid w:val="001C0B80"/>
    <w:rsid w:val="001C0B8C"/>
    <w:rsid w:val="001C0CA8"/>
    <w:rsid w:val="001C10E2"/>
    <w:rsid w:val="001C1264"/>
    <w:rsid w:val="001C1A29"/>
    <w:rsid w:val="001C1B27"/>
    <w:rsid w:val="001C1C5A"/>
    <w:rsid w:val="001C2128"/>
    <w:rsid w:val="001C2445"/>
    <w:rsid w:val="001C2B80"/>
    <w:rsid w:val="001C41E6"/>
    <w:rsid w:val="001C4204"/>
    <w:rsid w:val="001C4222"/>
    <w:rsid w:val="001C4657"/>
    <w:rsid w:val="001C4946"/>
    <w:rsid w:val="001C4A36"/>
    <w:rsid w:val="001C4BD9"/>
    <w:rsid w:val="001C4E7E"/>
    <w:rsid w:val="001C4F8F"/>
    <w:rsid w:val="001C5570"/>
    <w:rsid w:val="001C5D8C"/>
    <w:rsid w:val="001C61AC"/>
    <w:rsid w:val="001C632C"/>
    <w:rsid w:val="001C6440"/>
    <w:rsid w:val="001C6AFE"/>
    <w:rsid w:val="001C6C03"/>
    <w:rsid w:val="001C6DC4"/>
    <w:rsid w:val="001C6E55"/>
    <w:rsid w:val="001C6EC9"/>
    <w:rsid w:val="001C6F54"/>
    <w:rsid w:val="001C76D7"/>
    <w:rsid w:val="001C7BE6"/>
    <w:rsid w:val="001D03C7"/>
    <w:rsid w:val="001D0530"/>
    <w:rsid w:val="001D1019"/>
    <w:rsid w:val="001D1423"/>
    <w:rsid w:val="001D1599"/>
    <w:rsid w:val="001D1A20"/>
    <w:rsid w:val="001D1AC3"/>
    <w:rsid w:val="001D2AF3"/>
    <w:rsid w:val="001D2B93"/>
    <w:rsid w:val="001D2BA9"/>
    <w:rsid w:val="001D3560"/>
    <w:rsid w:val="001D3C00"/>
    <w:rsid w:val="001D416C"/>
    <w:rsid w:val="001D4172"/>
    <w:rsid w:val="001D464A"/>
    <w:rsid w:val="001D4A6A"/>
    <w:rsid w:val="001D5285"/>
    <w:rsid w:val="001D5479"/>
    <w:rsid w:val="001D56F4"/>
    <w:rsid w:val="001D5B74"/>
    <w:rsid w:val="001D5E7F"/>
    <w:rsid w:val="001D5FCC"/>
    <w:rsid w:val="001D614C"/>
    <w:rsid w:val="001D617B"/>
    <w:rsid w:val="001D6272"/>
    <w:rsid w:val="001D65CE"/>
    <w:rsid w:val="001D6647"/>
    <w:rsid w:val="001D6DC8"/>
    <w:rsid w:val="001D7167"/>
    <w:rsid w:val="001D72A2"/>
    <w:rsid w:val="001D72F9"/>
    <w:rsid w:val="001E0259"/>
    <w:rsid w:val="001E028A"/>
    <w:rsid w:val="001E1310"/>
    <w:rsid w:val="001E1515"/>
    <w:rsid w:val="001E1BD1"/>
    <w:rsid w:val="001E22A1"/>
    <w:rsid w:val="001E2C3A"/>
    <w:rsid w:val="001E2D85"/>
    <w:rsid w:val="001E3574"/>
    <w:rsid w:val="001E3B95"/>
    <w:rsid w:val="001E3D20"/>
    <w:rsid w:val="001E3E83"/>
    <w:rsid w:val="001E418B"/>
    <w:rsid w:val="001E4615"/>
    <w:rsid w:val="001E4807"/>
    <w:rsid w:val="001E4885"/>
    <w:rsid w:val="001E54DB"/>
    <w:rsid w:val="001E5607"/>
    <w:rsid w:val="001E5951"/>
    <w:rsid w:val="001E5D50"/>
    <w:rsid w:val="001E6D7A"/>
    <w:rsid w:val="001E6F79"/>
    <w:rsid w:val="001E73AF"/>
    <w:rsid w:val="001E7493"/>
    <w:rsid w:val="001E79D2"/>
    <w:rsid w:val="001F0505"/>
    <w:rsid w:val="001F0770"/>
    <w:rsid w:val="001F07C6"/>
    <w:rsid w:val="001F082D"/>
    <w:rsid w:val="001F0BE7"/>
    <w:rsid w:val="001F144C"/>
    <w:rsid w:val="001F1876"/>
    <w:rsid w:val="001F198E"/>
    <w:rsid w:val="001F1A4B"/>
    <w:rsid w:val="001F1F88"/>
    <w:rsid w:val="001F200F"/>
    <w:rsid w:val="001F2806"/>
    <w:rsid w:val="001F283B"/>
    <w:rsid w:val="001F32C5"/>
    <w:rsid w:val="001F36B3"/>
    <w:rsid w:val="001F426C"/>
    <w:rsid w:val="001F4B31"/>
    <w:rsid w:val="001F4D11"/>
    <w:rsid w:val="001F5172"/>
    <w:rsid w:val="001F5314"/>
    <w:rsid w:val="001F560E"/>
    <w:rsid w:val="001F5857"/>
    <w:rsid w:val="001F6B2D"/>
    <w:rsid w:val="001F7020"/>
    <w:rsid w:val="001F751D"/>
    <w:rsid w:val="001F75A2"/>
    <w:rsid w:val="001F7760"/>
    <w:rsid w:val="001F7ED8"/>
    <w:rsid w:val="00200026"/>
    <w:rsid w:val="00200526"/>
    <w:rsid w:val="00200990"/>
    <w:rsid w:val="002009F3"/>
    <w:rsid w:val="00200C85"/>
    <w:rsid w:val="00200E0F"/>
    <w:rsid w:val="002019BA"/>
    <w:rsid w:val="00201E8F"/>
    <w:rsid w:val="00202E44"/>
    <w:rsid w:val="00203486"/>
    <w:rsid w:val="00203491"/>
    <w:rsid w:val="0020367E"/>
    <w:rsid w:val="002041E4"/>
    <w:rsid w:val="002042F5"/>
    <w:rsid w:val="002049EE"/>
    <w:rsid w:val="00205482"/>
    <w:rsid w:val="00205B13"/>
    <w:rsid w:val="00206153"/>
    <w:rsid w:val="0020675B"/>
    <w:rsid w:val="00206BC7"/>
    <w:rsid w:val="00206DE7"/>
    <w:rsid w:val="0020724F"/>
    <w:rsid w:val="00207431"/>
    <w:rsid w:val="002076B0"/>
    <w:rsid w:val="00207873"/>
    <w:rsid w:val="00210726"/>
    <w:rsid w:val="0021088E"/>
    <w:rsid w:val="002109FD"/>
    <w:rsid w:val="00210BC1"/>
    <w:rsid w:val="00211394"/>
    <w:rsid w:val="002115F7"/>
    <w:rsid w:val="0021167C"/>
    <w:rsid w:val="00211688"/>
    <w:rsid w:val="002117AC"/>
    <w:rsid w:val="00211B82"/>
    <w:rsid w:val="00211C69"/>
    <w:rsid w:val="00211D05"/>
    <w:rsid w:val="002122D3"/>
    <w:rsid w:val="002124EB"/>
    <w:rsid w:val="002127BF"/>
    <w:rsid w:val="002129E2"/>
    <w:rsid w:val="00213076"/>
    <w:rsid w:val="00213361"/>
    <w:rsid w:val="002139CB"/>
    <w:rsid w:val="00213A85"/>
    <w:rsid w:val="00214534"/>
    <w:rsid w:val="0021489E"/>
    <w:rsid w:val="00214AF6"/>
    <w:rsid w:val="00214B50"/>
    <w:rsid w:val="00214F8E"/>
    <w:rsid w:val="00215027"/>
    <w:rsid w:val="0021528B"/>
    <w:rsid w:val="002158DF"/>
    <w:rsid w:val="00215909"/>
    <w:rsid w:val="002159C0"/>
    <w:rsid w:val="00215C7F"/>
    <w:rsid w:val="00215CE9"/>
    <w:rsid w:val="00216116"/>
    <w:rsid w:val="00216471"/>
    <w:rsid w:val="00216597"/>
    <w:rsid w:val="00216731"/>
    <w:rsid w:val="00217034"/>
    <w:rsid w:val="00217081"/>
    <w:rsid w:val="0021714A"/>
    <w:rsid w:val="002173FF"/>
    <w:rsid w:val="00217470"/>
    <w:rsid w:val="002175EE"/>
    <w:rsid w:val="002178CB"/>
    <w:rsid w:val="00217C74"/>
    <w:rsid w:val="00217F44"/>
    <w:rsid w:val="0022017D"/>
    <w:rsid w:val="0022032D"/>
    <w:rsid w:val="00220780"/>
    <w:rsid w:val="00220A59"/>
    <w:rsid w:val="00220D45"/>
    <w:rsid w:val="0022115B"/>
    <w:rsid w:val="00221471"/>
    <w:rsid w:val="00221FE2"/>
    <w:rsid w:val="002220FF"/>
    <w:rsid w:val="00222120"/>
    <w:rsid w:val="0022220D"/>
    <w:rsid w:val="00222941"/>
    <w:rsid w:val="00222A73"/>
    <w:rsid w:val="00222B71"/>
    <w:rsid w:val="00222BCB"/>
    <w:rsid w:val="00223BEC"/>
    <w:rsid w:val="00223D08"/>
    <w:rsid w:val="00223F54"/>
    <w:rsid w:val="0022460B"/>
    <w:rsid w:val="00224657"/>
    <w:rsid w:val="002247F8"/>
    <w:rsid w:val="00224B25"/>
    <w:rsid w:val="00224C79"/>
    <w:rsid w:val="00224F36"/>
    <w:rsid w:val="0022512F"/>
    <w:rsid w:val="0022522B"/>
    <w:rsid w:val="00225C29"/>
    <w:rsid w:val="00226475"/>
    <w:rsid w:val="00226496"/>
    <w:rsid w:val="002264E3"/>
    <w:rsid w:val="00226607"/>
    <w:rsid w:val="002266A4"/>
    <w:rsid w:val="0022673F"/>
    <w:rsid w:val="00226901"/>
    <w:rsid w:val="0022702E"/>
    <w:rsid w:val="00227463"/>
    <w:rsid w:val="00230225"/>
    <w:rsid w:val="002308D7"/>
    <w:rsid w:val="002308F8"/>
    <w:rsid w:val="00230B22"/>
    <w:rsid w:val="00230B9C"/>
    <w:rsid w:val="00230BDA"/>
    <w:rsid w:val="002314CF"/>
    <w:rsid w:val="00231DBB"/>
    <w:rsid w:val="00232221"/>
    <w:rsid w:val="00232224"/>
    <w:rsid w:val="002323A1"/>
    <w:rsid w:val="002332A1"/>
    <w:rsid w:val="00233B8A"/>
    <w:rsid w:val="00233DE4"/>
    <w:rsid w:val="0023414F"/>
    <w:rsid w:val="00234318"/>
    <w:rsid w:val="002344C9"/>
    <w:rsid w:val="00234AB3"/>
    <w:rsid w:val="00234BF9"/>
    <w:rsid w:val="002352B2"/>
    <w:rsid w:val="00235350"/>
    <w:rsid w:val="00235785"/>
    <w:rsid w:val="00235970"/>
    <w:rsid w:val="00235CE5"/>
    <w:rsid w:val="00235F35"/>
    <w:rsid w:val="00236450"/>
    <w:rsid w:val="002365FD"/>
    <w:rsid w:val="002378D1"/>
    <w:rsid w:val="00240334"/>
    <w:rsid w:val="00240EF5"/>
    <w:rsid w:val="00240F36"/>
    <w:rsid w:val="002411B3"/>
    <w:rsid w:val="002413AD"/>
    <w:rsid w:val="0024158E"/>
    <w:rsid w:val="002417F6"/>
    <w:rsid w:val="00241D84"/>
    <w:rsid w:val="00241F1B"/>
    <w:rsid w:val="00242022"/>
    <w:rsid w:val="00242252"/>
    <w:rsid w:val="002422D0"/>
    <w:rsid w:val="002423B5"/>
    <w:rsid w:val="0024252F"/>
    <w:rsid w:val="0024257A"/>
    <w:rsid w:val="00243A10"/>
    <w:rsid w:val="00243B52"/>
    <w:rsid w:val="00243E76"/>
    <w:rsid w:val="002445DF"/>
    <w:rsid w:val="00244673"/>
    <w:rsid w:val="00244DF7"/>
    <w:rsid w:val="00245B77"/>
    <w:rsid w:val="00246488"/>
    <w:rsid w:val="00246694"/>
    <w:rsid w:val="00246B70"/>
    <w:rsid w:val="00246F79"/>
    <w:rsid w:val="00247142"/>
    <w:rsid w:val="002473C8"/>
    <w:rsid w:val="0024750F"/>
    <w:rsid w:val="00247672"/>
    <w:rsid w:val="0024791B"/>
    <w:rsid w:val="00247E40"/>
    <w:rsid w:val="00247F46"/>
    <w:rsid w:val="002500C3"/>
    <w:rsid w:val="002502C3"/>
    <w:rsid w:val="00250DC9"/>
    <w:rsid w:val="00251200"/>
    <w:rsid w:val="00251607"/>
    <w:rsid w:val="00251C90"/>
    <w:rsid w:val="0025214D"/>
    <w:rsid w:val="00252859"/>
    <w:rsid w:val="00253A57"/>
    <w:rsid w:val="00253C4F"/>
    <w:rsid w:val="00253E21"/>
    <w:rsid w:val="00253F18"/>
    <w:rsid w:val="00254022"/>
    <w:rsid w:val="00254871"/>
    <w:rsid w:val="00254AAC"/>
    <w:rsid w:val="00254C38"/>
    <w:rsid w:val="00255E22"/>
    <w:rsid w:val="00256B98"/>
    <w:rsid w:val="00256EAA"/>
    <w:rsid w:val="0025726A"/>
    <w:rsid w:val="00257F14"/>
    <w:rsid w:val="00260025"/>
    <w:rsid w:val="00260441"/>
    <w:rsid w:val="002605CD"/>
    <w:rsid w:val="002605D1"/>
    <w:rsid w:val="00261364"/>
    <w:rsid w:val="00261B66"/>
    <w:rsid w:val="00261BE1"/>
    <w:rsid w:val="00261CEB"/>
    <w:rsid w:val="00261E3F"/>
    <w:rsid w:val="00261F28"/>
    <w:rsid w:val="00262470"/>
    <w:rsid w:val="00262723"/>
    <w:rsid w:val="00263137"/>
    <w:rsid w:val="0026316A"/>
    <w:rsid w:val="00263364"/>
    <w:rsid w:val="002633BA"/>
    <w:rsid w:val="00263667"/>
    <w:rsid w:val="00263CE7"/>
    <w:rsid w:val="00263EAC"/>
    <w:rsid w:val="0026411C"/>
    <w:rsid w:val="00264A44"/>
    <w:rsid w:val="00265071"/>
    <w:rsid w:val="00265769"/>
    <w:rsid w:val="0026596A"/>
    <w:rsid w:val="002668BE"/>
    <w:rsid w:val="00266AA9"/>
    <w:rsid w:val="00266ADB"/>
    <w:rsid w:val="0026784E"/>
    <w:rsid w:val="00267D29"/>
    <w:rsid w:val="00267EDF"/>
    <w:rsid w:val="00267FAA"/>
    <w:rsid w:val="0027069B"/>
    <w:rsid w:val="002709C1"/>
    <w:rsid w:val="00270E26"/>
    <w:rsid w:val="00271A6A"/>
    <w:rsid w:val="00271ECA"/>
    <w:rsid w:val="0027253E"/>
    <w:rsid w:val="00273058"/>
    <w:rsid w:val="002734E3"/>
    <w:rsid w:val="00273968"/>
    <w:rsid w:val="00273B65"/>
    <w:rsid w:val="002741BD"/>
    <w:rsid w:val="00274836"/>
    <w:rsid w:val="00274885"/>
    <w:rsid w:val="002754BB"/>
    <w:rsid w:val="002754C0"/>
    <w:rsid w:val="00275B09"/>
    <w:rsid w:val="00275B28"/>
    <w:rsid w:val="00276543"/>
    <w:rsid w:val="0027680F"/>
    <w:rsid w:val="00276E72"/>
    <w:rsid w:val="00276F4D"/>
    <w:rsid w:val="0027739A"/>
    <w:rsid w:val="00277965"/>
    <w:rsid w:val="002779A4"/>
    <w:rsid w:val="00277A74"/>
    <w:rsid w:val="00277BB8"/>
    <w:rsid w:val="00277BF1"/>
    <w:rsid w:val="00277E8E"/>
    <w:rsid w:val="00280084"/>
    <w:rsid w:val="002801B2"/>
    <w:rsid w:val="0028039C"/>
    <w:rsid w:val="002804A1"/>
    <w:rsid w:val="002807A4"/>
    <w:rsid w:val="002809DE"/>
    <w:rsid w:val="002809E3"/>
    <w:rsid w:val="00280ABA"/>
    <w:rsid w:val="00281B86"/>
    <w:rsid w:val="00282195"/>
    <w:rsid w:val="00283484"/>
    <w:rsid w:val="002834BB"/>
    <w:rsid w:val="0028383E"/>
    <w:rsid w:val="00283993"/>
    <w:rsid w:val="002841E9"/>
    <w:rsid w:val="0028479B"/>
    <w:rsid w:val="002847B2"/>
    <w:rsid w:val="00284B1E"/>
    <w:rsid w:val="0028557C"/>
    <w:rsid w:val="0028598D"/>
    <w:rsid w:val="00285B1B"/>
    <w:rsid w:val="00285D89"/>
    <w:rsid w:val="00286184"/>
    <w:rsid w:val="00286550"/>
    <w:rsid w:val="002865B0"/>
    <w:rsid w:val="00286DC1"/>
    <w:rsid w:val="00286E0C"/>
    <w:rsid w:val="00287C51"/>
    <w:rsid w:val="00287C88"/>
    <w:rsid w:val="00287D20"/>
    <w:rsid w:val="00287DAE"/>
    <w:rsid w:val="00287FE5"/>
    <w:rsid w:val="002908BB"/>
    <w:rsid w:val="00290BB8"/>
    <w:rsid w:val="00290F1B"/>
    <w:rsid w:val="002910A6"/>
    <w:rsid w:val="00292005"/>
    <w:rsid w:val="00292510"/>
    <w:rsid w:val="002926D9"/>
    <w:rsid w:val="00292C48"/>
    <w:rsid w:val="00293225"/>
    <w:rsid w:val="002935E6"/>
    <w:rsid w:val="002939B8"/>
    <w:rsid w:val="00294092"/>
    <w:rsid w:val="002940DF"/>
    <w:rsid w:val="00294D1A"/>
    <w:rsid w:val="00294D6C"/>
    <w:rsid w:val="00295396"/>
    <w:rsid w:val="00295597"/>
    <w:rsid w:val="00295BB8"/>
    <w:rsid w:val="00296600"/>
    <w:rsid w:val="00296A11"/>
    <w:rsid w:val="00296E43"/>
    <w:rsid w:val="0029739E"/>
    <w:rsid w:val="00297780"/>
    <w:rsid w:val="0029786E"/>
    <w:rsid w:val="00297D88"/>
    <w:rsid w:val="00297FA3"/>
    <w:rsid w:val="00297FF1"/>
    <w:rsid w:val="002A059B"/>
    <w:rsid w:val="002A0A7F"/>
    <w:rsid w:val="002A0C57"/>
    <w:rsid w:val="002A14AF"/>
    <w:rsid w:val="002A173C"/>
    <w:rsid w:val="002A17D6"/>
    <w:rsid w:val="002A1858"/>
    <w:rsid w:val="002A1AEE"/>
    <w:rsid w:val="002A1EAF"/>
    <w:rsid w:val="002A2206"/>
    <w:rsid w:val="002A32CC"/>
    <w:rsid w:val="002A4AB8"/>
    <w:rsid w:val="002A4B63"/>
    <w:rsid w:val="002A4C8D"/>
    <w:rsid w:val="002A4E3D"/>
    <w:rsid w:val="002A50CF"/>
    <w:rsid w:val="002A51FD"/>
    <w:rsid w:val="002A5212"/>
    <w:rsid w:val="002A54D4"/>
    <w:rsid w:val="002A587D"/>
    <w:rsid w:val="002A5BFB"/>
    <w:rsid w:val="002A5DC9"/>
    <w:rsid w:val="002A7319"/>
    <w:rsid w:val="002A7582"/>
    <w:rsid w:val="002A76F3"/>
    <w:rsid w:val="002B0700"/>
    <w:rsid w:val="002B0A35"/>
    <w:rsid w:val="002B0EBC"/>
    <w:rsid w:val="002B1A49"/>
    <w:rsid w:val="002B1BD5"/>
    <w:rsid w:val="002B1D61"/>
    <w:rsid w:val="002B2115"/>
    <w:rsid w:val="002B253C"/>
    <w:rsid w:val="002B2634"/>
    <w:rsid w:val="002B26FC"/>
    <w:rsid w:val="002B2CF8"/>
    <w:rsid w:val="002B2ED3"/>
    <w:rsid w:val="002B3410"/>
    <w:rsid w:val="002B388E"/>
    <w:rsid w:val="002B4422"/>
    <w:rsid w:val="002B46DD"/>
    <w:rsid w:val="002B491C"/>
    <w:rsid w:val="002B56F8"/>
    <w:rsid w:val="002B5B37"/>
    <w:rsid w:val="002B5C3B"/>
    <w:rsid w:val="002B5E6E"/>
    <w:rsid w:val="002B63A5"/>
    <w:rsid w:val="002B6626"/>
    <w:rsid w:val="002B6AB5"/>
    <w:rsid w:val="002B6AE1"/>
    <w:rsid w:val="002B7105"/>
    <w:rsid w:val="002B71CB"/>
    <w:rsid w:val="002B7279"/>
    <w:rsid w:val="002B7525"/>
    <w:rsid w:val="002B78CA"/>
    <w:rsid w:val="002B78E4"/>
    <w:rsid w:val="002B79DA"/>
    <w:rsid w:val="002B7DBE"/>
    <w:rsid w:val="002B7ED8"/>
    <w:rsid w:val="002C1028"/>
    <w:rsid w:val="002C132A"/>
    <w:rsid w:val="002C3178"/>
    <w:rsid w:val="002C4950"/>
    <w:rsid w:val="002C4FD0"/>
    <w:rsid w:val="002C5295"/>
    <w:rsid w:val="002C5323"/>
    <w:rsid w:val="002C53B9"/>
    <w:rsid w:val="002C53F3"/>
    <w:rsid w:val="002C58BE"/>
    <w:rsid w:val="002C5FC5"/>
    <w:rsid w:val="002C7166"/>
    <w:rsid w:val="002C7B9F"/>
    <w:rsid w:val="002C7C80"/>
    <w:rsid w:val="002C7F3C"/>
    <w:rsid w:val="002D060A"/>
    <w:rsid w:val="002D17D1"/>
    <w:rsid w:val="002D2C65"/>
    <w:rsid w:val="002D2CEE"/>
    <w:rsid w:val="002D2D4F"/>
    <w:rsid w:val="002D2FC0"/>
    <w:rsid w:val="002D3611"/>
    <w:rsid w:val="002D36CB"/>
    <w:rsid w:val="002D36F4"/>
    <w:rsid w:val="002D3E50"/>
    <w:rsid w:val="002D41FB"/>
    <w:rsid w:val="002D47B7"/>
    <w:rsid w:val="002D4985"/>
    <w:rsid w:val="002D4A14"/>
    <w:rsid w:val="002D4AD1"/>
    <w:rsid w:val="002D50C4"/>
    <w:rsid w:val="002D514E"/>
    <w:rsid w:val="002D528C"/>
    <w:rsid w:val="002D52EA"/>
    <w:rsid w:val="002D556B"/>
    <w:rsid w:val="002D5925"/>
    <w:rsid w:val="002D5F65"/>
    <w:rsid w:val="002D60BD"/>
    <w:rsid w:val="002D61F0"/>
    <w:rsid w:val="002D6416"/>
    <w:rsid w:val="002D6706"/>
    <w:rsid w:val="002D6741"/>
    <w:rsid w:val="002D694F"/>
    <w:rsid w:val="002D6AD3"/>
    <w:rsid w:val="002D70EF"/>
    <w:rsid w:val="002D72E9"/>
    <w:rsid w:val="002D744C"/>
    <w:rsid w:val="002D7B72"/>
    <w:rsid w:val="002E02D3"/>
    <w:rsid w:val="002E0358"/>
    <w:rsid w:val="002E06AD"/>
    <w:rsid w:val="002E07E8"/>
    <w:rsid w:val="002E0EE3"/>
    <w:rsid w:val="002E145A"/>
    <w:rsid w:val="002E1690"/>
    <w:rsid w:val="002E1B29"/>
    <w:rsid w:val="002E23C2"/>
    <w:rsid w:val="002E30A8"/>
    <w:rsid w:val="002E373B"/>
    <w:rsid w:val="002E380A"/>
    <w:rsid w:val="002E38BA"/>
    <w:rsid w:val="002E3B4C"/>
    <w:rsid w:val="002E3D17"/>
    <w:rsid w:val="002E3F8B"/>
    <w:rsid w:val="002E4253"/>
    <w:rsid w:val="002E4556"/>
    <w:rsid w:val="002E4800"/>
    <w:rsid w:val="002E5775"/>
    <w:rsid w:val="002E613A"/>
    <w:rsid w:val="002E6718"/>
    <w:rsid w:val="002E6A97"/>
    <w:rsid w:val="002E6E4E"/>
    <w:rsid w:val="002E6F95"/>
    <w:rsid w:val="002E7856"/>
    <w:rsid w:val="002E7ACA"/>
    <w:rsid w:val="002E7F25"/>
    <w:rsid w:val="002F0123"/>
    <w:rsid w:val="002F04D7"/>
    <w:rsid w:val="002F0C33"/>
    <w:rsid w:val="002F18EE"/>
    <w:rsid w:val="002F190F"/>
    <w:rsid w:val="002F1910"/>
    <w:rsid w:val="002F198E"/>
    <w:rsid w:val="002F1B76"/>
    <w:rsid w:val="002F1CF7"/>
    <w:rsid w:val="002F2BA6"/>
    <w:rsid w:val="002F2DED"/>
    <w:rsid w:val="002F32AE"/>
    <w:rsid w:val="002F3588"/>
    <w:rsid w:val="002F4163"/>
    <w:rsid w:val="002F4435"/>
    <w:rsid w:val="002F457E"/>
    <w:rsid w:val="002F477B"/>
    <w:rsid w:val="002F4AE1"/>
    <w:rsid w:val="002F53EB"/>
    <w:rsid w:val="002F5482"/>
    <w:rsid w:val="002F56CE"/>
    <w:rsid w:val="002F63D0"/>
    <w:rsid w:val="002F648C"/>
    <w:rsid w:val="002F7DE5"/>
    <w:rsid w:val="002F7E69"/>
    <w:rsid w:val="002F7FBD"/>
    <w:rsid w:val="003000E5"/>
    <w:rsid w:val="00300AF5"/>
    <w:rsid w:val="00301989"/>
    <w:rsid w:val="00301CB0"/>
    <w:rsid w:val="00301ECA"/>
    <w:rsid w:val="0030246B"/>
    <w:rsid w:val="00302991"/>
    <w:rsid w:val="00302E08"/>
    <w:rsid w:val="00302E29"/>
    <w:rsid w:val="003031C6"/>
    <w:rsid w:val="003038FE"/>
    <w:rsid w:val="00303C0D"/>
    <w:rsid w:val="00303C27"/>
    <w:rsid w:val="00304030"/>
    <w:rsid w:val="003042FF"/>
    <w:rsid w:val="003048A5"/>
    <w:rsid w:val="00304973"/>
    <w:rsid w:val="00304986"/>
    <w:rsid w:val="00305089"/>
    <w:rsid w:val="003056B8"/>
    <w:rsid w:val="0030639A"/>
    <w:rsid w:val="00307274"/>
    <w:rsid w:val="003072EC"/>
    <w:rsid w:val="00307406"/>
    <w:rsid w:val="0030770B"/>
    <w:rsid w:val="003078A6"/>
    <w:rsid w:val="00307E85"/>
    <w:rsid w:val="0031024B"/>
    <w:rsid w:val="00310A25"/>
    <w:rsid w:val="00311427"/>
    <w:rsid w:val="003117AE"/>
    <w:rsid w:val="00311A19"/>
    <w:rsid w:val="003125F2"/>
    <w:rsid w:val="00312B55"/>
    <w:rsid w:val="00312E4B"/>
    <w:rsid w:val="003132EB"/>
    <w:rsid w:val="00313322"/>
    <w:rsid w:val="00314AF2"/>
    <w:rsid w:val="003153DD"/>
    <w:rsid w:val="003153E4"/>
    <w:rsid w:val="0031561D"/>
    <w:rsid w:val="003159E3"/>
    <w:rsid w:val="00315A30"/>
    <w:rsid w:val="00315C8B"/>
    <w:rsid w:val="00315D15"/>
    <w:rsid w:val="00315DB6"/>
    <w:rsid w:val="00316234"/>
    <w:rsid w:val="003167F4"/>
    <w:rsid w:val="00316897"/>
    <w:rsid w:val="00316CE7"/>
    <w:rsid w:val="003171D8"/>
    <w:rsid w:val="00317395"/>
    <w:rsid w:val="003173BD"/>
    <w:rsid w:val="00317531"/>
    <w:rsid w:val="003178D5"/>
    <w:rsid w:val="00317BCC"/>
    <w:rsid w:val="00317BFD"/>
    <w:rsid w:val="00317ECE"/>
    <w:rsid w:val="00317FAB"/>
    <w:rsid w:val="003206AF"/>
    <w:rsid w:val="003206E8"/>
    <w:rsid w:val="00320859"/>
    <w:rsid w:val="00320950"/>
    <w:rsid w:val="00320AD1"/>
    <w:rsid w:val="00321761"/>
    <w:rsid w:val="00321E3F"/>
    <w:rsid w:val="00321F0C"/>
    <w:rsid w:val="0032236B"/>
    <w:rsid w:val="00322DB8"/>
    <w:rsid w:val="00322FE7"/>
    <w:rsid w:val="00323411"/>
    <w:rsid w:val="00323E73"/>
    <w:rsid w:val="00323F93"/>
    <w:rsid w:val="003242F6"/>
    <w:rsid w:val="003255BE"/>
    <w:rsid w:val="003258F8"/>
    <w:rsid w:val="00325FAC"/>
    <w:rsid w:val="00325FDE"/>
    <w:rsid w:val="003263A8"/>
    <w:rsid w:val="00326491"/>
    <w:rsid w:val="00326679"/>
    <w:rsid w:val="00326C54"/>
    <w:rsid w:val="003277FB"/>
    <w:rsid w:val="00327F7B"/>
    <w:rsid w:val="00330422"/>
    <w:rsid w:val="00330784"/>
    <w:rsid w:val="00330D54"/>
    <w:rsid w:val="0033117A"/>
    <w:rsid w:val="003313AE"/>
    <w:rsid w:val="00331C51"/>
    <w:rsid w:val="00332075"/>
    <w:rsid w:val="00332CBA"/>
    <w:rsid w:val="00333BFA"/>
    <w:rsid w:val="003348DB"/>
    <w:rsid w:val="00334E5B"/>
    <w:rsid w:val="0033555D"/>
    <w:rsid w:val="003358C8"/>
    <w:rsid w:val="00335B87"/>
    <w:rsid w:val="00335BF5"/>
    <w:rsid w:val="00335CDA"/>
    <w:rsid w:val="00335EC2"/>
    <w:rsid w:val="00336113"/>
    <w:rsid w:val="00336F81"/>
    <w:rsid w:val="00336FF8"/>
    <w:rsid w:val="00337454"/>
    <w:rsid w:val="003374CC"/>
    <w:rsid w:val="00337F51"/>
    <w:rsid w:val="00337F64"/>
    <w:rsid w:val="00340682"/>
    <w:rsid w:val="003407E8"/>
    <w:rsid w:val="003409E4"/>
    <w:rsid w:val="00340F32"/>
    <w:rsid w:val="00341831"/>
    <w:rsid w:val="00341B65"/>
    <w:rsid w:val="00342039"/>
    <w:rsid w:val="003424F2"/>
    <w:rsid w:val="00342733"/>
    <w:rsid w:val="003428B2"/>
    <w:rsid w:val="00342E54"/>
    <w:rsid w:val="003431C4"/>
    <w:rsid w:val="003442C4"/>
    <w:rsid w:val="003442EF"/>
    <w:rsid w:val="003443AD"/>
    <w:rsid w:val="003444A9"/>
    <w:rsid w:val="0034484F"/>
    <w:rsid w:val="00344DAF"/>
    <w:rsid w:val="003458FA"/>
    <w:rsid w:val="00345CD8"/>
    <w:rsid w:val="00346558"/>
    <w:rsid w:val="0034682E"/>
    <w:rsid w:val="003468A0"/>
    <w:rsid w:val="00346BE3"/>
    <w:rsid w:val="0034719E"/>
    <w:rsid w:val="00347260"/>
    <w:rsid w:val="003473FA"/>
    <w:rsid w:val="003477E7"/>
    <w:rsid w:val="00347EE1"/>
    <w:rsid w:val="00347FEC"/>
    <w:rsid w:val="003506A2"/>
    <w:rsid w:val="003506D5"/>
    <w:rsid w:val="00350AEA"/>
    <w:rsid w:val="003512E2"/>
    <w:rsid w:val="00351537"/>
    <w:rsid w:val="003516FE"/>
    <w:rsid w:val="00351939"/>
    <w:rsid w:val="00351AA0"/>
    <w:rsid w:val="00351DD6"/>
    <w:rsid w:val="00352080"/>
    <w:rsid w:val="0035239C"/>
    <w:rsid w:val="0035397B"/>
    <w:rsid w:val="0035479B"/>
    <w:rsid w:val="00354EEF"/>
    <w:rsid w:val="003558C9"/>
    <w:rsid w:val="00355E92"/>
    <w:rsid w:val="00356247"/>
    <w:rsid w:val="00356570"/>
    <w:rsid w:val="00356768"/>
    <w:rsid w:val="003571BE"/>
    <w:rsid w:val="003572F7"/>
    <w:rsid w:val="00357742"/>
    <w:rsid w:val="00357910"/>
    <w:rsid w:val="00357AEE"/>
    <w:rsid w:val="00357B7A"/>
    <w:rsid w:val="00357BC0"/>
    <w:rsid w:val="00360306"/>
    <w:rsid w:val="0036092D"/>
    <w:rsid w:val="00360D86"/>
    <w:rsid w:val="00360E69"/>
    <w:rsid w:val="00361397"/>
    <w:rsid w:val="0036153A"/>
    <w:rsid w:val="00361551"/>
    <w:rsid w:val="003616F5"/>
    <w:rsid w:val="00361996"/>
    <w:rsid w:val="00361A96"/>
    <w:rsid w:val="00361BC2"/>
    <w:rsid w:val="00361E2A"/>
    <w:rsid w:val="00361F3B"/>
    <w:rsid w:val="00362022"/>
    <w:rsid w:val="00362553"/>
    <w:rsid w:val="003626BE"/>
    <w:rsid w:val="00362F06"/>
    <w:rsid w:val="003632B3"/>
    <w:rsid w:val="003636F8"/>
    <w:rsid w:val="00363819"/>
    <w:rsid w:val="00364091"/>
    <w:rsid w:val="003642BA"/>
    <w:rsid w:val="00364DD2"/>
    <w:rsid w:val="003652E3"/>
    <w:rsid w:val="00365A51"/>
    <w:rsid w:val="00365B62"/>
    <w:rsid w:val="00365DC7"/>
    <w:rsid w:val="003660DD"/>
    <w:rsid w:val="00366D40"/>
    <w:rsid w:val="0036742D"/>
    <w:rsid w:val="00367C7F"/>
    <w:rsid w:val="00367FFE"/>
    <w:rsid w:val="00370274"/>
    <w:rsid w:val="003703D8"/>
    <w:rsid w:val="00370479"/>
    <w:rsid w:val="0037174F"/>
    <w:rsid w:val="003722A9"/>
    <w:rsid w:val="00372337"/>
    <w:rsid w:val="00373298"/>
    <w:rsid w:val="00373468"/>
    <w:rsid w:val="0037356D"/>
    <w:rsid w:val="0037510F"/>
    <w:rsid w:val="003753CD"/>
    <w:rsid w:val="003753E5"/>
    <w:rsid w:val="003759AC"/>
    <w:rsid w:val="00375B24"/>
    <w:rsid w:val="00375C80"/>
    <w:rsid w:val="0037635C"/>
    <w:rsid w:val="003763ED"/>
    <w:rsid w:val="00376529"/>
    <w:rsid w:val="003766F6"/>
    <w:rsid w:val="00376A56"/>
    <w:rsid w:val="00377080"/>
    <w:rsid w:val="00377268"/>
    <w:rsid w:val="00377882"/>
    <w:rsid w:val="00377A70"/>
    <w:rsid w:val="00377CCC"/>
    <w:rsid w:val="00377CD3"/>
    <w:rsid w:val="00377E38"/>
    <w:rsid w:val="0038037D"/>
    <w:rsid w:val="00380532"/>
    <w:rsid w:val="00380A53"/>
    <w:rsid w:val="00380D3D"/>
    <w:rsid w:val="003810C8"/>
    <w:rsid w:val="0038121F"/>
    <w:rsid w:val="00381349"/>
    <w:rsid w:val="0038184B"/>
    <w:rsid w:val="00381DF0"/>
    <w:rsid w:val="003825D6"/>
    <w:rsid w:val="00382A84"/>
    <w:rsid w:val="00382C28"/>
    <w:rsid w:val="003838B3"/>
    <w:rsid w:val="00384157"/>
    <w:rsid w:val="003841FA"/>
    <w:rsid w:val="003843B1"/>
    <w:rsid w:val="00384944"/>
    <w:rsid w:val="00385449"/>
    <w:rsid w:val="0038552A"/>
    <w:rsid w:val="00385A41"/>
    <w:rsid w:val="00385C13"/>
    <w:rsid w:val="0038659F"/>
    <w:rsid w:val="0038667E"/>
    <w:rsid w:val="003877B2"/>
    <w:rsid w:val="003878E9"/>
    <w:rsid w:val="00387B17"/>
    <w:rsid w:val="00387C4F"/>
    <w:rsid w:val="0039023C"/>
    <w:rsid w:val="00390756"/>
    <w:rsid w:val="00390A1A"/>
    <w:rsid w:val="00391895"/>
    <w:rsid w:val="0039194C"/>
    <w:rsid w:val="00392766"/>
    <w:rsid w:val="003928D7"/>
    <w:rsid w:val="00392A59"/>
    <w:rsid w:val="0039313E"/>
    <w:rsid w:val="00393739"/>
    <w:rsid w:val="0039373D"/>
    <w:rsid w:val="003937A0"/>
    <w:rsid w:val="003939A8"/>
    <w:rsid w:val="00393AA0"/>
    <w:rsid w:val="0039446C"/>
    <w:rsid w:val="0039479E"/>
    <w:rsid w:val="00394CD4"/>
    <w:rsid w:val="00394D41"/>
    <w:rsid w:val="00394D53"/>
    <w:rsid w:val="003951C6"/>
    <w:rsid w:val="00395755"/>
    <w:rsid w:val="00395E1A"/>
    <w:rsid w:val="0039604E"/>
    <w:rsid w:val="0039673D"/>
    <w:rsid w:val="00396A8D"/>
    <w:rsid w:val="00397320"/>
    <w:rsid w:val="00397E53"/>
    <w:rsid w:val="00397F66"/>
    <w:rsid w:val="003A05F2"/>
    <w:rsid w:val="003A08BF"/>
    <w:rsid w:val="003A0A53"/>
    <w:rsid w:val="003A0A7B"/>
    <w:rsid w:val="003A0D23"/>
    <w:rsid w:val="003A0F21"/>
    <w:rsid w:val="003A103B"/>
    <w:rsid w:val="003A15DE"/>
    <w:rsid w:val="003A1718"/>
    <w:rsid w:val="003A1820"/>
    <w:rsid w:val="003A1B6E"/>
    <w:rsid w:val="003A1DE7"/>
    <w:rsid w:val="003A2331"/>
    <w:rsid w:val="003A2520"/>
    <w:rsid w:val="003A2870"/>
    <w:rsid w:val="003A2954"/>
    <w:rsid w:val="003A2D4F"/>
    <w:rsid w:val="003A2E94"/>
    <w:rsid w:val="003A2F52"/>
    <w:rsid w:val="003A3198"/>
    <w:rsid w:val="003A378A"/>
    <w:rsid w:val="003A4FDF"/>
    <w:rsid w:val="003A566D"/>
    <w:rsid w:val="003A5F5E"/>
    <w:rsid w:val="003A757A"/>
    <w:rsid w:val="003A76EF"/>
    <w:rsid w:val="003A772B"/>
    <w:rsid w:val="003A77BF"/>
    <w:rsid w:val="003A78BA"/>
    <w:rsid w:val="003A7963"/>
    <w:rsid w:val="003A7A67"/>
    <w:rsid w:val="003A7C5C"/>
    <w:rsid w:val="003A7DE3"/>
    <w:rsid w:val="003A7F39"/>
    <w:rsid w:val="003A7F8F"/>
    <w:rsid w:val="003B045D"/>
    <w:rsid w:val="003B096D"/>
    <w:rsid w:val="003B097B"/>
    <w:rsid w:val="003B0D68"/>
    <w:rsid w:val="003B1E37"/>
    <w:rsid w:val="003B25ED"/>
    <w:rsid w:val="003B298B"/>
    <w:rsid w:val="003B2B82"/>
    <w:rsid w:val="003B2F92"/>
    <w:rsid w:val="003B32B3"/>
    <w:rsid w:val="003B3BE4"/>
    <w:rsid w:val="003B3E28"/>
    <w:rsid w:val="003B4504"/>
    <w:rsid w:val="003B48EA"/>
    <w:rsid w:val="003B4A3D"/>
    <w:rsid w:val="003B4FFC"/>
    <w:rsid w:val="003B5B04"/>
    <w:rsid w:val="003B5DEF"/>
    <w:rsid w:val="003B5F3E"/>
    <w:rsid w:val="003B5F99"/>
    <w:rsid w:val="003B678F"/>
    <w:rsid w:val="003B6CAD"/>
    <w:rsid w:val="003B6D74"/>
    <w:rsid w:val="003B76A8"/>
    <w:rsid w:val="003B76C6"/>
    <w:rsid w:val="003B7880"/>
    <w:rsid w:val="003B7A4A"/>
    <w:rsid w:val="003B7E98"/>
    <w:rsid w:val="003C053A"/>
    <w:rsid w:val="003C137A"/>
    <w:rsid w:val="003C2C04"/>
    <w:rsid w:val="003C2E12"/>
    <w:rsid w:val="003C2E15"/>
    <w:rsid w:val="003C3398"/>
    <w:rsid w:val="003C3738"/>
    <w:rsid w:val="003C3D29"/>
    <w:rsid w:val="003C3FBD"/>
    <w:rsid w:val="003C50C4"/>
    <w:rsid w:val="003C53FD"/>
    <w:rsid w:val="003C5770"/>
    <w:rsid w:val="003C580D"/>
    <w:rsid w:val="003C6361"/>
    <w:rsid w:val="003C64E2"/>
    <w:rsid w:val="003C64FE"/>
    <w:rsid w:val="003C6524"/>
    <w:rsid w:val="003C662A"/>
    <w:rsid w:val="003C67F9"/>
    <w:rsid w:val="003C6C7D"/>
    <w:rsid w:val="003C6F79"/>
    <w:rsid w:val="003C70EF"/>
    <w:rsid w:val="003C7B81"/>
    <w:rsid w:val="003D077C"/>
    <w:rsid w:val="003D0A50"/>
    <w:rsid w:val="003D0B1A"/>
    <w:rsid w:val="003D0ED7"/>
    <w:rsid w:val="003D16EF"/>
    <w:rsid w:val="003D18E1"/>
    <w:rsid w:val="003D2005"/>
    <w:rsid w:val="003D2156"/>
    <w:rsid w:val="003D24B1"/>
    <w:rsid w:val="003D29B1"/>
    <w:rsid w:val="003D2B3C"/>
    <w:rsid w:val="003D2CF6"/>
    <w:rsid w:val="003D330A"/>
    <w:rsid w:val="003D3578"/>
    <w:rsid w:val="003D3A07"/>
    <w:rsid w:val="003D3EAF"/>
    <w:rsid w:val="003D4CA2"/>
    <w:rsid w:val="003D54B6"/>
    <w:rsid w:val="003D584C"/>
    <w:rsid w:val="003D59FE"/>
    <w:rsid w:val="003D5C36"/>
    <w:rsid w:val="003D5D4C"/>
    <w:rsid w:val="003D5FE6"/>
    <w:rsid w:val="003D61F2"/>
    <w:rsid w:val="003D63C2"/>
    <w:rsid w:val="003D65A1"/>
    <w:rsid w:val="003D7162"/>
    <w:rsid w:val="003D760D"/>
    <w:rsid w:val="003E0904"/>
    <w:rsid w:val="003E0E41"/>
    <w:rsid w:val="003E0FEA"/>
    <w:rsid w:val="003E1DE8"/>
    <w:rsid w:val="003E2D48"/>
    <w:rsid w:val="003E3110"/>
    <w:rsid w:val="003E3192"/>
    <w:rsid w:val="003E31DA"/>
    <w:rsid w:val="003E31EA"/>
    <w:rsid w:val="003E32DD"/>
    <w:rsid w:val="003E3765"/>
    <w:rsid w:val="003E396F"/>
    <w:rsid w:val="003E48D2"/>
    <w:rsid w:val="003E52D5"/>
    <w:rsid w:val="003E57D5"/>
    <w:rsid w:val="003E596B"/>
    <w:rsid w:val="003E5D7B"/>
    <w:rsid w:val="003E5E22"/>
    <w:rsid w:val="003E608C"/>
    <w:rsid w:val="003E6617"/>
    <w:rsid w:val="003E6C80"/>
    <w:rsid w:val="003E6E12"/>
    <w:rsid w:val="003E76BB"/>
    <w:rsid w:val="003E79B8"/>
    <w:rsid w:val="003F00DD"/>
    <w:rsid w:val="003F0434"/>
    <w:rsid w:val="003F0450"/>
    <w:rsid w:val="003F09DA"/>
    <w:rsid w:val="003F0CE6"/>
    <w:rsid w:val="003F0EDF"/>
    <w:rsid w:val="003F1507"/>
    <w:rsid w:val="003F15EA"/>
    <w:rsid w:val="003F16D8"/>
    <w:rsid w:val="003F188B"/>
    <w:rsid w:val="003F1C49"/>
    <w:rsid w:val="003F1FA7"/>
    <w:rsid w:val="003F1FDD"/>
    <w:rsid w:val="003F23BD"/>
    <w:rsid w:val="003F25D5"/>
    <w:rsid w:val="003F2751"/>
    <w:rsid w:val="003F28C4"/>
    <w:rsid w:val="003F28E1"/>
    <w:rsid w:val="003F2D26"/>
    <w:rsid w:val="003F2DCD"/>
    <w:rsid w:val="003F31BC"/>
    <w:rsid w:val="003F39B7"/>
    <w:rsid w:val="003F415B"/>
    <w:rsid w:val="003F417F"/>
    <w:rsid w:val="003F45BF"/>
    <w:rsid w:val="003F47F5"/>
    <w:rsid w:val="003F4A6F"/>
    <w:rsid w:val="003F4E53"/>
    <w:rsid w:val="003F528B"/>
    <w:rsid w:val="003F56E9"/>
    <w:rsid w:val="003F579E"/>
    <w:rsid w:val="003F57A2"/>
    <w:rsid w:val="003F5904"/>
    <w:rsid w:val="003F5A6C"/>
    <w:rsid w:val="003F5F8F"/>
    <w:rsid w:val="003F6246"/>
    <w:rsid w:val="003F637E"/>
    <w:rsid w:val="003F7260"/>
    <w:rsid w:val="003F7471"/>
    <w:rsid w:val="003F7595"/>
    <w:rsid w:val="00400454"/>
    <w:rsid w:val="00400667"/>
    <w:rsid w:val="004007B7"/>
    <w:rsid w:val="00400A42"/>
    <w:rsid w:val="00401265"/>
    <w:rsid w:val="00401723"/>
    <w:rsid w:val="0040196B"/>
    <w:rsid w:val="00401985"/>
    <w:rsid w:val="00401B77"/>
    <w:rsid w:val="00401FD9"/>
    <w:rsid w:val="00402316"/>
    <w:rsid w:val="004029E9"/>
    <w:rsid w:val="00403097"/>
    <w:rsid w:val="0040330A"/>
    <w:rsid w:val="004037AF"/>
    <w:rsid w:val="00403B9A"/>
    <w:rsid w:val="00404061"/>
    <w:rsid w:val="004043AE"/>
    <w:rsid w:val="00404419"/>
    <w:rsid w:val="004046D0"/>
    <w:rsid w:val="004048EA"/>
    <w:rsid w:val="00404EE1"/>
    <w:rsid w:val="00405187"/>
    <w:rsid w:val="00405369"/>
    <w:rsid w:val="00405858"/>
    <w:rsid w:val="00406719"/>
    <w:rsid w:val="00407B13"/>
    <w:rsid w:val="00407D52"/>
    <w:rsid w:val="00407DF3"/>
    <w:rsid w:val="00407E2B"/>
    <w:rsid w:val="00410274"/>
    <w:rsid w:val="00410541"/>
    <w:rsid w:val="00410BE2"/>
    <w:rsid w:val="0041196C"/>
    <w:rsid w:val="00412581"/>
    <w:rsid w:val="004126B2"/>
    <w:rsid w:val="00413652"/>
    <w:rsid w:val="00413ADC"/>
    <w:rsid w:val="00413B27"/>
    <w:rsid w:val="0041433B"/>
    <w:rsid w:val="004146F2"/>
    <w:rsid w:val="00414771"/>
    <w:rsid w:val="00414E86"/>
    <w:rsid w:val="00415599"/>
    <w:rsid w:val="00415865"/>
    <w:rsid w:val="00415892"/>
    <w:rsid w:val="0041590F"/>
    <w:rsid w:val="00415D22"/>
    <w:rsid w:val="00416446"/>
    <w:rsid w:val="00416818"/>
    <w:rsid w:val="00416BC1"/>
    <w:rsid w:val="00417327"/>
    <w:rsid w:val="0041748B"/>
    <w:rsid w:val="00420000"/>
    <w:rsid w:val="00420050"/>
    <w:rsid w:val="00420147"/>
    <w:rsid w:val="004202AD"/>
    <w:rsid w:val="004209A3"/>
    <w:rsid w:val="004209F9"/>
    <w:rsid w:val="00420B2B"/>
    <w:rsid w:val="00420D4C"/>
    <w:rsid w:val="0042126A"/>
    <w:rsid w:val="004212F5"/>
    <w:rsid w:val="00421862"/>
    <w:rsid w:val="004221F6"/>
    <w:rsid w:val="00422512"/>
    <w:rsid w:val="0042251C"/>
    <w:rsid w:val="0042276E"/>
    <w:rsid w:val="0042282A"/>
    <w:rsid w:val="00422896"/>
    <w:rsid w:val="00422F14"/>
    <w:rsid w:val="00423017"/>
    <w:rsid w:val="004234A2"/>
    <w:rsid w:val="0042362D"/>
    <w:rsid w:val="004237D0"/>
    <w:rsid w:val="00423815"/>
    <w:rsid w:val="00423CE7"/>
    <w:rsid w:val="00423E2B"/>
    <w:rsid w:val="0042416C"/>
    <w:rsid w:val="0042417C"/>
    <w:rsid w:val="004246A8"/>
    <w:rsid w:val="00424A7E"/>
    <w:rsid w:val="00424E25"/>
    <w:rsid w:val="00424EE7"/>
    <w:rsid w:val="00425A05"/>
    <w:rsid w:val="00425CF3"/>
    <w:rsid w:val="00425E95"/>
    <w:rsid w:val="0042621A"/>
    <w:rsid w:val="00426820"/>
    <w:rsid w:val="004268A5"/>
    <w:rsid w:val="00426F33"/>
    <w:rsid w:val="004273C5"/>
    <w:rsid w:val="00427654"/>
    <w:rsid w:val="004276ED"/>
    <w:rsid w:val="004278A3"/>
    <w:rsid w:val="00427D38"/>
    <w:rsid w:val="00427D56"/>
    <w:rsid w:val="00430218"/>
    <w:rsid w:val="00430B76"/>
    <w:rsid w:val="00430CB7"/>
    <w:rsid w:val="004311DB"/>
    <w:rsid w:val="00431296"/>
    <w:rsid w:val="0043145B"/>
    <w:rsid w:val="004315B8"/>
    <w:rsid w:val="0043176A"/>
    <w:rsid w:val="00431936"/>
    <w:rsid w:val="00431CC0"/>
    <w:rsid w:val="00431E55"/>
    <w:rsid w:val="00432013"/>
    <w:rsid w:val="0043385E"/>
    <w:rsid w:val="0043393D"/>
    <w:rsid w:val="004339A4"/>
    <w:rsid w:val="00433E24"/>
    <w:rsid w:val="004340A5"/>
    <w:rsid w:val="00434134"/>
    <w:rsid w:val="004347DF"/>
    <w:rsid w:val="00435197"/>
    <w:rsid w:val="004351F0"/>
    <w:rsid w:val="00435379"/>
    <w:rsid w:val="0043564D"/>
    <w:rsid w:val="00435FA0"/>
    <w:rsid w:val="004369B3"/>
    <w:rsid w:val="00436F39"/>
    <w:rsid w:val="004375C1"/>
    <w:rsid w:val="004377CB"/>
    <w:rsid w:val="00437D30"/>
    <w:rsid w:val="00437D82"/>
    <w:rsid w:val="00437DFD"/>
    <w:rsid w:val="00437FCB"/>
    <w:rsid w:val="00440052"/>
    <w:rsid w:val="004408FA"/>
    <w:rsid w:val="004409A9"/>
    <w:rsid w:val="00440EB4"/>
    <w:rsid w:val="004411CF"/>
    <w:rsid w:val="00441900"/>
    <w:rsid w:val="0044198F"/>
    <w:rsid w:val="00442760"/>
    <w:rsid w:val="00442A54"/>
    <w:rsid w:val="00442DBC"/>
    <w:rsid w:val="00444056"/>
    <w:rsid w:val="004441F6"/>
    <w:rsid w:val="004442BA"/>
    <w:rsid w:val="00444507"/>
    <w:rsid w:val="00444C4C"/>
    <w:rsid w:val="00444C5C"/>
    <w:rsid w:val="004458F1"/>
    <w:rsid w:val="004459E6"/>
    <w:rsid w:val="00445ABC"/>
    <w:rsid w:val="00445D8E"/>
    <w:rsid w:val="00445E71"/>
    <w:rsid w:val="004462F7"/>
    <w:rsid w:val="0044634D"/>
    <w:rsid w:val="004465A1"/>
    <w:rsid w:val="0044695B"/>
    <w:rsid w:val="004469E1"/>
    <w:rsid w:val="00446ADC"/>
    <w:rsid w:val="00446C2F"/>
    <w:rsid w:val="00446D1C"/>
    <w:rsid w:val="00447854"/>
    <w:rsid w:val="004478A2"/>
    <w:rsid w:val="004478B1"/>
    <w:rsid w:val="00447C05"/>
    <w:rsid w:val="00447D35"/>
    <w:rsid w:val="0045077F"/>
    <w:rsid w:val="004507E1"/>
    <w:rsid w:val="004515C5"/>
    <w:rsid w:val="00451BFB"/>
    <w:rsid w:val="00451D43"/>
    <w:rsid w:val="004527F5"/>
    <w:rsid w:val="00452A2A"/>
    <w:rsid w:val="00452B80"/>
    <w:rsid w:val="00452BD4"/>
    <w:rsid w:val="00452F4F"/>
    <w:rsid w:val="0045305D"/>
    <w:rsid w:val="004530EB"/>
    <w:rsid w:val="0045335E"/>
    <w:rsid w:val="0045348A"/>
    <w:rsid w:val="0045377F"/>
    <w:rsid w:val="00453E28"/>
    <w:rsid w:val="00454875"/>
    <w:rsid w:val="00454B3D"/>
    <w:rsid w:val="00454C46"/>
    <w:rsid w:val="00455530"/>
    <w:rsid w:val="0045569F"/>
    <w:rsid w:val="004561AC"/>
    <w:rsid w:val="00456684"/>
    <w:rsid w:val="0045676B"/>
    <w:rsid w:val="00456A89"/>
    <w:rsid w:val="00456AAF"/>
    <w:rsid w:val="00457284"/>
    <w:rsid w:val="0045735C"/>
    <w:rsid w:val="00457C2E"/>
    <w:rsid w:val="00460A8C"/>
    <w:rsid w:val="00461196"/>
    <w:rsid w:val="0046274A"/>
    <w:rsid w:val="00462876"/>
    <w:rsid w:val="004629AA"/>
    <w:rsid w:val="00462C67"/>
    <w:rsid w:val="00462D31"/>
    <w:rsid w:val="00462ED0"/>
    <w:rsid w:val="004631DC"/>
    <w:rsid w:val="004632A4"/>
    <w:rsid w:val="0046349E"/>
    <w:rsid w:val="00463542"/>
    <w:rsid w:val="00463864"/>
    <w:rsid w:val="004641B9"/>
    <w:rsid w:val="004641EF"/>
    <w:rsid w:val="00464406"/>
    <w:rsid w:val="004652AC"/>
    <w:rsid w:val="0046589F"/>
    <w:rsid w:val="00465B43"/>
    <w:rsid w:val="00465DCE"/>
    <w:rsid w:val="00466042"/>
    <w:rsid w:val="004662F0"/>
    <w:rsid w:val="0046683F"/>
    <w:rsid w:val="00466A44"/>
    <w:rsid w:val="00466C3D"/>
    <w:rsid w:val="00467091"/>
    <w:rsid w:val="00467913"/>
    <w:rsid w:val="00467941"/>
    <w:rsid w:val="00467C5D"/>
    <w:rsid w:val="00467C86"/>
    <w:rsid w:val="00467F56"/>
    <w:rsid w:val="00470B45"/>
    <w:rsid w:val="00470D7B"/>
    <w:rsid w:val="0047122A"/>
    <w:rsid w:val="00471612"/>
    <w:rsid w:val="00471A3E"/>
    <w:rsid w:val="00471F29"/>
    <w:rsid w:val="004721F3"/>
    <w:rsid w:val="00472503"/>
    <w:rsid w:val="0047251E"/>
    <w:rsid w:val="0047297B"/>
    <w:rsid w:val="00472BCC"/>
    <w:rsid w:val="00473368"/>
    <w:rsid w:val="00473D08"/>
    <w:rsid w:val="004740DC"/>
    <w:rsid w:val="0047437F"/>
    <w:rsid w:val="004745FC"/>
    <w:rsid w:val="00474E2E"/>
    <w:rsid w:val="0047501C"/>
    <w:rsid w:val="0047519F"/>
    <w:rsid w:val="00475B25"/>
    <w:rsid w:val="00475B5A"/>
    <w:rsid w:val="00475CAF"/>
    <w:rsid w:val="004765A8"/>
    <w:rsid w:val="004766D9"/>
    <w:rsid w:val="0047681A"/>
    <w:rsid w:val="00476A4F"/>
    <w:rsid w:val="004773FD"/>
    <w:rsid w:val="0047744E"/>
    <w:rsid w:val="004778CD"/>
    <w:rsid w:val="0047794F"/>
    <w:rsid w:val="00477BCC"/>
    <w:rsid w:val="00477C3E"/>
    <w:rsid w:val="00477C8C"/>
    <w:rsid w:val="00477D7A"/>
    <w:rsid w:val="00477E43"/>
    <w:rsid w:val="0048026D"/>
    <w:rsid w:val="00480497"/>
    <w:rsid w:val="0048088A"/>
    <w:rsid w:val="00480FCD"/>
    <w:rsid w:val="00481B23"/>
    <w:rsid w:val="00481BC2"/>
    <w:rsid w:val="00482623"/>
    <w:rsid w:val="0048360A"/>
    <w:rsid w:val="0048378A"/>
    <w:rsid w:val="00483BD5"/>
    <w:rsid w:val="00484965"/>
    <w:rsid w:val="00484CB8"/>
    <w:rsid w:val="00485299"/>
    <w:rsid w:val="00485E8D"/>
    <w:rsid w:val="00485F80"/>
    <w:rsid w:val="0048670E"/>
    <w:rsid w:val="00486781"/>
    <w:rsid w:val="00486BE2"/>
    <w:rsid w:val="00486C56"/>
    <w:rsid w:val="00487180"/>
    <w:rsid w:val="0048767E"/>
    <w:rsid w:val="00490881"/>
    <w:rsid w:val="004908BD"/>
    <w:rsid w:val="004909C8"/>
    <w:rsid w:val="00490A38"/>
    <w:rsid w:val="00490DB3"/>
    <w:rsid w:val="00490E5C"/>
    <w:rsid w:val="00490F06"/>
    <w:rsid w:val="004919F7"/>
    <w:rsid w:val="00491B72"/>
    <w:rsid w:val="00492034"/>
    <w:rsid w:val="00492091"/>
    <w:rsid w:val="00492C2C"/>
    <w:rsid w:val="0049349E"/>
    <w:rsid w:val="00493AE6"/>
    <w:rsid w:val="00494189"/>
    <w:rsid w:val="004945F9"/>
    <w:rsid w:val="0049474F"/>
    <w:rsid w:val="00494A40"/>
    <w:rsid w:val="00494E57"/>
    <w:rsid w:val="00494F52"/>
    <w:rsid w:val="004959B3"/>
    <w:rsid w:val="00495B16"/>
    <w:rsid w:val="00495E15"/>
    <w:rsid w:val="00495FAB"/>
    <w:rsid w:val="00496244"/>
    <w:rsid w:val="00496745"/>
    <w:rsid w:val="004969AB"/>
    <w:rsid w:val="00496A19"/>
    <w:rsid w:val="004975C8"/>
    <w:rsid w:val="0049774C"/>
    <w:rsid w:val="004978BF"/>
    <w:rsid w:val="00497A99"/>
    <w:rsid w:val="00497CF6"/>
    <w:rsid w:val="00497F5E"/>
    <w:rsid w:val="004A00DD"/>
    <w:rsid w:val="004A01EB"/>
    <w:rsid w:val="004A0C6D"/>
    <w:rsid w:val="004A0EC2"/>
    <w:rsid w:val="004A25C1"/>
    <w:rsid w:val="004A2CE5"/>
    <w:rsid w:val="004A2F39"/>
    <w:rsid w:val="004A36A1"/>
    <w:rsid w:val="004A3B18"/>
    <w:rsid w:val="004A3CDC"/>
    <w:rsid w:val="004A4147"/>
    <w:rsid w:val="004A48A7"/>
    <w:rsid w:val="004A48D7"/>
    <w:rsid w:val="004A4BB1"/>
    <w:rsid w:val="004A4C91"/>
    <w:rsid w:val="004A4E33"/>
    <w:rsid w:val="004A55E5"/>
    <w:rsid w:val="004A5734"/>
    <w:rsid w:val="004A5A19"/>
    <w:rsid w:val="004A6425"/>
    <w:rsid w:val="004A674B"/>
    <w:rsid w:val="004A7B79"/>
    <w:rsid w:val="004A7C5C"/>
    <w:rsid w:val="004B064A"/>
    <w:rsid w:val="004B0FA0"/>
    <w:rsid w:val="004B1F8E"/>
    <w:rsid w:val="004B2B3E"/>
    <w:rsid w:val="004B318D"/>
    <w:rsid w:val="004B36DA"/>
    <w:rsid w:val="004B3722"/>
    <w:rsid w:val="004B3F1B"/>
    <w:rsid w:val="004B450F"/>
    <w:rsid w:val="004B4905"/>
    <w:rsid w:val="004B4EE6"/>
    <w:rsid w:val="004B4F9A"/>
    <w:rsid w:val="004B5BAD"/>
    <w:rsid w:val="004B5E29"/>
    <w:rsid w:val="004B6244"/>
    <w:rsid w:val="004B6532"/>
    <w:rsid w:val="004B68F4"/>
    <w:rsid w:val="004B7082"/>
    <w:rsid w:val="004B731A"/>
    <w:rsid w:val="004B751A"/>
    <w:rsid w:val="004B779F"/>
    <w:rsid w:val="004B7B75"/>
    <w:rsid w:val="004C05A7"/>
    <w:rsid w:val="004C11F9"/>
    <w:rsid w:val="004C1254"/>
    <w:rsid w:val="004C144D"/>
    <w:rsid w:val="004C1AC7"/>
    <w:rsid w:val="004C1D38"/>
    <w:rsid w:val="004C20FF"/>
    <w:rsid w:val="004C23E9"/>
    <w:rsid w:val="004C24BF"/>
    <w:rsid w:val="004C2A79"/>
    <w:rsid w:val="004C30FE"/>
    <w:rsid w:val="004C3209"/>
    <w:rsid w:val="004C34CC"/>
    <w:rsid w:val="004C37BF"/>
    <w:rsid w:val="004C3B46"/>
    <w:rsid w:val="004C3CCA"/>
    <w:rsid w:val="004C44F2"/>
    <w:rsid w:val="004C452B"/>
    <w:rsid w:val="004C4E14"/>
    <w:rsid w:val="004C5571"/>
    <w:rsid w:val="004C58E4"/>
    <w:rsid w:val="004C5D80"/>
    <w:rsid w:val="004C63C4"/>
    <w:rsid w:val="004C6704"/>
    <w:rsid w:val="004C6B9A"/>
    <w:rsid w:val="004C6DA3"/>
    <w:rsid w:val="004C6DDE"/>
    <w:rsid w:val="004C70DE"/>
    <w:rsid w:val="004C70F6"/>
    <w:rsid w:val="004C71D0"/>
    <w:rsid w:val="004C721C"/>
    <w:rsid w:val="004C73B8"/>
    <w:rsid w:val="004C78DE"/>
    <w:rsid w:val="004C7942"/>
    <w:rsid w:val="004D0153"/>
    <w:rsid w:val="004D03B1"/>
    <w:rsid w:val="004D0529"/>
    <w:rsid w:val="004D076D"/>
    <w:rsid w:val="004D08D2"/>
    <w:rsid w:val="004D1771"/>
    <w:rsid w:val="004D18B6"/>
    <w:rsid w:val="004D2261"/>
    <w:rsid w:val="004D26BF"/>
    <w:rsid w:val="004D286B"/>
    <w:rsid w:val="004D2AC3"/>
    <w:rsid w:val="004D2E2E"/>
    <w:rsid w:val="004D36E2"/>
    <w:rsid w:val="004D3AAB"/>
    <w:rsid w:val="004D3ECF"/>
    <w:rsid w:val="004D41BE"/>
    <w:rsid w:val="004D4714"/>
    <w:rsid w:val="004D4722"/>
    <w:rsid w:val="004D4BDC"/>
    <w:rsid w:val="004D4E65"/>
    <w:rsid w:val="004D5198"/>
    <w:rsid w:val="004D5706"/>
    <w:rsid w:val="004D5BDE"/>
    <w:rsid w:val="004D5C58"/>
    <w:rsid w:val="004D663E"/>
    <w:rsid w:val="004D664E"/>
    <w:rsid w:val="004D69F5"/>
    <w:rsid w:val="004D729C"/>
    <w:rsid w:val="004D771A"/>
    <w:rsid w:val="004D7A8E"/>
    <w:rsid w:val="004D7CC8"/>
    <w:rsid w:val="004DDF3B"/>
    <w:rsid w:val="004E00A9"/>
    <w:rsid w:val="004E03C0"/>
    <w:rsid w:val="004E0878"/>
    <w:rsid w:val="004E0C94"/>
    <w:rsid w:val="004E1FDF"/>
    <w:rsid w:val="004E2DA8"/>
    <w:rsid w:val="004E34B2"/>
    <w:rsid w:val="004E352C"/>
    <w:rsid w:val="004E367D"/>
    <w:rsid w:val="004E390B"/>
    <w:rsid w:val="004E3EFA"/>
    <w:rsid w:val="004E3F02"/>
    <w:rsid w:val="004E47E0"/>
    <w:rsid w:val="004E4B4A"/>
    <w:rsid w:val="004E533F"/>
    <w:rsid w:val="004E5942"/>
    <w:rsid w:val="004E5A1D"/>
    <w:rsid w:val="004E5F0A"/>
    <w:rsid w:val="004E61B1"/>
    <w:rsid w:val="004E6B3B"/>
    <w:rsid w:val="004E6C03"/>
    <w:rsid w:val="004E71FD"/>
    <w:rsid w:val="004E743D"/>
    <w:rsid w:val="004E7504"/>
    <w:rsid w:val="004E7E3A"/>
    <w:rsid w:val="004F0053"/>
    <w:rsid w:val="004F11A0"/>
    <w:rsid w:val="004F132A"/>
    <w:rsid w:val="004F2091"/>
    <w:rsid w:val="004F26BC"/>
    <w:rsid w:val="004F28D2"/>
    <w:rsid w:val="004F2925"/>
    <w:rsid w:val="004F2C5E"/>
    <w:rsid w:val="004F2D9B"/>
    <w:rsid w:val="004F3319"/>
    <w:rsid w:val="004F33EE"/>
    <w:rsid w:val="004F344F"/>
    <w:rsid w:val="004F3492"/>
    <w:rsid w:val="004F36EC"/>
    <w:rsid w:val="004F3B44"/>
    <w:rsid w:val="004F3FB0"/>
    <w:rsid w:val="004F4633"/>
    <w:rsid w:val="004F477A"/>
    <w:rsid w:val="004F48EB"/>
    <w:rsid w:val="004F4A77"/>
    <w:rsid w:val="004F53C7"/>
    <w:rsid w:val="004F54B3"/>
    <w:rsid w:val="004F56CA"/>
    <w:rsid w:val="004F575A"/>
    <w:rsid w:val="004F57D6"/>
    <w:rsid w:val="004F5846"/>
    <w:rsid w:val="004F5D7D"/>
    <w:rsid w:val="004F5E8D"/>
    <w:rsid w:val="004F68F1"/>
    <w:rsid w:val="004F7321"/>
    <w:rsid w:val="004F77BA"/>
    <w:rsid w:val="004F7D27"/>
    <w:rsid w:val="00500194"/>
    <w:rsid w:val="00500327"/>
    <w:rsid w:val="0050071D"/>
    <w:rsid w:val="00500CD7"/>
    <w:rsid w:val="005014DE"/>
    <w:rsid w:val="005017B1"/>
    <w:rsid w:val="00501918"/>
    <w:rsid w:val="00501E6F"/>
    <w:rsid w:val="0050255F"/>
    <w:rsid w:val="005027D7"/>
    <w:rsid w:val="00502879"/>
    <w:rsid w:val="00502A3D"/>
    <w:rsid w:val="00502EC4"/>
    <w:rsid w:val="00503623"/>
    <w:rsid w:val="005038F9"/>
    <w:rsid w:val="00503A9D"/>
    <w:rsid w:val="00503F75"/>
    <w:rsid w:val="00504859"/>
    <w:rsid w:val="00505083"/>
    <w:rsid w:val="00505849"/>
    <w:rsid w:val="00505910"/>
    <w:rsid w:val="00505E7D"/>
    <w:rsid w:val="005064C1"/>
    <w:rsid w:val="00506662"/>
    <w:rsid w:val="00506E5C"/>
    <w:rsid w:val="00506EFE"/>
    <w:rsid w:val="00506F0F"/>
    <w:rsid w:val="005077A4"/>
    <w:rsid w:val="0051030E"/>
    <w:rsid w:val="0051085A"/>
    <w:rsid w:val="00510ABA"/>
    <w:rsid w:val="00510B99"/>
    <w:rsid w:val="00510FAA"/>
    <w:rsid w:val="00511403"/>
    <w:rsid w:val="0051150E"/>
    <w:rsid w:val="00511B5F"/>
    <w:rsid w:val="00511CFB"/>
    <w:rsid w:val="00511F77"/>
    <w:rsid w:val="005126E1"/>
    <w:rsid w:val="00512CE9"/>
    <w:rsid w:val="00513129"/>
    <w:rsid w:val="00513B8A"/>
    <w:rsid w:val="005145FC"/>
    <w:rsid w:val="00514977"/>
    <w:rsid w:val="00514DE3"/>
    <w:rsid w:val="00514F1B"/>
    <w:rsid w:val="0051534C"/>
    <w:rsid w:val="00515413"/>
    <w:rsid w:val="00515F4F"/>
    <w:rsid w:val="0051651D"/>
    <w:rsid w:val="00516880"/>
    <w:rsid w:val="00516FAF"/>
    <w:rsid w:val="0051750E"/>
    <w:rsid w:val="00517733"/>
    <w:rsid w:val="00517C6E"/>
    <w:rsid w:val="0052009F"/>
    <w:rsid w:val="00520244"/>
    <w:rsid w:val="00520DE2"/>
    <w:rsid w:val="005214D9"/>
    <w:rsid w:val="00521C12"/>
    <w:rsid w:val="00521EB0"/>
    <w:rsid w:val="005226E6"/>
    <w:rsid w:val="00523AAE"/>
    <w:rsid w:val="00523D63"/>
    <w:rsid w:val="00523DCA"/>
    <w:rsid w:val="0052426F"/>
    <w:rsid w:val="005247A5"/>
    <w:rsid w:val="005248B8"/>
    <w:rsid w:val="00524CB8"/>
    <w:rsid w:val="00524DEA"/>
    <w:rsid w:val="0052525E"/>
    <w:rsid w:val="00525838"/>
    <w:rsid w:val="00525A03"/>
    <w:rsid w:val="00526403"/>
    <w:rsid w:val="005270B5"/>
    <w:rsid w:val="00527251"/>
    <w:rsid w:val="0052730C"/>
    <w:rsid w:val="00527A60"/>
    <w:rsid w:val="00527B0B"/>
    <w:rsid w:val="005309B0"/>
    <w:rsid w:val="005317CB"/>
    <w:rsid w:val="005321D2"/>
    <w:rsid w:val="005321E6"/>
    <w:rsid w:val="00532542"/>
    <w:rsid w:val="00532B2E"/>
    <w:rsid w:val="00532E9C"/>
    <w:rsid w:val="00533801"/>
    <w:rsid w:val="00533C71"/>
    <w:rsid w:val="00533CA9"/>
    <w:rsid w:val="00533DCD"/>
    <w:rsid w:val="00533F1C"/>
    <w:rsid w:val="00533F9E"/>
    <w:rsid w:val="0053432A"/>
    <w:rsid w:val="0053443B"/>
    <w:rsid w:val="0053468E"/>
    <w:rsid w:val="00534C25"/>
    <w:rsid w:val="00534C87"/>
    <w:rsid w:val="00534E0E"/>
    <w:rsid w:val="00534F33"/>
    <w:rsid w:val="00535686"/>
    <w:rsid w:val="00535B02"/>
    <w:rsid w:val="00535DCF"/>
    <w:rsid w:val="00535FF9"/>
    <w:rsid w:val="00536826"/>
    <w:rsid w:val="00536B7C"/>
    <w:rsid w:val="00537278"/>
    <w:rsid w:val="00537AFC"/>
    <w:rsid w:val="00537EB4"/>
    <w:rsid w:val="0054020B"/>
    <w:rsid w:val="00540999"/>
    <w:rsid w:val="00541C19"/>
    <w:rsid w:val="0054218C"/>
    <w:rsid w:val="005423D6"/>
    <w:rsid w:val="00542F0C"/>
    <w:rsid w:val="005432DE"/>
    <w:rsid w:val="0054365B"/>
    <w:rsid w:val="005439C2"/>
    <w:rsid w:val="00543ABE"/>
    <w:rsid w:val="00543C8C"/>
    <w:rsid w:val="005441B3"/>
    <w:rsid w:val="00544268"/>
    <w:rsid w:val="005445C4"/>
    <w:rsid w:val="00544A0C"/>
    <w:rsid w:val="005453FC"/>
    <w:rsid w:val="0054548E"/>
    <w:rsid w:val="00545587"/>
    <w:rsid w:val="00546429"/>
    <w:rsid w:val="00546470"/>
    <w:rsid w:val="00546693"/>
    <w:rsid w:val="00547265"/>
    <w:rsid w:val="005475ED"/>
    <w:rsid w:val="005478B7"/>
    <w:rsid w:val="00547BB3"/>
    <w:rsid w:val="005502AF"/>
    <w:rsid w:val="00550508"/>
    <w:rsid w:val="005506E0"/>
    <w:rsid w:val="0055092F"/>
    <w:rsid w:val="005509C7"/>
    <w:rsid w:val="00550A88"/>
    <w:rsid w:val="00551E44"/>
    <w:rsid w:val="00551E6A"/>
    <w:rsid w:val="00552428"/>
    <w:rsid w:val="00552AA9"/>
    <w:rsid w:val="00552E55"/>
    <w:rsid w:val="00552E77"/>
    <w:rsid w:val="0055302F"/>
    <w:rsid w:val="0055390E"/>
    <w:rsid w:val="00554095"/>
    <w:rsid w:val="0055439F"/>
    <w:rsid w:val="005544FA"/>
    <w:rsid w:val="00554BBE"/>
    <w:rsid w:val="00554BC3"/>
    <w:rsid w:val="00554CD7"/>
    <w:rsid w:val="00554D0B"/>
    <w:rsid w:val="00554E6B"/>
    <w:rsid w:val="005555FF"/>
    <w:rsid w:val="00555BE6"/>
    <w:rsid w:val="00555E13"/>
    <w:rsid w:val="00555FCA"/>
    <w:rsid w:val="00557F37"/>
    <w:rsid w:val="0056017E"/>
    <w:rsid w:val="005609E7"/>
    <w:rsid w:val="00560EF3"/>
    <w:rsid w:val="00561851"/>
    <w:rsid w:val="00561FF5"/>
    <w:rsid w:val="00562820"/>
    <w:rsid w:val="00562D15"/>
    <w:rsid w:val="0056356B"/>
    <w:rsid w:val="0056378D"/>
    <w:rsid w:val="00564A44"/>
    <w:rsid w:val="005659EE"/>
    <w:rsid w:val="00566FA4"/>
    <w:rsid w:val="00566FEC"/>
    <w:rsid w:val="0057073E"/>
    <w:rsid w:val="00570A1C"/>
    <w:rsid w:val="00570EF0"/>
    <w:rsid w:val="00571048"/>
    <w:rsid w:val="00571792"/>
    <w:rsid w:val="005719EC"/>
    <w:rsid w:val="00572C09"/>
    <w:rsid w:val="00572D25"/>
    <w:rsid w:val="0057307C"/>
    <w:rsid w:val="00573200"/>
    <w:rsid w:val="00573CC0"/>
    <w:rsid w:val="005740A6"/>
    <w:rsid w:val="0057424E"/>
    <w:rsid w:val="00574446"/>
    <w:rsid w:val="00574B0D"/>
    <w:rsid w:val="00574F42"/>
    <w:rsid w:val="0057512A"/>
    <w:rsid w:val="0057526D"/>
    <w:rsid w:val="005758A0"/>
    <w:rsid w:val="00575F0B"/>
    <w:rsid w:val="0057633D"/>
    <w:rsid w:val="005764BB"/>
    <w:rsid w:val="00576DE2"/>
    <w:rsid w:val="00576FCF"/>
    <w:rsid w:val="00577072"/>
    <w:rsid w:val="005770CA"/>
    <w:rsid w:val="00577541"/>
    <w:rsid w:val="0057754D"/>
    <w:rsid w:val="00577858"/>
    <w:rsid w:val="00580705"/>
    <w:rsid w:val="005808F2"/>
    <w:rsid w:val="005808FE"/>
    <w:rsid w:val="00580B9B"/>
    <w:rsid w:val="00580D64"/>
    <w:rsid w:val="00580DBD"/>
    <w:rsid w:val="00580F74"/>
    <w:rsid w:val="005811B2"/>
    <w:rsid w:val="005812C0"/>
    <w:rsid w:val="0058178E"/>
    <w:rsid w:val="005824DB"/>
    <w:rsid w:val="005829C7"/>
    <w:rsid w:val="00582A30"/>
    <w:rsid w:val="00582BF7"/>
    <w:rsid w:val="00583029"/>
    <w:rsid w:val="00583057"/>
    <w:rsid w:val="005831CB"/>
    <w:rsid w:val="00583424"/>
    <w:rsid w:val="005836EF"/>
    <w:rsid w:val="00583772"/>
    <w:rsid w:val="00583D74"/>
    <w:rsid w:val="0058409F"/>
    <w:rsid w:val="0058464F"/>
    <w:rsid w:val="005847C0"/>
    <w:rsid w:val="00584842"/>
    <w:rsid w:val="00585218"/>
    <w:rsid w:val="00585562"/>
    <w:rsid w:val="00585BDD"/>
    <w:rsid w:val="00585D70"/>
    <w:rsid w:val="0058640E"/>
    <w:rsid w:val="00586A2B"/>
    <w:rsid w:val="00586C5B"/>
    <w:rsid w:val="0058733A"/>
    <w:rsid w:val="00587600"/>
    <w:rsid w:val="00587E20"/>
    <w:rsid w:val="005901CE"/>
    <w:rsid w:val="0059047D"/>
    <w:rsid w:val="0059058B"/>
    <w:rsid w:val="00590683"/>
    <w:rsid w:val="00590C12"/>
    <w:rsid w:val="00590FA2"/>
    <w:rsid w:val="005913F6"/>
    <w:rsid w:val="00591ADF"/>
    <w:rsid w:val="00591C31"/>
    <w:rsid w:val="00591E0F"/>
    <w:rsid w:val="00591F4D"/>
    <w:rsid w:val="00592237"/>
    <w:rsid w:val="00592288"/>
    <w:rsid w:val="00592EA9"/>
    <w:rsid w:val="005933CA"/>
    <w:rsid w:val="005934A3"/>
    <w:rsid w:val="00593804"/>
    <w:rsid w:val="005940CF"/>
    <w:rsid w:val="005948FD"/>
    <w:rsid w:val="005953A4"/>
    <w:rsid w:val="00595785"/>
    <w:rsid w:val="00595BFA"/>
    <w:rsid w:val="0059671E"/>
    <w:rsid w:val="00596EEE"/>
    <w:rsid w:val="00597330"/>
    <w:rsid w:val="0059745D"/>
    <w:rsid w:val="00597846"/>
    <w:rsid w:val="005A105D"/>
    <w:rsid w:val="005A1855"/>
    <w:rsid w:val="005A19F9"/>
    <w:rsid w:val="005A1D3B"/>
    <w:rsid w:val="005A1D99"/>
    <w:rsid w:val="005A2741"/>
    <w:rsid w:val="005A339C"/>
    <w:rsid w:val="005A3440"/>
    <w:rsid w:val="005A371D"/>
    <w:rsid w:val="005A39A6"/>
    <w:rsid w:val="005A3BCF"/>
    <w:rsid w:val="005A48A6"/>
    <w:rsid w:val="005A4D4F"/>
    <w:rsid w:val="005A5042"/>
    <w:rsid w:val="005A5886"/>
    <w:rsid w:val="005A5E1B"/>
    <w:rsid w:val="005A5FD4"/>
    <w:rsid w:val="005A6523"/>
    <w:rsid w:val="005A6583"/>
    <w:rsid w:val="005A666D"/>
    <w:rsid w:val="005A6673"/>
    <w:rsid w:val="005A6786"/>
    <w:rsid w:val="005A681C"/>
    <w:rsid w:val="005A6F1F"/>
    <w:rsid w:val="005A6FE7"/>
    <w:rsid w:val="005A7352"/>
    <w:rsid w:val="005A73FA"/>
    <w:rsid w:val="005A7753"/>
    <w:rsid w:val="005A7E35"/>
    <w:rsid w:val="005B015C"/>
    <w:rsid w:val="005B017F"/>
    <w:rsid w:val="005B078E"/>
    <w:rsid w:val="005B0B0C"/>
    <w:rsid w:val="005B0C49"/>
    <w:rsid w:val="005B0D4E"/>
    <w:rsid w:val="005B0F01"/>
    <w:rsid w:val="005B0FBE"/>
    <w:rsid w:val="005B1F45"/>
    <w:rsid w:val="005B2AA1"/>
    <w:rsid w:val="005B2FE5"/>
    <w:rsid w:val="005B3200"/>
    <w:rsid w:val="005B3288"/>
    <w:rsid w:val="005B3F27"/>
    <w:rsid w:val="005B480A"/>
    <w:rsid w:val="005B5231"/>
    <w:rsid w:val="005B56B1"/>
    <w:rsid w:val="005B5A42"/>
    <w:rsid w:val="005B617D"/>
    <w:rsid w:val="005B61DA"/>
    <w:rsid w:val="005B6553"/>
    <w:rsid w:val="005B6562"/>
    <w:rsid w:val="005B6649"/>
    <w:rsid w:val="005B6D61"/>
    <w:rsid w:val="005B6F56"/>
    <w:rsid w:val="005C02C5"/>
    <w:rsid w:val="005C0426"/>
    <w:rsid w:val="005C046C"/>
    <w:rsid w:val="005C04FF"/>
    <w:rsid w:val="005C0738"/>
    <w:rsid w:val="005C0BA9"/>
    <w:rsid w:val="005C0EEA"/>
    <w:rsid w:val="005C0F38"/>
    <w:rsid w:val="005C1670"/>
    <w:rsid w:val="005C1BBB"/>
    <w:rsid w:val="005C1DE8"/>
    <w:rsid w:val="005C23ED"/>
    <w:rsid w:val="005C2590"/>
    <w:rsid w:val="005C26A3"/>
    <w:rsid w:val="005C2EA6"/>
    <w:rsid w:val="005C2ED2"/>
    <w:rsid w:val="005C3750"/>
    <w:rsid w:val="005C422D"/>
    <w:rsid w:val="005C432F"/>
    <w:rsid w:val="005C4D28"/>
    <w:rsid w:val="005C50FD"/>
    <w:rsid w:val="005C58FD"/>
    <w:rsid w:val="005C5C21"/>
    <w:rsid w:val="005C5C8F"/>
    <w:rsid w:val="005C5D59"/>
    <w:rsid w:val="005C6835"/>
    <w:rsid w:val="005C6B89"/>
    <w:rsid w:val="005C7250"/>
    <w:rsid w:val="005C72EF"/>
    <w:rsid w:val="005D035F"/>
    <w:rsid w:val="005D0522"/>
    <w:rsid w:val="005D08F2"/>
    <w:rsid w:val="005D09DB"/>
    <w:rsid w:val="005D0C5A"/>
    <w:rsid w:val="005D0ED3"/>
    <w:rsid w:val="005D19CB"/>
    <w:rsid w:val="005D1A0E"/>
    <w:rsid w:val="005D2383"/>
    <w:rsid w:val="005D24F8"/>
    <w:rsid w:val="005D2644"/>
    <w:rsid w:val="005D32D2"/>
    <w:rsid w:val="005D3EB9"/>
    <w:rsid w:val="005D4005"/>
    <w:rsid w:val="005D40AF"/>
    <w:rsid w:val="005D430B"/>
    <w:rsid w:val="005D447C"/>
    <w:rsid w:val="005D45BD"/>
    <w:rsid w:val="005D4623"/>
    <w:rsid w:val="005D522B"/>
    <w:rsid w:val="005D5720"/>
    <w:rsid w:val="005D5EE9"/>
    <w:rsid w:val="005D61A0"/>
    <w:rsid w:val="005D6317"/>
    <w:rsid w:val="005D63ED"/>
    <w:rsid w:val="005D64FB"/>
    <w:rsid w:val="005D69B1"/>
    <w:rsid w:val="005D6E3B"/>
    <w:rsid w:val="005D73D4"/>
    <w:rsid w:val="005D76E2"/>
    <w:rsid w:val="005D7AAA"/>
    <w:rsid w:val="005D7F14"/>
    <w:rsid w:val="005E0449"/>
    <w:rsid w:val="005E0677"/>
    <w:rsid w:val="005E0965"/>
    <w:rsid w:val="005E0B0D"/>
    <w:rsid w:val="005E0B22"/>
    <w:rsid w:val="005E0CEF"/>
    <w:rsid w:val="005E0F53"/>
    <w:rsid w:val="005E1D56"/>
    <w:rsid w:val="005E1E7D"/>
    <w:rsid w:val="005E284A"/>
    <w:rsid w:val="005E2A06"/>
    <w:rsid w:val="005E2AD6"/>
    <w:rsid w:val="005E2F42"/>
    <w:rsid w:val="005E30AE"/>
    <w:rsid w:val="005E30C6"/>
    <w:rsid w:val="005E35E8"/>
    <w:rsid w:val="005E3B47"/>
    <w:rsid w:val="005E3B93"/>
    <w:rsid w:val="005E44CF"/>
    <w:rsid w:val="005E49D3"/>
    <w:rsid w:val="005E4A97"/>
    <w:rsid w:val="005E4D22"/>
    <w:rsid w:val="005E52A2"/>
    <w:rsid w:val="005E5654"/>
    <w:rsid w:val="005E58DA"/>
    <w:rsid w:val="005E5B5B"/>
    <w:rsid w:val="005E5DAA"/>
    <w:rsid w:val="005E67C3"/>
    <w:rsid w:val="005E6A60"/>
    <w:rsid w:val="005E7010"/>
    <w:rsid w:val="005E7168"/>
    <w:rsid w:val="005E748E"/>
    <w:rsid w:val="005E7521"/>
    <w:rsid w:val="005E7991"/>
    <w:rsid w:val="005E79A1"/>
    <w:rsid w:val="005E7BC7"/>
    <w:rsid w:val="005F013C"/>
    <w:rsid w:val="005F0B9B"/>
    <w:rsid w:val="005F0CEF"/>
    <w:rsid w:val="005F0EA0"/>
    <w:rsid w:val="005F11DD"/>
    <w:rsid w:val="005F2089"/>
    <w:rsid w:val="005F2458"/>
    <w:rsid w:val="005F245F"/>
    <w:rsid w:val="005F2697"/>
    <w:rsid w:val="005F279E"/>
    <w:rsid w:val="005F2A23"/>
    <w:rsid w:val="005F2A4F"/>
    <w:rsid w:val="005F3278"/>
    <w:rsid w:val="005F3468"/>
    <w:rsid w:val="005F3533"/>
    <w:rsid w:val="005F3C9C"/>
    <w:rsid w:val="005F3CE0"/>
    <w:rsid w:val="005F4BB8"/>
    <w:rsid w:val="005F4C1C"/>
    <w:rsid w:val="005F4CD4"/>
    <w:rsid w:val="005F52CA"/>
    <w:rsid w:val="005F57D3"/>
    <w:rsid w:val="005F5C2E"/>
    <w:rsid w:val="005F5EF2"/>
    <w:rsid w:val="005F6552"/>
    <w:rsid w:val="005F6E18"/>
    <w:rsid w:val="005F7138"/>
    <w:rsid w:val="005F71BA"/>
    <w:rsid w:val="005F76FC"/>
    <w:rsid w:val="005F7786"/>
    <w:rsid w:val="005F7A93"/>
    <w:rsid w:val="0060054D"/>
    <w:rsid w:val="00600CE1"/>
    <w:rsid w:val="00600F30"/>
    <w:rsid w:val="0060119E"/>
    <w:rsid w:val="00601235"/>
    <w:rsid w:val="006013B9"/>
    <w:rsid w:val="006017D4"/>
    <w:rsid w:val="0060246C"/>
    <w:rsid w:val="006026C7"/>
    <w:rsid w:val="006028A2"/>
    <w:rsid w:val="00602C0C"/>
    <w:rsid w:val="00602CFE"/>
    <w:rsid w:val="006032A5"/>
    <w:rsid w:val="00603309"/>
    <w:rsid w:val="006033AC"/>
    <w:rsid w:val="00603F76"/>
    <w:rsid w:val="006041F5"/>
    <w:rsid w:val="00604418"/>
    <w:rsid w:val="006050E1"/>
    <w:rsid w:val="00605674"/>
    <w:rsid w:val="00605723"/>
    <w:rsid w:val="00605A1A"/>
    <w:rsid w:val="00605A3C"/>
    <w:rsid w:val="00605B01"/>
    <w:rsid w:val="00605C03"/>
    <w:rsid w:val="00605D54"/>
    <w:rsid w:val="00605F27"/>
    <w:rsid w:val="00606349"/>
    <w:rsid w:val="00606A02"/>
    <w:rsid w:val="00606A0D"/>
    <w:rsid w:val="00607266"/>
    <w:rsid w:val="006074F6"/>
    <w:rsid w:val="00607984"/>
    <w:rsid w:val="00607A7F"/>
    <w:rsid w:val="00607D6D"/>
    <w:rsid w:val="00607F12"/>
    <w:rsid w:val="00610117"/>
    <w:rsid w:val="00610564"/>
    <w:rsid w:val="0061072B"/>
    <w:rsid w:val="00610B02"/>
    <w:rsid w:val="00610E1E"/>
    <w:rsid w:val="00611038"/>
    <w:rsid w:val="00611233"/>
    <w:rsid w:val="0061178B"/>
    <w:rsid w:val="00611983"/>
    <w:rsid w:val="006125C2"/>
    <w:rsid w:val="006130EF"/>
    <w:rsid w:val="0061329F"/>
    <w:rsid w:val="00613608"/>
    <w:rsid w:val="00613CF0"/>
    <w:rsid w:val="00613F4F"/>
    <w:rsid w:val="006146AA"/>
    <w:rsid w:val="00614853"/>
    <w:rsid w:val="00614DB1"/>
    <w:rsid w:val="00615559"/>
    <w:rsid w:val="006155AD"/>
    <w:rsid w:val="00615B0F"/>
    <w:rsid w:val="00615B8A"/>
    <w:rsid w:val="00615DF5"/>
    <w:rsid w:val="00615F54"/>
    <w:rsid w:val="00616AA1"/>
    <w:rsid w:val="00616FA1"/>
    <w:rsid w:val="00620368"/>
    <w:rsid w:val="00620B65"/>
    <w:rsid w:val="00620B8B"/>
    <w:rsid w:val="006219B5"/>
    <w:rsid w:val="006219F4"/>
    <w:rsid w:val="00621FDD"/>
    <w:rsid w:val="006221A3"/>
    <w:rsid w:val="006222A9"/>
    <w:rsid w:val="00622371"/>
    <w:rsid w:val="006229C1"/>
    <w:rsid w:val="00623167"/>
    <w:rsid w:val="006236B8"/>
    <w:rsid w:val="0062385D"/>
    <w:rsid w:val="00623BBB"/>
    <w:rsid w:val="00623E1B"/>
    <w:rsid w:val="00623E3A"/>
    <w:rsid w:val="006240CF"/>
    <w:rsid w:val="0062475F"/>
    <w:rsid w:val="006247E7"/>
    <w:rsid w:val="006249DF"/>
    <w:rsid w:val="00624AB7"/>
    <w:rsid w:val="00624AC1"/>
    <w:rsid w:val="00624E5E"/>
    <w:rsid w:val="0062503F"/>
    <w:rsid w:val="006258D5"/>
    <w:rsid w:val="00625E0E"/>
    <w:rsid w:val="0062604C"/>
    <w:rsid w:val="00626528"/>
    <w:rsid w:val="00626A8D"/>
    <w:rsid w:val="00626EA3"/>
    <w:rsid w:val="00626FDE"/>
    <w:rsid w:val="00627363"/>
    <w:rsid w:val="006274B1"/>
    <w:rsid w:val="00627844"/>
    <w:rsid w:val="00627971"/>
    <w:rsid w:val="00627D13"/>
    <w:rsid w:val="00630289"/>
    <w:rsid w:val="006302DA"/>
    <w:rsid w:val="00630661"/>
    <w:rsid w:val="00630C39"/>
    <w:rsid w:val="00630CB1"/>
    <w:rsid w:val="00630E86"/>
    <w:rsid w:val="006313A7"/>
    <w:rsid w:val="00631421"/>
    <w:rsid w:val="00631742"/>
    <w:rsid w:val="00631E20"/>
    <w:rsid w:val="00631F98"/>
    <w:rsid w:val="006323AF"/>
    <w:rsid w:val="006326D2"/>
    <w:rsid w:val="00632973"/>
    <w:rsid w:val="006332B8"/>
    <w:rsid w:val="00633626"/>
    <w:rsid w:val="00633943"/>
    <w:rsid w:val="00633C38"/>
    <w:rsid w:val="006354FE"/>
    <w:rsid w:val="00635719"/>
    <w:rsid w:val="0063583E"/>
    <w:rsid w:val="00635B07"/>
    <w:rsid w:val="00636022"/>
    <w:rsid w:val="006364B8"/>
    <w:rsid w:val="006368B2"/>
    <w:rsid w:val="00636FDA"/>
    <w:rsid w:val="0063755C"/>
    <w:rsid w:val="00637B7F"/>
    <w:rsid w:val="00640B88"/>
    <w:rsid w:val="00641650"/>
    <w:rsid w:val="00641763"/>
    <w:rsid w:val="00641EC2"/>
    <w:rsid w:val="006424B5"/>
    <w:rsid w:val="0064382D"/>
    <w:rsid w:val="006440D8"/>
    <w:rsid w:val="006442C2"/>
    <w:rsid w:val="00644D3E"/>
    <w:rsid w:val="00645057"/>
    <w:rsid w:val="0064512F"/>
    <w:rsid w:val="006458A3"/>
    <w:rsid w:val="00645F86"/>
    <w:rsid w:val="006461E7"/>
    <w:rsid w:val="00646E8E"/>
    <w:rsid w:val="00647227"/>
    <w:rsid w:val="0064738E"/>
    <w:rsid w:val="00647453"/>
    <w:rsid w:val="0065005F"/>
    <w:rsid w:val="0065007D"/>
    <w:rsid w:val="00650956"/>
    <w:rsid w:val="00650F54"/>
    <w:rsid w:val="00650FA1"/>
    <w:rsid w:val="006514A8"/>
    <w:rsid w:val="00651A34"/>
    <w:rsid w:val="00651B9C"/>
    <w:rsid w:val="00651FC3"/>
    <w:rsid w:val="00652518"/>
    <w:rsid w:val="006526CD"/>
    <w:rsid w:val="0065290B"/>
    <w:rsid w:val="00652B3E"/>
    <w:rsid w:val="00653199"/>
    <w:rsid w:val="006536FE"/>
    <w:rsid w:val="00653B36"/>
    <w:rsid w:val="00654214"/>
    <w:rsid w:val="006547E6"/>
    <w:rsid w:val="006553A7"/>
    <w:rsid w:val="006558A2"/>
    <w:rsid w:val="00655E82"/>
    <w:rsid w:val="00656218"/>
    <w:rsid w:val="006565C7"/>
    <w:rsid w:val="006566E5"/>
    <w:rsid w:val="00656DA8"/>
    <w:rsid w:val="00656F65"/>
    <w:rsid w:val="006573AC"/>
    <w:rsid w:val="006577D6"/>
    <w:rsid w:val="00660C01"/>
    <w:rsid w:val="00660D93"/>
    <w:rsid w:val="00660E42"/>
    <w:rsid w:val="00660EF3"/>
    <w:rsid w:val="00660F64"/>
    <w:rsid w:val="00660FC6"/>
    <w:rsid w:val="00661139"/>
    <w:rsid w:val="00661356"/>
    <w:rsid w:val="00661CCF"/>
    <w:rsid w:val="00661E54"/>
    <w:rsid w:val="00661E62"/>
    <w:rsid w:val="0066203F"/>
    <w:rsid w:val="0066276D"/>
    <w:rsid w:val="00662861"/>
    <w:rsid w:val="006629D6"/>
    <w:rsid w:val="006631BC"/>
    <w:rsid w:val="006631E1"/>
    <w:rsid w:val="006636CF"/>
    <w:rsid w:val="00663ABC"/>
    <w:rsid w:val="00663B34"/>
    <w:rsid w:val="006646A5"/>
    <w:rsid w:val="00664745"/>
    <w:rsid w:val="00664DA6"/>
    <w:rsid w:val="0066505E"/>
    <w:rsid w:val="006652ED"/>
    <w:rsid w:val="00665AA4"/>
    <w:rsid w:val="00665AEF"/>
    <w:rsid w:val="00665E2F"/>
    <w:rsid w:val="006665C5"/>
    <w:rsid w:val="00666AF0"/>
    <w:rsid w:val="0066735B"/>
    <w:rsid w:val="0066773E"/>
    <w:rsid w:val="0067023B"/>
    <w:rsid w:val="00670298"/>
    <w:rsid w:val="006704A9"/>
    <w:rsid w:val="00670885"/>
    <w:rsid w:val="00671889"/>
    <w:rsid w:val="00671ECC"/>
    <w:rsid w:val="00671F17"/>
    <w:rsid w:val="00672764"/>
    <w:rsid w:val="00672F59"/>
    <w:rsid w:val="0067328D"/>
    <w:rsid w:val="006739CE"/>
    <w:rsid w:val="00673CFE"/>
    <w:rsid w:val="0067414C"/>
    <w:rsid w:val="00674BD1"/>
    <w:rsid w:val="00674E0C"/>
    <w:rsid w:val="00674EE2"/>
    <w:rsid w:val="00675854"/>
    <w:rsid w:val="00675E39"/>
    <w:rsid w:val="0067639B"/>
    <w:rsid w:val="006764A8"/>
    <w:rsid w:val="006768BE"/>
    <w:rsid w:val="0067713E"/>
    <w:rsid w:val="006772ED"/>
    <w:rsid w:val="006776AD"/>
    <w:rsid w:val="0067798E"/>
    <w:rsid w:val="00677E36"/>
    <w:rsid w:val="00680491"/>
    <w:rsid w:val="006804D0"/>
    <w:rsid w:val="006808F6"/>
    <w:rsid w:val="006818F6"/>
    <w:rsid w:val="006819C3"/>
    <w:rsid w:val="00682A29"/>
    <w:rsid w:val="00683402"/>
    <w:rsid w:val="00683A1E"/>
    <w:rsid w:val="00683A84"/>
    <w:rsid w:val="00683E38"/>
    <w:rsid w:val="006844BA"/>
    <w:rsid w:val="006847BC"/>
    <w:rsid w:val="0068500D"/>
    <w:rsid w:val="00685137"/>
    <w:rsid w:val="006854E3"/>
    <w:rsid w:val="00685D0E"/>
    <w:rsid w:val="00685D85"/>
    <w:rsid w:val="00685E32"/>
    <w:rsid w:val="0068605D"/>
    <w:rsid w:val="00686113"/>
    <w:rsid w:val="00686610"/>
    <w:rsid w:val="00686F8C"/>
    <w:rsid w:val="006874CE"/>
    <w:rsid w:val="00687525"/>
    <w:rsid w:val="006877C2"/>
    <w:rsid w:val="006877F0"/>
    <w:rsid w:val="00687B65"/>
    <w:rsid w:val="006907E3"/>
    <w:rsid w:val="00690F40"/>
    <w:rsid w:val="0069113C"/>
    <w:rsid w:val="00691373"/>
    <w:rsid w:val="0069169F"/>
    <w:rsid w:val="006919FE"/>
    <w:rsid w:val="00691AF5"/>
    <w:rsid w:val="00691EE3"/>
    <w:rsid w:val="0069246F"/>
    <w:rsid w:val="006924FB"/>
    <w:rsid w:val="00692501"/>
    <w:rsid w:val="006928C5"/>
    <w:rsid w:val="00692B69"/>
    <w:rsid w:val="00692E51"/>
    <w:rsid w:val="0069304E"/>
    <w:rsid w:val="00693480"/>
    <w:rsid w:val="00693E79"/>
    <w:rsid w:val="00694087"/>
    <w:rsid w:val="0069540B"/>
    <w:rsid w:val="00695CBB"/>
    <w:rsid w:val="006961BF"/>
    <w:rsid w:val="00696964"/>
    <w:rsid w:val="0069726A"/>
    <w:rsid w:val="00697741"/>
    <w:rsid w:val="00697D27"/>
    <w:rsid w:val="00697E46"/>
    <w:rsid w:val="006A0A16"/>
    <w:rsid w:val="006A0C06"/>
    <w:rsid w:val="006A16A6"/>
    <w:rsid w:val="006A1BA5"/>
    <w:rsid w:val="006A1EE3"/>
    <w:rsid w:val="006A2E98"/>
    <w:rsid w:val="006A3060"/>
    <w:rsid w:val="006A3A45"/>
    <w:rsid w:val="006A3BE9"/>
    <w:rsid w:val="006A3C07"/>
    <w:rsid w:val="006A3D53"/>
    <w:rsid w:val="006A414C"/>
    <w:rsid w:val="006A491A"/>
    <w:rsid w:val="006A501D"/>
    <w:rsid w:val="006A5407"/>
    <w:rsid w:val="006A5454"/>
    <w:rsid w:val="006A54AE"/>
    <w:rsid w:val="006A5829"/>
    <w:rsid w:val="006A5909"/>
    <w:rsid w:val="006A6915"/>
    <w:rsid w:val="006A6AA5"/>
    <w:rsid w:val="006A7146"/>
    <w:rsid w:val="006A71D9"/>
    <w:rsid w:val="006A7420"/>
    <w:rsid w:val="006A7E6D"/>
    <w:rsid w:val="006B01E1"/>
    <w:rsid w:val="006B0268"/>
    <w:rsid w:val="006B03F5"/>
    <w:rsid w:val="006B0C7C"/>
    <w:rsid w:val="006B0CFC"/>
    <w:rsid w:val="006B124F"/>
    <w:rsid w:val="006B14B6"/>
    <w:rsid w:val="006B15AA"/>
    <w:rsid w:val="006B1E03"/>
    <w:rsid w:val="006B2022"/>
    <w:rsid w:val="006B226D"/>
    <w:rsid w:val="006B25D9"/>
    <w:rsid w:val="006B27DA"/>
    <w:rsid w:val="006B2880"/>
    <w:rsid w:val="006B2B19"/>
    <w:rsid w:val="006B2E7E"/>
    <w:rsid w:val="006B3016"/>
    <w:rsid w:val="006B396D"/>
    <w:rsid w:val="006B3A21"/>
    <w:rsid w:val="006B3AC1"/>
    <w:rsid w:val="006B45E1"/>
    <w:rsid w:val="006B4618"/>
    <w:rsid w:val="006B46B9"/>
    <w:rsid w:val="006B4A23"/>
    <w:rsid w:val="006B4A75"/>
    <w:rsid w:val="006B4AA8"/>
    <w:rsid w:val="006B5C89"/>
    <w:rsid w:val="006B5D46"/>
    <w:rsid w:val="006B622A"/>
    <w:rsid w:val="006B62C7"/>
    <w:rsid w:val="006B63EB"/>
    <w:rsid w:val="006B659A"/>
    <w:rsid w:val="006B65D8"/>
    <w:rsid w:val="006B6D1C"/>
    <w:rsid w:val="006B6DD3"/>
    <w:rsid w:val="006B6EED"/>
    <w:rsid w:val="006B6FB1"/>
    <w:rsid w:val="006B7035"/>
    <w:rsid w:val="006B78A8"/>
    <w:rsid w:val="006B7C9A"/>
    <w:rsid w:val="006B7CD6"/>
    <w:rsid w:val="006B7D49"/>
    <w:rsid w:val="006B7F5D"/>
    <w:rsid w:val="006C025F"/>
    <w:rsid w:val="006C0736"/>
    <w:rsid w:val="006C0A6A"/>
    <w:rsid w:val="006C0E20"/>
    <w:rsid w:val="006C1140"/>
    <w:rsid w:val="006C11D0"/>
    <w:rsid w:val="006C13D1"/>
    <w:rsid w:val="006C19C9"/>
    <w:rsid w:val="006C1FDD"/>
    <w:rsid w:val="006C2594"/>
    <w:rsid w:val="006C2720"/>
    <w:rsid w:val="006C2A4C"/>
    <w:rsid w:val="006C3A79"/>
    <w:rsid w:val="006C3AAF"/>
    <w:rsid w:val="006C3F73"/>
    <w:rsid w:val="006C4BF6"/>
    <w:rsid w:val="006C4D80"/>
    <w:rsid w:val="006C57EF"/>
    <w:rsid w:val="006C6321"/>
    <w:rsid w:val="006C65D1"/>
    <w:rsid w:val="006C675D"/>
    <w:rsid w:val="006C68D7"/>
    <w:rsid w:val="006C6A7F"/>
    <w:rsid w:val="006C6C06"/>
    <w:rsid w:val="006C6C97"/>
    <w:rsid w:val="006C7311"/>
    <w:rsid w:val="006C7586"/>
    <w:rsid w:val="006C7BD8"/>
    <w:rsid w:val="006D0165"/>
    <w:rsid w:val="006D059C"/>
    <w:rsid w:val="006D0602"/>
    <w:rsid w:val="006D062D"/>
    <w:rsid w:val="006D0A4F"/>
    <w:rsid w:val="006D0CFE"/>
    <w:rsid w:val="006D0D8A"/>
    <w:rsid w:val="006D1276"/>
    <w:rsid w:val="006D16AF"/>
    <w:rsid w:val="006D20DC"/>
    <w:rsid w:val="006D23FF"/>
    <w:rsid w:val="006D2457"/>
    <w:rsid w:val="006D2576"/>
    <w:rsid w:val="006D26DE"/>
    <w:rsid w:val="006D2700"/>
    <w:rsid w:val="006D278F"/>
    <w:rsid w:val="006D27CD"/>
    <w:rsid w:val="006D3256"/>
    <w:rsid w:val="006D327B"/>
    <w:rsid w:val="006D340F"/>
    <w:rsid w:val="006D404D"/>
    <w:rsid w:val="006D4153"/>
    <w:rsid w:val="006D4191"/>
    <w:rsid w:val="006D4628"/>
    <w:rsid w:val="006D4A9B"/>
    <w:rsid w:val="006D4E11"/>
    <w:rsid w:val="006D5126"/>
    <w:rsid w:val="006D51BA"/>
    <w:rsid w:val="006D51DC"/>
    <w:rsid w:val="006D62E0"/>
    <w:rsid w:val="006D64D7"/>
    <w:rsid w:val="006D6713"/>
    <w:rsid w:val="006D6C91"/>
    <w:rsid w:val="006D6CC2"/>
    <w:rsid w:val="006D7365"/>
    <w:rsid w:val="006D75DD"/>
    <w:rsid w:val="006D7CD9"/>
    <w:rsid w:val="006E0197"/>
    <w:rsid w:val="006E031B"/>
    <w:rsid w:val="006E076A"/>
    <w:rsid w:val="006E07C1"/>
    <w:rsid w:val="006E0C2C"/>
    <w:rsid w:val="006E0C66"/>
    <w:rsid w:val="006E12E5"/>
    <w:rsid w:val="006E1661"/>
    <w:rsid w:val="006E1B47"/>
    <w:rsid w:val="006E1C3B"/>
    <w:rsid w:val="006E2487"/>
    <w:rsid w:val="006E267D"/>
    <w:rsid w:val="006E2C7A"/>
    <w:rsid w:val="006E3130"/>
    <w:rsid w:val="006E3A0C"/>
    <w:rsid w:val="006E3EE3"/>
    <w:rsid w:val="006E42BD"/>
    <w:rsid w:val="006E4596"/>
    <w:rsid w:val="006E49B7"/>
    <w:rsid w:val="006E4EFB"/>
    <w:rsid w:val="006E5A4F"/>
    <w:rsid w:val="006E5B5B"/>
    <w:rsid w:val="006E6430"/>
    <w:rsid w:val="006E67B1"/>
    <w:rsid w:val="006E6FC2"/>
    <w:rsid w:val="006E7049"/>
    <w:rsid w:val="006E78CF"/>
    <w:rsid w:val="006F0337"/>
    <w:rsid w:val="006F033C"/>
    <w:rsid w:val="006F191C"/>
    <w:rsid w:val="006F1C92"/>
    <w:rsid w:val="006F2284"/>
    <w:rsid w:val="006F231F"/>
    <w:rsid w:val="006F29FE"/>
    <w:rsid w:val="006F2A2C"/>
    <w:rsid w:val="006F30A2"/>
    <w:rsid w:val="006F32FE"/>
    <w:rsid w:val="006F33A7"/>
    <w:rsid w:val="006F3825"/>
    <w:rsid w:val="006F38CA"/>
    <w:rsid w:val="006F3903"/>
    <w:rsid w:val="006F39C3"/>
    <w:rsid w:val="006F3AF1"/>
    <w:rsid w:val="006F3B4A"/>
    <w:rsid w:val="006F45AB"/>
    <w:rsid w:val="006F45E4"/>
    <w:rsid w:val="006F47F0"/>
    <w:rsid w:val="006F4820"/>
    <w:rsid w:val="006F4E08"/>
    <w:rsid w:val="006F4E4F"/>
    <w:rsid w:val="006F4E8F"/>
    <w:rsid w:val="006F5ECB"/>
    <w:rsid w:val="006F5ED1"/>
    <w:rsid w:val="006F620A"/>
    <w:rsid w:val="006F65FC"/>
    <w:rsid w:val="006F68D2"/>
    <w:rsid w:val="006F6D86"/>
    <w:rsid w:val="006F6E7A"/>
    <w:rsid w:val="006F700C"/>
    <w:rsid w:val="006F71EB"/>
    <w:rsid w:val="006F756B"/>
    <w:rsid w:val="006F75AD"/>
    <w:rsid w:val="006F7A5B"/>
    <w:rsid w:val="006F7B71"/>
    <w:rsid w:val="006F7DF6"/>
    <w:rsid w:val="00701E82"/>
    <w:rsid w:val="0070207C"/>
    <w:rsid w:val="00702542"/>
    <w:rsid w:val="00702C60"/>
    <w:rsid w:val="007038E8"/>
    <w:rsid w:val="00703B45"/>
    <w:rsid w:val="007045B9"/>
    <w:rsid w:val="00704921"/>
    <w:rsid w:val="00704AF2"/>
    <w:rsid w:val="00704BC2"/>
    <w:rsid w:val="00704D32"/>
    <w:rsid w:val="00705330"/>
    <w:rsid w:val="00705C4A"/>
    <w:rsid w:val="00705EF3"/>
    <w:rsid w:val="00706753"/>
    <w:rsid w:val="00706976"/>
    <w:rsid w:val="00706D29"/>
    <w:rsid w:val="00707443"/>
    <w:rsid w:val="00707692"/>
    <w:rsid w:val="00707B1A"/>
    <w:rsid w:val="00707C6D"/>
    <w:rsid w:val="0071003C"/>
    <w:rsid w:val="0071032D"/>
    <w:rsid w:val="00710384"/>
    <w:rsid w:val="007104BE"/>
    <w:rsid w:val="0071058D"/>
    <w:rsid w:val="007105F9"/>
    <w:rsid w:val="00710846"/>
    <w:rsid w:val="007118F2"/>
    <w:rsid w:val="00712004"/>
    <w:rsid w:val="0071216A"/>
    <w:rsid w:val="00712D6E"/>
    <w:rsid w:val="00712F13"/>
    <w:rsid w:val="00714005"/>
    <w:rsid w:val="007145E6"/>
    <w:rsid w:val="00714613"/>
    <w:rsid w:val="00714693"/>
    <w:rsid w:val="007147C0"/>
    <w:rsid w:val="00714829"/>
    <w:rsid w:val="0071589C"/>
    <w:rsid w:val="00715BEF"/>
    <w:rsid w:val="00715F29"/>
    <w:rsid w:val="0071667B"/>
    <w:rsid w:val="007167CF"/>
    <w:rsid w:val="00716A42"/>
    <w:rsid w:val="00716EC1"/>
    <w:rsid w:val="007171A6"/>
    <w:rsid w:val="0071725F"/>
    <w:rsid w:val="007178AB"/>
    <w:rsid w:val="00717FE4"/>
    <w:rsid w:val="00720006"/>
    <w:rsid w:val="00720368"/>
    <w:rsid w:val="00720949"/>
    <w:rsid w:val="007209EC"/>
    <w:rsid w:val="00720C3B"/>
    <w:rsid w:val="00720E14"/>
    <w:rsid w:val="00721112"/>
    <w:rsid w:val="007211C4"/>
    <w:rsid w:val="00721866"/>
    <w:rsid w:val="00721AE7"/>
    <w:rsid w:val="00721BBB"/>
    <w:rsid w:val="00722268"/>
    <w:rsid w:val="00722502"/>
    <w:rsid w:val="00722B65"/>
    <w:rsid w:val="00722D63"/>
    <w:rsid w:val="00722F39"/>
    <w:rsid w:val="0072315A"/>
    <w:rsid w:val="00723CC5"/>
    <w:rsid w:val="00723FB0"/>
    <w:rsid w:val="0072436D"/>
    <w:rsid w:val="00724507"/>
    <w:rsid w:val="00724756"/>
    <w:rsid w:val="007247A9"/>
    <w:rsid w:val="007248CF"/>
    <w:rsid w:val="0072494A"/>
    <w:rsid w:val="00724D5C"/>
    <w:rsid w:val="007251D8"/>
    <w:rsid w:val="00725BA7"/>
    <w:rsid w:val="00725D2D"/>
    <w:rsid w:val="0072645E"/>
    <w:rsid w:val="007264EF"/>
    <w:rsid w:val="0072660C"/>
    <w:rsid w:val="007270A3"/>
    <w:rsid w:val="0072753C"/>
    <w:rsid w:val="00727A92"/>
    <w:rsid w:val="00727C6C"/>
    <w:rsid w:val="00727DC2"/>
    <w:rsid w:val="00727E7D"/>
    <w:rsid w:val="00727EA4"/>
    <w:rsid w:val="0073091F"/>
    <w:rsid w:val="007315CD"/>
    <w:rsid w:val="007315FC"/>
    <w:rsid w:val="007316CF"/>
    <w:rsid w:val="00731C8A"/>
    <w:rsid w:val="00731CDA"/>
    <w:rsid w:val="00731E82"/>
    <w:rsid w:val="007322B3"/>
    <w:rsid w:val="00732301"/>
    <w:rsid w:val="0073265F"/>
    <w:rsid w:val="0073266B"/>
    <w:rsid w:val="00732885"/>
    <w:rsid w:val="00733460"/>
    <w:rsid w:val="00733517"/>
    <w:rsid w:val="0073354B"/>
    <w:rsid w:val="00733583"/>
    <w:rsid w:val="00733868"/>
    <w:rsid w:val="00733ED7"/>
    <w:rsid w:val="00734A7D"/>
    <w:rsid w:val="0073530B"/>
    <w:rsid w:val="0073584C"/>
    <w:rsid w:val="00735916"/>
    <w:rsid w:val="007359BF"/>
    <w:rsid w:val="00735A20"/>
    <w:rsid w:val="0073641B"/>
    <w:rsid w:val="007366A1"/>
    <w:rsid w:val="007373DB"/>
    <w:rsid w:val="0073757F"/>
    <w:rsid w:val="0073798D"/>
    <w:rsid w:val="00737D43"/>
    <w:rsid w:val="00740142"/>
    <w:rsid w:val="007404E2"/>
    <w:rsid w:val="00740CB2"/>
    <w:rsid w:val="00741159"/>
    <w:rsid w:val="007419B5"/>
    <w:rsid w:val="00741E02"/>
    <w:rsid w:val="00741F60"/>
    <w:rsid w:val="00742367"/>
    <w:rsid w:val="0074270C"/>
    <w:rsid w:val="00742826"/>
    <w:rsid w:val="00742C07"/>
    <w:rsid w:val="00743031"/>
    <w:rsid w:val="00743B57"/>
    <w:rsid w:val="00743B90"/>
    <w:rsid w:val="00743F4C"/>
    <w:rsid w:val="0074494B"/>
    <w:rsid w:val="00744B7E"/>
    <w:rsid w:val="0074541E"/>
    <w:rsid w:val="0074559D"/>
    <w:rsid w:val="00745A2F"/>
    <w:rsid w:val="00745BE8"/>
    <w:rsid w:val="0074601C"/>
    <w:rsid w:val="007466FF"/>
    <w:rsid w:val="00746AA7"/>
    <w:rsid w:val="00746B5A"/>
    <w:rsid w:val="00747104"/>
    <w:rsid w:val="00747402"/>
    <w:rsid w:val="00747846"/>
    <w:rsid w:val="007479AA"/>
    <w:rsid w:val="00750B09"/>
    <w:rsid w:val="007514A8"/>
    <w:rsid w:val="00751E1E"/>
    <w:rsid w:val="00752459"/>
    <w:rsid w:val="00752702"/>
    <w:rsid w:val="00752C64"/>
    <w:rsid w:val="00752E0B"/>
    <w:rsid w:val="0075303B"/>
    <w:rsid w:val="007531D2"/>
    <w:rsid w:val="007532C4"/>
    <w:rsid w:val="007535B7"/>
    <w:rsid w:val="00754125"/>
    <w:rsid w:val="00754240"/>
    <w:rsid w:val="0075427E"/>
    <w:rsid w:val="007547F4"/>
    <w:rsid w:val="00755307"/>
    <w:rsid w:val="0075571A"/>
    <w:rsid w:val="00755762"/>
    <w:rsid w:val="007559B5"/>
    <w:rsid w:val="00755A7C"/>
    <w:rsid w:val="007571AE"/>
    <w:rsid w:val="007573B7"/>
    <w:rsid w:val="0075765F"/>
    <w:rsid w:val="007578F8"/>
    <w:rsid w:val="00757B1C"/>
    <w:rsid w:val="0076007F"/>
    <w:rsid w:val="0076016C"/>
    <w:rsid w:val="00760499"/>
    <w:rsid w:val="00761058"/>
    <w:rsid w:val="007612A2"/>
    <w:rsid w:val="00761BBF"/>
    <w:rsid w:val="00761C43"/>
    <w:rsid w:val="00761C8A"/>
    <w:rsid w:val="00762325"/>
    <w:rsid w:val="007626AD"/>
    <w:rsid w:val="007631B5"/>
    <w:rsid w:val="00763318"/>
    <w:rsid w:val="007634B4"/>
    <w:rsid w:val="0076384C"/>
    <w:rsid w:val="00763CAE"/>
    <w:rsid w:val="00763F05"/>
    <w:rsid w:val="00764097"/>
    <w:rsid w:val="00764100"/>
    <w:rsid w:val="00764660"/>
    <w:rsid w:val="00764CC0"/>
    <w:rsid w:val="00765168"/>
    <w:rsid w:val="0076580B"/>
    <w:rsid w:val="00765901"/>
    <w:rsid w:val="00765980"/>
    <w:rsid w:val="00765C94"/>
    <w:rsid w:val="00767BF2"/>
    <w:rsid w:val="007702C6"/>
    <w:rsid w:val="00770C86"/>
    <w:rsid w:val="00771390"/>
    <w:rsid w:val="007716EC"/>
    <w:rsid w:val="00771895"/>
    <w:rsid w:val="007718E6"/>
    <w:rsid w:val="007719E7"/>
    <w:rsid w:val="00772099"/>
    <w:rsid w:val="00772304"/>
    <w:rsid w:val="007725C5"/>
    <w:rsid w:val="00772993"/>
    <w:rsid w:val="007730FA"/>
    <w:rsid w:val="00773D3B"/>
    <w:rsid w:val="00773E79"/>
    <w:rsid w:val="0077429E"/>
    <w:rsid w:val="00774B0C"/>
    <w:rsid w:val="00774B0F"/>
    <w:rsid w:val="00774F98"/>
    <w:rsid w:val="0077506C"/>
    <w:rsid w:val="0077506F"/>
    <w:rsid w:val="007759E0"/>
    <w:rsid w:val="00775B67"/>
    <w:rsid w:val="00775EB8"/>
    <w:rsid w:val="00776116"/>
    <w:rsid w:val="0077685D"/>
    <w:rsid w:val="0077687A"/>
    <w:rsid w:val="00776BF4"/>
    <w:rsid w:val="00776E08"/>
    <w:rsid w:val="007777F4"/>
    <w:rsid w:val="00777868"/>
    <w:rsid w:val="007779CD"/>
    <w:rsid w:val="00777B13"/>
    <w:rsid w:val="00777BC3"/>
    <w:rsid w:val="00780491"/>
    <w:rsid w:val="007808B2"/>
    <w:rsid w:val="00780D83"/>
    <w:rsid w:val="00780E4C"/>
    <w:rsid w:val="00780E99"/>
    <w:rsid w:val="00781911"/>
    <w:rsid w:val="00781D52"/>
    <w:rsid w:val="00782124"/>
    <w:rsid w:val="00782719"/>
    <w:rsid w:val="00782733"/>
    <w:rsid w:val="007828EB"/>
    <w:rsid w:val="0078307B"/>
    <w:rsid w:val="007836A9"/>
    <w:rsid w:val="007840E4"/>
    <w:rsid w:val="00784406"/>
    <w:rsid w:val="00784B1F"/>
    <w:rsid w:val="0078527C"/>
    <w:rsid w:val="007852AC"/>
    <w:rsid w:val="0078580B"/>
    <w:rsid w:val="00786889"/>
    <w:rsid w:val="00786C00"/>
    <w:rsid w:val="00786C12"/>
    <w:rsid w:val="0078717C"/>
    <w:rsid w:val="0078749B"/>
    <w:rsid w:val="007875AB"/>
    <w:rsid w:val="00787798"/>
    <w:rsid w:val="00787B73"/>
    <w:rsid w:val="00787C1D"/>
    <w:rsid w:val="0079009F"/>
    <w:rsid w:val="00790210"/>
    <w:rsid w:val="0079066E"/>
    <w:rsid w:val="00790872"/>
    <w:rsid w:val="00790D13"/>
    <w:rsid w:val="00790D70"/>
    <w:rsid w:val="00791041"/>
    <w:rsid w:val="00791178"/>
    <w:rsid w:val="0079161A"/>
    <w:rsid w:val="00791681"/>
    <w:rsid w:val="00791DB6"/>
    <w:rsid w:val="00791FAF"/>
    <w:rsid w:val="00792202"/>
    <w:rsid w:val="007938FD"/>
    <w:rsid w:val="00793BB0"/>
    <w:rsid w:val="00793CE6"/>
    <w:rsid w:val="007948A1"/>
    <w:rsid w:val="00794BA4"/>
    <w:rsid w:val="00794D2A"/>
    <w:rsid w:val="007955CB"/>
    <w:rsid w:val="0079560B"/>
    <w:rsid w:val="00795C74"/>
    <w:rsid w:val="0079684B"/>
    <w:rsid w:val="00796DB1"/>
    <w:rsid w:val="00796EBB"/>
    <w:rsid w:val="00797F94"/>
    <w:rsid w:val="007A025B"/>
    <w:rsid w:val="007A0470"/>
    <w:rsid w:val="007A062C"/>
    <w:rsid w:val="007A11FD"/>
    <w:rsid w:val="007A1D35"/>
    <w:rsid w:val="007A2647"/>
    <w:rsid w:val="007A2B2B"/>
    <w:rsid w:val="007A2C63"/>
    <w:rsid w:val="007A331E"/>
    <w:rsid w:val="007A397D"/>
    <w:rsid w:val="007A3BFF"/>
    <w:rsid w:val="007A444F"/>
    <w:rsid w:val="007A52CE"/>
    <w:rsid w:val="007A55FB"/>
    <w:rsid w:val="007A5B5C"/>
    <w:rsid w:val="007A5DFD"/>
    <w:rsid w:val="007A5E14"/>
    <w:rsid w:val="007A603C"/>
    <w:rsid w:val="007A6349"/>
    <w:rsid w:val="007A6642"/>
    <w:rsid w:val="007A6C3E"/>
    <w:rsid w:val="007A6E73"/>
    <w:rsid w:val="007A7012"/>
    <w:rsid w:val="007A70AF"/>
    <w:rsid w:val="007A7E9F"/>
    <w:rsid w:val="007B0181"/>
    <w:rsid w:val="007B0D1D"/>
    <w:rsid w:val="007B0DFD"/>
    <w:rsid w:val="007B1836"/>
    <w:rsid w:val="007B1941"/>
    <w:rsid w:val="007B194A"/>
    <w:rsid w:val="007B1A22"/>
    <w:rsid w:val="007B2489"/>
    <w:rsid w:val="007B25FC"/>
    <w:rsid w:val="007B30AE"/>
    <w:rsid w:val="007B310E"/>
    <w:rsid w:val="007B319B"/>
    <w:rsid w:val="007B3B97"/>
    <w:rsid w:val="007B3BF6"/>
    <w:rsid w:val="007B4EF1"/>
    <w:rsid w:val="007B5473"/>
    <w:rsid w:val="007B56EE"/>
    <w:rsid w:val="007B5D1A"/>
    <w:rsid w:val="007B5E76"/>
    <w:rsid w:val="007B64BD"/>
    <w:rsid w:val="007B65FE"/>
    <w:rsid w:val="007B69BB"/>
    <w:rsid w:val="007B7578"/>
    <w:rsid w:val="007B7BA9"/>
    <w:rsid w:val="007B7E43"/>
    <w:rsid w:val="007B7F7F"/>
    <w:rsid w:val="007B7F8A"/>
    <w:rsid w:val="007C043D"/>
    <w:rsid w:val="007C057A"/>
    <w:rsid w:val="007C0611"/>
    <w:rsid w:val="007C0E81"/>
    <w:rsid w:val="007C0FF7"/>
    <w:rsid w:val="007C12F4"/>
    <w:rsid w:val="007C26AA"/>
    <w:rsid w:val="007C2982"/>
    <w:rsid w:val="007C2D0D"/>
    <w:rsid w:val="007C30F1"/>
    <w:rsid w:val="007C3552"/>
    <w:rsid w:val="007C3943"/>
    <w:rsid w:val="007C3A1D"/>
    <w:rsid w:val="007C3AEF"/>
    <w:rsid w:val="007C413F"/>
    <w:rsid w:val="007C41DD"/>
    <w:rsid w:val="007C41EA"/>
    <w:rsid w:val="007C4337"/>
    <w:rsid w:val="007C4AC4"/>
    <w:rsid w:val="007C4B28"/>
    <w:rsid w:val="007C4B54"/>
    <w:rsid w:val="007C4B8E"/>
    <w:rsid w:val="007C4E17"/>
    <w:rsid w:val="007C4E4F"/>
    <w:rsid w:val="007C554F"/>
    <w:rsid w:val="007C5F9C"/>
    <w:rsid w:val="007C6057"/>
    <w:rsid w:val="007C65BE"/>
    <w:rsid w:val="007C670F"/>
    <w:rsid w:val="007C6B15"/>
    <w:rsid w:val="007C6B75"/>
    <w:rsid w:val="007C6E0F"/>
    <w:rsid w:val="007C703A"/>
    <w:rsid w:val="007C7466"/>
    <w:rsid w:val="007C7699"/>
    <w:rsid w:val="007C77C4"/>
    <w:rsid w:val="007C794F"/>
    <w:rsid w:val="007C7979"/>
    <w:rsid w:val="007C7CEC"/>
    <w:rsid w:val="007C7D05"/>
    <w:rsid w:val="007D021D"/>
    <w:rsid w:val="007D06DE"/>
    <w:rsid w:val="007D0E68"/>
    <w:rsid w:val="007D16BA"/>
    <w:rsid w:val="007D1923"/>
    <w:rsid w:val="007D1C78"/>
    <w:rsid w:val="007D20F1"/>
    <w:rsid w:val="007D21CB"/>
    <w:rsid w:val="007D2200"/>
    <w:rsid w:val="007D2259"/>
    <w:rsid w:val="007D2F41"/>
    <w:rsid w:val="007D31A8"/>
    <w:rsid w:val="007D32A6"/>
    <w:rsid w:val="007D37C9"/>
    <w:rsid w:val="007D389D"/>
    <w:rsid w:val="007D3D3B"/>
    <w:rsid w:val="007D3DA2"/>
    <w:rsid w:val="007D3DB2"/>
    <w:rsid w:val="007D405D"/>
    <w:rsid w:val="007D4120"/>
    <w:rsid w:val="007D43DC"/>
    <w:rsid w:val="007D47EC"/>
    <w:rsid w:val="007D6151"/>
    <w:rsid w:val="007D62E7"/>
    <w:rsid w:val="007D6AC4"/>
    <w:rsid w:val="007D72BD"/>
    <w:rsid w:val="007D7784"/>
    <w:rsid w:val="007E004A"/>
    <w:rsid w:val="007E03B2"/>
    <w:rsid w:val="007E04CB"/>
    <w:rsid w:val="007E05CB"/>
    <w:rsid w:val="007E06FB"/>
    <w:rsid w:val="007E0A4F"/>
    <w:rsid w:val="007E0B34"/>
    <w:rsid w:val="007E0E58"/>
    <w:rsid w:val="007E1201"/>
    <w:rsid w:val="007E14C5"/>
    <w:rsid w:val="007E178A"/>
    <w:rsid w:val="007E1834"/>
    <w:rsid w:val="007E19AF"/>
    <w:rsid w:val="007E20B7"/>
    <w:rsid w:val="007E21DD"/>
    <w:rsid w:val="007E23AB"/>
    <w:rsid w:val="007E281F"/>
    <w:rsid w:val="007E3075"/>
    <w:rsid w:val="007E3354"/>
    <w:rsid w:val="007E3662"/>
    <w:rsid w:val="007E3A7C"/>
    <w:rsid w:val="007E429B"/>
    <w:rsid w:val="007E47CB"/>
    <w:rsid w:val="007E4B09"/>
    <w:rsid w:val="007E4E7A"/>
    <w:rsid w:val="007E5389"/>
    <w:rsid w:val="007E59B6"/>
    <w:rsid w:val="007E5CCF"/>
    <w:rsid w:val="007E5D39"/>
    <w:rsid w:val="007E5E7D"/>
    <w:rsid w:val="007E62D7"/>
    <w:rsid w:val="007E6935"/>
    <w:rsid w:val="007E69CE"/>
    <w:rsid w:val="007E6BAF"/>
    <w:rsid w:val="007E760D"/>
    <w:rsid w:val="007E76AE"/>
    <w:rsid w:val="007E7B00"/>
    <w:rsid w:val="007F04E4"/>
    <w:rsid w:val="007F08E2"/>
    <w:rsid w:val="007F0D93"/>
    <w:rsid w:val="007F22C3"/>
    <w:rsid w:val="007F22F5"/>
    <w:rsid w:val="007F2490"/>
    <w:rsid w:val="007F2747"/>
    <w:rsid w:val="007F2874"/>
    <w:rsid w:val="007F2AD4"/>
    <w:rsid w:val="007F2F08"/>
    <w:rsid w:val="007F316C"/>
    <w:rsid w:val="007F3582"/>
    <w:rsid w:val="007F3598"/>
    <w:rsid w:val="007F36E1"/>
    <w:rsid w:val="007F37EE"/>
    <w:rsid w:val="007F385E"/>
    <w:rsid w:val="007F3BBF"/>
    <w:rsid w:val="007F3EDC"/>
    <w:rsid w:val="007F3F18"/>
    <w:rsid w:val="007F42CC"/>
    <w:rsid w:val="007F47F0"/>
    <w:rsid w:val="007F4AB4"/>
    <w:rsid w:val="007F53F5"/>
    <w:rsid w:val="007F54C7"/>
    <w:rsid w:val="007F56FE"/>
    <w:rsid w:val="007F5724"/>
    <w:rsid w:val="007F5783"/>
    <w:rsid w:val="007F5E05"/>
    <w:rsid w:val="007F6486"/>
    <w:rsid w:val="007F679E"/>
    <w:rsid w:val="007F6ECB"/>
    <w:rsid w:val="007F728C"/>
    <w:rsid w:val="007F7423"/>
    <w:rsid w:val="007F744F"/>
    <w:rsid w:val="007F759D"/>
    <w:rsid w:val="007F7BE9"/>
    <w:rsid w:val="0080021B"/>
    <w:rsid w:val="0080030D"/>
    <w:rsid w:val="00800336"/>
    <w:rsid w:val="008003C6"/>
    <w:rsid w:val="00800572"/>
    <w:rsid w:val="0080083D"/>
    <w:rsid w:val="0080095D"/>
    <w:rsid w:val="00800ABA"/>
    <w:rsid w:val="00800CE1"/>
    <w:rsid w:val="00800EB7"/>
    <w:rsid w:val="00801243"/>
    <w:rsid w:val="00801A1B"/>
    <w:rsid w:val="00801FC6"/>
    <w:rsid w:val="00802861"/>
    <w:rsid w:val="008029CB"/>
    <w:rsid w:val="00802B0F"/>
    <w:rsid w:val="00802DAA"/>
    <w:rsid w:val="008030D8"/>
    <w:rsid w:val="00803EE5"/>
    <w:rsid w:val="0080428F"/>
    <w:rsid w:val="00804420"/>
    <w:rsid w:val="008049A1"/>
    <w:rsid w:val="00804ABA"/>
    <w:rsid w:val="00804D42"/>
    <w:rsid w:val="00804DCA"/>
    <w:rsid w:val="0080512B"/>
    <w:rsid w:val="008051F6"/>
    <w:rsid w:val="0080538D"/>
    <w:rsid w:val="008053D1"/>
    <w:rsid w:val="0080545C"/>
    <w:rsid w:val="008057EF"/>
    <w:rsid w:val="00805810"/>
    <w:rsid w:val="0080593D"/>
    <w:rsid w:val="00805E5E"/>
    <w:rsid w:val="008063C4"/>
    <w:rsid w:val="00806EA6"/>
    <w:rsid w:val="00807015"/>
    <w:rsid w:val="00807090"/>
    <w:rsid w:val="008079F0"/>
    <w:rsid w:val="00807ABC"/>
    <w:rsid w:val="00807FCD"/>
    <w:rsid w:val="0081018B"/>
    <w:rsid w:val="008101D8"/>
    <w:rsid w:val="008104B2"/>
    <w:rsid w:val="00810A7E"/>
    <w:rsid w:val="00810C02"/>
    <w:rsid w:val="00810C9A"/>
    <w:rsid w:val="00810D07"/>
    <w:rsid w:val="00811931"/>
    <w:rsid w:val="00811AA8"/>
    <w:rsid w:val="00811C47"/>
    <w:rsid w:val="00811F26"/>
    <w:rsid w:val="0081202A"/>
    <w:rsid w:val="00812C89"/>
    <w:rsid w:val="008134F7"/>
    <w:rsid w:val="008135E9"/>
    <w:rsid w:val="008137AF"/>
    <w:rsid w:val="0081382C"/>
    <w:rsid w:val="00813E9D"/>
    <w:rsid w:val="008143B3"/>
    <w:rsid w:val="00814BBF"/>
    <w:rsid w:val="00814E49"/>
    <w:rsid w:val="008151BE"/>
    <w:rsid w:val="0081527D"/>
    <w:rsid w:val="00815CEB"/>
    <w:rsid w:val="008165B7"/>
    <w:rsid w:val="00816911"/>
    <w:rsid w:val="00816A24"/>
    <w:rsid w:val="00816B9A"/>
    <w:rsid w:val="00817266"/>
    <w:rsid w:val="0081736F"/>
    <w:rsid w:val="00817BBA"/>
    <w:rsid w:val="00820056"/>
    <w:rsid w:val="0082020E"/>
    <w:rsid w:val="00820789"/>
    <w:rsid w:val="00820FCF"/>
    <w:rsid w:val="00821375"/>
    <w:rsid w:val="008215EE"/>
    <w:rsid w:val="00822298"/>
    <w:rsid w:val="00822B37"/>
    <w:rsid w:val="00822CA3"/>
    <w:rsid w:val="00822DD5"/>
    <w:rsid w:val="008237C9"/>
    <w:rsid w:val="0082385D"/>
    <w:rsid w:val="00823908"/>
    <w:rsid w:val="0082395F"/>
    <w:rsid w:val="0082409A"/>
    <w:rsid w:val="008246F0"/>
    <w:rsid w:val="00824827"/>
    <w:rsid w:val="00824A98"/>
    <w:rsid w:val="00824F58"/>
    <w:rsid w:val="00825E8C"/>
    <w:rsid w:val="008263B1"/>
    <w:rsid w:val="008267C5"/>
    <w:rsid w:val="008269AE"/>
    <w:rsid w:val="00826A70"/>
    <w:rsid w:val="00826B0E"/>
    <w:rsid w:val="008274C3"/>
    <w:rsid w:val="00827525"/>
    <w:rsid w:val="00827DF6"/>
    <w:rsid w:val="008303BA"/>
    <w:rsid w:val="008304A4"/>
    <w:rsid w:val="0083113A"/>
    <w:rsid w:val="00831155"/>
    <w:rsid w:val="00831394"/>
    <w:rsid w:val="00831B2B"/>
    <w:rsid w:val="00831D82"/>
    <w:rsid w:val="00831D96"/>
    <w:rsid w:val="00831E5D"/>
    <w:rsid w:val="008322C2"/>
    <w:rsid w:val="00832502"/>
    <w:rsid w:val="00832937"/>
    <w:rsid w:val="00832E31"/>
    <w:rsid w:val="00832E3C"/>
    <w:rsid w:val="008330FB"/>
    <w:rsid w:val="008334B4"/>
    <w:rsid w:val="0083362F"/>
    <w:rsid w:val="00833A6D"/>
    <w:rsid w:val="00833E86"/>
    <w:rsid w:val="00834021"/>
    <w:rsid w:val="00834156"/>
    <w:rsid w:val="00834A29"/>
    <w:rsid w:val="00834AAD"/>
    <w:rsid w:val="00835103"/>
    <w:rsid w:val="008352D1"/>
    <w:rsid w:val="0083577A"/>
    <w:rsid w:val="00835E0E"/>
    <w:rsid w:val="0083618A"/>
    <w:rsid w:val="00836381"/>
    <w:rsid w:val="00836F1F"/>
    <w:rsid w:val="008374FF"/>
    <w:rsid w:val="008376ED"/>
    <w:rsid w:val="00837740"/>
    <w:rsid w:val="00837925"/>
    <w:rsid w:val="00837974"/>
    <w:rsid w:val="0084002E"/>
    <w:rsid w:val="008400A0"/>
    <w:rsid w:val="00840738"/>
    <w:rsid w:val="00840B8C"/>
    <w:rsid w:val="00840D70"/>
    <w:rsid w:val="00840E7E"/>
    <w:rsid w:val="00841AD5"/>
    <w:rsid w:val="0084226B"/>
    <w:rsid w:val="008424C5"/>
    <w:rsid w:val="00842AF7"/>
    <w:rsid w:val="00843BD2"/>
    <w:rsid w:val="00843EC9"/>
    <w:rsid w:val="00843FAC"/>
    <w:rsid w:val="00844B3B"/>
    <w:rsid w:val="00844F0F"/>
    <w:rsid w:val="00845764"/>
    <w:rsid w:val="008459A2"/>
    <w:rsid w:val="00845FB3"/>
    <w:rsid w:val="00845FCF"/>
    <w:rsid w:val="00846AB8"/>
    <w:rsid w:val="008472E9"/>
    <w:rsid w:val="00847516"/>
    <w:rsid w:val="0084752B"/>
    <w:rsid w:val="00847605"/>
    <w:rsid w:val="00847996"/>
    <w:rsid w:val="00847CB1"/>
    <w:rsid w:val="0085022E"/>
    <w:rsid w:val="008502D1"/>
    <w:rsid w:val="00850510"/>
    <w:rsid w:val="00850617"/>
    <w:rsid w:val="0085065F"/>
    <w:rsid w:val="00850F1D"/>
    <w:rsid w:val="0085125A"/>
    <w:rsid w:val="008519DB"/>
    <w:rsid w:val="00851C5C"/>
    <w:rsid w:val="00851FD9"/>
    <w:rsid w:val="0085276F"/>
    <w:rsid w:val="00852AD8"/>
    <w:rsid w:val="00853A06"/>
    <w:rsid w:val="00853E08"/>
    <w:rsid w:val="00853FC1"/>
    <w:rsid w:val="0085434C"/>
    <w:rsid w:val="00854B72"/>
    <w:rsid w:val="00854EC1"/>
    <w:rsid w:val="00855F28"/>
    <w:rsid w:val="0085614E"/>
    <w:rsid w:val="00856C7A"/>
    <w:rsid w:val="00856FEE"/>
    <w:rsid w:val="008572B0"/>
    <w:rsid w:val="0085739E"/>
    <w:rsid w:val="00857B2A"/>
    <w:rsid w:val="00857B39"/>
    <w:rsid w:val="00857FAC"/>
    <w:rsid w:val="008600BD"/>
    <w:rsid w:val="00860296"/>
    <w:rsid w:val="008602F6"/>
    <w:rsid w:val="008604D5"/>
    <w:rsid w:val="00860B62"/>
    <w:rsid w:val="00860E0B"/>
    <w:rsid w:val="00861247"/>
    <w:rsid w:val="00861349"/>
    <w:rsid w:val="0086134B"/>
    <w:rsid w:val="0086162E"/>
    <w:rsid w:val="00861C97"/>
    <w:rsid w:val="00861D40"/>
    <w:rsid w:val="008633DB"/>
    <w:rsid w:val="008635C8"/>
    <w:rsid w:val="00863EEF"/>
    <w:rsid w:val="00863F8C"/>
    <w:rsid w:val="00864747"/>
    <w:rsid w:val="0086494C"/>
    <w:rsid w:val="00864ACD"/>
    <w:rsid w:val="00864D5B"/>
    <w:rsid w:val="00865236"/>
    <w:rsid w:val="00865B3A"/>
    <w:rsid w:val="00866979"/>
    <w:rsid w:val="008674BD"/>
    <w:rsid w:val="00867751"/>
    <w:rsid w:val="00867939"/>
    <w:rsid w:val="00867A7F"/>
    <w:rsid w:val="0087055B"/>
    <w:rsid w:val="008708F4"/>
    <w:rsid w:val="00871041"/>
    <w:rsid w:val="008716E9"/>
    <w:rsid w:val="008718BF"/>
    <w:rsid w:val="00871A37"/>
    <w:rsid w:val="00871D37"/>
    <w:rsid w:val="0087214C"/>
    <w:rsid w:val="00872549"/>
    <w:rsid w:val="00872CC0"/>
    <w:rsid w:val="008730B4"/>
    <w:rsid w:val="00873146"/>
    <w:rsid w:val="00873F1F"/>
    <w:rsid w:val="00873F7D"/>
    <w:rsid w:val="008740C6"/>
    <w:rsid w:val="00874145"/>
    <w:rsid w:val="008742A7"/>
    <w:rsid w:val="0087459E"/>
    <w:rsid w:val="00874754"/>
    <w:rsid w:val="00874E72"/>
    <w:rsid w:val="00875256"/>
    <w:rsid w:val="00875AE1"/>
    <w:rsid w:val="00875B3A"/>
    <w:rsid w:val="008761C0"/>
    <w:rsid w:val="00876C7C"/>
    <w:rsid w:val="00876E12"/>
    <w:rsid w:val="00876EA4"/>
    <w:rsid w:val="008775DD"/>
    <w:rsid w:val="008803E3"/>
    <w:rsid w:val="008805CF"/>
    <w:rsid w:val="00880C3A"/>
    <w:rsid w:val="008811F2"/>
    <w:rsid w:val="00881309"/>
    <w:rsid w:val="00881315"/>
    <w:rsid w:val="0088145E"/>
    <w:rsid w:val="008815CF"/>
    <w:rsid w:val="00882607"/>
    <w:rsid w:val="00882B14"/>
    <w:rsid w:val="00882DFE"/>
    <w:rsid w:val="008833C2"/>
    <w:rsid w:val="00884011"/>
    <w:rsid w:val="008841C7"/>
    <w:rsid w:val="0088520C"/>
    <w:rsid w:val="00885B6C"/>
    <w:rsid w:val="00885ED8"/>
    <w:rsid w:val="008866A0"/>
    <w:rsid w:val="008870DF"/>
    <w:rsid w:val="00887731"/>
    <w:rsid w:val="00887998"/>
    <w:rsid w:val="00890B00"/>
    <w:rsid w:val="00890C1E"/>
    <w:rsid w:val="00890EDF"/>
    <w:rsid w:val="008916B3"/>
    <w:rsid w:val="008916C0"/>
    <w:rsid w:val="0089194C"/>
    <w:rsid w:val="00891DA9"/>
    <w:rsid w:val="00891E69"/>
    <w:rsid w:val="008920C0"/>
    <w:rsid w:val="0089213F"/>
    <w:rsid w:val="00892365"/>
    <w:rsid w:val="008923A7"/>
    <w:rsid w:val="008925CB"/>
    <w:rsid w:val="00892B19"/>
    <w:rsid w:val="00892B46"/>
    <w:rsid w:val="008935C5"/>
    <w:rsid w:val="0089464E"/>
    <w:rsid w:val="0089481B"/>
    <w:rsid w:val="00894B26"/>
    <w:rsid w:val="00894ECB"/>
    <w:rsid w:val="00895986"/>
    <w:rsid w:val="00895A74"/>
    <w:rsid w:val="008963D7"/>
    <w:rsid w:val="008964AD"/>
    <w:rsid w:val="00896922"/>
    <w:rsid w:val="00896FC9"/>
    <w:rsid w:val="008973DC"/>
    <w:rsid w:val="0089745F"/>
    <w:rsid w:val="008976CF"/>
    <w:rsid w:val="0089776F"/>
    <w:rsid w:val="008978B0"/>
    <w:rsid w:val="0089798D"/>
    <w:rsid w:val="00897F3E"/>
    <w:rsid w:val="008A018C"/>
    <w:rsid w:val="008A02A4"/>
    <w:rsid w:val="008A0DC8"/>
    <w:rsid w:val="008A0F4C"/>
    <w:rsid w:val="008A1850"/>
    <w:rsid w:val="008A1B1B"/>
    <w:rsid w:val="008A1C4B"/>
    <w:rsid w:val="008A23CC"/>
    <w:rsid w:val="008A2427"/>
    <w:rsid w:val="008A2704"/>
    <w:rsid w:val="008A28D2"/>
    <w:rsid w:val="008A29FC"/>
    <w:rsid w:val="008A30F3"/>
    <w:rsid w:val="008A339C"/>
    <w:rsid w:val="008A36BA"/>
    <w:rsid w:val="008A3FB5"/>
    <w:rsid w:val="008A41AC"/>
    <w:rsid w:val="008A439A"/>
    <w:rsid w:val="008A44F5"/>
    <w:rsid w:val="008A4A95"/>
    <w:rsid w:val="008A53CD"/>
    <w:rsid w:val="008A648B"/>
    <w:rsid w:val="008A649C"/>
    <w:rsid w:val="008A6B2C"/>
    <w:rsid w:val="008A709A"/>
    <w:rsid w:val="008B045A"/>
    <w:rsid w:val="008B070B"/>
    <w:rsid w:val="008B0E67"/>
    <w:rsid w:val="008B101A"/>
    <w:rsid w:val="008B15D6"/>
    <w:rsid w:val="008B197A"/>
    <w:rsid w:val="008B1AAA"/>
    <w:rsid w:val="008B1D0A"/>
    <w:rsid w:val="008B1E61"/>
    <w:rsid w:val="008B2B8D"/>
    <w:rsid w:val="008B2D6B"/>
    <w:rsid w:val="008B2E51"/>
    <w:rsid w:val="008B318C"/>
    <w:rsid w:val="008B355C"/>
    <w:rsid w:val="008B367A"/>
    <w:rsid w:val="008B3978"/>
    <w:rsid w:val="008B3EA3"/>
    <w:rsid w:val="008B4327"/>
    <w:rsid w:val="008B4685"/>
    <w:rsid w:val="008B4A8E"/>
    <w:rsid w:val="008B4AE9"/>
    <w:rsid w:val="008B4C30"/>
    <w:rsid w:val="008B51CF"/>
    <w:rsid w:val="008B5337"/>
    <w:rsid w:val="008B5C15"/>
    <w:rsid w:val="008B625F"/>
    <w:rsid w:val="008B636A"/>
    <w:rsid w:val="008B667B"/>
    <w:rsid w:val="008B682F"/>
    <w:rsid w:val="008B6C6A"/>
    <w:rsid w:val="008B70D3"/>
    <w:rsid w:val="008B78CE"/>
    <w:rsid w:val="008B78F8"/>
    <w:rsid w:val="008B7C86"/>
    <w:rsid w:val="008C0308"/>
    <w:rsid w:val="008C03EB"/>
    <w:rsid w:val="008C0ECC"/>
    <w:rsid w:val="008C193F"/>
    <w:rsid w:val="008C1E39"/>
    <w:rsid w:val="008C2110"/>
    <w:rsid w:val="008C2168"/>
    <w:rsid w:val="008C22E9"/>
    <w:rsid w:val="008C2389"/>
    <w:rsid w:val="008C2697"/>
    <w:rsid w:val="008C2C1C"/>
    <w:rsid w:val="008C2E09"/>
    <w:rsid w:val="008C3088"/>
    <w:rsid w:val="008C335E"/>
    <w:rsid w:val="008C3552"/>
    <w:rsid w:val="008C3B0E"/>
    <w:rsid w:val="008C40D3"/>
    <w:rsid w:val="008C4131"/>
    <w:rsid w:val="008C4491"/>
    <w:rsid w:val="008C459D"/>
    <w:rsid w:val="008C4884"/>
    <w:rsid w:val="008C491E"/>
    <w:rsid w:val="008C4D4F"/>
    <w:rsid w:val="008C5006"/>
    <w:rsid w:val="008C59B6"/>
    <w:rsid w:val="008C5D15"/>
    <w:rsid w:val="008C6079"/>
    <w:rsid w:val="008C61BE"/>
    <w:rsid w:val="008C683B"/>
    <w:rsid w:val="008C6AD4"/>
    <w:rsid w:val="008C71AB"/>
    <w:rsid w:val="008C75EE"/>
    <w:rsid w:val="008C7A0D"/>
    <w:rsid w:val="008C7A35"/>
    <w:rsid w:val="008C7AD9"/>
    <w:rsid w:val="008D04B6"/>
    <w:rsid w:val="008D0967"/>
    <w:rsid w:val="008D0D2D"/>
    <w:rsid w:val="008D0EFD"/>
    <w:rsid w:val="008D1009"/>
    <w:rsid w:val="008D14CC"/>
    <w:rsid w:val="008D17C4"/>
    <w:rsid w:val="008D1D2D"/>
    <w:rsid w:val="008D26F4"/>
    <w:rsid w:val="008D31DB"/>
    <w:rsid w:val="008D3588"/>
    <w:rsid w:val="008D3E85"/>
    <w:rsid w:val="008D4127"/>
    <w:rsid w:val="008D4145"/>
    <w:rsid w:val="008D427C"/>
    <w:rsid w:val="008D434A"/>
    <w:rsid w:val="008D48BB"/>
    <w:rsid w:val="008D4AB2"/>
    <w:rsid w:val="008D4C02"/>
    <w:rsid w:val="008D527F"/>
    <w:rsid w:val="008D528D"/>
    <w:rsid w:val="008D562C"/>
    <w:rsid w:val="008D5931"/>
    <w:rsid w:val="008D5E6C"/>
    <w:rsid w:val="008D6054"/>
    <w:rsid w:val="008D6993"/>
    <w:rsid w:val="008D69B8"/>
    <w:rsid w:val="008D78E1"/>
    <w:rsid w:val="008D7930"/>
    <w:rsid w:val="008D7B5C"/>
    <w:rsid w:val="008E020F"/>
    <w:rsid w:val="008E0280"/>
    <w:rsid w:val="008E08EA"/>
    <w:rsid w:val="008E08FD"/>
    <w:rsid w:val="008E0B77"/>
    <w:rsid w:val="008E0DEA"/>
    <w:rsid w:val="008E14CA"/>
    <w:rsid w:val="008E202C"/>
    <w:rsid w:val="008E20F1"/>
    <w:rsid w:val="008E2711"/>
    <w:rsid w:val="008E2754"/>
    <w:rsid w:val="008E27A3"/>
    <w:rsid w:val="008E2BF9"/>
    <w:rsid w:val="008E2DA1"/>
    <w:rsid w:val="008E2DBF"/>
    <w:rsid w:val="008E2F71"/>
    <w:rsid w:val="008E34A6"/>
    <w:rsid w:val="008E355F"/>
    <w:rsid w:val="008E3809"/>
    <w:rsid w:val="008E38DC"/>
    <w:rsid w:val="008E3B90"/>
    <w:rsid w:val="008E3C24"/>
    <w:rsid w:val="008E3EFD"/>
    <w:rsid w:val="008E486C"/>
    <w:rsid w:val="008E4BE2"/>
    <w:rsid w:val="008E4F1C"/>
    <w:rsid w:val="008E505E"/>
    <w:rsid w:val="008E5431"/>
    <w:rsid w:val="008E5C66"/>
    <w:rsid w:val="008E5DF2"/>
    <w:rsid w:val="008E601F"/>
    <w:rsid w:val="008E64EF"/>
    <w:rsid w:val="008E6869"/>
    <w:rsid w:val="008E68E6"/>
    <w:rsid w:val="008E6B37"/>
    <w:rsid w:val="008E77E0"/>
    <w:rsid w:val="008F0D92"/>
    <w:rsid w:val="008F11C2"/>
    <w:rsid w:val="008F1DB4"/>
    <w:rsid w:val="008F1EEE"/>
    <w:rsid w:val="008F2205"/>
    <w:rsid w:val="008F2338"/>
    <w:rsid w:val="008F2C43"/>
    <w:rsid w:val="008F2E65"/>
    <w:rsid w:val="008F331F"/>
    <w:rsid w:val="008F3656"/>
    <w:rsid w:val="008F4171"/>
    <w:rsid w:val="008F452B"/>
    <w:rsid w:val="008F4C5B"/>
    <w:rsid w:val="008F4E66"/>
    <w:rsid w:val="008F52CC"/>
    <w:rsid w:val="008F5570"/>
    <w:rsid w:val="008F58DB"/>
    <w:rsid w:val="008F59B1"/>
    <w:rsid w:val="008F5ED1"/>
    <w:rsid w:val="008F6085"/>
    <w:rsid w:val="008F6759"/>
    <w:rsid w:val="008F6C05"/>
    <w:rsid w:val="008F755B"/>
    <w:rsid w:val="008F7EAB"/>
    <w:rsid w:val="0090024A"/>
    <w:rsid w:val="0090033F"/>
    <w:rsid w:val="00900D8F"/>
    <w:rsid w:val="00900DA5"/>
    <w:rsid w:val="00900E25"/>
    <w:rsid w:val="00900E5C"/>
    <w:rsid w:val="00900F5F"/>
    <w:rsid w:val="00900F7C"/>
    <w:rsid w:val="0090102E"/>
    <w:rsid w:val="00901133"/>
    <w:rsid w:val="0090150F"/>
    <w:rsid w:val="00901560"/>
    <w:rsid w:val="00901589"/>
    <w:rsid w:val="009015D9"/>
    <w:rsid w:val="0090195C"/>
    <w:rsid w:val="00901D31"/>
    <w:rsid w:val="00901E62"/>
    <w:rsid w:val="009020B0"/>
    <w:rsid w:val="009024F8"/>
    <w:rsid w:val="00902996"/>
    <w:rsid w:val="009038FB"/>
    <w:rsid w:val="00903C29"/>
    <w:rsid w:val="00903DB8"/>
    <w:rsid w:val="009042FF"/>
    <w:rsid w:val="009050A8"/>
    <w:rsid w:val="00905539"/>
    <w:rsid w:val="00905610"/>
    <w:rsid w:val="00905C0C"/>
    <w:rsid w:val="00905F31"/>
    <w:rsid w:val="00906052"/>
    <w:rsid w:val="00906140"/>
    <w:rsid w:val="009061E6"/>
    <w:rsid w:val="009062CC"/>
    <w:rsid w:val="00906836"/>
    <w:rsid w:val="009069A5"/>
    <w:rsid w:val="00906CB3"/>
    <w:rsid w:val="00907025"/>
    <w:rsid w:val="009077D7"/>
    <w:rsid w:val="00907A64"/>
    <w:rsid w:val="00907D4B"/>
    <w:rsid w:val="009101A3"/>
    <w:rsid w:val="00910226"/>
    <w:rsid w:val="00910B4A"/>
    <w:rsid w:val="00910FEA"/>
    <w:rsid w:val="0091121C"/>
    <w:rsid w:val="00911E66"/>
    <w:rsid w:val="0091208C"/>
    <w:rsid w:val="0091271A"/>
    <w:rsid w:val="0091316D"/>
    <w:rsid w:val="009132B5"/>
    <w:rsid w:val="00913323"/>
    <w:rsid w:val="00913329"/>
    <w:rsid w:val="009135FA"/>
    <w:rsid w:val="00913E01"/>
    <w:rsid w:val="009144B5"/>
    <w:rsid w:val="00914A4C"/>
    <w:rsid w:val="009150A3"/>
    <w:rsid w:val="009159F2"/>
    <w:rsid w:val="00915CF2"/>
    <w:rsid w:val="0091625E"/>
    <w:rsid w:val="00916D4F"/>
    <w:rsid w:val="00917158"/>
    <w:rsid w:val="00917C8D"/>
    <w:rsid w:val="00920295"/>
    <w:rsid w:val="00920415"/>
    <w:rsid w:val="00920495"/>
    <w:rsid w:val="00920F4A"/>
    <w:rsid w:val="009212EC"/>
    <w:rsid w:val="00921711"/>
    <w:rsid w:val="009217D3"/>
    <w:rsid w:val="00921BAD"/>
    <w:rsid w:val="009223AF"/>
    <w:rsid w:val="00922792"/>
    <w:rsid w:val="009227EB"/>
    <w:rsid w:val="0092287F"/>
    <w:rsid w:val="00922F55"/>
    <w:rsid w:val="009235BF"/>
    <w:rsid w:val="00923742"/>
    <w:rsid w:val="0092393F"/>
    <w:rsid w:val="00923BBA"/>
    <w:rsid w:val="00923EDB"/>
    <w:rsid w:val="00924390"/>
    <w:rsid w:val="009246E3"/>
    <w:rsid w:val="009246E8"/>
    <w:rsid w:val="00924AC0"/>
    <w:rsid w:val="00924E03"/>
    <w:rsid w:val="0092522F"/>
    <w:rsid w:val="0092564A"/>
    <w:rsid w:val="009259FF"/>
    <w:rsid w:val="00925A27"/>
    <w:rsid w:val="00926337"/>
    <w:rsid w:val="009267F0"/>
    <w:rsid w:val="009268E8"/>
    <w:rsid w:val="00926947"/>
    <w:rsid w:val="00927969"/>
    <w:rsid w:val="00930217"/>
    <w:rsid w:val="0093042D"/>
    <w:rsid w:val="00930C30"/>
    <w:rsid w:val="009310FB"/>
    <w:rsid w:val="009317FA"/>
    <w:rsid w:val="009323B0"/>
    <w:rsid w:val="00932609"/>
    <w:rsid w:val="00932978"/>
    <w:rsid w:val="00932B79"/>
    <w:rsid w:val="00933103"/>
    <w:rsid w:val="00933409"/>
    <w:rsid w:val="00933A9C"/>
    <w:rsid w:val="0093459E"/>
    <w:rsid w:val="0093475F"/>
    <w:rsid w:val="009347F6"/>
    <w:rsid w:val="0093487C"/>
    <w:rsid w:val="009348A0"/>
    <w:rsid w:val="009349E3"/>
    <w:rsid w:val="00934AC5"/>
    <w:rsid w:val="009357AB"/>
    <w:rsid w:val="0093581E"/>
    <w:rsid w:val="00935C2C"/>
    <w:rsid w:val="00935C33"/>
    <w:rsid w:val="00935FB9"/>
    <w:rsid w:val="00936E62"/>
    <w:rsid w:val="009372B7"/>
    <w:rsid w:val="0093732E"/>
    <w:rsid w:val="009376B8"/>
    <w:rsid w:val="00937C58"/>
    <w:rsid w:val="00937DA3"/>
    <w:rsid w:val="00937EE6"/>
    <w:rsid w:val="009401E0"/>
    <w:rsid w:val="00940207"/>
    <w:rsid w:val="00940350"/>
    <w:rsid w:val="00940461"/>
    <w:rsid w:val="009404BF"/>
    <w:rsid w:val="00940C90"/>
    <w:rsid w:val="00940F55"/>
    <w:rsid w:val="00941593"/>
    <w:rsid w:val="009419F8"/>
    <w:rsid w:val="00941C5D"/>
    <w:rsid w:val="00941EBE"/>
    <w:rsid w:val="00942202"/>
    <w:rsid w:val="0094221E"/>
    <w:rsid w:val="00942AE4"/>
    <w:rsid w:val="009430BE"/>
    <w:rsid w:val="0094362B"/>
    <w:rsid w:val="00943BE6"/>
    <w:rsid w:val="00944353"/>
    <w:rsid w:val="00944BAD"/>
    <w:rsid w:val="00944D2D"/>
    <w:rsid w:val="00945BD6"/>
    <w:rsid w:val="00945DD7"/>
    <w:rsid w:val="009467EC"/>
    <w:rsid w:val="00946D32"/>
    <w:rsid w:val="00950012"/>
    <w:rsid w:val="0095025C"/>
    <w:rsid w:val="009502BD"/>
    <w:rsid w:val="009502D2"/>
    <w:rsid w:val="00950538"/>
    <w:rsid w:val="00950844"/>
    <w:rsid w:val="00950AB6"/>
    <w:rsid w:val="00951145"/>
    <w:rsid w:val="00951851"/>
    <w:rsid w:val="00951C70"/>
    <w:rsid w:val="00951DB8"/>
    <w:rsid w:val="009525CE"/>
    <w:rsid w:val="0095261B"/>
    <w:rsid w:val="0095288F"/>
    <w:rsid w:val="009529DF"/>
    <w:rsid w:val="009530A3"/>
    <w:rsid w:val="009531EA"/>
    <w:rsid w:val="00953595"/>
    <w:rsid w:val="00953649"/>
    <w:rsid w:val="00953676"/>
    <w:rsid w:val="00953915"/>
    <w:rsid w:val="0095416F"/>
    <w:rsid w:val="0095418E"/>
    <w:rsid w:val="009541E8"/>
    <w:rsid w:val="00954494"/>
    <w:rsid w:val="00955611"/>
    <w:rsid w:val="00955BB9"/>
    <w:rsid w:val="00955CE0"/>
    <w:rsid w:val="00956063"/>
    <w:rsid w:val="009563AE"/>
    <w:rsid w:val="00956429"/>
    <w:rsid w:val="00956B81"/>
    <w:rsid w:val="00956E51"/>
    <w:rsid w:val="0095724A"/>
    <w:rsid w:val="0095745F"/>
    <w:rsid w:val="00957E2C"/>
    <w:rsid w:val="00960104"/>
    <w:rsid w:val="0096038E"/>
    <w:rsid w:val="0096079D"/>
    <w:rsid w:val="00960ECE"/>
    <w:rsid w:val="00960F5C"/>
    <w:rsid w:val="00961026"/>
    <w:rsid w:val="0096139A"/>
    <w:rsid w:val="009616C3"/>
    <w:rsid w:val="00961C24"/>
    <w:rsid w:val="00962478"/>
    <w:rsid w:val="009625D7"/>
    <w:rsid w:val="00962866"/>
    <w:rsid w:val="009629FB"/>
    <w:rsid w:val="00963308"/>
    <w:rsid w:val="00963795"/>
    <w:rsid w:val="009647AE"/>
    <w:rsid w:val="00965052"/>
    <w:rsid w:val="00965E9E"/>
    <w:rsid w:val="00966348"/>
    <w:rsid w:val="00966379"/>
    <w:rsid w:val="00966B4D"/>
    <w:rsid w:val="00966CC4"/>
    <w:rsid w:val="009673F8"/>
    <w:rsid w:val="00967526"/>
    <w:rsid w:val="009679B5"/>
    <w:rsid w:val="00967FB3"/>
    <w:rsid w:val="00967FC0"/>
    <w:rsid w:val="00967FE9"/>
    <w:rsid w:val="009708FB"/>
    <w:rsid w:val="009709A0"/>
    <w:rsid w:val="00970B3D"/>
    <w:rsid w:val="00970ECF"/>
    <w:rsid w:val="0097111F"/>
    <w:rsid w:val="00971668"/>
    <w:rsid w:val="0097177B"/>
    <w:rsid w:val="00971AE2"/>
    <w:rsid w:val="00971BCB"/>
    <w:rsid w:val="00971D79"/>
    <w:rsid w:val="009726F8"/>
    <w:rsid w:val="009729E0"/>
    <w:rsid w:val="00972B7B"/>
    <w:rsid w:val="0097356E"/>
    <w:rsid w:val="00973698"/>
    <w:rsid w:val="009738EF"/>
    <w:rsid w:val="0097390E"/>
    <w:rsid w:val="009739BF"/>
    <w:rsid w:val="00973F0D"/>
    <w:rsid w:val="00974850"/>
    <w:rsid w:val="00975C0B"/>
    <w:rsid w:val="00976580"/>
    <w:rsid w:val="00976C1D"/>
    <w:rsid w:val="00976E59"/>
    <w:rsid w:val="00977084"/>
    <w:rsid w:val="009771D3"/>
    <w:rsid w:val="00977477"/>
    <w:rsid w:val="00980064"/>
    <w:rsid w:val="00980078"/>
    <w:rsid w:val="00980132"/>
    <w:rsid w:val="009803A8"/>
    <w:rsid w:val="00981A80"/>
    <w:rsid w:val="00981D36"/>
    <w:rsid w:val="0098205C"/>
    <w:rsid w:val="0098264B"/>
    <w:rsid w:val="00982737"/>
    <w:rsid w:val="00982809"/>
    <w:rsid w:val="009836AC"/>
    <w:rsid w:val="009838C7"/>
    <w:rsid w:val="00983CC3"/>
    <w:rsid w:val="00984C03"/>
    <w:rsid w:val="0098520C"/>
    <w:rsid w:val="00985271"/>
    <w:rsid w:val="009854FE"/>
    <w:rsid w:val="00986039"/>
    <w:rsid w:val="009863DB"/>
    <w:rsid w:val="0098687E"/>
    <w:rsid w:val="00986A6E"/>
    <w:rsid w:val="00986B40"/>
    <w:rsid w:val="00986C94"/>
    <w:rsid w:val="00987717"/>
    <w:rsid w:val="00987956"/>
    <w:rsid w:val="00987A3C"/>
    <w:rsid w:val="00987C48"/>
    <w:rsid w:val="00987EF2"/>
    <w:rsid w:val="00987F6A"/>
    <w:rsid w:val="009900E1"/>
    <w:rsid w:val="009902D9"/>
    <w:rsid w:val="0099069F"/>
    <w:rsid w:val="0099074C"/>
    <w:rsid w:val="00990863"/>
    <w:rsid w:val="00990972"/>
    <w:rsid w:val="00990D0D"/>
    <w:rsid w:val="009919B3"/>
    <w:rsid w:val="009919FB"/>
    <w:rsid w:val="00991ED1"/>
    <w:rsid w:val="00992169"/>
    <w:rsid w:val="009921F9"/>
    <w:rsid w:val="009928ED"/>
    <w:rsid w:val="00992BAB"/>
    <w:rsid w:val="00993971"/>
    <w:rsid w:val="00993D19"/>
    <w:rsid w:val="00993E4E"/>
    <w:rsid w:val="009941E9"/>
    <w:rsid w:val="0099445B"/>
    <w:rsid w:val="00995103"/>
    <w:rsid w:val="00995569"/>
    <w:rsid w:val="00995BD9"/>
    <w:rsid w:val="00995E90"/>
    <w:rsid w:val="00996260"/>
    <w:rsid w:val="00996706"/>
    <w:rsid w:val="0099673C"/>
    <w:rsid w:val="009969A4"/>
    <w:rsid w:val="00996D8C"/>
    <w:rsid w:val="009976E8"/>
    <w:rsid w:val="009977A9"/>
    <w:rsid w:val="00997E66"/>
    <w:rsid w:val="009A00A5"/>
    <w:rsid w:val="009A0159"/>
    <w:rsid w:val="009A033A"/>
    <w:rsid w:val="009A0523"/>
    <w:rsid w:val="009A0C08"/>
    <w:rsid w:val="009A0ED3"/>
    <w:rsid w:val="009A14D3"/>
    <w:rsid w:val="009A1CB3"/>
    <w:rsid w:val="009A2027"/>
    <w:rsid w:val="009A24F7"/>
    <w:rsid w:val="009A2D4F"/>
    <w:rsid w:val="009A3429"/>
    <w:rsid w:val="009A3960"/>
    <w:rsid w:val="009A3B32"/>
    <w:rsid w:val="009A3CAE"/>
    <w:rsid w:val="009A4110"/>
    <w:rsid w:val="009A4DC9"/>
    <w:rsid w:val="009A4DDD"/>
    <w:rsid w:val="009A51F0"/>
    <w:rsid w:val="009A5622"/>
    <w:rsid w:val="009A6445"/>
    <w:rsid w:val="009A6A5D"/>
    <w:rsid w:val="009A7031"/>
    <w:rsid w:val="009A742A"/>
    <w:rsid w:val="009A7740"/>
    <w:rsid w:val="009A7765"/>
    <w:rsid w:val="009A7A07"/>
    <w:rsid w:val="009A7A80"/>
    <w:rsid w:val="009A7C95"/>
    <w:rsid w:val="009A7D84"/>
    <w:rsid w:val="009B02E1"/>
    <w:rsid w:val="009B05A4"/>
    <w:rsid w:val="009B0D95"/>
    <w:rsid w:val="009B10B2"/>
    <w:rsid w:val="009B126B"/>
    <w:rsid w:val="009B12BD"/>
    <w:rsid w:val="009B15CF"/>
    <w:rsid w:val="009B17FC"/>
    <w:rsid w:val="009B1995"/>
    <w:rsid w:val="009B20CA"/>
    <w:rsid w:val="009B2517"/>
    <w:rsid w:val="009B2DD7"/>
    <w:rsid w:val="009B312F"/>
    <w:rsid w:val="009B3A7A"/>
    <w:rsid w:val="009B3AD2"/>
    <w:rsid w:val="009B4AA0"/>
    <w:rsid w:val="009B4EEC"/>
    <w:rsid w:val="009B58CC"/>
    <w:rsid w:val="009B5F10"/>
    <w:rsid w:val="009B63F7"/>
    <w:rsid w:val="009B6402"/>
    <w:rsid w:val="009B6933"/>
    <w:rsid w:val="009B6A0E"/>
    <w:rsid w:val="009B6F1B"/>
    <w:rsid w:val="009B7332"/>
    <w:rsid w:val="009B746D"/>
    <w:rsid w:val="009B747C"/>
    <w:rsid w:val="009B7615"/>
    <w:rsid w:val="009B76A9"/>
    <w:rsid w:val="009B7B52"/>
    <w:rsid w:val="009B7C9B"/>
    <w:rsid w:val="009C0834"/>
    <w:rsid w:val="009C0A3C"/>
    <w:rsid w:val="009C0C9A"/>
    <w:rsid w:val="009C0D1A"/>
    <w:rsid w:val="009C0DD8"/>
    <w:rsid w:val="009C0E67"/>
    <w:rsid w:val="009C0EC3"/>
    <w:rsid w:val="009C0F0C"/>
    <w:rsid w:val="009C181D"/>
    <w:rsid w:val="009C1C7F"/>
    <w:rsid w:val="009C1ED3"/>
    <w:rsid w:val="009C1FA7"/>
    <w:rsid w:val="009C27C9"/>
    <w:rsid w:val="009C280B"/>
    <w:rsid w:val="009C2B0F"/>
    <w:rsid w:val="009C359C"/>
    <w:rsid w:val="009C3768"/>
    <w:rsid w:val="009C39A8"/>
    <w:rsid w:val="009C400A"/>
    <w:rsid w:val="009C434B"/>
    <w:rsid w:val="009C47B2"/>
    <w:rsid w:val="009C4A9A"/>
    <w:rsid w:val="009C4CC7"/>
    <w:rsid w:val="009C4DD2"/>
    <w:rsid w:val="009C4DF1"/>
    <w:rsid w:val="009C5047"/>
    <w:rsid w:val="009C55EE"/>
    <w:rsid w:val="009C5DD9"/>
    <w:rsid w:val="009C5FD4"/>
    <w:rsid w:val="009C6731"/>
    <w:rsid w:val="009C7099"/>
    <w:rsid w:val="009C7285"/>
    <w:rsid w:val="009C79B5"/>
    <w:rsid w:val="009D02FC"/>
    <w:rsid w:val="009D04F3"/>
    <w:rsid w:val="009D068F"/>
    <w:rsid w:val="009D0BF2"/>
    <w:rsid w:val="009D1253"/>
    <w:rsid w:val="009D1396"/>
    <w:rsid w:val="009D1671"/>
    <w:rsid w:val="009D2377"/>
    <w:rsid w:val="009D26BA"/>
    <w:rsid w:val="009D2861"/>
    <w:rsid w:val="009D2C1F"/>
    <w:rsid w:val="009D3262"/>
    <w:rsid w:val="009D350D"/>
    <w:rsid w:val="009D35D4"/>
    <w:rsid w:val="009D3B3E"/>
    <w:rsid w:val="009D3BFC"/>
    <w:rsid w:val="009D429D"/>
    <w:rsid w:val="009D4B08"/>
    <w:rsid w:val="009D5361"/>
    <w:rsid w:val="009D559F"/>
    <w:rsid w:val="009D5F71"/>
    <w:rsid w:val="009D723D"/>
    <w:rsid w:val="009D76AF"/>
    <w:rsid w:val="009D7747"/>
    <w:rsid w:val="009D7884"/>
    <w:rsid w:val="009D7BD6"/>
    <w:rsid w:val="009E0588"/>
    <w:rsid w:val="009E07CC"/>
    <w:rsid w:val="009E0831"/>
    <w:rsid w:val="009E0A45"/>
    <w:rsid w:val="009E0FAC"/>
    <w:rsid w:val="009E106B"/>
    <w:rsid w:val="009E1D58"/>
    <w:rsid w:val="009E1DB6"/>
    <w:rsid w:val="009E1E70"/>
    <w:rsid w:val="009E235F"/>
    <w:rsid w:val="009E2663"/>
    <w:rsid w:val="009E288D"/>
    <w:rsid w:val="009E2A10"/>
    <w:rsid w:val="009E2DD6"/>
    <w:rsid w:val="009E2E8E"/>
    <w:rsid w:val="009E31C5"/>
    <w:rsid w:val="009E37AF"/>
    <w:rsid w:val="009E3C58"/>
    <w:rsid w:val="009E4051"/>
    <w:rsid w:val="009E41D7"/>
    <w:rsid w:val="009E437E"/>
    <w:rsid w:val="009E440C"/>
    <w:rsid w:val="009E458D"/>
    <w:rsid w:val="009E4969"/>
    <w:rsid w:val="009E536B"/>
    <w:rsid w:val="009E5386"/>
    <w:rsid w:val="009E56A1"/>
    <w:rsid w:val="009E6331"/>
    <w:rsid w:val="009E644C"/>
    <w:rsid w:val="009E661E"/>
    <w:rsid w:val="009E6975"/>
    <w:rsid w:val="009E6CA6"/>
    <w:rsid w:val="009E6D9E"/>
    <w:rsid w:val="009E6E29"/>
    <w:rsid w:val="009E72DC"/>
    <w:rsid w:val="009E7A3A"/>
    <w:rsid w:val="009E7CF3"/>
    <w:rsid w:val="009E7F43"/>
    <w:rsid w:val="009F0055"/>
    <w:rsid w:val="009F09C2"/>
    <w:rsid w:val="009F0C44"/>
    <w:rsid w:val="009F11B5"/>
    <w:rsid w:val="009F2D9E"/>
    <w:rsid w:val="009F33FB"/>
    <w:rsid w:val="009F3457"/>
    <w:rsid w:val="009F35E3"/>
    <w:rsid w:val="009F37CC"/>
    <w:rsid w:val="009F3CA4"/>
    <w:rsid w:val="009F409F"/>
    <w:rsid w:val="009F4CC0"/>
    <w:rsid w:val="009F4E56"/>
    <w:rsid w:val="009F5186"/>
    <w:rsid w:val="009F556A"/>
    <w:rsid w:val="009F593B"/>
    <w:rsid w:val="009F5BDC"/>
    <w:rsid w:val="009F5FA6"/>
    <w:rsid w:val="009F60F6"/>
    <w:rsid w:val="009F62A5"/>
    <w:rsid w:val="009F63A7"/>
    <w:rsid w:val="009F63D7"/>
    <w:rsid w:val="009F7CA3"/>
    <w:rsid w:val="00A003DD"/>
    <w:rsid w:val="00A00DAC"/>
    <w:rsid w:val="00A00E64"/>
    <w:rsid w:val="00A016EC"/>
    <w:rsid w:val="00A017E0"/>
    <w:rsid w:val="00A01B4D"/>
    <w:rsid w:val="00A01B5B"/>
    <w:rsid w:val="00A01E2F"/>
    <w:rsid w:val="00A01E6E"/>
    <w:rsid w:val="00A024FE"/>
    <w:rsid w:val="00A0288F"/>
    <w:rsid w:val="00A03920"/>
    <w:rsid w:val="00A03E3E"/>
    <w:rsid w:val="00A054D0"/>
    <w:rsid w:val="00A059BA"/>
    <w:rsid w:val="00A063B3"/>
    <w:rsid w:val="00A063EA"/>
    <w:rsid w:val="00A06F9A"/>
    <w:rsid w:val="00A0708F"/>
    <w:rsid w:val="00A07EFE"/>
    <w:rsid w:val="00A107CB"/>
    <w:rsid w:val="00A10805"/>
    <w:rsid w:val="00A10FB6"/>
    <w:rsid w:val="00A112B2"/>
    <w:rsid w:val="00A113B0"/>
    <w:rsid w:val="00A114E5"/>
    <w:rsid w:val="00A115B4"/>
    <w:rsid w:val="00A11914"/>
    <w:rsid w:val="00A11E35"/>
    <w:rsid w:val="00A123DC"/>
    <w:rsid w:val="00A12975"/>
    <w:rsid w:val="00A12E26"/>
    <w:rsid w:val="00A1329C"/>
    <w:rsid w:val="00A1330C"/>
    <w:rsid w:val="00A135FB"/>
    <w:rsid w:val="00A137B7"/>
    <w:rsid w:val="00A13A51"/>
    <w:rsid w:val="00A13F13"/>
    <w:rsid w:val="00A14044"/>
    <w:rsid w:val="00A14346"/>
    <w:rsid w:val="00A14610"/>
    <w:rsid w:val="00A14808"/>
    <w:rsid w:val="00A14E4C"/>
    <w:rsid w:val="00A1540E"/>
    <w:rsid w:val="00A15BBD"/>
    <w:rsid w:val="00A163BF"/>
    <w:rsid w:val="00A16733"/>
    <w:rsid w:val="00A1680C"/>
    <w:rsid w:val="00A16984"/>
    <w:rsid w:val="00A16A9D"/>
    <w:rsid w:val="00A16DD5"/>
    <w:rsid w:val="00A16FE3"/>
    <w:rsid w:val="00A17661"/>
    <w:rsid w:val="00A176BF"/>
    <w:rsid w:val="00A17BCF"/>
    <w:rsid w:val="00A17CDB"/>
    <w:rsid w:val="00A17FF7"/>
    <w:rsid w:val="00A20289"/>
    <w:rsid w:val="00A203D5"/>
    <w:rsid w:val="00A20573"/>
    <w:rsid w:val="00A20B7C"/>
    <w:rsid w:val="00A20C84"/>
    <w:rsid w:val="00A21931"/>
    <w:rsid w:val="00A219BA"/>
    <w:rsid w:val="00A219FC"/>
    <w:rsid w:val="00A2210E"/>
    <w:rsid w:val="00A2228A"/>
    <w:rsid w:val="00A22A14"/>
    <w:rsid w:val="00A22A1B"/>
    <w:rsid w:val="00A22B6C"/>
    <w:rsid w:val="00A22EC6"/>
    <w:rsid w:val="00A22ED8"/>
    <w:rsid w:val="00A22FE8"/>
    <w:rsid w:val="00A2339A"/>
    <w:rsid w:val="00A23417"/>
    <w:rsid w:val="00A2365A"/>
    <w:rsid w:val="00A2392D"/>
    <w:rsid w:val="00A2441C"/>
    <w:rsid w:val="00A2497C"/>
    <w:rsid w:val="00A24AEA"/>
    <w:rsid w:val="00A24E25"/>
    <w:rsid w:val="00A2575C"/>
    <w:rsid w:val="00A260E0"/>
    <w:rsid w:val="00A26355"/>
    <w:rsid w:val="00A26421"/>
    <w:rsid w:val="00A26893"/>
    <w:rsid w:val="00A26BA5"/>
    <w:rsid w:val="00A271BC"/>
    <w:rsid w:val="00A271E4"/>
    <w:rsid w:val="00A27940"/>
    <w:rsid w:val="00A27ADF"/>
    <w:rsid w:val="00A27F52"/>
    <w:rsid w:val="00A30662"/>
    <w:rsid w:val="00A30C57"/>
    <w:rsid w:val="00A30D65"/>
    <w:rsid w:val="00A30F1B"/>
    <w:rsid w:val="00A310BC"/>
    <w:rsid w:val="00A31653"/>
    <w:rsid w:val="00A31B66"/>
    <w:rsid w:val="00A31E24"/>
    <w:rsid w:val="00A320F7"/>
    <w:rsid w:val="00A3248D"/>
    <w:rsid w:val="00A32A41"/>
    <w:rsid w:val="00A32A9E"/>
    <w:rsid w:val="00A32BDA"/>
    <w:rsid w:val="00A32C13"/>
    <w:rsid w:val="00A32DF9"/>
    <w:rsid w:val="00A32E3D"/>
    <w:rsid w:val="00A33363"/>
    <w:rsid w:val="00A33E63"/>
    <w:rsid w:val="00A340A3"/>
    <w:rsid w:val="00A34744"/>
    <w:rsid w:val="00A34763"/>
    <w:rsid w:val="00A34D1C"/>
    <w:rsid w:val="00A35190"/>
    <w:rsid w:val="00A35566"/>
    <w:rsid w:val="00A3599B"/>
    <w:rsid w:val="00A35D13"/>
    <w:rsid w:val="00A35E81"/>
    <w:rsid w:val="00A3691D"/>
    <w:rsid w:val="00A36AF8"/>
    <w:rsid w:val="00A36E40"/>
    <w:rsid w:val="00A3714D"/>
    <w:rsid w:val="00A371A5"/>
    <w:rsid w:val="00A372C3"/>
    <w:rsid w:val="00A37834"/>
    <w:rsid w:val="00A37C23"/>
    <w:rsid w:val="00A37DEC"/>
    <w:rsid w:val="00A37E2C"/>
    <w:rsid w:val="00A40089"/>
    <w:rsid w:val="00A40B3A"/>
    <w:rsid w:val="00A40FE7"/>
    <w:rsid w:val="00A4138C"/>
    <w:rsid w:val="00A41495"/>
    <w:rsid w:val="00A41C6C"/>
    <w:rsid w:val="00A41CB0"/>
    <w:rsid w:val="00A41F52"/>
    <w:rsid w:val="00A428CD"/>
    <w:rsid w:val="00A42C78"/>
    <w:rsid w:val="00A43486"/>
    <w:rsid w:val="00A43531"/>
    <w:rsid w:val="00A43D7B"/>
    <w:rsid w:val="00A43E0D"/>
    <w:rsid w:val="00A43E3C"/>
    <w:rsid w:val="00A45281"/>
    <w:rsid w:val="00A459BD"/>
    <w:rsid w:val="00A45E39"/>
    <w:rsid w:val="00A4623E"/>
    <w:rsid w:val="00A46A53"/>
    <w:rsid w:val="00A46DB8"/>
    <w:rsid w:val="00A47E30"/>
    <w:rsid w:val="00A50330"/>
    <w:rsid w:val="00A5052F"/>
    <w:rsid w:val="00A506D2"/>
    <w:rsid w:val="00A509F7"/>
    <w:rsid w:val="00A5168B"/>
    <w:rsid w:val="00A516FC"/>
    <w:rsid w:val="00A51783"/>
    <w:rsid w:val="00A51E21"/>
    <w:rsid w:val="00A5209D"/>
    <w:rsid w:val="00A52197"/>
    <w:rsid w:val="00A521C6"/>
    <w:rsid w:val="00A523AD"/>
    <w:rsid w:val="00A52A0C"/>
    <w:rsid w:val="00A52AE6"/>
    <w:rsid w:val="00A52CFC"/>
    <w:rsid w:val="00A535A3"/>
    <w:rsid w:val="00A5372C"/>
    <w:rsid w:val="00A53984"/>
    <w:rsid w:val="00A53ACC"/>
    <w:rsid w:val="00A541A1"/>
    <w:rsid w:val="00A54528"/>
    <w:rsid w:val="00A547BD"/>
    <w:rsid w:val="00A54DF6"/>
    <w:rsid w:val="00A5592F"/>
    <w:rsid w:val="00A55F9E"/>
    <w:rsid w:val="00A562DC"/>
    <w:rsid w:val="00A565DA"/>
    <w:rsid w:val="00A56695"/>
    <w:rsid w:val="00A5715B"/>
    <w:rsid w:val="00A57357"/>
    <w:rsid w:val="00A57A03"/>
    <w:rsid w:val="00A61102"/>
    <w:rsid w:val="00A6155B"/>
    <w:rsid w:val="00A620D2"/>
    <w:rsid w:val="00A624F6"/>
    <w:rsid w:val="00A62C5D"/>
    <w:rsid w:val="00A6315B"/>
    <w:rsid w:val="00A632C0"/>
    <w:rsid w:val="00A63486"/>
    <w:rsid w:val="00A635C2"/>
    <w:rsid w:val="00A64031"/>
    <w:rsid w:val="00A6408F"/>
    <w:rsid w:val="00A64768"/>
    <w:rsid w:val="00A6489B"/>
    <w:rsid w:val="00A649FB"/>
    <w:rsid w:val="00A64B33"/>
    <w:rsid w:val="00A64D1E"/>
    <w:rsid w:val="00A654E1"/>
    <w:rsid w:val="00A65609"/>
    <w:rsid w:val="00A65E22"/>
    <w:rsid w:val="00A65F1C"/>
    <w:rsid w:val="00A66095"/>
    <w:rsid w:val="00A6657D"/>
    <w:rsid w:val="00A6733B"/>
    <w:rsid w:val="00A6759A"/>
    <w:rsid w:val="00A67CF6"/>
    <w:rsid w:val="00A67EAC"/>
    <w:rsid w:val="00A67EDF"/>
    <w:rsid w:val="00A70696"/>
    <w:rsid w:val="00A712D4"/>
    <w:rsid w:val="00A7169C"/>
    <w:rsid w:val="00A71728"/>
    <w:rsid w:val="00A7198C"/>
    <w:rsid w:val="00A720B3"/>
    <w:rsid w:val="00A7255A"/>
    <w:rsid w:val="00A72C8A"/>
    <w:rsid w:val="00A72F7D"/>
    <w:rsid w:val="00A736A2"/>
    <w:rsid w:val="00A7372B"/>
    <w:rsid w:val="00A737B6"/>
    <w:rsid w:val="00A74263"/>
    <w:rsid w:val="00A747F2"/>
    <w:rsid w:val="00A74ADB"/>
    <w:rsid w:val="00A7504E"/>
    <w:rsid w:val="00A75224"/>
    <w:rsid w:val="00A75D0C"/>
    <w:rsid w:val="00A760B2"/>
    <w:rsid w:val="00A7633B"/>
    <w:rsid w:val="00A76AF1"/>
    <w:rsid w:val="00A76C18"/>
    <w:rsid w:val="00A770BF"/>
    <w:rsid w:val="00A7737D"/>
    <w:rsid w:val="00A77980"/>
    <w:rsid w:val="00A80148"/>
    <w:rsid w:val="00A810F2"/>
    <w:rsid w:val="00A81C44"/>
    <w:rsid w:val="00A826D0"/>
    <w:rsid w:val="00A828E1"/>
    <w:rsid w:val="00A82B00"/>
    <w:rsid w:val="00A82BEB"/>
    <w:rsid w:val="00A83281"/>
    <w:rsid w:val="00A837CC"/>
    <w:rsid w:val="00A83B50"/>
    <w:rsid w:val="00A83F7A"/>
    <w:rsid w:val="00A846BD"/>
    <w:rsid w:val="00A84B4C"/>
    <w:rsid w:val="00A84CD9"/>
    <w:rsid w:val="00A84F63"/>
    <w:rsid w:val="00A850FC"/>
    <w:rsid w:val="00A851E2"/>
    <w:rsid w:val="00A852A9"/>
    <w:rsid w:val="00A856CE"/>
    <w:rsid w:val="00A85815"/>
    <w:rsid w:val="00A85853"/>
    <w:rsid w:val="00A85B81"/>
    <w:rsid w:val="00A86141"/>
    <w:rsid w:val="00A86255"/>
    <w:rsid w:val="00A86468"/>
    <w:rsid w:val="00A8651D"/>
    <w:rsid w:val="00A866F9"/>
    <w:rsid w:val="00A86D08"/>
    <w:rsid w:val="00A86D79"/>
    <w:rsid w:val="00A8711D"/>
    <w:rsid w:val="00A8740B"/>
    <w:rsid w:val="00A87420"/>
    <w:rsid w:val="00A87D1A"/>
    <w:rsid w:val="00A90085"/>
    <w:rsid w:val="00A90594"/>
    <w:rsid w:val="00A90C02"/>
    <w:rsid w:val="00A90C3E"/>
    <w:rsid w:val="00A91228"/>
    <w:rsid w:val="00A9157D"/>
    <w:rsid w:val="00A91584"/>
    <w:rsid w:val="00A91942"/>
    <w:rsid w:val="00A91A7C"/>
    <w:rsid w:val="00A922B1"/>
    <w:rsid w:val="00A9294F"/>
    <w:rsid w:val="00A92C82"/>
    <w:rsid w:val="00A9321B"/>
    <w:rsid w:val="00A932BC"/>
    <w:rsid w:val="00A939FB"/>
    <w:rsid w:val="00A93B08"/>
    <w:rsid w:val="00A93C61"/>
    <w:rsid w:val="00A94012"/>
    <w:rsid w:val="00A941CF"/>
    <w:rsid w:val="00A94B35"/>
    <w:rsid w:val="00A94C3F"/>
    <w:rsid w:val="00A94F76"/>
    <w:rsid w:val="00A951DA"/>
    <w:rsid w:val="00A9537C"/>
    <w:rsid w:val="00A956E2"/>
    <w:rsid w:val="00A957A7"/>
    <w:rsid w:val="00A95C2E"/>
    <w:rsid w:val="00A95DB8"/>
    <w:rsid w:val="00A9654B"/>
    <w:rsid w:val="00A9659E"/>
    <w:rsid w:val="00A96889"/>
    <w:rsid w:val="00A96A70"/>
    <w:rsid w:val="00A96CBF"/>
    <w:rsid w:val="00A96EDC"/>
    <w:rsid w:val="00A972A3"/>
    <w:rsid w:val="00A97A77"/>
    <w:rsid w:val="00A97BBA"/>
    <w:rsid w:val="00AA0319"/>
    <w:rsid w:val="00AA04B4"/>
    <w:rsid w:val="00AA10BE"/>
    <w:rsid w:val="00AA10BF"/>
    <w:rsid w:val="00AA1A8D"/>
    <w:rsid w:val="00AA1B9C"/>
    <w:rsid w:val="00AA1C18"/>
    <w:rsid w:val="00AA1CEB"/>
    <w:rsid w:val="00AA1F1B"/>
    <w:rsid w:val="00AA2DD2"/>
    <w:rsid w:val="00AA2E9F"/>
    <w:rsid w:val="00AA32E7"/>
    <w:rsid w:val="00AA3339"/>
    <w:rsid w:val="00AA381B"/>
    <w:rsid w:val="00AA3F1A"/>
    <w:rsid w:val="00AA42FE"/>
    <w:rsid w:val="00AA4685"/>
    <w:rsid w:val="00AA49AB"/>
    <w:rsid w:val="00AA4AF4"/>
    <w:rsid w:val="00AA563D"/>
    <w:rsid w:val="00AA61EE"/>
    <w:rsid w:val="00AA64AF"/>
    <w:rsid w:val="00AA6878"/>
    <w:rsid w:val="00AA6889"/>
    <w:rsid w:val="00AA702C"/>
    <w:rsid w:val="00AA715D"/>
    <w:rsid w:val="00AA719F"/>
    <w:rsid w:val="00AA79A4"/>
    <w:rsid w:val="00AA7C33"/>
    <w:rsid w:val="00AA7EEE"/>
    <w:rsid w:val="00AB0284"/>
    <w:rsid w:val="00AB09D7"/>
    <w:rsid w:val="00AB0BB1"/>
    <w:rsid w:val="00AB0FBC"/>
    <w:rsid w:val="00AB1143"/>
    <w:rsid w:val="00AB1A84"/>
    <w:rsid w:val="00AB1E10"/>
    <w:rsid w:val="00AB1F40"/>
    <w:rsid w:val="00AB2338"/>
    <w:rsid w:val="00AB29F3"/>
    <w:rsid w:val="00AB3124"/>
    <w:rsid w:val="00AB4521"/>
    <w:rsid w:val="00AB4623"/>
    <w:rsid w:val="00AB464B"/>
    <w:rsid w:val="00AB46EE"/>
    <w:rsid w:val="00AB4859"/>
    <w:rsid w:val="00AB58CD"/>
    <w:rsid w:val="00AB5A3A"/>
    <w:rsid w:val="00AB5A69"/>
    <w:rsid w:val="00AB5A81"/>
    <w:rsid w:val="00AB5E60"/>
    <w:rsid w:val="00AB5F23"/>
    <w:rsid w:val="00AB5FB0"/>
    <w:rsid w:val="00AB650C"/>
    <w:rsid w:val="00AB6697"/>
    <w:rsid w:val="00AB6F96"/>
    <w:rsid w:val="00AB7078"/>
    <w:rsid w:val="00AB731A"/>
    <w:rsid w:val="00AB7962"/>
    <w:rsid w:val="00AC04D7"/>
    <w:rsid w:val="00AC091B"/>
    <w:rsid w:val="00AC0E6D"/>
    <w:rsid w:val="00AC1349"/>
    <w:rsid w:val="00AC1E0E"/>
    <w:rsid w:val="00AC214A"/>
    <w:rsid w:val="00AC2477"/>
    <w:rsid w:val="00AC25FD"/>
    <w:rsid w:val="00AC2BE3"/>
    <w:rsid w:val="00AC2DF9"/>
    <w:rsid w:val="00AC3175"/>
    <w:rsid w:val="00AC328E"/>
    <w:rsid w:val="00AC3554"/>
    <w:rsid w:val="00AC45A8"/>
    <w:rsid w:val="00AC5003"/>
    <w:rsid w:val="00AC5074"/>
    <w:rsid w:val="00AC52EF"/>
    <w:rsid w:val="00AC5A8D"/>
    <w:rsid w:val="00AC64D9"/>
    <w:rsid w:val="00AC686A"/>
    <w:rsid w:val="00AC695F"/>
    <w:rsid w:val="00AC69DD"/>
    <w:rsid w:val="00AC6E12"/>
    <w:rsid w:val="00AC740A"/>
    <w:rsid w:val="00AC742F"/>
    <w:rsid w:val="00AC7D0C"/>
    <w:rsid w:val="00AC7E52"/>
    <w:rsid w:val="00AD017A"/>
    <w:rsid w:val="00AD07C4"/>
    <w:rsid w:val="00AD09E5"/>
    <w:rsid w:val="00AD0E8B"/>
    <w:rsid w:val="00AD1FCD"/>
    <w:rsid w:val="00AD26A3"/>
    <w:rsid w:val="00AD2740"/>
    <w:rsid w:val="00AD28F8"/>
    <w:rsid w:val="00AD2BFE"/>
    <w:rsid w:val="00AD385A"/>
    <w:rsid w:val="00AD3A46"/>
    <w:rsid w:val="00AD475B"/>
    <w:rsid w:val="00AD5521"/>
    <w:rsid w:val="00AD5CE2"/>
    <w:rsid w:val="00AD66B5"/>
    <w:rsid w:val="00AD692B"/>
    <w:rsid w:val="00AD7364"/>
    <w:rsid w:val="00AD7CD4"/>
    <w:rsid w:val="00AD7EED"/>
    <w:rsid w:val="00AE0186"/>
    <w:rsid w:val="00AE07AA"/>
    <w:rsid w:val="00AE0C8D"/>
    <w:rsid w:val="00AE0F67"/>
    <w:rsid w:val="00AE13EF"/>
    <w:rsid w:val="00AE1A58"/>
    <w:rsid w:val="00AE231A"/>
    <w:rsid w:val="00AE23DC"/>
    <w:rsid w:val="00AE37F5"/>
    <w:rsid w:val="00AE40A0"/>
    <w:rsid w:val="00AE417B"/>
    <w:rsid w:val="00AE41C5"/>
    <w:rsid w:val="00AE44C1"/>
    <w:rsid w:val="00AE44D8"/>
    <w:rsid w:val="00AE48A1"/>
    <w:rsid w:val="00AE4AB1"/>
    <w:rsid w:val="00AE4AE4"/>
    <w:rsid w:val="00AE4B46"/>
    <w:rsid w:val="00AE4EB8"/>
    <w:rsid w:val="00AE509E"/>
    <w:rsid w:val="00AE58C5"/>
    <w:rsid w:val="00AE5D72"/>
    <w:rsid w:val="00AE5D92"/>
    <w:rsid w:val="00AE5E6C"/>
    <w:rsid w:val="00AE60E3"/>
    <w:rsid w:val="00AE6B88"/>
    <w:rsid w:val="00AE7AD6"/>
    <w:rsid w:val="00AE7BE5"/>
    <w:rsid w:val="00AE7BEB"/>
    <w:rsid w:val="00AF0415"/>
    <w:rsid w:val="00AF09F1"/>
    <w:rsid w:val="00AF0DAC"/>
    <w:rsid w:val="00AF127E"/>
    <w:rsid w:val="00AF1392"/>
    <w:rsid w:val="00AF1781"/>
    <w:rsid w:val="00AF1C46"/>
    <w:rsid w:val="00AF1FBD"/>
    <w:rsid w:val="00AF211A"/>
    <w:rsid w:val="00AF2764"/>
    <w:rsid w:val="00AF2C63"/>
    <w:rsid w:val="00AF31B6"/>
    <w:rsid w:val="00AF439C"/>
    <w:rsid w:val="00AF4602"/>
    <w:rsid w:val="00AF4E46"/>
    <w:rsid w:val="00AF4FCA"/>
    <w:rsid w:val="00AF5296"/>
    <w:rsid w:val="00AF5C0C"/>
    <w:rsid w:val="00AF5C22"/>
    <w:rsid w:val="00AF61BD"/>
    <w:rsid w:val="00AF64B5"/>
    <w:rsid w:val="00AF687C"/>
    <w:rsid w:val="00AF6D42"/>
    <w:rsid w:val="00AF6F54"/>
    <w:rsid w:val="00AF723F"/>
    <w:rsid w:val="00AF798A"/>
    <w:rsid w:val="00AF7E98"/>
    <w:rsid w:val="00B00491"/>
    <w:rsid w:val="00B00976"/>
    <w:rsid w:val="00B00E29"/>
    <w:rsid w:val="00B00FF9"/>
    <w:rsid w:val="00B02202"/>
    <w:rsid w:val="00B02B00"/>
    <w:rsid w:val="00B031FC"/>
    <w:rsid w:val="00B03532"/>
    <w:rsid w:val="00B03B6E"/>
    <w:rsid w:val="00B03F41"/>
    <w:rsid w:val="00B04060"/>
    <w:rsid w:val="00B049F0"/>
    <w:rsid w:val="00B04FA6"/>
    <w:rsid w:val="00B0508C"/>
    <w:rsid w:val="00B052F8"/>
    <w:rsid w:val="00B058A4"/>
    <w:rsid w:val="00B05B89"/>
    <w:rsid w:val="00B06639"/>
    <w:rsid w:val="00B06FBC"/>
    <w:rsid w:val="00B07495"/>
    <w:rsid w:val="00B0761A"/>
    <w:rsid w:val="00B07E81"/>
    <w:rsid w:val="00B10381"/>
    <w:rsid w:val="00B10A17"/>
    <w:rsid w:val="00B10AAE"/>
    <w:rsid w:val="00B10B1C"/>
    <w:rsid w:val="00B10CE6"/>
    <w:rsid w:val="00B10E17"/>
    <w:rsid w:val="00B11028"/>
    <w:rsid w:val="00B11858"/>
    <w:rsid w:val="00B11F53"/>
    <w:rsid w:val="00B120B9"/>
    <w:rsid w:val="00B122F8"/>
    <w:rsid w:val="00B12355"/>
    <w:rsid w:val="00B1243D"/>
    <w:rsid w:val="00B12606"/>
    <w:rsid w:val="00B12612"/>
    <w:rsid w:val="00B127C2"/>
    <w:rsid w:val="00B12D7C"/>
    <w:rsid w:val="00B1337C"/>
    <w:rsid w:val="00B13536"/>
    <w:rsid w:val="00B13B98"/>
    <w:rsid w:val="00B13B9D"/>
    <w:rsid w:val="00B14643"/>
    <w:rsid w:val="00B14BA8"/>
    <w:rsid w:val="00B14DF5"/>
    <w:rsid w:val="00B15AC8"/>
    <w:rsid w:val="00B15FEE"/>
    <w:rsid w:val="00B16079"/>
    <w:rsid w:val="00B16755"/>
    <w:rsid w:val="00B16966"/>
    <w:rsid w:val="00B16A16"/>
    <w:rsid w:val="00B16C9F"/>
    <w:rsid w:val="00B16F5E"/>
    <w:rsid w:val="00B17243"/>
    <w:rsid w:val="00B17328"/>
    <w:rsid w:val="00B1774A"/>
    <w:rsid w:val="00B17863"/>
    <w:rsid w:val="00B20092"/>
    <w:rsid w:val="00B20452"/>
    <w:rsid w:val="00B205FF"/>
    <w:rsid w:val="00B208B6"/>
    <w:rsid w:val="00B20904"/>
    <w:rsid w:val="00B20CBB"/>
    <w:rsid w:val="00B20E6F"/>
    <w:rsid w:val="00B2123C"/>
    <w:rsid w:val="00B21482"/>
    <w:rsid w:val="00B217FD"/>
    <w:rsid w:val="00B219BF"/>
    <w:rsid w:val="00B219D1"/>
    <w:rsid w:val="00B219EA"/>
    <w:rsid w:val="00B21D72"/>
    <w:rsid w:val="00B21E97"/>
    <w:rsid w:val="00B22235"/>
    <w:rsid w:val="00B223F6"/>
    <w:rsid w:val="00B22480"/>
    <w:rsid w:val="00B22B0C"/>
    <w:rsid w:val="00B22BF0"/>
    <w:rsid w:val="00B22CD2"/>
    <w:rsid w:val="00B2307D"/>
    <w:rsid w:val="00B23202"/>
    <w:rsid w:val="00B23209"/>
    <w:rsid w:val="00B23321"/>
    <w:rsid w:val="00B2361B"/>
    <w:rsid w:val="00B236EF"/>
    <w:rsid w:val="00B24075"/>
    <w:rsid w:val="00B24EF1"/>
    <w:rsid w:val="00B25015"/>
    <w:rsid w:val="00B2524D"/>
    <w:rsid w:val="00B252DB"/>
    <w:rsid w:val="00B26313"/>
    <w:rsid w:val="00B267DC"/>
    <w:rsid w:val="00B26E2D"/>
    <w:rsid w:val="00B270DA"/>
    <w:rsid w:val="00B300EE"/>
    <w:rsid w:val="00B30204"/>
    <w:rsid w:val="00B303A4"/>
    <w:rsid w:val="00B3047D"/>
    <w:rsid w:val="00B3053A"/>
    <w:rsid w:val="00B30617"/>
    <w:rsid w:val="00B30981"/>
    <w:rsid w:val="00B30F81"/>
    <w:rsid w:val="00B316A7"/>
    <w:rsid w:val="00B31E65"/>
    <w:rsid w:val="00B3254E"/>
    <w:rsid w:val="00B328BA"/>
    <w:rsid w:val="00B32920"/>
    <w:rsid w:val="00B32960"/>
    <w:rsid w:val="00B32AA9"/>
    <w:rsid w:val="00B33126"/>
    <w:rsid w:val="00B331E8"/>
    <w:rsid w:val="00B33629"/>
    <w:rsid w:val="00B33953"/>
    <w:rsid w:val="00B34049"/>
    <w:rsid w:val="00B340A9"/>
    <w:rsid w:val="00B3418B"/>
    <w:rsid w:val="00B3432E"/>
    <w:rsid w:val="00B3456C"/>
    <w:rsid w:val="00B349E4"/>
    <w:rsid w:val="00B353A9"/>
    <w:rsid w:val="00B357A4"/>
    <w:rsid w:val="00B35A06"/>
    <w:rsid w:val="00B35BEE"/>
    <w:rsid w:val="00B35F06"/>
    <w:rsid w:val="00B36830"/>
    <w:rsid w:val="00B369C9"/>
    <w:rsid w:val="00B36DDD"/>
    <w:rsid w:val="00B37539"/>
    <w:rsid w:val="00B37DE4"/>
    <w:rsid w:val="00B37EE6"/>
    <w:rsid w:val="00B37F73"/>
    <w:rsid w:val="00B40CE7"/>
    <w:rsid w:val="00B41A5D"/>
    <w:rsid w:val="00B41ADB"/>
    <w:rsid w:val="00B41D1B"/>
    <w:rsid w:val="00B41D63"/>
    <w:rsid w:val="00B425F9"/>
    <w:rsid w:val="00B42C15"/>
    <w:rsid w:val="00B42C50"/>
    <w:rsid w:val="00B43637"/>
    <w:rsid w:val="00B43790"/>
    <w:rsid w:val="00B440CB"/>
    <w:rsid w:val="00B447A7"/>
    <w:rsid w:val="00B44F17"/>
    <w:rsid w:val="00B45034"/>
    <w:rsid w:val="00B4521C"/>
    <w:rsid w:val="00B45287"/>
    <w:rsid w:val="00B455F5"/>
    <w:rsid w:val="00B45C0A"/>
    <w:rsid w:val="00B45D2E"/>
    <w:rsid w:val="00B4632F"/>
    <w:rsid w:val="00B463D6"/>
    <w:rsid w:val="00B465D4"/>
    <w:rsid w:val="00B467CB"/>
    <w:rsid w:val="00B46911"/>
    <w:rsid w:val="00B476BF"/>
    <w:rsid w:val="00B47E10"/>
    <w:rsid w:val="00B50324"/>
    <w:rsid w:val="00B50702"/>
    <w:rsid w:val="00B50802"/>
    <w:rsid w:val="00B50973"/>
    <w:rsid w:val="00B5115B"/>
    <w:rsid w:val="00B513AF"/>
    <w:rsid w:val="00B5142A"/>
    <w:rsid w:val="00B5144A"/>
    <w:rsid w:val="00B51762"/>
    <w:rsid w:val="00B52228"/>
    <w:rsid w:val="00B52FC0"/>
    <w:rsid w:val="00B5303B"/>
    <w:rsid w:val="00B533E0"/>
    <w:rsid w:val="00B538B5"/>
    <w:rsid w:val="00B53AE3"/>
    <w:rsid w:val="00B53C65"/>
    <w:rsid w:val="00B53E9D"/>
    <w:rsid w:val="00B54070"/>
    <w:rsid w:val="00B540A8"/>
    <w:rsid w:val="00B5436A"/>
    <w:rsid w:val="00B54454"/>
    <w:rsid w:val="00B5452A"/>
    <w:rsid w:val="00B54D27"/>
    <w:rsid w:val="00B54E59"/>
    <w:rsid w:val="00B54FEF"/>
    <w:rsid w:val="00B55463"/>
    <w:rsid w:val="00B557ED"/>
    <w:rsid w:val="00B558E2"/>
    <w:rsid w:val="00B55948"/>
    <w:rsid w:val="00B56123"/>
    <w:rsid w:val="00B566C5"/>
    <w:rsid w:val="00B56996"/>
    <w:rsid w:val="00B57014"/>
    <w:rsid w:val="00B570A7"/>
    <w:rsid w:val="00B575AB"/>
    <w:rsid w:val="00B600E8"/>
    <w:rsid w:val="00B601FD"/>
    <w:rsid w:val="00B6168E"/>
    <w:rsid w:val="00B618AB"/>
    <w:rsid w:val="00B61AD9"/>
    <w:rsid w:val="00B621E8"/>
    <w:rsid w:val="00B625EA"/>
    <w:rsid w:val="00B62663"/>
    <w:rsid w:val="00B62E14"/>
    <w:rsid w:val="00B6304D"/>
    <w:rsid w:val="00B63146"/>
    <w:rsid w:val="00B63385"/>
    <w:rsid w:val="00B6350B"/>
    <w:rsid w:val="00B63988"/>
    <w:rsid w:val="00B63ACC"/>
    <w:rsid w:val="00B63AF3"/>
    <w:rsid w:val="00B63FD4"/>
    <w:rsid w:val="00B644DD"/>
    <w:rsid w:val="00B64739"/>
    <w:rsid w:val="00B64801"/>
    <w:rsid w:val="00B64A52"/>
    <w:rsid w:val="00B64C53"/>
    <w:rsid w:val="00B650DA"/>
    <w:rsid w:val="00B658E9"/>
    <w:rsid w:val="00B65DEA"/>
    <w:rsid w:val="00B65F6F"/>
    <w:rsid w:val="00B66015"/>
    <w:rsid w:val="00B66112"/>
    <w:rsid w:val="00B6692F"/>
    <w:rsid w:val="00B66C7B"/>
    <w:rsid w:val="00B66E7D"/>
    <w:rsid w:val="00B67339"/>
    <w:rsid w:val="00B6744F"/>
    <w:rsid w:val="00B67992"/>
    <w:rsid w:val="00B67AE7"/>
    <w:rsid w:val="00B67BC6"/>
    <w:rsid w:val="00B67D6E"/>
    <w:rsid w:val="00B7132C"/>
    <w:rsid w:val="00B714B4"/>
    <w:rsid w:val="00B71DEB"/>
    <w:rsid w:val="00B72458"/>
    <w:rsid w:val="00B72687"/>
    <w:rsid w:val="00B728DC"/>
    <w:rsid w:val="00B72953"/>
    <w:rsid w:val="00B72A35"/>
    <w:rsid w:val="00B72D55"/>
    <w:rsid w:val="00B735F5"/>
    <w:rsid w:val="00B738F3"/>
    <w:rsid w:val="00B73BA1"/>
    <w:rsid w:val="00B73BC6"/>
    <w:rsid w:val="00B73D37"/>
    <w:rsid w:val="00B748CF"/>
    <w:rsid w:val="00B74DB1"/>
    <w:rsid w:val="00B74DC1"/>
    <w:rsid w:val="00B74F65"/>
    <w:rsid w:val="00B753F7"/>
    <w:rsid w:val="00B75B1E"/>
    <w:rsid w:val="00B75FE4"/>
    <w:rsid w:val="00B761B8"/>
    <w:rsid w:val="00B76A4A"/>
    <w:rsid w:val="00B77618"/>
    <w:rsid w:val="00B77A74"/>
    <w:rsid w:val="00B806C9"/>
    <w:rsid w:val="00B806CD"/>
    <w:rsid w:val="00B80949"/>
    <w:rsid w:val="00B80BCE"/>
    <w:rsid w:val="00B80C9D"/>
    <w:rsid w:val="00B81340"/>
    <w:rsid w:val="00B81F11"/>
    <w:rsid w:val="00B8281D"/>
    <w:rsid w:val="00B82BE6"/>
    <w:rsid w:val="00B82FEA"/>
    <w:rsid w:val="00B83165"/>
    <w:rsid w:val="00B833D1"/>
    <w:rsid w:val="00B83941"/>
    <w:rsid w:val="00B83A93"/>
    <w:rsid w:val="00B84657"/>
    <w:rsid w:val="00B84E3A"/>
    <w:rsid w:val="00B84FEB"/>
    <w:rsid w:val="00B853F2"/>
    <w:rsid w:val="00B857A7"/>
    <w:rsid w:val="00B85966"/>
    <w:rsid w:val="00B85F29"/>
    <w:rsid w:val="00B8616E"/>
    <w:rsid w:val="00B86437"/>
    <w:rsid w:val="00B86E4E"/>
    <w:rsid w:val="00B86F5A"/>
    <w:rsid w:val="00B8728E"/>
    <w:rsid w:val="00B8786A"/>
    <w:rsid w:val="00B900E8"/>
    <w:rsid w:val="00B90301"/>
    <w:rsid w:val="00B903B1"/>
    <w:rsid w:val="00B906F8"/>
    <w:rsid w:val="00B910BC"/>
    <w:rsid w:val="00B911AE"/>
    <w:rsid w:val="00B912DB"/>
    <w:rsid w:val="00B91BCC"/>
    <w:rsid w:val="00B91D87"/>
    <w:rsid w:val="00B9211C"/>
    <w:rsid w:val="00B93104"/>
    <w:rsid w:val="00B937F7"/>
    <w:rsid w:val="00B93F8D"/>
    <w:rsid w:val="00B94255"/>
    <w:rsid w:val="00B946FA"/>
    <w:rsid w:val="00B947FA"/>
    <w:rsid w:val="00B9489E"/>
    <w:rsid w:val="00B94AC2"/>
    <w:rsid w:val="00B94D08"/>
    <w:rsid w:val="00B9507B"/>
    <w:rsid w:val="00B96BAF"/>
    <w:rsid w:val="00B977CC"/>
    <w:rsid w:val="00B9793F"/>
    <w:rsid w:val="00B97B95"/>
    <w:rsid w:val="00B97D7E"/>
    <w:rsid w:val="00B97E6B"/>
    <w:rsid w:val="00BA054D"/>
    <w:rsid w:val="00BA0902"/>
    <w:rsid w:val="00BA0C1C"/>
    <w:rsid w:val="00BA0C23"/>
    <w:rsid w:val="00BA0FDC"/>
    <w:rsid w:val="00BA10BB"/>
    <w:rsid w:val="00BA10C4"/>
    <w:rsid w:val="00BA10E6"/>
    <w:rsid w:val="00BA18E8"/>
    <w:rsid w:val="00BA1DA0"/>
    <w:rsid w:val="00BA250C"/>
    <w:rsid w:val="00BA2A1F"/>
    <w:rsid w:val="00BA35B8"/>
    <w:rsid w:val="00BA38AD"/>
    <w:rsid w:val="00BA3F5D"/>
    <w:rsid w:val="00BA3F72"/>
    <w:rsid w:val="00BA4BBD"/>
    <w:rsid w:val="00BA5D03"/>
    <w:rsid w:val="00BA62B4"/>
    <w:rsid w:val="00BA6728"/>
    <w:rsid w:val="00BA6933"/>
    <w:rsid w:val="00BA6993"/>
    <w:rsid w:val="00BA6A0E"/>
    <w:rsid w:val="00BA6CD9"/>
    <w:rsid w:val="00BA6DFB"/>
    <w:rsid w:val="00BA6F73"/>
    <w:rsid w:val="00BB0D15"/>
    <w:rsid w:val="00BB0E08"/>
    <w:rsid w:val="00BB0FD9"/>
    <w:rsid w:val="00BB1490"/>
    <w:rsid w:val="00BB1524"/>
    <w:rsid w:val="00BB1A2A"/>
    <w:rsid w:val="00BB1AA5"/>
    <w:rsid w:val="00BB1BF6"/>
    <w:rsid w:val="00BB22A3"/>
    <w:rsid w:val="00BB2840"/>
    <w:rsid w:val="00BB29BE"/>
    <w:rsid w:val="00BB2EDC"/>
    <w:rsid w:val="00BB34AC"/>
    <w:rsid w:val="00BB3607"/>
    <w:rsid w:val="00BB365B"/>
    <w:rsid w:val="00BB3E7A"/>
    <w:rsid w:val="00BB4134"/>
    <w:rsid w:val="00BB4438"/>
    <w:rsid w:val="00BB4870"/>
    <w:rsid w:val="00BB4C2D"/>
    <w:rsid w:val="00BB58D4"/>
    <w:rsid w:val="00BB61D1"/>
    <w:rsid w:val="00BB6929"/>
    <w:rsid w:val="00BB6A0E"/>
    <w:rsid w:val="00BB7407"/>
    <w:rsid w:val="00BB75D9"/>
    <w:rsid w:val="00BB76FC"/>
    <w:rsid w:val="00BB7779"/>
    <w:rsid w:val="00BB7F15"/>
    <w:rsid w:val="00BC046D"/>
    <w:rsid w:val="00BC089A"/>
    <w:rsid w:val="00BC0B61"/>
    <w:rsid w:val="00BC125F"/>
    <w:rsid w:val="00BC147A"/>
    <w:rsid w:val="00BC1B01"/>
    <w:rsid w:val="00BC1EDA"/>
    <w:rsid w:val="00BC21C0"/>
    <w:rsid w:val="00BC255B"/>
    <w:rsid w:val="00BC2854"/>
    <w:rsid w:val="00BC2E44"/>
    <w:rsid w:val="00BC2ED7"/>
    <w:rsid w:val="00BC308B"/>
    <w:rsid w:val="00BC32B3"/>
    <w:rsid w:val="00BC3EF3"/>
    <w:rsid w:val="00BC4A1F"/>
    <w:rsid w:val="00BC4A9E"/>
    <w:rsid w:val="00BC51B7"/>
    <w:rsid w:val="00BC5814"/>
    <w:rsid w:val="00BC5A28"/>
    <w:rsid w:val="00BC69FD"/>
    <w:rsid w:val="00BC6DA5"/>
    <w:rsid w:val="00BC7DDD"/>
    <w:rsid w:val="00BD0241"/>
    <w:rsid w:val="00BD0734"/>
    <w:rsid w:val="00BD0BE4"/>
    <w:rsid w:val="00BD0D9B"/>
    <w:rsid w:val="00BD0E71"/>
    <w:rsid w:val="00BD125B"/>
    <w:rsid w:val="00BD1A29"/>
    <w:rsid w:val="00BD1FEF"/>
    <w:rsid w:val="00BD2A5B"/>
    <w:rsid w:val="00BD39F6"/>
    <w:rsid w:val="00BD3A26"/>
    <w:rsid w:val="00BD3B96"/>
    <w:rsid w:val="00BD3C8D"/>
    <w:rsid w:val="00BD3CA2"/>
    <w:rsid w:val="00BD4735"/>
    <w:rsid w:val="00BD54E0"/>
    <w:rsid w:val="00BD5623"/>
    <w:rsid w:val="00BD5C69"/>
    <w:rsid w:val="00BD68D0"/>
    <w:rsid w:val="00BD6E79"/>
    <w:rsid w:val="00BD7B67"/>
    <w:rsid w:val="00BE003A"/>
    <w:rsid w:val="00BE1088"/>
    <w:rsid w:val="00BE1494"/>
    <w:rsid w:val="00BE1841"/>
    <w:rsid w:val="00BE1C6C"/>
    <w:rsid w:val="00BE1D2C"/>
    <w:rsid w:val="00BE2303"/>
    <w:rsid w:val="00BE242F"/>
    <w:rsid w:val="00BE2633"/>
    <w:rsid w:val="00BE2B8B"/>
    <w:rsid w:val="00BE323E"/>
    <w:rsid w:val="00BE3D02"/>
    <w:rsid w:val="00BE4528"/>
    <w:rsid w:val="00BE4A73"/>
    <w:rsid w:val="00BE4E25"/>
    <w:rsid w:val="00BE4F0F"/>
    <w:rsid w:val="00BE4F52"/>
    <w:rsid w:val="00BE5525"/>
    <w:rsid w:val="00BE6FBD"/>
    <w:rsid w:val="00BE760A"/>
    <w:rsid w:val="00BE76F4"/>
    <w:rsid w:val="00BE7A42"/>
    <w:rsid w:val="00BE7AA9"/>
    <w:rsid w:val="00BE7F2D"/>
    <w:rsid w:val="00BF03D1"/>
    <w:rsid w:val="00BF0C70"/>
    <w:rsid w:val="00BF132B"/>
    <w:rsid w:val="00BF146B"/>
    <w:rsid w:val="00BF1936"/>
    <w:rsid w:val="00BF19A4"/>
    <w:rsid w:val="00BF1B01"/>
    <w:rsid w:val="00BF1C1A"/>
    <w:rsid w:val="00BF1DF2"/>
    <w:rsid w:val="00BF24BE"/>
    <w:rsid w:val="00BF2B17"/>
    <w:rsid w:val="00BF2EEA"/>
    <w:rsid w:val="00BF3064"/>
    <w:rsid w:val="00BF3652"/>
    <w:rsid w:val="00BF3D11"/>
    <w:rsid w:val="00BF3E8D"/>
    <w:rsid w:val="00BF3EB9"/>
    <w:rsid w:val="00BF3F85"/>
    <w:rsid w:val="00BF43A6"/>
    <w:rsid w:val="00BF4543"/>
    <w:rsid w:val="00BF45C3"/>
    <w:rsid w:val="00BF49B7"/>
    <w:rsid w:val="00BF5001"/>
    <w:rsid w:val="00BF54A8"/>
    <w:rsid w:val="00BF56C3"/>
    <w:rsid w:val="00BF5DEF"/>
    <w:rsid w:val="00BF62AA"/>
    <w:rsid w:val="00BF62CD"/>
    <w:rsid w:val="00BF68C9"/>
    <w:rsid w:val="00BF68F4"/>
    <w:rsid w:val="00BF6A90"/>
    <w:rsid w:val="00BF6B69"/>
    <w:rsid w:val="00BF6EF2"/>
    <w:rsid w:val="00BF79D7"/>
    <w:rsid w:val="00BF7AEA"/>
    <w:rsid w:val="00BF7C6E"/>
    <w:rsid w:val="00BF7EDE"/>
    <w:rsid w:val="00C000CB"/>
    <w:rsid w:val="00C005FC"/>
    <w:rsid w:val="00C00A7B"/>
    <w:rsid w:val="00C00CAD"/>
    <w:rsid w:val="00C010E7"/>
    <w:rsid w:val="00C0192D"/>
    <w:rsid w:val="00C01CC3"/>
    <w:rsid w:val="00C01FEC"/>
    <w:rsid w:val="00C0220D"/>
    <w:rsid w:val="00C0314B"/>
    <w:rsid w:val="00C031DC"/>
    <w:rsid w:val="00C031F8"/>
    <w:rsid w:val="00C0356D"/>
    <w:rsid w:val="00C0369D"/>
    <w:rsid w:val="00C036BA"/>
    <w:rsid w:val="00C03934"/>
    <w:rsid w:val="00C03C46"/>
    <w:rsid w:val="00C03EB7"/>
    <w:rsid w:val="00C04247"/>
    <w:rsid w:val="00C04359"/>
    <w:rsid w:val="00C04413"/>
    <w:rsid w:val="00C044A8"/>
    <w:rsid w:val="00C04886"/>
    <w:rsid w:val="00C04AD1"/>
    <w:rsid w:val="00C04DBB"/>
    <w:rsid w:val="00C04F8E"/>
    <w:rsid w:val="00C05029"/>
    <w:rsid w:val="00C0502C"/>
    <w:rsid w:val="00C058CC"/>
    <w:rsid w:val="00C06130"/>
    <w:rsid w:val="00C06156"/>
    <w:rsid w:val="00C062BF"/>
    <w:rsid w:val="00C06757"/>
    <w:rsid w:val="00C06793"/>
    <w:rsid w:val="00C0682C"/>
    <w:rsid w:val="00C069E8"/>
    <w:rsid w:val="00C06B88"/>
    <w:rsid w:val="00C07E29"/>
    <w:rsid w:val="00C07E4E"/>
    <w:rsid w:val="00C10361"/>
    <w:rsid w:val="00C10C89"/>
    <w:rsid w:val="00C10CE2"/>
    <w:rsid w:val="00C1104E"/>
    <w:rsid w:val="00C113BE"/>
    <w:rsid w:val="00C11D14"/>
    <w:rsid w:val="00C11D31"/>
    <w:rsid w:val="00C11F13"/>
    <w:rsid w:val="00C120F7"/>
    <w:rsid w:val="00C12A1A"/>
    <w:rsid w:val="00C12EC4"/>
    <w:rsid w:val="00C13AB2"/>
    <w:rsid w:val="00C14971"/>
    <w:rsid w:val="00C14B77"/>
    <w:rsid w:val="00C14CDF"/>
    <w:rsid w:val="00C158DC"/>
    <w:rsid w:val="00C1608C"/>
    <w:rsid w:val="00C16091"/>
    <w:rsid w:val="00C16271"/>
    <w:rsid w:val="00C16549"/>
    <w:rsid w:val="00C169CA"/>
    <w:rsid w:val="00C1729A"/>
    <w:rsid w:val="00C174B9"/>
    <w:rsid w:val="00C20A1F"/>
    <w:rsid w:val="00C21607"/>
    <w:rsid w:val="00C2187A"/>
    <w:rsid w:val="00C223B5"/>
    <w:rsid w:val="00C22F5B"/>
    <w:rsid w:val="00C22FD3"/>
    <w:rsid w:val="00C23337"/>
    <w:rsid w:val="00C23674"/>
    <w:rsid w:val="00C23C2C"/>
    <w:rsid w:val="00C24279"/>
    <w:rsid w:val="00C24DAE"/>
    <w:rsid w:val="00C24EB7"/>
    <w:rsid w:val="00C2559D"/>
    <w:rsid w:val="00C256E1"/>
    <w:rsid w:val="00C257EF"/>
    <w:rsid w:val="00C25A95"/>
    <w:rsid w:val="00C25C64"/>
    <w:rsid w:val="00C260F0"/>
    <w:rsid w:val="00C2693D"/>
    <w:rsid w:val="00C26D7B"/>
    <w:rsid w:val="00C26FA9"/>
    <w:rsid w:val="00C27337"/>
    <w:rsid w:val="00C2761E"/>
    <w:rsid w:val="00C27FA9"/>
    <w:rsid w:val="00C27FD2"/>
    <w:rsid w:val="00C3014A"/>
    <w:rsid w:val="00C30399"/>
    <w:rsid w:val="00C303EF"/>
    <w:rsid w:val="00C30520"/>
    <w:rsid w:val="00C30659"/>
    <w:rsid w:val="00C30F4A"/>
    <w:rsid w:val="00C310E4"/>
    <w:rsid w:val="00C31258"/>
    <w:rsid w:val="00C31587"/>
    <w:rsid w:val="00C31681"/>
    <w:rsid w:val="00C3179A"/>
    <w:rsid w:val="00C31BAF"/>
    <w:rsid w:val="00C32352"/>
    <w:rsid w:val="00C32953"/>
    <w:rsid w:val="00C32C8E"/>
    <w:rsid w:val="00C330CB"/>
    <w:rsid w:val="00C331D4"/>
    <w:rsid w:val="00C33528"/>
    <w:rsid w:val="00C335ED"/>
    <w:rsid w:val="00C344AE"/>
    <w:rsid w:val="00C3455C"/>
    <w:rsid w:val="00C34E38"/>
    <w:rsid w:val="00C35744"/>
    <w:rsid w:val="00C35BCF"/>
    <w:rsid w:val="00C35F83"/>
    <w:rsid w:val="00C35FD1"/>
    <w:rsid w:val="00C367FD"/>
    <w:rsid w:val="00C37200"/>
    <w:rsid w:val="00C3731F"/>
    <w:rsid w:val="00C37447"/>
    <w:rsid w:val="00C375D6"/>
    <w:rsid w:val="00C37AE3"/>
    <w:rsid w:val="00C37F63"/>
    <w:rsid w:val="00C401E7"/>
    <w:rsid w:val="00C40A32"/>
    <w:rsid w:val="00C40BB1"/>
    <w:rsid w:val="00C41188"/>
    <w:rsid w:val="00C418D5"/>
    <w:rsid w:val="00C423C3"/>
    <w:rsid w:val="00C432CD"/>
    <w:rsid w:val="00C439FC"/>
    <w:rsid w:val="00C43C27"/>
    <w:rsid w:val="00C440A7"/>
    <w:rsid w:val="00C44103"/>
    <w:rsid w:val="00C443E5"/>
    <w:rsid w:val="00C44BD9"/>
    <w:rsid w:val="00C44D35"/>
    <w:rsid w:val="00C44D65"/>
    <w:rsid w:val="00C45A99"/>
    <w:rsid w:val="00C45DDD"/>
    <w:rsid w:val="00C465B1"/>
    <w:rsid w:val="00C465FF"/>
    <w:rsid w:val="00C4706E"/>
    <w:rsid w:val="00C47199"/>
    <w:rsid w:val="00C47736"/>
    <w:rsid w:val="00C4788D"/>
    <w:rsid w:val="00C4799C"/>
    <w:rsid w:val="00C47C33"/>
    <w:rsid w:val="00C47F32"/>
    <w:rsid w:val="00C47F39"/>
    <w:rsid w:val="00C47F62"/>
    <w:rsid w:val="00C501F2"/>
    <w:rsid w:val="00C50224"/>
    <w:rsid w:val="00C5025E"/>
    <w:rsid w:val="00C502AC"/>
    <w:rsid w:val="00C50B05"/>
    <w:rsid w:val="00C50B6F"/>
    <w:rsid w:val="00C50BA9"/>
    <w:rsid w:val="00C50C3A"/>
    <w:rsid w:val="00C51BB9"/>
    <w:rsid w:val="00C51C8A"/>
    <w:rsid w:val="00C51D56"/>
    <w:rsid w:val="00C51FB6"/>
    <w:rsid w:val="00C520E7"/>
    <w:rsid w:val="00C523E9"/>
    <w:rsid w:val="00C52455"/>
    <w:rsid w:val="00C52997"/>
    <w:rsid w:val="00C53573"/>
    <w:rsid w:val="00C53CF3"/>
    <w:rsid w:val="00C54060"/>
    <w:rsid w:val="00C541C5"/>
    <w:rsid w:val="00C542D3"/>
    <w:rsid w:val="00C5436B"/>
    <w:rsid w:val="00C544B0"/>
    <w:rsid w:val="00C548EC"/>
    <w:rsid w:val="00C54CC3"/>
    <w:rsid w:val="00C54D03"/>
    <w:rsid w:val="00C54EE3"/>
    <w:rsid w:val="00C55B21"/>
    <w:rsid w:val="00C55C4C"/>
    <w:rsid w:val="00C55DA0"/>
    <w:rsid w:val="00C56398"/>
    <w:rsid w:val="00C56555"/>
    <w:rsid w:val="00C56738"/>
    <w:rsid w:val="00C56E06"/>
    <w:rsid w:val="00C56F53"/>
    <w:rsid w:val="00C577EE"/>
    <w:rsid w:val="00C60038"/>
    <w:rsid w:val="00C60298"/>
    <w:rsid w:val="00C6051F"/>
    <w:rsid w:val="00C605A8"/>
    <w:rsid w:val="00C60812"/>
    <w:rsid w:val="00C60CB5"/>
    <w:rsid w:val="00C60EDE"/>
    <w:rsid w:val="00C61A48"/>
    <w:rsid w:val="00C61E3B"/>
    <w:rsid w:val="00C6201B"/>
    <w:rsid w:val="00C62411"/>
    <w:rsid w:val="00C62781"/>
    <w:rsid w:val="00C62A14"/>
    <w:rsid w:val="00C62A7A"/>
    <w:rsid w:val="00C63067"/>
    <w:rsid w:val="00C639E3"/>
    <w:rsid w:val="00C63CA0"/>
    <w:rsid w:val="00C63E80"/>
    <w:rsid w:val="00C63EEF"/>
    <w:rsid w:val="00C6470C"/>
    <w:rsid w:val="00C64757"/>
    <w:rsid w:val="00C64822"/>
    <w:rsid w:val="00C64B37"/>
    <w:rsid w:val="00C64B9F"/>
    <w:rsid w:val="00C65366"/>
    <w:rsid w:val="00C657CE"/>
    <w:rsid w:val="00C65879"/>
    <w:rsid w:val="00C658A7"/>
    <w:rsid w:val="00C65939"/>
    <w:rsid w:val="00C65B10"/>
    <w:rsid w:val="00C65D23"/>
    <w:rsid w:val="00C65D8C"/>
    <w:rsid w:val="00C661A1"/>
    <w:rsid w:val="00C663C7"/>
    <w:rsid w:val="00C66654"/>
    <w:rsid w:val="00C6675F"/>
    <w:rsid w:val="00C667EF"/>
    <w:rsid w:val="00C6727C"/>
    <w:rsid w:val="00C672C7"/>
    <w:rsid w:val="00C67A40"/>
    <w:rsid w:val="00C67F41"/>
    <w:rsid w:val="00C707DA"/>
    <w:rsid w:val="00C70A67"/>
    <w:rsid w:val="00C7118B"/>
    <w:rsid w:val="00C719EE"/>
    <w:rsid w:val="00C71C2F"/>
    <w:rsid w:val="00C71EB5"/>
    <w:rsid w:val="00C71FD1"/>
    <w:rsid w:val="00C720DD"/>
    <w:rsid w:val="00C72109"/>
    <w:rsid w:val="00C72255"/>
    <w:rsid w:val="00C72391"/>
    <w:rsid w:val="00C72526"/>
    <w:rsid w:val="00C72887"/>
    <w:rsid w:val="00C72CA5"/>
    <w:rsid w:val="00C72CE4"/>
    <w:rsid w:val="00C72D7A"/>
    <w:rsid w:val="00C732D8"/>
    <w:rsid w:val="00C733D0"/>
    <w:rsid w:val="00C735B8"/>
    <w:rsid w:val="00C736FE"/>
    <w:rsid w:val="00C737E9"/>
    <w:rsid w:val="00C73AC7"/>
    <w:rsid w:val="00C74429"/>
    <w:rsid w:val="00C7481D"/>
    <w:rsid w:val="00C749D1"/>
    <w:rsid w:val="00C74DC6"/>
    <w:rsid w:val="00C755FD"/>
    <w:rsid w:val="00C759CE"/>
    <w:rsid w:val="00C75B3A"/>
    <w:rsid w:val="00C760B4"/>
    <w:rsid w:val="00C760EA"/>
    <w:rsid w:val="00C7689B"/>
    <w:rsid w:val="00C77F26"/>
    <w:rsid w:val="00C80485"/>
    <w:rsid w:val="00C805B0"/>
    <w:rsid w:val="00C80990"/>
    <w:rsid w:val="00C80C02"/>
    <w:rsid w:val="00C810D2"/>
    <w:rsid w:val="00C811E9"/>
    <w:rsid w:val="00C81729"/>
    <w:rsid w:val="00C8175B"/>
    <w:rsid w:val="00C819C3"/>
    <w:rsid w:val="00C820E8"/>
    <w:rsid w:val="00C8220C"/>
    <w:rsid w:val="00C82E2E"/>
    <w:rsid w:val="00C8379D"/>
    <w:rsid w:val="00C839CF"/>
    <w:rsid w:val="00C83EE4"/>
    <w:rsid w:val="00C83FEA"/>
    <w:rsid w:val="00C844AD"/>
    <w:rsid w:val="00C84B98"/>
    <w:rsid w:val="00C84ECA"/>
    <w:rsid w:val="00C8527D"/>
    <w:rsid w:val="00C85330"/>
    <w:rsid w:val="00C85F2A"/>
    <w:rsid w:val="00C8649D"/>
    <w:rsid w:val="00C868C3"/>
    <w:rsid w:val="00C86955"/>
    <w:rsid w:val="00C87553"/>
    <w:rsid w:val="00C87A42"/>
    <w:rsid w:val="00C87AB8"/>
    <w:rsid w:val="00C87D8A"/>
    <w:rsid w:val="00C87E9B"/>
    <w:rsid w:val="00C90402"/>
    <w:rsid w:val="00C904C3"/>
    <w:rsid w:val="00C90CFE"/>
    <w:rsid w:val="00C90D89"/>
    <w:rsid w:val="00C90E3F"/>
    <w:rsid w:val="00C9159A"/>
    <w:rsid w:val="00C917C4"/>
    <w:rsid w:val="00C91BA2"/>
    <w:rsid w:val="00C91D3D"/>
    <w:rsid w:val="00C92134"/>
    <w:rsid w:val="00C9258C"/>
    <w:rsid w:val="00C92E99"/>
    <w:rsid w:val="00C92F77"/>
    <w:rsid w:val="00C93A0A"/>
    <w:rsid w:val="00C93CED"/>
    <w:rsid w:val="00C9402D"/>
    <w:rsid w:val="00C940CB"/>
    <w:rsid w:val="00C941BB"/>
    <w:rsid w:val="00C94C93"/>
    <w:rsid w:val="00C9543C"/>
    <w:rsid w:val="00C954ED"/>
    <w:rsid w:val="00C9589D"/>
    <w:rsid w:val="00C95B35"/>
    <w:rsid w:val="00C95B7F"/>
    <w:rsid w:val="00C95BED"/>
    <w:rsid w:val="00C95F06"/>
    <w:rsid w:val="00C962A4"/>
    <w:rsid w:val="00C96442"/>
    <w:rsid w:val="00C969A9"/>
    <w:rsid w:val="00C96E02"/>
    <w:rsid w:val="00C97AA5"/>
    <w:rsid w:val="00C97AD6"/>
    <w:rsid w:val="00CA095B"/>
    <w:rsid w:val="00CA0C78"/>
    <w:rsid w:val="00CA17BD"/>
    <w:rsid w:val="00CA20D4"/>
    <w:rsid w:val="00CA23E5"/>
    <w:rsid w:val="00CA25B1"/>
    <w:rsid w:val="00CA26CD"/>
    <w:rsid w:val="00CA2948"/>
    <w:rsid w:val="00CA2C0B"/>
    <w:rsid w:val="00CA3355"/>
    <w:rsid w:val="00CA38F7"/>
    <w:rsid w:val="00CA3990"/>
    <w:rsid w:val="00CA4ACF"/>
    <w:rsid w:val="00CA568A"/>
    <w:rsid w:val="00CA579A"/>
    <w:rsid w:val="00CA5866"/>
    <w:rsid w:val="00CA5A23"/>
    <w:rsid w:val="00CA5F1F"/>
    <w:rsid w:val="00CA6008"/>
    <w:rsid w:val="00CA6516"/>
    <w:rsid w:val="00CA65FC"/>
    <w:rsid w:val="00CA66C6"/>
    <w:rsid w:val="00CA6BB1"/>
    <w:rsid w:val="00CA7048"/>
    <w:rsid w:val="00CA7211"/>
    <w:rsid w:val="00CA7280"/>
    <w:rsid w:val="00CA75F5"/>
    <w:rsid w:val="00CB0437"/>
    <w:rsid w:val="00CB072A"/>
    <w:rsid w:val="00CB0DBB"/>
    <w:rsid w:val="00CB0F20"/>
    <w:rsid w:val="00CB13B6"/>
    <w:rsid w:val="00CB18AB"/>
    <w:rsid w:val="00CB212F"/>
    <w:rsid w:val="00CB2773"/>
    <w:rsid w:val="00CB34C2"/>
    <w:rsid w:val="00CB38E9"/>
    <w:rsid w:val="00CB3A7E"/>
    <w:rsid w:val="00CB4327"/>
    <w:rsid w:val="00CB44F4"/>
    <w:rsid w:val="00CB47E0"/>
    <w:rsid w:val="00CB48F2"/>
    <w:rsid w:val="00CB49DF"/>
    <w:rsid w:val="00CB5153"/>
    <w:rsid w:val="00CB5712"/>
    <w:rsid w:val="00CB5909"/>
    <w:rsid w:val="00CB6515"/>
    <w:rsid w:val="00CB6683"/>
    <w:rsid w:val="00CB668D"/>
    <w:rsid w:val="00CB7057"/>
    <w:rsid w:val="00CB7419"/>
    <w:rsid w:val="00CB76D0"/>
    <w:rsid w:val="00CC05F9"/>
    <w:rsid w:val="00CC08CC"/>
    <w:rsid w:val="00CC09F4"/>
    <w:rsid w:val="00CC0A3F"/>
    <w:rsid w:val="00CC140D"/>
    <w:rsid w:val="00CC16D4"/>
    <w:rsid w:val="00CC1929"/>
    <w:rsid w:val="00CC1B95"/>
    <w:rsid w:val="00CC1BBB"/>
    <w:rsid w:val="00CC1F8C"/>
    <w:rsid w:val="00CC21C4"/>
    <w:rsid w:val="00CC23ED"/>
    <w:rsid w:val="00CC2712"/>
    <w:rsid w:val="00CC2BC3"/>
    <w:rsid w:val="00CC2C5C"/>
    <w:rsid w:val="00CC3BBD"/>
    <w:rsid w:val="00CC41AE"/>
    <w:rsid w:val="00CC4622"/>
    <w:rsid w:val="00CC48A1"/>
    <w:rsid w:val="00CC48B2"/>
    <w:rsid w:val="00CC4BA3"/>
    <w:rsid w:val="00CC4E5F"/>
    <w:rsid w:val="00CC51B4"/>
    <w:rsid w:val="00CC56B8"/>
    <w:rsid w:val="00CC57D3"/>
    <w:rsid w:val="00CC5968"/>
    <w:rsid w:val="00CC5BFE"/>
    <w:rsid w:val="00CC5EC5"/>
    <w:rsid w:val="00CC684E"/>
    <w:rsid w:val="00CC68D1"/>
    <w:rsid w:val="00CC6ED6"/>
    <w:rsid w:val="00CC70DC"/>
    <w:rsid w:val="00CC77EB"/>
    <w:rsid w:val="00CC79D5"/>
    <w:rsid w:val="00CC7AB5"/>
    <w:rsid w:val="00CC7B1E"/>
    <w:rsid w:val="00CC7E98"/>
    <w:rsid w:val="00CC7F52"/>
    <w:rsid w:val="00CD0838"/>
    <w:rsid w:val="00CD13CB"/>
    <w:rsid w:val="00CD1A1B"/>
    <w:rsid w:val="00CD1EFA"/>
    <w:rsid w:val="00CD1FD1"/>
    <w:rsid w:val="00CD2F42"/>
    <w:rsid w:val="00CD2F6F"/>
    <w:rsid w:val="00CD36CE"/>
    <w:rsid w:val="00CD3B7A"/>
    <w:rsid w:val="00CD3C4A"/>
    <w:rsid w:val="00CD3E72"/>
    <w:rsid w:val="00CD4235"/>
    <w:rsid w:val="00CD4430"/>
    <w:rsid w:val="00CD4532"/>
    <w:rsid w:val="00CD47C3"/>
    <w:rsid w:val="00CD4B9E"/>
    <w:rsid w:val="00CD4CD3"/>
    <w:rsid w:val="00CD4E5E"/>
    <w:rsid w:val="00CD4EC1"/>
    <w:rsid w:val="00CD4F52"/>
    <w:rsid w:val="00CD573A"/>
    <w:rsid w:val="00CD5D42"/>
    <w:rsid w:val="00CD5D5D"/>
    <w:rsid w:val="00CD6032"/>
    <w:rsid w:val="00CD64B0"/>
    <w:rsid w:val="00CD6518"/>
    <w:rsid w:val="00CD69F1"/>
    <w:rsid w:val="00CD7C61"/>
    <w:rsid w:val="00CD7FF1"/>
    <w:rsid w:val="00CE00D1"/>
    <w:rsid w:val="00CE03EF"/>
    <w:rsid w:val="00CE0E74"/>
    <w:rsid w:val="00CE0FC6"/>
    <w:rsid w:val="00CE1088"/>
    <w:rsid w:val="00CE163E"/>
    <w:rsid w:val="00CE17D2"/>
    <w:rsid w:val="00CE246A"/>
    <w:rsid w:val="00CE2621"/>
    <w:rsid w:val="00CE2A7D"/>
    <w:rsid w:val="00CE2BFA"/>
    <w:rsid w:val="00CE470E"/>
    <w:rsid w:val="00CE4997"/>
    <w:rsid w:val="00CE4C1F"/>
    <w:rsid w:val="00CE51DC"/>
    <w:rsid w:val="00CE58C1"/>
    <w:rsid w:val="00CE5A8A"/>
    <w:rsid w:val="00CE5ED6"/>
    <w:rsid w:val="00CE626F"/>
    <w:rsid w:val="00CE65A3"/>
    <w:rsid w:val="00CE688B"/>
    <w:rsid w:val="00CE7215"/>
    <w:rsid w:val="00CE7653"/>
    <w:rsid w:val="00CE7A7F"/>
    <w:rsid w:val="00CE7DEE"/>
    <w:rsid w:val="00CE7F59"/>
    <w:rsid w:val="00CF01B3"/>
    <w:rsid w:val="00CF086A"/>
    <w:rsid w:val="00CF09F7"/>
    <w:rsid w:val="00CF120A"/>
    <w:rsid w:val="00CF157F"/>
    <w:rsid w:val="00CF15C1"/>
    <w:rsid w:val="00CF1EAE"/>
    <w:rsid w:val="00CF24E0"/>
    <w:rsid w:val="00CF29B9"/>
    <w:rsid w:val="00CF2DC4"/>
    <w:rsid w:val="00CF3108"/>
    <w:rsid w:val="00CF3B4B"/>
    <w:rsid w:val="00CF3E52"/>
    <w:rsid w:val="00CF43DB"/>
    <w:rsid w:val="00CF4AFA"/>
    <w:rsid w:val="00CF4E3E"/>
    <w:rsid w:val="00CF5060"/>
    <w:rsid w:val="00CF540F"/>
    <w:rsid w:val="00CF54BE"/>
    <w:rsid w:val="00CF59EF"/>
    <w:rsid w:val="00CF5C84"/>
    <w:rsid w:val="00CF5FC8"/>
    <w:rsid w:val="00CF6C64"/>
    <w:rsid w:val="00CF6E1F"/>
    <w:rsid w:val="00D0030B"/>
    <w:rsid w:val="00D00C50"/>
    <w:rsid w:val="00D013E4"/>
    <w:rsid w:val="00D014E2"/>
    <w:rsid w:val="00D0151C"/>
    <w:rsid w:val="00D0158D"/>
    <w:rsid w:val="00D025EB"/>
    <w:rsid w:val="00D026B1"/>
    <w:rsid w:val="00D02CA7"/>
    <w:rsid w:val="00D02D63"/>
    <w:rsid w:val="00D02DB9"/>
    <w:rsid w:val="00D02E06"/>
    <w:rsid w:val="00D02E9C"/>
    <w:rsid w:val="00D03087"/>
    <w:rsid w:val="00D0401C"/>
    <w:rsid w:val="00D044C3"/>
    <w:rsid w:val="00D04943"/>
    <w:rsid w:val="00D04D54"/>
    <w:rsid w:val="00D04EBC"/>
    <w:rsid w:val="00D058A1"/>
    <w:rsid w:val="00D05D79"/>
    <w:rsid w:val="00D06040"/>
    <w:rsid w:val="00D0638B"/>
    <w:rsid w:val="00D06CBB"/>
    <w:rsid w:val="00D06E92"/>
    <w:rsid w:val="00D06F94"/>
    <w:rsid w:val="00D07211"/>
    <w:rsid w:val="00D0775D"/>
    <w:rsid w:val="00D079E3"/>
    <w:rsid w:val="00D07ED8"/>
    <w:rsid w:val="00D101DD"/>
    <w:rsid w:val="00D10227"/>
    <w:rsid w:val="00D10343"/>
    <w:rsid w:val="00D1058C"/>
    <w:rsid w:val="00D10753"/>
    <w:rsid w:val="00D107CE"/>
    <w:rsid w:val="00D10946"/>
    <w:rsid w:val="00D10955"/>
    <w:rsid w:val="00D10983"/>
    <w:rsid w:val="00D10B2C"/>
    <w:rsid w:val="00D10D5A"/>
    <w:rsid w:val="00D10E20"/>
    <w:rsid w:val="00D116BB"/>
    <w:rsid w:val="00D119B1"/>
    <w:rsid w:val="00D11CCA"/>
    <w:rsid w:val="00D11E79"/>
    <w:rsid w:val="00D121AF"/>
    <w:rsid w:val="00D126D0"/>
    <w:rsid w:val="00D12CD7"/>
    <w:rsid w:val="00D13581"/>
    <w:rsid w:val="00D13980"/>
    <w:rsid w:val="00D13DC9"/>
    <w:rsid w:val="00D15121"/>
    <w:rsid w:val="00D1529C"/>
    <w:rsid w:val="00D158D5"/>
    <w:rsid w:val="00D15BA4"/>
    <w:rsid w:val="00D160E9"/>
    <w:rsid w:val="00D163E1"/>
    <w:rsid w:val="00D164F0"/>
    <w:rsid w:val="00D16523"/>
    <w:rsid w:val="00D1663E"/>
    <w:rsid w:val="00D16990"/>
    <w:rsid w:val="00D16C23"/>
    <w:rsid w:val="00D16F0E"/>
    <w:rsid w:val="00D1735F"/>
    <w:rsid w:val="00D1757B"/>
    <w:rsid w:val="00D17A9F"/>
    <w:rsid w:val="00D17D4E"/>
    <w:rsid w:val="00D17FB4"/>
    <w:rsid w:val="00D20929"/>
    <w:rsid w:val="00D21790"/>
    <w:rsid w:val="00D217B5"/>
    <w:rsid w:val="00D21A10"/>
    <w:rsid w:val="00D21A92"/>
    <w:rsid w:val="00D21B45"/>
    <w:rsid w:val="00D21B74"/>
    <w:rsid w:val="00D2210D"/>
    <w:rsid w:val="00D22415"/>
    <w:rsid w:val="00D22958"/>
    <w:rsid w:val="00D22B1C"/>
    <w:rsid w:val="00D22C9E"/>
    <w:rsid w:val="00D22DA1"/>
    <w:rsid w:val="00D2300E"/>
    <w:rsid w:val="00D2305B"/>
    <w:rsid w:val="00D23228"/>
    <w:rsid w:val="00D23280"/>
    <w:rsid w:val="00D23B5B"/>
    <w:rsid w:val="00D23FD4"/>
    <w:rsid w:val="00D24395"/>
    <w:rsid w:val="00D24A36"/>
    <w:rsid w:val="00D24DD5"/>
    <w:rsid w:val="00D24F90"/>
    <w:rsid w:val="00D25004"/>
    <w:rsid w:val="00D25093"/>
    <w:rsid w:val="00D2520B"/>
    <w:rsid w:val="00D25734"/>
    <w:rsid w:val="00D25E35"/>
    <w:rsid w:val="00D261BC"/>
    <w:rsid w:val="00D26FF7"/>
    <w:rsid w:val="00D273E0"/>
    <w:rsid w:val="00D27542"/>
    <w:rsid w:val="00D3033A"/>
    <w:rsid w:val="00D3037A"/>
    <w:rsid w:val="00D305B8"/>
    <w:rsid w:val="00D30645"/>
    <w:rsid w:val="00D3072A"/>
    <w:rsid w:val="00D30B8A"/>
    <w:rsid w:val="00D30D7D"/>
    <w:rsid w:val="00D31270"/>
    <w:rsid w:val="00D31927"/>
    <w:rsid w:val="00D31BB1"/>
    <w:rsid w:val="00D32073"/>
    <w:rsid w:val="00D3214C"/>
    <w:rsid w:val="00D32593"/>
    <w:rsid w:val="00D32723"/>
    <w:rsid w:val="00D32837"/>
    <w:rsid w:val="00D32894"/>
    <w:rsid w:val="00D32BC5"/>
    <w:rsid w:val="00D3378A"/>
    <w:rsid w:val="00D3380D"/>
    <w:rsid w:val="00D33AD1"/>
    <w:rsid w:val="00D34BEB"/>
    <w:rsid w:val="00D35698"/>
    <w:rsid w:val="00D356B6"/>
    <w:rsid w:val="00D35E81"/>
    <w:rsid w:val="00D3600E"/>
    <w:rsid w:val="00D36044"/>
    <w:rsid w:val="00D36372"/>
    <w:rsid w:val="00D367CE"/>
    <w:rsid w:val="00D36AFD"/>
    <w:rsid w:val="00D36E59"/>
    <w:rsid w:val="00D4088B"/>
    <w:rsid w:val="00D40960"/>
    <w:rsid w:val="00D40EFF"/>
    <w:rsid w:val="00D41232"/>
    <w:rsid w:val="00D414D4"/>
    <w:rsid w:val="00D418CE"/>
    <w:rsid w:val="00D419C3"/>
    <w:rsid w:val="00D4210F"/>
    <w:rsid w:val="00D42413"/>
    <w:rsid w:val="00D42725"/>
    <w:rsid w:val="00D42E56"/>
    <w:rsid w:val="00D42E70"/>
    <w:rsid w:val="00D43062"/>
    <w:rsid w:val="00D4371A"/>
    <w:rsid w:val="00D43A7F"/>
    <w:rsid w:val="00D43A9A"/>
    <w:rsid w:val="00D43D61"/>
    <w:rsid w:val="00D44217"/>
    <w:rsid w:val="00D442E8"/>
    <w:rsid w:val="00D44502"/>
    <w:rsid w:val="00D44895"/>
    <w:rsid w:val="00D4509F"/>
    <w:rsid w:val="00D45510"/>
    <w:rsid w:val="00D455F6"/>
    <w:rsid w:val="00D45A96"/>
    <w:rsid w:val="00D45B44"/>
    <w:rsid w:val="00D46AD3"/>
    <w:rsid w:val="00D4719E"/>
    <w:rsid w:val="00D476E2"/>
    <w:rsid w:val="00D4778C"/>
    <w:rsid w:val="00D50784"/>
    <w:rsid w:val="00D50ADD"/>
    <w:rsid w:val="00D51509"/>
    <w:rsid w:val="00D51D82"/>
    <w:rsid w:val="00D525BC"/>
    <w:rsid w:val="00D5260B"/>
    <w:rsid w:val="00D52BA0"/>
    <w:rsid w:val="00D5308B"/>
    <w:rsid w:val="00D53093"/>
    <w:rsid w:val="00D53216"/>
    <w:rsid w:val="00D53643"/>
    <w:rsid w:val="00D536F8"/>
    <w:rsid w:val="00D53CB8"/>
    <w:rsid w:val="00D53FB0"/>
    <w:rsid w:val="00D54014"/>
    <w:rsid w:val="00D542E3"/>
    <w:rsid w:val="00D54CB5"/>
    <w:rsid w:val="00D54F59"/>
    <w:rsid w:val="00D55FA3"/>
    <w:rsid w:val="00D5725D"/>
    <w:rsid w:val="00D578E9"/>
    <w:rsid w:val="00D57A5E"/>
    <w:rsid w:val="00D57B6C"/>
    <w:rsid w:val="00D6020C"/>
    <w:rsid w:val="00D6064A"/>
    <w:rsid w:val="00D61089"/>
    <w:rsid w:val="00D61413"/>
    <w:rsid w:val="00D6177F"/>
    <w:rsid w:val="00D6188C"/>
    <w:rsid w:val="00D62178"/>
    <w:rsid w:val="00D62633"/>
    <w:rsid w:val="00D62757"/>
    <w:rsid w:val="00D6288D"/>
    <w:rsid w:val="00D6459C"/>
    <w:rsid w:val="00D647DF"/>
    <w:rsid w:val="00D64989"/>
    <w:rsid w:val="00D64C56"/>
    <w:rsid w:val="00D64EE3"/>
    <w:rsid w:val="00D65329"/>
    <w:rsid w:val="00D6554C"/>
    <w:rsid w:val="00D65656"/>
    <w:rsid w:val="00D6568D"/>
    <w:rsid w:val="00D6578A"/>
    <w:rsid w:val="00D65BCB"/>
    <w:rsid w:val="00D65DA3"/>
    <w:rsid w:val="00D660F5"/>
    <w:rsid w:val="00D66337"/>
    <w:rsid w:val="00D664F6"/>
    <w:rsid w:val="00D667AF"/>
    <w:rsid w:val="00D667E2"/>
    <w:rsid w:val="00D66859"/>
    <w:rsid w:val="00D66BDC"/>
    <w:rsid w:val="00D66FDB"/>
    <w:rsid w:val="00D6741C"/>
    <w:rsid w:val="00D67AFA"/>
    <w:rsid w:val="00D70272"/>
    <w:rsid w:val="00D70882"/>
    <w:rsid w:val="00D71124"/>
    <w:rsid w:val="00D71508"/>
    <w:rsid w:val="00D719FD"/>
    <w:rsid w:val="00D71F11"/>
    <w:rsid w:val="00D72090"/>
    <w:rsid w:val="00D7258A"/>
    <w:rsid w:val="00D729A3"/>
    <w:rsid w:val="00D72CD0"/>
    <w:rsid w:val="00D72DEF"/>
    <w:rsid w:val="00D73185"/>
    <w:rsid w:val="00D738C7"/>
    <w:rsid w:val="00D739CB"/>
    <w:rsid w:val="00D73BFA"/>
    <w:rsid w:val="00D7461D"/>
    <w:rsid w:val="00D75083"/>
    <w:rsid w:val="00D7564D"/>
    <w:rsid w:val="00D7566E"/>
    <w:rsid w:val="00D758A0"/>
    <w:rsid w:val="00D75AB4"/>
    <w:rsid w:val="00D75F6C"/>
    <w:rsid w:val="00D7606D"/>
    <w:rsid w:val="00D7639F"/>
    <w:rsid w:val="00D76796"/>
    <w:rsid w:val="00D77860"/>
    <w:rsid w:val="00D7794E"/>
    <w:rsid w:val="00D77CE6"/>
    <w:rsid w:val="00D800F9"/>
    <w:rsid w:val="00D80346"/>
    <w:rsid w:val="00D808A4"/>
    <w:rsid w:val="00D80B84"/>
    <w:rsid w:val="00D80D87"/>
    <w:rsid w:val="00D81934"/>
    <w:rsid w:val="00D81BB3"/>
    <w:rsid w:val="00D82164"/>
    <w:rsid w:val="00D82BA3"/>
    <w:rsid w:val="00D82D8A"/>
    <w:rsid w:val="00D82E45"/>
    <w:rsid w:val="00D831E8"/>
    <w:rsid w:val="00D842F9"/>
    <w:rsid w:val="00D8479B"/>
    <w:rsid w:val="00D848F8"/>
    <w:rsid w:val="00D84D84"/>
    <w:rsid w:val="00D85061"/>
    <w:rsid w:val="00D85B31"/>
    <w:rsid w:val="00D85F3F"/>
    <w:rsid w:val="00D85FC8"/>
    <w:rsid w:val="00D8658E"/>
    <w:rsid w:val="00D86C6B"/>
    <w:rsid w:val="00D871CF"/>
    <w:rsid w:val="00D87412"/>
    <w:rsid w:val="00D87B57"/>
    <w:rsid w:val="00D87B99"/>
    <w:rsid w:val="00D90201"/>
    <w:rsid w:val="00D90229"/>
    <w:rsid w:val="00D90271"/>
    <w:rsid w:val="00D92627"/>
    <w:rsid w:val="00D927FF"/>
    <w:rsid w:val="00D92872"/>
    <w:rsid w:val="00D92A00"/>
    <w:rsid w:val="00D92E55"/>
    <w:rsid w:val="00D931B9"/>
    <w:rsid w:val="00D93541"/>
    <w:rsid w:val="00D94467"/>
    <w:rsid w:val="00D944D3"/>
    <w:rsid w:val="00D9490A"/>
    <w:rsid w:val="00D94A7D"/>
    <w:rsid w:val="00D94CE7"/>
    <w:rsid w:val="00D94D53"/>
    <w:rsid w:val="00D962AE"/>
    <w:rsid w:val="00D96604"/>
    <w:rsid w:val="00D96B14"/>
    <w:rsid w:val="00D96CB4"/>
    <w:rsid w:val="00D96DE2"/>
    <w:rsid w:val="00D97110"/>
    <w:rsid w:val="00D97283"/>
    <w:rsid w:val="00D977A2"/>
    <w:rsid w:val="00D97F67"/>
    <w:rsid w:val="00DA0683"/>
    <w:rsid w:val="00DA08C9"/>
    <w:rsid w:val="00DA0B25"/>
    <w:rsid w:val="00DA0D7F"/>
    <w:rsid w:val="00DA0FC6"/>
    <w:rsid w:val="00DA155A"/>
    <w:rsid w:val="00DA2496"/>
    <w:rsid w:val="00DA25D0"/>
    <w:rsid w:val="00DA3039"/>
    <w:rsid w:val="00DA30E1"/>
    <w:rsid w:val="00DA3157"/>
    <w:rsid w:val="00DA32B2"/>
    <w:rsid w:val="00DA3E20"/>
    <w:rsid w:val="00DA3E3D"/>
    <w:rsid w:val="00DA406B"/>
    <w:rsid w:val="00DA4166"/>
    <w:rsid w:val="00DA456D"/>
    <w:rsid w:val="00DA45B9"/>
    <w:rsid w:val="00DA498A"/>
    <w:rsid w:val="00DA4D86"/>
    <w:rsid w:val="00DA5079"/>
    <w:rsid w:val="00DA523F"/>
    <w:rsid w:val="00DA531E"/>
    <w:rsid w:val="00DA5487"/>
    <w:rsid w:val="00DA57B1"/>
    <w:rsid w:val="00DA60F9"/>
    <w:rsid w:val="00DA610F"/>
    <w:rsid w:val="00DA644E"/>
    <w:rsid w:val="00DA67E5"/>
    <w:rsid w:val="00DA6A16"/>
    <w:rsid w:val="00DA6B47"/>
    <w:rsid w:val="00DA7582"/>
    <w:rsid w:val="00DA7EBF"/>
    <w:rsid w:val="00DB022E"/>
    <w:rsid w:val="00DB03D7"/>
    <w:rsid w:val="00DB0431"/>
    <w:rsid w:val="00DB06C4"/>
    <w:rsid w:val="00DB0A19"/>
    <w:rsid w:val="00DB0A7C"/>
    <w:rsid w:val="00DB0C08"/>
    <w:rsid w:val="00DB0C16"/>
    <w:rsid w:val="00DB0F62"/>
    <w:rsid w:val="00DB1F25"/>
    <w:rsid w:val="00DB214D"/>
    <w:rsid w:val="00DB2220"/>
    <w:rsid w:val="00DB2665"/>
    <w:rsid w:val="00DB41EF"/>
    <w:rsid w:val="00DB4A9F"/>
    <w:rsid w:val="00DB4CAA"/>
    <w:rsid w:val="00DB53C6"/>
    <w:rsid w:val="00DB5FA2"/>
    <w:rsid w:val="00DB6147"/>
    <w:rsid w:val="00DB67AA"/>
    <w:rsid w:val="00DB6CAC"/>
    <w:rsid w:val="00DB6E53"/>
    <w:rsid w:val="00DB7122"/>
    <w:rsid w:val="00DB7494"/>
    <w:rsid w:val="00DB760C"/>
    <w:rsid w:val="00DB7B63"/>
    <w:rsid w:val="00DB7D61"/>
    <w:rsid w:val="00DC086C"/>
    <w:rsid w:val="00DC0BAA"/>
    <w:rsid w:val="00DC0C95"/>
    <w:rsid w:val="00DC2629"/>
    <w:rsid w:val="00DC26EE"/>
    <w:rsid w:val="00DC2868"/>
    <w:rsid w:val="00DC2A26"/>
    <w:rsid w:val="00DC3107"/>
    <w:rsid w:val="00DC3151"/>
    <w:rsid w:val="00DC3183"/>
    <w:rsid w:val="00DC3639"/>
    <w:rsid w:val="00DC389A"/>
    <w:rsid w:val="00DC3975"/>
    <w:rsid w:val="00DC39D9"/>
    <w:rsid w:val="00DC3C1D"/>
    <w:rsid w:val="00DC3D4C"/>
    <w:rsid w:val="00DC469A"/>
    <w:rsid w:val="00DC49B9"/>
    <w:rsid w:val="00DC4CB8"/>
    <w:rsid w:val="00DC5365"/>
    <w:rsid w:val="00DC55F1"/>
    <w:rsid w:val="00DC5739"/>
    <w:rsid w:val="00DC58BD"/>
    <w:rsid w:val="00DC59C1"/>
    <w:rsid w:val="00DC5D25"/>
    <w:rsid w:val="00DC5EE4"/>
    <w:rsid w:val="00DC7829"/>
    <w:rsid w:val="00DC7F0C"/>
    <w:rsid w:val="00DD0808"/>
    <w:rsid w:val="00DD0961"/>
    <w:rsid w:val="00DD0B18"/>
    <w:rsid w:val="00DD0C59"/>
    <w:rsid w:val="00DD0C89"/>
    <w:rsid w:val="00DD0FBE"/>
    <w:rsid w:val="00DD1426"/>
    <w:rsid w:val="00DD17ED"/>
    <w:rsid w:val="00DD187A"/>
    <w:rsid w:val="00DD19C6"/>
    <w:rsid w:val="00DD1B0A"/>
    <w:rsid w:val="00DD226A"/>
    <w:rsid w:val="00DD27FA"/>
    <w:rsid w:val="00DD2EE2"/>
    <w:rsid w:val="00DD2FCC"/>
    <w:rsid w:val="00DD3A76"/>
    <w:rsid w:val="00DD3F8B"/>
    <w:rsid w:val="00DD4531"/>
    <w:rsid w:val="00DD49C2"/>
    <w:rsid w:val="00DD4EDD"/>
    <w:rsid w:val="00DD5670"/>
    <w:rsid w:val="00DD595A"/>
    <w:rsid w:val="00DD5F92"/>
    <w:rsid w:val="00DD6075"/>
    <w:rsid w:val="00DD6A62"/>
    <w:rsid w:val="00DD7395"/>
    <w:rsid w:val="00DD770F"/>
    <w:rsid w:val="00DD77F0"/>
    <w:rsid w:val="00DE0152"/>
    <w:rsid w:val="00DE0701"/>
    <w:rsid w:val="00DE0DC1"/>
    <w:rsid w:val="00DE0FE3"/>
    <w:rsid w:val="00DE144F"/>
    <w:rsid w:val="00DE153D"/>
    <w:rsid w:val="00DE187E"/>
    <w:rsid w:val="00DE18F2"/>
    <w:rsid w:val="00DE1944"/>
    <w:rsid w:val="00DE1C6F"/>
    <w:rsid w:val="00DE2CD5"/>
    <w:rsid w:val="00DE3FB3"/>
    <w:rsid w:val="00DE416E"/>
    <w:rsid w:val="00DE4538"/>
    <w:rsid w:val="00DE4A43"/>
    <w:rsid w:val="00DE4F11"/>
    <w:rsid w:val="00DE534F"/>
    <w:rsid w:val="00DE5931"/>
    <w:rsid w:val="00DE5BAA"/>
    <w:rsid w:val="00DE6590"/>
    <w:rsid w:val="00DE68A6"/>
    <w:rsid w:val="00DE6AB1"/>
    <w:rsid w:val="00DE6FD0"/>
    <w:rsid w:val="00DE71BC"/>
    <w:rsid w:val="00DE729F"/>
    <w:rsid w:val="00DE74B4"/>
    <w:rsid w:val="00DE7517"/>
    <w:rsid w:val="00DE7F57"/>
    <w:rsid w:val="00DF012B"/>
    <w:rsid w:val="00DF0598"/>
    <w:rsid w:val="00DF0A94"/>
    <w:rsid w:val="00DF0B3F"/>
    <w:rsid w:val="00DF0B47"/>
    <w:rsid w:val="00DF0C4A"/>
    <w:rsid w:val="00DF0D80"/>
    <w:rsid w:val="00DF1688"/>
    <w:rsid w:val="00DF17C4"/>
    <w:rsid w:val="00DF1BAF"/>
    <w:rsid w:val="00DF1D6A"/>
    <w:rsid w:val="00DF27D7"/>
    <w:rsid w:val="00DF293E"/>
    <w:rsid w:val="00DF2A45"/>
    <w:rsid w:val="00DF2D07"/>
    <w:rsid w:val="00DF2E6D"/>
    <w:rsid w:val="00DF3116"/>
    <w:rsid w:val="00DF36E2"/>
    <w:rsid w:val="00DF394C"/>
    <w:rsid w:val="00DF3EC1"/>
    <w:rsid w:val="00DF4698"/>
    <w:rsid w:val="00DF4955"/>
    <w:rsid w:val="00DF4A59"/>
    <w:rsid w:val="00DF4BB5"/>
    <w:rsid w:val="00DF5618"/>
    <w:rsid w:val="00DF57BA"/>
    <w:rsid w:val="00DF60A4"/>
    <w:rsid w:val="00DF60DD"/>
    <w:rsid w:val="00DF64B5"/>
    <w:rsid w:val="00DF66C1"/>
    <w:rsid w:val="00DF6941"/>
    <w:rsid w:val="00DF6DC9"/>
    <w:rsid w:val="00DF6E8C"/>
    <w:rsid w:val="00DF7301"/>
    <w:rsid w:val="00DF7468"/>
    <w:rsid w:val="00DF7DEC"/>
    <w:rsid w:val="00DF7DFA"/>
    <w:rsid w:val="00E0033D"/>
    <w:rsid w:val="00E0079C"/>
    <w:rsid w:val="00E00D40"/>
    <w:rsid w:val="00E0109D"/>
    <w:rsid w:val="00E01376"/>
    <w:rsid w:val="00E01423"/>
    <w:rsid w:val="00E01482"/>
    <w:rsid w:val="00E019A0"/>
    <w:rsid w:val="00E01D21"/>
    <w:rsid w:val="00E02A9E"/>
    <w:rsid w:val="00E02DE2"/>
    <w:rsid w:val="00E032E3"/>
    <w:rsid w:val="00E03602"/>
    <w:rsid w:val="00E037B1"/>
    <w:rsid w:val="00E03819"/>
    <w:rsid w:val="00E03FB8"/>
    <w:rsid w:val="00E04002"/>
    <w:rsid w:val="00E047A3"/>
    <w:rsid w:val="00E04FCB"/>
    <w:rsid w:val="00E05433"/>
    <w:rsid w:val="00E057DF"/>
    <w:rsid w:val="00E058DB"/>
    <w:rsid w:val="00E05CA5"/>
    <w:rsid w:val="00E05DAE"/>
    <w:rsid w:val="00E05E15"/>
    <w:rsid w:val="00E05E2A"/>
    <w:rsid w:val="00E064BC"/>
    <w:rsid w:val="00E06A45"/>
    <w:rsid w:val="00E06AB4"/>
    <w:rsid w:val="00E06BB1"/>
    <w:rsid w:val="00E07172"/>
    <w:rsid w:val="00E07257"/>
    <w:rsid w:val="00E072F8"/>
    <w:rsid w:val="00E07822"/>
    <w:rsid w:val="00E0799D"/>
    <w:rsid w:val="00E07F5C"/>
    <w:rsid w:val="00E10791"/>
    <w:rsid w:val="00E108BF"/>
    <w:rsid w:val="00E10D7D"/>
    <w:rsid w:val="00E10E02"/>
    <w:rsid w:val="00E10E18"/>
    <w:rsid w:val="00E112FB"/>
    <w:rsid w:val="00E1167D"/>
    <w:rsid w:val="00E1273A"/>
    <w:rsid w:val="00E12744"/>
    <w:rsid w:val="00E1293A"/>
    <w:rsid w:val="00E12B4B"/>
    <w:rsid w:val="00E135F4"/>
    <w:rsid w:val="00E13826"/>
    <w:rsid w:val="00E13E94"/>
    <w:rsid w:val="00E1449B"/>
    <w:rsid w:val="00E14613"/>
    <w:rsid w:val="00E14D37"/>
    <w:rsid w:val="00E151C4"/>
    <w:rsid w:val="00E15834"/>
    <w:rsid w:val="00E15976"/>
    <w:rsid w:val="00E160DD"/>
    <w:rsid w:val="00E167B0"/>
    <w:rsid w:val="00E168F1"/>
    <w:rsid w:val="00E16D11"/>
    <w:rsid w:val="00E17E71"/>
    <w:rsid w:val="00E17EB0"/>
    <w:rsid w:val="00E17F2A"/>
    <w:rsid w:val="00E20629"/>
    <w:rsid w:val="00E20949"/>
    <w:rsid w:val="00E20B9F"/>
    <w:rsid w:val="00E20C74"/>
    <w:rsid w:val="00E212DA"/>
    <w:rsid w:val="00E21D52"/>
    <w:rsid w:val="00E221DB"/>
    <w:rsid w:val="00E22306"/>
    <w:rsid w:val="00E22935"/>
    <w:rsid w:val="00E229AB"/>
    <w:rsid w:val="00E22FF6"/>
    <w:rsid w:val="00E231A4"/>
    <w:rsid w:val="00E231E8"/>
    <w:rsid w:val="00E23596"/>
    <w:rsid w:val="00E2379F"/>
    <w:rsid w:val="00E23F75"/>
    <w:rsid w:val="00E24531"/>
    <w:rsid w:val="00E2473A"/>
    <w:rsid w:val="00E24A8E"/>
    <w:rsid w:val="00E24B66"/>
    <w:rsid w:val="00E24C99"/>
    <w:rsid w:val="00E24CF1"/>
    <w:rsid w:val="00E24D7A"/>
    <w:rsid w:val="00E251D7"/>
    <w:rsid w:val="00E257D8"/>
    <w:rsid w:val="00E25F1B"/>
    <w:rsid w:val="00E260B6"/>
    <w:rsid w:val="00E26235"/>
    <w:rsid w:val="00E275D1"/>
    <w:rsid w:val="00E27889"/>
    <w:rsid w:val="00E30163"/>
    <w:rsid w:val="00E30465"/>
    <w:rsid w:val="00E3066B"/>
    <w:rsid w:val="00E30E63"/>
    <w:rsid w:val="00E30F0D"/>
    <w:rsid w:val="00E314BE"/>
    <w:rsid w:val="00E31760"/>
    <w:rsid w:val="00E31E0D"/>
    <w:rsid w:val="00E32430"/>
    <w:rsid w:val="00E324B5"/>
    <w:rsid w:val="00E32638"/>
    <w:rsid w:val="00E32D50"/>
    <w:rsid w:val="00E32FDA"/>
    <w:rsid w:val="00E3301E"/>
    <w:rsid w:val="00E33505"/>
    <w:rsid w:val="00E34479"/>
    <w:rsid w:val="00E345A7"/>
    <w:rsid w:val="00E345F3"/>
    <w:rsid w:val="00E3470E"/>
    <w:rsid w:val="00E3481C"/>
    <w:rsid w:val="00E3510A"/>
    <w:rsid w:val="00E359AF"/>
    <w:rsid w:val="00E35ADA"/>
    <w:rsid w:val="00E3626B"/>
    <w:rsid w:val="00E36490"/>
    <w:rsid w:val="00E3693D"/>
    <w:rsid w:val="00E36A9C"/>
    <w:rsid w:val="00E36F0C"/>
    <w:rsid w:val="00E36F39"/>
    <w:rsid w:val="00E37227"/>
    <w:rsid w:val="00E37885"/>
    <w:rsid w:val="00E37BD5"/>
    <w:rsid w:val="00E37D6D"/>
    <w:rsid w:val="00E37E27"/>
    <w:rsid w:val="00E4020D"/>
    <w:rsid w:val="00E40719"/>
    <w:rsid w:val="00E409A4"/>
    <w:rsid w:val="00E40C1D"/>
    <w:rsid w:val="00E40D3D"/>
    <w:rsid w:val="00E41C71"/>
    <w:rsid w:val="00E41D05"/>
    <w:rsid w:val="00E41DBE"/>
    <w:rsid w:val="00E4207B"/>
    <w:rsid w:val="00E4220B"/>
    <w:rsid w:val="00E432E8"/>
    <w:rsid w:val="00E43400"/>
    <w:rsid w:val="00E43970"/>
    <w:rsid w:val="00E43DAE"/>
    <w:rsid w:val="00E43DFE"/>
    <w:rsid w:val="00E43E7F"/>
    <w:rsid w:val="00E4534E"/>
    <w:rsid w:val="00E453CD"/>
    <w:rsid w:val="00E45CE8"/>
    <w:rsid w:val="00E46A7F"/>
    <w:rsid w:val="00E46B74"/>
    <w:rsid w:val="00E46D11"/>
    <w:rsid w:val="00E47244"/>
    <w:rsid w:val="00E472B7"/>
    <w:rsid w:val="00E4761C"/>
    <w:rsid w:val="00E47E3D"/>
    <w:rsid w:val="00E5011B"/>
    <w:rsid w:val="00E502F2"/>
    <w:rsid w:val="00E5035F"/>
    <w:rsid w:val="00E509C9"/>
    <w:rsid w:val="00E5162F"/>
    <w:rsid w:val="00E51DB0"/>
    <w:rsid w:val="00E5204B"/>
    <w:rsid w:val="00E52069"/>
    <w:rsid w:val="00E5231B"/>
    <w:rsid w:val="00E524F3"/>
    <w:rsid w:val="00E525FF"/>
    <w:rsid w:val="00E528E5"/>
    <w:rsid w:val="00E53210"/>
    <w:rsid w:val="00E5327B"/>
    <w:rsid w:val="00E53326"/>
    <w:rsid w:val="00E534CB"/>
    <w:rsid w:val="00E535E3"/>
    <w:rsid w:val="00E53F8E"/>
    <w:rsid w:val="00E54075"/>
    <w:rsid w:val="00E540DC"/>
    <w:rsid w:val="00E54BF5"/>
    <w:rsid w:val="00E54E63"/>
    <w:rsid w:val="00E550EA"/>
    <w:rsid w:val="00E55548"/>
    <w:rsid w:val="00E55C50"/>
    <w:rsid w:val="00E55CA6"/>
    <w:rsid w:val="00E560D2"/>
    <w:rsid w:val="00E56763"/>
    <w:rsid w:val="00E567B2"/>
    <w:rsid w:val="00E572FB"/>
    <w:rsid w:val="00E57A98"/>
    <w:rsid w:val="00E60117"/>
    <w:rsid w:val="00E60405"/>
    <w:rsid w:val="00E60494"/>
    <w:rsid w:val="00E6049F"/>
    <w:rsid w:val="00E604AA"/>
    <w:rsid w:val="00E607B0"/>
    <w:rsid w:val="00E60E7C"/>
    <w:rsid w:val="00E61926"/>
    <w:rsid w:val="00E61A30"/>
    <w:rsid w:val="00E61BE1"/>
    <w:rsid w:val="00E620CB"/>
    <w:rsid w:val="00E62204"/>
    <w:rsid w:val="00E6222B"/>
    <w:rsid w:val="00E62329"/>
    <w:rsid w:val="00E6241A"/>
    <w:rsid w:val="00E6258D"/>
    <w:rsid w:val="00E62AA1"/>
    <w:rsid w:val="00E62E27"/>
    <w:rsid w:val="00E6340A"/>
    <w:rsid w:val="00E63A52"/>
    <w:rsid w:val="00E63B5C"/>
    <w:rsid w:val="00E63F45"/>
    <w:rsid w:val="00E6507E"/>
    <w:rsid w:val="00E652E8"/>
    <w:rsid w:val="00E654C6"/>
    <w:rsid w:val="00E657AF"/>
    <w:rsid w:val="00E65871"/>
    <w:rsid w:val="00E66233"/>
    <w:rsid w:val="00E664D2"/>
    <w:rsid w:val="00E6699B"/>
    <w:rsid w:val="00E671E7"/>
    <w:rsid w:val="00E67E38"/>
    <w:rsid w:val="00E67F7C"/>
    <w:rsid w:val="00E7036A"/>
    <w:rsid w:val="00E70F8C"/>
    <w:rsid w:val="00E718A4"/>
    <w:rsid w:val="00E71E70"/>
    <w:rsid w:val="00E721CC"/>
    <w:rsid w:val="00E728CD"/>
    <w:rsid w:val="00E72DC8"/>
    <w:rsid w:val="00E733ED"/>
    <w:rsid w:val="00E734D9"/>
    <w:rsid w:val="00E73C69"/>
    <w:rsid w:val="00E73E04"/>
    <w:rsid w:val="00E73FB2"/>
    <w:rsid w:val="00E749BF"/>
    <w:rsid w:val="00E74BF4"/>
    <w:rsid w:val="00E75583"/>
    <w:rsid w:val="00E76146"/>
    <w:rsid w:val="00E763F6"/>
    <w:rsid w:val="00E76A64"/>
    <w:rsid w:val="00E76B60"/>
    <w:rsid w:val="00E76C84"/>
    <w:rsid w:val="00E77532"/>
    <w:rsid w:val="00E77543"/>
    <w:rsid w:val="00E776C0"/>
    <w:rsid w:val="00E77746"/>
    <w:rsid w:val="00E7777B"/>
    <w:rsid w:val="00E77B2D"/>
    <w:rsid w:val="00E77EA1"/>
    <w:rsid w:val="00E77F52"/>
    <w:rsid w:val="00E8047D"/>
    <w:rsid w:val="00E80CD9"/>
    <w:rsid w:val="00E80FCD"/>
    <w:rsid w:val="00E81242"/>
    <w:rsid w:val="00E81B55"/>
    <w:rsid w:val="00E81BD5"/>
    <w:rsid w:val="00E81E2B"/>
    <w:rsid w:val="00E82074"/>
    <w:rsid w:val="00E824C0"/>
    <w:rsid w:val="00E82955"/>
    <w:rsid w:val="00E82BB8"/>
    <w:rsid w:val="00E82F01"/>
    <w:rsid w:val="00E8317A"/>
    <w:rsid w:val="00E83201"/>
    <w:rsid w:val="00E83947"/>
    <w:rsid w:val="00E83954"/>
    <w:rsid w:val="00E83A3D"/>
    <w:rsid w:val="00E83EEB"/>
    <w:rsid w:val="00E843AF"/>
    <w:rsid w:val="00E84710"/>
    <w:rsid w:val="00E84778"/>
    <w:rsid w:val="00E84905"/>
    <w:rsid w:val="00E84DAE"/>
    <w:rsid w:val="00E84F66"/>
    <w:rsid w:val="00E8537B"/>
    <w:rsid w:val="00E86132"/>
    <w:rsid w:val="00E861AA"/>
    <w:rsid w:val="00E861EA"/>
    <w:rsid w:val="00E86290"/>
    <w:rsid w:val="00E86B73"/>
    <w:rsid w:val="00E86E7B"/>
    <w:rsid w:val="00E87015"/>
    <w:rsid w:val="00E872CB"/>
    <w:rsid w:val="00E87E83"/>
    <w:rsid w:val="00E90050"/>
    <w:rsid w:val="00E90605"/>
    <w:rsid w:val="00E90E75"/>
    <w:rsid w:val="00E91C81"/>
    <w:rsid w:val="00E91D30"/>
    <w:rsid w:val="00E91F5A"/>
    <w:rsid w:val="00E92391"/>
    <w:rsid w:val="00E9271B"/>
    <w:rsid w:val="00E92764"/>
    <w:rsid w:val="00E929F5"/>
    <w:rsid w:val="00E92BA5"/>
    <w:rsid w:val="00E92E99"/>
    <w:rsid w:val="00E93678"/>
    <w:rsid w:val="00E936C1"/>
    <w:rsid w:val="00E940D4"/>
    <w:rsid w:val="00E943E8"/>
    <w:rsid w:val="00E94A84"/>
    <w:rsid w:val="00E94BD8"/>
    <w:rsid w:val="00E950EB"/>
    <w:rsid w:val="00E95AA9"/>
    <w:rsid w:val="00E960BE"/>
    <w:rsid w:val="00E96566"/>
    <w:rsid w:val="00E9677A"/>
    <w:rsid w:val="00E96960"/>
    <w:rsid w:val="00E969A2"/>
    <w:rsid w:val="00E97120"/>
    <w:rsid w:val="00E972BD"/>
    <w:rsid w:val="00E97A3E"/>
    <w:rsid w:val="00E97FEF"/>
    <w:rsid w:val="00EA0240"/>
    <w:rsid w:val="00EA0A22"/>
    <w:rsid w:val="00EA0E26"/>
    <w:rsid w:val="00EA181F"/>
    <w:rsid w:val="00EA27CC"/>
    <w:rsid w:val="00EA2C38"/>
    <w:rsid w:val="00EA2E1D"/>
    <w:rsid w:val="00EA321D"/>
    <w:rsid w:val="00EA3FBA"/>
    <w:rsid w:val="00EA4686"/>
    <w:rsid w:val="00EA4861"/>
    <w:rsid w:val="00EA4B96"/>
    <w:rsid w:val="00EA4D59"/>
    <w:rsid w:val="00EA4DAB"/>
    <w:rsid w:val="00EA513B"/>
    <w:rsid w:val="00EA5301"/>
    <w:rsid w:val="00EA5575"/>
    <w:rsid w:val="00EA559B"/>
    <w:rsid w:val="00EA5804"/>
    <w:rsid w:val="00EA5964"/>
    <w:rsid w:val="00EA5CE6"/>
    <w:rsid w:val="00EA665E"/>
    <w:rsid w:val="00EA6C7F"/>
    <w:rsid w:val="00EA6D4B"/>
    <w:rsid w:val="00EA6FD1"/>
    <w:rsid w:val="00EA7571"/>
    <w:rsid w:val="00EA7B35"/>
    <w:rsid w:val="00EA7BAD"/>
    <w:rsid w:val="00EA7DD9"/>
    <w:rsid w:val="00EB0235"/>
    <w:rsid w:val="00EB0335"/>
    <w:rsid w:val="00EB0B3C"/>
    <w:rsid w:val="00EB0B3E"/>
    <w:rsid w:val="00EB0B58"/>
    <w:rsid w:val="00EB0CE5"/>
    <w:rsid w:val="00EB112D"/>
    <w:rsid w:val="00EB128B"/>
    <w:rsid w:val="00EB1DD1"/>
    <w:rsid w:val="00EB20F4"/>
    <w:rsid w:val="00EB23F4"/>
    <w:rsid w:val="00EB25CE"/>
    <w:rsid w:val="00EB30E6"/>
    <w:rsid w:val="00EB322E"/>
    <w:rsid w:val="00EB32E1"/>
    <w:rsid w:val="00EB34CD"/>
    <w:rsid w:val="00EB3A5E"/>
    <w:rsid w:val="00EB3A7D"/>
    <w:rsid w:val="00EB3B4E"/>
    <w:rsid w:val="00EB3CF2"/>
    <w:rsid w:val="00EB4102"/>
    <w:rsid w:val="00EB45DF"/>
    <w:rsid w:val="00EB46A9"/>
    <w:rsid w:val="00EB46EF"/>
    <w:rsid w:val="00EB492F"/>
    <w:rsid w:val="00EB5089"/>
    <w:rsid w:val="00EB522E"/>
    <w:rsid w:val="00EB5989"/>
    <w:rsid w:val="00EB634A"/>
    <w:rsid w:val="00EB66F5"/>
    <w:rsid w:val="00EB6963"/>
    <w:rsid w:val="00EB7DF2"/>
    <w:rsid w:val="00EC0309"/>
    <w:rsid w:val="00EC032C"/>
    <w:rsid w:val="00EC0918"/>
    <w:rsid w:val="00EC1418"/>
    <w:rsid w:val="00EC1588"/>
    <w:rsid w:val="00EC18AD"/>
    <w:rsid w:val="00EC19D7"/>
    <w:rsid w:val="00EC1A71"/>
    <w:rsid w:val="00EC1E78"/>
    <w:rsid w:val="00EC1FFD"/>
    <w:rsid w:val="00EC214A"/>
    <w:rsid w:val="00EC252A"/>
    <w:rsid w:val="00EC269E"/>
    <w:rsid w:val="00EC26B2"/>
    <w:rsid w:val="00EC26F2"/>
    <w:rsid w:val="00EC2B2C"/>
    <w:rsid w:val="00EC2C65"/>
    <w:rsid w:val="00EC3371"/>
    <w:rsid w:val="00EC3B14"/>
    <w:rsid w:val="00EC3FFB"/>
    <w:rsid w:val="00EC4530"/>
    <w:rsid w:val="00EC489A"/>
    <w:rsid w:val="00EC4B34"/>
    <w:rsid w:val="00EC4DE9"/>
    <w:rsid w:val="00EC4FDA"/>
    <w:rsid w:val="00EC5054"/>
    <w:rsid w:val="00EC5208"/>
    <w:rsid w:val="00EC530E"/>
    <w:rsid w:val="00EC530F"/>
    <w:rsid w:val="00EC542F"/>
    <w:rsid w:val="00EC5E49"/>
    <w:rsid w:val="00EC5E61"/>
    <w:rsid w:val="00EC6052"/>
    <w:rsid w:val="00EC64A2"/>
    <w:rsid w:val="00EC64AD"/>
    <w:rsid w:val="00EC6CEB"/>
    <w:rsid w:val="00EC6F4A"/>
    <w:rsid w:val="00EC72F2"/>
    <w:rsid w:val="00EC73DE"/>
    <w:rsid w:val="00EC74BB"/>
    <w:rsid w:val="00EC764C"/>
    <w:rsid w:val="00EC7C5D"/>
    <w:rsid w:val="00ED019D"/>
    <w:rsid w:val="00ED0B80"/>
    <w:rsid w:val="00ED0F84"/>
    <w:rsid w:val="00ED126A"/>
    <w:rsid w:val="00ED1D01"/>
    <w:rsid w:val="00ED1FEB"/>
    <w:rsid w:val="00ED20FA"/>
    <w:rsid w:val="00ED22A7"/>
    <w:rsid w:val="00ED2747"/>
    <w:rsid w:val="00ED28AD"/>
    <w:rsid w:val="00ED2A11"/>
    <w:rsid w:val="00ED2A9D"/>
    <w:rsid w:val="00ED2ABF"/>
    <w:rsid w:val="00ED2E19"/>
    <w:rsid w:val="00ED30A9"/>
    <w:rsid w:val="00ED30DF"/>
    <w:rsid w:val="00ED3190"/>
    <w:rsid w:val="00ED32BB"/>
    <w:rsid w:val="00ED3ADF"/>
    <w:rsid w:val="00ED3C03"/>
    <w:rsid w:val="00ED3C8C"/>
    <w:rsid w:val="00ED453E"/>
    <w:rsid w:val="00ED464C"/>
    <w:rsid w:val="00ED47A4"/>
    <w:rsid w:val="00ED55E6"/>
    <w:rsid w:val="00ED5612"/>
    <w:rsid w:val="00ED5721"/>
    <w:rsid w:val="00ED5A64"/>
    <w:rsid w:val="00ED5D89"/>
    <w:rsid w:val="00ED6105"/>
    <w:rsid w:val="00ED6293"/>
    <w:rsid w:val="00ED6CDF"/>
    <w:rsid w:val="00ED7555"/>
    <w:rsid w:val="00ED7A14"/>
    <w:rsid w:val="00EE0CD4"/>
    <w:rsid w:val="00EE1240"/>
    <w:rsid w:val="00EE1372"/>
    <w:rsid w:val="00EE14C3"/>
    <w:rsid w:val="00EE17FB"/>
    <w:rsid w:val="00EE18AB"/>
    <w:rsid w:val="00EE1C55"/>
    <w:rsid w:val="00EE1DBB"/>
    <w:rsid w:val="00EE201C"/>
    <w:rsid w:val="00EE203F"/>
    <w:rsid w:val="00EE270A"/>
    <w:rsid w:val="00EE2811"/>
    <w:rsid w:val="00EE2AC1"/>
    <w:rsid w:val="00EE2C2E"/>
    <w:rsid w:val="00EE35B1"/>
    <w:rsid w:val="00EE3D55"/>
    <w:rsid w:val="00EE3D9D"/>
    <w:rsid w:val="00EE40BB"/>
    <w:rsid w:val="00EE41C3"/>
    <w:rsid w:val="00EE43EF"/>
    <w:rsid w:val="00EE45D3"/>
    <w:rsid w:val="00EE4CB8"/>
    <w:rsid w:val="00EE50A1"/>
    <w:rsid w:val="00EE5BDF"/>
    <w:rsid w:val="00EE5CA2"/>
    <w:rsid w:val="00EE5F12"/>
    <w:rsid w:val="00EE6AD6"/>
    <w:rsid w:val="00EE6B9B"/>
    <w:rsid w:val="00EE6D72"/>
    <w:rsid w:val="00EE6F24"/>
    <w:rsid w:val="00EE7D23"/>
    <w:rsid w:val="00EF0411"/>
    <w:rsid w:val="00EF0860"/>
    <w:rsid w:val="00EF091C"/>
    <w:rsid w:val="00EF0F17"/>
    <w:rsid w:val="00EF143D"/>
    <w:rsid w:val="00EF25CC"/>
    <w:rsid w:val="00EF2A68"/>
    <w:rsid w:val="00EF3007"/>
    <w:rsid w:val="00EF339E"/>
    <w:rsid w:val="00EF3DA1"/>
    <w:rsid w:val="00EF3E33"/>
    <w:rsid w:val="00EF3E6B"/>
    <w:rsid w:val="00EF4012"/>
    <w:rsid w:val="00EF439B"/>
    <w:rsid w:val="00EF4501"/>
    <w:rsid w:val="00EF4659"/>
    <w:rsid w:val="00EF497A"/>
    <w:rsid w:val="00EF4A91"/>
    <w:rsid w:val="00EF4E2E"/>
    <w:rsid w:val="00EF5CBB"/>
    <w:rsid w:val="00EF5EA4"/>
    <w:rsid w:val="00EF6565"/>
    <w:rsid w:val="00EF657B"/>
    <w:rsid w:val="00EF6ADF"/>
    <w:rsid w:val="00EF6B94"/>
    <w:rsid w:val="00EF6C7B"/>
    <w:rsid w:val="00EF6ECE"/>
    <w:rsid w:val="00EF73C2"/>
    <w:rsid w:val="00EF7776"/>
    <w:rsid w:val="00EF7A7B"/>
    <w:rsid w:val="00F00D96"/>
    <w:rsid w:val="00F01289"/>
    <w:rsid w:val="00F012B2"/>
    <w:rsid w:val="00F012D2"/>
    <w:rsid w:val="00F02418"/>
    <w:rsid w:val="00F02DDB"/>
    <w:rsid w:val="00F03801"/>
    <w:rsid w:val="00F039C5"/>
    <w:rsid w:val="00F03AAE"/>
    <w:rsid w:val="00F03D8D"/>
    <w:rsid w:val="00F04305"/>
    <w:rsid w:val="00F047C2"/>
    <w:rsid w:val="00F04ABB"/>
    <w:rsid w:val="00F04D3A"/>
    <w:rsid w:val="00F04EE9"/>
    <w:rsid w:val="00F04F10"/>
    <w:rsid w:val="00F056B9"/>
    <w:rsid w:val="00F0572F"/>
    <w:rsid w:val="00F059E0"/>
    <w:rsid w:val="00F05B61"/>
    <w:rsid w:val="00F05BF6"/>
    <w:rsid w:val="00F05CA7"/>
    <w:rsid w:val="00F05DD2"/>
    <w:rsid w:val="00F06B6D"/>
    <w:rsid w:val="00F071B1"/>
    <w:rsid w:val="00F079DC"/>
    <w:rsid w:val="00F10085"/>
    <w:rsid w:val="00F10719"/>
    <w:rsid w:val="00F1087F"/>
    <w:rsid w:val="00F10B4E"/>
    <w:rsid w:val="00F11042"/>
    <w:rsid w:val="00F111E7"/>
    <w:rsid w:val="00F111F2"/>
    <w:rsid w:val="00F11798"/>
    <w:rsid w:val="00F118EA"/>
    <w:rsid w:val="00F11D42"/>
    <w:rsid w:val="00F11E70"/>
    <w:rsid w:val="00F11FF6"/>
    <w:rsid w:val="00F1240C"/>
    <w:rsid w:val="00F12796"/>
    <w:rsid w:val="00F131CC"/>
    <w:rsid w:val="00F135E5"/>
    <w:rsid w:val="00F13A11"/>
    <w:rsid w:val="00F13CCE"/>
    <w:rsid w:val="00F13DD8"/>
    <w:rsid w:val="00F14265"/>
    <w:rsid w:val="00F14600"/>
    <w:rsid w:val="00F14D6F"/>
    <w:rsid w:val="00F14F18"/>
    <w:rsid w:val="00F155F7"/>
    <w:rsid w:val="00F159EC"/>
    <w:rsid w:val="00F15B4E"/>
    <w:rsid w:val="00F15DF7"/>
    <w:rsid w:val="00F15E83"/>
    <w:rsid w:val="00F161CE"/>
    <w:rsid w:val="00F17227"/>
    <w:rsid w:val="00F17769"/>
    <w:rsid w:val="00F1784E"/>
    <w:rsid w:val="00F17D65"/>
    <w:rsid w:val="00F20930"/>
    <w:rsid w:val="00F20A3B"/>
    <w:rsid w:val="00F20C42"/>
    <w:rsid w:val="00F20F0A"/>
    <w:rsid w:val="00F211DC"/>
    <w:rsid w:val="00F2130A"/>
    <w:rsid w:val="00F217B6"/>
    <w:rsid w:val="00F21B2F"/>
    <w:rsid w:val="00F222DE"/>
    <w:rsid w:val="00F22961"/>
    <w:rsid w:val="00F2350C"/>
    <w:rsid w:val="00F23B43"/>
    <w:rsid w:val="00F23B88"/>
    <w:rsid w:val="00F24628"/>
    <w:rsid w:val="00F24654"/>
    <w:rsid w:val="00F2472F"/>
    <w:rsid w:val="00F2483F"/>
    <w:rsid w:val="00F24ABC"/>
    <w:rsid w:val="00F24DBA"/>
    <w:rsid w:val="00F251C6"/>
    <w:rsid w:val="00F253A1"/>
    <w:rsid w:val="00F258AA"/>
    <w:rsid w:val="00F259F2"/>
    <w:rsid w:val="00F25C2E"/>
    <w:rsid w:val="00F25DEE"/>
    <w:rsid w:val="00F25E88"/>
    <w:rsid w:val="00F26039"/>
    <w:rsid w:val="00F2636D"/>
    <w:rsid w:val="00F26A30"/>
    <w:rsid w:val="00F270B6"/>
    <w:rsid w:val="00F27265"/>
    <w:rsid w:val="00F276A9"/>
    <w:rsid w:val="00F276F4"/>
    <w:rsid w:val="00F27D4C"/>
    <w:rsid w:val="00F27F32"/>
    <w:rsid w:val="00F30330"/>
    <w:rsid w:val="00F30B5F"/>
    <w:rsid w:val="00F30B6E"/>
    <w:rsid w:val="00F31047"/>
    <w:rsid w:val="00F31B01"/>
    <w:rsid w:val="00F327FA"/>
    <w:rsid w:val="00F32D1C"/>
    <w:rsid w:val="00F331AC"/>
    <w:rsid w:val="00F33737"/>
    <w:rsid w:val="00F33745"/>
    <w:rsid w:val="00F33A57"/>
    <w:rsid w:val="00F34088"/>
    <w:rsid w:val="00F341B5"/>
    <w:rsid w:val="00F34F38"/>
    <w:rsid w:val="00F3504F"/>
    <w:rsid w:val="00F351F7"/>
    <w:rsid w:val="00F35368"/>
    <w:rsid w:val="00F353DC"/>
    <w:rsid w:val="00F359D8"/>
    <w:rsid w:val="00F35B81"/>
    <w:rsid w:val="00F361BE"/>
    <w:rsid w:val="00F362EB"/>
    <w:rsid w:val="00F36506"/>
    <w:rsid w:val="00F36A10"/>
    <w:rsid w:val="00F36D70"/>
    <w:rsid w:val="00F372A6"/>
    <w:rsid w:val="00F37304"/>
    <w:rsid w:val="00F37787"/>
    <w:rsid w:val="00F379BE"/>
    <w:rsid w:val="00F401CB"/>
    <w:rsid w:val="00F4047B"/>
    <w:rsid w:val="00F4096C"/>
    <w:rsid w:val="00F40CE3"/>
    <w:rsid w:val="00F410BE"/>
    <w:rsid w:val="00F41160"/>
    <w:rsid w:val="00F412BA"/>
    <w:rsid w:val="00F414B2"/>
    <w:rsid w:val="00F414FC"/>
    <w:rsid w:val="00F417DF"/>
    <w:rsid w:val="00F41E8E"/>
    <w:rsid w:val="00F421A8"/>
    <w:rsid w:val="00F42379"/>
    <w:rsid w:val="00F4237F"/>
    <w:rsid w:val="00F42990"/>
    <w:rsid w:val="00F433AC"/>
    <w:rsid w:val="00F43609"/>
    <w:rsid w:val="00F43B00"/>
    <w:rsid w:val="00F43E61"/>
    <w:rsid w:val="00F44373"/>
    <w:rsid w:val="00F44A18"/>
    <w:rsid w:val="00F44BF2"/>
    <w:rsid w:val="00F44E0B"/>
    <w:rsid w:val="00F44F74"/>
    <w:rsid w:val="00F4545D"/>
    <w:rsid w:val="00F45B2F"/>
    <w:rsid w:val="00F45B32"/>
    <w:rsid w:val="00F45B65"/>
    <w:rsid w:val="00F45C35"/>
    <w:rsid w:val="00F45D0B"/>
    <w:rsid w:val="00F46340"/>
    <w:rsid w:val="00F463BC"/>
    <w:rsid w:val="00F46526"/>
    <w:rsid w:val="00F469D2"/>
    <w:rsid w:val="00F46BAB"/>
    <w:rsid w:val="00F46E28"/>
    <w:rsid w:val="00F46F80"/>
    <w:rsid w:val="00F477D5"/>
    <w:rsid w:val="00F50042"/>
    <w:rsid w:val="00F518A1"/>
    <w:rsid w:val="00F51964"/>
    <w:rsid w:val="00F519AE"/>
    <w:rsid w:val="00F52C40"/>
    <w:rsid w:val="00F52EEB"/>
    <w:rsid w:val="00F530D2"/>
    <w:rsid w:val="00F54492"/>
    <w:rsid w:val="00F547BD"/>
    <w:rsid w:val="00F54AAD"/>
    <w:rsid w:val="00F54ECB"/>
    <w:rsid w:val="00F54FBC"/>
    <w:rsid w:val="00F55114"/>
    <w:rsid w:val="00F5518C"/>
    <w:rsid w:val="00F551DA"/>
    <w:rsid w:val="00F55230"/>
    <w:rsid w:val="00F5525A"/>
    <w:rsid w:val="00F55675"/>
    <w:rsid w:val="00F55699"/>
    <w:rsid w:val="00F56278"/>
    <w:rsid w:val="00F56C91"/>
    <w:rsid w:val="00F56D38"/>
    <w:rsid w:val="00F56DA3"/>
    <w:rsid w:val="00F56E66"/>
    <w:rsid w:val="00F56EDC"/>
    <w:rsid w:val="00F57211"/>
    <w:rsid w:val="00F57463"/>
    <w:rsid w:val="00F57475"/>
    <w:rsid w:val="00F57827"/>
    <w:rsid w:val="00F57DF7"/>
    <w:rsid w:val="00F6006F"/>
    <w:rsid w:val="00F600A7"/>
    <w:rsid w:val="00F608F5"/>
    <w:rsid w:val="00F60CEE"/>
    <w:rsid w:val="00F612CB"/>
    <w:rsid w:val="00F6142D"/>
    <w:rsid w:val="00F614BA"/>
    <w:rsid w:val="00F617BD"/>
    <w:rsid w:val="00F61FEE"/>
    <w:rsid w:val="00F62276"/>
    <w:rsid w:val="00F627DC"/>
    <w:rsid w:val="00F638B6"/>
    <w:rsid w:val="00F63CDD"/>
    <w:rsid w:val="00F640ED"/>
    <w:rsid w:val="00F64638"/>
    <w:rsid w:val="00F64DA3"/>
    <w:rsid w:val="00F64E3D"/>
    <w:rsid w:val="00F650F9"/>
    <w:rsid w:val="00F65297"/>
    <w:rsid w:val="00F6531F"/>
    <w:rsid w:val="00F65364"/>
    <w:rsid w:val="00F655CE"/>
    <w:rsid w:val="00F65C5A"/>
    <w:rsid w:val="00F65EBE"/>
    <w:rsid w:val="00F667CA"/>
    <w:rsid w:val="00F6698E"/>
    <w:rsid w:val="00F66A37"/>
    <w:rsid w:val="00F66A61"/>
    <w:rsid w:val="00F66C69"/>
    <w:rsid w:val="00F66D31"/>
    <w:rsid w:val="00F66EB8"/>
    <w:rsid w:val="00F6713D"/>
    <w:rsid w:val="00F67617"/>
    <w:rsid w:val="00F70504"/>
    <w:rsid w:val="00F70518"/>
    <w:rsid w:val="00F70C17"/>
    <w:rsid w:val="00F71044"/>
    <w:rsid w:val="00F71A18"/>
    <w:rsid w:val="00F71ADE"/>
    <w:rsid w:val="00F71F5B"/>
    <w:rsid w:val="00F72028"/>
    <w:rsid w:val="00F723A0"/>
    <w:rsid w:val="00F72942"/>
    <w:rsid w:val="00F72967"/>
    <w:rsid w:val="00F72A80"/>
    <w:rsid w:val="00F72C23"/>
    <w:rsid w:val="00F72DA4"/>
    <w:rsid w:val="00F72DEA"/>
    <w:rsid w:val="00F72E5E"/>
    <w:rsid w:val="00F73050"/>
    <w:rsid w:val="00F73BA7"/>
    <w:rsid w:val="00F74459"/>
    <w:rsid w:val="00F74800"/>
    <w:rsid w:val="00F74A2A"/>
    <w:rsid w:val="00F74AED"/>
    <w:rsid w:val="00F7500B"/>
    <w:rsid w:val="00F759F6"/>
    <w:rsid w:val="00F76A00"/>
    <w:rsid w:val="00F8006A"/>
    <w:rsid w:val="00F8010C"/>
    <w:rsid w:val="00F80615"/>
    <w:rsid w:val="00F810E7"/>
    <w:rsid w:val="00F81775"/>
    <w:rsid w:val="00F82029"/>
    <w:rsid w:val="00F82A09"/>
    <w:rsid w:val="00F82D84"/>
    <w:rsid w:val="00F83A06"/>
    <w:rsid w:val="00F83A1F"/>
    <w:rsid w:val="00F84CE4"/>
    <w:rsid w:val="00F84EB8"/>
    <w:rsid w:val="00F8554F"/>
    <w:rsid w:val="00F8588C"/>
    <w:rsid w:val="00F85AC4"/>
    <w:rsid w:val="00F85D8A"/>
    <w:rsid w:val="00F86602"/>
    <w:rsid w:val="00F867DA"/>
    <w:rsid w:val="00F86EA7"/>
    <w:rsid w:val="00F87130"/>
    <w:rsid w:val="00F87C6C"/>
    <w:rsid w:val="00F90197"/>
    <w:rsid w:val="00F90875"/>
    <w:rsid w:val="00F90C21"/>
    <w:rsid w:val="00F911C8"/>
    <w:rsid w:val="00F91BF1"/>
    <w:rsid w:val="00F91CDA"/>
    <w:rsid w:val="00F91DC8"/>
    <w:rsid w:val="00F9200B"/>
    <w:rsid w:val="00F923D7"/>
    <w:rsid w:val="00F923F3"/>
    <w:rsid w:val="00F92441"/>
    <w:rsid w:val="00F9268A"/>
    <w:rsid w:val="00F9269F"/>
    <w:rsid w:val="00F927C2"/>
    <w:rsid w:val="00F9287A"/>
    <w:rsid w:val="00F92D35"/>
    <w:rsid w:val="00F92F8A"/>
    <w:rsid w:val="00F93121"/>
    <w:rsid w:val="00F9363E"/>
    <w:rsid w:val="00F93C0F"/>
    <w:rsid w:val="00F93CA7"/>
    <w:rsid w:val="00F9460C"/>
    <w:rsid w:val="00F9470C"/>
    <w:rsid w:val="00F94E71"/>
    <w:rsid w:val="00F94FEE"/>
    <w:rsid w:val="00F95021"/>
    <w:rsid w:val="00F9523D"/>
    <w:rsid w:val="00F953B2"/>
    <w:rsid w:val="00F95941"/>
    <w:rsid w:val="00F95A66"/>
    <w:rsid w:val="00F95A81"/>
    <w:rsid w:val="00F95A92"/>
    <w:rsid w:val="00F95C28"/>
    <w:rsid w:val="00F95DC5"/>
    <w:rsid w:val="00F96E6F"/>
    <w:rsid w:val="00F972F7"/>
    <w:rsid w:val="00F973D9"/>
    <w:rsid w:val="00F976A5"/>
    <w:rsid w:val="00FA0025"/>
    <w:rsid w:val="00FA0215"/>
    <w:rsid w:val="00FA05A6"/>
    <w:rsid w:val="00FA0615"/>
    <w:rsid w:val="00FA0A53"/>
    <w:rsid w:val="00FA0BD7"/>
    <w:rsid w:val="00FA10D7"/>
    <w:rsid w:val="00FA1329"/>
    <w:rsid w:val="00FA1510"/>
    <w:rsid w:val="00FA161E"/>
    <w:rsid w:val="00FA1AC9"/>
    <w:rsid w:val="00FA1ACF"/>
    <w:rsid w:val="00FA1C3C"/>
    <w:rsid w:val="00FA1C49"/>
    <w:rsid w:val="00FA20A6"/>
    <w:rsid w:val="00FA23AD"/>
    <w:rsid w:val="00FA2460"/>
    <w:rsid w:val="00FA26CF"/>
    <w:rsid w:val="00FA27DD"/>
    <w:rsid w:val="00FA27FC"/>
    <w:rsid w:val="00FA31E4"/>
    <w:rsid w:val="00FA34AC"/>
    <w:rsid w:val="00FA3CF7"/>
    <w:rsid w:val="00FA3E3D"/>
    <w:rsid w:val="00FA5351"/>
    <w:rsid w:val="00FA55B8"/>
    <w:rsid w:val="00FA6147"/>
    <w:rsid w:val="00FA6B62"/>
    <w:rsid w:val="00FA6E58"/>
    <w:rsid w:val="00FA71D1"/>
    <w:rsid w:val="00FA722E"/>
    <w:rsid w:val="00FA79D7"/>
    <w:rsid w:val="00FB09B6"/>
    <w:rsid w:val="00FB0C03"/>
    <w:rsid w:val="00FB0E23"/>
    <w:rsid w:val="00FB117D"/>
    <w:rsid w:val="00FB11AB"/>
    <w:rsid w:val="00FB1740"/>
    <w:rsid w:val="00FB192B"/>
    <w:rsid w:val="00FB1A7D"/>
    <w:rsid w:val="00FB1B5D"/>
    <w:rsid w:val="00FB1D89"/>
    <w:rsid w:val="00FB1E47"/>
    <w:rsid w:val="00FB21B2"/>
    <w:rsid w:val="00FB2504"/>
    <w:rsid w:val="00FB2D27"/>
    <w:rsid w:val="00FB37C0"/>
    <w:rsid w:val="00FB38DF"/>
    <w:rsid w:val="00FB398F"/>
    <w:rsid w:val="00FB3E7D"/>
    <w:rsid w:val="00FB402D"/>
    <w:rsid w:val="00FB4472"/>
    <w:rsid w:val="00FB466B"/>
    <w:rsid w:val="00FB47F5"/>
    <w:rsid w:val="00FB4B27"/>
    <w:rsid w:val="00FB55D1"/>
    <w:rsid w:val="00FB5948"/>
    <w:rsid w:val="00FB6023"/>
    <w:rsid w:val="00FB61C1"/>
    <w:rsid w:val="00FB62CE"/>
    <w:rsid w:val="00FB65CD"/>
    <w:rsid w:val="00FB68D9"/>
    <w:rsid w:val="00FB7A76"/>
    <w:rsid w:val="00FB7F90"/>
    <w:rsid w:val="00FB7F94"/>
    <w:rsid w:val="00FC0509"/>
    <w:rsid w:val="00FC07CD"/>
    <w:rsid w:val="00FC0AEC"/>
    <w:rsid w:val="00FC0C7B"/>
    <w:rsid w:val="00FC0F21"/>
    <w:rsid w:val="00FC1138"/>
    <w:rsid w:val="00FC177C"/>
    <w:rsid w:val="00FC18BA"/>
    <w:rsid w:val="00FC2D1A"/>
    <w:rsid w:val="00FC2FEA"/>
    <w:rsid w:val="00FC40A7"/>
    <w:rsid w:val="00FC4540"/>
    <w:rsid w:val="00FC47E6"/>
    <w:rsid w:val="00FC53AB"/>
    <w:rsid w:val="00FC54F4"/>
    <w:rsid w:val="00FC55B8"/>
    <w:rsid w:val="00FC5998"/>
    <w:rsid w:val="00FC5EFE"/>
    <w:rsid w:val="00FC6723"/>
    <w:rsid w:val="00FC68B0"/>
    <w:rsid w:val="00FC69A5"/>
    <w:rsid w:val="00FC6C45"/>
    <w:rsid w:val="00FC6EE4"/>
    <w:rsid w:val="00FC7000"/>
    <w:rsid w:val="00FC781E"/>
    <w:rsid w:val="00FC7A65"/>
    <w:rsid w:val="00FC7C15"/>
    <w:rsid w:val="00FC7D88"/>
    <w:rsid w:val="00FC7DB1"/>
    <w:rsid w:val="00FD0607"/>
    <w:rsid w:val="00FD080F"/>
    <w:rsid w:val="00FD0B1B"/>
    <w:rsid w:val="00FD14FE"/>
    <w:rsid w:val="00FD2954"/>
    <w:rsid w:val="00FD29D6"/>
    <w:rsid w:val="00FD2AC3"/>
    <w:rsid w:val="00FD33B5"/>
    <w:rsid w:val="00FD3DD5"/>
    <w:rsid w:val="00FD422C"/>
    <w:rsid w:val="00FD48CB"/>
    <w:rsid w:val="00FD4AD1"/>
    <w:rsid w:val="00FD4B6E"/>
    <w:rsid w:val="00FD4B9D"/>
    <w:rsid w:val="00FD4C12"/>
    <w:rsid w:val="00FD523A"/>
    <w:rsid w:val="00FD57FF"/>
    <w:rsid w:val="00FD5977"/>
    <w:rsid w:val="00FD5A88"/>
    <w:rsid w:val="00FD5C90"/>
    <w:rsid w:val="00FD5EE7"/>
    <w:rsid w:val="00FD63F0"/>
    <w:rsid w:val="00FD6CF6"/>
    <w:rsid w:val="00FD7982"/>
    <w:rsid w:val="00FD7DF7"/>
    <w:rsid w:val="00FD7E35"/>
    <w:rsid w:val="00FE09EA"/>
    <w:rsid w:val="00FE0A43"/>
    <w:rsid w:val="00FE0C37"/>
    <w:rsid w:val="00FE1255"/>
    <w:rsid w:val="00FE1261"/>
    <w:rsid w:val="00FE15C7"/>
    <w:rsid w:val="00FE163B"/>
    <w:rsid w:val="00FE169B"/>
    <w:rsid w:val="00FE1BA1"/>
    <w:rsid w:val="00FE2037"/>
    <w:rsid w:val="00FE39F4"/>
    <w:rsid w:val="00FE3B9E"/>
    <w:rsid w:val="00FE47CF"/>
    <w:rsid w:val="00FE492F"/>
    <w:rsid w:val="00FE49C4"/>
    <w:rsid w:val="00FE4A24"/>
    <w:rsid w:val="00FE4D03"/>
    <w:rsid w:val="00FE4D60"/>
    <w:rsid w:val="00FE4DA0"/>
    <w:rsid w:val="00FE4EC0"/>
    <w:rsid w:val="00FE4FBD"/>
    <w:rsid w:val="00FE5291"/>
    <w:rsid w:val="00FE5B8E"/>
    <w:rsid w:val="00FE6497"/>
    <w:rsid w:val="00FE6B13"/>
    <w:rsid w:val="00FE78AC"/>
    <w:rsid w:val="00FE7948"/>
    <w:rsid w:val="00FF0018"/>
    <w:rsid w:val="00FF0021"/>
    <w:rsid w:val="00FF0743"/>
    <w:rsid w:val="00FF0C94"/>
    <w:rsid w:val="00FF13F0"/>
    <w:rsid w:val="00FF16C4"/>
    <w:rsid w:val="00FF1E04"/>
    <w:rsid w:val="00FF21BA"/>
    <w:rsid w:val="00FF2331"/>
    <w:rsid w:val="00FF25D3"/>
    <w:rsid w:val="00FF2765"/>
    <w:rsid w:val="00FF2BDF"/>
    <w:rsid w:val="00FF3460"/>
    <w:rsid w:val="00FF37FD"/>
    <w:rsid w:val="00FF3C88"/>
    <w:rsid w:val="00FF4BFC"/>
    <w:rsid w:val="00FF578C"/>
    <w:rsid w:val="00FF5AE6"/>
    <w:rsid w:val="00FF5B3D"/>
    <w:rsid w:val="00FF5E59"/>
    <w:rsid w:val="00FF5F28"/>
    <w:rsid w:val="00FF60D8"/>
    <w:rsid w:val="00FF6C61"/>
    <w:rsid w:val="00FF6DCE"/>
    <w:rsid w:val="00FF78BE"/>
    <w:rsid w:val="00FF7BD5"/>
    <w:rsid w:val="010384C9"/>
    <w:rsid w:val="011650EB"/>
    <w:rsid w:val="011E82FD"/>
    <w:rsid w:val="013A42F5"/>
    <w:rsid w:val="0166139D"/>
    <w:rsid w:val="01724DC9"/>
    <w:rsid w:val="017D899D"/>
    <w:rsid w:val="018DA330"/>
    <w:rsid w:val="01C655AF"/>
    <w:rsid w:val="01CA1478"/>
    <w:rsid w:val="01CB2AB8"/>
    <w:rsid w:val="01F0D5F0"/>
    <w:rsid w:val="0242B4DB"/>
    <w:rsid w:val="024A3796"/>
    <w:rsid w:val="026597F6"/>
    <w:rsid w:val="0286A141"/>
    <w:rsid w:val="028CB0A5"/>
    <w:rsid w:val="0294A22C"/>
    <w:rsid w:val="02AE93D7"/>
    <w:rsid w:val="02B9386A"/>
    <w:rsid w:val="02D45EDA"/>
    <w:rsid w:val="0391BC8A"/>
    <w:rsid w:val="039E7398"/>
    <w:rsid w:val="03B0E141"/>
    <w:rsid w:val="03D891E4"/>
    <w:rsid w:val="03DE8590"/>
    <w:rsid w:val="0402B49F"/>
    <w:rsid w:val="040704A0"/>
    <w:rsid w:val="0434C433"/>
    <w:rsid w:val="04466D20"/>
    <w:rsid w:val="044E686D"/>
    <w:rsid w:val="046CF91F"/>
    <w:rsid w:val="0483D3BC"/>
    <w:rsid w:val="04B34CB1"/>
    <w:rsid w:val="04B38057"/>
    <w:rsid w:val="04DCAED5"/>
    <w:rsid w:val="05118910"/>
    <w:rsid w:val="05525C7F"/>
    <w:rsid w:val="055D268B"/>
    <w:rsid w:val="057003BE"/>
    <w:rsid w:val="058A3A76"/>
    <w:rsid w:val="05BA0AA2"/>
    <w:rsid w:val="05C27632"/>
    <w:rsid w:val="05D59068"/>
    <w:rsid w:val="05D7C411"/>
    <w:rsid w:val="05E4F885"/>
    <w:rsid w:val="05FE6A11"/>
    <w:rsid w:val="063D43C7"/>
    <w:rsid w:val="06433AAA"/>
    <w:rsid w:val="064AD430"/>
    <w:rsid w:val="065C815B"/>
    <w:rsid w:val="06ADC9C7"/>
    <w:rsid w:val="06CDF081"/>
    <w:rsid w:val="06D2537E"/>
    <w:rsid w:val="06FF479D"/>
    <w:rsid w:val="0703DF0C"/>
    <w:rsid w:val="073816D8"/>
    <w:rsid w:val="073E2619"/>
    <w:rsid w:val="0757FF0D"/>
    <w:rsid w:val="0767A824"/>
    <w:rsid w:val="07999676"/>
    <w:rsid w:val="07A36EAD"/>
    <w:rsid w:val="07DA40BD"/>
    <w:rsid w:val="07E3D380"/>
    <w:rsid w:val="08362F98"/>
    <w:rsid w:val="0870BE71"/>
    <w:rsid w:val="08B67B7C"/>
    <w:rsid w:val="08F0B785"/>
    <w:rsid w:val="0908CC8E"/>
    <w:rsid w:val="092B62E6"/>
    <w:rsid w:val="0939FDA8"/>
    <w:rsid w:val="094C1198"/>
    <w:rsid w:val="0958680E"/>
    <w:rsid w:val="09708217"/>
    <w:rsid w:val="09A2B659"/>
    <w:rsid w:val="09A489AC"/>
    <w:rsid w:val="09DE365E"/>
    <w:rsid w:val="09EE601A"/>
    <w:rsid w:val="0A076862"/>
    <w:rsid w:val="0A13BAF6"/>
    <w:rsid w:val="0A4C2428"/>
    <w:rsid w:val="0A544516"/>
    <w:rsid w:val="0A6946E8"/>
    <w:rsid w:val="0A961DDD"/>
    <w:rsid w:val="0AB3D8C6"/>
    <w:rsid w:val="0ABFF747"/>
    <w:rsid w:val="0AD4672B"/>
    <w:rsid w:val="0AF7C252"/>
    <w:rsid w:val="0B27FC21"/>
    <w:rsid w:val="0B33E7B1"/>
    <w:rsid w:val="0B374027"/>
    <w:rsid w:val="0B41E791"/>
    <w:rsid w:val="0B58BEE2"/>
    <w:rsid w:val="0B68AB68"/>
    <w:rsid w:val="0B7F15D2"/>
    <w:rsid w:val="0BA625F2"/>
    <w:rsid w:val="0BAE65C9"/>
    <w:rsid w:val="0BB31D10"/>
    <w:rsid w:val="0BCF8AF0"/>
    <w:rsid w:val="0BF013E5"/>
    <w:rsid w:val="0C523B59"/>
    <w:rsid w:val="0C8774C7"/>
    <w:rsid w:val="0C89FCCF"/>
    <w:rsid w:val="0C8F9D50"/>
    <w:rsid w:val="0CB0ABED"/>
    <w:rsid w:val="0CBDD06E"/>
    <w:rsid w:val="0CE16474"/>
    <w:rsid w:val="0CE33A30"/>
    <w:rsid w:val="0D08215D"/>
    <w:rsid w:val="0D2C719C"/>
    <w:rsid w:val="0D4A1F1D"/>
    <w:rsid w:val="0D4B4E17"/>
    <w:rsid w:val="0D6FFBCD"/>
    <w:rsid w:val="0D7A9123"/>
    <w:rsid w:val="0D870E22"/>
    <w:rsid w:val="0DB97940"/>
    <w:rsid w:val="0DD17D45"/>
    <w:rsid w:val="0DF71E4E"/>
    <w:rsid w:val="0E0DC8F2"/>
    <w:rsid w:val="0E29F559"/>
    <w:rsid w:val="0E523893"/>
    <w:rsid w:val="0E693E20"/>
    <w:rsid w:val="0E89969A"/>
    <w:rsid w:val="0EA4AE2F"/>
    <w:rsid w:val="0EF8DF91"/>
    <w:rsid w:val="0EFA4057"/>
    <w:rsid w:val="0F172E7C"/>
    <w:rsid w:val="0F864915"/>
    <w:rsid w:val="0FBF3605"/>
    <w:rsid w:val="0FD0C45C"/>
    <w:rsid w:val="0FE79349"/>
    <w:rsid w:val="0FFD72EF"/>
    <w:rsid w:val="10071488"/>
    <w:rsid w:val="10103F1A"/>
    <w:rsid w:val="104D07A8"/>
    <w:rsid w:val="105C54D9"/>
    <w:rsid w:val="10CB4B3E"/>
    <w:rsid w:val="10D4FF5F"/>
    <w:rsid w:val="1107B2A4"/>
    <w:rsid w:val="111D800C"/>
    <w:rsid w:val="119F1BBD"/>
    <w:rsid w:val="11EFE2A7"/>
    <w:rsid w:val="12100288"/>
    <w:rsid w:val="128F5D73"/>
    <w:rsid w:val="12AE4A6A"/>
    <w:rsid w:val="12BC6CD9"/>
    <w:rsid w:val="12C1CAA4"/>
    <w:rsid w:val="13066AD5"/>
    <w:rsid w:val="130F1F5B"/>
    <w:rsid w:val="1315C075"/>
    <w:rsid w:val="1351B82D"/>
    <w:rsid w:val="136C5300"/>
    <w:rsid w:val="13B10BA9"/>
    <w:rsid w:val="13B35791"/>
    <w:rsid w:val="13D4F6D2"/>
    <w:rsid w:val="1402499E"/>
    <w:rsid w:val="1414D378"/>
    <w:rsid w:val="1446C928"/>
    <w:rsid w:val="146AC18D"/>
    <w:rsid w:val="14C8C3AC"/>
    <w:rsid w:val="14E18017"/>
    <w:rsid w:val="1500309F"/>
    <w:rsid w:val="1502CF01"/>
    <w:rsid w:val="1524AA51"/>
    <w:rsid w:val="15457F54"/>
    <w:rsid w:val="154EE5C0"/>
    <w:rsid w:val="15551E79"/>
    <w:rsid w:val="157CEF21"/>
    <w:rsid w:val="15AA33D8"/>
    <w:rsid w:val="15BEC5E2"/>
    <w:rsid w:val="15D4AEA3"/>
    <w:rsid w:val="15ED596D"/>
    <w:rsid w:val="160FFBB2"/>
    <w:rsid w:val="16279078"/>
    <w:rsid w:val="1629699E"/>
    <w:rsid w:val="16574507"/>
    <w:rsid w:val="16669A13"/>
    <w:rsid w:val="16677063"/>
    <w:rsid w:val="168AD9C8"/>
    <w:rsid w:val="16A50BAD"/>
    <w:rsid w:val="16AE7755"/>
    <w:rsid w:val="16DB3305"/>
    <w:rsid w:val="16EB4D36"/>
    <w:rsid w:val="16FFE9ED"/>
    <w:rsid w:val="170AAF11"/>
    <w:rsid w:val="17707205"/>
    <w:rsid w:val="17997F0B"/>
    <w:rsid w:val="17B7C83A"/>
    <w:rsid w:val="17D2C9F8"/>
    <w:rsid w:val="17D41550"/>
    <w:rsid w:val="17DF9AE9"/>
    <w:rsid w:val="17EBD062"/>
    <w:rsid w:val="17F1932E"/>
    <w:rsid w:val="17F2CEF9"/>
    <w:rsid w:val="1813BDE1"/>
    <w:rsid w:val="181B2A62"/>
    <w:rsid w:val="1823435B"/>
    <w:rsid w:val="1845C6D3"/>
    <w:rsid w:val="186EE05A"/>
    <w:rsid w:val="18917B5D"/>
    <w:rsid w:val="18937BDA"/>
    <w:rsid w:val="18989165"/>
    <w:rsid w:val="18AA6E57"/>
    <w:rsid w:val="18AEA9DF"/>
    <w:rsid w:val="18F6B171"/>
    <w:rsid w:val="19028F41"/>
    <w:rsid w:val="1902EB14"/>
    <w:rsid w:val="1903AB12"/>
    <w:rsid w:val="1929CB79"/>
    <w:rsid w:val="19326034"/>
    <w:rsid w:val="19458330"/>
    <w:rsid w:val="194E8DDB"/>
    <w:rsid w:val="19D18A52"/>
    <w:rsid w:val="19E16A45"/>
    <w:rsid w:val="1A26253C"/>
    <w:rsid w:val="1A30C231"/>
    <w:rsid w:val="1A66AC47"/>
    <w:rsid w:val="1A7D1EB8"/>
    <w:rsid w:val="1A994266"/>
    <w:rsid w:val="1A9AF7BD"/>
    <w:rsid w:val="1AA8A380"/>
    <w:rsid w:val="1AABD96F"/>
    <w:rsid w:val="1AEE4206"/>
    <w:rsid w:val="1B05ACA9"/>
    <w:rsid w:val="1B18AEDF"/>
    <w:rsid w:val="1B1C89DA"/>
    <w:rsid w:val="1B70615B"/>
    <w:rsid w:val="1B7C61E3"/>
    <w:rsid w:val="1B993E10"/>
    <w:rsid w:val="1BA225A8"/>
    <w:rsid w:val="1BE63F90"/>
    <w:rsid w:val="1C76FDC1"/>
    <w:rsid w:val="1C859FDB"/>
    <w:rsid w:val="1CA98D98"/>
    <w:rsid w:val="1CB776C3"/>
    <w:rsid w:val="1CEB4E5B"/>
    <w:rsid w:val="1D067F6E"/>
    <w:rsid w:val="1D1215F4"/>
    <w:rsid w:val="1D239EA6"/>
    <w:rsid w:val="1D3514D9"/>
    <w:rsid w:val="1D3D8C81"/>
    <w:rsid w:val="1D5E8CE5"/>
    <w:rsid w:val="1D6DF1E9"/>
    <w:rsid w:val="1D786E2A"/>
    <w:rsid w:val="1D90732A"/>
    <w:rsid w:val="1DAD7F5F"/>
    <w:rsid w:val="1DBC10F3"/>
    <w:rsid w:val="1DE1154A"/>
    <w:rsid w:val="1E130766"/>
    <w:rsid w:val="1E1F1AD2"/>
    <w:rsid w:val="1E293E66"/>
    <w:rsid w:val="1E52135A"/>
    <w:rsid w:val="1E6CFF23"/>
    <w:rsid w:val="1EBDCF2F"/>
    <w:rsid w:val="1EC2E92F"/>
    <w:rsid w:val="1EC9BA42"/>
    <w:rsid w:val="1ECF7A6D"/>
    <w:rsid w:val="1EDF640F"/>
    <w:rsid w:val="1EFF0027"/>
    <w:rsid w:val="1F1AACF1"/>
    <w:rsid w:val="1FB21467"/>
    <w:rsid w:val="2012A7C1"/>
    <w:rsid w:val="202466C6"/>
    <w:rsid w:val="20679F0F"/>
    <w:rsid w:val="206A470A"/>
    <w:rsid w:val="2076E4D3"/>
    <w:rsid w:val="2087565C"/>
    <w:rsid w:val="20C62E7D"/>
    <w:rsid w:val="20DFB784"/>
    <w:rsid w:val="20F12D6D"/>
    <w:rsid w:val="2134DD5E"/>
    <w:rsid w:val="2139FFD7"/>
    <w:rsid w:val="2153C21D"/>
    <w:rsid w:val="2157D958"/>
    <w:rsid w:val="2173B40D"/>
    <w:rsid w:val="217A1C37"/>
    <w:rsid w:val="21B9D522"/>
    <w:rsid w:val="21C3DF67"/>
    <w:rsid w:val="21E50451"/>
    <w:rsid w:val="21F80B67"/>
    <w:rsid w:val="221E794B"/>
    <w:rsid w:val="227026F6"/>
    <w:rsid w:val="227190D2"/>
    <w:rsid w:val="22839C12"/>
    <w:rsid w:val="22C3D036"/>
    <w:rsid w:val="22CA1C25"/>
    <w:rsid w:val="22DAB5E6"/>
    <w:rsid w:val="22E22BF8"/>
    <w:rsid w:val="2308B4D7"/>
    <w:rsid w:val="234DAE30"/>
    <w:rsid w:val="2366EA3B"/>
    <w:rsid w:val="23760CDB"/>
    <w:rsid w:val="23ACCF1A"/>
    <w:rsid w:val="23BA6DD7"/>
    <w:rsid w:val="2405F196"/>
    <w:rsid w:val="24541366"/>
    <w:rsid w:val="24793582"/>
    <w:rsid w:val="2481CB18"/>
    <w:rsid w:val="249123CD"/>
    <w:rsid w:val="24AF7CD1"/>
    <w:rsid w:val="24B3D1F4"/>
    <w:rsid w:val="2515B018"/>
    <w:rsid w:val="25504C1E"/>
    <w:rsid w:val="256A1F1C"/>
    <w:rsid w:val="256B4BC6"/>
    <w:rsid w:val="25A8382E"/>
    <w:rsid w:val="25C0F786"/>
    <w:rsid w:val="25C904E5"/>
    <w:rsid w:val="25D2E7CE"/>
    <w:rsid w:val="25DDA215"/>
    <w:rsid w:val="25E6774C"/>
    <w:rsid w:val="25FCA350"/>
    <w:rsid w:val="26138750"/>
    <w:rsid w:val="26198B07"/>
    <w:rsid w:val="261BED6E"/>
    <w:rsid w:val="261C5199"/>
    <w:rsid w:val="2661C9EB"/>
    <w:rsid w:val="2673E6CE"/>
    <w:rsid w:val="26FD2781"/>
    <w:rsid w:val="27358F08"/>
    <w:rsid w:val="273826A5"/>
    <w:rsid w:val="2768C616"/>
    <w:rsid w:val="276E6024"/>
    <w:rsid w:val="2770696E"/>
    <w:rsid w:val="27800F12"/>
    <w:rsid w:val="2782F3C1"/>
    <w:rsid w:val="27989AEF"/>
    <w:rsid w:val="27B57F9E"/>
    <w:rsid w:val="27C0E018"/>
    <w:rsid w:val="27DC075D"/>
    <w:rsid w:val="27EB181D"/>
    <w:rsid w:val="28030293"/>
    <w:rsid w:val="2830FD90"/>
    <w:rsid w:val="28313580"/>
    <w:rsid w:val="28407386"/>
    <w:rsid w:val="285B54F7"/>
    <w:rsid w:val="2868AF43"/>
    <w:rsid w:val="28F1BB7F"/>
    <w:rsid w:val="2910E560"/>
    <w:rsid w:val="29169457"/>
    <w:rsid w:val="293F510F"/>
    <w:rsid w:val="294DC715"/>
    <w:rsid w:val="29A3E068"/>
    <w:rsid w:val="29AA6791"/>
    <w:rsid w:val="29B06DB5"/>
    <w:rsid w:val="29BB6020"/>
    <w:rsid w:val="29D9818D"/>
    <w:rsid w:val="2A01DFC3"/>
    <w:rsid w:val="2A0DFE61"/>
    <w:rsid w:val="2A35CBC1"/>
    <w:rsid w:val="2A3AF23C"/>
    <w:rsid w:val="2A47A470"/>
    <w:rsid w:val="2A493FD9"/>
    <w:rsid w:val="2A495325"/>
    <w:rsid w:val="2A4A6A8A"/>
    <w:rsid w:val="2A5C80D8"/>
    <w:rsid w:val="2A98FABE"/>
    <w:rsid w:val="2A9A435E"/>
    <w:rsid w:val="2AC8CB3F"/>
    <w:rsid w:val="2ADB7FA9"/>
    <w:rsid w:val="2AEF204D"/>
    <w:rsid w:val="2AFD4247"/>
    <w:rsid w:val="2B5E8B44"/>
    <w:rsid w:val="2B6E74B3"/>
    <w:rsid w:val="2BB4ABD5"/>
    <w:rsid w:val="2BEF6886"/>
    <w:rsid w:val="2C443C53"/>
    <w:rsid w:val="2CBC098D"/>
    <w:rsid w:val="2CDA1C47"/>
    <w:rsid w:val="2CE7C0EB"/>
    <w:rsid w:val="2CF1D647"/>
    <w:rsid w:val="2CFBBF18"/>
    <w:rsid w:val="2D11D4E4"/>
    <w:rsid w:val="2D37667E"/>
    <w:rsid w:val="2D39BE04"/>
    <w:rsid w:val="2D4D13E7"/>
    <w:rsid w:val="2D6176D7"/>
    <w:rsid w:val="2D718CD2"/>
    <w:rsid w:val="2D71A2E6"/>
    <w:rsid w:val="2D90458D"/>
    <w:rsid w:val="2DB1CB40"/>
    <w:rsid w:val="2DD93EDF"/>
    <w:rsid w:val="2DE49376"/>
    <w:rsid w:val="2DE5FE51"/>
    <w:rsid w:val="2E2170EB"/>
    <w:rsid w:val="2E4E7058"/>
    <w:rsid w:val="2E6457CB"/>
    <w:rsid w:val="2E89A034"/>
    <w:rsid w:val="2EBD0F03"/>
    <w:rsid w:val="2EC6841A"/>
    <w:rsid w:val="2ECAD5D6"/>
    <w:rsid w:val="2EF9BD3A"/>
    <w:rsid w:val="2F3C9CBB"/>
    <w:rsid w:val="2F9AE99C"/>
    <w:rsid w:val="2F9EFCA7"/>
    <w:rsid w:val="2FC41918"/>
    <w:rsid w:val="2FD8FC83"/>
    <w:rsid w:val="301FA996"/>
    <w:rsid w:val="301FF69B"/>
    <w:rsid w:val="30674302"/>
    <w:rsid w:val="30AC410B"/>
    <w:rsid w:val="30D38EFB"/>
    <w:rsid w:val="30F7A7FB"/>
    <w:rsid w:val="30FA076E"/>
    <w:rsid w:val="310A0978"/>
    <w:rsid w:val="3128F021"/>
    <w:rsid w:val="313EBEC9"/>
    <w:rsid w:val="31498444"/>
    <w:rsid w:val="318417D7"/>
    <w:rsid w:val="31922DBE"/>
    <w:rsid w:val="31C6050F"/>
    <w:rsid w:val="31CDA48B"/>
    <w:rsid w:val="320137E9"/>
    <w:rsid w:val="32152378"/>
    <w:rsid w:val="327209DF"/>
    <w:rsid w:val="327864DE"/>
    <w:rsid w:val="32ACEE30"/>
    <w:rsid w:val="32B26D4C"/>
    <w:rsid w:val="32BBE681"/>
    <w:rsid w:val="32C34C12"/>
    <w:rsid w:val="32D9A2DF"/>
    <w:rsid w:val="32F1028C"/>
    <w:rsid w:val="334B2D86"/>
    <w:rsid w:val="334DA690"/>
    <w:rsid w:val="335F71AC"/>
    <w:rsid w:val="3367B975"/>
    <w:rsid w:val="336BF918"/>
    <w:rsid w:val="338A7FD3"/>
    <w:rsid w:val="339C77EB"/>
    <w:rsid w:val="33CC96E5"/>
    <w:rsid w:val="33F8F2A5"/>
    <w:rsid w:val="3420B3E1"/>
    <w:rsid w:val="342501B7"/>
    <w:rsid w:val="342CF638"/>
    <w:rsid w:val="343DFCA5"/>
    <w:rsid w:val="345FEED3"/>
    <w:rsid w:val="346B3550"/>
    <w:rsid w:val="34B02F28"/>
    <w:rsid w:val="34EA6A07"/>
    <w:rsid w:val="34F78EF6"/>
    <w:rsid w:val="34F96EE6"/>
    <w:rsid w:val="35148344"/>
    <w:rsid w:val="3517CB5D"/>
    <w:rsid w:val="356124E3"/>
    <w:rsid w:val="3571910C"/>
    <w:rsid w:val="35EA84FB"/>
    <w:rsid w:val="35ED8531"/>
    <w:rsid w:val="35F5336F"/>
    <w:rsid w:val="35FCFD0E"/>
    <w:rsid w:val="3614FAA7"/>
    <w:rsid w:val="36256FB5"/>
    <w:rsid w:val="36660CD6"/>
    <w:rsid w:val="3688BCB4"/>
    <w:rsid w:val="36B5291E"/>
    <w:rsid w:val="36F5626F"/>
    <w:rsid w:val="36F9A459"/>
    <w:rsid w:val="36FB5A5A"/>
    <w:rsid w:val="372D1008"/>
    <w:rsid w:val="375CD1E5"/>
    <w:rsid w:val="3768AB95"/>
    <w:rsid w:val="37DB07D6"/>
    <w:rsid w:val="37E72E45"/>
    <w:rsid w:val="38063EBB"/>
    <w:rsid w:val="381497EA"/>
    <w:rsid w:val="381CEB7E"/>
    <w:rsid w:val="382C0640"/>
    <w:rsid w:val="3838B7B2"/>
    <w:rsid w:val="383C20F0"/>
    <w:rsid w:val="3861C0FB"/>
    <w:rsid w:val="3868FF7D"/>
    <w:rsid w:val="389538E3"/>
    <w:rsid w:val="38E88C36"/>
    <w:rsid w:val="38F91C6C"/>
    <w:rsid w:val="396CB808"/>
    <w:rsid w:val="3976FF21"/>
    <w:rsid w:val="398DBE4D"/>
    <w:rsid w:val="39B28D5D"/>
    <w:rsid w:val="39C766D6"/>
    <w:rsid w:val="39D2B690"/>
    <w:rsid w:val="39EBF4BA"/>
    <w:rsid w:val="39FAAAB8"/>
    <w:rsid w:val="39FDABCF"/>
    <w:rsid w:val="3A0958A7"/>
    <w:rsid w:val="3A31A056"/>
    <w:rsid w:val="3A51D9E4"/>
    <w:rsid w:val="3A5D2CDE"/>
    <w:rsid w:val="3A6F0FC7"/>
    <w:rsid w:val="3A89A7D9"/>
    <w:rsid w:val="3AB1CF43"/>
    <w:rsid w:val="3ADFC20B"/>
    <w:rsid w:val="3AFF5878"/>
    <w:rsid w:val="3B1216CF"/>
    <w:rsid w:val="3B1D3195"/>
    <w:rsid w:val="3B3AF398"/>
    <w:rsid w:val="3B5E5895"/>
    <w:rsid w:val="3B683AE0"/>
    <w:rsid w:val="3B713B52"/>
    <w:rsid w:val="3B805C53"/>
    <w:rsid w:val="3B96457E"/>
    <w:rsid w:val="3BA6459C"/>
    <w:rsid w:val="3BC011E6"/>
    <w:rsid w:val="3C1158E9"/>
    <w:rsid w:val="3C23B619"/>
    <w:rsid w:val="3C510F0D"/>
    <w:rsid w:val="3C67C439"/>
    <w:rsid w:val="3C86DFF1"/>
    <w:rsid w:val="3D128EA0"/>
    <w:rsid w:val="3D12CCF5"/>
    <w:rsid w:val="3D83ED09"/>
    <w:rsid w:val="3D9D31F3"/>
    <w:rsid w:val="3DA729BA"/>
    <w:rsid w:val="3DC18B09"/>
    <w:rsid w:val="3DC9620E"/>
    <w:rsid w:val="3DE1994E"/>
    <w:rsid w:val="3DE1AEF6"/>
    <w:rsid w:val="3DEB1000"/>
    <w:rsid w:val="3DF37015"/>
    <w:rsid w:val="3E064500"/>
    <w:rsid w:val="3E1D7FA0"/>
    <w:rsid w:val="3E1E530B"/>
    <w:rsid w:val="3E52B874"/>
    <w:rsid w:val="3EF43BAF"/>
    <w:rsid w:val="3EF9CA3C"/>
    <w:rsid w:val="3F09A9D2"/>
    <w:rsid w:val="3F1E47CF"/>
    <w:rsid w:val="3F292525"/>
    <w:rsid w:val="3F4EA1E1"/>
    <w:rsid w:val="3F69398C"/>
    <w:rsid w:val="3FA64FDF"/>
    <w:rsid w:val="3FED7820"/>
    <w:rsid w:val="3FEE8A67"/>
    <w:rsid w:val="4008A32A"/>
    <w:rsid w:val="401D49EA"/>
    <w:rsid w:val="402E2130"/>
    <w:rsid w:val="4052A3CB"/>
    <w:rsid w:val="406F888A"/>
    <w:rsid w:val="40956FA1"/>
    <w:rsid w:val="40A51729"/>
    <w:rsid w:val="40B2BD95"/>
    <w:rsid w:val="40D6C8C0"/>
    <w:rsid w:val="40DD6408"/>
    <w:rsid w:val="416414FD"/>
    <w:rsid w:val="41B74500"/>
    <w:rsid w:val="41FA2641"/>
    <w:rsid w:val="4221876E"/>
    <w:rsid w:val="4226ED49"/>
    <w:rsid w:val="422E0385"/>
    <w:rsid w:val="4232B86C"/>
    <w:rsid w:val="42386539"/>
    <w:rsid w:val="42590B32"/>
    <w:rsid w:val="4264EF5C"/>
    <w:rsid w:val="42BD09A5"/>
    <w:rsid w:val="42E09CC2"/>
    <w:rsid w:val="42E5C5B1"/>
    <w:rsid w:val="42F8962F"/>
    <w:rsid w:val="43042DBC"/>
    <w:rsid w:val="43427E9A"/>
    <w:rsid w:val="434D3703"/>
    <w:rsid w:val="43502A1B"/>
    <w:rsid w:val="4359393A"/>
    <w:rsid w:val="43729759"/>
    <w:rsid w:val="43A80E2B"/>
    <w:rsid w:val="43E0DAC4"/>
    <w:rsid w:val="4407015D"/>
    <w:rsid w:val="442278DD"/>
    <w:rsid w:val="443D42A1"/>
    <w:rsid w:val="44D0A519"/>
    <w:rsid w:val="44E8099A"/>
    <w:rsid w:val="44F25325"/>
    <w:rsid w:val="44FF3175"/>
    <w:rsid w:val="452CF72B"/>
    <w:rsid w:val="45300E42"/>
    <w:rsid w:val="45748E01"/>
    <w:rsid w:val="45C6D037"/>
    <w:rsid w:val="45CB6412"/>
    <w:rsid w:val="45D7A624"/>
    <w:rsid w:val="45E4D48B"/>
    <w:rsid w:val="45F9F26B"/>
    <w:rsid w:val="4606B80C"/>
    <w:rsid w:val="460B6098"/>
    <w:rsid w:val="460F8DC8"/>
    <w:rsid w:val="463DF54D"/>
    <w:rsid w:val="465588F1"/>
    <w:rsid w:val="465897EB"/>
    <w:rsid w:val="469BAB2E"/>
    <w:rsid w:val="46A22B62"/>
    <w:rsid w:val="46EEEAD0"/>
    <w:rsid w:val="471894DE"/>
    <w:rsid w:val="4719414A"/>
    <w:rsid w:val="474ED09C"/>
    <w:rsid w:val="47667877"/>
    <w:rsid w:val="47725E37"/>
    <w:rsid w:val="47BD1929"/>
    <w:rsid w:val="47D3E11F"/>
    <w:rsid w:val="47FE316C"/>
    <w:rsid w:val="481EA36A"/>
    <w:rsid w:val="483E88E9"/>
    <w:rsid w:val="48479868"/>
    <w:rsid w:val="484B2C4F"/>
    <w:rsid w:val="487C215A"/>
    <w:rsid w:val="489B4971"/>
    <w:rsid w:val="48C1B038"/>
    <w:rsid w:val="48F4BD58"/>
    <w:rsid w:val="48F65883"/>
    <w:rsid w:val="491A02E9"/>
    <w:rsid w:val="4931D254"/>
    <w:rsid w:val="493217CA"/>
    <w:rsid w:val="49482658"/>
    <w:rsid w:val="497A5518"/>
    <w:rsid w:val="49860144"/>
    <w:rsid w:val="499BFF95"/>
    <w:rsid w:val="49B99978"/>
    <w:rsid w:val="49C1C401"/>
    <w:rsid w:val="4A24FEBF"/>
    <w:rsid w:val="4A28400F"/>
    <w:rsid w:val="4A6E6311"/>
    <w:rsid w:val="4AA134E9"/>
    <w:rsid w:val="4B36EA90"/>
    <w:rsid w:val="4B3916DB"/>
    <w:rsid w:val="4B43FC3D"/>
    <w:rsid w:val="4B509F28"/>
    <w:rsid w:val="4B6B4B4C"/>
    <w:rsid w:val="4B779E9F"/>
    <w:rsid w:val="4BA49A84"/>
    <w:rsid w:val="4BC92BD7"/>
    <w:rsid w:val="4BE64F78"/>
    <w:rsid w:val="4BFF5834"/>
    <w:rsid w:val="4C7F09A2"/>
    <w:rsid w:val="4C954984"/>
    <w:rsid w:val="4CCCD27A"/>
    <w:rsid w:val="4D019D64"/>
    <w:rsid w:val="4D07EA5C"/>
    <w:rsid w:val="4D36A19E"/>
    <w:rsid w:val="4D795A0E"/>
    <w:rsid w:val="4D7FA814"/>
    <w:rsid w:val="4E0C1EB3"/>
    <w:rsid w:val="4E77A312"/>
    <w:rsid w:val="4ED0C3A3"/>
    <w:rsid w:val="4EF02E0E"/>
    <w:rsid w:val="4F210126"/>
    <w:rsid w:val="4F7B0D1D"/>
    <w:rsid w:val="4F829A17"/>
    <w:rsid w:val="503B1EBF"/>
    <w:rsid w:val="50551F9B"/>
    <w:rsid w:val="505827FE"/>
    <w:rsid w:val="505FF439"/>
    <w:rsid w:val="507D7B41"/>
    <w:rsid w:val="50821B02"/>
    <w:rsid w:val="50C0FA15"/>
    <w:rsid w:val="50E6E6C5"/>
    <w:rsid w:val="50FA276C"/>
    <w:rsid w:val="50FD5AE8"/>
    <w:rsid w:val="5136A97D"/>
    <w:rsid w:val="517BFD52"/>
    <w:rsid w:val="519BAF77"/>
    <w:rsid w:val="51A063B6"/>
    <w:rsid w:val="51A81009"/>
    <w:rsid w:val="51AD09E9"/>
    <w:rsid w:val="51F9ECFE"/>
    <w:rsid w:val="5231ACC8"/>
    <w:rsid w:val="524F93A1"/>
    <w:rsid w:val="525CFECE"/>
    <w:rsid w:val="526D4F1C"/>
    <w:rsid w:val="527930E6"/>
    <w:rsid w:val="528BCE68"/>
    <w:rsid w:val="52AF22EA"/>
    <w:rsid w:val="52B65EEE"/>
    <w:rsid w:val="52D16F0D"/>
    <w:rsid w:val="530FBF1E"/>
    <w:rsid w:val="533FA705"/>
    <w:rsid w:val="534C66AB"/>
    <w:rsid w:val="53958510"/>
    <w:rsid w:val="53AFB3C4"/>
    <w:rsid w:val="53DA6CDB"/>
    <w:rsid w:val="5407E4B5"/>
    <w:rsid w:val="5423CCB0"/>
    <w:rsid w:val="543DACA3"/>
    <w:rsid w:val="548E977A"/>
    <w:rsid w:val="5493C0DE"/>
    <w:rsid w:val="54AD813D"/>
    <w:rsid w:val="55033581"/>
    <w:rsid w:val="550F2FC9"/>
    <w:rsid w:val="5513B539"/>
    <w:rsid w:val="553FD4CA"/>
    <w:rsid w:val="557486F2"/>
    <w:rsid w:val="5593A741"/>
    <w:rsid w:val="55CF5B5E"/>
    <w:rsid w:val="564928B2"/>
    <w:rsid w:val="5671852C"/>
    <w:rsid w:val="56938C32"/>
    <w:rsid w:val="569426E9"/>
    <w:rsid w:val="56B856F9"/>
    <w:rsid w:val="56E79C55"/>
    <w:rsid w:val="56F4485A"/>
    <w:rsid w:val="56FA2E64"/>
    <w:rsid w:val="571F2088"/>
    <w:rsid w:val="573FD0EA"/>
    <w:rsid w:val="574F5DE5"/>
    <w:rsid w:val="575EBB58"/>
    <w:rsid w:val="577D2589"/>
    <w:rsid w:val="579FF831"/>
    <w:rsid w:val="57BE225B"/>
    <w:rsid w:val="57EFB3C7"/>
    <w:rsid w:val="57F44FFA"/>
    <w:rsid w:val="582CB01F"/>
    <w:rsid w:val="58335833"/>
    <w:rsid w:val="58457AF2"/>
    <w:rsid w:val="58514039"/>
    <w:rsid w:val="58769E41"/>
    <w:rsid w:val="58901A19"/>
    <w:rsid w:val="58B4F3DC"/>
    <w:rsid w:val="58EFF46A"/>
    <w:rsid w:val="59901612"/>
    <w:rsid w:val="59C110A8"/>
    <w:rsid w:val="59E6B7E0"/>
    <w:rsid w:val="59EE1302"/>
    <w:rsid w:val="5A8B1593"/>
    <w:rsid w:val="5A8DE430"/>
    <w:rsid w:val="5AFBD2E1"/>
    <w:rsid w:val="5B11FE6B"/>
    <w:rsid w:val="5B36BBE7"/>
    <w:rsid w:val="5B3E6475"/>
    <w:rsid w:val="5B40B453"/>
    <w:rsid w:val="5B4469EE"/>
    <w:rsid w:val="5B4DADFE"/>
    <w:rsid w:val="5B93C474"/>
    <w:rsid w:val="5B991664"/>
    <w:rsid w:val="5BB4E322"/>
    <w:rsid w:val="5BB928B4"/>
    <w:rsid w:val="5BCD3BC4"/>
    <w:rsid w:val="5BD4DA43"/>
    <w:rsid w:val="5BE6A4B4"/>
    <w:rsid w:val="5BFBE970"/>
    <w:rsid w:val="5BFD81EF"/>
    <w:rsid w:val="5C5DD6D0"/>
    <w:rsid w:val="5C6C2A21"/>
    <w:rsid w:val="5C9FE0AB"/>
    <w:rsid w:val="5CB3A26F"/>
    <w:rsid w:val="5CB87215"/>
    <w:rsid w:val="5CC9918F"/>
    <w:rsid w:val="5CFC78AE"/>
    <w:rsid w:val="5D01FBE3"/>
    <w:rsid w:val="5DF56575"/>
    <w:rsid w:val="5E04A471"/>
    <w:rsid w:val="5E22882B"/>
    <w:rsid w:val="5E2707DA"/>
    <w:rsid w:val="5E4C4182"/>
    <w:rsid w:val="5E8102DE"/>
    <w:rsid w:val="5EB68C4C"/>
    <w:rsid w:val="5EBE6403"/>
    <w:rsid w:val="5EC60D61"/>
    <w:rsid w:val="5F1B3B07"/>
    <w:rsid w:val="5F391484"/>
    <w:rsid w:val="5F4E4006"/>
    <w:rsid w:val="5F6F06A1"/>
    <w:rsid w:val="5F920259"/>
    <w:rsid w:val="5FBBD5D6"/>
    <w:rsid w:val="5FBDAFC9"/>
    <w:rsid w:val="5FD2810D"/>
    <w:rsid w:val="5FFCED47"/>
    <w:rsid w:val="6018EE3F"/>
    <w:rsid w:val="6023DD94"/>
    <w:rsid w:val="6024521D"/>
    <w:rsid w:val="60495F33"/>
    <w:rsid w:val="6096C700"/>
    <w:rsid w:val="60B13E59"/>
    <w:rsid w:val="61012C5B"/>
    <w:rsid w:val="61674F61"/>
    <w:rsid w:val="616EB57E"/>
    <w:rsid w:val="617AFC9B"/>
    <w:rsid w:val="618E3219"/>
    <w:rsid w:val="61909E4C"/>
    <w:rsid w:val="6193C6C9"/>
    <w:rsid w:val="6195273B"/>
    <w:rsid w:val="61A08C4C"/>
    <w:rsid w:val="61CDA840"/>
    <w:rsid w:val="61CEE51B"/>
    <w:rsid w:val="620A1D3A"/>
    <w:rsid w:val="621175BA"/>
    <w:rsid w:val="62118703"/>
    <w:rsid w:val="621537E0"/>
    <w:rsid w:val="6251982F"/>
    <w:rsid w:val="6267D0C4"/>
    <w:rsid w:val="62923911"/>
    <w:rsid w:val="62A71153"/>
    <w:rsid w:val="62B483AD"/>
    <w:rsid w:val="62E67171"/>
    <w:rsid w:val="6307101C"/>
    <w:rsid w:val="630D160D"/>
    <w:rsid w:val="63275572"/>
    <w:rsid w:val="633165F6"/>
    <w:rsid w:val="63635B4E"/>
    <w:rsid w:val="6369C1F4"/>
    <w:rsid w:val="637A18D1"/>
    <w:rsid w:val="638B176D"/>
    <w:rsid w:val="63BC2139"/>
    <w:rsid w:val="63F18827"/>
    <w:rsid w:val="63F1B699"/>
    <w:rsid w:val="6449168F"/>
    <w:rsid w:val="64590D24"/>
    <w:rsid w:val="64702D89"/>
    <w:rsid w:val="6488FFFE"/>
    <w:rsid w:val="64BDF4A3"/>
    <w:rsid w:val="64DED720"/>
    <w:rsid w:val="64FF3241"/>
    <w:rsid w:val="651D5127"/>
    <w:rsid w:val="651DD46E"/>
    <w:rsid w:val="653E56CC"/>
    <w:rsid w:val="6592ECE4"/>
    <w:rsid w:val="65EDED19"/>
    <w:rsid w:val="6614E88D"/>
    <w:rsid w:val="6626BC22"/>
    <w:rsid w:val="664AAC36"/>
    <w:rsid w:val="665D5E03"/>
    <w:rsid w:val="668BDA00"/>
    <w:rsid w:val="6694C4BB"/>
    <w:rsid w:val="66A53D20"/>
    <w:rsid w:val="66A65840"/>
    <w:rsid w:val="66C5E55B"/>
    <w:rsid w:val="66CFA46D"/>
    <w:rsid w:val="671E34AC"/>
    <w:rsid w:val="675DC622"/>
    <w:rsid w:val="67AD367D"/>
    <w:rsid w:val="67C1AA45"/>
    <w:rsid w:val="67D96DAA"/>
    <w:rsid w:val="67F8BA92"/>
    <w:rsid w:val="68400FCB"/>
    <w:rsid w:val="687AD3F8"/>
    <w:rsid w:val="688A294F"/>
    <w:rsid w:val="68BF039E"/>
    <w:rsid w:val="68F26A03"/>
    <w:rsid w:val="69173CA3"/>
    <w:rsid w:val="6952FB97"/>
    <w:rsid w:val="6A14BED9"/>
    <w:rsid w:val="6A1CCA62"/>
    <w:rsid w:val="6A2A24E4"/>
    <w:rsid w:val="6A391AED"/>
    <w:rsid w:val="6A396200"/>
    <w:rsid w:val="6A4935C1"/>
    <w:rsid w:val="6A570E07"/>
    <w:rsid w:val="6A6DBDBE"/>
    <w:rsid w:val="6A948164"/>
    <w:rsid w:val="6A9E7F61"/>
    <w:rsid w:val="6AEEBF41"/>
    <w:rsid w:val="6AF2D286"/>
    <w:rsid w:val="6AFE5226"/>
    <w:rsid w:val="6B071CE3"/>
    <w:rsid w:val="6B0D385E"/>
    <w:rsid w:val="6B1504BE"/>
    <w:rsid w:val="6B7F6177"/>
    <w:rsid w:val="6BA5144D"/>
    <w:rsid w:val="6BA749F4"/>
    <w:rsid w:val="6BC2CF36"/>
    <w:rsid w:val="6BCAE073"/>
    <w:rsid w:val="6BD08191"/>
    <w:rsid w:val="6BE2A189"/>
    <w:rsid w:val="6BE9D9FD"/>
    <w:rsid w:val="6C101852"/>
    <w:rsid w:val="6C1CB626"/>
    <w:rsid w:val="6C98D8D2"/>
    <w:rsid w:val="6CBD76B6"/>
    <w:rsid w:val="6D046F82"/>
    <w:rsid w:val="6D0E0756"/>
    <w:rsid w:val="6D14F173"/>
    <w:rsid w:val="6D2CCA80"/>
    <w:rsid w:val="6D374FDF"/>
    <w:rsid w:val="6D3EBC0E"/>
    <w:rsid w:val="6D4E51EE"/>
    <w:rsid w:val="6D77A71E"/>
    <w:rsid w:val="6D7B233D"/>
    <w:rsid w:val="6DADA461"/>
    <w:rsid w:val="6DD79007"/>
    <w:rsid w:val="6DDFEDAE"/>
    <w:rsid w:val="6DFC1500"/>
    <w:rsid w:val="6E0E6F51"/>
    <w:rsid w:val="6E24816A"/>
    <w:rsid w:val="6E38A3B0"/>
    <w:rsid w:val="6E5A134A"/>
    <w:rsid w:val="6E619994"/>
    <w:rsid w:val="6E76F67C"/>
    <w:rsid w:val="6E8CDE47"/>
    <w:rsid w:val="6E8F12DF"/>
    <w:rsid w:val="6EAB8B3A"/>
    <w:rsid w:val="6EB9E202"/>
    <w:rsid w:val="6EBABD8E"/>
    <w:rsid w:val="6EBF9256"/>
    <w:rsid w:val="6EE4D499"/>
    <w:rsid w:val="6F197D48"/>
    <w:rsid w:val="6F3C999B"/>
    <w:rsid w:val="6F5E8391"/>
    <w:rsid w:val="6F6EE34B"/>
    <w:rsid w:val="6F707CB3"/>
    <w:rsid w:val="6FBDFDA4"/>
    <w:rsid w:val="70030CEC"/>
    <w:rsid w:val="701F6CF5"/>
    <w:rsid w:val="7031FF3E"/>
    <w:rsid w:val="704A4A08"/>
    <w:rsid w:val="70513B60"/>
    <w:rsid w:val="7055E0CD"/>
    <w:rsid w:val="7074BDC4"/>
    <w:rsid w:val="709C4BE6"/>
    <w:rsid w:val="70D0D9D0"/>
    <w:rsid w:val="70DEC5AA"/>
    <w:rsid w:val="712C2DDE"/>
    <w:rsid w:val="713D43D9"/>
    <w:rsid w:val="714D63E5"/>
    <w:rsid w:val="71B0E8EF"/>
    <w:rsid w:val="71DD8F6F"/>
    <w:rsid w:val="7219D7A6"/>
    <w:rsid w:val="7223986A"/>
    <w:rsid w:val="723954A8"/>
    <w:rsid w:val="724156D9"/>
    <w:rsid w:val="725D8821"/>
    <w:rsid w:val="7274B1FC"/>
    <w:rsid w:val="7277221C"/>
    <w:rsid w:val="72945AAE"/>
    <w:rsid w:val="72A92724"/>
    <w:rsid w:val="72B79596"/>
    <w:rsid w:val="72E04C23"/>
    <w:rsid w:val="72E2040D"/>
    <w:rsid w:val="7333C494"/>
    <w:rsid w:val="7347A132"/>
    <w:rsid w:val="735EBCCD"/>
    <w:rsid w:val="7373AF06"/>
    <w:rsid w:val="73A779C3"/>
    <w:rsid w:val="73D3A392"/>
    <w:rsid w:val="73F1E1CD"/>
    <w:rsid w:val="741E3654"/>
    <w:rsid w:val="7424A558"/>
    <w:rsid w:val="745FE4D2"/>
    <w:rsid w:val="746DF627"/>
    <w:rsid w:val="747FDE3B"/>
    <w:rsid w:val="74A4C92E"/>
    <w:rsid w:val="74CA8FED"/>
    <w:rsid w:val="74DA39A9"/>
    <w:rsid w:val="7501ED89"/>
    <w:rsid w:val="75848F15"/>
    <w:rsid w:val="75B9232E"/>
    <w:rsid w:val="75BCDD15"/>
    <w:rsid w:val="75BF285E"/>
    <w:rsid w:val="75CE13C0"/>
    <w:rsid w:val="75E0D460"/>
    <w:rsid w:val="76207CCF"/>
    <w:rsid w:val="7660732E"/>
    <w:rsid w:val="766A3D64"/>
    <w:rsid w:val="76A7F7B3"/>
    <w:rsid w:val="76B69B71"/>
    <w:rsid w:val="76BCF613"/>
    <w:rsid w:val="76CFBC06"/>
    <w:rsid w:val="76F66CAF"/>
    <w:rsid w:val="77066718"/>
    <w:rsid w:val="77204596"/>
    <w:rsid w:val="775A1366"/>
    <w:rsid w:val="778A79A7"/>
    <w:rsid w:val="77BA266A"/>
    <w:rsid w:val="78057699"/>
    <w:rsid w:val="782389A2"/>
    <w:rsid w:val="78377F4B"/>
    <w:rsid w:val="7845608E"/>
    <w:rsid w:val="784B6D5F"/>
    <w:rsid w:val="78C8AB8A"/>
    <w:rsid w:val="78DA5DD3"/>
    <w:rsid w:val="7915B6C9"/>
    <w:rsid w:val="79342B53"/>
    <w:rsid w:val="793B4CFE"/>
    <w:rsid w:val="795BC980"/>
    <w:rsid w:val="7965AB8A"/>
    <w:rsid w:val="79A3BC69"/>
    <w:rsid w:val="7A320C59"/>
    <w:rsid w:val="7A521EBD"/>
    <w:rsid w:val="7A889207"/>
    <w:rsid w:val="7B01790B"/>
    <w:rsid w:val="7B36AB0C"/>
    <w:rsid w:val="7B3D1DA3"/>
    <w:rsid w:val="7B784E27"/>
    <w:rsid w:val="7B7B1342"/>
    <w:rsid w:val="7BA9A3CA"/>
    <w:rsid w:val="7BBAD370"/>
    <w:rsid w:val="7BEB2850"/>
    <w:rsid w:val="7BEF2F55"/>
    <w:rsid w:val="7BFB7D55"/>
    <w:rsid w:val="7C367C66"/>
    <w:rsid w:val="7C4A82CA"/>
    <w:rsid w:val="7C54C936"/>
    <w:rsid w:val="7C68CD00"/>
    <w:rsid w:val="7C6BBDE7"/>
    <w:rsid w:val="7C6CAE77"/>
    <w:rsid w:val="7C8D2A4B"/>
    <w:rsid w:val="7C94E918"/>
    <w:rsid w:val="7C9C8021"/>
    <w:rsid w:val="7CD0963E"/>
    <w:rsid w:val="7CF456A0"/>
    <w:rsid w:val="7D433715"/>
    <w:rsid w:val="7D980B85"/>
    <w:rsid w:val="7DFF6AB8"/>
    <w:rsid w:val="7E495A4E"/>
    <w:rsid w:val="7E4DCB5B"/>
    <w:rsid w:val="7E660534"/>
    <w:rsid w:val="7E967FF5"/>
    <w:rsid w:val="7EA2EFA6"/>
    <w:rsid w:val="7EB69A64"/>
    <w:rsid w:val="7ECD3160"/>
    <w:rsid w:val="7EE694F7"/>
    <w:rsid w:val="7EFEB047"/>
    <w:rsid w:val="7F08C440"/>
    <w:rsid w:val="7F1C27B9"/>
    <w:rsid w:val="7F31A031"/>
    <w:rsid w:val="7F334725"/>
    <w:rsid w:val="7F49EA18"/>
    <w:rsid w:val="7F603B45"/>
    <w:rsid w:val="7F8827C6"/>
    <w:rsid w:val="7FAE667D"/>
    <w:rsid w:val="7FE80C8E"/>
    <w:rsid w:val="7FF13809"/>
    <w:rsid w:val="7FF1736B"/>
    <w:rsid w:val="7FFDC640"/>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8B48E"/>
  <w15:docId w15:val="{19073267-94E6-428B-A892-2DE6A577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857"/>
    <w:rPr>
      <w:sz w:val="24"/>
    </w:rPr>
  </w:style>
  <w:style w:type="paragraph" w:styleId="Heading1">
    <w:name w:val="heading 1"/>
    <w:basedOn w:val="Normal"/>
    <w:next w:val="Normal"/>
    <w:link w:val="Heading1Char"/>
    <w:uiPriority w:val="9"/>
    <w:qFormat/>
    <w:rsid w:val="006B15AA"/>
    <w:pPr>
      <w:keepNext/>
      <w:keepLines/>
      <w:spacing w:before="280" w:after="60"/>
      <w:outlineLvl w:val="0"/>
    </w:pPr>
    <w:rPr>
      <w:rFonts w:ascii="Futura LT Pro Light" w:eastAsiaTheme="majorEastAsia" w:hAnsi="Futura LT Pro Light" w:cstheme="majorBidi"/>
      <w:b/>
      <w:color w:val="7092C7" w:themeColor="accent2"/>
      <w:sz w:val="36"/>
      <w:szCs w:val="28"/>
    </w:rPr>
  </w:style>
  <w:style w:type="paragraph" w:styleId="Heading2">
    <w:name w:val="heading 2"/>
    <w:basedOn w:val="Normal"/>
    <w:next w:val="Normal"/>
    <w:link w:val="Heading2Char"/>
    <w:uiPriority w:val="9"/>
    <w:unhideWhenUsed/>
    <w:qFormat/>
    <w:rsid w:val="006B15AA"/>
    <w:pPr>
      <w:keepNext/>
      <w:keepLines/>
      <w:spacing w:before="200" w:after="60"/>
      <w:outlineLvl w:val="1"/>
    </w:pPr>
    <w:rPr>
      <w:rFonts w:eastAsiaTheme="majorEastAsia" w:cstheme="majorBidi"/>
      <w:b/>
      <w:bCs/>
      <w:color w:val="73769B" w:themeColor="text2"/>
      <w:sz w:val="32"/>
      <w:szCs w:val="36"/>
    </w:rPr>
  </w:style>
  <w:style w:type="paragraph" w:styleId="Heading3">
    <w:name w:val="heading 3"/>
    <w:basedOn w:val="Normal"/>
    <w:next w:val="Normal"/>
    <w:link w:val="Heading3Char"/>
    <w:uiPriority w:val="9"/>
    <w:unhideWhenUsed/>
    <w:qFormat/>
    <w:rsid w:val="006B15AA"/>
    <w:pPr>
      <w:keepNext/>
      <w:keepLines/>
      <w:spacing w:before="140" w:after="60"/>
      <w:outlineLvl w:val="2"/>
    </w:pPr>
    <w:rPr>
      <w:rFonts w:eastAsiaTheme="majorEastAsia" w:cstheme="majorBidi"/>
      <w:b/>
      <w:bCs/>
      <w:color w:val="545675" w:themeColor="text2" w:themeShade="BF"/>
      <w:sz w:val="28"/>
      <w:szCs w:val="32"/>
    </w:rPr>
  </w:style>
  <w:style w:type="paragraph" w:styleId="Heading4">
    <w:name w:val="heading 4"/>
    <w:basedOn w:val="Normal"/>
    <w:next w:val="Normal"/>
    <w:link w:val="Heading4Char"/>
    <w:uiPriority w:val="9"/>
    <w:unhideWhenUsed/>
    <w:qFormat/>
    <w:rsid w:val="00E534CB"/>
    <w:pPr>
      <w:keepNext/>
      <w:keepLines/>
      <w:spacing w:before="40"/>
      <w:outlineLvl w:val="3"/>
    </w:pPr>
    <w:rPr>
      <w:rFonts w:asciiTheme="majorHAnsi" w:eastAsiaTheme="majorEastAsia" w:hAnsiTheme="majorHAnsi" w:cstheme="majorBidi"/>
      <w:i/>
      <w:iCs/>
      <w:color w:val="0A122F" w:themeColor="accent1" w:themeShade="BF"/>
    </w:rPr>
  </w:style>
  <w:style w:type="paragraph" w:styleId="Heading5">
    <w:name w:val="heading 5"/>
    <w:basedOn w:val="Normal"/>
    <w:next w:val="Normal"/>
    <w:link w:val="Heading5Char"/>
    <w:uiPriority w:val="9"/>
    <w:unhideWhenUsed/>
    <w:qFormat/>
    <w:rsid w:val="00E06BB1"/>
    <w:pPr>
      <w:keepNext/>
      <w:keepLines/>
      <w:spacing w:before="40"/>
      <w:outlineLvl w:val="4"/>
    </w:pPr>
    <w:rPr>
      <w:rFonts w:asciiTheme="majorHAnsi" w:eastAsiaTheme="majorEastAsia" w:hAnsiTheme="majorHAnsi" w:cstheme="majorBidi"/>
      <w:color w:val="0A122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8767E"/>
    <w:pPr>
      <w:tabs>
        <w:tab w:val="center" w:pos="4680"/>
        <w:tab w:val="right" w:pos="9360"/>
      </w:tabs>
    </w:pPr>
  </w:style>
  <w:style w:type="character" w:customStyle="1" w:styleId="HeaderChar">
    <w:name w:val="Header Char"/>
    <w:basedOn w:val="DefaultParagraphFont"/>
    <w:link w:val="Header"/>
    <w:rsid w:val="0048767E"/>
    <w:rPr>
      <w:sz w:val="24"/>
    </w:rPr>
  </w:style>
  <w:style w:type="paragraph" w:styleId="Footer">
    <w:name w:val="footer"/>
    <w:basedOn w:val="Normal"/>
    <w:link w:val="FooterChar"/>
    <w:uiPriority w:val="99"/>
    <w:unhideWhenUsed/>
    <w:rsid w:val="0048767E"/>
    <w:pPr>
      <w:tabs>
        <w:tab w:val="center" w:pos="4680"/>
        <w:tab w:val="right" w:pos="9360"/>
      </w:tabs>
    </w:pPr>
  </w:style>
  <w:style w:type="character" w:customStyle="1" w:styleId="FooterChar">
    <w:name w:val="Footer Char"/>
    <w:basedOn w:val="DefaultParagraphFont"/>
    <w:link w:val="Footer"/>
    <w:uiPriority w:val="99"/>
    <w:rsid w:val="0048767E"/>
    <w:rPr>
      <w:sz w:val="24"/>
    </w:rPr>
  </w:style>
  <w:style w:type="paragraph" w:styleId="BalloonText">
    <w:name w:val="Balloon Text"/>
    <w:basedOn w:val="Normal"/>
    <w:link w:val="BalloonTextChar"/>
    <w:uiPriority w:val="99"/>
    <w:semiHidden/>
    <w:unhideWhenUsed/>
    <w:rsid w:val="0048767E"/>
    <w:rPr>
      <w:rFonts w:ascii="Tahoma" w:hAnsi="Tahoma" w:cs="Tahoma"/>
      <w:sz w:val="16"/>
      <w:szCs w:val="16"/>
    </w:rPr>
  </w:style>
  <w:style w:type="character" w:customStyle="1" w:styleId="BalloonTextChar">
    <w:name w:val="Balloon Text Char"/>
    <w:basedOn w:val="DefaultParagraphFont"/>
    <w:link w:val="BalloonText"/>
    <w:uiPriority w:val="99"/>
    <w:semiHidden/>
    <w:rsid w:val="0048767E"/>
    <w:rPr>
      <w:rFonts w:ascii="Tahoma" w:hAnsi="Tahoma" w:cs="Tahoma"/>
      <w:sz w:val="16"/>
      <w:szCs w:val="16"/>
    </w:rPr>
  </w:style>
  <w:style w:type="character" w:styleId="Hyperlink">
    <w:name w:val="Hyperlink"/>
    <w:basedOn w:val="DefaultParagraphFont"/>
    <w:uiPriority w:val="99"/>
    <w:unhideWhenUsed/>
    <w:rsid w:val="006B15AA"/>
    <w:rPr>
      <w:color w:val="4169A7" w:themeColor="accent2" w:themeShade="BF"/>
      <w:u w:val="single"/>
    </w:rPr>
  </w:style>
  <w:style w:type="paragraph" w:styleId="NoSpacing">
    <w:name w:val="No Spacing"/>
    <w:uiPriority w:val="1"/>
    <w:qFormat/>
    <w:rsid w:val="006B15AA"/>
    <w:rPr>
      <w:rFonts w:eastAsia="Calibri" w:cs="Times New Roman"/>
      <w:sz w:val="24"/>
    </w:rPr>
  </w:style>
  <w:style w:type="paragraph" w:styleId="NormalWeb">
    <w:name w:val="Normal (Web)"/>
    <w:basedOn w:val="Normal"/>
    <w:uiPriority w:val="99"/>
    <w:unhideWhenUsed/>
    <w:rsid w:val="006B15AA"/>
    <w:pPr>
      <w:spacing w:before="100" w:beforeAutospacing="1" w:after="100" w:afterAutospacing="1"/>
    </w:pPr>
    <w:rPr>
      <w:rFonts w:eastAsia="Times New Roman" w:cs="Times New Roman"/>
      <w:szCs w:val="24"/>
      <w:lang w:val="en-US"/>
    </w:rPr>
  </w:style>
  <w:style w:type="character" w:customStyle="1" w:styleId="Heading1Char">
    <w:name w:val="Heading 1 Char"/>
    <w:basedOn w:val="DefaultParagraphFont"/>
    <w:link w:val="Heading1"/>
    <w:uiPriority w:val="9"/>
    <w:rsid w:val="006B15AA"/>
    <w:rPr>
      <w:rFonts w:ascii="Futura LT Pro Light" w:eastAsiaTheme="majorEastAsia" w:hAnsi="Futura LT Pro Light" w:cstheme="majorBidi"/>
      <w:b/>
      <w:color w:val="7092C7" w:themeColor="accent2"/>
      <w:sz w:val="36"/>
      <w:szCs w:val="28"/>
    </w:rPr>
  </w:style>
  <w:style w:type="character" w:customStyle="1" w:styleId="Heading2Char">
    <w:name w:val="Heading 2 Char"/>
    <w:basedOn w:val="DefaultParagraphFont"/>
    <w:link w:val="Heading2"/>
    <w:uiPriority w:val="9"/>
    <w:rsid w:val="006B15AA"/>
    <w:rPr>
      <w:rFonts w:eastAsiaTheme="majorEastAsia" w:cstheme="majorBidi"/>
      <w:b/>
      <w:bCs/>
      <w:color w:val="73769B" w:themeColor="text2"/>
      <w:sz w:val="32"/>
      <w:szCs w:val="36"/>
    </w:rPr>
  </w:style>
  <w:style w:type="paragraph" w:styleId="Title">
    <w:name w:val="Title"/>
    <w:basedOn w:val="Normal"/>
    <w:next w:val="Normal"/>
    <w:link w:val="TitleChar"/>
    <w:uiPriority w:val="10"/>
    <w:qFormat/>
    <w:rsid w:val="00FE09EA"/>
    <w:pPr>
      <w:spacing w:after="300"/>
      <w:contextualSpacing/>
      <w:jc w:val="center"/>
    </w:pPr>
    <w:rPr>
      <w:rFonts w:ascii="Futura LT Pro Light" w:eastAsiaTheme="majorEastAsia" w:hAnsi="Futura LT Pro Light" w:cstheme="majorBidi"/>
      <w:color w:val="7092C7" w:themeColor="accent2"/>
      <w:spacing w:val="5"/>
      <w:kern w:val="28"/>
      <w:sz w:val="72"/>
      <w:szCs w:val="52"/>
    </w:rPr>
  </w:style>
  <w:style w:type="character" w:customStyle="1" w:styleId="TitleChar">
    <w:name w:val="Title Char"/>
    <w:basedOn w:val="DefaultParagraphFont"/>
    <w:link w:val="Title"/>
    <w:uiPriority w:val="10"/>
    <w:rsid w:val="00FE09EA"/>
    <w:rPr>
      <w:rFonts w:ascii="Futura LT Pro Light" w:eastAsiaTheme="majorEastAsia" w:hAnsi="Futura LT Pro Light" w:cstheme="majorBidi"/>
      <w:color w:val="7092C7" w:themeColor="accent2"/>
      <w:spacing w:val="5"/>
      <w:kern w:val="28"/>
      <w:sz w:val="72"/>
      <w:szCs w:val="52"/>
    </w:rPr>
  </w:style>
  <w:style w:type="paragraph" w:styleId="Subtitle">
    <w:name w:val="Subtitle"/>
    <w:basedOn w:val="Normal"/>
    <w:next w:val="Normal"/>
    <w:link w:val="SubtitleChar"/>
    <w:uiPriority w:val="11"/>
    <w:qFormat/>
    <w:rsid w:val="00FE09EA"/>
    <w:pPr>
      <w:numPr>
        <w:ilvl w:val="1"/>
      </w:numPr>
      <w:jc w:val="center"/>
    </w:pPr>
    <w:rPr>
      <w:rFonts w:ascii="Calibri" w:eastAsiaTheme="majorEastAsia" w:hAnsi="Calibri" w:cstheme="majorBidi"/>
      <w:iCs/>
      <w:caps/>
      <w:color w:val="73769B" w:themeColor="text2"/>
      <w:spacing w:val="15"/>
      <w:sz w:val="36"/>
      <w:szCs w:val="24"/>
    </w:rPr>
  </w:style>
  <w:style w:type="character" w:customStyle="1" w:styleId="SubtitleChar">
    <w:name w:val="Subtitle Char"/>
    <w:basedOn w:val="DefaultParagraphFont"/>
    <w:link w:val="Subtitle"/>
    <w:uiPriority w:val="11"/>
    <w:rsid w:val="00FE09EA"/>
    <w:rPr>
      <w:rFonts w:ascii="Calibri" w:eastAsiaTheme="majorEastAsia" w:hAnsi="Calibri" w:cstheme="majorBidi"/>
      <w:iCs/>
      <w:caps/>
      <w:color w:val="73769B" w:themeColor="text2"/>
      <w:spacing w:val="15"/>
      <w:sz w:val="36"/>
      <w:szCs w:val="24"/>
    </w:rPr>
  </w:style>
  <w:style w:type="paragraph" w:styleId="FootnoteText">
    <w:name w:val="footnote text"/>
    <w:basedOn w:val="Normal"/>
    <w:link w:val="FootnoteTextChar"/>
    <w:uiPriority w:val="99"/>
    <w:unhideWhenUsed/>
    <w:rsid w:val="00C43C27"/>
    <w:rPr>
      <w:sz w:val="20"/>
      <w:szCs w:val="20"/>
    </w:rPr>
  </w:style>
  <w:style w:type="character" w:customStyle="1" w:styleId="FootnoteTextChar">
    <w:name w:val="Footnote Text Char"/>
    <w:basedOn w:val="DefaultParagraphFont"/>
    <w:link w:val="FootnoteText"/>
    <w:uiPriority w:val="99"/>
    <w:rsid w:val="00C43C27"/>
    <w:rPr>
      <w:sz w:val="20"/>
      <w:szCs w:val="20"/>
    </w:rPr>
  </w:style>
  <w:style w:type="character" w:styleId="FootnoteReference">
    <w:name w:val="footnote reference"/>
    <w:aliases w:val="Footnotes refss,4_G,Appel note de bas de page,Fago Fu?notenzeichen,Fago Fußnotenzeichen,Footnote number,Fago Fuﬂnotenzeichen,Footnote"/>
    <w:basedOn w:val="DefaultParagraphFont"/>
    <w:uiPriority w:val="99"/>
    <w:unhideWhenUsed/>
    <w:rsid w:val="00C43C27"/>
    <w:rPr>
      <w:vertAlign w:val="superscript"/>
    </w:rPr>
  </w:style>
  <w:style w:type="character" w:customStyle="1" w:styleId="Heading3Char">
    <w:name w:val="Heading 3 Char"/>
    <w:basedOn w:val="DefaultParagraphFont"/>
    <w:link w:val="Heading3"/>
    <w:uiPriority w:val="9"/>
    <w:rsid w:val="006B15AA"/>
    <w:rPr>
      <w:rFonts w:eastAsiaTheme="majorEastAsia" w:cstheme="majorBidi"/>
      <w:b/>
      <w:bCs/>
      <w:color w:val="545675" w:themeColor="text2" w:themeShade="BF"/>
      <w:sz w:val="28"/>
      <w:szCs w:val="32"/>
    </w:rPr>
  </w:style>
  <w:style w:type="paragraph" w:customStyle="1" w:styleId="BasicParagraph">
    <w:name w:val="[Basic Paragraph]"/>
    <w:basedOn w:val="Normal"/>
    <w:uiPriority w:val="99"/>
    <w:rsid w:val="00B83A93"/>
    <w:pPr>
      <w:autoSpaceDE w:val="0"/>
      <w:autoSpaceDN w:val="0"/>
      <w:adjustRightInd w:val="0"/>
      <w:spacing w:line="288" w:lineRule="auto"/>
      <w:textAlignment w:val="center"/>
    </w:pPr>
    <w:rPr>
      <w:rFonts w:ascii="Minion Pro" w:hAnsi="Minion Pro" w:cs="Minion Pro"/>
      <w:color w:val="000000"/>
      <w:szCs w:val="24"/>
      <w:lang w:val="en-US"/>
    </w:rPr>
  </w:style>
  <w:style w:type="character" w:styleId="UnresolvedMention">
    <w:name w:val="Unresolved Mention"/>
    <w:basedOn w:val="DefaultParagraphFont"/>
    <w:uiPriority w:val="99"/>
    <w:semiHidden/>
    <w:unhideWhenUsed/>
    <w:rsid w:val="00B83A93"/>
    <w:rPr>
      <w:color w:val="605E5C"/>
      <w:shd w:val="clear" w:color="auto" w:fill="E1DFDD"/>
    </w:rPr>
  </w:style>
  <w:style w:type="character" w:styleId="PageNumber">
    <w:name w:val="page number"/>
    <w:basedOn w:val="DefaultParagraphFont"/>
    <w:uiPriority w:val="99"/>
    <w:semiHidden/>
    <w:unhideWhenUsed/>
    <w:rsid w:val="00BF68C9"/>
  </w:style>
  <w:style w:type="paragraph" w:styleId="TOCHeading">
    <w:name w:val="TOC Heading"/>
    <w:basedOn w:val="Heading1"/>
    <w:next w:val="Normal"/>
    <w:uiPriority w:val="39"/>
    <w:unhideWhenUsed/>
    <w:qFormat/>
    <w:rsid w:val="00D77CE6"/>
    <w:pPr>
      <w:outlineLvl w:val="9"/>
    </w:pPr>
    <w:rPr>
      <w:bCs/>
      <w:lang w:val="en-US"/>
    </w:rPr>
  </w:style>
  <w:style w:type="paragraph" w:styleId="TOC1">
    <w:name w:val="toc 1"/>
    <w:basedOn w:val="Normal"/>
    <w:next w:val="Normal"/>
    <w:autoRedefine/>
    <w:uiPriority w:val="39"/>
    <w:unhideWhenUsed/>
    <w:rsid w:val="00683A84"/>
    <w:pPr>
      <w:tabs>
        <w:tab w:val="right" w:leader="dot" w:pos="9350"/>
      </w:tabs>
    </w:pPr>
    <w:rPr>
      <w:iCs/>
      <w:noProof/>
      <w:sz w:val="28"/>
      <w:szCs w:val="24"/>
    </w:rPr>
  </w:style>
  <w:style w:type="paragraph" w:styleId="TOC2">
    <w:name w:val="toc 2"/>
    <w:basedOn w:val="Normal"/>
    <w:next w:val="Normal"/>
    <w:autoRedefine/>
    <w:uiPriority w:val="39"/>
    <w:unhideWhenUsed/>
    <w:rsid w:val="00336FF8"/>
    <w:pPr>
      <w:numPr>
        <w:ilvl w:val="1"/>
        <w:numId w:val="30"/>
      </w:numPr>
      <w:tabs>
        <w:tab w:val="left" w:pos="720"/>
        <w:tab w:val="left" w:pos="1200"/>
        <w:tab w:val="right" w:leader="dot" w:pos="9508"/>
      </w:tabs>
      <w:spacing w:after="160" w:line="276" w:lineRule="auto"/>
      <w:ind w:left="1077" w:hanging="357"/>
    </w:pPr>
    <w:rPr>
      <w:bCs/>
    </w:rPr>
  </w:style>
  <w:style w:type="paragraph" w:styleId="TOC3">
    <w:name w:val="toc 3"/>
    <w:basedOn w:val="Normal"/>
    <w:next w:val="Normal"/>
    <w:autoRedefine/>
    <w:uiPriority w:val="39"/>
    <w:unhideWhenUsed/>
    <w:rsid w:val="00615DF5"/>
    <w:pPr>
      <w:ind w:left="480"/>
    </w:pPr>
    <w:rPr>
      <w:sz w:val="20"/>
      <w:szCs w:val="20"/>
    </w:rPr>
  </w:style>
  <w:style w:type="paragraph" w:styleId="TOC4">
    <w:name w:val="toc 4"/>
    <w:basedOn w:val="Normal"/>
    <w:next w:val="Normal"/>
    <w:autoRedefine/>
    <w:uiPriority w:val="39"/>
    <w:semiHidden/>
    <w:unhideWhenUsed/>
    <w:rsid w:val="00615DF5"/>
    <w:pPr>
      <w:ind w:left="720"/>
    </w:pPr>
    <w:rPr>
      <w:sz w:val="20"/>
      <w:szCs w:val="20"/>
    </w:rPr>
  </w:style>
  <w:style w:type="paragraph" w:styleId="TOC5">
    <w:name w:val="toc 5"/>
    <w:basedOn w:val="Normal"/>
    <w:next w:val="Normal"/>
    <w:autoRedefine/>
    <w:uiPriority w:val="39"/>
    <w:semiHidden/>
    <w:unhideWhenUsed/>
    <w:rsid w:val="00615DF5"/>
    <w:pPr>
      <w:ind w:left="960"/>
    </w:pPr>
    <w:rPr>
      <w:sz w:val="20"/>
      <w:szCs w:val="20"/>
    </w:rPr>
  </w:style>
  <w:style w:type="paragraph" w:styleId="TOC6">
    <w:name w:val="toc 6"/>
    <w:basedOn w:val="Normal"/>
    <w:next w:val="Normal"/>
    <w:autoRedefine/>
    <w:uiPriority w:val="39"/>
    <w:semiHidden/>
    <w:unhideWhenUsed/>
    <w:rsid w:val="00615DF5"/>
    <w:pPr>
      <w:ind w:left="1200"/>
    </w:pPr>
    <w:rPr>
      <w:sz w:val="20"/>
      <w:szCs w:val="20"/>
    </w:rPr>
  </w:style>
  <w:style w:type="paragraph" w:styleId="TOC7">
    <w:name w:val="toc 7"/>
    <w:basedOn w:val="Normal"/>
    <w:next w:val="Normal"/>
    <w:autoRedefine/>
    <w:uiPriority w:val="39"/>
    <w:semiHidden/>
    <w:unhideWhenUsed/>
    <w:rsid w:val="00615DF5"/>
    <w:pPr>
      <w:ind w:left="1440"/>
    </w:pPr>
    <w:rPr>
      <w:sz w:val="20"/>
      <w:szCs w:val="20"/>
    </w:rPr>
  </w:style>
  <w:style w:type="paragraph" w:styleId="TOC8">
    <w:name w:val="toc 8"/>
    <w:basedOn w:val="Normal"/>
    <w:next w:val="Normal"/>
    <w:autoRedefine/>
    <w:uiPriority w:val="39"/>
    <w:semiHidden/>
    <w:unhideWhenUsed/>
    <w:rsid w:val="00615DF5"/>
    <w:pPr>
      <w:ind w:left="1680"/>
    </w:pPr>
    <w:rPr>
      <w:sz w:val="20"/>
      <w:szCs w:val="20"/>
    </w:rPr>
  </w:style>
  <w:style w:type="paragraph" w:styleId="TOC9">
    <w:name w:val="toc 9"/>
    <w:basedOn w:val="Normal"/>
    <w:next w:val="Normal"/>
    <w:autoRedefine/>
    <w:uiPriority w:val="39"/>
    <w:semiHidden/>
    <w:unhideWhenUsed/>
    <w:rsid w:val="00615DF5"/>
    <w:pPr>
      <w:ind w:left="1920"/>
    </w:pPr>
    <w:rPr>
      <w:sz w:val="20"/>
      <w:szCs w:val="20"/>
    </w:rPr>
  </w:style>
  <w:style w:type="paragraph" w:customStyle="1" w:styleId="Default">
    <w:name w:val="Default"/>
    <w:rsid w:val="00854B72"/>
    <w:pPr>
      <w:autoSpaceDE w:val="0"/>
      <w:autoSpaceDN w:val="0"/>
      <w:adjustRightInd w:val="0"/>
    </w:pPr>
    <w:rPr>
      <w:rFonts w:ascii="Calibri" w:hAnsi="Calibri" w:cs="Calibri"/>
      <w:color w:val="000000"/>
      <w:sz w:val="24"/>
      <w:szCs w:val="24"/>
    </w:rPr>
  </w:style>
  <w:style w:type="paragraph" w:customStyle="1" w:styleId="paragraph">
    <w:name w:val="paragraph"/>
    <w:basedOn w:val="Normal"/>
    <w:rsid w:val="001F07C6"/>
    <w:pPr>
      <w:spacing w:before="100" w:beforeAutospacing="1" w:after="100" w:afterAutospacing="1"/>
    </w:pPr>
    <w:rPr>
      <w:rFonts w:ascii="Times New Roman" w:eastAsia="Times New Roman" w:hAnsi="Times New Roman" w:cs="Times New Roman"/>
      <w:szCs w:val="24"/>
      <w:lang w:eastAsia="en-CA"/>
    </w:rPr>
  </w:style>
  <w:style w:type="character" w:styleId="CommentReference">
    <w:name w:val="annotation reference"/>
    <w:basedOn w:val="DefaultParagraphFont"/>
    <w:uiPriority w:val="99"/>
    <w:semiHidden/>
    <w:unhideWhenUsed/>
    <w:rsid w:val="00EE201C"/>
    <w:rPr>
      <w:sz w:val="16"/>
      <w:szCs w:val="16"/>
    </w:rPr>
  </w:style>
  <w:style w:type="paragraph" w:styleId="CommentText">
    <w:name w:val="annotation text"/>
    <w:basedOn w:val="Normal"/>
    <w:link w:val="CommentTextChar"/>
    <w:uiPriority w:val="99"/>
    <w:unhideWhenUsed/>
    <w:rsid w:val="00EE201C"/>
    <w:pPr>
      <w:spacing w:after="200"/>
    </w:pPr>
    <w:rPr>
      <w:sz w:val="20"/>
      <w:szCs w:val="20"/>
    </w:rPr>
  </w:style>
  <w:style w:type="character" w:customStyle="1" w:styleId="CommentTextChar">
    <w:name w:val="Comment Text Char"/>
    <w:basedOn w:val="DefaultParagraphFont"/>
    <w:link w:val="CommentText"/>
    <w:uiPriority w:val="99"/>
    <w:rsid w:val="00EE201C"/>
    <w:rPr>
      <w:sz w:val="20"/>
      <w:szCs w:val="20"/>
    </w:rPr>
  </w:style>
  <w:style w:type="paragraph" w:styleId="CommentSubject">
    <w:name w:val="annotation subject"/>
    <w:basedOn w:val="CommentText"/>
    <w:next w:val="CommentText"/>
    <w:link w:val="CommentSubjectChar"/>
    <w:uiPriority w:val="99"/>
    <w:semiHidden/>
    <w:unhideWhenUsed/>
    <w:rsid w:val="00B04060"/>
    <w:pPr>
      <w:spacing w:after="140"/>
    </w:pPr>
    <w:rPr>
      <w:b/>
      <w:bCs/>
    </w:rPr>
  </w:style>
  <w:style w:type="character" w:customStyle="1" w:styleId="CommentSubjectChar">
    <w:name w:val="Comment Subject Char"/>
    <w:basedOn w:val="CommentTextChar"/>
    <w:link w:val="CommentSubject"/>
    <w:uiPriority w:val="99"/>
    <w:semiHidden/>
    <w:rsid w:val="00B04060"/>
    <w:rPr>
      <w:b/>
      <w:bCs/>
      <w:sz w:val="20"/>
      <w:szCs w:val="20"/>
    </w:rPr>
  </w:style>
  <w:style w:type="character" w:customStyle="1" w:styleId="normaltextrun">
    <w:name w:val="normaltextrun"/>
    <w:basedOn w:val="DefaultParagraphFont"/>
    <w:rsid w:val="00D62633"/>
  </w:style>
  <w:style w:type="character" w:customStyle="1" w:styleId="eop">
    <w:name w:val="eop"/>
    <w:basedOn w:val="DefaultParagraphFont"/>
    <w:rsid w:val="00D62633"/>
  </w:style>
  <w:style w:type="paragraph" w:styleId="ListParagraph">
    <w:name w:val="List Paragraph"/>
    <w:aliases w:val="table bullets,Dot pt,Liste 1,F5 List Paragraph,List Paragraph Char Char Char,Indicator Text,Numbered Para 1,Bullet 1,Bullet Points,List Paragraph2,MAIN CONTENT,Normal numbered,List Paragraph1,BN 1,No Spacing1,List Paragraph no indent,列出段落"/>
    <w:basedOn w:val="Normal"/>
    <w:link w:val="ListParagraphChar"/>
    <w:uiPriority w:val="34"/>
    <w:qFormat/>
    <w:rsid w:val="00683402"/>
    <w:pPr>
      <w:spacing w:after="200"/>
      <w:ind w:left="720"/>
      <w:contextualSpacing/>
    </w:pPr>
    <w:rPr>
      <w:rFonts w:ascii="Calibri" w:eastAsia="Calibri" w:hAnsi="Calibri" w:cs="Times New Roman"/>
      <w:sz w:val="22"/>
    </w:rPr>
  </w:style>
  <w:style w:type="character" w:customStyle="1" w:styleId="ListParagraphChar">
    <w:name w:val="List Paragraph Char"/>
    <w:aliases w:val="table bullets Char,Dot pt Char,Liste 1 Char,F5 List Paragraph Char,List Paragraph Char Char Char Char,Indicator Text Char,Numbered Para 1 Char,Bullet 1 Char,Bullet Points Char,List Paragraph2 Char,MAIN CONTENT Char,BN 1 Char"/>
    <w:link w:val="ListParagraph"/>
    <w:uiPriority w:val="34"/>
    <w:qFormat/>
    <w:rsid w:val="00683402"/>
    <w:rPr>
      <w:rFonts w:ascii="Calibri" w:eastAsia="Calibri" w:hAnsi="Calibri" w:cs="Times New Roman"/>
    </w:rPr>
  </w:style>
  <w:style w:type="character" w:customStyle="1" w:styleId="CommentTextChar1">
    <w:name w:val="Comment Text Char1"/>
    <w:basedOn w:val="DefaultParagraphFont"/>
    <w:uiPriority w:val="99"/>
    <w:rsid w:val="00683402"/>
    <w:rPr>
      <w:rFonts w:ascii="Calibri" w:eastAsia="Calibri" w:hAnsi="Calibri" w:cs="Times New Roman"/>
      <w:sz w:val="20"/>
      <w:szCs w:val="20"/>
      <w:lang w:val="en-CA"/>
    </w:rPr>
  </w:style>
  <w:style w:type="character" w:styleId="Mention">
    <w:name w:val="Mention"/>
    <w:basedOn w:val="DefaultParagraphFont"/>
    <w:uiPriority w:val="99"/>
    <w:unhideWhenUsed/>
    <w:rsid w:val="00683402"/>
    <w:rPr>
      <w:color w:val="2B579A"/>
      <w:shd w:val="clear" w:color="auto" w:fill="E6E6E6"/>
    </w:rPr>
  </w:style>
  <w:style w:type="character" w:customStyle="1" w:styleId="ui-provider">
    <w:name w:val="ui-provider"/>
    <w:basedOn w:val="DefaultParagraphFont"/>
    <w:rsid w:val="009223AF"/>
  </w:style>
  <w:style w:type="paragraph" w:customStyle="1" w:styleId="font7">
    <w:name w:val="font_7"/>
    <w:basedOn w:val="Normal"/>
    <w:rsid w:val="009223AF"/>
    <w:pPr>
      <w:spacing w:before="100" w:beforeAutospacing="1" w:after="100" w:afterAutospacing="1"/>
    </w:pPr>
    <w:rPr>
      <w:rFonts w:ascii="Times New Roman" w:eastAsia="Times New Roman" w:hAnsi="Times New Roman" w:cs="Times New Roman"/>
      <w:szCs w:val="24"/>
      <w:lang w:eastAsia="en-CA"/>
    </w:rPr>
  </w:style>
  <w:style w:type="character" w:customStyle="1" w:styleId="wixui-rich-texttext">
    <w:name w:val="wixui-rich-text__text"/>
    <w:basedOn w:val="DefaultParagraphFont"/>
    <w:rsid w:val="009223AF"/>
  </w:style>
  <w:style w:type="character" w:styleId="Emphasis">
    <w:name w:val="Emphasis"/>
    <w:basedOn w:val="DefaultParagraphFont"/>
    <w:uiPriority w:val="20"/>
    <w:qFormat/>
    <w:rsid w:val="000B190B"/>
    <w:rPr>
      <w:i/>
      <w:iCs/>
    </w:rPr>
  </w:style>
  <w:style w:type="character" w:styleId="HTMLCite">
    <w:name w:val="HTML Cite"/>
    <w:basedOn w:val="DefaultParagraphFont"/>
    <w:uiPriority w:val="99"/>
    <w:semiHidden/>
    <w:unhideWhenUsed/>
    <w:rsid w:val="00C60812"/>
    <w:rPr>
      <w:i/>
      <w:iCs/>
    </w:rPr>
  </w:style>
  <w:style w:type="character" w:customStyle="1" w:styleId="Heading4Char">
    <w:name w:val="Heading 4 Char"/>
    <w:basedOn w:val="DefaultParagraphFont"/>
    <w:link w:val="Heading4"/>
    <w:uiPriority w:val="9"/>
    <w:rsid w:val="00E534CB"/>
    <w:rPr>
      <w:rFonts w:asciiTheme="majorHAnsi" w:eastAsiaTheme="majorEastAsia" w:hAnsiTheme="majorHAnsi" w:cstheme="majorBidi"/>
      <w:i/>
      <w:iCs/>
      <w:color w:val="0A122F" w:themeColor="accent1" w:themeShade="BF"/>
      <w:sz w:val="24"/>
    </w:rPr>
  </w:style>
  <w:style w:type="character" w:styleId="FollowedHyperlink">
    <w:name w:val="FollowedHyperlink"/>
    <w:basedOn w:val="DefaultParagraphFont"/>
    <w:uiPriority w:val="99"/>
    <w:semiHidden/>
    <w:unhideWhenUsed/>
    <w:rsid w:val="001C6F54"/>
    <w:rPr>
      <w:color w:val="800080" w:themeColor="followedHyperlink"/>
      <w:u w:val="single"/>
    </w:rPr>
  </w:style>
  <w:style w:type="paragraph" w:customStyle="1" w:styleId="Pa16">
    <w:name w:val="Pa16"/>
    <w:basedOn w:val="Default"/>
    <w:next w:val="Default"/>
    <w:uiPriority w:val="99"/>
    <w:rsid w:val="00903DB8"/>
    <w:pPr>
      <w:spacing w:line="241" w:lineRule="atLeast"/>
    </w:pPr>
    <w:rPr>
      <w:rFonts w:ascii="Franklin Gothic Medium Cond" w:hAnsi="Franklin Gothic Medium Cond" w:cstheme="minorBidi"/>
      <w:color w:val="auto"/>
      <w:lang w:val="en-US"/>
    </w:rPr>
  </w:style>
  <w:style w:type="paragraph" w:customStyle="1" w:styleId="Pa18">
    <w:name w:val="Pa18"/>
    <w:basedOn w:val="Default"/>
    <w:next w:val="Default"/>
    <w:uiPriority w:val="99"/>
    <w:rsid w:val="005E6A60"/>
    <w:pPr>
      <w:spacing w:line="221" w:lineRule="atLeast"/>
    </w:pPr>
    <w:rPr>
      <w:rFonts w:ascii="Franklin Gothic Medium Cond" w:hAnsi="Franklin Gothic Medium Cond" w:cstheme="minorBidi"/>
      <w:color w:val="auto"/>
      <w:lang w:val="en-US"/>
    </w:rPr>
  </w:style>
  <w:style w:type="paragraph" w:customStyle="1" w:styleId="Pa8">
    <w:name w:val="Pa8"/>
    <w:basedOn w:val="Default"/>
    <w:next w:val="Default"/>
    <w:uiPriority w:val="99"/>
    <w:rsid w:val="00F30B5F"/>
    <w:pPr>
      <w:spacing w:line="206" w:lineRule="atLeast"/>
    </w:pPr>
    <w:rPr>
      <w:rFonts w:ascii="Franklin Gothic Medium Cond" w:hAnsi="Franklin Gothic Medium Cond" w:cstheme="minorBidi"/>
      <w:color w:val="auto"/>
      <w:lang w:val="en-US"/>
    </w:rPr>
  </w:style>
  <w:style w:type="paragraph" w:customStyle="1" w:styleId="section">
    <w:name w:val="section"/>
    <w:basedOn w:val="Normal"/>
    <w:rsid w:val="00DF6E8C"/>
    <w:pPr>
      <w:spacing w:before="100" w:beforeAutospacing="1" w:after="100" w:afterAutospacing="1"/>
    </w:pPr>
    <w:rPr>
      <w:rFonts w:ascii="Times New Roman" w:eastAsia="Times New Roman" w:hAnsi="Times New Roman" w:cs="Times New Roman"/>
      <w:szCs w:val="24"/>
      <w:lang w:val="en-US"/>
    </w:rPr>
  </w:style>
  <w:style w:type="paragraph" w:styleId="Revision">
    <w:name w:val="Revision"/>
    <w:hidden/>
    <w:uiPriority w:val="99"/>
    <w:semiHidden/>
    <w:rsid w:val="00AC52EF"/>
    <w:rPr>
      <w:sz w:val="24"/>
    </w:rPr>
  </w:style>
  <w:style w:type="character" w:customStyle="1" w:styleId="cf01">
    <w:name w:val="cf01"/>
    <w:basedOn w:val="DefaultParagraphFont"/>
    <w:rsid w:val="00A15BBD"/>
    <w:rPr>
      <w:rFonts w:ascii="Segoe UI" w:hAnsi="Segoe UI" w:cs="Segoe UI" w:hint="default"/>
      <w:sz w:val="18"/>
      <w:szCs w:val="18"/>
    </w:rPr>
  </w:style>
  <w:style w:type="paragraph" w:customStyle="1" w:styleId="marginalnote">
    <w:name w:val="marginalnote"/>
    <w:basedOn w:val="Normal"/>
    <w:rsid w:val="00282195"/>
    <w:pPr>
      <w:spacing w:before="100" w:beforeAutospacing="1" w:after="100" w:afterAutospacing="1"/>
    </w:pPr>
    <w:rPr>
      <w:rFonts w:ascii="Times New Roman" w:eastAsia="Times New Roman" w:hAnsi="Times New Roman" w:cs="Times New Roman"/>
      <w:szCs w:val="24"/>
      <w:lang w:eastAsia="en-CA"/>
    </w:rPr>
  </w:style>
  <w:style w:type="paragraph" w:customStyle="1" w:styleId="subsection">
    <w:name w:val="subsection"/>
    <w:basedOn w:val="Normal"/>
    <w:rsid w:val="00282195"/>
    <w:pPr>
      <w:spacing w:before="100" w:beforeAutospacing="1" w:after="100" w:afterAutospacing="1"/>
    </w:pPr>
    <w:rPr>
      <w:rFonts w:ascii="Times New Roman" w:eastAsia="Times New Roman" w:hAnsi="Times New Roman" w:cs="Times New Roman"/>
      <w:szCs w:val="24"/>
      <w:lang w:eastAsia="en-CA"/>
    </w:rPr>
  </w:style>
  <w:style w:type="character" w:customStyle="1" w:styleId="lawlabel">
    <w:name w:val="lawlabel"/>
    <w:basedOn w:val="DefaultParagraphFont"/>
    <w:rsid w:val="00282195"/>
  </w:style>
  <w:style w:type="character" w:customStyle="1" w:styleId="xnormaltextrun">
    <w:name w:val="x_normaltextrun"/>
    <w:basedOn w:val="DefaultParagraphFont"/>
    <w:rsid w:val="00F44F74"/>
  </w:style>
  <w:style w:type="character" w:customStyle="1" w:styleId="findhit">
    <w:name w:val="findhit"/>
    <w:basedOn w:val="DefaultParagraphFont"/>
    <w:rsid w:val="002E7F25"/>
  </w:style>
  <w:style w:type="paragraph" w:customStyle="1" w:styleId="headnote">
    <w:name w:val="headnote"/>
    <w:basedOn w:val="Normal"/>
    <w:rsid w:val="00995E90"/>
    <w:pPr>
      <w:spacing w:before="100" w:beforeAutospacing="1" w:after="100" w:afterAutospacing="1"/>
    </w:pPr>
    <w:rPr>
      <w:rFonts w:ascii="Times New Roman" w:eastAsia="Times New Roman" w:hAnsi="Times New Roman" w:cs="Times New Roman"/>
      <w:szCs w:val="24"/>
      <w:lang w:val="en-US"/>
    </w:rPr>
  </w:style>
  <w:style w:type="character" w:customStyle="1" w:styleId="superscript">
    <w:name w:val="superscript"/>
    <w:basedOn w:val="DefaultParagraphFont"/>
    <w:rsid w:val="00023251"/>
  </w:style>
  <w:style w:type="character" w:customStyle="1" w:styleId="cf11">
    <w:name w:val="cf11"/>
    <w:basedOn w:val="DefaultParagraphFont"/>
    <w:rsid w:val="00B219D1"/>
    <w:rPr>
      <w:rFonts w:ascii="Segoe UI" w:hAnsi="Segoe UI" w:cs="Segoe UI" w:hint="default"/>
      <w:sz w:val="18"/>
      <w:szCs w:val="18"/>
    </w:rPr>
  </w:style>
  <w:style w:type="character" w:customStyle="1" w:styleId="cf21">
    <w:name w:val="cf21"/>
    <w:basedOn w:val="DefaultParagraphFont"/>
    <w:rsid w:val="00B219D1"/>
    <w:rPr>
      <w:rFonts w:ascii="Segoe UI" w:hAnsi="Segoe UI" w:cs="Segoe UI" w:hint="default"/>
      <w:i/>
      <w:iCs/>
      <w:sz w:val="18"/>
      <w:szCs w:val="18"/>
    </w:rPr>
  </w:style>
  <w:style w:type="character" w:customStyle="1" w:styleId="xcf11">
    <w:name w:val="x_cf11"/>
    <w:basedOn w:val="DefaultParagraphFont"/>
    <w:rsid w:val="00294092"/>
  </w:style>
  <w:style w:type="paragraph" w:customStyle="1" w:styleId="font8">
    <w:name w:val="font_8"/>
    <w:basedOn w:val="Normal"/>
    <w:rsid w:val="00BE1C6C"/>
    <w:pPr>
      <w:spacing w:before="100" w:beforeAutospacing="1" w:after="100" w:afterAutospacing="1"/>
    </w:pPr>
    <w:rPr>
      <w:rFonts w:ascii="Times New Roman" w:eastAsia="Times New Roman" w:hAnsi="Times New Roman" w:cs="Times New Roman"/>
      <w:szCs w:val="24"/>
      <w:lang w:eastAsia="en-CA"/>
    </w:rPr>
  </w:style>
  <w:style w:type="character" w:customStyle="1" w:styleId="wixguard">
    <w:name w:val="wixguard"/>
    <w:basedOn w:val="DefaultParagraphFont"/>
    <w:rsid w:val="00E97A3E"/>
  </w:style>
  <w:style w:type="character" w:customStyle="1" w:styleId="Heading5Char">
    <w:name w:val="Heading 5 Char"/>
    <w:basedOn w:val="DefaultParagraphFont"/>
    <w:link w:val="Heading5"/>
    <w:uiPriority w:val="9"/>
    <w:rsid w:val="00E06BB1"/>
    <w:rPr>
      <w:rFonts w:asciiTheme="majorHAnsi" w:eastAsiaTheme="majorEastAsia" w:hAnsiTheme="majorHAnsi" w:cstheme="majorBidi"/>
      <w:color w:val="0A122F" w:themeColor="accent1" w:themeShade="BF"/>
      <w:sz w:val="24"/>
    </w:rPr>
  </w:style>
  <w:style w:type="paragraph" w:customStyle="1" w:styleId="xxmsonormal">
    <w:name w:val="x_xmsonormal"/>
    <w:basedOn w:val="Normal"/>
    <w:rsid w:val="00875AE1"/>
    <w:rPr>
      <w:rFonts w:ascii="Calibri" w:hAnsi="Calibri" w:cs="Calibri"/>
      <w:sz w:val="22"/>
      <w:lang w:eastAsia="en-CA"/>
    </w:rPr>
  </w:style>
  <w:style w:type="paragraph" w:customStyle="1" w:styleId="Pa0">
    <w:name w:val="Pa0"/>
    <w:basedOn w:val="Default"/>
    <w:next w:val="Default"/>
    <w:uiPriority w:val="99"/>
    <w:rsid w:val="00D42E70"/>
    <w:pPr>
      <w:spacing w:line="241" w:lineRule="atLeast"/>
    </w:pPr>
    <w:rPr>
      <w:rFonts w:ascii="Avenir Next LT Pro" w:hAnsi="Avenir Next LT Pro" w:cstheme="minorBidi"/>
      <w:color w:val="auto"/>
    </w:rPr>
  </w:style>
  <w:style w:type="character" w:customStyle="1" w:styleId="A4">
    <w:name w:val="A4"/>
    <w:uiPriority w:val="99"/>
    <w:rsid w:val="00891E69"/>
    <w:rPr>
      <w:rFonts w:cs="Avenir Next LT Pro"/>
      <w:b/>
      <w:bCs/>
      <w:color w:val="221E1F"/>
      <w:sz w:val="28"/>
      <w:szCs w:val="28"/>
    </w:rPr>
  </w:style>
  <w:style w:type="paragraph" w:customStyle="1" w:styleId="pf1">
    <w:name w:val="pf1"/>
    <w:basedOn w:val="Normal"/>
    <w:rsid w:val="00E53210"/>
    <w:pPr>
      <w:spacing w:before="100" w:beforeAutospacing="1" w:after="100" w:afterAutospacing="1"/>
      <w:ind w:left="1400"/>
    </w:pPr>
    <w:rPr>
      <w:rFonts w:ascii="Times New Roman" w:eastAsia="Times New Roman" w:hAnsi="Times New Roman" w:cs="Times New Roman"/>
      <w:szCs w:val="24"/>
      <w:lang w:eastAsia="en-CA"/>
    </w:rPr>
  </w:style>
  <w:style w:type="paragraph" w:customStyle="1" w:styleId="pf2">
    <w:name w:val="pf2"/>
    <w:basedOn w:val="Normal"/>
    <w:rsid w:val="00E53210"/>
    <w:pPr>
      <w:spacing w:before="100" w:beforeAutospacing="1" w:after="100" w:afterAutospacing="1"/>
      <w:ind w:left="720"/>
    </w:pPr>
    <w:rPr>
      <w:rFonts w:ascii="Times New Roman" w:eastAsia="Times New Roman" w:hAnsi="Times New Roman" w:cs="Times New Roman"/>
      <w:szCs w:val="24"/>
      <w:lang w:eastAsia="en-CA"/>
    </w:rPr>
  </w:style>
  <w:style w:type="character" w:customStyle="1" w:styleId="cf12">
    <w:name w:val="cf12"/>
    <w:basedOn w:val="DefaultParagraphFont"/>
    <w:rsid w:val="00E53210"/>
    <w:rPr>
      <w:rFonts w:ascii="Segoe UI" w:hAnsi="Segoe UI" w:cs="Segoe UI" w:hint="default"/>
      <w:i/>
      <w:iCs/>
      <w:color w:val="1F1F1F"/>
      <w:sz w:val="18"/>
      <w:szCs w:val="18"/>
    </w:rPr>
  </w:style>
  <w:style w:type="character" w:customStyle="1" w:styleId="cf41">
    <w:name w:val="cf41"/>
    <w:basedOn w:val="DefaultParagraphFont"/>
    <w:rsid w:val="00E53210"/>
    <w:rPr>
      <w:rFonts w:ascii="Segoe UI" w:hAnsi="Segoe UI" w:cs="Segoe UI" w:hint="default"/>
      <w:sz w:val="18"/>
      <w:szCs w:val="18"/>
    </w:rPr>
  </w:style>
  <w:style w:type="character" w:customStyle="1" w:styleId="cf61">
    <w:name w:val="cf61"/>
    <w:basedOn w:val="DefaultParagraphFont"/>
    <w:rsid w:val="00E53210"/>
    <w:rPr>
      <w:rFonts w:ascii="Segoe UI" w:hAnsi="Segoe UI" w:cs="Segoe UI" w:hint="default"/>
      <w:sz w:val="18"/>
      <w:szCs w:val="18"/>
      <w:shd w:val="clear" w:color="auto" w:fill="FFFFFF"/>
    </w:rPr>
  </w:style>
  <w:style w:type="character" w:customStyle="1" w:styleId="cf81">
    <w:name w:val="cf81"/>
    <w:basedOn w:val="DefaultParagraphFont"/>
    <w:rsid w:val="00E53210"/>
    <w:rPr>
      <w:rFonts w:ascii="Segoe UI" w:hAnsi="Segoe UI" w:cs="Segoe UI" w:hint="default"/>
      <w:b/>
      <w:bCs/>
      <w:sz w:val="18"/>
      <w:szCs w:val="18"/>
    </w:rPr>
  </w:style>
  <w:style w:type="paragraph" w:customStyle="1" w:styleId="SingleTxt">
    <w:name w:val="__Single Txt"/>
    <w:basedOn w:val="Normal"/>
    <w:rsid w:val="008E34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22698">
      <w:bodyDiv w:val="1"/>
      <w:marLeft w:val="0"/>
      <w:marRight w:val="0"/>
      <w:marTop w:val="0"/>
      <w:marBottom w:val="0"/>
      <w:divBdr>
        <w:top w:val="none" w:sz="0" w:space="0" w:color="auto"/>
        <w:left w:val="none" w:sz="0" w:space="0" w:color="auto"/>
        <w:bottom w:val="none" w:sz="0" w:space="0" w:color="auto"/>
        <w:right w:val="none" w:sz="0" w:space="0" w:color="auto"/>
      </w:divBdr>
      <w:divsChild>
        <w:div w:id="645011665">
          <w:marLeft w:val="547"/>
          <w:marRight w:val="0"/>
          <w:marTop w:val="0"/>
          <w:marBottom w:val="0"/>
          <w:divBdr>
            <w:top w:val="none" w:sz="0" w:space="0" w:color="auto"/>
            <w:left w:val="none" w:sz="0" w:space="0" w:color="auto"/>
            <w:bottom w:val="none" w:sz="0" w:space="0" w:color="auto"/>
            <w:right w:val="none" w:sz="0" w:space="0" w:color="auto"/>
          </w:divBdr>
        </w:div>
        <w:div w:id="1675641954">
          <w:marLeft w:val="547"/>
          <w:marRight w:val="0"/>
          <w:marTop w:val="0"/>
          <w:marBottom w:val="0"/>
          <w:divBdr>
            <w:top w:val="none" w:sz="0" w:space="0" w:color="auto"/>
            <w:left w:val="none" w:sz="0" w:space="0" w:color="auto"/>
            <w:bottom w:val="none" w:sz="0" w:space="0" w:color="auto"/>
            <w:right w:val="none" w:sz="0" w:space="0" w:color="auto"/>
          </w:divBdr>
        </w:div>
        <w:div w:id="1836416237">
          <w:marLeft w:val="547"/>
          <w:marRight w:val="0"/>
          <w:marTop w:val="0"/>
          <w:marBottom w:val="0"/>
          <w:divBdr>
            <w:top w:val="none" w:sz="0" w:space="0" w:color="auto"/>
            <w:left w:val="none" w:sz="0" w:space="0" w:color="auto"/>
            <w:bottom w:val="none" w:sz="0" w:space="0" w:color="auto"/>
            <w:right w:val="none" w:sz="0" w:space="0" w:color="auto"/>
          </w:divBdr>
        </w:div>
      </w:divsChild>
    </w:div>
    <w:div w:id="46808915">
      <w:bodyDiv w:val="1"/>
      <w:marLeft w:val="0"/>
      <w:marRight w:val="0"/>
      <w:marTop w:val="0"/>
      <w:marBottom w:val="0"/>
      <w:divBdr>
        <w:top w:val="none" w:sz="0" w:space="0" w:color="auto"/>
        <w:left w:val="none" w:sz="0" w:space="0" w:color="auto"/>
        <w:bottom w:val="none" w:sz="0" w:space="0" w:color="auto"/>
        <w:right w:val="none" w:sz="0" w:space="0" w:color="auto"/>
      </w:divBdr>
      <w:divsChild>
        <w:div w:id="551961931">
          <w:marLeft w:val="274"/>
          <w:marRight w:val="0"/>
          <w:marTop w:val="0"/>
          <w:marBottom w:val="0"/>
          <w:divBdr>
            <w:top w:val="none" w:sz="0" w:space="0" w:color="auto"/>
            <w:left w:val="none" w:sz="0" w:space="0" w:color="auto"/>
            <w:bottom w:val="none" w:sz="0" w:space="0" w:color="auto"/>
            <w:right w:val="none" w:sz="0" w:space="0" w:color="auto"/>
          </w:divBdr>
        </w:div>
        <w:div w:id="704986466">
          <w:marLeft w:val="274"/>
          <w:marRight w:val="0"/>
          <w:marTop w:val="0"/>
          <w:marBottom w:val="0"/>
          <w:divBdr>
            <w:top w:val="none" w:sz="0" w:space="0" w:color="auto"/>
            <w:left w:val="none" w:sz="0" w:space="0" w:color="auto"/>
            <w:bottom w:val="none" w:sz="0" w:space="0" w:color="auto"/>
            <w:right w:val="none" w:sz="0" w:space="0" w:color="auto"/>
          </w:divBdr>
        </w:div>
        <w:div w:id="1160387303">
          <w:marLeft w:val="274"/>
          <w:marRight w:val="0"/>
          <w:marTop w:val="0"/>
          <w:marBottom w:val="0"/>
          <w:divBdr>
            <w:top w:val="none" w:sz="0" w:space="0" w:color="auto"/>
            <w:left w:val="none" w:sz="0" w:space="0" w:color="auto"/>
            <w:bottom w:val="none" w:sz="0" w:space="0" w:color="auto"/>
            <w:right w:val="none" w:sz="0" w:space="0" w:color="auto"/>
          </w:divBdr>
        </w:div>
        <w:div w:id="1316641699">
          <w:marLeft w:val="274"/>
          <w:marRight w:val="0"/>
          <w:marTop w:val="0"/>
          <w:marBottom w:val="0"/>
          <w:divBdr>
            <w:top w:val="none" w:sz="0" w:space="0" w:color="auto"/>
            <w:left w:val="none" w:sz="0" w:space="0" w:color="auto"/>
            <w:bottom w:val="none" w:sz="0" w:space="0" w:color="auto"/>
            <w:right w:val="none" w:sz="0" w:space="0" w:color="auto"/>
          </w:divBdr>
        </w:div>
        <w:div w:id="1987007170">
          <w:marLeft w:val="274"/>
          <w:marRight w:val="0"/>
          <w:marTop w:val="0"/>
          <w:marBottom w:val="0"/>
          <w:divBdr>
            <w:top w:val="none" w:sz="0" w:space="0" w:color="auto"/>
            <w:left w:val="none" w:sz="0" w:space="0" w:color="auto"/>
            <w:bottom w:val="none" w:sz="0" w:space="0" w:color="auto"/>
            <w:right w:val="none" w:sz="0" w:space="0" w:color="auto"/>
          </w:divBdr>
        </w:div>
      </w:divsChild>
    </w:div>
    <w:div w:id="93597890">
      <w:bodyDiv w:val="1"/>
      <w:marLeft w:val="0"/>
      <w:marRight w:val="0"/>
      <w:marTop w:val="0"/>
      <w:marBottom w:val="0"/>
      <w:divBdr>
        <w:top w:val="none" w:sz="0" w:space="0" w:color="auto"/>
        <w:left w:val="none" w:sz="0" w:space="0" w:color="auto"/>
        <w:bottom w:val="none" w:sz="0" w:space="0" w:color="auto"/>
        <w:right w:val="none" w:sz="0" w:space="0" w:color="auto"/>
      </w:divBdr>
    </w:div>
    <w:div w:id="109015366">
      <w:bodyDiv w:val="1"/>
      <w:marLeft w:val="0"/>
      <w:marRight w:val="0"/>
      <w:marTop w:val="0"/>
      <w:marBottom w:val="0"/>
      <w:divBdr>
        <w:top w:val="none" w:sz="0" w:space="0" w:color="auto"/>
        <w:left w:val="none" w:sz="0" w:space="0" w:color="auto"/>
        <w:bottom w:val="none" w:sz="0" w:space="0" w:color="auto"/>
        <w:right w:val="none" w:sz="0" w:space="0" w:color="auto"/>
      </w:divBdr>
    </w:div>
    <w:div w:id="113521588">
      <w:bodyDiv w:val="1"/>
      <w:marLeft w:val="0"/>
      <w:marRight w:val="0"/>
      <w:marTop w:val="0"/>
      <w:marBottom w:val="0"/>
      <w:divBdr>
        <w:top w:val="none" w:sz="0" w:space="0" w:color="auto"/>
        <w:left w:val="none" w:sz="0" w:space="0" w:color="auto"/>
        <w:bottom w:val="none" w:sz="0" w:space="0" w:color="auto"/>
        <w:right w:val="none" w:sz="0" w:space="0" w:color="auto"/>
      </w:divBdr>
    </w:div>
    <w:div w:id="165558478">
      <w:bodyDiv w:val="1"/>
      <w:marLeft w:val="0"/>
      <w:marRight w:val="0"/>
      <w:marTop w:val="0"/>
      <w:marBottom w:val="0"/>
      <w:divBdr>
        <w:top w:val="none" w:sz="0" w:space="0" w:color="auto"/>
        <w:left w:val="none" w:sz="0" w:space="0" w:color="auto"/>
        <w:bottom w:val="none" w:sz="0" w:space="0" w:color="auto"/>
        <w:right w:val="none" w:sz="0" w:space="0" w:color="auto"/>
      </w:divBdr>
    </w:div>
    <w:div w:id="176119566">
      <w:bodyDiv w:val="1"/>
      <w:marLeft w:val="0"/>
      <w:marRight w:val="0"/>
      <w:marTop w:val="0"/>
      <w:marBottom w:val="0"/>
      <w:divBdr>
        <w:top w:val="none" w:sz="0" w:space="0" w:color="auto"/>
        <w:left w:val="none" w:sz="0" w:space="0" w:color="auto"/>
        <w:bottom w:val="none" w:sz="0" w:space="0" w:color="auto"/>
        <w:right w:val="none" w:sz="0" w:space="0" w:color="auto"/>
      </w:divBdr>
    </w:div>
    <w:div w:id="182332144">
      <w:bodyDiv w:val="1"/>
      <w:marLeft w:val="0"/>
      <w:marRight w:val="0"/>
      <w:marTop w:val="0"/>
      <w:marBottom w:val="0"/>
      <w:divBdr>
        <w:top w:val="none" w:sz="0" w:space="0" w:color="auto"/>
        <w:left w:val="none" w:sz="0" w:space="0" w:color="auto"/>
        <w:bottom w:val="none" w:sz="0" w:space="0" w:color="auto"/>
        <w:right w:val="none" w:sz="0" w:space="0" w:color="auto"/>
      </w:divBdr>
    </w:div>
    <w:div w:id="189614107">
      <w:bodyDiv w:val="1"/>
      <w:marLeft w:val="0"/>
      <w:marRight w:val="0"/>
      <w:marTop w:val="0"/>
      <w:marBottom w:val="0"/>
      <w:divBdr>
        <w:top w:val="none" w:sz="0" w:space="0" w:color="auto"/>
        <w:left w:val="none" w:sz="0" w:space="0" w:color="auto"/>
        <w:bottom w:val="none" w:sz="0" w:space="0" w:color="auto"/>
        <w:right w:val="none" w:sz="0" w:space="0" w:color="auto"/>
      </w:divBdr>
    </w:div>
    <w:div w:id="213541338">
      <w:bodyDiv w:val="1"/>
      <w:marLeft w:val="0"/>
      <w:marRight w:val="0"/>
      <w:marTop w:val="0"/>
      <w:marBottom w:val="0"/>
      <w:divBdr>
        <w:top w:val="none" w:sz="0" w:space="0" w:color="auto"/>
        <w:left w:val="none" w:sz="0" w:space="0" w:color="auto"/>
        <w:bottom w:val="none" w:sz="0" w:space="0" w:color="auto"/>
        <w:right w:val="none" w:sz="0" w:space="0" w:color="auto"/>
      </w:divBdr>
    </w:div>
    <w:div w:id="224150677">
      <w:bodyDiv w:val="1"/>
      <w:marLeft w:val="0"/>
      <w:marRight w:val="0"/>
      <w:marTop w:val="0"/>
      <w:marBottom w:val="0"/>
      <w:divBdr>
        <w:top w:val="none" w:sz="0" w:space="0" w:color="auto"/>
        <w:left w:val="none" w:sz="0" w:space="0" w:color="auto"/>
        <w:bottom w:val="none" w:sz="0" w:space="0" w:color="auto"/>
        <w:right w:val="none" w:sz="0" w:space="0" w:color="auto"/>
      </w:divBdr>
      <w:divsChild>
        <w:div w:id="132144633">
          <w:marLeft w:val="274"/>
          <w:marRight w:val="0"/>
          <w:marTop w:val="0"/>
          <w:marBottom w:val="0"/>
          <w:divBdr>
            <w:top w:val="none" w:sz="0" w:space="0" w:color="auto"/>
            <w:left w:val="none" w:sz="0" w:space="0" w:color="auto"/>
            <w:bottom w:val="none" w:sz="0" w:space="0" w:color="auto"/>
            <w:right w:val="none" w:sz="0" w:space="0" w:color="auto"/>
          </w:divBdr>
        </w:div>
        <w:div w:id="1300307036">
          <w:marLeft w:val="274"/>
          <w:marRight w:val="0"/>
          <w:marTop w:val="0"/>
          <w:marBottom w:val="0"/>
          <w:divBdr>
            <w:top w:val="none" w:sz="0" w:space="0" w:color="auto"/>
            <w:left w:val="none" w:sz="0" w:space="0" w:color="auto"/>
            <w:bottom w:val="none" w:sz="0" w:space="0" w:color="auto"/>
            <w:right w:val="none" w:sz="0" w:space="0" w:color="auto"/>
          </w:divBdr>
        </w:div>
      </w:divsChild>
    </w:div>
    <w:div w:id="245966615">
      <w:bodyDiv w:val="1"/>
      <w:marLeft w:val="0"/>
      <w:marRight w:val="0"/>
      <w:marTop w:val="0"/>
      <w:marBottom w:val="0"/>
      <w:divBdr>
        <w:top w:val="none" w:sz="0" w:space="0" w:color="auto"/>
        <w:left w:val="none" w:sz="0" w:space="0" w:color="auto"/>
        <w:bottom w:val="none" w:sz="0" w:space="0" w:color="auto"/>
        <w:right w:val="none" w:sz="0" w:space="0" w:color="auto"/>
      </w:divBdr>
    </w:div>
    <w:div w:id="262419564">
      <w:bodyDiv w:val="1"/>
      <w:marLeft w:val="0"/>
      <w:marRight w:val="0"/>
      <w:marTop w:val="0"/>
      <w:marBottom w:val="0"/>
      <w:divBdr>
        <w:top w:val="none" w:sz="0" w:space="0" w:color="auto"/>
        <w:left w:val="none" w:sz="0" w:space="0" w:color="auto"/>
        <w:bottom w:val="none" w:sz="0" w:space="0" w:color="auto"/>
        <w:right w:val="none" w:sz="0" w:space="0" w:color="auto"/>
      </w:divBdr>
    </w:div>
    <w:div w:id="262884231">
      <w:bodyDiv w:val="1"/>
      <w:marLeft w:val="0"/>
      <w:marRight w:val="0"/>
      <w:marTop w:val="0"/>
      <w:marBottom w:val="0"/>
      <w:divBdr>
        <w:top w:val="none" w:sz="0" w:space="0" w:color="auto"/>
        <w:left w:val="none" w:sz="0" w:space="0" w:color="auto"/>
        <w:bottom w:val="none" w:sz="0" w:space="0" w:color="auto"/>
        <w:right w:val="none" w:sz="0" w:space="0" w:color="auto"/>
      </w:divBdr>
    </w:div>
    <w:div w:id="303509532">
      <w:bodyDiv w:val="1"/>
      <w:marLeft w:val="0"/>
      <w:marRight w:val="0"/>
      <w:marTop w:val="0"/>
      <w:marBottom w:val="0"/>
      <w:divBdr>
        <w:top w:val="none" w:sz="0" w:space="0" w:color="auto"/>
        <w:left w:val="none" w:sz="0" w:space="0" w:color="auto"/>
        <w:bottom w:val="none" w:sz="0" w:space="0" w:color="auto"/>
        <w:right w:val="none" w:sz="0" w:space="0" w:color="auto"/>
      </w:divBdr>
    </w:div>
    <w:div w:id="321543170">
      <w:bodyDiv w:val="1"/>
      <w:marLeft w:val="0"/>
      <w:marRight w:val="0"/>
      <w:marTop w:val="0"/>
      <w:marBottom w:val="0"/>
      <w:divBdr>
        <w:top w:val="none" w:sz="0" w:space="0" w:color="auto"/>
        <w:left w:val="none" w:sz="0" w:space="0" w:color="auto"/>
        <w:bottom w:val="none" w:sz="0" w:space="0" w:color="auto"/>
        <w:right w:val="none" w:sz="0" w:space="0" w:color="auto"/>
      </w:divBdr>
    </w:div>
    <w:div w:id="333801047">
      <w:bodyDiv w:val="1"/>
      <w:marLeft w:val="0"/>
      <w:marRight w:val="0"/>
      <w:marTop w:val="0"/>
      <w:marBottom w:val="0"/>
      <w:divBdr>
        <w:top w:val="none" w:sz="0" w:space="0" w:color="auto"/>
        <w:left w:val="none" w:sz="0" w:space="0" w:color="auto"/>
        <w:bottom w:val="none" w:sz="0" w:space="0" w:color="auto"/>
        <w:right w:val="none" w:sz="0" w:space="0" w:color="auto"/>
      </w:divBdr>
    </w:div>
    <w:div w:id="398212233">
      <w:bodyDiv w:val="1"/>
      <w:marLeft w:val="0"/>
      <w:marRight w:val="0"/>
      <w:marTop w:val="0"/>
      <w:marBottom w:val="0"/>
      <w:divBdr>
        <w:top w:val="none" w:sz="0" w:space="0" w:color="auto"/>
        <w:left w:val="none" w:sz="0" w:space="0" w:color="auto"/>
        <w:bottom w:val="none" w:sz="0" w:space="0" w:color="auto"/>
        <w:right w:val="none" w:sz="0" w:space="0" w:color="auto"/>
      </w:divBdr>
    </w:div>
    <w:div w:id="440806016">
      <w:bodyDiv w:val="1"/>
      <w:marLeft w:val="0"/>
      <w:marRight w:val="0"/>
      <w:marTop w:val="0"/>
      <w:marBottom w:val="0"/>
      <w:divBdr>
        <w:top w:val="none" w:sz="0" w:space="0" w:color="auto"/>
        <w:left w:val="none" w:sz="0" w:space="0" w:color="auto"/>
        <w:bottom w:val="none" w:sz="0" w:space="0" w:color="auto"/>
        <w:right w:val="none" w:sz="0" w:space="0" w:color="auto"/>
      </w:divBdr>
      <w:divsChild>
        <w:div w:id="791291344">
          <w:marLeft w:val="0"/>
          <w:marRight w:val="0"/>
          <w:marTop w:val="0"/>
          <w:marBottom w:val="0"/>
          <w:divBdr>
            <w:top w:val="none" w:sz="0" w:space="0" w:color="auto"/>
            <w:left w:val="none" w:sz="0" w:space="0" w:color="auto"/>
            <w:bottom w:val="none" w:sz="0" w:space="0" w:color="auto"/>
            <w:right w:val="none" w:sz="0" w:space="0" w:color="auto"/>
          </w:divBdr>
        </w:div>
        <w:div w:id="672612953">
          <w:marLeft w:val="0"/>
          <w:marRight w:val="0"/>
          <w:marTop w:val="0"/>
          <w:marBottom w:val="0"/>
          <w:divBdr>
            <w:top w:val="none" w:sz="0" w:space="0" w:color="auto"/>
            <w:left w:val="none" w:sz="0" w:space="0" w:color="auto"/>
            <w:bottom w:val="none" w:sz="0" w:space="0" w:color="auto"/>
            <w:right w:val="none" w:sz="0" w:space="0" w:color="auto"/>
          </w:divBdr>
        </w:div>
        <w:div w:id="1766994015">
          <w:marLeft w:val="0"/>
          <w:marRight w:val="0"/>
          <w:marTop w:val="0"/>
          <w:marBottom w:val="0"/>
          <w:divBdr>
            <w:top w:val="none" w:sz="0" w:space="0" w:color="auto"/>
            <w:left w:val="none" w:sz="0" w:space="0" w:color="auto"/>
            <w:bottom w:val="none" w:sz="0" w:space="0" w:color="auto"/>
            <w:right w:val="none" w:sz="0" w:space="0" w:color="auto"/>
          </w:divBdr>
        </w:div>
        <w:div w:id="1332441214">
          <w:marLeft w:val="0"/>
          <w:marRight w:val="0"/>
          <w:marTop w:val="0"/>
          <w:marBottom w:val="0"/>
          <w:divBdr>
            <w:top w:val="none" w:sz="0" w:space="0" w:color="auto"/>
            <w:left w:val="none" w:sz="0" w:space="0" w:color="auto"/>
            <w:bottom w:val="none" w:sz="0" w:space="0" w:color="auto"/>
            <w:right w:val="none" w:sz="0" w:space="0" w:color="auto"/>
          </w:divBdr>
        </w:div>
        <w:div w:id="903761748">
          <w:marLeft w:val="0"/>
          <w:marRight w:val="0"/>
          <w:marTop w:val="0"/>
          <w:marBottom w:val="0"/>
          <w:divBdr>
            <w:top w:val="none" w:sz="0" w:space="0" w:color="auto"/>
            <w:left w:val="none" w:sz="0" w:space="0" w:color="auto"/>
            <w:bottom w:val="none" w:sz="0" w:space="0" w:color="auto"/>
            <w:right w:val="none" w:sz="0" w:space="0" w:color="auto"/>
          </w:divBdr>
        </w:div>
        <w:div w:id="1903448133">
          <w:marLeft w:val="0"/>
          <w:marRight w:val="0"/>
          <w:marTop w:val="0"/>
          <w:marBottom w:val="0"/>
          <w:divBdr>
            <w:top w:val="none" w:sz="0" w:space="0" w:color="auto"/>
            <w:left w:val="none" w:sz="0" w:space="0" w:color="auto"/>
            <w:bottom w:val="none" w:sz="0" w:space="0" w:color="auto"/>
            <w:right w:val="none" w:sz="0" w:space="0" w:color="auto"/>
          </w:divBdr>
        </w:div>
        <w:div w:id="52513005">
          <w:marLeft w:val="0"/>
          <w:marRight w:val="0"/>
          <w:marTop w:val="0"/>
          <w:marBottom w:val="0"/>
          <w:divBdr>
            <w:top w:val="none" w:sz="0" w:space="0" w:color="auto"/>
            <w:left w:val="none" w:sz="0" w:space="0" w:color="auto"/>
            <w:bottom w:val="none" w:sz="0" w:space="0" w:color="auto"/>
            <w:right w:val="none" w:sz="0" w:space="0" w:color="auto"/>
          </w:divBdr>
        </w:div>
        <w:div w:id="1303382981">
          <w:marLeft w:val="0"/>
          <w:marRight w:val="0"/>
          <w:marTop w:val="0"/>
          <w:marBottom w:val="0"/>
          <w:divBdr>
            <w:top w:val="none" w:sz="0" w:space="0" w:color="auto"/>
            <w:left w:val="none" w:sz="0" w:space="0" w:color="auto"/>
            <w:bottom w:val="none" w:sz="0" w:space="0" w:color="auto"/>
            <w:right w:val="none" w:sz="0" w:space="0" w:color="auto"/>
          </w:divBdr>
        </w:div>
        <w:div w:id="90704087">
          <w:marLeft w:val="0"/>
          <w:marRight w:val="0"/>
          <w:marTop w:val="0"/>
          <w:marBottom w:val="0"/>
          <w:divBdr>
            <w:top w:val="none" w:sz="0" w:space="0" w:color="auto"/>
            <w:left w:val="none" w:sz="0" w:space="0" w:color="auto"/>
            <w:bottom w:val="none" w:sz="0" w:space="0" w:color="auto"/>
            <w:right w:val="none" w:sz="0" w:space="0" w:color="auto"/>
          </w:divBdr>
        </w:div>
        <w:div w:id="735784145">
          <w:marLeft w:val="0"/>
          <w:marRight w:val="0"/>
          <w:marTop w:val="0"/>
          <w:marBottom w:val="0"/>
          <w:divBdr>
            <w:top w:val="none" w:sz="0" w:space="0" w:color="auto"/>
            <w:left w:val="none" w:sz="0" w:space="0" w:color="auto"/>
            <w:bottom w:val="none" w:sz="0" w:space="0" w:color="auto"/>
            <w:right w:val="none" w:sz="0" w:space="0" w:color="auto"/>
          </w:divBdr>
        </w:div>
        <w:div w:id="1418483487">
          <w:marLeft w:val="0"/>
          <w:marRight w:val="0"/>
          <w:marTop w:val="0"/>
          <w:marBottom w:val="0"/>
          <w:divBdr>
            <w:top w:val="none" w:sz="0" w:space="0" w:color="auto"/>
            <w:left w:val="none" w:sz="0" w:space="0" w:color="auto"/>
            <w:bottom w:val="none" w:sz="0" w:space="0" w:color="auto"/>
            <w:right w:val="none" w:sz="0" w:space="0" w:color="auto"/>
          </w:divBdr>
        </w:div>
        <w:div w:id="1653830571">
          <w:marLeft w:val="0"/>
          <w:marRight w:val="0"/>
          <w:marTop w:val="0"/>
          <w:marBottom w:val="0"/>
          <w:divBdr>
            <w:top w:val="none" w:sz="0" w:space="0" w:color="auto"/>
            <w:left w:val="none" w:sz="0" w:space="0" w:color="auto"/>
            <w:bottom w:val="none" w:sz="0" w:space="0" w:color="auto"/>
            <w:right w:val="none" w:sz="0" w:space="0" w:color="auto"/>
          </w:divBdr>
        </w:div>
      </w:divsChild>
    </w:div>
    <w:div w:id="460879937">
      <w:bodyDiv w:val="1"/>
      <w:marLeft w:val="0"/>
      <w:marRight w:val="0"/>
      <w:marTop w:val="0"/>
      <w:marBottom w:val="0"/>
      <w:divBdr>
        <w:top w:val="none" w:sz="0" w:space="0" w:color="auto"/>
        <w:left w:val="none" w:sz="0" w:space="0" w:color="auto"/>
        <w:bottom w:val="none" w:sz="0" w:space="0" w:color="auto"/>
        <w:right w:val="none" w:sz="0" w:space="0" w:color="auto"/>
      </w:divBdr>
      <w:divsChild>
        <w:div w:id="360209541">
          <w:marLeft w:val="0"/>
          <w:marRight w:val="0"/>
          <w:marTop w:val="0"/>
          <w:marBottom w:val="0"/>
          <w:divBdr>
            <w:top w:val="none" w:sz="0" w:space="0" w:color="auto"/>
            <w:left w:val="none" w:sz="0" w:space="0" w:color="auto"/>
            <w:bottom w:val="none" w:sz="0" w:space="0" w:color="auto"/>
            <w:right w:val="none" w:sz="0" w:space="0" w:color="auto"/>
          </w:divBdr>
        </w:div>
        <w:div w:id="497893344">
          <w:marLeft w:val="0"/>
          <w:marRight w:val="0"/>
          <w:marTop w:val="0"/>
          <w:marBottom w:val="0"/>
          <w:divBdr>
            <w:top w:val="none" w:sz="0" w:space="0" w:color="auto"/>
            <w:left w:val="none" w:sz="0" w:space="0" w:color="auto"/>
            <w:bottom w:val="none" w:sz="0" w:space="0" w:color="auto"/>
            <w:right w:val="none" w:sz="0" w:space="0" w:color="auto"/>
          </w:divBdr>
        </w:div>
        <w:div w:id="866141083">
          <w:marLeft w:val="0"/>
          <w:marRight w:val="0"/>
          <w:marTop w:val="0"/>
          <w:marBottom w:val="0"/>
          <w:divBdr>
            <w:top w:val="none" w:sz="0" w:space="0" w:color="auto"/>
            <w:left w:val="none" w:sz="0" w:space="0" w:color="auto"/>
            <w:bottom w:val="none" w:sz="0" w:space="0" w:color="auto"/>
            <w:right w:val="none" w:sz="0" w:space="0" w:color="auto"/>
          </w:divBdr>
        </w:div>
        <w:div w:id="942223341">
          <w:marLeft w:val="0"/>
          <w:marRight w:val="0"/>
          <w:marTop w:val="0"/>
          <w:marBottom w:val="0"/>
          <w:divBdr>
            <w:top w:val="none" w:sz="0" w:space="0" w:color="auto"/>
            <w:left w:val="none" w:sz="0" w:space="0" w:color="auto"/>
            <w:bottom w:val="none" w:sz="0" w:space="0" w:color="auto"/>
            <w:right w:val="none" w:sz="0" w:space="0" w:color="auto"/>
          </w:divBdr>
        </w:div>
        <w:div w:id="1415937715">
          <w:marLeft w:val="0"/>
          <w:marRight w:val="0"/>
          <w:marTop w:val="0"/>
          <w:marBottom w:val="0"/>
          <w:divBdr>
            <w:top w:val="none" w:sz="0" w:space="0" w:color="auto"/>
            <w:left w:val="none" w:sz="0" w:space="0" w:color="auto"/>
            <w:bottom w:val="none" w:sz="0" w:space="0" w:color="auto"/>
            <w:right w:val="none" w:sz="0" w:space="0" w:color="auto"/>
          </w:divBdr>
        </w:div>
        <w:div w:id="1583298605">
          <w:marLeft w:val="0"/>
          <w:marRight w:val="0"/>
          <w:marTop w:val="0"/>
          <w:marBottom w:val="0"/>
          <w:divBdr>
            <w:top w:val="none" w:sz="0" w:space="0" w:color="auto"/>
            <w:left w:val="none" w:sz="0" w:space="0" w:color="auto"/>
            <w:bottom w:val="none" w:sz="0" w:space="0" w:color="auto"/>
            <w:right w:val="none" w:sz="0" w:space="0" w:color="auto"/>
          </w:divBdr>
        </w:div>
        <w:div w:id="1631856350">
          <w:marLeft w:val="0"/>
          <w:marRight w:val="0"/>
          <w:marTop w:val="0"/>
          <w:marBottom w:val="0"/>
          <w:divBdr>
            <w:top w:val="none" w:sz="0" w:space="0" w:color="auto"/>
            <w:left w:val="none" w:sz="0" w:space="0" w:color="auto"/>
            <w:bottom w:val="none" w:sz="0" w:space="0" w:color="auto"/>
            <w:right w:val="none" w:sz="0" w:space="0" w:color="auto"/>
          </w:divBdr>
        </w:div>
        <w:div w:id="1733232629">
          <w:marLeft w:val="0"/>
          <w:marRight w:val="0"/>
          <w:marTop w:val="0"/>
          <w:marBottom w:val="0"/>
          <w:divBdr>
            <w:top w:val="none" w:sz="0" w:space="0" w:color="auto"/>
            <w:left w:val="none" w:sz="0" w:space="0" w:color="auto"/>
            <w:bottom w:val="none" w:sz="0" w:space="0" w:color="auto"/>
            <w:right w:val="none" w:sz="0" w:space="0" w:color="auto"/>
          </w:divBdr>
        </w:div>
        <w:div w:id="1789158951">
          <w:marLeft w:val="0"/>
          <w:marRight w:val="0"/>
          <w:marTop w:val="0"/>
          <w:marBottom w:val="0"/>
          <w:divBdr>
            <w:top w:val="none" w:sz="0" w:space="0" w:color="auto"/>
            <w:left w:val="none" w:sz="0" w:space="0" w:color="auto"/>
            <w:bottom w:val="none" w:sz="0" w:space="0" w:color="auto"/>
            <w:right w:val="none" w:sz="0" w:space="0" w:color="auto"/>
          </w:divBdr>
        </w:div>
        <w:div w:id="1826436401">
          <w:marLeft w:val="0"/>
          <w:marRight w:val="0"/>
          <w:marTop w:val="0"/>
          <w:marBottom w:val="0"/>
          <w:divBdr>
            <w:top w:val="none" w:sz="0" w:space="0" w:color="auto"/>
            <w:left w:val="none" w:sz="0" w:space="0" w:color="auto"/>
            <w:bottom w:val="none" w:sz="0" w:space="0" w:color="auto"/>
            <w:right w:val="none" w:sz="0" w:space="0" w:color="auto"/>
          </w:divBdr>
        </w:div>
        <w:div w:id="1897663424">
          <w:marLeft w:val="0"/>
          <w:marRight w:val="0"/>
          <w:marTop w:val="0"/>
          <w:marBottom w:val="0"/>
          <w:divBdr>
            <w:top w:val="none" w:sz="0" w:space="0" w:color="auto"/>
            <w:left w:val="none" w:sz="0" w:space="0" w:color="auto"/>
            <w:bottom w:val="none" w:sz="0" w:space="0" w:color="auto"/>
            <w:right w:val="none" w:sz="0" w:space="0" w:color="auto"/>
          </w:divBdr>
        </w:div>
        <w:div w:id="2013798564">
          <w:marLeft w:val="0"/>
          <w:marRight w:val="0"/>
          <w:marTop w:val="0"/>
          <w:marBottom w:val="0"/>
          <w:divBdr>
            <w:top w:val="none" w:sz="0" w:space="0" w:color="auto"/>
            <w:left w:val="none" w:sz="0" w:space="0" w:color="auto"/>
            <w:bottom w:val="none" w:sz="0" w:space="0" w:color="auto"/>
            <w:right w:val="none" w:sz="0" w:space="0" w:color="auto"/>
          </w:divBdr>
        </w:div>
        <w:div w:id="2052880567">
          <w:marLeft w:val="0"/>
          <w:marRight w:val="0"/>
          <w:marTop w:val="0"/>
          <w:marBottom w:val="0"/>
          <w:divBdr>
            <w:top w:val="none" w:sz="0" w:space="0" w:color="auto"/>
            <w:left w:val="none" w:sz="0" w:space="0" w:color="auto"/>
            <w:bottom w:val="none" w:sz="0" w:space="0" w:color="auto"/>
            <w:right w:val="none" w:sz="0" w:space="0" w:color="auto"/>
          </w:divBdr>
        </w:div>
        <w:div w:id="2073117917">
          <w:marLeft w:val="0"/>
          <w:marRight w:val="0"/>
          <w:marTop w:val="0"/>
          <w:marBottom w:val="0"/>
          <w:divBdr>
            <w:top w:val="none" w:sz="0" w:space="0" w:color="auto"/>
            <w:left w:val="none" w:sz="0" w:space="0" w:color="auto"/>
            <w:bottom w:val="none" w:sz="0" w:space="0" w:color="auto"/>
            <w:right w:val="none" w:sz="0" w:space="0" w:color="auto"/>
          </w:divBdr>
        </w:div>
        <w:div w:id="2088648111">
          <w:marLeft w:val="0"/>
          <w:marRight w:val="0"/>
          <w:marTop w:val="0"/>
          <w:marBottom w:val="0"/>
          <w:divBdr>
            <w:top w:val="none" w:sz="0" w:space="0" w:color="auto"/>
            <w:left w:val="none" w:sz="0" w:space="0" w:color="auto"/>
            <w:bottom w:val="none" w:sz="0" w:space="0" w:color="auto"/>
            <w:right w:val="none" w:sz="0" w:space="0" w:color="auto"/>
          </w:divBdr>
        </w:div>
      </w:divsChild>
    </w:div>
    <w:div w:id="478886118">
      <w:bodyDiv w:val="1"/>
      <w:marLeft w:val="0"/>
      <w:marRight w:val="0"/>
      <w:marTop w:val="0"/>
      <w:marBottom w:val="0"/>
      <w:divBdr>
        <w:top w:val="none" w:sz="0" w:space="0" w:color="auto"/>
        <w:left w:val="none" w:sz="0" w:space="0" w:color="auto"/>
        <w:bottom w:val="none" w:sz="0" w:space="0" w:color="auto"/>
        <w:right w:val="none" w:sz="0" w:space="0" w:color="auto"/>
      </w:divBdr>
      <w:divsChild>
        <w:div w:id="2040937063">
          <w:marLeft w:val="0"/>
          <w:marRight w:val="0"/>
          <w:marTop w:val="0"/>
          <w:marBottom w:val="0"/>
          <w:divBdr>
            <w:top w:val="none" w:sz="0" w:space="0" w:color="auto"/>
            <w:left w:val="none" w:sz="0" w:space="0" w:color="auto"/>
            <w:bottom w:val="none" w:sz="0" w:space="0" w:color="auto"/>
            <w:right w:val="none" w:sz="0" w:space="0" w:color="auto"/>
          </w:divBdr>
        </w:div>
        <w:div w:id="465467468">
          <w:marLeft w:val="0"/>
          <w:marRight w:val="0"/>
          <w:marTop w:val="0"/>
          <w:marBottom w:val="0"/>
          <w:divBdr>
            <w:top w:val="none" w:sz="0" w:space="0" w:color="auto"/>
            <w:left w:val="none" w:sz="0" w:space="0" w:color="auto"/>
            <w:bottom w:val="none" w:sz="0" w:space="0" w:color="auto"/>
            <w:right w:val="none" w:sz="0" w:space="0" w:color="auto"/>
          </w:divBdr>
        </w:div>
        <w:div w:id="826242084">
          <w:marLeft w:val="0"/>
          <w:marRight w:val="0"/>
          <w:marTop w:val="0"/>
          <w:marBottom w:val="0"/>
          <w:divBdr>
            <w:top w:val="none" w:sz="0" w:space="0" w:color="auto"/>
            <w:left w:val="none" w:sz="0" w:space="0" w:color="auto"/>
            <w:bottom w:val="none" w:sz="0" w:space="0" w:color="auto"/>
            <w:right w:val="none" w:sz="0" w:space="0" w:color="auto"/>
          </w:divBdr>
        </w:div>
        <w:div w:id="615871839">
          <w:marLeft w:val="0"/>
          <w:marRight w:val="0"/>
          <w:marTop w:val="0"/>
          <w:marBottom w:val="0"/>
          <w:divBdr>
            <w:top w:val="none" w:sz="0" w:space="0" w:color="auto"/>
            <w:left w:val="none" w:sz="0" w:space="0" w:color="auto"/>
            <w:bottom w:val="none" w:sz="0" w:space="0" w:color="auto"/>
            <w:right w:val="none" w:sz="0" w:space="0" w:color="auto"/>
          </w:divBdr>
        </w:div>
        <w:div w:id="1682317225">
          <w:marLeft w:val="0"/>
          <w:marRight w:val="0"/>
          <w:marTop w:val="0"/>
          <w:marBottom w:val="0"/>
          <w:divBdr>
            <w:top w:val="none" w:sz="0" w:space="0" w:color="auto"/>
            <w:left w:val="none" w:sz="0" w:space="0" w:color="auto"/>
            <w:bottom w:val="none" w:sz="0" w:space="0" w:color="auto"/>
            <w:right w:val="none" w:sz="0" w:space="0" w:color="auto"/>
          </w:divBdr>
        </w:div>
        <w:div w:id="444622806">
          <w:marLeft w:val="0"/>
          <w:marRight w:val="0"/>
          <w:marTop w:val="0"/>
          <w:marBottom w:val="0"/>
          <w:divBdr>
            <w:top w:val="none" w:sz="0" w:space="0" w:color="auto"/>
            <w:left w:val="none" w:sz="0" w:space="0" w:color="auto"/>
            <w:bottom w:val="none" w:sz="0" w:space="0" w:color="auto"/>
            <w:right w:val="none" w:sz="0" w:space="0" w:color="auto"/>
          </w:divBdr>
        </w:div>
        <w:div w:id="554855085">
          <w:marLeft w:val="0"/>
          <w:marRight w:val="0"/>
          <w:marTop w:val="0"/>
          <w:marBottom w:val="0"/>
          <w:divBdr>
            <w:top w:val="none" w:sz="0" w:space="0" w:color="auto"/>
            <w:left w:val="none" w:sz="0" w:space="0" w:color="auto"/>
            <w:bottom w:val="none" w:sz="0" w:space="0" w:color="auto"/>
            <w:right w:val="none" w:sz="0" w:space="0" w:color="auto"/>
          </w:divBdr>
        </w:div>
        <w:div w:id="684329693">
          <w:marLeft w:val="0"/>
          <w:marRight w:val="0"/>
          <w:marTop w:val="0"/>
          <w:marBottom w:val="0"/>
          <w:divBdr>
            <w:top w:val="none" w:sz="0" w:space="0" w:color="auto"/>
            <w:left w:val="none" w:sz="0" w:space="0" w:color="auto"/>
            <w:bottom w:val="none" w:sz="0" w:space="0" w:color="auto"/>
            <w:right w:val="none" w:sz="0" w:space="0" w:color="auto"/>
          </w:divBdr>
        </w:div>
        <w:div w:id="1222061046">
          <w:marLeft w:val="0"/>
          <w:marRight w:val="0"/>
          <w:marTop w:val="0"/>
          <w:marBottom w:val="0"/>
          <w:divBdr>
            <w:top w:val="none" w:sz="0" w:space="0" w:color="auto"/>
            <w:left w:val="none" w:sz="0" w:space="0" w:color="auto"/>
            <w:bottom w:val="none" w:sz="0" w:space="0" w:color="auto"/>
            <w:right w:val="none" w:sz="0" w:space="0" w:color="auto"/>
          </w:divBdr>
        </w:div>
        <w:div w:id="2141264851">
          <w:marLeft w:val="0"/>
          <w:marRight w:val="0"/>
          <w:marTop w:val="0"/>
          <w:marBottom w:val="0"/>
          <w:divBdr>
            <w:top w:val="none" w:sz="0" w:space="0" w:color="auto"/>
            <w:left w:val="none" w:sz="0" w:space="0" w:color="auto"/>
            <w:bottom w:val="none" w:sz="0" w:space="0" w:color="auto"/>
            <w:right w:val="none" w:sz="0" w:space="0" w:color="auto"/>
          </w:divBdr>
        </w:div>
        <w:div w:id="1837912867">
          <w:marLeft w:val="0"/>
          <w:marRight w:val="0"/>
          <w:marTop w:val="0"/>
          <w:marBottom w:val="0"/>
          <w:divBdr>
            <w:top w:val="none" w:sz="0" w:space="0" w:color="auto"/>
            <w:left w:val="none" w:sz="0" w:space="0" w:color="auto"/>
            <w:bottom w:val="none" w:sz="0" w:space="0" w:color="auto"/>
            <w:right w:val="none" w:sz="0" w:space="0" w:color="auto"/>
          </w:divBdr>
        </w:div>
        <w:div w:id="2065327038">
          <w:marLeft w:val="0"/>
          <w:marRight w:val="0"/>
          <w:marTop w:val="0"/>
          <w:marBottom w:val="0"/>
          <w:divBdr>
            <w:top w:val="none" w:sz="0" w:space="0" w:color="auto"/>
            <w:left w:val="none" w:sz="0" w:space="0" w:color="auto"/>
            <w:bottom w:val="none" w:sz="0" w:space="0" w:color="auto"/>
            <w:right w:val="none" w:sz="0" w:space="0" w:color="auto"/>
          </w:divBdr>
        </w:div>
      </w:divsChild>
    </w:div>
    <w:div w:id="494303242">
      <w:bodyDiv w:val="1"/>
      <w:marLeft w:val="0"/>
      <w:marRight w:val="0"/>
      <w:marTop w:val="0"/>
      <w:marBottom w:val="0"/>
      <w:divBdr>
        <w:top w:val="none" w:sz="0" w:space="0" w:color="auto"/>
        <w:left w:val="none" w:sz="0" w:space="0" w:color="auto"/>
        <w:bottom w:val="none" w:sz="0" w:space="0" w:color="auto"/>
        <w:right w:val="none" w:sz="0" w:space="0" w:color="auto"/>
      </w:divBdr>
    </w:div>
    <w:div w:id="500505793">
      <w:bodyDiv w:val="1"/>
      <w:marLeft w:val="0"/>
      <w:marRight w:val="0"/>
      <w:marTop w:val="0"/>
      <w:marBottom w:val="0"/>
      <w:divBdr>
        <w:top w:val="none" w:sz="0" w:space="0" w:color="auto"/>
        <w:left w:val="none" w:sz="0" w:space="0" w:color="auto"/>
        <w:bottom w:val="none" w:sz="0" w:space="0" w:color="auto"/>
        <w:right w:val="none" w:sz="0" w:space="0" w:color="auto"/>
      </w:divBdr>
    </w:div>
    <w:div w:id="504904137">
      <w:bodyDiv w:val="1"/>
      <w:marLeft w:val="0"/>
      <w:marRight w:val="0"/>
      <w:marTop w:val="0"/>
      <w:marBottom w:val="0"/>
      <w:divBdr>
        <w:top w:val="none" w:sz="0" w:space="0" w:color="auto"/>
        <w:left w:val="none" w:sz="0" w:space="0" w:color="auto"/>
        <w:bottom w:val="none" w:sz="0" w:space="0" w:color="auto"/>
        <w:right w:val="none" w:sz="0" w:space="0" w:color="auto"/>
      </w:divBdr>
    </w:div>
    <w:div w:id="514423426">
      <w:bodyDiv w:val="1"/>
      <w:marLeft w:val="0"/>
      <w:marRight w:val="0"/>
      <w:marTop w:val="0"/>
      <w:marBottom w:val="0"/>
      <w:divBdr>
        <w:top w:val="none" w:sz="0" w:space="0" w:color="auto"/>
        <w:left w:val="none" w:sz="0" w:space="0" w:color="auto"/>
        <w:bottom w:val="none" w:sz="0" w:space="0" w:color="auto"/>
        <w:right w:val="none" w:sz="0" w:space="0" w:color="auto"/>
      </w:divBdr>
    </w:div>
    <w:div w:id="522209171">
      <w:bodyDiv w:val="1"/>
      <w:marLeft w:val="0"/>
      <w:marRight w:val="0"/>
      <w:marTop w:val="0"/>
      <w:marBottom w:val="0"/>
      <w:divBdr>
        <w:top w:val="none" w:sz="0" w:space="0" w:color="auto"/>
        <w:left w:val="none" w:sz="0" w:space="0" w:color="auto"/>
        <w:bottom w:val="none" w:sz="0" w:space="0" w:color="auto"/>
        <w:right w:val="none" w:sz="0" w:space="0" w:color="auto"/>
      </w:divBdr>
      <w:divsChild>
        <w:div w:id="76098860">
          <w:marLeft w:val="446"/>
          <w:marRight w:val="0"/>
          <w:marTop w:val="0"/>
          <w:marBottom w:val="240"/>
          <w:divBdr>
            <w:top w:val="none" w:sz="0" w:space="0" w:color="auto"/>
            <w:left w:val="none" w:sz="0" w:space="0" w:color="auto"/>
            <w:bottom w:val="none" w:sz="0" w:space="0" w:color="auto"/>
            <w:right w:val="none" w:sz="0" w:space="0" w:color="auto"/>
          </w:divBdr>
        </w:div>
        <w:div w:id="103573715">
          <w:marLeft w:val="446"/>
          <w:marRight w:val="0"/>
          <w:marTop w:val="0"/>
          <w:marBottom w:val="0"/>
          <w:divBdr>
            <w:top w:val="none" w:sz="0" w:space="0" w:color="auto"/>
            <w:left w:val="none" w:sz="0" w:space="0" w:color="auto"/>
            <w:bottom w:val="none" w:sz="0" w:space="0" w:color="auto"/>
            <w:right w:val="none" w:sz="0" w:space="0" w:color="auto"/>
          </w:divBdr>
        </w:div>
        <w:div w:id="685402060">
          <w:marLeft w:val="446"/>
          <w:marRight w:val="0"/>
          <w:marTop w:val="0"/>
          <w:marBottom w:val="240"/>
          <w:divBdr>
            <w:top w:val="none" w:sz="0" w:space="0" w:color="auto"/>
            <w:left w:val="none" w:sz="0" w:space="0" w:color="auto"/>
            <w:bottom w:val="none" w:sz="0" w:space="0" w:color="auto"/>
            <w:right w:val="none" w:sz="0" w:space="0" w:color="auto"/>
          </w:divBdr>
        </w:div>
        <w:div w:id="2131777684">
          <w:marLeft w:val="446"/>
          <w:marRight w:val="0"/>
          <w:marTop w:val="0"/>
          <w:marBottom w:val="240"/>
          <w:divBdr>
            <w:top w:val="none" w:sz="0" w:space="0" w:color="auto"/>
            <w:left w:val="none" w:sz="0" w:space="0" w:color="auto"/>
            <w:bottom w:val="none" w:sz="0" w:space="0" w:color="auto"/>
            <w:right w:val="none" w:sz="0" w:space="0" w:color="auto"/>
          </w:divBdr>
        </w:div>
      </w:divsChild>
    </w:div>
    <w:div w:id="564075153">
      <w:bodyDiv w:val="1"/>
      <w:marLeft w:val="0"/>
      <w:marRight w:val="0"/>
      <w:marTop w:val="0"/>
      <w:marBottom w:val="0"/>
      <w:divBdr>
        <w:top w:val="none" w:sz="0" w:space="0" w:color="auto"/>
        <w:left w:val="none" w:sz="0" w:space="0" w:color="auto"/>
        <w:bottom w:val="none" w:sz="0" w:space="0" w:color="auto"/>
        <w:right w:val="none" w:sz="0" w:space="0" w:color="auto"/>
      </w:divBdr>
    </w:div>
    <w:div w:id="565266881">
      <w:bodyDiv w:val="1"/>
      <w:marLeft w:val="0"/>
      <w:marRight w:val="0"/>
      <w:marTop w:val="0"/>
      <w:marBottom w:val="0"/>
      <w:divBdr>
        <w:top w:val="none" w:sz="0" w:space="0" w:color="auto"/>
        <w:left w:val="none" w:sz="0" w:space="0" w:color="auto"/>
        <w:bottom w:val="none" w:sz="0" w:space="0" w:color="auto"/>
        <w:right w:val="none" w:sz="0" w:space="0" w:color="auto"/>
      </w:divBdr>
    </w:div>
    <w:div w:id="594090566">
      <w:bodyDiv w:val="1"/>
      <w:marLeft w:val="0"/>
      <w:marRight w:val="0"/>
      <w:marTop w:val="0"/>
      <w:marBottom w:val="0"/>
      <w:divBdr>
        <w:top w:val="none" w:sz="0" w:space="0" w:color="auto"/>
        <w:left w:val="none" w:sz="0" w:space="0" w:color="auto"/>
        <w:bottom w:val="none" w:sz="0" w:space="0" w:color="auto"/>
        <w:right w:val="none" w:sz="0" w:space="0" w:color="auto"/>
      </w:divBdr>
    </w:div>
    <w:div w:id="596522619">
      <w:bodyDiv w:val="1"/>
      <w:marLeft w:val="0"/>
      <w:marRight w:val="0"/>
      <w:marTop w:val="0"/>
      <w:marBottom w:val="0"/>
      <w:divBdr>
        <w:top w:val="none" w:sz="0" w:space="0" w:color="auto"/>
        <w:left w:val="none" w:sz="0" w:space="0" w:color="auto"/>
        <w:bottom w:val="none" w:sz="0" w:space="0" w:color="auto"/>
        <w:right w:val="none" w:sz="0" w:space="0" w:color="auto"/>
      </w:divBdr>
    </w:div>
    <w:div w:id="602301574">
      <w:bodyDiv w:val="1"/>
      <w:marLeft w:val="0"/>
      <w:marRight w:val="0"/>
      <w:marTop w:val="0"/>
      <w:marBottom w:val="0"/>
      <w:divBdr>
        <w:top w:val="none" w:sz="0" w:space="0" w:color="auto"/>
        <w:left w:val="none" w:sz="0" w:space="0" w:color="auto"/>
        <w:bottom w:val="none" w:sz="0" w:space="0" w:color="auto"/>
        <w:right w:val="none" w:sz="0" w:space="0" w:color="auto"/>
      </w:divBdr>
    </w:div>
    <w:div w:id="737436786">
      <w:bodyDiv w:val="1"/>
      <w:marLeft w:val="0"/>
      <w:marRight w:val="0"/>
      <w:marTop w:val="0"/>
      <w:marBottom w:val="0"/>
      <w:divBdr>
        <w:top w:val="none" w:sz="0" w:space="0" w:color="auto"/>
        <w:left w:val="none" w:sz="0" w:space="0" w:color="auto"/>
        <w:bottom w:val="none" w:sz="0" w:space="0" w:color="auto"/>
        <w:right w:val="none" w:sz="0" w:space="0" w:color="auto"/>
      </w:divBdr>
    </w:div>
    <w:div w:id="745347203">
      <w:bodyDiv w:val="1"/>
      <w:marLeft w:val="0"/>
      <w:marRight w:val="0"/>
      <w:marTop w:val="0"/>
      <w:marBottom w:val="0"/>
      <w:divBdr>
        <w:top w:val="none" w:sz="0" w:space="0" w:color="auto"/>
        <w:left w:val="none" w:sz="0" w:space="0" w:color="auto"/>
        <w:bottom w:val="none" w:sz="0" w:space="0" w:color="auto"/>
        <w:right w:val="none" w:sz="0" w:space="0" w:color="auto"/>
      </w:divBdr>
    </w:div>
    <w:div w:id="858347780">
      <w:bodyDiv w:val="1"/>
      <w:marLeft w:val="0"/>
      <w:marRight w:val="0"/>
      <w:marTop w:val="0"/>
      <w:marBottom w:val="0"/>
      <w:divBdr>
        <w:top w:val="none" w:sz="0" w:space="0" w:color="auto"/>
        <w:left w:val="none" w:sz="0" w:space="0" w:color="auto"/>
        <w:bottom w:val="none" w:sz="0" w:space="0" w:color="auto"/>
        <w:right w:val="none" w:sz="0" w:space="0" w:color="auto"/>
      </w:divBdr>
    </w:div>
    <w:div w:id="863523586">
      <w:bodyDiv w:val="1"/>
      <w:marLeft w:val="0"/>
      <w:marRight w:val="0"/>
      <w:marTop w:val="0"/>
      <w:marBottom w:val="0"/>
      <w:divBdr>
        <w:top w:val="none" w:sz="0" w:space="0" w:color="auto"/>
        <w:left w:val="none" w:sz="0" w:space="0" w:color="auto"/>
        <w:bottom w:val="none" w:sz="0" w:space="0" w:color="auto"/>
        <w:right w:val="none" w:sz="0" w:space="0" w:color="auto"/>
      </w:divBdr>
    </w:div>
    <w:div w:id="915628181">
      <w:bodyDiv w:val="1"/>
      <w:marLeft w:val="0"/>
      <w:marRight w:val="0"/>
      <w:marTop w:val="0"/>
      <w:marBottom w:val="0"/>
      <w:divBdr>
        <w:top w:val="none" w:sz="0" w:space="0" w:color="auto"/>
        <w:left w:val="none" w:sz="0" w:space="0" w:color="auto"/>
        <w:bottom w:val="none" w:sz="0" w:space="0" w:color="auto"/>
        <w:right w:val="none" w:sz="0" w:space="0" w:color="auto"/>
      </w:divBdr>
    </w:div>
    <w:div w:id="930743179">
      <w:bodyDiv w:val="1"/>
      <w:marLeft w:val="0"/>
      <w:marRight w:val="0"/>
      <w:marTop w:val="0"/>
      <w:marBottom w:val="0"/>
      <w:divBdr>
        <w:top w:val="none" w:sz="0" w:space="0" w:color="auto"/>
        <w:left w:val="none" w:sz="0" w:space="0" w:color="auto"/>
        <w:bottom w:val="none" w:sz="0" w:space="0" w:color="auto"/>
        <w:right w:val="none" w:sz="0" w:space="0" w:color="auto"/>
      </w:divBdr>
    </w:div>
    <w:div w:id="959533597">
      <w:bodyDiv w:val="1"/>
      <w:marLeft w:val="0"/>
      <w:marRight w:val="0"/>
      <w:marTop w:val="0"/>
      <w:marBottom w:val="0"/>
      <w:divBdr>
        <w:top w:val="none" w:sz="0" w:space="0" w:color="auto"/>
        <w:left w:val="none" w:sz="0" w:space="0" w:color="auto"/>
        <w:bottom w:val="none" w:sz="0" w:space="0" w:color="auto"/>
        <w:right w:val="none" w:sz="0" w:space="0" w:color="auto"/>
      </w:divBdr>
    </w:div>
    <w:div w:id="999188345">
      <w:bodyDiv w:val="1"/>
      <w:marLeft w:val="0"/>
      <w:marRight w:val="0"/>
      <w:marTop w:val="0"/>
      <w:marBottom w:val="0"/>
      <w:divBdr>
        <w:top w:val="none" w:sz="0" w:space="0" w:color="auto"/>
        <w:left w:val="none" w:sz="0" w:space="0" w:color="auto"/>
        <w:bottom w:val="none" w:sz="0" w:space="0" w:color="auto"/>
        <w:right w:val="none" w:sz="0" w:space="0" w:color="auto"/>
      </w:divBdr>
    </w:div>
    <w:div w:id="1015959696">
      <w:bodyDiv w:val="1"/>
      <w:marLeft w:val="0"/>
      <w:marRight w:val="0"/>
      <w:marTop w:val="0"/>
      <w:marBottom w:val="0"/>
      <w:divBdr>
        <w:top w:val="none" w:sz="0" w:space="0" w:color="auto"/>
        <w:left w:val="none" w:sz="0" w:space="0" w:color="auto"/>
        <w:bottom w:val="none" w:sz="0" w:space="0" w:color="auto"/>
        <w:right w:val="none" w:sz="0" w:space="0" w:color="auto"/>
      </w:divBdr>
    </w:div>
    <w:div w:id="1026562625">
      <w:bodyDiv w:val="1"/>
      <w:marLeft w:val="0"/>
      <w:marRight w:val="0"/>
      <w:marTop w:val="0"/>
      <w:marBottom w:val="0"/>
      <w:divBdr>
        <w:top w:val="none" w:sz="0" w:space="0" w:color="auto"/>
        <w:left w:val="none" w:sz="0" w:space="0" w:color="auto"/>
        <w:bottom w:val="none" w:sz="0" w:space="0" w:color="auto"/>
        <w:right w:val="none" w:sz="0" w:space="0" w:color="auto"/>
      </w:divBdr>
      <w:divsChild>
        <w:div w:id="1373653985">
          <w:marLeft w:val="0"/>
          <w:marRight w:val="0"/>
          <w:marTop w:val="0"/>
          <w:marBottom w:val="0"/>
          <w:divBdr>
            <w:top w:val="none" w:sz="0" w:space="0" w:color="auto"/>
            <w:left w:val="none" w:sz="0" w:space="0" w:color="auto"/>
            <w:bottom w:val="none" w:sz="0" w:space="0" w:color="auto"/>
            <w:right w:val="none" w:sz="0" w:space="0" w:color="auto"/>
          </w:divBdr>
        </w:div>
        <w:div w:id="1911428660">
          <w:marLeft w:val="0"/>
          <w:marRight w:val="0"/>
          <w:marTop w:val="0"/>
          <w:marBottom w:val="0"/>
          <w:divBdr>
            <w:top w:val="none" w:sz="0" w:space="0" w:color="auto"/>
            <w:left w:val="none" w:sz="0" w:space="0" w:color="auto"/>
            <w:bottom w:val="none" w:sz="0" w:space="0" w:color="auto"/>
            <w:right w:val="none" w:sz="0" w:space="0" w:color="auto"/>
          </w:divBdr>
        </w:div>
        <w:div w:id="2126997953">
          <w:marLeft w:val="0"/>
          <w:marRight w:val="0"/>
          <w:marTop w:val="0"/>
          <w:marBottom w:val="0"/>
          <w:divBdr>
            <w:top w:val="none" w:sz="0" w:space="0" w:color="auto"/>
            <w:left w:val="none" w:sz="0" w:space="0" w:color="auto"/>
            <w:bottom w:val="none" w:sz="0" w:space="0" w:color="auto"/>
            <w:right w:val="none" w:sz="0" w:space="0" w:color="auto"/>
          </w:divBdr>
        </w:div>
      </w:divsChild>
    </w:div>
    <w:div w:id="1063721603">
      <w:bodyDiv w:val="1"/>
      <w:marLeft w:val="0"/>
      <w:marRight w:val="0"/>
      <w:marTop w:val="0"/>
      <w:marBottom w:val="0"/>
      <w:divBdr>
        <w:top w:val="none" w:sz="0" w:space="0" w:color="auto"/>
        <w:left w:val="none" w:sz="0" w:space="0" w:color="auto"/>
        <w:bottom w:val="none" w:sz="0" w:space="0" w:color="auto"/>
        <w:right w:val="none" w:sz="0" w:space="0" w:color="auto"/>
      </w:divBdr>
    </w:div>
    <w:div w:id="1069839440">
      <w:bodyDiv w:val="1"/>
      <w:marLeft w:val="0"/>
      <w:marRight w:val="0"/>
      <w:marTop w:val="0"/>
      <w:marBottom w:val="0"/>
      <w:divBdr>
        <w:top w:val="none" w:sz="0" w:space="0" w:color="auto"/>
        <w:left w:val="none" w:sz="0" w:space="0" w:color="auto"/>
        <w:bottom w:val="none" w:sz="0" w:space="0" w:color="auto"/>
        <w:right w:val="none" w:sz="0" w:space="0" w:color="auto"/>
      </w:divBdr>
      <w:divsChild>
        <w:div w:id="13503037">
          <w:marLeft w:val="0"/>
          <w:marRight w:val="0"/>
          <w:marTop w:val="0"/>
          <w:marBottom w:val="0"/>
          <w:divBdr>
            <w:top w:val="none" w:sz="0" w:space="0" w:color="auto"/>
            <w:left w:val="none" w:sz="0" w:space="0" w:color="auto"/>
            <w:bottom w:val="none" w:sz="0" w:space="0" w:color="auto"/>
            <w:right w:val="none" w:sz="0" w:space="0" w:color="auto"/>
          </w:divBdr>
        </w:div>
        <w:div w:id="1261795556">
          <w:marLeft w:val="0"/>
          <w:marRight w:val="0"/>
          <w:marTop w:val="0"/>
          <w:marBottom w:val="0"/>
          <w:divBdr>
            <w:top w:val="none" w:sz="0" w:space="0" w:color="auto"/>
            <w:left w:val="none" w:sz="0" w:space="0" w:color="auto"/>
            <w:bottom w:val="none" w:sz="0" w:space="0" w:color="auto"/>
            <w:right w:val="none" w:sz="0" w:space="0" w:color="auto"/>
          </w:divBdr>
        </w:div>
      </w:divsChild>
    </w:div>
    <w:div w:id="1070927831">
      <w:bodyDiv w:val="1"/>
      <w:marLeft w:val="0"/>
      <w:marRight w:val="0"/>
      <w:marTop w:val="0"/>
      <w:marBottom w:val="0"/>
      <w:divBdr>
        <w:top w:val="none" w:sz="0" w:space="0" w:color="auto"/>
        <w:left w:val="none" w:sz="0" w:space="0" w:color="auto"/>
        <w:bottom w:val="none" w:sz="0" w:space="0" w:color="auto"/>
        <w:right w:val="none" w:sz="0" w:space="0" w:color="auto"/>
      </w:divBdr>
    </w:div>
    <w:div w:id="1071583222">
      <w:bodyDiv w:val="1"/>
      <w:marLeft w:val="0"/>
      <w:marRight w:val="0"/>
      <w:marTop w:val="0"/>
      <w:marBottom w:val="0"/>
      <w:divBdr>
        <w:top w:val="none" w:sz="0" w:space="0" w:color="auto"/>
        <w:left w:val="none" w:sz="0" w:space="0" w:color="auto"/>
        <w:bottom w:val="none" w:sz="0" w:space="0" w:color="auto"/>
        <w:right w:val="none" w:sz="0" w:space="0" w:color="auto"/>
      </w:divBdr>
    </w:div>
    <w:div w:id="1103720575">
      <w:bodyDiv w:val="1"/>
      <w:marLeft w:val="0"/>
      <w:marRight w:val="0"/>
      <w:marTop w:val="0"/>
      <w:marBottom w:val="0"/>
      <w:divBdr>
        <w:top w:val="none" w:sz="0" w:space="0" w:color="auto"/>
        <w:left w:val="none" w:sz="0" w:space="0" w:color="auto"/>
        <w:bottom w:val="none" w:sz="0" w:space="0" w:color="auto"/>
        <w:right w:val="none" w:sz="0" w:space="0" w:color="auto"/>
      </w:divBdr>
    </w:div>
    <w:div w:id="1114983035">
      <w:bodyDiv w:val="1"/>
      <w:marLeft w:val="0"/>
      <w:marRight w:val="0"/>
      <w:marTop w:val="0"/>
      <w:marBottom w:val="0"/>
      <w:divBdr>
        <w:top w:val="none" w:sz="0" w:space="0" w:color="auto"/>
        <w:left w:val="none" w:sz="0" w:space="0" w:color="auto"/>
        <w:bottom w:val="none" w:sz="0" w:space="0" w:color="auto"/>
        <w:right w:val="none" w:sz="0" w:space="0" w:color="auto"/>
      </w:divBdr>
      <w:divsChild>
        <w:div w:id="766124275">
          <w:marLeft w:val="0"/>
          <w:marRight w:val="0"/>
          <w:marTop w:val="0"/>
          <w:marBottom w:val="0"/>
          <w:divBdr>
            <w:top w:val="none" w:sz="0" w:space="0" w:color="auto"/>
            <w:left w:val="none" w:sz="0" w:space="0" w:color="auto"/>
            <w:bottom w:val="none" w:sz="0" w:space="0" w:color="auto"/>
            <w:right w:val="none" w:sz="0" w:space="0" w:color="auto"/>
          </w:divBdr>
        </w:div>
        <w:div w:id="1297838526">
          <w:marLeft w:val="0"/>
          <w:marRight w:val="0"/>
          <w:marTop w:val="0"/>
          <w:marBottom w:val="0"/>
          <w:divBdr>
            <w:top w:val="none" w:sz="0" w:space="0" w:color="auto"/>
            <w:left w:val="none" w:sz="0" w:space="0" w:color="auto"/>
            <w:bottom w:val="none" w:sz="0" w:space="0" w:color="auto"/>
            <w:right w:val="none" w:sz="0" w:space="0" w:color="auto"/>
          </w:divBdr>
        </w:div>
      </w:divsChild>
    </w:div>
    <w:div w:id="1156527650">
      <w:bodyDiv w:val="1"/>
      <w:marLeft w:val="0"/>
      <w:marRight w:val="0"/>
      <w:marTop w:val="0"/>
      <w:marBottom w:val="0"/>
      <w:divBdr>
        <w:top w:val="none" w:sz="0" w:space="0" w:color="auto"/>
        <w:left w:val="none" w:sz="0" w:space="0" w:color="auto"/>
        <w:bottom w:val="none" w:sz="0" w:space="0" w:color="auto"/>
        <w:right w:val="none" w:sz="0" w:space="0" w:color="auto"/>
      </w:divBdr>
      <w:divsChild>
        <w:div w:id="1191263181">
          <w:marLeft w:val="0"/>
          <w:marRight w:val="0"/>
          <w:marTop w:val="0"/>
          <w:marBottom w:val="0"/>
          <w:divBdr>
            <w:top w:val="none" w:sz="0" w:space="0" w:color="auto"/>
            <w:left w:val="none" w:sz="0" w:space="0" w:color="auto"/>
            <w:bottom w:val="none" w:sz="0" w:space="0" w:color="auto"/>
            <w:right w:val="none" w:sz="0" w:space="0" w:color="auto"/>
          </w:divBdr>
        </w:div>
        <w:div w:id="2063672531">
          <w:marLeft w:val="0"/>
          <w:marRight w:val="0"/>
          <w:marTop w:val="0"/>
          <w:marBottom w:val="0"/>
          <w:divBdr>
            <w:top w:val="none" w:sz="0" w:space="0" w:color="auto"/>
            <w:left w:val="none" w:sz="0" w:space="0" w:color="auto"/>
            <w:bottom w:val="none" w:sz="0" w:space="0" w:color="auto"/>
            <w:right w:val="none" w:sz="0" w:space="0" w:color="auto"/>
          </w:divBdr>
        </w:div>
      </w:divsChild>
    </w:div>
    <w:div w:id="1190607814">
      <w:bodyDiv w:val="1"/>
      <w:marLeft w:val="0"/>
      <w:marRight w:val="0"/>
      <w:marTop w:val="0"/>
      <w:marBottom w:val="0"/>
      <w:divBdr>
        <w:top w:val="none" w:sz="0" w:space="0" w:color="auto"/>
        <w:left w:val="none" w:sz="0" w:space="0" w:color="auto"/>
        <w:bottom w:val="none" w:sz="0" w:space="0" w:color="auto"/>
        <w:right w:val="none" w:sz="0" w:space="0" w:color="auto"/>
      </w:divBdr>
    </w:div>
    <w:div w:id="1194031291">
      <w:bodyDiv w:val="1"/>
      <w:marLeft w:val="0"/>
      <w:marRight w:val="0"/>
      <w:marTop w:val="0"/>
      <w:marBottom w:val="0"/>
      <w:divBdr>
        <w:top w:val="none" w:sz="0" w:space="0" w:color="auto"/>
        <w:left w:val="none" w:sz="0" w:space="0" w:color="auto"/>
        <w:bottom w:val="none" w:sz="0" w:space="0" w:color="auto"/>
        <w:right w:val="none" w:sz="0" w:space="0" w:color="auto"/>
      </w:divBdr>
    </w:div>
    <w:div w:id="1207521781">
      <w:bodyDiv w:val="1"/>
      <w:marLeft w:val="0"/>
      <w:marRight w:val="0"/>
      <w:marTop w:val="0"/>
      <w:marBottom w:val="0"/>
      <w:divBdr>
        <w:top w:val="none" w:sz="0" w:space="0" w:color="auto"/>
        <w:left w:val="none" w:sz="0" w:space="0" w:color="auto"/>
        <w:bottom w:val="none" w:sz="0" w:space="0" w:color="auto"/>
        <w:right w:val="none" w:sz="0" w:space="0" w:color="auto"/>
      </w:divBdr>
    </w:div>
    <w:div w:id="1288270859">
      <w:bodyDiv w:val="1"/>
      <w:marLeft w:val="0"/>
      <w:marRight w:val="0"/>
      <w:marTop w:val="0"/>
      <w:marBottom w:val="0"/>
      <w:divBdr>
        <w:top w:val="none" w:sz="0" w:space="0" w:color="auto"/>
        <w:left w:val="none" w:sz="0" w:space="0" w:color="auto"/>
        <w:bottom w:val="none" w:sz="0" w:space="0" w:color="auto"/>
        <w:right w:val="none" w:sz="0" w:space="0" w:color="auto"/>
      </w:divBdr>
      <w:divsChild>
        <w:div w:id="139618947">
          <w:marLeft w:val="0"/>
          <w:marRight w:val="0"/>
          <w:marTop w:val="0"/>
          <w:marBottom w:val="0"/>
          <w:divBdr>
            <w:top w:val="none" w:sz="0" w:space="0" w:color="auto"/>
            <w:left w:val="none" w:sz="0" w:space="0" w:color="auto"/>
            <w:bottom w:val="none" w:sz="0" w:space="0" w:color="auto"/>
            <w:right w:val="none" w:sz="0" w:space="0" w:color="auto"/>
          </w:divBdr>
        </w:div>
        <w:div w:id="1442190346">
          <w:marLeft w:val="0"/>
          <w:marRight w:val="0"/>
          <w:marTop w:val="0"/>
          <w:marBottom w:val="0"/>
          <w:divBdr>
            <w:top w:val="none" w:sz="0" w:space="0" w:color="auto"/>
            <w:left w:val="none" w:sz="0" w:space="0" w:color="auto"/>
            <w:bottom w:val="none" w:sz="0" w:space="0" w:color="auto"/>
            <w:right w:val="none" w:sz="0" w:space="0" w:color="auto"/>
          </w:divBdr>
        </w:div>
        <w:div w:id="2134054103">
          <w:marLeft w:val="0"/>
          <w:marRight w:val="0"/>
          <w:marTop w:val="0"/>
          <w:marBottom w:val="0"/>
          <w:divBdr>
            <w:top w:val="none" w:sz="0" w:space="0" w:color="auto"/>
            <w:left w:val="none" w:sz="0" w:space="0" w:color="auto"/>
            <w:bottom w:val="none" w:sz="0" w:space="0" w:color="auto"/>
            <w:right w:val="none" w:sz="0" w:space="0" w:color="auto"/>
          </w:divBdr>
        </w:div>
      </w:divsChild>
    </w:div>
    <w:div w:id="1295402694">
      <w:bodyDiv w:val="1"/>
      <w:marLeft w:val="0"/>
      <w:marRight w:val="0"/>
      <w:marTop w:val="0"/>
      <w:marBottom w:val="0"/>
      <w:divBdr>
        <w:top w:val="none" w:sz="0" w:space="0" w:color="auto"/>
        <w:left w:val="none" w:sz="0" w:space="0" w:color="auto"/>
        <w:bottom w:val="none" w:sz="0" w:space="0" w:color="auto"/>
        <w:right w:val="none" w:sz="0" w:space="0" w:color="auto"/>
      </w:divBdr>
      <w:divsChild>
        <w:div w:id="6060635">
          <w:marLeft w:val="0"/>
          <w:marRight w:val="0"/>
          <w:marTop w:val="0"/>
          <w:marBottom w:val="0"/>
          <w:divBdr>
            <w:top w:val="none" w:sz="0" w:space="0" w:color="auto"/>
            <w:left w:val="none" w:sz="0" w:space="0" w:color="auto"/>
            <w:bottom w:val="none" w:sz="0" w:space="0" w:color="auto"/>
            <w:right w:val="none" w:sz="0" w:space="0" w:color="auto"/>
          </w:divBdr>
        </w:div>
        <w:div w:id="34817953">
          <w:marLeft w:val="0"/>
          <w:marRight w:val="0"/>
          <w:marTop w:val="0"/>
          <w:marBottom w:val="0"/>
          <w:divBdr>
            <w:top w:val="none" w:sz="0" w:space="0" w:color="auto"/>
            <w:left w:val="none" w:sz="0" w:space="0" w:color="auto"/>
            <w:bottom w:val="none" w:sz="0" w:space="0" w:color="auto"/>
            <w:right w:val="none" w:sz="0" w:space="0" w:color="auto"/>
          </w:divBdr>
        </w:div>
        <w:div w:id="183254920">
          <w:marLeft w:val="0"/>
          <w:marRight w:val="0"/>
          <w:marTop w:val="0"/>
          <w:marBottom w:val="0"/>
          <w:divBdr>
            <w:top w:val="none" w:sz="0" w:space="0" w:color="auto"/>
            <w:left w:val="none" w:sz="0" w:space="0" w:color="auto"/>
            <w:bottom w:val="none" w:sz="0" w:space="0" w:color="auto"/>
            <w:right w:val="none" w:sz="0" w:space="0" w:color="auto"/>
          </w:divBdr>
        </w:div>
        <w:div w:id="300234109">
          <w:marLeft w:val="0"/>
          <w:marRight w:val="0"/>
          <w:marTop w:val="0"/>
          <w:marBottom w:val="0"/>
          <w:divBdr>
            <w:top w:val="none" w:sz="0" w:space="0" w:color="auto"/>
            <w:left w:val="none" w:sz="0" w:space="0" w:color="auto"/>
            <w:bottom w:val="none" w:sz="0" w:space="0" w:color="auto"/>
            <w:right w:val="none" w:sz="0" w:space="0" w:color="auto"/>
          </w:divBdr>
        </w:div>
        <w:div w:id="429131781">
          <w:marLeft w:val="0"/>
          <w:marRight w:val="0"/>
          <w:marTop w:val="0"/>
          <w:marBottom w:val="0"/>
          <w:divBdr>
            <w:top w:val="none" w:sz="0" w:space="0" w:color="auto"/>
            <w:left w:val="none" w:sz="0" w:space="0" w:color="auto"/>
            <w:bottom w:val="none" w:sz="0" w:space="0" w:color="auto"/>
            <w:right w:val="none" w:sz="0" w:space="0" w:color="auto"/>
          </w:divBdr>
        </w:div>
        <w:div w:id="579025987">
          <w:marLeft w:val="0"/>
          <w:marRight w:val="0"/>
          <w:marTop w:val="0"/>
          <w:marBottom w:val="0"/>
          <w:divBdr>
            <w:top w:val="none" w:sz="0" w:space="0" w:color="auto"/>
            <w:left w:val="none" w:sz="0" w:space="0" w:color="auto"/>
            <w:bottom w:val="none" w:sz="0" w:space="0" w:color="auto"/>
            <w:right w:val="none" w:sz="0" w:space="0" w:color="auto"/>
          </w:divBdr>
        </w:div>
        <w:div w:id="1145899010">
          <w:marLeft w:val="0"/>
          <w:marRight w:val="0"/>
          <w:marTop w:val="0"/>
          <w:marBottom w:val="0"/>
          <w:divBdr>
            <w:top w:val="none" w:sz="0" w:space="0" w:color="auto"/>
            <w:left w:val="none" w:sz="0" w:space="0" w:color="auto"/>
            <w:bottom w:val="none" w:sz="0" w:space="0" w:color="auto"/>
            <w:right w:val="none" w:sz="0" w:space="0" w:color="auto"/>
          </w:divBdr>
        </w:div>
        <w:div w:id="1163467977">
          <w:marLeft w:val="0"/>
          <w:marRight w:val="0"/>
          <w:marTop w:val="0"/>
          <w:marBottom w:val="0"/>
          <w:divBdr>
            <w:top w:val="none" w:sz="0" w:space="0" w:color="auto"/>
            <w:left w:val="none" w:sz="0" w:space="0" w:color="auto"/>
            <w:bottom w:val="none" w:sz="0" w:space="0" w:color="auto"/>
            <w:right w:val="none" w:sz="0" w:space="0" w:color="auto"/>
          </w:divBdr>
        </w:div>
        <w:div w:id="1371345196">
          <w:marLeft w:val="0"/>
          <w:marRight w:val="0"/>
          <w:marTop w:val="0"/>
          <w:marBottom w:val="0"/>
          <w:divBdr>
            <w:top w:val="none" w:sz="0" w:space="0" w:color="auto"/>
            <w:left w:val="none" w:sz="0" w:space="0" w:color="auto"/>
            <w:bottom w:val="none" w:sz="0" w:space="0" w:color="auto"/>
            <w:right w:val="none" w:sz="0" w:space="0" w:color="auto"/>
          </w:divBdr>
        </w:div>
        <w:div w:id="1452939935">
          <w:marLeft w:val="0"/>
          <w:marRight w:val="0"/>
          <w:marTop w:val="0"/>
          <w:marBottom w:val="0"/>
          <w:divBdr>
            <w:top w:val="none" w:sz="0" w:space="0" w:color="auto"/>
            <w:left w:val="none" w:sz="0" w:space="0" w:color="auto"/>
            <w:bottom w:val="none" w:sz="0" w:space="0" w:color="auto"/>
            <w:right w:val="none" w:sz="0" w:space="0" w:color="auto"/>
          </w:divBdr>
        </w:div>
        <w:div w:id="1551845881">
          <w:marLeft w:val="0"/>
          <w:marRight w:val="0"/>
          <w:marTop w:val="0"/>
          <w:marBottom w:val="0"/>
          <w:divBdr>
            <w:top w:val="none" w:sz="0" w:space="0" w:color="auto"/>
            <w:left w:val="none" w:sz="0" w:space="0" w:color="auto"/>
            <w:bottom w:val="none" w:sz="0" w:space="0" w:color="auto"/>
            <w:right w:val="none" w:sz="0" w:space="0" w:color="auto"/>
          </w:divBdr>
        </w:div>
        <w:div w:id="1601061703">
          <w:marLeft w:val="0"/>
          <w:marRight w:val="0"/>
          <w:marTop w:val="0"/>
          <w:marBottom w:val="0"/>
          <w:divBdr>
            <w:top w:val="none" w:sz="0" w:space="0" w:color="auto"/>
            <w:left w:val="none" w:sz="0" w:space="0" w:color="auto"/>
            <w:bottom w:val="none" w:sz="0" w:space="0" w:color="auto"/>
            <w:right w:val="none" w:sz="0" w:space="0" w:color="auto"/>
          </w:divBdr>
        </w:div>
        <w:div w:id="1646086997">
          <w:marLeft w:val="0"/>
          <w:marRight w:val="0"/>
          <w:marTop w:val="0"/>
          <w:marBottom w:val="0"/>
          <w:divBdr>
            <w:top w:val="none" w:sz="0" w:space="0" w:color="auto"/>
            <w:left w:val="none" w:sz="0" w:space="0" w:color="auto"/>
            <w:bottom w:val="none" w:sz="0" w:space="0" w:color="auto"/>
            <w:right w:val="none" w:sz="0" w:space="0" w:color="auto"/>
          </w:divBdr>
        </w:div>
        <w:div w:id="1675721524">
          <w:marLeft w:val="0"/>
          <w:marRight w:val="0"/>
          <w:marTop w:val="0"/>
          <w:marBottom w:val="0"/>
          <w:divBdr>
            <w:top w:val="none" w:sz="0" w:space="0" w:color="auto"/>
            <w:left w:val="none" w:sz="0" w:space="0" w:color="auto"/>
            <w:bottom w:val="none" w:sz="0" w:space="0" w:color="auto"/>
            <w:right w:val="none" w:sz="0" w:space="0" w:color="auto"/>
          </w:divBdr>
        </w:div>
        <w:div w:id="1949771202">
          <w:marLeft w:val="0"/>
          <w:marRight w:val="0"/>
          <w:marTop w:val="0"/>
          <w:marBottom w:val="0"/>
          <w:divBdr>
            <w:top w:val="none" w:sz="0" w:space="0" w:color="auto"/>
            <w:left w:val="none" w:sz="0" w:space="0" w:color="auto"/>
            <w:bottom w:val="none" w:sz="0" w:space="0" w:color="auto"/>
            <w:right w:val="none" w:sz="0" w:space="0" w:color="auto"/>
          </w:divBdr>
        </w:div>
      </w:divsChild>
    </w:div>
    <w:div w:id="1299147104">
      <w:bodyDiv w:val="1"/>
      <w:marLeft w:val="0"/>
      <w:marRight w:val="0"/>
      <w:marTop w:val="0"/>
      <w:marBottom w:val="0"/>
      <w:divBdr>
        <w:top w:val="none" w:sz="0" w:space="0" w:color="auto"/>
        <w:left w:val="none" w:sz="0" w:space="0" w:color="auto"/>
        <w:bottom w:val="none" w:sz="0" w:space="0" w:color="auto"/>
        <w:right w:val="none" w:sz="0" w:space="0" w:color="auto"/>
      </w:divBdr>
    </w:div>
    <w:div w:id="1304195890">
      <w:bodyDiv w:val="1"/>
      <w:marLeft w:val="0"/>
      <w:marRight w:val="0"/>
      <w:marTop w:val="0"/>
      <w:marBottom w:val="0"/>
      <w:divBdr>
        <w:top w:val="none" w:sz="0" w:space="0" w:color="auto"/>
        <w:left w:val="none" w:sz="0" w:space="0" w:color="auto"/>
        <w:bottom w:val="none" w:sz="0" w:space="0" w:color="auto"/>
        <w:right w:val="none" w:sz="0" w:space="0" w:color="auto"/>
      </w:divBdr>
    </w:div>
    <w:div w:id="1312100069">
      <w:bodyDiv w:val="1"/>
      <w:marLeft w:val="0"/>
      <w:marRight w:val="0"/>
      <w:marTop w:val="0"/>
      <w:marBottom w:val="0"/>
      <w:divBdr>
        <w:top w:val="none" w:sz="0" w:space="0" w:color="auto"/>
        <w:left w:val="none" w:sz="0" w:space="0" w:color="auto"/>
        <w:bottom w:val="none" w:sz="0" w:space="0" w:color="auto"/>
        <w:right w:val="none" w:sz="0" w:space="0" w:color="auto"/>
      </w:divBdr>
    </w:div>
    <w:div w:id="1363358600">
      <w:bodyDiv w:val="1"/>
      <w:marLeft w:val="0"/>
      <w:marRight w:val="0"/>
      <w:marTop w:val="0"/>
      <w:marBottom w:val="0"/>
      <w:divBdr>
        <w:top w:val="none" w:sz="0" w:space="0" w:color="auto"/>
        <w:left w:val="none" w:sz="0" w:space="0" w:color="auto"/>
        <w:bottom w:val="none" w:sz="0" w:space="0" w:color="auto"/>
        <w:right w:val="none" w:sz="0" w:space="0" w:color="auto"/>
      </w:divBdr>
    </w:div>
    <w:div w:id="1394738212">
      <w:bodyDiv w:val="1"/>
      <w:marLeft w:val="0"/>
      <w:marRight w:val="0"/>
      <w:marTop w:val="0"/>
      <w:marBottom w:val="0"/>
      <w:divBdr>
        <w:top w:val="none" w:sz="0" w:space="0" w:color="auto"/>
        <w:left w:val="none" w:sz="0" w:space="0" w:color="auto"/>
        <w:bottom w:val="none" w:sz="0" w:space="0" w:color="auto"/>
        <w:right w:val="none" w:sz="0" w:space="0" w:color="auto"/>
      </w:divBdr>
    </w:div>
    <w:div w:id="1405882026">
      <w:bodyDiv w:val="1"/>
      <w:marLeft w:val="0"/>
      <w:marRight w:val="0"/>
      <w:marTop w:val="0"/>
      <w:marBottom w:val="0"/>
      <w:divBdr>
        <w:top w:val="none" w:sz="0" w:space="0" w:color="auto"/>
        <w:left w:val="none" w:sz="0" w:space="0" w:color="auto"/>
        <w:bottom w:val="none" w:sz="0" w:space="0" w:color="auto"/>
        <w:right w:val="none" w:sz="0" w:space="0" w:color="auto"/>
      </w:divBdr>
    </w:div>
    <w:div w:id="1430857721">
      <w:bodyDiv w:val="1"/>
      <w:marLeft w:val="0"/>
      <w:marRight w:val="0"/>
      <w:marTop w:val="0"/>
      <w:marBottom w:val="0"/>
      <w:divBdr>
        <w:top w:val="none" w:sz="0" w:space="0" w:color="auto"/>
        <w:left w:val="none" w:sz="0" w:space="0" w:color="auto"/>
        <w:bottom w:val="none" w:sz="0" w:space="0" w:color="auto"/>
        <w:right w:val="none" w:sz="0" w:space="0" w:color="auto"/>
      </w:divBdr>
    </w:div>
    <w:div w:id="1476486401">
      <w:bodyDiv w:val="1"/>
      <w:marLeft w:val="0"/>
      <w:marRight w:val="0"/>
      <w:marTop w:val="0"/>
      <w:marBottom w:val="0"/>
      <w:divBdr>
        <w:top w:val="none" w:sz="0" w:space="0" w:color="auto"/>
        <w:left w:val="none" w:sz="0" w:space="0" w:color="auto"/>
        <w:bottom w:val="none" w:sz="0" w:space="0" w:color="auto"/>
        <w:right w:val="none" w:sz="0" w:space="0" w:color="auto"/>
      </w:divBdr>
    </w:div>
    <w:div w:id="1485470969">
      <w:bodyDiv w:val="1"/>
      <w:marLeft w:val="0"/>
      <w:marRight w:val="0"/>
      <w:marTop w:val="0"/>
      <w:marBottom w:val="0"/>
      <w:divBdr>
        <w:top w:val="none" w:sz="0" w:space="0" w:color="auto"/>
        <w:left w:val="none" w:sz="0" w:space="0" w:color="auto"/>
        <w:bottom w:val="none" w:sz="0" w:space="0" w:color="auto"/>
        <w:right w:val="none" w:sz="0" w:space="0" w:color="auto"/>
      </w:divBdr>
    </w:div>
    <w:div w:id="1489974856">
      <w:bodyDiv w:val="1"/>
      <w:marLeft w:val="0"/>
      <w:marRight w:val="0"/>
      <w:marTop w:val="0"/>
      <w:marBottom w:val="0"/>
      <w:divBdr>
        <w:top w:val="none" w:sz="0" w:space="0" w:color="auto"/>
        <w:left w:val="none" w:sz="0" w:space="0" w:color="auto"/>
        <w:bottom w:val="none" w:sz="0" w:space="0" w:color="auto"/>
        <w:right w:val="none" w:sz="0" w:space="0" w:color="auto"/>
      </w:divBdr>
    </w:div>
    <w:div w:id="1495219269">
      <w:bodyDiv w:val="1"/>
      <w:marLeft w:val="0"/>
      <w:marRight w:val="0"/>
      <w:marTop w:val="0"/>
      <w:marBottom w:val="0"/>
      <w:divBdr>
        <w:top w:val="none" w:sz="0" w:space="0" w:color="auto"/>
        <w:left w:val="none" w:sz="0" w:space="0" w:color="auto"/>
        <w:bottom w:val="none" w:sz="0" w:space="0" w:color="auto"/>
        <w:right w:val="none" w:sz="0" w:space="0" w:color="auto"/>
      </w:divBdr>
    </w:div>
    <w:div w:id="1525168079">
      <w:bodyDiv w:val="1"/>
      <w:marLeft w:val="0"/>
      <w:marRight w:val="0"/>
      <w:marTop w:val="0"/>
      <w:marBottom w:val="0"/>
      <w:divBdr>
        <w:top w:val="none" w:sz="0" w:space="0" w:color="auto"/>
        <w:left w:val="none" w:sz="0" w:space="0" w:color="auto"/>
        <w:bottom w:val="none" w:sz="0" w:space="0" w:color="auto"/>
        <w:right w:val="none" w:sz="0" w:space="0" w:color="auto"/>
      </w:divBdr>
    </w:div>
    <w:div w:id="1568220454">
      <w:bodyDiv w:val="1"/>
      <w:marLeft w:val="0"/>
      <w:marRight w:val="0"/>
      <w:marTop w:val="0"/>
      <w:marBottom w:val="0"/>
      <w:divBdr>
        <w:top w:val="none" w:sz="0" w:space="0" w:color="auto"/>
        <w:left w:val="none" w:sz="0" w:space="0" w:color="auto"/>
        <w:bottom w:val="none" w:sz="0" w:space="0" w:color="auto"/>
        <w:right w:val="none" w:sz="0" w:space="0" w:color="auto"/>
      </w:divBdr>
      <w:divsChild>
        <w:div w:id="697514297">
          <w:marLeft w:val="0"/>
          <w:marRight w:val="0"/>
          <w:marTop w:val="0"/>
          <w:marBottom w:val="0"/>
          <w:divBdr>
            <w:top w:val="none" w:sz="0" w:space="0" w:color="auto"/>
            <w:left w:val="none" w:sz="0" w:space="0" w:color="auto"/>
            <w:bottom w:val="none" w:sz="0" w:space="0" w:color="auto"/>
            <w:right w:val="none" w:sz="0" w:space="0" w:color="auto"/>
          </w:divBdr>
        </w:div>
        <w:div w:id="1543056253">
          <w:marLeft w:val="0"/>
          <w:marRight w:val="0"/>
          <w:marTop w:val="0"/>
          <w:marBottom w:val="0"/>
          <w:divBdr>
            <w:top w:val="none" w:sz="0" w:space="0" w:color="auto"/>
            <w:left w:val="none" w:sz="0" w:space="0" w:color="auto"/>
            <w:bottom w:val="none" w:sz="0" w:space="0" w:color="auto"/>
            <w:right w:val="none" w:sz="0" w:space="0" w:color="auto"/>
          </w:divBdr>
        </w:div>
        <w:div w:id="1765299961">
          <w:marLeft w:val="0"/>
          <w:marRight w:val="0"/>
          <w:marTop w:val="0"/>
          <w:marBottom w:val="0"/>
          <w:divBdr>
            <w:top w:val="none" w:sz="0" w:space="0" w:color="auto"/>
            <w:left w:val="none" w:sz="0" w:space="0" w:color="auto"/>
            <w:bottom w:val="none" w:sz="0" w:space="0" w:color="auto"/>
            <w:right w:val="none" w:sz="0" w:space="0" w:color="auto"/>
          </w:divBdr>
        </w:div>
      </w:divsChild>
    </w:div>
    <w:div w:id="1584610775">
      <w:bodyDiv w:val="1"/>
      <w:marLeft w:val="0"/>
      <w:marRight w:val="0"/>
      <w:marTop w:val="0"/>
      <w:marBottom w:val="0"/>
      <w:divBdr>
        <w:top w:val="none" w:sz="0" w:space="0" w:color="auto"/>
        <w:left w:val="none" w:sz="0" w:space="0" w:color="auto"/>
        <w:bottom w:val="none" w:sz="0" w:space="0" w:color="auto"/>
        <w:right w:val="none" w:sz="0" w:space="0" w:color="auto"/>
      </w:divBdr>
    </w:div>
    <w:div w:id="1593317160">
      <w:bodyDiv w:val="1"/>
      <w:marLeft w:val="0"/>
      <w:marRight w:val="0"/>
      <w:marTop w:val="0"/>
      <w:marBottom w:val="0"/>
      <w:divBdr>
        <w:top w:val="none" w:sz="0" w:space="0" w:color="auto"/>
        <w:left w:val="none" w:sz="0" w:space="0" w:color="auto"/>
        <w:bottom w:val="none" w:sz="0" w:space="0" w:color="auto"/>
        <w:right w:val="none" w:sz="0" w:space="0" w:color="auto"/>
      </w:divBdr>
    </w:div>
    <w:div w:id="1610503205">
      <w:bodyDiv w:val="1"/>
      <w:marLeft w:val="0"/>
      <w:marRight w:val="0"/>
      <w:marTop w:val="0"/>
      <w:marBottom w:val="0"/>
      <w:divBdr>
        <w:top w:val="none" w:sz="0" w:space="0" w:color="auto"/>
        <w:left w:val="none" w:sz="0" w:space="0" w:color="auto"/>
        <w:bottom w:val="none" w:sz="0" w:space="0" w:color="auto"/>
        <w:right w:val="none" w:sz="0" w:space="0" w:color="auto"/>
      </w:divBdr>
    </w:div>
    <w:div w:id="1613511831">
      <w:bodyDiv w:val="1"/>
      <w:marLeft w:val="0"/>
      <w:marRight w:val="0"/>
      <w:marTop w:val="0"/>
      <w:marBottom w:val="0"/>
      <w:divBdr>
        <w:top w:val="none" w:sz="0" w:space="0" w:color="auto"/>
        <w:left w:val="none" w:sz="0" w:space="0" w:color="auto"/>
        <w:bottom w:val="none" w:sz="0" w:space="0" w:color="auto"/>
        <w:right w:val="none" w:sz="0" w:space="0" w:color="auto"/>
      </w:divBdr>
    </w:div>
    <w:div w:id="1616212717">
      <w:bodyDiv w:val="1"/>
      <w:marLeft w:val="0"/>
      <w:marRight w:val="0"/>
      <w:marTop w:val="0"/>
      <w:marBottom w:val="0"/>
      <w:divBdr>
        <w:top w:val="none" w:sz="0" w:space="0" w:color="auto"/>
        <w:left w:val="none" w:sz="0" w:space="0" w:color="auto"/>
        <w:bottom w:val="none" w:sz="0" w:space="0" w:color="auto"/>
        <w:right w:val="none" w:sz="0" w:space="0" w:color="auto"/>
      </w:divBdr>
    </w:div>
    <w:div w:id="1638563650">
      <w:bodyDiv w:val="1"/>
      <w:marLeft w:val="0"/>
      <w:marRight w:val="0"/>
      <w:marTop w:val="0"/>
      <w:marBottom w:val="0"/>
      <w:divBdr>
        <w:top w:val="none" w:sz="0" w:space="0" w:color="auto"/>
        <w:left w:val="none" w:sz="0" w:space="0" w:color="auto"/>
        <w:bottom w:val="none" w:sz="0" w:space="0" w:color="auto"/>
        <w:right w:val="none" w:sz="0" w:space="0" w:color="auto"/>
      </w:divBdr>
    </w:div>
    <w:div w:id="1697661127">
      <w:bodyDiv w:val="1"/>
      <w:marLeft w:val="0"/>
      <w:marRight w:val="0"/>
      <w:marTop w:val="0"/>
      <w:marBottom w:val="0"/>
      <w:divBdr>
        <w:top w:val="none" w:sz="0" w:space="0" w:color="auto"/>
        <w:left w:val="none" w:sz="0" w:space="0" w:color="auto"/>
        <w:bottom w:val="none" w:sz="0" w:space="0" w:color="auto"/>
        <w:right w:val="none" w:sz="0" w:space="0" w:color="auto"/>
      </w:divBdr>
      <w:divsChild>
        <w:div w:id="9885528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4087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9341555">
          <w:marLeft w:val="0"/>
          <w:marRight w:val="0"/>
          <w:marTop w:val="0"/>
          <w:marBottom w:val="0"/>
          <w:divBdr>
            <w:top w:val="none" w:sz="0" w:space="0" w:color="auto"/>
            <w:left w:val="none" w:sz="0" w:space="0" w:color="auto"/>
            <w:bottom w:val="none" w:sz="0" w:space="0" w:color="auto"/>
            <w:right w:val="none" w:sz="0" w:space="0" w:color="auto"/>
          </w:divBdr>
          <w:divsChild>
            <w:div w:id="550845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1104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46881602">
      <w:bodyDiv w:val="1"/>
      <w:marLeft w:val="0"/>
      <w:marRight w:val="0"/>
      <w:marTop w:val="0"/>
      <w:marBottom w:val="0"/>
      <w:divBdr>
        <w:top w:val="none" w:sz="0" w:space="0" w:color="auto"/>
        <w:left w:val="none" w:sz="0" w:space="0" w:color="auto"/>
        <w:bottom w:val="none" w:sz="0" w:space="0" w:color="auto"/>
        <w:right w:val="none" w:sz="0" w:space="0" w:color="auto"/>
      </w:divBdr>
      <w:divsChild>
        <w:div w:id="3094503">
          <w:marLeft w:val="1080"/>
          <w:marRight w:val="0"/>
          <w:marTop w:val="200"/>
          <w:marBottom w:val="0"/>
          <w:divBdr>
            <w:top w:val="none" w:sz="0" w:space="0" w:color="auto"/>
            <w:left w:val="none" w:sz="0" w:space="0" w:color="auto"/>
            <w:bottom w:val="none" w:sz="0" w:space="0" w:color="auto"/>
            <w:right w:val="none" w:sz="0" w:space="0" w:color="auto"/>
          </w:divBdr>
        </w:div>
        <w:div w:id="87967553">
          <w:marLeft w:val="274"/>
          <w:marRight w:val="0"/>
          <w:marTop w:val="200"/>
          <w:marBottom w:val="0"/>
          <w:divBdr>
            <w:top w:val="none" w:sz="0" w:space="0" w:color="auto"/>
            <w:left w:val="none" w:sz="0" w:space="0" w:color="auto"/>
            <w:bottom w:val="none" w:sz="0" w:space="0" w:color="auto"/>
            <w:right w:val="none" w:sz="0" w:space="0" w:color="auto"/>
          </w:divBdr>
        </w:div>
        <w:div w:id="268002569">
          <w:marLeft w:val="1080"/>
          <w:marRight w:val="0"/>
          <w:marTop w:val="200"/>
          <w:marBottom w:val="0"/>
          <w:divBdr>
            <w:top w:val="none" w:sz="0" w:space="0" w:color="auto"/>
            <w:left w:val="none" w:sz="0" w:space="0" w:color="auto"/>
            <w:bottom w:val="none" w:sz="0" w:space="0" w:color="auto"/>
            <w:right w:val="none" w:sz="0" w:space="0" w:color="auto"/>
          </w:divBdr>
        </w:div>
        <w:div w:id="496926420">
          <w:marLeft w:val="274"/>
          <w:marRight w:val="0"/>
          <w:marTop w:val="200"/>
          <w:marBottom w:val="0"/>
          <w:divBdr>
            <w:top w:val="none" w:sz="0" w:space="0" w:color="auto"/>
            <w:left w:val="none" w:sz="0" w:space="0" w:color="auto"/>
            <w:bottom w:val="none" w:sz="0" w:space="0" w:color="auto"/>
            <w:right w:val="none" w:sz="0" w:space="0" w:color="auto"/>
          </w:divBdr>
        </w:div>
        <w:div w:id="520359625">
          <w:marLeft w:val="360"/>
          <w:marRight w:val="0"/>
          <w:marTop w:val="200"/>
          <w:marBottom w:val="0"/>
          <w:divBdr>
            <w:top w:val="none" w:sz="0" w:space="0" w:color="auto"/>
            <w:left w:val="none" w:sz="0" w:space="0" w:color="auto"/>
            <w:bottom w:val="none" w:sz="0" w:space="0" w:color="auto"/>
            <w:right w:val="none" w:sz="0" w:space="0" w:color="auto"/>
          </w:divBdr>
        </w:div>
        <w:div w:id="812648244">
          <w:marLeft w:val="1800"/>
          <w:marRight w:val="0"/>
          <w:marTop w:val="200"/>
          <w:marBottom w:val="0"/>
          <w:divBdr>
            <w:top w:val="none" w:sz="0" w:space="0" w:color="auto"/>
            <w:left w:val="none" w:sz="0" w:space="0" w:color="auto"/>
            <w:bottom w:val="none" w:sz="0" w:space="0" w:color="auto"/>
            <w:right w:val="none" w:sz="0" w:space="0" w:color="auto"/>
          </w:divBdr>
        </w:div>
        <w:div w:id="827357775">
          <w:marLeft w:val="360"/>
          <w:marRight w:val="0"/>
          <w:marTop w:val="200"/>
          <w:marBottom w:val="0"/>
          <w:divBdr>
            <w:top w:val="none" w:sz="0" w:space="0" w:color="auto"/>
            <w:left w:val="none" w:sz="0" w:space="0" w:color="auto"/>
            <w:bottom w:val="none" w:sz="0" w:space="0" w:color="auto"/>
            <w:right w:val="none" w:sz="0" w:space="0" w:color="auto"/>
          </w:divBdr>
        </w:div>
        <w:div w:id="1047725954">
          <w:marLeft w:val="274"/>
          <w:marRight w:val="0"/>
          <w:marTop w:val="200"/>
          <w:marBottom w:val="0"/>
          <w:divBdr>
            <w:top w:val="none" w:sz="0" w:space="0" w:color="auto"/>
            <w:left w:val="none" w:sz="0" w:space="0" w:color="auto"/>
            <w:bottom w:val="none" w:sz="0" w:space="0" w:color="auto"/>
            <w:right w:val="none" w:sz="0" w:space="0" w:color="auto"/>
          </w:divBdr>
        </w:div>
        <w:div w:id="1079518599">
          <w:marLeft w:val="274"/>
          <w:marRight w:val="0"/>
          <w:marTop w:val="200"/>
          <w:marBottom w:val="0"/>
          <w:divBdr>
            <w:top w:val="none" w:sz="0" w:space="0" w:color="auto"/>
            <w:left w:val="none" w:sz="0" w:space="0" w:color="auto"/>
            <w:bottom w:val="none" w:sz="0" w:space="0" w:color="auto"/>
            <w:right w:val="none" w:sz="0" w:space="0" w:color="auto"/>
          </w:divBdr>
        </w:div>
        <w:div w:id="1094522284">
          <w:marLeft w:val="274"/>
          <w:marRight w:val="0"/>
          <w:marTop w:val="200"/>
          <w:marBottom w:val="0"/>
          <w:divBdr>
            <w:top w:val="none" w:sz="0" w:space="0" w:color="auto"/>
            <w:left w:val="none" w:sz="0" w:space="0" w:color="auto"/>
            <w:bottom w:val="none" w:sz="0" w:space="0" w:color="auto"/>
            <w:right w:val="none" w:sz="0" w:space="0" w:color="auto"/>
          </w:divBdr>
        </w:div>
        <w:div w:id="1352605424">
          <w:marLeft w:val="1080"/>
          <w:marRight w:val="0"/>
          <w:marTop w:val="200"/>
          <w:marBottom w:val="0"/>
          <w:divBdr>
            <w:top w:val="none" w:sz="0" w:space="0" w:color="auto"/>
            <w:left w:val="none" w:sz="0" w:space="0" w:color="auto"/>
            <w:bottom w:val="none" w:sz="0" w:space="0" w:color="auto"/>
            <w:right w:val="none" w:sz="0" w:space="0" w:color="auto"/>
          </w:divBdr>
        </w:div>
        <w:div w:id="1827162297">
          <w:marLeft w:val="274"/>
          <w:marRight w:val="0"/>
          <w:marTop w:val="200"/>
          <w:marBottom w:val="0"/>
          <w:divBdr>
            <w:top w:val="none" w:sz="0" w:space="0" w:color="auto"/>
            <w:left w:val="none" w:sz="0" w:space="0" w:color="auto"/>
            <w:bottom w:val="none" w:sz="0" w:space="0" w:color="auto"/>
            <w:right w:val="none" w:sz="0" w:space="0" w:color="auto"/>
          </w:divBdr>
        </w:div>
        <w:div w:id="2000579030">
          <w:marLeft w:val="1080"/>
          <w:marRight w:val="0"/>
          <w:marTop w:val="200"/>
          <w:marBottom w:val="0"/>
          <w:divBdr>
            <w:top w:val="none" w:sz="0" w:space="0" w:color="auto"/>
            <w:left w:val="none" w:sz="0" w:space="0" w:color="auto"/>
            <w:bottom w:val="none" w:sz="0" w:space="0" w:color="auto"/>
            <w:right w:val="none" w:sz="0" w:space="0" w:color="auto"/>
          </w:divBdr>
        </w:div>
        <w:div w:id="2017030082">
          <w:marLeft w:val="1080"/>
          <w:marRight w:val="0"/>
          <w:marTop w:val="200"/>
          <w:marBottom w:val="0"/>
          <w:divBdr>
            <w:top w:val="none" w:sz="0" w:space="0" w:color="auto"/>
            <w:left w:val="none" w:sz="0" w:space="0" w:color="auto"/>
            <w:bottom w:val="none" w:sz="0" w:space="0" w:color="auto"/>
            <w:right w:val="none" w:sz="0" w:space="0" w:color="auto"/>
          </w:divBdr>
        </w:div>
      </w:divsChild>
    </w:div>
    <w:div w:id="1774474240">
      <w:bodyDiv w:val="1"/>
      <w:marLeft w:val="0"/>
      <w:marRight w:val="0"/>
      <w:marTop w:val="0"/>
      <w:marBottom w:val="0"/>
      <w:divBdr>
        <w:top w:val="none" w:sz="0" w:space="0" w:color="auto"/>
        <w:left w:val="none" w:sz="0" w:space="0" w:color="auto"/>
        <w:bottom w:val="none" w:sz="0" w:space="0" w:color="auto"/>
        <w:right w:val="none" w:sz="0" w:space="0" w:color="auto"/>
      </w:divBdr>
      <w:divsChild>
        <w:div w:id="1437142567">
          <w:marLeft w:val="0"/>
          <w:marRight w:val="0"/>
          <w:marTop w:val="0"/>
          <w:marBottom w:val="0"/>
          <w:divBdr>
            <w:top w:val="none" w:sz="0" w:space="0" w:color="auto"/>
            <w:left w:val="none" w:sz="0" w:space="0" w:color="auto"/>
            <w:bottom w:val="none" w:sz="0" w:space="0" w:color="auto"/>
            <w:right w:val="none" w:sz="0" w:space="0" w:color="auto"/>
          </w:divBdr>
        </w:div>
        <w:div w:id="1993289598">
          <w:marLeft w:val="0"/>
          <w:marRight w:val="0"/>
          <w:marTop w:val="0"/>
          <w:marBottom w:val="0"/>
          <w:divBdr>
            <w:top w:val="none" w:sz="0" w:space="0" w:color="auto"/>
            <w:left w:val="none" w:sz="0" w:space="0" w:color="auto"/>
            <w:bottom w:val="none" w:sz="0" w:space="0" w:color="auto"/>
            <w:right w:val="none" w:sz="0" w:space="0" w:color="auto"/>
          </w:divBdr>
        </w:div>
      </w:divsChild>
    </w:div>
    <w:div w:id="1805736839">
      <w:bodyDiv w:val="1"/>
      <w:marLeft w:val="0"/>
      <w:marRight w:val="0"/>
      <w:marTop w:val="0"/>
      <w:marBottom w:val="0"/>
      <w:divBdr>
        <w:top w:val="none" w:sz="0" w:space="0" w:color="auto"/>
        <w:left w:val="none" w:sz="0" w:space="0" w:color="auto"/>
        <w:bottom w:val="none" w:sz="0" w:space="0" w:color="auto"/>
        <w:right w:val="none" w:sz="0" w:space="0" w:color="auto"/>
      </w:divBdr>
    </w:div>
    <w:div w:id="1828402214">
      <w:bodyDiv w:val="1"/>
      <w:marLeft w:val="0"/>
      <w:marRight w:val="0"/>
      <w:marTop w:val="0"/>
      <w:marBottom w:val="0"/>
      <w:divBdr>
        <w:top w:val="none" w:sz="0" w:space="0" w:color="auto"/>
        <w:left w:val="none" w:sz="0" w:space="0" w:color="auto"/>
        <w:bottom w:val="none" w:sz="0" w:space="0" w:color="auto"/>
        <w:right w:val="none" w:sz="0" w:space="0" w:color="auto"/>
      </w:divBdr>
    </w:div>
    <w:div w:id="1853254913">
      <w:bodyDiv w:val="1"/>
      <w:marLeft w:val="0"/>
      <w:marRight w:val="0"/>
      <w:marTop w:val="0"/>
      <w:marBottom w:val="0"/>
      <w:divBdr>
        <w:top w:val="none" w:sz="0" w:space="0" w:color="auto"/>
        <w:left w:val="none" w:sz="0" w:space="0" w:color="auto"/>
        <w:bottom w:val="none" w:sz="0" w:space="0" w:color="auto"/>
        <w:right w:val="none" w:sz="0" w:space="0" w:color="auto"/>
      </w:divBdr>
      <w:divsChild>
        <w:div w:id="430397626">
          <w:marLeft w:val="0"/>
          <w:marRight w:val="0"/>
          <w:marTop w:val="0"/>
          <w:marBottom w:val="0"/>
          <w:divBdr>
            <w:top w:val="none" w:sz="0" w:space="0" w:color="auto"/>
            <w:left w:val="none" w:sz="0" w:space="0" w:color="auto"/>
            <w:bottom w:val="none" w:sz="0" w:space="0" w:color="auto"/>
            <w:right w:val="none" w:sz="0" w:space="0" w:color="auto"/>
          </w:divBdr>
        </w:div>
        <w:div w:id="1960911404">
          <w:marLeft w:val="0"/>
          <w:marRight w:val="0"/>
          <w:marTop w:val="0"/>
          <w:marBottom w:val="0"/>
          <w:divBdr>
            <w:top w:val="none" w:sz="0" w:space="0" w:color="auto"/>
            <w:left w:val="none" w:sz="0" w:space="0" w:color="auto"/>
            <w:bottom w:val="none" w:sz="0" w:space="0" w:color="auto"/>
            <w:right w:val="none" w:sz="0" w:space="0" w:color="auto"/>
          </w:divBdr>
        </w:div>
      </w:divsChild>
    </w:div>
    <w:div w:id="1895382526">
      <w:bodyDiv w:val="1"/>
      <w:marLeft w:val="0"/>
      <w:marRight w:val="0"/>
      <w:marTop w:val="0"/>
      <w:marBottom w:val="0"/>
      <w:divBdr>
        <w:top w:val="none" w:sz="0" w:space="0" w:color="auto"/>
        <w:left w:val="none" w:sz="0" w:space="0" w:color="auto"/>
        <w:bottom w:val="none" w:sz="0" w:space="0" w:color="auto"/>
        <w:right w:val="none" w:sz="0" w:space="0" w:color="auto"/>
      </w:divBdr>
    </w:div>
    <w:div w:id="1916695209">
      <w:bodyDiv w:val="1"/>
      <w:marLeft w:val="0"/>
      <w:marRight w:val="0"/>
      <w:marTop w:val="0"/>
      <w:marBottom w:val="0"/>
      <w:divBdr>
        <w:top w:val="none" w:sz="0" w:space="0" w:color="auto"/>
        <w:left w:val="none" w:sz="0" w:space="0" w:color="auto"/>
        <w:bottom w:val="none" w:sz="0" w:space="0" w:color="auto"/>
        <w:right w:val="none" w:sz="0" w:space="0" w:color="auto"/>
      </w:divBdr>
    </w:div>
    <w:div w:id="1997608942">
      <w:bodyDiv w:val="1"/>
      <w:marLeft w:val="0"/>
      <w:marRight w:val="0"/>
      <w:marTop w:val="0"/>
      <w:marBottom w:val="0"/>
      <w:divBdr>
        <w:top w:val="none" w:sz="0" w:space="0" w:color="auto"/>
        <w:left w:val="none" w:sz="0" w:space="0" w:color="auto"/>
        <w:bottom w:val="none" w:sz="0" w:space="0" w:color="auto"/>
        <w:right w:val="none" w:sz="0" w:space="0" w:color="auto"/>
      </w:divBdr>
    </w:div>
    <w:div w:id="2006394341">
      <w:bodyDiv w:val="1"/>
      <w:marLeft w:val="0"/>
      <w:marRight w:val="0"/>
      <w:marTop w:val="0"/>
      <w:marBottom w:val="0"/>
      <w:divBdr>
        <w:top w:val="none" w:sz="0" w:space="0" w:color="auto"/>
        <w:left w:val="none" w:sz="0" w:space="0" w:color="auto"/>
        <w:bottom w:val="none" w:sz="0" w:space="0" w:color="auto"/>
        <w:right w:val="none" w:sz="0" w:space="0" w:color="auto"/>
      </w:divBdr>
    </w:div>
    <w:div w:id="2045593633">
      <w:bodyDiv w:val="1"/>
      <w:marLeft w:val="0"/>
      <w:marRight w:val="0"/>
      <w:marTop w:val="0"/>
      <w:marBottom w:val="0"/>
      <w:divBdr>
        <w:top w:val="none" w:sz="0" w:space="0" w:color="auto"/>
        <w:left w:val="none" w:sz="0" w:space="0" w:color="auto"/>
        <w:bottom w:val="none" w:sz="0" w:space="0" w:color="auto"/>
        <w:right w:val="none" w:sz="0" w:space="0" w:color="auto"/>
      </w:divBdr>
      <w:divsChild>
        <w:div w:id="460422850">
          <w:marLeft w:val="0"/>
          <w:marRight w:val="0"/>
          <w:marTop w:val="0"/>
          <w:marBottom w:val="0"/>
          <w:divBdr>
            <w:top w:val="none" w:sz="0" w:space="0" w:color="auto"/>
            <w:left w:val="none" w:sz="0" w:space="0" w:color="auto"/>
            <w:bottom w:val="none" w:sz="0" w:space="0" w:color="auto"/>
            <w:right w:val="none" w:sz="0" w:space="0" w:color="auto"/>
          </w:divBdr>
        </w:div>
        <w:div w:id="545873489">
          <w:marLeft w:val="0"/>
          <w:marRight w:val="0"/>
          <w:marTop w:val="0"/>
          <w:marBottom w:val="0"/>
          <w:divBdr>
            <w:top w:val="none" w:sz="0" w:space="0" w:color="auto"/>
            <w:left w:val="none" w:sz="0" w:space="0" w:color="auto"/>
            <w:bottom w:val="none" w:sz="0" w:space="0" w:color="auto"/>
            <w:right w:val="none" w:sz="0" w:space="0" w:color="auto"/>
          </w:divBdr>
        </w:div>
        <w:div w:id="716392714">
          <w:marLeft w:val="0"/>
          <w:marRight w:val="0"/>
          <w:marTop w:val="0"/>
          <w:marBottom w:val="0"/>
          <w:divBdr>
            <w:top w:val="none" w:sz="0" w:space="0" w:color="auto"/>
            <w:left w:val="none" w:sz="0" w:space="0" w:color="auto"/>
            <w:bottom w:val="none" w:sz="0" w:space="0" w:color="auto"/>
            <w:right w:val="none" w:sz="0" w:space="0" w:color="auto"/>
          </w:divBdr>
        </w:div>
        <w:div w:id="724333327">
          <w:marLeft w:val="0"/>
          <w:marRight w:val="0"/>
          <w:marTop w:val="0"/>
          <w:marBottom w:val="0"/>
          <w:divBdr>
            <w:top w:val="none" w:sz="0" w:space="0" w:color="auto"/>
            <w:left w:val="none" w:sz="0" w:space="0" w:color="auto"/>
            <w:bottom w:val="none" w:sz="0" w:space="0" w:color="auto"/>
            <w:right w:val="none" w:sz="0" w:space="0" w:color="auto"/>
          </w:divBdr>
        </w:div>
        <w:div w:id="1203130653">
          <w:marLeft w:val="0"/>
          <w:marRight w:val="0"/>
          <w:marTop w:val="0"/>
          <w:marBottom w:val="0"/>
          <w:divBdr>
            <w:top w:val="none" w:sz="0" w:space="0" w:color="auto"/>
            <w:left w:val="none" w:sz="0" w:space="0" w:color="auto"/>
            <w:bottom w:val="none" w:sz="0" w:space="0" w:color="auto"/>
            <w:right w:val="none" w:sz="0" w:space="0" w:color="auto"/>
          </w:divBdr>
        </w:div>
        <w:div w:id="1801848750">
          <w:marLeft w:val="0"/>
          <w:marRight w:val="0"/>
          <w:marTop w:val="0"/>
          <w:marBottom w:val="0"/>
          <w:divBdr>
            <w:top w:val="none" w:sz="0" w:space="0" w:color="auto"/>
            <w:left w:val="none" w:sz="0" w:space="0" w:color="auto"/>
            <w:bottom w:val="none" w:sz="0" w:space="0" w:color="auto"/>
            <w:right w:val="none" w:sz="0" w:space="0" w:color="auto"/>
          </w:divBdr>
        </w:div>
        <w:div w:id="1973250187">
          <w:marLeft w:val="0"/>
          <w:marRight w:val="0"/>
          <w:marTop w:val="0"/>
          <w:marBottom w:val="0"/>
          <w:divBdr>
            <w:top w:val="none" w:sz="0" w:space="0" w:color="auto"/>
            <w:left w:val="none" w:sz="0" w:space="0" w:color="auto"/>
            <w:bottom w:val="none" w:sz="0" w:space="0" w:color="auto"/>
            <w:right w:val="none" w:sz="0" w:space="0" w:color="auto"/>
          </w:divBdr>
        </w:div>
      </w:divsChild>
    </w:div>
    <w:div w:id="2052880559">
      <w:bodyDiv w:val="1"/>
      <w:marLeft w:val="0"/>
      <w:marRight w:val="0"/>
      <w:marTop w:val="0"/>
      <w:marBottom w:val="0"/>
      <w:divBdr>
        <w:top w:val="none" w:sz="0" w:space="0" w:color="auto"/>
        <w:left w:val="none" w:sz="0" w:space="0" w:color="auto"/>
        <w:bottom w:val="none" w:sz="0" w:space="0" w:color="auto"/>
        <w:right w:val="none" w:sz="0" w:space="0" w:color="auto"/>
      </w:divBdr>
      <w:divsChild>
        <w:div w:id="56707972">
          <w:marLeft w:val="0"/>
          <w:marRight w:val="0"/>
          <w:marTop w:val="0"/>
          <w:marBottom w:val="0"/>
          <w:divBdr>
            <w:top w:val="none" w:sz="0" w:space="0" w:color="auto"/>
            <w:left w:val="none" w:sz="0" w:space="0" w:color="auto"/>
            <w:bottom w:val="none" w:sz="0" w:space="0" w:color="auto"/>
            <w:right w:val="none" w:sz="0" w:space="0" w:color="auto"/>
          </w:divBdr>
        </w:div>
        <w:div w:id="644436107">
          <w:marLeft w:val="0"/>
          <w:marRight w:val="0"/>
          <w:marTop w:val="0"/>
          <w:marBottom w:val="0"/>
          <w:divBdr>
            <w:top w:val="none" w:sz="0" w:space="0" w:color="auto"/>
            <w:left w:val="none" w:sz="0" w:space="0" w:color="auto"/>
            <w:bottom w:val="none" w:sz="0" w:space="0" w:color="auto"/>
            <w:right w:val="none" w:sz="0" w:space="0" w:color="auto"/>
          </w:divBdr>
        </w:div>
      </w:divsChild>
    </w:div>
    <w:div w:id="2081050922">
      <w:bodyDiv w:val="1"/>
      <w:marLeft w:val="0"/>
      <w:marRight w:val="0"/>
      <w:marTop w:val="0"/>
      <w:marBottom w:val="0"/>
      <w:divBdr>
        <w:top w:val="none" w:sz="0" w:space="0" w:color="auto"/>
        <w:left w:val="none" w:sz="0" w:space="0" w:color="auto"/>
        <w:bottom w:val="none" w:sz="0" w:space="0" w:color="auto"/>
        <w:right w:val="none" w:sz="0" w:space="0" w:color="auto"/>
      </w:divBdr>
    </w:div>
    <w:div w:id="2085761167">
      <w:bodyDiv w:val="1"/>
      <w:marLeft w:val="0"/>
      <w:marRight w:val="0"/>
      <w:marTop w:val="0"/>
      <w:marBottom w:val="0"/>
      <w:divBdr>
        <w:top w:val="none" w:sz="0" w:space="0" w:color="auto"/>
        <w:left w:val="none" w:sz="0" w:space="0" w:color="auto"/>
        <w:bottom w:val="none" w:sz="0" w:space="0" w:color="auto"/>
        <w:right w:val="none" w:sz="0" w:space="0" w:color="auto"/>
      </w:divBdr>
    </w:div>
    <w:div w:id="2100365670">
      <w:bodyDiv w:val="1"/>
      <w:marLeft w:val="0"/>
      <w:marRight w:val="0"/>
      <w:marTop w:val="0"/>
      <w:marBottom w:val="0"/>
      <w:divBdr>
        <w:top w:val="none" w:sz="0" w:space="0" w:color="auto"/>
        <w:left w:val="none" w:sz="0" w:space="0" w:color="auto"/>
        <w:bottom w:val="none" w:sz="0" w:space="0" w:color="auto"/>
        <w:right w:val="none" w:sz="0" w:space="0" w:color="auto"/>
      </w:divBdr>
    </w:div>
    <w:div w:id="212403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mmiwg2splus-nationalactionplan.ca/eng/1670511213459/1670511226843" TargetMode="External"/><Relationship Id="rId3" Type="http://schemas.openxmlformats.org/officeDocument/2006/relationships/customXml" Target="../customXml/item3.xml"/><Relationship Id="rId21" Type="http://schemas.openxmlformats.org/officeDocument/2006/relationships/hyperlink" Target="https://undocs.org/Home/Mobile?FinalSymbol=CEDAW%2FC%2FOP.8%2FCAN%2F1&amp;Language=E&amp;DeviceType=Desktop&amp;LangRequested=False"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placetocallhome.c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hchr.org/en/documents/country-reports/ahrc5431add2-visit-canada-report-special-rapporteur-rights-indigenous" TargetMode="External"/><Relationship Id="rId20" Type="http://schemas.openxmlformats.org/officeDocument/2006/relationships/hyperlink" Target="https://undocs.org/en/A/HRC/38/48/Add.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canada.ca/en/women-gender-equality/gender-based-violence/intergovernmental-collaboration/national-action-plan-end-gender-based-violenc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www.mmiwg-ffada.ca/final-report/" TargetMode="External"/><Relationship Id="rId13" Type="http://schemas.openxmlformats.org/officeDocument/2006/relationships/hyperlink" Target="https://principedejoyce.com/sn_uploads/principe/Joyce_s_Principle_brief___Eng.pdf" TargetMode="External"/><Relationship Id="rId18" Type="http://schemas.openxmlformats.org/officeDocument/2006/relationships/hyperlink" Target="https://www150.statcan.gc.ca/n1/pub/85-002-x/2023001/article/00003-eng.htm" TargetMode="External"/><Relationship Id="rId3" Type="http://schemas.openxmlformats.org/officeDocument/2006/relationships/hyperlink" Target="https://undocs.org/en/CEDAW/C/CAN/CO/8-9" TargetMode="External"/><Relationship Id="rId21" Type="http://schemas.openxmlformats.org/officeDocument/2006/relationships/hyperlink" Target="https://www.ncbi.nlm.nih.gov/pmc/articles/PMC9776675/" TargetMode="External"/><Relationship Id="rId7" Type="http://schemas.openxmlformats.org/officeDocument/2006/relationships/hyperlink" Target="https://budget.canada.ca/2024/report-rapport/budget-2024.pdf" TargetMode="External"/><Relationship Id="rId12" Type="http://schemas.openxmlformats.org/officeDocument/2006/relationships/hyperlink" Target="https://www.oaith.ca/oaith-work/we-count-femicide-because/femicide-reports-and-analysis.html);%20In%202021%20(the%20year%20the%20National%20Action%20Plan%20was%20released),%20there%20were%20at%20least%2046%20Indigenous%20women%20murdered%20and%20in%202022%20there%20were%20at%20least%2054%20Indigenous%20women%20murdered%20https:/www150.statcan.gc.ca/t1/tbl1/en/tv.action?pid=3510006001&amp;pickMembers%5B0%5D=2.1&amp;pickMembers%5B1%5D=4.1&amp;pickMembers%5B2%5D=5.3&amp;cubeTimeFrame.startYear=2019&amp;cubeTimeFrame.endYear=2023&amp;referencePeriods=20190101%2C20230101" TargetMode="External"/><Relationship Id="rId17" Type="http://schemas.openxmlformats.org/officeDocument/2006/relationships/hyperlink" Target="https://www150.statcan.gc.ca/n1/pub/85-002-x/2022001/article/00004-eng.htm" TargetMode="External"/><Relationship Id="rId2" Type="http://schemas.openxmlformats.org/officeDocument/2006/relationships/hyperlink" Target="https://undocs.org/en/CEDAW/C/OP.8/CAN/1" TargetMode="External"/><Relationship Id="rId16" Type="http://schemas.openxmlformats.org/officeDocument/2006/relationships/hyperlink" Target="file:///C:\Users\BJohnson\AppData\Local\Microsoft\Windows\INetCache\Content.Outlook\K6MNA6IY\,%20https:\www.mmiwg-ffada.ca\wp-content\uploads\2019\06\Final_Report_Vol_1a-1.pdf" TargetMode="External"/><Relationship Id="rId20" Type="http://schemas.openxmlformats.org/officeDocument/2006/relationships/hyperlink" Target="https://www150.statcan.gc.ca/n1/pub/85-002-x/2022001/article/00004-eng.htm" TargetMode="External"/><Relationship Id="rId1" Type="http://schemas.openxmlformats.org/officeDocument/2006/relationships/hyperlink" Target="https://www.rcaanc-cirnac.gc.ca/eng/1717103903695/1717103981609" TargetMode="External"/><Relationship Id="rId6" Type="http://schemas.openxmlformats.org/officeDocument/2006/relationships/hyperlink" Target="https://www.un.org/en/development/desa/population/migration/generalassembly/docs/globalcompact/A_CONF.177_20.pdf" TargetMode="External"/><Relationship Id="rId11" Type="http://schemas.openxmlformats.org/officeDocument/2006/relationships/hyperlink" Target="https://www.rcaanc-cirnac.gc.ca/eng/1717103903695/1717103981609" TargetMode="External"/><Relationship Id="rId24" Type="http://schemas.openxmlformats.org/officeDocument/2006/relationships/hyperlink" Target="https://www150.statcan.gc.ca/n1/pub/45-20-0002/452000022023002-eng.htm" TargetMode="External"/><Relationship Id="rId5" Type="http://schemas.openxmlformats.org/officeDocument/2006/relationships/hyperlink" Target="https://www.ohchr.org/en/documents/country-reports/ahrc5431add2-visit-canada-report-special-rapporteur-rights-indigenous" TargetMode="External"/><Relationship Id="rId15" Type="http://schemas.openxmlformats.org/officeDocument/2006/relationships/hyperlink" Target="https://www.sac-isc.gc.ca/eng/1690909773300/1690909797208" TargetMode="External"/><Relationship Id="rId23" Type="http://schemas.openxmlformats.org/officeDocument/2006/relationships/hyperlink" Target="https://www.sac-isc.gc.ca/eng/1541187352297/1541187392851" TargetMode="External"/><Relationship Id="rId10" Type="http://schemas.openxmlformats.org/officeDocument/2006/relationships/hyperlink" Target="https://www.cbc.ca/newsinteractives/features/cfj-report-cards" TargetMode="External"/><Relationship Id="rId19" Type="http://schemas.openxmlformats.org/officeDocument/2006/relationships/hyperlink" Target="https://www.oaith.ca/oaith-work/we-count-femicide-because/femicide-reports-and-analysis.html" TargetMode="External"/><Relationship Id="rId4" Type="http://schemas.openxmlformats.org/officeDocument/2006/relationships/hyperlink" Target="https://documents.un.org/doc/undoc/gen/g23/251/73/pdf/g2325173.pdf?token=rLVOs23JcxkY8cZD1X&amp;fe=true" TargetMode="External"/><Relationship Id="rId9" Type="http://schemas.openxmlformats.org/officeDocument/2006/relationships/hyperlink" Target="https://undocs.org/Home/Mobile?FinalSymbol=CEDAW%2FC%2FOP.8%2FCAN%2F1&amp;Language=E&amp;DeviceType=Desktop&amp;LangRequested=False" TargetMode="External"/><Relationship Id="rId14" Type="http://schemas.openxmlformats.org/officeDocument/2006/relationships/hyperlink" Target="https://www.ohchr.org/sites/default/files/documents/issues/indigenouspeoples/sr/statements/eom-statement-canada-sr-indigenous-2023-03-10.pdf" TargetMode="External"/><Relationship Id="rId22" Type="http://schemas.openxmlformats.org/officeDocument/2006/relationships/hyperlink" Target="https://www.publicsafety.gc.ca/cnt/trnsprnc/brfng-mtrls/prlmntry-bndrs/20230720/12-en.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NWA">
      <a:dk1>
        <a:sysClr val="windowText" lastClr="000000"/>
      </a:dk1>
      <a:lt1>
        <a:sysClr val="window" lastClr="FFFFFF"/>
      </a:lt1>
      <a:dk2>
        <a:srgbClr val="73769B"/>
      </a:dk2>
      <a:lt2>
        <a:srgbClr val="FFD27C"/>
      </a:lt2>
      <a:accent1>
        <a:srgbClr val="0E193F"/>
      </a:accent1>
      <a:accent2>
        <a:srgbClr val="7092C7"/>
      </a:accent2>
      <a:accent3>
        <a:srgbClr val="FDB515"/>
      </a:accent3>
      <a:accent4>
        <a:srgbClr val="00AC4F"/>
      </a:accent4>
      <a:accent5>
        <a:srgbClr val="C24529"/>
      </a:accent5>
      <a:accent6>
        <a:srgbClr val="AD622A"/>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2024-09-17T07:19:29+00:00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8BB0C8B-7FC7-4D8B-A167-CA19406FD274}">
  <ds:schemaRefs>
    <ds:schemaRef ds:uri="http://schemas.microsoft.com/sharepoint/v3/contenttype/forms"/>
  </ds:schemaRefs>
</ds:datastoreItem>
</file>

<file path=customXml/itemProps2.xml><?xml version="1.0" encoding="utf-8"?>
<ds:datastoreItem xmlns:ds="http://schemas.openxmlformats.org/officeDocument/2006/customXml" ds:itemID="{0B3630F7-E61F-4742-832D-AC67984DB7FD}">
  <ds:schemaRefs>
    <ds:schemaRef ds:uri="http://schemas.openxmlformats.org/officeDocument/2006/bibliography"/>
  </ds:schemaRefs>
</ds:datastoreItem>
</file>

<file path=customXml/itemProps3.xml><?xml version="1.0" encoding="utf-8"?>
<ds:datastoreItem xmlns:ds="http://schemas.openxmlformats.org/officeDocument/2006/customXml" ds:itemID="{76A1FBF2-CDE7-4B5F-840B-EEA4764944B7}"/>
</file>

<file path=customXml/itemProps4.xml><?xml version="1.0" encoding="utf-8"?>
<ds:datastoreItem xmlns:ds="http://schemas.openxmlformats.org/officeDocument/2006/customXml" ds:itemID="{E7DAB2DE-B790-42C4-973D-62E6106DE514}">
  <ds:schemaRefs>
    <ds:schemaRef ds:uri="http://schemas.microsoft.com/office/2006/metadata/properties"/>
    <ds:schemaRef ds:uri="http://schemas.microsoft.com/office/infopath/2007/PartnerControls"/>
    <ds:schemaRef ds:uri="839443e5-3457-4943-bffd-f67fc6b9b8d0"/>
    <ds:schemaRef ds:uri="7f414f00-51fa-4700-bbca-048f788d442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5161</Words>
  <Characters>29419</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Ontario Native Women's Association</Company>
  <LinksUpToDate>false</LinksUpToDate>
  <CharactersWithSpaces>34511</CharactersWithSpaces>
  <SharedDoc>false</SharedDoc>
  <HLinks>
    <vt:vector size="282" baseType="variant">
      <vt:variant>
        <vt:i4>6488112</vt:i4>
      </vt:variant>
      <vt:variant>
        <vt:i4>123</vt:i4>
      </vt:variant>
      <vt:variant>
        <vt:i4>0</vt:i4>
      </vt:variant>
      <vt:variant>
        <vt:i4>5</vt:i4>
      </vt:variant>
      <vt:variant>
        <vt:lpwstr>https://undocs.org/Home/Mobile?FinalSymbol=CEDAW%2FC%2FOP.8%2FCAN%2F1&amp;Language=E&amp;DeviceType=Desktop&amp;LangRequested=False</vt:lpwstr>
      </vt:variant>
      <vt:variant>
        <vt:lpwstr/>
      </vt:variant>
      <vt:variant>
        <vt:i4>3801188</vt:i4>
      </vt:variant>
      <vt:variant>
        <vt:i4>120</vt:i4>
      </vt:variant>
      <vt:variant>
        <vt:i4>0</vt:i4>
      </vt:variant>
      <vt:variant>
        <vt:i4>5</vt:i4>
      </vt:variant>
      <vt:variant>
        <vt:lpwstr>https://undocs.org/en/A/HRC/38/48/Add.1</vt:lpwstr>
      </vt:variant>
      <vt:variant>
        <vt:lpwstr/>
      </vt:variant>
      <vt:variant>
        <vt:i4>4456532</vt:i4>
      </vt:variant>
      <vt:variant>
        <vt:i4>114</vt:i4>
      </vt:variant>
      <vt:variant>
        <vt:i4>0</vt:i4>
      </vt:variant>
      <vt:variant>
        <vt:i4>5</vt:i4>
      </vt:variant>
      <vt:variant>
        <vt:lpwstr>https://www.canada.ca/en/women-gender-equality/gender-based-violence/intergovernmental-collaboration/national-action-plan-end-gender-based-violence.html</vt:lpwstr>
      </vt:variant>
      <vt:variant>
        <vt:lpwstr/>
      </vt:variant>
      <vt:variant>
        <vt:i4>5963851</vt:i4>
      </vt:variant>
      <vt:variant>
        <vt:i4>111</vt:i4>
      </vt:variant>
      <vt:variant>
        <vt:i4>0</vt:i4>
      </vt:variant>
      <vt:variant>
        <vt:i4>5</vt:i4>
      </vt:variant>
      <vt:variant>
        <vt:lpwstr>https://mmiwg2splus-nationalactionplan.ca/eng/1670511213459/1670511226843</vt:lpwstr>
      </vt:variant>
      <vt:variant>
        <vt:lpwstr/>
      </vt:variant>
      <vt:variant>
        <vt:i4>7733311</vt:i4>
      </vt:variant>
      <vt:variant>
        <vt:i4>108</vt:i4>
      </vt:variant>
      <vt:variant>
        <vt:i4>0</vt:i4>
      </vt:variant>
      <vt:variant>
        <vt:i4>5</vt:i4>
      </vt:variant>
      <vt:variant>
        <vt:lpwstr>https://www.placetocallhome.ca/</vt:lpwstr>
      </vt:variant>
      <vt:variant>
        <vt:lpwstr/>
      </vt:variant>
      <vt:variant>
        <vt:i4>1179697</vt:i4>
      </vt:variant>
      <vt:variant>
        <vt:i4>101</vt:i4>
      </vt:variant>
      <vt:variant>
        <vt:i4>0</vt:i4>
      </vt:variant>
      <vt:variant>
        <vt:i4>5</vt:i4>
      </vt:variant>
      <vt:variant>
        <vt:lpwstr/>
      </vt:variant>
      <vt:variant>
        <vt:lpwstr>_Toc176510776</vt:lpwstr>
      </vt:variant>
      <vt:variant>
        <vt:i4>1179697</vt:i4>
      </vt:variant>
      <vt:variant>
        <vt:i4>95</vt:i4>
      </vt:variant>
      <vt:variant>
        <vt:i4>0</vt:i4>
      </vt:variant>
      <vt:variant>
        <vt:i4>5</vt:i4>
      </vt:variant>
      <vt:variant>
        <vt:lpwstr/>
      </vt:variant>
      <vt:variant>
        <vt:lpwstr>_Toc176510775</vt:lpwstr>
      </vt:variant>
      <vt:variant>
        <vt:i4>1179697</vt:i4>
      </vt:variant>
      <vt:variant>
        <vt:i4>89</vt:i4>
      </vt:variant>
      <vt:variant>
        <vt:i4>0</vt:i4>
      </vt:variant>
      <vt:variant>
        <vt:i4>5</vt:i4>
      </vt:variant>
      <vt:variant>
        <vt:lpwstr/>
      </vt:variant>
      <vt:variant>
        <vt:lpwstr>_Toc176510774</vt:lpwstr>
      </vt:variant>
      <vt:variant>
        <vt:i4>1179697</vt:i4>
      </vt:variant>
      <vt:variant>
        <vt:i4>83</vt:i4>
      </vt:variant>
      <vt:variant>
        <vt:i4>0</vt:i4>
      </vt:variant>
      <vt:variant>
        <vt:i4>5</vt:i4>
      </vt:variant>
      <vt:variant>
        <vt:lpwstr/>
      </vt:variant>
      <vt:variant>
        <vt:lpwstr>_Toc176510773</vt:lpwstr>
      </vt:variant>
      <vt:variant>
        <vt:i4>1179697</vt:i4>
      </vt:variant>
      <vt:variant>
        <vt:i4>77</vt:i4>
      </vt:variant>
      <vt:variant>
        <vt:i4>0</vt:i4>
      </vt:variant>
      <vt:variant>
        <vt:i4>5</vt:i4>
      </vt:variant>
      <vt:variant>
        <vt:lpwstr/>
      </vt:variant>
      <vt:variant>
        <vt:lpwstr>_Toc176510772</vt:lpwstr>
      </vt:variant>
      <vt:variant>
        <vt:i4>1179697</vt:i4>
      </vt:variant>
      <vt:variant>
        <vt:i4>71</vt:i4>
      </vt:variant>
      <vt:variant>
        <vt:i4>0</vt:i4>
      </vt:variant>
      <vt:variant>
        <vt:i4>5</vt:i4>
      </vt:variant>
      <vt:variant>
        <vt:lpwstr/>
      </vt:variant>
      <vt:variant>
        <vt:lpwstr>_Toc176510771</vt:lpwstr>
      </vt:variant>
      <vt:variant>
        <vt:i4>1179697</vt:i4>
      </vt:variant>
      <vt:variant>
        <vt:i4>65</vt:i4>
      </vt:variant>
      <vt:variant>
        <vt:i4>0</vt:i4>
      </vt:variant>
      <vt:variant>
        <vt:i4>5</vt:i4>
      </vt:variant>
      <vt:variant>
        <vt:lpwstr/>
      </vt:variant>
      <vt:variant>
        <vt:lpwstr>_Toc176510770</vt:lpwstr>
      </vt:variant>
      <vt:variant>
        <vt:i4>1245233</vt:i4>
      </vt:variant>
      <vt:variant>
        <vt:i4>59</vt:i4>
      </vt:variant>
      <vt:variant>
        <vt:i4>0</vt:i4>
      </vt:variant>
      <vt:variant>
        <vt:i4>5</vt:i4>
      </vt:variant>
      <vt:variant>
        <vt:lpwstr/>
      </vt:variant>
      <vt:variant>
        <vt:lpwstr>_Toc176510769</vt:lpwstr>
      </vt:variant>
      <vt:variant>
        <vt:i4>1245233</vt:i4>
      </vt:variant>
      <vt:variant>
        <vt:i4>53</vt:i4>
      </vt:variant>
      <vt:variant>
        <vt:i4>0</vt:i4>
      </vt:variant>
      <vt:variant>
        <vt:i4>5</vt:i4>
      </vt:variant>
      <vt:variant>
        <vt:lpwstr/>
      </vt:variant>
      <vt:variant>
        <vt:lpwstr>_Toc176510768</vt:lpwstr>
      </vt:variant>
      <vt:variant>
        <vt:i4>1245233</vt:i4>
      </vt:variant>
      <vt:variant>
        <vt:i4>47</vt:i4>
      </vt:variant>
      <vt:variant>
        <vt:i4>0</vt:i4>
      </vt:variant>
      <vt:variant>
        <vt:i4>5</vt:i4>
      </vt:variant>
      <vt:variant>
        <vt:lpwstr/>
      </vt:variant>
      <vt:variant>
        <vt:lpwstr>_Toc176510767</vt:lpwstr>
      </vt:variant>
      <vt:variant>
        <vt:i4>1245233</vt:i4>
      </vt:variant>
      <vt:variant>
        <vt:i4>41</vt:i4>
      </vt:variant>
      <vt:variant>
        <vt:i4>0</vt:i4>
      </vt:variant>
      <vt:variant>
        <vt:i4>5</vt:i4>
      </vt:variant>
      <vt:variant>
        <vt:lpwstr/>
      </vt:variant>
      <vt:variant>
        <vt:lpwstr>_Toc176510766</vt:lpwstr>
      </vt:variant>
      <vt:variant>
        <vt:i4>1245233</vt:i4>
      </vt:variant>
      <vt:variant>
        <vt:i4>35</vt:i4>
      </vt:variant>
      <vt:variant>
        <vt:i4>0</vt:i4>
      </vt:variant>
      <vt:variant>
        <vt:i4>5</vt:i4>
      </vt:variant>
      <vt:variant>
        <vt:lpwstr/>
      </vt:variant>
      <vt:variant>
        <vt:lpwstr>_Toc176510765</vt:lpwstr>
      </vt:variant>
      <vt:variant>
        <vt:i4>1245233</vt:i4>
      </vt:variant>
      <vt:variant>
        <vt:i4>29</vt:i4>
      </vt:variant>
      <vt:variant>
        <vt:i4>0</vt:i4>
      </vt:variant>
      <vt:variant>
        <vt:i4>5</vt:i4>
      </vt:variant>
      <vt:variant>
        <vt:lpwstr/>
      </vt:variant>
      <vt:variant>
        <vt:lpwstr>_Toc176510764</vt:lpwstr>
      </vt:variant>
      <vt:variant>
        <vt:i4>1245233</vt:i4>
      </vt:variant>
      <vt:variant>
        <vt:i4>23</vt:i4>
      </vt:variant>
      <vt:variant>
        <vt:i4>0</vt:i4>
      </vt:variant>
      <vt:variant>
        <vt:i4>5</vt:i4>
      </vt:variant>
      <vt:variant>
        <vt:lpwstr/>
      </vt:variant>
      <vt:variant>
        <vt:lpwstr>_Toc176510763</vt:lpwstr>
      </vt:variant>
      <vt:variant>
        <vt:i4>1245233</vt:i4>
      </vt:variant>
      <vt:variant>
        <vt:i4>17</vt:i4>
      </vt:variant>
      <vt:variant>
        <vt:i4>0</vt:i4>
      </vt:variant>
      <vt:variant>
        <vt:i4>5</vt:i4>
      </vt:variant>
      <vt:variant>
        <vt:lpwstr/>
      </vt:variant>
      <vt:variant>
        <vt:lpwstr>_Toc176510762</vt:lpwstr>
      </vt:variant>
      <vt:variant>
        <vt:i4>1245233</vt:i4>
      </vt:variant>
      <vt:variant>
        <vt:i4>11</vt:i4>
      </vt:variant>
      <vt:variant>
        <vt:i4>0</vt:i4>
      </vt:variant>
      <vt:variant>
        <vt:i4>5</vt:i4>
      </vt:variant>
      <vt:variant>
        <vt:lpwstr/>
      </vt:variant>
      <vt:variant>
        <vt:lpwstr>_Toc176510761</vt:lpwstr>
      </vt:variant>
      <vt:variant>
        <vt:i4>1245233</vt:i4>
      </vt:variant>
      <vt:variant>
        <vt:i4>5</vt:i4>
      </vt:variant>
      <vt:variant>
        <vt:i4>0</vt:i4>
      </vt:variant>
      <vt:variant>
        <vt:i4>5</vt:i4>
      </vt:variant>
      <vt:variant>
        <vt:lpwstr/>
      </vt:variant>
      <vt:variant>
        <vt:lpwstr>_Toc176510760</vt:lpwstr>
      </vt:variant>
      <vt:variant>
        <vt:i4>983061</vt:i4>
      </vt:variant>
      <vt:variant>
        <vt:i4>0</vt:i4>
      </vt:variant>
      <vt:variant>
        <vt:i4>0</vt:i4>
      </vt:variant>
      <vt:variant>
        <vt:i4>5</vt:i4>
      </vt:variant>
      <vt:variant>
        <vt:lpwstr>https://www.ohchr.org/en/documents/country-reports/ahrc5431add2-visit-canada-report-special-rapporteur-rights-indigenous</vt:lpwstr>
      </vt:variant>
      <vt:variant>
        <vt:lpwstr/>
      </vt:variant>
      <vt:variant>
        <vt:i4>6291507</vt:i4>
      </vt:variant>
      <vt:variant>
        <vt:i4>69</vt:i4>
      </vt:variant>
      <vt:variant>
        <vt:i4>0</vt:i4>
      </vt:variant>
      <vt:variant>
        <vt:i4>5</vt:i4>
      </vt:variant>
      <vt:variant>
        <vt:lpwstr>https://www150.statcan.gc.ca/n1/pub/45-20-0002/452000022023002-eng.htm</vt:lpwstr>
      </vt:variant>
      <vt:variant>
        <vt:lpwstr/>
      </vt:variant>
      <vt:variant>
        <vt:i4>1310785</vt:i4>
      </vt:variant>
      <vt:variant>
        <vt:i4>66</vt:i4>
      </vt:variant>
      <vt:variant>
        <vt:i4>0</vt:i4>
      </vt:variant>
      <vt:variant>
        <vt:i4>5</vt:i4>
      </vt:variant>
      <vt:variant>
        <vt:lpwstr>https://www.sac-isc.gc.ca/eng/1541187352297/1541187392851</vt:lpwstr>
      </vt:variant>
      <vt:variant>
        <vt:lpwstr/>
      </vt:variant>
      <vt:variant>
        <vt:i4>6619260</vt:i4>
      </vt:variant>
      <vt:variant>
        <vt:i4>63</vt:i4>
      </vt:variant>
      <vt:variant>
        <vt:i4>0</vt:i4>
      </vt:variant>
      <vt:variant>
        <vt:i4>5</vt:i4>
      </vt:variant>
      <vt:variant>
        <vt:lpwstr>https://www.publicsafety.gc.ca/cnt/trnsprnc/brfng-mtrls/prlmntry-bndrs/20230720/12-en.aspx</vt:lpwstr>
      </vt:variant>
      <vt:variant>
        <vt:lpwstr/>
      </vt:variant>
      <vt:variant>
        <vt:i4>2424872</vt:i4>
      </vt:variant>
      <vt:variant>
        <vt:i4>60</vt:i4>
      </vt:variant>
      <vt:variant>
        <vt:i4>0</vt:i4>
      </vt:variant>
      <vt:variant>
        <vt:i4>5</vt:i4>
      </vt:variant>
      <vt:variant>
        <vt:lpwstr>https://www.ncbi.nlm.nih.gov/pmc/articles/PMC9776675/</vt:lpwstr>
      </vt:variant>
      <vt:variant>
        <vt:lpwstr>:~:text=10%2C%2011).-,Food%20insecurity%20is%20a%20significant%20public%20health%20problem%20for%20Indigenous,other%20Canadian%20households%20(12).</vt:lpwstr>
      </vt:variant>
      <vt:variant>
        <vt:i4>2424931</vt:i4>
      </vt:variant>
      <vt:variant>
        <vt:i4>57</vt:i4>
      </vt:variant>
      <vt:variant>
        <vt:i4>0</vt:i4>
      </vt:variant>
      <vt:variant>
        <vt:i4>5</vt:i4>
      </vt:variant>
      <vt:variant>
        <vt:lpwstr>https://www150.statcan.gc.ca/n1/pub/85-002-x/2022001/article/00004-eng.htm</vt:lpwstr>
      </vt:variant>
      <vt:variant>
        <vt:lpwstr/>
      </vt:variant>
      <vt:variant>
        <vt:i4>524303</vt:i4>
      </vt:variant>
      <vt:variant>
        <vt:i4>54</vt:i4>
      </vt:variant>
      <vt:variant>
        <vt:i4>0</vt:i4>
      </vt:variant>
      <vt:variant>
        <vt:i4>5</vt:i4>
      </vt:variant>
      <vt:variant>
        <vt:lpwstr>https://www.oaith.ca/oaith-work/we-count-femicide-because/femicide-reports-and-analysis.html</vt:lpwstr>
      </vt:variant>
      <vt:variant>
        <vt:lpwstr/>
      </vt:variant>
      <vt:variant>
        <vt:i4>2228322</vt:i4>
      </vt:variant>
      <vt:variant>
        <vt:i4>51</vt:i4>
      </vt:variant>
      <vt:variant>
        <vt:i4>0</vt:i4>
      </vt:variant>
      <vt:variant>
        <vt:i4>5</vt:i4>
      </vt:variant>
      <vt:variant>
        <vt:lpwstr>https://www150.statcan.gc.ca/n1/pub/85-002-x/2023001/article/00003-eng.htm</vt:lpwstr>
      </vt:variant>
      <vt:variant>
        <vt:lpwstr/>
      </vt:variant>
      <vt:variant>
        <vt:i4>2424931</vt:i4>
      </vt:variant>
      <vt:variant>
        <vt:i4>48</vt:i4>
      </vt:variant>
      <vt:variant>
        <vt:i4>0</vt:i4>
      </vt:variant>
      <vt:variant>
        <vt:i4>5</vt:i4>
      </vt:variant>
      <vt:variant>
        <vt:lpwstr>https://www150.statcan.gc.ca/n1/pub/85-002-x/2022001/article/00004-eng.htm</vt:lpwstr>
      </vt:variant>
      <vt:variant>
        <vt:lpwstr/>
      </vt:variant>
      <vt:variant>
        <vt:i4>1507432</vt:i4>
      </vt:variant>
      <vt:variant>
        <vt:i4>45</vt:i4>
      </vt:variant>
      <vt:variant>
        <vt:i4>0</vt:i4>
      </vt:variant>
      <vt:variant>
        <vt:i4>5</vt:i4>
      </vt:variant>
      <vt:variant>
        <vt:lpwstr>, https:/www.mmiwg-ffada.ca/wp-content/uploads/2019/06/Final_Report_Vol_1a-1.pdf</vt:lpwstr>
      </vt:variant>
      <vt:variant>
        <vt:lpwstr/>
      </vt:variant>
      <vt:variant>
        <vt:i4>1835087</vt:i4>
      </vt:variant>
      <vt:variant>
        <vt:i4>42</vt:i4>
      </vt:variant>
      <vt:variant>
        <vt:i4>0</vt:i4>
      </vt:variant>
      <vt:variant>
        <vt:i4>5</vt:i4>
      </vt:variant>
      <vt:variant>
        <vt:lpwstr>https://www.sac-isc.gc.ca/eng/1690909773300/1690909797208</vt:lpwstr>
      </vt:variant>
      <vt:variant>
        <vt:lpwstr/>
      </vt:variant>
      <vt:variant>
        <vt:i4>4980813</vt:i4>
      </vt:variant>
      <vt:variant>
        <vt:i4>39</vt:i4>
      </vt:variant>
      <vt:variant>
        <vt:i4>0</vt:i4>
      </vt:variant>
      <vt:variant>
        <vt:i4>5</vt:i4>
      </vt:variant>
      <vt:variant>
        <vt:lpwstr>https://www.ohchr.org/sites/default/files/documents/issues/indigenouspeoples/sr/statements/eom-statement-canada-sr-indigenous-2023-03-10.pdf</vt:lpwstr>
      </vt:variant>
      <vt:variant>
        <vt:lpwstr/>
      </vt:variant>
      <vt:variant>
        <vt:i4>4128788</vt:i4>
      </vt:variant>
      <vt:variant>
        <vt:i4>36</vt:i4>
      </vt:variant>
      <vt:variant>
        <vt:i4>0</vt:i4>
      </vt:variant>
      <vt:variant>
        <vt:i4>5</vt:i4>
      </vt:variant>
      <vt:variant>
        <vt:lpwstr>https://principedejoyce.com/sn_uploads/principe/Joyce_s_Principle_brief___Eng.pdf</vt:lpwstr>
      </vt:variant>
      <vt:variant>
        <vt:lpwstr/>
      </vt:variant>
      <vt:variant>
        <vt:i4>7929958</vt:i4>
      </vt:variant>
      <vt:variant>
        <vt:i4>33</vt:i4>
      </vt:variant>
      <vt:variant>
        <vt:i4>0</vt:i4>
      </vt:variant>
      <vt:variant>
        <vt:i4>5</vt:i4>
      </vt:variant>
      <vt:variant>
        <vt:lpwstr>https://www.oaith.ca/oaith-work/we-count-femicide-because/femicide-reports-and-analysis.html); In 2021 (the year the National Action Plan was released), there were at least 46 Indigenous women murdered and in 2022 there were at least 54 Indigenous women murdered https:/www150.statcan.gc.ca/t1/tbl1/en/tv.action?pid=3510006001&amp;pickMembers%5B0%5D=2.1&amp;pickMembers%5B1%5D=4.1&amp;pickMembers%5B2%5D=5.3&amp;cubeTimeFrame.startYear=2019&amp;cubeTimeFrame.endYear=2023&amp;referencePeriods=20190101%2C20230101</vt:lpwstr>
      </vt:variant>
      <vt:variant>
        <vt:lpwstr/>
      </vt:variant>
      <vt:variant>
        <vt:i4>3997795</vt:i4>
      </vt:variant>
      <vt:variant>
        <vt:i4>30</vt:i4>
      </vt:variant>
      <vt:variant>
        <vt:i4>0</vt:i4>
      </vt:variant>
      <vt:variant>
        <vt:i4>5</vt:i4>
      </vt:variant>
      <vt:variant>
        <vt:lpwstr>https://www.rcaanc-cirnac.gc.ca/eng/1717103903695/1717103981609</vt:lpwstr>
      </vt:variant>
      <vt:variant>
        <vt:lpwstr/>
      </vt:variant>
      <vt:variant>
        <vt:i4>1179677</vt:i4>
      </vt:variant>
      <vt:variant>
        <vt:i4>27</vt:i4>
      </vt:variant>
      <vt:variant>
        <vt:i4>0</vt:i4>
      </vt:variant>
      <vt:variant>
        <vt:i4>5</vt:i4>
      </vt:variant>
      <vt:variant>
        <vt:lpwstr>https://www.cbc.ca/newsinteractives/features/cfj-report-cards</vt:lpwstr>
      </vt:variant>
      <vt:variant>
        <vt:lpwstr/>
      </vt:variant>
      <vt:variant>
        <vt:i4>6488112</vt:i4>
      </vt:variant>
      <vt:variant>
        <vt:i4>24</vt:i4>
      </vt:variant>
      <vt:variant>
        <vt:i4>0</vt:i4>
      </vt:variant>
      <vt:variant>
        <vt:i4>5</vt:i4>
      </vt:variant>
      <vt:variant>
        <vt:lpwstr>https://undocs.org/Home/Mobile?FinalSymbol=CEDAW%2FC%2FOP.8%2FCAN%2F1&amp;Language=E&amp;DeviceType=Desktop&amp;LangRequested=False</vt:lpwstr>
      </vt:variant>
      <vt:variant>
        <vt:lpwstr/>
      </vt:variant>
      <vt:variant>
        <vt:i4>589906</vt:i4>
      </vt:variant>
      <vt:variant>
        <vt:i4>21</vt:i4>
      </vt:variant>
      <vt:variant>
        <vt:i4>0</vt:i4>
      </vt:variant>
      <vt:variant>
        <vt:i4>5</vt:i4>
      </vt:variant>
      <vt:variant>
        <vt:lpwstr>https://www.mmiwg-ffada.ca/final-report/</vt:lpwstr>
      </vt:variant>
      <vt:variant>
        <vt:lpwstr/>
      </vt:variant>
      <vt:variant>
        <vt:i4>4522009</vt:i4>
      </vt:variant>
      <vt:variant>
        <vt:i4>18</vt:i4>
      </vt:variant>
      <vt:variant>
        <vt:i4>0</vt:i4>
      </vt:variant>
      <vt:variant>
        <vt:i4>5</vt:i4>
      </vt:variant>
      <vt:variant>
        <vt:lpwstr>https://budget.canada.ca/2024/report-rapport/budget-2024.pdf</vt:lpwstr>
      </vt:variant>
      <vt:variant>
        <vt:lpwstr/>
      </vt:variant>
      <vt:variant>
        <vt:i4>7012404</vt:i4>
      </vt:variant>
      <vt:variant>
        <vt:i4>15</vt:i4>
      </vt:variant>
      <vt:variant>
        <vt:i4>0</vt:i4>
      </vt:variant>
      <vt:variant>
        <vt:i4>5</vt:i4>
      </vt:variant>
      <vt:variant>
        <vt:lpwstr>https://www.un.org/en/development/desa/population/migration/generalassembly/docs/globalcompact/A_CONF.177_20.pdf</vt:lpwstr>
      </vt:variant>
      <vt:variant>
        <vt:lpwstr/>
      </vt:variant>
      <vt:variant>
        <vt:i4>983061</vt:i4>
      </vt:variant>
      <vt:variant>
        <vt:i4>12</vt:i4>
      </vt:variant>
      <vt:variant>
        <vt:i4>0</vt:i4>
      </vt:variant>
      <vt:variant>
        <vt:i4>5</vt:i4>
      </vt:variant>
      <vt:variant>
        <vt:lpwstr>https://www.ohchr.org/en/documents/country-reports/ahrc5431add2-visit-canada-report-special-rapporteur-rights-indigenous</vt:lpwstr>
      </vt:variant>
      <vt:variant>
        <vt:lpwstr/>
      </vt:variant>
      <vt:variant>
        <vt:i4>3276847</vt:i4>
      </vt:variant>
      <vt:variant>
        <vt:i4>9</vt:i4>
      </vt:variant>
      <vt:variant>
        <vt:i4>0</vt:i4>
      </vt:variant>
      <vt:variant>
        <vt:i4>5</vt:i4>
      </vt:variant>
      <vt:variant>
        <vt:lpwstr>https://documents.un.org/doc/undoc/gen/g23/251/73/pdf/g2325173.pdf?token=rLVOs23JcxkY8cZD1X&amp;fe=true</vt:lpwstr>
      </vt:variant>
      <vt:variant>
        <vt:lpwstr/>
      </vt:variant>
      <vt:variant>
        <vt:i4>327760</vt:i4>
      </vt:variant>
      <vt:variant>
        <vt:i4>6</vt:i4>
      </vt:variant>
      <vt:variant>
        <vt:i4>0</vt:i4>
      </vt:variant>
      <vt:variant>
        <vt:i4>5</vt:i4>
      </vt:variant>
      <vt:variant>
        <vt:lpwstr>https://undocs.org/en/CEDAW/C/CAN/CO/8-9</vt:lpwstr>
      </vt:variant>
      <vt:variant>
        <vt:lpwstr/>
      </vt:variant>
      <vt:variant>
        <vt:i4>5308444</vt:i4>
      </vt:variant>
      <vt:variant>
        <vt:i4>3</vt:i4>
      </vt:variant>
      <vt:variant>
        <vt:i4>0</vt:i4>
      </vt:variant>
      <vt:variant>
        <vt:i4>5</vt:i4>
      </vt:variant>
      <vt:variant>
        <vt:lpwstr>https://undocs.org/en/CEDAW/C/OP.8/CAN/1</vt:lpwstr>
      </vt:variant>
      <vt:variant>
        <vt:lpwstr/>
      </vt:variant>
      <vt:variant>
        <vt:i4>6684784</vt:i4>
      </vt:variant>
      <vt:variant>
        <vt:i4>0</vt:i4>
      </vt:variant>
      <vt:variant>
        <vt:i4>0</vt:i4>
      </vt:variant>
      <vt:variant>
        <vt:i4>5</vt:i4>
      </vt:variant>
      <vt:variant>
        <vt:lpwstr>https://www.rcaanc-cirnac.gc.ca/eng/1717103903695/1717103981609</vt:lpwstr>
      </vt:variant>
      <vt:variant>
        <vt:lpwstr>chp3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Jordis Duke</dc:creator>
  <cp:keywords/>
  <cp:lastModifiedBy>Bethany Johnson</cp:lastModifiedBy>
  <cp:revision>2</cp:revision>
  <cp:lastPrinted>2018-06-07T12:53:00Z</cp:lastPrinted>
  <dcterms:created xsi:type="dcterms:W3CDTF">2024-09-07T13:24:00Z</dcterms:created>
  <dcterms:modified xsi:type="dcterms:W3CDTF">2024-09-07T13:24:00Z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0x0101006A33E6834BD27E4BAD29D0D58F66A801</vt:lpwstr>
  </property>
</Properties>
</file>