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9971F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 xml:space="preserve">INFORME SOBRE LA PROTECCIÓN Y CRIMINALIZACIÓN DE MUJERES Y NIÑOS CON DISCAPACIDAD EN EL CAM </w:t>
      </w:r>
      <w:proofErr w:type="spellStart"/>
      <w:r w:rsidRPr="00C802A5">
        <w:rPr>
          <w:rFonts w:ascii="Arial" w:hAnsi="Arial" w:cs="Arial"/>
          <w:b/>
          <w:bCs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b/>
          <w:bCs/>
          <w:sz w:val="24"/>
          <w:szCs w:val="24"/>
        </w:rPr>
        <w:t xml:space="preserve"> 22, MORELOS</w:t>
      </w:r>
    </w:p>
    <w:p w14:paraId="04473CB2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F02BE1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A. DATOS DE LA ORGANIZACIÓN</w:t>
      </w:r>
    </w:p>
    <w:p w14:paraId="07D02335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Nombre completo de la organización</w:t>
      </w:r>
      <w:r w:rsidRPr="00C802A5">
        <w:rPr>
          <w:rFonts w:ascii="Arial" w:hAnsi="Arial" w:cs="Arial"/>
          <w:sz w:val="24"/>
          <w:szCs w:val="24"/>
        </w:rPr>
        <w:t>: Movimiento Morelense por la Discapacidad, los Derechos Humanos y Observatorio de los Derechos Humanos para la Gobernanza y el Desarrollo</w:t>
      </w:r>
    </w:p>
    <w:p w14:paraId="56E3568F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Tipo de publicación:</w:t>
      </w:r>
      <w:r w:rsidRPr="00C802A5">
        <w:rPr>
          <w:rFonts w:ascii="Arial" w:hAnsi="Arial" w:cs="Arial"/>
          <w:sz w:val="24"/>
          <w:szCs w:val="24"/>
        </w:rPr>
        <w:t xml:space="preserve"> Público</w:t>
      </w:r>
    </w:p>
    <w:p w14:paraId="6A7C8F87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Estado parte:</w:t>
      </w:r>
      <w:r w:rsidRPr="00C802A5">
        <w:rPr>
          <w:rFonts w:ascii="Arial" w:hAnsi="Arial" w:cs="Arial"/>
          <w:sz w:val="24"/>
          <w:szCs w:val="24"/>
        </w:rPr>
        <w:t xml:space="preserve"> Morelos</w:t>
      </w:r>
    </w:p>
    <w:p w14:paraId="479B173E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D78043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ÍNDICE</w:t>
      </w:r>
    </w:p>
    <w:p w14:paraId="1D6062E8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BF2C96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1. Introducción</w:t>
      </w:r>
    </w:p>
    <w:p w14:paraId="392BCD0D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2. Marco Normativo de la Convención sobre los Derechos de las Personas con Discapacidad (CDPD) y CEDAW</w:t>
      </w:r>
    </w:p>
    <w:p w14:paraId="4FA40A2E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3. Contexto y descripción del caso en CAM </w:t>
      </w:r>
      <w:proofErr w:type="spellStart"/>
      <w:r w:rsidRPr="00C802A5">
        <w:rPr>
          <w:rFonts w:ascii="Arial" w:hAnsi="Arial" w:cs="Arial"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sz w:val="24"/>
          <w:szCs w:val="24"/>
        </w:rPr>
        <w:t xml:space="preserve"> 22</w:t>
      </w:r>
    </w:p>
    <w:p w14:paraId="7AB81B7C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4. Análisis de la criminalización y vulneración de derechos</w:t>
      </w:r>
    </w:p>
    <w:p w14:paraId="0E8BFB35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5. Participación de ONG en la protección de derechos y eliminación de discriminación</w:t>
      </w:r>
    </w:p>
    <w:p w14:paraId="0D680564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lastRenderedPageBreak/>
        <w:t>6. Revisión del Informe de Estado Parte y respuestas de las autoridades</w:t>
      </w:r>
    </w:p>
    <w:p w14:paraId="1DCD8DCB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7. Observaciones finales previas del Comité y recomendaciones</w:t>
      </w:r>
    </w:p>
    <w:p w14:paraId="3F0C43E2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8. Impacto de la COVID-19 en los derechos de las mujeres y personas con discapacidad</w:t>
      </w:r>
    </w:p>
    <w:p w14:paraId="73BBD89E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9. Conclusiones y recomendaciones</w:t>
      </w:r>
    </w:p>
    <w:p w14:paraId="08722980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AECFF8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1. Introducción</w:t>
      </w:r>
    </w:p>
    <w:p w14:paraId="7D7CFC0A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El presente informe tiene como finalidad visibilizar y analizar la situación de discriminación, criminalización y vulneración de derechos que enfrentan dos mujeres, una con discapacidad sensorial y otra madre y cuidadora en un contexto escolar en Morelos, específicamente en el Centro de Atención Múltiple </w:t>
      </w:r>
      <w:proofErr w:type="spellStart"/>
      <w:r w:rsidRPr="00C802A5">
        <w:rPr>
          <w:rFonts w:ascii="Arial" w:hAnsi="Arial" w:cs="Arial"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sz w:val="24"/>
          <w:szCs w:val="24"/>
        </w:rPr>
        <w:t xml:space="preserve"> 22 (CAM </w:t>
      </w:r>
      <w:proofErr w:type="spellStart"/>
      <w:r w:rsidRPr="00C802A5">
        <w:rPr>
          <w:rFonts w:ascii="Arial" w:hAnsi="Arial" w:cs="Arial"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sz w:val="24"/>
          <w:szCs w:val="24"/>
        </w:rPr>
        <w:t xml:space="preserve"> 22). La organización Movimiento Morelense por la Discapacidad, los Derechos Humanos y Observatorio de los Derechos Humanos para la Gobernanza y el Desarrollo, se posiciona en defensa del cumplimiento de los derechos humanos, particularmente en la protección de mujeres y niños con discapacidad, frente a acciones que los criminalizan y los someten a violencia institucional y social, en el marco de las obligaciones internacionales asumidas por el Estado Mexicano.</w:t>
      </w:r>
    </w:p>
    <w:p w14:paraId="3EDE06D1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6B84B14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2. Marco Normativo de la CDPD y CEDAW</w:t>
      </w:r>
    </w:p>
    <w:p w14:paraId="762BA931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El análisis se fundamenta en los artículos 1 a 16 de la Convención sobre los Derechos de las Personas con Discapacidad (CDPD), que garantizan la igualdad y </w:t>
      </w:r>
      <w:r w:rsidRPr="00C802A5">
        <w:rPr>
          <w:rFonts w:ascii="Arial" w:hAnsi="Arial" w:cs="Arial"/>
          <w:sz w:val="24"/>
          <w:szCs w:val="24"/>
        </w:rPr>
        <w:lastRenderedPageBreak/>
        <w:t>no discriminación, el respeto a la autonomía, y el derecho a la participación plena en la sociedad; así como en las observaciones, recomendaciones y obligaciones del Comité sobre los derechos de las mujeres en el marco de CEDAW para eliminar todo tipo de discriminación contra mujeres y niñas, incluyendo la discapacidad.</w:t>
      </w:r>
    </w:p>
    <w:p w14:paraId="104E8F65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Las obligaciones de las autoridades estatales incluyen asegurar entornos libres de violencia, garantizar el acceso universal a la educación, salud y justicia, y promover un marco de protección sensible a las realidades de las personas con discapacidad y sus familias.</w:t>
      </w:r>
    </w:p>
    <w:p w14:paraId="30DFC5CC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B3EE1E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 xml:space="preserve">3. Contexto y descripción del caso en CAM </w:t>
      </w:r>
      <w:proofErr w:type="spellStart"/>
      <w:r w:rsidRPr="00C802A5">
        <w:rPr>
          <w:rFonts w:ascii="Arial" w:hAnsi="Arial" w:cs="Arial"/>
          <w:b/>
          <w:bCs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b/>
          <w:bCs/>
          <w:sz w:val="24"/>
          <w:szCs w:val="24"/>
        </w:rPr>
        <w:t xml:space="preserve"> 22</w:t>
      </w:r>
    </w:p>
    <w:p w14:paraId="5DBCA850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Desde marzo de 2025, en el CAM </w:t>
      </w:r>
      <w:proofErr w:type="spellStart"/>
      <w:r w:rsidRPr="00C802A5">
        <w:rPr>
          <w:rFonts w:ascii="Arial" w:hAnsi="Arial" w:cs="Arial"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sz w:val="24"/>
          <w:szCs w:val="24"/>
        </w:rPr>
        <w:t xml:space="preserve"> 22, una serie de hechos han evidenciado la persecución, criminalización y ataques sociales dirigidos hacia mujeres cuidadoras y activistas, en el marco de la lucha por los derechos de niños con discapacidad. En particular, dos mujeres, una con discapacidad sensorial y otra madre y cuidadora, han sido objeto de acciones punitivas y de estigmatización por parte de autoridades y actores sociales.</w:t>
      </w:r>
    </w:p>
    <w:p w14:paraId="6087E2E4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Las acciones que denunciamos incluyen: filmaciones sin consentimiento, difamación en redes sociales, declaraciones públicas falsas acerca del estado de las instalaciones y las condiciones de atención, así como la criminalización basada en su participación en movimientos sociales y denuncias públicas sobre el trato a los niños con discapacidad en la institución educativa.</w:t>
      </w:r>
    </w:p>
    <w:p w14:paraId="58184062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6ADD9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lastRenderedPageBreak/>
        <w:t>Estos hechos además se han visto acompañados de intentos de intimidación, citaciones ante fiscalía, y campañas de desprestigio, que buscan silenciar sus voces y deslegitimar su lucha por un escolar digno y accesible, vulnerando sus derechos a la libertad de expresión, a la participación y a la protección judicial efectiva.</w:t>
      </w:r>
    </w:p>
    <w:p w14:paraId="5FC402EF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B1682E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4. Análisis de la criminalización y vulneración de derechos</w:t>
      </w:r>
    </w:p>
    <w:p w14:paraId="19F6B95B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31894A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Las mujeres denunciadas, particularmente una con discapacidad sensorial, han sido criminalizadas por ejercer su derecho a la denuncia y a la participación activa en la defensa de sus hijos y colegas. La lesión de su dignidad y su integridad se profundiza por las acciones de estigmatización social y acciones legales que buscan criminalizar su activismo.</w:t>
      </w:r>
    </w:p>
    <w:p w14:paraId="1DB5D7B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Se evidencia una respuesta institucional sesgada y desproporcionada, en la que las autoridades vulneran principios de respeto, proporcionalidad y debido proceso. La utilización de la ley y procedimientos administrativos para acusarlas en contextos que podrían resolverse por mecanismos de protección y diálogo, viola derechos fundamentales reconocidos internacionalmente.</w:t>
      </w:r>
    </w:p>
    <w:p w14:paraId="64219744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B4FB58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Por su parte, las autoridades gubernamentales y educativas han promovido narrativas que desacreditan sus testimonios y denuncias, promoviendo la impunidad y la invisibilidad de las víctimas, cuyo fin es mantener un statu quo que perpetúa condiciones de discriminación y exclusión.</w:t>
      </w:r>
    </w:p>
    <w:p w14:paraId="3413C445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lastRenderedPageBreak/>
        <w:t>5. Participación de ONG en la protección de derechos y eliminación de discriminación</w:t>
      </w:r>
    </w:p>
    <w:p w14:paraId="195CBC52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Como organización de la sociedad civil, el Movimiento Morelense por la Discapacidad, los Derechos Humanos y Observatorio de los Derechos Humanos para la Gobernanza y el Desarrollo ha participado activamente en la denuncia de estas violaciones, promoviendo acciones de sensibilización, acompañamiento jurídico, y diálogos con autoridades.</w:t>
      </w:r>
    </w:p>
    <w:p w14:paraId="4EB8F757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De acuerdo con la meta de la Convención CEDAW, la ONG trabaja para fortalecer las acciones públicas en contra de toda forma de discriminación y violencia estructural, asegurando la participación efectiva de mujeres y niñas con discapacidad, promoviendo su empoderamiento y la erradicación de estigmas sociales.</w:t>
      </w:r>
    </w:p>
    <w:p w14:paraId="6FE3A312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Además, ha promovido la implementación del artículo 8 de la Convención, asegurando mecanismos institucionales sensibles a la discapacidad y a las especificidades culturales y sociales, y ha exigido la rendición de cuentas a las autoridades responsables.</w:t>
      </w:r>
    </w:p>
    <w:p w14:paraId="0AF3CCF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0B216E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6. Revisión del Informe de Estado Parte y respuestas de las autoridades</w:t>
      </w:r>
    </w:p>
    <w:p w14:paraId="26F55857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El Estado mexicano, en su informe del cumplimiento de la CDPD y CEDAW, reconoce los derechos de las personas con discapacidad, y ha aprobado leyes locales y nacionales para su protección, incluyendo la Ley General para la Inclusión </w:t>
      </w:r>
      <w:r w:rsidRPr="00C802A5">
        <w:rPr>
          <w:rFonts w:ascii="Arial" w:hAnsi="Arial" w:cs="Arial"/>
          <w:sz w:val="24"/>
          <w:szCs w:val="24"/>
        </w:rPr>
        <w:lastRenderedPageBreak/>
        <w:t>de las Personas con Discapacidad. Sin embargo, la realidad en Morelos indica una brecha entre el marco normativo y su efectiva implementación.</w:t>
      </w:r>
    </w:p>
    <w:p w14:paraId="2B335D33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Las respuestas oficiales ante los hechos ocurridos en CAM </w:t>
      </w:r>
      <w:proofErr w:type="spellStart"/>
      <w:r w:rsidRPr="00C802A5">
        <w:rPr>
          <w:rFonts w:ascii="Arial" w:hAnsi="Arial" w:cs="Arial"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sz w:val="24"/>
          <w:szCs w:val="24"/>
        </w:rPr>
        <w:t xml:space="preserve"> 22 han sido insuficientes, limitadas a declaraciones formales sin acciones concretas para proteger a las denunciantes y garantizar condiciones seguras en la escuela, evidenciando una falta de sensibilidad y capacitación institucional en materia de derechos de discapacidad y género.</w:t>
      </w:r>
    </w:p>
    <w:p w14:paraId="35A559AD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Este desfase suscita una serie de preocupaciones respecto a la protección efectiva, el acceso a la justicia, y la necesidad de implementar medidas de reparación y garantías de no repetición.</w:t>
      </w:r>
    </w:p>
    <w:p w14:paraId="236E0F8D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57558F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7. Observaciones finales previas del Comité y recomendaciones</w:t>
      </w:r>
    </w:p>
    <w:p w14:paraId="08BA8531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El Comité de Derechos de las Personas con Discapacidad y de CEDAW ha establecido en sus recomendaciones previas que los Estados deben adoptar enfoques </w:t>
      </w:r>
      <w:proofErr w:type="spellStart"/>
      <w:r w:rsidRPr="00C802A5">
        <w:rPr>
          <w:rFonts w:ascii="Arial" w:hAnsi="Arial" w:cs="Arial"/>
          <w:sz w:val="24"/>
          <w:szCs w:val="24"/>
        </w:rPr>
        <w:t>interseccionales</w:t>
      </w:r>
      <w:proofErr w:type="spellEnd"/>
      <w:r w:rsidRPr="00C802A5">
        <w:rPr>
          <w:rFonts w:ascii="Arial" w:hAnsi="Arial" w:cs="Arial"/>
          <w:sz w:val="24"/>
          <w:szCs w:val="24"/>
        </w:rPr>
        <w:t>, atender las necesidades específicas de las mujeres y niñas con discapacidad, y prevenir toda forma de violencia, incluyendo la violencia institucional.</w:t>
      </w:r>
    </w:p>
    <w:p w14:paraId="378A801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Se recomienda fortalecer los mecanismos de observancia y vigilancia en instituciones educativas, capacitar al personal en derechos humanos y discapacidad, y establecer protocolos claros de atención y protección para las víctimas de discriminación y violencia.</w:t>
      </w:r>
    </w:p>
    <w:p w14:paraId="5761236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98554D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lastRenderedPageBreak/>
        <w:t>Asimismo, es imperativo promover campañas sociales para erradicar los estigmas asociados a la discapacidad y género, y garantizar la participación de las propias personas con discapacidad en la formulación de políticas públicas.</w:t>
      </w:r>
    </w:p>
    <w:p w14:paraId="230D42DE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CAF499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8. Impacto de la COVID-19 en los derechos de las mujeres y personas con discapacidad</w:t>
      </w:r>
    </w:p>
    <w:p w14:paraId="04E1EE65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La pandemia de COVID-19 agudizó la vulnerabilidad de las mujeres y personas con discapacidad, evidenciando la falta de accesibilidad de los servicios de salud, la carencia de información en formatos accesibles, y el aumento de la violencia de género y discriminación social. Especialmente en contextos educativos, la exclusión y la falta de recursos apropiados para la atención remota agravaron la situación de aquellas personas con necesidades específicas, profundizando las desigualdades existentes y obstaculizando el ejercicio pleno de sus derechos.</w:t>
      </w:r>
    </w:p>
    <w:p w14:paraId="4A2A9E00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Las mujeres cuidadoras enfrentaron mayores cargas y obstáculos para acceder a apoyos institucionales, mientras que las niñas y niños con discapacidad permanecieron en entornos que no siempre garantizaron su protección y bienestar.</w:t>
      </w:r>
    </w:p>
    <w:p w14:paraId="5FFC3C8A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AB7277" w14:textId="77777777" w:rsidR="00C802A5" w:rsidRPr="00C802A5" w:rsidRDefault="00C802A5" w:rsidP="00C802A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2A5">
        <w:rPr>
          <w:rFonts w:ascii="Arial" w:hAnsi="Arial" w:cs="Arial"/>
          <w:b/>
          <w:bCs/>
          <w:sz w:val="24"/>
          <w:szCs w:val="24"/>
        </w:rPr>
        <w:t>9. Conclusiones y recomendaciones</w:t>
      </w:r>
    </w:p>
    <w:p w14:paraId="6911A9E0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 xml:space="preserve">Las acciones de criminalización dirigidas a las mujeres activistas y cuidadoras en el contexto del CAM </w:t>
      </w:r>
      <w:proofErr w:type="spellStart"/>
      <w:r w:rsidRPr="00C802A5">
        <w:rPr>
          <w:rFonts w:ascii="Arial" w:hAnsi="Arial" w:cs="Arial"/>
          <w:sz w:val="24"/>
          <w:szCs w:val="24"/>
        </w:rPr>
        <w:t>N°</w:t>
      </w:r>
      <w:proofErr w:type="spellEnd"/>
      <w:r w:rsidRPr="00C802A5">
        <w:rPr>
          <w:rFonts w:ascii="Arial" w:hAnsi="Arial" w:cs="Arial"/>
          <w:sz w:val="24"/>
          <w:szCs w:val="24"/>
        </w:rPr>
        <w:t xml:space="preserve"> 22 representan una grave vulneración a los derechos humanos, en particular los derechos a la participación, la igualdad y la protección contra la violencia institucional.</w:t>
      </w:r>
    </w:p>
    <w:p w14:paraId="0253732B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lastRenderedPageBreak/>
        <w:t>Es necesario que el Estado mexicano, particularmente las autoridades de Morelos, adopten medidas urgentes para:</w:t>
      </w:r>
    </w:p>
    <w:p w14:paraId="2C53EA8A" w14:textId="0E8B2D8B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- Investigar y sancionar a los responsables de esas acciones de criminalización y agresión.</w:t>
      </w:r>
    </w:p>
    <w:p w14:paraId="2A597C0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- Garantizar medidas de protección efectiva para las víctimas y sus familias.</w:t>
      </w:r>
    </w:p>
    <w:p w14:paraId="5F9CC6B6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- Implementar programas de sensibilización social y capacitación institucional en derechos humanos, discapacidad y género.</w:t>
      </w:r>
    </w:p>
    <w:p w14:paraId="7CB4A759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- Fortalecer los mecanismos de participación de las comunidades y asociaciones civiles.</w:t>
      </w:r>
    </w:p>
    <w:p w14:paraId="3BF534D5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- Cumplir con las recomendaciones internacionales del Comité y de CEDAW, adaptándolas a las realidades locales.</w:t>
      </w:r>
    </w:p>
    <w:p w14:paraId="07D6ABA1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- Garantizar un entorno escolar inclusivo, respetuoso y libre de violencia para niñas, niños y jóvenes con discapacidad.</w:t>
      </w:r>
    </w:p>
    <w:p w14:paraId="5182FAD5" w14:textId="77777777" w:rsidR="00C802A5" w:rsidRPr="00C802A5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B9C733" w14:textId="777A9925" w:rsidR="004778CA" w:rsidRDefault="00C802A5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02A5">
        <w:rPr>
          <w:rFonts w:ascii="Arial" w:hAnsi="Arial" w:cs="Arial"/>
          <w:sz w:val="24"/>
          <w:szCs w:val="24"/>
        </w:rPr>
        <w:t>Este informe reafirma la necesidad de construir una sociedad más justa, inclusiva y respetuosa de la dignidad humana, erradicando toda forma de discriminación, violencia y criminalización contra quienes viven en situación de vulnerabilidad, y promoviendo la participación activa y efectiva de las personas con discapacidad y sus familias en la defensa de sus derechos.</w:t>
      </w:r>
    </w:p>
    <w:p w14:paraId="35521FD2" w14:textId="2A9B8D0A" w:rsidR="0036373A" w:rsidRDefault="0036373A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7E72A1" w14:textId="0A005499" w:rsidR="0036373A" w:rsidRDefault="0036373A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BA1758" w14:textId="031E79CB" w:rsidR="0036373A" w:rsidRDefault="0036373A" w:rsidP="00C802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3306A9" w14:textId="591362B9" w:rsidR="0036373A" w:rsidRDefault="0036373A" w:rsidP="0036373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 T E N T A M E N T E </w:t>
      </w:r>
    </w:p>
    <w:p w14:paraId="5853B821" w14:textId="0F1EBEFF" w:rsidR="0036373A" w:rsidRDefault="0036373A" w:rsidP="0036373A">
      <w:pPr>
        <w:spacing w:before="100" w:beforeAutospacing="1"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</w:t>
      </w:r>
      <w:r w:rsidRPr="0036373A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214BF2A5" wp14:editId="19FF4B72">
            <wp:extent cx="2647950" cy="1785620"/>
            <wp:effectExtent l="0" t="0" r="0" b="5080"/>
            <wp:docPr id="4" name="Imagen 3" descr="Texto, Carta&#10;&#10;Descripción generada automáticamente">
              <a:extLst xmlns:a="http://schemas.openxmlformats.org/drawingml/2006/main">
                <a:ext uri="{FF2B5EF4-FFF2-40B4-BE49-F238E27FC236}">
                  <a16:creationId xmlns:a16="http://schemas.microsoft.com/office/drawing/2014/main" id="{B1128EB6-923F-423B-AA58-19B09D6708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Texto, Carta&#10;&#10;Descripción generada automáticamente">
                      <a:extLst>
                        <a:ext uri="{FF2B5EF4-FFF2-40B4-BE49-F238E27FC236}">
                          <a16:creationId xmlns:a16="http://schemas.microsoft.com/office/drawing/2014/main" id="{B1128EB6-923F-423B-AA58-19B09D670856}"/>
                        </a:ext>
                      </a:extLst>
                    </pic:cNvPr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949" t="3673" r="-7216" b="10427"/>
                    <a:stretch/>
                  </pic:blipFill>
                  <pic:spPr bwMode="auto">
                    <a:xfrm>
                      <a:off x="0" y="0"/>
                      <a:ext cx="2647950" cy="1785620"/>
                    </a:xfrm>
                    <a:prstGeom prst="ellipse">
                      <a:avLst/>
                    </a:prstGeom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50E06AC" w14:textId="67C38632" w:rsidR="0036373A" w:rsidRDefault="0036373A" w:rsidP="0036373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Beatriz Maldonado Fragoso</w:t>
      </w:r>
    </w:p>
    <w:p w14:paraId="5300088D" w14:textId="6F847152" w:rsidR="0036373A" w:rsidRPr="0036373A" w:rsidRDefault="0036373A" w:rsidP="0036373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Fundadora y representante</w:t>
      </w:r>
    </w:p>
    <w:sectPr w:rsidR="0036373A" w:rsidRPr="003637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5712EE" w14:textId="77777777" w:rsidR="00A80834" w:rsidRDefault="00A80834" w:rsidP="00C46030">
      <w:pPr>
        <w:spacing w:after="0" w:line="240" w:lineRule="auto"/>
      </w:pPr>
      <w:r>
        <w:separator/>
      </w:r>
    </w:p>
  </w:endnote>
  <w:endnote w:type="continuationSeparator" w:id="0">
    <w:p w14:paraId="0B95EFF1" w14:textId="77777777" w:rsidR="00A80834" w:rsidRDefault="00A80834" w:rsidP="00C4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71914" w14:textId="77777777" w:rsidR="004B30B3" w:rsidRDefault="004B30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8943D" w14:textId="77777777" w:rsidR="004B30B3" w:rsidRPr="004B30B3" w:rsidRDefault="00AF5CC2" w:rsidP="00AF5CC2">
    <w:pPr>
      <w:pStyle w:val="Piedepgina"/>
      <w:jc w:val="center"/>
      <w:rPr>
        <w:rFonts w:ascii="Calibri" w:hAnsi="Calibri" w:cs="Calibri"/>
        <w:b/>
        <w:bCs/>
        <w:i/>
        <w:iCs/>
        <w:sz w:val="18"/>
        <w:szCs w:val="18"/>
      </w:rPr>
    </w:pPr>
    <w:r w:rsidRPr="004B30B3">
      <w:rPr>
        <w:rFonts w:ascii="Calibri" w:hAnsi="Calibri" w:cs="Calibri"/>
        <w:b/>
        <w:bCs/>
        <w:i/>
        <w:iCs/>
        <w:sz w:val="18"/>
        <w:szCs w:val="18"/>
      </w:rPr>
      <w:t>Movimiento Morelense por la Discapacidad y los Derechos Humanos</w:t>
    </w:r>
    <w:r w:rsidR="004B30B3" w:rsidRPr="004B30B3">
      <w:rPr>
        <w:rFonts w:ascii="Calibri" w:hAnsi="Calibri" w:cs="Calibri"/>
        <w:b/>
        <w:bCs/>
        <w:i/>
        <w:iCs/>
        <w:sz w:val="18"/>
        <w:szCs w:val="18"/>
      </w:rPr>
      <w:t xml:space="preserve"> </w:t>
    </w:r>
  </w:p>
  <w:p w14:paraId="13F99D7D" w14:textId="1FADF38F" w:rsidR="004B30B3" w:rsidRPr="00AF5CC2" w:rsidRDefault="004B30B3" w:rsidP="004B30B3">
    <w:pPr>
      <w:pStyle w:val="Piedepgina"/>
      <w:jc w:val="center"/>
      <w:rPr>
        <w:rFonts w:ascii="Calibri" w:hAnsi="Calibri" w:cs="Calibri"/>
        <w:i/>
        <w:iCs/>
        <w:sz w:val="18"/>
        <w:szCs w:val="18"/>
      </w:rPr>
    </w:pPr>
    <w:r w:rsidRPr="00AF5CC2">
      <w:rPr>
        <w:rFonts w:ascii="Calibri" w:hAnsi="Calibri" w:cs="Calibri"/>
        <w:i/>
        <w:iCs/>
        <w:sz w:val="18"/>
        <w:szCs w:val="18"/>
      </w:rPr>
      <w:t>Calle Jazmín #3, Col. Aeropuerto; Temixco, Mor.</w:t>
    </w:r>
    <w:r>
      <w:rPr>
        <w:rFonts w:ascii="Calibri" w:hAnsi="Calibri" w:cs="Calibri"/>
        <w:i/>
        <w:iCs/>
        <w:sz w:val="18"/>
        <w:szCs w:val="18"/>
      </w:rPr>
      <w:t xml:space="preserve"> /</w:t>
    </w:r>
    <w:r w:rsidRPr="00AF5CC2">
      <w:rPr>
        <w:rFonts w:ascii="Calibri" w:hAnsi="Calibri" w:cs="Calibri"/>
        <w:i/>
        <w:iCs/>
        <w:sz w:val="18"/>
        <w:szCs w:val="18"/>
      </w:rPr>
      <w:t xml:space="preserve"> </w:t>
    </w:r>
    <w:hyperlink r:id="rId1" w:history="1">
      <w:r w:rsidRPr="00AF5CC2">
        <w:rPr>
          <w:rStyle w:val="Hipervnculo"/>
          <w:rFonts w:ascii="Calibri" w:hAnsi="Calibri" w:cs="Calibri"/>
          <w:i/>
          <w:iCs/>
          <w:sz w:val="18"/>
          <w:szCs w:val="18"/>
        </w:rPr>
        <w:t>mdh@gmail.com</w:t>
      </w:r>
    </w:hyperlink>
    <w:r w:rsidRPr="00AF5CC2">
      <w:rPr>
        <w:rFonts w:ascii="Calibri" w:hAnsi="Calibri" w:cs="Calibri"/>
        <w:i/>
        <w:iCs/>
        <w:sz w:val="18"/>
        <w:szCs w:val="18"/>
      </w:rPr>
      <w:t xml:space="preserve"> / 7774984024</w:t>
    </w:r>
  </w:p>
  <w:p w14:paraId="12C41211" w14:textId="6A1B794F" w:rsidR="004B30B3" w:rsidRDefault="004B30B3" w:rsidP="004B30B3">
    <w:pPr>
      <w:pStyle w:val="Piedepgina"/>
      <w:rPr>
        <w:rFonts w:ascii="Calibri" w:hAnsi="Calibri" w:cs="Calibri"/>
        <w:i/>
        <w:iCs/>
        <w:sz w:val="18"/>
        <w:szCs w:val="18"/>
      </w:rPr>
    </w:pPr>
  </w:p>
  <w:p w14:paraId="6E3FA95C" w14:textId="60CA7071" w:rsidR="00AF5CC2" w:rsidRPr="004B30B3" w:rsidRDefault="004B30B3" w:rsidP="00AF5CC2">
    <w:pPr>
      <w:pStyle w:val="Piedepgina"/>
      <w:jc w:val="center"/>
      <w:rPr>
        <w:rFonts w:ascii="Calibri" w:hAnsi="Calibri" w:cs="Calibri"/>
        <w:b/>
        <w:bCs/>
        <w:i/>
        <w:iCs/>
        <w:sz w:val="18"/>
        <w:szCs w:val="18"/>
      </w:rPr>
    </w:pPr>
    <w:r w:rsidRPr="004B30B3">
      <w:rPr>
        <w:rFonts w:ascii="Calibri" w:hAnsi="Calibri" w:cs="Calibri"/>
        <w:b/>
        <w:bCs/>
        <w:i/>
        <w:iCs/>
        <w:sz w:val="18"/>
        <w:szCs w:val="18"/>
      </w:rPr>
      <w:t>Observatorio de los Derechos Humanos para la Gobernanza y el Desarrollo</w:t>
    </w:r>
  </w:p>
  <w:p w14:paraId="0C50002A" w14:textId="615E903C" w:rsidR="00AF5CC2" w:rsidRPr="00AF5CC2" w:rsidRDefault="00AF5CC2" w:rsidP="00AF5CC2">
    <w:pPr>
      <w:pStyle w:val="Piedepgina"/>
      <w:jc w:val="center"/>
      <w:rPr>
        <w:rFonts w:ascii="Calibri" w:hAnsi="Calibri" w:cs="Calibri"/>
        <w:i/>
        <w:iCs/>
        <w:sz w:val="18"/>
        <w:szCs w:val="18"/>
      </w:rPr>
    </w:pPr>
    <w:r w:rsidRPr="00AF5CC2">
      <w:rPr>
        <w:rFonts w:ascii="Calibri" w:hAnsi="Calibri" w:cs="Calibri"/>
        <w:i/>
        <w:iCs/>
        <w:sz w:val="18"/>
        <w:szCs w:val="18"/>
      </w:rPr>
      <w:t>Oficialía de partes en Cuernavaca: Pasaje Caballero No. 20, Col. Centro.</w:t>
    </w:r>
    <w:r w:rsidR="004B30B3">
      <w:rPr>
        <w:rFonts w:ascii="Calibri" w:hAnsi="Calibri" w:cs="Calibri"/>
        <w:i/>
        <w:iCs/>
        <w:sz w:val="18"/>
        <w:szCs w:val="18"/>
      </w:rPr>
      <w:t xml:space="preserve"> / </w:t>
    </w:r>
    <w:hyperlink r:id="rId2" w:history="1">
      <w:r w:rsidR="004B30B3" w:rsidRPr="00FF50E4">
        <w:rPr>
          <w:rStyle w:val="Hipervnculo"/>
          <w:rFonts w:ascii="Calibri" w:hAnsi="Calibri" w:cs="Calibri"/>
          <w:i/>
          <w:iCs/>
          <w:sz w:val="18"/>
          <w:szCs w:val="18"/>
        </w:rPr>
        <w:t>odhugode@gmail.com</w:t>
      </w:r>
    </w:hyperlink>
    <w:r w:rsidR="004B30B3">
      <w:rPr>
        <w:rFonts w:ascii="Calibri" w:hAnsi="Calibri" w:cs="Calibri"/>
        <w:i/>
        <w:iCs/>
        <w:sz w:val="18"/>
        <w:szCs w:val="18"/>
      </w:rPr>
      <w:t xml:space="preserve"> / 777 371 31 51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4A329" w14:textId="77777777" w:rsidR="004B30B3" w:rsidRDefault="004B30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EA11F" w14:textId="77777777" w:rsidR="00A80834" w:rsidRDefault="00A80834" w:rsidP="00C46030">
      <w:pPr>
        <w:spacing w:after="0" w:line="240" w:lineRule="auto"/>
      </w:pPr>
      <w:r>
        <w:separator/>
      </w:r>
    </w:p>
  </w:footnote>
  <w:footnote w:type="continuationSeparator" w:id="0">
    <w:p w14:paraId="6A23F365" w14:textId="77777777" w:rsidR="00A80834" w:rsidRDefault="00A80834" w:rsidP="00C46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2597E" w14:textId="77777777" w:rsidR="004B30B3" w:rsidRDefault="004B30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EF879F" w14:textId="2259D023" w:rsidR="00C46030" w:rsidRPr="00C46030" w:rsidRDefault="004B30B3" w:rsidP="004B30B3">
    <w:pPr>
      <w:pStyle w:val="NormalWeb"/>
      <w:jc w:val="center"/>
    </w:pPr>
    <w:r>
      <w:rPr>
        <w:noProof/>
      </w:rPr>
      <w:drawing>
        <wp:inline distT="0" distB="0" distL="0" distR="0" wp14:anchorId="6A929405" wp14:editId="144584B2">
          <wp:extent cx="1838325" cy="1739900"/>
          <wp:effectExtent l="0" t="0" r="0" b="0"/>
          <wp:docPr id="577371682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7371682" name="Imagen 1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44" cy="1779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523493B" wp14:editId="7A94913A">
          <wp:extent cx="1809750" cy="1752600"/>
          <wp:effectExtent l="0" t="0" r="0" b="0"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175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20AD4" w14:textId="77777777" w:rsidR="004B30B3" w:rsidRDefault="004B3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D7F45"/>
    <w:multiLevelType w:val="hybridMultilevel"/>
    <w:tmpl w:val="58D65F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45E6B"/>
    <w:multiLevelType w:val="hybridMultilevel"/>
    <w:tmpl w:val="4420E020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345AF"/>
    <w:multiLevelType w:val="hybridMultilevel"/>
    <w:tmpl w:val="113A654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030"/>
    <w:rsid w:val="002B1120"/>
    <w:rsid w:val="0036373A"/>
    <w:rsid w:val="004318C8"/>
    <w:rsid w:val="004778CA"/>
    <w:rsid w:val="004B30B3"/>
    <w:rsid w:val="00663547"/>
    <w:rsid w:val="006F2C90"/>
    <w:rsid w:val="00803B03"/>
    <w:rsid w:val="008D73D8"/>
    <w:rsid w:val="00A51F54"/>
    <w:rsid w:val="00A80834"/>
    <w:rsid w:val="00AF5CC2"/>
    <w:rsid w:val="00B5145E"/>
    <w:rsid w:val="00C46030"/>
    <w:rsid w:val="00C802A5"/>
    <w:rsid w:val="00EF65E0"/>
    <w:rsid w:val="00F2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B5CA1"/>
  <w15:chartTrackingRefBased/>
  <w15:docId w15:val="{5013B414-0AC9-4B5A-BC63-BA264ACB7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60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60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60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60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60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60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60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60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60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60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60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60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60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60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60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60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60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60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60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60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60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60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60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60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60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60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60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60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603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460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6030"/>
  </w:style>
  <w:style w:type="paragraph" w:styleId="Piedepgina">
    <w:name w:val="footer"/>
    <w:basedOn w:val="Normal"/>
    <w:link w:val="PiedepginaCar"/>
    <w:uiPriority w:val="99"/>
    <w:unhideWhenUsed/>
    <w:rsid w:val="00C460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6030"/>
  </w:style>
  <w:style w:type="character" w:styleId="Hipervnculo">
    <w:name w:val="Hyperlink"/>
    <w:basedOn w:val="Fuentedeprrafopredeter"/>
    <w:uiPriority w:val="99"/>
    <w:unhideWhenUsed/>
    <w:rsid w:val="00AF5CC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F5C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B3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20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odhugode@gmail.com" TargetMode="External"/><Relationship Id="rId1" Type="http://schemas.openxmlformats.org/officeDocument/2006/relationships/hyperlink" Target="mailto:mdh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87D28-891E-41C4-BFC2-DAB3E4685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1540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DE NEGRI</dc:creator>
  <cp:keywords/>
  <dc:description/>
  <cp:lastModifiedBy>betty maldonado</cp:lastModifiedBy>
  <cp:revision>4</cp:revision>
  <dcterms:created xsi:type="dcterms:W3CDTF">2025-05-19T03:33:00Z</dcterms:created>
  <dcterms:modified xsi:type="dcterms:W3CDTF">2025-05-19T16:27:00Z</dcterms:modified>
</cp:coreProperties>
</file>