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791BD" w14:textId="507459E8" w:rsidR="00882E9B" w:rsidRPr="00F364E2" w:rsidRDefault="00C23743" w:rsidP="00785D05">
      <w:pPr>
        <w:jc w:val="center"/>
        <w:rPr>
          <w:b/>
          <w:bCs/>
          <w:sz w:val="28"/>
          <w:szCs w:val="28"/>
          <w:lang w:val="en-GB"/>
        </w:rPr>
      </w:pPr>
      <w:r w:rsidRPr="00F364E2">
        <w:rPr>
          <w:b/>
          <w:bCs/>
          <w:sz w:val="28"/>
          <w:szCs w:val="28"/>
          <w:lang w:val="en-GB"/>
        </w:rPr>
        <w:t xml:space="preserve">Parallel Report to </w:t>
      </w:r>
      <w:r w:rsidR="00BA6554" w:rsidRPr="00F364E2">
        <w:rPr>
          <w:b/>
          <w:bCs/>
          <w:sz w:val="28"/>
          <w:szCs w:val="28"/>
          <w:lang w:val="en-GB"/>
        </w:rPr>
        <w:t xml:space="preserve">the </w:t>
      </w:r>
      <w:r w:rsidRPr="00F364E2">
        <w:rPr>
          <w:b/>
          <w:bCs/>
          <w:sz w:val="28"/>
          <w:szCs w:val="28"/>
          <w:lang w:val="en-GB"/>
        </w:rPr>
        <w:t xml:space="preserve">CEDAW </w:t>
      </w:r>
      <w:r w:rsidR="00BA6554" w:rsidRPr="00F364E2">
        <w:rPr>
          <w:b/>
          <w:bCs/>
          <w:sz w:val="28"/>
          <w:szCs w:val="28"/>
          <w:lang w:val="en-GB"/>
        </w:rPr>
        <w:t xml:space="preserve">Committee </w:t>
      </w:r>
      <w:r w:rsidR="00785D05">
        <w:rPr>
          <w:b/>
          <w:bCs/>
          <w:sz w:val="28"/>
          <w:szCs w:val="28"/>
          <w:lang w:val="en-GB"/>
        </w:rPr>
        <w:br/>
      </w:r>
      <w:r w:rsidRPr="00F364E2">
        <w:rPr>
          <w:b/>
          <w:bCs/>
          <w:sz w:val="28"/>
          <w:szCs w:val="28"/>
          <w:lang w:val="en-GB"/>
        </w:rPr>
        <w:t xml:space="preserve">Follow-Up to </w:t>
      </w:r>
      <w:r w:rsidR="00FF7465" w:rsidRPr="00F364E2">
        <w:rPr>
          <w:b/>
          <w:bCs/>
          <w:sz w:val="28"/>
          <w:szCs w:val="28"/>
          <w:lang w:val="en-GB"/>
        </w:rPr>
        <w:t xml:space="preserve">recommendation 46 (a) of </w:t>
      </w:r>
      <w:r w:rsidRPr="00F364E2">
        <w:rPr>
          <w:b/>
          <w:bCs/>
          <w:sz w:val="28"/>
          <w:szCs w:val="28"/>
          <w:lang w:val="en-GB"/>
        </w:rPr>
        <w:t>the Concluding Observations for the 9</w:t>
      </w:r>
      <w:r w:rsidRPr="00F364E2">
        <w:rPr>
          <w:b/>
          <w:bCs/>
          <w:sz w:val="28"/>
          <w:szCs w:val="28"/>
          <w:vertAlign w:val="superscript"/>
          <w:lang w:val="en-GB"/>
        </w:rPr>
        <w:t>th</w:t>
      </w:r>
      <w:r w:rsidRPr="00F364E2">
        <w:rPr>
          <w:b/>
          <w:bCs/>
          <w:sz w:val="28"/>
          <w:szCs w:val="28"/>
          <w:lang w:val="en-GB"/>
        </w:rPr>
        <w:t xml:space="preserve"> periodic report of Germany</w:t>
      </w:r>
    </w:p>
    <w:p w14:paraId="69CEA90B" w14:textId="754FACD4" w:rsidR="00421644" w:rsidRPr="00105EC6" w:rsidRDefault="00C23743" w:rsidP="00105EC6">
      <w:pPr>
        <w:jc w:val="center"/>
        <w:rPr>
          <w:sz w:val="22"/>
          <w:szCs w:val="22"/>
          <w:lang w:val="en-GB"/>
        </w:rPr>
      </w:pPr>
      <w:r w:rsidRPr="00105EC6">
        <w:rPr>
          <w:sz w:val="22"/>
          <w:szCs w:val="22"/>
          <w:lang w:val="en-GB"/>
        </w:rPr>
        <w:t>Submitted by Ärzte der Welt/Doctors of the World Germany</w:t>
      </w:r>
      <w:r w:rsidR="00105EC6">
        <w:rPr>
          <w:sz w:val="22"/>
          <w:szCs w:val="22"/>
          <w:lang w:val="en-GB"/>
        </w:rPr>
        <w:br/>
      </w:r>
      <w:r w:rsidR="00421644" w:rsidRPr="00105EC6">
        <w:rPr>
          <w:sz w:val="22"/>
          <w:szCs w:val="22"/>
          <w:lang w:val="en-GB"/>
        </w:rPr>
        <w:t xml:space="preserve">Contact: Dr. Johanna Offe, Head of Advocacy </w:t>
      </w:r>
      <w:r w:rsidR="00421644">
        <w:fldChar w:fldCharType="begin"/>
      </w:r>
      <w:r w:rsidR="00421644" w:rsidRPr="00FA1D7D">
        <w:rPr>
          <w:lang w:val="en-GB"/>
        </w:rPr>
        <w:instrText>HYPERLINK "mailto:johanna.offe@aerztederwelt.org"</w:instrText>
      </w:r>
      <w:r w:rsidR="00421644">
        <w:fldChar w:fldCharType="separate"/>
      </w:r>
      <w:r w:rsidR="00421644" w:rsidRPr="00105EC6">
        <w:rPr>
          <w:rStyle w:val="Hyperlink"/>
          <w:sz w:val="22"/>
          <w:szCs w:val="22"/>
          <w:lang w:val="en-GB"/>
        </w:rPr>
        <w:t>johanna.offe@aerztederwelt.org</w:t>
      </w:r>
      <w:r w:rsidR="00421644">
        <w:fldChar w:fldCharType="end"/>
      </w:r>
    </w:p>
    <w:p w14:paraId="40D8BA6C" w14:textId="2AAA8130" w:rsidR="008F034B" w:rsidRPr="001A2CE7" w:rsidRDefault="008F034B" w:rsidP="001A2CE7">
      <w:pPr>
        <w:pStyle w:val="berschrift2"/>
      </w:pPr>
      <w:r w:rsidRPr="001A2CE7">
        <w:t>Introduction</w:t>
      </w:r>
    </w:p>
    <w:p w14:paraId="3AAEDEE7" w14:textId="6D569FBD" w:rsidR="008F034B" w:rsidRPr="00AB3175" w:rsidRDefault="008F034B" w:rsidP="008F034B">
      <w:pPr>
        <w:pStyle w:val="Listenabsatz"/>
        <w:ind w:left="0"/>
        <w:rPr>
          <w:lang w:val="en-GB"/>
        </w:rPr>
      </w:pPr>
      <w:r w:rsidRPr="00AB3175">
        <w:rPr>
          <w:lang w:val="en-GB"/>
        </w:rPr>
        <w:t>This submission addresses the lack of implementation of Recommendation 46(a) of the CEDAW Committee’s Concluding Observations on Germany’s 9th periodic report</w:t>
      </w:r>
      <w:r w:rsidR="00105EC6">
        <w:rPr>
          <w:lang w:val="en-GB"/>
        </w:rPr>
        <w:t xml:space="preserve"> and </w:t>
      </w:r>
      <w:r w:rsidRPr="00AB3175">
        <w:rPr>
          <w:lang w:val="en-GB"/>
        </w:rPr>
        <w:t>the continued barriers undocumented migrant women face in accessing non-emergency healthcare,</w:t>
      </w:r>
      <w:r>
        <w:rPr>
          <w:lang w:val="en-GB"/>
        </w:rPr>
        <w:t xml:space="preserve"> </w:t>
      </w:r>
      <w:r w:rsidRPr="00AB3175">
        <w:rPr>
          <w:lang w:val="en-GB"/>
        </w:rPr>
        <w:t>due to Section 87 of the Residence Act.</w:t>
      </w:r>
    </w:p>
    <w:p w14:paraId="487791BF" w14:textId="55748A97" w:rsidR="00882E9B" w:rsidRPr="001304D7" w:rsidRDefault="00CB3730" w:rsidP="001A2CE7">
      <w:pPr>
        <w:pStyle w:val="berschrift2"/>
      </w:pPr>
      <w:r w:rsidRPr="001304D7">
        <w:t xml:space="preserve">Background: </w:t>
      </w:r>
    </w:p>
    <w:p w14:paraId="487791C0" w14:textId="3C979EFE" w:rsidR="00882E9B" w:rsidRPr="00B05FC2" w:rsidRDefault="00C23743">
      <w:pPr>
        <w:rPr>
          <w:lang w:val="en-GB"/>
        </w:rPr>
      </w:pPr>
      <w:r>
        <w:rPr>
          <w:lang w:val="en-GB"/>
        </w:rPr>
        <w:t xml:space="preserve">In its </w:t>
      </w:r>
      <w:r>
        <w:rPr>
          <w:b/>
          <w:bCs/>
          <w:lang w:val="en-GB"/>
        </w:rPr>
        <w:t>concluding observations</w:t>
      </w:r>
      <w:r w:rsidR="00B05FC2">
        <w:rPr>
          <w:b/>
          <w:bCs/>
          <w:lang w:val="en-GB"/>
        </w:rPr>
        <w:t xml:space="preserve"> to the 9</w:t>
      </w:r>
      <w:r w:rsidR="00B05FC2" w:rsidRPr="00B05FC2">
        <w:rPr>
          <w:b/>
          <w:bCs/>
          <w:vertAlign w:val="superscript"/>
          <w:lang w:val="en-GB"/>
        </w:rPr>
        <w:t>th</w:t>
      </w:r>
      <w:r w:rsidR="00B05FC2">
        <w:rPr>
          <w:b/>
          <w:bCs/>
          <w:lang w:val="en-GB"/>
        </w:rPr>
        <w:t xml:space="preserve"> periodic report of Germany</w:t>
      </w:r>
      <w:r w:rsidR="00BA6554">
        <w:rPr>
          <w:b/>
          <w:bCs/>
          <w:lang w:val="en-GB"/>
        </w:rPr>
        <w:t xml:space="preserve"> </w:t>
      </w:r>
      <w:r w:rsidR="00BA6554" w:rsidRPr="005572C9">
        <w:rPr>
          <w:lang w:val="en-GB"/>
        </w:rPr>
        <w:t>(</w:t>
      </w:r>
      <w:r w:rsidR="005572C9" w:rsidRPr="005572C9">
        <w:rPr>
          <w:lang w:val="en-GB"/>
        </w:rPr>
        <w:t>CEDAW/C/DEU/CO/9)</w:t>
      </w:r>
      <w:r>
        <w:rPr>
          <w:lang w:val="en-GB"/>
        </w:rPr>
        <w:t xml:space="preserve">, </w:t>
      </w:r>
      <w:r w:rsidR="00B05FC2">
        <w:rPr>
          <w:lang w:val="en-GB"/>
        </w:rPr>
        <w:t xml:space="preserve">the </w:t>
      </w:r>
      <w:r>
        <w:rPr>
          <w:lang w:val="en-GB"/>
        </w:rPr>
        <w:t xml:space="preserve">CEDAW </w:t>
      </w:r>
      <w:r w:rsidR="00FF7465">
        <w:rPr>
          <w:lang w:val="en-GB"/>
        </w:rPr>
        <w:t xml:space="preserve">Committee </w:t>
      </w:r>
      <w:r w:rsidR="00886CB7">
        <w:rPr>
          <w:lang w:val="en-GB"/>
        </w:rPr>
        <w:t>identified</w:t>
      </w:r>
      <w:r>
        <w:rPr>
          <w:lang w:val="en-GB"/>
        </w:rPr>
        <w:t xml:space="preserve"> </w:t>
      </w:r>
      <w:r w:rsidR="00FF7465">
        <w:rPr>
          <w:lang w:val="en-GB"/>
        </w:rPr>
        <w:t>R</w:t>
      </w:r>
      <w:r>
        <w:rPr>
          <w:lang w:val="en-GB"/>
        </w:rPr>
        <w:t>ecommendation 46</w:t>
      </w:r>
      <w:r w:rsidR="00FF7465">
        <w:rPr>
          <w:lang w:val="en-GB"/>
        </w:rPr>
        <w:t>(</w:t>
      </w:r>
      <w:r>
        <w:rPr>
          <w:lang w:val="en-GB"/>
        </w:rPr>
        <w:t>a) as priority for follow-up</w:t>
      </w:r>
      <w:r w:rsidR="00FF7465">
        <w:rPr>
          <w:lang w:val="en-GB"/>
        </w:rPr>
        <w:t xml:space="preserve">, </w:t>
      </w:r>
      <w:r w:rsidR="00B05FC2" w:rsidRPr="00B05FC2">
        <w:rPr>
          <w:lang w:val="en-GB"/>
        </w:rPr>
        <w:t>emphasizing the need to ensure access to healthcare for undocumented migrant women without fear of deportation.</w:t>
      </w:r>
    </w:p>
    <w:p w14:paraId="487791C1" w14:textId="0DD27CFB" w:rsidR="00882E9B" w:rsidRPr="00785D05" w:rsidRDefault="00911A7C" w:rsidP="3DB94B37">
      <w:pPr>
        <w:spacing w:after="80" w:line="240" w:lineRule="auto"/>
        <w:ind w:left="708"/>
        <w:rPr>
          <w:i/>
          <w:iCs/>
          <w:lang w:val="en-GB"/>
        </w:rPr>
      </w:pPr>
      <w:r w:rsidRPr="00785D05">
        <w:rPr>
          <w:i/>
          <w:iCs/>
          <w:lang w:val="en-GB"/>
        </w:rPr>
        <w:t xml:space="preserve">“46. In line with its general recommendation No. 24 (1999) on women and health, the Committee recommends that the State party: </w:t>
      </w:r>
    </w:p>
    <w:p w14:paraId="487791C2" w14:textId="3F9484EF" w:rsidR="00882E9B" w:rsidRPr="00785D05" w:rsidRDefault="00C23743" w:rsidP="3DB94B37">
      <w:pPr>
        <w:spacing w:after="80" w:line="240" w:lineRule="auto"/>
        <w:ind w:left="708"/>
        <w:rPr>
          <w:i/>
          <w:iCs/>
          <w:lang w:val="en-GB"/>
        </w:rPr>
      </w:pPr>
      <w:r w:rsidRPr="00785D05">
        <w:rPr>
          <w:i/>
          <w:iCs/>
          <w:lang w:val="en-GB"/>
        </w:rPr>
        <w:t>(a) Re-consider its position and repeal or amend section 87 of the Residence Law, and ensure that undocumented migrant women have access to the documentation necessary for non-emergency health services, without facing a risk of being reported to the authorities and subsequently deported;</w:t>
      </w:r>
      <w:r w:rsidR="00911A7C" w:rsidRPr="00785D05">
        <w:rPr>
          <w:i/>
          <w:iCs/>
          <w:lang w:val="en-GB"/>
        </w:rPr>
        <w:t>”</w:t>
      </w:r>
    </w:p>
    <w:p w14:paraId="487791C4" w14:textId="725B0D0B" w:rsidR="00882E9B" w:rsidRPr="00CB3730" w:rsidRDefault="00C23743">
      <w:pPr>
        <w:rPr>
          <w:lang w:val="en-GB"/>
        </w:rPr>
      </w:pPr>
      <w:r w:rsidRPr="00CB3730">
        <w:rPr>
          <w:lang w:val="en-GB"/>
        </w:rPr>
        <w:t xml:space="preserve">In its </w:t>
      </w:r>
      <w:r w:rsidRPr="00CB3730">
        <w:rPr>
          <w:b/>
          <w:bCs/>
          <w:lang w:val="en-GB"/>
        </w:rPr>
        <w:t>state report</w:t>
      </w:r>
      <w:r w:rsidRPr="00CB3730">
        <w:rPr>
          <w:lang w:val="en-GB"/>
        </w:rPr>
        <w:t xml:space="preserve">, </w:t>
      </w:r>
      <w:r w:rsidR="00911A7C" w:rsidRPr="00CB3730">
        <w:rPr>
          <w:lang w:val="en-GB"/>
        </w:rPr>
        <w:t xml:space="preserve">the Federal Government of </w:t>
      </w:r>
      <w:r w:rsidRPr="00CB3730">
        <w:rPr>
          <w:lang w:val="en-GB"/>
        </w:rPr>
        <w:t>Germany</w:t>
      </w:r>
      <w:r w:rsidR="00911A7C" w:rsidRPr="00CB3730">
        <w:rPr>
          <w:lang w:val="en-GB"/>
        </w:rPr>
        <w:t xml:space="preserve"> wrote</w:t>
      </w:r>
      <w:r w:rsidRPr="00CB3730">
        <w:rPr>
          <w:lang w:val="en-GB"/>
        </w:rPr>
        <w:t xml:space="preserve">: </w:t>
      </w:r>
    </w:p>
    <w:p w14:paraId="487791C5" w14:textId="611D18D8" w:rsidR="00882E9B" w:rsidRPr="00785D05" w:rsidRDefault="00864B6B" w:rsidP="47A703B1">
      <w:pPr>
        <w:spacing w:after="80" w:line="240" w:lineRule="auto"/>
        <w:ind w:left="708"/>
        <w:rPr>
          <w:i/>
          <w:iCs/>
          <w:lang w:val="en-GB"/>
        </w:rPr>
      </w:pPr>
      <w:r w:rsidRPr="00785D05">
        <w:rPr>
          <w:i/>
          <w:iCs/>
          <w:lang w:val="en-GB"/>
        </w:rPr>
        <w:t>“Information relating to paragraph 46 (a)</w:t>
      </w:r>
    </w:p>
    <w:p w14:paraId="487791C6" w14:textId="02E91B6A" w:rsidR="00882E9B" w:rsidRPr="00785D05" w:rsidRDefault="00C23743" w:rsidP="47A703B1">
      <w:pPr>
        <w:spacing w:after="80" w:line="240" w:lineRule="auto"/>
        <w:ind w:left="708"/>
        <w:rPr>
          <w:i/>
          <w:iCs/>
          <w:lang w:val="en-GB"/>
        </w:rPr>
      </w:pPr>
      <w:r w:rsidRPr="00785D05">
        <w:rPr>
          <w:i/>
          <w:iCs/>
          <w:lang w:val="en-GB"/>
        </w:rPr>
        <w:t>23.</w:t>
      </w:r>
      <w:r w:rsidRPr="00FA1D7D">
        <w:rPr>
          <w:lang w:val="en-GB"/>
        </w:rPr>
        <w:tab/>
      </w:r>
      <w:r w:rsidRPr="00785D05">
        <w:rPr>
          <w:i/>
          <w:iCs/>
          <w:lang w:val="en-GB"/>
        </w:rPr>
        <w:t>The Federal Government places a special focus on health concerns of migrant women with no or unverified residence status. Overall, this is a complex matter, and the Federal Government continues to examine how to resolve it. The provision set out in section 87 of the Residence Act (</w:t>
      </w:r>
      <w:proofErr w:type="spellStart"/>
      <w:r w:rsidRPr="00785D05">
        <w:rPr>
          <w:i/>
          <w:iCs/>
          <w:lang w:val="en-GB"/>
        </w:rPr>
        <w:t>Aufenthaltsgesetz</w:t>
      </w:r>
      <w:proofErr w:type="spellEnd"/>
      <w:r w:rsidRPr="00785D05">
        <w:rPr>
          <w:i/>
          <w:iCs/>
          <w:lang w:val="en-GB"/>
        </w:rPr>
        <w:t>) is included in this examination.</w:t>
      </w:r>
      <w:r w:rsidR="00864B6B" w:rsidRPr="00785D05">
        <w:rPr>
          <w:i/>
          <w:iCs/>
          <w:lang w:val="en-GB"/>
        </w:rPr>
        <w:t>”</w:t>
      </w:r>
    </w:p>
    <w:p w14:paraId="109598EF" w14:textId="77777777" w:rsidR="00F364E2" w:rsidRDefault="00F364E2" w:rsidP="001A2CE7">
      <w:pPr>
        <w:pStyle w:val="berschrift2"/>
      </w:pPr>
    </w:p>
    <w:p w14:paraId="487791CA" w14:textId="0E849D5C" w:rsidR="00882E9B" w:rsidRPr="00864B6B" w:rsidRDefault="00C23743" w:rsidP="001A2CE7">
      <w:pPr>
        <w:pStyle w:val="berschrift2"/>
      </w:pPr>
      <w:r w:rsidRPr="00864B6B">
        <w:t>Status</w:t>
      </w:r>
      <w:r w:rsidR="00864B6B">
        <w:t xml:space="preserve"> of implementation of CEDAW recommendation</w:t>
      </w:r>
      <w:r w:rsidRPr="00864B6B">
        <w:t xml:space="preserve">: </w:t>
      </w:r>
    </w:p>
    <w:p w14:paraId="70DF0D26" w14:textId="77777777" w:rsidR="0005578C" w:rsidRDefault="00911A7C">
      <w:pPr>
        <w:rPr>
          <w:lang w:val="en-GB"/>
        </w:rPr>
      </w:pPr>
      <w:r>
        <w:rPr>
          <w:lang w:val="en-GB"/>
        </w:rPr>
        <w:t>During the 85</w:t>
      </w:r>
      <w:r w:rsidRPr="00911A7C">
        <w:rPr>
          <w:vertAlign w:val="superscript"/>
          <w:lang w:val="en-GB"/>
        </w:rPr>
        <w:t>th</w:t>
      </w:r>
      <w:r>
        <w:rPr>
          <w:lang w:val="en-GB"/>
        </w:rPr>
        <w:t xml:space="preserve"> CEDAW session, a representative of the Federal Government of Germany </w:t>
      </w:r>
      <w:r w:rsidR="00DA66CD">
        <w:rPr>
          <w:lang w:val="en-GB"/>
        </w:rPr>
        <w:t xml:space="preserve">expressed the intention to </w:t>
      </w:r>
      <w:r>
        <w:rPr>
          <w:lang w:val="en-GB"/>
        </w:rPr>
        <w:t xml:space="preserve">review section 87 of the Residence Act to make sure that undocumented migrants can access healthcare without fear of deportation. This was also announced in the </w:t>
      </w:r>
      <w:r w:rsidR="00DA66CD">
        <w:rPr>
          <w:lang w:val="en-GB"/>
        </w:rPr>
        <w:t>2021-2025</w:t>
      </w:r>
      <w:r>
        <w:rPr>
          <w:lang w:val="en-GB"/>
        </w:rPr>
        <w:t xml:space="preserve"> coalition agreement. </w:t>
      </w:r>
    </w:p>
    <w:p w14:paraId="2A44ED0F" w14:textId="1EB6A5DF" w:rsidR="00882E9B" w:rsidRDefault="0005578C" w:rsidP="3DB94B37">
      <w:pPr>
        <w:rPr>
          <w:lang w:val="en-GB"/>
        </w:rPr>
      </w:pPr>
      <w:r w:rsidRPr="3DB94B37">
        <w:rPr>
          <w:lang w:val="en-GB"/>
        </w:rPr>
        <w:t xml:space="preserve">Despite these announcements, </w:t>
      </w:r>
      <w:r w:rsidR="4705CC20" w:rsidRPr="3DB94B37">
        <w:rPr>
          <w:lang w:val="en-GB"/>
        </w:rPr>
        <w:t xml:space="preserve">the </w:t>
      </w:r>
      <w:r w:rsidR="4705CC20" w:rsidRPr="00C95A3B">
        <w:rPr>
          <w:b/>
          <w:bCs/>
          <w:lang w:val="en-GB"/>
        </w:rPr>
        <w:t>recommendation has not been implemented</w:t>
      </w:r>
      <w:r w:rsidRPr="3DB94B37">
        <w:rPr>
          <w:lang w:val="en-GB"/>
        </w:rPr>
        <w:t>.</w:t>
      </w:r>
      <w:r w:rsidR="364CAC50" w:rsidRPr="3DB94B37">
        <w:rPr>
          <w:lang w:val="en-GB"/>
        </w:rPr>
        <w:t xml:space="preserve"> </w:t>
      </w:r>
      <w:r w:rsidR="0BCD43AF" w:rsidRPr="3DB94B37">
        <w:rPr>
          <w:lang w:val="en-GB"/>
        </w:rPr>
        <w:t>The new government, in place since 2025 has announced a stricter migration policy and made no reference in the coalition agreement to review section 87 of the Residence Act.</w:t>
      </w:r>
      <w:r w:rsidR="45CDF985" w:rsidRPr="3DB94B37">
        <w:rPr>
          <w:lang w:val="en-GB"/>
        </w:rPr>
        <w:t xml:space="preserve"> </w:t>
      </w:r>
      <w:r w:rsidR="45CDF985" w:rsidRPr="00C95A3B">
        <w:rPr>
          <w:b/>
          <w:bCs/>
          <w:lang w:val="en-GB"/>
        </w:rPr>
        <w:t>This reflects a rejection of the recommendation.</w:t>
      </w:r>
      <w:r w:rsidR="45CDF985" w:rsidRPr="3DB94B37">
        <w:rPr>
          <w:lang w:val="en-GB"/>
        </w:rPr>
        <w:t xml:space="preserve"> </w:t>
      </w:r>
      <w:r w:rsidR="0BCD43AF" w:rsidRPr="3DB94B37">
        <w:rPr>
          <w:lang w:val="en-GB"/>
        </w:rPr>
        <w:t xml:space="preserve"> </w:t>
      </w:r>
    </w:p>
    <w:p w14:paraId="49A497B4" w14:textId="77777777" w:rsidR="00785D05" w:rsidRPr="003C6BBA" w:rsidRDefault="00785D05" w:rsidP="3DB94B37">
      <w:pPr>
        <w:rPr>
          <w:lang w:val="en-GB"/>
        </w:rPr>
      </w:pPr>
    </w:p>
    <w:p w14:paraId="487791CC" w14:textId="3013F3CC" w:rsidR="00882E9B" w:rsidRPr="003C6BBA" w:rsidRDefault="00C23743" w:rsidP="001A2CE7">
      <w:pPr>
        <w:pStyle w:val="berschrift2"/>
      </w:pPr>
      <w:r w:rsidRPr="3DB94B37">
        <w:lastRenderedPageBreak/>
        <w:t xml:space="preserve">Legal situation: </w:t>
      </w:r>
    </w:p>
    <w:p w14:paraId="487791CD" w14:textId="2545A08C" w:rsidR="00882E9B" w:rsidRPr="00911A7C" w:rsidRDefault="00C23743">
      <w:pPr>
        <w:rPr>
          <w:lang w:val="en-GB"/>
        </w:rPr>
      </w:pPr>
      <w:r w:rsidRPr="3DB94B37">
        <w:rPr>
          <w:lang w:val="en-GB"/>
        </w:rPr>
        <w:t xml:space="preserve">Undocumented migrant women in Germany </w:t>
      </w:r>
      <w:r w:rsidRPr="3DB94B37">
        <w:rPr>
          <w:i/>
          <w:iCs/>
          <w:lang w:val="en-GB"/>
        </w:rPr>
        <w:t xml:space="preserve">de facto </w:t>
      </w:r>
      <w:r w:rsidRPr="3DB94B37">
        <w:rPr>
          <w:lang w:val="en-GB"/>
        </w:rPr>
        <w:t xml:space="preserve">do not have access to </w:t>
      </w:r>
      <w:r w:rsidR="00F11021" w:rsidRPr="3DB94B37">
        <w:rPr>
          <w:lang w:val="en-GB"/>
        </w:rPr>
        <w:t xml:space="preserve">non-emergency </w:t>
      </w:r>
      <w:r w:rsidRPr="3DB94B37">
        <w:rPr>
          <w:lang w:val="en-GB"/>
        </w:rPr>
        <w:t xml:space="preserve">healthcare, including </w:t>
      </w:r>
      <w:r w:rsidR="00F11021" w:rsidRPr="3DB94B37">
        <w:rPr>
          <w:lang w:val="en-GB"/>
        </w:rPr>
        <w:t>reproductive health</w:t>
      </w:r>
      <w:r w:rsidRPr="3DB94B37">
        <w:rPr>
          <w:lang w:val="en-GB"/>
        </w:rPr>
        <w:t xml:space="preserve">care. </w:t>
      </w:r>
      <w:r w:rsidRPr="3DB94B37">
        <w:rPr>
          <w:i/>
          <w:iCs/>
          <w:lang w:val="en-GB"/>
        </w:rPr>
        <w:t>De jure</w:t>
      </w:r>
      <w:r w:rsidRPr="3DB94B37">
        <w:rPr>
          <w:lang w:val="en-GB"/>
        </w:rPr>
        <w:t xml:space="preserve"> they are entitled to limited services.</w:t>
      </w:r>
      <w:r w:rsidR="00911A7C" w:rsidRPr="3DB94B37">
        <w:rPr>
          <w:lang w:val="en-GB"/>
        </w:rPr>
        <w:t xml:space="preserve"> </w:t>
      </w:r>
      <w:r w:rsidRPr="3DB94B37">
        <w:rPr>
          <w:lang w:val="en-GB"/>
        </w:rPr>
        <w:t xml:space="preserve">Before they can see a health provider, </w:t>
      </w:r>
      <w:r w:rsidR="00D75550" w:rsidRPr="3DB94B37">
        <w:rPr>
          <w:lang w:val="en-GB"/>
        </w:rPr>
        <w:t xml:space="preserve">however, </w:t>
      </w:r>
      <w:r w:rsidRPr="3DB94B37">
        <w:rPr>
          <w:lang w:val="en-GB"/>
        </w:rPr>
        <w:t xml:space="preserve">they must apply for a proof of cost coverage at the Social Welfare Office. </w:t>
      </w:r>
      <w:r w:rsidR="00D75550" w:rsidRPr="3DB94B37">
        <w:rPr>
          <w:lang w:val="en-GB"/>
        </w:rPr>
        <w:t>A</w:t>
      </w:r>
      <w:r w:rsidRPr="3DB94B37">
        <w:rPr>
          <w:lang w:val="en-GB"/>
        </w:rPr>
        <w:t xml:space="preserve">ccording to § 87 of the Residence Act, </w:t>
      </w:r>
      <w:r w:rsidR="00911A7C" w:rsidRPr="3DB94B37">
        <w:rPr>
          <w:lang w:val="en-GB"/>
        </w:rPr>
        <w:t xml:space="preserve">the staff of the </w:t>
      </w:r>
      <w:r w:rsidRPr="3DB94B37">
        <w:rPr>
          <w:lang w:val="en-GB"/>
        </w:rPr>
        <w:t xml:space="preserve">Social Welfare Office is </w:t>
      </w:r>
      <w:r w:rsidR="00D75550" w:rsidRPr="3DB94B37">
        <w:rPr>
          <w:lang w:val="en-GB"/>
        </w:rPr>
        <w:t xml:space="preserve">then </w:t>
      </w:r>
      <w:r w:rsidRPr="3DB94B37">
        <w:rPr>
          <w:lang w:val="en-GB"/>
        </w:rPr>
        <w:t>obliged to immediately pass on the personal data of the applicant to the immigration authorities or the police. Hereafter, immigration authorities will prepare detention and deportation of the person concerned. Undocumented migrant women thus risk immediate deportation when applying for the cost coverage they are entitled to. The duty to report under § 87 of the Residence Act, is a key barrier to accessing healthcare. Its deterrent effect is such that the affected persons prefer not to see a doctor at all; non-emergency care is avoided even in urgent cases.</w:t>
      </w:r>
    </w:p>
    <w:p w14:paraId="487791D1" w14:textId="77777777" w:rsidR="00882E9B" w:rsidRPr="003C6BBA" w:rsidRDefault="00C23743" w:rsidP="001A2CE7">
      <w:pPr>
        <w:pStyle w:val="berschrift2"/>
      </w:pPr>
      <w:r w:rsidRPr="003C6BBA">
        <w:t xml:space="preserve">Consequences: </w:t>
      </w:r>
    </w:p>
    <w:p w14:paraId="3C602932" w14:textId="5E59B570" w:rsidR="005C5244" w:rsidRPr="005C5244" w:rsidRDefault="005C5244" w:rsidP="005C5244">
      <w:pPr>
        <w:rPr>
          <w:lang w:val="en-GB"/>
        </w:rPr>
      </w:pPr>
      <w:r w:rsidRPr="005C5244">
        <w:rPr>
          <w:lang w:val="en-GB"/>
        </w:rPr>
        <w:t xml:space="preserve">The </w:t>
      </w:r>
      <w:r w:rsidR="008D652F">
        <w:rPr>
          <w:lang w:val="en-GB"/>
        </w:rPr>
        <w:t xml:space="preserve">duty to report </w:t>
      </w:r>
      <w:r w:rsidRPr="005C5244">
        <w:rPr>
          <w:lang w:val="en-GB"/>
        </w:rPr>
        <w:t>results in delayed or foregone medical treatment, exacerbating health conditions and increasing long-term healthcare costs. Lack of antenatal care poses serious risks to maternal and child health.</w:t>
      </w:r>
    </w:p>
    <w:p w14:paraId="487791D2" w14:textId="0F8D79E9" w:rsidR="00882E9B" w:rsidRDefault="0030361E">
      <w:pPr>
        <w:rPr>
          <w:lang w:val="en-GB"/>
        </w:rPr>
      </w:pPr>
      <w:r>
        <w:rPr>
          <w:lang w:val="en-GB"/>
        </w:rPr>
        <w:t xml:space="preserve">There </w:t>
      </w:r>
      <w:r w:rsidR="00CE6E56">
        <w:rPr>
          <w:lang w:val="en-GB"/>
        </w:rPr>
        <w:t xml:space="preserve">is no reliable data on the number of undocumented women living in Germany. </w:t>
      </w:r>
      <w:r w:rsidR="000350C0">
        <w:rPr>
          <w:lang w:val="en-GB"/>
        </w:rPr>
        <w:t xml:space="preserve">The humanitarian organisation </w:t>
      </w:r>
      <w:r>
        <w:rPr>
          <w:lang w:val="en-GB"/>
        </w:rPr>
        <w:t>Ärzte der Welt</w:t>
      </w:r>
      <w:r w:rsidR="000350C0">
        <w:rPr>
          <w:lang w:val="en-GB"/>
        </w:rPr>
        <w:t xml:space="preserve">/Doctors of the World Germany </w:t>
      </w:r>
      <w:r>
        <w:rPr>
          <w:lang w:val="en-GB"/>
        </w:rPr>
        <w:t xml:space="preserve">provides </w:t>
      </w:r>
      <w:r w:rsidR="007A141F">
        <w:rPr>
          <w:lang w:val="en-GB"/>
        </w:rPr>
        <w:t>basic healthcare</w:t>
      </w:r>
      <w:r>
        <w:rPr>
          <w:lang w:val="en-GB"/>
        </w:rPr>
        <w:t xml:space="preserve"> for people without health insurance in Germany</w:t>
      </w:r>
      <w:r w:rsidR="007967ED">
        <w:rPr>
          <w:lang w:val="en-GB"/>
        </w:rPr>
        <w:t>. Our service</w:t>
      </w:r>
      <w:r w:rsidR="009575B3">
        <w:rPr>
          <w:lang w:val="en-GB"/>
        </w:rPr>
        <w:t xml:space="preserve">s are limited in scope and are no substitute for an inclusion in the regular healthcare system. </w:t>
      </w:r>
      <w:r w:rsidR="00E612F7">
        <w:rPr>
          <w:lang w:val="en-GB"/>
        </w:rPr>
        <w:t>I</w:t>
      </w:r>
      <w:r w:rsidR="00911A7C">
        <w:rPr>
          <w:lang w:val="en-GB"/>
        </w:rPr>
        <w:t xml:space="preserve">n 2024, we </w:t>
      </w:r>
      <w:r w:rsidR="00C00F35">
        <w:rPr>
          <w:lang w:val="en-GB"/>
        </w:rPr>
        <w:t xml:space="preserve">provided care for </w:t>
      </w:r>
      <w:r w:rsidR="00911A7C">
        <w:rPr>
          <w:lang w:val="en-GB"/>
        </w:rPr>
        <w:t>169 undocumented women and girls in our clinics</w:t>
      </w:r>
      <w:r w:rsidR="00F90C2C">
        <w:rPr>
          <w:lang w:val="en-GB"/>
        </w:rPr>
        <w:t xml:space="preserve"> in Munich, Berlin and Hamburg</w:t>
      </w:r>
      <w:r w:rsidR="00911A7C">
        <w:rPr>
          <w:lang w:val="en-GB"/>
        </w:rPr>
        <w:t xml:space="preserve">. </w:t>
      </w:r>
      <w:r w:rsidR="009A1316">
        <w:rPr>
          <w:lang w:val="en-GB"/>
        </w:rPr>
        <w:t xml:space="preserve">43 of them were pregnant. </w:t>
      </w:r>
    </w:p>
    <w:p w14:paraId="2E4CC896" w14:textId="59343633" w:rsidR="00911A7C" w:rsidRPr="00CB3730" w:rsidRDefault="00CB3730" w:rsidP="001A2CE7">
      <w:pPr>
        <w:pStyle w:val="berschrift2"/>
      </w:pPr>
      <w:r w:rsidRPr="00CB3730">
        <w:t xml:space="preserve">Assessment of the Federal Government’s reply to the recommendations </w:t>
      </w:r>
    </w:p>
    <w:p w14:paraId="6D3261F8" w14:textId="0C746148" w:rsidR="006845A1" w:rsidRDefault="00A41DEB" w:rsidP="00F72165">
      <w:pPr>
        <w:rPr>
          <w:lang w:val="en-GB"/>
        </w:rPr>
      </w:pPr>
      <w:r w:rsidRPr="00F72165">
        <w:rPr>
          <w:lang w:val="en-GB"/>
        </w:rPr>
        <w:t xml:space="preserve">The Federal Government’s assertion that it “places a special focus” on the health of undocumented migrant women is not substantiated by any concrete action. </w:t>
      </w:r>
      <w:r w:rsidR="00C7359F">
        <w:rPr>
          <w:lang w:val="en-GB"/>
        </w:rPr>
        <w:t xml:space="preserve">The Federal Government states that it “is a complex matter” and that it “continues to examine how to resolve it”. Yet the same recommendation was already included in the </w:t>
      </w:r>
      <w:hyperlink r:id="rId10" w:history="1">
        <w:r w:rsidR="00C7359F" w:rsidRPr="00421644">
          <w:rPr>
            <w:rStyle w:val="Hyperlink"/>
            <w:lang w:val="en-GB"/>
          </w:rPr>
          <w:t>CESCR concluding observations in 2018</w:t>
        </w:r>
        <w:r w:rsidR="004B33D7" w:rsidRPr="00421644">
          <w:rPr>
            <w:rStyle w:val="Hyperlink"/>
            <w:lang w:val="en-GB"/>
          </w:rPr>
          <w:t xml:space="preserve"> (</w:t>
        </w:r>
        <w:r w:rsidR="00AD2232" w:rsidRPr="00421644">
          <w:rPr>
            <w:rStyle w:val="Hyperlink"/>
            <w:lang w:val="en-GB"/>
          </w:rPr>
          <w:t>E/C.12/DEU/CO/6</w:t>
        </w:r>
      </w:hyperlink>
      <w:r w:rsidR="00AD2232" w:rsidRPr="00AD2232">
        <w:rPr>
          <w:lang w:val="en-GB"/>
        </w:rPr>
        <w:t>)</w:t>
      </w:r>
      <w:r w:rsidR="00C7359F">
        <w:rPr>
          <w:lang w:val="en-GB"/>
        </w:rPr>
        <w:t>.</w:t>
      </w:r>
    </w:p>
    <w:p w14:paraId="28B22ED3" w14:textId="77777777" w:rsidR="009F2B6E" w:rsidRDefault="009F2B6E" w:rsidP="009F2B6E">
      <w:pPr>
        <w:rPr>
          <w:lang w:val="en-GB"/>
        </w:rPr>
      </w:pPr>
      <w:r>
        <w:rPr>
          <w:lang w:val="en-GB"/>
        </w:rPr>
        <w:t xml:space="preserve">The complexity claim seems unjustified in as far as: </w:t>
      </w:r>
    </w:p>
    <w:p w14:paraId="4CB9FFED" w14:textId="643CEB26" w:rsidR="005B4F64" w:rsidRDefault="004C168D" w:rsidP="009F2B6E">
      <w:pPr>
        <w:pStyle w:val="Listenabsatz"/>
        <w:numPr>
          <w:ilvl w:val="0"/>
          <w:numId w:val="4"/>
        </w:numPr>
        <w:rPr>
          <w:lang w:val="en-GB"/>
        </w:rPr>
      </w:pPr>
      <w:r w:rsidRPr="009F2B6E">
        <w:rPr>
          <w:lang w:val="en-GB"/>
        </w:rPr>
        <w:t xml:space="preserve">All other European countries have legislations that </w:t>
      </w:r>
      <w:r w:rsidR="0012497C" w:rsidRPr="009F2B6E">
        <w:rPr>
          <w:lang w:val="en-GB"/>
        </w:rPr>
        <w:t xml:space="preserve">do not include the duty to report people seeking healthcare. </w:t>
      </w:r>
    </w:p>
    <w:p w14:paraId="280EF640" w14:textId="77777777" w:rsidR="001B37CD" w:rsidRPr="00855EA8" w:rsidRDefault="001B37CD" w:rsidP="001B37CD">
      <w:pPr>
        <w:pStyle w:val="Listenabsatz"/>
        <w:numPr>
          <w:ilvl w:val="0"/>
          <w:numId w:val="4"/>
        </w:numPr>
        <w:rPr>
          <w:lang w:val="en-GB"/>
        </w:rPr>
      </w:pPr>
      <w:r w:rsidRPr="00855EA8">
        <w:rPr>
          <w:lang w:val="en-GB"/>
        </w:rPr>
        <w:t xml:space="preserve">In 2011, </w:t>
      </w:r>
      <w:r>
        <w:rPr>
          <w:lang w:val="en-GB"/>
        </w:rPr>
        <w:t xml:space="preserve">section 87 of </w:t>
      </w:r>
      <w:r w:rsidRPr="00855EA8">
        <w:rPr>
          <w:lang w:val="en-GB"/>
        </w:rPr>
        <w:t xml:space="preserve">the </w:t>
      </w:r>
      <w:r>
        <w:rPr>
          <w:lang w:val="en-GB"/>
        </w:rPr>
        <w:t xml:space="preserve">German </w:t>
      </w:r>
      <w:r w:rsidRPr="00855EA8">
        <w:rPr>
          <w:lang w:val="en-GB"/>
        </w:rPr>
        <w:t>residence act was changed so that the education sector</w:t>
      </w:r>
      <w:r>
        <w:rPr>
          <w:lang w:val="en-GB"/>
        </w:rPr>
        <w:t xml:space="preserve"> was</w:t>
      </w:r>
      <w:r w:rsidRPr="00855EA8">
        <w:rPr>
          <w:lang w:val="en-GB"/>
        </w:rPr>
        <w:t xml:space="preserve"> exempt from the obligation to report. This was done with reference to the right to education. The health sector could be exempt from the obligation to report in a similar manner. </w:t>
      </w:r>
    </w:p>
    <w:p w14:paraId="3DB6C777" w14:textId="42B62E08" w:rsidR="001B37CD" w:rsidRPr="000519B3" w:rsidRDefault="001B37CD" w:rsidP="000519B3">
      <w:pPr>
        <w:pStyle w:val="Listenabsatz"/>
        <w:numPr>
          <w:ilvl w:val="0"/>
          <w:numId w:val="4"/>
        </w:numPr>
        <w:rPr>
          <w:lang w:val="en-GB"/>
        </w:rPr>
      </w:pPr>
      <w:r w:rsidRPr="007621CB">
        <w:rPr>
          <w:lang w:val="en-GB"/>
        </w:rPr>
        <w:t xml:space="preserve">In 2021, civil society organisations have provided a </w:t>
      </w:r>
      <w:hyperlink r:id="rId11" w:history="1">
        <w:r w:rsidRPr="004A6832">
          <w:rPr>
            <w:rStyle w:val="Hyperlink"/>
            <w:lang w:val="en-GB"/>
          </w:rPr>
          <w:t>wording proposal for a legal change</w:t>
        </w:r>
      </w:hyperlink>
      <w:r w:rsidRPr="007621CB">
        <w:rPr>
          <w:lang w:val="en-GB"/>
        </w:rPr>
        <w:t xml:space="preserve"> that would allow undocumented migrants to access healthcare without fear of deportation</w:t>
      </w:r>
      <w:r>
        <w:rPr>
          <w:lang w:val="en-GB"/>
        </w:rPr>
        <w:t xml:space="preserve"> without changing other aspects of the law</w:t>
      </w:r>
      <w:r w:rsidRPr="007621CB">
        <w:rPr>
          <w:lang w:val="en-GB"/>
        </w:rPr>
        <w:t xml:space="preserve">. </w:t>
      </w:r>
    </w:p>
    <w:p w14:paraId="487791D4" w14:textId="77777777" w:rsidR="00882E9B" w:rsidRPr="000519B3" w:rsidRDefault="00C23743" w:rsidP="001A2CE7">
      <w:pPr>
        <w:pStyle w:val="berschrift2"/>
      </w:pPr>
      <w:r w:rsidRPr="000519B3">
        <w:lastRenderedPageBreak/>
        <w:t xml:space="preserve">Recommendation: </w:t>
      </w:r>
    </w:p>
    <w:p w14:paraId="7B409E53" w14:textId="77777777" w:rsidR="000519B3" w:rsidRPr="000519B3" w:rsidRDefault="000519B3" w:rsidP="000519B3">
      <w:pPr>
        <w:rPr>
          <w:lang w:val="en-GB"/>
        </w:rPr>
      </w:pPr>
      <w:r w:rsidRPr="000519B3">
        <w:rPr>
          <w:lang w:val="en-GB"/>
        </w:rPr>
        <w:t>We respectfully urge the CEDAW Committee to reiterate its recommendation to the German Government:</w:t>
      </w:r>
    </w:p>
    <w:p w14:paraId="7906C2F2" w14:textId="77777777" w:rsidR="000519B3" w:rsidRPr="000519B3" w:rsidRDefault="000519B3" w:rsidP="000519B3">
      <w:pPr>
        <w:rPr>
          <w:lang w:val="en-GB"/>
        </w:rPr>
      </w:pPr>
      <w:r w:rsidRPr="000519B3">
        <w:rPr>
          <w:b/>
          <w:bCs/>
          <w:lang w:val="en-GB"/>
        </w:rPr>
        <w:t>Repeal or amend Section 87 of the Residence Act to ensure that undocumented migrant women can access non-emergency healthcare without fear of being reported to immigration authorities and subsequently deported.</w:t>
      </w:r>
    </w:p>
    <w:sectPr w:rsidR="000519B3" w:rsidRPr="000519B3">
      <w:pgSz w:w="11906" w:h="16838"/>
      <w:pgMar w:top="1417" w:right="1417" w:bottom="1134"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403AA" w14:textId="77777777" w:rsidR="00694D44" w:rsidRDefault="00694D44">
      <w:pPr>
        <w:spacing w:after="0" w:line="240" w:lineRule="auto"/>
      </w:pPr>
      <w:r>
        <w:separator/>
      </w:r>
    </w:p>
  </w:endnote>
  <w:endnote w:type="continuationSeparator" w:id="0">
    <w:p w14:paraId="278CC8F5" w14:textId="77777777" w:rsidR="00694D44" w:rsidRDefault="00694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AFFED" w14:textId="77777777" w:rsidR="00694D44" w:rsidRDefault="00694D44">
      <w:pPr>
        <w:spacing w:after="0" w:line="240" w:lineRule="auto"/>
      </w:pPr>
      <w:r>
        <w:rPr>
          <w:color w:val="000000"/>
        </w:rPr>
        <w:separator/>
      </w:r>
    </w:p>
  </w:footnote>
  <w:footnote w:type="continuationSeparator" w:id="0">
    <w:p w14:paraId="25995F46" w14:textId="77777777" w:rsidR="00694D44" w:rsidRDefault="00694D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05A1C"/>
    <w:multiLevelType w:val="hybridMultilevel"/>
    <w:tmpl w:val="A0CEAA58"/>
    <w:lvl w:ilvl="0" w:tplc="6244296C">
      <w:start w:val="23"/>
      <w:numFmt w:val="bullet"/>
      <w:lvlText w:val="-"/>
      <w:lvlJc w:val="left"/>
      <w:pPr>
        <w:ind w:left="720" w:hanging="360"/>
      </w:pPr>
      <w:rPr>
        <w:rFonts w:ascii="Aptos" w:eastAsia="Aptos" w:hAnsi="Apto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2856818"/>
    <w:multiLevelType w:val="multilevel"/>
    <w:tmpl w:val="40185B3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682406F6"/>
    <w:multiLevelType w:val="multilevel"/>
    <w:tmpl w:val="66D0B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72097C"/>
    <w:multiLevelType w:val="hybridMultilevel"/>
    <w:tmpl w:val="90BE74FE"/>
    <w:lvl w:ilvl="0" w:tplc="6A12D4AE">
      <w:start w:val="23"/>
      <w:numFmt w:val="bullet"/>
      <w:lvlText w:val="-"/>
      <w:lvlJc w:val="left"/>
      <w:pPr>
        <w:ind w:left="720" w:hanging="360"/>
      </w:pPr>
      <w:rPr>
        <w:rFonts w:ascii="Aptos" w:eastAsia="Aptos" w:hAnsi="Apto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3136E80"/>
    <w:multiLevelType w:val="multilevel"/>
    <w:tmpl w:val="E41CCAB4"/>
    <w:lvl w:ilvl="0">
      <w:numFmt w:val="bullet"/>
      <w:lvlText w:val="-"/>
      <w:lvlJc w:val="left"/>
      <w:pPr>
        <w:ind w:left="720" w:hanging="360"/>
      </w:pPr>
      <w:rPr>
        <w:rFonts w:ascii="Aptos" w:eastAsia="Aptos" w:hAnsi="Aptos"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872299922">
    <w:abstractNumId w:val="1"/>
  </w:num>
  <w:num w:numId="2" w16cid:durableId="2034918070">
    <w:abstractNumId w:val="4"/>
  </w:num>
  <w:num w:numId="3" w16cid:durableId="396169201">
    <w:abstractNumId w:val="0"/>
  </w:num>
  <w:num w:numId="4" w16cid:durableId="425344398">
    <w:abstractNumId w:val="3"/>
  </w:num>
  <w:num w:numId="5" w16cid:durableId="11643947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E9B"/>
    <w:rsid w:val="0000309B"/>
    <w:rsid w:val="000141E9"/>
    <w:rsid w:val="000320D0"/>
    <w:rsid w:val="000350C0"/>
    <w:rsid w:val="000519B3"/>
    <w:rsid w:val="0005578C"/>
    <w:rsid w:val="001030FB"/>
    <w:rsid w:val="00105EC6"/>
    <w:rsid w:val="0011128D"/>
    <w:rsid w:val="0012497C"/>
    <w:rsid w:val="001304D7"/>
    <w:rsid w:val="001A2CE7"/>
    <w:rsid w:val="001B37CD"/>
    <w:rsid w:val="001F3F74"/>
    <w:rsid w:val="002230C5"/>
    <w:rsid w:val="00227C83"/>
    <w:rsid w:val="002705D2"/>
    <w:rsid w:val="002A4303"/>
    <w:rsid w:val="002D3D23"/>
    <w:rsid w:val="002D7772"/>
    <w:rsid w:val="002F0401"/>
    <w:rsid w:val="002F6519"/>
    <w:rsid w:val="0030361E"/>
    <w:rsid w:val="00304DE4"/>
    <w:rsid w:val="00370E55"/>
    <w:rsid w:val="00384D1A"/>
    <w:rsid w:val="003B17C7"/>
    <w:rsid w:val="003C6BBA"/>
    <w:rsid w:val="003D27F3"/>
    <w:rsid w:val="003E085F"/>
    <w:rsid w:val="00421644"/>
    <w:rsid w:val="00465CD3"/>
    <w:rsid w:val="004A6832"/>
    <w:rsid w:val="004B33D7"/>
    <w:rsid w:val="004C168D"/>
    <w:rsid w:val="00510000"/>
    <w:rsid w:val="00515BEA"/>
    <w:rsid w:val="005344E7"/>
    <w:rsid w:val="005345A0"/>
    <w:rsid w:val="005572C9"/>
    <w:rsid w:val="00585856"/>
    <w:rsid w:val="005A5F7D"/>
    <w:rsid w:val="005B4EF1"/>
    <w:rsid w:val="005B4F64"/>
    <w:rsid w:val="005C5244"/>
    <w:rsid w:val="005D5606"/>
    <w:rsid w:val="005F0FCE"/>
    <w:rsid w:val="0064303E"/>
    <w:rsid w:val="006845A1"/>
    <w:rsid w:val="00694D44"/>
    <w:rsid w:val="006D5048"/>
    <w:rsid w:val="007420E0"/>
    <w:rsid w:val="007621CB"/>
    <w:rsid w:val="00765485"/>
    <w:rsid w:val="00785D05"/>
    <w:rsid w:val="00786E13"/>
    <w:rsid w:val="00794985"/>
    <w:rsid w:val="007967ED"/>
    <w:rsid w:val="007A141F"/>
    <w:rsid w:val="007B17D0"/>
    <w:rsid w:val="00826202"/>
    <w:rsid w:val="0083302F"/>
    <w:rsid w:val="00855EA8"/>
    <w:rsid w:val="00864B6B"/>
    <w:rsid w:val="00882E9B"/>
    <w:rsid w:val="00886CB7"/>
    <w:rsid w:val="008D652F"/>
    <w:rsid w:val="008F034B"/>
    <w:rsid w:val="00911A7C"/>
    <w:rsid w:val="0091317F"/>
    <w:rsid w:val="009575B3"/>
    <w:rsid w:val="009716EB"/>
    <w:rsid w:val="009A1316"/>
    <w:rsid w:val="009A41E1"/>
    <w:rsid w:val="009C6966"/>
    <w:rsid w:val="009F2B6E"/>
    <w:rsid w:val="00A41DEB"/>
    <w:rsid w:val="00AB3175"/>
    <w:rsid w:val="00AD2232"/>
    <w:rsid w:val="00B05FC2"/>
    <w:rsid w:val="00B16841"/>
    <w:rsid w:val="00B21B60"/>
    <w:rsid w:val="00B66180"/>
    <w:rsid w:val="00B963F9"/>
    <w:rsid w:val="00BA2C1E"/>
    <w:rsid w:val="00BA6554"/>
    <w:rsid w:val="00BB4F3F"/>
    <w:rsid w:val="00BD4533"/>
    <w:rsid w:val="00BF168F"/>
    <w:rsid w:val="00C00DD9"/>
    <w:rsid w:val="00C00F35"/>
    <w:rsid w:val="00C23743"/>
    <w:rsid w:val="00C7359F"/>
    <w:rsid w:val="00C95A3B"/>
    <w:rsid w:val="00CB3730"/>
    <w:rsid w:val="00CE6E56"/>
    <w:rsid w:val="00D00897"/>
    <w:rsid w:val="00D35FCE"/>
    <w:rsid w:val="00D436E9"/>
    <w:rsid w:val="00D555CE"/>
    <w:rsid w:val="00D75550"/>
    <w:rsid w:val="00DA66CD"/>
    <w:rsid w:val="00DB756B"/>
    <w:rsid w:val="00DD178A"/>
    <w:rsid w:val="00E20939"/>
    <w:rsid w:val="00E612F7"/>
    <w:rsid w:val="00EB5CFB"/>
    <w:rsid w:val="00EC01DD"/>
    <w:rsid w:val="00F11021"/>
    <w:rsid w:val="00F271A5"/>
    <w:rsid w:val="00F364E2"/>
    <w:rsid w:val="00F57CA5"/>
    <w:rsid w:val="00F626C5"/>
    <w:rsid w:val="00F72165"/>
    <w:rsid w:val="00F852F0"/>
    <w:rsid w:val="00F87E31"/>
    <w:rsid w:val="00F90C2C"/>
    <w:rsid w:val="00FA1D7D"/>
    <w:rsid w:val="00FA7743"/>
    <w:rsid w:val="00FB03F3"/>
    <w:rsid w:val="00FE16F2"/>
    <w:rsid w:val="00FF7465"/>
    <w:rsid w:val="03AA4567"/>
    <w:rsid w:val="0BCD43AF"/>
    <w:rsid w:val="1DE680C9"/>
    <w:rsid w:val="2CAEB548"/>
    <w:rsid w:val="364CAC50"/>
    <w:rsid w:val="37373D9A"/>
    <w:rsid w:val="3DB94B37"/>
    <w:rsid w:val="45CDF985"/>
    <w:rsid w:val="46FFBEA8"/>
    <w:rsid w:val="4705CC20"/>
    <w:rsid w:val="47A703B1"/>
    <w:rsid w:val="4F3C9B67"/>
    <w:rsid w:val="582EF259"/>
    <w:rsid w:val="5BF5FE4D"/>
    <w:rsid w:val="6FB7CA5E"/>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791B7"/>
  <w15:docId w15:val="{942FF48C-0FAA-4E79-9E8B-6F1EB294A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de-DE"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style>
  <w:style w:type="paragraph" w:styleId="berschrift1">
    <w:name w:val="heading 1"/>
    <w:basedOn w:val="Standard"/>
    <w:next w:val="Standard"/>
    <w:uiPriority w:val="9"/>
    <w:qFormat/>
    <w:pPr>
      <w:keepNext/>
      <w:keepLines/>
      <w:spacing w:before="360" w:after="80"/>
      <w:outlineLvl w:val="0"/>
    </w:pPr>
    <w:rPr>
      <w:rFonts w:ascii="Aptos Display" w:eastAsia="Times New Roman" w:hAnsi="Aptos Display"/>
      <w:color w:val="0F4761"/>
      <w:sz w:val="40"/>
      <w:szCs w:val="40"/>
    </w:rPr>
  </w:style>
  <w:style w:type="paragraph" w:styleId="berschrift2">
    <w:name w:val="heading 2"/>
    <w:basedOn w:val="Standard"/>
    <w:next w:val="Standard"/>
    <w:uiPriority w:val="9"/>
    <w:unhideWhenUsed/>
    <w:qFormat/>
    <w:rsid w:val="00786E13"/>
    <w:pPr>
      <w:spacing w:before="120" w:after="0"/>
      <w:outlineLvl w:val="1"/>
    </w:pPr>
    <w:rPr>
      <w:b/>
      <w:bCs/>
      <w:u w:val="single"/>
      <w:lang w:val="en-GB"/>
    </w:rPr>
  </w:style>
  <w:style w:type="paragraph" w:styleId="berschrift3">
    <w:name w:val="heading 3"/>
    <w:basedOn w:val="Standard"/>
    <w:next w:val="Standard"/>
    <w:uiPriority w:val="9"/>
    <w:semiHidden/>
    <w:unhideWhenUsed/>
    <w:qFormat/>
    <w:pPr>
      <w:keepNext/>
      <w:keepLines/>
      <w:spacing w:before="160" w:after="80"/>
      <w:outlineLvl w:val="2"/>
    </w:pPr>
    <w:rPr>
      <w:rFonts w:eastAsia="Times New Roman"/>
      <w:color w:val="0F4761"/>
      <w:sz w:val="28"/>
      <w:szCs w:val="28"/>
    </w:rPr>
  </w:style>
  <w:style w:type="paragraph" w:styleId="berschrift4">
    <w:name w:val="heading 4"/>
    <w:basedOn w:val="Standard"/>
    <w:next w:val="Standard"/>
    <w:uiPriority w:val="9"/>
    <w:semiHidden/>
    <w:unhideWhenUsed/>
    <w:qFormat/>
    <w:pPr>
      <w:keepNext/>
      <w:keepLines/>
      <w:spacing w:before="80" w:after="40"/>
      <w:outlineLvl w:val="3"/>
    </w:pPr>
    <w:rPr>
      <w:rFonts w:eastAsia="Times New Roman"/>
      <w:i/>
      <w:iCs/>
      <w:color w:val="0F4761"/>
    </w:rPr>
  </w:style>
  <w:style w:type="paragraph" w:styleId="berschrift5">
    <w:name w:val="heading 5"/>
    <w:basedOn w:val="Standard"/>
    <w:next w:val="Standard"/>
    <w:uiPriority w:val="9"/>
    <w:semiHidden/>
    <w:unhideWhenUsed/>
    <w:qFormat/>
    <w:pPr>
      <w:keepNext/>
      <w:keepLines/>
      <w:spacing w:before="80" w:after="40"/>
      <w:outlineLvl w:val="4"/>
    </w:pPr>
    <w:rPr>
      <w:rFonts w:eastAsia="Times New Roman"/>
      <w:color w:val="0F4761"/>
    </w:rPr>
  </w:style>
  <w:style w:type="paragraph" w:styleId="berschrift6">
    <w:name w:val="heading 6"/>
    <w:basedOn w:val="Standard"/>
    <w:next w:val="Standard"/>
    <w:uiPriority w:val="9"/>
    <w:semiHidden/>
    <w:unhideWhenUsed/>
    <w:qFormat/>
    <w:pPr>
      <w:keepNext/>
      <w:keepLines/>
      <w:spacing w:before="40" w:after="0"/>
      <w:outlineLvl w:val="5"/>
    </w:pPr>
    <w:rPr>
      <w:rFonts w:eastAsia="Times New Roman"/>
      <w:i/>
      <w:iCs/>
      <w:color w:val="595959"/>
    </w:rPr>
  </w:style>
  <w:style w:type="paragraph" w:styleId="berschrift7">
    <w:name w:val="heading 7"/>
    <w:basedOn w:val="Standard"/>
    <w:next w:val="Standard"/>
    <w:pPr>
      <w:keepNext/>
      <w:keepLines/>
      <w:spacing w:before="40" w:after="0"/>
      <w:outlineLvl w:val="6"/>
    </w:pPr>
    <w:rPr>
      <w:rFonts w:eastAsia="Times New Roman"/>
      <w:color w:val="595959"/>
    </w:rPr>
  </w:style>
  <w:style w:type="paragraph" w:styleId="berschrift8">
    <w:name w:val="heading 8"/>
    <w:basedOn w:val="Standard"/>
    <w:next w:val="Standard"/>
    <w:pPr>
      <w:keepNext/>
      <w:keepLines/>
      <w:spacing w:after="0"/>
      <w:outlineLvl w:val="7"/>
    </w:pPr>
    <w:rPr>
      <w:rFonts w:eastAsia="Times New Roman"/>
      <w:i/>
      <w:iCs/>
      <w:color w:val="272727"/>
    </w:rPr>
  </w:style>
  <w:style w:type="paragraph" w:styleId="berschrift9">
    <w:name w:val="heading 9"/>
    <w:basedOn w:val="Standard"/>
    <w:next w:val="Standard"/>
    <w:pPr>
      <w:keepNext/>
      <w:keepLines/>
      <w:spacing w:after="0"/>
      <w:outlineLvl w:val="8"/>
    </w:pPr>
    <w:rPr>
      <w:rFonts w:eastAsia="Times New Roman"/>
      <w:color w:val="2727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rPr>
      <w:rFonts w:ascii="Aptos Display" w:eastAsia="Times New Roman" w:hAnsi="Aptos Display" w:cs="Times New Roman"/>
      <w:color w:val="0F4761"/>
      <w:sz w:val="40"/>
      <w:szCs w:val="40"/>
    </w:rPr>
  </w:style>
  <w:style w:type="character" w:customStyle="1" w:styleId="berschrift2Zchn">
    <w:name w:val="Überschrift 2 Zchn"/>
    <w:basedOn w:val="Absatz-Standardschriftart"/>
    <w:rPr>
      <w:rFonts w:ascii="Aptos Display" w:eastAsia="Times New Roman" w:hAnsi="Aptos Display" w:cs="Times New Roman"/>
      <w:color w:val="0F4761"/>
      <w:sz w:val="32"/>
      <w:szCs w:val="32"/>
    </w:rPr>
  </w:style>
  <w:style w:type="character" w:customStyle="1" w:styleId="berschrift3Zchn">
    <w:name w:val="Überschrift 3 Zchn"/>
    <w:basedOn w:val="Absatz-Standardschriftart"/>
    <w:rPr>
      <w:rFonts w:eastAsia="Times New Roman" w:cs="Times New Roman"/>
      <w:color w:val="0F4761"/>
      <w:sz w:val="28"/>
      <w:szCs w:val="28"/>
    </w:rPr>
  </w:style>
  <w:style w:type="character" w:customStyle="1" w:styleId="berschrift4Zchn">
    <w:name w:val="Überschrift 4 Zchn"/>
    <w:basedOn w:val="Absatz-Standardschriftart"/>
    <w:rPr>
      <w:rFonts w:eastAsia="Times New Roman" w:cs="Times New Roman"/>
      <w:i/>
      <w:iCs/>
      <w:color w:val="0F4761"/>
    </w:rPr>
  </w:style>
  <w:style w:type="character" w:customStyle="1" w:styleId="berschrift5Zchn">
    <w:name w:val="Überschrift 5 Zchn"/>
    <w:basedOn w:val="Absatz-Standardschriftart"/>
    <w:rPr>
      <w:rFonts w:eastAsia="Times New Roman" w:cs="Times New Roman"/>
      <w:color w:val="0F4761"/>
    </w:rPr>
  </w:style>
  <w:style w:type="character" w:customStyle="1" w:styleId="berschrift6Zchn">
    <w:name w:val="Überschrift 6 Zchn"/>
    <w:basedOn w:val="Absatz-Standardschriftart"/>
    <w:rPr>
      <w:rFonts w:eastAsia="Times New Roman" w:cs="Times New Roman"/>
      <w:i/>
      <w:iCs/>
      <w:color w:val="595959"/>
    </w:rPr>
  </w:style>
  <w:style w:type="character" w:customStyle="1" w:styleId="berschrift7Zchn">
    <w:name w:val="Überschrift 7 Zchn"/>
    <w:basedOn w:val="Absatz-Standardschriftart"/>
    <w:rPr>
      <w:rFonts w:eastAsia="Times New Roman" w:cs="Times New Roman"/>
      <w:color w:val="595959"/>
    </w:rPr>
  </w:style>
  <w:style w:type="character" w:customStyle="1" w:styleId="berschrift8Zchn">
    <w:name w:val="Überschrift 8 Zchn"/>
    <w:basedOn w:val="Absatz-Standardschriftart"/>
    <w:rPr>
      <w:rFonts w:eastAsia="Times New Roman" w:cs="Times New Roman"/>
      <w:i/>
      <w:iCs/>
      <w:color w:val="272727"/>
    </w:rPr>
  </w:style>
  <w:style w:type="character" w:customStyle="1" w:styleId="berschrift9Zchn">
    <w:name w:val="Überschrift 9 Zchn"/>
    <w:basedOn w:val="Absatz-Standardschriftart"/>
    <w:rPr>
      <w:rFonts w:eastAsia="Times New Roman" w:cs="Times New Roman"/>
      <w:color w:val="272727"/>
    </w:rPr>
  </w:style>
  <w:style w:type="paragraph" w:styleId="Titel">
    <w:name w:val="Title"/>
    <w:basedOn w:val="Standard"/>
    <w:next w:val="Standard"/>
    <w:uiPriority w:val="10"/>
    <w:qFormat/>
    <w:pPr>
      <w:spacing w:after="80" w:line="240" w:lineRule="auto"/>
      <w:contextualSpacing/>
    </w:pPr>
    <w:rPr>
      <w:rFonts w:ascii="Aptos Display" w:eastAsia="Times New Roman" w:hAnsi="Aptos Display"/>
      <w:spacing w:val="-10"/>
      <w:sz w:val="56"/>
      <w:szCs w:val="56"/>
    </w:rPr>
  </w:style>
  <w:style w:type="character" w:customStyle="1" w:styleId="TitelZchn">
    <w:name w:val="Titel Zchn"/>
    <w:basedOn w:val="Absatz-Standardschriftart"/>
    <w:rPr>
      <w:rFonts w:ascii="Aptos Display" w:eastAsia="Times New Roman" w:hAnsi="Aptos Display" w:cs="Times New Roman"/>
      <w:spacing w:val="-10"/>
      <w:kern w:val="3"/>
      <w:sz w:val="56"/>
      <w:szCs w:val="56"/>
    </w:rPr>
  </w:style>
  <w:style w:type="paragraph" w:styleId="Untertitel">
    <w:name w:val="Subtitle"/>
    <w:basedOn w:val="Standard"/>
    <w:next w:val="Standard"/>
    <w:uiPriority w:val="11"/>
    <w:qFormat/>
    <w:rPr>
      <w:rFonts w:eastAsia="Times New Roman"/>
      <w:color w:val="595959"/>
      <w:spacing w:val="15"/>
      <w:sz w:val="28"/>
      <w:szCs w:val="28"/>
    </w:rPr>
  </w:style>
  <w:style w:type="character" w:customStyle="1" w:styleId="UntertitelZchn">
    <w:name w:val="Untertitel Zchn"/>
    <w:basedOn w:val="Absatz-Standardschriftart"/>
    <w:rPr>
      <w:rFonts w:eastAsia="Times New Roman" w:cs="Times New Roman"/>
      <w:color w:val="595959"/>
      <w:spacing w:val="15"/>
      <w:sz w:val="28"/>
      <w:szCs w:val="28"/>
    </w:rPr>
  </w:style>
  <w:style w:type="paragraph" w:styleId="Zitat">
    <w:name w:val="Quote"/>
    <w:basedOn w:val="Standard"/>
    <w:next w:val="Standard"/>
    <w:pPr>
      <w:spacing w:before="160"/>
      <w:jc w:val="center"/>
    </w:pPr>
    <w:rPr>
      <w:i/>
      <w:iCs/>
      <w:color w:val="404040"/>
    </w:rPr>
  </w:style>
  <w:style w:type="character" w:customStyle="1" w:styleId="ZitatZchn">
    <w:name w:val="Zitat Zchn"/>
    <w:basedOn w:val="Absatz-Standardschriftart"/>
    <w:rPr>
      <w:i/>
      <w:iCs/>
      <w:color w:val="404040"/>
    </w:rPr>
  </w:style>
  <w:style w:type="paragraph" w:styleId="Listenabsatz">
    <w:name w:val="List Paragraph"/>
    <w:basedOn w:val="Standard"/>
    <w:pPr>
      <w:ind w:left="720"/>
      <w:contextualSpacing/>
    </w:pPr>
  </w:style>
  <w:style w:type="character" w:styleId="IntensiveHervorhebung">
    <w:name w:val="Intense Emphasis"/>
    <w:basedOn w:val="Absatz-Standardschriftart"/>
    <w:rPr>
      <w:i/>
      <w:iCs/>
      <w:color w:val="0F4761"/>
    </w:rPr>
  </w:style>
  <w:style w:type="paragraph" w:styleId="IntensivesZitat">
    <w:name w:val="Intense Quote"/>
    <w:basedOn w:val="Standard"/>
    <w:next w:val="Standard"/>
    <w:pPr>
      <w:pBdr>
        <w:top w:val="single" w:sz="4" w:space="10" w:color="0F4761"/>
        <w:bottom w:val="single" w:sz="4" w:space="10" w:color="0F4761"/>
      </w:pBdr>
      <w:spacing w:before="360" w:after="360"/>
      <w:ind w:left="864" w:right="864"/>
      <w:jc w:val="center"/>
    </w:pPr>
    <w:rPr>
      <w:i/>
      <w:iCs/>
      <w:color w:val="0F4761"/>
    </w:rPr>
  </w:style>
  <w:style w:type="character" w:customStyle="1" w:styleId="IntensivesZitatZchn">
    <w:name w:val="Intensives Zitat Zchn"/>
    <w:basedOn w:val="Absatz-Standardschriftart"/>
    <w:rPr>
      <w:i/>
      <w:iCs/>
      <w:color w:val="0F4761"/>
    </w:rPr>
  </w:style>
  <w:style w:type="character" w:styleId="IntensiverVerweis">
    <w:name w:val="Intense Reference"/>
    <w:basedOn w:val="Absatz-Standardschriftart"/>
    <w:rPr>
      <w:b/>
      <w:bCs/>
      <w:smallCaps/>
      <w:color w:val="0F4761"/>
      <w:spacing w:val="5"/>
    </w:rPr>
  </w:style>
  <w:style w:type="paragraph" w:styleId="Kopfzeile">
    <w:name w:val="header"/>
    <w:basedOn w:val="Standard"/>
    <w:link w:val="KopfzeileZchn"/>
    <w:uiPriority w:val="99"/>
    <w:semiHidden/>
    <w:unhideWhenUsed/>
    <w:rsid w:val="003B17C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3B17C7"/>
  </w:style>
  <w:style w:type="paragraph" w:styleId="Fuzeile">
    <w:name w:val="footer"/>
    <w:basedOn w:val="Standard"/>
    <w:link w:val="FuzeileZchn"/>
    <w:uiPriority w:val="99"/>
    <w:semiHidden/>
    <w:unhideWhenUsed/>
    <w:rsid w:val="003B17C7"/>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rsid w:val="003B17C7"/>
  </w:style>
  <w:style w:type="character" w:styleId="Hyperlink">
    <w:name w:val="Hyperlink"/>
    <w:basedOn w:val="Absatz-Standardschriftart"/>
    <w:uiPriority w:val="99"/>
    <w:unhideWhenUsed/>
    <w:rsid w:val="004A6832"/>
    <w:rPr>
      <w:color w:val="467886" w:themeColor="hyperlink"/>
      <w:u w:val="single"/>
    </w:rPr>
  </w:style>
  <w:style w:type="character" w:styleId="NichtaufgelsteErwhnung">
    <w:name w:val="Unresolved Mention"/>
    <w:basedOn w:val="Absatz-Standardschriftart"/>
    <w:uiPriority w:val="99"/>
    <w:semiHidden/>
    <w:unhideWhenUsed/>
    <w:rsid w:val="004A68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orum-illegalitaet.de/wordpress_01/wp-content/uploads/2022/08/Gesundheitsversorgung-ohne-Angst-in-Anspruch-nehmen_Vorschlag_fin.pdf" TargetMode="External"/><Relationship Id="rId5" Type="http://schemas.openxmlformats.org/officeDocument/2006/relationships/styles" Target="styles.xml"/><Relationship Id="rId10" Type="http://schemas.openxmlformats.org/officeDocument/2006/relationships/hyperlink" Target="https://tbinternet.ohchr.org/_layouts/15/treatybodyexternal/Download.aspx?symbolno=E%2FC.12%2FDEU%2FCO%2F6&amp;Lang=en"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be2c737-2921-4354-80a7-0ae10dac32aa" xsi:nil="true"/>
    <lcf76f155ced4ddcb4097134ff3c332f xmlns="11eb9513-ad01-4559-9b0a-4687f05321d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525CDF6648273E4CA786EC00774E6A77" ma:contentTypeVersion="18" ma:contentTypeDescription="Ein neues Dokument erstellen." ma:contentTypeScope="" ma:versionID="30c0fac80192fb3e53000c875d847291">
  <xsd:schema xmlns:xsd="http://www.w3.org/2001/XMLSchema" xmlns:xs="http://www.w3.org/2001/XMLSchema" xmlns:p="http://schemas.microsoft.com/office/2006/metadata/properties" xmlns:ns2="11eb9513-ad01-4559-9b0a-4687f05321dd" xmlns:ns3="9be2c737-2921-4354-80a7-0ae10dac32aa" targetNamespace="http://schemas.microsoft.com/office/2006/metadata/properties" ma:root="true" ma:fieldsID="eb64b7cf2b0103a579e58fa34d80beee" ns2:_="" ns3:_="">
    <xsd:import namespace="11eb9513-ad01-4559-9b0a-4687f05321dd"/>
    <xsd:import namespace="9be2c737-2921-4354-80a7-0ae10dac32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eb9513-ad01-4559-9b0a-4687f05321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91f59b30-2a4e-4c46-b00e-022de6a30ca3"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2c737-2921-4354-80a7-0ae10dac32aa"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76ddf996-b923-4e65-92e4-be682aca5710}" ma:internalName="TaxCatchAll" ma:showField="CatchAllData" ma:web="9be2c737-2921-4354-80a7-0ae10dac32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462774-46C5-4990-AEB1-805519C79920}">
  <ds:schemaRefs>
    <ds:schemaRef ds:uri="http://schemas.microsoft.com/office/2006/metadata/properties"/>
    <ds:schemaRef ds:uri="http://schemas.microsoft.com/office/infopath/2007/PartnerControls"/>
    <ds:schemaRef ds:uri="9be2c737-2921-4354-80a7-0ae10dac32aa"/>
    <ds:schemaRef ds:uri="11eb9513-ad01-4559-9b0a-4687f05321dd"/>
  </ds:schemaRefs>
</ds:datastoreItem>
</file>

<file path=customXml/itemProps2.xml><?xml version="1.0" encoding="utf-8"?>
<ds:datastoreItem xmlns:ds="http://schemas.openxmlformats.org/officeDocument/2006/customXml" ds:itemID="{7AFBABA8-522C-4F34-A894-C43DAAC9DB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eb9513-ad01-4559-9b0a-4687f05321dd"/>
    <ds:schemaRef ds:uri="9be2c737-2921-4354-80a7-0ae10dac32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752CD6-1B16-48BF-8A9D-1104A5305218}">
  <ds:schemaRefs>
    <ds:schemaRef ds:uri="http://schemas.microsoft.com/sharepoint/v3/contenttype/forms"/>
  </ds:schemaRefs>
</ds:datastoreItem>
</file>

<file path=docMetadata/LabelInfo.xml><?xml version="1.0" encoding="utf-8"?>
<clbl:labelList xmlns:clbl="http://schemas.microsoft.com/office/2020/mipLabelMetadata">
  <clbl:label id="{e266e868-3e09-468c-a009-e9fa7aec7ca9}" enabled="1" method="Standard" siteId="{676a1117-be19-434a-8eea-b581bc112f0b}"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838</Words>
  <Characters>4662</Characters>
  <Application>Microsoft Office Word</Application>
  <DocSecurity>0</DocSecurity>
  <Lines>84</Lines>
  <Paragraphs>28</Paragraphs>
  <ScaleCrop>false</ScaleCrop>
  <Company/>
  <LinksUpToDate>false</LinksUpToDate>
  <CharactersWithSpaces>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Offe</dc:creator>
  <cp:keywords/>
  <dc:description/>
  <cp:lastModifiedBy>MdM Germany - Dr. Johanna Offe</cp:lastModifiedBy>
  <cp:revision>3</cp:revision>
  <dcterms:created xsi:type="dcterms:W3CDTF">2025-09-22T09:50:00Z</dcterms:created>
  <dcterms:modified xsi:type="dcterms:W3CDTF">2025-09-22T09:51:00Z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0x010100525CDF6648273E4CA786EC00774E6A77</vt:lpwstr>
  </property>
  <property fmtid="{D5CDD505-2E9C-101B-9397-08002B2CF9AE}" pid="3" name="MediaServiceImageTags">
    <vt:lpwstr/>
  </property>
</Properties>
</file>