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1469" w:rsidRDefault="004A1469" w:rsidP="004A1469">
      <w:pPr>
        <w:jc w:val="both"/>
        <w:rPr>
          <w:rFonts w:ascii="Arial" w:hAnsi="Arial" w:cs="Arial"/>
          <w:sz w:val="24"/>
          <w:lang w:val="es-ES"/>
        </w:rPr>
      </w:pPr>
    </w:p>
    <w:p w:rsidR="004A1469" w:rsidRDefault="004A1469" w:rsidP="004A1469">
      <w:pPr>
        <w:jc w:val="both"/>
        <w:rPr>
          <w:rFonts w:ascii="Arial" w:hAnsi="Arial" w:cs="Arial"/>
          <w:sz w:val="24"/>
          <w:lang w:val="es-ES"/>
        </w:rPr>
      </w:pPr>
      <w:r>
        <w:rPr>
          <w:rFonts w:ascii="Arial" w:hAnsi="Arial" w:cs="Arial"/>
          <w:sz w:val="24"/>
          <w:lang w:val="es-ES"/>
        </w:rPr>
        <w:t>La Comisión de Derechos Humanos de la Ciudad de México (CDHCM) es un organismo constitucional público autónomo que tiene como mandato la promoción, protección, garantía, defensa, vigilancia, estudio, investigación, educación y difusión de los derechos humanos establecidos en el orden jurídico mexicano y en los instrumentos internacionales en la materia ratificados por el Estado, tal como es el caso de la Convención Internacional para la Protección de Todas las Personas contra las Desapariciones Forzadas (en lo sucesivo, Convención).</w:t>
      </w:r>
    </w:p>
    <w:p w:rsidR="004A1469" w:rsidRDefault="004A1469" w:rsidP="004A1469">
      <w:pPr>
        <w:jc w:val="both"/>
        <w:rPr>
          <w:rFonts w:ascii="Arial" w:hAnsi="Arial" w:cs="Arial"/>
          <w:sz w:val="24"/>
          <w:lang w:val="es-ES"/>
        </w:rPr>
      </w:pPr>
      <w:r>
        <w:rPr>
          <w:rFonts w:ascii="Arial" w:hAnsi="Arial" w:cs="Arial"/>
          <w:sz w:val="24"/>
          <w:lang w:val="es-ES"/>
        </w:rPr>
        <w:t xml:space="preserve">En ese sentido, se presenta esta contribución relacionada con la </w:t>
      </w:r>
      <w:r w:rsidRPr="00601B82">
        <w:rPr>
          <w:rFonts w:ascii="Arial" w:hAnsi="Arial" w:cs="Arial"/>
          <w:i/>
          <w:sz w:val="24"/>
          <w:lang w:val="es-ES"/>
        </w:rPr>
        <w:t>Información complementaria presentada por México con arreglo al artículo 29, párrafo 4, de la Convención</w:t>
      </w:r>
      <w:r>
        <w:rPr>
          <w:rFonts w:ascii="Arial" w:hAnsi="Arial" w:cs="Arial"/>
          <w:sz w:val="24"/>
          <w:lang w:val="es-ES"/>
        </w:rPr>
        <w:t xml:space="preserve"> el 3 de febrero de 2022, así como con el </w:t>
      </w:r>
      <w:r w:rsidRPr="00601B82">
        <w:rPr>
          <w:rFonts w:ascii="Arial" w:hAnsi="Arial" w:cs="Arial"/>
          <w:i/>
          <w:sz w:val="24"/>
          <w:lang w:val="es-ES"/>
        </w:rPr>
        <w:t>Informe del Comité contra la Desaparición Forzada sobre su visita a México en virtud del artículo 33 de la Convención</w:t>
      </w:r>
      <w:r>
        <w:rPr>
          <w:rFonts w:ascii="Arial" w:hAnsi="Arial" w:cs="Arial"/>
          <w:sz w:val="24"/>
          <w:lang w:val="es-ES"/>
        </w:rPr>
        <w:t xml:space="preserve"> emitidos el 16 y 18 de mayo del 2022. </w:t>
      </w:r>
    </w:p>
    <w:p w:rsidR="004A1469" w:rsidRDefault="004A1469" w:rsidP="004A1469">
      <w:pPr>
        <w:jc w:val="both"/>
        <w:rPr>
          <w:rFonts w:ascii="Arial" w:hAnsi="Arial" w:cs="Arial"/>
          <w:sz w:val="24"/>
          <w:lang w:val="es-ES"/>
        </w:rPr>
      </w:pPr>
      <w:r>
        <w:rPr>
          <w:rFonts w:ascii="Arial" w:hAnsi="Arial" w:cs="Arial"/>
          <w:sz w:val="24"/>
          <w:lang w:val="es-ES"/>
        </w:rPr>
        <w:t xml:space="preserve">De forma principal, esta CDHCM centrará sus aportaciones en </w:t>
      </w:r>
      <w:r w:rsidR="003A74D5">
        <w:rPr>
          <w:rFonts w:ascii="Arial" w:hAnsi="Arial" w:cs="Arial"/>
          <w:sz w:val="24"/>
          <w:lang w:val="es-ES"/>
        </w:rPr>
        <w:t>dos</w:t>
      </w:r>
      <w:r>
        <w:rPr>
          <w:rFonts w:ascii="Arial" w:hAnsi="Arial" w:cs="Arial"/>
          <w:sz w:val="24"/>
          <w:lang w:val="es-ES"/>
        </w:rPr>
        <w:t xml:space="preserve"> temas que abarcan gran parte de las recomendaciones que el Comité realizó tras la visita y la información complementaria recibida</w:t>
      </w:r>
      <w:r w:rsidRPr="00164561">
        <w:rPr>
          <w:rFonts w:ascii="Arial" w:hAnsi="Arial" w:cs="Arial"/>
          <w:sz w:val="24"/>
          <w:lang w:val="es-ES"/>
        </w:rPr>
        <w:t>; el rol de los Organismos Públicos de Derechos Humanos en la atención a la crisis de desaparición forzada</w:t>
      </w:r>
      <w:r w:rsidR="003A74D5">
        <w:rPr>
          <w:rFonts w:ascii="Arial" w:hAnsi="Arial" w:cs="Arial"/>
          <w:sz w:val="24"/>
          <w:lang w:val="es-ES"/>
        </w:rPr>
        <w:t xml:space="preserve"> y </w:t>
      </w:r>
      <w:r w:rsidRPr="00164561">
        <w:rPr>
          <w:rFonts w:ascii="Arial" w:hAnsi="Arial" w:cs="Arial"/>
          <w:sz w:val="24"/>
          <w:lang w:val="es-ES"/>
        </w:rPr>
        <w:t>el derecho de todas las personas a ser buscadas bajo la adopción de enfoques diferenciados</w:t>
      </w:r>
      <w:r w:rsidR="003A74D5">
        <w:rPr>
          <w:rFonts w:ascii="Arial" w:hAnsi="Arial" w:cs="Arial"/>
          <w:sz w:val="24"/>
          <w:lang w:val="es-ES"/>
        </w:rPr>
        <w:t>.</w:t>
      </w:r>
    </w:p>
    <w:p w:rsidR="00164561" w:rsidRPr="00164561" w:rsidRDefault="00164561" w:rsidP="004A1469">
      <w:pPr>
        <w:jc w:val="both"/>
        <w:rPr>
          <w:rFonts w:ascii="Arial" w:hAnsi="Arial" w:cs="Arial"/>
          <w:sz w:val="24"/>
          <w:lang w:val="es-ES"/>
        </w:rPr>
      </w:pPr>
      <w:r>
        <w:rPr>
          <w:rFonts w:ascii="Arial" w:hAnsi="Arial" w:cs="Arial"/>
          <w:sz w:val="24"/>
          <w:lang w:val="es-ES"/>
        </w:rPr>
        <w:t xml:space="preserve">Lo anterior, con </w:t>
      </w:r>
      <w:r w:rsidR="00374080">
        <w:rPr>
          <w:rFonts w:ascii="Arial" w:hAnsi="Arial" w:cs="Arial"/>
          <w:sz w:val="24"/>
          <w:lang w:val="es-ES"/>
        </w:rPr>
        <w:t xml:space="preserve">el </w:t>
      </w:r>
      <w:r>
        <w:rPr>
          <w:rFonts w:ascii="Arial" w:hAnsi="Arial" w:cs="Arial"/>
          <w:sz w:val="24"/>
          <w:lang w:val="es-ES"/>
        </w:rPr>
        <w:t xml:space="preserve">propósito de brindar información que pueda ser de utilidad tanto para el Comité como para otras </w:t>
      </w:r>
      <w:bookmarkStart w:id="0" w:name="_GoBack"/>
      <w:bookmarkEnd w:id="0"/>
      <w:r>
        <w:rPr>
          <w:rFonts w:ascii="Arial" w:hAnsi="Arial" w:cs="Arial"/>
          <w:sz w:val="24"/>
          <w:lang w:val="es-ES"/>
        </w:rPr>
        <w:t xml:space="preserve">partes interesadas. En ese sentido, </w:t>
      </w:r>
      <w:r w:rsidR="00396F13">
        <w:rPr>
          <w:rFonts w:ascii="Arial" w:hAnsi="Arial" w:cs="Arial"/>
          <w:sz w:val="24"/>
          <w:lang w:val="es-ES"/>
        </w:rPr>
        <w:t>la CDHCM</w:t>
      </w:r>
      <w:r>
        <w:rPr>
          <w:rFonts w:ascii="Arial" w:hAnsi="Arial" w:cs="Arial"/>
          <w:sz w:val="24"/>
          <w:lang w:val="es-ES"/>
        </w:rPr>
        <w:t xml:space="preserve"> manifiesta que desea que la presente contribución sea pública. </w:t>
      </w:r>
    </w:p>
    <w:p w:rsidR="004A1469" w:rsidRDefault="00164561" w:rsidP="004A1469">
      <w:pPr>
        <w:pStyle w:val="Prrafodelista"/>
        <w:numPr>
          <w:ilvl w:val="0"/>
          <w:numId w:val="1"/>
        </w:numPr>
        <w:jc w:val="both"/>
        <w:rPr>
          <w:rFonts w:ascii="Arial" w:hAnsi="Arial" w:cs="Arial"/>
          <w:b/>
          <w:sz w:val="24"/>
          <w:lang w:val="es-ES"/>
        </w:rPr>
      </w:pPr>
      <w:r>
        <w:rPr>
          <w:rFonts w:ascii="Arial" w:hAnsi="Arial" w:cs="Arial"/>
          <w:b/>
          <w:sz w:val="24"/>
          <w:lang w:val="es-ES"/>
        </w:rPr>
        <w:t>El r</w:t>
      </w:r>
      <w:r w:rsidR="004A1469">
        <w:rPr>
          <w:rFonts w:ascii="Arial" w:hAnsi="Arial" w:cs="Arial"/>
          <w:b/>
          <w:sz w:val="24"/>
          <w:lang w:val="es-ES"/>
        </w:rPr>
        <w:t>ol de los Organismos Públicos de Derechos Humanos (OPDH) en la atención a la crisis de desaparición forzada.</w:t>
      </w:r>
    </w:p>
    <w:p w:rsidR="001B73B4" w:rsidRDefault="004A1469" w:rsidP="004A1469">
      <w:pPr>
        <w:jc w:val="both"/>
        <w:rPr>
          <w:rFonts w:ascii="Arial" w:hAnsi="Arial" w:cs="Arial"/>
          <w:sz w:val="24"/>
          <w:lang w:val="es-ES"/>
        </w:rPr>
      </w:pPr>
      <w:r w:rsidRPr="004A1469">
        <w:rPr>
          <w:rFonts w:ascii="Arial" w:hAnsi="Arial" w:cs="Arial"/>
          <w:sz w:val="24"/>
          <w:lang w:val="es-ES"/>
        </w:rPr>
        <w:t xml:space="preserve">En el </w:t>
      </w:r>
      <w:r w:rsidRPr="004A1469">
        <w:rPr>
          <w:rFonts w:ascii="Arial" w:hAnsi="Arial" w:cs="Arial"/>
          <w:i/>
          <w:sz w:val="24"/>
          <w:lang w:val="es-ES"/>
        </w:rPr>
        <w:t>párrafo 62</w:t>
      </w:r>
      <w:r w:rsidRPr="004A1469">
        <w:rPr>
          <w:rFonts w:ascii="Arial" w:hAnsi="Arial" w:cs="Arial"/>
          <w:sz w:val="24"/>
          <w:lang w:val="es-ES"/>
        </w:rPr>
        <w:t xml:space="preserve"> del</w:t>
      </w:r>
      <w:r w:rsidR="00164561">
        <w:rPr>
          <w:rFonts w:ascii="Arial" w:hAnsi="Arial" w:cs="Arial"/>
          <w:sz w:val="24"/>
          <w:lang w:val="es-ES"/>
        </w:rPr>
        <w:t xml:space="preserve"> primer tomo del</w:t>
      </w:r>
      <w:r w:rsidRPr="004A1469">
        <w:rPr>
          <w:rFonts w:ascii="Arial" w:hAnsi="Arial" w:cs="Arial"/>
          <w:sz w:val="24"/>
          <w:lang w:val="es-ES"/>
        </w:rPr>
        <w:t xml:space="preserve"> </w:t>
      </w:r>
      <w:r w:rsidRPr="004A1469">
        <w:rPr>
          <w:rFonts w:ascii="Arial" w:hAnsi="Arial" w:cs="Arial"/>
          <w:i/>
          <w:sz w:val="24"/>
          <w:lang w:val="es-ES"/>
        </w:rPr>
        <w:t xml:space="preserve">Informe del Comité </w:t>
      </w:r>
      <w:r w:rsidR="00802727">
        <w:rPr>
          <w:rFonts w:ascii="Arial" w:hAnsi="Arial" w:cs="Arial"/>
          <w:i/>
          <w:sz w:val="24"/>
          <w:lang w:val="es-ES"/>
        </w:rPr>
        <w:t>contra la Desaparición Forzada sobre su visita a México en virtud del artículo 33 de la Convención</w:t>
      </w:r>
      <w:r w:rsidRPr="004A1469">
        <w:rPr>
          <w:rFonts w:ascii="Arial" w:hAnsi="Arial" w:cs="Arial"/>
          <w:i/>
          <w:sz w:val="24"/>
          <w:lang w:val="es-ES"/>
        </w:rPr>
        <w:t>,</w:t>
      </w:r>
      <w:r w:rsidRPr="004A1469">
        <w:rPr>
          <w:rFonts w:ascii="Arial" w:hAnsi="Arial" w:cs="Arial"/>
          <w:sz w:val="24"/>
          <w:lang w:val="es-ES"/>
        </w:rPr>
        <w:t xml:space="preserve"> el Comité señaló su preocupación por la falta de independencia y autonomía </w:t>
      </w:r>
      <w:r w:rsidR="001B73B4">
        <w:rPr>
          <w:rFonts w:ascii="Arial" w:hAnsi="Arial" w:cs="Arial"/>
          <w:sz w:val="24"/>
          <w:lang w:val="es-ES"/>
        </w:rPr>
        <w:t xml:space="preserve">tanto </w:t>
      </w:r>
      <w:r w:rsidRPr="004A1469">
        <w:rPr>
          <w:rFonts w:ascii="Arial" w:hAnsi="Arial" w:cs="Arial"/>
          <w:sz w:val="24"/>
          <w:lang w:val="es-ES"/>
        </w:rPr>
        <w:t xml:space="preserve">de la Comisión Nacional de los Derechos Humanos (CNDH) </w:t>
      </w:r>
      <w:r w:rsidR="001B73B4">
        <w:rPr>
          <w:rFonts w:ascii="Arial" w:hAnsi="Arial" w:cs="Arial"/>
          <w:sz w:val="24"/>
          <w:lang w:val="es-ES"/>
        </w:rPr>
        <w:t>como</w:t>
      </w:r>
      <w:r w:rsidRPr="004A1469">
        <w:rPr>
          <w:rFonts w:ascii="Arial" w:hAnsi="Arial" w:cs="Arial"/>
          <w:sz w:val="24"/>
          <w:lang w:val="es-ES"/>
        </w:rPr>
        <w:t xml:space="preserve"> de las comisiones estatales. De forma específica, destacó la lentitud </w:t>
      </w:r>
      <w:r w:rsidR="001B73B4">
        <w:rPr>
          <w:rFonts w:ascii="Arial" w:hAnsi="Arial" w:cs="Arial"/>
          <w:sz w:val="24"/>
          <w:lang w:val="es-ES"/>
        </w:rPr>
        <w:t>para</w:t>
      </w:r>
      <w:r w:rsidRPr="004A1469">
        <w:rPr>
          <w:rFonts w:ascii="Arial" w:hAnsi="Arial" w:cs="Arial"/>
          <w:sz w:val="24"/>
          <w:lang w:val="es-ES"/>
        </w:rPr>
        <w:t xml:space="preserve"> resolver quejas especialmente cuando </w:t>
      </w:r>
      <w:r w:rsidR="001B73B4">
        <w:rPr>
          <w:rFonts w:ascii="Arial" w:hAnsi="Arial" w:cs="Arial"/>
          <w:sz w:val="24"/>
          <w:lang w:val="es-ES"/>
        </w:rPr>
        <w:t xml:space="preserve">éstas </w:t>
      </w:r>
      <w:r w:rsidRPr="004A1469">
        <w:rPr>
          <w:rFonts w:ascii="Arial" w:hAnsi="Arial" w:cs="Arial"/>
          <w:sz w:val="24"/>
          <w:lang w:val="es-ES"/>
        </w:rPr>
        <w:t>son</w:t>
      </w:r>
      <w:r w:rsidR="001B73B4">
        <w:rPr>
          <w:rFonts w:ascii="Arial" w:hAnsi="Arial" w:cs="Arial"/>
          <w:sz w:val="24"/>
          <w:lang w:val="es-ES"/>
        </w:rPr>
        <w:t xml:space="preserve"> interpuestas</w:t>
      </w:r>
      <w:r w:rsidRPr="004A1469">
        <w:rPr>
          <w:rFonts w:ascii="Arial" w:hAnsi="Arial" w:cs="Arial"/>
          <w:sz w:val="24"/>
          <w:lang w:val="es-ES"/>
        </w:rPr>
        <w:t xml:space="preserve"> en contra de la Guardia Nacional</w:t>
      </w:r>
      <w:r w:rsidR="001B73B4">
        <w:rPr>
          <w:rFonts w:ascii="Arial" w:hAnsi="Arial" w:cs="Arial"/>
          <w:sz w:val="24"/>
          <w:lang w:val="es-ES"/>
        </w:rPr>
        <w:t xml:space="preserve"> y por graves violaciones a derechos humanos como las des</w:t>
      </w:r>
      <w:r w:rsidRPr="004A1469">
        <w:rPr>
          <w:rFonts w:ascii="Arial" w:hAnsi="Arial" w:cs="Arial"/>
          <w:sz w:val="24"/>
          <w:lang w:val="es-ES"/>
        </w:rPr>
        <w:t>a</w:t>
      </w:r>
      <w:r w:rsidR="001B73B4">
        <w:rPr>
          <w:rFonts w:ascii="Arial" w:hAnsi="Arial" w:cs="Arial"/>
          <w:sz w:val="24"/>
          <w:lang w:val="es-ES"/>
        </w:rPr>
        <w:t>pa</w:t>
      </w:r>
      <w:r w:rsidRPr="004A1469">
        <w:rPr>
          <w:rFonts w:ascii="Arial" w:hAnsi="Arial" w:cs="Arial"/>
          <w:sz w:val="24"/>
          <w:lang w:val="es-ES"/>
        </w:rPr>
        <w:t>riciones forzadas</w:t>
      </w:r>
      <w:r w:rsidR="001B73B4">
        <w:rPr>
          <w:rFonts w:ascii="Arial" w:hAnsi="Arial" w:cs="Arial"/>
          <w:sz w:val="24"/>
          <w:lang w:val="es-ES"/>
        </w:rPr>
        <w:t xml:space="preserve">. </w:t>
      </w:r>
    </w:p>
    <w:p w:rsidR="001B73B4" w:rsidRDefault="001B73B4" w:rsidP="004A1469">
      <w:pPr>
        <w:jc w:val="both"/>
        <w:rPr>
          <w:rFonts w:ascii="Arial" w:hAnsi="Arial" w:cs="Arial"/>
          <w:sz w:val="24"/>
          <w:lang w:val="es-ES"/>
        </w:rPr>
      </w:pPr>
      <w:r>
        <w:rPr>
          <w:rFonts w:ascii="Arial" w:hAnsi="Arial" w:cs="Arial"/>
          <w:sz w:val="24"/>
          <w:lang w:val="es-ES"/>
        </w:rPr>
        <w:t>En dicho informe, el Comité cuestionó</w:t>
      </w:r>
      <w:r w:rsidR="004A1469" w:rsidRPr="004A1469">
        <w:rPr>
          <w:rFonts w:ascii="Arial" w:hAnsi="Arial" w:cs="Arial"/>
          <w:sz w:val="24"/>
          <w:lang w:val="es-ES"/>
        </w:rPr>
        <w:t xml:space="preserve"> </w:t>
      </w:r>
      <w:r>
        <w:rPr>
          <w:rFonts w:ascii="Arial" w:hAnsi="Arial" w:cs="Arial"/>
          <w:sz w:val="24"/>
          <w:lang w:val="es-ES"/>
        </w:rPr>
        <w:t xml:space="preserve">también la omisión </w:t>
      </w:r>
      <w:r w:rsidR="004A1469" w:rsidRPr="004A1469">
        <w:rPr>
          <w:rFonts w:ascii="Arial" w:hAnsi="Arial" w:cs="Arial"/>
          <w:sz w:val="24"/>
          <w:lang w:val="es-ES"/>
        </w:rPr>
        <w:t xml:space="preserve">de no presentar acciones de inconstitucionalidad </w:t>
      </w:r>
      <w:r>
        <w:rPr>
          <w:rFonts w:ascii="Arial" w:hAnsi="Arial" w:cs="Arial"/>
          <w:sz w:val="24"/>
          <w:lang w:val="es-ES"/>
        </w:rPr>
        <w:t xml:space="preserve">en </w:t>
      </w:r>
      <w:r w:rsidR="004A1469" w:rsidRPr="004A1469">
        <w:rPr>
          <w:rFonts w:ascii="Arial" w:hAnsi="Arial" w:cs="Arial"/>
          <w:sz w:val="24"/>
          <w:lang w:val="es-ES"/>
        </w:rPr>
        <w:t xml:space="preserve">contra </w:t>
      </w:r>
      <w:r>
        <w:rPr>
          <w:rFonts w:ascii="Arial" w:hAnsi="Arial" w:cs="Arial"/>
          <w:sz w:val="24"/>
          <w:lang w:val="es-ES"/>
        </w:rPr>
        <w:t>d</w:t>
      </w:r>
      <w:r w:rsidR="004A1469" w:rsidRPr="004A1469">
        <w:rPr>
          <w:rFonts w:ascii="Arial" w:hAnsi="Arial" w:cs="Arial"/>
          <w:sz w:val="24"/>
          <w:lang w:val="es-ES"/>
        </w:rPr>
        <w:t xml:space="preserve">el Acuerdo Presidencial </w:t>
      </w:r>
      <w:r w:rsidR="00E92A0A">
        <w:rPr>
          <w:rFonts w:ascii="Arial" w:hAnsi="Arial" w:cs="Arial"/>
          <w:sz w:val="24"/>
          <w:lang w:val="es-ES"/>
        </w:rPr>
        <w:t>de</w:t>
      </w:r>
      <w:r w:rsidR="004A1469" w:rsidRPr="004A1469">
        <w:rPr>
          <w:rFonts w:ascii="Arial" w:hAnsi="Arial" w:cs="Arial"/>
          <w:sz w:val="24"/>
          <w:lang w:val="es-ES"/>
        </w:rPr>
        <w:t xml:space="preserve"> mayo de 2020 </w:t>
      </w:r>
      <w:r>
        <w:rPr>
          <w:rFonts w:ascii="Arial" w:hAnsi="Arial" w:cs="Arial"/>
          <w:sz w:val="24"/>
          <w:lang w:val="es-ES"/>
        </w:rPr>
        <w:t xml:space="preserve">para autorizar a las Fuerzas Armadas en </w:t>
      </w:r>
      <w:r w:rsidR="00A6731D">
        <w:rPr>
          <w:rFonts w:ascii="Arial" w:hAnsi="Arial" w:cs="Arial"/>
          <w:sz w:val="24"/>
          <w:lang w:val="es-ES"/>
        </w:rPr>
        <w:t>t</w:t>
      </w:r>
      <w:r>
        <w:rPr>
          <w:rFonts w:ascii="Arial" w:hAnsi="Arial" w:cs="Arial"/>
          <w:sz w:val="24"/>
          <w:lang w:val="es-ES"/>
        </w:rPr>
        <w:t xml:space="preserve">areas de Seguridad. </w:t>
      </w:r>
    </w:p>
    <w:p w:rsidR="004A1469" w:rsidRPr="004A1469" w:rsidRDefault="001B73B4" w:rsidP="004A1469">
      <w:pPr>
        <w:jc w:val="both"/>
        <w:rPr>
          <w:rFonts w:ascii="Arial" w:hAnsi="Arial" w:cs="Arial"/>
          <w:sz w:val="24"/>
          <w:lang w:val="es-ES"/>
        </w:rPr>
      </w:pPr>
      <w:r>
        <w:rPr>
          <w:rFonts w:ascii="Arial" w:hAnsi="Arial" w:cs="Arial"/>
          <w:sz w:val="24"/>
          <w:lang w:val="es-ES"/>
        </w:rPr>
        <w:t xml:space="preserve">Asimismo, señaló lo que considera </w:t>
      </w:r>
      <w:r w:rsidR="004A1469" w:rsidRPr="004A1469">
        <w:rPr>
          <w:rFonts w:ascii="Arial" w:hAnsi="Arial" w:cs="Arial"/>
          <w:sz w:val="24"/>
          <w:lang w:val="es-ES"/>
        </w:rPr>
        <w:t xml:space="preserve">pasividad </w:t>
      </w:r>
      <w:r>
        <w:rPr>
          <w:rFonts w:ascii="Arial" w:hAnsi="Arial" w:cs="Arial"/>
          <w:sz w:val="24"/>
          <w:lang w:val="es-ES"/>
        </w:rPr>
        <w:t xml:space="preserve">de los OPDH ante </w:t>
      </w:r>
      <w:r w:rsidR="004A1469" w:rsidRPr="004A1469">
        <w:rPr>
          <w:rFonts w:ascii="Arial" w:hAnsi="Arial" w:cs="Arial"/>
          <w:sz w:val="24"/>
          <w:lang w:val="es-ES"/>
        </w:rPr>
        <w:t>la eliminación de los fideicomisos</w:t>
      </w:r>
      <w:r>
        <w:rPr>
          <w:rFonts w:ascii="Arial" w:hAnsi="Arial" w:cs="Arial"/>
          <w:sz w:val="24"/>
          <w:lang w:val="es-ES"/>
        </w:rPr>
        <w:t>, muchos de los cuales constituían la fuente de garantía de derechos tan relevantes como a la reparación integral de las víctimas</w:t>
      </w:r>
      <w:r w:rsidR="004A1469" w:rsidRPr="004A1469">
        <w:rPr>
          <w:rFonts w:ascii="Arial" w:hAnsi="Arial" w:cs="Arial"/>
          <w:sz w:val="24"/>
          <w:lang w:val="es-ES"/>
        </w:rPr>
        <w:t xml:space="preserve">. Además, </w:t>
      </w:r>
      <w:r>
        <w:rPr>
          <w:rFonts w:ascii="Arial" w:hAnsi="Arial" w:cs="Arial"/>
          <w:sz w:val="24"/>
          <w:lang w:val="es-ES"/>
        </w:rPr>
        <w:t xml:space="preserve">el Comité </w:t>
      </w:r>
      <w:r w:rsidR="004A1469" w:rsidRPr="004A1469">
        <w:rPr>
          <w:rFonts w:ascii="Arial" w:hAnsi="Arial" w:cs="Arial"/>
          <w:sz w:val="24"/>
          <w:lang w:val="es-ES"/>
        </w:rPr>
        <w:t xml:space="preserve">señaló que </w:t>
      </w:r>
      <w:r w:rsidR="004A1469">
        <w:rPr>
          <w:rFonts w:ascii="Arial" w:hAnsi="Arial" w:cs="Arial"/>
          <w:sz w:val="24"/>
          <w:lang w:val="es-ES"/>
        </w:rPr>
        <w:t xml:space="preserve">a su visita </w:t>
      </w:r>
      <w:r w:rsidR="004A1469" w:rsidRPr="004A1469">
        <w:rPr>
          <w:rFonts w:ascii="Arial" w:hAnsi="Arial" w:cs="Arial"/>
          <w:sz w:val="24"/>
          <w:lang w:val="es-ES"/>
        </w:rPr>
        <w:t>no se encontraban nombrad</w:t>
      </w:r>
      <w:r>
        <w:rPr>
          <w:rFonts w:ascii="Arial" w:hAnsi="Arial" w:cs="Arial"/>
          <w:sz w:val="24"/>
          <w:lang w:val="es-ES"/>
        </w:rPr>
        <w:t>a</w:t>
      </w:r>
      <w:r w:rsidR="004A1469" w:rsidRPr="004A1469">
        <w:rPr>
          <w:rFonts w:ascii="Arial" w:hAnsi="Arial" w:cs="Arial"/>
          <w:sz w:val="24"/>
          <w:lang w:val="es-ES"/>
        </w:rPr>
        <w:t>s l</w:t>
      </w:r>
      <w:r>
        <w:rPr>
          <w:rFonts w:ascii="Arial" w:hAnsi="Arial" w:cs="Arial"/>
          <w:sz w:val="24"/>
          <w:lang w:val="es-ES"/>
        </w:rPr>
        <w:t>a</w:t>
      </w:r>
      <w:r w:rsidR="004A1469" w:rsidRPr="004A1469">
        <w:rPr>
          <w:rFonts w:ascii="Arial" w:hAnsi="Arial" w:cs="Arial"/>
          <w:sz w:val="24"/>
          <w:lang w:val="es-ES"/>
        </w:rPr>
        <w:t xml:space="preserve">s </w:t>
      </w:r>
      <w:r>
        <w:rPr>
          <w:rFonts w:ascii="Arial" w:hAnsi="Arial" w:cs="Arial"/>
          <w:sz w:val="24"/>
          <w:lang w:val="es-ES"/>
        </w:rPr>
        <w:t xml:space="preserve">personas integrantes del </w:t>
      </w:r>
      <w:r w:rsidR="004A1469" w:rsidRPr="004A1469">
        <w:rPr>
          <w:rFonts w:ascii="Arial" w:hAnsi="Arial" w:cs="Arial"/>
          <w:sz w:val="24"/>
          <w:lang w:val="es-ES"/>
        </w:rPr>
        <w:t xml:space="preserve">Consejo Consultivo de la CNDH, </w:t>
      </w:r>
      <w:r w:rsidR="008B3B08">
        <w:rPr>
          <w:rFonts w:ascii="Arial" w:hAnsi="Arial" w:cs="Arial"/>
          <w:sz w:val="24"/>
          <w:lang w:val="es-ES"/>
        </w:rPr>
        <w:t xml:space="preserve">y </w:t>
      </w:r>
      <w:r w:rsidR="004A1469" w:rsidRPr="004A1469">
        <w:rPr>
          <w:rFonts w:ascii="Arial" w:hAnsi="Arial" w:cs="Arial"/>
          <w:sz w:val="24"/>
          <w:lang w:val="es-ES"/>
        </w:rPr>
        <w:t>de otros organismos locales.</w:t>
      </w:r>
    </w:p>
    <w:p w:rsidR="00BE2FB6" w:rsidRDefault="00BE2FB6" w:rsidP="004A1469">
      <w:pPr>
        <w:jc w:val="both"/>
        <w:rPr>
          <w:rFonts w:ascii="Arial" w:hAnsi="Arial" w:cs="Arial"/>
          <w:sz w:val="24"/>
          <w:lang w:val="es-ES"/>
        </w:rPr>
      </w:pPr>
    </w:p>
    <w:p w:rsidR="004A1469" w:rsidRPr="00802727" w:rsidRDefault="00BE2FB6" w:rsidP="004A1469">
      <w:pPr>
        <w:jc w:val="both"/>
        <w:rPr>
          <w:rFonts w:ascii="Arial" w:hAnsi="Arial" w:cs="Arial"/>
          <w:b/>
          <w:sz w:val="24"/>
          <w:szCs w:val="24"/>
          <w:lang w:val="es-ES"/>
        </w:rPr>
      </w:pPr>
      <w:r>
        <w:rPr>
          <w:rFonts w:ascii="Arial" w:hAnsi="Arial" w:cs="Arial"/>
          <w:sz w:val="24"/>
          <w:lang w:val="es-ES"/>
        </w:rPr>
        <w:t>Por su parte</w:t>
      </w:r>
      <w:r w:rsidR="004A1469">
        <w:rPr>
          <w:rFonts w:ascii="Arial" w:hAnsi="Arial" w:cs="Arial"/>
          <w:sz w:val="24"/>
          <w:lang w:val="es-ES"/>
        </w:rPr>
        <w:t xml:space="preserve">, en el </w:t>
      </w:r>
      <w:r w:rsidR="004A1469" w:rsidRPr="004A1469">
        <w:rPr>
          <w:rFonts w:ascii="Arial" w:hAnsi="Arial" w:cs="Arial"/>
          <w:i/>
          <w:sz w:val="24"/>
          <w:lang w:val="es-ES"/>
        </w:rPr>
        <w:t>párrafo 70</w:t>
      </w:r>
      <w:r w:rsidR="004A1469">
        <w:rPr>
          <w:rFonts w:ascii="Arial" w:hAnsi="Arial" w:cs="Arial"/>
          <w:sz w:val="24"/>
          <w:lang w:val="es-ES"/>
        </w:rPr>
        <w:t xml:space="preserve"> </w:t>
      </w:r>
      <w:r>
        <w:rPr>
          <w:rFonts w:ascii="Arial" w:hAnsi="Arial" w:cs="Arial"/>
          <w:sz w:val="24"/>
          <w:lang w:val="es-ES"/>
        </w:rPr>
        <w:t xml:space="preserve">del mismo informe, </w:t>
      </w:r>
      <w:r w:rsidR="004A1469">
        <w:rPr>
          <w:rFonts w:ascii="Arial" w:hAnsi="Arial" w:cs="Arial"/>
          <w:sz w:val="24"/>
          <w:lang w:val="es-ES"/>
        </w:rPr>
        <w:t xml:space="preserve">el </w:t>
      </w:r>
      <w:r w:rsidR="004A1469" w:rsidRPr="000362B4">
        <w:rPr>
          <w:rFonts w:ascii="Arial" w:hAnsi="Arial" w:cs="Arial"/>
          <w:sz w:val="24"/>
          <w:lang w:val="es-ES"/>
        </w:rPr>
        <w:t>Comité advirti</w:t>
      </w:r>
      <w:r w:rsidR="004A1469">
        <w:rPr>
          <w:rFonts w:ascii="Arial" w:hAnsi="Arial" w:cs="Arial"/>
          <w:sz w:val="24"/>
          <w:lang w:val="es-ES"/>
        </w:rPr>
        <w:t>ó</w:t>
      </w:r>
      <w:r w:rsidR="004A1469" w:rsidRPr="000362B4">
        <w:rPr>
          <w:rFonts w:ascii="Arial" w:hAnsi="Arial" w:cs="Arial"/>
          <w:sz w:val="24"/>
          <w:lang w:val="es-ES"/>
        </w:rPr>
        <w:t xml:space="preserve"> que </w:t>
      </w:r>
      <w:r w:rsidR="004A1469" w:rsidRPr="000362B4">
        <w:rPr>
          <w:rFonts w:ascii="Arial" w:hAnsi="Arial" w:cs="Arial"/>
          <w:sz w:val="24"/>
          <w:szCs w:val="24"/>
          <w:lang w:val="es-ES"/>
        </w:rPr>
        <w:t xml:space="preserve">México debe garantizar que </w:t>
      </w:r>
      <w:r w:rsidR="004A1469">
        <w:rPr>
          <w:rFonts w:ascii="Arial" w:hAnsi="Arial" w:cs="Arial"/>
          <w:sz w:val="24"/>
          <w:szCs w:val="24"/>
          <w:lang w:val="es-ES"/>
        </w:rPr>
        <w:t>las Comisiones</w:t>
      </w:r>
      <w:r w:rsidR="004A1469" w:rsidRPr="000362B4">
        <w:rPr>
          <w:rFonts w:ascii="Arial" w:hAnsi="Arial" w:cs="Arial"/>
          <w:sz w:val="24"/>
          <w:szCs w:val="24"/>
          <w:lang w:val="es-ES"/>
        </w:rPr>
        <w:t xml:space="preserve"> de </w:t>
      </w:r>
      <w:r w:rsidR="004A1469">
        <w:rPr>
          <w:rFonts w:ascii="Arial" w:hAnsi="Arial" w:cs="Arial"/>
          <w:sz w:val="24"/>
          <w:szCs w:val="24"/>
          <w:lang w:val="es-ES"/>
        </w:rPr>
        <w:t>D</w:t>
      </w:r>
      <w:r w:rsidR="004A1469" w:rsidRPr="000362B4">
        <w:rPr>
          <w:rFonts w:ascii="Arial" w:hAnsi="Arial" w:cs="Arial"/>
          <w:sz w:val="24"/>
          <w:szCs w:val="24"/>
          <w:lang w:val="es-ES"/>
        </w:rPr>
        <w:t xml:space="preserve">erechos </w:t>
      </w:r>
      <w:r w:rsidR="004A1469">
        <w:rPr>
          <w:rFonts w:ascii="Arial" w:hAnsi="Arial" w:cs="Arial"/>
          <w:sz w:val="24"/>
          <w:szCs w:val="24"/>
          <w:lang w:val="es-ES"/>
        </w:rPr>
        <w:t>H</w:t>
      </w:r>
      <w:r w:rsidR="004A1469" w:rsidRPr="000362B4">
        <w:rPr>
          <w:rFonts w:ascii="Arial" w:hAnsi="Arial" w:cs="Arial"/>
          <w:sz w:val="24"/>
          <w:szCs w:val="24"/>
          <w:lang w:val="es-ES"/>
        </w:rPr>
        <w:t>umanos</w:t>
      </w:r>
      <w:r w:rsidR="004A1469">
        <w:rPr>
          <w:rFonts w:ascii="Arial" w:hAnsi="Arial" w:cs="Arial"/>
          <w:sz w:val="24"/>
          <w:szCs w:val="24"/>
          <w:lang w:val="es-ES"/>
        </w:rPr>
        <w:t xml:space="preserve"> -tanto la Nacional como las locales-</w:t>
      </w:r>
      <w:r w:rsidR="004A1469" w:rsidRPr="000362B4">
        <w:rPr>
          <w:rFonts w:ascii="Arial" w:hAnsi="Arial" w:cs="Arial"/>
          <w:sz w:val="24"/>
          <w:szCs w:val="24"/>
          <w:lang w:val="es-ES"/>
        </w:rPr>
        <w:t xml:space="preserve"> </w:t>
      </w:r>
      <w:r w:rsidR="004A1469" w:rsidRPr="00B10903">
        <w:rPr>
          <w:rFonts w:ascii="Arial" w:hAnsi="Arial" w:cs="Arial"/>
          <w:sz w:val="24"/>
          <w:szCs w:val="24"/>
          <w:lang w:val="es-ES"/>
        </w:rPr>
        <w:t>ejerzan sus funciones en total autonomía e independencia por lo que deben fortalecer su capacidad de investigación, mejorar la gestión de todos los expedientes, brindar atención a los casos particularmente complejos, optimizar el seguimiento de sus recomendaciones y, en particular, hacer uso efectivo de todas las atribuciones que le otorga la Constitución como organismo de protección, observancia, promoción, estudio y divulgación de los derechos humanos.</w:t>
      </w:r>
      <w:r w:rsidR="004A1469" w:rsidRPr="00802727">
        <w:rPr>
          <w:rFonts w:ascii="Arial" w:hAnsi="Arial" w:cs="Arial"/>
          <w:b/>
          <w:sz w:val="24"/>
          <w:szCs w:val="24"/>
          <w:lang w:val="es-ES"/>
        </w:rPr>
        <w:t xml:space="preserve"> </w:t>
      </w:r>
    </w:p>
    <w:p w:rsidR="00BE2FB6" w:rsidRDefault="004A1469" w:rsidP="001279D9">
      <w:pPr>
        <w:jc w:val="both"/>
        <w:rPr>
          <w:rFonts w:ascii="Arial" w:hAnsi="Arial" w:cs="Arial"/>
          <w:sz w:val="24"/>
          <w:szCs w:val="24"/>
          <w:lang w:val="es-ES"/>
        </w:rPr>
      </w:pPr>
      <w:r>
        <w:rPr>
          <w:rFonts w:ascii="Arial" w:hAnsi="Arial" w:cs="Arial"/>
          <w:sz w:val="24"/>
          <w:szCs w:val="24"/>
          <w:lang w:val="es-ES"/>
        </w:rPr>
        <w:t xml:space="preserve">Al respecto, </w:t>
      </w:r>
      <w:r w:rsidR="00064A9D">
        <w:rPr>
          <w:rFonts w:ascii="Arial" w:hAnsi="Arial" w:cs="Arial"/>
          <w:sz w:val="24"/>
          <w:szCs w:val="24"/>
          <w:lang w:val="es-ES"/>
        </w:rPr>
        <w:t xml:space="preserve">para esta Comisión de Derechos Humanos de la Ciudad de México es importante </w:t>
      </w:r>
      <w:r w:rsidR="00BE2FB6">
        <w:rPr>
          <w:rFonts w:ascii="Arial" w:hAnsi="Arial" w:cs="Arial"/>
          <w:sz w:val="24"/>
          <w:szCs w:val="24"/>
          <w:lang w:val="es-ES"/>
        </w:rPr>
        <w:t>plantear elementos relevantes del contexto mexicano para arribar a la correcta comprensión del Sistema No Jurisdiccional de Derechos Humanos y la posterior identificación de falencias tanto de diseño normativo como de operación de los organismos que lo integran en aras de su mejora continua.</w:t>
      </w:r>
    </w:p>
    <w:p w:rsidR="003A3518" w:rsidRDefault="00BE2FB6" w:rsidP="001279D9">
      <w:pPr>
        <w:jc w:val="both"/>
        <w:rPr>
          <w:rFonts w:ascii="Arial" w:hAnsi="Arial" w:cs="Arial"/>
          <w:sz w:val="24"/>
          <w:szCs w:val="24"/>
          <w:lang w:val="es-ES"/>
        </w:rPr>
      </w:pPr>
      <w:r>
        <w:rPr>
          <w:rFonts w:ascii="Arial" w:hAnsi="Arial" w:cs="Arial"/>
          <w:sz w:val="24"/>
          <w:szCs w:val="24"/>
          <w:lang w:val="es-ES"/>
        </w:rPr>
        <w:t xml:space="preserve">El primero de esos elementos es que el </w:t>
      </w:r>
      <w:r w:rsidR="003A3518">
        <w:rPr>
          <w:rFonts w:ascii="Arial" w:hAnsi="Arial" w:cs="Arial"/>
          <w:sz w:val="24"/>
          <w:szCs w:val="24"/>
          <w:lang w:val="es-ES"/>
        </w:rPr>
        <w:t>S</w:t>
      </w:r>
      <w:r>
        <w:rPr>
          <w:rFonts w:ascii="Arial" w:hAnsi="Arial" w:cs="Arial"/>
          <w:sz w:val="24"/>
          <w:szCs w:val="24"/>
          <w:lang w:val="es-ES"/>
        </w:rPr>
        <w:t>istema</w:t>
      </w:r>
      <w:r w:rsidR="003A3518">
        <w:rPr>
          <w:rFonts w:ascii="Arial" w:hAnsi="Arial" w:cs="Arial"/>
          <w:sz w:val="24"/>
          <w:szCs w:val="24"/>
          <w:lang w:val="es-ES"/>
        </w:rPr>
        <w:t xml:space="preserve"> No Jurisdiccional</w:t>
      </w:r>
      <w:r>
        <w:rPr>
          <w:rFonts w:ascii="Arial" w:hAnsi="Arial" w:cs="Arial"/>
          <w:sz w:val="24"/>
          <w:szCs w:val="24"/>
          <w:lang w:val="es-ES"/>
        </w:rPr>
        <w:t xml:space="preserve"> </w:t>
      </w:r>
      <w:r w:rsidR="003A3518">
        <w:rPr>
          <w:rFonts w:ascii="Arial" w:hAnsi="Arial" w:cs="Arial"/>
          <w:sz w:val="24"/>
          <w:szCs w:val="24"/>
          <w:lang w:val="es-ES"/>
        </w:rPr>
        <w:t>de Protección de</w:t>
      </w:r>
      <w:r w:rsidR="00064A9D" w:rsidRPr="00BE2FB6">
        <w:rPr>
          <w:rFonts w:ascii="Arial" w:hAnsi="Arial" w:cs="Arial"/>
          <w:sz w:val="24"/>
          <w:szCs w:val="24"/>
          <w:lang w:val="es-ES"/>
        </w:rPr>
        <w:t xml:space="preserve"> Derechos Humanos del país no</w:t>
      </w:r>
      <w:r w:rsidR="003A3518">
        <w:rPr>
          <w:rFonts w:ascii="Arial" w:hAnsi="Arial" w:cs="Arial"/>
          <w:sz w:val="24"/>
          <w:szCs w:val="24"/>
          <w:lang w:val="es-ES"/>
        </w:rPr>
        <w:t xml:space="preserve"> está conformado por organismos homogéneos en recursos, capacidades, planes y estrategias de trabajo. Si bien es cierto que todos los Organismos cuentan, por mandato constitucional, con un piso mínimo que describe su naturaleza jurídica como organismos autónomos y sus facultades de atención a quejas y emisión de recomendaciones a las autoridades,</w:t>
      </w:r>
      <w:r w:rsidR="00142D36" w:rsidRPr="00142D36">
        <w:rPr>
          <w:rStyle w:val="Refdenotaalpie"/>
          <w:rFonts w:ascii="Arial" w:hAnsi="Arial" w:cs="Arial"/>
          <w:sz w:val="24"/>
          <w:szCs w:val="24"/>
          <w:lang w:val="es-ES"/>
        </w:rPr>
        <w:t xml:space="preserve"> </w:t>
      </w:r>
      <w:r w:rsidR="00142D36">
        <w:rPr>
          <w:rStyle w:val="Refdenotaalpie"/>
          <w:rFonts w:ascii="Arial" w:hAnsi="Arial" w:cs="Arial"/>
          <w:sz w:val="24"/>
          <w:szCs w:val="24"/>
          <w:lang w:val="es-ES"/>
        </w:rPr>
        <w:footnoteReference w:id="1"/>
      </w:r>
      <w:r w:rsidR="003A3518">
        <w:rPr>
          <w:rFonts w:ascii="Arial" w:hAnsi="Arial" w:cs="Arial"/>
          <w:sz w:val="24"/>
          <w:szCs w:val="24"/>
          <w:lang w:val="es-ES"/>
        </w:rPr>
        <w:t xml:space="preserve"> lo es también que existen diferencias presupuestales muy significativas que determinan la capacidad de respuesta de las Comisiones.</w:t>
      </w:r>
    </w:p>
    <w:p w:rsidR="003A3518" w:rsidRDefault="003A3518" w:rsidP="001279D9">
      <w:pPr>
        <w:jc w:val="both"/>
        <w:rPr>
          <w:rFonts w:ascii="Arial" w:hAnsi="Arial" w:cs="Arial"/>
          <w:sz w:val="24"/>
          <w:szCs w:val="24"/>
          <w:lang w:val="es-ES"/>
        </w:rPr>
      </w:pPr>
      <w:r>
        <w:rPr>
          <w:rFonts w:ascii="Arial" w:hAnsi="Arial" w:cs="Arial"/>
          <w:sz w:val="24"/>
          <w:szCs w:val="24"/>
          <w:lang w:val="es-ES"/>
        </w:rPr>
        <w:t>Sumado a ello y con frecuencia asociado a ello, las Comisiones locales se enfrentan a condiciones desfavorables para ejercer una verdadera autonomía frente a los Poderes locales, así como a una profesionalización muy diferenciada en sus estructuras, lo que con frecuencia se traduce en una capacidad limitada para el ejercicio de sus funciones.</w:t>
      </w:r>
    </w:p>
    <w:p w:rsidR="003A3518" w:rsidRDefault="003A3518" w:rsidP="001279D9">
      <w:pPr>
        <w:jc w:val="both"/>
        <w:rPr>
          <w:rFonts w:ascii="Arial" w:hAnsi="Arial" w:cs="Arial"/>
          <w:sz w:val="24"/>
          <w:szCs w:val="24"/>
          <w:lang w:val="es-ES"/>
        </w:rPr>
      </w:pPr>
      <w:r>
        <w:rPr>
          <w:rFonts w:ascii="Arial" w:hAnsi="Arial" w:cs="Arial"/>
          <w:sz w:val="24"/>
          <w:szCs w:val="24"/>
          <w:lang w:val="es-ES"/>
        </w:rPr>
        <w:t>El reconocimiento de la diversidad existente entre los OPDH locales obliga a un análisis esmerado de las respuestas de dichas instituciones ante el contexto de graves violaciones a derechos humanos en el país, tal como la desaparición forzada.</w:t>
      </w:r>
    </w:p>
    <w:p w:rsidR="00D46A33" w:rsidRDefault="003A3518" w:rsidP="001279D9">
      <w:pPr>
        <w:jc w:val="both"/>
        <w:rPr>
          <w:rFonts w:ascii="Arial" w:hAnsi="Arial" w:cs="Arial"/>
          <w:sz w:val="24"/>
          <w:szCs w:val="24"/>
          <w:lang w:val="es-ES"/>
        </w:rPr>
      </w:pPr>
      <w:r>
        <w:rPr>
          <w:rFonts w:ascii="Arial" w:hAnsi="Arial" w:cs="Arial"/>
          <w:sz w:val="24"/>
          <w:szCs w:val="24"/>
          <w:lang w:val="es-ES"/>
        </w:rPr>
        <w:t>Un segundo elemento de relevancia para tal análisis en la gestión y ejercicio de mandato constitucional de los OPDH tiene que ver con el ámbito competencial que guarda la CNDH encargada de la competencia Federal</w:t>
      </w:r>
      <w:r w:rsidR="00D46A33">
        <w:rPr>
          <w:rFonts w:ascii="Arial" w:hAnsi="Arial" w:cs="Arial"/>
          <w:sz w:val="24"/>
          <w:szCs w:val="24"/>
          <w:lang w:val="es-ES"/>
        </w:rPr>
        <w:t xml:space="preserve"> con respecto a los OPDH de las 32 entidades federativas del país que cuentan con facultades limitadas al ámbito de competencia de su territorio que se cumple estrictamente en lo que respecta a la atención de los casos y también, al ejercicio de los controles </w:t>
      </w:r>
      <w:r w:rsidR="00D46A33">
        <w:rPr>
          <w:rFonts w:ascii="Arial" w:hAnsi="Arial" w:cs="Arial"/>
          <w:sz w:val="24"/>
          <w:szCs w:val="24"/>
          <w:lang w:val="es-ES"/>
        </w:rPr>
        <w:lastRenderedPageBreak/>
        <w:t>constitucionales como Acciones de Inconstitucionalidad limitados en muchos supuestos para estos organismos</w:t>
      </w:r>
      <w:r w:rsidR="00390345">
        <w:rPr>
          <w:rFonts w:ascii="Arial" w:hAnsi="Arial" w:cs="Arial"/>
          <w:sz w:val="24"/>
          <w:szCs w:val="24"/>
          <w:lang w:val="es-ES"/>
        </w:rPr>
        <w:t xml:space="preserve">. </w:t>
      </w:r>
      <w:r w:rsidR="00390345">
        <w:rPr>
          <w:rStyle w:val="Refdenotaalpie"/>
          <w:rFonts w:ascii="Arial" w:hAnsi="Arial" w:cs="Arial"/>
          <w:sz w:val="24"/>
          <w:szCs w:val="24"/>
          <w:lang w:val="es-ES"/>
        </w:rPr>
        <w:footnoteReference w:id="2"/>
      </w:r>
      <w:r w:rsidR="00D46A33">
        <w:rPr>
          <w:rFonts w:ascii="Arial" w:hAnsi="Arial" w:cs="Arial"/>
          <w:sz w:val="24"/>
          <w:szCs w:val="24"/>
          <w:lang w:val="es-ES"/>
        </w:rPr>
        <w:t xml:space="preserve"> </w:t>
      </w:r>
    </w:p>
    <w:p w:rsidR="00D46A33" w:rsidRDefault="00D46A33" w:rsidP="001279D9">
      <w:pPr>
        <w:jc w:val="both"/>
        <w:rPr>
          <w:rFonts w:ascii="Arial" w:hAnsi="Arial" w:cs="Arial"/>
          <w:sz w:val="24"/>
          <w:szCs w:val="24"/>
          <w:lang w:val="es-ES"/>
        </w:rPr>
      </w:pPr>
      <w:r>
        <w:rPr>
          <w:rFonts w:ascii="Arial" w:hAnsi="Arial" w:cs="Arial"/>
          <w:sz w:val="24"/>
          <w:szCs w:val="24"/>
          <w:lang w:val="es-ES"/>
        </w:rPr>
        <w:t>Finalmente, es un hecho que con frecuencia se concluye que existe una relación jerárquica operativa entre la CNDH y los OPDH locales pues aún cuando tal relación no corresponde a un diseño constitucional, por muchos años esta jerarquía se ha puesto en práctica como consecuencia de la debilidad de muchos OPDH cuya razón de ser se ha descrito de manera general en párrafos previos.</w:t>
      </w:r>
    </w:p>
    <w:p w:rsidR="00D46A33" w:rsidRDefault="0046791F" w:rsidP="001279D9">
      <w:pPr>
        <w:jc w:val="both"/>
        <w:rPr>
          <w:rFonts w:ascii="Arial" w:hAnsi="Arial" w:cs="Arial"/>
          <w:sz w:val="24"/>
          <w:szCs w:val="24"/>
          <w:lang w:val="es-ES"/>
        </w:rPr>
      </w:pPr>
      <w:r>
        <w:rPr>
          <w:rFonts w:ascii="Arial" w:hAnsi="Arial" w:cs="Arial"/>
          <w:sz w:val="24"/>
          <w:szCs w:val="24"/>
          <w:lang w:val="es-ES"/>
        </w:rPr>
        <w:t>En la actualidad, la dinámica tradicional de relación entre el Organismo Nacional y los locales está mudando para adecuarse a una verdadera división de competencias y colaboración entre los Organismos que conforman el Sistema.</w:t>
      </w:r>
    </w:p>
    <w:p w:rsidR="00FE2B6A" w:rsidRPr="00FE2B6A" w:rsidRDefault="00FE2B6A" w:rsidP="00FE2B6A">
      <w:pPr>
        <w:jc w:val="both"/>
        <w:rPr>
          <w:rFonts w:ascii="Arial" w:hAnsi="Arial" w:cs="Arial"/>
          <w:sz w:val="24"/>
          <w:szCs w:val="24"/>
          <w:lang w:val="es-ES"/>
        </w:rPr>
      </w:pPr>
      <w:r>
        <w:rPr>
          <w:rFonts w:ascii="Arial" w:hAnsi="Arial" w:cs="Arial"/>
          <w:sz w:val="24"/>
          <w:szCs w:val="24"/>
          <w:lang w:val="es-ES"/>
        </w:rPr>
        <w:t xml:space="preserve">Es decir que los Organismos Públicos de Derechos Humanos en el país </w:t>
      </w:r>
      <w:r w:rsidRPr="00FE2B6A">
        <w:rPr>
          <w:rFonts w:ascii="Arial" w:hAnsi="Arial" w:cs="Arial"/>
          <w:sz w:val="24"/>
          <w:szCs w:val="24"/>
          <w:lang w:val="es-ES"/>
        </w:rPr>
        <w:t>son sistemas independientes entre sí -que no guardan jerarquías- con atribuciones diferentes y que se articulan de maneras específicas con el propósito de responder a la realidad y el contexto particular de cada entidad federativa.</w:t>
      </w:r>
    </w:p>
    <w:p w:rsidR="00FE2B6A" w:rsidRDefault="00FE2B6A" w:rsidP="00FE2B6A">
      <w:pPr>
        <w:jc w:val="both"/>
        <w:rPr>
          <w:rFonts w:ascii="Arial" w:hAnsi="Arial" w:cs="Arial"/>
          <w:sz w:val="24"/>
          <w:szCs w:val="24"/>
          <w:lang w:val="es-ES"/>
        </w:rPr>
      </w:pPr>
      <w:r w:rsidRPr="00FE2B6A">
        <w:rPr>
          <w:rFonts w:ascii="Arial" w:hAnsi="Arial" w:cs="Arial"/>
          <w:sz w:val="24"/>
          <w:szCs w:val="24"/>
          <w:lang w:val="es-ES"/>
        </w:rPr>
        <w:t>Los OPDH estatales son actores clave en nuestro país pues actúan en territorio, intervienen en la conflictividad social diaria y desarrollan una mirada y metodología propia desde un enfoque contextual que no puede ni debe ser minimizada pues ante los escenarios de violencia como los que se atraviesan en la actualidad, los Organismos estatales están llamados actuar en lo local para resolver grandes problemáticas. Sin embargo, dicha labor se realiza -en muchas ocasiones- sin que las condiciones mínimas sean garantizadas</w:t>
      </w:r>
      <w:r w:rsidRPr="00470D7E">
        <w:rPr>
          <w:rFonts w:ascii="Arial" w:hAnsi="Arial" w:cs="Arial"/>
          <w:b/>
          <w:sz w:val="24"/>
          <w:szCs w:val="24"/>
          <w:lang w:val="es-ES"/>
        </w:rPr>
        <w:t>.</w:t>
      </w:r>
      <w:r>
        <w:rPr>
          <w:rFonts w:ascii="Arial" w:hAnsi="Arial" w:cs="Arial"/>
          <w:sz w:val="24"/>
          <w:szCs w:val="24"/>
          <w:lang w:val="es-ES"/>
        </w:rPr>
        <w:t xml:space="preserve">  </w:t>
      </w:r>
    </w:p>
    <w:p w:rsidR="00162C31" w:rsidRPr="00FE2B6A" w:rsidRDefault="005646B9" w:rsidP="00445B43">
      <w:pPr>
        <w:jc w:val="both"/>
        <w:rPr>
          <w:rFonts w:ascii="Arial" w:hAnsi="Arial" w:cs="Arial"/>
          <w:sz w:val="24"/>
          <w:szCs w:val="24"/>
          <w:lang w:val="es-ES"/>
        </w:rPr>
      </w:pPr>
      <w:r>
        <w:rPr>
          <w:rFonts w:ascii="Arial" w:hAnsi="Arial" w:cs="Arial"/>
          <w:sz w:val="24"/>
          <w:szCs w:val="24"/>
          <w:lang w:val="es-ES"/>
        </w:rPr>
        <w:t>Es</w:t>
      </w:r>
      <w:r w:rsidR="00FB79D9" w:rsidRPr="00FE2B6A">
        <w:rPr>
          <w:rFonts w:ascii="Arial" w:hAnsi="Arial" w:cs="Arial"/>
          <w:sz w:val="24"/>
          <w:szCs w:val="24"/>
          <w:lang w:val="es-ES"/>
        </w:rPr>
        <w:t xml:space="preserve"> necesario enfatizar que los Organismos estatales aún y cuando</w:t>
      </w:r>
      <w:r w:rsidR="00FC3228" w:rsidRPr="00FE2B6A">
        <w:rPr>
          <w:rFonts w:ascii="Arial" w:hAnsi="Arial" w:cs="Arial"/>
          <w:sz w:val="24"/>
          <w:szCs w:val="24"/>
          <w:lang w:val="es-ES"/>
        </w:rPr>
        <w:t xml:space="preserve"> durante 2021 brindaron casi </w:t>
      </w:r>
      <w:r w:rsidR="00711DAD" w:rsidRPr="00FE2B6A">
        <w:rPr>
          <w:rFonts w:ascii="Arial" w:hAnsi="Arial" w:cs="Arial"/>
          <w:sz w:val="24"/>
          <w:szCs w:val="24"/>
          <w:lang w:val="es-ES"/>
        </w:rPr>
        <w:t>el 40% de los servicios de atención inmediata y más del 54% de las quejas por presuntas violaciones a derechos humanos,</w:t>
      </w:r>
      <w:r w:rsidR="00711DAD" w:rsidRPr="00FE2B6A">
        <w:rPr>
          <w:rStyle w:val="Refdenotaalpie"/>
          <w:rFonts w:ascii="Arial" w:hAnsi="Arial" w:cs="Arial"/>
          <w:sz w:val="24"/>
          <w:szCs w:val="24"/>
          <w:lang w:val="es-ES"/>
        </w:rPr>
        <w:footnoteReference w:id="3"/>
      </w:r>
      <w:r w:rsidR="00711DAD" w:rsidRPr="00FE2B6A">
        <w:rPr>
          <w:rFonts w:ascii="Arial" w:hAnsi="Arial" w:cs="Arial"/>
          <w:sz w:val="24"/>
          <w:szCs w:val="24"/>
          <w:lang w:val="es-ES"/>
        </w:rPr>
        <w:t xml:space="preserve"> tienen un </w:t>
      </w:r>
      <w:r w:rsidR="00FE609A" w:rsidRPr="00FE2B6A">
        <w:rPr>
          <w:rFonts w:ascii="Arial" w:hAnsi="Arial" w:cs="Arial"/>
          <w:sz w:val="24"/>
          <w:szCs w:val="24"/>
          <w:lang w:val="es-ES"/>
        </w:rPr>
        <w:t xml:space="preserve">presupuesto significativamente menor al asignado a la Comisión Nacional de los Derechos Humanos lo que </w:t>
      </w:r>
      <w:r w:rsidR="00A61EF3" w:rsidRPr="00FE2B6A">
        <w:rPr>
          <w:rFonts w:ascii="Arial" w:hAnsi="Arial" w:cs="Arial"/>
          <w:sz w:val="24"/>
          <w:szCs w:val="24"/>
          <w:lang w:val="es-ES"/>
        </w:rPr>
        <w:t xml:space="preserve">limita la posibilidad de actuación. </w:t>
      </w:r>
      <w:r w:rsidR="00162C31" w:rsidRPr="00FE2B6A">
        <w:rPr>
          <w:rFonts w:ascii="Arial" w:hAnsi="Arial" w:cs="Arial"/>
          <w:sz w:val="24"/>
          <w:szCs w:val="24"/>
          <w:lang w:val="es-ES"/>
        </w:rPr>
        <w:t xml:space="preserve">De acuerdo con el Censo </w:t>
      </w:r>
      <w:r w:rsidR="00C12F4D" w:rsidRPr="00FE2B6A">
        <w:rPr>
          <w:rFonts w:ascii="Arial" w:hAnsi="Arial" w:cs="Arial"/>
          <w:sz w:val="24"/>
          <w:szCs w:val="24"/>
          <w:lang w:val="es-ES"/>
        </w:rPr>
        <w:t xml:space="preserve">Nacional de Derechos Humanos Estatal y Federal, durante 2021 el presupuesto ejercido a nivel nacional por todos los organismos -incluida la CNDH- fue de 3,633,005,426 pesos, sin embargo, el 41.2% de dicho presupuesto correspondió a la </w:t>
      </w:r>
      <w:r w:rsidR="00FC3228" w:rsidRPr="00FE2B6A">
        <w:rPr>
          <w:rFonts w:ascii="Arial" w:hAnsi="Arial" w:cs="Arial"/>
          <w:sz w:val="24"/>
          <w:szCs w:val="24"/>
          <w:lang w:val="es-ES"/>
        </w:rPr>
        <w:t>Comisión Nacional</w:t>
      </w:r>
      <w:r w:rsidR="00C12F4D" w:rsidRPr="00FE2B6A">
        <w:rPr>
          <w:rFonts w:ascii="Arial" w:hAnsi="Arial" w:cs="Arial"/>
          <w:sz w:val="24"/>
          <w:szCs w:val="24"/>
          <w:lang w:val="es-ES"/>
        </w:rPr>
        <w:t xml:space="preserve"> y el resto se repartió entre 32 </w:t>
      </w:r>
      <w:r w:rsidR="00FC3228" w:rsidRPr="00FE2B6A">
        <w:rPr>
          <w:rFonts w:ascii="Arial" w:hAnsi="Arial" w:cs="Arial"/>
          <w:sz w:val="24"/>
          <w:szCs w:val="24"/>
          <w:lang w:val="es-ES"/>
        </w:rPr>
        <w:t>o</w:t>
      </w:r>
      <w:r w:rsidR="00C12F4D" w:rsidRPr="00FE2B6A">
        <w:rPr>
          <w:rFonts w:ascii="Arial" w:hAnsi="Arial" w:cs="Arial"/>
          <w:sz w:val="24"/>
          <w:szCs w:val="24"/>
          <w:lang w:val="es-ES"/>
        </w:rPr>
        <w:t>rganismos locales.</w:t>
      </w:r>
      <w:r w:rsidR="00A61EF3" w:rsidRPr="00FE2B6A">
        <w:rPr>
          <w:rStyle w:val="Refdenotaalpie"/>
          <w:rFonts w:ascii="Arial" w:hAnsi="Arial" w:cs="Arial"/>
          <w:sz w:val="24"/>
          <w:szCs w:val="24"/>
          <w:lang w:val="es-ES"/>
        </w:rPr>
        <w:footnoteReference w:id="4"/>
      </w:r>
    </w:p>
    <w:p w:rsidR="00A61EF3" w:rsidRPr="00FE2B6A" w:rsidRDefault="00A61EF3" w:rsidP="001279D9">
      <w:pPr>
        <w:jc w:val="both"/>
        <w:rPr>
          <w:rFonts w:ascii="Arial" w:hAnsi="Arial" w:cs="Arial"/>
          <w:sz w:val="24"/>
          <w:szCs w:val="24"/>
          <w:lang w:val="es-ES"/>
        </w:rPr>
      </w:pPr>
      <w:r w:rsidRPr="00FE2B6A">
        <w:rPr>
          <w:rFonts w:ascii="Arial" w:hAnsi="Arial" w:cs="Arial"/>
          <w:sz w:val="24"/>
          <w:szCs w:val="24"/>
          <w:lang w:val="es-ES"/>
        </w:rPr>
        <w:t>D</w:t>
      </w:r>
      <w:r w:rsidR="00136B18" w:rsidRPr="00FE2B6A">
        <w:rPr>
          <w:rFonts w:ascii="Arial" w:hAnsi="Arial" w:cs="Arial"/>
          <w:sz w:val="24"/>
          <w:szCs w:val="24"/>
          <w:lang w:val="es-ES"/>
        </w:rPr>
        <w:t xml:space="preserve">e forma específica, </w:t>
      </w:r>
      <w:r w:rsidRPr="00FE2B6A">
        <w:rPr>
          <w:rFonts w:ascii="Arial" w:hAnsi="Arial" w:cs="Arial"/>
          <w:sz w:val="24"/>
          <w:szCs w:val="24"/>
          <w:lang w:val="es-ES"/>
        </w:rPr>
        <w:t xml:space="preserve">la CDHCM ha identificado </w:t>
      </w:r>
      <w:r w:rsidR="00E839C2" w:rsidRPr="00FE2B6A">
        <w:rPr>
          <w:rFonts w:ascii="Arial" w:hAnsi="Arial" w:cs="Arial"/>
          <w:sz w:val="24"/>
          <w:szCs w:val="24"/>
          <w:lang w:val="es-ES"/>
        </w:rPr>
        <w:t>que,</w:t>
      </w:r>
      <w:r w:rsidRPr="00FE2B6A">
        <w:rPr>
          <w:rFonts w:ascii="Arial" w:hAnsi="Arial" w:cs="Arial"/>
          <w:sz w:val="24"/>
          <w:szCs w:val="24"/>
          <w:lang w:val="es-ES"/>
        </w:rPr>
        <w:t xml:space="preserve"> dentro de un sistema de protección a derechos humanos heterogéneo</w:t>
      </w:r>
      <w:r>
        <w:rPr>
          <w:rFonts w:ascii="Arial" w:hAnsi="Arial" w:cs="Arial"/>
          <w:b/>
          <w:sz w:val="24"/>
          <w:szCs w:val="24"/>
          <w:lang w:val="es-ES"/>
        </w:rPr>
        <w:t xml:space="preserve"> </w:t>
      </w:r>
      <w:r w:rsidR="0059035A" w:rsidRPr="0059035A">
        <w:rPr>
          <w:rFonts w:ascii="Arial" w:hAnsi="Arial" w:cs="Arial"/>
          <w:sz w:val="24"/>
          <w:szCs w:val="24"/>
          <w:lang w:val="es-ES"/>
        </w:rPr>
        <w:t>para</w:t>
      </w:r>
      <w:r w:rsidRPr="0059035A">
        <w:rPr>
          <w:rFonts w:ascii="Arial" w:hAnsi="Arial" w:cs="Arial"/>
          <w:sz w:val="24"/>
          <w:szCs w:val="24"/>
          <w:lang w:val="es-ES"/>
        </w:rPr>
        <w:t xml:space="preserve"> lograr el fortalecimiento de la </w:t>
      </w:r>
      <w:r w:rsidRPr="0059035A">
        <w:rPr>
          <w:rFonts w:ascii="Arial" w:hAnsi="Arial" w:cs="Arial"/>
          <w:sz w:val="24"/>
          <w:szCs w:val="24"/>
          <w:lang w:val="es-ES"/>
        </w:rPr>
        <w:lastRenderedPageBreak/>
        <w:t>capacidad de investigación, mejorar la gestión de todos los expedientes, brindar atención a los casos complejos y optimizar el seguimiento a las recomendaciones</w:t>
      </w:r>
      <w:r>
        <w:rPr>
          <w:rFonts w:ascii="Arial" w:hAnsi="Arial" w:cs="Arial"/>
          <w:b/>
          <w:sz w:val="24"/>
          <w:szCs w:val="24"/>
          <w:lang w:val="es-ES"/>
        </w:rPr>
        <w:t xml:space="preserve">, </w:t>
      </w:r>
      <w:r w:rsidRPr="00FE2B6A">
        <w:rPr>
          <w:rFonts w:ascii="Arial" w:hAnsi="Arial" w:cs="Arial"/>
          <w:sz w:val="24"/>
          <w:szCs w:val="24"/>
          <w:lang w:val="es-ES"/>
        </w:rPr>
        <w:t xml:space="preserve">es necesario mejorar la articulación y coordinación de los diferentes mecanismos que existen en el país. </w:t>
      </w:r>
    </w:p>
    <w:p w:rsidR="00FB67B4" w:rsidRDefault="00A61EF3" w:rsidP="001279D9">
      <w:pPr>
        <w:jc w:val="both"/>
        <w:rPr>
          <w:rFonts w:ascii="Arial" w:hAnsi="Arial" w:cs="Arial"/>
          <w:sz w:val="24"/>
          <w:szCs w:val="24"/>
          <w:lang w:val="es-ES"/>
        </w:rPr>
      </w:pPr>
      <w:r>
        <w:rPr>
          <w:rFonts w:ascii="Arial" w:hAnsi="Arial" w:cs="Arial"/>
          <w:sz w:val="24"/>
          <w:szCs w:val="24"/>
          <w:lang w:val="es-ES"/>
        </w:rPr>
        <w:t>En ese sentido</w:t>
      </w:r>
      <w:r w:rsidR="00FB67B4">
        <w:rPr>
          <w:rFonts w:ascii="Arial" w:hAnsi="Arial" w:cs="Arial"/>
          <w:sz w:val="24"/>
          <w:szCs w:val="24"/>
          <w:lang w:val="es-ES"/>
        </w:rPr>
        <w:t xml:space="preserve">, la Comisión de Derechos Humanos de la Ciudad de México ha articulado diversos esfuerzos para hacer frente a la crisis en materia de desaparición. Al respecto, </w:t>
      </w:r>
      <w:r w:rsidR="001E5D09">
        <w:rPr>
          <w:rFonts w:ascii="Arial" w:hAnsi="Arial" w:cs="Arial"/>
          <w:sz w:val="24"/>
          <w:szCs w:val="24"/>
          <w:lang w:val="es-ES"/>
        </w:rPr>
        <w:t xml:space="preserve">se destacan las siguientes acciones realizadas entre enero de 2018 </w:t>
      </w:r>
      <w:r>
        <w:rPr>
          <w:rFonts w:ascii="Arial" w:hAnsi="Arial" w:cs="Arial"/>
          <w:sz w:val="24"/>
          <w:szCs w:val="24"/>
          <w:lang w:val="es-ES"/>
        </w:rPr>
        <w:t>y</w:t>
      </w:r>
      <w:r w:rsidR="001E5D09">
        <w:rPr>
          <w:rFonts w:ascii="Arial" w:hAnsi="Arial" w:cs="Arial"/>
          <w:sz w:val="24"/>
          <w:szCs w:val="24"/>
          <w:lang w:val="es-ES"/>
        </w:rPr>
        <w:t xml:space="preserve"> julio de 2023:</w:t>
      </w:r>
    </w:p>
    <w:p w:rsidR="00BE2019" w:rsidRDefault="001C0DC7" w:rsidP="00BE2019">
      <w:pPr>
        <w:pStyle w:val="Prrafodelista"/>
        <w:numPr>
          <w:ilvl w:val="0"/>
          <w:numId w:val="3"/>
        </w:numPr>
        <w:spacing w:after="200" w:line="276" w:lineRule="auto"/>
        <w:jc w:val="both"/>
        <w:rPr>
          <w:rFonts w:ascii="Arial" w:hAnsi="Arial" w:cs="Arial"/>
          <w:i/>
          <w:sz w:val="24"/>
          <w:szCs w:val="24"/>
        </w:rPr>
      </w:pPr>
      <w:r>
        <w:rPr>
          <w:rFonts w:ascii="Arial" w:hAnsi="Arial" w:cs="Arial"/>
          <w:sz w:val="24"/>
          <w:szCs w:val="24"/>
          <w:lang w:val="es-ES"/>
        </w:rPr>
        <w:t>El 26 de octubre de 2020, la CDHCM emitió la</w:t>
      </w:r>
      <w:r w:rsidR="00FB67B4">
        <w:rPr>
          <w:rFonts w:ascii="Arial" w:hAnsi="Arial" w:cs="Arial"/>
          <w:sz w:val="24"/>
          <w:szCs w:val="24"/>
          <w:lang w:val="es-ES"/>
        </w:rPr>
        <w:t xml:space="preserve"> </w:t>
      </w:r>
      <w:r w:rsidR="00FB67B4" w:rsidRPr="00FB67B4">
        <w:rPr>
          <w:rFonts w:ascii="Arial" w:hAnsi="Arial" w:cs="Arial"/>
          <w:i/>
          <w:sz w:val="24"/>
          <w:szCs w:val="24"/>
        </w:rPr>
        <w:t>Recomendación 2/2020</w:t>
      </w:r>
      <w:r w:rsidR="00FB67B4" w:rsidRPr="00413BA6">
        <w:rPr>
          <w:rFonts w:ascii="Arial" w:hAnsi="Arial" w:cs="Arial"/>
          <w:sz w:val="24"/>
          <w:szCs w:val="24"/>
        </w:rPr>
        <w:t xml:space="preserve"> </w:t>
      </w:r>
      <w:r w:rsidR="00FB67B4">
        <w:rPr>
          <w:rFonts w:ascii="Arial" w:hAnsi="Arial" w:cs="Arial"/>
          <w:sz w:val="24"/>
          <w:szCs w:val="24"/>
        </w:rPr>
        <w:t xml:space="preserve">referente a la </w:t>
      </w:r>
      <w:r w:rsidR="00FB67B4" w:rsidRPr="00FB67B4">
        <w:rPr>
          <w:rFonts w:ascii="Arial" w:hAnsi="Arial" w:cs="Arial"/>
          <w:i/>
          <w:sz w:val="24"/>
          <w:szCs w:val="24"/>
        </w:rPr>
        <w:t>Falta de debida diligencia en la búsqueda de personas desaparecidas con perspectiva de género y enfoque diferenciado.</w:t>
      </w:r>
      <w:r w:rsidR="00B236F3">
        <w:rPr>
          <w:rStyle w:val="Refdenotaalpie"/>
          <w:rFonts w:ascii="Arial" w:hAnsi="Arial" w:cs="Arial"/>
          <w:i/>
          <w:sz w:val="24"/>
          <w:szCs w:val="24"/>
        </w:rPr>
        <w:footnoteReference w:id="5"/>
      </w:r>
    </w:p>
    <w:p w:rsidR="008464EB" w:rsidRDefault="008464EB" w:rsidP="00483173">
      <w:pPr>
        <w:spacing w:after="200" w:line="276" w:lineRule="auto"/>
        <w:jc w:val="both"/>
        <w:rPr>
          <w:rFonts w:ascii="Arial" w:hAnsi="Arial" w:cs="Arial"/>
          <w:sz w:val="24"/>
          <w:szCs w:val="24"/>
        </w:rPr>
      </w:pPr>
      <w:r>
        <w:rPr>
          <w:rFonts w:ascii="Arial" w:hAnsi="Arial" w:cs="Arial"/>
          <w:sz w:val="24"/>
          <w:szCs w:val="24"/>
        </w:rPr>
        <w:t xml:space="preserve">Dicha Recomendación recoge a 29 víctimas directas y 4 víctimas indirectas entre las que figuran niñas, niños, adolescentes y mujeres </w:t>
      </w:r>
      <w:r w:rsidR="00902B80">
        <w:rPr>
          <w:rFonts w:ascii="Arial" w:hAnsi="Arial" w:cs="Arial"/>
          <w:sz w:val="24"/>
          <w:szCs w:val="24"/>
        </w:rPr>
        <w:t>por lo que</w:t>
      </w:r>
      <w:r>
        <w:rPr>
          <w:rFonts w:ascii="Arial" w:hAnsi="Arial" w:cs="Arial"/>
          <w:sz w:val="24"/>
          <w:szCs w:val="24"/>
        </w:rPr>
        <w:t xml:space="preserve"> aborda nueve casos de desaparición cometidos en la Ciudad en los que las autoridades encargadas de indagar sobre el paradero de las personas cometieron graves fallas en el cumplimiento de las obligaciones de realizar una investigación seria, imparcial y efectiva para dar con ellas, así como la de proteger el derecho a la vida e integridad de las personas desaparecidas mediante una búsqueda inmediata. </w:t>
      </w:r>
    </w:p>
    <w:p w:rsidR="007B14AB" w:rsidRDefault="008464EB" w:rsidP="00B236F3">
      <w:pPr>
        <w:spacing w:after="200" w:line="276" w:lineRule="auto"/>
        <w:jc w:val="both"/>
        <w:rPr>
          <w:rFonts w:ascii="Arial" w:hAnsi="Arial" w:cs="Arial"/>
          <w:sz w:val="24"/>
          <w:szCs w:val="24"/>
        </w:rPr>
      </w:pPr>
      <w:r>
        <w:rPr>
          <w:rFonts w:ascii="Arial" w:hAnsi="Arial" w:cs="Arial"/>
          <w:sz w:val="24"/>
          <w:szCs w:val="24"/>
        </w:rPr>
        <w:t xml:space="preserve">La Recomendación </w:t>
      </w:r>
      <w:r w:rsidR="0010060F">
        <w:rPr>
          <w:rFonts w:ascii="Arial" w:hAnsi="Arial" w:cs="Arial"/>
          <w:sz w:val="24"/>
          <w:szCs w:val="24"/>
        </w:rPr>
        <w:t xml:space="preserve">-dirigida a la Fiscalía General de Justicia de la Ciudad de México- </w:t>
      </w:r>
      <w:r>
        <w:rPr>
          <w:rFonts w:ascii="Arial" w:hAnsi="Arial" w:cs="Arial"/>
          <w:sz w:val="24"/>
          <w:szCs w:val="24"/>
        </w:rPr>
        <w:t>aborda por primera vez el derecho de las personas a ser buscadas por instituciones especializadas que activen los mecanismos necesarios para dar con su paradero desde una lógica de protección a la vida e integridad</w:t>
      </w:r>
      <w:r w:rsidR="0010060F">
        <w:rPr>
          <w:rFonts w:ascii="Arial" w:hAnsi="Arial" w:cs="Arial"/>
          <w:sz w:val="24"/>
          <w:szCs w:val="24"/>
        </w:rPr>
        <w:t xml:space="preserve"> por lo que dentro de los puntos recomendatorios se estableció </w:t>
      </w:r>
      <w:r w:rsidR="00902B80">
        <w:rPr>
          <w:rFonts w:ascii="Arial" w:hAnsi="Arial" w:cs="Arial"/>
          <w:sz w:val="24"/>
          <w:szCs w:val="24"/>
        </w:rPr>
        <w:t>l</w:t>
      </w:r>
      <w:r w:rsidR="0010060F">
        <w:rPr>
          <w:rFonts w:ascii="Arial" w:hAnsi="Arial" w:cs="Arial"/>
          <w:sz w:val="24"/>
          <w:szCs w:val="24"/>
        </w:rPr>
        <w:t>a valoración para determinar medidas de protección específicas y definir ruta a seguir en los casos de investigación conforme al Protocolo Homologado para la Búsqueda de Personas Desaparecidas y No Localizadas en coordinación con la Comisión de Búsqueda local y bajo perspectiva de género, enfoque de derechos humanos y debida diligencia.</w:t>
      </w:r>
    </w:p>
    <w:p w:rsidR="008464EB" w:rsidRPr="00483173" w:rsidRDefault="0010060F" w:rsidP="00483173">
      <w:pPr>
        <w:spacing w:after="200" w:line="276" w:lineRule="auto"/>
        <w:jc w:val="both"/>
        <w:rPr>
          <w:rFonts w:ascii="Arial" w:hAnsi="Arial" w:cs="Arial"/>
          <w:sz w:val="24"/>
          <w:szCs w:val="24"/>
        </w:rPr>
      </w:pPr>
      <w:r>
        <w:rPr>
          <w:rFonts w:ascii="Arial" w:hAnsi="Arial" w:cs="Arial"/>
          <w:sz w:val="24"/>
          <w:szCs w:val="24"/>
        </w:rPr>
        <w:t>Asimismo, la CDHCM recomendó incluir los Principios Rectores para la Búsqueda de Personas del Comité al Plan de Política Criminal</w:t>
      </w:r>
      <w:r w:rsidR="00B236F3">
        <w:rPr>
          <w:rFonts w:ascii="Arial" w:hAnsi="Arial" w:cs="Arial"/>
          <w:sz w:val="24"/>
          <w:szCs w:val="24"/>
        </w:rPr>
        <w:t xml:space="preserve"> de la Ciudad y actualizar circulares con relación a la búsqueda</w:t>
      </w:r>
      <w:r w:rsidR="007B14AB">
        <w:rPr>
          <w:rFonts w:ascii="Arial" w:hAnsi="Arial" w:cs="Arial"/>
          <w:sz w:val="24"/>
          <w:szCs w:val="24"/>
        </w:rPr>
        <w:t xml:space="preserve"> para todas las personas servidoras públicas involucradas en la búsqueda de personas.</w:t>
      </w:r>
      <w:r w:rsidR="00425139">
        <w:rPr>
          <w:rFonts w:ascii="Arial" w:hAnsi="Arial" w:cs="Arial"/>
          <w:sz w:val="24"/>
          <w:szCs w:val="24"/>
        </w:rPr>
        <w:t xml:space="preserve"> </w:t>
      </w:r>
      <w:r w:rsidR="00E839C2">
        <w:rPr>
          <w:rFonts w:ascii="Arial" w:hAnsi="Arial" w:cs="Arial"/>
          <w:sz w:val="24"/>
          <w:szCs w:val="24"/>
        </w:rPr>
        <w:t>Todos los puntos recomendatorios</w:t>
      </w:r>
      <w:r w:rsidR="00B236F3">
        <w:rPr>
          <w:rFonts w:ascii="Arial" w:hAnsi="Arial" w:cs="Arial"/>
          <w:sz w:val="24"/>
          <w:szCs w:val="24"/>
        </w:rPr>
        <w:t xml:space="preserve"> fueron aceptad</w:t>
      </w:r>
      <w:r w:rsidR="00E839C2">
        <w:rPr>
          <w:rFonts w:ascii="Arial" w:hAnsi="Arial" w:cs="Arial"/>
          <w:sz w:val="24"/>
          <w:szCs w:val="24"/>
        </w:rPr>
        <w:t>o</w:t>
      </w:r>
      <w:r w:rsidR="00B236F3">
        <w:rPr>
          <w:rFonts w:ascii="Arial" w:hAnsi="Arial" w:cs="Arial"/>
          <w:sz w:val="24"/>
          <w:szCs w:val="24"/>
        </w:rPr>
        <w:t>s por la Fiscalía y se encuentran sujet</w:t>
      </w:r>
      <w:r w:rsidR="00F70FEC">
        <w:rPr>
          <w:rFonts w:ascii="Arial" w:hAnsi="Arial" w:cs="Arial"/>
          <w:sz w:val="24"/>
          <w:szCs w:val="24"/>
        </w:rPr>
        <w:t>o</w:t>
      </w:r>
      <w:r w:rsidR="00B236F3">
        <w:rPr>
          <w:rFonts w:ascii="Arial" w:hAnsi="Arial" w:cs="Arial"/>
          <w:sz w:val="24"/>
          <w:szCs w:val="24"/>
        </w:rPr>
        <w:t xml:space="preserve">s a seguimiento. </w:t>
      </w:r>
    </w:p>
    <w:p w:rsidR="00E86C87" w:rsidRPr="00B236F3" w:rsidRDefault="00B236F3" w:rsidP="00BE2019">
      <w:pPr>
        <w:pStyle w:val="Prrafodelista"/>
        <w:numPr>
          <w:ilvl w:val="0"/>
          <w:numId w:val="3"/>
        </w:numPr>
        <w:spacing w:after="200" w:line="276" w:lineRule="auto"/>
        <w:jc w:val="both"/>
        <w:rPr>
          <w:rFonts w:ascii="Arial" w:hAnsi="Arial" w:cs="Arial"/>
          <w:i/>
          <w:sz w:val="24"/>
          <w:szCs w:val="24"/>
        </w:rPr>
      </w:pPr>
      <w:r>
        <w:rPr>
          <w:rFonts w:ascii="Arial" w:hAnsi="Arial" w:cs="Arial"/>
          <w:sz w:val="24"/>
          <w:szCs w:val="24"/>
          <w:lang w:val="es-ES"/>
        </w:rPr>
        <w:lastRenderedPageBreak/>
        <w:t>Desde 2021 s</w:t>
      </w:r>
      <w:r w:rsidR="00E86C87">
        <w:rPr>
          <w:rFonts w:ascii="Arial" w:hAnsi="Arial" w:cs="Arial"/>
          <w:sz w:val="24"/>
          <w:szCs w:val="24"/>
          <w:lang w:val="es-ES"/>
        </w:rPr>
        <w:t>e han celebrado dos</w:t>
      </w:r>
      <w:r w:rsidR="00FB67B4" w:rsidRPr="00BE2019">
        <w:rPr>
          <w:rFonts w:ascii="Arial" w:hAnsi="Arial" w:cs="Arial"/>
          <w:sz w:val="24"/>
          <w:szCs w:val="24"/>
          <w:lang w:val="es-ES"/>
        </w:rPr>
        <w:t xml:space="preserve"> ediciones del </w:t>
      </w:r>
      <w:r w:rsidR="00FB67B4" w:rsidRPr="00206CF0">
        <w:rPr>
          <w:rFonts w:ascii="Arial" w:hAnsi="Arial" w:cs="Arial"/>
          <w:i/>
          <w:sz w:val="24"/>
          <w:szCs w:val="24"/>
          <w:lang w:val="es-ES"/>
        </w:rPr>
        <w:t>Diplomado Profesionalizante en materia de Búsqueda de Personas</w:t>
      </w:r>
      <w:r w:rsidR="00E86C87">
        <w:rPr>
          <w:rFonts w:ascii="Arial" w:hAnsi="Arial" w:cs="Arial"/>
          <w:sz w:val="24"/>
          <w:szCs w:val="24"/>
          <w:lang w:val="es-ES"/>
        </w:rPr>
        <w:t xml:space="preserve"> en conjunto con la Comisión de Búsqueda de Personas de la Ciudad de México, el Instituto de Investigaciones Jurídicas y la Coordinación de la Licenciatura de Ciencia Forense de la Facultad de Medicina, ambas de la Universidad Nacional Autónoma de México (UNAM)</w:t>
      </w:r>
      <w:r>
        <w:rPr>
          <w:rFonts w:ascii="Arial" w:hAnsi="Arial" w:cs="Arial"/>
          <w:sz w:val="24"/>
          <w:szCs w:val="24"/>
          <w:lang w:val="es-ES"/>
        </w:rPr>
        <w:t xml:space="preserve"> con el propósito de desarrollar en las personas participantes competencias que les permitan definir y conocer aspectos relevantes de los Planes de Búsqueda pertinentes al contexto local y las capacidades institucionales, teniendo como eje transversal el derecho de todas las personas a ser buscadas y los enfoques de derechos humanos, diferencial e interseccional. </w:t>
      </w:r>
    </w:p>
    <w:p w:rsidR="00BE2019" w:rsidRDefault="00E86C87" w:rsidP="00E86C87">
      <w:pPr>
        <w:spacing w:after="200" w:line="276" w:lineRule="auto"/>
        <w:jc w:val="both"/>
        <w:rPr>
          <w:rFonts w:ascii="Arial" w:eastAsia="Times New Roman" w:hAnsi="Arial" w:cs="Arial"/>
          <w:color w:val="000000" w:themeColor="text1"/>
          <w:sz w:val="24"/>
          <w:szCs w:val="24"/>
          <w:lang w:eastAsia="es-MX"/>
        </w:rPr>
      </w:pPr>
      <w:r>
        <w:rPr>
          <w:rFonts w:ascii="Arial" w:hAnsi="Arial" w:cs="Arial"/>
          <w:sz w:val="24"/>
          <w:szCs w:val="24"/>
          <w:lang w:val="es-ES"/>
        </w:rPr>
        <w:t>Ambas ediciones estuvieron dirigidas</w:t>
      </w:r>
      <w:r w:rsidRPr="00E86C87">
        <w:rPr>
          <w:rFonts w:ascii="Arial" w:hAnsi="Arial" w:cs="Arial"/>
          <w:sz w:val="24"/>
          <w:szCs w:val="24"/>
          <w:lang w:val="es-ES"/>
        </w:rPr>
        <w:t xml:space="preserve"> a personas servidoras públicas, personas integrantes de colectivos, familiares de víctimas de personas desaparecidas, organizaciones civiles y población en general</w:t>
      </w:r>
      <w:r>
        <w:rPr>
          <w:rFonts w:ascii="Arial" w:hAnsi="Arial" w:cs="Arial"/>
          <w:sz w:val="24"/>
          <w:szCs w:val="24"/>
          <w:lang w:val="es-ES"/>
        </w:rPr>
        <w:t>. En la primera edición (de septiembre de 2021 a marzo de 2022)</w:t>
      </w:r>
      <w:r w:rsidRPr="00E86C87">
        <w:rPr>
          <w:rFonts w:ascii="Arial" w:hAnsi="Arial" w:cs="Arial"/>
          <w:sz w:val="24"/>
          <w:szCs w:val="24"/>
          <w:lang w:val="es-ES"/>
        </w:rPr>
        <w:t xml:space="preserve"> </w:t>
      </w:r>
      <w:r w:rsidR="00B236F3">
        <w:rPr>
          <w:rFonts w:ascii="Arial" w:hAnsi="Arial" w:cs="Arial"/>
          <w:sz w:val="24"/>
          <w:szCs w:val="24"/>
          <w:lang w:val="es-ES"/>
        </w:rPr>
        <w:t xml:space="preserve">se capacitó a </w:t>
      </w:r>
      <w:r w:rsidRPr="00E86C87">
        <w:rPr>
          <w:rFonts w:ascii="Arial" w:hAnsi="Arial" w:cs="Arial"/>
          <w:sz w:val="24"/>
          <w:szCs w:val="24"/>
          <w:lang w:val="es-ES"/>
        </w:rPr>
        <w:t>36 personas</w:t>
      </w:r>
      <w:r w:rsidR="00706E34">
        <w:rPr>
          <w:rStyle w:val="Refdenotaalpie"/>
          <w:rFonts w:ascii="Arial" w:hAnsi="Arial" w:cs="Arial"/>
          <w:sz w:val="24"/>
          <w:szCs w:val="24"/>
          <w:lang w:val="es-ES"/>
        </w:rPr>
        <w:footnoteReference w:id="6"/>
      </w:r>
      <w:r>
        <w:rPr>
          <w:rFonts w:ascii="Arial" w:hAnsi="Arial" w:cs="Arial"/>
          <w:sz w:val="24"/>
          <w:szCs w:val="24"/>
          <w:lang w:val="es-ES"/>
        </w:rPr>
        <w:t xml:space="preserve"> </w:t>
      </w:r>
      <w:r w:rsidR="00B236F3">
        <w:rPr>
          <w:rFonts w:ascii="Arial" w:hAnsi="Arial" w:cs="Arial"/>
          <w:sz w:val="24"/>
          <w:szCs w:val="24"/>
          <w:lang w:val="es-ES"/>
        </w:rPr>
        <w:t>y durante la</w:t>
      </w:r>
      <w:r>
        <w:rPr>
          <w:rFonts w:ascii="Arial" w:hAnsi="Arial" w:cs="Arial"/>
          <w:sz w:val="24"/>
          <w:szCs w:val="24"/>
          <w:lang w:val="es-ES"/>
        </w:rPr>
        <w:t xml:space="preserve"> segunda edición, el número aumentó a 96</w:t>
      </w:r>
      <w:r w:rsidR="00483173">
        <w:rPr>
          <w:rFonts w:ascii="Arial" w:hAnsi="Arial" w:cs="Arial"/>
          <w:sz w:val="24"/>
          <w:szCs w:val="24"/>
          <w:lang w:val="es-ES"/>
        </w:rPr>
        <w:t xml:space="preserve"> </w:t>
      </w:r>
      <w:r w:rsidR="00B236F3">
        <w:rPr>
          <w:rFonts w:ascii="Arial" w:hAnsi="Arial" w:cs="Arial"/>
          <w:sz w:val="24"/>
          <w:szCs w:val="24"/>
          <w:lang w:val="es-ES"/>
        </w:rPr>
        <w:t>personas,</w:t>
      </w:r>
      <w:r w:rsidR="004071FB">
        <w:rPr>
          <w:rStyle w:val="Refdenotaalpie"/>
          <w:rFonts w:ascii="Arial" w:hAnsi="Arial" w:cs="Arial"/>
          <w:sz w:val="24"/>
          <w:szCs w:val="24"/>
          <w:lang w:val="es-ES"/>
        </w:rPr>
        <w:footnoteReference w:id="7"/>
      </w:r>
      <w:r w:rsidR="00B236F3">
        <w:rPr>
          <w:rFonts w:ascii="Arial" w:hAnsi="Arial" w:cs="Arial"/>
          <w:sz w:val="24"/>
          <w:szCs w:val="24"/>
          <w:lang w:val="es-ES"/>
        </w:rPr>
        <w:t xml:space="preserve"> de las cuales, </w:t>
      </w:r>
      <w:r w:rsidR="00BE2019" w:rsidRPr="00E86C87">
        <w:rPr>
          <w:rFonts w:ascii="Arial" w:eastAsia="Times New Roman" w:hAnsi="Arial" w:cs="Arial"/>
          <w:color w:val="000000" w:themeColor="text1"/>
          <w:sz w:val="24"/>
          <w:szCs w:val="24"/>
          <w:lang w:eastAsia="es-MX"/>
        </w:rPr>
        <w:t xml:space="preserve">67 </w:t>
      </w:r>
      <w:r w:rsidR="00B236F3">
        <w:rPr>
          <w:rFonts w:ascii="Arial" w:eastAsia="Times New Roman" w:hAnsi="Arial" w:cs="Arial"/>
          <w:color w:val="000000" w:themeColor="text1"/>
          <w:sz w:val="24"/>
          <w:szCs w:val="24"/>
          <w:lang w:eastAsia="es-MX"/>
        </w:rPr>
        <w:t xml:space="preserve">eran </w:t>
      </w:r>
      <w:r w:rsidR="00BE2019" w:rsidRPr="00E86C87">
        <w:rPr>
          <w:rFonts w:ascii="Arial" w:eastAsia="Times New Roman" w:hAnsi="Arial" w:cs="Arial"/>
          <w:color w:val="000000" w:themeColor="text1"/>
          <w:sz w:val="24"/>
          <w:szCs w:val="24"/>
          <w:lang w:eastAsia="es-MX"/>
        </w:rPr>
        <w:t>personas servidoras públicas de la Comisión de Búsqueda de Personas de la Ciudad de México y otras dependencias locales y federales, 29 integrantes de colectivos y familiares de víctimas, así como estudiantes y personas egresadas de la Licenciatura en Ciencia Forense de la UNAM</w:t>
      </w:r>
      <w:r w:rsidR="00B236F3">
        <w:rPr>
          <w:rFonts w:ascii="Arial" w:eastAsia="Times New Roman" w:hAnsi="Arial" w:cs="Arial"/>
          <w:color w:val="000000" w:themeColor="text1"/>
          <w:sz w:val="24"/>
          <w:szCs w:val="24"/>
          <w:lang w:eastAsia="es-MX"/>
        </w:rPr>
        <w:t xml:space="preserve">. </w:t>
      </w:r>
    </w:p>
    <w:p w:rsidR="00483173" w:rsidRPr="00663B17" w:rsidRDefault="00B236F3" w:rsidP="00663B17">
      <w:pPr>
        <w:spacing w:after="200" w:line="276" w:lineRule="auto"/>
        <w:jc w:val="both"/>
        <w:rPr>
          <w:rFonts w:ascii="Arial" w:hAnsi="Arial" w:cs="Arial"/>
          <w:sz w:val="24"/>
          <w:szCs w:val="24"/>
          <w:lang w:val="es-ES"/>
        </w:rPr>
      </w:pPr>
      <w:r>
        <w:rPr>
          <w:rFonts w:ascii="Arial" w:hAnsi="Arial" w:cs="Arial"/>
          <w:sz w:val="24"/>
          <w:szCs w:val="24"/>
          <w:lang w:val="es-ES"/>
        </w:rPr>
        <w:t xml:space="preserve">Lo anterior, pone en evidencia no sólo la importancia de trabajar desde un sistema coordinado de protección a derechos humanos sino </w:t>
      </w:r>
      <w:r w:rsidR="00663B17">
        <w:rPr>
          <w:rFonts w:ascii="Arial" w:hAnsi="Arial" w:cs="Arial"/>
          <w:sz w:val="24"/>
          <w:szCs w:val="24"/>
          <w:lang w:val="es-ES"/>
        </w:rPr>
        <w:t>en la relevancia de poner en el centro de estos trabajos</w:t>
      </w:r>
      <w:r>
        <w:rPr>
          <w:rFonts w:ascii="Arial" w:hAnsi="Arial" w:cs="Arial"/>
          <w:sz w:val="24"/>
          <w:szCs w:val="24"/>
          <w:lang w:val="es-ES"/>
        </w:rPr>
        <w:t xml:space="preserve"> la profesionalización </w:t>
      </w:r>
      <w:r w:rsidR="00663B17">
        <w:rPr>
          <w:rFonts w:ascii="Arial" w:hAnsi="Arial" w:cs="Arial"/>
          <w:sz w:val="24"/>
          <w:szCs w:val="24"/>
          <w:lang w:val="es-ES"/>
        </w:rPr>
        <w:t>de</w:t>
      </w:r>
      <w:r>
        <w:rPr>
          <w:rFonts w:ascii="Arial" w:hAnsi="Arial" w:cs="Arial"/>
          <w:sz w:val="24"/>
          <w:szCs w:val="24"/>
          <w:lang w:val="es-ES"/>
        </w:rPr>
        <w:t xml:space="preserve"> todas las personas </w:t>
      </w:r>
      <w:r w:rsidR="00663B17">
        <w:rPr>
          <w:rFonts w:ascii="Arial" w:hAnsi="Arial" w:cs="Arial"/>
          <w:sz w:val="24"/>
          <w:szCs w:val="24"/>
          <w:lang w:val="es-ES"/>
        </w:rPr>
        <w:t xml:space="preserve">que participan </w:t>
      </w:r>
      <w:r>
        <w:rPr>
          <w:rFonts w:ascii="Arial" w:hAnsi="Arial" w:cs="Arial"/>
          <w:sz w:val="24"/>
          <w:szCs w:val="24"/>
          <w:lang w:val="es-ES"/>
        </w:rPr>
        <w:t>en la búsqueda de las personas</w:t>
      </w:r>
      <w:r w:rsidR="00663B17">
        <w:rPr>
          <w:rFonts w:ascii="Arial" w:hAnsi="Arial" w:cs="Arial"/>
          <w:sz w:val="24"/>
          <w:szCs w:val="24"/>
          <w:lang w:val="es-ES"/>
        </w:rPr>
        <w:t xml:space="preserve"> desaparecidas bajo enfoques transversales que incluyan acompañamientos psico-jurídicos y herramientas forenses.</w:t>
      </w:r>
    </w:p>
    <w:p w:rsidR="00663B17" w:rsidRPr="00B12B9B" w:rsidRDefault="00663B17" w:rsidP="00B12B9B">
      <w:pPr>
        <w:pStyle w:val="Prrafodelista"/>
        <w:numPr>
          <w:ilvl w:val="0"/>
          <w:numId w:val="2"/>
        </w:numPr>
        <w:spacing w:after="200" w:line="276" w:lineRule="auto"/>
        <w:jc w:val="both"/>
        <w:rPr>
          <w:rFonts w:ascii="Arial" w:hAnsi="Arial" w:cs="Arial"/>
          <w:i/>
          <w:sz w:val="24"/>
          <w:szCs w:val="24"/>
        </w:rPr>
      </w:pPr>
      <w:r>
        <w:rPr>
          <w:rFonts w:ascii="Arial" w:hAnsi="Arial" w:cs="Arial"/>
          <w:sz w:val="24"/>
          <w:szCs w:val="24"/>
        </w:rPr>
        <w:t xml:space="preserve">El 10 de mayo de 2018 </w:t>
      </w:r>
      <w:r w:rsidR="000A0C74">
        <w:rPr>
          <w:rFonts w:ascii="Arial" w:hAnsi="Arial" w:cs="Arial"/>
          <w:sz w:val="24"/>
          <w:szCs w:val="24"/>
        </w:rPr>
        <w:t xml:space="preserve">y el 6 de julio de 2023 se presentaron </w:t>
      </w:r>
      <w:r w:rsidR="0087048E">
        <w:rPr>
          <w:rFonts w:ascii="Arial" w:hAnsi="Arial" w:cs="Arial"/>
          <w:sz w:val="24"/>
          <w:szCs w:val="24"/>
        </w:rPr>
        <w:t xml:space="preserve">dos </w:t>
      </w:r>
      <w:r w:rsidR="000A0C74">
        <w:rPr>
          <w:rFonts w:ascii="Arial" w:hAnsi="Arial" w:cs="Arial"/>
          <w:sz w:val="24"/>
          <w:szCs w:val="24"/>
        </w:rPr>
        <w:t xml:space="preserve">Amicus Curiae ante la Corte Interamericana de Derechos Humanos en los Casos </w:t>
      </w:r>
      <w:r w:rsidR="000A0C74" w:rsidRPr="0087048E">
        <w:rPr>
          <w:rFonts w:ascii="Arial" w:hAnsi="Arial" w:cs="Arial"/>
          <w:i/>
          <w:sz w:val="24"/>
          <w:szCs w:val="24"/>
        </w:rPr>
        <w:lastRenderedPageBreak/>
        <w:t>Alvarado Espinoza y Otros vs. México</w:t>
      </w:r>
      <w:r w:rsidR="00062293">
        <w:rPr>
          <w:rStyle w:val="Refdenotaalpie"/>
          <w:rFonts w:ascii="Arial" w:hAnsi="Arial" w:cs="Arial"/>
          <w:i/>
          <w:sz w:val="24"/>
          <w:szCs w:val="24"/>
        </w:rPr>
        <w:footnoteReference w:id="8"/>
      </w:r>
      <w:r w:rsidR="000A0C74">
        <w:rPr>
          <w:rFonts w:ascii="Arial" w:hAnsi="Arial" w:cs="Arial"/>
          <w:sz w:val="24"/>
          <w:szCs w:val="24"/>
        </w:rPr>
        <w:t xml:space="preserve"> y </w:t>
      </w:r>
      <w:r w:rsidR="000A0C74" w:rsidRPr="0087048E">
        <w:rPr>
          <w:rFonts w:ascii="Arial" w:hAnsi="Arial" w:cs="Arial"/>
          <w:i/>
          <w:sz w:val="24"/>
          <w:szCs w:val="24"/>
        </w:rPr>
        <w:t>González Méndez vs. México</w:t>
      </w:r>
      <w:r w:rsidR="005C553C">
        <w:rPr>
          <w:rStyle w:val="Refdenotaalpie"/>
          <w:rFonts w:ascii="Arial" w:hAnsi="Arial" w:cs="Arial"/>
          <w:i/>
          <w:sz w:val="24"/>
          <w:szCs w:val="24"/>
        </w:rPr>
        <w:footnoteReference w:id="9"/>
      </w:r>
      <w:r w:rsidR="0087048E">
        <w:rPr>
          <w:rFonts w:ascii="Arial" w:hAnsi="Arial" w:cs="Arial"/>
          <w:sz w:val="24"/>
          <w:szCs w:val="24"/>
        </w:rPr>
        <w:t xml:space="preserve">, respectivamente. El primero de ellos versó </w:t>
      </w:r>
      <w:r w:rsidRPr="0087048E">
        <w:rPr>
          <w:rFonts w:ascii="Arial" w:hAnsi="Arial" w:cs="Arial"/>
          <w:sz w:val="24"/>
          <w:szCs w:val="24"/>
        </w:rPr>
        <w:t>sobre el contexto de seguridad en México, así como de los recursos efectivos que existen en el país contra las violaciones graves a derechos humanos, tal como la desaparición forzada</w:t>
      </w:r>
      <w:r w:rsidR="0087048E">
        <w:rPr>
          <w:rFonts w:ascii="Arial" w:hAnsi="Arial" w:cs="Arial"/>
          <w:sz w:val="24"/>
          <w:szCs w:val="24"/>
        </w:rPr>
        <w:t xml:space="preserve">, mientras que el segundo de ellos abordó la omisión del Estado mexicano en la búsqueda inmediata </w:t>
      </w:r>
      <w:r w:rsidR="00B12B9B">
        <w:rPr>
          <w:rFonts w:ascii="Arial" w:hAnsi="Arial" w:cs="Arial"/>
          <w:sz w:val="24"/>
          <w:szCs w:val="24"/>
        </w:rPr>
        <w:t xml:space="preserve">como </w:t>
      </w:r>
      <w:r w:rsidR="00390345">
        <w:rPr>
          <w:rFonts w:ascii="Arial" w:hAnsi="Arial" w:cs="Arial"/>
          <w:sz w:val="24"/>
          <w:szCs w:val="24"/>
        </w:rPr>
        <w:t xml:space="preserve">elemento </w:t>
      </w:r>
      <w:r w:rsidR="00B12B9B">
        <w:rPr>
          <w:rFonts w:ascii="Arial" w:hAnsi="Arial" w:cs="Arial"/>
          <w:sz w:val="24"/>
          <w:szCs w:val="24"/>
        </w:rPr>
        <w:t>par</w:t>
      </w:r>
      <w:r w:rsidR="00390345">
        <w:rPr>
          <w:rFonts w:ascii="Arial" w:hAnsi="Arial" w:cs="Arial"/>
          <w:sz w:val="24"/>
          <w:szCs w:val="24"/>
        </w:rPr>
        <w:t xml:space="preserve">a acreditar </w:t>
      </w:r>
      <w:r w:rsidR="00B12B9B">
        <w:rPr>
          <w:rFonts w:ascii="Arial" w:hAnsi="Arial" w:cs="Arial"/>
          <w:sz w:val="24"/>
          <w:szCs w:val="24"/>
        </w:rPr>
        <w:t xml:space="preserve">la aquiescencia </w:t>
      </w:r>
      <w:r w:rsidR="00390345">
        <w:rPr>
          <w:rFonts w:ascii="Arial" w:hAnsi="Arial" w:cs="Arial"/>
          <w:sz w:val="24"/>
          <w:szCs w:val="24"/>
        </w:rPr>
        <w:t xml:space="preserve">del Estado </w:t>
      </w:r>
      <w:r w:rsidR="00B12B9B">
        <w:rPr>
          <w:rFonts w:ascii="Arial" w:hAnsi="Arial" w:cs="Arial"/>
          <w:sz w:val="24"/>
          <w:szCs w:val="24"/>
        </w:rPr>
        <w:t>y</w:t>
      </w:r>
      <w:r w:rsidR="00390345">
        <w:rPr>
          <w:rFonts w:ascii="Arial" w:hAnsi="Arial" w:cs="Arial"/>
          <w:sz w:val="24"/>
          <w:szCs w:val="24"/>
        </w:rPr>
        <w:t xml:space="preserve">, con ello, </w:t>
      </w:r>
      <w:r w:rsidR="00B12B9B">
        <w:rPr>
          <w:rFonts w:ascii="Arial" w:hAnsi="Arial" w:cs="Arial"/>
          <w:sz w:val="24"/>
          <w:szCs w:val="24"/>
        </w:rPr>
        <w:t>la</w:t>
      </w:r>
      <w:r w:rsidR="00390345">
        <w:rPr>
          <w:rFonts w:ascii="Arial" w:hAnsi="Arial" w:cs="Arial"/>
          <w:sz w:val="24"/>
          <w:szCs w:val="24"/>
        </w:rPr>
        <w:t xml:space="preserve"> impunidad para la</w:t>
      </w:r>
      <w:r w:rsidR="00B12B9B">
        <w:rPr>
          <w:rFonts w:ascii="Arial" w:hAnsi="Arial" w:cs="Arial"/>
          <w:sz w:val="24"/>
          <w:szCs w:val="24"/>
        </w:rPr>
        <w:t xml:space="preserve"> repetición de graves violaciones a derechos humanos. </w:t>
      </w:r>
      <w:r w:rsidR="001B16E0" w:rsidRPr="0087048E">
        <w:rPr>
          <w:rFonts w:ascii="Arial" w:hAnsi="Arial" w:cs="Arial"/>
          <w:sz w:val="24"/>
          <w:szCs w:val="24"/>
        </w:rPr>
        <w:t xml:space="preserve"> </w:t>
      </w:r>
    </w:p>
    <w:p w:rsidR="00B12B9B" w:rsidRPr="00B12B9B" w:rsidRDefault="00B12B9B" w:rsidP="00B12B9B">
      <w:pPr>
        <w:pStyle w:val="Prrafodelista"/>
        <w:spacing w:after="200" w:line="276" w:lineRule="auto"/>
        <w:ind w:left="780"/>
        <w:jc w:val="both"/>
        <w:rPr>
          <w:rFonts w:ascii="Arial" w:hAnsi="Arial" w:cs="Arial"/>
          <w:i/>
          <w:sz w:val="24"/>
          <w:szCs w:val="24"/>
        </w:rPr>
      </w:pPr>
    </w:p>
    <w:p w:rsidR="00DF2D69" w:rsidRDefault="00430A35" w:rsidP="00A03416">
      <w:pPr>
        <w:jc w:val="both"/>
        <w:rPr>
          <w:rFonts w:ascii="Arial" w:hAnsi="Arial" w:cs="Arial"/>
          <w:sz w:val="24"/>
          <w:szCs w:val="24"/>
          <w:lang w:val="es-ES"/>
        </w:rPr>
      </w:pPr>
      <w:r>
        <w:rPr>
          <w:rFonts w:ascii="Arial" w:hAnsi="Arial" w:cs="Arial"/>
          <w:sz w:val="24"/>
          <w:szCs w:val="24"/>
          <w:lang w:val="es-ES"/>
        </w:rPr>
        <w:t>Las anteriores acciones, hacen evidente que esta Comisión de Derechos Humanos de la Ciudad de México mantiene un compromiso para atender la crisis de desaparición forzada de personas que existe en el país</w:t>
      </w:r>
      <w:r w:rsidR="004667AC">
        <w:rPr>
          <w:rFonts w:ascii="Arial" w:hAnsi="Arial" w:cs="Arial"/>
          <w:sz w:val="24"/>
          <w:szCs w:val="24"/>
          <w:lang w:val="es-ES"/>
        </w:rPr>
        <w:t xml:space="preserve"> a partir de las alianzas y el trabajo coordinado con otros mecanismos y organismos</w:t>
      </w:r>
      <w:r w:rsidR="009E46FB">
        <w:rPr>
          <w:rFonts w:ascii="Arial" w:hAnsi="Arial" w:cs="Arial"/>
          <w:sz w:val="24"/>
          <w:szCs w:val="24"/>
          <w:lang w:val="es-ES"/>
        </w:rPr>
        <w:t>, aún y cuando las capacidades técnicas, presupuestarias y humanas hacen más complejo el modelo de atención que se puede brindar</w:t>
      </w:r>
      <w:r w:rsidR="00C82597">
        <w:rPr>
          <w:rFonts w:ascii="Arial" w:hAnsi="Arial" w:cs="Arial"/>
          <w:sz w:val="24"/>
          <w:szCs w:val="24"/>
          <w:lang w:val="es-ES"/>
        </w:rPr>
        <w:t>.</w:t>
      </w:r>
    </w:p>
    <w:p w:rsidR="00425139" w:rsidRPr="001C53E0" w:rsidRDefault="00425139" w:rsidP="00A03416">
      <w:pPr>
        <w:jc w:val="both"/>
        <w:rPr>
          <w:rFonts w:ascii="Arial" w:hAnsi="Arial" w:cs="Arial"/>
          <w:sz w:val="24"/>
          <w:szCs w:val="24"/>
          <w:lang w:val="es-ES"/>
        </w:rPr>
      </w:pPr>
    </w:p>
    <w:p w:rsidR="00F42927" w:rsidRPr="00F42927" w:rsidRDefault="00390345" w:rsidP="00F42927">
      <w:pPr>
        <w:pStyle w:val="Prrafodelista"/>
        <w:numPr>
          <w:ilvl w:val="0"/>
          <w:numId w:val="1"/>
        </w:numPr>
        <w:jc w:val="both"/>
        <w:rPr>
          <w:rFonts w:ascii="Arial" w:hAnsi="Arial" w:cs="Arial"/>
          <w:sz w:val="24"/>
          <w:lang w:val="es-ES"/>
        </w:rPr>
      </w:pPr>
      <w:r>
        <w:rPr>
          <w:rFonts w:ascii="Arial" w:hAnsi="Arial" w:cs="Arial"/>
          <w:b/>
          <w:sz w:val="24"/>
          <w:lang w:val="es-ES"/>
        </w:rPr>
        <w:t>Contribuciones específicas sobre el d</w:t>
      </w:r>
      <w:r w:rsidR="00A03416" w:rsidRPr="0050494A">
        <w:rPr>
          <w:rFonts w:ascii="Arial" w:hAnsi="Arial" w:cs="Arial"/>
          <w:b/>
          <w:sz w:val="24"/>
          <w:lang w:val="es-ES"/>
        </w:rPr>
        <w:t>erecho de todas las personas a ser buscadas</w:t>
      </w:r>
      <w:r w:rsidR="0050494A" w:rsidRPr="0050494A">
        <w:rPr>
          <w:rFonts w:ascii="Arial" w:hAnsi="Arial" w:cs="Arial"/>
          <w:b/>
          <w:sz w:val="24"/>
          <w:lang w:val="es-ES"/>
        </w:rPr>
        <w:t xml:space="preserve">. </w:t>
      </w:r>
    </w:p>
    <w:p w:rsidR="0093011C" w:rsidRDefault="00097107" w:rsidP="00F42927">
      <w:pPr>
        <w:jc w:val="both"/>
        <w:rPr>
          <w:rFonts w:ascii="Arial" w:hAnsi="Arial" w:cs="Arial"/>
          <w:sz w:val="24"/>
          <w:lang w:val="es-ES"/>
        </w:rPr>
      </w:pPr>
      <w:r w:rsidRPr="00F42927">
        <w:rPr>
          <w:rFonts w:ascii="Arial" w:hAnsi="Arial" w:cs="Arial"/>
          <w:sz w:val="24"/>
          <w:lang w:val="es-ES"/>
        </w:rPr>
        <w:t>E</w:t>
      </w:r>
      <w:r w:rsidR="00FE2B6A" w:rsidRPr="00F42927">
        <w:rPr>
          <w:rFonts w:ascii="Arial" w:hAnsi="Arial" w:cs="Arial"/>
          <w:sz w:val="24"/>
          <w:lang w:val="es-ES"/>
        </w:rPr>
        <w:t xml:space="preserve">l </w:t>
      </w:r>
      <w:r w:rsidR="00FE2B6A" w:rsidRPr="00F42927">
        <w:rPr>
          <w:rFonts w:ascii="Arial" w:hAnsi="Arial" w:cs="Arial"/>
          <w:i/>
          <w:sz w:val="24"/>
          <w:lang w:val="es-ES"/>
        </w:rPr>
        <w:t>Informe del Comité sobre su visita a México</w:t>
      </w:r>
      <w:r w:rsidR="00FE2B6A" w:rsidRPr="00F42927">
        <w:rPr>
          <w:rFonts w:ascii="Arial" w:hAnsi="Arial" w:cs="Arial"/>
          <w:sz w:val="24"/>
          <w:lang w:val="es-ES"/>
        </w:rPr>
        <w:t xml:space="preserve"> enfatiza la importancia de </w:t>
      </w:r>
      <w:r w:rsidRPr="00F42927">
        <w:rPr>
          <w:rFonts w:ascii="Arial" w:hAnsi="Arial" w:cs="Arial"/>
          <w:sz w:val="24"/>
          <w:lang w:val="es-ES"/>
        </w:rPr>
        <w:t>fortalecer l</w:t>
      </w:r>
      <w:r w:rsidR="001E0FF4" w:rsidRPr="00F42927">
        <w:rPr>
          <w:rFonts w:ascii="Arial" w:hAnsi="Arial" w:cs="Arial"/>
          <w:sz w:val="24"/>
          <w:lang w:val="es-ES"/>
        </w:rPr>
        <w:t xml:space="preserve">as instituciones </w:t>
      </w:r>
      <w:r w:rsidRPr="00F42927">
        <w:rPr>
          <w:rFonts w:ascii="Arial" w:hAnsi="Arial" w:cs="Arial"/>
          <w:sz w:val="24"/>
          <w:lang w:val="es-ES"/>
        </w:rPr>
        <w:t xml:space="preserve">y </w:t>
      </w:r>
      <w:r w:rsidR="001E0FF4" w:rsidRPr="00F42927">
        <w:rPr>
          <w:rFonts w:ascii="Arial" w:hAnsi="Arial" w:cs="Arial"/>
          <w:sz w:val="24"/>
          <w:lang w:val="es-ES"/>
        </w:rPr>
        <w:t xml:space="preserve">los </w:t>
      </w:r>
      <w:r w:rsidRPr="00F42927">
        <w:rPr>
          <w:rFonts w:ascii="Arial" w:hAnsi="Arial" w:cs="Arial"/>
          <w:sz w:val="24"/>
          <w:lang w:val="es-ES"/>
        </w:rPr>
        <w:t>procesos de búsqueda</w:t>
      </w:r>
      <w:r w:rsidR="00F42927" w:rsidRPr="00F42927">
        <w:rPr>
          <w:rFonts w:ascii="Arial" w:hAnsi="Arial" w:cs="Arial"/>
          <w:sz w:val="24"/>
          <w:lang w:val="es-ES"/>
        </w:rPr>
        <w:t xml:space="preserve">, así como facilitar el acceso a la verdad, justicia y reparación con enfoque diferencial a partir de conocer el paradero de las personas que se encuentran desaparecidas. </w:t>
      </w:r>
    </w:p>
    <w:p w:rsidR="00FE2B6A" w:rsidRDefault="00F42927" w:rsidP="00603C05">
      <w:pPr>
        <w:jc w:val="both"/>
        <w:rPr>
          <w:rFonts w:ascii="Arial" w:hAnsi="Arial" w:cs="Arial"/>
          <w:sz w:val="24"/>
          <w:lang w:val="es-ES"/>
        </w:rPr>
      </w:pPr>
      <w:r w:rsidRPr="00F42927">
        <w:rPr>
          <w:rFonts w:ascii="Arial" w:hAnsi="Arial" w:cs="Arial"/>
          <w:sz w:val="24"/>
          <w:lang w:val="es-ES"/>
        </w:rPr>
        <w:t xml:space="preserve">Al respecto, esta Comisión de Derechos Humanos de la Ciudad de México en la Recomendación 02/2020 </w:t>
      </w:r>
      <w:r w:rsidRPr="00F42927">
        <w:rPr>
          <w:rFonts w:ascii="Arial" w:hAnsi="Arial" w:cs="Arial"/>
          <w:sz w:val="24"/>
          <w:szCs w:val="24"/>
        </w:rPr>
        <w:t xml:space="preserve">referente a la </w:t>
      </w:r>
      <w:r w:rsidRPr="00F42927">
        <w:rPr>
          <w:rFonts w:ascii="Arial" w:hAnsi="Arial" w:cs="Arial"/>
          <w:i/>
          <w:sz w:val="24"/>
          <w:szCs w:val="24"/>
        </w:rPr>
        <w:t>Falta de debida diligencia en la búsqueda de personas desaparecidas con perspectiva de género y enfoque diferenciad</w:t>
      </w:r>
      <w:r w:rsidR="00A83E3F">
        <w:rPr>
          <w:rFonts w:ascii="Arial" w:hAnsi="Arial" w:cs="Arial"/>
          <w:i/>
          <w:sz w:val="24"/>
          <w:szCs w:val="24"/>
        </w:rPr>
        <w:t>o</w:t>
      </w:r>
      <w:r>
        <w:rPr>
          <w:rStyle w:val="Refdenotaalpie"/>
          <w:rFonts w:ascii="Arial" w:hAnsi="Arial" w:cs="Arial"/>
          <w:i/>
          <w:sz w:val="24"/>
          <w:szCs w:val="24"/>
        </w:rPr>
        <w:footnoteReference w:id="10"/>
      </w:r>
      <w:r w:rsidR="00A83E3F">
        <w:rPr>
          <w:rFonts w:ascii="Arial" w:hAnsi="Arial" w:cs="Arial"/>
          <w:i/>
          <w:sz w:val="24"/>
          <w:szCs w:val="24"/>
        </w:rPr>
        <w:t xml:space="preserve"> </w:t>
      </w:r>
      <w:r w:rsidR="004F7EE6">
        <w:rPr>
          <w:rFonts w:ascii="Arial" w:hAnsi="Arial" w:cs="Arial"/>
          <w:sz w:val="24"/>
          <w:szCs w:val="24"/>
        </w:rPr>
        <w:t>estableció la importancia de garantizar el enfoque diferenciado e</w:t>
      </w:r>
      <w:r w:rsidR="00221A6E">
        <w:rPr>
          <w:rFonts w:ascii="Arial" w:hAnsi="Arial" w:cs="Arial"/>
          <w:sz w:val="24"/>
          <w:szCs w:val="24"/>
        </w:rPr>
        <w:t>n los procesos de búsqueda, de forma particular, cuando se trata de niñas, niños, adolescentes y mujeres</w:t>
      </w:r>
      <w:r w:rsidR="0093011C">
        <w:rPr>
          <w:rFonts w:ascii="Arial" w:hAnsi="Arial" w:cs="Arial"/>
          <w:sz w:val="24"/>
          <w:szCs w:val="24"/>
        </w:rPr>
        <w:t>.</w:t>
      </w:r>
    </w:p>
    <w:p w:rsidR="00525F05" w:rsidRDefault="0093011C" w:rsidP="00603C05">
      <w:pPr>
        <w:jc w:val="both"/>
        <w:rPr>
          <w:rFonts w:ascii="Arial" w:hAnsi="Arial" w:cs="Arial"/>
          <w:sz w:val="24"/>
          <w:lang w:val="es-ES"/>
        </w:rPr>
      </w:pPr>
      <w:r>
        <w:rPr>
          <w:rFonts w:ascii="Arial" w:hAnsi="Arial" w:cs="Arial"/>
          <w:sz w:val="24"/>
          <w:lang w:val="es-ES"/>
        </w:rPr>
        <w:lastRenderedPageBreak/>
        <w:t>Lo anterior</w:t>
      </w:r>
      <w:r w:rsidR="00FE2B6A">
        <w:rPr>
          <w:rFonts w:ascii="Arial" w:hAnsi="Arial" w:cs="Arial"/>
          <w:sz w:val="24"/>
          <w:lang w:val="es-ES"/>
        </w:rPr>
        <w:t>, asumiendo que l</w:t>
      </w:r>
      <w:r w:rsidR="00603C05" w:rsidRPr="00880F4B">
        <w:rPr>
          <w:rFonts w:ascii="Arial" w:hAnsi="Arial" w:cs="Arial"/>
          <w:sz w:val="24"/>
          <w:lang w:val="es-ES"/>
        </w:rPr>
        <w:t xml:space="preserve">as personas desaparecidas tienen derecho a ser buscadas sin importar el tiempo, la modalidad o las circunstancias de su desaparición por lo que el derecho de toda persona a ser buscada, bajo </w:t>
      </w:r>
      <w:r w:rsidR="008F4327">
        <w:rPr>
          <w:rFonts w:ascii="Arial" w:hAnsi="Arial" w:cs="Arial"/>
          <w:sz w:val="24"/>
          <w:lang w:val="es-ES"/>
        </w:rPr>
        <w:t>la adopción de enfoques diferenciados</w:t>
      </w:r>
      <w:r w:rsidR="00603C05" w:rsidRPr="00880F4B">
        <w:rPr>
          <w:rFonts w:ascii="Arial" w:hAnsi="Arial" w:cs="Arial"/>
          <w:sz w:val="24"/>
          <w:lang w:val="es-ES"/>
        </w:rPr>
        <w:t>, se compone tanto de obligaciones del Estado Parte que permiten el efectivo goce y ejercicio de este derecho como de las garantías necesarias para su protección.</w:t>
      </w:r>
      <w:r w:rsidR="00525F05">
        <w:rPr>
          <w:rFonts w:ascii="Arial" w:hAnsi="Arial" w:cs="Arial"/>
          <w:sz w:val="24"/>
          <w:lang w:val="es-ES"/>
        </w:rPr>
        <w:t xml:space="preserve"> </w:t>
      </w:r>
      <w:r w:rsidR="009F6C85" w:rsidRPr="00FE2B6A">
        <w:rPr>
          <w:rFonts w:ascii="Arial" w:hAnsi="Arial" w:cs="Arial"/>
          <w:sz w:val="24"/>
          <w:lang w:val="es-ES"/>
        </w:rPr>
        <w:t>Sin embargo, la conceptualización de</w:t>
      </w:r>
      <w:r w:rsidR="004B5ACE" w:rsidRPr="00FE2B6A">
        <w:rPr>
          <w:rFonts w:ascii="Arial" w:hAnsi="Arial" w:cs="Arial"/>
          <w:sz w:val="24"/>
          <w:lang w:val="es-ES"/>
        </w:rPr>
        <w:t xml:space="preserve"> dicho derecho en </w:t>
      </w:r>
      <w:r w:rsidR="00CF4E49" w:rsidRPr="00FE2B6A">
        <w:rPr>
          <w:rFonts w:ascii="Arial" w:hAnsi="Arial" w:cs="Arial"/>
          <w:sz w:val="24"/>
          <w:lang w:val="es-ES"/>
        </w:rPr>
        <w:t>el país</w:t>
      </w:r>
      <w:r w:rsidR="004B5ACE" w:rsidRPr="00FE2B6A">
        <w:rPr>
          <w:rFonts w:ascii="Arial" w:hAnsi="Arial" w:cs="Arial"/>
          <w:sz w:val="24"/>
          <w:lang w:val="es-ES"/>
        </w:rPr>
        <w:t xml:space="preserve"> ha sido paulatino y más aún, la puesta en marcha de estrategias y herramientas que permitan garantizarlo</w:t>
      </w:r>
      <w:r w:rsidR="00430554" w:rsidRPr="00FE2B6A">
        <w:rPr>
          <w:rFonts w:ascii="Arial" w:hAnsi="Arial" w:cs="Arial"/>
          <w:sz w:val="24"/>
          <w:lang w:val="es-ES"/>
        </w:rPr>
        <w:t xml:space="preserve"> pues </w:t>
      </w:r>
      <w:r w:rsidR="00603C05" w:rsidRPr="00FE2B6A">
        <w:rPr>
          <w:rFonts w:ascii="Arial" w:hAnsi="Arial" w:cs="Arial"/>
          <w:sz w:val="24"/>
          <w:lang w:val="es-ES"/>
        </w:rPr>
        <w:t>se requiere la implementación y articulación del marco normativo e institucional existente para ofrecer una respuesta inmediata y eficaz ante las denuncias</w:t>
      </w:r>
      <w:r w:rsidR="00525F05">
        <w:rPr>
          <w:rFonts w:ascii="Arial" w:hAnsi="Arial" w:cs="Arial"/>
          <w:sz w:val="24"/>
          <w:lang w:val="es-ES"/>
        </w:rPr>
        <w:t>.</w:t>
      </w:r>
    </w:p>
    <w:p w:rsidR="00603C05" w:rsidRPr="00FE2B6A" w:rsidRDefault="00603C05" w:rsidP="00603C05">
      <w:pPr>
        <w:jc w:val="both"/>
        <w:rPr>
          <w:rFonts w:ascii="Arial" w:hAnsi="Arial" w:cs="Arial"/>
          <w:sz w:val="24"/>
          <w:lang w:val="es-ES"/>
        </w:rPr>
      </w:pPr>
      <w:r w:rsidRPr="00FE2B6A">
        <w:rPr>
          <w:rFonts w:ascii="Arial" w:hAnsi="Arial" w:cs="Arial"/>
          <w:sz w:val="24"/>
          <w:lang w:val="es-ES"/>
        </w:rPr>
        <w:t>La evolución del derecho de toda persona a ser buscada es el replanteamiento de los alcances de una investigación diligente con una vertiente hacia las acciones concretas para dar con la suerte o paradero de una persona desaparecida, garantizando así el derecho a la verdad y el derecho al reconocimiento de la personalidad jurídica de las víctimas, respetando en todo momento su dignidad como personas y su valor dentro de sus núcleos familiares, comunitarios y sociales.</w:t>
      </w:r>
      <w:r w:rsidR="00430554" w:rsidRPr="00FE2B6A">
        <w:rPr>
          <w:rStyle w:val="Refdenotaalpie"/>
          <w:rFonts w:ascii="Arial" w:hAnsi="Arial" w:cs="Arial"/>
          <w:sz w:val="24"/>
          <w:lang w:val="es-ES"/>
        </w:rPr>
        <w:footnoteReference w:id="11"/>
      </w:r>
    </w:p>
    <w:p w:rsidR="00603C05" w:rsidRPr="00880F4B" w:rsidRDefault="00603C05" w:rsidP="00603C05">
      <w:pPr>
        <w:jc w:val="both"/>
        <w:rPr>
          <w:rFonts w:ascii="Arial" w:hAnsi="Arial" w:cs="Arial"/>
          <w:sz w:val="24"/>
          <w:lang w:val="es-ES"/>
        </w:rPr>
      </w:pPr>
      <w:r w:rsidRPr="00880F4B">
        <w:rPr>
          <w:rFonts w:ascii="Arial" w:hAnsi="Arial" w:cs="Arial"/>
          <w:sz w:val="24"/>
          <w:lang w:val="es-ES"/>
        </w:rPr>
        <w:t>El fenómeno de las desapariciones de personas constituye una forma grave, compleja, múltiple y continuada de violación de numerosos derechos humanos por lo que se requiere de una investigación seria e imparcial lo que implica que se agoten todas las posibilidades en las que pudo ocurrir la desaparición y orientarse a la localización con vida de la víctima, con base en las evidencias y datos de prueba recabados; no obstante, ello no implica que se criminalice a las víctimas directas e indirectas, a través del planteamiento de hipótesis basadas en prejuicios, estereotipos o presuposiciones basadas en la percepción de quien investiga sin fundamento o evidencia fáctica, ya sean con motivo de género, identidad de género, orientación sexual u otras categorías sospechosas.</w:t>
      </w:r>
      <w:r w:rsidRPr="00000094">
        <w:rPr>
          <w:rFonts w:ascii="Arial" w:hAnsi="Arial" w:cs="Arial"/>
          <w:sz w:val="24"/>
          <w:vertAlign w:val="superscript"/>
          <w:lang w:val="es-ES"/>
        </w:rPr>
        <w:footnoteReference w:id="12"/>
      </w:r>
    </w:p>
    <w:p w:rsidR="00603C05" w:rsidRDefault="00603C05" w:rsidP="00603C05">
      <w:pPr>
        <w:jc w:val="both"/>
        <w:rPr>
          <w:rFonts w:ascii="Arial" w:hAnsi="Arial" w:cs="Arial"/>
          <w:sz w:val="24"/>
          <w:lang w:val="es-ES"/>
        </w:rPr>
      </w:pPr>
      <w:r w:rsidRPr="00880F4B">
        <w:rPr>
          <w:rFonts w:ascii="Arial" w:hAnsi="Arial" w:cs="Arial"/>
          <w:sz w:val="24"/>
          <w:lang w:val="es-ES"/>
        </w:rPr>
        <w:t xml:space="preserve">Lo anterior, ya que, si bien el fenómeno de la desaparición es multifactorial, sólo es mediante una investigación independiente, imparcial y completa que se puede descartar una potencial desaparición forzada -por la acción directa de agentes estatales o por su aquiescencia o negligencia de la investigación- o en su caso trazar las posibles hipótesis a seguir para esclarecer la suerte, el destino o el paradero de la persona desaparecida o no localizada. </w:t>
      </w:r>
    </w:p>
    <w:p w:rsidR="001A70AE" w:rsidRPr="00FE2B6A" w:rsidRDefault="001A70AE" w:rsidP="001A70AE">
      <w:pPr>
        <w:jc w:val="both"/>
        <w:rPr>
          <w:rFonts w:ascii="Arial" w:hAnsi="Arial" w:cs="Arial"/>
          <w:sz w:val="24"/>
          <w:lang w:val="es-ES"/>
        </w:rPr>
      </w:pPr>
      <w:r w:rsidRPr="00FE2B6A">
        <w:rPr>
          <w:rFonts w:ascii="Arial" w:hAnsi="Arial" w:cs="Arial"/>
          <w:sz w:val="24"/>
          <w:lang w:val="es-ES"/>
        </w:rPr>
        <w:t xml:space="preserve">En México, el delito de desaparición forzada se tipificó en el Código Penal en 2001 sin contemplar lo referente al derecho de las personas a ser buscadas. Dicha </w:t>
      </w:r>
      <w:r w:rsidRPr="00FE2B6A">
        <w:rPr>
          <w:rFonts w:ascii="Arial" w:hAnsi="Arial" w:cs="Arial"/>
          <w:sz w:val="24"/>
          <w:lang w:val="es-ES"/>
        </w:rPr>
        <w:lastRenderedPageBreak/>
        <w:t>omisión contribuyó a perpetuar la impunidad que históricamente ha caracterizado los casos relacionados con el fenómeno de la desaparición pues las autoridades no tenían la obligación de realizar una búsqueda bajo los estándares de debida diligencia, enfoque diferenciado, sin demora, entre otros.</w:t>
      </w:r>
    </w:p>
    <w:p w:rsidR="001A70AE" w:rsidRPr="00FE2B6A" w:rsidRDefault="001A70AE" w:rsidP="001A70AE">
      <w:pPr>
        <w:jc w:val="both"/>
        <w:rPr>
          <w:rFonts w:ascii="Arial" w:hAnsi="Arial" w:cs="Arial"/>
          <w:sz w:val="24"/>
          <w:lang w:val="es-ES"/>
        </w:rPr>
      </w:pPr>
      <w:r w:rsidRPr="00FE2B6A">
        <w:rPr>
          <w:rFonts w:ascii="Arial" w:hAnsi="Arial" w:cs="Arial"/>
          <w:sz w:val="24"/>
          <w:lang w:val="es-ES"/>
        </w:rPr>
        <w:t>En 2017 se expidió la Ley General en Materia de Desaparición Forzada de Personas, Desaparición Cometida por Particulares y del Sistema Nacional de Búsqueda de Personas y se derogó lo contemplado en el Código Penal Federal. Dicha Ley incorporó de forma clara una perspectiva relacionada con el derecho humano a ser buscado y estableció la obligación de todos los órdenes de gobierno, dentro del ámbito de sus competencias, para encontrar a las personas desaparecidas por lo que se determinó la creación de la Comisión Nacional de Búsqueda y de las Comisiones Locales de Búsqueda en todas las entidades federativas.</w:t>
      </w:r>
    </w:p>
    <w:p w:rsidR="001A70AE" w:rsidRDefault="00FE2B6A" w:rsidP="001A70AE">
      <w:pPr>
        <w:jc w:val="both"/>
        <w:rPr>
          <w:rFonts w:ascii="Arial" w:hAnsi="Arial" w:cs="Arial"/>
          <w:sz w:val="24"/>
          <w:lang w:val="es-ES"/>
        </w:rPr>
      </w:pPr>
      <w:r w:rsidRPr="00FE2B6A">
        <w:rPr>
          <w:rFonts w:ascii="Arial" w:hAnsi="Arial" w:cs="Arial"/>
          <w:sz w:val="24"/>
          <w:lang w:val="es-ES"/>
        </w:rPr>
        <w:t>A</w:t>
      </w:r>
      <w:r w:rsidR="001A70AE" w:rsidRPr="00FE2B6A">
        <w:rPr>
          <w:rFonts w:ascii="Arial" w:hAnsi="Arial" w:cs="Arial"/>
          <w:sz w:val="24"/>
          <w:lang w:val="es-ES"/>
        </w:rPr>
        <w:t xml:space="preserve"> casi seis años de la expedición de dicha Ley aún hay obligaciones incumplidas.</w:t>
      </w:r>
      <w:r w:rsidR="001A70AE">
        <w:rPr>
          <w:rFonts w:ascii="Arial" w:hAnsi="Arial" w:cs="Arial"/>
          <w:sz w:val="24"/>
          <w:lang w:val="es-ES"/>
        </w:rPr>
        <w:t xml:space="preserve"> Ejemplo de esto, es que las entidades federativas debían de crear</w:t>
      </w:r>
      <w:r w:rsidR="001A70AE" w:rsidRPr="007A502A">
        <w:rPr>
          <w:rFonts w:ascii="Arial" w:hAnsi="Arial" w:cs="Arial"/>
          <w:sz w:val="24"/>
          <w:lang w:val="es-ES"/>
        </w:rPr>
        <w:t xml:space="preserve"> Fiscalía</w:t>
      </w:r>
      <w:r w:rsidR="001A70AE">
        <w:rPr>
          <w:rFonts w:ascii="Arial" w:hAnsi="Arial" w:cs="Arial"/>
          <w:sz w:val="24"/>
          <w:lang w:val="es-ES"/>
        </w:rPr>
        <w:t>s</w:t>
      </w:r>
      <w:r w:rsidR="001A70AE" w:rsidRPr="007A502A">
        <w:rPr>
          <w:rFonts w:ascii="Arial" w:hAnsi="Arial" w:cs="Arial"/>
          <w:sz w:val="24"/>
          <w:lang w:val="es-ES"/>
        </w:rPr>
        <w:t xml:space="preserve"> Especializada</w:t>
      </w:r>
      <w:r w:rsidR="001A70AE">
        <w:rPr>
          <w:rFonts w:ascii="Arial" w:hAnsi="Arial" w:cs="Arial"/>
          <w:sz w:val="24"/>
          <w:lang w:val="es-ES"/>
        </w:rPr>
        <w:t>s</w:t>
      </w:r>
      <w:r w:rsidR="001A70AE" w:rsidRPr="007A502A">
        <w:rPr>
          <w:rFonts w:ascii="Arial" w:hAnsi="Arial" w:cs="Arial"/>
          <w:sz w:val="24"/>
          <w:lang w:val="es-ES"/>
        </w:rPr>
        <w:t xml:space="preserve"> </w:t>
      </w:r>
      <w:r w:rsidR="001A70AE">
        <w:rPr>
          <w:rFonts w:ascii="Arial" w:hAnsi="Arial" w:cs="Arial"/>
          <w:sz w:val="24"/>
          <w:lang w:val="es-ES"/>
        </w:rPr>
        <w:t>para la</w:t>
      </w:r>
      <w:r w:rsidR="001A70AE" w:rsidRPr="007A502A">
        <w:rPr>
          <w:rFonts w:ascii="Arial" w:hAnsi="Arial" w:cs="Arial"/>
          <w:sz w:val="24"/>
          <w:lang w:val="es-ES"/>
        </w:rPr>
        <w:t xml:space="preserve"> Investigación de los Delitos de Desaparición Forzada</w:t>
      </w:r>
      <w:r w:rsidR="001A70AE">
        <w:rPr>
          <w:rFonts w:ascii="Arial" w:hAnsi="Arial" w:cs="Arial"/>
          <w:sz w:val="24"/>
          <w:lang w:val="es-ES"/>
        </w:rPr>
        <w:t xml:space="preserve"> y homologar las diversas facultades de coordinación para lograr la efectiva investigación y búsqueda de las personas entre los distintos órdenes de gobierno. Al respecto, los siguientes estados no cuentan con una legislación en la materia ni con unidades o fiscalías especializadas para la investigación por lo que se encuentran en omisión: </w:t>
      </w:r>
    </w:p>
    <w:tbl>
      <w:tblPr>
        <w:tblStyle w:val="Tablaconcuadrcula"/>
        <w:tblW w:w="0" w:type="auto"/>
        <w:tblInd w:w="2112" w:type="dxa"/>
        <w:tblLook w:val="04A0" w:firstRow="1" w:lastRow="0" w:firstColumn="1" w:lastColumn="0" w:noHBand="0" w:noVBand="1"/>
      </w:tblPr>
      <w:tblGrid>
        <w:gridCol w:w="483"/>
        <w:gridCol w:w="4111"/>
      </w:tblGrid>
      <w:tr w:rsidR="001A70AE" w:rsidTr="00CF5AE0">
        <w:tc>
          <w:tcPr>
            <w:tcW w:w="483" w:type="dxa"/>
          </w:tcPr>
          <w:p w:rsidR="001A70AE" w:rsidRDefault="001A70AE" w:rsidP="00CF5AE0">
            <w:pPr>
              <w:jc w:val="both"/>
              <w:rPr>
                <w:rFonts w:ascii="Arial" w:hAnsi="Arial" w:cs="Arial"/>
                <w:sz w:val="24"/>
                <w:lang w:val="es-ES"/>
              </w:rPr>
            </w:pPr>
            <w:r>
              <w:rPr>
                <w:rFonts w:ascii="Arial" w:hAnsi="Arial" w:cs="Arial"/>
                <w:sz w:val="24"/>
                <w:lang w:val="es-ES"/>
              </w:rPr>
              <w:t>1</w:t>
            </w:r>
          </w:p>
        </w:tc>
        <w:tc>
          <w:tcPr>
            <w:tcW w:w="4111" w:type="dxa"/>
          </w:tcPr>
          <w:p w:rsidR="001A70AE" w:rsidRDefault="001A70AE" w:rsidP="00CF5AE0">
            <w:pPr>
              <w:jc w:val="both"/>
              <w:rPr>
                <w:rFonts w:ascii="Arial" w:hAnsi="Arial" w:cs="Arial"/>
                <w:sz w:val="24"/>
                <w:lang w:val="es-ES"/>
              </w:rPr>
            </w:pPr>
            <w:r>
              <w:rPr>
                <w:rFonts w:ascii="Arial" w:hAnsi="Arial" w:cs="Arial"/>
                <w:sz w:val="24"/>
                <w:lang w:val="es-ES"/>
              </w:rPr>
              <w:t>Baja California</w:t>
            </w:r>
          </w:p>
        </w:tc>
      </w:tr>
      <w:tr w:rsidR="001A70AE" w:rsidTr="00CF5AE0">
        <w:tc>
          <w:tcPr>
            <w:tcW w:w="483" w:type="dxa"/>
          </w:tcPr>
          <w:p w:rsidR="001A70AE" w:rsidRDefault="001A70AE" w:rsidP="00CF5AE0">
            <w:pPr>
              <w:jc w:val="both"/>
              <w:rPr>
                <w:rFonts w:ascii="Arial" w:hAnsi="Arial" w:cs="Arial"/>
                <w:sz w:val="24"/>
                <w:lang w:val="es-ES"/>
              </w:rPr>
            </w:pPr>
            <w:r>
              <w:rPr>
                <w:rFonts w:ascii="Arial" w:hAnsi="Arial" w:cs="Arial"/>
                <w:sz w:val="24"/>
                <w:lang w:val="es-ES"/>
              </w:rPr>
              <w:t>2</w:t>
            </w:r>
          </w:p>
        </w:tc>
        <w:tc>
          <w:tcPr>
            <w:tcW w:w="4111" w:type="dxa"/>
          </w:tcPr>
          <w:p w:rsidR="001A70AE" w:rsidRDefault="001A70AE" w:rsidP="00CF5AE0">
            <w:pPr>
              <w:jc w:val="both"/>
              <w:rPr>
                <w:rFonts w:ascii="Arial" w:hAnsi="Arial" w:cs="Arial"/>
                <w:sz w:val="24"/>
                <w:lang w:val="es-ES"/>
              </w:rPr>
            </w:pPr>
            <w:r>
              <w:rPr>
                <w:rFonts w:ascii="Arial" w:hAnsi="Arial" w:cs="Arial"/>
                <w:sz w:val="24"/>
                <w:lang w:val="es-ES"/>
              </w:rPr>
              <w:t>Campeche</w:t>
            </w:r>
          </w:p>
        </w:tc>
      </w:tr>
      <w:tr w:rsidR="001A70AE" w:rsidTr="00CF5AE0">
        <w:trPr>
          <w:trHeight w:val="62"/>
        </w:trPr>
        <w:tc>
          <w:tcPr>
            <w:tcW w:w="483" w:type="dxa"/>
          </w:tcPr>
          <w:p w:rsidR="001A70AE" w:rsidRDefault="001A70AE" w:rsidP="00CF5AE0">
            <w:pPr>
              <w:jc w:val="both"/>
              <w:rPr>
                <w:rFonts w:ascii="Arial" w:hAnsi="Arial" w:cs="Arial"/>
                <w:sz w:val="24"/>
                <w:lang w:val="es-ES"/>
              </w:rPr>
            </w:pPr>
            <w:r>
              <w:rPr>
                <w:rFonts w:ascii="Arial" w:hAnsi="Arial" w:cs="Arial"/>
                <w:sz w:val="24"/>
                <w:lang w:val="es-ES"/>
              </w:rPr>
              <w:t>3</w:t>
            </w:r>
          </w:p>
        </w:tc>
        <w:tc>
          <w:tcPr>
            <w:tcW w:w="4111" w:type="dxa"/>
          </w:tcPr>
          <w:p w:rsidR="001A70AE" w:rsidRDefault="001A70AE" w:rsidP="00CF5AE0">
            <w:pPr>
              <w:jc w:val="both"/>
              <w:rPr>
                <w:rFonts w:ascii="Arial" w:hAnsi="Arial" w:cs="Arial"/>
                <w:sz w:val="24"/>
                <w:lang w:val="es-ES"/>
              </w:rPr>
            </w:pPr>
            <w:r>
              <w:rPr>
                <w:rFonts w:ascii="Arial" w:hAnsi="Arial" w:cs="Arial"/>
                <w:sz w:val="24"/>
                <w:lang w:val="es-ES"/>
              </w:rPr>
              <w:t>Chihuahua</w:t>
            </w:r>
          </w:p>
        </w:tc>
      </w:tr>
      <w:tr w:rsidR="001A70AE" w:rsidTr="00CF5AE0">
        <w:tc>
          <w:tcPr>
            <w:tcW w:w="483" w:type="dxa"/>
          </w:tcPr>
          <w:p w:rsidR="001A70AE" w:rsidRDefault="001A70AE" w:rsidP="00CF5AE0">
            <w:pPr>
              <w:jc w:val="both"/>
              <w:rPr>
                <w:rFonts w:ascii="Arial" w:hAnsi="Arial" w:cs="Arial"/>
                <w:sz w:val="24"/>
                <w:lang w:val="es-ES"/>
              </w:rPr>
            </w:pPr>
            <w:r>
              <w:rPr>
                <w:rFonts w:ascii="Arial" w:hAnsi="Arial" w:cs="Arial"/>
                <w:sz w:val="24"/>
                <w:lang w:val="es-ES"/>
              </w:rPr>
              <w:t>4</w:t>
            </w:r>
          </w:p>
        </w:tc>
        <w:tc>
          <w:tcPr>
            <w:tcW w:w="4111" w:type="dxa"/>
          </w:tcPr>
          <w:p w:rsidR="001A70AE" w:rsidRDefault="001A70AE" w:rsidP="00CF5AE0">
            <w:pPr>
              <w:jc w:val="both"/>
              <w:rPr>
                <w:rFonts w:ascii="Arial" w:hAnsi="Arial" w:cs="Arial"/>
                <w:sz w:val="24"/>
                <w:lang w:val="es-ES"/>
              </w:rPr>
            </w:pPr>
            <w:r>
              <w:rPr>
                <w:rFonts w:ascii="Arial" w:hAnsi="Arial" w:cs="Arial"/>
                <w:sz w:val="24"/>
                <w:lang w:val="es-ES"/>
              </w:rPr>
              <w:t>Colima</w:t>
            </w:r>
          </w:p>
        </w:tc>
      </w:tr>
      <w:tr w:rsidR="001A70AE" w:rsidTr="00CF5AE0">
        <w:tc>
          <w:tcPr>
            <w:tcW w:w="483" w:type="dxa"/>
          </w:tcPr>
          <w:p w:rsidR="001A70AE" w:rsidRDefault="001A70AE" w:rsidP="00CF5AE0">
            <w:pPr>
              <w:jc w:val="both"/>
              <w:rPr>
                <w:rFonts w:ascii="Arial" w:hAnsi="Arial" w:cs="Arial"/>
                <w:sz w:val="24"/>
                <w:lang w:val="es-ES"/>
              </w:rPr>
            </w:pPr>
            <w:r>
              <w:rPr>
                <w:rFonts w:ascii="Arial" w:hAnsi="Arial" w:cs="Arial"/>
                <w:sz w:val="24"/>
                <w:lang w:val="es-ES"/>
              </w:rPr>
              <w:t>5</w:t>
            </w:r>
          </w:p>
        </w:tc>
        <w:tc>
          <w:tcPr>
            <w:tcW w:w="4111" w:type="dxa"/>
          </w:tcPr>
          <w:p w:rsidR="001A70AE" w:rsidRDefault="001A70AE" w:rsidP="00CF5AE0">
            <w:pPr>
              <w:jc w:val="both"/>
              <w:rPr>
                <w:rFonts w:ascii="Arial" w:hAnsi="Arial" w:cs="Arial"/>
                <w:sz w:val="24"/>
                <w:lang w:val="es-ES"/>
              </w:rPr>
            </w:pPr>
            <w:r>
              <w:rPr>
                <w:rFonts w:ascii="Arial" w:hAnsi="Arial" w:cs="Arial"/>
                <w:sz w:val="24"/>
                <w:lang w:val="es-ES"/>
              </w:rPr>
              <w:t>Durango</w:t>
            </w:r>
          </w:p>
        </w:tc>
      </w:tr>
      <w:tr w:rsidR="001A70AE" w:rsidTr="00CF5AE0">
        <w:tc>
          <w:tcPr>
            <w:tcW w:w="483" w:type="dxa"/>
          </w:tcPr>
          <w:p w:rsidR="001A70AE" w:rsidRDefault="001A70AE" w:rsidP="00CF5AE0">
            <w:pPr>
              <w:jc w:val="both"/>
              <w:rPr>
                <w:rFonts w:ascii="Arial" w:hAnsi="Arial" w:cs="Arial"/>
                <w:sz w:val="24"/>
                <w:lang w:val="es-ES"/>
              </w:rPr>
            </w:pPr>
            <w:r>
              <w:rPr>
                <w:rFonts w:ascii="Arial" w:hAnsi="Arial" w:cs="Arial"/>
                <w:sz w:val="24"/>
                <w:lang w:val="es-ES"/>
              </w:rPr>
              <w:t>6</w:t>
            </w:r>
          </w:p>
        </w:tc>
        <w:tc>
          <w:tcPr>
            <w:tcW w:w="4111" w:type="dxa"/>
          </w:tcPr>
          <w:p w:rsidR="001A70AE" w:rsidRDefault="001A70AE" w:rsidP="00CF5AE0">
            <w:pPr>
              <w:jc w:val="both"/>
              <w:rPr>
                <w:rFonts w:ascii="Arial" w:hAnsi="Arial" w:cs="Arial"/>
                <w:sz w:val="24"/>
                <w:lang w:val="es-ES"/>
              </w:rPr>
            </w:pPr>
            <w:r>
              <w:rPr>
                <w:rFonts w:ascii="Arial" w:hAnsi="Arial" w:cs="Arial"/>
                <w:sz w:val="24"/>
                <w:lang w:val="es-ES"/>
              </w:rPr>
              <w:t>Michoacán</w:t>
            </w:r>
          </w:p>
        </w:tc>
      </w:tr>
      <w:tr w:rsidR="001A70AE" w:rsidTr="00CF5AE0">
        <w:tc>
          <w:tcPr>
            <w:tcW w:w="483" w:type="dxa"/>
          </w:tcPr>
          <w:p w:rsidR="001A70AE" w:rsidRDefault="001A70AE" w:rsidP="00CF5AE0">
            <w:pPr>
              <w:jc w:val="both"/>
              <w:rPr>
                <w:rFonts w:ascii="Arial" w:hAnsi="Arial" w:cs="Arial"/>
                <w:sz w:val="24"/>
                <w:lang w:val="es-ES"/>
              </w:rPr>
            </w:pPr>
            <w:r>
              <w:rPr>
                <w:rFonts w:ascii="Arial" w:hAnsi="Arial" w:cs="Arial"/>
                <w:sz w:val="24"/>
                <w:lang w:val="es-ES"/>
              </w:rPr>
              <w:t>7</w:t>
            </w:r>
          </w:p>
        </w:tc>
        <w:tc>
          <w:tcPr>
            <w:tcW w:w="4111" w:type="dxa"/>
          </w:tcPr>
          <w:p w:rsidR="001A70AE" w:rsidRDefault="001A70AE" w:rsidP="00CF5AE0">
            <w:pPr>
              <w:jc w:val="both"/>
              <w:rPr>
                <w:rFonts w:ascii="Arial" w:hAnsi="Arial" w:cs="Arial"/>
                <w:sz w:val="24"/>
                <w:lang w:val="es-ES"/>
              </w:rPr>
            </w:pPr>
            <w:r>
              <w:rPr>
                <w:rFonts w:ascii="Arial" w:hAnsi="Arial" w:cs="Arial"/>
                <w:sz w:val="24"/>
                <w:lang w:val="es-ES"/>
              </w:rPr>
              <w:t>Morelos</w:t>
            </w:r>
          </w:p>
        </w:tc>
      </w:tr>
      <w:tr w:rsidR="001A70AE" w:rsidTr="00CF5AE0">
        <w:tc>
          <w:tcPr>
            <w:tcW w:w="483" w:type="dxa"/>
          </w:tcPr>
          <w:p w:rsidR="001A70AE" w:rsidRDefault="001A70AE" w:rsidP="00CF5AE0">
            <w:pPr>
              <w:jc w:val="both"/>
              <w:rPr>
                <w:rFonts w:ascii="Arial" w:hAnsi="Arial" w:cs="Arial"/>
                <w:sz w:val="24"/>
                <w:lang w:val="es-ES"/>
              </w:rPr>
            </w:pPr>
            <w:r>
              <w:rPr>
                <w:rFonts w:ascii="Arial" w:hAnsi="Arial" w:cs="Arial"/>
                <w:sz w:val="24"/>
                <w:lang w:val="es-ES"/>
              </w:rPr>
              <w:t>8</w:t>
            </w:r>
          </w:p>
        </w:tc>
        <w:tc>
          <w:tcPr>
            <w:tcW w:w="4111" w:type="dxa"/>
          </w:tcPr>
          <w:p w:rsidR="001A70AE" w:rsidRDefault="001A70AE" w:rsidP="00CF5AE0">
            <w:pPr>
              <w:jc w:val="both"/>
              <w:rPr>
                <w:rFonts w:ascii="Arial" w:hAnsi="Arial" w:cs="Arial"/>
                <w:sz w:val="24"/>
                <w:lang w:val="es-ES"/>
              </w:rPr>
            </w:pPr>
            <w:r>
              <w:rPr>
                <w:rFonts w:ascii="Arial" w:hAnsi="Arial" w:cs="Arial"/>
                <w:sz w:val="24"/>
                <w:lang w:val="es-ES"/>
              </w:rPr>
              <w:t>Quintana Roo</w:t>
            </w:r>
          </w:p>
        </w:tc>
      </w:tr>
      <w:tr w:rsidR="001A70AE" w:rsidTr="00CF5AE0">
        <w:tc>
          <w:tcPr>
            <w:tcW w:w="483" w:type="dxa"/>
          </w:tcPr>
          <w:p w:rsidR="001A70AE" w:rsidRDefault="001A70AE" w:rsidP="00CF5AE0">
            <w:pPr>
              <w:jc w:val="both"/>
              <w:rPr>
                <w:rFonts w:ascii="Arial" w:hAnsi="Arial" w:cs="Arial"/>
                <w:sz w:val="24"/>
                <w:lang w:val="es-ES"/>
              </w:rPr>
            </w:pPr>
            <w:r>
              <w:rPr>
                <w:rFonts w:ascii="Arial" w:hAnsi="Arial" w:cs="Arial"/>
                <w:sz w:val="24"/>
                <w:lang w:val="es-ES"/>
              </w:rPr>
              <w:t>9</w:t>
            </w:r>
          </w:p>
        </w:tc>
        <w:tc>
          <w:tcPr>
            <w:tcW w:w="4111" w:type="dxa"/>
          </w:tcPr>
          <w:p w:rsidR="001A70AE" w:rsidRDefault="001A70AE" w:rsidP="00CF5AE0">
            <w:pPr>
              <w:jc w:val="both"/>
              <w:rPr>
                <w:rFonts w:ascii="Arial" w:hAnsi="Arial" w:cs="Arial"/>
                <w:sz w:val="24"/>
                <w:lang w:val="es-ES"/>
              </w:rPr>
            </w:pPr>
            <w:r>
              <w:rPr>
                <w:rFonts w:ascii="Arial" w:hAnsi="Arial" w:cs="Arial"/>
                <w:sz w:val="24"/>
                <w:lang w:val="es-ES"/>
              </w:rPr>
              <w:t>Sonora</w:t>
            </w:r>
          </w:p>
        </w:tc>
      </w:tr>
      <w:tr w:rsidR="001A70AE" w:rsidTr="00CF5AE0">
        <w:tc>
          <w:tcPr>
            <w:tcW w:w="483" w:type="dxa"/>
          </w:tcPr>
          <w:p w:rsidR="001A70AE" w:rsidRDefault="001A70AE" w:rsidP="00CF5AE0">
            <w:pPr>
              <w:jc w:val="both"/>
              <w:rPr>
                <w:rFonts w:ascii="Arial" w:hAnsi="Arial" w:cs="Arial"/>
                <w:sz w:val="24"/>
                <w:lang w:val="es-ES"/>
              </w:rPr>
            </w:pPr>
            <w:r>
              <w:rPr>
                <w:rFonts w:ascii="Arial" w:hAnsi="Arial" w:cs="Arial"/>
                <w:sz w:val="24"/>
                <w:lang w:val="es-ES"/>
              </w:rPr>
              <w:t>10</w:t>
            </w:r>
          </w:p>
        </w:tc>
        <w:tc>
          <w:tcPr>
            <w:tcW w:w="4111" w:type="dxa"/>
          </w:tcPr>
          <w:p w:rsidR="001A70AE" w:rsidRDefault="001A70AE" w:rsidP="00CF5AE0">
            <w:pPr>
              <w:jc w:val="both"/>
              <w:rPr>
                <w:rFonts w:ascii="Arial" w:hAnsi="Arial" w:cs="Arial"/>
                <w:sz w:val="24"/>
                <w:lang w:val="es-ES"/>
              </w:rPr>
            </w:pPr>
            <w:r>
              <w:rPr>
                <w:rFonts w:ascii="Arial" w:hAnsi="Arial" w:cs="Arial"/>
                <w:sz w:val="24"/>
                <w:lang w:val="es-ES"/>
              </w:rPr>
              <w:t>Tamaulipas</w:t>
            </w:r>
          </w:p>
        </w:tc>
      </w:tr>
      <w:tr w:rsidR="001A70AE" w:rsidTr="00CF5AE0">
        <w:tc>
          <w:tcPr>
            <w:tcW w:w="483" w:type="dxa"/>
          </w:tcPr>
          <w:p w:rsidR="001A70AE" w:rsidRDefault="001A70AE" w:rsidP="00CF5AE0">
            <w:pPr>
              <w:jc w:val="both"/>
              <w:rPr>
                <w:rFonts w:ascii="Arial" w:hAnsi="Arial" w:cs="Arial"/>
                <w:sz w:val="24"/>
                <w:lang w:val="es-ES"/>
              </w:rPr>
            </w:pPr>
            <w:r>
              <w:rPr>
                <w:rFonts w:ascii="Arial" w:hAnsi="Arial" w:cs="Arial"/>
                <w:sz w:val="24"/>
                <w:lang w:val="es-ES"/>
              </w:rPr>
              <w:t>11</w:t>
            </w:r>
          </w:p>
        </w:tc>
        <w:tc>
          <w:tcPr>
            <w:tcW w:w="4111" w:type="dxa"/>
          </w:tcPr>
          <w:p w:rsidR="001A70AE" w:rsidRDefault="001A70AE" w:rsidP="00CF5AE0">
            <w:pPr>
              <w:jc w:val="both"/>
              <w:rPr>
                <w:rFonts w:ascii="Arial" w:hAnsi="Arial" w:cs="Arial"/>
                <w:sz w:val="24"/>
                <w:lang w:val="es-ES"/>
              </w:rPr>
            </w:pPr>
            <w:r>
              <w:rPr>
                <w:rFonts w:ascii="Arial" w:hAnsi="Arial" w:cs="Arial"/>
                <w:sz w:val="24"/>
                <w:lang w:val="es-ES"/>
              </w:rPr>
              <w:t>Yucatán</w:t>
            </w:r>
          </w:p>
        </w:tc>
      </w:tr>
    </w:tbl>
    <w:p w:rsidR="007E1078" w:rsidRPr="007E1078" w:rsidRDefault="001A70AE" w:rsidP="00B463D5">
      <w:pPr>
        <w:jc w:val="right"/>
        <w:rPr>
          <w:rFonts w:ascii="Arial" w:hAnsi="Arial" w:cs="Arial"/>
          <w:i/>
          <w:sz w:val="20"/>
          <w:lang w:val="es-ES"/>
        </w:rPr>
      </w:pPr>
      <w:r w:rsidRPr="00EC46FD">
        <w:rPr>
          <w:rFonts w:ascii="Arial" w:hAnsi="Arial" w:cs="Arial"/>
          <w:i/>
          <w:sz w:val="20"/>
          <w:lang w:val="es-ES"/>
        </w:rPr>
        <w:t>(Elaboración propia)</w:t>
      </w:r>
    </w:p>
    <w:p w:rsidR="00603C05" w:rsidRPr="00880F4B" w:rsidRDefault="00603C05" w:rsidP="00603C05">
      <w:pPr>
        <w:jc w:val="both"/>
        <w:rPr>
          <w:rFonts w:ascii="Arial" w:hAnsi="Arial" w:cs="Arial"/>
          <w:sz w:val="24"/>
          <w:lang w:val="es-ES"/>
        </w:rPr>
      </w:pPr>
      <w:bookmarkStart w:id="1" w:name="_Hlk13840078"/>
      <w:r w:rsidRPr="00880F4B">
        <w:rPr>
          <w:rFonts w:ascii="Arial" w:hAnsi="Arial" w:cs="Arial"/>
          <w:sz w:val="24"/>
          <w:lang w:val="es-ES"/>
        </w:rPr>
        <w:t xml:space="preserve">La omisión del derecho al ser buscado también refiere al incumplimiento de la obligación de realizar una investigación imparcial. </w:t>
      </w:r>
      <w:bookmarkEnd w:id="1"/>
      <w:r w:rsidRPr="00880F4B">
        <w:rPr>
          <w:rFonts w:ascii="Arial" w:hAnsi="Arial" w:cs="Arial"/>
          <w:sz w:val="24"/>
          <w:lang w:val="es-ES"/>
        </w:rPr>
        <w:t>Muchos casos que podrían encuadrarse bajo el delito de desaparición son reportados e investigados bajo una figura diferente o ni siquiera son considerados como delitos. En muchas ocasiones, los casos de desapariciones se investigan inicialmente como desapariciones voluntarias y refieren a personas no localizadas y no a personas desaparecidas.</w:t>
      </w:r>
    </w:p>
    <w:p w:rsidR="007825B8" w:rsidRDefault="00603C05" w:rsidP="00603C05">
      <w:pPr>
        <w:jc w:val="both"/>
        <w:rPr>
          <w:rFonts w:ascii="Arial" w:hAnsi="Arial" w:cs="Arial"/>
          <w:sz w:val="24"/>
          <w:lang w:val="es-ES"/>
        </w:rPr>
      </w:pPr>
      <w:r w:rsidRPr="00880F4B">
        <w:rPr>
          <w:rFonts w:ascii="Arial" w:hAnsi="Arial" w:cs="Arial"/>
          <w:sz w:val="24"/>
          <w:lang w:val="es-ES"/>
        </w:rPr>
        <w:lastRenderedPageBreak/>
        <w:t xml:space="preserve">Para cumplir con la investigación del delito y la búsqueda de las personas, se debe, como mínimo: a) realizar una investigación objetiva, b) profesional, c) conducirse con honradez, d) proporcionar a la víctima información veraz sobre los hechos y hallazgos en la investigación, e) resolver de manera fundada respecto de la pertinencia e idoneidad de los actos de investigación que propongan las partes del proceso, f) abstenerse que incurrir en un abuso en el ejercicio de las facultades, g) conducir la investigación con la debida diligencia, h) </w:t>
      </w:r>
      <w:bookmarkStart w:id="2" w:name="_Hlk13774375"/>
      <w:r w:rsidRPr="00880F4B">
        <w:rPr>
          <w:rFonts w:ascii="Arial" w:hAnsi="Arial" w:cs="Arial"/>
          <w:sz w:val="24"/>
          <w:lang w:val="es-ES"/>
        </w:rPr>
        <w:t>evitar planteamientos dilatorios, i) solicitar la práctica de peritajes y diligencias para la obtención de otros datos y/o medios de prueba, y j) explorar todas las líneas de investigación posibles que permitan allegarse de datos para el esclarecimiento del hecho que la ley señala como delito y/o violación a derechos humanos</w:t>
      </w:r>
      <w:bookmarkEnd w:id="2"/>
      <w:r w:rsidRPr="00880F4B">
        <w:rPr>
          <w:rFonts w:ascii="Arial" w:hAnsi="Arial" w:cs="Arial"/>
          <w:sz w:val="24"/>
          <w:lang w:val="es-ES"/>
        </w:rPr>
        <w:t>.</w:t>
      </w:r>
      <w:bookmarkStart w:id="3" w:name="_heading=h.1y810tw"/>
      <w:bookmarkEnd w:id="3"/>
      <w:r w:rsidRPr="007825B8">
        <w:rPr>
          <w:rFonts w:ascii="Arial" w:hAnsi="Arial" w:cs="Arial"/>
          <w:sz w:val="24"/>
          <w:vertAlign w:val="superscript"/>
          <w:lang w:val="es-ES"/>
        </w:rPr>
        <w:footnoteReference w:id="13"/>
      </w:r>
      <w:r w:rsidRPr="007825B8">
        <w:rPr>
          <w:rFonts w:ascii="Arial" w:hAnsi="Arial" w:cs="Arial"/>
          <w:sz w:val="24"/>
          <w:vertAlign w:val="superscript"/>
          <w:lang w:val="es-ES"/>
        </w:rPr>
        <w:t xml:space="preserve"> </w:t>
      </w:r>
    </w:p>
    <w:p w:rsidR="00603C05" w:rsidRPr="00880F4B" w:rsidRDefault="00F544C1" w:rsidP="00603C05">
      <w:pPr>
        <w:jc w:val="both"/>
        <w:rPr>
          <w:rFonts w:ascii="Arial" w:hAnsi="Arial" w:cs="Arial"/>
          <w:sz w:val="24"/>
          <w:lang w:val="es-ES"/>
        </w:rPr>
      </w:pPr>
      <w:r w:rsidRPr="00F544C1">
        <w:rPr>
          <w:rFonts w:ascii="Arial" w:hAnsi="Arial" w:cs="Arial"/>
          <w:sz w:val="24"/>
          <w:lang w:val="es-ES"/>
        </w:rPr>
        <w:t>L</w:t>
      </w:r>
      <w:r w:rsidR="00603C05" w:rsidRPr="00F544C1">
        <w:rPr>
          <w:rFonts w:ascii="Arial" w:hAnsi="Arial" w:cs="Arial"/>
          <w:sz w:val="24"/>
          <w:lang w:val="es-ES"/>
        </w:rPr>
        <w:t>a Comisión de Derechos Humanos de la Ciudad de México identificó un patrón en los procesos de investigación y en la búsqueda de personas desaparecidas</w:t>
      </w:r>
      <w:r w:rsidR="00603C05" w:rsidRPr="00880F4B">
        <w:rPr>
          <w:rFonts w:ascii="Arial" w:hAnsi="Arial" w:cs="Arial"/>
          <w:sz w:val="24"/>
          <w:lang w:val="es-ES"/>
        </w:rPr>
        <w:t xml:space="preserve"> con relación a los vacíos de información, a lo que se suma la falta de coordinación entre las autoridades lo que imposibilita desarrollar una política criminal o un plan de persecución penal eficiente con enfoque interdisciplinario y de colaboración interinstitucional sino que por el contrario hay culpabilización de las víctimas, doble estándar, prejuicios y estereotipos que resultan una limitante para las investigaciones.</w:t>
      </w:r>
    </w:p>
    <w:p w:rsidR="00603C05" w:rsidRPr="00880F4B" w:rsidRDefault="00603C05" w:rsidP="00603C05">
      <w:pPr>
        <w:jc w:val="both"/>
        <w:rPr>
          <w:rFonts w:ascii="Arial" w:hAnsi="Arial" w:cs="Arial"/>
          <w:sz w:val="24"/>
          <w:lang w:val="es-ES"/>
        </w:rPr>
      </w:pPr>
      <w:r w:rsidRPr="00880F4B">
        <w:rPr>
          <w:rFonts w:ascii="Arial" w:hAnsi="Arial" w:cs="Arial"/>
          <w:sz w:val="24"/>
          <w:lang w:val="es-ES"/>
        </w:rPr>
        <w:t>A lo anterior, se le suman las denuncias que las víctimas han realizado frente a la falta de debida diligencia en la búsqueda, así como la ausencia de enfoque diferenciado en las mismas, la demora en iniciar con la búsqueda dentro de las primeras 24 horas, la criminalización y la estigmatización de las víctimas que retrasan el despliegue de diligencias inmediatas para la búsqueda y localización de la persona desaparecida, entre otros.</w:t>
      </w:r>
      <w:r w:rsidRPr="007E1078">
        <w:rPr>
          <w:rFonts w:ascii="Arial" w:hAnsi="Arial"/>
          <w:vertAlign w:val="superscript"/>
        </w:rPr>
        <w:footnoteReference w:id="14"/>
      </w:r>
    </w:p>
    <w:p w:rsidR="00603C05" w:rsidRPr="00880F4B" w:rsidRDefault="00603C05" w:rsidP="00603C05">
      <w:pPr>
        <w:jc w:val="both"/>
        <w:rPr>
          <w:rFonts w:ascii="Arial" w:hAnsi="Arial" w:cs="Arial"/>
          <w:sz w:val="24"/>
          <w:lang w:val="es-ES"/>
        </w:rPr>
      </w:pPr>
      <w:r w:rsidRPr="00880F4B">
        <w:rPr>
          <w:rFonts w:ascii="Arial" w:hAnsi="Arial" w:cs="Arial"/>
          <w:sz w:val="24"/>
          <w:lang w:val="es-ES"/>
        </w:rPr>
        <w:t>Además, la falta de una búsqueda efectiva pone en riesgo la obligación del Estado de garantizar la vida e integridad de las personas pues dicha obligación positiva conlleva el deber de prevenir que agentes del estado y terceros vulneren el derecho a la vida y a la integridad, así como investigar y sancionar dichos actos.</w:t>
      </w:r>
    </w:p>
    <w:p w:rsidR="00603C05" w:rsidRPr="00880F4B" w:rsidRDefault="00603C05" w:rsidP="00603C05">
      <w:pPr>
        <w:jc w:val="both"/>
        <w:rPr>
          <w:rFonts w:ascii="Arial" w:hAnsi="Arial" w:cs="Arial"/>
          <w:sz w:val="24"/>
          <w:lang w:val="es-ES"/>
        </w:rPr>
      </w:pPr>
      <w:r w:rsidRPr="00880F4B">
        <w:rPr>
          <w:rFonts w:ascii="Arial" w:hAnsi="Arial" w:cs="Arial"/>
          <w:sz w:val="24"/>
          <w:lang w:val="es-ES"/>
        </w:rPr>
        <w:t xml:space="preserve">Bajo esa tesitura, la búsqueda inmediata de personas desaparecidas debe estar caracterizada por la acción y práctica oportuna de diligencias tendientes a recabar elementos probatorios que permitan el esclarecimiento de los hechos; así como la localización de las víctimas. En este orden de ideas, las autoridades tienen la obligación de iniciar las acciones de búsqueda de forma inmediata, sin ninguna demora y de manera expedita. Asimismo, deben garantizar que el inicio de las actividades de búsqueda y localización de las personas desaparecidas no esté </w:t>
      </w:r>
      <w:r w:rsidRPr="00880F4B">
        <w:rPr>
          <w:rFonts w:ascii="Arial" w:hAnsi="Arial" w:cs="Arial"/>
          <w:sz w:val="24"/>
          <w:lang w:val="es-ES"/>
        </w:rPr>
        <w:lastRenderedPageBreak/>
        <w:t>condicionado a plazo alguno, ni siquiera de horas, de manera que dichas actividades se emprendan de forma inmediata. Bajo esta perspectiva, la ausencia de información por parte de los familiares no puede ser invocada para no dar inicio de manera inmediata a las actividades de búsqueda y localización de la persona desaparecida.</w:t>
      </w:r>
      <w:r w:rsidRPr="00180B45">
        <w:rPr>
          <w:rFonts w:ascii="Arial" w:hAnsi="Arial" w:cs="Arial"/>
          <w:sz w:val="24"/>
          <w:vertAlign w:val="superscript"/>
          <w:lang w:val="es-ES"/>
        </w:rPr>
        <w:footnoteReference w:id="15"/>
      </w:r>
    </w:p>
    <w:p w:rsidR="007E1078" w:rsidRPr="001A70AE" w:rsidRDefault="007E1078" w:rsidP="007E1078">
      <w:pPr>
        <w:jc w:val="both"/>
        <w:rPr>
          <w:rFonts w:ascii="Arial" w:hAnsi="Arial" w:cs="Arial"/>
          <w:i/>
          <w:sz w:val="20"/>
          <w:lang w:val="es-ES"/>
        </w:rPr>
      </w:pPr>
      <w:r w:rsidRPr="00880F4B">
        <w:rPr>
          <w:rFonts w:ascii="Arial" w:hAnsi="Arial" w:cs="Arial"/>
          <w:sz w:val="24"/>
          <w:lang w:val="es-ES"/>
        </w:rPr>
        <w:t xml:space="preserve">En 2020 se publicó el Protocolo Homologado para la Búsqueda de Personas Desaparecidas y No Localizadas que contempla el enfoque de derechos humanos, diferenciado, de género, la perspectiva de derechos de niñas, niños y adolescentes que constituye uno de los instrumentos fundamentales para la elaboración de los Planes de Búsqueda de manera coordinada, instrumento considerado fundamental para garantizar el derecho de las personas a ser buscadas. En este sentido, </w:t>
      </w:r>
      <w:r>
        <w:rPr>
          <w:rFonts w:ascii="Arial" w:hAnsi="Arial" w:cs="Arial"/>
          <w:sz w:val="24"/>
          <w:lang w:val="es-ES"/>
        </w:rPr>
        <w:t xml:space="preserve">la </w:t>
      </w:r>
      <w:r w:rsidRPr="00880F4B">
        <w:rPr>
          <w:rFonts w:ascii="Arial" w:hAnsi="Arial" w:cs="Arial"/>
          <w:sz w:val="24"/>
          <w:lang w:val="es-ES"/>
        </w:rPr>
        <w:t xml:space="preserve">búsqueda se debe realizar con enfoque diferencial, es decir, a partir de adoptar mecanismos y medidas razonables respecto de las circunstancias, contextos particulares y riesgo identificados en cada uno de los casos para localizar a las víctimas con vida. </w:t>
      </w:r>
      <w:r w:rsidRPr="00130FAD">
        <w:rPr>
          <w:rFonts w:ascii="Arial" w:hAnsi="Arial" w:cs="Arial"/>
          <w:sz w:val="24"/>
          <w:lang w:val="es-ES"/>
        </w:rPr>
        <w:t>De lo contrario, aún y cuando las autoridades pretenden llevar a cabo una búsqueda el derecho se vulnera.</w:t>
      </w:r>
    </w:p>
    <w:p w:rsidR="007E1078" w:rsidRPr="007E1078" w:rsidRDefault="007E1078" w:rsidP="007E1078">
      <w:pPr>
        <w:jc w:val="both"/>
        <w:rPr>
          <w:rFonts w:ascii="Arial" w:hAnsi="Arial" w:cs="Arial"/>
          <w:sz w:val="24"/>
          <w:vertAlign w:val="superscript"/>
          <w:lang w:val="es-ES"/>
        </w:rPr>
      </w:pPr>
      <w:r w:rsidRPr="00880F4B">
        <w:rPr>
          <w:rFonts w:ascii="Arial" w:hAnsi="Arial" w:cs="Arial"/>
          <w:sz w:val="24"/>
          <w:lang w:val="es-ES"/>
        </w:rPr>
        <w:t>La transversalización del enfoque diferenciado conlleva una perspectiva de igualdad de oportunidades</w:t>
      </w:r>
      <w:r w:rsidRPr="007825B8">
        <w:rPr>
          <w:rFonts w:ascii="Arial" w:hAnsi="Arial" w:cs="Arial"/>
          <w:sz w:val="24"/>
          <w:vertAlign w:val="superscript"/>
          <w:lang w:val="es-ES"/>
        </w:rPr>
        <w:footnoteReference w:id="16"/>
      </w:r>
      <w:r w:rsidRPr="007825B8">
        <w:rPr>
          <w:rFonts w:ascii="Arial" w:hAnsi="Arial" w:cs="Arial"/>
          <w:sz w:val="24"/>
          <w:vertAlign w:val="superscript"/>
          <w:lang w:val="es-ES"/>
        </w:rPr>
        <w:t xml:space="preserve"> </w:t>
      </w:r>
      <w:r w:rsidRPr="00880F4B">
        <w:rPr>
          <w:rFonts w:ascii="Arial" w:hAnsi="Arial" w:cs="Arial"/>
          <w:sz w:val="24"/>
          <w:lang w:val="es-ES"/>
        </w:rPr>
        <w:t>en el ejercicio pleno de los derechos humanos de todas las personas, en condiciones de equidad e igualdad; por lo que durante la investigación se debe recabar información detallada y desagregada -por lo menos- por género, edad, situación de riesgo o discriminación y pertenencia a grupos de atención prioritaria, a fin de ser analizada de manera que sirva para el desarrollo e implementación de políticas públicas, al diseño y mejoramiento de planes y acciones de búsqueda e investigación, así como la elaboración y puesta en marcha medidas de prevención de delitos de desaparición.</w:t>
      </w:r>
      <w:r w:rsidRPr="007825B8">
        <w:rPr>
          <w:rFonts w:ascii="Arial" w:hAnsi="Arial" w:cs="Arial"/>
          <w:sz w:val="24"/>
          <w:vertAlign w:val="superscript"/>
          <w:lang w:val="es-ES"/>
        </w:rPr>
        <w:footnoteReference w:id="17"/>
      </w:r>
    </w:p>
    <w:p w:rsidR="00603C05" w:rsidRPr="00880F4B" w:rsidRDefault="00603C05" w:rsidP="00603C05">
      <w:pPr>
        <w:jc w:val="both"/>
        <w:rPr>
          <w:rFonts w:ascii="Arial" w:hAnsi="Arial" w:cs="Arial"/>
          <w:sz w:val="24"/>
          <w:lang w:val="es-ES"/>
        </w:rPr>
      </w:pPr>
      <w:r w:rsidRPr="00880F4B">
        <w:rPr>
          <w:rFonts w:ascii="Arial" w:hAnsi="Arial" w:cs="Arial"/>
          <w:sz w:val="24"/>
          <w:lang w:val="es-ES"/>
        </w:rPr>
        <w:t xml:space="preserve">En el caso particular de personas desaparecidas pertenecientes a grupos de atención prioritaria se requiere procedimientos, experiencias y conocimientos especiales que satisfagan sus necesidades particulares dado que el fin último es garantizar la vida e integridad de las personas por lo que la búsqueda debe realizarse bajo la presunción de que la persona desaparecida está viva. La falta de líneas de investigación que tengan en cuenta enfoque diferenciado y la perspectiva de género vulnera el derecho a la vida y a la integridad ante el incumplimiento estatal de garantizar, a través de una investigación seria y adecuada, dichos derechos, generando impunidad por la insuficiencia de las medidas adoptadas frente a la </w:t>
      </w:r>
      <w:r w:rsidRPr="00880F4B">
        <w:rPr>
          <w:rFonts w:ascii="Arial" w:hAnsi="Arial" w:cs="Arial"/>
          <w:sz w:val="24"/>
          <w:lang w:val="es-ES"/>
        </w:rPr>
        <w:lastRenderedPageBreak/>
        <w:t xml:space="preserve">desaparición de personas en grupos de atención prioritaria tal como el caso de Antonio quien es una persona perteneciente a una comunidad indígena de Chiapas que hablaba una lengua indígena. </w:t>
      </w:r>
    </w:p>
    <w:p w:rsidR="00603C05" w:rsidRPr="00880F4B" w:rsidRDefault="00603C05" w:rsidP="00603C05">
      <w:pPr>
        <w:jc w:val="both"/>
        <w:rPr>
          <w:rFonts w:ascii="Arial" w:hAnsi="Arial" w:cs="Arial"/>
          <w:sz w:val="24"/>
          <w:lang w:val="es-ES"/>
        </w:rPr>
      </w:pPr>
      <w:r w:rsidRPr="00880F4B">
        <w:rPr>
          <w:rFonts w:ascii="Arial" w:hAnsi="Arial" w:cs="Arial"/>
          <w:sz w:val="24"/>
          <w:lang w:val="es-ES"/>
        </w:rPr>
        <w:t xml:space="preserve">Además, la falta de investigación adecuada </w:t>
      </w:r>
      <w:r w:rsidR="00D30F28">
        <w:rPr>
          <w:rFonts w:ascii="Arial" w:hAnsi="Arial" w:cs="Arial"/>
          <w:sz w:val="24"/>
          <w:lang w:val="es-ES"/>
        </w:rPr>
        <w:t>es</w:t>
      </w:r>
      <w:r w:rsidRPr="00880F4B">
        <w:rPr>
          <w:rFonts w:ascii="Arial" w:hAnsi="Arial" w:cs="Arial"/>
          <w:sz w:val="24"/>
          <w:lang w:val="es-ES"/>
        </w:rPr>
        <w:t xml:space="preserve"> una forma de causar sufrimiento a las familias. De</w:t>
      </w:r>
      <w:r w:rsidR="0061789F">
        <w:rPr>
          <w:rFonts w:ascii="Arial" w:hAnsi="Arial" w:cs="Arial"/>
          <w:sz w:val="24"/>
          <w:lang w:val="es-ES"/>
        </w:rPr>
        <w:t xml:space="preserve"> acuerdo con los casos documentados por esta Comisión, de</w:t>
      </w:r>
      <w:r w:rsidRPr="00880F4B">
        <w:rPr>
          <w:rFonts w:ascii="Arial" w:hAnsi="Arial" w:cs="Arial"/>
          <w:sz w:val="24"/>
          <w:lang w:val="es-ES"/>
        </w:rPr>
        <w:t>sde la perspectiva psicosocial, se ha señalado que a raíz de la desaparición de la figura de la madre o de hijos e hijas ocurre una readecuación de roles que produce una sobrecarga, ya que algunos deben asumir las tareas del familiar o familiares desaparecidos. Hay un profundo impacto a nivel individual pero también comunitario. En este sentido, dado que las mujeres desempeñan los roles tradicionales de seguridad afectiva –cuidado, alimentación, afecto, aseo, reproducción–, su ausencia tiene consecuencias muy severas en la estructura del grupo familiar</w:t>
      </w:r>
      <w:r w:rsidR="00823D9E">
        <w:rPr>
          <w:rFonts w:ascii="Arial" w:hAnsi="Arial" w:cs="Arial"/>
          <w:sz w:val="24"/>
          <w:lang w:val="es-ES"/>
        </w:rPr>
        <w:t>.</w:t>
      </w:r>
      <w:r w:rsidRPr="00880F4B">
        <w:rPr>
          <w:rFonts w:ascii="Arial" w:hAnsi="Arial" w:cs="Arial"/>
          <w:sz w:val="24"/>
          <w:lang w:val="es-ES"/>
        </w:rPr>
        <w:t xml:space="preserve"> Tras la desaparición de algún progenitor, en los casos aquí documentados la madre, niñas y niños, pierden un referente social básico, la figura que le brinda seguridad y protección, y cuya ausencia produce un vacío afectivo y cultural.</w:t>
      </w:r>
    </w:p>
    <w:p w:rsidR="00A03416" w:rsidRDefault="00E47A55" w:rsidP="00F75731">
      <w:pPr>
        <w:jc w:val="both"/>
        <w:rPr>
          <w:rFonts w:ascii="Arial" w:hAnsi="Arial" w:cs="Arial"/>
          <w:sz w:val="24"/>
          <w:lang w:val="es-ES"/>
        </w:rPr>
      </w:pPr>
      <w:r>
        <w:rPr>
          <w:rFonts w:ascii="Arial" w:hAnsi="Arial" w:cs="Arial"/>
          <w:sz w:val="24"/>
          <w:lang w:val="es-ES"/>
        </w:rPr>
        <w:t>Por último</w:t>
      </w:r>
      <w:r w:rsidR="00603C05" w:rsidRPr="00880F4B">
        <w:rPr>
          <w:rFonts w:ascii="Arial" w:hAnsi="Arial" w:cs="Arial"/>
          <w:sz w:val="24"/>
          <w:lang w:val="es-ES"/>
        </w:rPr>
        <w:t>, violar el derecho de las personas a ser buscadas conlleva una vulneración al derecho a la verdad. En ese sentido, el derecho a la verdad (o a conocer la verdad) es el derecho individual y colectivo a saber los hechos, las circunstancias, las causas, las consecuencias, los responsables y las víctimas de las violaciones de los derechos humanos.</w:t>
      </w:r>
      <w:r w:rsidR="00823D9E">
        <w:rPr>
          <w:rFonts w:ascii="Arial" w:hAnsi="Arial" w:cs="Arial"/>
          <w:sz w:val="24"/>
          <w:lang w:val="es-ES"/>
        </w:rPr>
        <w:t xml:space="preserve"> </w:t>
      </w:r>
      <w:r w:rsidR="0061789F">
        <w:rPr>
          <w:rFonts w:ascii="Arial" w:hAnsi="Arial" w:cs="Arial"/>
          <w:sz w:val="24"/>
          <w:lang w:val="es-ES"/>
        </w:rPr>
        <w:t>Dicho derecho</w:t>
      </w:r>
      <w:r>
        <w:rPr>
          <w:rFonts w:ascii="Arial" w:hAnsi="Arial" w:cs="Arial"/>
          <w:sz w:val="24"/>
          <w:lang w:val="es-ES"/>
        </w:rPr>
        <w:t>, s</w:t>
      </w:r>
      <w:r w:rsidR="00603C05" w:rsidRPr="00880F4B">
        <w:rPr>
          <w:rFonts w:ascii="Arial" w:hAnsi="Arial" w:cs="Arial"/>
          <w:sz w:val="24"/>
          <w:lang w:val="es-ES"/>
        </w:rPr>
        <w:t>i bien se ha enmarcado fundamentalmente en el derecho de acceso a la justicia, lo cierto es que el derecho a la verdad tiene autonomía ya que aquel tiene una naturaleza amplia y su vulneración puede afectar distintos derechos, dependiendo del contexto y circunstancias particulares del caso.</w:t>
      </w:r>
      <w:r w:rsidR="00603C05" w:rsidRPr="00762157">
        <w:rPr>
          <w:rFonts w:ascii="Arial" w:hAnsi="Arial" w:cs="Arial"/>
          <w:sz w:val="24"/>
          <w:vertAlign w:val="superscript"/>
          <w:lang w:val="es-ES"/>
        </w:rPr>
        <w:footnoteReference w:id="18"/>
      </w:r>
    </w:p>
    <w:p w:rsidR="00DE0FF3" w:rsidRDefault="00DE0FF3" w:rsidP="00F75731">
      <w:pPr>
        <w:jc w:val="both"/>
        <w:rPr>
          <w:rFonts w:ascii="Arial" w:hAnsi="Arial" w:cs="Arial"/>
          <w:sz w:val="24"/>
          <w:lang w:val="es-ES"/>
        </w:rPr>
      </w:pPr>
      <w:r>
        <w:rPr>
          <w:rFonts w:ascii="Arial" w:hAnsi="Arial" w:cs="Arial"/>
          <w:sz w:val="24"/>
          <w:lang w:val="es-ES"/>
        </w:rPr>
        <w:t xml:space="preserve">En ese sentido, es que </w:t>
      </w:r>
      <w:r w:rsidR="00E64E07">
        <w:rPr>
          <w:rFonts w:ascii="Arial" w:hAnsi="Arial" w:cs="Arial"/>
          <w:sz w:val="24"/>
          <w:lang w:val="es-ES"/>
        </w:rPr>
        <w:t xml:space="preserve">garantizar el derecho a las personas a ser buscadas bajo enfoques diferenciales permite contribuir a la reparación, a la justicia y a la verdad </w:t>
      </w:r>
      <w:r w:rsidR="00A35468">
        <w:rPr>
          <w:rFonts w:ascii="Arial" w:hAnsi="Arial" w:cs="Arial"/>
          <w:sz w:val="24"/>
          <w:lang w:val="es-ES"/>
        </w:rPr>
        <w:t xml:space="preserve">para las personas víctimas de </w:t>
      </w:r>
      <w:r w:rsidR="00B11E9B">
        <w:rPr>
          <w:rFonts w:ascii="Arial" w:hAnsi="Arial" w:cs="Arial"/>
          <w:sz w:val="24"/>
          <w:lang w:val="es-ES"/>
        </w:rPr>
        <w:t>desaparición,</w:t>
      </w:r>
      <w:r w:rsidR="00A35468">
        <w:rPr>
          <w:rFonts w:ascii="Arial" w:hAnsi="Arial" w:cs="Arial"/>
          <w:sz w:val="24"/>
          <w:lang w:val="es-ES"/>
        </w:rPr>
        <w:t xml:space="preserve"> pero también para todas las personas </w:t>
      </w:r>
      <w:r w:rsidR="00B11E9B">
        <w:rPr>
          <w:rFonts w:ascii="Arial" w:hAnsi="Arial" w:cs="Arial"/>
          <w:sz w:val="24"/>
          <w:lang w:val="es-ES"/>
        </w:rPr>
        <w:t xml:space="preserve">que habitan y transitan por el país </w:t>
      </w:r>
      <w:r w:rsidR="00A35468">
        <w:rPr>
          <w:rFonts w:ascii="Arial" w:hAnsi="Arial" w:cs="Arial"/>
          <w:sz w:val="24"/>
          <w:lang w:val="es-ES"/>
        </w:rPr>
        <w:t>pues dichas dinámicas de violencia contribuyen a perpetuar</w:t>
      </w:r>
      <w:r w:rsidR="00B11E9B">
        <w:rPr>
          <w:rFonts w:ascii="Arial" w:hAnsi="Arial" w:cs="Arial"/>
          <w:sz w:val="24"/>
          <w:lang w:val="es-ES"/>
        </w:rPr>
        <w:t xml:space="preserve"> violencia estructural e impunidad.</w:t>
      </w:r>
    </w:p>
    <w:p w:rsidR="00B11E9B" w:rsidRDefault="00B11E9B" w:rsidP="00B11E9B">
      <w:pPr>
        <w:pStyle w:val="Prrafodelista"/>
        <w:numPr>
          <w:ilvl w:val="0"/>
          <w:numId w:val="1"/>
        </w:numPr>
        <w:jc w:val="both"/>
        <w:rPr>
          <w:rFonts w:ascii="Arial" w:hAnsi="Arial" w:cs="Arial"/>
          <w:b/>
          <w:sz w:val="24"/>
          <w:lang w:val="es-ES"/>
        </w:rPr>
      </w:pPr>
      <w:r w:rsidRPr="00B11E9B">
        <w:rPr>
          <w:rFonts w:ascii="Arial" w:hAnsi="Arial" w:cs="Arial"/>
          <w:b/>
          <w:sz w:val="24"/>
          <w:lang w:val="es-ES"/>
        </w:rPr>
        <w:t>Conclusiones</w:t>
      </w:r>
    </w:p>
    <w:p w:rsidR="00925E4A" w:rsidRDefault="00BC1183" w:rsidP="00823D9E">
      <w:pPr>
        <w:jc w:val="both"/>
        <w:rPr>
          <w:rFonts w:ascii="Arial" w:hAnsi="Arial" w:cs="Arial"/>
          <w:sz w:val="24"/>
          <w:lang w:val="es-ES"/>
        </w:rPr>
      </w:pPr>
      <w:r>
        <w:rPr>
          <w:rFonts w:ascii="Arial" w:hAnsi="Arial" w:cs="Arial"/>
          <w:b/>
          <w:sz w:val="24"/>
          <w:lang w:val="es-ES"/>
        </w:rPr>
        <w:t>PRIMER</w:t>
      </w:r>
      <w:r w:rsidR="00221685">
        <w:rPr>
          <w:rFonts w:ascii="Arial" w:hAnsi="Arial" w:cs="Arial"/>
          <w:b/>
          <w:sz w:val="24"/>
          <w:lang w:val="es-ES"/>
        </w:rPr>
        <w:t>A</w:t>
      </w:r>
      <w:r>
        <w:rPr>
          <w:rFonts w:ascii="Arial" w:hAnsi="Arial" w:cs="Arial"/>
          <w:b/>
          <w:sz w:val="24"/>
          <w:lang w:val="es-ES"/>
        </w:rPr>
        <w:t xml:space="preserve">. </w:t>
      </w:r>
      <w:r w:rsidRPr="00EA1AF0">
        <w:rPr>
          <w:rFonts w:ascii="Arial" w:hAnsi="Arial" w:cs="Arial"/>
          <w:sz w:val="24"/>
          <w:lang w:val="es-ES"/>
        </w:rPr>
        <w:t>El Sistema No Jurisdiccional de Protección de Derechos Humanos del país está conformado por organismos heterogéne</w:t>
      </w:r>
      <w:r w:rsidR="0046291A">
        <w:rPr>
          <w:rFonts w:ascii="Arial" w:hAnsi="Arial" w:cs="Arial"/>
          <w:sz w:val="24"/>
          <w:lang w:val="es-ES"/>
        </w:rPr>
        <w:t xml:space="preserve">os </w:t>
      </w:r>
      <w:r w:rsidRPr="00EA1AF0">
        <w:rPr>
          <w:rFonts w:ascii="Arial" w:hAnsi="Arial" w:cs="Arial"/>
          <w:sz w:val="24"/>
          <w:lang w:val="es-ES"/>
        </w:rPr>
        <w:t xml:space="preserve">en </w:t>
      </w:r>
      <w:r w:rsidR="00B20E71">
        <w:rPr>
          <w:rFonts w:ascii="Arial" w:hAnsi="Arial" w:cs="Arial"/>
          <w:sz w:val="24"/>
          <w:lang w:val="es-ES"/>
        </w:rPr>
        <w:t xml:space="preserve">recursos, capacidades, planes y estrategias de trabajo. </w:t>
      </w:r>
      <w:r w:rsidR="000C3E67">
        <w:rPr>
          <w:rFonts w:ascii="Arial" w:hAnsi="Arial" w:cs="Arial"/>
          <w:sz w:val="24"/>
          <w:lang w:val="es-ES"/>
        </w:rPr>
        <w:t>S</w:t>
      </w:r>
      <w:r w:rsidR="00DB2B9E">
        <w:rPr>
          <w:rFonts w:ascii="Arial" w:hAnsi="Arial" w:cs="Arial"/>
          <w:sz w:val="24"/>
          <w:lang w:val="es-ES"/>
        </w:rPr>
        <w:t xml:space="preserve">i bien </w:t>
      </w:r>
      <w:r w:rsidR="00B03C90">
        <w:rPr>
          <w:rFonts w:ascii="Arial" w:hAnsi="Arial" w:cs="Arial"/>
          <w:sz w:val="24"/>
          <w:lang w:val="es-ES"/>
        </w:rPr>
        <w:t xml:space="preserve">a todos </w:t>
      </w:r>
      <w:r w:rsidR="00007A87">
        <w:rPr>
          <w:rFonts w:ascii="Arial" w:hAnsi="Arial" w:cs="Arial"/>
          <w:sz w:val="24"/>
          <w:lang w:val="es-ES"/>
        </w:rPr>
        <w:t xml:space="preserve">se </w:t>
      </w:r>
      <w:proofErr w:type="gramStart"/>
      <w:r w:rsidR="00007A87">
        <w:rPr>
          <w:rFonts w:ascii="Arial" w:hAnsi="Arial" w:cs="Arial"/>
          <w:sz w:val="24"/>
          <w:lang w:val="es-ES"/>
        </w:rPr>
        <w:t>les</w:t>
      </w:r>
      <w:proofErr w:type="gramEnd"/>
      <w:r w:rsidR="00007A87">
        <w:rPr>
          <w:rFonts w:ascii="Arial" w:hAnsi="Arial" w:cs="Arial"/>
          <w:sz w:val="24"/>
          <w:lang w:val="es-ES"/>
        </w:rPr>
        <w:t xml:space="preserve"> reconoce autonomía a nivel </w:t>
      </w:r>
      <w:r w:rsidR="00007A87">
        <w:rPr>
          <w:rFonts w:ascii="Arial" w:hAnsi="Arial" w:cs="Arial"/>
          <w:sz w:val="24"/>
          <w:lang w:val="es-ES"/>
        </w:rPr>
        <w:lastRenderedPageBreak/>
        <w:t>constitucional</w:t>
      </w:r>
      <w:r w:rsidR="00AB1293">
        <w:rPr>
          <w:rFonts w:ascii="Arial" w:hAnsi="Arial" w:cs="Arial"/>
          <w:sz w:val="24"/>
          <w:lang w:val="es-ES"/>
        </w:rPr>
        <w:t>,</w:t>
      </w:r>
      <w:r w:rsidR="00007A87">
        <w:rPr>
          <w:rFonts w:ascii="Arial" w:hAnsi="Arial" w:cs="Arial"/>
          <w:sz w:val="24"/>
          <w:lang w:val="es-ES"/>
        </w:rPr>
        <w:t xml:space="preserve"> existe</w:t>
      </w:r>
      <w:r w:rsidR="000C3E67">
        <w:rPr>
          <w:rFonts w:ascii="Arial" w:hAnsi="Arial" w:cs="Arial"/>
          <w:sz w:val="24"/>
          <w:lang w:val="es-ES"/>
        </w:rPr>
        <w:t>n, por lo menos, cuatro</w:t>
      </w:r>
      <w:r w:rsidR="00007A87">
        <w:rPr>
          <w:rFonts w:ascii="Arial" w:hAnsi="Arial" w:cs="Arial"/>
          <w:sz w:val="24"/>
          <w:lang w:val="es-ES"/>
        </w:rPr>
        <w:t xml:space="preserve"> </w:t>
      </w:r>
      <w:r w:rsidR="00B513A5">
        <w:rPr>
          <w:rFonts w:ascii="Arial" w:hAnsi="Arial" w:cs="Arial"/>
          <w:sz w:val="24"/>
          <w:lang w:val="es-ES"/>
        </w:rPr>
        <w:t>aspectos principales</w:t>
      </w:r>
      <w:r w:rsidR="00007A87">
        <w:rPr>
          <w:rFonts w:ascii="Arial" w:hAnsi="Arial" w:cs="Arial"/>
          <w:sz w:val="24"/>
          <w:lang w:val="es-ES"/>
        </w:rPr>
        <w:t xml:space="preserve"> que </w:t>
      </w:r>
      <w:r w:rsidR="00B513A5">
        <w:rPr>
          <w:rFonts w:ascii="Arial" w:hAnsi="Arial" w:cs="Arial"/>
          <w:sz w:val="24"/>
          <w:lang w:val="es-ES"/>
        </w:rPr>
        <w:t xml:space="preserve">caracterizan la </w:t>
      </w:r>
      <w:r w:rsidR="00B513A5" w:rsidRPr="00B513A5">
        <w:rPr>
          <w:rFonts w:ascii="Arial" w:hAnsi="Arial" w:cs="Arial"/>
          <w:b/>
          <w:sz w:val="24"/>
          <w:lang w:val="es-ES"/>
        </w:rPr>
        <w:t>heterogeneidad de los</w:t>
      </w:r>
      <w:r w:rsidR="00925E4A" w:rsidRPr="00B513A5">
        <w:rPr>
          <w:rFonts w:ascii="Arial" w:hAnsi="Arial" w:cs="Arial"/>
          <w:b/>
          <w:sz w:val="24"/>
          <w:lang w:val="es-ES"/>
        </w:rPr>
        <w:t xml:space="preserve"> OPDH l</w:t>
      </w:r>
      <w:r w:rsidR="00925E4A">
        <w:rPr>
          <w:rFonts w:ascii="Arial" w:hAnsi="Arial" w:cs="Arial"/>
          <w:sz w:val="24"/>
          <w:lang w:val="es-ES"/>
        </w:rPr>
        <w:t>ocales</w:t>
      </w:r>
      <w:r w:rsidR="00B513A5">
        <w:rPr>
          <w:rFonts w:ascii="Arial" w:hAnsi="Arial" w:cs="Arial"/>
          <w:sz w:val="24"/>
          <w:lang w:val="es-ES"/>
        </w:rPr>
        <w:t xml:space="preserve"> y que determinan su respuesta efectiva: </w:t>
      </w:r>
      <w:r w:rsidR="00925E4A">
        <w:rPr>
          <w:rFonts w:ascii="Arial" w:hAnsi="Arial" w:cs="Arial"/>
          <w:sz w:val="24"/>
          <w:lang w:val="es-ES"/>
        </w:rPr>
        <w:t xml:space="preserve"> </w:t>
      </w:r>
    </w:p>
    <w:p w:rsidR="000169F8" w:rsidRDefault="00B513A5" w:rsidP="00B513A5">
      <w:pPr>
        <w:pStyle w:val="Prrafodelista"/>
        <w:numPr>
          <w:ilvl w:val="0"/>
          <w:numId w:val="9"/>
        </w:numPr>
        <w:jc w:val="both"/>
        <w:rPr>
          <w:rFonts w:ascii="Arial" w:hAnsi="Arial" w:cs="Arial"/>
          <w:sz w:val="24"/>
          <w:szCs w:val="24"/>
          <w:lang w:val="es-ES"/>
        </w:rPr>
      </w:pPr>
      <w:r>
        <w:rPr>
          <w:rFonts w:ascii="Arial" w:hAnsi="Arial" w:cs="Arial"/>
          <w:sz w:val="24"/>
          <w:szCs w:val="24"/>
          <w:lang w:val="es-ES"/>
        </w:rPr>
        <w:t xml:space="preserve">Autonomía. </w:t>
      </w:r>
    </w:p>
    <w:p w:rsidR="002E6B68" w:rsidRDefault="002E6B68" w:rsidP="002E6B68">
      <w:pPr>
        <w:pStyle w:val="Prrafodelista"/>
        <w:numPr>
          <w:ilvl w:val="0"/>
          <w:numId w:val="9"/>
        </w:numPr>
        <w:jc w:val="both"/>
        <w:rPr>
          <w:rFonts w:ascii="Arial" w:hAnsi="Arial" w:cs="Arial"/>
          <w:sz w:val="24"/>
          <w:szCs w:val="24"/>
          <w:lang w:val="es-ES"/>
        </w:rPr>
      </w:pPr>
      <w:r>
        <w:rPr>
          <w:rFonts w:ascii="Arial" w:hAnsi="Arial" w:cs="Arial"/>
          <w:sz w:val="24"/>
          <w:szCs w:val="24"/>
          <w:lang w:val="es-ES"/>
        </w:rPr>
        <w:t>C</w:t>
      </w:r>
      <w:r w:rsidR="00AB1293" w:rsidRPr="00B513A5">
        <w:rPr>
          <w:rFonts w:ascii="Arial" w:hAnsi="Arial" w:cs="Arial"/>
          <w:sz w:val="24"/>
          <w:szCs w:val="24"/>
          <w:lang w:val="es-ES"/>
        </w:rPr>
        <w:t xml:space="preserve">apacidad </w:t>
      </w:r>
      <w:r>
        <w:rPr>
          <w:rFonts w:ascii="Arial" w:hAnsi="Arial" w:cs="Arial"/>
          <w:sz w:val="24"/>
          <w:szCs w:val="24"/>
          <w:lang w:val="es-ES"/>
        </w:rPr>
        <w:t>técnica y de fortalecimiento institucional</w:t>
      </w:r>
    </w:p>
    <w:p w:rsidR="002E6B68" w:rsidRDefault="002E6B68" w:rsidP="002E6B68">
      <w:pPr>
        <w:pStyle w:val="Prrafodelista"/>
        <w:numPr>
          <w:ilvl w:val="0"/>
          <w:numId w:val="9"/>
        </w:numPr>
        <w:jc w:val="both"/>
        <w:rPr>
          <w:rFonts w:ascii="Arial" w:hAnsi="Arial" w:cs="Arial"/>
          <w:sz w:val="24"/>
          <w:szCs w:val="24"/>
          <w:lang w:val="es-ES"/>
        </w:rPr>
      </w:pPr>
      <w:r>
        <w:rPr>
          <w:rFonts w:ascii="Arial" w:hAnsi="Arial" w:cs="Arial"/>
          <w:sz w:val="24"/>
          <w:szCs w:val="24"/>
          <w:lang w:val="es-ES"/>
        </w:rPr>
        <w:t>Solvencia presupuestaria</w:t>
      </w:r>
    </w:p>
    <w:p w:rsidR="002E6B68" w:rsidRDefault="002E6B68" w:rsidP="002E6B68">
      <w:pPr>
        <w:pStyle w:val="Prrafodelista"/>
        <w:numPr>
          <w:ilvl w:val="0"/>
          <w:numId w:val="9"/>
        </w:numPr>
        <w:jc w:val="both"/>
        <w:rPr>
          <w:rFonts w:ascii="Arial" w:hAnsi="Arial" w:cs="Arial"/>
          <w:sz w:val="24"/>
          <w:szCs w:val="24"/>
          <w:lang w:val="es-ES"/>
        </w:rPr>
      </w:pPr>
      <w:r>
        <w:rPr>
          <w:rFonts w:ascii="Arial" w:hAnsi="Arial" w:cs="Arial"/>
          <w:sz w:val="24"/>
          <w:szCs w:val="24"/>
          <w:lang w:val="es-ES"/>
        </w:rPr>
        <w:t>Facultades normativas</w:t>
      </w:r>
    </w:p>
    <w:p w:rsidR="002E6B68" w:rsidRDefault="002E6B68" w:rsidP="002E6B68">
      <w:pPr>
        <w:pStyle w:val="Prrafodelista"/>
        <w:numPr>
          <w:ilvl w:val="0"/>
          <w:numId w:val="9"/>
        </w:numPr>
        <w:jc w:val="both"/>
        <w:rPr>
          <w:rFonts w:ascii="Arial" w:hAnsi="Arial" w:cs="Arial"/>
          <w:sz w:val="24"/>
          <w:szCs w:val="24"/>
          <w:lang w:val="es-ES"/>
        </w:rPr>
      </w:pPr>
      <w:r>
        <w:rPr>
          <w:rFonts w:ascii="Arial" w:hAnsi="Arial" w:cs="Arial"/>
          <w:sz w:val="24"/>
          <w:szCs w:val="24"/>
          <w:lang w:val="es-ES"/>
        </w:rPr>
        <w:t>Competencia en el marco del federalismo</w:t>
      </w:r>
      <w:r w:rsidR="005C7E23">
        <w:rPr>
          <w:rFonts w:ascii="Arial" w:hAnsi="Arial" w:cs="Arial"/>
          <w:sz w:val="24"/>
          <w:szCs w:val="24"/>
          <w:lang w:val="es-ES"/>
        </w:rPr>
        <w:t xml:space="preserve"> sin relación formal jerárquica entre unos y otros organismos.</w:t>
      </w:r>
    </w:p>
    <w:p w:rsidR="002E6B68" w:rsidRPr="002E6B68" w:rsidRDefault="002E6B68" w:rsidP="002E6B68">
      <w:pPr>
        <w:pStyle w:val="Prrafodelista"/>
        <w:jc w:val="both"/>
        <w:rPr>
          <w:rFonts w:ascii="Arial" w:hAnsi="Arial" w:cs="Arial"/>
          <w:sz w:val="24"/>
          <w:szCs w:val="24"/>
          <w:lang w:val="es-ES"/>
        </w:rPr>
      </w:pPr>
    </w:p>
    <w:p w:rsidR="005C7E23" w:rsidRDefault="0046291A" w:rsidP="00823D9E">
      <w:pPr>
        <w:jc w:val="both"/>
        <w:rPr>
          <w:rFonts w:ascii="Arial" w:hAnsi="Arial" w:cs="Arial"/>
          <w:sz w:val="24"/>
          <w:lang w:val="es-ES"/>
        </w:rPr>
      </w:pPr>
      <w:r w:rsidRPr="0046291A">
        <w:rPr>
          <w:rFonts w:ascii="Arial" w:hAnsi="Arial" w:cs="Arial"/>
          <w:b/>
          <w:sz w:val="24"/>
          <w:szCs w:val="24"/>
          <w:lang w:val="es-ES"/>
        </w:rPr>
        <w:t>SEGUNDO.</w:t>
      </w:r>
      <w:r w:rsidRPr="0046291A">
        <w:rPr>
          <w:rFonts w:ascii="Arial" w:hAnsi="Arial" w:cs="Arial"/>
          <w:sz w:val="24"/>
          <w:szCs w:val="24"/>
          <w:lang w:val="es-ES"/>
        </w:rPr>
        <w:t xml:space="preserve"> </w:t>
      </w:r>
      <w:r w:rsidR="006C13C0">
        <w:rPr>
          <w:rFonts w:ascii="Arial" w:hAnsi="Arial" w:cs="Arial"/>
          <w:sz w:val="24"/>
          <w:szCs w:val="24"/>
          <w:lang w:val="es-ES"/>
        </w:rPr>
        <w:t>En lo que toca a la CDHCM, s</w:t>
      </w:r>
      <w:r w:rsidR="00C159B2">
        <w:rPr>
          <w:rFonts w:ascii="Arial" w:hAnsi="Arial" w:cs="Arial"/>
          <w:sz w:val="24"/>
          <w:szCs w:val="24"/>
          <w:lang w:val="es-ES"/>
        </w:rPr>
        <w:t>e</w:t>
      </w:r>
      <w:r w:rsidR="006A6E18">
        <w:rPr>
          <w:rFonts w:ascii="Arial" w:hAnsi="Arial" w:cs="Arial"/>
          <w:sz w:val="24"/>
          <w:szCs w:val="24"/>
          <w:lang w:val="es-ES"/>
        </w:rPr>
        <w:t xml:space="preserve"> documentaron diversas </w:t>
      </w:r>
      <w:r w:rsidR="00C159B2">
        <w:rPr>
          <w:rFonts w:ascii="Arial" w:hAnsi="Arial" w:cs="Arial"/>
          <w:sz w:val="24"/>
          <w:szCs w:val="24"/>
          <w:lang w:val="es-ES"/>
        </w:rPr>
        <w:t xml:space="preserve">acciones realizadas </w:t>
      </w:r>
      <w:r w:rsidR="006C13C0">
        <w:rPr>
          <w:rFonts w:ascii="Arial" w:hAnsi="Arial" w:cs="Arial"/>
          <w:sz w:val="24"/>
          <w:szCs w:val="24"/>
          <w:lang w:val="es-ES"/>
        </w:rPr>
        <w:t>desde</w:t>
      </w:r>
      <w:r w:rsidR="000A752C">
        <w:rPr>
          <w:rFonts w:ascii="Arial" w:hAnsi="Arial" w:cs="Arial"/>
          <w:sz w:val="24"/>
          <w:szCs w:val="24"/>
          <w:lang w:val="es-ES"/>
        </w:rPr>
        <w:t xml:space="preserve"> enero de </w:t>
      </w:r>
      <w:r w:rsidR="006C13C0">
        <w:rPr>
          <w:rFonts w:ascii="Arial" w:hAnsi="Arial" w:cs="Arial"/>
          <w:sz w:val="24"/>
          <w:szCs w:val="24"/>
          <w:lang w:val="es-ES"/>
        </w:rPr>
        <w:t>2018</w:t>
      </w:r>
      <w:r w:rsidR="000A752C">
        <w:rPr>
          <w:rFonts w:ascii="Arial" w:hAnsi="Arial" w:cs="Arial"/>
          <w:sz w:val="24"/>
          <w:szCs w:val="24"/>
          <w:lang w:val="es-ES"/>
        </w:rPr>
        <w:t>, entre ellas</w:t>
      </w:r>
      <w:r w:rsidR="00F70FEC">
        <w:rPr>
          <w:rFonts w:ascii="Arial" w:hAnsi="Arial" w:cs="Arial"/>
          <w:sz w:val="24"/>
          <w:szCs w:val="24"/>
          <w:lang w:val="es-ES"/>
        </w:rPr>
        <w:t xml:space="preserve"> la emisión de un instrumento recomendatorio, la coordinación de </w:t>
      </w:r>
      <w:r w:rsidR="000A752C">
        <w:rPr>
          <w:rFonts w:ascii="Arial" w:hAnsi="Arial" w:cs="Arial"/>
          <w:sz w:val="24"/>
          <w:szCs w:val="24"/>
          <w:lang w:val="es-ES"/>
        </w:rPr>
        <w:t xml:space="preserve">Diplomados </w:t>
      </w:r>
      <w:r w:rsidR="005D58D4">
        <w:rPr>
          <w:rFonts w:ascii="Arial" w:hAnsi="Arial" w:cs="Arial"/>
          <w:sz w:val="24"/>
          <w:szCs w:val="24"/>
          <w:lang w:val="es-ES"/>
        </w:rPr>
        <w:t>profesionalizante</w:t>
      </w:r>
      <w:r w:rsidR="000A752C">
        <w:rPr>
          <w:rFonts w:ascii="Arial" w:hAnsi="Arial" w:cs="Arial"/>
          <w:sz w:val="24"/>
          <w:szCs w:val="24"/>
          <w:lang w:val="es-ES"/>
        </w:rPr>
        <w:t>s</w:t>
      </w:r>
      <w:r w:rsidR="005D58D4">
        <w:rPr>
          <w:rFonts w:ascii="Arial" w:hAnsi="Arial" w:cs="Arial"/>
          <w:sz w:val="24"/>
          <w:szCs w:val="24"/>
          <w:lang w:val="es-ES"/>
        </w:rPr>
        <w:t xml:space="preserve"> en materia de búsqueda de personas</w:t>
      </w:r>
      <w:r w:rsidR="00F70FEC">
        <w:rPr>
          <w:rFonts w:ascii="Arial" w:hAnsi="Arial" w:cs="Arial"/>
          <w:sz w:val="24"/>
          <w:szCs w:val="24"/>
          <w:lang w:val="es-ES"/>
        </w:rPr>
        <w:t xml:space="preserve"> con la Comisión de Búsqueda, dirigidos de manera principal a personas servidoras públicas</w:t>
      </w:r>
      <w:r w:rsidR="005D58D4">
        <w:rPr>
          <w:rFonts w:ascii="Arial" w:hAnsi="Arial" w:cs="Arial"/>
          <w:sz w:val="24"/>
          <w:szCs w:val="24"/>
          <w:lang w:val="es-ES"/>
        </w:rPr>
        <w:t xml:space="preserve">, entre otros. </w:t>
      </w:r>
      <w:r w:rsidR="005C7E23">
        <w:rPr>
          <w:rFonts w:ascii="Arial" w:hAnsi="Arial" w:cs="Arial"/>
          <w:sz w:val="24"/>
          <w:szCs w:val="24"/>
          <w:lang w:val="es-ES"/>
        </w:rPr>
        <w:t>Como parte de sus investigaciones, l</w:t>
      </w:r>
      <w:r w:rsidR="00F46A23" w:rsidRPr="00F544C1">
        <w:rPr>
          <w:rFonts w:ascii="Arial" w:hAnsi="Arial" w:cs="Arial"/>
          <w:sz w:val="24"/>
          <w:lang w:val="es-ES"/>
        </w:rPr>
        <w:t xml:space="preserve">a </w:t>
      </w:r>
      <w:r w:rsidR="00F46A23">
        <w:rPr>
          <w:rFonts w:ascii="Arial" w:hAnsi="Arial" w:cs="Arial"/>
          <w:sz w:val="24"/>
          <w:lang w:val="es-ES"/>
        </w:rPr>
        <w:t>CDHCM</w:t>
      </w:r>
      <w:r w:rsidR="00F46A23" w:rsidRPr="00F544C1">
        <w:rPr>
          <w:rFonts w:ascii="Arial" w:hAnsi="Arial" w:cs="Arial"/>
          <w:sz w:val="24"/>
          <w:lang w:val="es-ES"/>
        </w:rPr>
        <w:t xml:space="preserve"> identificó un patrón</w:t>
      </w:r>
      <w:r w:rsidR="005C7E23">
        <w:rPr>
          <w:rFonts w:ascii="Arial" w:hAnsi="Arial" w:cs="Arial"/>
          <w:sz w:val="24"/>
          <w:lang w:val="es-ES"/>
        </w:rPr>
        <w:t xml:space="preserve"> de vacío de información presente tanto</w:t>
      </w:r>
      <w:r w:rsidR="00F46A23" w:rsidRPr="00F544C1">
        <w:rPr>
          <w:rFonts w:ascii="Arial" w:hAnsi="Arial" w:cs="Arial"/>
          <w:sz w:val="24"/>
          <w:lang w:val="es-ES"/>
        </w:rPr>
        <w:t xml:space="preserve"> en los procesos de investigación </w:t>
      </w:r>
      <w:r w:rsidR="005C7E23">
        <w:rPr>
          <w:rFonts w:ascii="Arial" w:hAnsi="Arial" w:cs="Arial"/>
          <w:sz w:val="24"/>
          <w:lang w:val="es-ES"/>
        </w:rPr>
        <w:t>como de</w:t>
      </w:r>
      <w:r w:rsidR="00F46A23" w:rsidRPr="00F544C1">
        <w:rPr>
          <w:rFonts w:ascii="Arial" w:hAnsi="Arial" w:cs="Arial"/>
          <w:sz w:val="24"/>
          <w:lang w:val="es-ES"/>
        </w:rPr>
        <w:t xml:space="preserve"> la búsqueda de personas desaparecidas</w:t>
      </w:r>
      <w:r w:rsidR="005C7E23">
        <w:rPr>
          <w:rFonts w:ascii="Arial" w:hAnsi="Arial" w:cs="Arial"/>
          <w:sz w:val="24"/>
          <w:lang w:val="es-ES"/>
        </w:rPr>
        <w:t xml:space="preserve">, </w:t>
      </w:r>
      <w:r w:rsidR="00F46A23" w:rsidRPr="00880F4B">
        <w:rPr>
          <w:rFonts w:ascii="Arial" w:hAnsi="Arial" w:cs="Arial"/>
          <w:sz w:val="24"/>
          <w:lang w:val="es-ES"/>
        </w:rPr>
        <w:t xml:space="preserve">a lo que se suma la falta de coordinación entre las </w:t>
      </w:r>
      <w:r w:rsidR="005C7E23">
        <w:rPr>
          <w:rFonts w:ascii="Arial" w:hAnsi="Arial" w:cs="Arial"/>
          <w:sz w:val="24"/>
          <w:lang w:val="es-ES"/>
        </w:rPr>
        <w:t>instituciones involucradas en el sistema, lo que tiene por efecto depositar en las familias la carga de obligaciones que tendría que subsanar el Estado.</w:t>
      </w:r>
    </w:p>
    <w:p w:rsidR="003733DF" w:rsidRDefault="005C7E23" w:rsidP="00823D9E">
      <w:pPr>
        <w:jc w:val="both"/>
        <w:rPr>
          <w:rFonts w:ascii="Arial" w:hAnsi="Arial" w:cs="Arial"/>
          <w:sz w:val="24"/>
          <w:lang w:val="es-ES"/>
        </w:rPr>
      </w:pPr>
      <w:r>
        <w:rPr>
          <w:rFonts w:ascii="Arial" w:hAnsi="Arial" w:cs="Arial"/>
          <w:b/>
          <w:sz w:val="24"/>
          <w:lang w:val="es-ES"/>
        </w:rPr>
        <w:t>TERCERO</w:t>
      </w:r>
      <w:r w:rsidR="00311D46">
        <w:rPr>
          <w:rFonts w:ascii="Arial" w:hAnsi="Arial" w:cs="Arial"/>
          <w:b/>
          <w:sz w:val="24"/>
          <w:lang w:val="es-ES"/>
        </w:rPr>
        <w:t xml:space="preserve">. </w:t>
      </w:r>
      <w:r w:rsidR="00311D46">
        <w:rPr>
          <w:rFonts w:ascii="Arial" w:hAnsi="Arial" w:cs="Arial"/>
          <w:sz w:val="24"/>
          <w:lang w:val="es-ES"/>
        </w:rPr>
        <w:t>A casi seis años de la expedición</w:t>
      </w:r>
      <w:r w:rsidR="003733DF">
        <w:rPr>
          <w:rFonts w:ascii="Arial" w:hAnsi="Arial" w:cs="Arial"/>
          <w:sz w:val="24"/>
          <w:lang w:val="es-ES"/>
        </w:rPr>
        <w:t xml:space="preserve"> de la </w:t>
      </w:r>
      <w:r w:rsidR="00823D9E" w:rsidRPr="00FE2B6A">
        <w:rPr>
          <w:rFonts w:ascii="Arial" w:hAnsi="Arial" w:cs="Arial"/>
          <w:sz w:val="24"/>
          <w:lang w:val="es-ES"/>
        </w:rPr>
        <w:t>Ley General en Materia de Desaparición Forzada de Personas, Desaparición Cometida por Particulares y del Sistema Nacional de Búsqueda de Personas</w:t>
      </w:r>
      <w:r w:rsidR="00E34AE5">
        <w:rPr>
          <w:rFonts w:ascii="Arial" w:hAnsi="Arial" w:cs="Arial"/>
          <w:sz w:val="24"/>
          <w:lang w:val="es-ES"/>
        </w:rPr>
        <w:t xml:space="preserve"> hay 11 entidades federativas que no cuentan con una Ley específica en la materia</w:t>
      </w:r>
      <w:r w:rsidR="003733DF">
        <w:rPr>
          <w:rFonts w:ascii="Arial" w:hAnsi="Arial" w:cs="Arial"/>
          <w:sz w:val="24"/>
          <w:lang w:val="es-ES"/>
        </w:rPr>
        <w:t xml:space="preserve"> lo que </w:t>
      </w:r>
      <w:r>
        <w:rPr>
          <w:rFonts w:ascii="Arial" w:hAnsi="Arial" w:cs="Arial"/>
          <w:sz w:val="24"/>
          <w:lang w:val="es-ES"/>
        </w:rPr>
        <w:t xml:space="preserve">abona a la dificultad </w:t>
      </w:r>
      <w:r w:rsidR="0045637E">
        <w:rPr>
          <w:rFonts w:ascii="Arial" w:hAnsi="Arial" w:cs="Arial"/>
          <w:sz w:val="24"/>
          <w:lang w:val="es-ES"/>
        </w:rPr>
        <w:t>de coordinación</w:t>
      </w:r>
      <w:r w:rsidR="003733DF">
        <w:rPr>
          <w:rFonts w:ascii="Arial" w:hAnsi="Arial" w:cs="Arial"/>
          <w:sz w:val="24"/>
          <w:lang w:val="es-ES"/>
        </w:rPr>
        <w:t xml:space="preserve"> entre diversas entidades para llevar a cabo la búsqueda de personas. </w:t>
      </w:r>
    </w:p>
    <w:p w:rsidR="00823D9E" w:rsidRPr="00FD5AE1" w:rsidRDefault="005C7E23" w:rsidP="008B5A50">
      <w:pPr>
        <w:jc w:val="both"/>
        <w:rPr>
          <w:rFonts w:ascii="Arial" w:hAnsi="Arial" w:cs="Arial"/>
          <w:sz w:val="24"/>
          <w:lang w:val="es-ES"/>
        </w:rPr>
      </w:pPr>
      <w:r>
        <w:rPr>
          <w:rFonts w:ascii="Arial" w:hAnsi="Arial" w:cs="Arial"/>
          <w:b/>
          <w:sz w:val="24"/>
          <w:lang w:val="es-ES"/>
        </w:rPr>
        <w:t>CUARTO</w:t>
      </w:r>
      <w:r w:rsidR="00AA726F" w:rsidRPr="00FD5AE1">
        <w:rPr>
          <w:rFonts w:ascii="Arial" w:hAnsi="Arial" w:cs="Arial"/>
          <w:b/>
          <w:sz w:val="24"/>
          <w:lang w:val="es-ES"/>
        </w:rPr>
        <w:t>.</w:t>
      </w:r>
      <w:r w:rsidR="00AA726F">
        <w:rPr>
          <w:rFonts w:ascii="Arial" w:hAnsi="Arial" w:cs="Arial"/>
          <w:sz w:val="24"/>
          <w:lang w:val="es-ES"/>
        </w:rPr>
        <w:t xml:space="preserve"> </w:t>
      </w:r>
      <w:r w:rsidR="00F46A23">
        <w:rPr>
          <w:rFonts w:ascii="Arial" w:hAnsi="Arial" w:cs="Arial"/>
          <w:sz w:val="24"/>
          <w:szCs w:val="24"/>
          <w:lang w:val="es-ES"/>
        </w:rPr>
        <w:t xml:space="preserve">La </w:t>
      </w:r>
      <w:r w:rsidR="00F46A23" w:rsidRPr="00FE2B6A">
        <w:rPr>
          <w:rFonts w:ascii="Arial" w:hAnsi="Arial" w:cs="Arial"/>
          <w:sz w:val="24"/>
          <w:lang w:val="es-ES"/>
        </w:rPr>
        <w:t xml:space="preserve">conceptualización </w:t>
      </w:r>
      <w:r w:rsidR="00F46A23">
        <w:rPr>
          <w:rFonts w:ascii="Arial" w:hAnsi="Arial" w:cs="Arial"/>
          <w:sz w:val="24"/>
          <w:lang w:val="es-ES"/>
        </w:rPr>
        <w:t xml:space="preserve">del </w:t>
      </w:r>
      <w:r w:rsidR="00F46A23" w:rsidRPr="00FE2B6A">
        <w:rPr>
          <w:rFonts w:ascii="Arial" w:hAnsi="Arial" w:cs="Arial"/>
          <w:sz w:val="24"/>
          <w:lang w:val="es-ES"/>
        </w:rPr>
        <w:t>derecho</w:t>
      </w:r>
      <w:r w:rsidR="00F46A23">
        <w:rPr>
          <w:rFonts w:ascii="Arial" w:hAnsi="Arial" w:cs="Arial"/>
          <w:sz w:val="24"/>
          <w:lang w:val="es-ES"/>
        </w:rPr>
        <w:t xml:space="preserve"> de las personas a ser buscadas</w:t>
      </w:r>
      <w:r w:rsidR="00F46A23" w:rsidRPr="00FE2B6A">
        <w:rPr>
          <w:rFonts w:ascii="Arial" w:hAnsi="Arial" w:cs="Arial"/>
          <w:sz w:val="24"/>
          <w:lang w:val="es-ES"/>
        </w:rPr>
        <w:t xml:space="preserve"> en el país ha sido </w:t>
      </w:r>
      <w:r w:rsidR="00F70FEC" w:rsidRPr="00FE2B6A">
        <w:rPr>
          <w:rFonts w:ascii="Arial" w:hAnsi="Arial" w:cs="Arial"/>
          <w:sz w:val="24"/>
          <w:lang w:val="es-ES"/>
        </w:rPr>
        <w:t>paulatin</w:t>
      </w:r>
      <w:r w:rsidR="00F70FEC">
        <w:rPr>
          <w:rFonts w:ascii="Arial" w:hAnsi="Arial" w:cs="Arial"/>
          <w:sz w:val="24"/>
          <w:lang w:val="es-ES"/>
        </w:rPr>
        <w:t>a</w:t>
      </w:r>
      <w:r w:rsidR="00F46A23" w:rsidRPr="00FE2B6A">
        <w:rPr>
          <w:rFonts w:ascii="Arial" w:hAnsi="Arial" w:cs="Arial"/>
          <w:sz w:val="24"/>
          <w:lang w:val="es-ES"/>
        </w:rPr>
        <w:t xml:space="preserve"> y más aún, la puesta en marcha de estrategias y herramientas que permitan garantizarlo</w:t>
      </w:r>
      <w:r w:rsidR="00F46A23">
        <w:rPr>
          <w:rFonts w:ascii="Arial" w:hAnsi="Arial" w:cs="Arial"/>
          <w:sz w:val="24"/>
          <w:lang w:val="es-ES"/>
        </w:rPr>
        <w:t xml:space="preserve">. En ese sentido y en función de que existen herramientas tal como el </w:t>
      </w:r>
      <w:r w:rsidR="008B5A50">
        <w:rPr>
          <w:rFonts w:ascii="Arial" w:hAnsi="Arial" w:cs="Arial"/>
          <w:sz w:val="24"/>
          <w:szCs w:val="24"/>
        </w:rPr>
        <w:t>Protocolo Homologado para la Búsqueda de Personas Desaparecidas y No Localizadas</w:t>
      </w:r>
      <w:r w:rsidR="00886B59">
        <w:rPr>
          <w:rFonts w:ascii="Arial" w:hAnsi="Arial" w:cs="Arial"/>
          <w:sz w:val="24"/>
          <w:szCs w:val="24"/>
        </w:rPr>
        <w:t xml:space="preserve"> que asigna funciones a los OPDH,</w:t>
      </w:r>
      <w:r w:rsidR="008B5A50">
        <w:rPr>
          <w:rFonts w:ascii="Arial" w:hAnsi="Arial" w:cs="Arial"/>
          <w:sz w:val="24"/>
          <w:szCs w:val="24"/>
        </w:rPr>
        <w:t xml:space="preserve"> es necesario se asegure</w:t>
      </w:r>
      <w:r w:rsidR="00F46A23">
        <w:rPr>
          <w:rFonts w:ascii="Arial" w:hAnsi="Arial" w:cs="Arial"/>
          <w:sz w:val="24"/>
          <w:lang w:val="es-ES"/>
        </w:rPr>
        <w:t xml:space="preserve"> el piso mínimo de </w:t>
      </w:r>
      <w:r w:rsidR="008B5A50">
        <w:rPr>
          <w:rFonts w:ascii="Arial" w:hAnsi="Arial" w:cs="Arial"/>
          <w:sz w:val="24"/>
          <w:lang w:val="es-ES"/>
        </w:rPr>
        <w:t xml:space="preserve">autonomía, recursos presupuestarios, </w:t>
      </w:r>
      <w:r w:rsidR="00570607">
        <w:rPr>
          <w:rFonts w:ascii="Arial" w:hAnsi="Arial" w:cs="Arial"/>
          <w:sz w:val="24"/>
          <w:lang w:val="es-ES"/>
        </w:rPr>
        <w:t>capacidades y facultades de</w:t>
      </w:r>
      <w:r w:rsidR="00F46A23">
        <w:rPr>
          <w:rFonts w:ascii="Arial" w:hAnsi="Arial" w:cs="Arial"/>
          <w:sz w:val="24"/>
          <w:lang w:val="es-ES"/>
        </w:rPr>
        <w:t xml:space="preserve"> los OPDH para asegurar que </w:t>
      </w:r>
      <w:r w:rsidR="00886B59">
        <w:rPr>
          <w:rFonts w:ascii="Arial" w:hAnsi="Arial" w:cs="Arial"/>
          <w:sz w:val="24"/>
          <w:lang w:val="es-ES"/>
        </w:rPr>
        <w:t xml:space="preserve">cumplan </w:t>
      </w:r>
      <w:r w:rsidR="00570607">
        <w:rPr>
          <w:rFonts w:ascii="Arial" w:hAnsi="Arial" w:cs="Arial"/>
          <w:sz w:val="24"/>
          <w:lang w:val="es-ES"/>
        </w:rPr>
        <w:t>con sus atribuciones</w:t>
      </w:r>
      <w:r w:rsidR="00887EFE">
        <w:rPr>
          <w:rFonts w:ascii="Arial" w:hAnsi="Arial" w:cs="Arial"/>
          <w:sz w:val="24"/>
          <w:lang w:val="es-ES"/>
        </w:rPr>
        <w:t xml:space="preserve"> en esta materia</w:t>
      </w:r>
      <w:r w:rsidR="00570607">
        <w:rPr>
          <w:rFonts w:ascii="Arial" w:hAnsi="Arial" w:cs="Arial"/>
          <w:sz w:val="24"/>
          <w:lang w:val="es-ES"/>
        </w:rPr>
        <w:t xml:space="preserve">. </w:t>
      </w:r>
      <w:r w:rsidR="00F46A23">
        <w:rPr>
          <w:rFonts w:ascii="Arial" w:hAnsi="Arial" w:cs="Arial"/>
          <w:sz w:val="24"/>
          <w:lang w:val="es-ES"/>
        </w:rPr>
        <w:t xml:space="preserve"> </w:t>
      </w:r>
    </w:p>
    <w:p w:rsidR="00823D9E" w:rsidRPr="00A304D8" w:rsidRDefault="00823D9E" w:rsidP="00823D9E">
      <w:pPr>
        <w:jc w:val="both"/>
        <w:rPr>
          <w:rFonts w:ascii="Arial" w:hAnsi="Arial" w:cs="Arial"/>
          <w:sz w:val="24"/>
          <w:lang w:val="es-ES"/>
        </w:rPr>
      </w:pPr>
    </w:p>
    <w:sectPr w:rsidR="00823D9E" w:rsidRPr="00A304D8">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0393" w:rsidRDefault="00E60393" w:rsidP="004A1469">
      <w:pPr>
        <w:spacing w:after="0" w:line="240" w:lineRule="auto"/>
      </w:pPr>
      <w:r>
        <w:separator/>
      </w:r>
    </w:p>
  </w:endnote>
  <w:endnote w:type="continuationSeparator" w:id="0">
    <w:p w:rsidR="00E60393" w:rsidRDefault="00E60393" w:rsidP="004A1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3065392"/>
      <w:docPartObj>
        <w:docPartGallery w:val="Page Numbers (Bottom of Page)"/>
        <w:docPartUnique/>
      </w:docPartObj>
    </w:sdtPr>
    <w:sdtEndPr/>
    <w:sdtContent>
      <w:p w:rsidR="00706E34" w:rsidRDefault="00706E34">
        <w:pPr>
          <w:pStyle w:val="Piedepgina"/>
          <w:jc w:val="right"/>
        </w:pPr>
        <w:r>
          <w:fldChar w:fldCharType="begin"/>
        </w:r>
        <w:r>
          <w:instrText>PAGE   \* MERGEFORMAT</w:instrText>
        </w:r>
        <w:r>
          <w:fldChar w:fldCharType="separate"/>
        </w:r>
        <w:r>
          <w:rPr>
            <w:lang w:val="es-ES"/>
          </w:rPr>
          <w:t>2</w:t>
        </w:r>
        <w:r>
          <w:fldChar w:fldCharType="end"/>
        </w:r>
      </w:p>
    </w:sdtContent>
  </w:sdt>
  <w:p w:rsidR="00706E34" w:rsidRDefault="00706E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0393" w:rsidRDefault="00E60393" w:rsidP="004A1469">
      <w:pPr>
        <w:spacing w:after="0" w:line="240" w:lineRule="auto"/>
      </w:pPr>
      <w:r>
        <w:separator/>
      </w:r>
    </w:p>
  </w:footnote>
  <w:footnote w:type="continuationSeparator" w:id="0">
    <w:p w:rsidR="00E60393" w:rsidRDefault="00E60393" w:rsidP="004A1469">
      <w:pPr>
        <w:spacing w:after="0" w:line="240" w:lineRule="auto"/>
      </w:pPr>
      <w:r>
        <w:continuationSeparator/>
      </w:r>
    </w:p>
  </w:footnote>
  <w:footnote w:id="1">
    <w:p w:rsidR="00142D36" w:rsidRPr="00A61EF3" w:rsidRDefault="00142D36" w:rsidP="00142D36">
      <w:pPr>
        <w:pStyle w:val="Textonotapie"/>
        <w:rPr>
          <w:lang w:val="es-ES"/>
        </w:rPr>
      </w:pPr>
      <w:r>
        <w:rPr>
          <w:rStyle w:val="Refdenotaalpie"/>
        </w:rPr>
        <w:footnoteRef/>
      </w:r>
      <w:r>
        <w:t xml:space="preserve"> </w:t>
      </w:r>
      <w:r w:rsidRPr="00B52CC6">
        <w:rPr>
          <w:rFonts w:ascii="Arial" w:hAnsi="Arial" w:cs="Arial"/>
          <w:i/>
        </w:rPr>
        <w:t>Artículo 102, apartado B).</w:t>
      </w:r>
      <w:r w:rsidRPr="00B52CC6">
        <w:rPr>
          <w:rFonts w:ascii="Arial" w:hAnsi="Arial" w:cs="Arial"/>
        </w:rPr>
        <w:t xml:space="preserve"> Constitución Política de los Estados Unidos Mexicanos.</w:t>
      </w:r>
      <w:r w:rsidRPr="00B52CC6">
        <w:t xml:space="preserve"> </w:t>
      </w:r>
    </w:p>
  </w:footnote>
  <w:footnote w:id="2">
    <w:p w:rsidR="00390345" w:rsidRPr="00390345" w:rsidRDefault="00390345" w:rsidP="00390345">
      <w:pPr>
        <w:pStyle w:val="Textonotapie"/>
        <w:jc w:val="both"/>
        <w:rPr>
          <w:rFonts w:ascii="Arial" w:hAnsi="Arial" w:cs="Arial"/>
        </w:rPr>
      </w:pPr>
      <w:r w:rsidRPr="00390345">
        <w:rPr>
          <w:rStyle w:val="Refdenotaalpie"/>
          <w:rFonts w:ascii="Arial" w:hAnsi="Arial" w:cs="Arial"/>
        </w:rPr>
        <w:footnoteRef/>
      </w:r>
      <w:r w:rsidRPr="00390345">
        <w:rPr>
          <w:rFonts w:ascii="Arial" w:hAnsi="Arial" w:cs="Arial"/>
        </w:rPr>
        <w:t xml:space="preserve"> La CDHCM, en un ánimo de buscar una interpretación amplia para justificar su interés en la interposición de Acciones de Inconstitucionalidad de Leyes Generales, ha interpuesto diversos recursos de esta naturaleza, mismos que han sido consistentemente desechados por considerar que -de manera explícita- los OPDH locales no cuentan con tal facultad. Ejemplo de esto fue la interposición de ese recurso de control de constitucionalidad en contra de la Ley de Seguridad Interior</w:t>
      </w:r>
    </w:p>
  </w:footnote>
  <w:footnote w:id="3">
    <w:p w:rsidR="00706E34" w:rsidRPr="00711DAD" w:rsidRDefault="00706E34">
      <w:pPr>
        <w:pStyle w:val="Textonotapie"/>
        <w:rPr>
          <w:lang w:val="es-ES"/>
        </w:rPr>
      </w:pPr>
      <w:r>
        <w:rPr>
          <w:rStyle w:val="Refdenotaalpie"/>
        </w:rPr>
        <w:footnoteRef/>
      </w:r>
      <w:r>
        <w:t xml:space="preserve"> </w:t>
      </w:r>
      <w:r w:rsidRPr="00C96173">
        <w:rPr>
          <w:rFonts w:ascii="Arial" w:hAnsi="Arial" w:cs="Arial"/>
          <w:i/>
        </w:rPr>
        <w:t>Censo Nacional de Derechos Humanos Estatal y Federal 2022.</w:t>
      </w:r>
      <w:r w:rsidRPr="00C96173">
        <w:rPr>
          <w:rFonts w:ascii="Arial" w:hAnsi="Arial" w:cs="Arial"/>
        </w:rPr>
        <w:t xml:space="preserve"> Instituto Nacional de Estadística y Geografía.</w:t>
      </w:r>
      <w:r>
        <w:t xml:space="preserve"> </w:t>
      </w:r>
    </w:p>
  </w:footnote>
  <w:footnote w:id="4">
    <w:p w:rsidR="00706E34" w:rsidRPr="00A61EF3" w:rsidRDefault="00706E34">
      <w:pPr>
        <w:pStyle w:val="Textonotapie"/>
        <w:rPr>
          <w:lang w:val="es-ES"/>
        </w:rPr>
      </w:pPr>
      <w:r>
        <w:rPr>
          <w:rStyle w:val="Refdenotaalpie"/>
        </w:rPr>
        <w:footnoteRef/>
      </w:r>
      <w:r>
        <w:t xml:space="preserve"> </w:t>
      </w:r>
      <w:r w:rsidRPr="00C96173">
        <w:rPr>
          <w:rFonts w:ascii="Arial" w:hAnsi="Arial" w:cs="Arial"/>
          <w:i/>
        </w:rPr>
        <w:t>Ibidem.</w:t>
      </w:r>
      <w:r>
        <w:t xml:space="preserve"> </w:t>
      </w:r>
    </w:p>
  </w:footnote>
  <w:footnote w:id="5">
    <w:p w:rsidR="00706E34" w:rsidRPr="00B236F3" w:rsidRDefault="00706E34" w:rsidP="00706E34">
      <w:pPr>
        <w:pStyle w:val="Textonotapie"/>
        <w:jc w:val="both"/>
        <w:rPr>
          <w:lang w:val="es-ES"/>
        </w:rPr>
      </w:pPr>
      <w:r w:rsidRPr="00706E34">
        <w:rPr>
          <w:rStyle w:val="Refdenotaalpie"/>
          <w:rFonts w:ascii="Arial" w:hAnsi="Arial" w:cs="Arial"/>
        </w:rPr>
        <w:footnoteRef/>
      </w:r>
      <w:r w:rsidRPr="00706E34">
        <w:rPr>
          <w:rFonts w:ascii="Arial" w:hAnsi="Arial" w:cs="Arial"/>
        </w:rPr>
        <w:t xml:space="preserve"> </w:t>
      </w:r>
      <w:r w:rsidRPr="00706E34">
        <w:rPr>
          <w:rFonts w:ascii="Arial" w:hAnsi="Arial" w:cs="Arial"/>
          <w:i/>
        </w:rPr>
        <w:t>Recomendación 02/2020 sobre la Falta de debida diligencia en la búsqueda de personas desaparecidas con perspectiva de género y enfoque diferenciado.</w:t>
      </w:r>
      <w:r w:rsidRPr="00706E34">
        <w:rPr>
          <w:rFonts w:ascii="Arial" w:hAnsi="Arial" w:cs="Arial"/>
        </w:rPr>
        <w:t xml:space="preserve"> Comisión de Derechos Humanos de la Ciudad de México. Disponible en: </w:t>
      </w:r>
      <w:hyperlink r:id="rId1" w:history="1">
        <w:r w:rsidRPr="00706E34">
          <w:rPr>
            <w:rStyle w:val="Hipervnculo"/>
            <w:rFonts w:ascii="Arial" w:hAnsi="Arial" w:cs="Arial"/>
          </w:rPr>
          <w:t>https://cdhcm.org.mx/2020/10/recomendacion-02-2020/</w:t>
        </w:r>
      </w:hyperlink>
      <w:r>
        <w:t xml:space="preserve"> </w:t>
      </w:r>
    </w:p>
  </w:footnote>
  <w:footnote w:id="6">
    <w:p w:rsidR="00706E34" w:rsidRPr="00062293" w:rsidRDefault="00706E34" w:rsidP="00062293">
      <w:pPr>
        <w:pStyle w:val="Textonotapie"/>
        <w:jc w:val="both"/>
        <w:rPr>
          <w:rFonts w:ascii="Arial" w:hAnsi="Arial" w:cs="Arial"/>
          <w:lang w:val="es-ES"/>
        </w:rPr>
      </w:pPr>
      <w:r w:rsidRPr="00062293">
        <w:rPr>
          <w:rStyle w:val="Refdenotaalpie"/>
          <w:rFonts w:ascii="Arial" w:hAnsi="Arial" w:cs="Arial"/>
        </w:rPr>
        <w:footnoteRef/>
      </w:r>
      <w:r w:rsidRPr="00062293">
        <w:rPr>
          <w:rFonts w:ascii="Arial" w:hAnsi="Arial" w:cs="Arial"/>
        </w:rPr>
        <w:t xml:space="preserve"> </w:t>
      </w:r>
      <w:r w:rsidRPr="00062293">
        <w:rPr>
          <w:rFonts w:ascii="Arial" w:hAnsi="Arial" w:cs="Arial"/>
          <w:i/>
          <w:lang w:val="es-ES"/>
        </w:rPr>
        <w:t>La búsqueda de personas desaparecidas requiere de esfuerzos colectivos constantes.</w:t>
      </w:r>
      <w:r w:rsidRPr="00062293">
        <w:rPr>
          <w:rFonts w:ascii="Arial" w:hAnsi="Arial" w:cs="Arial"/>
          <w:lang w:val="es-ES"/>
        </w:rPr>
        <w:t xml:space="preserve"> Comisión de Derechos Humanos de la Ciudad de México. 30 de marzo de 2022. Disponible en: </w:t>
      </w:r>
      <w:hyperlink r:id="rId2" w:history="1">
        <w:r w:rsidRPr="00062293">
          <w:rPr>
            <w:rStyle w:val="Hipervnculo"/>
            <w:rFonts w:ascii="Arial" w:hAnsi="Arial" w:cs="Arial"/>
            <w:lang w:val="es-ES"/>
          </w:rPr>
          <w:t>https://cdhcm.org.mx/2022/03/la-busqueda-de-personas-desaparecidas-requiere-de-esfuerzos-colectivos-constantes/</w:t>
        </w:r>
      </w:hyperlink>
      <w:r w:rsidRPr="00062293">
        <w:rPr>
          <w:rFonts w:ascii="Arial" w:hAnsi="Arial" w:cs="Arial"/>
          <w:lang w:val="es-ES"/>
        </w:rPr>
        <w:t xml:space="preserve"> </w:t>
      </w:r>
    </w:p>
  </w:footnote>
  <w:footnote w:id="7">
    <w:p w:rsidR="004071FB" w:rsidRPr="004071FB" w:rsidRDefault="004071FB" w:rsidP="00062293">
      <w:pPr>
        <w:pStyle w:val="Textonotapie"/>
        <w:jc w:val="both"/>
        <w:rPr>
          <w:lang w:val="es-ES"/>
        </w:rPr>
      </w:pPr>
      <w:r w:rsidRPr="00062293">
        <w:rPr>
          <w:rStyle w:val="Refdenotaalpie"/>
          <w:rFonts w:ascii="Arial" w:hAnsi="Arial" w:cs="Arial"/>
        </w:rPr>
        <w:footnoteRef/>
      </w:r>
      <w:r w:rsidRPr="00062293">
        <w:rPr>
          <w:rFonts w:ascii="Arial" w:hAnsi="Arial" w:cs="Arial"/>
        </w:rPr>
        <w:t xml:space="preserve"> </w:t>
      </w:r>
      <w:r w:rsidRPr="00062293">
        <w:rPr>
          <w:rFonts w:ascii="Arial" w:hAnsi="Arial" w:cs="Arial"/>
          <w:i/>
          <w:lang w:val="es-ES"/>
        </w:rPr>
        <w:t>Ceremonia de Clausura Diplomado profesionalizante en materia de Búsqueda de Personas.</w:t>
      </w:r>
      <w:r w:rsidRPr="00062293">
        <w:rPr>
          <w:rFonts w:ascii="Arial" w:hAnsi="Arial" w:cs="Arial"/>
          <w:lang w:val="es-ES"/>
        </w:rPr>
        <w:t xml:space="preserve"> Comisión de Derechos Humanos de la Ciudad de México. 30 de mayo de 2023. Disponible en: </w:t>
      </w:r>
      <w:hyperlink r:id="rId3" w:history="1">
        <w:r w:rsidRPr="00062293">
          <w:rPr>
            <w:rStyle w:val="Hipervnculo"/>
            <w:rFonts w:ascii="Arial" w:hAnsi="Arial" w:cs="Arial"/>
            <w:lang w:val="es-ES"/>
          </w:rPr>
          <w:t>https://www.facebook.com/CDHCMX/videos/ceremonia-de-clausura-diplomado-profesionalizante-en-materia-de-b%C3%BAsqueda-de-pers/581270404175409/</w:t>
        </w:r>
      </w:hyperlink>
      <w:r>
        <w:rPr>
          <w:lang w:val="es-ES"/>
        </w:rPr>
        <w:t xml:space="preserve"> </w:t>
      </w:r>
    </w:p>
  </w:footnote>
  <w:footnote w:id="8">
    <w:p w:rsidR="00062293" w:rsidRPr="00B9317E" w:rsidRDefault="00062293" w:rsidP="00B9317E">
      <w:pPr>
        <w:pStyle w:val="Textonotapie"/>
        <w:jc w:val="both"/>
        <w:rPr>
          <w:rFonts w:ascii="Arial" w:hAnsi="Arial" w:cs="Arial"/>
          <w:lang w:val="es-ES"/>
        </w:rPr>
      </w:pPr>
      <w:r w:rsidRPr="00C82597">
        <w:rPr>
          <w:rStyle w:val="Refdenotaalpie"/>
          <w:rFonts w:ascii="Arial" w:hAnsi="Arial" w:cs="Arial"/>
        </w:rPr>
        <w:footnoteRef/>
      </w:r>
      <w:r w:rsidRPr="00C82597">
        <w:rPr>
          <w:rFonts w:ascii="Arial" w:hAnsi="Arial" w:cs="Arial"/>
        </w:rPr>
        <w:t xml:space="preserve"> </w:t>
      </w:r>
      <w:r w:rsidR="00C82597" w:rsidRPr="00C82597">
        <w:rPr>
          <w:rFonts w:ascii="Arial" w:hAnsi="Arial" w:cs="Arial"/>
          <w:i/>
        </w:rPr>
        <w:t>Amicus Curiae Caso Alvarado Espinoza y Otros vs. México.</w:t>
      </w:r>
      <w:r w:rsidR="00C82597" w:rsidRPr="00C82597">
        <w:rPr>
          <w:rFonts w:ascii="Arial" w:hAnsi="Arial" w:cs="Arial"/>
        </w:rPr>
        <w:t xml:space="preserve"> Comisión de Derechos Humanos de la Ciudad de México. </w:t>
      </w:r>
      <w:r w:rsidR="00C82597" w:rsidRPr="00C82597">
        <w:rPr>
          <w:rFonts w:ascii="Arial" w:hAnsi="Arial" w:cs="Arial"/>
          <w:lang w:val="es-ES"/>
        </w:rPr>
        <w:t xml:space="preserve">Disponible en: </w:t>
      </w:r>
      <w:hyperlink r:id="rId4" w:history="1">
        <w:r w:rsidR="00C82597" w:rsidRPr="00B9317E">
          <w:rPr>
            <w:rStyle w:val="Hipervnculo"/>
            <w:rFonts w:ascii="Arial" w:hAnsi="Arial" w:cs="Arial"/>
            <w:lang w:val="es-ES"/>
          </w:rPr>
          <w:t>https://cdhcm.org.mx/wp-content/uploads/2018/05/Amicus-Curiae-Caso-Alvarado-Espinoza-y-otros-vs-Me%CC%81xico-CDHDF.pdf</w:t>
        </w:r>
      </w:hyperlink>
      <w:r w:rsidR="00C82597" w:rsidRPr="00B9317E">
        <w:rPr>
          <w:rFonts w:ascii="Arial" w:hAnsi="Arial" w:cs="Arial"/>
          <w:lang w:val="es-ES"/>
        </w:rPr>
        <w:t xml:space="preserve"> </w:t>
      </w:r>
    </w:p>
  </w:footnote>
  <w:footnote w:id="9">
    <w:p w:rsidR="005C553C" w:rsidRPr="005C553C" w:rsidRDefault="005C553C" w:rsidP="00B9317E">
      <w:pPr>
        <w:pStyle w:val="Textonotapie"/>
        <w:jc w:val="both"/>
        <w:rPr>
          <w:lang w:val="es-ES"/>
        </w:rPr>
      </w:pPr>
      <w:r w:rsidRPr="00B9317E">
        <w:rPr>
          <w:rStyle w:val="Refdenotaalpie"/>
          <w:rFonts w:ascii="Arial" w:hAnsi="Arial" w:cs="Arial"/>
        </w:rPr>
        <w:footnoteRef/>
      </w:r>
      <w:r w:rsidRPr="00B9317E">
        <w:rPr>
          <w:rFonts w:ascii="Arial" w:hAnsi="Arial" w:cs="Arial"/>
        </w:rPr>
        <w:t xml:space="preserve"> </w:t>
      </w:r>
      <w:r w:rsidRPr="00B9317E">
        <w:rPr>
          <w:rFonts w:ascii="Arial" w:hAnsi="Arial" w:cs="Arial"/>
          <w:i/>
          <w:lang w:val="es-ES"/>
        </w:rPr>
        <w:t xml:space="preserve">Amicus Curiae sobre la omisión del Estado Mexicano en la búsqueda inmediata contribuye a determinar la aquiescencia del Estado y a la repetición de graves violaciones a derechos humanos presentado ante la Corte Interamericana de Derechos Humanos en el Caso González Méndez Vs. México. </w:t>
      </w:r>
      <w:r w:rsidRPr="00B9317E">
        <w:rPr>
          <w:rFonts w:ascii="Arial" w:hAnsi="Arial" w:cs="Arial"/>
          <w:lang w:val="es-ES"/>
        </w:rPr>
        <w:t xml:space="preserve">Comisión de Derechos Humanos de la Ciudad de México. Disponible en: </w:t>
      </w:r>
      <w:hyperlink r:id="rId5" w:history="1">
        <w:r w:rsidR="00B9317E" w:rsidRPr="00B9317E">
          <w:rPr>
            <w:rStyle w:val="Hipervnculo"/>
            <w:rFonts w:ascii="Arial" w:hAnsi="Arial" w:cs="Arial"/>
            <w:lang w:val="es-ES"/>
          </w:rPr>
          <w:t>https://cdhcm.org.mx/wp-content/uploads/2023/07/VP.-Amicus-Curiae-Caso-Gonzalez-Mendez-vs.-Mexico-CDHCM.pdf</w:t>
        </w:r>
      </w:hyperlink>
      <w:r w:rsidR="00B9317E">
        <w:rPr>
          <w:lang w:val="es-ES"/>
        </w:rPr>
        <w:t xml:space="preserve"> </w:t>
      </w:r>
    </w:p>
  </w:footnote>
  <w:footnote w:id="10">
    <w:p w:rsidR="00F42927" w:rsidRPr="00B236F3" w:rsidRDefault="00F42927" w:rsidP="00F42927">
      <w:pPr>
        <w:pStyle w:val="Textonotapie"/>
        <w:jc w:val="both"/>
        <w:rPr>
          <w:lang w:val="es-ES"/>
        </w:rPr>
      </w:pPr>
      <w:r w:rsidRPr="00706E34">
        <w:rPr>
          <w:rStyle w:val="Refdenotaalpie"/>
          <w:rFonts w:ascii="Arial" w:hAnsi="Arial" w:cs="Arial"/>
        </w:rPr>
        <w:footnoteRef/>
      </w:r>
      <w:r w:rsidRPr="00706E34">
        <w:rPr>
          <w:rFonts w:ascii="Arial" w:hAnsi="Arial" w:cs="Arial"/>
        </w:rPr>
        <w:t xml:space="preserve"> </w:t>
      </w:r>
      <w:r w:rsidRPr="00706E34">
        <w:rPr>
          <w:rFonts w:ascii="Arial" w:hAnsi="Arial" w:cs="Arial"/>
          <w:i/>
        </w:rPr>
        <w:t>Recomendación 02/2020 sobre la Falta de debida diligencia en la búsqueda de personas desaparecidas con perspectiva de género y enfoque diferenciado.</w:t>
      </w:r>
      <w:r w:rsidRPr="00706E34">
        <w:rPr>
          <w:rFonts w:ascii="Arial" w:hAnsi="Arial" w:cs="Arial"/>
        </w:rPr>
        <w:t xml:space="preserve"> Comisión de Derechos Humanos de la Ciudad de México. Disponible en: </w:t>
      </w:r>
      <w:hyperlink r:id="rId6" w:history="1">
        <w:r w:rsidRPr="00706E34">
          <w:rPr>
            <w:rStyle w:val="Hipervnculo"/>
            <w:rFonts w:ascii="Arial" w:hAnsi="Arial" w:cs="Arial"/>
          </w:rPr>
          <w:t>https://cdhcm.org.mx/2020/10/recomendacion-02-2020/</w:t>
        </w:r>
      </w:hyperlink>
      <w:r>
        <w:t xml:space="preserve"> </w:t>
      </w:r>
    </w:p>
  </w:footnote>
  <w:footnote w:id="11">
    <w:p w:rsidR="00430554" w:rsidRPr="006E4E75" w:rsidRDefault="00430554" w:rsidP="00C55A0C">
      <w:pPr>
        <w:pStyle w:val="Textonotapie"/>
        <w:jc w:val="both"/>
        <w:rPr>
          <w:rFonts w:ascii="Arial" w:hAnsi="Arial" w:cs="Arial"/>
          <w:lang w:val="es-ES"/>
        </w:rPr>
      </w:pPr>
      <w:r w:rsidRPr="006E4E75">
        <w:rPr>
          <w:rStyle w:val="Refdenotaalpie"/>
          <w:rFonts w:ascii="Arial" w:hAnsi="Arial" w:cs="Arial"/>
        </w:rPr>
        <w:footnoteRef/>
      </w:r>
      <w:r w:rsidRPr="006E4E75">
        <w:rPr>
          <w:rFonts w:ascii="Arial" w:hAnsi="Arial" w:cs="Arial"/>
        </w:rPr>
        <w:t xml:space="preserve"> </w:t>
      </w:r>
      <w:r w:rsidRPr="006E4E75">
        <w:rPr>
          <w:rFonts w:ascii="Arial" w:hAnsi="Arial" w:cs="Arial"/>
          <w:i/>
        </w:rPr>
        <w:t>Recomendación 02/2020 sobre la Falta de debida diligencia en la búsqueda de personas desaparecidas con perspectiva de género y enfoque diferenciado.</w:t>
      </w:r>
      <w:r w:rsidRPr="006E4E75">
        <w:rPr>
          <w:rFonts w:ascii="Arial" w:hAnsi="Arial" w:cs="Arial"/>
        </w:rPr>
        <w:t xml:space="preserve"> Comisión de Derechos Humanos de la Ciudad de México. Disponible en: </w:t>
      </w:r>
      <w:hyperlink r:id="rId7" w:history="1">
        <w:r w:rsidRPr="006E4E75">
          <w:rPr>
            <w:rStyle w:val="Hipervnculo"/>
            <w:rFonts w:ascii="Arial" w:hAnsi="Arial" w:cs="Arial"/>
          </w:rPr>
          <w:t>https://cdhcm.org.mx/2020/10/recomendacion-02-2020/</w:t>
        </w:r>
      </w:hyperlink>
    </w:p>
  </w:footnote>
  <w:footnote w:id="12">
    <w:p w:rsidR="00603C05" w:rsidRPr="00000094" w:rsidRDefault="00603C05" w:rsidP="00C55A0C">
      <w:pPr>
        <w:pStyle w:val="Sinespaciado"/>
        <w:jc w:val="both"/>
        <w:rPr>
          <w:rFonts w:ascii="Arial" w:hAnsi="Arial" w:cs="Arial"/>
          <w:color w:val="000000" w:themeColor="text1"/>
          <w:sz w:val="20"/>
          <w:szCs w:val="20"/>
        </w:rPr>
      </w:pPr>
      <w:r w:rsidRPr="00000094">
        <w:rPr>
          <w:rStyle w:val="Refdenotaalpie"/>
          <w:rFonts w:ascii="Arial" w:hAnsi="Arial" w:cs="Arial"/>
          <w:color w:val="000000" w:themeColor="text1"/>
          <w:sz w:val="20"/>
          <w:szCs w:val="20"/>
        </w:rPr>
        <w:footnoteRef/>
      </w:r>
      <w:r w:rsidRPr="00000094">
        <w:rPr>
          <w:rFonts w:ascii="Arial" w:hAnsi="Arial" w:cs="Arial"/>
          <w:color w:val="000000" w:themeColor="text1"/>
          <w:sz w:val="20"/>
          <w:szCs w:val="20"/>
        </w:rPr>
        <w:t xml:space="preserve"> </w:t>
      </w:r>
      <w:r w:rsidRPr="00D6369F">
        <w:rPr>
          <w:rFonts w:ascii="Arial" w:eastAsia="Arial Narrow" w:hAnsi="Arial" w:cs="Arial"/>
          <w:i/>
          <w:color w:val="000000" w:themeColor="text1"/>
          <w:sz w:val="20"/>
          <w:szCs w:val="20"/>
        </w:rPr>
        <w:t>Conferencia Nacional de Procuración de Justicia</w:t>
      </w:r>
      <w:r w:rsidR="00D6369F">
        <w:rPr>
          <w:rFonts w:ascii="Arial" w:eastAsia="Arial Narrow" w:hAnsi="Arial" w:cs="Arial"/>
          <w:color w:val="000000" w:themeColor="text1"/>
          <w:sz w:val="20"/>
          <w:szCs w:val="20"/>
        </w:rPr>
        <w:t>.</w:t>
      </w:r>
      <w:r w:rsidRPr="00000094">
        <w:rPr>
          <w:rFonts w:ascii="Arial" w:eastAsia="Arial Narrow" w:hAnsi="Arial" w:cs="Arial"/>
          <w:color w:val="000000" w:themeColor="text1"/>
          <w:sz w:val="20"/>
          <w:szCs w:val="20"/>
        </w:rPr>
        <w:t xml:space="preserve"> Protocolo Homologado de Investigación para los Delitos de Desaparición Forzada y Desaparición Cometida por Particulares, México, 2018, p. 8.</w:t>
      </w:r>
    </w:p>
  </w:footnote>
  <w:footnote w:id="13">
    <w:p w:rsidR="00603C05" w:rsidRPr="00176875" w:rsidRDefault="00603C05" w:rsidP="00B463D5">
      <w:pPr>
        <w:pStyle w:val="Sinespaciado"/>
        <w:jc w:val="both"/>
        <w:rPr>
          <w:rFonts w:ascii="Arial" w:eastAsia="Arial" w:hAnsi="Arial" w:cs="Arial"/>
          <w:sz w:val="20"/>
          <w:szCs w:val="20"/>
        </w:rPr>
      </w:pPr>
      <w:r w:rsidRPr="00176875">
        <w:rPr>
          <w:rFonts w:ascii="Arial" w:hAnsi="Arial" w:cs="Arial"/>
          <w:sz w:val="20"/>
          <w:szCs w:val="20"/>
          <w:vertAlign w:val="superscript"/>
        </w:rPr>
        <w:footnoteRef/>
      </w:r>
      <w:r w:rsidRPr="00176875">
        <w:rPr>
          <w:rFonts w:ascii="Arial" w:eastAsia="Arial" w:hAnsi="Arial" w:cs="Arial"/>
          <w:sz w:val="20"/>
          <w:szCs w:val="20"/>
        </w:rPr>
        <w:t xml:space="preserve"> </w:t>
      </w:r>
      <w:r w:rsidRPr="0069752C">
        <w:rPr>
          <w:rFonts w:ascii="Arial" w:eastAsia="Arial" w:hAnsi="Arial" w:cs="Arial"/>
          <w:i/>
          <w:sz w:val="20"/>
          <w:szCs w:val="20"/>
        </w:rPr>
        <w:t xml:space="preserve">Artículos 16, 107, 109, 128, 129, 131, 212. </w:t>
      </w:r>
      <w:r w:rsidRPr="00176875">
        <w:rPr>
          <w:rFonts w:ascii="Arial" w:eastAsia="Arial" w:hAnsi="Arial" w:cs="Arial"/>
          <w:sz w:val="20"/>
          <w:szCs w:val="20"/>
        </w:rPr>
        <w:t xml:space="preserve">Código Nacional de Procedimientos Penales. </w:t>
      </w:r>
    </w:p>
  </w:footnote>
  <w:footnote w:id="14">
    <w:p w:rsidR="00603C05" w:rsidRPr="00E71F64" w:rsidRDefault="00603C05" w:rsidP="0069752C">
      <w:pPr>
        <w:pStyle w:val="Textonotapie"/>
        <w:jc w:val="both"/>
        <w:rPr>
          <w:lang w:val="es-ES"/>
        </w:rPr>
      </w:pPr>
      <w:r w:rsidRPr="00176875">
        <w:rPr>
          <w:rStyle w:val="Refdenotaalpie"/>
          <w:rFonts w:ascii="Arial" w:hAnsi="Arial" w:cs="Arial"/>
        </w:rPr>
        <w:footnoteRef/>
      </w:r>
      <w:r w:rsidRPr="00176875">
        <w:rPr>
          <w:rFonts w:ascii="Arial" w:hAnsi="Arial" w:cs="Arial"/>
        </w:rPr>
        <w:t xml:space="preserve"> </w:t>
      </w:r>
      <w:r w:rsidR="0069752C" w:rsidRPr="0069752C">
        <w:rPr>
          <w:rFonts w:ascii="Arial" w:hAnsi="Arial" w:cs="Arial"/>
          <w:i/>
          <w:lang w:val="es-ES"/>
        </w:rPr>
        <w:t>Informe sobre la desaparición de personas en México.</w:t>
      </w:r>
      <w:r w:rsidR="0069752C" w:rsidRPr="00176875">
        <w:rPr>
          <w:rFonts w:ascii="Arial" w:hAnsi="Arial" w:cs="Arial"/>
          <w:lang w:val="es-ES"/>
        </w:rPr>
        <w:t xml:space="preserve"> </w:t>
      </w:r>
      <w:r w:rsidRPr="00176875">
        <w:rPr>
          <w:rFonts w:ascii="Arial" w:hAnsi="Arial" w:cs="Arial"/>
        </w:rPr>
        <w:t xml:space="preserve">I(DH)EAS. </w:t>
      </w:r>
      <w:r w:rsidRPr="00176875">
        <w:rPr>
          <w:rFonts w:ascii="Arial" w:hAnsi="Arial" w:cs="Arial"/>
          <w:lang w:val="es-ES"/>
        </w:rPr>
        <w:t xml:space="preserve">Litigio estratégico de derecho humano A.C. 31 de mayo de 2018. Disponible en: </w:t>
      </w:r>
      <w:hyperlink r:id="rId8" w:history="1">
        <w:r w:rsidRPr="00176875">
          <w:rPr>
            <w:rStyle w:val="Hipervnculo"/>
            <w:rFonts w:ascii="Arial" w:hAnsi="Arial" w:cs="Arial"/>
            <w:lang w:val="es-ES"/>
          </w:rPr>
          <w:t>https://www.idheas.org.mx/publicaciones-idheas-litigio-estrategico/Informe-sombra-sobre-la-situacion-de-la-desaparicion-de-personas-en-mexico/</w:t>
        </w:r>
      </w:hyperlink>
      <w:r>
        <w:rPr>
          <w:lang w:val="es-ES"/>
        </w:rPr>
        <w:t xml:space="preserve"> </w:t>
      </w:r>
    </w:p>
  </w:footnote>
  <w:footnote w:id="15">
    <w:p w:rsidR="00603C05" w:rsidRPr="00B463D5" w:rsidRDefault="00603C05" w:rsidP="0069752C">
      <w:pPr>
        <w:pStyle w:val="Textonotapie"/>
        <w:jc w:val="both"/>
        <w:rPr>
          <w:rFonts w:ascii="Arial" w:eastAsia="Arial" w:hAnsi="Arial" w:cs="Arial"/>
          <w:color w:val="000000" w:themeColor="text1"/>
        </w:rPr>
      </w:pPr>
      <w:r w:rsidRPr="00B463D5">
        <w:rPr>
          <w:rStyle w:val="Refdenotaalpie"/>
          <w:rFonts w:ascii="Arial" w:hAnsi="Arial" w:cs="Arial"/>
        </w:rPr>
        <w:footnoteRef/>
      </w:r>
      <w:r w:rsidRPr="00B463D5">
        <w:rPr>
          <w:rFonts w:ascii="Arial" w:hAnsi="Arial" w:cs="Arial"/>
        </w:rPr>
        <w:t xml:space="preserve"> </w:t>
      </w:r>
      <w:r w:rsidRPr="0069752C">
        <w:rPr>
          <w:rFonts w:ascii="Arial" w:eastAsia="Arial" w:hAnsi="Arial" w:cs="Arial"/>
          <w:i/>
          <w:color w:val="000000" w:themeColor="text1"/>
        </w:rPr>
        <w:t>Principios Rectores para la Búsqueda de Personas Desaparecidas</w:t>
      </w:r>
      <w:r w:rsidRPr="00B463D5">
        <w:rPr>
          <w:rFonts w:ascii="Arial" w:eastAsia="Arial" w:hAnsi="Arial" w:cs="Arial"/>
          <w:color w:val="000000" w:themeColor="text1"/>
        </w:rPr>
        <w:t>, México, ONU-DH México, 2019. p. 18.</w:t>
      </w:r>
    </w:p>
  </w:footnote>
  <w:footnote w:id="16">
    <w:p w:rsidR="007E1078" w:rsidRPr="00B463D5" w:rsidRDefault="007E1078" w:rsidP="007E1078">
      <w:pPr>
        <w:pStyle w:val="Sinespaciado"/>
        <w:jc w:val="both"/>
        <w:rPr>
          <w:rFonts w:ascii="Arial" w:hAnsi="Arial" w:cs="Arial"/>
          <w:color w:val="2E74B5" w:themeColor="accent5" w:themeShade="BF"/>
          <w:sz w:val="20"/>
          <w:szCs w:val="20"/>
        </w:rPr>
      </w:pPr>
      <w:r w:rsidRPr="00B463D5">
        <w:rPr>
          <w:rStyle w:val="Refdenotaalpie"/>
          <w:rFonts w:ascii="Arial" w:hAnsi="Arial" w:cs="Arial"/>
          <w:color w:val="000000" w:themeColor="text1"/>
          <w:sz w:val="20"/>
          <w:szCs w:val="20"/>
        </w:rPr>
        <w:footnoteRef/>
      </w:r>
      <w:r w:rsidRPr="00B463D5">
        <w:rPr>
          <w:rFonts w:ascii="Arial" w:hAnsi="Arial" w:cs="Arial"/>
          <w:color w:val="000000" w:themeColor="text1"/>
          <w:sz w:val="20"/>
          <w:szCs w:val="20"/>
        </w:rPr>
        <w:t xml:space="preserve"> </w:t>
      </w:r>
      <w:r w:rsidR="00823D9E" w:rsidRPr="00823D9E">
        <w:rPr>
          <w:rFonts w:ascii="Arial" w:hAnsi="Arial" w:cs="Arial"/>
          <w:i/>
          <w:color w:val="000000" w:themeColor="text1"/>
          <w:sz w:val="20"/>
          <w:szCs w:val="20"/>
        </w:rPr>
        <w:t xml:space="preserve">Manual para la Transversalización del Enfoque de Derechos Humanos con Equidad. </w:t>
      </w:r>
      <w:r w:rsidRPr="00B463D5">
        <w:rPr>
          <w:rFonts w:ascii="Arial" w:hAnsi="Arial" w:cs="Arial"/>
          <w:color w:val="000000" w:themeColor="text1"/>
          <w:sz w:val="20"/>
          <w:szCs w:val="20"/>
        </w:rPr>
        <w:t>Comisión Presidencial Coordinadora de la Política del Ejecutivo en Materia de Derechos Humanos (COPREDEH). Guatemala, 2016, p. 25.</w:t>
      </w:r>
    </w:p>
  </w:footnote>
  <w:footnote w:id="17">
    <w:p w:rsidR="007E1078" w:rsidRPr="003A74D5" w:rsidRDefault="007E1078" w:rsidP="007E1078">
      <w:pPr>
        <w:pStyle w:val="Sinespaciado"/>
        <w:jc w:val="both"/>
        <w:rPr>
          <w:rFonts w:ascii="Arial" w:hAnsi="Arial" w:cs="Arial"/>
          <w:color w:val="000000" w:themeColor="text1"/>
          <w:sz w:val="20"/>
          <w:szCs w:val="20"/>
        </w:rPr>
      </w:pPr>
      <w:r w:rsidRPr="00B463D5">
        <w:rPr>
          <w:rStyle w:val="Refdenotaalpie"/>
          <w:rFonts w:ascii="Arial" w:hAnsi="Arial" w:cs="Arial"/>
          <w:sz w:val="20"/>
          <w:szCs w:val="20"/>
        </w:rPr>
        <w:footnoteRef/>
      </w:r>
      <w:r w:rsidRPr="00B463D5">
        <w:rPr>
          <w:rFonts w:ascii="Arial" w:hAnsi="Arial" w:cs="Arial"/>
          <w:sz w:val="20"/>
          <w:szCs w:val="20"/>
        </w:rPr>
        <w:t xml:space="preserve"> </w:t>
      </w:r>
      <w:r w:rsidRPr="00823D9E">
        <w:rPr>
          <w:rFonts w:ascii="Arial" w:hAnsi="Arial" w:cs="Arial"/>
          <w:i/>
          <w:sz w:val="20"/>
          <w:szCs w:val="20"/>
        </w:rPr>
        <w:t>Principios rectores para la búsqueda de personas desaparecidas.</w:t>
      </w:r>
      <w:r w:rsidRPr="00B463D5">
        <w:rPr>
          <w:rFonts w:ascii="Arial" w:hAnsi="Arial" w:cs="Arial"/>
          <w:sz w:val="20"/>
          <w:szCs w:val="20"/>
        </w:rPr>
        <w:t xml:space="preserve"> Aprobados por el Comité en su 16º período de sesiones (8 a 18 de abril de 2019).</w:t>
      </w:r>
    </w:p>
  </w:footnote>
  <w:footnote w:id="18">
    <w:p w:rsidR="00603C05" w:rsidRPr="00B463D5" w:rsidRDefault="00603C05" w:rsidP="00B463D5">
      <w:pPr>
        <w:pStyle w:val="Sinespaciado"/>
        <w:jc w:val="both"/>
        <w:rPr>
          <w:rFonts w:ascii="Arial Narrow" w:eastAsia="Arial" w:hAnsi="Arial Narrow" w:cs="Arial"/>
          <w:sz w:val="20"/>
          <w:szCs w:val="20"/>
        </w:rPr>
      </w:pPr>
      <w:r w:rsidRPr="00B463D5">
        <w:rPr>
          <w:rFonts w:ascii="Arial" w:hAnsi="Arial" w:cs="Arial"/>
          <w:sz w:val="20"/>
          <w:szCs w:val="20"/>
          <w:vertAlign w:val="superscript"/>
        </w:rPr>
        <w:footnoteRef/>
      </w:r>
      <w:r w:rsidRPr="00B463D5">
        <w:rPr>
          <w:rFonts w:ascii="Arial" w:eastAsia="Arial" w:hAnsi="Arial" w:cs="Arial"/>
          <w:sz w:val="20"/>
          <w:szCs w:val="20"/>
        </w:rPr>
        <w:t xml:space="preserve"> Corte IDH, </w:t>
      </w:r>
      <w:r w:rsidRPr="00823D9E">
        <w:rPr>
          <w:rFonts w:ascii="Arial" w:eastAsia="Arial" w:hAnsi="Arial" w:cs="Arial"/>
          <w:i/>
          <w:sz w:val="20"/>
          <w:szCs w:val="20"/>
        </w:rPr>
        <w:t xml:space="preserve">Caso </w:t>
      </w:r>
      <w:proofErr w:type="spellStart"/>
      <w:r w:rsidRPr="00823D9E">
        <w:rPr>
          <w:rFonts w:ascii="Arial" w:eastAsia="Arial" w:hAnsi="Arial" w:cs="Arial"/>
          <w:i/>
          <w:sz w:val="20"/>
          <w:szCs w:val="20"/>
        </w:rPr>
        <w:t>Omeara</w:t>
      </w:r>
      <w:proofErr w:type="spellEnd"/>
      <w:r w:rsidRPr="00823D9E">
        <w:rPr>
          <w:rFonts w:ascii="Arial" w:eastAsia="Arial" w:hAnsi="Arial" w:cs="Arial"/>
          <w:i/>
          <w:sz w:val="20"/>
          <w:szCs w:val="20"/>
        </w:rPr>
        <w:t xml:space="preserve"> Carrascal y Otros Vs. Colombia. Fondo, Reparaciones Y Costas, Sentencia de 21 noviembre de 2018, Serie C No. 368,</w:t>
      </w:r>
      <w:r w:rsidRPr="00B463D5">
        <w:rPr>
          <w:rFonts w:ascii="Arial" w:eastAsia="Arial" w:hAnsi="Arial" w:cs="Arial"/>
          <w:sz w:val="20"/>
          <w:szCs w:val="20"/>
        </w:rPr>
        <w:t xml:space="preserve"> Párrafo 256. Cfr. Corte IDH, Caso Vereda La Esperanza Vs. Colombia, Excepción Preliminar, Fondo, Reparaciones y Costas, Serie C NO. 341, párr. 220 COMISIÓN DE DERECHOS HUMANOS Subcomisión de Prevención de Discriminaciones y Protección a las Minorías 49º período de sesiones Tema 9 del programa. Visible en </w:t>
      </w:r>
      <w:hyperlink r:id="rId9" w:history="1">
        <w:r w:rsidRPr="00B463D5">
          <w:rPr>
            <w:rStyle w:val="Hipervnculo"/>
            <w:rFonts w:ascii="Arial" w:eastAsia="Arial" w:hAnsi="Arial" w:cs="Arial"/>
            <w:sz w:val="20"/>
            <w:szCs w:val="20"/>
          </w:rPr>
          <w:t>https://undocs.org/es/E/CN.4/Sub.2/1997/20/Rev.1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E34" w:rsidRDefault="00706E34" w:rsidP="004A1469">
    <w:pPr>
      <w:pStyle w:val="Encabezado"/>
      <w:jc w:val="right"/>
      <w:rPr>
        <w:rFonts w:ascii="Arial Narrow" w:hAnsi="Arial Narrow"/>
        <w:b/>
        <w:lang w:val="es-ES"/>
      </w:rPr>
    </w:pPr>
    <w:r w:rsidRPr="00C309A2">
      <w:rPr>
        <w:rFonts w:ascii="Arial Narrow" w:hAnsi="Arial Narrow" w:cs="Arial"/>
        <w:b/>
        <w:bCs/>
        <w:noProof/>
        <w:sz w:val="28"/>
        <w:szCs w:val="25"/>
      </w:rPr>
      <w:drawing>
        <wp:anchor distT="0" distB="0" distL="114300" distR="114300" simplePos="0" relativeHeight="251659264" behindDoc="0" locked="0" layoutInCell="1" allowOverlap="1" wp14:anchorId="0ECED010" wp14:editId="2F10AB9D">
          <wp:simplePos x="0" y="0"/>
          <wp:positionH relativeFrom="margin">
            <wp:posOffset>53340</wp:posOffset>
          </wp:positionH>
          <wp:positionV relativeFrom="paragraph">
            <wp:posOffset>-173355</wp:posOffset>
          </wp:positionV>
          <wp:extent cx="798830" cy="75247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830" cy="7524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b/>
        <w:lang w:val="es-ES"/>
      </w:rPr>
      <w:t>COMSIÓN DE DERECHOS HUMANOS DE LA CIUDAD DE MÉXICO</w:t>
    </w:r>
  </w:p>
  <w:p w:rsidR="00706E34" w:rsidRDefault="00706E34" w:rsidP="004A1469">
    <w:pPr>
      <w:pStyle w:val="Encabezado"/>
      <w:jc w:val="right"/>
      <w:rPr>
        <w:rFonts w:ascii="Arial Narrow" w:hAnsi="Arial Narrow"/>
        <w:b/>
        <w:i/>
      </w:rPr>
    </w:pPr>
  </w:p>
  <w:p w:rsidR="00706E34" w:rsidRDefault="00706E34" w:rsidP="004A1469">
    <w:pPr>
      <w:pStyle w:val="Encabezado"/>
      <w:jc w:val="right"/>
      <w:rPr>
        <w:rFonts w:ascii="Arial Narrow" w:hAnsi="Arial Narrow"/>
        <w:b/>
        <w:i/>
      </w:rPr>
    </w:pPr>
    <w:r>
      <w:rPr>
        <w:rFonts w:ascii="Arial Narrow" w:hAnsi="Arial Narrow"/>
        <w:b/>
        <w:i/>
      </w:rPr>
      <w:t>Contribución para ONU en virtud del artículo 29 (4) de la Convención</w:t>
    </w:r>
  </w:p>
  <w:p w:rsidR="00C46644" w:rsidRPr="004A1469" w:rsidRDefault="00C46644" w:rsidP="004A1469">
    <w:pPr>
      <w:pStyle w:val="Encabezado"/>
      <w:jc w:val="right"/>
      <w:rPr>
        <w:rFonts w:ascii="Arial Narrow" w:hAnsi="Arial Narrow"/>
        <w:b/>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96CE7"/>
    <w:multiLevelType w:val="hybridMultilevel"/>
    <w:tmpl w:val="D7767172"/>
    <w:lvl w:ilvl="0" w:tplc="72D25E2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E9A6BE2"/>
    <w:multiLevelType w:val="hybridMultilevel"/>
    <w:tmpl w:val="C9D80A5A"/>
    <w:lvl w:ilvl="0" w:tplc="632AB75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AD46763"/>
    <w:multiLevelType w:val="hybridMultilevel"/>
    <w:tmpl w:val="2A267B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BBC5CF9"/>
    <w:multiLevelType w:val="hybridMultilevel"/>
    <w:tmpl w:val="17EAED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47AB3381"/>
    <w:multiLevelType w:val="hybridMultilevel"/>
    <w:tmpl w:val="4E0A63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4EE01D48"/>
    <w:multiLevelType w:val="hybridMultilevel"/>
    <w:tmpl w:val="F2EE3BC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EB76990"/>
    <w:multiLevelType w:val="hybridMultilevel"/>
    <w:tmpl w:val="2B98AB80"/>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7" w15:restartNumberingAfterBreak="0">
    <w:nsid w:val="6EF75375"/>
    <w:multiLevelType w:val="hybridMultilevel"/>
    <w:tmpl w:val="D5BC0508"/>
    <w:lvl w:ilvl="0" w:tplc="5AF28DF0">
      <w:start w:val="3"/>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4773C8D"/>
    <w:multiLevelType w:val="multilevel"/>
    <w:tmpl w:val="4240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4"/>
  </w:num>
  <w:num w:numId="4">
    <w:abstractNumId w:val="2"/>
  </w:num>
  <w:num w:numId="5">
    <w:abstractNumId w:val="0"/>
  </w:num>
  <w:num w:numId="6">
    <w:abstractNumId w:val="8"/>
  </w:num>
  <w:num w:numId="7">
    <w:abstractNumId w:val="3"/>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69"/>
    <w:rsid w:val="00000094"/>
    <w:rsid w:val="00000934"/>
    <w:rsid w:val="000042E5"/>
    <w:rsid w:val="00007A87"/>
    <w:rsid w:val="0001532C"/>
    <w:rsid w:val="000169F8"/>
    <w:rsid w:val="00031B45"/>
    <w:rsid w:val="00062293"/>
    <w:rsid w:val="00064A9D"/>
    <w:rsid w:val="000754F1"/>
    <w:rsid w:val="000823A2"/>
    <w:rsid w:val="00097107"/>
    <w:rsid w:val="000A0C74"/>
    <w:rsid w:val="000A5E30"/>
    <w:rsid w:val="000A752C"/>
    <w:rsid w:val="000C3E67"/>
    <w:rsid w:val="000D67C2"/>
    <w:rsid w:val="000E4564"/>
    <w:rsid w:val="0010060F"/>
    <w:rsid w:val="001279D9"/>
    <w:rsid w:val="00130FAD"/>
    <w:rsid w:val="00136B18"/>
    <w:rsid w:val="00140CA8"/>
    <w:rsid w:val="00142CD7"/>
    <w:rsid w:val="00142D36"/>
    <w:rsid w:val="00153FA2"/>
    <w:rsid w:val="00162C31"/>
    <w:rsid w:val="00164561"/>
    <w:rsid w:val="00176875"/>
    <w:rsid w:val="00180B45"/>
    <w:rsid w:val="001833F5"/>
    <w:rsid w:val="00185E46"/>
    <w:rsid w:val="001A70AE"/>
    <w:rsid w:val="001B16E0"/>
    <w:rsid w:val="001B73B4"/>
    <w:rsid w:val="001C0DC7"/>
    <w:rsid w:val="001C507E"/>
    <w:rsid w:val="001C53E0"/>
    <w:rsid w:val="001E0FF4"/>
    <w:rsid w:val="001E5D09"/>
    <w:rsid w:val="001F0C78"/>
    <w:rsid w:val="00206CF0"/>
    <w:rsid w:val="00221685"/>
    <w:rsid w:val="00221A6E"/>
    <w:rsid w:val="00227C78"/>
    <w:rsid w:val="00234EE1"/>
    <w:rsid w:val="00280C3D"/>
    <w:rsid w:val="00283307"/>
    <w:rsid w:val="002A4B62"/>
    <w:rsid w:val="002E6B68"/>
    <w:rsid w:val="00311D46"/>
    <w:rsid w:val="003405C7"/>
    <w:rsid w:val="0036236F"/>
    <w:rsid w:val="003733DF"/>
    <w:rsid w:val="00374080"/>
    <w:rsid w:val="00384A95"/>
    <w:rsid w:val="00390345"/>
    <w:rsid w:val="00393802"/>
    <w:rsid w:val="00396F13"/>
    <w:rsid w:val="003A3518"/>
    <w:rsid w:val="003A74D5"/>
    <w:rsid w:val="003E403F"/>
    <w:rsid w:val="004071FB"/>
    <w:rsid w:val="00422D18"/>
    <w:rsid w:val="004235F4"/>
    <w:rsid w:val="00425139"/>
    <w:rsid w:val="00430554"/>
    <w:rsid w:val="0043056E"/>
    <w:rsid w:val="00430A35"/>
    <w:rsid w:val="00445B43"/>
    <w:rsid w:val="00450CEE"/>
    <w:rsid w:val="0045637E"/>
    <w:rsid w:val="0046291A"/>
    <w:rsid w:val="004667AC"/>
    <w:rsid w:val="0046791F"/>
    <w:rsid w:val="00470D7E"/>
    <w:rsid w:val="00477C4B"/>
    <w:rsid w:val="00483173"/>
    <w:rsid w:val="0048651B"/>
    <w:rsid w:val="004A1469"/>
    <w:rsid w:val="004B5ACE"/>
    <w:rsid w:val="004F364B"/>
    <w:rsid w:val="004F7EE6"/>
    <w:rsid w:val="0050494A"/>
    <w:rsid w:val="00525F05"/>
    <w:rsid w:val="00555D98"/>
    <w:rsid w:val="005646B9"/>
    <w:rsid w:val="00570607"/>
    <w:rsid w:val="00576CF8"/>
    <w:rsid w:val="0059035A"/>
    <w:rsid w:val="005A1929"/>
    <w:rsid w:val="005C553C"/>
    <w:rsid w:val="005C7E23"/>
    <w:rsid w:val="005D58D4"/>
    <w:rsid w:val="005F70E7"/>
    <w:rsid w:val="00603C05"/>
    <w:rsid w:val="0061789F"/>
    <w:rsid w:val="00621243"/>
    <w:rsid w:val="00663B17"/>
    <w:rsid w:val="006672BF"/>
    <w:rsid w:val="00680262"/>
    <w:rsid w:val="0069752C"/>
    <w:rsid w:val="006A6E18"/>
    <w:rsid w:val="006B5A7B"/>
    <w:rsid w:val="006C13C0"/>
    <w:rsid w:val="006C261C"/>
    <w:rsid w:val="006D482F"/>
    <w:rsid w:val="006E4E75"/>
    <w:rsid w:val="006E54E6"/>
    <w:rsid w:val="006E7F4A"/>
    <w:rsid w:val="00706E34"/>
    <w:rsid w:val="00711DAD"/>
    <w:rsid w:val="00717265"/>
    <w:rsid w:val="00717C43"/>
    <w:rsid w:val="007323AA"/>
    <w:rsid w:val="00733F0A"/>
    <w:rsid w:val="00757BA3"/>
    <w:rsid w:val="00762157"/>
    <w:rsid w:val="007825B8"/>
    <w:rsid w:val="00785262"/>
    <w:rsid w:val="00792C1E"/>
    <w:rsid w:val="007B14AB"/>
    <w:rsid w:val="007B57CF"/>
    <w:rsid w:val="007E1078"/>
    <w:rsid w:val="007E3E40"/>
    <w:rsid w:val="00802727"/>
    <w:rsid w:val="0080560C"/>
    <w:rsid w:val="00820D9A"/>
    <w:rsid w:val="00823D9E"/>
    <w:rsid w:val="008358A6"/>
    <w:rsid w:val="00843AA9"/>
    <w:rsid w:val="008464EB"/>
    <w:rsid w:val="00860AD8"/>
    <w:rsid w:val="00865AC5"/>
    <w:rsid w:val="00866A2A"/>
    <w:rsid w:val="0087048E"/>
    <w:rsid w:val="00886B59"/>
    <w:rsid w:val="00887EFE"/>
    <w:rsid w:val="008B301F"/>
    <w:rsid w:val="008B3B08"/>
    <w:rsid w:val="008B5A50"/>
    <w:rsid w:val="008E4336"/>
    <w:rsid w:val="008F3ACA"/>
    <w:rsid w:val="008F4327"/>
    <w:rsid w:val="00902B80"/>
    <w:rsid w:val="0091273D"/>
    <w:rsid w:val="00920724"/>
    <w:rsid w:val="009221C1"/>
    <w:rsid w:val="00925E4A"/>
    <w:rsid w:val="0093011C"/>
    <w:rsid w:val="0095336E"/>
    <w:rsid w:val="00961ECD"/>
    <w:rsid w:val="009743E4"/>
    <w:rsid w:val="00977D36"/>
    <w:rsid w:val="009A10D3"/>
    <w:rsid w:val="009B5986"/>
    <w:rsid w:val="009D51C5"/>
    <w:rsid w:val="009E46FB"/>
    <w:rsid w:val="009F6C85"/>
    <w:rsid w:val="00A03416"/>
    <w:rsid w:val="00A304D8"/>
    <w:rsid w:val="00A329F9"/>
    <w:rsid w:val="00A35468"/>
    <w:rsid w:val="00A61EF3"/>
    <w:rsid w:val="00A64FBC"/>
    <w:rsid w:val="00A6731D"/>
    <w:rsid w:val="00A83E3F"/>
    <w:rsid w:val="00AA726F"/>
    <w:rsid w:val="00AB1293"/>
    <w:rsid w:val="00AB192F"/>
    <w:rsid w:val="00AD1249"/>
    <w:rsid w:val="00B03C90"/>
    <w:rsid w:val="00B07273"/>
    <w:rsid w:val="00B10903"/>
    <w:rsid w:val="00B11E9B"/>
    <w:rsid w:val="00B12B9B"/>
    <w:rsid w:val="00B20E71"/>
    <w:rsid w:val="00B236F3"/>
    <w:rsid w:val="00B27F8C"/>
    <w:rsid w:val="00B33084"/>
    <w:rsid w:val="00B463D5"/>
    <w:rsid w:val="00B4750C"/>
    <w:rsid w:val="00B508FF"/>
    <w:rsid w:val="00B513A5"/>
    <w:rsid w:val="00B52CC6"/>
    <w:rsid w:val="00B60F10"/>
    <w:rsid w:val="00B6188E"/>
    <w:rsid w:val="00B9134C"/>
    <w:rsid w:val="00B9317E"/>
    <w:rsid w:val="00BA3488"/>
    <w:rsid w:val="00BC1183"/>
    <w:rsid w:val="00BD4E15"/>
    <w:rsid w:val="00BE2019"/>
    <w:rsid w:val="00BE2AD6"/>
    <w:rsid w:val="00BE2FB6"/>
    <w:rsid w:val="00C12F4D"/>
    <w:rsid w:val="00C159B2"/>
    <w:rsid w:val="00C25238"/>
    <w:rsid w:val="00C46644"/>
    <w:rsid w:val="00C55A0C"/>
    <w:rsid w:val="00C82597"/>
    <w:rsid w:val="00C900C7"/>
    <w:rsid w:val="00C96173"/>
    <w:rsid w:val="00CF4E49"/>
    <w:rsid w:val="00D148CC"/>
    <w:rsid w:val="00D30F28"/>
    <w:rsid w:val="00D46A33"/>
    <w:rsid w:val="00D57ECA"/>
    <w:rsid w:val="00D6369F"/>
    <w:rsid w:val="00DB2B9E"/>
    <w:rsid w:val="00DC56AE"/>
    <w:rsid w:val="00DC5F39"/>
    <w:rsid w:val="00DE0FF3"/>
    <w:rsid w:val="00DF2D69"/>
    <w:rsid w:val="00E04E32"/>
    <w:rsid w:val="00E30897"/>
    <w:rsid w:val="00E34AE5"/>
    <w:rsid w:val="00E47A55"/>
    <w:rsid w:val="00E54DE1"/>
    <w:rsid w:val="00E60393"/>
    <w:rsid w:val="00E64E07"/>
    <w:rsid w:val="00E82D33"/>
    <w:rsid w:val="00E839C2"/>
    <w:rsid w:val="00E86C87"/>
    <w:rsid w:val="00E92A0A"/>
    <w:rsid w:val="00EA1AF0"/>
    <w:rsid w:val="00EB0E1D"/>
    <w:rsid w:val="00EB2E92"/>
    <w:rsid w:val="00EC46FD"/>
    <w:rsid w:val="00F17143"/>
    <w:rsid w:val="00F24788"/>
    <w:rsid w:val="00F31BB0"/>
    <w:rsid w:val="00F374C6"/>
    <w:rsid w:val="00F42927"/>
    <w:rsid w:val="00F46A23"/>
    <w:rsid w:val="00F544C1"/>
    <w:rsid w:val="00F652DB"/>
    <w:rsid w:val="00F70FEC"/>
    <w:rsid w:val="00F7467A"/>
    <w:rsid w:val="00F75731"/>
    <w:rsid w:val="00FB67B4"/>
    <w:rsid w:val="00FB79D9"/>
    <w:rsid w:val="00FC3228"/>
    <w:rsid w:val="00FD3879"/>
    <w:rsid w:val="00FD5AE1"/>
    <w:rsid w:val="00FE2B6A"/>
    <w:rsid w:val="00FE5C46"/>
    <w:rsid w:val="00FE609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455D85-6DB1-4016-9216-D94798E4B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14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46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469"/>
  </w:style>
  <w:style w:type="paragraph" w:styleId="Piedepgina">
    <w:name w:val="footer"/>
    <w:basedOn w:val="Normal"/>
    <w:link w:val="PiedepginaCar"/>
    <w:uiPriority w:val="99"/>
    <w:unhideWhenUsed/>
    <w:rsid w:val="004A14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469"/>
  </w:style>
  <w:style w:type="paragraph" w:styleId="Prrafodelista">
    <w:name w:val="List Paragraph"/>
    <w:aliases w:val="Footnote,Cita texto,Párrafo de lista1,List Paragraph1,Cuadrícula clara - Énfasis 31,Colorful List - Accent 11,TEXTO GENERAL SENTENCIAS,Párrafo de lista2,List Paragraph"/>
    <w:basedOn w:val="Normal"/>
    <w:link w:val="PrrafodelistaCar"/>
    <w:uiPriority w:val="34"/>
    <w:qFormat/>
    <w:rsid w:val="004A1469"/>
    <w:pPr>
      <w:ind w:left="720"/>
      <w:contextualSpacing/>
    </w:pPr>
  </w:style>
  <w:style w:type="character" w:customStyle="1" w:styleId="PrrafodelistaCar">
    <w:name w:val="Párrafo de lista Car"/>
    <w:aliases w:val="Footnote Car,Cita texto Car,Párrafo de lista1 Car,List Paragraph1 Car,Cuadrícula clara - Énfasis 31 Car,Colorful List - Accent 11 Car,TEXTO GENERAL SENTENCIAS Car,Párrafo de lista2 Car,List Paragraph Car"/>
    <w:basedOn w:val="Fuentedeprrafopredeter"/>
    <w:link w:val="Prrafodelista"/>
    <w:uiPriority w:val="34"/>
    <w:locked/>
    <w:rsid w:val="004A1469"/>
  </w:style>
  <w:style w:type="paragraph" w:styleId="NormalWeb">
    <w:name w:val="Normal (Web)"/>
    <w:basedOn w:val="Normal"/>
    <w:uiPriority w:val="99"/>
    <w:unhideWhenUsed/>
    <w:rsid w:val="00AD1249"/>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nfasis">
    <w:name w:val="Emphasis"/>
    <w:basedOn w:val="Fuentedeprrafopredeter"/>
    <w:uiPriority w:val="20"/>
    <w:qFormat/>
    <w:rsid w:val="00AD1249"/>
    <w:rPr>
      <w:i/>
      <w:iCs/>
    </w:rPr>
  </w:style>
  <w:style w:type="table" w:styleId="Tablaconcuadrcula">
    <w:name w:val="Table Grid"/>
    <w:basedOn w:val="Tablanormal"/>
    <w:uiPriority w:val="39"/>
    <w:rsid w:val="00A03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3416"/>
    <w:rPr>
      <w:color w:val="0563C1" w:themeColor="hyperlink"/>
      <w:u w:val="single"/>
    </w:rPr>
  </w:style>
  <w:style w:type="paragraph" w:styleId="Textonotapie">
    <w:name w:val="footnote text"/>
    <w:aliases w:val="Car,Footnote Text Char Char Char Char Char,Footnote Text Char Char Char Char,Footnote reference,FA Fu,Footnote Text Char Char Char,Footnote Text Cha,FA Fußnotentext,FA Fuﬂnotentext,Footnote Text Char Char,Car Car Car,FA Fu?notentext,Ca,C"/>
    <w:basedOn w:val="Normal"/>
    <w:link w:val="TextonotapieCar"/>
    <w:uiPriority w:val="99"/>
    <w:unhideWhenUsed/>
    <w:qFormat/>
    <w:rsid w:val="00A03416"/>
    <w:pPr>
      <w:spacing w:after="0" w:line="240" w:lineRule="auto"/>
    </w:pPr>
    <w:rPr>
      <w:sz w:val="20"/>
      <w:szCs w:val="20"/>
    </w:rPr>
  </w:style>
  <w:style w:type="character" w:customStyle="1" w:styleId="TextonotapieCar">
    <w:name w:val="Texto nota pie Car"/>
    <w:aliases w:val="Car Car,Footnote Text Char Char Char Char Char Car,Footnote Text Char Char Char Char Car,Footnote reference Car,FA Fu Car,Footnote Text Char Char Char Car,Footnote Text Cha Car,FA Fußnotentext Car,FA Fuﬂnotentext Car,Car Car Car Car"/>
    <w:basedOn w:val="Fuentedeprrafopredeter"/>
    <w:link w:val="Textonotapie"/>
    <w:uiPriority w:val="99"/>
    <w:rsid w:val="00A03416"/>
    <w:rPr>
      <w:sz w:val="20"/>
      <w:szCs w:val="20"/>
    </w:rPr>
  </w:style>
  <w:style w:type="character" w:styleId="Refdenotaalpie">
    <w:name w:val="footnote reference"/>
    <w:aliases w:val="Ref. de nota al pie 2,Footnotes refss,Texto de nota al pie,Appel note de bas de page,Footnote number,referencia nota al pie,BVI fnr,f,4_G,16 Point,Superscript 6 Point,Texto nota al pie,Footnote Reference Char3,ftref,Stinking Styles,R"/>
    <w:basedOn w:val="Fuentedeprrafopredeter"/>
    <w:link w:val="Ref"/>
    <w:uiPriority w:val="99"/>
    <w:unhideWhenUsed/>
    <w:qFormat/>
    <w:rsid w:val="00A03416"/>
    <w:rPr>
      <w:vertAlign w:val="superscript"/>
    </w:rPr>
  </w:style>
  <w:style w:type="paragraph" w:customStyle="1" w:styleId="Ref">
    <w:name w:val="Ref"/>
    <w:aliases w:val="footnote reference,Ref. de nota al pie1,Footnotes refss Car,Ref. de nota al pie2,Footnote Reference"/>
    <w:basedOn w:val="Normal"/>
    <w:link w:val="Refdenotaalpie"/>
    <w:uiPriority w:val="99"/>
    <w:qFormat/>
    <w:rsid w:val="00A03416"/>
    <w:pPr>
      <w:spacing w:line="240" w:lineRule="exact"/>
    </w:pPr>
    <w:rPr>
      <w:vertAlign w:val="superscript"/>
    </w:rPr>
  </w:style>
  <w:style w:type="paragraph" w:styleId="Sinespaciado">
    <w:name w:val="No Spacing"/>
    <w:uiPriority w:val="1"/>
    <w:qFormat/>
    <w:rsid w:val="00A03416"/>
    <w:pPr>
      <w:spacing w:after="0" w:line="240" w:lineRule="auto"/>
    </w:pPr>
    <w:rPr>
      <w:rFonts w:ascii="Calibri" w:eastAsia="Calibri" w:hAnsi="Calibri" w:cs="Calibri"/>
      <w:color w:val="000000"/>
      <w:lang w:eastAsia="es-MX"/>
    </w:rPr>
  </w:style>
  <w:style w:type="character" w:styleId="Textoennegrita">
    <w:name w:val="Strong"/>
    <w:basedOn w:val="Fuentedeprrafopredeter"/>
    <w:uiPriority w:val="22"/>
    <w:qFormat/>
    <w:rsid w:val="008464EB"/>
    <w:rPr>
      <w:b/>
      <w:bCs/>
    </w:rPr>
  </w:style>
  <w:style w:type="character" w:styleId="Mencinsinresolver">
    <w:name w:val="Unresolved Mention"/>
    <w:basedOn w:val="Fuentedeprrafopredeter"/>
    <w:uiPriority w:val="99"/>
    <w:semiHidden/>
    <w:unhideWhenUsed/>
    <w:rsid w:val="00555D98"/>
    <w:rPr>
      <w:color w:val="605E5C"/>
      <w:shd w:val="clear" w:color="auto" w:fill="E1DFDD"/>
    </w:rPr>
  </w:style>
  <w:style w:type="character" w:styleId="Refdecomentario">
    <w:name w:val="annotation reference"/>
    <w:basedOn w:val="Fuentedeprrafopredeter"/>
    <w:uiPriority w:val="99"/>
    <w:semiHidden/>
    <w:unhideWhenUsed/>
    <w:rsid w:val="00185E46"/>
    <w:rPr>
      <w:sz w:val="16"/>
      <w:szCs w:val="16"/>
    </w:rPr>
  </w:style>
  <w:style w:type="paragraph" w:styleId="Textocomentario">
    <w:name w:val="annotation text"/>
    <w:basedOn w:val="Normal"/>
    <w:link w:val="TextocomentarioCar"/>
    <w:uiPriority w:val="99"/>
    <w:semiHidden/>
    <w:unhideWhenUsed/>
    <w:rsid w:val="00185E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85E46"/>
    <w:rPr>
      <w:sz w:val="20"/>
      <w:szCs w:val="20"/>
    </w:rPr>
  </w:style>
  <w:style w:type="paragraph" w:styleId="Asuntodelcomentario">
    <w:name w:val="annotation subject"/>
    <w:basedOn w:val="Textocomentario"/>
    <w:next w:val="Textocomentario"/>
    <w:link w:val="AsuntodelcomentarioCar"/>
    <w:uiPriority w:val="99"/>
    <w:semiHidden/>
    <w:unhideWhenUsed/>
    <w:rsid w:val="00185E46"/>
    <w:rPr>
      <w:b/>
      <w:bCs/>
    </w:rPr>
  </w:style>
  <w:style w:type="character" w:customStyle="1" w:styleId="AsuntodelcomentarioCar">
    <w:name w:val="Asunto del comentario Car"/>
    <w:basedOn w:val="TextocomentarioCar"/>
    <w:link w:val="Asuntodelcomentario"/>
    <w:uiPriority w:val="99"/>
    <w:semiHidden/>
    <w:rsid w:val="00185E46"/>
    <w:rPr>
      <w:b/>
      <w:bCs/>
      <w:sz w:val="20"/>
      <w:szCs w:val="20"/>
    </w:rPr>
  </w:style>
  <w:style w:type="paragraph" w:styleId="Textodeglobo">
    <w:name w:val="Balloon Text"/>
    <w:basedOn w:val="Normal"/>
    <w:link w:val="TextodegloboCar"/>
    <w:uiPriority w:val="99"/>
    <w:semiHidden/>
    <w:unhideWhenUsed/>
    <w:rsid w:val="00185E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5E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78545">
      <w:bodyDiv w:val="1"/>
      <w:marLeft w:val="0"/>
      <w:marRight w:val="0"/>
      <w:marTop w:val="0"/>
      <w:marBottom w:val="0"/>
      <w:divBdr>
        <w:top w:val="none" w:sz="0" w:space="0" w:color="auto"/>
        <w:left w:val="none" w:sz="0" w:space="0" w:color="auto"/>
        <w:bottom w:val="none" w:sz="0" w:space="0" w:color="auto"/>
        <w:right w:val="none" w:sz="0" w:space="0" w:color="auto"/>
      </w:divBdr>
    </w:div>
    <w:div w:id="339049314">
      <w:bodyDiv w:val="1"/>
      <w:marLeft w:val="0"/>
      <w:marRight w:val="0"/>
      <w:marTop w:val="0"/>
      <w:marBottom w:val="0"/>
      <w:divBdr>
        <w:top w:val="none" w:sz="0" w:space="0" w:color="auto"/>
        <w:left w:val="none" w:sz="0" w:space="0" w:color="auto"/>
        <w:bottom w:val="none" w:sz="0" w:space="0" w:color="auto"/>
        <w:right w:val="none" w:sz="0" w:space="0" w:color="auto"/>
      </w:divBdr>
    </w:div>
    <w:div w:id="623658557">
      <w:bodyDiv w:val="1"/>
      <w:marLeft w:val="0"/>
      <w:marRight w:val="0"/>
      <w:marTop w:val="0"/>
      <w:marBottom w:val="0"/>
      <w:divBdr>
        <w:top w:val="none" w:sz="0" w:space="0" w:color="auto"/>
        <w:left w:val="none" w:sz="0" w:space="0" w:color="auto"/>
        <w:bottom w:val="none" w:sz="0" w:space="0" w:color="auto"/>
        <w:right w:val="none" w:sz="0" w:space="0" w:color="auto"/>
      </w:divBdr>
    </w:div>
    <w:div w:id="1584140969">
      <w:bodyDiv w:val="1"/>
      <w:marLeft w:val="0"/>
      <w:marRight w:val="0"/>
      <w:marTop w:val="0"/>
      <w:marBottom w:val="0"/>
      <w:divBdr>
        <w:top w:val="none" w:sz="0" w:space="0" w:color="auto"/>
        <w:left w:val="none" w:sz="0" w:space="0" w:color="auto"/>
        <w:bottom w:val="none" w:sz="0" w:space="0" w:color="auto"/>
        <w:right w:val="none" w:sz="0" w:space="0" w:color="auto"/>
      </w:divBdr>
    </w:div>
    <w:div w:id="1783499265">
      <w:bodyDiv w:val="1"/>
      <w:marLeft w:val="0"/>
      <w:marRight w:val="0"/>
      <w:marTop w:val="0"/>
      <w:marBottom w:val="0"/>
      <w:divBdr>
        <w:top w:val="none" w:sz="0" w:space="0" w:color="auto"/>
        <w:left w:val="none" w:sz="0" w:space="0" w:color="auto"/>
        <w:bottom w:val="none" w:sz="0" w:space="0" w:color="auto"/>
        <w:right w:val="none" w:sz="0" w:space="0" w:color="auto"/>
      </w:divBdr>
    </w:div>
    <w:div w:id="206637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idheas.org.mx/publicaciones-idheas-litigio-estrategico/Informe-sombra-sobre-la-situacion-de-la-desaparicion-de-personas-en-mexico/" TargetMode="External"/><Relationship Id="rId3" Type="http://schemas.openxmlformats.org/officeDocument/2006/relationships/hyperlink" Target="https://www.facebook.com/CDHCMX/videos/ceremonia-de-clausura-diplomado-profesionalizante-en-materia-de-b%C3%BAsqueda-de-pers/581270404175409/" TargetMode="External"/><Relationship Id="rId7" Type="http://schemas.openxmlformats.org/officeDocument/2006/relationships/hyperlink" Target="https://cdhcm.org.mx/2020/10/recomendacion-02-2020/" TargetMode="External"/><Relationship Id="rId2" Type="http://schemas.openxmlformats.org/officeDocument/2006/relationships/hyperlink" Target="https://cdhcm.org.mx/2022/03/la-busqueda-de-personas-desaparecidas-requiere-de-esfuerzos-colectivos-constantes/" TargetMode="External"/><Relationship Id="rId1" Type="http://schemas.openxmlformats.org/officeDocument/2006/relationships/hyperlink" Target="https://cdhcm.org.mx/2020/10/recomendacion-02-2020/" TargetMode="External"/><Relationship Id="rId6" Type="http://schemas.openxmlformats.org/officeDocument/2006/relationships/hyperlink" Target="https://cdhcm.org.mx/2020/10/recomendacion-02-2020/" TargetMode="External"/><Relationship Id="rId5" Type="http://schemas.openxmlformats.org/officeDocument/2006/relationships/hyperlink" Target="https://cdhcm.org.mx/wp-content/uploads/2023/07/VP.-Amicus-Curiae-Caso-Gonzalez-Mendez-vs.-Mexico-CDHCM.pdf" TargetMode="External"/><Relationship Id="rId4" Type="http://schemas.openxmlformats.org/officeDocument/2006/relationships/hyperlink" Target="https://cdhcm.org.mx/wp-content/uploads/2018/05/Amicus-Curiae-Caso-Alvarado-Espinoza-y-otros-vs-Me%CC%81xico-CDHDF.pdf" TargetMode="External"/><Relationship Id="rId9" Type="http://schemas.openxmlformats.org/officeDocument/2006/relationships/hyperlink" Target="https://undocs.org/es/E/CN.4/Sub.2/1997/20/Rev.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D677B-577C-4CFB-AC0F-B9E786F21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12</Pages>
  <Words>4447</Words>
  <Characters>24016</Characters>
  <Application>Microsoft Office Word</Application>
  <DocSecurity>0</DocSecurity>
  <Lines>421</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Rivera Díaz</dc:creator>
  <cp:keywords/>
  <dc:description/>
  <cp:lastModifiedBy>Secretaría Ejecutiva</cp:lastModifiedBy>
  <cp:revision>4</cp:revision>
  <cp:lastPrinted>2023-08-05T00:49:00Z</cp:lastPrinted>
  <dcterms:created xsi:type="dcterms:W3CDTF">2023-08-07T18:50:00Z</dcterms:created>
  <dcterms:modified xsi:type="dcterms:W3CDTF">2023-08-09T20:16:00Z</dcterms:modified>
</cp:coreProperties>
</file>