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spacing w:after="0" w:before="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2">
      <w:pPr>
        <w:widowControl w:val="1"/>
        <w:spacing w:after="0" w:before="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3">
      <w:pPr>
        <w:widowControl w:val="1"/>
        <w:spacing w:after="0" w:before="0"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INFORME DE LA ONG</w:t>
      </w:r>
      <w:r w:rsidDel="00000000" w:rsidR="00000000" w:rsidRPr="00000000">
        <w:rPr>
          <w:rFonts w:ascii="Times New Roman" w:cs="Times New Roman" w:eastAsia="Times New Roman" w:hAnsi="Times New Roman"/>
          <w:b w:val="1"/>
          <w:rtl w:val="0"/>
        </w:rPr>
        <w:t xml:space="preserve"> COLOMBIA DIVERSA</w:t>
      </w:r>
      <w:r w:rsidDel="00000000" w:rsidR="00000000" w:rsidRPr="00000000">
        <w:rPr>
          <w:rFonts w:ascii="Times New Roman" w:cs="Times New Roman" w:eastAsia="Times New Roman" w:hAnsi="Times New Roman"/>
          <w:b w:val="1"/>
          <w:vertAlign w:val="superscript"/>
        </w:rPr>
        <w:footnoteReference w:customMarkFollows="0" w:id="0"/>
      </w:r>
      <w:r w:rsidDel="00000000" w:rsidR="00000000" w:rsidRPr="00000000">
        <w:rPr>
          <w:rFonts w:ascii="Times New Roman" w:cs="Times New Roman" w:eastAsia="Times New Roman" w:hAnsi="Times New Roman"/>
          <w:b w:val="1"/>
          <w:rtl w:val="0"/>
        </w:rPr>
        <w:t xml:space="preserve"> Y</w:t>
      </w:r>
    </w:p>
    <w:p w:rsidR="00000000" w:rsidDel="00000000" w:rsidP="00000000" w:rsidRDefault="00000000" w:rsidRPr="00000000" w14:paraId="00000004">
      <w:pPr>
        <w:widowControl w:val="1"/>
        <w:spacing w:after="0" w:before="0"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LA RED DE LITIGANTES LGBTI+ DE LAS AMÉRICAS</w:t>
      </w:r>
      <w:r w:rsidDel="00000000" w:rsidR="00000000" w:rsidRPr="00000000">
        <w:rPr>
          <w:rFonts w:ascii="Times New Roman" w:cs="Times New Roman" w:eastAsia="Times New Roman" w:hAnsi="Times New Roman"/>
          <w:b w:val="1"/>
          <w:vertAlign w:val="superscript"/>
        </w:rPr>
        <w:footnoteReference w:customMarkFollows="0" w:id="1"/>
      </w:r>
      <w:r w:rsidDel="00000000" w:rsidR="00000000" w:rsidRPr="00000000">
        <w:rPr>
          <w:rtl w:val="0"/>
        </w:rPr>
      </w:r>
    </w:p>
    <w:p w:rsidR="00000000" w:rsidDel="00000000" w:rsidP="00000000" w:rsidRDefault="00000000" w:rsidRPr="00000000" w14:paraId="00000005">
      <w:pPr>
        <w:widowControl w:val="1"/>
        <w:spacing w:after="0" w:before="0"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Sobre el acceso a Derechos Económicos, Sociales y Culturales de Personas LGBTIQ+ en Colombia</w:t>
      </w:r>
    </w:p>
    <w:p w:rsidR="00000000" w:rsidDel="00000000" w:rsidP="00000000" w:rsidRDefault="00000000" w:rsidRPr="00000000" w14:paraId="00000006">
      <w:pPr>
        <w:widowControl w:val="1"/>
        <w:spacing w:after="0" w:before="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widowControl w:val="1"/>
        <w:spacing w:after="0" w:before="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widowControl w:val="1"/>
        <w:spacing w:after="0" w:before="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widowControl w:val="1"/>
        <w:spacing w:after="0" w:before="0"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A">
      <w:pPr>
        <w:widowControl w:val="1"/>
        <w:spacing w:after="0" w:before="0"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B">
      <w:pPr>
        <w:widowControl w:val="1"/>
        <w:spacing w:after="0" w:before="0"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C">
      <w:pPr>
        <w:widowControl w:val="1"/>
        <w:spacing w:after="0" w:before="0" w:line="360" w:lineRule="auto"/>
        <w:ind w:right="3"/>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INFORME ALTERNATIVO PRESENTADO ANTE EL </w:t>
      </w:r>
      <w:r w:rsidDel="00000000" w:rsidR="00000000" w:rsidRPr="00000000">
        <w:rPr>
          <w:rFonts w:ascii="Times New Roman" w:cs="Times New Roman" w:eastAsia="Times New Roman" w:hAnsi="Times New Roman"/>
          <w:b w:val="1"/>
          <w:rtl w:val="0"/>
        </w:rPr>
        <w:t xml:space="preserve">COMITÉ DE DERECHOS ECONÓMICOS SOCIALES Y CULTURALES DE LAS NACIONES UNIDAS</w:t>
      </w:r>
    </w:p>
    <w:p w:rsidR="00000000" w:rsidDel="00000000" w:rsidP="00000000" w:rsidRDefault="00000000" w:rsidRPr="00000000" w14:paraId="0000000D">
      <w:pPr>
        <w:widowControl w:val="1"/>
        <w:spacing w:after="0" w:before="0"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E">
      <w:pPr>
        <w:widowControl w:val="1"/>
        <w:spacing w:after="0" w:before="0" w:line="360" w:lineRule="auto"/>
        <w:ind w:left="3" w:right="3" w:firstLine="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EXAMEN DE LA REPÚBLICA DE COLOMBIA</w:t>
      </w:r>
    </w:p>
    <w:p w:rsidR="00000000" w:rsidDel="00000000" w:rsidP="00000000" w:rsidRDefault="00000000" w:rsidRPr="00000000" w14:paraId="0000000F">
      <w:pPr>
        <w:widowControl w:val="1"/>
        <w:spacing w:after="0" w:before="0" w:line="360" w:lineRule="auto"/>
        <w:ind w:right="4"/>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(78° PERÍODO DE SESIONES – 8 DE SEPTIEMBRE AL 03 DE OCTUBRE DE 2025)</w:t>
      </w:r>
    </w:p>
    <w:p w:rsidR="00000000" w:rsidDel="00000000" w:rsidP="00000000" w:rsidRDefault="00000000" w:rsidRPr="00000000" w14:paraId="00000010">
      <w:pPr>
        <w:widowControl w:val="1"/>
        <w:spacing w:after="0" w:before="0" w:line="360" w:lineRule="auto"/>
        <w:ind w:right="4"/>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1">
      <w:pPr>
        <w:widowControl w:val="1"/>
        <w:spacing w:after="0" w:before="0" w:line="360" w:lineRule="auto"/>
        <w:ind w:right="4"/>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2">
      <w:pPr>
        <w:widowControl w:val="1"/>
        <w:spacing w:after="0" w:before="0" w:line="360" w:lineRule="auto"/>
        <w:ind w:right="4"/>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3">
      <w:pPr>
        <w:widowControl w:val="1"/>
        <w:spacing w:after="0" w:before="0" w:line="360" w:lineRule="auto"/>
        <w:ind w:right="4"/>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4">
      <w:pPr>
        <w:widowControl w:val="1"/>
        <w:spacing w:after="0" w:before="0" w:line="360" w:lineRule="auto"/>
        <w:ind w:right="4"/>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5">
      <w:pPr>
        <w:widowControl w:val="1"/>
        <w:spacing w:after="0" w:before="0" w:line="360" w:lineRule="auto"/>
        <w:ind w:right="4"/>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6">
      <w:pPr>
        <w:widowControl w:val="1"/>
        <w:spacing w:after="0" w:before="0" w:line="360" w:lineRule="auto"/>
        <w:ind w:right="4"/>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7">
      <w:pPr>
        <w:widowControl w:val="1"/>
        <w:spacing w:after="0" w:before="0" w:line="360" w:lineRule="auto"/>
        <w:ind w:right="4"/>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8">
      <w:pPr>
        <w:widowControl w:val="1"/>
        <w:spacing w:after="0" w:before="0" w:line="360" w:lineRule="auto"/>
        <w:ind w:right="4"/>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9">
      <w:pPr>
        <w:widowControl w:val="1"/>
        <w:spacing w:after="0" w:before="0" w:line="360" w:lineRule="auto"/>
        <w:ind w:right="4"/>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A">
      <w:pPr>
        <w:widowControl w:val="1"/>
        <w:spacing w:after="0" w:before="0" w:line="360" w:lineRule="auto"/>
        <w:ind w:right="4"/>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AGOSTO DE 2025</w:t>
      </w:r>
      <w:r w:rsidDel="00000000" w:rsidR="00000000" w:rsidRPr="00000000">
        <w:br w:type="page"/>
      </w:r>
      <w:r w:rsidDel="00000000" w:rsidR="00000000" w:rsidRPr="00000000">
        <w:rPr>
          <w:rtl w:val="0"/>
        </w:rPr>
      </w:r>
    </w:p>
    <w:p w:rsidR="00000000" w:rsidDel="00000000" w:rsidP="00000000" w:rsidRDefault="00000000" w:rsidRPr="00000000" w14:paraId="0000001B">
      <w:pPr>
        <w:widowControl w:val="1"/>
        <w:spacing w:after="0" w:before="0"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PRESENTACIÓN</w:t>
      </w:r>
    </w:p>
    <w:p w:rsidR="00000000" w:rsidDel="00000000" w:rsidP="00000000" w:rsidRDefault="00000000" w:rsidRPr="00000000" w14:paraId="0000001C">
      <w:pPr>
        <w:widowControl w:val="1"/>
        <w:spacing w:after="0" w:before="0"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D">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Colombia Diversa</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Fonts w:ascii="Times New Roman" w:cs="Times New Roman" w:eastAsia="Times New Roman" w:hAnsi="Times New Roman"/>
          <w:rtl w:val="0"/>
        </w:rPr>
        <w:t xml:space="preserve"> es una organización no gubernamental (ONG) fundada en el 2004 que promueve la inclusión y respeto de la integralidad de derechos, reconocimiento y movilización de mujeres lesbianas, hombres gays, personas bisexuales, personas trans, y queer (LGBTIQ+) en los ámbitos económico, social, político y cultural, con el fin de contribuir en la construcción de una sociedad democrática, moderna y con justicia social en Colombia. </w:t>
      </w:r>
    </w:p>
    <w:p w:rsidR="00000000" w:rsidDel="00000000" w:rsidP="00000000" w:rsidRDefault="00000000" w:rsidRPr="00000000" w14:paraId="0000001E">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Red de Litigantes LGBTI+ de las Américas es </w:t>
      </w:r>
      <w:r w:rsidDel="00000000" w:rsidR="00000000" w:rsidRPr="00000000">
        <w:rPr>
          <w:rFonts w:ascii="Times New Roman" w:cs="Times New Roman" w:eastAsia="Times New Roman" w:hAnsi="Times New Roman"/>
          <w:color w:val="362842"/>
          <w:highlight w:val="white"/>
          <w:rtl w:val="0"/>
        </w:rPr>
        <w:t xml:space="preserve">una red internacional e independiente conformada por personas y organizaciones sociales que trabajan por el reconocimiento, la protección y la garantía de los derechos de las personas LGBTI en el continente americano a través del litigio estratégico, acciones de incidencia y estrategias de comunicaciones. La Red de Litigantes LGBT de las Américas se conformó en 2019 como un espacio de diálogo, cooperación, e intercambio de experiencias entre sus integrantes de 16 países de Latinoamérica y el Caribe.</w:t>
      </w:r>
    </w:p>
    <w:p w:rsidR="00000000" w:rsidDel="00000000" w:rsidP="00000000" w:rsidRDefault="00000000" w:rsidRPr="00000000" w14:paraId="0000001F">
      <w:pPr>
        <w:widowControl w:val="1"/>
        <w:numPr>
          <w:ilvl w:val="0"/>
          <w:numId w:val="5"/>
        </w:numPr>
        <w:spacing w:after="0" w:before="0" w:line="360" w:lineRule="auto"/>
        <w:ind w:left="141.73228346456676" w:hanging="36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0">
      <w:pPr>
        <w:widowControl w:val="1"/>
        <w:numPr>
          <w:ilvl w:val="0"/>
          <w:numId w:val="3"/>
        </w:numPr>
        <w:spacing w:after="0" w:before="0" w:line="360" w:lineRule="auto"/>
        <w:ind w:left="144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Introducción</w:t>
      </w:r>
    </w:p>
    <w:p w:rsidR="00000000" w:rsidDel="00000000" w:rsidP="00000000" w:rsidRDefault="00000000" w:rsidRPr="00000000" w14:paraId="00000021">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 ocasión a la revisión que el Comité de Derechos Económicos, Sociales y Culturales (Comité DESC) efectuará al Estado Colombiano frente al cumplimiento de las obligaciones establecidas en el Pacto Internacional de Derechos Económicos, Sociales y Culturales (PIDESC), Colombia Diversa les presenta los principales obstáculos que enfrentan mujeres lesbianas, hombres gays, personas bisexuales, personas trans, intersex y queer (LGBTIQ+) en el país en relación con el disfrute de sus derechos económicos sociales y culturales (DESC) y solicita al Comité DESC hacer recomendaciones específicas en favor de los derechos de las personas LGBTIQ+ más allá de la clausula de no discriminación en procura de impulsar acciones más efectivas que promuevan la tranformación de estereotipos y prejuicios contra está población así como su real integración en oie de igualdad en la sociedad colombiana.</w:t>
      </w:r>
    </w:p>
    <w:p w:rsidR="00000000" w:rsidDel="00000000" w:rsidP="00000000" w:rsidRDefault="00000000" w:rsidRPr="00000000" w14:paraId="00000022">
      <w:pPr>
        <w:widowControl w:val="1"/>
        <w:spacing w:after="0" w:before="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Necesidad que se demuestra, en el poco impacto que las recomendaciones generales han tenido en la transformación de los prejuicios, ya que s</w:t>
      </w:r>
      <w:r w:rsidDel="00000000" w:rsidR="00000000" w:rsidRPr="00000000">
        <w:rPr>
          <w:rFonts w:ascii="Times New Roman" w:cs="Times New Roman" w:eastAsia="Times New Roman" w:hAnsi="Times New Roman"/>
          <w:rtl w:val="0"/>
        </w:rPr>
        <w:t xml:space="preserve">i bien Colombia, en los últimos años ha tenido avances significativos en sus normas y políticas públicas en relación con los derechos de este grupo poblacional, como es la expedición reciente del Plan Nacional para la Garantía de los Derechos de la Población LGBTIQ+ - CONPES 4147</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Fonts w:ascii="Times New Roman" w:cs="Times New Roman" w:eastAsia="Times New Roman" w:hAnsi="Times New Roman"/>
          <w:rtl w:val="0"/>
        </w:rPr>
        <w:t xml:space="preserve">, todos estos avances, en particular aquellos asociados con los DESC, son derechos que no han tenido una materialización efectiva.</w:t>
      </w:r>
      <w:r w:rsidDel="00000000" w:rsidR="00000000" w:rsidRPr="00000000">
        <w:rPr>
          <w:rFonts w:ascii="Times New Roman" w:cs="Times New Roman" w:eastAsia="Times New Roman" w:hAnsi="Times New Roman"/>
          <w:rtl w:val="0"/>
        </w:rPr>
        <w:t xml:space="preserve"> Esto se refleja, por ejemplo en las cifras generales de violencia contra personas LGBTIQ+ en Colombia: </w:t>
      </w:r>
    </w:p>
    <w:p w:rsidR="00000000" w:rsidDel="00000000" w:rsidP="00000000" w:rsidRDefault="00000000" w:rsidRPr="00000000" w14:paraId="00000024">
      <w:pPr>
        <w:widowControl w:val="1"/>
        <w:spacing w:after="0" w:before="0" w:line="360" w:lineRule="auto"/>
        <w:rPr>
          <w:rFonts w:ascii="Times New Roman" w:cs="Times New Roman" w:eastAsia="Times New Roman" w:hAnsi="Times New Roman"/>
          <w:b w:val="1"/>
        </w:rPr>
      </w:pPr>
      <w:r w:rsidDel="00000000" w:rsidR="00000000" w:rsidRPr="00000000">
        <w:rPr>
          <w:rtl w:val="0"/>
        </w:rPr>
      </w:r>
    </w:p>
    <w:tbl>
      <w:tblPr>
        <w:tblStyle w:val="Table1"/>
        <w:tblW w:w="89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30"/>
        <w:gridCol w:w="1005"/>
        <w:gridCol w:w="1005"/>
        <w:gridCol w:w="1005"/>
        <w:gridCol w:w="1005"/>
        <w:gridCol w:w="1005"/>
        <w:gridCol w:w="1005"/>
        <w:gridCol w:w="1005"/>
        <w:gridCol w:w="1005"/>
        <w:tblGridChange w:id="0">
          <w:tblGrid>
            <w:gridCol w:w="930"/>
            <w:gridCol w:w="1005"/>
            <w:gridCol w:w="1005"/>
            <w:gridCol w:w="1005"/>
            <w:gridCol w:w="1005"/>
            <w:gridCol w:w="1005"/>
            <w:gridCol w:w="1005"/>
            <w:gridCol w:w="1005"/>
            <w:gridCol w:w="1005"/>
          </w:tblGrid>
        </w:tblGridChange>
      </w:tblGrid>
      <w:tr>
        <w:trPr>
          <w:cantSplit w:val="0"/>
          <w:trHeight w:val="480" w:hRule="atLeast"/>
          <w:tblHeader w:val="0"/>
        </w:trPr>
        <w:tc>
          <w:tcPr>
            <w:gridSpan w:val="9"/>
            <w:tcBorders>
              <w:top w:color="000000" w:space="0" w:sz="4" w:val="single"/>
              <w:left w:color="000000" w:space="0" w:sz="4" w:val="single"/>
              <w:bottom w:color="000000" w:space="0" w:sz="4" w:val="single"/>
              <w:right w:color="000000" w:space="0" w:sz="4" w:val="single"/>
            </w:tcBorders>
            <w:shd w:fill="e1e0e0" w:val="clear"/>
            <w:tcMar>
              <w:top w:w="60.0" w:type="dxa"/>
              <w:left w:w="60.0" w:type="dxa"/>
              <w:bottom w:w="60.0" w:type="dxa"/>
              <w:right w:w="60.0" w:type="dxa"/>
            </w:tcMar>
            <w:vAlign w:val="top"/>
          </w:tcPr>
          <w:p w:rsidR="00000000" w:rsidDel="00000000" w:rsidP="00000000" w:rsidRDefault="00000000" w:rsidRPr="00000000" w14:paraId="00000025">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Homicidios</w:t>
            </w:r>
          </w:p>
        </w:tc>
      </w:tr>
      <w:tr>
        <w:trPr>
          <w:cantSplit w:val="0"/>
          <w:trHeight w:val="73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2E">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108</w:t>
            </w:r>
          </w:p>
          <w:p w:rsidR="00000000" w:rsidDel="00000000" w:rsidP="00000000" w:rsidRDefault="00000000" w:rsidRPr="00000000" w14:paraId="0000002F">
            <w:pPr>
              <w:widowControl w:val="1"/>
              <w:spacing w:after="0" w:before="0" w:line="360" w:lineRule="auto"/>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homicidios</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30">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109</w:t>
            </w:r>
          </w:p>
          <w:p w:rsidR="00000000" w:rsidDel="00000000" w:rsidP="00000000" w:rsidRDefault="00000000" w:rsidRPr="00000000" w14:paraId="00000031">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homicidios</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32">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109</w:t>
            </w:r>
          </w:p>
          <w:p w:rsidR="00000000" w:rsidDel="00000000" w:rsidP="00000000" w:rsidRDefault="00000000" w:rsidRPr="00000000" w14:paraId="00000033">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homicidios</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34">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106</w:t>
            </w:r>
          </w:p>
          <w:p w:rsidR="00000000" w:rsidDel="00000000" w:rsidP="00000000" w:rsidRDefault="00000000" w:rsidRPr="00000000" w14:paraId="00000035">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homicidios</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36">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226</w:t>
            </w:r>
          </w:p>
          <w:p w:rsidR="00000000" w:rsidDel="00000000" w:rsidP="00000000" w:rsidRDefault="00000000" w:rsidRPr="00000000" w14:paraId="00000037">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homicidios</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38">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205</w:t>
            </w:r>
          </w:p>
          <w:p w:rsidR="00000000" w:rsidDel="00000000" w:rsidP="00000000" w:rsidRDefault="00000000" w:rsidRPr="00000000" w14:paraId="00000039">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homicidios</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3A">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148</w:t>
            </w:r>
          </w:p>
          <w:p w:rsidR="00000000" w:rsidDel="00000000" w:rsidP="00000000" w:rsidRDefault="00000000" w:rsidRPr="00000000" w14:paraId="0000003B">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homicidios</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3C">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159</w:t>
            </w:r>
          </w:p>
          <w:p w:rsidR="00000000" w:rsidDel="00000000" w:rsidP="00000000" w:rsidRDefault="00000000" w:rsidRPr="00000000" w14:paraId="0000003D">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homicidios</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3E">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175</w:t>
            </w:r>
          </w:p>
          <w:p w:rsidR="00000000" w:rsidDel="00000000" w:rsidP="00000000" w:rsidRDefault="00000000" w:rsidRPr="00000000" w14:paraId="0000003F">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homicidios</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40">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2016</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41">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2017</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42">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2018</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43">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2019</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44">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2020</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45">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2021</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46">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2022</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47">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2023</w:t>
            </w:r>
          </w:p>
        </w:tc>
        <w:tc>
          <w:tcPr>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48">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2024</w:t>
            </w:r>
          </w:p>
        </w:tc>
      </w:tr>
      <w:tr>
        <w:trPr>
          <w:cantSplit w:val="0"/>
          <w:trHeight w:val="345" w:hRule="atLeast"/>
          <w:tblHeader w:val="0"/>
        </w:trPr>
        <w:tc>
          <w:tcPr>
            <w:gridSpan w:val="9"/>
            <w:tcBorders>
              <w:top w:color="000000" w:space="0" w:sz="4" w:val="single"/>
              <w:left w:color="000000" w:space="0" w:sz="4" w:val="single"/>
              <w:bottom w:color="000000" w:space="0" w:sz="4" w:val="single"/>
              <w:right w:color="000000" w:space="0" w:sz="4" w:val="single"/>
            </w:tcBorders>
            <w:shd w:fill="auto" w:val="clear"/>
            <w:tcMar>
              <w:top w:w="60.0" w:type="dxa"/>
              <w:left w:w="60.0" w:type="dxa"/>
              <w:bottom w:w="60.0" w:type="dxa"/>
              <w:right w:w="60.0" w:type="dxa"/>
            </w:tcMar>
            <w:vAlign w:val="top"/>
          </w:tcPr>
          <w:p w:rsidR="00000000" w:rsidDel="00000000" w:rsidP="00000000" w:rsidRDefault="00000000" w:rsidRPr="00000000" w14:paraId="00000049">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Figura 1. Número de homicidios por año de personas LGBTIQ+ en Colombia</w:t>
            </w:r>
          </w:p>
        </w:tc>
      </w:tr>
    </w:tbl>
    <w:p w:rsidR="00000000" w:rsidDel="00000000" w:rsidP="00000000" w:rsidRDefault="00000000" w:rsidRPr="00000000" w14:paraId="00000052">
      <w:pPr>
        <w:widowControl w:val="1"/>
        <w:spacing w:after="0" w:before="0" w:line="360" w:lineRule="auto"/>
        <w:jc w:val="center"/>
        <w:rPr>
          <w:rFonts w:ascii="Times New Roman" w:cs="Times New Roman" w:eastAsia="Times New Roman" w:hAnsi="Times New Roman"/>
          <w:b w:val="1"/>
        </w:rPr>
      </w:pPr>
      <w:r w:rsidDel="00000000" w:rsidR="00000000" w:rsidRPr="00000000">
        <w:rPr>
          <w:rtl w:val="0"/>
        </w:rPr>
      </w:r>
    </w:p>
    <w:tbl>
      <w:tblPr>
        <w:tblStyle w:val="Table2"/>
        <w:tblW w:w="6885.0" w:type="dxa"/>
        <w:jc w:val="center"/>
        <w:tblLayout w:type="fixed"/>
        <w:tblLook w:val="0600"/>
      </w:tblPr>
      <w:tblGrid>
        <w:gridCol w:w="825"/>
        <w:gridCol w:w="780"/>
        <w:gridCol w:w="825"/>
        <w:gridCol w:w="945"/>
        <w:gridCol w:w="840"/>
        <w:gridCol w:w="1005"/>
        <w:gridCol w:w="825"/>
        <w:gridCol w:w="840"/>
        <w:tblGridChange w:id="0">
          <w:tblGrid>
            <w:gridCol w:w="825"/>
            <w:gridCol w:w="780"/>
            <w:gridCol w:w="825"/>
            <w:gridCol w:w="945"/>
            <w:gridCol w:w="840"/>
            <w:gridCol w:w="1005"/>
            <w:gridCol w:w="825"/>
            <w:gridCol w:w="840"/>
          </w:tblGrid>
        </w:tblGridChange>
      </w:tblGrid>
      <w:tr>
        <w:trPr>
          <w:cantSplit w:val="0"/>
          <w:trHeight w:val="480" w:hRule="atLeast"/>
          <w:tblHeader w:val="0"/>
        </w:trPr>
        <w:tc>
          <w:tcPr>
            <w:gridSpan w:val="8"/>
            <w:tcBorders>
              <w:top w:color="000000" w:space="0" w:sz="6" w:val="single"/>
              <w:left w:color="000000" w:space="0" w:sz="6" w:val="single"/>
              <w:bottom w:color="000000" w:space="0" w:sz="6" w:val="single"/>
              <w:right w:color="000000" w:space="0" w:sz="6" w:val="single"/>
            </w:tcBorders>
            <w:shd w:fill="e1e0e0" w:val="clear"/>
            <w:tcMar>
              <w:top w:w="60.0" w:type="dxa"/>
              <w:left w:w="60.0" w:type="dxa"/>
              <w:bottom w:w="60.0" w:type="dxa"/>
              <w:right w:w="60.0" w:type="dxa"/>
            </w:tcMar>
            <w:vAlign w:val="top"/>
          </w:tcPr>
          <w:p w:rsidR="00000000" w:rsidDel="00000000" w:rsidP="00000000" w:rsidRDefault="00000000" w:rsidRPr="00000000" w14:paraId="00000053">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Amenazas</w:t>
            </w:r>
          </w:p>
        </w:tc>
      </w:tr>
      <w:tr>
        <w:trPr>
          <w:cantSplit w:val="0"/>
          <w:trHeight w:val="67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5B">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49</w:t>
            </w:r>
          </w:p>
          <w:p w:rsidR="00000000" w:rsidDel="00000000" w:rsidP="00000000" w:rsidRDefault="00000000" w:rsidRPr="00000000" w14:paraId="0000005C">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casos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5D">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64</w:t>
            </w:r>
          </w:p>
          <w:p w:rsidR="00000000" w:rsidDel="00000000" w:rsidP="00000000" w:rsidRDefault="00000000" w:rsidRPr="00000000" w14:paraId="0000005E">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casos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5F">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127</w:t>
            </w:r>
          </w:p>
          <w:p w:rsidR="00000000" w:rsidDel="00000000" w:rsidP="00000000" w:rsidRDefault="00000000" w:rsidRPr="00000000" w14:paraId="00000060">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casos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1">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107</w:t>
            </w:r>
          </w:p>
          <w:p w:rsidR="00000000" w:rsidDel="00000000" w:rsidP="00000000" w:rsidRDefault="00000000" w:rsidRPr="00000000" w14:paraId="00000062">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casos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3">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337</w:t>
            </w:r>
          </w:p>
          <w:p w:rsidR="00000000" w:rsidDel="00000000" w:rsidP="00000000" w:rsidRDefault="00000000" w:rsidRPr="00000000" w14:paraId="00000064">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casos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5">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97</w:t>
            </w:r>
          </w:p>
          <w:p w:rsidR="00000000" w:rsidDel="00000000" w:rsidP="00000000" w:rsidRDefault="00000000" w:rsidRPr="00000000" w14:paraId="00000066">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casos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7">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181</w:t>
            </w:r>
          </w:p>
          <w:p w:rsidR="00000000" w:rsidDel="00000000" w:rsidP="00000000" w:rsidRDefault="00000000" w:rsidRPr="00000000" w14:paraId="00000068">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casos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9">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203</w:t>
            </w:r>
          </w:p>
          <w:p w:rsidR="00000000" w:rsidDel="00000000" w:rsidP="00000000" w:rsidRDefault="00000000" w:rsidRPr="00000000" w14:paraId="0000006A">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casos</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B">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2016</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C">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2017</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D">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2018</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E">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2019</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F">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2020</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0">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2021</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1">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2022</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2">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2023</w:t>
            </w:r>
          </w:p>
        </w:tc>
      </w:tr>
      <w:tr>
        <w:trPr>
          <w:cantSplit w:val="0"/>
          <w:trHeight w:val="345" w:hRule="atLeast"/>
          <w:tblHeader w:val="0"/>
        </w:trPr>
        <w:tc>
          <w:tcPr>
            <w:gridSpan w:val="8"/>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3">
            <w:pPr>
              <w:widowControl w:val="1"/>
              <w:spacing w:after="0" w:before="0" w:line="36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Figura 2. Número de casos de amenazas contra personas LGBTIQ+ por año en Colombia </w:t>
            </w:r>
          </w:p>
        </w:tc>
      </w:tr>
    </w:tbl>
    <w:p w:rsidR="00000000" w:rsidDel="00000000" w:rsidP="00000000" w:rsidRDefault="00000000" w:rsidRPr="00000000" w14:paraId="0000007B">
      <w:pPr>
        <w:widowControl w:val="1"/>
        <w:spacing w:after="0" w:before="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widowControl w:val="1"/>
        <w:numPr>
          <w:ilvl w:val="0"/>
          <w:numId w:val="5"/>
        </w:numPr>
        <w:spacing w:after="0" w:before="0" w:line="360" w:lineRule="auto"/>
        <w:ind w:left="283.46456692913387"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Las principales víctimas de todos estos actos de violencia fueron hombres gays y mujeres trans</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Es de señalar que a junio de 2025 la Fiscalía reportó 45 homicidios de personas LGBTIQ+, de los cuales 20 corresponden a hombres gay y 14 a mujeres trans</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D">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Gran parte de esta violencia y cifras</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Fonts w:ascii="Times New Roman" w:cs="Times New Roman" w:eastAsia="Times New Roman" w:hAnsi="Times New Roman"/>
          <w:rtl w:val="0"/>
        </w:rPr>
        <w:t xml:space="preserve">, si bien siguen en la impunidad, también tiene un origen claro relacionado con los estereotipos y prejuicios existentes en la población, donde persisten imaginarios de rechazo profundo a las personas con orientaciones sexuales, identidades y expresiones de género (OSIEG) diversas. También se advierte que el acceso a DESC por parte de este grupo poblacional es incluso más difícil, toda vez que el mecanismo por el que se han desarrollado principalmente los avances en el reconocimiento de los derechos de la población lGBTIQ+ en Colombia es la acción de tutela establecida para la protección de derechos fundamentales. </w:t>
      </w:r>
    </w:p>
    <w:p w:rsidR="00000000" w:rsidDel="00000000" w:rsidP="00000000" w:rsidRDefault="00000000" w:rsidRPr="00000000" w14:paraId="0000007E">
      <w:pPr>
        <w:widowControl w:val="1"/>
        <w:spacing w:after="0" w:before="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F">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Esto a pesar de existir leyes, decretos, sentencias judiciales, y en teoría incluso políticas públicas</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Fonts w:ascii="Times New Roman" w:cs="Times New Roman" w:eastAsia="Times New Roman" w:hAnsi="Times New Roman"/>
          <w:rtl w:val="0"/>
        </w:rPr>
        <w:t xml:space="preserve">, asociadas a derechos que buscan cambiar imaginarios y la forma como la sociedad y el Estado comprenden a la población LGBTIQ+. No obstante, no cuentan con planes de acción robustos que materialicen los estándares legales consagrados en más de 289 sentencias judiciales de las altas cortes del país</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Fonts w:ascii="Times New Roman" w:cs="Times New Roman" w:eastAsia="Times New Roman" w:hAnsi="Times New Roman"/>
          <w:rtl w:val="0"/>
        </w:rPr>
        <w:t xml:space="preserve">, siguen sin una implementación adecuada, y en casos, como el del acceso a la salud de personas trans, persisten las barreras para el acceso a servicios que la Corte Constitucional ya ha previamente reconocido</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Fonts w:ascii="Times New Roman" w:cs="Times New Roman" w:eastAsia="Times New Roman" w:hAnsi="Times New Roman"/>
          <w:rtl w:val="0"/>
        </w:rPr>
        <w:t xml:space="preserve">. Lo anterior es lamentable, si se tiene en cuenta que su cumplimiento es necesario de cara a los compromisos asumidos por Colombia en el </w:t>
      </w:r>
      <w:r w:rsidDel="00000000" w:rsidR="00000000" w:rsidRPr="00000000">
        <w:rPr>
          <w:rFonts w:ascii="Times New Roman" w:cs="Times New Roman" w:eastAsia="Times New Roman" w:hAnsi="Times New Roman"/>
          <w:rtl w:val="0"/>
        </w:rPr>
        <w:t xml:space="preserve">EPU anterior</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y ante los órganos de tratados de Naciones Unidas.</w:t>
      </w:r>
    </w:p>
    <w:p w:rsidR="00000000" w:rsidDel="00000000" w:rsidP="00000000" w:rsidRDefault="00000000" w:rsidRPr="00000000" w14:paraId="00000080">
      <w:pPr>
        <w:widowControl w:val="1"/>
        <w:spacing w:after="0" w:before="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widowControl w:val="1"/>
        <w:numPr>
          <w:ilvl w:val="0"/>
          <w:numId w:val="5"/>
        </w:numPr>
        <w:spacing w:after="0" w:before="0" w:line="360" w:lineRule="auto"/>
        <w:ind w:lef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 lo anterior, a continuación resaltamos las barreras asociadas a cuatro obligaciones en particular: (a) el acceso a la salud, en especial de personas transgénero y no binarias;  (b) el acceso a la educación, materializado en la permanencia en el sector educativo de personas LGBTIQ+; (c) la invisibilización y negación del acceso en materia cultural a la población LGBTIQ+, (d) migrantes. </w:t>
      </w:r>
    </w:p>
    <w:p w:rsidR="00000000" w:rsidDel="00000000" w:rsidP="00000000" w:rsidRDefault="00000000" w:rsidRPr="00000000" w14:paraId="00000082">
      <w:pPr>
        <w:widowControl w:val="1"/>
        <w:spacing w:after="0" w:before="0" w:line="360" w:lineRule="auto"/>
        <w:ind w:left="0" w:hanging="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3">
      <w:pPr>
        <w:widowControl w:val="1"/>
        <w:numPr>
          <w:ilvl w:val="0"/>
          <w:numId w:val="5"/>
        </w:numPr>
        <w:spacing w:after="0" w:before="0" w:line="360" w:lineRule="auto"/>
        <w:ind w:lef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cada una de estas secciones se incluirán sugerencias de recomendaciones al Comité. Le rogamos al Comité DESC que por la importancia que revisten estos temas establezca recomendaciones relacionadas con la población LGBTIQ+ en su examen de Colombia. </w:t>
      </w:r>
      <w:r w:rsidDel="00000000" w:rsidR="00000000" w:rsidRPr="00000000">
        <w:rPr>
          <w:rtl w:val="0"/>
        </w:rPr>
      </w:r>
    </w:p>
    <w:p w:rsidR="00000000" w:rsidDel="00000000" w:rsidP="00000000" w:rsidRDefault="00000000" w:rsidRPr="00000000" w14:paraId="00000084">
      <w:pPr>
        <w:pStyle w:val="Heading1"/>
        <w:spacing w:line="360" w:lineRule="auto"/>
        <w:ind w:left="720" w:firstLine="0"/>
        <w:jc w:val="both"/>
        <w:rPr>
          <w:rFonts w:ascii="Times New Roman" w:cs="Times New Roman" w:eastAsia="Times New Roman" w:hAnsi="Times New Roman"/>
          <w:b w:val="1"/>
          <w:sz w:val="22"/>
          <w:szCs w:val="22"/>
        </w:rPr>
      </w:pPr>
      <w:bookmarkStart w:colFirst="0" w:colLast="0" w:name="_hmvl686xb7x4" w:id="0"/>
      <w:bookmarkEnd w:id="0"/>
      <w:r w:rsidDel="00000000" w:rsidR="00000000" w:rsidRPr="00000000">
        <w:rPr>
          <w:rFonts w:ascii="Times New Roman" w:cs="Times New Roman" w:eastAsia="Times New Roman" w:hAnsi="Times New Roman"/>
          <w:b w:val="1"/>
          <w:sz w:val="22"/>
          <w:szCs w:val="22"/>
          <w:rtl w:val="0"/>
        </w:rPr>
        <w:t xml:space="preserve">II. </w:t>
      </w:r>
      <w:r w:rsidDel="00000000" w:rsidR="00000000" w:rsidRPr="00000000">
        <w:rPr>
          <w:rFonts w:ascii="Times New Roman" w:cs="Times New Roman" w:eastAsia="Times New Roman" w:hAnsi="Times New Roman"/>
          <w:b w:val="1"/>
          <w:sz w:val="22"/>
          <w:szCs w:val="22"/>
          <w:rtl w:val="0"/>
        </w:rPr>
        <w:t xml:space="preserve">D</w:t>
      </w:r>
      <w:r w:rsidDel="00000000" w:rsidR="00000000" w:rsidRPr="00000000">
        <w:rPr>
          <w:rFonts w:ascii="Times New Roman" w:cs="Times New Roman" w:eastAsia="Times New Roman" w:hAnsi="Times New Roman"/>
          <w:b w:val="1"/>
          <w:sz w:val="22"/>
          <w:szCs w:val="22"/>
          <w:rtl w:val="0"/>
        </w:rPr>
        <w:t xml:space="preserve">erecho a la salud (Artículo 12 del PIDESC</w:t>
      </w:r>
      <w:r w:rsidDel="00000000" w:rsidR="00000000" w:rsidRPr="00000000">
        <w:rPr>
          <w:rFonts w:ascii="Times New Roman" w:cs="Times New Roman" w:eastAsia="Times New Roman" w:hAnsi="Times New Roman"/>
          <w:b w:val="1"/>
          <w:sz w:val="22"/>
          <w:szCs w:val="22"/>
          <w:rtl w:val="0"/>
        </w:rPr>
        <w:t xml:space="preserve">).</w:t>
      </w:r>
    </w:p>
    <w:p w:rsidR="00000000" w:rsidDel="00000000" w:rsidP="00000000" w:rsidRDefault="00000000" w:rsidRPr="00000000" w14:paraId="00000085">
      <w:pPr>
        <w:keepLines w:val="1"/>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conformidad con el PIDESC e</w:t>
      </w:r>
      <w:r w:rsidDel="00000000" w:rsidR="00000000" w:rsidRPr="00000000">
        <w:rPr>
          <w:rFonts w:ascii="Times New Roman" w:cs="Times New Roman" w:eastAsia="Times New Roman" w:hAnsi="Times New Roman"/>
          <w:rtl w:val="0"/>
        </w:rPr>
        <w:t xml:space="preserve">l principio de no discriminación para el acceso a servicios de salud, implica que no debe restringirse por orientación sexual ni por identidad de género</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Fonts w:ascii="Times New Roman" w:cs="Times New Roman" w:eastAsia="Times New Roman" w:hAnsi="Times New Roman"/>
          <w:color w:val="467886"/>
          <w:vertAlign w:val="superscript"/>
          <w:rtl w:val="0"/>
        </w:rPr>
        <w:t xml:space="preserve"> </w:t>
      </w:r>
      <w:r w:rsidDel="00000000" w:rsidR="00000000" w:rsidRPr="00000000">
        <w:rPr>
          <w:rFonts w:ascii="Times New Roman" w:cs="Times New Roman" w:eastAsia="Times New Roman" w:hAnsi="Times New Roman"/>
          <w:rtl w:val="0"/>
        </w:rPr>
        <w:t xml:space="preserve">el disfrute del más alto nivel posible de salud</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Fonts w:ascii="Times New Roman" w:cs="Times New Roman" w:eastAsia="Times New Roman" w:hAnsi="Times New Roman"/>
          <w:rtl w:val="0"/>
        </w:rPr>
        <w:t xml:space="preserve">,  dando la posibilidad personal de controlar la propia salud y su cuerpo, con inclusión de la libertad sexual, sin que exista injerencias externas</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Fonts w:ascii="Times New Roman" w:cs="Times New Roman" w:eastAsia="Times New Roman" w:hAnsi="Times New Roman"/>
          <w:rtl w:val="0"/>
        </w:rPr>
        <w:t xml:space="preserve">. El derecho a la salud abarca el acceso igualitario a servicios médicos y de factores determinantes básicos de la salud, con una efectiva disponibilidad, accesibilidad,  aceptabilidad y calidad</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6">
      <w:pPr>
        <w:keepLines w:val="1"/>
        <w:widowControl w:val="1"/>
        <w:spacing w:after="0" w:before="0" w:line="360" w:lineRule="auto"/>
        <w:ind w:left="141.73228346456676" w:hanging="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7">
      <w:pPr>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Colombia, por decisiones de la Corte Constitucional</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Fonts w:ascii="Times New Roman" w:cs="Times New Roman" w:eastAsia="Times New Roman" w:hAnsi="Times New Roman"/>
          <w:rtl w:val="0"/>
        </w:rPr>
        <w:t xml:space="preserve"> y la inclusión  dentro del Plan Básico de Beneficios en Salud</w:t>
      </w:r>
      <w:r w:rsidDel="00000000" w:rsidR="00000000" w:rsidRPr="00000000">
        <w:rPr>
          <w:rFonts w:ascii="Times New Roman" w:cs="Times New Roman" w:eastAsia="Times New Roman" w:hAnsi="Times New Roman"/>
          <w:vertAlign w:val="superscript"/>
        </w:rPr>
        <w:footnoteReference w:customMarkFollows="0" w:id="16"/>
      </w:r>
      <w:r w:rsidDel="00000000" w:rsidR="00000000" w:rsidRPr="00000000">
        <w:rPr>
          <w:rFonts w:ascii="Times New Roman" w:cs="Times New Roman" w:eastAsia="Times New Roman" w:hAnsi="Times New Roman"/>
          <w:rtl w:val="0"/>
        </w:rPr>
        <w:t xml:space="preserve"> de los medicamentos y procedimientos para la reafirmación de sexo, existen garantías y reconocimiento de derechos de las personas que acceden a estos servicios, sin embargo, existen barreras por la patologización de las identidades en la práctica médica y el incumplimiento constante de las ordenes de la Corte.  Se han identificado las siguientes barreras:</w:t>
      </w:r>
    </w:p>
    <w:p w:rsidR="00000000" w:rsidDel="00000000" w:rsidP="00000000" w:rsidRDefault="00000000" w:rsidRPr="00000000" w14:paraId="00000088">
      <w:pPr>
        <w:widowControl w:val="1"/>
        <w:spacing w:after="0" w:before="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9">
      <w:pPr>
        <w:widowControl w:val="1"/>
        <w:numPr>
          <w:ilvl w:val="0"/>
          <w:numId w:val="5"/>
        </w:numPr>
        <w:spacing w:after="0" w:before="0" w:line="360" w:lineRule="auto"/>
        <w:ind w:left="141.73228346456676" w:hanging="360"/>
        <w:jc w:val="both"/>
        <w:rPr>
          <w:rFonts w:ascii="Arial Narrow" w:cs="Arial Narrow" w:eastAsia="Arial Narrow" w:hAnsi="Arial Narrow"/>
        </w:rPr>
      </w:pPr>
      <w:r w:rsidDel="00000000" w:rsidR="00000000" w:rsidRPr="00000000">
        <w:rPr>
          <w:rFonts w:ascii="Times New Roman" w:cs="Times New Roman" w:eastAsia="Times New Roman" w:hAnsi="Times New Roman"/>
          <w:b w:val="1"/>
          <w:i w:val="1"/>
          <w:rtl w:val="0"/>
        </w:rPr>
        <w:t xml:space="preserve">La oferta institucional para la atención en salud básica y especializada de personas LGBTIQ+ se encuentra profundamente centralizada:</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En ciudades como Bogotá y Cali existen algunos centros con servicios especializados</w:t>
      </w:r>
      <w:r w:rsidDel="00000000" w:rsidR="00000000" w:rsidRPr="00000000">
        <w:rPr>
          <w:rFonts w:ascii="Times New Roman" w:cs="Times New Roman" w:eastAsia="Times New Roman" w:hAnsi="Times New Roman"/>
          <w:vertAlign w:val="superscript"/>
        </w:rPr>
        <w:footnoteReference w:customMarkFollows="0" w:id="17"/>
      </w:r>
      <w:r w:rsidDel="00000000" w:rsidR="00000000" w:rsidRPr="00000000">
        <w:rPr>
          <w:rFonts w:ascii="Times New Roman" w:cs="Times New Roman" w:eastAsia="Times New Roman" w:hAnsi="Times New Roman"/>
          <w:rtl w:val="0"/>
        </w:rPr>
        <w:t xml:space="preserve">, aún con barreras importantes, son excepcionales dentro del territorio nacional. En la mayoría de municipios del país no hay presencia de IPS con capacidad técnica ni personal capacitado para atender necesidades específicas en salud sexual, salud mental o procesos de afirmación de género.  Además, existe una desigualdad estructural en la distribución del talento humano en salud entre las principales ciudades del país y ciudades intermedias o pequeñas. Por ejemplo, en Bogotá, en 2023, había aproximadamente 80,432 profesionales de la salud con formación universitaria, departamentos como Chocó y Amazonas registraban 634 y 196 respectivamente</w:t>
      </w:r>
      <w:r w:rsidDel="00000000" w:rsidR="00000000" w:rsidRPr="00000000">
        <w:rPr>
          <w:rFonts w:ascii="Times New Roman" w:cs="Times New Roman" w:eastAsia="Times New Roman" w:hAnsi="Times New Roman"/>
          <w:vertAlign w:val="superscript"/>
        </w:rPr>
        <w:footnoteReference w:customMarkFollows="0" w:id="18"/>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A">
      <w:pPr>
        <w:widowControl w:val="1"/>
        <w:spacing w:after="0" w:before="0" w:line="36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B">
      <w:pPr>
        <w:widowControl w:val="1"/>
        <w:numPr>
          <w:ilvl w:val="0"/>
          <w:numId w:val="5"/>
        </w:numPr>
        <w:spacing w:after="0" w:before="0" w:line="360" w:lineRule="auto"/>
        <w:ind w:left="141.73228346456676" w:hanging="360"/>
        <w:jc w:val="both"/>
        <w:rPr>
          <w:rFonts w:ascii="Arial Narrow" w:cs="Arial Narrow" w:eastAsia="Arial Narrow" w:hAnsi="Arial Narrow"/>
        </w:rPr>
      </w:pP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1"/>
          <w:i w:val="1"/>
          <w:rtl w:val="0"/>
        </w:rPr>
        <w:t xml:space="preserve">Ausencia de guías, lineamientos y protocolos médicos para la atención integral en salud:</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rtl w:val="0"/>
        </w:rPr>
        <w:t xml:space="preserve">Pese a la orden expresa de la Corte Constitucional contenida en la sentencia T-218 de 2022, mediante la cual se exhortó al Ministerio de Salud y Protección Social a emitir, en el término de un (1) año, la guía de práctica clínica y los protocolos correspondientes para la atención integral de las personas transgénero en procedimientos médicos de afirmación de género, y a la fecha de cierre de este informe el Estado colombiano no ha generado estas guias. </w:t>
      </w:r>
    </w:p>
    <w:p w:rsidR="00000000" w:rsidDel="00000000" w:rsidP="00000000" w:rsidRDefault="00000000" w:rsidRPr="00000000" w14:paraId="0000008C">
      <w:pPr>
        <w:widowControl w:val="1"/>
        <w:spacing w:after="0" w:before="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D">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2024 el Ministerio de Salud y Protección Social</w:t>
      </w:r>
      <w:r w:rsidDel="00000000" w:rsidR="00000000" w:rsidRPr="00000000">
        <w:rPr>
          <w:rFonts w:ascii="Times New Roman" w:cs="Times New Roman" w:eastAsia="Times New Roman" w:hAnsi="Times New Roman"/>
          <w:vertAlign w:val="superscript"/>
        </w:rPr>
        <w:footnoteReference w:customMarkFollows="0" w:id="19"/>
      </w:r>
      <w:r w:rsidDel="00000000" w:rsidR="00000000" w:rsidRPr="00000000">
        <w:rPr>
          <w:rFonts w:ascii="Times New Roman" w:cs="Times New Roman" w:eastAsia="Times New Roman" w:hAnsi="Times New Roman"/>
          <w:rtl w:val="0"/>
        </w:rPr>
        <w:t xml:space="preserve"> indicó que a finales del 2023 contrató un equipo para iniciar la primera fase del proceso (formulación de preguntas clínicas, la búsqueda sistemática de guías de práctica clínica existentes, su tamización y evaluación de calidad) y que la segunda fase, de adopción y adaptación, se proyectó para 2024, sin cronograma público de finalización ni mecanismo formal de participación de organizaciones LGBTIQ+ y personas trans y no binarias.</w:t>
      </w:r>
    </w:p>
    <w:p w:rsidR="00000000" w:rsidDel="00000000" w:rsidP="00000000" w:rsidRDefault="00000000" w:rsidRPr="00000000" w14:paraId="0000008E">
      <w:pPr>
        <w:widowControl w:val="1"/>
        <w:spacing w:after="0" w:before="0" w:line="360" w:lineRule="auto"/>
        <w:ind w:left="141.73228346456676" w:hanging="36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F">
      <w:pPr>
        <w:widowControl w:val="1"/>
        <w:numPr>
          <w:ilvl w:val="0"/>
          <w:numId w:val="5"/>
        </w:numPr>
        <w:spacing w:after="0" w:before="0" w:line="360" w:lineRule="auto"/>
        <w:ind w:left="141.73228346456676" w:hanging="360"/>
        <w:jc w:val="both"/>
        <w:rPr>
          <w:rFonts w:ascii="Arial Narrow" w:cs="Arial Narrow" w:eastAsia="Arial Narrow" w:hAnsi="Arial Narrow"/>
        </w:rPr>
      </w:pP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1"/>
          <w:i w:val="1"/>
          <w:rtl w:val="0"/>
        </w:rPr>
        <w:t xml:space="preserve">Falta de aceptabilidad al existir violencias institucionales en las IPS:</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En el marco del </w:t>
      </w:r>
      <w:r w:rsidDel="00000000" w:rsidR="00000000" w:rsidRPr="00000000">
        <w:rPr>
          <w:rFonts w:ascii="Times New Roman" w:cs="Times New Roman" w:eastAsia="Times New Roman" w:hAnsi="Times New Roman"/>
          <w:i w:val="1"/>
          <w:rtl w:val="0"/>
        </w:rPr>
        <w:t xml:space="preserve">Plan Decenal de Salud Pública 2022–2031</w:t>
      </w:r>
      <w:r w:rsidDel="00000000" w:rsidR="00000000" w:rsidRPr="00000000">
        <w:rPr>
          <w:rFonts w:ascii="Times New Roman" w:cs="Times New Roman" w:eastAsia="Times New Roman" w:hAnsi="Times New Roman"/>
          <w:rtl w:val="0"/>
        </w:rPr>
        <w:t xml:space="preserve"> y la Resolución 2138 de 2023, el Estado debe adoptar lineamientos para la transversalización del enfoque de género en el sector salud y prevenir la discriminación hacia personas LGBTIQ+, en particular hacia personas trans y no binarias. El Ministerio de Salud y Protección Social afirmó que se ha avanzado en la adaptación de formatos, registros e historias clínicas para incluir el nombre identitario, el uso adecuado de pronombres y la capacitación en el uso de MIPRES para autorizar medicamentos y procedimientos de afirmación de género. Asimismo, avanzó en la inclusión de las categorías “T” y “NB” en la base de datos de la ADRES (Resolución 762 de 2023) y el desarrollo de un proyecto para incorporar esta información en el Formulario Único de Afiliación</w:t>
      </w:r>
      <w:r w:rsidDel="00000000" w:rsidR="00000000" w:rsidRPr="00000000">
        <w:rPr>
          <w:rFonts w:ascii="Times New Roman" w:cs="Times New Roman" w:eastAsia="Times New Roman" w:hAnsi="Times New Roman"/>
          <w:vertAlign w:val="superscript"/>
        </w:rPr>
        <w:footnoteReference w:customMarkFollows="0" w:id="20"/>
      </w:r>
      <w:r w:rsidDel="00000000" w:rsidR="00000000" w:rsidRPr="00000000">
        <w:rPr>
          <w:rFonts w:ascii="Times New Roman" w:cs="Times New Roman" w:eastAsia="Times New Roman" w:hAnsi="Times New Roman"/>
          <w:rtl w:val="0"/>
        </w:rPr>
        <w:t xml:space="preserve">. En cuanto a la denuncia de actos de discriminación, el Ministerio informó que las IPS cuentan con buzones de atención al usuario, que la Superintendencia de Salud tiene un canal para quejas y que los Tribunales de Ética Médica pueden conocer procesos disciplinarios</w:t>
      </w:r>
      <w:r w:rsidDel="00000000" w:rsidR="00000000" w:rsidRPr="00000000">
        <w:rPr>
          <w:rFonts w:ascii="Times New Roman" w:cs="Times New Roman" w:eastAsia="Times New Roman" w:hAnsi="Times New Roman"/>
          <w:vertAlign w:val="superscript"/>
        </w:rPr>
        <w:footnoteReference w:customMarkFollows="0" w:id="21"/>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0">
      <w:pPr>
        <w:widowControl w:val="1"/>
        <w:spacing w:after="0" w:before="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1">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Las medidas reportadas carecen de evidencia sobre su implementación efectiva, su cobertura y su impacto en la reducción de las violencias institucionales. Al día de hoy, no existen protocolos específicos y de obligatorio cumplimiento para las EPS e IPS para adoptar manuales de atención diferenciada para personas trans y no binarias, incluidas aquellas que se encuentran en situación de especial vulnerabilidad como personas migrantes, indígenas o privadas de la libertad </w:t>
      </w:r>
      <w:r w:rsidDel="00000000" w:rsidR="00000000" w:rsidRPr="00000000">
        <w:rPr>
          <w:rFonts w:ascii="Times New Roman" w:cs="Times New Roman" w:eastAsia="Times New Roman" w:hAnsi="Times New Roman"/>
          <w:vertAlign w:val="superscript"/>
        </w:rPr>
        <w:footnoteReference w:customMarkFollows="0" w:id="22"/>
      </w:r>
      <w:r w:rsidDel="00000000" w:rsidR="00000000" w:rsidRPr="00000000">
        <w:rPr>
          <w:rFonts w:ascii="Times New Roman" w:cs="Times New Roman" w:eastAsia="Times New Roman" w:hAnsi="Times New Roman"/>
          <w:rtl w:val="0"/>
        </w:rPr>
        <w:t xml:space="preserve">. Además, los canales para denunciar actos de discriminación son insuficientes y poco efectivo por no tener un estandar base del servicio. </w:t>
      </w:r>
    </w:p>
    <w:p w:rsidR="00000000" w:rsidDel="00000000" w:rsidP="00000000" w:rsidRDefault="00000000" w:rsidRPr="00000000" w14:paraId="00000092">
      <w:pPr>
        <w:widowControl w:val="1"/>
        <w:spacing w:after="0" w:before="0" w:line="360" w:lineRule="auto"/>
        <w:ind w:left="141.73228346456676" w:hanging="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widowControl w:val="1"/>
        <w:numPr>
          <w:ilvl w:val="0"/>
          <w:numId w:val="5"/>
        </w:numPr>
        <w:spacing w:after="0" w:before="0" w:line="360" w:lineRule="auto"/>
        <w:ind w:left="141.73228346456676" w:hanging="360"/>
        <w:jc w:val="both"/>
        <w:rPr>
          <w:rFonts w:ascii="Arial Narrow" w:cs="Arial Narrow" w:eastAsia="Arial Narrow" w:hAnsi="Arial Narrow"/>
        </w:rPr>
      </w:pPr>
      <w:r w:rsidDel="00000000" w:rsidR="00000000" w:rsidRPr="00000000">
        <w:rPr>
          <w:rFonts w:ascii="Times New Roman" w:cs="Times New Roman" w:eastAsia="Times New Roman" w:hAnsi="Times New Roman"/>
          <w:b w:val="1"/>
          <w:i w:val="1"/>
          <w:rtl w:val="0"/>
        </w:rPr>
        <w:t xml:space="preserve">Omisión de los estándares de calidad generando mala praxis médica y la falta de capacitación de profesionales de la salud:</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La grave omisión en la implementación de estándares de calidad en la atención en salud a personas trans y no binarias, genera un riesgo constante de mala praxis médica y perpetúa barreras en la aceptabilidad de los servicios. En 2024 el Ministerio de Salud y Protección Social, reconoció que no ha desarrollado campañas de capacitación al personal de EPS e IPS sobre los requerimientos específicos de esta población. En educación formal, desde 2016 solicitó a las Instituciones de Educación Superior la inclusión de contenidos generales sobre la situación de salud y los derechos sexuales y reproductivos. No existe una política nacional que obligue a las facultades de ciencias de la salud a incluir formación específica sobre la atención integral y no discriminatoria a personas trans y no binarias</w:t>
      </w:r>
      <w:r w:rsidDel="00000000" w:rsidR="00000000" w:rsidRPr="00000000">
        <w:rPr>
          <w:rFonts w:ascii="Times New Roman" w:cs="Times New Roman" w:eastAsia="Times New Roman" w:hAnsi="Times New Roman"/>
          <w:vertAlign w:val="superscript"/>
        </w:rPr>
        <w:footnoteReference w:customMarkFollows="0" w:id="23"/>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4">
      <w:pPr>
        <w:spacing w:after="0" w:before="0" w:line="360" w:lineRule="auto"/>
        <w:ind w:left="141.73228346456676" w:hanging="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5">
      <w:pPr>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Estado carece de una base de datos que permita identificar cuántas intervenciones se realizan en el marco de reasignaciones identitarias, ni cuenta con variables para determinar su éxito clínico o la satisfacción de las personas usuarias. La información disponible se limita a registros generales por diagnóstico (CIE-10) y tipo de procedimiento, sin desagregación por identidad de género ni seguimiento a resultados</w:t>
      </w:r>
      <w:r w:rsidDel="00000000" w:rsidR="00000000" w:rsidRPr="00000000">
        <w:rPr>
          <w:rFonts w:ascii="Times New Roman" w:cs="Times New Roman" w:eastAsia="Times New Roman" w:hAnsi="Times New Roman"/>
          <w:vertAlign w:val="superscript"/>
        </w:rPr>
        <w:footnoteReference w:customMarkFollows="0" w:id="24"/>
      </w:r>
      <w:r w:rsidDel="00000000" w:rsidR="00000000" w:rsidRPr="00000000">
        <w:rPr>
          <w:rFonts w:ascii="Times New Roman" w:cs="Times New Roman" w:eastAsia="Times New Roman" w:hAnsi="Times New Roman"/>
          <w:rtl w:val="0"/>
        </w:rPr>
        <w:t xml:space="preserve">, lo que impide un monitoreo efectivo y basado en evidencia de los servicios de salud para determinar el cumplimiento de los criterios del Comité DESC.</w:t>
      </w:r>
    </w:p>
    <w:p w:rsidR="00000000" w:rsidDel="00000000" w:rsidP="00000000" w:rsidRDefault="00000000" w:rsidRPr="00000000" w14:paraId="00000096">
      <w:pPr>
        <w:spacing w:after="0" w:before="0" w:line="36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97">
      <w:pPr>
        <w:spacing w:after="0" w:before="0" w:line="360" w:lineRule="auto"/>
        <w:ind w:firstLine="72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RECOMENDACIONES: </w:t>
      </w:r>
    </w:p>
    <w:p w:rsidR="00000000" w:rsidDel="00000000" w:rsidP="00000000" w:rsidRDefault="00000000" w:rsidRPr="00000000" w14:paraId="00000098">
      <w:pPr>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Solicitamos al Comité que recomiende al Estado parte que:</w:t>
      </w:r>
    </w:p>
    <w:p w:rsidR="00000000" w:rsidDel="00000000" w:rsidP="00000000" w:rsidRDefault="00000000" w:rsidRPr="00000000" w14:paraId="00000099">
      <w:pPr>
        <w:spacing w:after="0" w:before="0" w:line="36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Adopte medidas urgentes que garanticen servicios de salud disponibles, accesibles, aceptables y de calidad para personas LGBTIQ+, especialmente trans y no binarias, mediante la descentralización de la oferta, la asignación equitativa de talento humano.</w:t>
      </w:r>
    </w:p>
    <w:p w:rsidR="00000000" w:rsidDel="00000000" w:rsidP="00000000" w:rsidRDefault="00000000" w:rsidRPr="00000000" w14:paraId="0000009A">
      <w:pPr>
        <w:spacing w:after="0" w:before="0" w:line="36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Cumpla con la expedición de guías y protocolos vinculantes y la capacitación obligatoria con enfoque de género y no discriminación, asegurando confidencialidad, trato digno, información clara y la eliminación de la patologización. </w:t>
      </w:r>
      <w:r w:rsidDel="00000000" w:rsidR="00000000" w:rsidRPr="00000000">
        <w:rPr>
          <w:rtl w:val="0"/>
        </w:rPr>
      </w:r>
    </w:p>
    <w:p w:rsidR="00000000" w:rsidDel="00000000" w:rsidP="00000000" w:rsidRDefault="00000000" w:rsidRPr="00000000" w14:paraId="0000009B">
      <w:pPr>
        <w:pStyle w:val="Heading1"/>
        <w:spacing w:line="360" w:lineRule="auto"/>
        <w:ind w:left="720" w:firstLine="0"/>
        <w:rPr>
          <w:rFonts w:ascii="Times New Roman" w:cs="Times New Roman" w:eastAsia="Times New Roman" w:hAnsi="Times New Roman"/>
          <w:b w:val="1"/>
          <w:sz w:val="22"/>
          <w:szCs w:val="22"/>
          <w:vertAlign w:val="superscript"/>
        </w:rPr>
      </w:pPr>
      <w:bookmarkStart w:colFirst="0" w:colLast="0" w:name="_parzoc5y9cs" w:id="1"/>
      <w:bookmarkEnd w:id="1"/>
      <w:r w:rsidDel="00000000" w:rsidR="00000000" w:rsidRPr="00000000">
        <w:rPr>
          <w:rFonts w:ascii="Times New Roman" w:cs="Times New Roman" w:eastAsia="Times New Roman" w:hAnsi="Times New Roman"/>
          <w:b w:val="1"/>
          <w:sz w:val="22"/>
          <w:szCs w:val="22"/>
          <w:rtl w:val="0"/>
        </w:rPr>
        <w:t xml:space="preserve">III. Derecho a la </w:t>
      </w:r>
      <w:r w:rsidDel="00000000" w:rsidR="00000000" w:rsidRPr="00000000">
        <w:rPr>
          <w:rFonts w:ascii="Times New Roman" w:cs="Times New Roman" w:eastAsia="Times New Roman" w:hAnsi="Times New Roman"/>
          <w:b w:val="1"/>
          <w:sz w:val="22"/>
          <w:szCs w:val="22"/>
          <w:rtl w:val="0"/>
        </w:rPr>
        <w:t xml:space="preserve">Educación (Artículo 13 PIDESC)</w:t>
      </w:r>
      <w:r w:rsidDel="00000000" w:rsidR="00000000" w:rsidRPr="00000000">
        <w:rPr>
          <w:rtl w:val="0"/>
        </w:rPr>
      </w:r>
    </w:p>
    <w:p w:rsidR="00000000" w:rsidDel="00000000" w:rsidP="00000000" w:rsidRDefault="00000000" w:rsidRPr="00000000" w14:paraId="0000009C">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Comité DESC de Naciones Unidas, órgano que monitorea la implementación del Pacto, ha considerado que: “La educación es un derecho humano intrínseco y un medio indispensable de realizar otros derechos humanos.  Como derecho del ámbito de la autonomía de la persona, la educación es el principal medio que permite a adultos y menores marginados económica y socialmente salir de la pobreza y participar plenamente en sus comunidades”</w:t>
      </w:r>
      <w:r w:rsidDel="00000000" w:rsidR="00000000" w:rsidRPr="00000000">
        <w:rPr>
          <w:rFonts w:ascii="Times New Roman" w:cs="Times New Roman" w:eastAsia="Times New Roman" w:hAnsi="Times New Roman"/>
          <w:vertAlign w:val="superscript"/>
        </w:rPr>
        <w:footnoteReference w:customMarkFollows="0" w:id="25"/>
      </w:r>
      <w:r w:rsidDel="00000000" w:rsidR="00000000" w:rsidRPr="00000000">
        <w:rPr>
          <w:rtl w:val="0"/>
        </w:rPr>
      </w:r>
    </w:p>
    <w:p w:rsidR="00000000" w:rsidDel="00000000" w:rsidP="00000000" w:rsidRDefault="00000000" w:rsidRPr="00000000" w14:paraId="0000009D">
      <w:pPr>
        <w:widowControl w:val="1"/>
        <w:spacing w:after="0" w:before="0" w:line="360" w:lineRule="auto"/>
        <w:ind w:left="141.73228346456676" w:hanging="36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E">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nivel interno, se han expedido instrumentos normativos que buscan prevenir y mitigar las violencias escolares, como la Ley 1620 de 2013 y el Decreto 1965 de 2013 que establecen obligaciones para los establecimientos educativos (colegios) y a sus docentes en relación con la garantía y protección de los derechos de todas las personas de las comunidades educativas. Entre ellas se encuentran (a) el garantizar el respeto a la dignidad e integridad física y moral en el marco de la convivencia escolar, los derechos humanos, sexuales y reproductivos, (b) la activación de la Ruta de Atención Integral para la Convivencia Escolar (en adelante la ruta) frente a las conductas de alto riesgo de violencia escolar o de vulneración de derechos sexuales y reproductivos, (c) transformar las prácticas pedagógicas para contribuir a la construcción de ambientes de aprendizajes democráticos y tolerantes que potencien, entre otros, el respeto a la dignidad humana, a la integridad física y moral de sus estudiantes, y (d) clasifica los conflictos que ocurren en las instituciones educativas, donde una de las partes sea estudiante, bajo las categorías de situaciones (tipo I, tipo II y tipo III)</w:t>
      </w:r>
      <w:r w:rsidDel="00000000" w:rsidR="00000000" w:rsidRPr="00000000">
        <w:rPr>
          <w:rFonts w:ascii="Times New Roman" w:cs="Times New Roman" w:eastAsia="Times New Roman" w:hAnsi="Times New Roman"/>
          <w:vertAlign w:val="superscript"/>
        </w:rPr>
        <w:footnoteReference w:customMarkFollows="0" w:id="26"/>
      </w:r>
      <w:r w:rsidDel="00000000" w:rsidR="00000000" w:rsidRPr="00000000">
        <w:rPr>
          <w:rFonts w:ascii="Times New Roman" w:cs="Times New Roman" w:eastAsia="Times New Roman" w:hAnsi="Times New Roman"/>
          <w:rtl w:val="0"/>
        </w:rPr>
        <w:t xml:space="preserve"> y fija protocolos para cada uno. El propósito de esta Ley es garantizar que las situaciones que afectan la convivencia escolar sean prevenidas, atendidas y se les haga seguimiento, mientras los colegios promueven los derechos humanos y derechos sexuales y reproductivos.</w:t>
      </w:r>
    </w:p>
    <w:p w:rsidR="00000000" w:rsidDel="00000000" w:rsidP="00000000" w:rsidRDefault="00000000" w:rsidRPr="00000000" w14:paraId="0000009F">
      <w:pPr>
        <w:widowControl w:val="1"/>
        <w:spacing w:after="0" w:before="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obstante, las niñas, niños y adolescentes LGBTIQ+ siguen enfrentándose a barreras en el contexto educativo, siendo el acoso una de las principales barreras para la permanencia en el sistema educativo, lo que ha llevado a que la Honorable Corte Constitucional haya proferido 14 sentencias sobre la protección a personas LGBTIQ+ en el sector educativo, dentro de las que se encuentre la Sentencia T-478 del 2015, en la que el máximo Tribunal constitucional analizó la situación del caso de Sergio Urrego, un estudiante gay que fue acosado y que posterior a ello se suicidó, en aquella oportunidad la Corte concluyó que “(...) existe un déficit de protección general para las víctimas de acoso escolar ante estas circunstancias, ya que, a pesar de que existe un marco regulatorio claro y una política pública definida desde el 2013, la misma no ha sido implementada con rigurosidad y en casos como el que nos convoca, ni siquiera fue impulsada en momentos concretos.”</w:t>
      </w:r>
      <w:r w:rsidDel="00000000" w:rsidR="00000000" w:rsidRPr="00000000">
        <w:rPr>
          <w:rFonts w:ascii="Times New Roman" w:cs="Times New Roman" w:eastAsia="Times New Roman" w:hAnsi="Times New Roman"/>
          <w:vertAlign w:val="superscript"/>
        </w:rPr>
        <w:footnoteReference w:customMarkFollows="0" w:id="27"/>
      </w:r>
      <w:r w:rsidDel="00000000" w:rsidR="00000000" w:rsidRPr="00000000">
        <w:rPr>
          <w:rtl w:val="0"/>
        </w:rPr>
      </w:r>
    </w:p>
    <w:p w:rsidR="00000000" w:rsidDel="00000000" w:rsidP="00000000" w:rsidRDefault="00000000" w:rsidRPr="00000000" w14:paraId="000000A1">
      <w:pPr>
        <w:widowControl w:val="1"/>
        <w:spacing w:after="0" w:before="0" w:line="360" w:lineRule="auto"/>
        <w:ind w:left="141.73228346456676" w:hanging="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Ahora bien, pese a que la sentencia del caso Sergio Urrego está cumplió 10 años de su expedición, las personas LGBTIQ+ continúan enfrentando barreras en el sector educativo, como se observa en la Sentencia T-529 de 2024, en la que el alto Tribunal analiza el caso de Rubén</w:t>
      </w:r>
      <w:r w:rsidDel="00000000" w:rsidR="00000000" w:rsidRPr="00000000">
        <w:rPr>
          <w:rFonts w:ascii="Times New Roman" w:cs="Times New Roman" w:eastAsia="Times New Roman" w:hAnsi="Times New Roman"/>
          <w:vertAlign w:val="superscript"/>
        </w:rPr>
        <w:footnoteReference w:customMarkFollows="0" w:id="28"/>
      </w:r>
      <w:r w:rsidDel="00000000" w:rsidR="00000000" w:rsidRPr="00000000">
        <w:rPr>
          <w:rFonts w:ascii="Times New Roman" w:cs="Times New Roman" w:eastAsia="Times New Roman" w:hAnsi="Times New Roman"/>
          <w:rtl w:val="0"/>
        </w:rPr>
        <w:t xml:space="preserve"> llegando a la siguiente conclusión: </w:t>
      </w:r>
      <w:r w:rsidDel="00000000" w:rsidR="00000000" w:rsidRPr="00000000">
        <w:rPr>
          <w:rFonts w:ascii="Times New Roman" w:cs="Times New Roman" w:eastAsia="Times New Roman" w:hAnsi="Times New Roman"/>
          <w:i w:val="1"/>
          <w:rtl w:val="0"/>
        </w:rPr>
        <w:t xml:space="preserve">“como consecuencia de la cancelación inicial de la matrícula académica y su posterior reintegro bajo una modalidad “semiescolarizada”, previa presentación de disculpas y condicionado gestionar la eliminación del video de denuncia, por presunta infracción disciplinaria de “injuria y calumnia” establecida en el Manual de Convivencia, el Colegio vulneró los derechos del accionante a la libertad de expresión y a defender los derechos humanos. (...) la Secretaría de Educación incumplió sus deberes constitucionales y legales al promover y encontrar como solución a esta situación una modalidad educativa que no garantizaba espacios pluralistas y respetuosos de la orientación sexual de los estudiantes, perpetuando así la discriminación y la violencia simbólica hacia una población vulnerable, sin asegurar la adecuada prestación del servicio educativo”. </w:t>
      </w:r>
      <w:r w:rsidDel="00000000" w:rsidR="00000000" w:rsidRPr="00000000">
        <w:rPr>
          <w:rFonts w:ascii="Times New Roman" w:cs="Times New Roman" w:eastAsia="Times New Roman" w:hAnsi="Times New Roman"/>
          <w:rtl w:val="0"/>
        </w:rPr>
        <w:t xml:space="preserve"> Con lo que es evidente la necesidad de contar con recomendaciones específicas en relación con el derecho a la educación para personas LGBTIQ+.</w:t>
      </w:r>
    </w:p>
    <w:p w:rsidR="00000000" w:rsidDel="00000000" w:rsidP="00000000" w:rsidRDefault="00000000" w:rsidRPr="00000000" w14:paraId="000000A3">
      <w:pPr>
        <w:widowControl w:val="1"/>
        <w:spacing w:after="0" w:before="0" w:line="36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4">
      <w:pPr>
        <w:widowControl w:val="1"/>
        <w:spacing w:after="0" w:before="0" w:line="360" w:lineRule="auto"/>
        <w:ind w:firstLine="72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RECOMENDACIONES:</w:t>
      </w:r>
    </w:p>
    <w:p w:rsidR="00000000" w:rsidDel="00000000" w:rsidP="00000000" w:rsidRDefault="00000000" w:rsidRPr="00000000" w14:paraId="000000A5">
      <w:pPr>
        <w:widowControl w:val="1"/>
        <w:numPr>
          <w:ilvl w:val="0"/>
          <w:numId w:val="5"/>
        </w:numPr>
        <w:spacing w:after="0" w:before="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acuerdo con los anterior se solicita al Comité DESC recomendar al Estado que:</w:t>
      </w:r>
    </w:p>
    <w:p w:rsidR="00000000" w:rsidDel="00000000" w:rsidP="00000000" w:rsidRDefault="00000000" w:rsidRPr="00000000" w14:paraId="000000A6">
      <w:pPr>
        <w:widowControl w:val="1"/>
        <w:numPr>
          <w:ilvl w:val="0"/>
          <w:numId w:val="1"/>
        </w:numPr>
        <w:spacing w:after="0" w:before="0" w:line="360" w:lineRule="auto"/>
        <w:ind w:left="566.9291338582677"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Establezca acciones concretas de seguimiento regular a las instituciones educativas, para prevenir el acoso escolar y universitario, en particular aquel basado en género, orientación sexual, e identidad y expresión de género (OSIEG). En particular a través de las entidades que ejercen inspección y vigilancia. </w:t>
      </w:r>
    </w:p>
    <w:p w:rsidR="00000000" w:rsidDel="00000000" w:rsidP="00000000" w:rsidRDefault="00000000" w:rsidRPr="00000000" w14:paraId="000000A7">
      <w:pPr>
        <w:widowControl w:val="1"/>
        <w:numPr>
          <w:ilvl w:val="0"/>
          <w:numId w:val="1"/>
        </w:numPr>
        <w:spacing w:after="0" w:before="0" w:line="360" w:lineRule="auto"/>
        <w:ind w:left="566.9291338582677"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Promueva el ingreso y permanencia de la población LGBTIQ+ en todos los niveles educativos, de igual manera, se creen mesas de trabajo interinstitucionales que permitan de cumplimiento a la jurisprudencia de la Corte Constitucional en materia de educación y personas LGBTIQ+, en particular la Sentencia T-478 de 2015 como también en la implementación de la Ley 1620 de 2013 y el Decreto 1965.</w:t>
      </w:r>
      <w:r w:rsidDel="00000000" w:rsidR="00000000" w:rsidRPr="00000000">
        <w:rPr>
          <w:rtl w:val="0"/>
        </w:rPr>
      </w:r>
    </w:p>
    <w:p w:rsidR="00000000" w:rsidDel="00000000" w:rsidP="00000000" w:rsidRDefault="00000000" w:rsidRPr="00000000" w14:paraId="000000A8">
      <w:pPr>
        <w:pStyle w:val="Heading1"/>
        <w:spacing w:line="360" w:lineRule="auto"/>
        <w:ind w:left="720" w:firstLine="0"/>
        <w:rPr>
          <w:rFonts w:ascii="Times New Roman" w:cs="Times New Roman" w:eastAsia="Times New Roman" w:hAnsi="Times New Roman"/>
          <w:b w:val="1"/>
          <w:sz w:val="22"/>
          <w:szCs w:val="22"/>
        </w:rPr>
      </w:pPr>
      <w:bookmarkStart w:colFirst="0" w:colLast="0" w:name="_lx7icsf8u5w3" w:id="2"/>
      <w:bookmarkEnd w:id="2"/>
      <w:r w:rsidDel="00000000" w:rsidR="00000000" w:rsidRPr="00000000">
        <w:rPr>
          <w:rFonts w:ascii="Times New Roman" w:cs="Times New Roman" w:eastAsia="Times New Roman" w:hAnsi="Times New Roman"/>
          <w:b w:val="1"/>
          <w:sz w:val="22"/>
          <w:szCs w:val="22"/>
          <w:rtl w:val="0"/>
        </w:rPr>
        <w:t xml:space="preserve">IV. Derechos culturales </w:t>
      </w:r>
      <w:r w:rsidDel="00000000" w:rsidR="00000000" w:rsidRPr="00000000">
        <w:rPr>
          <w:rFonts w:ascii="Times New Roman" w:cs="Times New Roman" w:eastAsia="Times New Roman" w:hAnsi="Times New Roman"/>
          <w:b w:val="1"/>
          <w:sz w:val="22"/>
          <w:szCs w:val="22"/>
          <w:rtl w:val="0"/>
        </w:rPr>
        <w:t xml:space="preserve">(Artículo 15 PIDESC)</w:t>
      </w:r>
      <w:r w:rsidDel="00000000" w:rsidR="00000000" w:rsidRPr="00000000">
        <w:rPr>
          <w:rtl w:val="0"/>
        </w:rPr>
      </w:r>
    </w:p>
    <w:p w:rsidR="00000000" w:rsidDel="00000000" w:rsidP="00000000" w:rsidRDefault="00000000" w:rsidRPr="00000000" w14:paraId="000000A9">
      <w:pPr>
        <w:pStyle w:val="Heading1"/>
        <w:numPr>
          <w:ilvl w:val="0"/>
          <w:numId w:val="5"/>
        </w:numPr>
        <w:spacing w:line="360" w:lineRule="auto"/>
        <w:ind w:left="141.73228346456676" w:hanging="360"/>
        <w:rPr>
          <w:rFonts w:ascii="Arial Narrow" w:cs="Arial Narrow" w:eastAsia="Arial Narrow" w:hAnsi="Arial Narrow"/>
          <w:sz w:val="22"/>
          <w:szCs w:val="22"/>
        </w:rPr>
      </w:pPr>
      <w:bookmarkStart w:colFirst="0" w:colLast="0" w:name="_kvdu10kusfac" w:id="3"/>
      <w:bookmarkEnd w:id="3"/>
      <w:r w:rsidDel="00000000" w:rsidR="00000000" w:rsidRPr="00000000">
        <w:rPr>
          <w:rFonts w:ascii="Times New Roman" w:cs="Times New Roman" w:eastAsia="Times New Roman" w:hAnsi="Times New Roman"/>
          <w:b w:val="1"/>
          <w:sz w:val="22"/>
          <w:szCs w:val="22"/>
          <w:rtl w:val="0"/>
        </w:rPr>
        <w:t xml:space="preserve"> </w:t>
      </w:r>
      <w:r w:rsidDel="00000000" w:rsidR="00000000" w:rsidRPr="00000000">
        <w:rPr>
          <w:rFonts w:ascii="Times New Roman" w:cs="Times New Roman" w:eastAsia="Times New Roman" w:hAnsi="Times New Roman"/>
          <w:sz w:val="22"/>
          <w:szCs w:val="22"/>
          <w:rtl w:val="0"/>
        </w:rPr>
        <w:t xml:space="preserve">De conformidad lo establecido en el artículo 15 del pacto sobre el derecho a la participación de todas las personas en la vida cultural, así como lo expuesto en la observación general No.21 de este Comité</w:t>
      </w:r>
      <w:r w:rsidDel="00000000" w:rsidR="00000000" w:rsidRPr="00000000">
        <w:rPr>
          <w:rFonts w:ascii="Times New Roman" w:cs="Times New Roman" w:eastAsia="Times New Roman" w:hAnsi="Times New Roman"/>
          <w:sz w:val="22"/>
          <w:szCs w:val="22"/>
          <w:vertAlign w:val="superscript"/>
        </w:rPr>
        <w:footnoteReference w:customMarkFollows="0" w:id="29"/>
      </w:r>
      <w:r w:rsidDel="00000000" w:rsidR="00000000" w:rsidRPr="00000000">
        <w:rPr>
          <w:rFonts w:ascii="Times New Roman" w:cs="Times New Roman" w:eastAsia="Times New Roman" w:hAnsi="Times New Roman"/>
          <w:sz w:val="22"/>
          <w:szCs w:val="22"/>
          <w:rtl w:val="0"/>
        </w:rPr>
        <w:t xml:space="preserve"> en la que se reconoce que en el caso de las minorías esta participación debe ser efectiva y en igualdad de condiciones con las demás personas, en particular se expresa que “La decisión de una persona de ejercer o no el derecho de participar en la vida cultural individualmente o en asociación con otras es una elección cultural y, por tanto, debe ser reconocida, respetada y protegida en pie de igualdad”</w:t>
      </w:r>
      <w:r w:rsidDel="00000000" w:rsidR="00000000" w:rsidRPr="00000000">
        <w:rPr>
          <w:rFonts w:ascii="Times New Roman" w:cs="Times New Roman" w:eastAsia="Times New Roman" w:hAnsi="Times New Roman"/>
          <w:sz w:val="22"/>
          <w:szCs w:val="22"/>
          <w:vertAlign w:val="superscript"/>
        </w:rPr>
        <w:footnoteReference w:customMarkFollows="0" w:id="30"/>
      </w:r>
      <w:r w:rsidDel="00000000" w:rsidR="00000000" w:rsidRPr="00000000">
        <w:rPr>
          <w:rFonts w:ascii="Times New Roman" w:cs="Times New Roman" w:eastAsia="Times New Roman" w:hAnsi="Times New Roman"/>
          <w:sz w:val="22"/>
          <w:szCs w:val="22"/>
          <w:rtl w:val="0"/>
        </w:rPr>
        <w:t xml:space="preserve">. Y aunque no se ha hecho mención expresa de la participación de las personas LGBTIQ+ en virtud de la exclusión histórica de esta población que se refuerza justamente en la invisibilización de los aportes a la cultura, entendida como expresiones artísticas, de vestuario, musicales; así como las declaraciones y reconocimiento de las tradiciones como Patrimonio Cultural Inmaterial de la Humanidad por la UNESCO, se pida al Estado colombiano desarrollar las acciones que aseguren la participación de las personas LGBTIQ+ en estos eventos culturales.</w:t>
      </w:r>
    </w:p>
    <w:p w:rsidR="00000000" w:rsidDel="00000000" w:rsidP="00000000" w:rsidRDefault="00000000" w:rsidRPr="00000000" w14:paraId="000000AA">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B">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 de señalar que en el informe presentado por el Estado colombiano en cuanto a los derechos culturales</w:t>
      </w:r>
      <w:r w:rsidDel="00000000" w:rsidR="00000000" w:rsidRPr="00000000">
        <w:rPr>
          <w:rFonts w:ascii="Times New Roman" w:cs="Times New Roman" w:eastAsia="Times New Roman" w:hAnsi="Times New Roman"/>
          <w:vertAlign w:val="superscript"/>
        </w:rPr>
        <w:footnoteReference w:customMarkFollows="0" w:id="31"/>
      </w:r>
      <w:r w:rsidDel="00000000" w:rsidR="00000000" w:rsidRPr="00000000">
        <w:rPr>
          <w:rFonts w:ascii="Times New Roman" w:cs="Times New Roman" w:eastAsia="Times New Roman" w:hAnsi="Times New Roman"/>
          <w:rtl w:val="0"/>
        </w:rPr>
        <w:t xml:space="preserve"> las personas LGBTIQ+ no están presentes de manera independiente o expresa como sí lo están otras poblaciones</w:t>
      </w:r>
      <w:r w:rsidDel="00000000" w:rsidR="00000000" w:rsidRPr="00000000">
        <w:rPr>
          <w:rFonts w:ascii="Times New Roman" w:cs="Times New Roman" w:eastAsia="Times New Roman" w:hAnsi="Times New Roman"/>
          <w:vertAlign w:val="superscript"/>
        </w:rPr>
        <w:footnoteReference w:customMarkFollows="0" w:id="32"/>
      </w:r>
      <w:r w:rsidDel="00000000" w:rsidR="00000000" w:rsidRPr="00000000">
        <w:rPr>
          <w:rFonts w:ascii="Times New Roman" w:cs="Times New Roman" w:eastAsia="Times New Roman" w:hAnsi="Times New Roman"/>
          <w:rtl w:val="0"/>
        </w:rPr>
        <w:t xml:space="preserve">. Situación que evidencia la necesidad de contar con recomendaciones expresas en relación con esta población cuya violencia y prejuicios tienen como principal campo para su sostenimiento y reproducción el ámbito cultural. </w:t>
      </w:r>
      <w:r w:rsidDel="00000000" w:rsidR="00000000" w:rsidRPr="00000000">
        <w:rPr>
          <w:rtl w:val="0"/>
        </w:rPr>
      </w:r>
    </w:p>
    <w:p w:rsidR="00000000" w:rsidDel="00000000" w:rsidP="00000000" w:rsidRDefault="00000000" w:rsidRPr="00000000" w14:paraId="000000AC">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D">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Para el caso de Colombia, la UNESCO con el fin de que se protejan y preserven las tradiciones relativas a la naturaleza y el universo, y saberes y técnicas propias de un país, a la fecha de acuerdo con el Ministerio de Cultura se han declarado 13 elementos como Patrimonio Cultural Inmaterial de la Humanidad</w:t>
      </w:r>
      <w:r w:rsidDel="00000000" w:rsidR="00000000" w:rsidRPr="00000000">
        <w:rPr>
          <w:rFonts w:ascii="Times New Roman" w:cs="Times New Roman" w:eastAsia="Times New Roman" w:hAnsi="Times New Roman"/>
          <w:vertAlign w:val="superscript"/>
        </w:rPr>
        <w:footnoteReference w:customMarkFollows="0" w:id="33"/>
      </w:r>
      <w:r w:rsidDel="00000000" w:rsidR="00000000" w:rsidRPr="00000000">
        <w:rPr>
          <w:rFonts w:ascii="Times New Roman" w:cs="Times New Roman" w:eastAsia="Times New Roman" w:hAnsi="Times New Roman"/>
          <w:rtl w:val="0"/>
        </w:rPr>
        <w:t xml:space="preserve">, entre las cuales cabe destacar el Carnaval de Barranquilla, Carnaval de Negros y Blancos, la fiesta de San Francisco de Asís. Elementos, en los que aunque es de público conocimiento el aporte que realizan las personas LGBTIQ+, su vinculación se realiza de manera segregada, sin que exista garantía de su participación ya que está se encuentra condicionada a la buena voluntad de quienes administran la realización de los eventos o que les permitan participar en los actos preparativos, pero sin un reconocimiento expreso o visible para la comunidad o para la distribución de los recursos a través de los que el estado financia dichas expresiones culturales.</w:t>
      </w:r>
    </w:p>
    <w:p w:rsidR="00000000" w:rsidDel="00000000" w:rsidP="00000000" w:rsidRDefault="00000000" w:rsidRPr="00000000" w14:paraId="000000AE">
      <w:pPr>
        <w:spacing w:line="360" w:lineRule="auto"/>
        <w:ind w:left="141.73228346456676" w:hanging="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F">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particular sobre esta participación, a modo de ejemplo, Colombia Diversa documentó la forma en que cada año la población LGBTIQ+ lucha por su participación en las fiestas de San Francisco de Asís</w:t>
      </w:r>
      <w:r w:rsidDel="00000000" w:rsidR="00000000" w:rsidRPr="00000000">
        <w:rPr>
          <w:rFonts w:ascii="Times New Roman" w:cs="Times New Roman" w:eastAsia="Times New Roman" w:hAnsi="Times New Roman"/>
          <w:vertAlign w:val="superscript"/>
        </w:rPr>
        <w:footnoteReference w:customMarkFollows="0" w:id="34"/>
      </w:r>
      <w:r w:rsidDel="00000000" w:rsidR="00000000" w:rsidRPr="00000000">
        <w:rPr>
          <w:rFonts w:ascii="Times New Roman" w:cs="Times New Roman" w:eastAsia="Times New Roman" w:hAnsi="Times New Roman"/>
          <w:rtl w:val="0"/>
        </w:rPr>
        <w:t xml:space="preserve">; ello, no obstante, haber sido tenida en cuenta como parte de la expresión de la diversidad de dicho elemento cultural por la UNESCO al momento de declararla Patrimonio Cultural Inmaterial de la Humanidad</w:t>
      </w:r>
      <w:r w:rsidDel="00000000" w:rsidR="00000000" w:rsidRPr="00000000">
        <w:rPr>
          <w:rFonts w:ascii="Times New Roman" w:cs="Times New Roman" w:eastAsia="Times New Roman" w:hAnsi="Times New Roman"/>
          <w:vertAlign w:val="superscript"/>
        </w:rPr>
        <w:footnoteReference w:customMarkFollows="0" w:id="35"/>
      </w:r>
      <w:r w:rsidDel="00000000" w:rsidR="00000000" w:rsidRPr="00000000">
        <w:rPr>
          <w:rFonts w:ascii="Times New Roman" w:cs="Times New Roman" w:eastAsia="Times New Roman" w:hAnsi="Times New Roman"/>
          <w:rtl w:val="0"/>
        </w:rPr>
        <w:t xml:space="preserve">. De igual forma, a través de las consultas que ha recibido Colombia Diversa, se han conocido situaciones en las que se cuestiona o restringe el ingreso de las personas por motivo de la orientación sexual o identidad de género percibida en eventos públicos o escenarios públicos, así como que en algunos casos las autoridades han dispuesto presupuesto para la promoción de derechos de las personas LGBTIQ+ que al finalizar su gestión no son ejecutados o se les restringe únicamente a actividades estereotipadas como desfiles o reinados.</w:t>
      </w:r>
    </w:p>
    <w:p w:rsidR="00000000" w:rsidDel="00000000" w:rsidP="00000000" w:rsidRDefault="00000000" w:rsidRPr="00000000" w14:paraId="000000B0">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 de señalar que si bien en el 2025 se ha publicó el CONPES 4147 de Política Nacional para la Garantía de los Derechos de la Población LGBTIQ+ que en sus contenido reconoce expresamente la tensión que existe entre las concepciones culturales y creencias colectivas con los reconocimientos de los derechos de las personas LGBTQ+ es importante hacer el seguimiento a su implementación.</w:t>
      </w:r>
    </w:p>
    <w:p w:rsidR="00000000" w:rsidDel="00000000" w:rsidP="00000000" w:rsidRDefault="00000000" w:rsidRPr="00000000" w14:paraId="000000B2">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spacing w:line="360" w:lineRule="auto"/>
        <w:ind w:firstLine="72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RECOMENDACIONES</w:t>
      </w:r>
    </w:p>
    <w:p w:rsidR="00000000" w:rsidDel="00000000" w:rsidP="00000000" w:rsidRDefault="00000000" w:rsidRPr="00000000" w14:paraId="000000B4">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  por esto  que le solicitamos al Comité DESC considerar realizar las siguientes recomendaciones:</w:t>
      </w:r>
    </w:p>
    <w:p w:rsidR="00000000" w:rsidDel="00000000" w:rsidP="00000000" w:rsidRDefault="00000000" w:rsidRPr="00000000" w14:paraId="000000B5">
      <w:pPr>
        <w:numPr>
          <w:ilvl w:val="0"/>
          <w:numId w:val="4"/>
        </w:numPr>
        <w:spacing w:line="360" w:lineRule="auto"/>
        <w:ind w:left="708.6614173228345"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Llevar a cabo una revisión y adecuación de las organizaciones de las fiestas culturales declaradas patrimonio inmaterial de la humanidad, a fin de que se garantice la participación de las personas LGBTIQ+.</w:t>
      </w:r>
    </w:p>
    <w:p w:rsidR="00000000" w:rsidDel="00000000" w:rsidP="00000000" w:rsidRDefault="00000000" w:rsidRPr="00000000" w14:paraId="000000B6">
      <w:pPr>
        <w:numPr>
          <w:ilvl w:val="0"/>
          <w:numId w:val="4"/>
        </w:numPr>
        <w:spacing w:line="360" w:lineRule="auto"/>
        <w:ind w:left="708.6614173228345"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Revisar y armonizar las bases de datos sobre la participación de las poblaciones en los eventos culturales promovidos a nivel tanto nacional como regional, de tal forma que incluya como variable a la población LGBTIQ+ en su carácter de gestora, participante o asistente.</w:t>
      </w:r>
    </w:p>
    <w:p w:rsidR="00000000" w:rsidDel="00000000" w:rsidP="00000000" w:rsidRDefault="00000000" w:rsidRPr="00000000" w14:paraId="000000B7">
      <w:pPr>
        <w:numPr>
          <w:ilvl w:val="0"/>
          <w:numId w:val="4"/>
        </w:numPr>
        <w:spacing w:line="360" w:lineRule="auto"/>
        <w:ind w:left="708.6614173228345"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Disponga los recursos necesarios para garantizar el efectivo cumplimiento de las acciones establecidas en el CONPES 4147 de 2025, en particular aquellas a cargo del Ministerio de las Culturas, las Artes y los Saberes.</w:t>
      </w:r>
    </w:p>
    <w:p w:rsidR="00000000" w:rsidDel="00000000" w:rsidP="00000000" w:rsidRDefault="00000000" w:rsidRPr="00000000" w14:paraId="000000B8">
      <w:pPr>
        <w:pStyle w:val="Heading1"/>
        <w:spacing w:line="360" w:lineRule="auto"/>
        <w:ind w:left="720" w:firstLine="0"/>
        <w:jc w:val="both"/>
        <w:rPr>
          <w:rFonts w:ascii="Times New Roman" w:cs="Times New Roman" w:eastAsia="Times New Roman" w:hAnsi="Times New Roman"/>
          <w:b w:val="1"/>
          <w:sz w:val="22"/>
          <w:szCs w:val="22"/>
        </w:rPr>
      </w:pPr>
      <w:bookmarkStart w:colFirst="0" w:colLast="0" w:name="_de6w5bm8mi6w" w:id="4"/>
      <w:bookmarkEnd w:id="4"/>
      <w:r w:rsidDel="00000000" w:rsidR="00000000" w:rsidRPr="00000000">
        <w:rPr>
          <w:rFonts w:ascii="Times New Roman" w:cs="Times New Roman" w:eastAsia="Times New Roman" w:hAnsi="Times New Roman"/>
          <w:b w:val="1"/>
          <w:sz w:val="22"/>
          <w:szCs w:val="22"/>
          <w:rtl w:val="0"/>
        </w:rPr>
        <w:t xml:space="preserve">V. </w:t>
      </w:r>
      <w:r w:rsidDel="00000000" w:rsidR="00000000" w:rsidRPr="00000000">
        <w:rPr>
          <w:rFonts w:ascii="Times New Roman" w:cs="Times New Roman" w:eastAsia="Times New Roman" w:hAnsi="Times New Roman"/>
          <w:b w:val="1"/>
          <w:sz w:val="22"/>
          <w:szCs w:val="22"/>
          <w:rtl w:val="0"/>
        </w:rPr>
        <w:t xml:space="preserve">Migración</w:t>
      </w:r>
    </w:p>
    <w:p w:rsidR="00000000" w:rsidDel="00000000" w:rsidP="00000000" w:rsidRDefault="00000000" w:rsidRPr="00000000" w14:paraId="000000B9">
      <w:pPr>
        <w:numPr>
          <w:ilvl w:val="0"/>
          <w:numId w:val="5"/>
        </w:numPr>
        <w:spacing w:after="0" w:afterAutospacing="0" w:before="240"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Estado colombiano, conforme al PIDESC, debe garantizar sin discriminación el acceso progresivo y efectivo a los derechos económicos, sociales y culturales, con obligaciones reforzadas para personas LGBTIQ+ en situación de movilidad humana, lo que exige políticas públicas y normativas con enfoque interseccional. Sin embargo, persisten dificultades en su integración efectiva en Colombia.</w:t>
      </w:r>
      <w:r w:rsidDel="00000000" w:rsidR="00000000" w:rsidRPr="00000000">
        <w:rPr>
          <w:rtl w:val="0"/>
        </w:rPr>
      </w:r>
    </w:p>
    <w:p w:rsidR="00000000" w:rsidDel="00000000" w:rsidP="00000000" w:rsidRDefault="00000000" w:rsidRPr="00000000" w14:paraId="000000BA">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documentó trato discriminatorio en la toma de datos biométricos cuando se exige que la expresión de género coincida con el sexo asignado al nacer (trato degradante).</w:t>
      </w:r>
      <w:r w:rsidDel="00000000" w:rsidR="00000000" w:rsidRPr="00000000">
        <w:rPr>
          <w:rFonts w:ascii="Times New Roman" w:cs="Times New Roman" w:eastAsia="Times New Roman" w:hAnsi="Times New Roman"/>
          <w:vertAlign w:val="superscript"/>
        </w:rPr>
        <w:footnoteReference w:customMarkFollows="0" w:id="36"/>
      </w:r>
      <w:r w:rsidDel="00000000" w:rsidR="00000000" w:rsidRPr="00000000">
        <w:rPr>
          <w:rFonts w:ascii="Times New Roman" w:cs="Times New Roman" w:eastAsia="Times New Roman" w:hAnsi="Times New Roman"/>
          <w:rtl w:val="0"/>
        </w:rPr>
        <w:t xml:space="preserve">. Aunque el Permiso por Protección Temporal (PPT) permite el cambio de nombre para población venezolana, existen barreras administrativas (exigencias no previstas, desconocimiento de funcionarios y notarías)</w:t>
      </w:r>
      <w:r w:rsidDel="00000000" w:rsidR="00000000" w:rsidRPr="00000000">
        <w:rPr>
          <w:rFonts w:ascii="Times New Roman" w:cs="Times New Roman" w:eastAsia="Times New Roman" w:hAnsi="Times New Roman"/>
          <w:vertAlign w:val="superscript"/>
        </w:rPr>
        <w:footnoteReference w:customMarkFollows="0" w:id="37"/>
      </w:r>
      <w:r w:rsidDel="00000000" w:rsidR="00000000" w:rsidRPr="00000000">
        <w:rPr>
          <w:rFonts w:ascii="Times New Roman" w:cs="Times New Roman" w:eastAsia="Times New Roman" w:hAnsi="Times New Roman"/>
          <w:rtl w:val="0"/>
        </w:rPr>
        <w:t xml:space="preserve">. A las personas trans de otros países  les han sido requeridos documentos imposibles de obtener (p. ej. actas con cambios registrales sobre el sexo o nombre que no son autorizados en el país de origen). Estas prácticas contradicen los recursos que, según el informe estatal (numeral 27 del artículo 2), se habrían destinado a mejorar la calidad de vida de comunidades diversas, pues no hay evidencia de impacto real en la eliminación de estas barreras.</w:t>
      </w:r>
    </w:p>
    <w:p w:rsidR="00000000" w:rsidDel="00000000" w:rsidP="00000000" w:rsidRDefault="00000000" w:rsidRPr="00000000" w14:paraId="000000BB">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esto se suma la desinformación sobre los trámites migratorios que pueden adelantar para regularizar su situación, la falta de acceso a asesoría jurídica</w:t>
      </w:r>
      <w:r w:rsidDel="00000000" w:rsidR="00000000" w:rsidRPr="00000000">
        <w:rPr>
          <w:rFonts w:ascii="Times New Roman" w:cs="Times New Roman" w:eastAsia="Times New Roman" w:hAnsi="Times New Roman"/>
          <w:vertAlign w:val="superscript"/>
        </w:rPr>
        <w:footnoteReference w:customMarkFollows="0" w:id="38"/>
      </w:r>
      <w:r w:rsidDel="00000000" w:rsidR="00000000" w:rsidRPr="00000000">
        <w:rPr>
          <w:rFonts w:ascii="Times New Roman" w:cs="Times New Roman" w:eastAsia="Times New Roman" w:hAnsi="Times New Roman"/>
          <w:rtl w:val="0"/>
        </w:rPr>
        <w:t xml:space="preserve">, la falta de capacitación del personal en temas relacionados con el enfoque diferencial en la atención a migrantes LGBTIQ+,  los gastos asociados a los trámites, incluidos los de transporte y las barreras que enfrentan posterior al cambio de los nombres en sus documentos de identidad para ajustarlo en otros contextos. </w:t>
      </w:r>
    </w:p>
    <w:p w:rsidR="00000000" w:rsidDel="00000000" w:rsidP="00000000" w:rsidRDefault="00000000" w:rsidRPr="00000000" w14:paraId="000000BC">
      <w:pPr>
        <w:spacing w:line="36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Colombia es posible solicitar el traspaso de visa, pero no por cambio de nombre o sexo</w:t>
      </w:r>
      <w:r w:rsidDel="00000000" w:rsidR="00000000" w:rsidRPr="00000000">
        <w:rPr>
          <w:rFonts w:ascii="Times New Roman" w:cs="Times New Roman" w:eastAsia="Times New Roman" w:hAnsi="Times New Roman"/>
          <w:vertAlign w:val="superscript"/>
        </w:rPr>
        <w:footnoteReference w:customMarkFollows="0" w:id="39"/>
      </w:r>
      <w:r w:rsidDel="00000000" w:rsidR="00000000" w:rsidRPr="00000000">
        <w:rPr>
          <w:rFonts w:ascii="Times New Roman" w:cs="Times New Roman" w:eastAsia="Times New Roman" w:hAnsi="Times New Roman"/>
          <w:rtl w:val="0"/>
        </w:rPr>
        <w:t xml:space="preserve">. lo que dificulta actualizar estos datos, pues se exige modificar la información en documentos del país de origen, algo imposible en contextos donde la diversidad sexual o de género es penalizada, incluso con la muerte</w:t>
      </w:r>
      <w:r w:rsidDel="00000000" w:rsidR="00000000" w:rsidRPr="00000000">
        <w:rPr>
          <w:rFonts w:ascii="Times New Roman" w:cs="Times New Roman" w:eastAsia="Times New Roman" w:hAnsi="Times New Roman"/>
          <w:vertAlign w:val="superscript"/>
        </w:rPr>
        <w:footnoteReference w:customMarkFollows="0" w:id="40"/>
      </w:r>
      <w:r w:rsidDel="00000000" w:rsidR="00000000" w:rsidRPr="00000000">
        <w:rPr>
          <w:rFonts w:ascii="Times New Roman" w:cs="Times New Roman" w:eastAsia="Times New Roman" w:hAnsi="Times New Roman"/>
          <w:rtl w:val="0"/>
        </w:rPr>
        <w:t xml:space="preserve">. A ello se suma el uso arbitrario de la facultad discrecional (numeral 40, art. 2 del informe estatal) para inadmitir visas de personas LGBTIQ+, con argumentos ambiguos o exigencias no previstas, encubriendo motivos discriminatorios. Esta práctica vulnera legalidad, igualdad, no discriminación y debido proceso, y contradice el propósito del ETPV de garantizar el goce efectivo de derechos.</w:t>
      </w:r>
      <w:r w:rsidDel="00000000" w:rsidR="00000000" w:rsidRPr="00000000">
        <w:rPr>
          <w:rFonts w:ascii="Times New Roman" w:cs="Times New Roman" w:eastAsia="Times New Roman" w:hAnsi="Times New Roman"/>
          <w:vertAlign w:val="superscript"/>
        </w:rPr>
        <w:footnoteReference w:customMarkFollows="0" w:id="41"/>
      </w:r>
      <w:r w:rsidDel="00000000" w:rsidR="00000000" w:rsidRPr="00000000">
        <w:rPr>
          <w:rtl w:val="0"/>
        </w:rPr>
      </w:r>
    </w:p>
    <w:p w:rsidR="00000000" w:rsidDel="00000000" w:rsidP="00000000" w:rsidRDefault="00000000" w:rsidRPr="00000000" w14:paraId="000000BE">
      <w:pPr>
        <w:spacing w:line="36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F">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acceso a la salud se ve limitado por la exigencia de estatus migratorio regular, lo que impide tratamientos continuos como hormonización o terapias para VIH. La falta de protocolos con enfoque diferencial y la imposición del nombre jurídico vulneran la identidad de personas trans migrantes, generando tratos degradantes. Adicionalmente, en espacios como refugio y albergues, debido a la falta de atención en salud, las personas trans se ven obligadas a reutilizar suministros médicos como jeringas, para continuar con tratamientos hormonales</w:t>
      </w:r>
      <w:r w:rsidDel="00000000" w:rsidR="00000000" w:rsidRPr="00000000">
        <w:rPr>
          <w:rFonts w:ascii="Times New Roman" w:cs="Times New Roman" w:eastAsia="Times New Roman" w:hAnsi="Times New Roman"/>
          <w:vertAlign w:val="superscript"/>
        </w:rPr>
        <w:footnoteReference w:customMarkFollows="0" w:id="42"/>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0">
      <w:pPr>
        <w:spacing w:line="36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falta de reconocimiento de identidad en documentos y las prácticas discriminatorias limitan el acceso de personas LGBTIQ+ migrantes a empleos formales, exponiéndolas a explotación y exigencias arbitrarias en contratación y vivienda. En educación, los requisitos documentales que no reflejan su identidad de género aumentan el riesgo de exclusión, violencia y deserción, y en vivienda se registran rechazos y expulsiones por prejuicio.</w:t>
      </w:r>
    </w:p>
    <w:p w:rsidR="00000000" w:rsidDel="00000000" w:rsidP="00000000" w:rsidRDefault="00000000" w:rsidRPr="00000000" w14:paraId="000000C2">
      <w:pPr>
        <w:spacing w:line="36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albergues y refugios, personas migrantes LGBTIQ+ deben ocultar su orientación o identidad para ser admitidas, en contradicción con normas antidiscriminación</w:t>
      </w:r>
      <w:r w:rsidDel="00000000" w:rsidR="00000000" w:rsidRPr="00000000">
        <w:rPr>
          <w:rFonts w:ascii="Times New Roman" w:cs="Times New Roman" w:eastAsia="Times New Roman" w:hAnsi="Times New Roman"/>
          <w:vertAlign w:val="superscript"/>
        </w:rPr>
        <w:footnoteReference w:customMarkFollows="0" w:id="43"/>
      </w:r>
      <w:r w:rsidDel="00000000" w:rsidR="00000000" w:rsidRPr="00000000">
        <w:rPr>
          <w:rFonts w:ascii="Times New Roman" w:cs="Times New Roman" w:eastAsia="Times New Roman" w:hAnsi="Times New Roman"/>
          <w:rtl w:val="0"/>
        </w:rPr>
        <w:t xml:space="preserve">.Se ha negado el ingreso a hombres gays por ser “hombres solos” sin atender el riesgo que representa para aquellos que tienen una expresión de género femenina y mujeres trans han sido ubicadas en zonas masculinas, sufriendo acoso y agresiones</w:t>
      </w:r>
      <w:r w:rsidDel="00000000" w:rsidR="00000000" w:rsidRPr="00000000">
        <w:rPr>
          <w:rFonts w:ascii="Times New Roman" w:cs="Times New Roman" w:eastAsia="Times New Roman" w:hAnsi="Times New Roman"/>
          <w:vertAlign w:val="superscript"/>
        </w:rPr>
        <w:footnoteReference w:customMarkFollows="0" w:id="44"/>
      </w:r>
      <w:r w:rsidDel="00000000" w:rsidR="00000000" w:rsidRPr="00000000">
        <w:rPr>
          <w:rFonts w:ascii="Times New Roman" w:cs="Times New Roman" w:eastAsia="Times New Roman" w:hAnsi="Times New Roman"/>
          <w:rtl w:val="0"/>
        </w:rPr>
        <w:t xml:space="preserve">. En la ruta del Darién, aunque no se negaba el ingreso a personas LGBTIQ+, tampoco se ofrecen medidas de protección específicas</w:t>
      </w:r>
      <w:r w:rsidDel="00000000" w:rsidR="00000000" w:rsidRPr="00000000">
        <w:rPr>
          <w:rFonts w:ascii="Times New Roman" w:cs="Times New Roman" w:eastAsia="Times New Roman" w:hAnsi="Times New Roman"/>
          <w:vertAlign w:val="superscript"/>
        </w:rPr>
        <w:footnoteReference w:customMarkFollows="0" w:id="45"/>
      </w:r>
      <w:r w:rsidDel="00000000" w:rsidR="00000000" w:rsidRPr="00000000">
        <w:rPr>
          <w:rFonts w:ascii="Times New Roman" w:cs="Times New Roman" w:eastAsia="Times New Roman" w:hAnsi="Times New Roman"/>
          <w:rtl w:val="0"/>
        </w:rPr>
        <w:t xml:space="preserve">.  En algunos casos, estos campamentos son controlados por grupos armados ilegales que no contemplan ningún protocolo de atención diferenciada.</w:t>
      </w:r>
      <w:r w:rsidDel="00000000" w:rsidR="00000000" w:rsidRPr="00000000">
        <w:rPr>
          <w:rFonts w:ascii="Times New Roman" w:cs="Times New Roman" w:eastAsia="Times New Roman" w:hAnsi="Times New Roman"/>
          <w:vertAlign w:val="superscript"/>
        </w:rPr>
        <w:footnoteReference w:customMarkFollows="0" w:id="46"/>
      </w:r>
      <w:r w:rsidDel="00000000" w:rsidR="00000000" w:rsidRPr="00000000">
        <w:rPr>
          <w:rtl w:val="0"/>
        </w:rPr>
      </w:r>
    </w:p>
    <w:p w:rsidR="00000000" w:rsidDel="00000000" w:rsidP="00000000" w:rsidRDefault="00000000" w:rsidRPr="00000000" w14:paraId="000000C4">
      <w:pPr>
        <w:spacing w:line="36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Aunque el Estado reporta acciones para prevenir violencias y promover diversidad, no se han implementado mecanismos concretos que garanticen protección integral y efectiva de personas migrantes LGBTIQ+, incumpliendo el PIDESC.</w:t>
      </w:r>
    </w:p>
    <w:p w:rsidR="00000000" w:rsidDel="00000000" w:rsidP="00000000" w:rsidRDefault="00000000" w:rsidRPr="00000000" w14:paraId="000000C6">
      <w:pPr>
        <w:spacing w:line="36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7">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el Catatumbo, una lideresa trans recibió amenazas que ponen en riesgo su integridad y podrían derivar en desplazamiento forzado por orientación sexual e identidad de género, evidenciando fallas en la implementación del Protocolo de Análisis de Riesgo para Mujeres Lideresas y Defensoras. La ausencia de un enfoque interseccional y el uso discriminatorio de la facultad discrecional implican incumplimientos a los arts. 2, 6, 7, 10, 12 y 13 del PIDESC. El informe estatal reconoce acciones generales hacia población LGBTI, pero no aborda obstáculos específicos de personas migrantes con orientaciones e identidades diversas, lo que impide garantizar igualdad sustantiva.</w:t>
      </w:r>
      <w:r w:rsidDel="00000000" w:rsidR="00000000" w:rsidRPr="00000000">
        <w:rPr>
          <w:rtl w:val="0"/>
        </w:rPr>
      </w:r>
    </w:p>
    <w:p w:rsidR="00000000" w:rsidDel="00000000" w:rsidP="00000000" w:rsidRDefault="00000000" w:rsidRPr="00000000" w14:paraId="000000C8">
      <w:pPr>
        <w:spacing w:line="360" w:lineRule="auto"/>
        <w:ind w:firstLine="72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C9">
      <w:pPr>
        <w:spacing w:line="360" w:lineRule="auto"/>
        <w:ind w:firstLine="72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RECOMENDACIONES</w:t>
      </w:r>
    </w:p>
    <w:p w:rsidR="00000000" w:rsidDel="00000000" w:rsidP="00000000" w:rsidRDefault="00000000" w:rsidRPr="00000000" w14:paraId="000000CA">
      <w:pPr>
        <w:numPr>
          <w:ilvl w:val="0"/>
          <w:numId w:val="5"/>
        </w:numPr>
        <w:spacing w:line="360" w:lineRule="auto"/>
        <w:ind w:left="141.73228346456676"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Reconociendo esta situaciones, le pedimos al Comité DESC recomendar al Estado que:</w:t>
      </w:r>
    </w:p>
    <w:p w:rsidR="00000000" w:rsidDel="00000000" w:rsidP="00000000" w:rsidRDefault="00000000" w:rsidRPr="00000000" w14:paraId="000000CB">
      <w:pPr>
        <w:numPr>
          <w:ilvl w:val="0"/>
          <w:numId w:val="2"/>
        </w:numPr>
        <w:spacing w:line="360" w:lineRule="auto"/>
        <w:ind w:left="708.6614173228345"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Implemente indicadores interseccionales para evaluar derechos económicos, sociales y culturales de personas LGBTIQ+ migrantes, incluyendo orientación sexual, identidad de género y estatus migratorio.</w:t>
      </w:r>
    </w:p>
    <w:p w:rsidR="00000000" w:rsidDel="00000000" w:rsidP="00000000" w:rsidRDefault="00000000" w:rsidRPr="00000000" w14:paraId="000000CC">
      <w:pPr>
        <w:numPr>
          <w:ilvl w:val="0"/>
          <w:numId w:val="2"/>
        </w:numPr>
        <w:spacing w:line="360" w:lineRule="auto"/>
        <w:ind w:left="708.6614173228345"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Realice la revisión y ajuste de normativas y protocolos para eliminar barreras discriminatorias para las personas migrantes provenientes de países en donde no se les reconocen derechos, con el fin de garantizar que disfruten de los derechos reconocidos en Colombia.</w:t>
      </w:r>
    </w:p>
    <w:p w:rsidR="00000000" w:rsidDel="00000000" w:rsidP="00000000" w:rsidRDefault="00000000" w:rsidRPr="00000000" w14:paraId="000000CD">
      <w:pPr>
        <w:numPr>
          <w:ilvl w:val="0"/>
          <w:numId w:val="2"/>
        </w:numPr>
        <w:spacing w:line="360" w:lineRule="auto"/>
        <w:ind w:left="283.46456692913387"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Organice programas de formación continua a funcionarios públicos en los que tenga como eje los derechos de las personas LGBTIQ+ así como la forma de garantizar una atención respetuosa de acuerdo con sus necesidades, en particular en contextos de crisis.</w:t>
      </w:r>
    </w:p>
    <w:p w:rsidR="00000000" w:rsidDel="00000000" w:rsidP="00000000" w:rsidRDefault="00000000" w:rsidRPr="00000000" w14:paraId="000000CE">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F">
      <w:pPr>
        <w:spacing w:line="360" w:lineRule="auto"/>
        <w:jc w:val="both"/>
        <w:rPr>
          <w:rFonts w:ascii="Times New Roman" w:cs="Times New Roman" w:eastAsia="Times New Roman" w:hAnsi="Times New Roman"/>
        </w:rPr>
      </w:pPr>
      <w:r w:rsidDel="00000000" w:rsidR="00000000" w:rsidRPr="00000000">
        <w:rPr>
          <w:rtl w:val="0"/>
        </w:rPr>
      </w:r>
    </w:p>
    <w:sectPr>
      <w:headerReference r:id="rId7" w:type="default"/>
      <w:footerReference r:id="rId8" w:type="default"/>
      <w:pgSz w:h="16834" w:w="11909" w:orient="portrait"/>
      <w:pgMar w:bottom="1440" w:top="1984.2519685039365" w:left="1417.3228346456694"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5">
    <w:p w:rsidR="00000000" w:rsidDel="00000000" w:rsidP="00000000" w:rsidRDefault="00000000" w:rsidRPr="00000000" w14:paraId="000000D1">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18"/>
          <w:szCs w:val="18"/>
          <w:highlight w:val="white"/>
          <w:rtl w:val="0"/>
        </w:rPr>
        <w:t xml:space="preserve">NACIONES UNIDAS. Comité De Derechos Económicos, Sociales Y Culturales. Observación general 13: el derecho a la educación (artículo 13 del Pacto). 8 de diciembre de 1999. Disponible en internet:</w:t>
      </w:r>
      <w:hyperlink r:id="rId1">
        <w:r w:rsidDel="00000000" w:rsidR="00000000" w:rsidRPr="00000000">
          <w:rPr>
            <w:rFonts w:ascii="Arial Narrow" w:cs="Arial Narrow" w:eastAsia="Arial Narrow" w:hAnsi="Arial Narrow"/>
            <w:sz w:val="18"/>
            <w:szCs w:val="18"/>
            <w:highlight w:val="white"/>
            <w:rtl w:val="0"/>
          </w:rPr>
          <w:t xml:space="preserve"> </w:t>
        </w:r>
      </w:hyperlink>
      <w:hyperlink r:id="rId2">
        <w:r w:rsidDel="00000000" w:rsidR="00000000" w:rsidRPr="00000000">
          <w:rPr>
            <w:rFonts w:ascii="Arial Narrow" w:cs="Arial Narrow" w:eastAsia="Arial Narrow" w:hAnsi="Arial Narrow"/>
            <w:color w:val="1155cc"/>
            <w:sz w:val="18"/>
            <w:szCs w:val="18"/>
            <w:highlight w:val="white"/>
            <w:u w:val="single"/>
            <w:rtl w:val="0"/>
          </w:rPr>
          <w:t xml:space="preserve">http://tbinternet.ohchr.org/_layouts/treatybodyexternal/Download.aspx?symbolno=E%2fC.12%2f1999%2f10&amp;Lang=en</w:t>
        </w:r>
      </w:hyperlink>
      <w:r w:rsidDel="00000000" w:rsidR="00000000" w:rsidRPr="00000000">
        <w:rPr>
          <w:rtl w:val="0"/>
        </w:rPr>
      </w:r>
    </w:p>
  </w:footnote>
  <w:footnote w:id="26">
    <w:p w:rsidR="00000000" w:rsidDel="00000000" w:rsidP="00000000" w:rsidRDefault="00000000" w:rsidRPr="00000000" w14:paraId="000000D2">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COLOMBIA, Ministerio de Educación Nacional. Decreto 1965 de 2013. “Artículo 40. Clasificación de las situaciones. Las situaciones que afectan la convivencia escolar y el ejercicio de los derechos humanos, sexuales y reproductivos, se clasifican en tres tipos: 1. Situaciones Tipo I. Corresponden a este tipo los conflictos manejados inadecuadamente y aquellas situaciones esporádicas que inciden negativamente en el clima escolar, y que en ningún caso generan daños al cuerpo o a la salud. 2. Situaciones Tipo II. Corresponden a este tipo las situaciones de agresión escolar, acoso escolar (bullying) y ciberacoso (Ciberbullying), que no revistan las características de la comisión de un delito y que cumplan con cualquiera de las siguientes características: a) Que se presenten de manera repetida o sistemática; b) Que causen daños al cuerpo o a la salud sin generar incapacidad alguna para cualquiera de los involucrados. 3. Situaciones Tipo III. Corresponden a este tipo las situaciones de agresión escolar que sean constitutivas de presuntos delitos contra la libertad, integridad y formación sexual, referidos en el Título IV del Libro II de la Ley 599 de 2000, o cuando constituyen cualquier otro delito establecido en la ley penal colombiana vigente.”</w:t>
      </w:r>
    </w:p>
  </w:footnote>
  <w:footnote w:id="27">
    <w:p w:rsidR="00000000" w:rsidDel="00000000" w:rsidP="00000000" w:rsidRDefault="00000000" w:rsidRPr="00000000" w14:paraId="000000D3">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COLOMBIA, Corte Constitucional. Sentencia T-478 de 2015. M.P: Gloria Stella Ortiz. Disponible en: https://www.corteconstitucional.gov.co/relatoria/2015/t-478-15.htm</w:t>
      </w:r>
      <w:r w:rsidDel="00000000" w:rsidR="00000000" w:rsidRPr="00000000">
        <w:rPr>
          <w:rtl w:val="0"/>
        </w:rPr>
      </w:r>
    </w:p>
  </w:footnote>
  <w:footnote w:id="11">
    <w:p w:rsidR="00000000" w:rsidDel="00000000" w:rsidP="00000000" w:rsidRDefault="00000000" w:rsidRPr="00000000" w14:paraId="000000D4">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Pacto Internacional de Derechos Económicos, Sociales y Culturales. Artículo 2, párrafo 2.</w:t>
      </w:r>
    </w:p>
  </w:footnote>
  <w:footnote w:id="12">
    <w:p w:rsidR="00000000" w:rsidDel="00000000" w:rsidP="00000000" w:rsidRDefault="00000000" w:rsidRPr="00000000" w14:paraId="000000D5">
      <w:pPr>
        <w:spacing w:line="240" w:lineRule="auto"/>
        <w:rPr>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Pacto Internacional de Derechos Económicos, Sociales y Culturales. Artículo 12. </w:t>
      </w:r>
      <w:r w:rsidDel="00000000" w:rsidR="00000000" w:rsidRPr="00000000">
        <w:rPr>
          <w:sz w:val="18"/>
          <w:szCs w:val="18"/>
          <w:rtl w:val="0"/>
        </w:rPr>
        <w:t xml:space="preserve"> </w:t>
      </w:r>
    </w:p>
  </w:footnote>
  <w:footnote w:id="13">
    <w:p w:rsidR="00000000" w:rsidDel="00000000" w:rsidP="00000000" w:rsidRDefault="00000000" w:rsidRPr="00000000" w14:paraId="000000D6">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Comité de Derechos Económicos, Sociales y Culturales de las Naciones Unidas, </w:t>
      </w:r>
      <w:r w:rsidDel="00000000" w:rsidR="00000000" w:rsidRPr="00000000">
        <w:rPr>
          <w:rFonts w:ascii="Arial Narrow" w:cs="Arial Narrow" w:eastAsia="Arial Narrow" w:hAnsi="Arial Narrow"/>
          <w:i w:val="1"/>
          <w:sz w:val="18"/>
          <w:szCs w:val="18"/>
          <w:rtl w:val="0"/>
        </w:rPr>
        <w:t xml:space="preserve">Observación General Nº 14: El derecho al disfrute del más alto nivel posible de salud (art. 12 del Pacto Internacional de Derechos Económicos, Sociales y Culturales)</w:t>
      </w:r>
      <w:r w:rsidDel="00000000" w:rsidR="00000000" w:rsidRPr="00000000">
        <w:rPr>
          <w:rFonts w:ascii="Arial Narrow" w:cs="Arial Narrow" w:eastAsia="Arial Narrow" w:hAnsi="Arial Narrow"/>
          <w:sz w:val="18"/>
          <w:szCs w:val="18"/>
          <w:rtl w:val="0"/>
        </w:rPr>
        <w:t xml:space="preserve">, Doc. ONU E/C.12/2000/4, adoptada el 11 de agosto de 2000.</w:t>
      </w:r>
    </w:p>
  </w:footnote>
  <w:footnote w:id="14">
    <w:p w:rsidR="00000000" w:rsidDel="00000000" w:rsidP="00000000" w:rsidRDefault="00000000" w:rsidRPr="00000000" w14:paraId="000000D7">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Ibidem. </w:t>
      </w:r>
    </w:p>
  </w:footnote>
  <w:footnote w:id="28">
    <w:p w:rsidR="00000000" w:rsidDel="00000000" w:rsidP="00000000" w:rsidRDefault="00000000" w:rsidRPr="00000000" w14:paraId="000000D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Nombre modificado por la Corte Constitucional para reservar la institución del NNA involucrado en el caso.</w:t>
      </w:r>
    </w:p>
  </w:footnote>
  <w:footnote w:id="2">
    <w:p w:rsidR="00000000" w:rsidDel="00000000" w:rsidP="00000000" w:rsidRDefault="00000000" w:rsidRPr="00000000" w14:paraId="000000D9">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Este informe fue elaborado por el equipo de Incidencia y Litigio de Colombia Diversa. Para más información sobre nuestra organización visite la página web</w:t>
      </w:r>
      <w:hyperlink r:id="rId3">
        <w:r w:rsidDel="00000000" w:rsidR="00000000" w:rsidRPr="00000000">
          <w:rPr>
            <w:rFonts w:ascii="Arial Narrow" w:cs="Arial Narrow" w:eastAsia="Arial Narrow" w:hAnsi="Arial Narrow"/>
            <w:sz w:val="18"/>
            <w:szCs w:val="18"/>
            <w:rtl w:val="0"/>
          </w:rPr>
          <w:t xml:space="preserve"> </w:t>
        </w:r>
      </w:hyperlink>
      <w:hyperlink r:id="rId4">
        <w:r w:rsidDel="00000000" w:rsidR="00000000" w:rsidRPr="00000000">
          <w:rPr>
            <w:rFonts w:ascii="Arial Narrow" w:cs="Arial Narrow" w:eastAsia="Arial Narrow" w:hAnsi="Arial Narrow"/>
            <w:color w:val="0b4cb4"/>
            <w:sz w:val="18"/>
            <w:szCs w:val="18"/>
            <w:u w:val="single"/>
            <w:rtl w:val="0"/>
          </w:rPr>
          <w:t xml:space="preserve">www.colombiadiversa.org</w:t>
        </w:r>
      </w:hyperlink>
      <w:r w:rsidDel="00000000" w:rsidR="00000000" w:rsidRPr="00000000">
        <w:rPr>
          <w:rFonts w:ascii="Arial Narrow" w:cs="Arial Narrow" w:eastAsia="Arial Narrow" w:hAnsi="Arial Narrow"/>
          <w:sz w:val="18"/>
          <w:szCs w:val="18"/>
          <w:rtl w:val="0"/>
        </w:rPr>
        <w:t xml:space="preserve"> </w:t>
      </w:r>
    </w:p>
  </w:footnote>
  <w:footnote w:id="3">
    <w:p w:rsidR="00000000" w:rsidDel="00000000" w:rsidP="00000000" w:rsidRDefault="00000000" w:rsidRPr="00000000" w14:paraId="000000DA">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Departamento Nacional de Planeación. Disponible en: </w:t>
      </w:r>
      <w:hyperlink r:id="rId5">
        <w:r w:rsidDel="00000000" w:rsidR="00000000" w:rsidRPr="00000000">
          <w:rPr>
            <w:rFonts w:ascii="Arial Narrow" w:cs="Arial Narrow" w:eastAsia="Arial Narrow" w:hAnsi="Arial Narrow"/>
            <w:color w:val="1155cc"/>
            <w:sz w:val="18"/>
            <w:szCs w:val="18"/>
            <w:u w:val="single"/>
            <w:rtl w:val="0"/>
          </w:rPr>
          <w:t xml:space="preserve">https://colaboracion.dnp.gov.co/CDT/Conpes/Econ%C3%B3micos/4147.pdf</w:t>
        </w:r>
      </w:hyperlink>
      <w:r w:rsidDel="00000000" w:rsidR="00000000" w:rsidRPr="00000000">
        <w:rPr>
          <w:rtl w:val="0"/>
        </w:rPr>
      </w:r>
    </w:p>
  </w:footnote>
  <w:footnote w:id="4">
    <w:p w:rsidR="00000000" w:rsidDel="00000000" w:rsidP="00000000" w:rsidRDefault="00000000" w:rsidRPr="00000000" w14:paraId="000000DB">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Estos registros no son un reflejo exacto de las violencias en contra de la población LGBTIQ+ ya que existen múltiples barreras de subregistro o de un mal registro que impiden conocer las violencias a las cuales se enfrentan las mujeres lesbianas y bisexuales, así como los hombres bisexuales y trans. Por otro lado, hemos encontrado que los hombres gays suelen ser atacados con arma blanca y en sus viviendas, mientras que las mujeres trans suelen ser atacadas con arma de fuego, en el espacio público o en zonas de trabajo sexual. Además, las mujeres trans son las principales víctimas de violencia policial.</w:t>
      </w:r>
    </w:p>
    <w:p w:rsidR="00000000" w:rsidDel="00000000" w:rsidP="00000000" w:rsidRDefault="00000000" w:rsidRPr="00000000" w14:paraId="000000DC">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Los territorios donde se han registrado más violencias han sido Antioquia, Valle del Cauca y Bogotá D.C. El número de violencias en este territorio varía anualmente, sin embargo, se han mantenido como los tres territorios en donde se registra mayor violencia en contra de población LGBTIQ+. Este alto registro no significa que sean los territorios con más violencia, sino justamente en donde hay un mayor registro. Esto puede ocurrir por el alto número de habitantes totales por departamento y/o porque puede que estos tres departamentos tengan unas mejores prácticas en documentación y registro de la violencia en contra de la población LGBTIQ+, que el resto del país.</w:t>
      </w:r>
    </w:p>
  </w:footnote>
  <w:footnote w:id="6">
    <w:p w:rsidR="00000000" w:rsidDel="00000000" w:rsidP="00000000" w:rsidRDefault="00000000" w:rsidRPr="00000000" w14:paraId="000000DD">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Las anteriores cifras provienen de una triangulación de datos que realiza Colombia Diversa entre información oficial (provista por Medicina Legal, la Fiscalía General de Colombia, Defensoría del Pueblo, Policía Nacional, entre otras), medios de comunicación y denuncias de sociedad civil. Esta información es analizada y verificada y luego sistematizada de forma anual en informes de derechos humanos de Colombia Diversa. La información del año 2024 está en proceso de depuración. </w:t>
      </w:r>
    </w:p>
    <w:p w:rsidR="00000000" w:rsidDel="00000000" w:rsidP="00000000" w:rsidRDefault="00000000" w:rsidRPr="00000000" w14:paraId="000000DE">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Fuente: Colombia Diversa, Informes de DD.HH. 2017-2023.</w:t>
      </w:r>
    </w:p>
    <w:p w:rsidR="00000000" w:rsidDel="00000000" w:rsidP="00000000" w:rsidRDefault="00000000" w:rsidRPr="00000000" w14:paraId="000000DF">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(a) Ver: COLOMBIA DIVERSA, Informe sobre Violencia contra Personas LGBT en Colombia 2023: La realidad de la Discriminación, homicidios, violencia policial y amenazas. Disponible en:</w:t>
      </w:r>
      <w:hyperlink r:id="rId6">
        <w:r w:rsidDel="00000000" w:rsidR="00000000" w:rsidRPr="00000000">
          <w:rPr>
            <w:rFonts w:ascii="Arial Narrow" w:cs="Arial Narrow" w:eastAsia="Arial Narrow" w:hAnsi="Arial Narrow"/>
            <w:color w:val="1155cc"/>
            <w:sz w:val="18"/>
            <w:szCs w:val="18"/>
            <w:u w:val="single"/>
            <w:rtl w:val="0"/>
          </w:rPr>
          <w:t xml:space="preserve"> </w:t>
        </w:r>
      </w:hyperlink>
      <w:hyperlink r:id="rId7">
        <w:r w:rsidDel="00000000" w:rsidR="00000000" w:rsidRPr="00000000">
          <w:rPr>
            <w:rFonts w:ascii="Arial Narrow" w:cs="Arial Narrow" w:eastAsia="Arial Narrow" w:hAnsi="Arial Narrow"/>
            <w:color w:val="0b4cb4"/>
            <w:sz w:val="18"/>
            <w:szCs w:val="18"/>
            <w:u w:val="single"/>
            <w:rtl w:val="0"/>
          </w:rPr>
          <w:t xml:space="preserve">https://colombiadiversa.org/c-diversa/wp-content/uploads/2024/07/Boletin-homicidios-LGBT.pdf</w:t>
        </w:r>
      </w:hyperlink>
      <w:r w:rsidDel="00000000" w:rsidR="00000000" w:rsidRPr="00000000">
        <w:rPr>
          <w:rFonts w:ascii="Arial Narrow" w:cs="Arial Narrow" w:eastAsia="Arial Narrow" w:hAnsi="Arial Narrow"/>
          <w:sz w:val="18"/>
          <w:szCs w:val="18"/>
          <w:rtl w:val="0"/>
        </w:rPr>
        <w:t xml:space="preserve">,</w:t>
      </w:r>
      <w:hyperlink r:id="rId8">
        <w:r w:rsidDel="00000000" w:rsidR="00000000" w:rsidRPr="00000000">
          <w:rPr>
            <w:rFonts w:ascii="Arial Narrow" w:cs="Arial Narrow" w:eastAsia="Arial Narrow" w:hAnsi="Arial Narrow"/>
            <w:sz w:val="18"/>
            <w:szCs w:val="18"/>
            <w:rtl w:val="0"/>
          </w:rPr>
          <w:t xml:space="preserve"> </w:t>
        </w:r>
      </w:hyperlink>
      <w:r w:rsidDel="00000000" w:rsidR="00000000" w:rsidRPr="00000000">
        <w:rPr>
          <w:rFonts w:ascii="Arial Narrow" w:cs="Arial Narrow" w:eastAsia="Arial Narrow" w:hAnsi="Arial Narrow"/>
          <w:sz w:val="18"/>
          <w:szCs w:val="18"/>
          <w:rtl w:val="0"/>
        </w:rPr>
        <w:t xml:space="preserve">y</w:t>
      </w:r>
      <w:hyperlink r:id="rId9">
        <w:r w:rsidDel="00000000" w:rsidR="00000000" w:rsidRPr="00000000">
          <w:rPr>
            <w:rFonts w:ascii="Arial Narrow" w:cs="Arial Narrow" w:eastAsia="Arial Narrow" w:hAnsi="Arial Narrow"/>
            <w:sz w:val="18"/>
            <w:szCs w:val="18"/>
            <w:rtl w:val="0"/>
          </w:rPr>
          <w:t xml:space="preserve"> </w:t>
        </w:r>
      </w:hyperlink>
      <w:hyperlink r:id="rId10">
        <w:r w:rsidDel="00000000" w:rsidR="00000000" w:rsidRPr="00000000">
          <w:rPr>
            <w:rFonts w:ascii="Arial Narrow" w:cs="Arial Narrow" w:eastAsia="Arial Narrow" w:hAnsi="Arial Narrow"/>
            <w:color w:val="0b4cb4"/>
            <w:sz w:val="18"/>
            <w:szCs w:val="18"/>
            <w:u w:val="single"/>
            <w:rtl w:val="0"/>
          </w:rPr>
          <w:t xml:space="preserve">https://colombiadiversa.org/c-diversa/wp-content/uploads/2024/12/Boletín-amenazas-contra-personas-LGBTIQ-2023.pdf</w:t>
        </w:r>
      </w:hyperlink>
      <w:r w:rsidDel="00000000" w:rsidR="00000000" w:rsidRPr="00000000">
        <w:rPr>
          <w:rFonts w:ascii="Arial Narrow" w:cs="Arial Narrow" w:eastAsia="Arial Narrow" w:hAnsi="Arial Narrow"/>
          <w:sz w:val="18"/>
          <w:szCs w:val="18"/>
          <w:rtl w:val="0"/>
        </w:rPr>
        <w:t xml:space="preserve"> .</w:t>
      </w:r>
    </w:p>
    <w:p w:rsidR="00000000" w:rsidDel="00000000" w:rsidP="00000000" w:rsidRDefault="00000000" w:rsidRPr="00000000" w14:paraId="000000E0">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(b) Ver: COLOMBIA DIVERSA, Informe sobre Violencia contra Personas LGBT en Colombia 2022: La realidad de la Discriminación. Disponible en:</w:t>
      </w:r>
      <w:hyperlink r:id="rId11">
        <w:r w:rsidDel="00000000" w:rsidR="00000000" w:rsidRPr="00000000">
          <w:rPr>
            <w:rFonts w:ascii="Arial Narrow" w:cs="Arial Narrow" w:eastAsia="Arial Narrow" w:hAnsi="Arial Narrow"/>
            <w:color w:val="1155cc"/>
            <w:sz w:val="18"/>
            <w:szCs w:val="18"/>
            <w:u w:val="single"/>
            <w:rtl w:val="0"/>
          </w:rPr>
          <w:t xml:space="preserve"> </w:t>
        </w:r>
      </w:hyperlink>
      <w:hyperlink r:id="rId12">
        <w:r w:rsidDel="00000000" w:rsidR="00000000" w:rsidRPr="00000000">
          <w:rPr>
            <w:rFonts w:ascii="Arial Narrow" w:cs="Arial Narrow" w:eastAsia="Arial Narrow" w:hAnsi="Arial Narrow"/>
            <w:color w:val="103cc0"/>
            <w:sz w:val="18"/>
            <w:szCs w:val="18"/>
            <w:u w:val="single"/>
            <w:rtl w:val="0"/>
          </w:rPr>
          <w:t xml:space="preserve">https://colombiadiversa.org/c-diversa/wp-content/uploads/2023/12/InformeDDHHColDIV2022-2.pdf</w:t>
        </w:r>
      </w:hyperlink>
      <w:r w:rsidDel="00000000" w:rsidR="00000000" w:rsidRPr="00000000">
        <w:rPr>
          <w:rFonts w:ascii="Arial Narrow" w:cs="Arial Narrow" w:eastAsia="Arial Narrow" w:hAnsi="Arial Narrow"/>
          <w:sz w:val="18"/>
          <w:szCs w:val="18"/>
          <w:rtl w:val="0"/>
        </w:rPr>
        <w:t xml:space="preserve"> Publicado en 2023.</w:t>
      </w:r>
    </w:p>
    <w:p w:rsidR="00000000" w:rsidDel="00000000" w:rsidP="00000000" w:rsidRDefault="00000000" w:rsidRPr="00000000" w14:paraId="000000E1">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(c) Ver: COLOMBIA DIVERSA, Informe sobre Violencia contra Personas LGBT en Colombia 2021: La Violencia no nos impide amar. Disponible en:</w:t>
      </w:r>
      <w:hyperlink r:id="rId13">
        <w:r w:rsidDel="00000000" w:rsidR="00000000" w:rsidRPr="00000000">
          <w:rPr>
            <w:rFonts w:ascii="Arial Narrow" w:cs="Arial Narrow" w:eastAsia="Arial Narrow" w:hAnsi="Arial Narrow"/>
            <w:color w:val="1155cc"/>
            <w:sz w:val="18"/>
            <w:szCs w:val="18"/>
            <w:u w:val="single"/>
            <w:rtl w:val="0"/>
          </w:rPr>
          <w:t xml:space="preserve"> </w:t>
        </w:r>
      </w:hyperlink>
      <w:hyperlink r:id="rId14">
        <w:r w:rsidDel="00000000" w:rsidR="00000000" w:rsidRPr="00000000">
          <w:rPr>
            <w:rFonts w:ascii="Arial Narrow" w:cs="Arial Narrow" w:eastAsia="Arial Narrow" w:hAnsi="Arial Narrow"/>
            <w:color w:val="103cc0"/>
            <w:sz w:val="18"/>
            <w:szCs w:val="18"/>
            <w:u w:val="single"/>
            <w:rtl w:val="0"/>
          </w:rPr>
          <w:t xml:space="preserve">https://colombiadiversa.org/c-diversa/wp-content/uploads/2022/11/Informe-derechos-humanos_Colombia-Diversa.pdf</w:t>
        </w:r>
      </w:hyperlink>
      <w:r w:rsidDel="00000000" w:rsidR="00000000" w:rsidRPr="00000000">
        <w:rPr>
          <w:rFonts w:ascii="Arial Narrow" w:cs="Arial Narrow" w:eastAsia="Arial Narrow" w:hAnsi="Arial Narrow"/>
          <w:sz w:val="18"/>
          <w:szCs w:val="18"/>
          <w:rtl w:val="0"/>
        </w:rPr>
        <w:t xml:space="preserve"> Publicado en 2022.</w:t>
      </w:r>
    </w:p>
    <w:p w:rsidR="00000000" w:rsidDel="00000000" w:rsidP="00000000" w:rsidRDefault="00000000" w:rsidRPr="00000000" w14:paraId="000000E2">
      <w:pPr>
        <w:jc w:val="both"/>
        <w:rPr>
          <w:rFonts w:ascii="Arial Narrow" w:cs="Arial Narrow" w:eastAsia="Arial Narrow" w:hAnsi="Arial Narrow"/>
          <w:b w:val="1"/>
          <w:sz w:val="18"/>
          <w:szCs w:val="18"/>
        </w:rPr>
      </w:pPr>
      <w:r w:rsidDel="00000000" w:rsidR="00000000" w:rsidRPr="00000000">
        <w:rPr>
          <w:rFonts w:ascii="Arial Narrow" w:cs="Arial Narrow" w:eastAsia="Arial Narrow" w:hAnsi="Arial Narrow"/>
          <w:sz w:val="18"/>
          <w:szCs w:val="18"/>
          <w:rtl w:val="0"/>
        </w:rPr>
        <w:t xml:space="preserve">(d) Ver: COLOMBIA DIVERSA, Informe sobre Violencia contra Personas LGBT en Colombia 2020: Nada que celebrar. Disponible en:</w:t>
      </w:r>
      <w:hyperlink r:id="rId15">
        <w:r w:rsidDel="00000000" w:rsidR="00000000" w:rsidRPr="00000000">
          <w:rPr>
            <w:rFonts w:ascii="Arial Narrow" w:cs="Arial Narrow" w:eastAsia="Arial Narrow" w:hAnsi="Arial Narrow"/>
            <w:color w:val="1155cc"/>
            <w:sz w:val="18"/>
            <w:szCs w:val="18"/>
            <w:u w:val="single"/>
            <w:rtl w:val="0"/>
          </w:rPr>
          <w:t xml:space="preserve"> </w:t>
        </w:r>
      </w:hyperlink>
      <w:hyperlink r:id="rId16">
        <w:r w:rsidDel="00000000" w:rsidR="00000000" w:rsidRPr="00000000">
          <w:rPr>
            <w:rFonts w:ascii="Arial Narrow" w:cs="Arial Narrow" w:eastAsia="Arial Narrow" w:hAnsi="Arial Narrow"/>
            <w:color w:val="103cc0"/>
            <w:sz w:val="18"/>
            <w:szCs w:val="18"/>
            <w:u w:val="single"/>
            <w:rtl w:val="0"/>
          </w:rPr>
          <w:t xml:space="preserve">https://colombiadiversa.org/c-diversa/wp-content/uploads/2021/06/Nada_que_celebrar_cifras-asesinatos_personas_-LGBT_2020.pdf</w:t>
        </w:r>
      </w:hyperlink>
      <w:r w:rsidDel="00000000" w:rsidR="00000000" w:rsidRPr="00000000">
        <w:rPr>
          <w:rFonts w:ascii="Arial Narrow" w:cs="Arial Narrow" w:eastAsia="Arial Narrow" w:hAnsi="Arial Narrow"/>
          <w:sz w:val="18"/>
          <w:szCs w:val="18"/>
          <w:rtl w:val="0"/>
        </w:rPr>
        <w:t xml:space="preserve"> Publicado en 2021.</w:t>
      </w:r>
      <w:r w:rsidDel="00000000" w:rsidR="00000000" w:rsidRPr="00000000">
        <w:rPr>
          <w:rFonts w:ascii="Arial Narrow" w:cs="Arial Narrow" w:eastAsia="Arial Narrow" w:hAnsi="Arial Narrow"/>
          <w:b w:val="1"/>
          <w:sz w:val="18"/>
          <w:szCs w:val="18"/>
          <w:rtl w:val="0"/>
        </w:rPr>
        <w:t xml:space="preserve"> </w:t>
      </w:r>
    </w:p>
    <w:p w:rsidR="00000000" w:rsidDel="00000000" w:rsidP="00000000" w:rsidRDefault="00000000" w:rsidRPr="00000000" w14:paraId="000000E3">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(e) Ver: COLOMBIA DIVERSA, Informe sobre Violencia contra Personas LGBT en Colombia 2019: Más que cifras. Disponible en:</w:t>
      </w:r>
      <w:hyperlink r:id="rId17">
        <w:r w:rsidDel="00000000" w:rsidR="00000000" w:rsidRPr="00000000">
          <w:rPr>
            <w:rFonts w:ascii="Arial Narrow" w:cs="Arial Narrow" w:eastAsia="Arial Narrow" w:hAnsi="Arial Narrow"/>
            <w:color w:val="1155cc"/>
            <w:sz w:val="18"/>
            <w:szCs w:val="18"/>
            <w:u w:val="single"/>
            <w:rtl w:val="0"/>
          </w:rPr>
          <w:t xml:space="preserve"> </w:t>
        </w:r>
      </w:hyperlink>
      <w:hyperlink r:id="rId18">
        <w:r w:rsidDel="00000000" w:rsidR="00000000" w:rsidRPr="00000000">
          <w:rPr>
            <w:rFonts w:ascii="Arial Narrow" w:cs="Arial Narrow" w:eastAsia="Arial Narrow" w:hAnsi="Arial Narrow"/>
            <w:color w:val="103cc0"/>
            <w:sz w:val="18"/>
            <w:szCs w:val="18"/>
            <w:u w:val="single"/>
            <w:rtl w:val="0"/>
          </w:rPr>
          <w:t xml:space="preserve">https://colombiadiversa.org/c-diversa/wp-content/uploads/2021/03/Mas-Que-Cifras-2019.pdf</w:t>
        </w:r>
      </w:hyperlink>
      <w:r w:rsidDel="00000000" w:rsidR="00000000" w:rsidRPr="00000000">
        <w:rPr>
          <w:rFonts w:ascii="Arial Narrow" w:cs="Arial Narrow" w:eastAsia="Arial Narrow" w:hAnsi="Arial Narrow"/>
          <w:sz w:val="18"/>
          <w:szCs w:val="18"/>
          <w:rtl w:val="0"/>
        </w:rPr>
        <w:t xml:space="preserve"> Publicado en: 2020.</w:t>
      </w:r>
    </w:p>
    <w:p w:rsidR="00000000" w:rsidDel="00000000" w:rsidP="00000000" w:rsidRDefault="00000000" w:rsidRPr="00000000" w14:paraId="000000E4">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(f) Ver: COLOMBIA DIVERSA, Informe sobre Violencia contra Personas LGBT en Colombia 2018: Aunque Intenten Borrarnos. Disponible en:</w:t>
      </w:r>
      <w:hyperlink r:id="rId19">
        <w:r w:rsidDel="00000000" w:rsidR="00000000" w:rsidRPr="00000000">
          <w:rPr>
            <w:rFonts w:ascii="Arial Narrow" w:cs="Arial Narrow" w:eastAsia="Arial Narrow" w:hAnsi="Arial Narrow"/>
            <w:color w:val="1155cc"/>
            <w:sz w:val="18"/>
            <w:szCs w:val="18"/>
            <w:u w:val="single"/>
            <w:rtl w:val="0"/>
          </w:rPr>
          <w:t xml:space="preserve"> </w:t>
        </w:r>
      </w:hyperlink>
      <w:hyperlink r:id="rId20">
        <w:r w:rsidDel="00000000" w:rsidR="00000000" w:rsidRPr="00000000">
          <w:rPr>
            <w:rFonts w:ascii="Arial Narrow" w:cs="Arial Narrow" w:eastAsia="Arial Narrow" w:hAnsi="Arial Narrow"/>
            <w:color w:val="103cc0"/>
            <w:sz w:val="18"/>
            <w:szCs w:val="18"/>
            <w:u w:val="single"/>
            <w:rtl w:val="0"/>
          </w:rPr>
          <w:t xml:space="preserve">https://colombiadiversa.org/c-diversa/wp-content/uploads/2020/04/publicaci%C3%B3n-7-_-Informe-de-violaciones-a-los-derechos-humanos-de-personas-LGBT-en-Colombia-en-2018.pdf</w:t>
        </w:r>
      </w:hyperlink>
      <w:r w:rsidDel="00000000" w:rsidR="00000000" w:rsidRPr="00000000">
        <w:rPr>
          <w:rFonts w:ascii="Arial Narrow" w:cs="Arial Narrow" w:eastAsia="Arial Narrow" w:hAnsi="Arial Narrow"/>
          <w:sz w:val="18"/>
          <w:szCs w:val="18"/>
          <w:rtl w:val="0"/>
        </w:rPr>
        <w:t xml:space="preserve"> Publicado en 2019.</w:t>
      </w:r>
    </w:p>
  </w:footnote>
  <w:footnote w:id="8">
    <w:p w:rsidR="00000000" w:rsidDel="00000000" w:rsidP="00000000" w:rsidRDefault="00000000" w:rsidRPr="00000000" w14:paraId="000000E5">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La Corte Constitucional ha dictado al menos 222 sentencias judiciales sobre derechos de la población LGBTIQ+ en Colombia. Por su parte, la Corte Suprema de Justicia ha dictado al menos 39 sentencias judiciales sobre población LGBTIQ+. Por su parte, el Consejo de Estado ha dictado 28 sentencias judiciales sobre población LGBTIQ+. </w:t>
      </w:r>
    </w:p>
  </w:footnote>
  <w:footnote w:id="9">
    <w:p w:rsidR="00000000" w:rsidDel="00000000" w:rsidP="00000000" w:rsidRDefault="00000000" w:rsidRPr="00000000" w14:paraId="000000E6">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La Corte Constitucional, frente al acceso a la salud de personas trans se ha pronunciado en las siguientes sentencias:  (i) T-771-13, (ii) T-552-13, (iii) T-622-14, (iv) T-406-19, (v) T-263-20, (vi) T-236-20, (vii) T-421-20, (viii)T-231-21, (ix) C-055-22 (x) T-218-22 , (xi) T-105-22, (xii) T-321-23, (xiii) T-321-23, (xiv) T-508/24. Ver también. Óp. Cit.</w:t>
      </w:r>
      <w:r w:rsidDel="00000000" w:rsidR="00000000" w:rsidRPr="00000000">
        <w:rPr>
          <w:rFonts w:ascii="Arial Narrow" w:cs="Arial Narrow" w:eastAsia="Arial Narrow" w:hAnsi="Arial Narrow"/>
          <w:i w:val="1"/>
          <w:sz w:val="18"/>
          <w:szCs w:val="18"/>
          <w:rtl w:val="0"/>
        </w:rPr>
        <w:t xml:space="preserve"> Defensoría del Pueblo. Informe de Derechos Humanos de Personas OSIGD-LGBTI 2021.</w:t>
      </w:r>
      <w:r w:rsidDel="00000000" w:rsidR="00000000" w:rsidRPr="00000000">
        <w:rPr>
          <w:rFonts w:ascii="Arial Narrow" w:cs="Arial Narrow" w:eastAsia="Arial Narrow" w:hAnsi="Arial Narrow"/>
          <w:sz w:val="18"/>
          <w:szCs w:val="18"/>
          <w:rtl w:val="0"/>
        </w:rPr>
        <w:t xml:space="preserve"> “Con relación a los casos de violencia en el sector salud, se identifican principalmente barreras para la atención en servicios médicos en hospitales, negación y demora excesiva de citas necesarias para los procesos de reafirmación de la identidad de género, falta de atención oportuna en casos identificados de personas que conviven con VIH, complicaciones de salud derivadas de la aplicación de biopolímeros, por lo que algunas personas de esta población optan por recurrir a tratamientos artesanales que ponen en riesgo su salud” y el informe elaborado por Colombia Diversa con el apoyo de la Red de Litigantes de las Américas “Acceso a la salud de personas trans en América Latina”, Colombia página 158. Año 2025. Disponible en: </w:t>
      </w:r>
      <w:hyperlink r:id="rId21">
        <w:r w:rsidDel="00000000" w:rsidR="00000000" w:rsidRPr="00000000">
          <w:rPr>
            <w:rFonts w:ascii="Arial Narrow" w:cs="Arial Narrow" w:eastAsia="Arial Narrow" w:hAnsi="Arial Narrow"/>
            <w:color w:val="1155cc"/>
            <w:sz w:val="18"/>
            <w:szCs w:val="18"/>
            <w:u w:val="single"/>
            <w:rtl w:val="0"/>
          </w:rPr>
          <w:t xml:space="preserve">https://colombiadiversa.org/c-diversa/wp-content/uploads/2025/05/Acceso-a-salud-de-personas-trans-LATAM-Colombia-Diversa.pdf</w:t>
        </w:r>
      </w:hyperlink>
      <w:r w:rsidDel="00000000" w:rsidR="00000000" w:rsidRPr="00000000">
        <w:rPr>
          <w:rtl w:val="0"/>
        </w:rPr>
      </w:r>
    </w:p>
  </w:footnote>
  <w:footnote w:id="5">
    <w:p w:rsidR="00000000" w:rsidDel="00000000" w:rsidP="00000000" w:rsidRDefault="00000000" w:rsidRPr="00000000" w14:paraId="000000E7">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Fuente: Reporte Fiscalía General de la Nación  casos de homicidios/feminicidios a personas de los sectores sociales LGBTIQ+ en el país en el periodo comprendido entre enero y junio de 2025. </w:t>
      </w:r>
    </w:p>
    <w:p w:rsidR="00000000" w:rsidDel="00000000" w:rsidP="00000000" w:rsidRDefault="00000000" w:rsidRPr="00000000" w14:paraId="000000E8">
      <w:pPr>
        <w:spacing w:line="240" w:lineRule="auto"/>
        <w:rPr>
          <w:sz w:val="20"/>
          <w:szCs w:val="20"/>
        </w:rPr>
      </w:pPr>
      <w:r w:rsidDel="00000000" w:rsidR="00000000" w:rsidRPr="00000000">
        <w:rPr>
          <w:rtl w:val="0"/>
        </w:rPr>
      </w:r>
    </w:p>
  </w:footnote>
  <w:footnote w:id="18">
    <w:p w:rsidR="00000000" w:rsidDel="00000000" w:rsidP="00000000" w:rsidRDefault="00000000" w:rsidRPr="00000000" w14:paraId="000000E9">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Colombia Diversa, Red de Litigantes LGBTI+ de las Américas. Investigación realizada por Decilion. Acceso de salud integral de personas trans en América Latina. Enero 2025. Pág. 39. </w:t>
      </w:r>
      <w:hyperlink r:id="rId22">
        <w:r w:rsidDel="00000000" w:rsidR="00000000" w:rsidRPr="00000000">
          <w:rPr>
            <w:rFonts w:ascii="Arial Narrow" w:cs="Arial Narrow" w:eastAsia="Arial Narrow" w:hAnsi="Arial Narrow"/>
            <w:color w:val="1155cc"/>
            <w:sz w:val="18"/>
            <w:szCs w:val="18"/>
            <w:u w:val="single"/>
            <w:rtl w:val="0"/>
          </w:rPr>
          <w:t xml:space="preserve">https://colombiadiversa.org/c-diversa/wp-content/uploads/2025/05/Acceso-a-salud-de-personas-trans-LATAM-Colombia-Diversa.pdf</w:t>
        </w:r>
      </w:hyperlink>
      <w:r w:rsidDel="00000000" w:rsidR="00000000" w:rsidRPr="00000000">
        <w:rPr>
          <w:rtl w:val="0"/>
        </w:rPr>
      </w:r>
    </w:p>
  </w:footnote>
  <w:footnote w:id="20">
    <w:p w:rsidR="00000000" w:rsidDel="00000000" w:rsidP="00000000" w:rsidRDefault="00000000" w:rsidRPr="00000000" w14:paraId="000000EA">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Ibidem. </w:t>
      </w:r>
    </w:p>
  </w:footnote>
  <w:footnote w:id="21">
    <w:p w:rsidR="00000000" w:rsidDel="00000000" w:rsidP="00000000" w:rsidRDefault="00000000" w:rsidRPr="00000000" w14:paraId="000000EB">
      <w:pPr>
        <w:spacing w:line="240" w:lineRule="auto"/>
        <w:jc w:val="both"/>
        <w:rPr>
          <w:rFonts w:ascii="Arial Narrow" w:cs="Arial Narrow" w:eastAsia="Arial Narrow" w:hAnsi="Arial Narrow"/>
          <w:sz w:val="20"/>
          <w:szCs w:val="20"/>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18"/>
          <w:szCs w:val="18"/>
          <w:rtl w:val="0"/>
        </w:rPr>
        <w:t xml:space="preserve">Ibidem</w:t>
      </w:r>
      <w:r w:rsidDel="00000000" w:rsidR="00000000" w:rsidRPr="00000000">
        <w:rPr>
          <w:rFonts w:ascii="Arial Narrow" w:cs="Arial Narrow" w:eastAsia="Arial Narrow" w:hAnsi="Arial Narrow"/>
          <w:sz w:val="20"/>
          <w:szCs w:val="20"/>
          <w:rtl w:val="0"/>
        </w:rPr>
        <w:t xml:space="preserve">. </w:t>
      </w:r>
    </w:p>
  </w:footnote>
  <w:footnote w:id="17">
    <w:p w:rsidR="00000000" w:rsidDel="00000000" w:rsidP="00000000" w:rsidRDefault="00000000" w:rsidRPr="00000000" w14:paraId="000000EC">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18"/>
          <w:szCs w:val="18"/>
          <w:rtl w:val="0"/>
        </w:rPr>
        <w:t xml:space="preserve">Alcaldía de Bogotá. Distrito entrega servicio de salud a la población LGTBI.  (2015) Disponible en línea:  </w:t>
      </w:r>
      <w:hyperlink r:id="rId23">
        <w:r w:rsidDel="00000000" w:rsidR="00000000" w:rsidRPr="00000000">
          <w:rPr>
            <w:rFonts w:ascii="Arial Narrow" w:cs="Arial Narrow" w:eastAsia="Arial Narrow" w:hAnsi="Arial Narrow"/>
            <w:color w:val="467886"/>
            <w:sz w:val="18"/>
            <w:szCs w:val="18"/>
            <w:u w:val="single"/>
            <w:rtl w:val="0"/>
          </w:rPr>
          <w:t xml:space="preserve">https://bogota.gov.co/mi-ciudad/salud/distrito-entrega-servicio-de-salud-la-poblacion-lgbti</w:t>
        </w:r>
      </w:hyperlink>
      <w:r w:rsidDel="00000000" w:rsidR="00000000" w:rsidRPr="00000000">
        <w:rPr>
          <w:rFonts w:ascii="Arial Narrow" w:cs="Arial Narrow" w:eastAsia="Arial Narrow" w:hAnsi="Arial Narrow"/>
          <w:sz w:val="18"/>
          <w:szCs w:val="18"/>
          <w:rtl w:val="0"/>
        </w:rPr>
        <w:t xml:space="preserve">; Secretaría de Planeación de Bogotá. Administración Distrital entrega la primera Clínica de Género Pública en Bogotá. (2023) Disponible en línea:</w:t>
      </w:r>
      <w:hyperlink r:id="rId24">
        <w:r w:rsidDel="00000000" w:rsidR="00000000" w:rsidRPr="00000000">
          <w:rPr>
            <w:rFonts w:ascii="Arial Narrow" w:cs="Arial Narrow" w:eastAsia="Arial Narrow" w:hAnsi="Arial Narrow"/>
            <w:sz w:val="18"/>
            <w:szCs w:val="18"/>
            <w:rtl w:val="0"/>
          </w:rPr>
          <w:t xml:space="preserve"> </w:t>
        </w:r>
      </w:hyperlink>
      <w:hyperlink r:id="rId25">
        <w:r w:rsidDel="00000000" w:rsidR="00000000" w:rsidRPr="00000000">
          <w:rPr>
            <w:rFonts w:ascii="Arial Narrow" w:cs="Arial Narrow" w:eastAsia="Arial Narrow" w:hAnsi="Arial Narrow"/>
            <w:color w:val="467886"/>
            <w:sz w:val="18"/>
            <w:szCs w:val="18"/>
            <w:u w:val="single"/>
            <w:rtl w:val="0"/>
          </w:rPr>
          <w:t xml:space="preserve">https://www.sdp.gov.co/noticias/administracion-distrital-entrega-la-primera-clinica-de-genero-publica-bogota</w:t>
        </w:r>
      </w:hyperlink>
      <w:r w:rsidDel="00000000" w:rsidR="00000000" w:rsidRPr="00000000">
        <w:rPr>
          <w:rFonts w:ascii="Arial Narrow" w:cs="Arial Narrow" w:eastAsia="Arial Narrow" w:hAnsi="Arial Narrow"/>
          <w:sz w:val="18"/>
          <w:szCs w:val="18"/>
          <w:rtl w:val="0"/>
        </w:rPr>
        <w:t xml:space="preserve">; Secretaría de Salud de Cali. La primera institución de salud con enfoque de género en Cali cumplió un mes de funcionamiento. (2022) Disponible en línea:</w:t>
      </w:r>
      <w:hyperlink r:id="rId26">
        <w:r w:rsidDel="00000000" w:rsidR="00000000" w:rsidRPr="00000000">
          <w:rPr>
            <w:rFonts w:ascii="Arial Narrow" w:cs="Arial Narrow" w:eastAsia="Arial Narrow" w:hAnsi="Arial Narrow"/>
            <w:sz w:val="18"/>
            <w:szCs w:val="18"/>
            <w:rtl w:val="0"/>
          </w:rPr>
          <w:t xml:space="preserve"> </w:t>
        </w:r>
      </w:hyperlink>
      <w:hyperlink r:id="rId27">
        <w:r w:rsidDel="00000000" w:rsidR="00000000" w:rsidRPr="00000000">
          <w:rPr>
            <w:rFonts w:ascii="Arial Narrow" w:cs="Arial Narrow" w:eastAsia="Arial Narrow" w:hAnsi="Arial Narrow"/>
            <w:color w:val="467886"/>
            <w:sz w:val="18"/>
            <w:szCs w:val="18"/>
            <w:u w:val="single"/>
            <w:rtl w:val="0"/>
          </w:rPr>
          <w:t xml:space="preserve">https://www.cali.gov.co/salud/publicaciones/172864/la-primera-institucion-de-salud-con-enfoque-de-genero-en-cali-cumplio-un-mes-de-funcionamiento/</w:t>
        </w:r>
      </w:hyperlink>
      <w:r w:rsidDel="00000000" w:rsidR="00000000" w:rsidRPr="00000000">
        <w:rPr>
          <w:rtl w:val="0"/>
        </w:rPr>
      </w:r>
    </w:p>
  </w:footnote>
  <w:footnote w:id="15">
    <w:p w:rsidR="00000000" w:rsidDel="00000000" w:rsidP="00000000" w:rsidRDefault="00000000" w:rsidRPr="00000000" w14:paraId="000000ED">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18"/>
          <w:szCs w:val="18"/>
          <w:rtl w:val="0"/>
        </w:rPr>
        <w:t xml:space="preserve">Corte Constitucional. Sentencias T-771 de 2013, en donde se reconoce la práctica de la mamoplastia de una mujer transgénero en protección al derecho a la salud; T-421 de 2020 frente a exámenes médicos para proceso de reafirmación de sexo y el reconocimiento derecho a la salud con la identidad de género; T-218 de 2022 exhorta al Ministerio de Salud y Protección Social para que, emita una guía de práctica clínica, con sus respectivos protocolos, para la atención integral en salud de las personas transgénero y, particularmente, para el suministro de los procedimientos médicos de afirmación de género; T-199 de 2023 en donde busca que se evite injerencias, coacciones o interferencias en el procedimiento.</w:t>
      </w:r>
      <w:r w:rsidDel="00000000" w:rsidR="00000000" w:rsidRPr="00000000">
        <w:rPr>
          <w:rtl w:val="0"/>
        </w:rPr>
      </w:r>
    </w:p>
  </w:footnote>
  <w:footnote w:id="16">
    <w:p w:rsidR="00000000" w:rsidDel="00000000" w:rsidP="00000000" w:rsidRDefault="00000000" w:rsidRPr="00000000" w14:paraId="000000EE">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18"/>
          <w:szCs w:val="18"/>
          <w:rtl w:val="0"/>
        </w:rPr>
        <w:t xml:space="preserve">Resolución 5592 de 2015 que actualizó el Plan de Beneficios en Salud y establece la inclusión de procedimientos y tratamientos para personas transgéneros, que incluye las hormonas y procedimientos quirúrgicos necesarios para la transición de género.</w:t>
      </w:r>
      <w:r w:rsidDel="00000000" w:rsidR="00000000" w:rsidRPr="00000000">
        <w:rPr>
          <w:rtl w:val="0"/>
        </w:rPr>
      </w:r>
    </w:p>
  </w:footnote>
  <w:footnote w:id="23">
    <w:p w:rsidR="00000000" w:rsidDel="00000000" w:rsidP="00000000" w:rsidRDefault="00000000" w:rsidRPr="00000000" w14:paraId="000000EF">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Ibidem. </w:t>
      </w:r>
    </w:p>
  </w:footnote>
  <w:footnote w:id="24">
    <w:p w:rsidR="00000000" w:rsidDel="00000000" w:rsidP="00000000" w:rsidRDefault="00000000" w:rsidRPr="00000000" w14:paraId="000000F0">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Ibidem. </w:t>
      </w:r>
    </w:p>
  </w:footnote>
  <w:footnote w:id="19">
    <w:p w:rsidR="00000000" w:rsidDel="00000000" w:rsidP="00000000" w:rsidRDefault="00000000" w:rsidRPr="00000000" w14:paraId="000000F1">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Ministerio de Salud y Protección Social. </w:t>
      </w:r>
      <w:r w:rsidDel="00000000" w:rsidR="00000000" w:rsidRPr="00000000">
        <w:rPr>
          <w:rFonts w:ascii="Arial Narrow" w:cs="Arial Narrow" w:eastAsia="Arial Narrow" w:hAnsi="Arial Narrow"/>
          <w:i w:val="1"/>
          <w:sz w:val="18"/>
          <w:szCs w:val="18"/>
          <w:rtl w:val="0"/>
        </w:rPr>
        <w:t xml:space="preserve">Respuesta Derecho de petición sobre derecho a la salud de la población LGBTIQ+ en Colombia. RAD 202442300387672. </w:t>
      </w:r>
      <w:r w:rsidDel="00000000" w:rsidR="00000000" w:rsidRPr="00000000">
        <w:rPr>
          <w:rFonts w:ascii="Arial Narrow" w:cs="Arial Narrow" w:eastAsia="Arial Narrow" w:hAnsi="Arial Narrow"/>
          <w:sz w:val="18"/>
          <w:szCs w:val="18"/>
          <w:rtl w:val="0"/>
        </w:rPr>
        <w:t xml:space="preserve">Radicado de salida No. 202416400675961 del 01 de abril de 2024. </w:t>
      </w:r>
    </w:p>
  </w:footnote>
  <w:footnote w:id="22">
    <w:p w:rsidR="00000000" w:rsidDel="00000000" w:rsidP="00000000" w:rsidRDefault="00000000" w:rsidRPr="00000000" w14:paraId="000000F2">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En</w:t>
      </w:r>
      <w:r w:rsidDel="00000000" w:rsidR="00000000" w:rsidRPr="00000000">
        <w:rPr>
          <w:rFonts w:ascii="Arial Narrow" w:cs="Arial Narrow" w:eastAsia="Arial Narrow" w:hAnsi="Arial Narrow"/>
          <w:sz w:val="18"/>
          <w:szCs w:val="18"/>
          <w:rtl w:val="0"/>
        </w:rPr>
        <w:t xml:space="preserve"> 2024 la Unidad de Servicios Penitenciarios y Carcelarios (USPEC), el Instituto Nacional Penitenciario y Carcelario (INPEC), y la Fiduprevisora realizaron el ‘Protocolo para la implementación de la “Ruta de acceso de afirmación de género en PPL  trans con cobertura en salud a cargo del fondo de atención en salud PPL” al interior de los ERON a cargo del INPEC”. Protocolo que resulta un avance importante para las personas trans privadas de la libertad y que se espera facilite el acceso a los servicios de salud sin que se presenten barreras adicionales.</w:t>
      </w:r>
      <w:r w:rsidDel="00000000" w:rsidR="00000000" w:rsidRPr="00000000">
        <w:rPr>
          <w:rtl w:val="0"/>
        </w:rPr>
      </w:r>
    </w:p>
  </w:footnote>
  <w:footnote w:id="7">
    <w:p w:rsidR="00000000" w:rsidDel="00000000" w:rsidP="00000000" w:rsidRDefault="00000000" w:rsidRPr="00000000" w14:paraId="000000F3">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18"/>
          <w:szCs w:val="18"/>
          <w:rtl w:val="0"/>
        </w:rPr>
        <w:t xml:space="preserve">La política pública nacional LGBTI, establecida mediante Decreto 762 de 2018, ha tenido una baja implementación por parte del Gobierno de Colombia con grandes falencias en su Plan de Acción, véase Defensoría del Pueblo. Informe de Derechos Humanos de Personas OSIGD-LGBTI 2021: Una Radiografía Del Prejuicio 2021. Ver Pág. 21 - 25,  Disponible en:</w:t>
      </w:r>
      <w:hyperlink r:id="rId28">
        <w:r w:rsidDel="00000000" w:rsidR="00000000" w:rsidRPr="00000000">
          <w:rPr>
            <w:rFonts w:ascii="Arial Narrow" w:cs="Arial Narrow" w:eastAsia="Arial Narrow" w:hAnsi="Arial Narrow"/>
            <w:sz w:val="18"/>
            <w:szCs w:val="18"/>
            <w:rtl w:val="0"/>
          </w:rPr>
          <w:t xml:space="preserve"> </w:t>
        </w:r>
      </w:hyperlink>
      <w:hyperlink r:id="rId29">
        <w:r w:rsidDel="00000000" w:rsidR="00000000" w:rsidRPr="00000000">
          <w:rPr>
            <w:rFonts w:ascii="Arial Narrow" w:cs="Arial Narrow" w:eastAsia="Arial Narrow" w:hAnsi="Arial Narrow"/>
            <w:color w:val="103cc0"/>
            <w:sz w:val="18"/>
            <w:szCs w:val="18"/>
            <w:u w:val="single"/>
            <w:rtl w:val="0"/>
          </w:rPr>
          <w:t xml:space="preserve">https://repositorio.defensoria.gov.co/bitstream/handle/20.500.13061/371/Informe%20OSIGD%20ver1.pdf?sequence=1&amp;isAllowed=y</w:t>
        </w:r>
      </w:hyperlink>
      <w:r w:rsidDel="00000000" w:rsidR="00000000" w:rsidRPr="00000000">
        <w:rPr>
          <w:rFonts w:ascii="Arial Narrow" w:cs="Arial Narrow" w:eastAsia="Arial Narrow" w:hAnsi="Arial Narrow"/>
          <w:sz w:val="18"/>
          <w:szCs w:val="18"/>
          <w:rtl w:val="0"/>
        </w:rPr>
        <w:t xml:space="preserve"> </w:t>
      </w:r>
    </w:p>
  </w:footnote>
  <w:footnote w:id="10">
    <w:p w:rsidR="00000000" w:rsidDel="00000000" w:rsidP="00000000" w:rsidRDefault="00000000" w:rsidRPr="00000000" w14:paraId="000000F4">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En el Examen Periódico Universal anterior, el Gobierno de Colombia aceptó las siguientes recomendaciones:</w:t>
        <w:br w:type="textWrapping"/>
        <w:t xml:space="preserve">16.219 Mantener e intensificar los esfuerzos para combatir la discriminación contra las personas LGBTIQ+ y prohibir las terapias de conversión (Chile);  116.220 Garantizar una atención que afirme el género y los derechos humanos de las personas trans y no binarias, incluido el derecho a la salud (Islandia);  116.221 Prohibir las llamadas “terapias de conversión” (Islandia);  116.222 Adoptar un marco legislativo para seguir abordando la violencia de género y la violencia contra las personas LGBTI+, centrándose en garantizar la investigación y el enjuiciamiento adecuados de estos delitos (Irlanda);  116.223 Adoptar medidas para combatir la violencia de género y la discriminación, especialmente contra las mujeres pertenecientes a grupos vulnerables, como las mujeres lesbianas, bisexuales y transexuales (Montenegro); 116.224 Aumentar los esfuerzos para proteger a los defensores de los derechos humanos, los defensores del medio ambiente, los líderes sindicales y los miembros de las comunidades por la paz. Ampliar las medidas para proteger a los miembros de las comunidades raciales, étnicas e indígenas marginadas, incluidas las comunidades afrocolombianas, las mujeres, las personas LGBTQI+ y los migrantes. Esto debería incluir una mayor rendición de cuentas de los responsables de los ataques contra estas comunidades, por ejemplo mediante mecanismos de justicia transicional (Estados Unidos de América);  116.225 Continuar los esfuerzos para la implementación efectiva de las disposiciones del Acuerdo de Paz, en particular las dirigidas a proteger y garantizar los derechos humanos de los pueblos étnicos, mujeres y personas LGBTIQ (Argentina);  116.226 Adoptar las medidas necesarias para prevenir, investigar y sancionar la violencia y la discriminación basadas en la identidad de género perpetradas por agentes estatales y no estatales y proveer reparación a las víctimas (Argentina);  116.49 Seguir esforzándose por aplicar y ampliar eficazmente las medidas existentes destinadas a proteger a las mujeres y a las personas LGBTIQ+ de la discriminación y la violencia, en estrecha cooperación con la sociedad civil (República Checa).</w:t>
      </w:r>
    </w:p>
  </w:footnote>
  <w:footnote w:id="36">
    <w:p w:rsidR="00000000" w:rsidDel="00000000" w:rsidP="00000000" w:rsidRDefault="00000000" w:rsidRPr="00000000" w14:paraId="000000F5">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La Corte Constitucional ha señalado que los procedimientos migratorios deben garantizar dignidad humana, enfoque diferencial y eliminación de barreras que afectan de forma desproporcionada a personas vulnerables, incluidas las LGBTIQ+ migrantes. La normativa debe aplicarse conforme a los principios de igualdad y no discriminación, con respuestas institucionales flexibles y adaptadas a cada caso (Sentencia T-166 de 2024).</w:t>
      </w:r>
    </w:p>
  </w:footnote>
  <w:footnote w:id="37">
    <w:p w:rsidR="00000000" w:rsidDel="00000000" w:rsidP="00000000" w:rsidRDefault="00000000" w:rsidRPr="00000000" w14:paraId="000000F6">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Resolución 971 de 2021, “Por la cual se establece el Permiso por Protección Temporal para los nacionales venezolanos en Colombia”. Unidad Administrativa Especial Migración Colombia.</w:t>
      </w:r>
    </w:p>
  </w:footnote>
  <w:footnote w:id="38">
    <w:p w:rsidR="00000000" w:rsidDel="00000000" w:rsidP="00000000" w:rsidRDefault="00000000" w:rsidRPr="00000000" w14:paraId="000000F7">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Esta situación exacerbó desde el endurecimiento de las políticas migratorias y de financiación por parte de Estados Unidos, ya que muchas organizaciones civiles que ofrecían asesorías jurídicas, se vieron obligadas a suspender actividades por falta de recursos.</w:t>
      </w:r>
    </w:p>
  </w:footnote>
  <w:footnote w:id="41">
    <w:p w:rsidR="00000000" w:rsidDel="00000000" w:rsidP="00000000" w:rsidRDefault="00000000" w:rsidRPr="00000000" w14:paraId="000000F8">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Ministerio de Relaciones Exteriores, </w:t>
      </w:r>
      <w:r w:rsidDel="00000000" w:rsidR="00000000" w:rsidRPr="00000000">
        <w:rPr>
          <w:rFonts w:ascii="Arial Narrow" w:cs="Arial Narrow" w:eastAsia="Arial Narrow" w:hAnsi="Arial Narrow"/>
          <w:sz w:val="18"/>
          <w:szCs w:val="18"/>
          <w:rtl w:val="0"/>
        </w:rPr>
        <w:t xml:space="preserve">Resolución 5477 de 2022</w:t>
      </w:r>
      <w:r w:rsidDel="00000000" w:rsidR="00000000" w:rsidRPr="00000000">
        <w:rPr>
          <w:rFonts w:ascii="Arial Narrow" w:cs="Arial Narrow" w:eastAsia="Arial Narrow" w:hAnsi="Arial Narrow"/>
          <w:sz w:val="18"/>
          <w:szCs w:val="18"/>
          <w:rtl w:val="0"/>
        </w:rPr>
        <w:t xml:space="preserve"> “Por la cual se establece la normativa aplicable a las visas”. Ministerio de Relaciones Exteriores de Colombia. . La sentencia T-250 de 2017 precisó que la discrecionalidad en trámites de visa no equivale a arbitrariedad, pues está limitada por el respeto al debido proceso, lo cual exige al menos una motivación mínima en la decisión.</w:t>
      </w:r>
    </w:p>
  </w:footnote>
  <w:footnote w:id="42">
    <w:p w:rsidR="00000000" w:rsidDel="00000000" w:rsidP="00000000" w:rsidRDefault="00000000" w:rsidRPr="00000000" w14:paraId="000000F9">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Grupos focales realizados en Bogotá, Necoclí, Cúcuta e Ipiales Marzo a junio de 2025.</w:t>
      </w:r>
    </w:p>
  </w:footnote>
  <w:footnote w:id="43">
    <w:p w:rsidR="00000000" w:rsidDel="00000000" w:rsidP="00000000" w:rsidRDefault="00000000" w:rsidRPr="00000000" w14:paraId="000000FA">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Ley 1482 de 2011, modificada por la Ley 1752 de 2015, penaliza los actos de discriminación motivados por orientación sexual e identidad de género.</w:t>
      </w:r>
    </w:p>
  </w:footnote>
  <w:footnote w:id="44">
    <w:p w:rsidR="00000000" w:rsidDel="00000000" w:rsidP="00000000" w:rsidRDefault="00000000" w:rsidRPr="00000000" w14:paraId="000000FB">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Grupo focal con personas LGBTIQ+ migrantes realizado en Ipiales- Colombia, Marzo de 2025.</w:t>
      </w:r>
    </w:p>
  </w:footnote>
  <w:footnote w:id="45">
    <w:p w:rsidR="00000000" w:rsidDel="00000000" w:rsidP="00000000" w:rsidRDefault="00000000" w:rsidRPr="00000000" w14:paraId="000000FC">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Según el artículo 13 de la Constitución Política, el Estado debe proteger especialmente a quienes se encuentren en condiciones de debilidad manifiesta; Código Penal, artículos 137 y 219: Tipifican la tortura y los actos sexuales abusivos cometidos por funcionarios públicos, constituyendo violaciones a derechos humanos.</w:t>
      </w:r>
    </w:p>
  </w:footnote>
  <w:footnote w:id="46">
    <w:p w:rsidR="00000000" w:rsidDel="00000000" w:rsidP="00000000" w:rsidRDefault="00000000" w:rsidRPr="00000000" w14:paraId="000000FD">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Grupo focal con personas LGBTIQ+ migrantes realizado en Necoclí- Colombia, Mayo de 2025. </w:t>
      </w:r>
    </w:p>
  </w:footnote>
  <w:footnote w:id="33">
    <w:p w:rsidR="00000000" w:rsidDel="00000000" w:rsidP="00000000" w:rsidRDefault="00000000" w:rsidRPr="00000000" w14:paraId="000000FE">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Disponible en: </w:t>
      </w:r>
      <w:hyperlink r:id="rId30">
        <w:r w:rsidDel="00000000" w:rsidR="00000000" w:rsidRPr="00000000">
          <w:rPr>
            <w:rFonts w:ascii="Arial Narrow" w:cs="Arial Narrow" w:eastAsia="Arial Narrow" w:hAnsi="Arial Narrow"/>
            <w:color w:val="1155cc"/>
            <w:sz w:val="18"/>
            <w:szCs w:val="18"/>
            <w:u w:val="single"/>
            <w:rtl w:val="0"/>
          </w:rPr>
          <w:t xml:space="preserve">https://colombiavisible.com/conozca-las-manifestaciones-que-conforman-la-lista-de-patrimonio-inmaterial-de-colombia/#:~:text=Desde%20g%C3%A9neros%20musicales%20como%20el,Patrimonio%20Inmaterial%20de%20la%20Humanidad</w:t>
        </w:r>
      </w:hyperlink>
      <w:r w:rsidDel="00000000" w:rsidR="00000000" w:rsidRPr="00000000">
        <w:rPr>
          <w:rFonts w:ascii="Arial Narrow" w:cs="Arial Narrow" w:eastAsia="Arial Narrow" w:hAnsi="Arial Narrow"/>
          <w:sz w:val="18"/>
          <w:szCs w:val="18"/>
          <w:rtl w:val="0"/>
        </w:rPr>
        <w:t xml:space="preserve">  </w:t>
      </w:r>
    </w:p>
  </w:footnote>
  <w:footnote w:id="34">
    <w:p w:rsidR="00000000" w:rsidDel="00000000" w:rsidP="00000000" w:rsidRDefault="00000000" w:rsidRPr="00000000" w14:paraId="000000FF">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Disponible en: </w:t>
      </w:r>
      <w:hyperlink r:id="rId31">
        <w:r w:rsidDel="00000000" w:rsidR="00000000" w:rsidRPr="00000000">
          <w:rPr>
            <w:rFonts w:ascii="Arial Narrow" w:cs="Arial Narrow" w:eastAsia="Arial Narrow" w:hAnsi="Arial Narrow"/>
            <w:color w:val="1155cc"/>
            <w:sz w:val="18"/>
            <w:szCs w:val="18"/>
            <w:u w:val="single"/>
            <w:rtl w:val="0"/>
          </w:rPr>
          <w:t xml:space="preserve">https://www.youtube.com/watch?v=vlhhm_3S_F8</w:t>
        </w:r>
      </w:hyperlink>
      <w:r w:rsidDel="00000000" w:rsidR="00000000" w:rsidRPr="00000000">
        <w:rPr>
          <w:rFonts w:ascii="Arial Narrow" w:cs="Arial Narrow" w:eastAsia="Arial Narrow" w:hAnsi="Arial Narrow"/>
          <w:sz w:val="18"/>
          <w:szCs w:val="18"/>
          <w:rtl w:val="0"/>
        </w:rPr>
        <w:t xml:space="preserve"> </w:t>
      </w:r>
    </w:p>
  </w:footnote>
  <w:footnote w:id="35">
    <w:p w:rsidR="00000000" w:rsidDel="00000000" w:rsidP="00000000" w:rsidRDefault="00000000" w:rsidRPr="00000000" w14:paraId="00000100">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Como se observa en el registro fotográfico consignado en la página de la UNESCO: </w:t>
      </w:r>
      <w:hyperlink r:id="rId32">
        <w:r w:rsidDel="00000000" w:rsidR="00000000" w:rsidRPr="00000000">
          <w:rPr>
            <w:rFonts w:ascii="Arial Narrow" w:cs="Arial Narrow" w:eastAsia="Arial Narrow" w:hAnsi="Arial Narrow"/>
            <w:color w:val="1155cc"/>
            <w:sz w:val="18"/>
            <w:szCs w:val="18"/>
            <w:u w:val="single"/>
            <w:rtl w:val="0"/>
          </w:rPr>
          <w:t xml:space="preserve">https://ich.unesco.org/es/RL/fiesta-de-san-francisco-de-asis-en-quibdo-colombia-00640</w:t>
        </w:r>
      </w:hyperlink>
      <w:r w:rsidDel="00000000" w:rsidR="00000000" w:rsidRPr="00000000">
        <w:rPr>
          <w:rFonts w:ascii="Arial Narrow" w:cs="Arial Narrow" w:eastAsia="Arial Narrow" w:hAnsi="Arial Narrow"/>
          <w:sz w:val="18"/>
          <w:szCs w:val="18"/>
          <w:rtl w:val="0"/>
        </w:rPr>
        <w:t xml:space="preserve"> </w:t>
      </w:r>
    </w:p>
    <w:p w:rsidR="00000000" w:rsidDel="00000000" w:rsidP="00000000" w:rsidRDefault="00000000" w:rsidRPr="00000000" w14:paraId="00000101">
      <w:pPr>
        <w:spacing w:line="240" w:lineRule="auto"/>
        <w:rPr>
          <w:sz w:val="20"/>
          <w:szCs w:val="20"/>
        </w:rPr>
      </w:pPr>
      <w:r w:rsidDel="00000000" w:rsidR="00000000" w:rsidRPr="00000000">
        <w:rPr>
          <w:rtl w:val="0"/>
        </w:rPr>
      </w:r>
    </w:p>
  </w:footnote>
  <w:footnote w:id="29">
    <w:p w:rsidR="00000000" w:rsidDel="00000000" w:rsidP="00000000" w:rsidRDefault="00000000" w:rsidRPr="00000000" w14:paraId="00000102">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Disponible en: </w:t>
      </w:r>
      <w:hyperlink r:id="rId33">
        <w:r w:rsidDel="00000000" w:rsidR="00000000" w:rsidRPr="00000000">
          <w:rPr>
            <w:rFonts w:ascii="Arial Narrow" w:cs="Arial Narrow" w:eastAsia="Arial Narrow" w:hAnsi="Arial Narrow"/>
            <w:color w:val="1155cc"/>
            <w:sz w:val="18"/>
            <w:szCs w:val="18"/>
            <w:u w:val="single"/>
            <w:rtl w:val="0"/>
          </w:rPr>
          <w:t xml:space="preserve">https://www.acnur.org/fileadmin/Documentos/BDL/2012/8793.pdf</w:t>
        </w:r>
      </w:hyperlink>
      <w:r w:rsidDel="00000000" w:rsidR="00000000" w:rsidRPr="00000000">
        <w:rPr>
          <w:rFonts w:ascii="Arial Narrow" w:cs="Arial Narrow" w:eastAsia="Arial Narrow" w:hAnsi="Arial Narrow"/>
          <w:sz w:val="18"/>
          <w:szCs w:val="18"/>
          <w:rtl w:val="0"/>
        </w:rPr>
        <w:t xml:space="preserve"> </w:t>
      </w:r>
    </w:p>
  </w:footnote>
  <w:footnote w:id="30">
    <w:p w:rsidR="00000000" w:rsidDel="00000000" w:rsidP="00000000" w:rsidRDefault="00000000" w:rsidRPr="00000000" w14:paraId="00000103">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Ibídem. Párr.7</w:t>
      </w:r>
    </w:p>
  </w:footnote>
  <w:footnote w:id="31">
    <w:p w:rsidR="00000000" w:rsidDel="00000000" w:rsidP="00000000" w:rsidRDefault="00000000" w:rsidRPr="00000000" w14:paraId="00000104">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En sus diferentes expresiones: </w:t>
      </w:r>
      <w:r w:rsidDel="00000000" w:rsidR="00000000" w:rsidRPr="00000000">
        <w:rPr>
          <w:rFonts w:ascii="Arial Narrow" w:cs="Arial Narrow" w:eastAsia="Arial Narrow" w:hAnsi="Arial Narrow"/>
          <w:sz w:val="18"/>
          <w:szCs w:val="18"/>
          <w:rtl w:val="0"/>
        </w:rPr>
        <w:t xml:space="preserve">d</w:t>
      </w:r>
      <w:r w:rsidDel="00000000" w:rsidR="00000000" w:rsidRPr="00000000">
        <w:rPr>
          <w:rFonts w:ascii="Arial Narrow" w:cs="Arial Narrow" w:eastAsia="Arial Narrow" w:hAnsi="Arial Narrow"/>
          <w:sz w:val="18"/>
          <w:szCs w:val="18"/>
          <w:rtl w:val="0"/>
        </w:rPr>
        <w:t xml:space="preserve">erecho a participar en la vida cultural, derecho a gozar de los beneficios del progreso científico y de sus aplicaciones, derecho a beneficiarse de la protección de los intereses morales y materiales que le correspondan por razón de las producciones científicas, literarias o artísticas de que sea autor, derecho a la indispensable libertad para la investigación científica y la actividad creadora</w:t>
      </w:r>
      <w:r w:rsidDel="00000000" w:rsidR="00000000" w:rsidRPr="00000000">
        <w:rPr>
          <w:rFonts w:ascii="Arial Narrow" w:cs="Arial Narrow" w:eastAsia="Arial Narrow" w:hAnsi="Arial Narrow"/>
          <w:sz w:val="18"/>
          <w:szCs w:val="18"/>
          <w:rtl w:val="0"/>
        </w:rPr>
        <w:t xml:space="preserve"> (Art. 15 PIDESC)</w:t>
      </w:r>
      <w:r w:rsidDel="00000000" w:rsidR="00000000" w:rsidRPr="00000000">
        <w:rPr>
          <w:rtl w:val="0"/>
        </w:rPr>
      </w:r>
    </w:p>
  </w:footnote>
  <w:footnote w:id="39">
    <w:p w:rsidR="00000000" w:rsidDel="00000000" w:rsidP="00000000" w:rsidRDefault="00000000" w:rsidRPr="00000000" w14:paraId="00000105">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Ministerio de Relaciones Exteriores, </w:t>
      </w:r>
      <w:r w:rsidDel="00000000" w:rsidR="00000000" w:rsidRPr="00000000">
        <w:rPr>
          <w:rFonts w:ascii="Arial Narrow" w:cs="Arial Narrow" w:eastAsia="Arial Narrow" w:hAnsi="Arial Narrow"/>
          <w:i w:val="1"/>
          <w:sz w:val="18"/>
          <w:szCs w:val="18"/>
          <w:rtl w:val="0"/>
        </w:rPr>
        <w:t xml:space="preserve">Resolución 5477 de 2022</w:t>
      </w:r>
      <w:r w:rsidDel="00000000" w:rsidR="00000000" w:rsidRPr="00000000">
        <w:rPr>
          <w:rFonts w:ascii="Arial Narrow" w:cs="Arial Narrow" w:eastAsia="Arial Narrow" w:hAnsi="Arial Narrow"/>
          <w:sz w:val="18"/>
          <w:szCs w:val="18"/>
          <w:rtl w:val="0"/>
        </w:rPr>
        <w:t xml:space="preserve">, artículo 105: “Se entiende por traspaso de visa el procedimiento mediante el cual, por solicitud del titular, se autoriza o no la reexpedición de una visa ya expedida, siempre y cuando use la misma nacionalidad con que la obtuvo”.</w:t>
      </w:r>
    </w:p>
  </w:footnote>
  <w:footnote w:id="40">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Numerosas jurisdicciones mantienen legislaciones que penalizan tanto la homosexualidad como la expresión de identidad de género trans. Según el informe </w:t>
      </w:r>
      <w:r w:rsidDel="00000000" w:rsidR="00000000" w:rsidRPr="00000000">
        <w:rPr>
          <w:rFonts w:ascii="Arial Narrow" w:cs="Arial Narrow" w:eastAsia="Arial Narrow" w:hAnsi="Arial Narrow"/>
          <w:sz w:val="18"/>
          <w:szCs w:val="18"/>
          <w:rtl w:val="0"/>
        </w:rPr>
        <w:t xml:space="preserve">Laws on Us</w:t>
      </w:r>
      <w:r w:rsidDel="00000000" w:rsidR="00000000" w:rsidRPr="00000000">
        <w:rPr>
          <w:rFonts w:ascii="Arial Narrow" w:cs="Arial Narrow" w:eastAsia="Arial Narrow" w:hAnsi="Arial Narrow"/>
          <w:sz w:val="18"/>
          <w:szCs w:val="18"/>
          <w:rtl w:val="0"/>
        </w:rPr>
        <w:t xml:space="preserve"> (ILGA World, 2024), el 32 % de los Estados miembro de la ONU criminalizan actos sexuales consensuales entre personas del mismo sexo, y al menos 13 países criminalizan explícitamente la identidad o expresión de género trans.</w:t>
      </w:r>
    </w:p>
  </w:footnote>
  <w:footnote w:id="32">
    <w:p w:rsidR="00000000" w:rsidDel="00000000" w:rsidP="00000000" w:rsidRDefault="00000000" w:rsidRPr="00000000" w14:paraId="00000107">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Personas con discapacidad, afrodescendientes, indígenas, menores y personas adultas mayores.</w:t>
      </w:r>
    </w:p>
  </w:footnote>
  <w:footnote w:id="1">
    <w:p w:rsidR="00000000" w:rsidDel="00000000" w:rsidP="00000000" w:rsidRDefault="00000000" w:rsidRPr="00000000" w14:paraId="00000109">
      <w:pPr>
        <w:spacing w:line="240" w:lineRule="auto"/>
        <w:rPr>
          <w:rFonts w:ascii="Arial Narrow" w:cs="Arial Narrow" w:eastAsia="Arial Narrow" w:hAnsi="Arial Narrow"/>
          <w:color w:val="444746"/>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Narrow" w:cs="Arial Narrow" w:eastAsia="Arial Narrow" w:hAnsi="Arial Narrow"/>
          <w:color w:val="444746"/>
          <w:sz w:val="18"/>
          <w:szCs w:val="18"/>
          <w:rtl w:val="0"/>
        </w:rPr>
        <w:t xml:space="preserve">Correo institucional: </w:t>
      </w:r>
      <w:r w:rsidDel="00000000" w:rsidR="00000000" w:rsidRPr="00000000">
        <w:rPr>
          <w:rFonts w:ascii="Arial Narrow" w:cs="Arial Narrow" w:eastAsia="Arial Narrow" w:hAnsi="Arial Narrow"/>
          <w:color w:val="0b57d0"/>
          <w:sz w:val="18"/>
          <w:szCs w:val="18"/>
          <w:rtl w:val="0"/>
        </w:rPr>
        <w:t xml:space="preserve">litiganteslgbtamericas@gmail.com</w:t>
      </w:r>
      <w:r w:rsidDel="00000000" w:rsidR="00000000" w:rsidRPr="00000000">
        <w:rPr>
          <w:rFonts w:ascii="Arial Narrow" w:cs="Arial Narrow" w:eastAsia="Arial Narrow" w:hAnsi="Arial Narrow"/>
          <w:color w:val="444746"/>
          <w:sz w:val="18"/>
          <w:szCs w:val="18"/>
          <w:rtl w:val="0"/>
        </w:rPr>
        <w:t xml:space="preserve">, sitio web: </w:t>
      </w:r>
      <w:hyperlink r:id="rId34">
        <w:r w:rsidDel="00000000" w:rsidR="00000000" w:rsidRPr="00000000">
          <w:rPr>
            <w:rFonts w:ascii="Arial Narrow" w:cs="Arial Narrow" w:eastAsia="Arial Narrow" w:hAnsi="Arial Narrow"/>
            <w:color w:val="0b57d0"/>
            <w:sz w:val="18"/>
            <w:szCs w:val="18"/>
            <w:rtl w:val="0"/>
          </w:rPr>
          <w:t xml:space="preserve">www.litiganteslgbt.org</w:t>
        </w:r>
      </w:hyperlink>
      <w:r w:rsidDel="00000000" w:rsidR="00000000" w:rsidRPr="00000000">
        <w:rPr>
          <w:rFonts w:ascii="Arial Narrow" w:cs="Arial Narrow" w:eastAsia="Arial Narrow" w:hAnsi="Arial Narrow"/>
          <w:color w:val="444746"/>
          <w:sz w:val="18"/>
          <w:szCs w:val="18"/>
          <w:rtl w:val="0"/>
        </w:rPr>
        <w:t xml:space="preserve">.</w:t>
      </w:r>
    </w:p>
    <w:p w:rsidR="00000000" w:rsidDel="00000000" w:rsidP="00000000" w:rsidRDefault="00000000" w:rsidRPr="00000000" w14:paraId="0000010A">
      <w:pPr>
        <w:shd w:fill="ffffff" w:val="clear"/>
        <w:spacing w:line="240" w:lineRule="auto"/>
        <w:rPr>
          <w:rFonts w:ascii="Roboto" w:cs="Roboto" w:eastAsia="Roboto" w:hAnsi="Roboto"/>
          <w:sz w:val="21"/>
          <w:szCs w:val="21"/>
        </w:rPr>
      </w:pPr>
      <w:r w:rsidDel="00000000" w:rsidR="00000000" w:rsidRPr="00000000">
        <w:rPr>
          <w:rtl w:val="0"/>
        </w:rPr>
      </w:r>
    </w:p>
    <w:p w:rsidR="00000000" w:rsidDel="00000000" w:rsidP="00000000" w:rsidRDefault="00000000" w:rsidRPr="00000000" w14:paraId="0000010B">
      <w:pPr>
        <w:spacing w:line="240" w:lineRule="auto"/>
        <w:rPr>
          <w:sz w:val="20"/>
          <w:szCs w:val="20"/>
        </w:rPr>
      </w:pPr>
      <w:r w:rsidDel="00000000" w:rsidR="00000000" w:rsidRPr="00000000">
        <w:rPr>
          <w:rtl w:val="0"/>
        </w:rPr>
      </w:r>
    </w:p>
  </w:footnote>
  <w:footnote w:id="0">
    <w:p w:rsidR="00000000" w:rsidDel="00000000" w:rsidP="00000000" w:rsidRDefault="00000000" w:rsidRPr="00000000" w14:paraId="0000010C">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color w:val="444746"/>
          <w:sz w:val="18"/>
          <w:szCs w:val="18"/>
          <w:rtl w:val="0"/>
        </w:rPr>
        <w:t xml:space="preserve">Correo institucional: </w:t>
      </w:r>
      <w:r w:rsidDel="00000000" w:rsidR="00000000" w:rsidRPr="00000000">
        <w:rPr>
          <w:rFonts w:ascii="Arial Narrow" w:cs="Arial Narrow" w:eastAsia="Arial Narrow" w:hAnsi="Arial Narrow"/>
          <w:color w:val="0b57d0"/>
          <w:sz w:val="18"/>
          <w:szCs w:val="18"/>
          <w:rtl w:val="0"/>
        </w:rPr>
        <w:t xml:space="preserve">litigio@colombiadiversa.org</w:t>
      </w:r>
      <w:r w:rsidDel="00000000" w:rsidR="00000000" w:rsidRPr="00000000">
        <w:rPr>
          <w:rFonts w:ascii="Arial Narrow" w:cs="Arial Narrow" w:eastAsia="Arial Narrow" w:hAnsi="Arial Narrow"/>
          <w:color w:val="444746"/>
          <w:sz w:val="18"/>
          <w:szCs w:val="18"/>
          <w:rtl w:val="0"/>
        </w:rPr>
        <w:t xml:space="preserve">, sitio web: </w:t>
      </w:r>
      <w:hyperlink r:id="rId35">
        <w:r w:rsidDel="00000000" w:rsidR="00000000" w:rsidRPr="00000000">
          <w:rPr>
            <w:rFonts w:ascii="Arial Narrow" w:cs="Arial Narrow" w:eastAsia="Arial Narrow" w:hAnsi="Arial Narrow"/>
            <w:color w:val="1155cc"/>
            <w:sz w:val="18"/>
            <w:szCs w:val="18"/>
            <w:u w:val="single"/>
            <w:rtl w:val="0"/>
          </w:rPr>
          <w:t xml:space="preserve">www.colombiadiversa.org</w:t>
        </w:r>
      </w:hyperlink>
      <w:r w:rsidDel="00000000" w:rsidR="00000000" w:rsidRPr="00000000">
        <w:rPr>
          <w:rFonts w:ascii="Arial Narrow" w:cs="Arial Narrow" w:eastAsia="Arial Narrow" w:hAnsi="Arial Narrow"/>
          <w:color w:val="444746"/>
          <w:sz w:val="18"/>
          <w:szCs w:val="18"/>
          <w:rtl w:val="0"/>
        </w:rPr>
        <w:t xml:space="preserve">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-246843</wp:posOffset>
          </wp:positionV>
          <wp:extent cx="1381238" cy="942169"/>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381238" cy="94216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4326375</wp:posOffset>
          </wp:positionH>
          <wp:positionV relativeFrom="paragraph">
            <wp:posOffset>-247649</wp:posOffset>
          </wp:positionV>
          <wp:extent cx="1423242" cy="757238"/>
          <wp:effectExtent b="0" l="0" r="0" t="0"/>
          <wp:wrapNone/>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423242" cy="75723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s://colombiadiversa.org/c-diversa/wp-content/uploads/2020/04/publicaci%25C3%25B3n-7-_-Informe-de-violaciones-a-los-derechos-humanos-de-personas-LGBT-en-Colombia-en-2018.pdf" TargetMode="External"/><Relationship Id="rId22" Type="http://schemas.openxmlformats.org/officeDocument/2006/relationships/hyperlink" Target="https://colombiadiversa.org/c-diversa/wp-content/uploads/2025/05/Acceso-a-salud-de-personas-trans-LATAM-Colombia-Diversa.pdf" TargetMode="External"/><Relationship Id="rId21" Type="http://schemas.openxmlformats.org/officeDocument/2006/relationships/hyperlink" Target="https://colombiadiversa.org/c-diversa/wp-content/uploads/2025/05/Acceso-a-salud-de-personas-trans-LATAM-Colombia-Diversa.pdf" TargetMode="External"/><Relationship Id="rId24" Type="http://schemas.openxmlformats.org/officeDocument/2006/relationships/hyperlink" Target="https://www.sdp.gov.co/noticias/administracion-distrital-entrega-la-primera-clinica-de-genero-publica-bogota" TargetMode="External"/><Relationship Id="rId23" Type="http://schemas.openxmlformats.org/officeDocument/2006/relationships/hyperlink" Target="https://bogota.gov.co/mi-ciudad/salud/distrito-entrega-servicio-de-salud-la-poblacion-lgbti" TargetMode="External"/><Relationship Id="rId1" Type="http://schemas.openxmlformats.org/officeDocument/2006/relationships/hyperlink" Target="http://tbinternet.ohchr.org/_layouts/treatybodyexternal/Download.aspx?symbolno=E%2fC.12%2f1999%2f10&amp;Lang=en" TargetMode="External"/><Relationship Id="rId2" Type="http://schemas.openxmlformats.org/officeDocument/2006/relationships/hyperlink" Target="http://tbinternet.ohchr.org/_layouts/treatybodyexternal/Download.aspx?symbolno=E%2fC.12%2f1999%2f10&amp;Lang=en" TargetMode="External"/><Relationship Id="rId3" Type="http://schemas.openxmlformats.org/officeDocument/2006/relationships/hyperlink" Target="http://www.colombiadiversa.org" TargetMode="External"/><Relationship Id="rId4" Type="http://schemas.openxmlformats.org/officeDocument/2006/relationships/hyperlink" Target="http://www.colombiadiversa.org" TargetMode="External"/><Relationship Id="rId9" Type="http://schemas.openxmlformats.org/officeDocument/2006/relationships/hyperlink" Target="https://colombiadiversa.org/c-diversa/wp-content/uploads/2024/12/Bolet%C3%ADn-amenazas-contra-personas-LGBTIQ-2023.pdf" TargetMode="External"/><Relationship Id="rId26" Type="http://schemas.openxmlformats.org/officeDocument/2006/relationships/hyperlink" Target="https://www.cali.gov.co/salud/publicaciones/172864/la-primera-institucion-de-salud-con-enfoque-de-genero-en-cali-cumplio-un-mes-de-funcionamiento/" TargetMode="External"/><Relationship Id="rId25" Type="http://schemas.openxmlformats.org/officeDocument/2006/relationships/hyperlink" Target="https://www.sdp.gov.co/noticias/administracion-distrital-entrega-la-primera-clinica-de-genero-publica-bogota" TargetMode="External"/><Relationship Id="rId28" Type="http://schemas.openxmlformats.org/officeDocument/2006/relationships/hyperlink" Target="https://repositorio.defensoria.gov.co/bitstream/handle/20.500.13061/371/Informe%2520OSIGD%2520ver1.pdf?sequence=1&amp;isAllowed=y" TargetMode="External"/><Relationship Id="rId27" Type="http://schemas.openxmlformats.org/officeDocument/2006/relationships/hyperlink" Target="https://www.cali.gov.co/salud/publicaciones/172864/la-primera-institucion-de-salud-con-enfoque-de-genero-en-cali-cumplio-un-mes-de-funcionamiento/" TargetMode="External"/><Relationship Id="rId5" Type="http://schemas.openxmlformats.org/officeDocument/2006/relationships/hyperlink" Target="https://colaboracion.dnp.gov.co/CDT/Conpes/Econ%C3%B3micos/4147.pdf" TargetMode="External"/><Relationship Id="rId6" Type="http://schemas.openxmlformats.org/officeDocument/2006/relationships/hyperlink" Target="https://colombiadiversa.org/c-diversa/wp-content/uploads/2024/07/Boletin-homicidios-LGBT.pdf" TargetMode="External"/><Relationship Id="rId29" Type="http://schemas.openxmlformats.org/officeDocument/2006/relationships/hyperlink" Target="https://repositorio.defensoria.gov.co/bitstream/handle/20.500.13061/371/Informe%2520OSIGD%2520ver1.pdf?sequence=1&amp;isAllowed=y" TargetMode="External"/><Relationship Id="rId7" Type="http://schemas.openxmlformats.org/officeDocument/2006/relationships/hyperlink" Target="https://colombiadiversa.org/c-diversa/wp-content/uploads/2024/07/Boletin-homicidios-LGBT.pdf" TargetMode="External"/><Relationship Id="rId8" Type="http://schemas.openxmlformats.org/officeDocument/2006/relationships/hyperlink" Target="https://colombiadiversa.org/c-diversa/wp-content/uploads/2024/11/Violencia-policial-contra-personas-LGBTIQ-2023.pdf" TargetMode="External"/><Relationship Id="rId31" Type="http://schemas.openxmlformats.org/officeDocument/2006/relationships/hyperlink" Target="https://www.youtube.com/watch?v=vlhhm_3S_F8" TargetMode="External"/><Relationship Id="rId30" Type="http://schemas.openxmlformats.org/officeDocument/2006/relationships/hyperlink" Target="https://colombiavisible.com/conozca-las-manifestaciones-que-conforman-la-lista-de-patrimonio-inmaterial-de-colombia/#:~:text=Desde%20g%C3%A9neros%20musicales%20como%20el,Patrimonio%20Inmaterial%20de%20la%20Humanidad" TargetMode="External"/><Relationship Id="rId11" Type="http://schemas.openxmlformats.org/officeDocument/2006/relationships/hyperlink" Target="https://colombiadiversa.org/c-diversa/wp-content/uploads/2023/12/InformeDDHHColDIV2022-2.pdf" TargetMode="External"/><Relationship Id="rId33" Type="http://schemas.openxmlformats.org/officeDocument/2006/relationships/hyperlink" Target="https://www.acnur.org/fileadmin/Documentos/BDL/2012/8793.pdf" TargetMode="External"/><Relationship Id="rId10" Type="http://schemas.openxmlformats.org/officeDocument/2006/relationships/hyperlink" Target="https://colombiadiversa.org/c-diversa/wp-content/uploads/2024/12/Bolet%C3%ADn-amenazas-contra-personas-LGBTIQ-2023.pdf" TargetMode="External"/><Relationship Id="rId32" Type="http://schemas.openxmlformats.org/officeDocument/2006/relationships/hyperlink" Target="https://ich.unesco.org/es/RL/fiesta-de-san-francisco-de-asis-en-quibdo-colombia-00640" TargetMode="External"/><Relationship Id="rId13" Type="http://schemas.openxmlformats.org/officeDocument/2006/relationships/hyperlink" Target="https://colombiadiversa.org/c-diversa/wp-content/uploads/2022/11/Informe-derechos-humanos_Colombia-Diversa.pdf" TargetMode="External"/><Relationship Id="rId35" Type="http://schemas.openxmlformats.org/officeDocument/2006/relationships/hyperlink" Target="http://www.colombiadiversa.org" TargetMode="External"/><Relationship Id="rId12" Type="http://schemas.openxmlformats.org/officeDocument/2006/relationships/hyperlink" Target="https://colombiadiversa.org/c-diversa/wp-content/uploads/2023/12/InformeDDHHColDIV2022-2.pdf" TargetMode="External"/><Relationship Id="rId34" Type="http://schemas.openxmlformats.org/officeDocument/2006/relationships/hyperlink" Target="http://www.litiganteslgbt.org" TargetMode="External"/><Relationship Id="rId15" Type="http://schemas.openxmlformats.org/officeDocument/2006/relationships/hyperlink" Target="https://colombiadiversa.org/c-diversa/wp-content/uploads/2021/06/Nada_que_celebrar_cifras-asesinatos_personas_-LGBT_2020.pdf" TargetMode="External"/><Relationship Id="rId14" Type="http://schemas.openxmlformats.org/officeDocument/2006/relationships/hyperlink" Target="https://colombiadiversa.org/c-diversa/wp-content/uploads/2022/11/Informe-derechos-humanos_Colombia-Diversa.pdf" TargetMode="External"/><Relationship Id="rId17" Type="http://schemas.openxmlformats.org/officeDocument/2006/relationships/hyperlink" Target="https://colombiadiversa.org/c-diversa/wp-content/uploads/2021/03/Mas-Que-Cifras-2019.pdf" TargetMode="External"/><Relationship Id="rId16" Type="http://schemas.openxmlformats.org/officeDocument/2006/relationships/hyperlink" Target="https://colombiadiversa.org/c-diversa/wp-content/uploads/2021/06/Nada_que_celebrar_cifras-asesinatos_personas_-LGBT_2020.pdf" TargetMode="External"/><Relationship Id="rId19" Type="http://schemas.openxmlformats.org/officeDocument/2006/relationships/hyperlink" Target="https://colombiadiversa.org/c-diversa/wp-content/uploads/2020/04/publicaci%25C3%25B3n-7-_-Informe-de-violaciones-a-los-derechos-humanos-de-personas-LGBT-en-Colombia-en-2018.pdf" TargetMode="External"/><Relationship Id="rId18" Type="http://schemas.openxmlformats.org/officeDocument/2006/relationships/hyperlink" Target="https://colombiadiversa.org/c-diversa/wp-content/uploads/2021/03/Mas-Que-Cifras-201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