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1.jpeg" ContentType="image/jpeg"/>
  <Override PartName="/word/media/image2.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Times New Roman" w:hAnsi="Times New Roman"/>
          <w:sz w:val="24"/>
          <w:szCs w:val="24"/>
        </w:rPr>
      </w:pPr>
      <w:r>
        <w:rPr>
          <w:rFonts w:ascii="Times New Roman" w:hAnsi="Times New Roman"/>
          <w:sz w:val="24"/>
          <w:szCs w:val="24"/>
        </w:rPr>
        <mc:AlternateContent>
          <mc:Choice Requires="wpg">
            <w:drawing>
              <wp:anchor distT="57150" distB="57150" distL="57150" distR="57150" simplePos="0" relativeHeight="251659264" behindDoc="0" locked="0" layoutInCell="1" allowOverlap="1">
                <wp:simplePos x="0" y="0"/>
                <wp:positionH relativeFrom="page">
                  <wp:posOffset>271462</wp:posOffset>
                </wp:positionH>
                <wp:positionV relativeFrom="line">
                  <wp:posOffset>0</wp:posOffset>
                </wp:positionV>
                <wp:extent cx="7229476" cy="475616"/>
                <wp:effectExtent l="0" t="0" r="0" b="0"/>
                <wp:wrapThrough wrapText="bothSides" distL="57150" distR="57150">
                  <wp:wrapPolygon edited="1">
                    <wp:start x="0" y="0"/>
                    <wp:lineTo x="21600" y="0"/>
                    <wp:lineTo x="21600" y="21600"/>
                    <wp:lineTo x="0" y="21600"/>
                    <wp:lineTo x="0" y="0"/>
                  </wp:wrapPolygon>
                </wp:wrapThrough>
                <wp:docPr id="1073741829" name="officeArt object" descr="Group 5"/>
                <wp:cNvGraphicFramePr/>
                <a:graphic xmlns:a="http://schemas.openxmlformats.org/drawingml/2006/main">
                  <a:graphicData uri="http://schemas.microsoft.com/office/word/2010/wordprocessingGroup">
                    <wpg:wgp>
                      <wpg:cNvGrpSpPr/>
                      <wpg:grpSpPr>
                        <a:xfrm>
                          <a:off x="0" y="0"/>
                          <a:ext cx="7229476" cy="475616"/>
                          <a:chOff x="0" y="0"/>
                          <a:chExt cx="7229475" cy="475615"/>
                        </a:xfrm>
                      </wpg:grpSpPr>
                      <pic:pic xmlns:pic="http://schemas.openxmlformats.org/drawingml/2006/picture">
                        <pic:nvPicPr>
                          <pic:cNvPr id="1073741826" name="Picture 2" descr="Picture 2"/>
                          <pic:cNvPicPr>
                            <a:picLocks noChangeAspect="1"/>
                          </pic:cNvPicPr>
                        </pic:nvPicPr>
                        <pic:blipFill>
                          <a:blip r:embed="rId4">
                            <a:extLst/>
                          </a:blip>
                          <a:srcRect l="0" t="0" r="21635" b="0"/>
                          <a:stretch>
                            <a:fillRect/>
                          </a:stretch>
                        </pic:blipFill>
                        <pic:spPr>
                          <a:xfrm>
                            <a:off x="-1" y="0"/>
                            <a:ext cx="2505076" cy="438151"/>
                          </a:xfrm>
                          <a:prstGeom prst="rect">
                            <a:avLst/>
                          </a:prstGeom>
                          <a:ln w="12700" cap="flat">
                            <a:noFill/>
                            <a:miter lim="400000"/>
                          </a:ln>
                          <a:effectLst/>
                        </pic:spPr>
                      </pic:pic>
                      <pic:pic xmlns:pic="http://schemas.openxmlformats.org/drawingml/2006/picture">
                        <pic:nvPicPr>
                          <pic:cNvPr id="1073741827" name="officeArt object" descr="officeArt object"/>
                          <pic:cNvPicPr>
                            <a:picLocks noChangeAspect="1"/>
                          </pic:cNvPicPr>
                        </pic:nvPicPr>
                        <pic:blipFill>
                          <a:blip r:embed="rId5">
                            <a:extLst/>
                          </a:blip>
                          <a:stretch>
                            <a:fillRect/>
                          </a:stretch>
                        </pic:blipFill>
                        <pic:spPr>
                          <a:xfrm>
                            <a:off x="4533900" y="9525"/>
                            <a:ext cx="2695576" cy="466091"/>
                          </a:xfrm>
                          <a:prstGeom prst="rect">
                            <a:avLst/>
                          </a:prstGeom>
                          <a:ln w="12700" cap="flat">
                            <a:noFill/>
                            <a:miter lim="400000"/>
                          </a:ln>
                          <a:effectLst/>
                        </pic:spPr>
                      </pic:pic>
                      <pic:pic xmlns:pic="http://schemas.openxmlformats.org/drawingml/2006/picture">
                        <pic:nvPicPr>
                          <pic:cNvPr id="1073741828" name="Picture 4" descr="Picture 4"/>
                          <pic:cNvPicPr>
                            <a:picLocks noChangeAspect="1"/>
                          </pic:cNvPicPr>
                        </pic:nvPicPr>
                        <pic:blipFill>
                          <a:blip r:embed="rId6">
                            <a:extLst/>
                          </a:blip>
                          <a:stretch>
                            <a:fillRect/>
                          </a:stretch>
                        </pic:blipFill>
                        <pic:spPr>
                          <a:xfrm>
                            <a:off x="2638424" y="28575"/>
                            <a:ext cx="1752601" cy="403226"/>
                          </a:xfrm>
                          <a:prstGeom prst="rect">
                            <a:avLst/>
                          </a:prstGeom>
                          <a:ln w="12700" cap="flat">
                            <a:noFill/>
                            <a:miter lim="400000"/>
                          </a:ln>
                          <a:effectLst/>
                        </pic:spPr>
                      </pic:pic>
                    </wpg:wgp>
                  </a:graphicData>
                </a:graphic>
              </wp:anchor>
            </w:drawing>
          </mc:Choice>
          <mc:Fallback>
            <w:pict>
              <v:group id="_x0000_s1026" style="visibility:visible;position:absolute;margin-left:21.4pt;margin-top:0.0pt;width:569.2pt;height:37.5pt;z-index:251659264;mso-position-horizontal:absolute;mso-position-horizontal-relative:page;mso-position-vertical:absolute;mso-position-vertical-relative:line;mso-wrap-distance-left:4.5pt;mso-wrap-distance-top:4.5pt;mso-wrap-distance-right:4.5pt;mso-wrap-distance-bottom:4.5pt;" coordorigin="0,0" coordsize="7229475,475615">
                <w10:wrap type="through" side="bothSides" anchorx="page"/>
                <v:shape id="_x0000_s1027" type="#_x0000_t75" style="position:absolute;left:0;top:0;width:2505075;height:438150;">
                  <v:imagedata r:id="rId4" o:title="image1.png" cropright="21.6%"/>
                </v:shape>
                <v:shape id="_x0000_s1028" type="#_x0000_t75" style="position:absolute;left:4533900;top:9525;width:2695575;height:466090;">
                  <v:imagedata r:id="rId5" o:title="image2.jpeg"/>
                </v:shape>
                <v:shape id="_x0000_s1029" type="#_x0000_t75" style="position:absolute;left:2638425;top:28575;width:1752600;height:403225;">
                  <v:imagedata r:id="rId6" o:title="image3.jpeg"/>
                </v:shape>
              </v:group>
            </w:pict>
          </mc:Fallback>
        </mc:AlternateContent>
      </w:r>
      <w:r>
        <w:rPr>
          <w:rFonts w:ascii="Arial Unicode MS" w:cs="Arial Unicode MS" w:hAnsi="Arial Unicode MS" w:eastAsia="Arial Unicode MS"/>
          <w:b w:val="0"/>
          <w:bCs w:val="0"/>
          <w:i w:val="0"/>
          <w:iCs w:val="0"/>
          <w:sz w:val="24"/>
          <w:szCs w:val="24"/>
        </w:rPr>
        <w:br w:type="textWrapping"/>
      </w:r>
    </w:p>
    <w:p>
      <w:pPr>
        <w:pStyle w:val="Body"/>
        <w:jc w:val="center"/>
        <w:rPr>
          <w:rFonts w:ascii="Times New Roman" w:cs="Times New Roman" w:hAnsi="Times New Roman" w:eastAsia="Times New Roman"/>
          <w:sz w:val="24"/>
          <w:szCs w:val="24"/>
        </w:rPr>
      </w:pPr>
      <w:r>
        <w:rPr>
          <w:rFonts w:ascii="Times New Roman" w:hAnsi="Times New Roman"/>
          <w:sz w:val="24"/>
          <w:szCs w:val="24"/>
          <w:rtl w:val="0"/>
          <w:lang w:val="en-US"/>
        </w:rPr>
        <w:t>Submission to the Committee on Economic, Social and Cultural Rights</w:t>
      </w:r>
    </w:p>
    <w:p>
      <w:pPr>
        <w:pStyle w:val="Body"/>
        <w:spacing w:after="0"/>
        <w:jc w:val="center"/>
        <w:rPr>
          <w:rFonts w:ascii="Times New Roman" w:cs="Times New Roman" w:hAnsi="Times New Roman" w:eastAsia="Times New Roman"/>
          <w:sz w:val="24"/>
          <w:szCs w:val="24"/>
        </w:rPr>
      </w:pPr>
      <w:r>
        <w:rPr>
          <w:rFonts w:ascii="Times New Roman" w:hAnsi="Times New Roman"/>
          <w:sz w:val="24"/>
          <w:szCs w:val="24"/>
          <w:rtl w:val="0"/>
          <w:lang w:val="en-US"/>
        </w:rPr>
        <w:t>64th Session, 11-15 March 2019</w:t>
      </w:r>
    </w:p>
    <w:p>
      <w:pPr>
        <w:pStyle w:val="Body"/>
        <w:spacing w:after="0"/>
        <w:jc w:val="center"/>
        <w:rPr>
          <w:rFonts w:ascii="Times New Roman" w:cs="Times New Roman" w:hAnsi="Times New Roman" w:eastAsia="Times New Roman"/>
          <w:sz w:val="28"/>
          <w:szCs w:val="28"/>
        </w:rPr>
      </w:pPr>
    </w:p>
    <w:p>
      <w:pPr>
        <w:pStyle w:val="Body"/>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Tobacco Control and the Right to Health - </w:t>
      </w:r>
      <w:r>
        <w:rPr>
          <w:rFonts w:ascii="Times New Roman" w:hAnsi="Times New Roman"/>
          <w:b w:val="1"/>
          <w:bCs w:val="1"/>
          <w:sz w:val="28"/>
          <w:szCs w:val="28"/>
          <w:rtl w:val="0"/>
          <w:lang w:val="en-US"/>
        </w:rPr>
        <w:t>Ecuador</w:t>
      </w:r>
    </w:p>
    <w:p>
      <w:pPr>
        <w:pStyle w:val="Body"/>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Tobacco will kill an estimated one billion people in the 21</w:t>
      </w:r>
      <w:r>
        <w:rPr>
          <w:rFonts w:ascii="Times New Roman" w:hAnsi="Times New Roman"/>
          <w:sz w:val="24"/>
          <w:szCs w:val="24"/>
          <w:vertAlign w:val="superscript"/>
          <w:rtl w:val="0"/>
        </w:rPr>
        <w:t>st</w:t>
      </w:r>
      <w:r>
        <w:rPr>
          <w:rFonts w:ascii="Times New Roman" w:hAnsi="Times New Roman"/>
          <w:sz w:val="24"/>
          <w:szCs w:val="24"/>
          <w:rtl w:val="0"/>
          <w:lang w:val="en-US"/>
        </w:rPr>
        <w:t xml:space="preserve"> century in the absence of aggressive action by governments to advance tobacco control and smoking cessation. Eighty percent of these deaths will be in developing countries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those least able to manage this epidemic. One in two people with a lifetime history of smoking will die from a tobacco related disease and 50% of these deaths will be in middle age. The human stories behind these statistics are so often heartbreaking. Not only illness and death, but also the impact on families due to loss of primary breadwinners, the toxic exposures and lost educational opportunities for children who work in tobacco farming, environmental degradation through deforestation and runoff of pesticides into rivers and streams, and the contribution of tobacco purchases to increased poverty and malnutrition. The World Health Organization projects increasing numbers of people who smoke, particularly as populations grow, over the next 20 years, with women in low- and middle-income countries being a particular target of tobacco marketing. </w:t>
      </w:r>
    </w:p>
    <w:p>
      <w:pPr>
        <w:pStyle w:val="Body"/>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A broad evidence base supports a combination of legal, policy, medical, environmental and behavioral interventions that governments can take to control tobacco and improve health. Tobacco taxes, clean indoor air laws, comprehensive bans on advertising and promotion, public information campaigns, graphic warning labels on tobacco products and smoking cessation have all been shown to reduce tobacco consumption and dependence. As such, States Parties to the Convention on Economic, Social and Cultural Rights are obligated to pursue tobacco control under their duties to respect, protect and fulfill Article 12: the Right to the Highest Attainable Standard of Health.</w:t>
      </w:r>
    </w:p>
    <w:p>
      <w:pPr>
        <w:pStyle w:val="Body"/>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The following submission to the 64</w:t>
      </w:r>
      <w:r>
        <w:rPr>
          <w:rFonts w:ascii="Times New Roman" w:hAnsi="Times New Roman"/>
          <w:sz w:val="24"/>
          <w:szCs w:val="24"/>
          <w:vertAlign w:val="superscript"/>
          <w:rtl w:val="0"/>
          <w:lang w:val="en-US"/>
        </w:rPr>
        <w:t>th</w:t>
      </w:r>
      <w:r>
        <w:rPr>
          <w:rFonts w:ascii="Times New Roman" w:hAnsi="Times New Roman"/>
          <w:sz w:val="24"/>
          <w:szCs w:val="24"/>
          <w:rtl w:val="0"/>
          <w:lang w:val="en-US"/>
        </w:rPr>
        <w:t xml:space="preserve"> Pre-Sessional Working Group of the Committee on Economic, Social and Cultural Rights has assessed the tobacco control content within each State Party report. Each submission concludes with three-six key recommendations for improvement that the Committee can raise to country representatives to encourage stronger tobacco control policies. HRTCN-ASH USA believes that these tobacco control strategies and recommendations sit at the heart of government obligations to respect, protect and fulfill the right to the highest attainable standard of health.</w:t>
      </w:r>
    </w:p>
    <w:p>
      <w:pPr>
        <w:pStyle w:val="Body"/>
        <w:spacing w:before="240" w:after="240"/>
      </w:pPr>
      <w:r>
        <w:rPr>
          <w:rFonts w:ascii="Times New Roman" w:hAnsi="Times New Roman"/>
          <w:i w:val="1"/>
          <w:iCs w:val="1"/>
          <w:color w:val="1d1d1d"/>
          <w:sz w:val="24"/>
          <w:szCs w:val="24"/>
          <w:u w:color="1d1d1d"/>
          <w:rtl w:val="0"/>
          <w:lang w:val="en-US"/>
        </w:rPr>
        <w:t xml:space="preserve">HRTCN/ASH works to advance a human rights-based approach to tobacco control </w:t>
      </w:r>
      <w:r>
        <w:rPr>
          <w:rFonts w:ascii="Times New Roman" w:hAnsi="Times New Roman" w:hint="default"/>
          <w:i w:val="1"/>
          <w:iCs w:val="1"/>
          <w:color w:val="1d1d1d"/>
          <w:sz w:val="24"/>
          <w:szCs w:val="24"/>
          <w:u w:color="1d1d1d"/>
          <w:rtl w:val="0"/>
          <w:lang w:val="en-US"/>
        </w:rPr>
        <w:t xml:space="preserve">– </w:t>
      </w:r>
      <w:r>
        <w:rPr>
          <w:rFonts w:ascii="Times New Roman" w:hAnsi="Times New Roman"/>
          <w:i w:val="1"/>
          <w:iCs w:val="1"/>
          <w:color w:val="1d1d1d"/>
          <w:sz w:val="24"/>
          <w:szCs w:val="24"/>
          <w:u w:color="1d1d1d"/>
          <w:rtl w:val="0"/>
          <w:lang w:val="en-US"/>
        </w:rPr>
        <w:t>utilizing the legal remedies and reporting requirements of current treaties and conventions, including the recent Framework Convention on Tobacco Control, the Convention on the Rights of the Child (CRC), the Convention on the Elimination of Discrimination Against Women (CEDAW) and the Covenant on Economic, Social and Cultural Rights. HRTCN/ASH will educate on and utilize measures that are currently accessible and will encourage adoption of new measures in order to decrease the morbidity and mortality of the people with the least agency to claim their rights.</w:t>
      </w:r>
    </w:p>
    <w:p>
      <w:pPr>
        <w:pStyle w:val="Default"/>
        <w:jc w:val="center"/>
        <w:rPr>
          <w:rFonts w:ascii="Times New Roman" w:cs="Times New Roman" w:hAnsi="Times New Roman" w:eastAsia="Times New Roman"/>
          <w:b w:val="1"/>
          <w:bCs w:val="1"/>
          <w:sz w:val="28"/>
          <w:szCs w:val="28"/>
          <w:u w:color="000000"/>
        </w:rPr>
      </w:pPr>
      <w:r>
        <w:rPr>
          <w:rFonts w:ascii="Times New Roman" w:hAnsi="Times New Roman"/>
          <w:b w:val="1"/>
          <w:bCs w:val="1"/>
          <w:sz w:val="28"/>
          <w:szCs w:val="28"/>
          <w:u w:color="000000"/>
          <w:rtl w:val="0"/>
          <w:lang w:val="en-US"/>
        </w:rPr>
        <w:t>Tobacco Control and the Right to Health - Ecuador</w:t>
      </w:r>
    </w:p>
    <w:p>
      <w:pPr>
        <w:pStyle w:val="Default"/>
        <w:rPr>
          <w:rFonts w:ascii="Times New Roman" w:cs="Times New Roman" w:hAnsi="Times New Roman" w:eastAsia="Times New Roman"/>
          <w:u w:color="000000"/>
        </w:rPr>
      </w:pPr>
      <w:r>
        <w:rPr>
          <w:rFonts w:ascii="Times New Roman" w:hAnsi="Times New Roman"/>
          <w:u w:color="000000"/>
          <w:rtl w:val="0"/>
          <w:lang w:val="en-US"/>
        </w:rPr>
        <w:t>The Human Rights Tobacco Control Network (HRTCN) has reviewed Ecuador</w:t>
      </w:r>
      <w:r>
        <w:rPr>
          <w:rFonts w:ascii="Times New Roman" w:hAnsi="Times New Roman" w:hint="default"/>
          <w:u w:color="000000"/>
          <w:rtl w:val="0"/>
          <w:lang w:val="en-US"/>
        </w:rPr>
        <w:t>’</w:t>
      </w:r>
      <w:r>
        <w:rPr>
          <w:rFonts w:ascii="Times New Roman" w:hAnsi="Times New Roman"/>
          <w:u w:color="000000"/>
          <w:rtl w:val="0"/>
          <w:lang w:val="en-US"/>
        </w:rPr>
        <w:t>s report to the Committee on Economic, Social and Cultural Rights with respect to tobacco control and the right to health. HRTCN commends Ecuador for its ratification of the Framework Convention on Tobacco Control (FCTC) in 2006. Since then Ecuador has been progressively improving its national tobacco control regulations.</w:t>
      </w:r>
    </w:p>
    <w:p>
      <w:pPr>
        <w:pStyle w:val="Default"/>
        <w:rPr>
          <w:rFonts w:ascii="Times New Roman" w:cs="Times New Roman" w:hAnsi="Times New Roman" w:eastAsia="Times New Roman"/>
          <w:u w:color="000000"/>
        </w:rPr>
      </w:pPr>
      <w:r>
        <w:rPr>
          <w:rFonts w:ascii="Times New Roman" w:hAnsi="Times New Roman"/>
          <w:u w:color="000000"/>
          <w:rtl w:val="0"/>
          <w:lang w:val="en-US"/>
        </w:rPr>
        <w:t xml:space="preserve">Ecuador has strong smoke free laws that encompass most public places, inclusive of schools, bars, and restaurants, however, there is still an exemption for 10% of hotel rooms and for certain open spaces on university campuses. Ecuador has implemented stronger advertising and marketing regulations; however, they still allow point of sale advertising and internet advertising, lack of law enforcement for electronic nicotine delivery systems (ENDS) and the bill that was presented in 2016 at the Congress to adopt the plain packaging is still pending processing. Ecuador has implemented text and pictorial graphic health warnings, that cover 60% of the front and back and 70% of a side face of packaging; warnings are rotated annually and false and/or misleading terms such as </w:t>
      </w:r>
      <w:r>
        <w:rPr>
          <w:rFonts w:ascii="Times New Roman" w:hAnsi="Times New Roman" w:hint="default"/>
          <w:u w:color="000000"/>
          <w:rtl w:val="0"/>
          <w:lang w:val="en-US"/>
        </w:rPr>
        <w:t>‘</w:t>
      </w:r>
      <w:r>
        <w:rPr>
          <w:rFonts w:ascii="Times New Roman" w:hAnsi="Times New Roman"/>
          <w:u w:color="000000"/>
          <w:rtl w:val="0"/>
          <w:lang w:val="en-US"/>
        </w:rPr>
        <w:t>mild</w:t>
      </w:r>
      <w:r>
        <w:rPr>
          <w:rFonts w:ascii="Times New Roman" w:hAnsi="Times New Roman" w:hint="default"/>
          <w:u w:color="000000"/>
          <w:rtl w:val="0"/>
          <w:lang w:val="en-US"/>
        </w:rPr>
        <w:t xml:space="preserve">’ </w:t>
      </w:r>
      <w:r>
        <w:rPr>
          <w:rFonts w:ascii="Times New Roman" w:hAnsi="Times New Roman"/>
          <w:u w:color="000000"/>
          <w:rtl w:val="0"/>
          <w:lang w:val="en-US"/>
        </w:rPr>
        <w:t xml:space="preserve">or </w:t>
      </w:r>
      <w:r>
        <w:rPr>
          <w:rFonts w:ascii="Times New Roman" w:hAnsi="Times New Roman" w:hint="default"/>
          <w:u w:color="000000"/>
          <w:rtl w:val="0"/>
          <w:lang w:val="en-US"/>
        </w:rPr>
        <w:t>‘</w:t>
      </w:r>
      <w:r>
        <w:rPr>
          <w:rFonts w:ascii="Times New Roman" w:hAnsi="Times New Roman"/>
          <w:u w:color="000000"/>
          <w:rtl w:val="0"/>
          <w:lang w:val="en-US"/>
        </w:rPr>
        <w:t>light</w:t>
      </w:r>
      <w:r>
        <w:rPr>
          <w:rFonts w:ascii="Times New Roman" w:hAnsi="Times New Roman" w:hint="default"/>
          <w:u w:color="000000"/>
          <w:rtl w:val="0"/>
          <w:lang w:val="en-US"/>
        </w:rPr>
        <w:t xml:space="preserve">’ </w:t>
      </w:r>
      <w:r>
        <w:rPr>
          <w:rFonts w:ascii="Times New Roman" w:hAnsi="Times New Roman"/>
          <w:u w:color="000000"/>
          <w:rtl w:val="0"/>
          <w:lang w:val="en-US"/>
        </w:rPr>
        <w:t>are banned, although it has not been possible to avoid the extension of the brands that dilute these bans. Tobacco excise taxes are at 69.97%, whereas the WHO recommends this should be at 75%. Ecuador still allows the promotion of some corporate social responsibility programs, which opens the door for tobacco industry promotion.</w:t>
      </w:r>
    </w:p>
    <w:p>
      <w:pPr>
        <w:pStyle w:val="Default"/>
        <w:rPr>
          <w:rFonts w:ascii="Times New Roman" w:cs="Times New Roman" w:hAnsi="Times New Roman" w:eastAsia="Times New Roman"/>
          <w:u w:color="000000"/>
        </w:rPr>
      </w:pPr>
      <w:r>
        <w:rPr>
          <w:rFonts w:ascii="Times New Roman" w:hAnsi="Times New Roman"/>
          <w:u w:color="000000"/>
          <w:rtl w:val="0"/>
          <w:lang w:val="en-US"/>
        </w:rPr>
        <w:t>According to latest statistics (ENSANUT 2012), 30,9% of men and 4,3% of women smoke in Ecuador. Although these numbers are lower than in many countries of equivalent economic status, it is still estimated to cost the economy of Ecuador $USD478 million direct healthcare costs (IECS 2015). In addition, according to the data of the tobacco industry itself, one of every two cigarettes consumed in the country is contraband, that is, an incidence of 55.2% in the market that results in loss in tax collection considering only the Special Consumption Tax in amount of $USD141 million (Telegrafo 2018). Also, it is important to mention that neither ENDS or other tobacco products are taxed - only conventional cigarettes are taxed.</w:t>
      </w:r>
    </w:p>
    <w:p>
      <w:pPr>
        <w:pStyle w:val="Default"/>
        <w:rPr>
          <w:rFonts w:ascii="Times New Roman" w:cs="Times New Roman" w:hAnsi="Times New Roman" w:eastAsia="Times New Roman"/>
          <w:u w:color="000000"/>
        </w:rPr>
      </w:pPr>
      <w:r>
        <w:rPr>
          <w:rFonts w:ascii="Times New Roman" w:hAnsi="Times New Roman"/>
          <w:u w:color="000000"/>
          <w:rtl w:val="0"/>
          <w:lang w:val="en-US"/>
        </w:rPr>
        <w:t xml:space="preserve">It is unknown the use of smokeless tobacco in adults.  The Ministry of Health, with support from the Pan American Health Organization, has undertaken the Global Youth Tobacco Survey (GYTS) in 2016, studying second hand smoke exposure, tobacco advertising and promotion, knowledge regarding effects of tobacco consumption, etc. Some private assistance is available for smoking cessation (support with psychological therapy but no medication is minimally available in public centers). </w:t>
      </w:r>
    </w:p>
    <w:p>
      <w:pPr>
        <w:pStyle w:val="Default"/>
        <w:rPr>
          <w:rFonts w:ascii="Times New Roman" w:cs="Times New Roman" w:hAnsi="Times New Roman" w:eastAsia="Times New Roman"/>
          <w:u w:color="000000"/>
        </w:rPr>
      </w:pPr>
      <w:r>
        <w:rPr>
          <w:rFonts w:ascii="Times New Roman" w:hAnsi="Times New Roman"/>
          <w:u w:color="000000"/>
          <w:rtl w:val="0"/>
          <w:lang w:val="en-US"/>
        </w:rPr>
        <w:t xml:space="preserve">Ecuador should be commended for its initial sponsorship of an attempt for a resolution emphasizing the human rights-based approach for tobacco control at the recent Conference of the Parties for the Framework Convention on Tobacco Control. They were energetic in their efforts that attracted a majority of Parties to support the effort, but after hours of negotiations, the Chair deferred the effort to the Secretariat to develop further. </w:t>
      </w:r>
    </w:p>
    <w:p>
      <w:pPr>
        <w:pStyle w:val="Default"/>
        <w:rPr>
          <w:rFonts w:ascii="Times New Roman" w:cs="Times New Roman" w:hAnsi="Times New Roman" w:eastAsia="Times New Roman"/>
          <w:u w:color="000000"/>
        </w:rPr>
      </w:pPr>
      <w:r>
        <w:rPr>
          <w:rFonts w:ascii="Times New Roman" w:hAnsi="Times New Roman"/>
          <w:b w:val="1"/>
          <w:bCs w:val="1"/>
          <w:u w:color="000000"/>
          <w:rtl w:val="0"/>
          <w:lang w:val="en-US"/>
        </w:rPr>
        <w:t>In light of these concerns,</w:t>
      </w:r>
      <w:r>
        <w:rPr>
          <w:rFonts w:ascii="Times New Roman" w:hAnsi="Times New Roman"/>
          <w:u w:color="000000"/>
          <w:rtl w:val="0"/>
          <w:lang w:val="en-US"/>
        </w:rPr>
        <w:t xml:space="preserve"> we ask the Committee to raise the following issues to the representative of Ecuador:</w:t>
      </w:r>
    </w:p>
    <w:p>
      <w:pPr>
        <w:pStyle w:val="Default"/>
        <w:numPr>
          <w:ilvl w:val="0"/>
          <w:numId w:val="2"/>
        </w:numPr>
        <w:bidi w:val="0"/>
        <w:ind w:right="0"/>
        <w:jc w:val="left"/>
        <w:rPr>
          <w:rFonts w:ascii="Times New Roman" w:hAnsi="Times New Roman"/>
          <w:rtl w:val="0"/>
          <w:lang w:val="en-US"/>
        </w:rPr>
      </w:pPr>
      <w:r>
        <w:rPr>
          <w:rFonts w:ascii="Times New Roman" w:hAnsi="Times New Roman"/>
          <w:u w:color="000000"/>
          <w:rtl w:val="0"/>
          <w:lang w:val="en-US"/>
        </w:rPr>
        <w:t xml:space="preserve">Provide strong support for the Ministry of Health to combat the influences of the tobacco industry from inhibiting strong implementation and enforcement of tobacco control legislation. </w:t>
      </w:r>
    </w:p>
    <w:p>
      <w:pPr>
        <w:pStyle w:val="Default"/>
        <w:numPr>
          <w:ilvl w:val="0"/>
          <w:numId w:val="2"/>
        </w:numPr>
        <w:bidi w:val="0"/>
        <w:ind w:right="0"/>
        <w:jc w:val="left"/>
        <w:rPr>
          <w:rFonts w:ascii="Times New Roman" w:hAnsi="Times New Roman"/>
          <w:rtl w:val="0"/>
          <w:lang w:val="en-US"/>
        </w:rPr>
      </w:pPr>
      <w:r>
        <w:rPr>
          <w:rFonts w:ascii="Times New Roman" w:hAnsi="Times New Roman"/>
          <w:u w:color="000000"/>
          <w:rtl w:val="0"/>
          <w:lang w:val="en-US"/>
        </w:rPr>
        <w:t>Establish regular surveillance mechanisms in adults and youths to document and understand the status of tobacco use, secondhand smoke exposure, and costs of tobacco use particularly in low-income households.</w:t>
      </w:r>
    </w:p>
    <w:p>
      <w:pPr>
        <w:pStyle w:val="Default"/>
        <w:numPr>
          <w:ilvl w:val="0"/>
          <w:numId w:val="2"/>
        </w:numPr>
        <w:bidi w:val="0"/>
        <w:ind w:right="0"/>
        <w:jc w:val="left"/>
        <w:rPr>
          <w:rFonts w:ascii="Times New Roman" w:hAnsi="Times New Roman"/>
          <w:rtl w:val="0"/>
          <w:lang w:val="en-US"/>
        </w:rPr>
      </w:pPr>
      <w:r>
        <w:rPr>
          <w:rFonts w:ascii="Times New Roman" w:hAnsi="Times New Roman"/>
          <w:u w:color="000000"/>
          <w:rtl w:val="0"/>
          <w:lang w:val="en-US"/>
        </w:rPr>
        <w:t>Increase tobacco excise taxes with effective implementation- inclusive of all tobacco products; adopt effective measures to counteract illicit trade; use a portion of the income to support national and regional tobacco control programs.</w:t>
      </w:r>
    </w:p>
    <w:p>
      <w:pPr>
        <w:pStyle w:val="Default"/>
        <w:numPr>
          <w:ilvl w:val="0"/>
          <w:numId w:val="2"/>
        </w:numPr>
        <w:bidi w:val="0"/>
        <w:ind w:right="0"/>
        <w:jc w:val="left"/>
        <w:rPr>
          <w:rFonts w:ascii="Times New Roman" w:hAnsi="Times New Roman"/>
          <w:rtl w:val="0"/>
          <w:lang w:val="en-US"/>
        </w:rPr>
      </w:pPr>
      <w:r>
        <w:rPr>
          <w:rFonts w:ascii="Times New Roman" w:hAnsi="Times New Roman"/>
          <w:u w:color="000000"/>
          <w:rtl w:val="0"/>
          <w:lang w:val="en-US"/>
        </w:rPr>
        <w:t>Promote the definitive adoption of plain packaging.</w:t>
      </w:r>
    </w:p>
    <w:p>
      <w:pPr>
        <w:pStyle w:val="Default"/>
        <w:numPr>
          <w:ilvl w:val="0"/>
          <w:numId w:val="2"/>
        </w:numPr>
        <w:bidi w:val="0"/>
        <w:ind w:right="0"/>
        <w:jc w:val="left"/>
        <w:rPr>
          <w:rFonts w:ascii="Times New Roman" w:hAnsi="Times New Roman"/>
          <w:rtl w:val="0"/>
          <w:lang w:val="en-US"/>
        </w:rPr>
      </w:pPr>
      <w:r>
        <w:rPr>
          <w:rFonts w:ascii="Times New Roman" w:hAnsi="Times New Roman"/>
          <w:u w:color="000000"/>
          <w:rtl w:val="0"/>
          <w:lang w:val="en-US"/>
        </w:rPr>
        <w:t>Ensure that the provisions of the tobacco control law and its regulation apply to all tobacco products.</w:t>
      </w:r>
    </w:p>
    <w:p>
      <w:pPr>
        <w:pStyle w:val="Default"/>
        <w:spacing w:line="168" w:lineRule="auto"/>
        <w:rPr>
          <w:rFonts w:ascii="Times New Roman" w:cs="Times New Roman" w:hAnsi="Times New Roman" w:eastAsia="Times New Roman"/>
          <w:b w:val="1"/>
          <w:bCs w:val="1"/>
          <w:u w:color="000000"/>
        </w:rPr>
      </w:pPr>
      <w:r>
        <w:rPr>
          <w:rFonts w:ascii="Times New Roman" w:hAnsi="Times New Roman"/>
          <w:b w:val="1"/>
          <w:bCs w:val="1"/>
          <w:u w:color="000000"/>
          <w:rtl w:val="0"/>
          <w:lang w:val="en-US"/>
        </w:rPr>
        <w:t>References:</w:t>
      </w:r>
    </w:p>
    <w:p>
      <w:pPr>
        <w:pStyle w:val="Default"/>
        <w:spacing w:line="168" w:lineRule="auto"/>
        <w:rPr>
          <w:rStyle w:val="Hyperlink.0"/>
        </w:rPr>
      </w:pPr>
      <w:r>
        <w:rPr>
          <w:rStyle w:val="Hyperlink.0"/>
        </w:rPr>
        <w:fldChar w:fldCharType="begin" w:fldLock="0"/>
      </w:r>
      <w:r>
        <w:rPr>
          <w:rStyle w:val="Hyperlink.0"/>
        </w:rPr>
        <w:instrText xml:space="preserve"> HYPERLINK "https://tobaccoatlas.org/country/ecuador/"</w:instrText>
      </w:r>
      <w:r>
        <w:rPr>
          <w:rStyle w:val="Hyperlink.0"/>
        </w:rPr>
        <w:fldChar w:fldCharType="separate" w:fldLock="0"/>
      </w:r>
      <w:r>
        <w:rPr>
          <w:rStyle w:val="Hyperlink.0"/>
          <w:rtl w:val="0"/>
          <w:lang w:val="en-US"/>
        </w:rPr>
        <w:t>https://tobaccoatlas.org/country/ecuador/</w:t>
      </w:r>
      <w:r>
        <w:rPr/>
        <w:fldChar w:fldCharType="end" w:fldLock="0"/>
      </w:r>
    </w:p>
    <w:p>
      <w:pPr>
        <w:pStyle w:val="Default"/>
        <w:spacing w:line="168" w:lineRule="auto"/>
        <w:rPr>
          <w:rStyle w:val="Hyperlink.0"/>
        </w:rPr>
      </w:pPr>
      <w:r>
        <w:rPr>
          <w:rStyle w:val="Hyperlink.0"/>
        </w:rPr>
        <w:fldChar w:fldCharType="begin" w:fldLock="0"/>
      </w:r>
      <w:r>
        <w:rPr>
          <w:rStyle w:val="Hyperlink.0"/>
        </w:rPr>
        <w:instrText xml:space="preserve"> HYPERLINK "https://www.iecs.org.ar/wp-content/uploads/Flyer_tabaquismo_Ecuador-Final.pdf"</w:instrText>
      </w:r>
      <w:r>
        <w:rPr>
          <w:rStyle w:val="Hyperlink.0"/>
        </w:rPr>
        <w:fldChar w:fldCharType="separate" w:fldLock="0"/>
      </w:r>
      <w:r>
        <w:rPr>
          <w:rStyle w:val="Hyperlink.0"/>
          <w:rtl w:val="0"/>
          <w:lang w:val="en-US"/>
        </w:rPr>
        <w:t>https://www.iecs.org.ar/wp-content/uploads/Flyer_tabaquismo_Ecuador-Final.pdf</w:t>
      </w:r>
      <w:r>
        <w:rPr/>
        <w:fldChar w:fldCharType="end" w:fldLock="0"/>
      </w:r>
    </w:p>
    <w:p>
      <w:pPr>
        <w:pStyle w:val="Default"/>
        <w:spacing w:line="168" w:lineRule="auto"/>
        <w:rPr>
          <w:rStyle w:val="Hyperlink.0"/>
        </w:rPr>
      </w:pPr>
      <w:r>
        <w:rPr>
          <w:rStyle w:val="Hyperlink.0"/>
        </w:rPr>
        <w:fldChar w:fldCharType="begin" w:fldLock="0"/>
      </w:r>
      <w:r>
        <w:rPr>
          <w:rStyle w:val="Hyperlink.0"/>
        </w:rPr>
        <w:instrText xml:space="preserve"> HYPERLINK "http://www.tobaccoinduceddiseases.org/Global-youth-tobacco-survey-in-Ecuador-2016-2017,84650,0,2.html"</w:instrText>
      </w:r>
      <w:r>
        <w:rPr>
          <w:rStyle w:val="Hyperlink.0"/>
        </w:rPr>
        <w:fldChar w:fldCharType="separate" w:fldLock="0"/>
      </w:r>
      <w:r>
        <w:rPr>
          <w:rStyle w:val="Hyperlink.0"/>
          <w:rtl w:val="0"/>
          <w:lang w:val="en-US"/>
        </w:rPr>
        <w:t>http://www.tobaccoinduceddiseases.org/Global-youth-tobacco-survey-in-Ecuador-2016-2017,84650,0,2.html</w:t>
      </w:r>
      <w:r>
        <w:rPr/>
        <w:fldChar w:fldCharType="end" w:fldLock="0"/>
      </w:r>
    </w:p>
    <w:p>
      <w:pPr>
        <w:pStyle w:val="Default"/>
        <w:spacing w:line="168" w:lineRule="auto"/>
      </w:pPr>
      <w:r>
        <w:rPr>
          <w:rStyle w:val="Hyperlink.0"/>
        </w:rPr>
        <w:fldChar w:fldCharType="begin" w:fldLock="0"/>
      </w:r>
      <w:r>
        <w:rPr>
          <w:rStyle w:val="Hyperlink.0"/>
        </w:rPr>
        <w:instrText xml:space="preserve"> HYPERLINK "https://www.eltelegrafo.com.ec/noticias/economia/4/ventas-comercio-ilicito-ecuador"</w:instrText>
      </w:r>
      <w:r>
        <w:rPr>
          <w:rStyle w:val="Hyperlink.0"/>
        </w:rPr>
        <w:fldChar w:fldCharType="separate" w:fldLock="0"/>
      </w:r>
      <w:r>
        <w:rPr>
          <w:rStyle w:val="Hyperlink.0"/>
          <w:rtl w:val="0"/>
          <w:lang w:val="en-US"/>
        </w:rPr>
        <w:t>https://www.eltelegrafo.com.ec/noticias/economia/4/ventas-comercio-ilicito-ecuador</w:t>
      </w:r>
      <w:r>
        <w:rPr/>
        <w:fldChar w:fldCharType="end" w:fldLock="0"/>
      </w:r>
    </w:p>
    <w:sectPr>
      <w:headerReference w:type="default" r:id="rId7"/>
      <w:headerReference w:type="even" r:id="rId8"/>
      <w:footerReference w:type="default" r:id="rId9"/>
      <w:footerReference w:type="even" r:id="rId10"/>
      <w:pgSz w:w="12240" w:h="15840" w:orient="portrait"/>
      <w:pgMar w:top="1440" w:right="1080" w:bottom="1440" w:left="1080" w:header="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Lucida Grand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A"/>
    </w:pPr>
  </w:p>
  <w:p>
    <w:pPr>
      <w:pStyle w:val="Free Form A"/>
    </w:pPr>
    <w:r>
      <w:drawing>
        <wp:inline distT="0" distB="0" distL="0" distR="0">
          <wp:extent cx="6400801" cy="42100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1">
                    <a:extLst/>
                  </a:blip>
                  <a:stretch>
                    <a:fillRect/>
                  </a:stretch>
                </pic:blipFill>
                <pic:spPr>
                  <a:xfrm>
                    <a:off x="0" y="0"/>
                    <a:ext cx="6400801" cy="421000"/>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ree Form A">
    <w:name w:val="Free Form A"/>
    <w:next w:val="Free Form A"/>
    <w:pPr>
      <w:keepNext w:val="0"/>
      <w:keepLines w:val="0"/>
      <w:pageBreakBefore w:val="0"/>
      <w:widowControl w:val="1"/>
      <w:shd w:val="clear" w:color="auto" w:fill="auto"/>
      <w:suppressAutoHyphens w:val="0"/>
      <w:bidi w:val="0"/>
      <w:spacing w:before="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00" w:line="240" w:lineRule="auto"/>
      <w:ind w:left="0" w:right="0" w:firstLine="0"/>
      <w:jc w:val="left"/>
      <w:outlineLvl w:val="9"/>
    </w:pPr>
    <w:rPr>
      <w:rFonts w:ascii="Lucida Grande" w:cs="Arial Unicode MS" w:hAnsi="Lucida Grande"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10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rFonts w:ascii="Times New Roman" w:cs="Times New Roman" w:hAnsi="Times New Roman" w:eastAsia="Times New Roman"/>
      <w:u w:color="00000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image" Target="media/image2.jpeg"/><Relationship Id="rId11" Type="http://schemas.openxmlformats.org/officeDocument/2006/relationships/numbering" Target="numbering.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image" Target="media/image1.png"/><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B39CE-C890-4362-B746-0F838FDB71EA}"/>
</file>

<file path=customXml/itemProps2.xml><?xml version="1.0" encoding="utf-8"?>
<ds:datastoreItem xmlns:ds="http://schemas.openxmlformats.org/officeDocument/2006/customXml" ds:itemID="{86AEA25C-AD8E-4E16-98E9-BEAA6B85FD94}"/>
</file>

<file path=customXml/itemProps3.xml><?xml version="1.0" encoding="utf-8"?>
<ds:datastoreItem xmlns:ds="http://schemas.openxmlformats.org/officeDocument/2006/customXml" ds:itemID="{4CD064B2-A19C-4B82-819A-84AE97FBC635}"/>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