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577D" w:rsidRPr="006C7CE7" w:rsidRDefault="005A577D" w:rsidP="005A577D">
      <w:pPr>
        <w:spacing w:line="240" w:lineRule="auto"/>
        <w:jc w:val="both"/>
        <w:rPr>
          <w:rFonts w:ascii="Times New Roman" w:hAnsi="Times New Roman"/>
          <w:sz w:val="24"/>
          <w:szCs w:val="24"/>
          <w:lang w:val="en-US"/>
        </w:rPr>
      </w:pPr>
      <w:r w:rsidRPr="006C7CE7">
        <w:rPr>
          <w:rFonts w:ascii="Times New Roman" w:hAnsi="Times New Roman"/>
          <w:b/>
          <w:sz w:val="24"/>
          <w:szCs w:val="24"/>
          <w:lang w:val="en-US"/>
        </w:rPr>
        <w:t>Supreme Court decision of 22 December 2016, case no. 16/2016</w:t>
      </w:r>
      <w:r w:rsidRPr="006C7CE7">
        <w:rPr>
          <w:rFonts w:ascii="Times New Roman" w:hAnsi="Times New Roman"/>
          <w:sz w:val="24"/>
          <w:szCs w:val="24"/>
          <w:lang w:val="en-US"/>
        </w:rPr>
        <w:t xml:space="preserve">, regarding whether a decision by the Immigration Appeals Board, whereby a Ukrainian woman had been denied spousal reunification with her Danish spouse, who had a disability, constituted discrimination. The Supreme Court found that there had been no violation of </w:t>
      </w:r>
      <w:r>
        <w:rPr>
          <w:rFonts w:ascii="Times New Roman" w:hAnsi="Times New Roman"/>
          <w:sz w:val="24"/>
          <w:szCs w:val="24"/>
          <w:lang w:val="en-US"/>
        </w:rPr>
        <w:t>A</w:t>
      </w:r>
      <w:r w:rsidRPr="006C7CE7">
        <w:rPr>
          <w:rFonts w:ascii="Times New Roman" w:hAnsi="Times New Roman"/>
          <w:sz w:val="24"/>
          <w:szCs w:val="24"/>
          <w:lang w:val="en-US"/>
        </w:rPr>
        <w:t>rticle 14 in the European Convention on Human Rights, since the Danish spouse was in the same position as people who did not have a disability and had received financi</w:t>
      </w:r>
      <w:bookmarkStart w:id="0" w:name="_GoBack"/>
      <w:bookmarkEnd w:id="0"/>
      <w:r w:rsidRPr="006C7CE7">
        <w:rPr>
          <w:rFonts w:ascii="Times New Roman" w:hAnsi="Times New Roman"/>
          <w:sz w:val="24"/>
          <w:szCs w:val="24"/>
          <w:lang w:val="en-US"/>
        </w:rPr>
        <w:t>al aid within the last three years. For the same reasons</w:t>
      </w:r>
      <w:r>
        <w:rPr>
          <w:rFonts w:ascii="Times New Roman" w:hAnsi="Times New Roman"/>
          <w:sz w:val="24"/>
          <w:szCs w:val="24"/>
          <w:lang w:val="en-US"/>
        </w:rPr>
        <w:t>,</w:t>
      </w:r>
      <w:r w:rsidRPr="006C7CE7">
        <w:rPr>
          <w:rFonts w:ascii="Times New Roman" w:hAnsi="Times New Roman"/>
          <w:sz w:val="24"/>
          <w:szCs w:val="24"/>
          <w:lang w:val="en-US"/>
        </w:rPr>
        <w:t xml:space="preserve"> the Supreme Court found that there had been no violation of CRPD.</w:t>
      </w:r>
    </w:p>
    <w:p w:rsidR="005A577D" w:rsidRPr="006C7CE7" w:rsidRDefault="005A577D" w:rsidP="005A577D">
      <w:pPr>
        <w:spacing w:line="240" w:lineRule="auto"/>
        <w:jc w:val="both"/>
        <w:rPr>
          <w:rFonts w:ascii="Times New Roman" w:hAnsi="Times New Roman"/>
          <w:sz w:val="24"/>
          <w:szCs w:val="24"/>
          <w:lang w:val="en-US"/>
        </w:rPr>
      </w:pPr>
      <w:r w:rsidRPr="006C7CE7">
        <w:rPr>
          <w:rFonts w:ascii="Times New Roman" w:hAnsi="Times New Roman"/>
          <w:b/>
          <w:sz w:val="24"/>
          <w:szCs w:val="24"/>
          <w:lang w:val="en-US"/>
        </w:rPr>
        <w:t xml:space="preserve">Supreme Court decision of 18 January 2018, case no. 159/2017, </w:t>
      </w:r>
      <w:r w:rsidRPr="006C7CE7">
        <w:rPr>
          <w:rFonts w:ascii="Times New Roman" w:hAnsi="Times New Roman"/>
          <w:sz w:val="24"/>
          <w:szCs w:val="24"/>
          <w:lang w:val="en-US"/>
        </w:rPr>
        <w:t xml:space="preserve">regarding whether it constituted a violation of the Danish Constitution, the European Convention on Human Rights and the CRPD that people who have been deprived of legal capacity under </w:t>
      </w:r>
      <w:r>
        <w:rPr>
          <w:rFonts w:ascii="Times New Roman" w:hAnsi="Times New Roman"/>
          <w:sz w:val="24"/>
          <w:szCs w:val="24"/>
          <w:lang w:val="en-US"/>
        </w:rPr>
        <w:t>S</w:t>
      </w:r>
      <w:r w:rsidRPr="006C7CE7">
        <w:rPr>
          <w:rFonts w:ascii="Times New Roman" w:hAnsi="Times New Roman"/>
          <w:sz w:val="24"/>
          <w:szCs w:val="24"/>
          <w:lang w:val="en-US"/>
        </w:rPr>
        <w:t xml:space="preserve">ection 6 of the Guardianship Act </w:t>
      </w:r>
      <w:proofErr w:type="spellStart"/>
      <w:r w:rsidRPr="006C7CE7">
        <w:rPr>
          <w:rFonts w:ascii="Times New Roman" w:hAnsi="Times New Roman"/>
          <w:sz w:val="24"/>
          <w:szCs w:val="24"/>
          <w:lang w:val="en-US"/>
        </w:rPr>
        <w:t>can not</w:t>
      </w:r>
      <w:proofErr w:type="spellEnd"/>
      <w:r w:rsidRPr="006C7CE7">
        <w:rPr>
          <w:rFonts w:ascii="Times New Roman" w:hAnsi="Times New Roman"/>
          <w:sz w:val="24"/>
          <w:szCs w:val="24"/>
          <w:lang w:val="en-US"/>
        </w:rPr>
        <w:t xml:space="preserve"> vote in parliamentary elections. The Supreme Court found that there had been no violation of the Constitution, the European Convention on Human Rights or the CRPD. The Supreme Court noted that there were strict requirements for the deprivation of legal capacity and to maintain such deprivation, and that these requirements are closely related to the question of whether the persons concerned are capable of assessing the consequences of their decisions and make conscious and deliberate decisions. </w:t>
      </w:r>
    </w:p>
    <w:p w:rsidR="005A577D" w:rsidRPr="006C7CE7" w:rsidRDefault="005A577D" w:rsidP="005A577D">
      <w:pPr>
        <w:spacing w:line="240" w:lineRule="auto"/>
        <w:jc w:val="both"/>
        <w:rPr>
          <w:rFonts w:ascii="Times New Roman" w:hAnsi="Times New Roman"/>
          <w:sz w:val="24"/>
          <w:szCs w:val="24"/>
          <w:lang w:val="en-US"/>
        </w:rPr>
      </w:pPr>
      <w:r w:rsidRPr="006C7CE7">
        <w:rPr>
          <w:rFonts w:ascii="Times New Roman" w:hAnsi="Times New Roman"/>
          <w:b/>
          <w:sz w:val="24"/>
          <w:szCs w:val="24"/>
          <w:lang w:val="en-US"/>
        </w:rPr>
        <w:t>Supreme Court decision of 4 February 2019, case no. 140/2018,</w:t>
      </w:r>
      <w:r w:rsidRPr="006C7CE7">
        <w:rPr>
          <w:rFonts w:ascii="Times New Roman" w:hAnsi="Times New Roman"/>
          <w:sz w:val="24"/>
          <w:szCs w:val="24"/>
          <w:lang w:val="en-US"/>
        </w:rPr>
        <w:t xml:space="preserve"> regarding whether a decision by the State Authority to give a child up for adoption without the parents’ consent constituted a violation </w:t>
      </w:r>
      <w:r>
        <w:rPr>
          <w:rFonts w:ascii="Times New Roman" w:hAnsi="Times New Roman"/>
          <w:sz w:val="24"/>
          <w:szCs w:val="24"/>
          <w:lang w:val="en-US"/>
        </w:rPr>
        <w:t xml:space="preserve">of </w:t>
      </w:r>
      <w:r w:rsidRPr="006C7CE7">
        <w:rPr>
          <w:rFonts w:ascii="Times New Roman" w:hAnsi="Times New Roman"/>
          <w:sz w:val="24"/>
          <w:szCs w:val="24"/>
          <w:lang w:val="en-US"/>
        </w:rPr>
        <w:t xml:space="preserve">the European Convention on Human Rights, the Convention on the Rights of the Child or the CRPD. The Supreme Court found that there were such exceptional circumstances and weighty considerations in the best interest of the child that adoption without consent was compatible with </w:t>
      </w:r>
      <w:r>
        <w:rPr>
          <w:rFonts w:ascii="Times New Roman" w:hAnsi="Times New Roman"/>
          <w:sz w:val="24"/>
          <w:szCs w:val="24"/>
          <w:lang w:val="en-US"/>
        </w:rPr>
        <w:t>A</w:t>
      </w:r>
      <w:r w:rsidRPr="006C7CE7">
        <w:rPr>
          <w:rFonts w:ascii="Times New Roman" w:hAnsi="Times New Roman"/>
          <w:sz w:val="24"/>
          <w:szCs w:val="24"/>
          <w:lang w:val="en-US"/>
        </w:rPr>
        <w:t>rticle 8 of the European Convention on Human Rights. Regarding the Convention on the Rights of the Child or the CRPD</w:t>
      </w:r>
      <w:r>
        <w:rPr>
          <w:rFonts w:ascii="Times New Roman" w:hAnsi="Times New Roman"/>
          <w:sz w:val="24"/>
          <w:szCs w:val="24"/>
          <w:lang w:val="en-US"/>
        </w:rPr>
        <w:t>,</w:t>
      </w:r>
      <w:r w:rsidRPr="006C7CE7">
        <w:rPr>
          <w:rFonts w:ascii="Times New Roman" w:hAnsi="Times New Roman"/>
          <w:sz w:val="24"/>
          <w:szCs w:val="24"/>
          <w:lang w:val="en-US"/>
        </w:rPr>
        <w:t xml:space="preserve"> the Supreme Court noted that the adoption of the child was not based on the disability of the father but on his and the mother’s inability to take care of their child, since it was assumed with a high degree of probability that regardless of support measures, the parents would permanently be unable to take care of the child. The Supreme Court found no violation of the Convention on the Rights of the Child </w:t>
      </w:r>
      <w:r>
        <w:rPr>
          <w:rFonts w:ascii="Times New Roman" w:hAnsi="Times New Roman"/>
          <w:sz w:val="24"/>
          <w:szCs w:val="24"/>
          <w:lang w:val="en-US"/>
        </w:rPr>
        <w:t>n</w:t>
      </w:r>
      <w:r w:rsidRPr="006C7CE7">
        <w:rPr>
          <w:rFonts w:ascii="Times New Roman" w:hAnsi="Times New Roman"/>
          <w:sz w:val="24"/>
          <w:szCs w:val="24"/>
          <w:lang w:val="en-US"/>
        </w:rPr>
        <w:t xml:space="preserve">or the CRPD, since the decision by the State Authority to give the child up for adoption without the parents’ consent had been made in the best interest of the child. </w:t>
      </w:r>
    </w:p>
    <w:p w:rsidR="005A577D" w:rsidRPr="006C7CE7" w:rsidRDefault="005A577D" w:rsidP="005A577D">
      <w:pPr>
        <w:spacing w:line="240" w:lineRule="auto"/>
        <w:jc w:val="both"/>
        <w:rPr>
          <w:rFonts w:ascii="Times New Roman" w:hAnsi="Times New Roman"/>
          <w:sz w:val="24"/>
          <w:szCs w:val="24"/>
          <w:lang w:val="en-US"/>
        </w:rPr>
      </w:pPr>
      <w:r w:rsidRPr="006C7CE7">
        <w:rPr>
          <w:rFonts w:ascii="Times New Roman" w:hAnsi="Times New Roman"/>
          <w:b/>
          <w:sz w:val="24"/>
          <w:szCs w:val="24"/>
          <w:lang w:val="en-US"/>
        </w:rPr>
        <w:t xml:space="preserve">Supreme Court decision of 18 February 2019, case no. 106/2018, </w:t>
      </w:r>
      <w:r w:rsidRPr="006C7CE7">
        <w:rPr>
          <w:rFonts w:ascii="Times New Roman" w:hAnsi="Times New Roman"/>
          <w:sz w:val="24"/>
          <w:szCs w:val="24"/>
          <w:lang w:val="en-US"/>
        </w:rPr>
        <w:t xml:space="preserve">regarding whether a decision by the State Authority to give a child up for adoption without the parents’ consent constituted a violation </w:t>
      </w:r>
      <w:r>
        <w:rPr>
          <w:rFonts w:ascii="Times New Roman" w:hAnsi="Times New Roman"/>
          <w:sz w:val="24"/>
          <w:szCs w:val="24"/>
          <w:lang w:val="en-US"/>
        </w:rPr>
        <w:t xml:space="preserve">of </w:t>
      </w:r>
      <w:r w:rsidRPr="006C7CE7">
        <w:rPr>
          <w:rFonts w:ascii="Times New Roman" w:hAnsi="Times New Roman"/>
          <w:sz w:val="24"/>
          <w:szCs w:val="24"/>
          <w:lang w:val="en-US"/>
        </w:rPr>
        <w:t xml:space="preserve">the European Convention on Human Rights, the Convention on the Rights of the Child or the CRPD. The Supreme Court found that there were such exceptional circumstances and weighty considerations in the best interest of the child that adoption without consent was compatible with </w:t>
      </w:r>
      <w:r>
        <w:rPr>
          <w:rFonts w:ascii="Times New Roman" w:hAnsi="Times New Roman"/>
          <w:sz w:val="24"/>
          <w:szCs w:val="24"/>
          <w:lang w:val="en-US"/>
        </w:rPr>
        <w:t>A</w:t>
      </w:r>
      <w:r w:rsidRPr="006C7CE7">
        <w:rPr>
          <w:rFonts w:ascii="Times New Roman" w:hAnsi="Times New Roman"/>
          <w:sz w:val="24"/>
          <w:szCs w:val="24"/>
          <w:lang w:val="en-US"/>
        </w:rPr>
        <w:t xml:space="preserve">rticle 8 of the European Convention on Human Rights. Regarding the Convention on the Rights of the Child </w:t>
      </w:r>
      <w:r>
        <w:rPr>
          <w:rFonts w:ascii="Times New Roman" w:hAnsi="Times New Roman"/>
          <w:sz w:val="24"/>
          <w:szCs w:val="24"/>
          <w:lang w:val="en-US"/>
        </w:rPr>
        <w:t>and</w:t>
      </w:r>
      <w:r w:rsidRPr="006C7CE7">
        <w:rPr>
          <w:rFonts w:ascii="Times New Roman" w:hAnsi="Times New Roman"/>
          <w:sz w:val="24"/>
          <w:szCs w:val="24"/>
          <w:lang w:val="en-US"/>
        </w:rPr>
        <w:t xml:space="preserve"> the CRPD</w:t>
      </w:r>
      <w:r>
        <w:rPr>
          <w:rFonts w:ascii="Times New Roman" w:hAnsi="Times New Roman"/>
          <w:sz w:val="24"/>
          <w:szCs w:val="24"/>
          <w:lang w:val="en-US"/>
        </w:rPr>
        <w:t>,</w:t>
      </w:r>
      <w:r w:rsidRPr="006C7CE7">
        <w:rPr>
          <w:rFonts w:ascii="Times New Roman" w:hAnsi="Times New Roman"/>
          <w:sz w:val="24"/>
          <w:szCs w:val="24"/>
          <w:lang w:val="en-US"/>
        </w:rPr>
        <w:t xml:space="preserve"> the Supreme Court noted that the adoption of the child was not based on the parents’ disabilities but in particular on the attachment between the child and the foster parents and the risk of harm on the child if this attachment was broken. The Supreme Court found no violation of the Convention on the Rights of the Child </w:t>
      </w:r>
      <w:r>
        <w:rPr>
          <w:rFonts w:ascii="Times New Roman" w:hAnsi="Times New Roman"/>
          <w:sz w:val="24"/>
          <w:szCs w:val="24"/>
          <w:lang w:val="en-US"/>
        </w:rPr>
        <w:t>n</w:t>
      </w:r>
      <w:r w:rsidRPr="006C7CE7">
        <w:rPr>
          <w:rFonts w:ascii="Times New Roman" w:hAnsi="Times New Roman"/>
          <w:sz w:val="24"/>
          <w:szCs w:val="24"/>
          <w:lang w:val="en-US"/>
        </w:rPr>
        <w:t>or the CRPD, since the decision by the State Authority to give the child up for adoption without the parents’ consent had been made in the best interest of the child.</w:t>
      </w:r>
    </w:p>
    <w:p w:rsidR="005A577D" w:rsidRPr="006C7CE7" w:rsidRDefault="005A577D" w:rsidP="005A577D">
      <w:pPr>
        <w:spacing w:line="240" w:lineRule="auto"/>
        <w:jc w:val="both"/>
        <w:rPr>
          <w:rFonts w:ascii="Times New Roman" w:hAnsi="Times New Roman"/>
          <w:sz w:val="24"/>
          <w:szCs w:val="24"/>
          <w:lang w:val="en-US"/>
        </w:rPr>
      </w:pPr>
      <w:r w:rsidRPr="006C7CE7">
        <w:rPr>
          <w:rFonts w:ascii="Times New Roman" w:hAnsi="Times New Roman"/>
          <w:b/>
          <w:sz w:val="24"/>
          <w:szCs w:val="24"/>
          <w:lang w:val="en-US"/>
        </w:rPr>
        <w:t>Supreme Court decision of 11 May 2021, case no. BS-20635/2020-HJR,</w:t>
      </w:r>
      <w:r w:rsidRPr="006C7CE7">
        <w:rPr>
          <w:rFonts w:ascii="Times New Roman" w:hAnsi="Times New Roman"/>
          <w:sz w:val="24"/>
          <w:szCs w:val="24"/>
          <w:lang w:val="en-US"/>
        </w:rPr>
        <w:t xml:space="preserve"> regarding whether a decision by the Immigration Appeals Board, whereby a woman had been denied an indefinite residence permit due to failure to fulfil the employment requirement, constituted discrimination. The Supreme Court found that there had been no violation of </w:t>
      </w:r>
      <w:r>
        <w:rPr>
          <w:rFonts w:ascii="Times New Roman" w:hAnsi="Times New Roman"/>
          <w:sz w:val="24"/>
          <w:szCs w:val="24"/>
          <w:lang w:val="en-US"/>
        </w:rPr>
        <w:t>A</w:t>
      </w:r>
      <w:r w:rsidRPr="006C7CE7">
        <w:rPr>
          <w:rFonts w:ascii="Times New Roman" w:hAnsi="Times New Roman"/>
          <w:sz w:val="24"/>
          <w:szCs w:val="24"/>
          <w:lang w:val="en-US"/>
        </w:rPr>
        <w:t xml:space="preserve">rticle 14 in the European Convention on Human Rights </w:t>
      </w:r>
      <w:r>
        <w:rPr>
          <w:rFonts w:ascii="Times New Roman" w:hAnsi="Times New Roman"/>
          <w:sz w:val="24"/>
          <w:szCs w:val="24"/>
          <w:lang w:val="en-US"/>
        </w:rPr>
        <w:t>n</w:t>
      </w:r>
      <w:r w:rsidRPr="006C7CE7">
        <w:rPr>
          <w:rFonts w:ascii="Times New Roman" w:hAnsi="Times New Roman"/>
          <w:sz w:val="24"/>
          <w:szCs w:val="24"/>
          <w:lang w:val="en-US"/>
        </w:rPr>
        <w:t xml:space="preserve">or </w:t>
      </w:r>
      <w:r>
        <w:rPr>
          <w:rFonts w:ascii="Times New Roman" w:hAnsi="Times New Roman"/>
          <w:sz w:val="24"/>
          <w:szCs w:val="24"/>
          <w:lang w:val="en-US"/>
        </w:rPr>
        <w:t>A</w:t>
      </w:r>
      <w:r w:rsidRPr="006C7CE7">
        <w:rPr>
          <w:rFonts w:ascii="Times New Roman" w:hAnsi="Times New Roman"/>
          <w:sz w:val="24"/>
          <w:szCs w:val="24"/>
          <w:lang w:val="en-US"/>
        </w:rPr>
        <w:t xml:space="preserve">rticle 5 in the CRPD, since it had not been proven at the time of the decision by </w:t>
      </w:r>
      <w:r w:rsidRPr="006C7CE7">
        <w:rPr>
          <w:rFonts w:ascii="Times New Roman" w:hAnsi="Times New Roman"/>
          <w:sz w:val="24"/>
          <w:szCs w:val="24"/>
          <w:lang w:val="en-US"/>
        </w:rPr>
        <w:lastRenderedPageBreak/>
        <w:t>the Immigration Appeals Board that the woman as a result of her disability did not have a reasonable prospect of being able to fulfil the employment requirement. The Supreme Court noted that the possibilities for limited employment through a flex job, which according to</w:t>
      </w:r>
      <w:r>
        <w:rPr>
          <w:rFonts w:ascii="Times New Roman" w:hAnsi="Times New Roman"/>
          <w:sz w:val="24"/>
          <w:szCs w:val="24"/>
          <w:lang w:val="en-US"/>
        </w:rPr>
        <w:t xml:space="preserve"> the</w:t>
      </w:r>
      <w:r w:rsidRPr="006C7CE7">
        <w:rPr>
          <w:rFonts w:ascii="Times New Roman" w:hAnsi="Times New Roman"/>
          <w:sz w:val="24"/>
          <w:szCs w:val="24"/>
          <w:lang w:val="en-US"/>
        </w:rPr>
        <w:t xml:space="preserve"> preparatory legislative framework is equated with ordinary employment</w:t>
      </w:r>
      <w:r>
        <w:rPr>
          <w:rFonts w:ascii="Times New Roman" w:hAnsi="Times New Roman"/>
          <w:sz w:val="24"/>
          <w:szCs w:val="24"/>
          <w:lang w:val="en-US"/>
        </w:rPr>
        <w:t>,</w:t>
      </w:r>
      <w:r w:rsidRPr="006C7CE7">
        <w:rPr>
          <w:rFonts w:ascii="Times New Roman" w:hAnsi="Times New Roman"/>
          <w:sz w:val="24"/>
          <w:szCs w:val="24"/>
          <w:lang w:val="en-US"/>
        </w:rPr>
        <w:t xml:space="preserve"> had not yet been established. The Supreme Court further noted that if the Immigration Appeals Board had disregarded the employment requirement the woman would have been in a better position compared to a person without a disability who was in the same situation.</w:t>
      </w:r>
    </w:p>
    <w:p w:rsidR="005A577D" w:rsidRPr="006C7CE7" w:rsidRDefault="005A577D" w:rsidP="005A577D">
      <w:pPr>
        <w:spacing w:line="240" w:lineRule="auto"/>
        <w:jc w:val="both"/>
        <w:rPr>
          <w:rFonts w:ascii="Times New Roman" w:hAnsi="Times New Roman"/>
          <w:sz w:val="24"/>
          <w:szCs w:val="24"/>
          <w:lang w:val="en-US"/>
        </w:rPr>
      </w:pPr>
      <w:r w:rsidRPr="006C7CE7">
        <w:rPr>
          <w:rFonts w:ascii="Times New Roman" w:hAnsi="Times New Roman"/>
          <w:b/>
          <w:sz w:val="24"/>
          <w:szCs w:val="24"/>
          <w:lang w:val="en-US"/>
        </w:rPr>
        <w:t>High Court of Western Denmark judgement of 7 February 2020, case no. BS-42623/2018-VLR,</w:t>
      </w:r>
      <w:r w:rsidRPr="006C7CE7">
        <w:rPr>
          <w:rFonts w:ascii="Times New Roman" w:hAnsi="Times New Roman"/>
          <w:sz w:val="24"/>
          <w:szCs w:val="24"/>
          <w:lang w:val="en-US"/>
        </w:rPr>
        <w:t xml:space="preserve"> regarding a decision by the Ministry of Immigration and Integration, whereby a man was denied Danish citizenship. The High Court found that it constituted a violation of </w:t>
      </w:r>
      <w:r>
        <w:rPr>
          <w:rFonts w:ascii="Times New Roman" w:hAnsi="Times New Roman"/>
          <w:sz w:val="24"/>
          <w:szCs w:val="24"/>
          <w:lang w:val="en-US"/>
        </w:rPr>
        <w:t>A</w:t>
      </w:r>
      <w:r w:rsidRPr="006C7CE7">
        <w:rPr>
          <w:rFonts w:ascii="Times New Roman" w:hAnsi="Times New Roman"/>
          <w:sz w:val="24"/>
          <w:szCs w:val="24"/>
          <w:lang w:val="en-US"/>
        </w:rPr>
        <w:t xml:space="preserve">rticle 14 of the European Convention on Human Rights and </w:t>
      </w:r>
      <w:r>
        <w:rPr>
          <w:rFonts w:ascii="Times New Roman" w:hAnsi="Times New Roman"/>
          <w:sz w:val="24"/>
          <w:szCs w:val="24"/>
          <w:lang w:val="en-US"/>
        </w:rPr>
        <w:t>A</w:t>
      </w:r>
      <w:r w:rsidRPr="006C7CE7">
        <w:rPr>
          <w:rFonts w:ascii="Times New Roman" w:hAnsi="Times New Roman"/>
          <w:sz w:val="24"/>
          <w:szCs w:val="24"/>
          <w:lang w:val="en-US"/>
        </w:rPr>
        <w:t xml:space="preserve">rticle 18 of the CRPD, </w:t>
      </w:r>
      <w:r>
        <w:rPr>
          <w:rFonts w:ascii="Times New Roman" w:hAnsi="Times New Roman"/>
          <w:sz w:val="24"/>
          <w:szCs w:val="24"/>
          <w:lang w:val="en-US"/>
        </w:rPr>
        <w:t>because</w:t>
      </w:r>
      <w:r w:rsidRPr="006C7CE7">
        <w:rPr>
          <w:rFonts w:ascii="Times New Roman" w:hAnsi="Times New Roman"/>
          <w:sz w:val="24"/>
          <w:szCs w:val="24"/>
          <w:lang w:val="en-US"/>
        </w:rPr>
        <w:t xml:space="preserve"> the man was indirectly discriminated against in relation to the self-sufficiency requirement compared to people without a disability. The High Court set the compensation to 10.000 </w:t>
      </w:r>
      <w:r>
        <w:rPr>
          <w:rFonts w:ascii="Times New Roman" w:hAnsi="Times New Roman"/>
          <w:sz w:val="24"/>
          <w:szCs w:val="24"/>
          <w:lang w:val="en-US"/>
        </w:rPr>
        <w:t>DKK (approximately 1340 EUR)</w:t>
      </w:r>
      <w:r w:rsidRPr="006C7CE7">
        <w:rPr>
          <w:rFonts w:ascii="Times New Roman" w:hAnsi="Times New Roman"/>
          <w:sz w:val="24"/>
          <w:szCs w:val="24"/>
          <w:lang w:val="en-US"/>
        </w:rPr>
        <w:t>.</w:t>
      </w:r>
    </w:p>
    <w:p w:rsidR="005A577D" w:rsidRPr="006C7CE7" w:rsidRDefault="005A577D" w:rsidP="005A577D">
      <w:pPr>
        <w:spacing w:line="240" w:lineRule="auto"/>
        <w:jc w:val="both"/>
        <w:rPr>
          <w:rFonts w:ascii="Times New Roman" w:hAnsi="Times New Roman"/>
          <w:sz w:val="24"/>
          <w:szCs w:val="24"/>
          <w:lang w:val="en-US"/>
        </w:rPr>
      </w:pPr>
      <w:r w:rsidRPr="006C7CE7">
        <w:rPr>
          <w:rFonts w:ascii="Times New Roman" w:hAnsi="Times New Roman"/>
          <w:b/>
          <w:sz w:val="24"/>
          <w:szCs w:val="24"/>
          <w:lang w:val="en-US"/>
        </w:rPr>
        <w:t xml:space="preserve">High Court of Eastern Denmark judgement of 14 January 2022, case no. BS-14886/2020-OLR, </w:t>
      </w:r>
      <w:r w:rsidRPr="006C7CE7">
        <w:rPr>
          <w:rFonts w:ascii="Times New Roman" w:hAnsi="Times New Roman"/>
          <w:sz w:val="24"/>
          <w:szCs w:val="24"/>
          <w:lang w:val="en-US"/>
        </w:rPr>
        <w:t xml:space="preserve">regarding a decision by the Immigration Appeals Board, whereby a Turkish woman was denied spousal reunification with her disabled husband who lived in Denmark. The High Court </w:t>
      </w:r>
      <w:r>
        <w:rPr>
          <w:rFonts w:ascii="Times New Roman" w:hAnsi="Times New Roman"/>
          <w:sz w:val="24"/>
          <w:szCs w:val="24"/>
          <w:lang w:val="en-US"/>
        </w:rPr>
        <w:t>found</w:t>
      </w:r>
      <w:r w:rsidRPr="006C7CE7">
        <w:rPr>
          <w:rFonts w:ascii="Times New Roman" w:hAnsi="Times New Roman"/>
          <w:sz w:val="24"/>
          <w:szCs w:val="24"/>
          <w:lang w:val="en-US"/>
        </w:rPr>
        <w:t xml:space="preserve"> that the Immigration Appeals Board had not taken certain circumstances into account, as required by </w:t>
      </w:r>
      <w:r>
        <w:rPr>
          <w:rFonts w:ascii="Times New Roman" w:hAnsi="Times New Roman"/>
          <w:sz w:val="24"/>
          <w:szCs w:val="24"/>
          <w:lang w:val="en-US"/>
        </w:rPr>
        <w:t>A</w:t>
      </w:r>
      <w:r w:rsidRPr="006C7CE7">
        <w:rPr>
          <w:rFonts w:ascii="Times New Roman" w:hAnsi="Times New Roman"/>
          <w:sz w:val="24"/>
          <w:szCs w:val="24"/>
          <w:lang w:val="en-US"/>
        </w:rPr>
        <w:t xml:space="preserve">rticle 5 of the CRPD and </w:t>
      </w:r>
      <w:r>
        <w:rPr>
          <w:rFonts w:ascii="Times New Roman" w:hAnsi="Times New Roman"/>
          <w:sz w:val="24"/>
          <w:szCs w:val="24"/>
          <w:lang w:val="en-US"/>
        </w:rPr>
        <w:t>A</w:t>
      </w:r>
      <w:r w:rsidRPr="006C7CE7">
        <w:rPr>
          <w:rFonts w:ascii="Times New Roman" w:hAnsi="Times New Roman"/>
          <w:sz w:val="24"/>
          <w:szCs w:val="24"/>
          <w:lang w:val="en-US"/>
        </w:rPr>
        <w:t xml:space="preserve">rticle 14, cf. </w:t>
      </w:r>
      <w:r>
        <w:rPr>
          <w:rFonts w:ascii="Times New Roman" w:hAnsi="Times New Roman"/>
          <w:sz w:val="24"/>
          <w:szCs w:val="24"/>
          <w:lang w:val="en-US"/>
        </w:rPr>
        <w:t>A</w:t>
      </w:r>
      <w:r w:rsidRPr="006C7CE7">
        <w:rPr>
          <w:rFonts w:ascii="Times New Roman" w:hAnsi="Times New Roman"/>
          <w:sz w:val="24"/>
          <w:szCs w:val="24"/>
          <w:lang w:val="en-US"/>
        </w:rPr>
        <w:t xml:space="preserve">rticle 8 of the European Convention on Human Rights. The High Court therefore cancelled the Immigration Appeals Board’s decision and referred it back to the Immigration Appeals Board for a </w:t>
      </w:r>
      <w:r>
        <w:rPr>
          <w:rFonts w:ascii="Times New Roman" w:hAnsi="Times New Roman"/>
          <w:sz w:val="24"/>
          <w:szCs w:val="24"/>
          <w:lang w:val="en-US"/>
        </w:rPr>
        <w:t>re</w:t>
      </w:r>
      <w:r w:rsidRPr="006C7CE7">
        <w:rPr>
          <w:rFonts w:ascii="Times New Roman" w:hAnsi="Times New Roman"/>
          <w:sz w:val="24"/>
          <w:szCs w:val="24"/>
          <w:lang w:val="en-US"/>
        </w:rPr>
        <w:t>new</w:t>
      </w:r>
      <w:r>
        <w:rPr>
          <w:rFonts w:ascii="Times New Roman" w:hAnsi="Times New Roman"/>
          <w:sz w:val="24"/>
          <w:szCs w:val="24"/>
          <w:lang w:val="en-US"/>
        </w:rPr>
        <w:t>ed</w:t>
      </w:r>
      <w:r w:rsidRPr="006C7CE7">
        <w:rPr>
          <w:rFonts w:ascii="Times New Roman" w:hAnsi="Times New Roman"/>
          <w:sz w:val="24"/>
          <w:szCs w:val="24"/>
          <w:lang w:val="en-US"/>
        </w:rPr>
        <w:t xml:space="preserve"> review. </w:t>
      </w:r>
    </w:p>
    <w:p w:rsidR="005A577D" w:rsidRPr="006C7CE7" w:rsidRDefault="005A577D" w:rsidP="005A577D">
      <w:pPr>
        <w:rPr>
          <w:lang w:val="en-US"/>
        </w:rPr>
      </w:pPr>
    </w:p>
    <w:p w:rsidR="006C7CE7" w:rsidRPr="005A577D" w:rsidRDefault="006C7CE7" w:rsidP="005A577D">
      <w:pPr>
        <w:rPr>
          <w:lang w:val="en-US"/>
        </w:rPr>
      </w:pPr>
    </w:p>
    <w:sectPr w:rsidR="006C7CE7" w:rsidRPr="005A577D">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4C59" w:rsidRDefault="004C4C59" w:rsidP="006C7CE7">
      <w:pPr>
        <w:spacing w:after="0" w:line="240" w:lineRule="auto"/>
      </w:pPr>
      <w:r>
        <w:separator/>
      </w:r>
    </w:p>
  </w:endnote>
  <w:endnote w:type="continuationSeparator" w:id="0">
    <w:p w:rsidR="004C4C59" w:rsidRDefault="004C4C59" w:rsidP="006C7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4C59" w:rsidRDefault="004C4C59" w:rsidP="006C7CE7">
      <w:pPr>
        <w:spacing w:after="0" w:line="240" w:lineRule="auto"/>
      </w:pPr>
      <w:r>
        <w:separator/>
      </w:r>
    </w:p>
  </w:footnote>
  <w:footnote w:type="continuationSeparator" w:id="0">
    <w:p w:rsidR="004C4C59" w:rsidRDefault="004C4C59" w:rsidP="006C7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32CB1"/>
    <w:multiLevelType w:val="hybridMultilevel"/>
    <w:tmpl w:val="A9CA15BC"/>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CE7"/>
    <w:rsid w:val="0042359A"/>
    <w:rsid w:val="004C4C59"/>
    <w:rsid w:val="005A577D"/>
    <w:rsid w:val="006C7CE7"/>
    <w:rsid w:val="00B00E08"/>
    <w:rsid w:val="00E5080E"/>
    <w:rsid w:val="00F20529"/>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3ADBD"/>
  <w15:chartTrackingRefBased/>
  <w15:docId w15:val="{7CBB3E64-9D11-428E-83E9-7A4D816F6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577D"/>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unhideWhenUsed/>
    <w:rsid w:val="006C7CE7"/>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6C7CE7"/>
  </w:style>
  <w:style w:type="paragraph" w:styleId="Sidefod">
    <w:name w:val="footer"/>
    <w:basedOn w:val="Normal"/>
    <w:link w:val="SidefodTegn"/>
    <w:uiPriority w:val="99"/>
    <w:unhideWhenUsed/>
    <w:rsid w:val="006C7CE7"/>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6C7CE7"/>
  </w:style>
  <w:style w:type="paragraph" w:styleId="Listeafsnit">
    <w:name w:val="List Paragraph"/>
    <w:basedOn w:val="Normal"/>
    <w:uiPriority w:val="34"/>
    <w:qFormat/>
    <w:rsid w:val="006C7CE7"/>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2024-08-27T08:24:37+00:00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4CC9C7E-DD23-4F97-8887-1AB4B9EE0DA5}"/>
</file>

<file path=customXml/itemProps2.xml><?xml version="1.0" encoding="utf-8"?>
<ds:datastoreItem xmlns:ds="http://schemas.openxmlformats.org/officeDocument/2006/customXml" ds:itemID="{8E96C8C5-1820-4B27-8779-9F0EC0396947}"/>
</file>

<file path=customXml/itemProps3.xml><?xml version="1.0" encoding="utf-8"?>
<ds:datastoreItem xmlns:ds="http://schemas.openxmlformats.org/officeDocument/2006/customXml" ds:itemID="{05350F6A-AC52-44B4-906C-496D66EF5685}"/>
</file>

<file path=docProps/app.xml><?xml version="1.0" encoding="utf-8"?>
<Properties xmlns="http://schemas.openxmlformats.org/officeDocument/2006/extended-properties" xmlns:vt="http://schemas.openxmlformats.org/officeDocument/2006/docPropsVTypes">
  <Template>Normal.dotm</Template>
  <TotalTime>11</TotalTime>
  <Pages>2</Pages>
  <Words>835</Words>
  <Characters>5099</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 Marie Spiegelhauer</dc:creator>
  <cp:keywords/>
  <dc:description/>
  <cp:lastModifiedBy>Ida Marie Spiegelhauer</cp:lastModifiedBy>
  <cp:revision>4</cp:revision>
  <dcterms:created xsi:type="dcterms:W3CDTF">2024-08-26T09:32:00Z</dcterms:created>
  <dcterms:modified xsi:type="dcterms:W3CDTF">2024-08-26T11:37:00Z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