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C3A4E1" w14:textId="77777777" w:rsidR="00F00B1E" w:rsidRPr="00205CCD" w:rsidRDefault="00F00B1E" w:rsidP="00896364">
      <w:pPr>
        <w:spacing w:after="0" w:line="240" w:lineRule="auto"/>
        <w:jc w:val="center"/>
        <w:rPr>
          <w:rFonts w:ascii="Cambria" w:hAnsi="Cambria"/>
          <w:b/>
        </w:rPr>
      </w:pPr>
      <w:r w:rsidRPr="00205CCD">
        <w:rPr>
          <w:rFonts w:ascii="Cambria" w:hAnsi="Cambria"/>
          <w:noProof/>
          <w:lang w:val="en-US"/>
        </w:rPr>
        <w:drawing>
          <wp:anchor distT="0" distB="0" distL="114300" distR="114300" simplePos="0" relativeHeight="251658240" behindDoc="1" locked="0" layoutInCell="1" allowOverlap="1" wp14:anchorId="7E4E377E" wp14:editId="19B3CED1">
            <wp:simplePos x="0" y="0"/>
            <wp:positionH relativeFrom="page">
              <wp:posOffset>43416</wp:posOffset>
            </wp:positionH>
            <wp:positionV relativeFrom="page">
              <wp:posOffset>58080</wp:posOffset>
            </wp:positionV>
            <wp:extent cx="7504386" cy="10064640"/>
            <wp:effectExtent l="0" t="0" r="1905" b="0"/>
            <wp:wrapNone/>
            <wp:docPr id="4" name="Picture 4" descr="S:\Communications (Charlotte)\Brand &amp; Logos\Letterhead\Final Letterhead with New Margins\ERT_Letterhead_Final_2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unications (Charlotte)\Brand &amp; Logos\Letterhead\Final Letterhead with New Margins\ERT_Letterhead_Final_2 (002).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504386" cy="10064640"/>
                    </a:xfrm>
                    <a:prstGeom prst="rect">
                      <a:avLst/>
                    </a:prstGeom>
                    <a:noFill/>
                    <a:ln>
                      <a:noFill/>
                    </a:ln>
                  </pic:spPr>
                </pic:pic>
              </a:graphicData>
            </a:graphic>
          </wp:anchor>
        </w:drawing>
      </w:r>
    </w:p>
    <w:p w14:paraId="57992C9F" w14:textId="77777777" w:rsidR="00F00B1E" w:rsidRPr="00205CCD" w:rsidRDefault="00F00B1E" w:rsidP="00896364">
      <w:pPr>
        <w:spacing w:after="0" w:line="240" w:lineRule="auto"/>
        <w:jc w:val="center"/>
        <w:rPr>
          <w:rFonts w:ascii="Cambria" w:hAnsi="Cambria"/>
          <w:b/>
        </w:rPr>
      </w:pPr>
    </w:p>
    <w:p w14:paraId="2A51A448" w14:textId="77777777" w:rsidR="00F00B1E" w:rsidRPr="00205CCD" w:rsidRDefault="00F00B1E" w:rsidP="00896364">
      <w:pPr>
        <w:spacing w:after="0" w:line="240" w:lineRule="auto"/>
        <w:jc w:val="center"/>
        <w:rPr>
          <w:rFonts w:ascii="Cambria" w:hAnsi="Cambria"/>
          <w:b/>
        </w:rPr>
      </w:pPr>
      <w:r w:rsidRPr="00205CCD">
        <w:rPr>
          <w:rFonts w:ascii="Cambria" w:hAnsi="Cambria"/>
          <w:b/>
        </w:rPr>
        <w:t>The Equal Rights Trust</w:t>
      </w:r>
    </w:p>
    <w:p w14:paraId="191833CD" w14:textId="77777777" w:rsidR="00F00B1E" w:rsidRPr="00205CCD" w:rsidRDefault="00F00B1E" w:rsidP="00896364">
      <w:pPr>
        <w:spacing w:after="0" w:line="240" w:lineRule="auto"/>
        <w:jc w:val="center"/>
        <w:rPr>
          <w:rFonts w:ascii="Cambria" w:hAnsi="Cambria"/>
        </w:rPr>
      </w:pPr>
    </w:p>
    <w:p w14:paraId="50880A8D" w14:textId="77777777" w:rsidR="00F00B1E" w:rsidRPr="00205CCD" w:rsidRDefault="00F00B1E" w:rsidP="00896364">
      <w:pPr>
        <w:spacing w:after="0" w:line="240" w:lineRule="auto"/>
        <w:jc w:val="center"/>
        <w:rPr>
          <w:rFonts w:ascii="Cambria" w:hAnsi="Cambria"/>
        </w:rPr>
      </w:pPr>
      <w:r w:rsidRPr="00205CCD">
        <w:rPr>
          <w:rFonts w:ascii="Cambria" w:hAnsi="Cambria"/>
        </w:rPr>
        <w:t>Suggestions for the list of issues to be adopted by the Committee on Economic,</w:t>
      </w:r>
    </w:p>
    <w:p w14:paraId="0E099D37" w14:textId="77777777" w:rsidR="00F00B1E" w:rsidRPr="00205CCD" w:rsidRDefault="00F00B1E" w:rsidP="00896364">
      <w:pPr>
        <w:spacing w:after="0" w:line="240" w:lineRule="auto"/>
        <w:jc w:val="center"/>
        <w:rPr>
          <w:rFonts w:ascii="Cambria" w:hAnsi="Cambria"/>
        </w:rPr>
      </w:pPr>
      <w:r w:rsidRPr="00205CCD">
        <w:rPr>
          <w:rFonts w:ascii="Cambria" w:hAnsi="Cambria"/>
        </w:rPr>
        <w:t>Social and Cultural Rights at its 60</w:t>
      </w:r>
      <w:r w:rsidRPr="00205CCD">
        <w:rPr>
          <w:rFonts w:ascii="Cambria" w:hAnsi="Cambria"/>
          <w:vertAlign w:val="superscript"/>
        </w:rPr>
        <w:t>th</w:t>
      </w:r>
      <w:r w:rsidRPr="00205CCD">
        <w:rPr>
          <w:rFonts w:ascii="Cambria" w:hAnsi="Cambria"/>
        </w:rPr>
        <w:t xml:space="preserve"> session (pre-sessional working group) in relation to the third periodic report</w:t>
      </w:r>
      <w:r w:rsidR="00896364">
        <w:rPr>
          <w:rFonts w:ascii="Cambria" w:hAnsi="Cambria"/>
        </w:rPr>
        <w:t xml:space="preserve"> </w:t>
      </w:r>
      <w:r w:rsidRPr="00205CCD">
        <w:rPr>
          <w:rFonts w:ascii="Cambria" w:hAnsi="Cambria"/>
        </w:rPr>
        <w:t>submitted by:</w:t>
      </w:r>
    </w:p>
    <w:p w14:paraId="21E1003A" w14:textId="77777777" w:rsidR="00601578" w:rsidRDefault="00601578" w:rsidP="00896364">
      <w:pPr>
        <w:spacing w:after="0" w:line="240" w:lineRule="auto"/>
        <w:jc w:val="center"/>
        <w:rPr>
          <w:rFonts w:ascii="Cambria" w:hAnsi="Cambria"/>
          <w:b/>
        </w:rPr>
      </w:pPr>
    </w:p>
    <w:p w14:paraId="4FD28238" w14:textId="77777777" w:rsidR="00F00B1E" w:rsidRPr="00205CCD" w:rsidRDefault="00F00B1E" w:rsidP="00896364">
      <w:pPr>
        <w:spacing w:after="0" w:line="240" w:lineRule="auto"/>
        <w:jc w:val="center"/>
        <w:rPr>
          <w:rFonts w:ascii="Cambria" w:hAnsi="Cambria"/>
          <w:b/>
        </w:rPr>
      </w:pPr>
      <w:r w:rsidRPr="00205CCD">
        <w:rPr>
          <w:rFonts w:ascii="Cambria" w:hAnsi="Cambria"/>
          <w:b/>
        </w:rPr>
        <w:t>Republic of Moldova</w:t>
      </w:r>
    </w:p>
    <w:p w14:paraId="59DA6D51" w14:textId="77777777" w:rsidR="00896364" w:rsidRDefault="00896364" w:rsidP="00896364">
      <w:pPr>
        <w:spacing w:after="0" w:line="240" w:lineRule="auto"/>
        <w:jc w:val="right"/>
        <w:rPr>
          <w:rFonts w:ascii="Cambria" w:hAnsi="Cambria"/>
        </w:rPr>
      </w:pPr>
    </w:p>
    <w:p w14:paraId="2BA0A780" w14:textId="77777777" w:rsidR="00F00B1E" w:rsidRPr="00205CCD" w:rsidRDefault="00AA6E59" w:rsidP="00896364">
      <w:pPr>
        <w:spacing w:after="0" w:line="240" w:lineRule="auto"/>
        <w:jc w:val="right"/>
        <w:rPr>
          <w:rFonts w:ascii="Cambria" w:hAnsi="Cambria"/>
          <w:i/>
        </w:rPr>
      </w:pPr>
      <w:r>
        <w:rPr>
          <w:rFonts w:ascii="Cambria" w:hAnsi="Cambria"/>
        </w:rPr>
        <w:t>27</w:t>
      </w:r>
      <w:r w:rsidR="00F00B1E" w:rsidRPr="00205CCD">
        <w:rPr>
          <w:rFonts w:ascii="Cambria" w:hAnsi="Cambria"/>
        </w:rPr>
        <w:t xml:space="preserve"> </w:t>
      </w:r>
      <w:r w:rsidR="00F00B1E" w:rsidRPr="00205CCD">
        <w:rPr>
          <w:rFonts w:ascii="Cambria" w:hAnsi="Cambria"/>
          <w:i/>
        </w:rPr>
        <w:t xml:space="preserve">January 2017 </w:t>
      </w:r>
    </w:p>
    <w:p w14:paraId="4D46A2A1" w14:textId="77777777" w:rsidR="00896364" w:rsidRDefault="00896364" w:rsidP="00896364">
      <w:pPr>
        <w:spacing w:after="0" w:line="240" w:lineRule="auto"/>
        <w:rPr>
          <w:rFonts w:ascii="Cambria" w:hAnsi="Cambria"/>
          <w:b/>
          <w:u w:val="single"/>
        </w:rPr>
      </w:pPr>
    </w:p>
    <w:p w14:paraId="29D9DF1E" w14:textId="77777777" w:rsidR="00F00B1E" w:rsidRDefault="00F00B1E" w:rsidP="00896364">
      <w:pPr>
        <w:spacing w:after="0" w:line="240" w:lineRule="auto"/>
        <w:rPr>
          <w:rFonts w:ascii="Cambria" w:hAnsi="Cambria"/>
          <w:b/>
          <w:u w:val="single"/>
        </w:rPr>
      </w:pPr>
      <w:r w:rsidRPr="00205CCD">
        <w:rPr>
          <w:rFonts w:ascii="Cambria" w:hAnsi="Cambria"/>
          <w:b/>
          <w:u w:val="single"/>
        </w:rPr>
        <w:t>Statement of Interest</w:t>
      </w:r>
    </w:p>
    <w:p w14:paraId="26515991" w14:textId="77777777" w:rsidR="00896364" w:rsidRPr="00205CCD" w:rsidRDefault="00896364" w:rsidP="00896364">
      <w:pPr>
        <w:spacing w:after="0" w:line="240" w:lineRule="auto"/>
        <w:rPr>
          <w:rFonts w:ascii="Cambria" w:hAnsi="Cambria"/>
        </w:rPr>
      </w:pPr>
    </w:p>
    <w:p w14:paraId="19E5D716" w14:textId="77777777" w:rsidR="00F00B1E" w:rsidRPr="00205CCD" w:rsidRDefault="00F00B1E" w:rsidP="00896364">
      <w:pPr>
        <w:numPr>
          <w:ilvl w:val="0"/>
          <w:numId w:val="1"/>
        </w:numPr>
        <w:spacing w:after="0" w:line="240" w:lineRule="auto"/>
        <w:jc w:val="both"/>
        <w:rPr>
          <w:rFonts w:ascii="Cambria" w:hAnsi="Cambria"/>
        </w:rPr>
      </w:pPr>
      <w:r w:rsidRPr="00205CCD">
        <w:rPr>
          <w:rFonts w:ascii="Cambria" w:hAnsi="Cambria"/>
        </w:rPr>
        <w:t xml:space="preserve">The Equal Rights Trust (the </w:t>
      </w:r>
      <w:r w:rsidRPr="00205CCD">
        <w:rPr>
          <w:rFonts w:ascii="Cambria" w:hAnsi="Cambria"/>
          <w:b/>
        </w:rPr>
        <w:t>Trust</w:t>
      </w:r>
      <w:r w:rsidRPr="00205CCD">
        <w:rPr>
          <w:rFonts w:ascii="Cambria" w:hAnsi="Cambria"/>
        </w:rPr>
        <w:t xml:space="preserve">) submits the following suggestions questions for adoption by the Committee on Economic, Social and Cultural Rights (the </w:t>
      </w:r>
      <w:r w:rsidRPr="00205CCD">
        <w:rPr>
          <w:rFonts w:ascii="Cambria" w:hAnsi="Cambria"/>
          <w:b/>
        </w:rPr>
        <w:t>Committee</w:t>
      </w:r>
      <w:r w:rsidRPr="00205CCD">
        <w:rPr>
          <w:rFonts w:ascii="Cambria" w:hAnsi="Cambria"/>
        </w:rPr>
        <w:t>) based upon the third periodic report submitted to the Committee by the Republic of Moldova (Moldova) at the Committee’s 60</w:t>
      </w:r>
      <w:r w:rsidRPr="00205CCD">
        <w:rPr>
          <w:rFonts w:ascii="Cambria" w:hAnsi="Cambria"/>
          <w:vertAlign w:val="superscript"/>
        </w:rPr>
        <w:t>th</w:t>
      </w:r>
      <w:r w:rsidRPr="00205CCD">
        <w:rPr>
          <w:rFonts w:ascii="Cambria" w:hAnsi="Cambria"/>
        </w:rPr>
        <w:t xml:space="preserve"> session (pre-sessional working group). </w:t>
      </w:r>
    </w:p>
    <w:p w14:paraId="21791E71" w14:textId="77777777" w:rsidR="00F00B1E" w:rsidRPr="00205CCD" w:rsidRDefault="00F00B1E" w:rsidP="00896364">
      <w:pPr>
        <w:spacing w:after="0" w:line="240" w:lineRule="auto"/>
        <w:jc w:val="both"/>
        <w:rPr>
          <w:rFonts w:ascii="Cambria" w:hAnsi="Cambria"/>
        </w:rPr>
      </w:pPr>
    </w:p>
    <w:p w14:paraId="3E919869" w14:textId="77777777" w:rsidR="00F00B1E" w:rsidRPr="00205CCD" w:rsidRDefault="00F00B1E" w:rsidP="00896364">
      <w:pPr>
        <w:numPr>
          <w:ilvl w:val="0"/>
          <w:numId w:val="1"/>
        </w:numPr>
        <w:spacing w:after="0" w:line="240" w:lineRule="auto"/>
        <w:jc w:val="both"/>
        <w:rPr>
          <w:rFonts w:ascii="Cambria" w:hAnsi="Cambria"/>
        </w:rPr>
      </w:pPr>
      <w:r w:rsidRPr="00205CCD">
        <w:rPr>
          <w:rFonts w:ascii="Cambria" w:hAnsi="Cambria"/>
        </w:rPr>
        <w:t xml:space="preserve">The </w:t>
      </w:r>
      <w:r w:rsidR="00896364">
        <w:rPr>
          <w:rFonts w:ascii="Cambria" w:hAnsi="Cambria"/>
        </w:rPr>
        <w:t xml:space="preserve">Equal Rights </w:t>
      </w:r>
      <w:r w:rsidRPr="00205CCD">
        <w:rPr>
          <w:rFonts w:ascii="Cambria" w:hAnsi="Cambria"/>
        </w:rPr>
        <w:t>Trust is an independent international organisation whose purpose is to combat discrimination and promote equality as a fundamental human right and a basic principle of social justice. Established as an advocacy organisation, resource centre and think tank, it focuses on the complex relationship between different types of discrimination and inequality, developing strategies for translating the principles of equality into practice.</w:t>
      </w:r>
    </w:p>
    <w:p w14:paraId="7290D94C" w14:textId="77777777" w:rsidR="00F00B1E" w:rsidRPr="00205CCD" w:rsidRDefault="00F00B1E" w:rsidP="00896364">
      <w:pPr>
        <w:pStyle w:val="ListParagraph"/>
        <w:spacing w:after="0" w:line="240" w:lineRule="auto"/>
        <w:contextualSpacing w:val="0"/>
        <w:jc w:val="both"/>
        <w:rPr>
          <w:rFonts w:ascii="Cambria" w:hAnsi="Cambria"/>
        </w:rPr>
      </w:pPr>
    </w:p>
    <w:p w14:paraId="39ED1AB1" w14:textId="77777777" w:rsidR="00F00B1E" w:rsidRPr="00205CCD" w:rsidRDefault="00896364" w:rsidP="00896364">
      <w:pPr>
        <w:numPr>
          <w:ilvl w:val="0"/>
          <w:numId w:val="1"/>
        </w:numPr>
        <w:spacing w:after="0" w:line="240" w:lineRule="auto"/>
        <w:jc w:val="both"/>
        <w:rPr>
          <w:rFonts w:ascii="Cambria" w:hAnsi="Cambria"/>
        </w:rPr>
      </w:pPr>
      <w:r>
        <w:rPr>
          <w:rFonts w:ascii="Cambria" w:hAnsi="Cambria"/>
        </w:rPr>
        <w:t>We have</w:t>
      </w:r>
      <w:r w:rsidR="00F00B1E" w:rsidRPr="00205CCD">
        <w:rPr>
          <w:rFonts w:ascii="Cambria" w:hAnsi="Cambria"/>
        </w:rPr>
        <w:t xml:space="preserve"> been actively involved in promoting improved protection from discrimination in Moldova since </w:t>
      </w:r>
      <w:r w:rsidR="00F00B1E">
        <w:rPr>
          <w:rFonts w:ascii="Cambria" w:hAnsi="Cambria"/>
        </w:rPr>
        <w:t xml:space="preserve">2013. </w:t>
      </w:r>
      <w:r>
        <w:rPr>
          <w:rFonts w:ascii="Cambria" w:hAnsi="Cambria"/>
        </w:rPr>
        <w:t>During</w:t>
      </w:r>
      <w:r w:rsidR="00F00B1E">
        <w:rPr>
          <w:rFonts w:ascii="Cambria" w:hAnsi="Cambria"/>
        </w:rPr>
        <w:t xml:space="preserve"> the project “</w:t>
      </w:r>
      <w:r w:rsidR="00F00B1E" w:rsidRPr="00F00B1E">
        <w:rPr>
          <w:rFonts w:ascii="Cambria" w:hAnsi="Cambria"/>
        </w:rPr>
        <w:t>Empowering civil society in Moldova and Transnistria to combat discrimination through documen</w:t>
      </w:r>
      <w:r w:rsidR="00F00B1E">
        <w:rPr>
          <w:rFonts w:ascii="Cambria" w:hAnsi="Cambria"/>
        </w:rPr>
        <w:t xml:space="preserve">tation, litigation and advocacy” the Trust worked in partnership with Promo-LEX to increase the capacity of civil society to combat discrimination in Moldova through documentation, litigation and advocacy. In the course of this project, the Trust and its partners undertook research on patterns of discrimination and inequality in Moldova, including discrimination in accessing the rights </w:t>
      </w:r>
      <w:r>
        <w:rPr>
          <w:rFonts w:ascii="Cambria" w:hAnsi="Cambria"/>
        </w:rPr>
        <w:t xml:space="preserve">provided </w:t>
      </w:r>
      <w:r w:rsidR="00F00B1E">
        <w:rPr>
          <w:rFonts w:ascii="Cambria" w:hAnsi="Cambria"/>
        </w:rPr>
        <w:t xml:space="preserve">under the International Covenant on Economic, Social and Cultural Rights (the Covenant) which culminated in the publication of the report: </w:t>
      </w:r>
      <w:r w:rsidR="00F00B1E" w:rsidRPr="00896364">
        <w:rPr>
          <w:rFonts w:ascii="Cambria" w:hAnsi="Cambria"/>
          <w:i/>
        </w:rPr>
        <w:t>From Words to Deeds: Addressing Discrimination and Inequality in Moldova</w:t>
      </w:r>
      <w:r w:rsidR="00F00B1E" w:rsidRPr="00601578">
        <w:rPr>
          <w:rFonts w:ascii="Cambria" w:hAnsi="Cambria"/>
        </w:rPr>
        <w:t xml:space="preserve"> (</w:t>
      </w:r>
      <w:r w:rsidR="00F00B1E">
        <w:rPr>
          <w:rFonts w:ascii="Cambria" w:hAnsi="Cambria"/>
        </w:rPr>
        <w:t>the Report).</w:t>
      </w:r>
      <w:r w:rsidR="00601578">
        <w:rPr>
          <w:rStyle w:val="FootnoteReference"/>
          <w:rFonts w:ascii="Cambria" w:hAnsi="Cambria"/>
        </w:rPr>
        <w:footnoteReference w:id="1"/>
      </w:r>
      <w:r w:rsidR="00F00B1E">
        <w:rPr>
          <w:rFonts w:ascii="Cambria" w:hAnsi="Cambria"/>
        </w:rPr>
        <w:t xml:space="preserve">  </w:t>
      </w:r>
    </w:p>
    <w:p w14:paraId="5825C94C" w14:textId="77777777" w:rsidR="00F00B1E" w:rsidRPr="00205CCD" w:rsidRDefault="00F00B1E" w:rsidP="00896364">
      <w:pPr>
        <w:pStyle w:val="ListParagraph"/>
        <w:spacing w:after="0" w:line="240" w:lineRule="auto"/>
        <w:contextualSpacing w:val="0"/>
        <w:jc w:val="both"/>
        <w:rPr>
          <w:rFonts w:ascii="Cambria" w:hAnsi="Cambria"/>
        </w:rPr>
      </w:pPr>
    </w:p>
    <w:p w14:paraId="3CA85003" w14:textId="77777777" w:rsidR="00896364" w:rsidRDefault="00F00B1E" w:rsidP="00896364">
      <w:pPr>
        <w:pStyle w:val="ListParagraph"/>
        <w:widowControl w:val="0"/>
        <w:numPr>
          <w:ilvl w:val="0"/>
          <w:numId w:val="1"/>
        </w:numPr>
        <w:spacing w:after="0" w:line="240" w:lineRule="auto"/>
        <w:contextualSpacing w:val="0"/>
        <w:jc w:val="both"/>
        <w:rPr>
          <w:rFonts w:ascii="Cambria" w:hAnsi="Cambria"/>
        </w:rPr>
      </w:pPr>
      <w:r w:rsidRPr="007444AC">
        <w:rPr>
          <w:rFonts w:ascii="Cambria" w:hAnsi="Cambria"/>
        </w:rPr>
        <w:t xml:space="preserve">The findings and conclusions of </w:t>
      </w:r>
      <w:r w:rsidR="007444AC" w:rsidRPr="007444AC">
        <w:rPr>
          <w:rFonts w:ascii="Cambria" w:hAnsi="Cambria"/>
        </w:rPr>
        <w:t xml:space="preserve">the </w:t>
      </w:r>
      <w:r w:rsidRPr="007444AC">
        <w:rPr>
          <w:rFonts w:ascii="Cambria" w:hAnsi="Cambria"/>
        </w:rPr>
        <w:t>Report inform this submission to the Committee. This submission focuses on the extent to which Moldova has met its obligations to respect, protect and fulfil the rights to equality and non-discrimination</w:t>
      </w:r>
      <w:r w:rsidR="007444AC" w:rsidRPr="007444AC">
        <w:rPr>
          <w:rFonts w:ascii="Cambria" w:hAnsi="Cambria"/>
        </w:rPr>
        <w:t xml:space="preserve"> under the Covenant</w:t>
      </w:r>
      <w:r w:rsidRPr="007444AC">
        <w:rPr>
          <w:rFonts w:ascii="Cambria" w:hAnsi="Cambria"/>
        </w:rPr>
        <w:t>. Given the comprehensive nature of our Report, this submission does not provide an exhaustive account of its findings</w:t>
      </w:r>
      <w:r w:rsidR="00896364">
        <w:rPr>
          <w:rFonts w:ascii="Cambria" w:hAnsi="Cambria"/>
        </w:rPr>
        <w:t>,</w:t>
      </w:r>
      <w:r w:rsidR="007444AC">
        <w:rPr>
          <w:rFonts w:ascii="Cambria" w:hAnsi="Cambria"/>
        </w:rPr>
        <w:t xml:space="preserve"> but</w:t>
      </w:r>
      <w:r w:rsidR="00896364">
        <w:rPr>
          <w:rFonts w:ascii="Cambria" w:hAnsi="Cambria"/>
        </w:rPr>
        <w:t xml:space="preserve"> instead</w:t>
      </w:r>
      <w:r w:rsidRPr="007444AC">
        <w:rPr>
          <w:rFonts w:ascii="Cambria" w:hAnsi="Cambria"/>
        </w:rPr>
        <w:t xml:space="preserve"> focuses on providing the Committee with information on the impact which discrimination on different grounds has on the enjoyment of economic, social and cultural rights in Moldova. </w:t>
      </w:r>
    </w:p>
    <w:p w14:paraId="2012500B" w14:textId="77777777" w:rsidR="00896364" w:rsidRPr="00896364" w:rsidRDefault="00896364" w:rsidP="00896364">
      <w:pPr>
        <w:pStyle w:val="ListParagraph"/>
        <w:spacing w:after="0" w:line="240" w:lineRule="auto"/>
        <w:contextualSpacing w:val="0"/>
        <w:rPr>
          <w:rFonts w:ascii="Cambria" w:hAnsi="Cambria"/>
        </w:rPr>
      </w:pPr>
    </w:p>
    <w:p w14:paraId="79957E60" w14:textId="77777777" w:rsidR="00896364" w:rsidRPr="00896364" w:rsidRDefault="00896364" w:rsidP="00896364">
      <w:pPr>
        <w:pStyle w:val="ListParagraph"/>
        <w:widowControl w:val="0"/>
        <w:spacing w:after="0" w:line="240" w:lineRule="auto"/>
        <w:ind w:left="567"/>
        <w:contextualSpacing w:val="0"/>
        <w:jc w:val="both"/>
        <w:rPr>
          <w:rFonts w:ascii="Cambria" w:hAnsi="Cambria"/>
        </w:rPr>
      </w:pPr>
    </w:p>
    <w:p w14:paraId="771E148B" w14:textId="77777777" w:rsidR="00F00B1E" w:rsidRDefault="00F00B1E" w:rsidP="00896364">
      <w:pPr>
        <w:numPr>
          <w:ilvl w:val="0"/>
          <w:numId w:val="1"/>
        </w:numPr>
        <w:spacing w:after="0" w:line="240" w:lineRule="auto"/>
        <w:jc w:val="both"/>
        <w:rPr>
          <w:rFonts w:ascii="Cambria" w:hAnsi="Cambria"/>
        </w:rPr>
      </w:pPr>
      <w:r w:rsidRPr="00205CCD">
        <w:rPr>
          <w:rFonts w:ascii="Cambria" w:hAnsi="Cambria"/>
        </w:rPr>
        <w:lastRenderedPageBreak/>
        <w:t>This submission is divided into two parts. The first analyses the</w:t>
      </w:r>
      <w:r w:rsidR="007444AC">
        <w:rPr>
          <w:rFonts w:ascii="Cambria" w:hAnsi="Cambria"/>
        </w:rPr>
        <w:t xml:space="preserve"> consistency of the </w:t>
      </w:r>
      <w:r w:rsidRPr="00205CCD">
        <w:rPr>
          <w:rFonts w:ascii="Cambria" w:hAnsi="Cambria"/>
        </w:rPr>
        <w:t xml:space="preserve">existing legislative framework related to equality in Moldova </w:t>
      </w:r>
      <w:r w:rsidR="007444AC">
        <w:rPr>
          <w:rFonts w:ascii="Cambria" w:hAnsi="Cambria"/>
        </w:rPr>
        <w:t>with</w:t>
      </w:r>
      <w:r w:rsidR="00896364">
        <w:rPr>
          <w:rFonts w:ascii="Cambria" w:hAnsi="Cambria"/>
        </w:rPr>
        <w:t xml:space="preserve"> the requirements arising under</w:t>
      </w:r>
      <w:r w:rsidR="007444AC">
        <w:rPr>
          <w:rFonts w:ascii="Cambria" w:hAnsi="Cambria"/>
        </w:rPr>
        <w:t xml:space="preserve"> </w:t>
      </w:r>
      <w:r w:rsidRPr="00205CCD">
        <w:rPr>
          <w:rFonts w:ascii="Cambria" w:hAnsi="Cambria"/>
        </w:rPr>
        <w:t>Article 2(2) of the Covenant</w:t>
      </w:r>
      <w:r w:rsidR="00896364">
        <w:rPr>
          <w:rFonts w:ascii="Cambria" w:hAnsi="Cambria"/>
        </w:rPr>
        <w:t>, on non-discrimination</w:t>
      </w:r>
      <w:r w:rsidRPr="00205CCD">
        <w:rPr>
          <w:rFonts w:ascii="Cambria" w:hAnsi="Cambria"/>
        </w:rPr>
        <w:t xml:space="preserve">. The second examines </w:t>
      </w:r>
      <w:r w:rsidR="00896364">
        <w:rPr>
          <w:rFonts w:ascii="Cambria" w:hAnsi="Cambria"/>
        </w:rPr>
        <w:t xml:space="preserve">the enjoyment of </w:t>
      </w:r>
      <w:r w:rsidRPr="00205CCD">
        <w:rPr>
          <w:rFonts w:ascii="Cambria" w:hAnsi="Cambria"/>
        </w:rPr>
        <w:t xml:space="preserve">a number of rights protected under the Covenant where discrimination results in the denial </w:t>
      </w:r>
      <w:r w:rsidR="00896364">
        <w:rPr>
          <w:rFonts w:ascii="Cambria" w:hAnsi="Cambria"/>
        </w:rPr>
        <w:t xml:space="preserve">or limitation </w:t>
      </w:r>
      <w:r w:rsidRPr="00205CCD">
        <w:rPr>
          <w:rFonts w:ascii="Cambria" w:hAnsi="Cambria"/>
        </w:rPr>
        <w:t>of their effective enjoyment by different groups of persons in Moldova.</w:t>
      </w:r>
    </w:p>
    <w:p w14:paraId="58071972" w14:textId="77777777" w:rsidR="00896364" w:rsidRPr="00205CCD" w:rsidRDefault="00896364" w:rsidP="00896364">
      <w:pPr>
        <w:spacing w:after="0" w:line="240" w:lineRule="auto"/>
        <w:ind w:left="567"/>
        <w:jc w:val="both"/>
        <w:rPr>
          <w:rFonts w:ascii="Cambria" w:hAnsi="Cambria"/>
        </w:rPr>
      </w:pPr>
    </w:p>
    <w:p w14:paraId="23681B7C" w14:textId="77777777" w:rsidR="00F00B1E" w:rsidRDefault="00F00B1E" w:rsidP="00896364">
      <w:pPr>
        <w:spacing w:after="0" w:line="240" w:lineRule="auto"/>
        <w:jc w:val="both"/>
        <w:rPr>
          <w:rFonts w:ascii="Cambria" w:hAnsi="Cambria"/>
        </w:rPr>
      </w:pPr>
      <w:r w:rsidRPr="00205CCD">
        <w:rPr>
          <w:rFonts w:ascii="Cambria" w:hAnsi="Cambria"/>
          <w:b/>
          <w:u w:val="single"/>
        </w:rPr>
        <w:t>Part 1: Article 2(2): The Legal Framework Related to Equality</w:t>
      </w:r>
      <w:r w:rsidRPr="00205CCD">
        <w:rPr>
          <w:rFonts w:ascii="Cambria" w:hAnsi="Cambria"/>
        </w:rPr>
        <w:t xml:space="preserve"> </w:t>
      </w:r>
    </w:p>
    <w:p w14:paraId="6BF31B31" w14:textId="77777777" w:rsidR="00896364" w:rsidRPr="00205CCD" w:rsidRDefault="00896364" w:rsidP="00896364">
      <w:pPr>
        <w:spacing w:after="0" w:line="240" w:lineRule="auto"/>
        <w:jc w:val="both"/>
        <w:rPr>
          <w:rFonts w:ascii="Cambria" w:hAnsi="Cambria"/>
        </w:rPr>
      </w:pPr>
    </w:p>
    <w:p w14:paraId="68671B03" w14:textId="77777777" w:rsidR="00F00B1E" w:rsidRPr="007444AC" w:rsidRDefault="00F00B1E" w:rsidP="00896364">
      <w:pPr>
        <w:pStyle w:val="ListParagraph"/>
        <w:widowControl w:val="0"/>
        <w:numPr>
          <w:ilvl w:val="0"/>
          <w:numId w:val="1"/>
        </w:numPr>
        <w:spacing w:after="0" w:line="240" w:lineRule="auto"/>
        <w:contextualSpacing w:val="0"/>
        <w:jc w:val="both"/>
        <w:rPr>
          <w:rFonts w:ascii="Cambria" w:hAnsi="Cambria"/>
        </w:rPr>
      </w:pPr>
      <w:r w:rsidRPr="00205CCD">
        <w:rPr>
          <w:rFonts w:ascii="Cambria" w:hAnsi="Cambria"/>
        </w:rPr>
        <w:t>Under Article 2(2) of the Co</w:t>
      </w:r>
      <w:r w:rsidR="007444AC">
        <w:rPr>
          <w:rFonts w:ascii="Cambria" w:hAnsi="Cambria"/>
        </w:rPr>
        <w:t>venant, state parties undertake to guarantee the rights in the Covenant “</w:t>
      </w:r>
      <w:r w:rsidRPr="007444AC">
        <w:rPr>
          <w:rFonts w:ascii="Cambria" w:hAnsi="Cambria" w:cs="Arial"/>
        </w:rPr>
        <w:t>without discrimination of any kind as to race, colour, sex, language, religion, political or other opinion, national or social origin, property, birth or other status</w:t>
      </w:r>
      <w:r w:rsidR="007444AC">
        <w:rPr>
          <w:rFonts w:ascii="Cambria" w:hAnsi="Cambria" w:cs="Arial"/>
        </w:rPr>
        <w:t>”</w:t>
      </w:r>
      <w:r w:rsidRPr="007444AC">
        <w:rPr>
          <w:rFonts w:ascii="Cambria" w:hAnsi="Cambria" w:cs="Arial"/>
          <w:i/>
        </w:rPr>
        <w:t>.</w:t>
      </w:r>
      <w:r w:rsidR="007444AC">
        <w:rPr>
          <w:rFonts w:ascii="Cambria" w:hAnsi="Cambria" w:cs="Arial"/>
          <w:i/>
        </w:rPr>
        <w:t xml:space="preserve"> </w:t>
      </w:r>
      <w:r w:rsidR="00896364">
        <w:rPr>
          <w:rFonts w:ascii="Cambria" w:hAnsi="Cambria" w:cs="Arial"/>
        </w:rPr>
        <w:t>As the Committee has noted, compliance w</w:t>
      </w:r>
      <w:r w:rsidR="007444AC">
        <w:rPr>
          <w:rFonts w:ascii="Cambria" w:hAnsi="Cambria" w:cs="Arial"/>
        </w:rPr>
        <w:t xml:space="preserve">ith this obligation, states </w:t>
      </w:r>
      <w:r w:rsidR="00896364">
        <w:rPr>
          <w:rFonts w:ascii="Cambria" w:hAnsi="Cambria" w:cs="Arial"/>
        </w:rPr>
        <w:t>necessitates the</w:t>
      </w:r>
      <w:r w:rsidR="007444AC">
        <w:rPr>
          <w:rFonts w:ascii="Cambria" w:hAnsi="Cambria" w:cs="Arial"/>
        </w:rPr>
        <w:t xml:space="preserve"> adopt</w:t>
      </w:r>
      <w:r w:rsidR="00896364">
        <w:rPr>
          <w:rFonts w:ascii="Cambria" w:hAnsi="Cambria" w:cs="Arial"/>
        </w:rPr>
        <w:t>ion of</w:t>
      </w:r>
      <w:r w:rsidR="007444AC">
        <w:rPr>
          <w:rFonts w:ascii="Cambria" w:hAnsi="Cambria" w:cs="Arial"/>
        </w:rPr>
        <w:t xml:space="preserve"> specific, comprehensive non-discrimination legislation.</w:t>
      </w:r>
      <w:r w:rsidR="007444AC">
        <w:rPr>
          <w:rStyle w:val="FootnoteReference"/>
          <w:rFonts w:ascii="Cambria" w:hAnsi="Cambria" w:cs="Cambria"/>
          <w:color w:val="221E1F"/>
        </w:rPr>
        <w:footnoteReference w:id="2"/>
      </w:r>
    </w:p>
    <w:p w14:paraId="568437CD" w14:textId="77777777" w:rsidR="007444AC" w:rsidRPr="007444AC" w:rsidRDefault="007444AC" w:rsidP="00896364">
      <w:pPr>
        <w:pStyle w:val="ListParagraph"/>
        <w:widowControl w:val="0"/>
        <w:spacing w:after="0" w:line="240" w:lineRule="auto"/>
        <w:ind w:left="567"/>
        <w:contextualSpacing w:val="0"/>
        <w:jc w:val="both"/>
        <w:rPr>
          <w:rFonts w:ascii="Cambria" w:hAnsi="Cambria"/>
        </w:rPr>
      </w:pPr>
    </w:p>
    <w:p w14:paraId="295D9B06" w14:textId="77777777" w:rsidR="007444AC" w:rsidRPr="003C5119" w:rsidRDefault="007444AC" w:rsidP="00896364">
      <w:pPr>
        <w:pStyle w:val="ListParagraph"/>
        <w:widowControl w:val="0"/>
        <w:numPr>
          <w:ilvl w:val="0"/>
          <w:numId w:val="1"/>
        </w:numPr>
        <w:spacing w:after="0" w:line="240" w:lineRule="auto"/>
        <w:contextualSpacing w:val="0"/>
        <w:jc w:val="both"/>
        <w:rPr>
          <w:rFonts w:ascii="Cambria" w:hAnsi="Cambria"/>
        </w:rPr>
      </w:pPr>
      <w:r>
        <w:rPr>
          <w:rFonts w:ascii="Cambria" w:hAnsi="Cambria"/>
        </w:rPr>
        <w:t xml:space="preserve">Article 16 of the Moldovan Constitution contains a </w:t>
      </w:r>
      <w:r w:rsidR="003C5119">
        <w:rPr>
          <w:rFonts w:ascii="Cambria" w:hAnsi="Cambria"/>
        </w:rPr>
        <w:t>limited guarantee of equality providing that “</w:t>
      </w:r>
      <w:r w:rsidR="00896364">
        <w:rPr>
          <w:rFonts w:ascii="Cambria" w:hAnsi="Cambria" w:cs="Arial"/>
        </w:rPr>
        <w:t>[a]</w:t>
      </w:r>
      <w:r w:rsidR="003C5119" w:rsidRPr="00205CCD">
        <w:rPr>
          <w:rFonts w:ascii="Cambria" w:hAnsi="Cambria" w:cs="Arial"/>
        </w:rPr>
        <w:t>ll citizens of the Republic of Moldova shall be equal before the law and public authorities, regardless of the [sic] race, nationality, ethnic origin, language, religion, sex, opinion, political affiliation, property or social origin</w:t>
      </w:r>
      <w:r w:rsidR="003C5119">
        <w:rPr>
          <w:rFonts w:ascii="Cambria" w:hAnsi="Cambria" w:cs="Arial"/>
        </w:rPr>
        <w:t>”</w:t>
      </w:r>
      <w:r w:rsidR="00896364">
        <w:rPr>
          <w:rFonts w:ascii="Cambria" w:hAnsi="Cambria" w:cs="Arial"/>
        </w:rPr>
        <w:t>.</w:t>
      </w:r>
      <w:r w:rsidR="003C5119">
        <w:rPr>
          <w:rFonts w:ascii="Cambria" w:hAnsi="Cambria" w:cs="Arial"/>
        </w:rPr>
        <w:t xml:space="preserve"> This provision is, however, limited as it “does not exist independently of the Constitution”</w:t>
      </w:r>
      <w:r w:rsidR="003C5119" w:rsidRPr="003C5119">
        <w:rPr>
          <w:rStyle w:val="FootnoteReference"/>
          <w:rFonts w:ascii="Cambria" w:hAnsi="Cambria" w:cs="Arial"/>
        </w:rPr>
        <w:t xml:space="preserve"> </w:t>
      </w:r>
      <w:r w:rsidR="003C5119">
        <w:rPr>
          <w:rStyle w:val="FootnoteReference"/>
          <w:rFonts w:ascii="Cambria" w:hAnsi="Cambria" w:cs="Arial"/>
        </w:rPr>
        <w:footnoteReference w:id="3"/>
      </w:r>
      <w:r w:rsidR="003C5119" w:rsidRPr="00205CCD">
        <w:rPr>
          <w:rFonts w:ascii="Cambria" w:hAnsi="Cambria" w:cs="Arial"/>
        </w:rPr>
        <w:t xml:space="preserve"> </w:t>
      </w:r>
      <w:r w:rsidR="003C5119">
        <w:rPr>
          <w:rFonts w:ascii="Cambria" w:hAnsi="Cambria" w:cs="Arial"/>
        </w:rPr>
        <w:t xml:space="preserve">and </w:t>
      </w:r>
      <w:r w:rsidR="00896364">
        <w:rPr>
          <w:rFonts w:ascii="Cambria" w:hAnsi="Cambria" w:cs="Arial"/>
        </w:rPr>
        <w:t xml:space="preserve">so </w:t>
      </w:r>
      <w:r w:rsidR="003C5119">
        <w:rPr>
          <w:rFonts w:ascii="Cambria" w:hAnsi="Cambria" w:cs="Arial"/>
        </w:rPr>
        <w:t xml:space="preserve">does not confer a freestanding right to equality and non-discrimination. Moreover, the list of protective characteristics </w:t>
      </w:r>
      <w:r w:rsidR="00896364">
        <w:rPr>
          <w:rFonts w:ascii="Cambria" w:hAnsi="Cambria" w:cs="Arial"/>
        </w:rPr>
        <w:t xml:space="preserve">appears exhaustive, and </w:t>
      </w:r>
      <w:r w:rsidR="003C5119">
        <w:rPr>
          <w:rFonts w:ascii="Cambria" w:hAnsi="Cambria" w:cs="Arial"/>
        </w:rPr>
        <w:t xml:space="preserve">does not include age, disability and sexual orientation. </w:t>
      </w:r>
    </w:p>
    <w:p w14:paraId="07111012" w14:textId="77777777" w:rsidR="003C5119" w:rsidRPr="003C5119" w:rsidRDefault="003C5119" w:rsidP="00896364">
      <w:pPr>
        <w:pStyle w:val="ListParagraph"/>
        <w:spacing w:after="0" w:line="240" w:lineRule="auto"/>
        <w:contextualSpacing w:val="0"/>
        <w:rPr>
          <w:rFonts w:ascii="Cambria" w:hAnsi="Cambria"/>
        </w:rPr>
      </w:pPr>
    </w:p>
    <w:p w14:paraId="34A242AE" w14:textId="12DC8D8A" w:rsidR="00A85263" w:rsidRPr="00896364" w:rsidRDefault="003C5119" w:rsidP="00896364">
      <w:pPr>
        <w:pStyle w:val="ListParagraph"/>
        <w:widowControl w:val="0"/>
        <w:numPr>
          <w:ilvl w:val="0"/>
          <w:numId w:val="1"/>
        </w:numPr>
        <w:spacing w:after="0" w:line="240" w:lineRule="auto"/>
        <w:contextualSpacing w:val="0"/>
        <w:jc w:val="both"/>
        <w:rPr>
          <w:rFonts w:ascii="Cambria" w:hAnsi="Cambria" w:cs="Arial"/>
        </w:rPr>
      </w:pPr>
      <w:r w:rsidRPr="00896364">
        <w:rPr>
          <w:rFonts w:ascii="Cambria" w:hAnsi="Cambria"/>
        </w:rPr>
        <w:t xml:space="preserve">However, the Constitutional guarantee forms </w:t>
      </w:r>
      <w:r w:rsidR="00896364" w:rsidRPr="00896364">
        <w:rPr>
          <w:rFonts w:ascii="Cambria" w:hAnsi="Cambria"/>
        </w:rPr>
        <w:t xml:space="preserve">only </w:t>
      </w:r>
      <w:r w:rsidRPr="00896364">
        <w:rPr>
          <w:rFonts w:ascii="Cambria" w:hAnsi="Cambria"/>
        </w:rPr>
        <w:t xml:space="preserve">part of the legal framework on equality in Moldova. </w:t>
      </w:r>
      <w:r w:rsidR="00896364" w:rsidRPr="00896364">
        <w:rPr>
          <w:rFonts w:ascii="Cambria" w:hAnsi="Cambria" w:cs="Cambria"/>
          <w:color w:val="211D1E"/>
        </w:rPr>
        <w:t>The</w:t>
      </w:r>
      <w:r w:rsidR="00F00B1E" w:rsidRPr="00896364">
        <w:rPr>
          <w:rFonts w:ascii="Cambria" w:hAnsi="Cambria" w:cs="Cambria"/>
          <w:color w:val="211D1E"/>
        </w:rPr>
        <w:t xml:space="preserve"> </w:t>
      </w:r>
      <w:r w:rsidR="00F00B1E" w:rsidRPr="00C0197E">
        <w:rPr>
          <w:rFonts w:ascii="Cambria" w:hAnsi="Cambria" w:cs="Cambria"/>
          <w:b/>
          <w:color w:val="211D1E"/>
        </w:rPr>
        <w:t>Law on Ensuring Equality</w:t>
      </w:r>
      <w:r w:rsidR="00F00B1E" w:rsidRPr="00896364">
        <w:rPr>
          <w:rFonts w:ascii="Cambria" w:hAnsi="Cambria" w:cs="Cambria"/>
          <w:color w:val="211D1E"/>
        </w:rPr>
        <w:t xml:space="preserve"> </w:t>
      </w:r>
      <w:r w:rsidR="00896364" w:rsidRPr="00896364">
        <w:rPr>
          <w:rFonts w:ascii="Cambria" w:hAnsi="Cambria" w:cs="Cambria"/>
          <w:color w:val="211D1E"/>
        </w:rPr>
        <w:t xml:space="preserve">(Law No. 121 of May 2012) </w:t>
      </w:r>
      <w:r w:rsidR="00F00B1E" w:rsidRPr="00896364">
        <w:rPr>
          <w:rFonts w:ascii="Cambria" w:hAnsi="Cambria" w:cs="Cambria"/>
          <w:color w:val="211D1E"/>
        </w:rPr>
        <w:t>is the primary non-</w:t>
      </w:r>
      <w:r w:rsidR="00F00B1E" w:rsidRPr="00896364">
        <w:rPr>
          <w:rFonts w:ascii="Cambria" w:hAnsi="Cambria" w:cs="Arial"/>
        </w:rPr>
        <w:t>discrimination</w:t>
      </w:r>
      <w:r w:rsidR="00F00B1E" w:rsidRPr="00896364">
        <w:rPr>
          <w:rFonts w:ascii="Cambria" w:hAnsi="Cambria" w:cs="Cambria"/>
          <w:color w:val="211D1E"/>
        </w:rPr>
        <w:t xml:space="preserve"> statute in Moldova, prohibiting a range of discriminatory conduct on a range of grounds.</w:t>
      </w:r>
      <w:r w:rsidR="00F00B1E">
        <w:rPr>
          <w:rStyle w:val="FootnoteReference"/>
          <w:rFonts w:ascii="Cambria" w:hAnsi="Cambria" w:cs="Cambria"/>
          <w:color w:val="211D1E"/>
        </w:rPr>
        <w:footnoteReference w:id="4"/>
      </w:r>
      <w:r w:rsidR="00F00B1E" w:rsidRPr="00896364">
        <w:rPr>
          <w:rFonts w:ascii="Cambria" w:hAnsi="Cambria" w:cs="Cambria"/>
          <w:color w:val="211D1E"/>
        </w:rPr>
        <w:t xml:space="preserve">  The Law on Ensuring Equality</w:t>
      </w:r>
      <w:r w:rsidR="00896364">
        <w:rPr>
          <w:rFonts w:ascii="Cambria" w:hAnsi="Cambria" w:cs="Cambria"/>
          <w:color w:val="211D1E"/>
        </w:rPr>
        <w:t xml:space="preserve"> is to be welcomed: it</w:t>
      </w:r>
      <w:r w:rsidR="00F00B1E" w:rsidRPr="00896364">
        <w:rPr>
          <w:rFonts w:ascii="Cambria" w:hAnsi="Cambria" w:cs="Cambria"/>
          <w:color w:val="211D1E"/>
        </w:rPr>
        <w:t xml:space="preserve"> has </w:t>
      </w:r>
      <w:r w:rsidR="00896364">
        <w:rPr>
          <w:rFonts w:ascii="Cambria" w:hAnsi="Cambria" w:cs="Cambria"/>
          <w:color w:val="211D1E"/>
        </w:rPr>
        <w:t>served to radically enhance</w:t>
      </w:r>
      <w:r w:rsidR="00F00B1E" w:rsidRPr="00896364">
        <w:rPr>
          <w:rFonts w:ascii="Cambria" w:hAnsi="Cambria" w:cs="Cambria"/>
          <w:color w:val="211D1E"/>
        </w:rPr>
        <w:t xml:space="preserve"> the Moldov</w:t>
      </w:r>
      <w:r w:rsidR="00896364">
        <w:rPr>
          <w:rFonts w:ascii="Cambria" w:hAnsi="Cambria" w:cs="Cambria"/>
          <w:color w:val="211D1E"/>
        </w:rPr>
        <w:t>an equality framework and to make tangible</w:t>
      </w:r>
      <w:r w:rsidR="00F00B1E" w:rsidRPr="00896364">
        <w:rPr>
          <w:rFonts w:ascii="Cambria" w:hAnsi="Cambria" w:cs="Cambria"/>
          <w:color w:val="211D1E"/>
        </w:rPr>
        <w:t xml:space="preserve"> progress towards meaningful compliance with </w:t>
      </w:r>
      <w:r w:rsidR="00F902E2" w:rsidRPr="00896364">
        <w:rPr>
          <w:rFonts w:ascii="Cambria" w:hAnsi="Cambria" w:cs="Cambria"/>
          <w:color w:val="211D1E"/>
        </w:rPr>
        <w:t>the Covenant</w:t>
      </w:r>
      <w:r w:rsidR="00896364">
        <w:rPr>
          <w:rFonts w:ascii="Cambria" w:hAnsi="Cambria" w:cs="Cambria"/>
          <w:color w:val="211D1E"/>
        </w:rPr>
        <w:t>’s requirements in respect of Article 2(2)</w:t>
      </w:r>
      <w:r w:rsidR="00F902E2" w:rsidRPr="00896364">
        <w:rPr>
          <w:rFonts w:ascii="Cambria" w:hAnsi="Cambria" w:cs="Cambria"/>
          <w:color w:val="211D1E"/>
        </w:rPr>
        <w:t xml:space="preserve">. </w:t>
      </w:r>
      <w:r w:rsidR="00896364">
        <w:rPr>
          <w:rFonts w:ascii="Cambria" w:hAnsi="Cambria" w:cs="Cambria"/>
          <w:color w:val="211D1E"/>
        </w:rPr>
        <w:t xml:space="preserve">Amongst its </w:t>
      </w:r>
      <w:r w:rsidR="00C0197E">
        <w:rPr>
          <w:rFonts w:ascii="Cambria" w:hAnsi="Cambria" w:cs="Cambria"/>
          <w:color w:val="211D1E"/>
        </w:rPr>
        <w:t>positive features</w:t>
      </w:r>
      <w:r w:rsidR="00A85263" w:rsidRPr="00896364">
        <w:rPr>
          <w:rFonts w:ascii="Cambria" w:hAnsi="Cambria" w:cs="Cambria"/>
          <w:color w:val="211D1E"/>
        </w:rPr>
        <w:t>, the law applies to all persons in Moldova (not only citizens) and provides for “positive measures” to be taken to protect persons at a particular disadvantage.</w:t>
      </w:r>
      <w:r w:rsidR="00A85263">
        <w:rPr>
          <w:rStyle w:val="FootnoteReference"/>
          <w:rFonts w:ascii="Cambria" w:hAnsi="Cambria" w:cs="Arial"/>
        </w:rPr>
        <w:footnoteReference w:id="5"/>
      </w:r>
      <w:r w:rsidR="00A85263" w:rsidRPr="00896364">
        <w:rPr>
          <w:rFonts w:ascii="Cambria" w:hAnsi="Cambria"/>
        </w:rPr>
        <w:t xml:space="preserve"> </w:t>
      </w:r>
      <w:r w:rsidR="00A85263" w:rsidRPr="00896364">
        <w:rPr>
          <w:rFonts w:ascii="Cambria" w:hAnsi="Cambria" w:cs="Cambria"/>
          <w:color w:val="211D1E"/>
        </w:rPr>
        <w:t xml:space="preserve"> </w:t>
      </w:r>
    </w:p>
    <w:p w14:paraId="4FE4D345" w14:textId="77777777" w:rsidR="00A85263" w:rsidRPr="00A85263" w:rsidRDefault="00A85263" w:rsidP="00896364">
      <w:pPr>
        <w:pStyle w:val="ListParagraph"/>
        <w:spacing w:after="0" w:line="240" w:lineRule="auto"/>
        <w:contextualSpacing w:val="0"/>
        <w:rPr>
          <w:rFonts w:ascii="Cambria" w:hAnsi="Cambria"/>
        </w:rPr>
      </w:pPr>
    </w:p>
    <w:p w14:paraId="1889D18A" w14:textId="7DCC513C" w:rsidR="00F00B1E" w:rsidRPr="00A85263" w:rsidRDefault="00F00B1E" w:rsidP="00896364">
      <w:pPr>
        <w:pStyle w:val="ListParagraph"/>
        <w:widowControl w:val="0"/>
        <w:numPr>
          <w:ilvl w:val="0"/>
          <w:numId w:val="1"/>
        </w:numPr>
        <w:spacing w:after="0" w:line="240" w:lineRule="auto"/>
        <w:contextualSpacing w:val="0"/>
        <w:jc w:val="both"/>
        <w:rPr>
          <w:rFonts w:ascii="Cambria" w:hAnsi="Cambria" w:cs="Arial"/>
        </w:rPr>
      </w:pPr>
      <w:r w:rsidRPr="00F902E2">
        <w:rPr>
          <w:rFonts w:ascii="Cambria" w:hAnsi="Cambria"/>
        </w:rPr>
        <w:t>However the law is constrained by its limited ambit of application</w:t>
      </w:r>
      <w:r w:rsidR="00A85263">
        <w:rPr>
          <w:rFonts w:ascii="Cambria" w:hAnsi="Cambria"/>
        </w:rPr>
        <w:t>, in particular</w:t>
      </w:r>
      <w:r w:rsidR="00C0197E">
        <w:rPr>
          <w:rFonts w:ascii="Cambria" w:hAnsi="Cambria"/>
        </w:rPr>
        <w:t xml:space="preserve">, </w:t>
      </w:r>
      <w:r w:rsidR="00A85263">
        <w:rPr>
          <w:rFonts w:ascii="Cambria" w:hAnsi="Cambria"/>
        </w:rPr>
        <w:t>though</w:t>
      </w:r>
      <w:r w:rsidRPr="00F902E2">
        <w:rPr>
          <w:rFonts w:ascii="Cambria" w:hAnsi="Cambria"/>
        </w:rPr>
        <w:t xml:space="preserve"> discrimination </w:t>
      </w:r>
      <w:r w:rsidR="00C0197E">
        <w:rPr>
          <w:rFonts w:ascii="Cambria" w:hAnsi="Cambria"/>
        </w:rPr>
        <w:t>is prohibited</w:t>
      </w:r>
      <w:r w:rsidR="00C0197E" w:rsidRPr="00F902E2">
        <w:rPr>
          <w:rFonts w:ascii="Cambria" w:hAnsi="Cambria"/>
        </w:rPr>
        <w:t xml:space="preserve"> </w:t>
      </w:r>
      <w:r w:rsidRPr="00F902E2">
        <w:rPr>
          <w:rFonts w:ascii="Cambria" w:hAnsi="Cambria"/>
        </w:rPr>
        <w:t>in “political, economic, social, cultural and other spheres of life”</w:t>
      </w:r>
      <w:r w:rsidR="00A85263">
        <w:rPr>
          <w:rFonts w:ascii="Cambria" w:hAnsi="Cambria"/>
        </w:rPr>
        <w:t>,</w:t>
      </w:r>
      <w:r>
        <w:rPr>
          <w:rStyle w:val="FootnoteReference"/>
          <w:rFonts w:ascii="Cambria" w:hAnsi="Cambria" w:cs="Arial"/>
        </w:rPr>
        <w:footnoteReference w:id="6"/>
      </w:r>
      <w:r w:rsidR="00A85263">
        <w:rPr>
          <w:rFonts w:ascii="Cambria" w:hAnsi="Cambria"/>
        </w:rPr>
        <w:t xml:space="preserve"> the provisions of the law </w:t>
      </w:r>
      <w:r w:rsidRPr="00F902E2">
        <w:rPr>
          <w:rFonts w:ascii="Cambria" w:hAnsi="Cambria"/>
        </w:rPr>
        <w:t xml:space="preserve">expressly </w:t>
      </w:r>
      <w:r w:rsidR="00A85263">
        <w:rPr>
          <w:rFonts w:ascii="Cambria" w:hAnsi="Cambria"/>
        </w:rPr>
        <w:t xml:space="preserve">exclude the </w:t>
      </w:r>
      <w:r w:rsidRPr="00F902E2">
        <w:rPr>
          <w:rFonts w:ascii="Cambria" w:hAnsi="Cambria"/>
        </w:rPr>
        <w:t xml:space="preserve">familial </w:t>
      </w:r>
      <w:r w:rsidR="008F5171">
        <w:rPr>
          <w:rFonts w:ascii="Cambria" w:hAnsi="Cambria"/>
        </w:rPr>
        <w:t>and</w:t>
      </w:r>
      <w:r w:rsidRPr="00F902E2">
        <w:rPr>
          <w:rFonts w:ascii="Cambria" w:hAnsi="Cambria"/>
        </w:rPr>
        <w:t xml:space="preserve"> marital sphere, adoptive relationships, </w:t>
      </w:r>
      <w:r w:rsidR="00A85263">
        <w:rPr>
          <w:rFonts w:ascii="Cambria" w:hAnsi="Cambria"/>
        </w:rPr>
        <w:t>and</w:t>
      </w:r>
      <w:r w:rsidRPr="00F902E2">
        <w:rPr>
          <w:rFonts w:ascii="Cambria" w:hAnsi="Cambria"/>
        </w:rPr>
        <w:t xml:space="preserve"> religious institutions.</w:t>
      </w:r>
      <w:r>
        <w:rPr>
          <w:rStyle w:val="FootnoteReference"/>
          <w:rFonts w:ascii="Cambria" w:hAnsi="Cambria" w:cs="Arial"/>
        </w:rPr>
        <w:footnoteReference w:id="7"/>
      </w:r>
      <w:r w:rsidRPr="00F902E2">
        <w:rPr>
          <w:rFonts w:ascii="Cambria" w:hAnsi="Cambria"/>
        </w:rPr>
        <w:t xml:space="preserve"> </w:t>
      </w:r>
      <w:r w:rsidR="00A85263">
        <w:rPr>
          <w:rFonts w:ascii="Cambria" w:hAnsi="Cambria"/>
        </w:rPr>
        <w:t>In addition, a</w:t>
      </w:r>
      <w:r w:rsidR="00F902E2" w:rsidRPr="00F902E2">
        <w:rPr>
          <w:rFonts w:ascii="Cambria" w:hAnsi="Cambria"/>
        </w:rPr>
        <w:t xml:space="preserve">lthough the list of protected </w:t>
      </w:r>
      <w:r w:rsidR="00A85263" w:rsidRPr="00F902E2">
        <w:rPr>
          <w:rFonts w:ascii="Cambria" w:hAnsi="Cambria"/>
        </w:rPr>
        <w:t>characteristics</w:t>
      </w:r>
      <w:r w:rsidR="00F902E2" w:rsidRPr="00F902E2">
        <w:rPr>
          <w:rFonts w:ascii="Cambria" w:hAnsi="Cambria"/>
        </w:rPr>
        <w:t xml:space="preserve"> is open-ended, it </w:t>
      </w:r>
      <w:r w:rsidR="00C0197E">
        <w:rPr>
          <w:rFonts w:ascii="Cambria" w:hAnsi="Cambria"/>
        </w:rPr>
        <w:t>omits</w:t>
      </w:r>
      <w:r w:rsidRPr="00F902E2">
        <w:rPr>
          <w:rFonts w:ascii="Cambria" w:hAnsi="Cambria"/>
        </w:rPr>
        <w:t xml:space="preserve"> several grounds </w:t>
      </w:r>
      <w:r w:rsidR="00C0197E">
        <w:rPr>
          <w:rFonts w:ascii="Cambria" w:hAnsi="Cambria"/>
        </w:rPr>
        <w:t xml:space="preserve">which have been recognised by the Committee, including </w:t>
      </w:r>
      <w:r w:rsidRPr="00F902E2">
        <w:rPr>
          <w:rFonts w:ascii="Cambria" w:hAnsi="Cambria"/>
        </w:rPr>
        <w:t>gender identity, sexual orientation,</w:t>
      </w:r>
      <w:r w:rsidR="00F902E2" w:rsidRPr="00F902E2">
        <w:rPr>
          <w:rFonts w:ascii="Cambria" w:hAnsi="Cambria"/>
        </w:rPr>
        <w:t xml:space="preserve"> and health status</w:t>
      </w:r>
      <w:r w:rsidR="00C0197E">
        <w:rPr>
          <w:rFonts w:ascii="Cambria" w:hAnsi="Cambria"/>
        </w:rPr>
        <w:t>.</w:t>
      </w:r>
      <w:r w:rsidR="00023861">
        <w:rPr>
          <w:rStyle w:val="FootnoteReference"/>
          <w:rFonts w:ascii="Cambria" w:hAnsi="Cambria"/>
        </w:rPr>
        <w:footnoteReference w:id="8"/>
      </w:r>
      <w:r w:rsidRPr="00F902E2">
        <w:rPr>
          <w:rFonts w:ascii="Cambria" w:hAnsi="Cambria"/>
        </w:rPr>
        <w:t xml:space="preserve"> </w:t>
      </w:r>
    </w:p>
    <w:p w14:paraId="7A385BF1" w14:textId="77777777" w:rsidR="00A85263" w:rsidRDefault="00A85263" w:rsidP="00896364">
      <w:pPr>
        <w:pStyle w:val="ListParagraph"/>
        <w:spacing w:after="0" w:line="240" w:lineRule="auto"/>
        <w:contextualSpacing w:val="0"/>
        <w:rPr>
          <w:rFonts w:ascii="Cambria" w:hAnsi="Cambria" w:cs="Arial"/>
        </w:rPr>
      </w:pPr>
    </w:p>
    <w:p w14:paraId="5F2C3152" w14:textId="0CF51FBD" w:rsidR="00205FF4" w:rsidRPr="00205FF4" w:rsidRDefault="00A85263" w:rsidP="00896364">
      <w:pPr>
        <w:pStyle w:val="ListParagraph"/>
        <w:widowControl w:val="0"/>
        <w:numPr>
          <w:ilvl w:val="0"/>
          <w:numId w:val="1"/>
        </w:numPr>
        <w:spacing w:after="0" w:line="240" w:lineRule="auto"/>
        <w:contextualSpacing w:val="0"/>
        <w:jc w:val="both"/>
        <w:rPr>
          <w:rFonts w:ascii="Cambria" w:hAnsi="Cambria" w:cs="Cambria"/>
          <w:color w:val="211D1E"/>
        </w:rPr>
      </w:pPr>
      <w:r>
        <w:rPr>
          <w:rFonts w:ascii="Cambria" w:hAnsi="Cambria" w:cs="Arial"/>
        </w:rPr>
        <w:t xml:space="preserve">The Law on Ensuring Equality </w:t>
      </w:r>
      <w:r w:rsidR="00FB0E38">
        <w:rPr>
          <w:rFonts w:ascii="Cambria" w:hAnsi="Cambria" w:cs="Arial"/>
        </w:rPr>
        <w:t xml:space="preserve">established a regulatory body charged with promoting equality – the </w:t>
      </w:r>
      <w:r w:rsidR="00FB0E38">
        <w:rPr>
          <w:rFonts w:ascii="Cambria" w:hAnsi="Cambria" w:cs="Cambria"/>
          <w:color w:val="211D1E"/>
        </w:rPr>
        <w:t>Council on the Prevention and Elimination of Discrimination and Ensuring Equality (</w:t>
      </w:r>
      <w:r w:rsidR="00FB0E38">
        <w:rPr>
          <w:rFonts w:ascii="Cambria" w:hAnsi="Cambria" w:cs="Cambria"/>
          <w:b/>
          <w:color w:val="211D1E"/>
        </w:rPr>
        <w:t>CPEDEE</w:t>
      </w:r>
      <w:r w:rsidR="00FB0E38">
        <w:rPr>
          <w:rFonts w:ascii="Cambria" w:hAnsi="Cambria" w:cs="Cambria"/>
          <w:color w:val="211D1E"/>
        </w:rPr>
        <w:t>).</w:t>
      </w:r>
      <w:r w:rsidR="00FB0E38">
        <w:rPr>
          <w:rStyle w:val="FootnoteReference"/>
          <w:rFonts w:ascii="Cambria" w:hAnsi="Cambria" w:cs="Cambria"/>
          <w:color w:val="211D1E"/>
        </w:rPr>
        <w:footnoteReference w:id="9"/>
      </w:r>
      <w:r w:rsidR="00FB0E38">
        <w:rPr>
          <w:rFonts w:ascii="Cambria" w:hAnsi="Cambria" w:cs="Cambria"/>
          <w:color w:val="211D1E"/>
        </w:rPr>
        <w:t xml:space="preserve">  The creation of this body is a welcome development</w:t>
      </w:r>
      <w:r w:rsidR="00C0197E">
        <w:rPr>
          <w:rFonts w:ascii="Cambria" w:hAnsi="Cambria" w:cs="Cambria"/>
          <w:color w:val="211D1E"/>
        </w:rPr>
        <w:t>. H</w:t>
      </w:r>
      <w:r w:rsidR="00FB0E38">
        <w:rPr>
          <w:rFonts w:ascii="Cambria" w:hAnsi="Cambria" w:cs="Cambria"/>
          <w:color w:val="211D1E"/>
        </w:rPr>
        <w:t xml:space="preserve">owever, the CPEDEE is not </w:t>
      </w:r>
      <w:r w:rsidR="00C0197E">
        <w:rPr>
          <w:rFonts w:ascii="Cambria" w:hAnsi="Cambria" w:cs="Cambria"/>
          <w:color w:val="211D1E"/>
        </w:rPr>
        <w:t>empowered with judicial authority,</w:t>
      </w:r>
      <w:r w:rsidR="00FB0E38">
        <w:rPr>
          <w:rFonts w:ascii="Cambria" w:hAnsi="Cambria" w:cs="Cambria"/>
          <w:color w:val="211D1E"/>
        </w:rPr>
        <w:t xml:space="preserve"> meaning it is only able to refer cases </w:t>
      </w:r>
      <w:r w:rsidR="00C0197E">
        <w:rPr>
          <w:rFonts w:ascii="Cambria" w:hAnsi="Cambria" w:cs="Cambria"/>
          <w:color w:val="211D1E"/>
        </w:rPr>
        <w:t xml:space="preserve">to the court, </w:t>
      </w:r>
      <w:r w:rsidR="00FB0E38">
        <w:rPr>
          <w:rFonts w:ascii="Cambria" w:hAnsi="Cambria" w:cs="Cambria"/>
          <w:color w:val="211D1E"/>
        </w:rPr>
        <w:t xml:space="preserve">and </w:t>
      </w:r>
      <w:r w:rsidR="00C0197E">
        <w:rPr>
          <w:rFonts w:ascii="Cambria" w:hAnsi="Cambria" w:cs="Cambria"/>
          <w:color w:val="211D1E"/>
        </w:rPr>
        <w:t xml:space="preserve">it is </w:t>
      </w:r>
      <w:r w:rsidR="00FB0E38">
        <w:rPr>
          <w:rFonts w:ascii="Cambria" w:hAnsi="Cambria" w:cs="Cambria"/>
          <w:color w:val="211D1E"/>
        </w:rPr>
        <w:t>not impose sanctions directly.</w:t>
      </w:r>
      <w:r w:rsidR="00837F79">
        <w:rPr>
          <w:rStyle w:val="FootnoteReference"/>
          <w:rFonts w:ascii="Cambria" w:hAnsi="Cambria" w:cs="Cambria"/>
          <w:color w:val="211D1E"/>
        </w:rPr>
        <w:footnoteReference w:id="10"/>
      </w:r>
      <w:r w:rsidR="00FB0E38">
        <w:rPr>
          <w:rFonts w:ascii="Cambria" w:hAnsi="Cambria" w:cs="Cambria"/>
          <w:color w:val="211D1E"/>
        </w:rPr>
        <w:t xml:space="preserve"> </w:t>
      </w:r>
      <w:r w:rsidR="00C0197E">
        <w:rPr>
          <w:rFonts w:ascii="Cambria" w:hAnsi="Cambria" w:cs="Cambria"/>
          <w:color w:val="211D1E"/>
        </w:rPr>
        <w:t>Moreover, t</w:t>
      </w:r>
      <w:r w:rsidR="00205FF4">
        <w:rPr>
          <w:rFonts w:ascii="Cambria" w:hAnsi="Cambria" w:cs="Cambria"/>
          <w:color w:val="211D1E"/>
        </w:rPr>
        <w:t xml:space="preserve">here is evidence that national courts routinely strike out referrals from the CPEDEE in relation to violations of the equality provisions of the Contravention Code, </w:t>
      </w:r>
      <w:r w:rsidR="00C0197E">
        <w:rPr>
          <w:rFonts w:ascii="Cambria" w:hAnsi="Cambria" w:cs="Cambria"/>
          <w:color w:val="211D1E"/>
        </w:rPr>
        <w:t>with the result that t</w:t>
      </w:r>
      <w:r w:rsidR="00205FF4" w:rsidRPr="00205CCD">
        <w:rPr>
          <w:rFonts w:ascii="Cambria" w:hAnsi="Cambria" w:cs="Cambria"/>
          <w:color w:val="211D1E"/>
        </w:rPr>
        <w:t>he CPEDEE has abandoned the practice of making such referrals.</w:t>
      </w:r>
      <w:r w:rsidR="00205FF4">
        <w:rPr>
          <w:rStyle w:val="FootnoteReference"/>
          <w:rFonts w:ascii="Cambria" w:hAnsi="Cambria" w:cs="Cambria"/>
          <w:color w:val="211D1E"/>
        </w:rPr>
        <w:footnoteReference w:id="11"/>
      </w:r>
      <w:r w:rsidR="00205FF4" w:rsidRPr="00205FF4">
        <w:rPr>
          <w:rFonts w:ascii="Cambria" w:hAnsi="Cambria" w:cs="Cambria"/>
          <w:color w:val="211D1E"/>
        </w:rPr>
        <w:t xml:space="preserve">  </w:t>
      </w:r>
    </w:p>
    <w:p w14:paraId="3D6D11E6" w14:textId="77777777" w:rsidR="00205FF4" w:rsidRPr="00205FF4" w:rsidRDefault="00205FF4" w:rsidP="00896364">
      <w:pPr>
        <w:pStyle w:val="ListParagraph"/>
        <w:spacing w:after="0" w:line="240" w:lineRule="auto"/>
        <w:contextualSpacing w:val="0"/>
        <w:rPr>
          <w:rFonts w:ascii="Cambria" w:hAnsi="Cambria" w:cs="Cambria"/>
          <w:color w:val="211D1E"/>
        </w:rPr>
      </w:pPr>
    </w:p>
    <w:p w14:paraId="1C5468BE" w14:textId="77777777" w:rsidR="00205FF4" w:rsidRDefault="00205FF4" w:rsidP="00896364">
      <w:pPr>
        <w:pStyle w:val="ListParagraph"/>
        <w:widowControl w:val="0"/>
        <w:numPr>
          <w:ilvl w:val="0"/>
          <w:numId w:val="1"/>
        </w:numPr>
        <w:spacing w:after="0" w:line="240" w:lineRule="auto"/>
        <w:contextualSpacing w:val="0"/>
        <w:jc w:val="both"/>
        <w:rPr>
          <w:rFonts w:ascii="Cambria" w:hAnsi="Cambria" w:cs="Arial"/>
        </w:rPr>
      </w:pPr>
      <w:r>
        <w:rPr>
          <w:rFonts w:ascii="Cambria" w:hAnsi="Cambria" w:cs="Arial"/>
        </w:rPr>
        <w:t>T</w:t>
      </w:r>
      <w:r w:rsidR="00C0197E">
        <w:rPr>
          <w:rFonts w:ascii="Cambria" w:hAnsi="Cambria" w:cs="Arial"/>
        </w:rPr>
        <w:t>he Law on Ensuring Equality is complemented</w:t>
      </w:r>
      <w:r>
        <w:rPr>
          <w:rFonts w:ascii="Cambria" w:hAnsi="Cambria" w:cs="Arial"/>
        </w:rPr>
        <w:t xml:space="preserve"> by </w:t>
      </w:r>
      <w:r w:rsidR="00C0197E">
        <w:rPr>
          <w:rFonts w:ascii="Cambria" w:hAnsi="Cambria" w:cs="Arial"/>
        </w:rPr>
        <w:t xml:space="preserve">two </w:t>
      </w:r>
      <w:r>
        <w:rPr>
          <w:rFonts w:ascii="Cambria" w:hAnsi="Cambria" w:cs="Arial"/>
        </w:rPr>
        <w:t>specific non-discriminat</w:t>
      </w:r>
      <w:r w:rsidR="00C0197E">
        <w:rPr>
          <w:rFonts w:ascii="Cambria" w:hAnsi="Cambria" w:cs="Arial"/>
        </w:rPr>
        <w:t xml:space="preserve">ion statutes: </w:t>
      </w:r>
      <w:r>
        <w:rPr>
          <w:rFonts w:ascii="Cambria" w:hAnsi="Cambria" w:cs="Arial"/>
        </w:rPr>
        <w:t>the</w:t>
      </w:r>
      <w:r w:rsidR="00F00B1E" w:rsidRPr="00205FF4">
        <w:rPr>
          <w:rFonts w:ascii="Cambria" w:hAnsi="Cambria" w:cs="Cambria"/>
          <w:color w:val="231F20"/>
        </w:rPr>
        <w:t xml:space="preserve"> Law on Ensuring Equal Opportunities between Women and Men</w:t>
      </w:r>
      <w:r w:rsidR="00F00B1E">
        <w:rPr>
          <w:rStyle w:val="FootnoteReference"/>
          <w:rFonts w:ascii="Cambria" w:hAnsi="Cambria" w:cs="Cambria"/>
          <w:color w:val="231F20"/>
        </w:rPr>
        <w:footnoteReference w:id="12"/>
      </w:r>
      <w:r w:rsidR="00F00B1E" w:rsidRPr="00205FF4">
        <w:rPr>
          <w:rFonts w:ascii="Cambria" w:hAnsi="Cambria" w:cs="Cambria"/>
          <w:color w:val="231F20"/>
        </w:rPr>
        <w:t xml:space="preserve"> (the </w:t>
      </w:r>
      <w:r w:rsidR="00F00B1E" w:rsidRPr="00205FF4">
        <w:rPr>
          <w:rFonts w:ascii="Cambria" w:hAnsi="Cambria" w:cs="Cambria"/>
          <w:b/>
          <w:color w:val="231F20"/>
        </w:rPr>
        <w:t>Equal Opportunities Law</w:t>
      </w:r>
      <w:r w:rsidR="00F00B1E" w:rsidRPr="00205FF4">
        <w:rPr>
          <w:rFonts w:ascii="Cambria" w:hAnsi="Cambria" w:cs="Cambria"/>
          <w:color w:val="231F20"/>
        </w:rPr>
        <w:t xml:space="preserve">) </w:t>
      </w:r>
      <w:r>
        <w:rPr>
          <w:rFonts w:ascii="Cambria" w:hAnsi="Cambria" w:cs="Cambria"/>
          <w:color w:val="231F20"/>
        </w:rPr>
        <w:t xml:space="preserve">and </w:t>
      </w:r>
      <w:r w:rsidRPr="00205CCD">
        <w:rPr>
          <w:rFonts w:ascii="Cambria" w:hAnsi="Cambria" w:cs="Arial"/>
        </w:rPr>
        <w:t>the Law on Social Inclusion of Persons with Disabilities</w:t>
      </w:r>
      <w:r>
        <w:rPr>
          <w:rStyle w:val="FootnoteReference"/>
          <w:rFonts w:ascii="Cambria" w:hAnsi="Cambria" w:cs="Arial"/>
        </w:rPr>
        <w:footnoteReference w:id="13"/>
      </w:r>
      <w:r w:rsidRPr="00205CCD">
        <w:rPr>
          <w:rFonts w:ascii="Cambria" w:hAnsi="Cambria" w:cs="Arial"/>
        </w:rPr>
        <w:t xml:space="preserve"> (the </w:t>
      </w:r>
      <w:r w:rsidRPr="00205CCD">
        <w:rPr>
          <w:rFonts w:ascii="Cambria" w:hAnsi="Cambria" w:cs="Arial"/>
          <w:b/>
        </w:rPr>
        <w:t>Law on Persons with Disabilities</w:t>
      </w:r>
      <w:r w:rsidRPr="00205CCD">
        <w:rPr>
          <w:rFonts w:ascii="Cambria" w:hAnsi="Cambria" w:cs="Arial"/>
        </w:rPr>
        <w:t>)</w:t>
      </w:r>
      <w:r>
        <w:rPr>
          <w:rFonts w:ascii="Cambria" w:hAnsi="Cambria" w:cs="Arial"/>
        </w:rPr>
        <w:t xml:space="preserve">. </w:t>
      </w:r>
    </w:p>
    <w:p w14:paraId="6D42FFBC" w14:textId="77777777" w:rsidR="00205FF4" w:rsidRPr="00205FF4" w:rsidRDefault="00205FF4" w:rsidP="00896364">
      <w:pPr>
        <w:pStyle w:val="ListParagraph"/>
        <w:spacing w:after="0" w:line="240" w:lineRule="auto"/>
        <w:contextualSpacing w:val="0"/>
        <w:rPr>
          <w:rFonts w:ascii="Cambria" w:hAnsi="Cambria" w:cs="Arial"/>
        </w:rPr>
      </w:pPr>
    </w:p>
    <w:p w14:paraId="121372E2" w14:textId="5657EDC6" w:rsidR="00B47F36" w:rsidRDefault="00205FF4" w:rsidP="00896364">
      <w:pPr>
        <w:pStyle w:val="ListParagraph"/>
        <w:widowControl w:val="0"/>
        <w:numPr>
          <w:ilvl w:val="0"/>
          <w:numId w:val="1"/>
        </w:numPr>
        <w:spacing w:after="0" w:line="240" w:lineRule="auto"/>
        <w:contextualSpacing w:val="0"/>
        <w:jc w:val="both"/>
        <w:rPr>
          <w:rFonts w:ascii="Cambria" w:hAnsi="Cambria" w:cs="Cambria"/>
          <w:color w:val="231F20"/>
          <w:spacing w:val="-4"/>
        </w:rPr>
      </w:pPr>
      <w:r>
        <w:rPr>
          <w:rFonts w:ascii="Cambria" w:hAnsi="Cambria" w:cs="Arial"/>
        </w:rPr>
        <w:t xml:space="preserve">Both laws have shortcomings. The Equal Opportunities Law is primarily a statement </w:t>
      </w:r>
      <w:r w:rsidR="00F00B1E" w:rsidRPr="00205FF4">
        <w:rPr>
          <w:rFonts w:ascii="Cambria" w:hAnsi="Cambria" w:cs="Cambria"/>
          <w:color w:val="231F20"/>
          <w:spacing w:val="-11"/>
        </w:rPr>
        <w:t xml:space="preserve">of principle, </w:t>
      </w:r>
      <w:r>
        <w:rPr>
          <w:rFonts w:ascii="Cambria" w:hAnsi="Cambria" w:cs="Cambria"/>
          <w:color w:val="231F20"/>
          <w:spacing w:val="-11"/>
        </w:rPr>
        <w:t xml:space="preserve">limited to </w:t>
      </w:r>
      <w:r w:rsidR="00F00B1E" w:rsidRPr="00205FF4">
        <w:rPr>
          <w:rFonts w:ascii="Cambria" w:hAnsi="Cambria" w:cs="Cambria"/>
          <w:color w:val="231F20"/>
          <w:spacing w:val="-1"/>
        </w:rPr>
        <w:t>imposing</w:t>
      </w:r>
      <w:r w:rsidR="00F00B1E" w:rsidRPr="00205FF4">
        <w:rPr>
          <w:rFonts w:ascii="Cambria" w:hAnsi="Cambria" w:cs="Cambria"/>
          <w:color w:val="231F20"/>
          <w:spacing w:val="24"/>
        </w:rPr>
        <w:t xml:space="preserve"> </w:t>
      </w:r>
      <w:r w:rsidR="00F00B1E" w:rsidRPr="00205FF4">
        <w:rPr>
          <w:rFonts w:ascii="Cambria" w:hAnsi="Cambria" w:cs="Cambria"/>
          <w:color w:val="231F20"/>
        </w:rPr>
        <w:t>duties</w:t>
      </w:r>
      <w:r w:rsidR="00F00B1E" w:rsidRPr="00205FF4">
        <w:rPr>
          <w:rFonts w:ascii="Cambria" w:hAnsi="Cambria" w:cs="Cambria"/>
          <w:color w:val="231F20"/>
          <w:spacing w:val="22"/>
        </w:rPr>
        <w:t xml:space="preserve"> </w:t>
      </w:r>
      <w:r w:rsidR="00F00B1E" w:rsidRPr="00205FF4">
        <w:rPr>
          <w:rFonts w:ascii="Cambria" w:hAnsi="Cambria" w:cs="Cambria"/>
          <w:color w:val="231F20"/>
        </w:rPr>
        <w:t>on</w:t>
      </w:r>
      <w:r w:rsidR="00F00B1E" w:rsidRPr="00205FF4">
        <w:rPr>
          <w:rFonts w:ascii="Cambria" w:hAnsi="Cambria" w:cs="Cambria"/>
          <w:color w:val="231F20"/>
          <w:spacing w:val="24"/>
        </w:rPr>
        <w:t xml:space="preserve"> </w:t>
      </w:r>
      <w:r w:rsidR="00F00B1E" w:rsidRPr="00205FF4">
        <w:rPr>
          <w:rFonts w:ascii="Cambria" w:hAnsi="Cambria" w:cs="Cambria"/>
          <w:color w:val="231F20"/>
          <w:spacing w:val="-1"/>
        </w:rPr>
        <w:t>public</w:t>
      </w:r>
      <w:r w:rsidR="00F00B1E" w:rsidRPr="00205FF4">
        <w:rPr>
          <w:rFonts w:ascii="Cambria" w:hAnsi="Cambria" w:cs="Cambria"/>
          <w:color w:val="231F20"/>
          <w:spacing w:val="23"/>
        </w:rPr>
        <w:t xml:space="preserve"> </w:t>
      </w:r>
      <w:r w:rsidR="00F00B1E" w:rsidRPr="00205FF4">
        <w:rPr>
          <w:rFonts w:ascii="Cambria" w:hAnsi="Cambria" w:cs="Cambria"/>
          <w:color w:val="231F20"/>
          <w:spacing w:val="-1"/>
        </w:rPr>
        <w:t>bodies</w:t>
      </w:r>
      <w:r w:rsidR="00F00B1E" w:rsidRPr="00205FF4">
        <w:rPr>
          <w:rFonts w:ascii="Cambria" w:hAnsi="Cambria" w:cs="Cambria"/>
          <w:color w:val="231F20"/>
          <w:spacing w:val="24"/>
        </w:rPr>
        <w:t xml:space="preserve"> </w:t>
      </w:r>
      <w:r w:rsidR="00F00B1E" w:rsidRPr="00205FF4">
        <w:rPr>
          <w:rFonts w:ascii="Cambria" w:hAnsi="Cambria" w:cs="Cambria"/>
          <w:color w:val="231F20"/>
          <w:spacing w:val="-1"/>
        </w:rPr>
        <w:t>to</w:t>
      </w:r>
      <w:r w:rsidR="00F00B1E" w:rsidRPr="00205FF4">
        <w:rPr>
          <w:rFonts w:ascii="Cambria" w:hAnsi="Cambria" w:cs="Cambria"/>
          <w:color w:val="231F20"/>
          <w:spacing w:val="23"/>
        </w:rPr>
        <w:t xml:space="preserve"> </w:t>
      </w:r>
      <w:r w:rsidR="00F00B1E" w:rsidRPr="00205FF4">
        <w:rPr>
          <w:rFonts w:ascii="Cambria" w:hAnsi="Cambria" w:cs="Cambria"/>
          <w:color w:val="231F20"/>
          <w:spacing w:val="-1"/>
        </w:rPr>
        <w:t>make</w:t>
      </w:r>
      <w:r w:rsidR="00F00B1E" w:rsidRPr="006A04B2">
        <w:rPr>
          <w:rFonts w:ascii="Cambria" w:hAnsi="Cambria" w:cs="Cambria"/>
          <w:color w:val="231F20"/>
          <w:spacing w:val="-1"/>
        </w:rPr>
        <w:t xml:space="preserve"> ‘equal opportunities’ </w:t>
      </w:r>
      <w:r w:rsidR="00F00B1E" w:rsidRPr="00205FF4">
        <w:rPr>
          <w:rFonts w:ascii="Cambria" w:hAnsi="Cambria" w:cs="Cambria"/>
          <w:color w:val="231F20"/>
          <w:spacing w:val="-1"/>
        </w:rPr>
        <w:t>deci</w:t>
      </w:r>
      <w:r w:rsidR="00F00B1E" w:rsidRPr="006A04B2">
        <w:rPr>
          <w:rFonts w:ascii="Cambria" w:hAnsi="Cambria" w:cs="Cambria"/>
          <w:color w:val="231F20"/>
          <w:spacing w:val="-1"/>
        </w:rPr>
        <w:t xml:space="preserve">sions </w:t>
      </w:r>
      <w:r w:rsidR="00F00B1E" w:rsidRPr="00205FF4">
        <w:rPr>
          <w:rFonts w:ascii="Cambria" w:hAnsi="Cambria" w:cs="Cambria"/>
          <w:color w:val="231F20"/>
          <w:spacing w:val="-1"/>
        </w:rPr>
        <w:t>and</w:t>
      </w:r>
      <w:r w:rsidR="00F00B1E" w:rsidRPr="006A04B2">
        <w:rPr>
          <w:rFonts w:ascii="Cambria" w:hAnsi="Cambria" w:cs="Cambria"/>
          <w:color w:val="231F20"/>
          <w:spacing w:val="-1"/>
        </w:rPr>
        <w:t xml:space="preserve"> </w:t>
      </w:r>
      <w:r w:rsidR="00F00B1E" w:rsidRPr="00205FF4">
        <w:rPr>
          <w:rFonts w:ascii="Cambria" w:hAnsi="Cambria" w:cs="Cambria"/>
          <w:color w:val="231F20"/>
          <w:spacing w:val="-1"/>
        </w:rPr>
        <w:t>policies</w:t>
      </w:r>
      <w:r>
        <w:rPr>
          <w:rFonts w:ascii="Cambria" w:hAnsi="Cambria" w:cs="Cambria"/>
          <w:color w:val="231F20"/>
          <w:spacing w:val="-1"/>
        </w:rPr>
        <w:t>.</w:t>
      </w:r>
      <w:r w:rsidR="00837F79">
        <w:rPr>
          <w:rStyle w:val="FootnoteReference"/>
          <w:rFonts w:ascii="Cambria" w:hAnsi="Cambria" w:cs="Cambria"/>
          <w:color w:val="231F20"/>
          <w:spacing w:val="-1"/>
        </w:rPr>
        <w:footnoteReference w:id="14"/>
      </w:r>
      <w:r>
        <w:rPr>
          <w:rFonts w:ascii="Cambria" w:hAnsi="Cambria" w:cs="Cambria"/>
          <w:color w:val="231F20"/>
          <w:spacing w:val="-1"/>
        </w:rPr>
        <w:t xml:space="preserve"> It contains </w:t>
      </w:r>
      <w:r w:rsidR="00F00B1E" w:rsidRPr="00205FF4">
        <w:rPr>
          <w:rFonts w:ascii="Cambria" w:hAnsi="Cambria" w:cs="Cambria"/>
          <w:color w:val="231F20"/>
          <w:spacing w:val="-1"/>
        </w:rPr>
        <w:t>no</w:t>
      </w:r>
      <w:r w:rsidR="00F00B1E" w:rsidRPr="006A04B2">
        <w:rPr>
          <w:rFonts w:ascii="Cambria" w:hAnsi="Cambria" w:cs="Cambria"/>
          <w:color w:val="231F20"/>
          <w:spacing w:val="-1"/>
        </w:rPr>
        <w:t xml:space="preserve"> </w:t>
      </w:r>
      <w:r w:rsidR="00F00B1E" w:rsidRPr="00205FF4">
        <w:rPr>
          <w:rFonts w:ascii="Cambria" w:hAnsi="Cambria" w:cs="Cambria"/>
          <w:color w:val="231F20"/>
          <w:spacing w:val="-1"/>
        </w:rPr>
        <w:t>enforcement</w:t>
      </w:r>
      <w:r w:rsidR="00F00B1E" w:rsidRPr="006A04B2">
        <w:rPr>
          <w:rFonts w:ascii="Cambria" w:hAnsi="Cambria" w:cs="Cambria"/>
          <w:color w:val="231F20"/>
          <w:spacing w:val="-1"/>
        </w:rPr>
        <w:t xml:space="preserve"> mechanisms or </w:t>
      </w:r>
      <w:r w:rsidR="00F00B1E" w:rsidRPr="00205FF4">
        <w:rPr>
          <w:rFonts w:ascii="Cambria" w:hAnsi="Cambria" w:cs="Cambria"/>
          <w:color w:val="231F20"/>
          <w:spacing w:val="-1"/>
        </w:rPr>
        <w:t>remedies</w:t>
      </w:r>
      <w:r w:rsidR="00F00B1E" w:rsidRPr="006A04B2">
        <w:rPr>
          <w:rFonts w:ascii="Cambria" w:hAnsi="Cambria" w:cs="Cambria"/>
          <w:color w:val="231F20"/>
          <w:spacing w:val="-1"/>
        </w:rPr>
        <w:t xml:space="preserve"> </w:t>
      </w:r>
      <w:r w:rsidR="00F00B1E" w:rsidRPr="00205FF4">
        <w:rPr>
          <w:rFonts w:ascii="Cambria" w:hAnsi="Cambria" w:cs="Cambria"/>
          <w:color w:val="231F20"/>
          <w:spacing w:val="-1"/>
        </w:rPr>
        <w:t>for</w:t>
      </w:r>
      <w:r w:rsidR="00F00B1E" w:rsidRPr="006A04B2">
        <w:rPr>
          <w:rFonts w:ascii="Cambria" w:hAnsi="Cambria" w:cs="Cambria"/>
          <w:color w:val="231F20"/>
          <w:spacing w:val="-1"/>
        </w:rPr>
        <w:t xml:space="preserve"> </w:t>
      </w:r>
      <w:r w:rsidR="00F00B1E" w:rsidRPr="00205FF4">
        <w:rPr>
          <w:rFonts w:ascii="Cambria" w:hAnsi="Cambria" w:cs="Cambria"/>
          <w:color w:val="231F20"/>
          <w:spacing w:val="-1"/>
        </w:rPr>
        <w:t>breach</w:t>
      </w:r>
      <w:r w:rsidR="00F00B1E" w:rsidRPr="006A04B2">
        <w:rPr>
          <w:rFonts w:ascii="Cambria" w:hAnsi="Cambria" w:cs="Cambria"/>
          <w:color w:val="231F20"/>
          <w:spacing w:val="-1"/>
        </w:rPr>
        <w:t xml:space="preserve"> of </w:t>
      </w:r>
      <w:r w:rsidR="008F5171">
        <w:rPr>
          <w:rFonts w:ascii="Cambria" w:hAnsi="Cambria" w:cs="Cambria"/>
          <w:color w:val="231F20"/>
          <w:spacing w:val="-1"/>
        </w:rPr>
        <w:t xml:space="preserve">duty. While </w:t>
      </w:r>
      <w:r>
        <w:rPr>
          <w:rFonts w:ascii="Cambria" w:hAnsi="Cambria" w:cs="Cambria"/>
          <w:color w:val="231F20"/>
          <w:spacing w:val="-4"/>
        </w:rPr>
        <w:t xml:space="preserve">victims of gender discrimination </w:t>
      </w:r>
      <w:r w:rsidR="00837F79">
        <w:rPr>
          <w:rFonts w:ascii="Cambria" w:hAnsi="Cambria" w:cs="Cambria"/>
          <w:color w:val="231F20"/>
          <w:spacing w:val="-4"/>
        </w:rPr>
        <w:t xml:space="preserve">can </w:t>
      </w:r>
      <w:r w:rsidR="008F5171">
        <w:rPr>
          <w:rFonts w:ascii="Cambria" w:hAnsi="Cambria" w:cs="Cambria"/>
          <w:color w:val="231F20"/>
          <w:spacing w:val="-4"/>
        </w:rPr>
        <w:t xml:space="preserve">now </w:t>
      </w:r>
      <w:r>
        <w:rPr>
          <w:rFonts w:ascii="Cambria" w:hAnsi="Cambria" w:cs="Cambria"/>
          <w:color w:val="231F20"/>
          <w:spacing w:val="-4"/>
        </w:rPr>
        <w:t>rely on the Law on Ensuring Equality</w:t>
      </w:r>
      <w:r w:rsidR="00837F79">
        <w:rPr>
          <w:rFonts w:ascii="Cambria" w:hAnsi="Cambria" w:cs="Cambria"/>
          <w:color w:val="231F20"/>
          <w:spacing w:val="-4"/>
        </w:rPr>
        <w:t xml:space="preserve">, </w:t>
      </w:r>
      <w:r w:rsidR="008F5171">
        <w:rPr>
          <w:rFonts w:ascii="Cambria" w:hAnsi="Cambria" w:cs="Cambria"/>
          <w:color w:val="231F20"/>
          <w:spacing w:val="-4"/>
        </w:rPr>
        <w:t xml:space="preserve">there are areas in which the </w:t>
      </w:r>
      <w:r w:rsidR="00837F79">
        <w:rPr>
          <w:rFonts w:ascii="Cambria" w:hAnsi="Cambria" w:cs="Cambria"/>
          <w:color w:val="231F20"/>
          <w:spacing w:val="-4"/>
        </w:rPr>
        <w:t>Equal Opportunities Law offer</w:t>
      </w:r>
      <w:r w:rsidR="008F5171">
        <w:rPr>
          <w:rFonts w:ascii="Cambria" w:hAnsi="Cambria" w:cs="Cambria"/>
          <w:color w:val="231F20"/>
          <w:spacing w:val="-4"/>
        </w:rPr>
        <w:t>s broader guarantees, but where there is no right of action</w:t>
      </w:r>
      <w:r w:rsidR="00837F79">
        <w:rPr>
          <w:rStyle w:val="FootnoteReference"/>
          <w:rFonts w:ascii="Cambria" w:hAnsi="Cambria" w:cs="Cambria"/>
          <w:color w:val="231F20"/>
          <w:spacing w:val="-4"/>
        </w:rPr>
        <w:footnoteReference w:id="15"/>
      </w:r>
      <w:r>
        <w:rPr>
          <w:rFonts w:ascii="Cambria" w:hAnsi="Cambria" w:cs="Cambria"/>
          <w:color w:val="231F20"/>
          <w:spacing w:val="-4"/>
        </w:rPr>
        <w:t xml:space="preserve"> </w:t>
      </w:r>
    </w:p>
    <w:p w14:paraId="0F2B0CBD" w14:textId="77777777" w:rsidR="00B47F36" w:rsidRPr="00C20C2A" w:rsidRDefault="00B47F36" w:rsidP="00C20C2A">
      <w:pPr>
        <w:pStyle w:val="ListParagraph"/>
        <w:rPr>
          <w:rFonts w:ascii="Cambria" w:hAnsi="Cambria" w:cs="Cambria"/>
          <w:color w:val="231F20"/>
          <w:spacing w:val="-4"/>
        </w:rPr>
      </w:pPr>
    </w:p>
    <w:p w14:paraId="3E59D0C6" w14:textId="4BFF25A1" w:rsidR="00F00B1E" w:rsidRPr="00584A4E" w:rsidRDefault="00205FF4" w:rsidP="00896364">
      <w:pPr>
        <w:pStyle w:val="ListParagraph"/>
        <w:widowControl w:val="0"/>
        <w:numPr>
          <w:ilvl w:val="0"/>
          <w:numId w:val="1"/>
        </w:numPr>
        <w:spacing w:after="0" w:line="240" w:lineRule="auto"/>
        <w:contextualSpacing w:val="0"/>
        <w:jc w:val="both"/>
        <w:rPr>
          <w:rFonts w:ascii="Cambria" w:hAnsi="Cambria" w:cs="Cambria"/>
          <w:color w:val="231F20"/>
          <w:spacing w:val="-4"/>
        </w:rPr>
      </w:pPr>
      <w:r>
        <w:rPr>
          <w:rFonts w:ascii="Cambria" w:hAnsi="Cambria" w:cs="Cambria"/>
          <w:color w:val="231F20"/>
          <w:spacing w:val="-4"/>
        </w:rPr>
        <w:t>The Law on Per</w:t>
      </w:r>
      <w:r w:rsidR="00C0197E">
        <w:rPr>
          <w:rFonts w:ascii="Cambria" w:hAnsi="Cambria" w:cs="Cambria"/>
          <w:color w:val="231F20"/>
          <w:spacing w:val="-4"/>
        </w:rPr>
        <w:t>sons with Disabilities creates</w:t>
      </w:r>
      <w:r w:rsidRPr="00205FF4">
        <w:t xml:space="preserve"> </w:t>
      </w:r>
      <w:r w:rsidRPr="00205FF4">
        <w:rPr>
          <w:rFonts w:ascii="Cambria" w:hAnsi="Cambria" w:cs="Cambria"/>
          <w:color w:val="231F20"/>
          <w:spacing w:val="-4"/>
        </w:rPr>
        <w:t>ostensibly robust and far-reaching protections</w:t>
      </w:r>
      <w:r>
        <w:rPr>
          <w:rFonts w:ascii="Cambria" w:hAnsi="Cambria" w:cs="Cambria"/>
          <w:color w:val="231F20"/>
          <w:spacing w:val="-4"/>
        </w:rPr>
        <w:t xml:space="preserve"> </w:t>
      </w:r>
      <w:r w:rsidRPr="00205FF4">
        <w:rPr>
          <w:rFonts w:ascii="Cambria" w:hAnsi="Cambria" w:cs="Cambria"/>
          <w:color w:val="231F20"/>
          <w:spacing w:val="-4"/>
        </w:rPr>
        <w:t>of persons with disabilities</w:t>
      </w:r>
      <w:r>
        <w:rPr>
          <w:rFonts w:ascii="Cambria" w:hAnsi="Cambria" w:cs="Cambria"/>
          <w:color w:val="231F20"/>
          <w:spacing w:val="-4"/>
        </w:rPr>
        <w:t xml:space="preserve"> including in accessing their economic and social rights.</w:t>
      </w:r>
      <w:r w:rsidR="00B47F36">
        <w:rPr>
          <w:rFonts w:ascii="Cambria" w:hAnsi="Cambria" w:cs="Cambria"/>
          <w:color w:val="231F20"/>
          <w:spacing w:val="-4"/>
        </w:rPr>
        <w:t xml:space="preserve"> A number of its provisions are welcome developments, for example Chapter 3 of the Law contains provisions designed to enhance the accessibility of social infrastructure for persons with disabilities and is </w:t>
      </w:r>
      <w:r w:rsidR="00C20C2A">
        <w:rPr>
          <w:rFonts w:ascii="Cambria" w:hAnsi="Cambria" w:cs="Cambria"/>
          <w:color w:val="231F20"/>
          <w:spacing w:val="-4"/>
        </w:rPr>
        <w:t>establishes</w:t>
      </w:r>
      <w:r w:rsidR="00B47F36">
        <w:rPr>
          <w:rFonts w:ascii="Cambria" w:hAnsi="Cambria" w:cs="Cambria"/>
          <w:color w:val="231F20"/>
          <w:spacing w:val="-4"/>
        </w:rPr>
        <w:t xml:space="preserve"> liability for breach.</w:t>
      </w:r>
      <w:r w:rsidR="00B47F36">
        <w:rPr>
          <w:rStyle w:val="FootnoteReference"/>
          <w:rFonts w:ascii="Cambria" w:hAnsi="Cambria" w:cs="Cambria"/>
          <w:color w:val="231F20"/>
          <w:spacing w:val="-4"/>
        </w:rPr>
        <w:footnoteReference w:id="16"/>
      </w:r>
      <w:r>
        <w:rPr>
          <w:rFonts w:ascii="Cambria" w:hAnsi="Cambria" w:cs="Cambria"/>
          <w:color w:val="231F20"/>
          <w:spacing w:val="-4"/>
        </w:rPr>
        <w:t xml:space="preserve"> However, it is difficult for persons with disabilities to benefit from </w:t>
      </w:r>
      <w:r w:rsidR="00B47F36">
        <w:rPr>
          <w:rFonts w:ascii="Cambria" w:hAnsi="Cambria" w:cs="Cambria"/>
          <w:color w:val="231F20"/>
          <w:spacing w:val="-4"/>
        </w:rPr>
        <w:t>certain protections designed to enhance their access to economic, social and cultural rights. As discussed below, Article 34(4) imposes an obligation on employers with at least 20 staff to create or reserve 5% of jobs for persons with disabilities.</w:t>
      </w:r>
      <w:r w:rsidR="00B47F36">
        <w:rPr>
          <w:rStyle w:val="FootnoteReference"/>
          <w:rFonts w:ascii="Cambria" w:hAnsi="Cambria" w:cs="Cambria"/>
          <w:color w:val="231F20"/>
          <w:spacing w:val="-4"/>
        </w:rPr>
        <w:footnoteReference w:id="17"/>
      </w:r>
      <w:r w:rsidR="00B47F36">
        <w:rPr>
          <w:rFonts w:ascii="Cambria" w:hAnsi="Cambria" w:cs="Cambria"/>
          <w:color w:val="231F20"/>
          <w:spacing w:val="-4"/>
        </w:rPr>
        <w:t xml:space="preserve"> However, there is a no indication of how this quota will be implemented nor is there sanction for breach.</w:t>
      </w:r>
      <w:r w:rsidR="00B47F36">
        <w:rPr>
          <w:rStyle w:val="FootnoteReference"/>
          <w:rFonts w:ascii="Cambria" w:hAnsi="Cambria" w:cs="Cambria"/>
          <w:color w:val="231F20"/>
          <w:spacing w:val="-4"/>
        </w:rPr>
        <w:footnoteReference w:id="18"/>
      </w:r>
      <w:r w:rsidR="00B47F36">
        <w:rPr>
          <w:rFonts w:ascii="Cambria" w:hAnsi="Cambria" w:cs="Cambria"/>
          <w:color w:val="231F20"/>
          <w:spacing w:val="-4"/>
        </w:rPr>
        <w:t xml:space="preserve"> Moreover</w:t>
      </w:r>
      <w:r w:rsidR="00C20C2A">
        <w:rPr>
          <w:rFonts w:ascii="Cambria" w:hAnsi="Cambria" w:cs="Cambria"/>
          <w:color w:val="231F20"/>
          <w:spacing w:val="-4"/>
        </w:rPr>
        <w:t>, as outlined below,</w:t>
      </w:r>
      <w:r w:rsidR="00B47F36">
        <w:rPr>
          <w:rFonts w:ascii="Cambria" w:hAnsi="Cambria" w:cs="Cambria"/>
          <w:color w:val="231F20"/>
          <w:spacing w:val="-4"/>
        </w:rPr>
        <w:t xml:space="preserve"> </w:t>
      </w:r>
      <w:r>
        <w:rPr>
          <w:rFonts w:ascii="Cambria" w:hAnsi="Cambria" w:cs="Cambria"/>
          <w:color w:val="231F20"/>
          <w:spacing w:val="-4"/>
        </w:rPr>
        <w:t xml:space="preserve">research conducted for our Report indicates that </w:t>
      </w:r>
      <w:r w:rsidR="00F00B1E" w:rsidRPr="00205FF4">
        <w:rPr>
          <w:rFonts w:ascii="Cambria" w:hAnsi="Cambria" w:cs="Arial"/>
        </w:rPr>
        <w:t>this law has not yet resulted in any major reduction in the discrimination faced by people with disabilities in Moldova.</w:t>
      </w:r>
      <w:r w:rsidR="00F00B1E">
        <w:rPr>
          <w:rStyle w:val="FootnoteReference"/>
          <w:rFonts w:ascii="Cambria" w:hAnsi="Cambria" w:cs="Arial"/>
        </w:rPr>
        <w:footnoteReference w:id="19"/>
      </w:r>
      <w:r w:rsidR="00F00B1E" w:rsidRPr="00205FF4">
        <w:rPr>
          <w:rFonts w:ascii="Cambria" w:hAnsi="Cambria" w:cs="Arial"/>
        </w:rPr>
        <w:t xml:space="preserve">  </w:t>
      </w:r>
    </w:p>
    <w:p w14:paraId="32CAE2A3" w14:textId="77777777" w:rsidR="00134E30" w:rsidRDefault="00134E30" w:rsidP="00134E30">
      <w:pPr>
        <w:spacing w:after="0" w:line="240" w:lineRule="auto"/>
        <w:ind w:left="567"/>
        <w:jc w:val="both"/>
        <w:rPr>
          <w:rFonts w:ascii="Cambria" w:eastAsia="Calibri" w:hAnsi="Cambria" w:cs="Times New Roman"/>
          <w:b/>
        </w:rPr>
      </w:pPr>
    </w:p>
    <w:p w14:paraId="2C6558F7" w14:textId="06CADAC2" w:rsidR="00134E30" w:rsidRPr="005A273F" w:rsidRDefault="00134E30" w:rsidP="00134E30">
      <w:pPr>
        <w:pBdr>
          <w:top w:val="single" w:sz="18" w:space="1" w:color="E8112D"/>
          <w:left w:val="single" w:sz="18" w:space="4" w:color="E8112D"/>
          <w:bottom w:val="single" w:sz="18" w:space="1" w:color="E8112D"/>
          <w:right w:val="single" w:sz="18" w:space="4" w:color="E8112D"/>
        </w:pBdr>
        <w:shd w:val="solid" w:color="FCD4D9" w:fill="E8112D"/>
        <w:ind w:left="567" w:hanging="567"/>
        <w:rPr>
          <w:rFonts w:ascii="Cambria" w:hAnsi="Cambria"/>
          <w:b/>
        </w:rPr>
      </w:pPr>
      <w:r w:rsidRPr="005A273F">
        <w:rPr>
          <w:rFonts w:ascii="Cambria" w:hAnsi="Cambria"/>
          <w:b/>
        </w:rPr>
        <w:lastRenderedPageBreak/>
        <w:t>Suggested Questions</w:t>
      </w:r>
      <w:r>
        <w:rPr>
          <w:rFonts w:ascii="Cambria" w:hAnsi="Cambria"/>
          <w:b/>
        </w:rPr>
        <w:t xml:space="preserve"> on Discrimination in relation to the Legal Framework </w:t>
      </w:r>
    </w:p>
    <w:p w14:paraId="0819D1EF" w14:textId="0B672DC5" w:rsidR="00134E30" w:rsidRDefault="00134E30" w:rsidP="00C20C2A">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sidRPr="000E0CE4">
        <w:rPr>
          <w:rFonts w:ascii="Cambria" w:hAnsi="Cambria"/>
        </w:rPr>
        <w:t xml:space="preserve">What </w:t>
      </w:r>
      <w:r>
        <w:rPr>
          <w:rFonts w:ascii="Cambria" w:hAnsi="Cambria"/>
        </w:rPr>
        <w:t>plans, if any, does the state party have to expand the scope of the Law on Ensuring Equality to include</w:t>
      </w:r>
      <w:r w:rsidR="00C20C2A">
        <w:rPr>
          <w:rFonts w:ascii="Cambria" w:hAnsi="Cambria"/>
        </w:rPr>
        <w:t xml:space="preserve"> discrimination in</w:t>
      </w:r>
      <w:r>
        <w:rPr>
          <w:rFonts w:ascii="Cambria" w:hAnsi="Cambria"/>
        </w:rPr>
        <w:t xml:space="preserve"> </w:t>
      </w:r>
      <w:r w:rsidR="00C20C2A">
        <w:rPr>
          <w:rFonts w:ascii="Cambria" w:hAnsi="Cambria"/>
        </w:rPr>
        <w:t xml:space="preserve">areas of family law </w:t>
      </w:r>
      <w:r>
        <w:rPr>
          <w:rFonts w:ascii="Cambria" w:hAnsi="Cambria"/>
        </w:rPr>
        <w:t xml:space="preserve">and </w:t>
      </w:r>
      <w:r w:rsidR="00C20C2A">
        <w:rPr>
          <w:rFonts w:ascii="Cambria" w:hAnsi="Cambria"/>
        </w:rPr>
        <w:t xml:space="preserve">in the practices of </w:t>
      </w:r>
      <w:r>
        <w:rPr>
          <w:rFonts w:ascii="Cambria" w:hAnsi="Cambria"/>
        </w:rPr>
        <w:t xml:space="preserve">religious institutions? </w:t>
      </w:r>
    </w:p>
    <w:p w14:paraId="1053A4B4" w14:textId="47906A57" w:rsidR="00C20C2A" w:rsidRDefault="00C20C2A" w:rsidP="00C20C2A">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sidRPr="00C20C2A">
        <w:rPr>
          <w:rFonts w:ascii="Cambria" w:hAnsi="Cambria"/>
        </w:rPr>
        <w:t xml:space="preserve">Can the state party confirm that </w:t>
      </w:r>
      <w:r>
        <w:rPr>
          <w:rFonts w:ascii="Cambria" w:hAnsi="Cambria"/>
        </w:rPr>
        <w:t xml:space="preserve">the words </w:t>
      </w:r>
      <w:r w:rsidRPr="00C20C2A">
        <w:rPr>
          <w:rFonts w:ascii="Cambria" w:hAnsi="Cambria"/>
        </w:rPr>
        <w:t>“</w:t>
      </w:r>
      <w:r>
        <w:t>any other similar criteria” in Article 1 of the Law on Ensuring Equality are interpreted as prohibiting discrimination on the basis of sexual orientation and gender identity</w:t>
      </w:r>
      <w:r w:rsidRPr="00C20C2A">
        <w:rPr>
          <w:rFonts w:ascii="Cambria" w:hAnsi="Cambria"/>
        </w:rPr>
        <w:t>? What plans</w:t>
      </w:r>
      <w:r>
        <w:rPr>
          <w:rFonts w:ascii="Cambria" w:hAnsi="Cambria"/>
        </w:rPr>
        <w:t>, if any,</w:t>
      </w:r>
      <w:r w:rsidRPr="00C20C2A">
        <w:rPr>
          <w:rFonts w:ascii="Cambria" w:hAnsi="Cambria"/>
        </w:rPr>
        <w:t xml:space="preserve"> does the state party have to clarify this interpretation, and raise awareness of the protection provided as a result?</w:t>
      </w:r>
    </w:p>
    <w:p w14:paraId="40D17AFE" w14:textId="7E56B21F" w:rsidR="00134E30" w:rsidRDefault="00134E30" w:rsidP="00C20C2A">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 xml:space="preserve">What plans, if any, does the state party have to imbue the CPEDEE with judiciary authority such that it can make enforceable judgments, or alternatively, to obligate national courts to accept and pursue all referrals received from the CPEDEE? </w:t>
      </w:r>
    </w:p>
    <w:p w14:paraId="5EFC40C7" w14:textId="14B11C74" w:rsidR="00134E30" w:rsidRPr="0019651B" w:rsidRDefault="00134E30" w:rsidP="00C20C2A">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 xml:space="preserve">What steps will the state party take to harmonise the provisions of the Equal Opportunities Law and the Law on Ensuring Equality such that the broader protections under the Equal Opportunities Law are enforceable? </w:t>
      </w:r>
    </w:p>
    <w:p w14:paraId="6A612E99" w14:textId="77777777" w:rsidR="00F00B1E" w:rsidRPr="00205CCD" w:rsidRDefault="00F00B1E" w:rsidP="00896364">
      <w:pPr>
        <w:spacing w:after="0" w:line="240" w:lineRule="auto"/>
        <w:rPr>
          <w:rFonts w:ascii="Cambria" w:hAnsi="Cambria"/>
        </w:rPr>
      </w:pPr>
    </w:p>
    <w:p w14:paraId="2D45867D" w14:textId="77777777" w:rsidR="00F00B1E" w:rsidRPr="00205CCD" w:rsidRDefault="00F00B1E" w:rsidP="00896364">
      <w:pPr>
        <w:spacing w:after="0" w:line="240" w:lineRule="auto"/>
        <w:rPr>
          <w:rFonts w:ascii="Cambria" w:eastAsia="Calibri" w:hAnsi="Cambria" w:cs="Times New Roman"/>
          <w:b/>
          <w:u w:val="single"/>
        </w:rPr>
      </w:pPr>
      <w:r w:rsidRPr="00205CCD">
        <w:rPr>
          <w:rFonts w:ascii="Cambria" w:eastAsia="Calibri" w:hAnsi="Cambria" w:cs="Times New Roman"/>
          <w:b/>
          <w:u w:val="single"/>
        </w:rPr>
        <w:t xml:space="preserve">Part 2: Discrimination Affecting the Enjoyment of Other Covenant Rights </w:t>
      </w:r>
    </w:p>
    <w:p w14:paraId="5F453A42" w14:textId="77777777" w:rsidR="00F00B1E" w:rsidRPr="00205CCD" w:rsidRDefault="00F00B1E" w:rsidP="00896364">
      <w:pPr>
        <w:spacing w:after="0" w:line="240" w:lineRule="auto"/>
        <w:rPr>
          <w:rFonts w:ascii="Cambria" w:eastAsia="Calibri" w:hAnsi="Cambria" w:cs="Times New Roman"/>
        </w:rPr>
      </w:pPr>
    </w:p>
    <w:p w14:paraId="7DD8CF70" w14:textId="797CFACE" w:rsidR="00F00B1E" w:rsidRPr="00205CCD" w:rsidRDefault="00280581" w:rsidP="00896364">
      <w:pPr>
        <w:numPr>
          <w:ilvl w:val="0"/>
          <w:numId w:val="1"/>
        </w:numPr>
        <w:spacing w:after="0" w:line="240" w:lineRule="auto"/>
        <w:jc w:val="both"/>
        <w:rPr>
          <w:rFonts w:ascii="Cambria" w:eastAsia="Calibri" w:hAnsi="Cambria" w:cs="Times New Roman"/>
        </w:rPr>
      </w:pPr>
      <w:r>
        <w:rPr>
          <w:rFonts w:ascii="Cambria" w:eastAsia="Calibri" w:hAnsi="Cambria" w:cs="Times New Roman"/>
        </w:rPr>
        <w:t>The r</w:t>
      </w:r>
      <w:r w:rsidR="00F00B1E" w:rsidRPr="00205CCD">
        <w:rPr>
          <w:rFonts w:ascii="Cambria" w:eastAsia="Calibri" w:hAnsi="Cambria" w:cs="Times New Roman"/>
        </w:rPr>
        <w:t xml:space="preserve">eport </w:t>
      </w:r>
      <w:r>
        <w:rPr>
          <w:rFonts w:ascii="Cambria" w:eastAsia="Calibri" w:hAnsi="Cambria" w:cs="Times New Roman"/>
          <w:i/>
        </w:rPr>
        <w:t xml:space="preserve">From Words to Deeds: Addressing Discrimination and Inequality in Moldova </w:t>
      </w:r>
      <w:r w:rsidR="00F00B1E" w:rsidRPr="00205CCD">
        <w:rPr>
          <w:rFonts w:ascii="Cambria" w:eastAsia="Calibri" w:hAnsi="Cambria" w:cs="Times New Roman"/>
        </w:rPr>
        <w:t xml:space="preserve">presents evidence of discrimination and inequality on grounds of¸ </w:t>
      </w:r>
      <w:r w:rsidR="00F00B1E" w:rsidRPr="00205CCD">
        <w:rPr>
          <w:rFonts w:ascii="Cambria" w:eastAsia="Calibri" w:hAnsi="Cambria" w:cs="Times New Roman"/>
          <w:i/>
        </w:rPr>
        <w:t>inter alia</w:t>
      </w:r>
      <w:r w:rsidR="00F00B1E" w:rsidRPr="00205CCD">
        <w:rPr>
          <w:rFonts w:ascii="Cambria" w:eastAsia="Calibri" w:hAnsi="Cambria" w:cs="Times New Roman"/>
        </w:rPr>
        <w:t xml:space="preserve">, race and ethnicity, sexual orientation and gender identity, health status, gender, disability, religion or belief, age and language. It finds that discrimination is a major factor in limiting the enjoyment of other Covenant rights on an equal basis with others. This section of the submission examines some of those issues, highlighting the impact of discrimination on the enjoyment of the right to work (Article 6), the right to physical and mental health (Article 12) and the right to education (Article 13). </w:t>
      </w:r>
    </w:p>
    <w:p w14:paraId="019AF740" w14:textId="77777777" w:rsidR="00F00B1E" w:rsidRPr="00205CCD" w:rsidRDefault="00F00B1E" w:rsidP="00896364">
      <w:pPr>
        <w:spacing w:after="0" w:line="240" w:lineRule="auto"/>
        <w:jc w:val="both"/>
        <w:rPr>
          <w:rFonts w:ascii="Cambria" w:eastAsia="Calibri" w:hAnsi="Cambria" w:cs="Times New Roman"/>
        </w:rPr>
      </w:pPr>
    </w:p>
    <w:p w14:paraId="310BF398" w14:textId="77777777" w:rsidR="00F00B1E" w:rsidRPr="00205CCD" w:rsidRDefault="00F00B1E" w:rsidP="00896364">
      <w:pPr>
        <w:spacing w:after="0" w:line="240" w:lineRule="auto"/>
        <w:jc w:val="both"/>
        <w:rPr>
          <w:rFonts w:ascii="Cambria" w:eastAsia="Calibri" w:hAnsi="Cambria" w:cs="Times New Roman"/>
          <w:b/>
        </w:rPr>
      </w:pPr>
      <w:r w:rsidRPr="00205CCD">
        <w:rPr>
          <w:rFonts w:ascii="Cambria" w:eastAsia="Calibri" w:hAnsi="Cambria" w:cs="Times New Roman"/>
          <w:b/>
        </w:rPr>
        <w:t>Article 6: The right to work</w:t>
      </w:r>
    </w:p>
    <w:p w14:paraId="328CE18B" w14:textId="77777777" w:rsidR="00F00B1E" w:rsidRPr="00205CCD" w:rsidRDefault="00F00B1E" w:rsidP="00896364">
      <w:pPr>
        <w:spacing w:after="0" w:line="240" w:lineRule="auto"/>
        <w:jc w:val="both"/>
        <w:rPr>
          <w:rFonts w:ascii="Cambria" w:eastAsia="Calibri" w:hAnsi="Cambria" w:cs="Times New Roman"/>
          <w:i/>
        </w:rPr>
      </w:pPr>
    </w:p>
    <w:p w14:paraId="61B54FDF" w14:textId="77777777" w:rsidR="00F00B1E" w:rsidRPr="00205CCD" w:rsidRDefault="00F00B1E" w:rsidP="00896364">
      <w:pPr>
        <w:spacing w:after="0" w:line="240" w:lineRule="auto"/>
        <w:jc w:val="both"/>
        <w:rPr>
          <w:rFonts w:ascii="Cambria" w:eastAsia="Calibri" w:hAnsi="Cambria" w:cs="Times New Roman"/>
          <w:u w:val="single"/>
        </w:rPr>
      </w:pPr>
      <w:r w:rsidRPr="00205CCD">
        <w:rPr>
          <w:rFonts w:ascii="Cambria" w:eastAsia="Calibri" w:hAnsi="Cambria" w:cs="Times New Roman"/>
          <w:u w:val="single"/>
        </w:rPr>
        <w:t xml:space="preserve">Access to employment for Roma and other ethnic minorities </w:t>
      </w:r>
    </w:p>
    <w:p w14:paraId="03C61351" w14:textId="77777777" w:rsidR="00F00B1E" w:rsidRPr="00205CCD" w:rsidRDefault="00F00B1E" w:rsidP="00896364">
      <w:pPr>
        <w:spacing w:after="0" w:line="240" w:lineRule="auto"/>
        <w:ind w:left="567"/>
        <w:jc w:val="both"/>
        <w:rPr>
          <w:rFonts w:ascii="Cambria" w:eastAsia="Calibri" w:hAnsi="Cambria" w:cs="Times New Roman"/>
        </w:rPr>
      </w:pPr>
    </w:p>
    <w:p w14:paraId="60DFB86E" w14:textId="0A87A44A" w:rsidR="00F05420" w:rsidRPr="00205CCD" w:rsidRDefault="00F05420" w:rsidP="00896364">
      <w:pPr>
        <w:numPr>
          <w:ilvl w:val="0"/>
          <w:numId w:val="1"/>
        </w:numPr>
        <w:spacing w:after="0" w:line="240" w:lineRule="auto"/>
        <w:jc w:val="both"/>
        <w:rPr>
          <w:rFonts w:ascii="Cambria" w:eastAsia="Calibri" w:hAnsi="Cambria" w:cs="Times New Roman"/>
        </w:rPr>
      </w:pPr>
      <w:r>
        <w:rPr>
          <w:rFonts w:ascii="Cambria" w:eastAsia="Calibri" w:hAnsi="Cambria" w:cs="Times New Roman"/>
        </w:rPr>
        <w:t>Although discrimination on the grounds of race and ethnicity is prohibited under both Article 16 of the Constitution and the Law on Ensuring Equality, our</w:t>
      </w:r>
      <w:r w:rsidR="000F79F2">
        <w:rPr>
          <w:rFonts w:ascii="Cambria" w:eastAsia="Calibri" w:hAnsi="Cambria" w:cs="Times New Roman"/>
        </w:rPr>
        <w:t xml:space="preserve"> Report indicates that Roma are</w:t>
      </w:r>
      <w:r w:rsidRPr="00205CCD">
        <w:rPr>
          <w:rFonts w:ascii="Cambria" w:eastAsia="Calibri" w:hAnsi="Cambria" w:cs="Times New Roman"/>
        </w:rPr>
        <w:t xml:space="preserve"> still widely discriminated against in the labour market. </w:t>
      </w:r>
      <w:r>
        <w:rPr>
          <w:rFonts w:ascii="Cambria" w:eastAsia="Calibri" w:hAnsi="Cambria" w:cs="Times New Roman"/>
        </w:rPr>
        <w:t xml:space="preserve">Although the government has created an </w:t>
      </w:r>
      <w:r w:rsidR="00F00B1E" w:rsidRPr="00205CCD">
        <w:rPr>
          <w:rFonts w:ascii="Cambria" w:eastAsia="Calibri" w:hAnsi="Cambria" w:cs="Times New Roman"/>
        </w:rPr>
        <w:t>Action Plan for supporting Roma Population in the Re</w:t>
      </w:r>
      <w:r>
        <w:rPr>
          <w:rFonts w:ascii="Cambria" w:eastAsia="Calibri" w:hAnsi="Cambria" w:cs="Times New Roman"/>
        </w:rPr>
        <w:t>public of Moldova for 2011-2015</w:t>
      </w:r>
      <w:r w:rsidR="00A9119C">
        <w:rPr>
          <w:rFonts w:ascii="Cambria" w:eastAsia="Calibri" w:hAnsi="Cambria" w:cs="Times New Roman"/>
        </w:rPr>
        <w:t xml:space="preserve"> (Roma Action Plan)</w:t>
      </w:r>
      <w:r>
        <w:rPr>
          <w:rFonts w:ascii="Cambria" w:eastAsia="Calibri" w:hAnsi="Cambria" w:cs="Times New Roman"/>
        </w:rPr>
        <w:t xml:space="preserve">, as of 2015 </w:t>
      </w:r>
      <w:r w:rsidRPr="00205CCD">
        <w:rPr>
          <w:rFonts w:ascii="Cambria" w:eastAsia="Calibri" w:hAnsi="Cambria" w:cs="Times New Roman"/>
        </w:rPr>
        <w:t>only 70 of the 1,100 Roma registered with the National Employment Agency were employed.</w:t>
      </w:r>
      <w:r>
        <w:rPr>
          <w:rFonts w:ascii="Cambria" w:eastAsia="Calibri" w:hAnsi="Cambria" w:cs="Times New Roman"/>
          <w:vertAlign w:val="superscript"/>
        </w:rPr>
        <w:footnoteReference w:id="20"/>
      </w:r>
      <w:r>
        <w:rPr>
          <w:rFonts w:ascii="Cambria" w:eastAsia="Calibri" w:hAnsi="Cambria" w:cs="Times New Roman"/>
        </w:rPr>
        <w:t xml:space="preserve"> </w:t>
      </w:r>
      <w:r w:rsidRPr="00205CCD">
        <w:rPr>
          <w:rFonts w:ascii="Cambria" w:eastAsia="Calibri" w:hAnsi="Cambria" w:cs="Times New Roman"/>
        </w:rPr>
        <w:t>Roma are disproportionately likely to be employed as unskilled or informal workers.</w:t>
      </w:r>
      <w:r w:rsidR="00142964">
        <w:rPr>
          <w:rStyle w:val="FootnoteReference"/>
          <w:rFonts w:ascii="Cambria" w:eastAsia="Calibri" w:hAnsi="Cambria" w:cs="Times New Roman"/>
        </w:rPr>
        <w:footnoteReference w:id="21"/>
      </w:r>
      <w:r w:rsidRPr="00205CCD">
        <w:rPr>
          <w:rFonts w:ascii="Cambria" w:eastAsia="Calibri" w:hAnsi="Cambria" w:cs="Times New Roman"/>
        </w:rPr>
        <w:t xml:space="preserve"> This has a direct effect on the average monthly income of a Roma family, which is about 1,000 lei (approx. €45), 40% less than the average income of a non-Roma household.</w:t>
      </w:r>
      <w:r>
        <w:rPr>
          <w:rFonts w:ascii="Cambria" w:eastAsia="Calibri" w:hAnsi="Cambria" w:cs="Times New Roman"/>
          <w:vertAlign w:val="superscript"/>
        </w:rPr>
        <w:footnoteReference w:id="22"/>
      </w:r>
    </w:p>
    <w:p w14:paraId="01B34209" w14:textId="77777777" w:rsidR="00F00B1E" w:rsidRPr="00205CCD" w:rsidRDefault="00F00B1E" w:rsidP="00896364">
      <w:pPr>
        <w:spacing w:after="0" w:line="240" w:lineRule="auto"/>
        <w:ind w:left="567"/>
        <w:jc w:val="both"/>
        <w:rPr>
          <w:rFonts w:ascii="Cambria" w:eastAsia="Calibri" w:hAnsi="Cambria" w:cs="Times New Roman"/>
        </w:rPr>
      </w:pPr>
    </w:p>
    <w:p w14:paraId="54F9003A" w14:textId="6F9D9C43" w:rsidR="00F00B1E" w:rsidRPr="00C20C2A" w:rsidRDefault="00280581" w:rsidP="00C20C2A">
      <w:pPr>
        <w:numPr>
          <w:ilvl w:val="0"/>
          <w:numId w:val="1"/>
        </w:numPr>
        <w:spacing w:after="0" w:line="240" w:lineRule="auto"/>
        <w:jc w:val="both"/>
        <w:rPr>
          <w:rFonts w:ascii="Cambria" w:eastAsia="Calibri" w:hAnsi="Cambria" w:cs="Times New Roman"/>
        </w:rPr>
      </w:pPr>
      <w:r>
        <w:rPr>
          <w:rFonts w:ascii="Cambria" w:eastAsia="Calibri" w:hAnsi="Cambria" w:cs="Times New Roman"/>
        </w:rPr>
        <w:lastRenderedPageBreak/>
        <w:t>One leading</w:t>
      </w:r>
      <w:r w:rsidR="00F00B1E" w:rsidRPr="00205CCD">
        <w:rPr>
          <w:rFonts w:ascii="Cambria" w:eastAsia="Calibri" w:hAnsi="Cambria" w:cs="Times New Roman"/>
        </w:rPr>
        <w:t xml:space="preserve"> cause of the high levels of unemployment in the Roma community is the deep seated negative social attitude</w:t>
      </w:r>
      <w:r w:rsidR="000F79F2">
        <w:rPr>
          <w:rFonts w:ascii="Cambria" w:eastAsia="Calibri" w:hAnsi="Cambria" w:cs="Times New Roman"/>
        </w:rPr>
        <w:t>s</w:t>
      </w:r>
      <w:r w:rsidR="00F00B1E" w:rsidRPr="00205CCD">
        <w:rPr>
          <w:rFonts w:ascii="Cambria" w:eastAsia="Calibri" w:hAnsi="Cambria" w:cs="Times New Roman"/>
        </w:rPr>
        <w:t xml:space="preserve"> held by employers and potential employers towards Roma.</w:t>
      </w:r>
      <w:r w:rsidR="00F00B1E">
        <w:rPr>
          <w:rFonts w:ascii="Cambria" w:eastAsia="Calibri" w:hAnsi="Cambria" w:cs="Times New Roman"/>
          <w:vertAlign w:val="superscript"/>
        </w:rPr>
        <w:footnoteReference w:id="23"/>
      </w:r>
      <w:r w:rsidR="00F00B1E" w:rsidRPr="00205CCD">
        <w:rPr>
          <w:rFonts w:ascii="Cambria" w:eastAsia="Calibri" w:hAnsi="Cambria" w:cs="Times New Roman"/>
        </w:rPr>
        <w:t xml:space="preserve"> </w:t>
      </w:r>
      <w:r w:rsidR="00F05420">
        <w:rPr>
          <w:rFonts w:ascii="Cambria" w:eastAsia="Calibri" w:hAnsi="Cambria" w:cs="Times New Roman"/>
        </w:rPr>
        <w:t xml:space="preserve">For example, the Report documents the case of a Roma man who </w:t>
      </w:r>
      <w:r>
        <w:rPr>
          <w:rFonts w:ascii="Cambria" w:eastAsia="Calibri" w:hAnsi="Cambria" w:cs="Times New Roman"/>
        </w:rPr>
        <w:t xml:space="preserve">was </w:t>
      </w:r>
      <w:r w:rsidR="00142964">
        <w:rPr>
          <w:rFonts w:ascii="Cambria" w:eastAsia="Calibri" w:hAnsi="Cambria" w:cs="Times New Roman"/>
        </w:rPr>
        <w:t xml:space="preserve">invited to interview as a waiter, </w:t>
      </w:r>
      <w:r w:rsidR="00C20C2A">
        <w:rPr>
          <w:rFonts w:ascii="Cambria" w:eastAsia="Calibri" w:hAnsi="Cambria" w:cs="Times New Roman"/>
        </w:rPr>
        <w:t>but after</w:t>
      </w:r>
      <w:r w:rsidR="00142964">
        <w:rPr>
          <w:rFonts w:ascii="Cambria" w:eastAsia="Calibri" w:hAnsi="Cambria" w:cs="Times New Roman"/>
        </w:rPr>
        <w:t xml:space="preserve"> his ethnicity became </w:t>
      </w:r>
      <w:r w:rsidR="00C20C2A">
        <w:rPr>
          <w:rFonts w:ascii="Cambria" w:eastAsia="Calibri" w:hAnsi="Cambria" w:cs="Times New Roman"/>
        </w:rPr>
        <w:t>clear to the potential employer during</w:t>
      </w:r>
      <w:r w:rsidR="00142964">
        <w:rPr>
          <w:rFonts w:ascii="Cambria" w:eastAsia="Calibri" w:hAnsi="Cambria" w:cs="Times New Roman"/>
        </w:rPr>
        <w:t xml:space="preserve"> interview and he was never informed o</w:t>
      </w:r>
      <w:r w:rsidR="00C20C2A">
        <w:rPr>
          <w:rFonts w:ascii="Cambria" w:eastAsia="Calibri" w:hAnsi="Cambria" w:cs="Times New Roman"/>
        </w:rPr>
        <w:t>f the outcome of the interview; h</w:t>
      </w:r>
      <w:r w:rsidR="00142964" w:rsidRPr="00C20C2A">
        <w:rPr>
          <w:rFonts w:ascii="Cambria" w:eastAsia="Calibri" w:hAnsi="Cambria" w:cs="Times New Roman"/>
        </w:rPr>
        <w:t xml:space="preserve">e later learned that the job had been offered to </w:t>
      </w:r>
      <w:r w:rsidR="00F05420" w:rsidRPr="00C20C2A">
        <w:rPr>
          <w:rFonts w:ascii="Cambria" w:eastAsia="Calibri" w:hAnsi="Cambria" w:cs="Times New Roman"/>
        </w:rPr>
        <w:t>an ethnic Moldovan man.</w:t>
      </w:r>
      <w:r w:rsidR="00F05420">
        <w:rPr>
          <w:rFonts w:ascii="Cambria" w:eastAsia="Calibri" w:hAnsi="Cambria" w:cs="Times New Roman"/>
          <w:vertAlign w:val="superscript"/>
        </w:rPr>
        <w:footnoteReference w:id="24"/>
      </w:r>
      <w:r w:rsidR="00584A4E" w:rsidRPr="00C20C2A">
        <w:rPr>
          <w:rFonts w:ascii="Cambria" w:eastAsia="Calibri" w:hAnsi="Cambria" w:cs="Times New Roman"/>
          <w:vertAlign w:val="superscript"/>
        </w:rPr>
        <w:t xml:space="preserve"> </w:t>
      </w:r>
      <w:r w:rsidR="00584A4E" w:rsidRPr="00C20C2A">
        <w:rPr>
          <w:rFonts w:ascii="Cambria" w:eastAsia="Calibri" w:hAnsi="Cambria" w:cs="Times New Roman"/>
        </w:rPr>
        <w:t>Moreover, Roma women are vulnerable to multiple discrimination; a</w:t>
      </w:r>
      <w:r w:rsidR="00F00B1E" w:rsidRPr="00C20C2A">
        <w:rPr>
          <w:rFonts w:ascii="Cambria" w:eastAsia="Calibri" w:hAnsi="Cambria" w:cs="Times New Roman"/>
        </w:rPr>
        <w:t xml:space="preserve">s a result of lower levels of education, a lack of job opportunities, limited childcare and gender stereotypes in the Roma community, only 15% of Roma women aged over 15 are employed. This </w:t>
      </w:r>
      <w:r w:rsidR="00584A4E" w:rsidRPr="00C20C2A">
        <w:rPr>
          <w:rFonts w:ascii="Cambria" w:eastAsia="Calibri" w:hAnsi="Cambria" w:cs="Times New Roman"/>
        </w:rPr>
        <w:t xml:space="preserve">problem </w:t>
      </w:r>
      <w:r w:rsidR="00F00B1E" w:rsidRPr="00C20C2A">
        <w:rPr>
          <w:rFonts w:ascii="Cambria" w:eastAsia="Calibri" w:hAnsi="Cambria" w:cs="Times New Roman"/>
        </w:rPr>
        <w:t>is particularly acute in rural areas.</w:t>
      </w:r>
      <w:r w:rsidR="00F00B1E">
        <w:rPr>
          <w:rFonts w:ascii="Cambria" w:eastAsia="Calibri" w:hAnsi="Cambria" w:cs="Times New Roman"/>
          <w:vertAlign w:val="superscript"/>
        </w:rPr>
        <w:footnoteReference w:id="25"/>
      </w:r>
    </w:p>
    <w:p w14:paraId="6F8A8A4F" w14:textId="77777777" w:rsidR="00F00B1E" w:rsidRPr="00205CCD" w:rsidRDefault="00F00B1E" w:rsidP="00896364">
      <w:pPr>
        <w:spacing w:after="0" w:line="240" w:lineRule="auto"/>
        <w:ind w:left="567"/>
        <w:jc w:val="both"/>
        <w:rPr>
          <w:rFonts w:ascii="Cambria" w:eastAsia="Calibri" w:hAnsi="Cambria" w:cs="Times New Roman"/>
        </w:rPr>
      </w:pPr>
    </w:p>
    <w:p w14:paraId="30E8F65B" w14:textId="0B396E38" w:rsidR="00F00B1E" w:rsidRDefault="00F00B1E" w:rsidP="00896364">
      <w:pPr>
        <w:numPr>
          <w:ilvl w:val="0"/>
          <w:numId w:val="1"/>
        </w:numPr>
        <w:spacing w:after="0" w:line="240" w:lineRule="auto"/>
        <w:jc w:val="both"/>
        <w:rPr>
          <w:rFonts w:ascii="Cambria" w:eastAsia="Calibri" w:hAnsi="Cambria" w:cs="Times New Roman"/>
        </w:rPr>
      </w:pPr>
      <w:r w:rsidRPr="00205CCD">
        <w:rPr>
          <w:rFonts w:ascii="Cambria" w:eastAsia="Calibri" w:hAnsi="Cambria" w:cs="Times New Roman"/>
        </w:rPr>
        <w:t>Other racial minorities, including refugees and asylum seekers and in particular those of African or Asian descent, are subject to discriminati</w:t>
      </w:r>
      <w:r w:rsidR="00AE0C2F">
        <w:rPr>
          <w:rFonts w:ascii="Cambria" w:eastAsia="Calibri" w:hAnsi="Cambria" w:cs="Times New Roman"/>
        </w:rPr>
        <w:t>on from prospective employers.</w:t>
      </w:r>
      <w:r w:rsidR="00327CE1">
        <w:rPr>
          <w:rFonts w:ascii="Cambria" w:eastAsia="Calibri" w:hAnsi="Cambria" w:cs="Times New Roman"/>
        </w:rPr>
        <w:t xml:space="preserve"> A</w:t>
      </w:r>
      <w:r w:rsidRPr="00205CCD">
        <w:rPr>
          <w:rFonts w:ascii="Cambria" w:eastAsia="Calibri" w:hAnsi="Cambria" w:cs="Times New Roman"/>
        </w:rPr>
        <w:t xml:space="preserve"> man working at a charity centre for refugees to</w:t>
      </w:r>
      <w:r w:rsidR="00AE0C2F">
        <w:rPr>
          <w:rFonts w:ascii="Cambria" w:eastAsia="Calibri" w:hAnsi="Cambria" w:cs="Times New Roman"/>
        </w:rPr>
        <w:t xml:space="preserve">ld our researchers </w:t>
      </w:r>
      <w:r w:rsidRPr="00205CCD">
        <w:rPr>
          <w:rFonts w:ascii="Cambria" w:eastAsia="Calibri" w:hAnsi="Cambria" w:cs="Times New Roman"/>
        </w:rPr>
        <w:t>how African refugees are unable to find jobs as employers immediately associate them with the Ebola virus.</w:t>
      </w:r>
      <w:r w:rsidR="00142964">
        <w:rPr>
          <w:rStyle w:val="FootnoteReference"/>
          <w:rFonts w:ascii="Cambria" w:eastAsia="Calibri" w:hAnsi="Cambria" w:cs="Times New Roman"/>
        </w:rPr>
        <w:footnoteReference w:id="26"/>
      </w:r>
      <w:r w:rsidRPr="00205CCD">
        <w:rPr>
          <w:rFonts w:ascii="Cambria" w:eastAsia="Calibri" w:hAnsi="Cambria" w:cs="Times New Roman"/>
        </w:rPr>
        <w:t xml:space="preserve"> </w:t>
      </w:r>
      <w:r w:rsidR="005771D8">
        <w:rPr>
          <w:rFonts w:ascii="Cambria" w:eastAsia="Calibri" w:hAnsi="Cambria" w:cs="Times New Roman"/>
        </w:rPr>
        <w:t>Our</w:t>
      </w:r>
      <w:r w:rsidRPr="00205CCD">
        <w:rPr>
          <w:rFonts w:ascii="Cambria" w:eastAsia="Calibri" w:hAnsi="Cambria" w:cs="Times New Roman"/>
        </w:rPr>
        <w:t xml:space="preserve"> Report also finds that visible racial minorities – those with darker skin colour than the average Moldovan, are more vulnerable to discrimination</w:t>
      </w:r>
      <w:r w:rsidR="00584A4E">
        <w:rPr>
          <w:rFonts w:ascii="Cambria" w:eastAsia="Calibri" w:hAnsi="Cambria" w:cs="Times New Roman"/>
        </w:rPr>
        <w:t xml:space="preserve"> in employment</w:t>
      </w:r>
      <w:r w:rsidRPr="00205CCD">
        <w:rPr>
          <w:rFonts w:ascii="Cambria" w:eastAsia="Calibri" w:hAnsi="Cambria" w:cs="Times New Roman"/>
        </w:rPr>
        <w:t>.</w:t>
      </w:r>
      <w:r>
        <w:rPr>
          <w:rFonts w:ascii="Cambria" w:eastAsia="Calibri" w:hAnsi="Cambria" w:cs="Times New Roman"/>
          <w:vertAlign w:val="superscript"/>
        </w:rPr>
        <w:footnoteReference w:id="27"/>
      </w:r>
    </w:p>
    <w:p w14:paraId="75EB965F" w14:textId="77777777" w:rsidR="00BD7DE4" w:rsidRDefault="00BD7DE4" w:rsidP="00BD7DE4">
      <w:pPr>
        <w:spacing w:after="0" w:line="240" w:lineRule="auto"/>
        <w:jc w:val="both"/>
        <w:rPr>
          <w:rFonts w:ascii="Cambria" w:eastAsia="Calibri" w:hAnsi="Cambria" w:cs="Times New Roman"/>
          <w:u w:val="single"/>
        </w:rPr>
      </w:pPr>
    </w:p>
    <w:p w14:paraId="0E346F89" w14:textId="62230E61" w:rsidR="00BD7DE4" w:rsidRPr="00205CCD" w:rsidRDefault="00BD7DE4" w:rsidP="00BD7DE4">
      <w:pPr>
        <w:spacing w:after="0" w:line="240" w:lineRule="auto"/>
        <w:jc w:val="both"/>
        <w:rPr>
          <w:rFonts w:ascii="Cambria" w:eastAsia="Calibri" w:hAnsi="Cambria" w:cs="Times New Roman"/>
          <w:u w:val="single"/>
        </w:rPr>
      </w:pPr>
      <w:r w:rsidRPr="00205CCD">
        <w:rPr>
          <w:rFonts w:ascii="Cambria" w:eastAsia="Calibri" w:hAnsi="Cambria" w:cs="Times New Roman"/>
          <w:u w:val="single"/>
        </w:rPr>
        <w:t xml:space="preserve">Access to employment for women </w:t>
      </w:r>
    </w:p>
    <w:p w14:paraId="0CA79332" w14:textId="77777777" w:rsidR="00BD7DE4" w:rsidRPr="00205CCD" w:rsidRDefault="00BD7DE4" w:rsidP="00BD7DE4">
      <w:pPr>
        <w:spacing w:after="0" w:line="240" w:lineRule="auto"/>
        <w:jc w:val="both"/>
        <w:rPr>
          <w:rFonts w:ascii="Cambria" w:eastAsia="Calibri" w:hAnsi="Cambria" w:cs="Times New Roman"/>
        </w:rPr>
      </w:pPr>
    </w:p>
    <w:p w14:paraId="13C69007" w14:textId="77777777" w:rsidR="00BD7DE4" w:rsidRDefault="00BD7DE4" w:rsidP="00BD7DE4">
      <w:pPr>
        <w:numPr>
          <w:ilvl w:val="0"/>
          <w:numId w:val="1"/>
        </w:numPr>
        <w:spacing w:after="0" w:line="240" w:lineRule="auto"/>
        <w:jc w:val="both"/>
        <w:rPr>
          <w:rFonts w:ascii="Cambria" w:eastAsia="Calibri" w:hAnsi="Cambria" w:cs="Times New Roman"/>
        </w:rPr>
      </w:pPr>
      <w:r>
        <w:rPr>
          <w:rFonts w:ascii="Cambria" w:eastAsia="Calibri" w:hAnsi="Cambria" w:cs="Times New Roman"/>
        </w:rPr>
        <w:t>The Law on Ensuring Equality expressly prohibits</w:t>
      </w:r>
      <w:r w:rsidRPr="00205CCD">
        <w:rPr>
          <w:rFonts w:ascii="Cambria" w:eastAsia="Calibri" w:hAnsi="Cambria" w:cs="Times New Roman"/>
        </w:rPr>
        <w:t xml:space="preserve"> discrimination on the basis of gender</w:t>
      </w:r>
      <w:r>
        <w:rPr>
          <w:rFonts w:ascii="Cambria" w:eastAsia="Calibri" w:hAnsi="Cambria" w:cs="Times New Roman"/>
        </w:rPr>
        <w:t>, including in respect of employment; this protection is supported by provisions in the Labour Code.</w:t>
      </w:r>
      <w:r>
        <w:rPr>
          <w:rStyle w:val="FootnoteReference"/>
          <w:rFonts w:ascii="Cambria" w:eastAsia="Calibri" w:hAnsi="Cambria" w:cs="Times New Roman"/>
        </w:rPr>
        <w:footnoteReference w:id="28"/>
      </w:r>
      <w:r>
        <w:rPr>
          <w:rFonts w:ascii="Cambria" w:eastAsia="Calibri" w:hAnsi="Cambria" w:cs="Times New Roman"/>
        </w:rPr>
        <w:t xml:space="preserve"> This is supported by policies</w:t>
      </w:r>
      <w:r>
        <w:rPr>
          <w:rStyle w:val="FootnoteReference"/>
          <w:rFonts w:ascii="Cambria" w:eastAsia="Calibri" w:hAnsi="Cambria" w:cs="Times New Roman"/>
        </w:rPr>
        <w:footnoteReference w:id="29"/>
      </w:r>
      <w:r>
        <w:rPr>
          <w:rFonts w:ascii="Cambria" w:eastAsia="Calibri" w:hAnsi="Cambria" w:cs="Times New Roman"/>
        </w:rPr>
        <w:t xml:space="preserve"> and overseen by two bodies which form the national machinery for the advancement of women.</w:t>
      </w:r>
      <w:r>
        <w:rPr>
          <w:rFonts w:ascii="Cambria" w:eastAsia="Calibri" w:hAnsi="Cambria" w:cs="Times New Roman"/>
          <w:vertAlign w:val="superscript"/>
        </w:rPr>
        <w:footnoteReference w:id="30"/>
      </w:r>
      <w:r>
        <w:rPr>
          <w:rFonts w:ascii="Cambria" w:eastAsia="Calibri" w:hAnsi="Cambria" w:cs="Times New Roman"/>
          <w:vertAlign w:val="superscript"/>
        </w:rPr>
        <w:t xml:space="preserve"> </w:t>
      </w:r>
      <w:r>
        <w:rPr>
          <w:rFonts w:ascii="Cambria" w:eastAsia="Calibri" w:hAnsi="Cambria" w:cs="Times New Roman"/>
        </w:rPr>
        <w:t xml:space="preserve"> Despite these numerous protections, our review of available data found that women</w:t>
      </w:r>
      <w:r w:rsidRPr="003360C1">
        <w:rPr>
          <w:rFonts w:ascii="Cambria" w:eastAsia="Calibri" w:hAnsi="Cambria" w:cs="Times New Roman"/>
        </w:rPr>
        <w:t xml:space="preserve"> higher rates of unemployment than men</w:t>
      </w:r>
      <w:r>
        <w:rPr>
          <w:rFonts w:ascii="Cambria" w:eastAsia="Calibri" w:hAnsi="Cambria" w:cs="Times New Roman"/>
        </w:rPr>
        <w:t>: 40.6% of women are unemployed, compared to 36.5% of men.</w:t>
      </w:r>
      <w:r>
        <w:rPr>
          <w:rStyle w:val="FootnoteReference"/>
          <w:rFonts w:ascii="Cambria" w:eastAsia="Calibri" w:hAnsi="Cambria" w:cs="Times New Roman"/>
        </w:rPr>
        <w:footnoteReference w:id="31"/>
      </w:r>
      <w:r>
        <w:rPr>
          <w:rFonts w:ascii="Cambria" w:eastAsia="Calibri" w:hAnsi="Cambria" w:cs="Times New Roman"/>
        </w:rPr>
        <w:t xml:space="preserve"> </w:t>
      </w:r>
    </w:p>
    <w:p w14:paraId="43900C1F" w14:textId="77777777" w:rsidR="00BD7DE4" w:rsidRDefault="00BD7DE4" w:rsidP="00BD7DE4">
      <w:pPr>
        <w:spacing w:after="0" w:line="240" w:lineRule="auto"/>
        <w:ind w:left="567"/>
        <w:jc w:val="both"/>
        <w:rPr>
          <w:rFonts w:ascii="Cambria" w:eastAsia="Calibri" w:hAnsi="Cambria" w:cs="Times New Roman"/>
        </w:rPr>
      </w:pPr>
    </w:p>
    <w:p w14:paraId="082DE838" w14:textId="77777777" w:rsidR="00BD7DE4" w:rsidRPr="003360C1" w:rsidRDefault="00BD7DE4" w:rsidP="00BD7DE4">
      <w:pPr>
        <w:numPr>
          <w:ilvl w:val="0"/>
          <w:numId w:val="1"/>
        </w:numPr>
        <w:spacing w:after="0" w:line="240" w:lineRule="auto"/>
        <w:jc w:val="both"/>
        <w:rPr>
          <w:rFonts w:ascii="Cambria" w:eastAsia="Calibri" w:hAnsi="Cambria" w:cs="Times New Roman"/>
        </w:rPr>
      </w:pPr>
      <w:r>
        <w:rPr>
          <w:rFonts w:ascii="Cambria" w:eastAsia="Calibri" w:hAnsi="Cambria" w:cs="Times New Roman"/>
        </w:rPr>
        <w:t>T</w:t>
      </w:r>
      <w:r w:rsidRPr="003360C1">
        <w:rPr>
          <w:rFonts w:ascii="Cambria" w:eastAsia="Calibri" w:hAnsi="Cambria" w:cs="Times New Roman"/>
        </w:rPr>
        <w:t>here is also a persistent gender pay gap in Moldova exacerbate</w:t>
      </w:r>
      <w:r>
        <w:rPr>
          <w:rFonts w:ascii="Cambria" w:eastAsia="Calibri" w:hAnsi="Cambria" w:cs="Times New Roman"/>
        </w:rPr>
        <w:t>d by a segregated labour market whereby w</w:t>
      </w:r>
      <w:r w:rsidRPr="003360C1">
        <w:rPr>
          <w:rFonts w:ascii="Cambria" w:eastAsia="Calibri" w:hAnsi="Cambria" w:cs="Times New Roman"/>
        </w:rPr>
        <w:t>omen continue to be primarily employed in the lowest paid sectors</w:t>
      </w:r>
      <w:r>
        <w:rPr>
          <w:rFonts w:ascii="Cambria" w:eastAsia="Calibri" w:hAnsi="Cambria" w:cs="Times New Roman"/>
        </w:rPr>
        <w:t xml:space="preserve"> such as healthcare, education and social assistance</w:t>
      </w:r>
      <w:r w:rsidRPr="003360C1">
        <w:rPr>
          <w:rFonts w:ascii="Cambria" w:eastAsia="Calibri" w:hAnsi="Cambria" w:cs="Times New Roman"/>
        </w:rPr>
        <w:t>.</w:t>
      </w:r>
      <w:r>
        <w:rPr>
          <w:rFonts w:ascii="Cambria" w:eastAsia="Calibri" w:hAnsi="Cambria" w:cs="Times New Roman"/>
          <w:vertAlign w:val="superscript"/>
        </w:rPr>
        <w:footnoteReference w:id="32"/>
      </w:r>
      <w:r>
        <w:rPr>
          <w:rFonts w:ascii="Cambria" w:eastAsia="Calibri" w:hAnsi="Cambria" w:cs="Times New Roman"/>
        </w:rPr>
        <w:t xml:space="preserve"> The vertical and horizontal segregation of the </w:t>
      </w:r>
      <w:r>
        <w:rPr>
          <w:rFonts w:ascii="Cambria" w:eastAsia="Calibri" w:hAnsi="Cambria" w:cs="Times New Roman"/>
        </w:rPr>
        <w:lastRenderedPageBreak/>
        <w:t xml:space="preserve">labour market also results in women facing obstacles in the equal enjoyment of the right to pursue work of one’s own choosing, as guaranteed by Article 6 of the Covenant.  </w:t>
      </w:r>
      <w:r w:rsidRPr="003360C1">
        <w:rPr>
          <w:rFonts w:ascii="Cambria" w:eastAsia="Calibri" w:hAnsi="Cambria" w:cs="Times New Roman"/>
        </w:rPr>
        <w:t xml:space="preserve"> </w:t>
      </w:r>
    </w:p>
    <w:p w14:paraId="64324F7C" w14:textId="77777777" w:rsidR="00BD7DE4" w:rsidRPr="00205CCD" w:rsidRDefault="00BD7DE4" w:rsidP="00BD7DE4">
      <w:pPr>
        <w:spacing w:after="0" w:line="240" w:lineRule="auto"/>
        <w:ind w:left="567"/>
        <w:rPr>
          <w:rFonts w:ascii="Cambria" w:eastAsia="Calibri" w:hAnsi="Cambria" w:cs="Times New Roman"/>
        </w:rPr>
      </w:pPr>
    </w:p>
    <w:p w14:paraId="79202927" w14:textId="77777777" w:rsidR="00BD7DE4" w:rsidRDefault="00BD7DE4" w:rsidP="00BD7DE4">
      <w:pPr>
        <w:numPr>
          <w:ilvl w:val="0"/>
          <w:numId w:val="1"/>
        </w:numPr>
        <w:spacing w:after="0" w:line="240" w:lineRule="auto"/>
        <w:jc w:val="both"/>
        <w:rPr>
          <w:rFonts w:ascii="Cambria" w:eastAsia="Calibri" w:hAnsi="Cambria" w:cs="Times New Roman"/>
        </w:rPr>
      </w:pPr>
      <w:r>
        <w:rPr>
          <w:rFonts w:ascii="Cambria" w:eastAsia="Calibri" w:hAnsi="Cambria" w:cs="Times New Roman"/>
        </w:rPr>
        <w:t>Several</w:t>
      </w:r>
      <w:r w:rsidRPr="00205CCD">
        <w:rPr>
          <w:rFonts w:ascii="Cambria" w:eastAsia="Calibri" w:hAnsi="Cambria" w:cs="Times New Roman"/>
        </w:rPr>
        <w:t xml:space="preserve"> Moldovan policy documents and </w:t>
      </w:r>
      <w:r>
        <w:rPr>
          <w:rFonts w:ascii="Cambria" w:eastAsia="Calibri" w:hAnsi="Cambria" w:cs="Times New Roman"/>
        </w:rPr>
        <w:t xml:space="preserve">laws </w:t>
      </w:r>
      <w:r w:rsidRPr="00205CCD">
        <w:rPr>
          <w:rFonts w:ascii="Cambria" w:eastAsia="Calibri" w:hAnsi="Cambria" w:cs="Times New Roman"/>
        </w:rPr>
        <w:t xml:space="preserve">contain </w:t>
      </w:r>
      <w:r>
        <w:rPr>
          <w:rFonts w:ascii="Cambria" w:eastAsia="Calibri" w:hAnsi="Cambria" w:cs="Times New Roman"/>
        </w:rPr>
        <w:t>discriminatory provisions which reflect patriarchal attitudes</w:t>
      </w:r>
      <w:r w:rsidRPr="00205CCD">
        <w:rPr>
          <w:rFonts w:ascii="Cambria" w:eastAsia="Calibri" w:hAnsi="Cambria" w:cs="Times New Roman"/>
        </w:rPr>
        <w:t>.</w:t>
      </w:r>
      <w:r>
        <w:rPr>
          <w:rFonts w:ascii="Cambria" w:eastAsia="Calibri" w:hAnsi="Cambria" w:cs="Times New Roman"/>
          <w:vertAlign w:val="superscript"/>
        </w:rPr>
        <w:footnoteReference w:id="33"/>
      </w:r>
      <w:r w:rsidRPr="00205CCD">
        <w:rPr>
          <w:rFonts w:ascii="Cambria" w:eastAsia="Calibri" w:hAnsi="Cambria" w:cs="Times New Roman"/>
        </w:rPr>
        <w:t xml:space="preserve"> Notably, men and women are subject to different retirement ages (currently, women retire at 57 while men may continue working until they reach 62 years of age).</w:t>
      </w:r>
      <w:r>
        <w:rPr>
          <w:rFonts w:ascii="Cambria" w:eastAsia="Calibri" w:hAnsi="Cambria" w:cs="Times New Roman"/>
          <w:vertAlign w:val="superscript"/>
        </w:rPr>
        <w:footnoteReference w:id="34"/>
      </w:r>
      <w:r w:rsidRPr="00205CCD">
        <w:rPr>
          <w:rFonts w:ascii="Cambria" w:eastAsia="Calibri" w:hAnsi="Cambria" w:cs="Times New Roman"/>
        </w:rPr>
        <w:t xml:space="preserve"> </w:t>
      </w:r>
      <w:r>
        <w:rPr>
          <w:rFonts w:ascii="Cambria" w:eastAsia="Calibri" w:hAnsi="Cambria" w:cs="Times New Roman"/>
        </w:rPr>
        <w:t xml:space="preserve">Moreover, Article 251 </w:t>
      </w:r>
      <w:r w:rsidRPr="00205CCD">
        <w:rPr>
          <w:rFonts w:ascii="Cambria" w:eastAsia="Calibri" w:hAnsi="Cambria" w:cs="Times New Roman"/>
        </w:rPr>
        <w:t>of the Labour Code prohibits the dismissal of women with children under six years old</w:t>
      </w:r>
      <w:r>
        <w:rPr>
          <w:rFonts w:ascii="Cambria" w:eastAsia="Calibri" w:hAnsi="Cambria" w:cs="Times New Roman"/>
        </w:rPr>
        <w:t>,</w:t>
      </w:r>
      <w:r>
        <w:rPr>
          <w:rFonts w:ascii="Cambria" w:eastAsia="Calibri" w:hAnsi="Cambria" w:cs="Times New Roman"/>
          <w:vertAlign w:val="superscript"/>
        </w:rPr>
        <w:footnoteReference w:id="35"/>
      </w:r>
      <w:r>
        <w:rPr>
          <w:rFonts w:ascii="Cambria" w:eastAsia="Calibri" w:hAnsi="Cambria" w:cs="Times New Roman"/>
        </w:rPr>
        <w:t xml:space="preserve"> exacerbating</w:t>
      </w:r>
      <w:r w:rsidRPr="00205CCD">
        <w:rPr>
          <w:rFonts w:ascii="Cambria" w:eastAsia="Calibri" w:hAnsi="Cambria" w:cs="Times New Roman"/>
        </w:rPr>
        <w:t xml:space="preserve"> the discrimination faced by younger women, pregnant women </w:t>
      </w:r>
      <w:r>
        <w:rPr>
          <w:rFonts w:ascii="Cambria" w:eastAsia="Calibri" w:hAnsi="Cambria" w:cs="Times New Roman"/>
        </w:rPr>
        <w:t>and women with children, who may be</w:t>
      </w:r>
      <w:r w:rsidRPr="00205CCD">
        <w:rPr>
          <w:rFonts w:ascii="Cambria" w:eastAsia="Calibri" w:hAnsi="Cambria" w:cs="Times New Roman"/>
        </w:rPr>
        <w:t xml:space="preserve"> perceived by employers as</w:t>
      </w:r>
      <w:r>
        <w:rPr>
          <w:rFonts w:ascii="Cambria" w:eastAsia="Calibri" w:hAnsi="Cambria" w:cs="Times New Roman"/>
        </w:rPr>
        <w:t xml:space="preserve"> giving rise to greater obligations</w:t>
      </w:r>
      <w:r w:rsidRPr="00205CCD">
        <w:rPr>
          <w:rFonts w:ascii="Cambria" w:eastAsia="Calibri" w:hAnsi="Cambria" w:cs="Times New Roman"/>
        </w:rPr>
        <w:t xml:space="preserve">. </w:t>
      </w:r>
      <w:r>
        <w:rPr>
          <w:rFonts w:ascii="Cambria" w:eastAsia="Calibri" w:hAnsi="Cambria" w:cs="Times New Roman"/>
        </w:rPr>
        <w:t>There is also evidence that there is a</w:t>
      </w:r>
      <w:r w:rsidRPr="00205CCD">
        <w:rPr>
          <w:rFonts w:ascii="Cambria" w:eastAsia="Calibri" w:hAnsi="Cambria" w:cs="Times New Roman"/>
        </w:rPr>
        <w:t xml:space="preserve"> lower percentage of women with children at preschool age in em</w:t>
      </w:r>
      <w:r>
        <w:rPr>
          <w:rFonts w:ascii="Cambria" w:eastAsia="Calibri" w:hAnsi="Cambria" w:cs="Times New Roman"/>
        </w:rPr>
        <w:t>ployment compared to women who do</w:t>
      </w:r>
      <w:r w:rsidRPr="00205CCD">
        <w:rPr>
          <w:rFonts w:ascii="Cambria" w:eastAsia="Calibri" w:hAnsi="Cambria" w:cs="Times New Roman"/>
        </w:rPr>
        <w:t xml:space="preserve"> not have children that age.</w:t>
      </w:r>
      <w:r>
        <w:rPr>
          <w:rFonts w:ascii="Cambria" w:eastAsia="Calibri" w:hAnsi="Cambria" w:cs="Times New Roman"/>
          <w:vertAlign w:val="superscript"/>
        </w:rPr>
        <w:footnoteReference w:id="36"/>
      </w:r>
    </w:p>
    <w:p w14:paraId="61D7A697" w14:textId="77777777" w:rsidR="00BD7DE4" w:rsidRDefault="00BD7DE4" w:rsidP="00BD7DE4">
      <w:pPr>
        <w:spacing w:after="0" w:line="240" w:lineRule="auto"/>
        <w:ind w:left="567"/>
        <w:jc w:val="both"/>
        <w:rPr>
          <w:rFonts w:ascii="Cambria" w:eastAsia="Calibri" w:hAnsi="Cambria" w:cs="Times New Roman"/>
        </w:rPr>
      </w:pPr>
    </w:p>
    <w:p w14:paraId="291EDE93" w14:textId="77777777" w:rsidR="00BD7DE4" w:rsidRPr="00716D83" w:rsidRDefault="00BD7DE4" w:rsidP="00BD7DE4">
      <w:pPr>
        <w:numPr>
          <w:ilvl w:val="0"/>
          <w:numId w:val="1"/>
        </w:numPr>
        <w:spacing w:after="0" w:line="240" w:lineRule="auto"/>
        <w:jc w:val="both"/>
        <w:rPr>
          <w:rFonts w:ascii="Cambria" w:eastAsia="Calibri" w:hAnsi="Cambria" w:cs="Times New Roman"/>
        </w:rPr>
      </w:pPr>
      <w:r w:rsidRPr="00716D83">
        <w:rPr>
          <w:rFonts w:ascii="Cambria" w:eastAsia="Calibri" w:hAnsi="Cambria" w:cs="Times New Roman"/>
        </w:rPr>
        <w:t>Although job advertisements that discriminate on the basis of gender are prohibited by law,</w:t>
      </w:r>
      <w:r>
        <w:rPr>
          <w:rFonts w:ascii="Cambria" w:eastAsia="Calibri" w:hAnsi="Cambria" w:cs="Times New Roman"/>
          <w:vertAlign w:val="superscript"/>
        </w:rPr>
        <w:footnoteReference w:id="37"/>
      </w:r>
      <w:r w:rsidRPr="00716D83">
        <w:rPr>
          <w:rFonts w:ascii="Cambria" w:eastAsia="Calibri" w:hAnsi="Cambria" w:cs="Times New Roman"/>
        </w:rPr>
        <w:t xml:space="preserve"> there is evidence that such advertisements are still prevalent.</w:t>
      </w:r>
      <w:r>
        <w:rPr>
          <w:rFonts w:ascii="Cambria" w:eastAsia="Calibri" w:hAnsi="Cambria" w:cs="Times New Roman"/>
          <w:vertAlign w:val="superscript"/>
        </w:rPr>
        <w:footnoteReference w:id="38"/>
      </w:r>
      <w:r w:rsidRPr="00716D83">
        <w:rPr>
          <w:rFonts w:ascii="Cambria" w:eastAsia="Calibri" w:hAnsi="Cambria" w:cs="Times New Roman"/>
        </w:rPr>
        <w:t xml:space="preserve"> Most senior staff responsible for making employment decisions are men.</w:t>
      </w:r>
      <w:r>
        <w:rPr>
          <w:rFonts w:ascii="Cambria" w:eastAsia="Calibri" w:hAnsi="Cambria" w:cs="Times New Roman"/>
          <w:vertAlign w:val="superscript"/>
        </w:rPr>
        <w:footnoteReference w:id="39"/>
      </w:r>
      <w:r w:rsidRPr="00716D83">
        <w:rPr>
          <w:rFonts w:ascii="Cambria" w:eastAsia="Calibri" w:hAnsi="Cambria" w:cs="Times New Roman"/>
        </w:rPr>
        <w:t xml:space="preserve"> </w:t>
      </w:r>
    </w:p>
    <w:p w14:paraId="204D8093" w14:textId="77777777" w:rsidR="00BD7DE4" w:rsidRDefault="00BD7DE4" w:rsidP="00BD7DE4">
      <w:pPr>
        <w:spacing w:after="0" w:line="240" w:lineRule="auto"/>
        <w:ind w:left="567"/>
        <w:jc w:val="both"/>
        <w:rPr>
          <w:rFonts w:ascii="Cambria" w:eastAsia="Calibri" w:hAnsi="Cambria" w:cs="Times New Roman"/>
        </w:rPr>
      </w:pPr>
    </w:p>
    <w:p w14:paraId="584A52B4" w14:textId="77777777" w:rsidR="00BD7DE4" w:rsidRPr="00716D83" w:rsidRDefault="00BD7DE4" w:rsidP="00BD7DE4">
      <w:pPr>
        <w:numPr>
          <w:ilvl w:val="0"/>
          <w:numId w:val="1"/>
        </w:numPr>
        <w:spacing w:after="0" w:line="240" w:lineRule="auto"/>
        <w:jc w:val="both"/>
        <w:rPr>
          <w:rFonts w:ascii="Cambria" w:eastAsia="Calibri" w:hAnsi="Cambria" w:cs="Times New Roman"/>
        </w:rPr>
      </w:pPr>
      <w:r w:rsidRPr="00716D83">
        <w:rPr>
          <w:rFonts w:ascii="Cambria" w:eastAsia="Calibri" w:hAnsi="Cambria" w:cs="Times New Roman"/>
        </w:rPr>
        <w:t>Our research also indicated that hiring practices continue to discriminate against pregnant women, women with children, and younger women who are perceived as likely to become pregnant. For example, the Trust collected testimony from women asked outright at job interviews whether they are married, pregnant or have plans to do either.</w:t>
      </w:r>
      <w:r>
        <w:rPr>
          <w:rFonts w:ascii="Cambria" w:eastAsia="Calibri" w:hAnsi="Cambria" w:cs="Times New Roman"/>
          <w:vertAlign w:val="superscript"/>
        </w:rPr>
        <w:footnoteReference w:id="40"/>
      </w:r>
      <w:r w:rsidRPr="00716D83">
        <w:rPr>
          <w:rFonts w:ascii="Cambria" w:eastAsia="Calibri" w:hAnsi="Cambria" w:cs="Times New Roman"/>
        </w:rPr>
        <w:t xml:space="preserve">  Our research also revealed that employers may avoid contracts with women or impose contracts that exclude key employee rights such as childcare allowance and maternity allowance. </w:t>
      </w:r>
    </w:p>
    <w:p w14:paraId="3653B249" w14:textId="77777777" w:rsidR="00BD7DE4" w:rsidRDefault="00BD7DE4" w:rsidP="00BD7DE4">
      <w:pPr>
        <w:spacing w:after="0" w:line="240" w:lineRule="auto"/>
        <w:ind w:left="567"/>
        <w:jc w:val="both"/>
        <w:rPr>
          <w:rFonts w:ascii="Cambria" w:eastAsia="Calibri" w:hAnsi="Cambria" w:cs="Times New Roman"/>
        </w:rPr>
      </w:pPr>
    </w:p>
    <w:p w14:paraId="43EB6DC4" w14:textId="77777777" w:rsidR="00BD7DE4" w:rsidRPr="00205CCD" w:rsidRDefault="00BD7DE4" w:rsidP="00BD7DE4">
      <w:pPr>
        <w:spacing w:after="0" w:line="240" w:lineRule="auto"/>
        <w:jc w:val="both"/>
        <w:rPr>
          <w:rFonts w:ascii="Cambria" w:eastAsia="Calibri" w:hAnsi="Cambria" w:cs="Times New Roman"/>
          <w:u w:val="single"/>
        </w:rPr>
      </w:pPr>
      <w:r w:rsidRPr="00205CCD">
        <w:rPr>
          <w:rFonts w:ascii="Cambria" w:eastAsia="Calibri" w:hAnsi="Cambria" w:cs="Times New Roman"/>
          <w:u w:val="single"/>
        </w:rPr>
        <w:t xml:space="preserve">Access to employment for persons with disabilities </w:t>
      </w:r>
    </w:p>
    <w:p w14:paraId="39DECA7A" w14:textId="77777777" w:rsidR="00BD7DE4" w:rsidRPr="00205CCD" w:rsidRDefault="00BD7DE4" w:rsidP="00BD7DE4">
      <w:pPr>
        <w:spacing w:after="0" w:line="240" w:lineRule="auto"/>
        <w:ind w:left="567"/>
        <w:jc w:val="both"/>
        <w:rPr>
          <w:rFonts w:ascii="Cambria" w:eastAsia="Calibri" w:hAnsi="Cambria" w:cs="Times New Roman"/>
        </w:rPr>
      </w:pPr>
    </w:p>
    <w:p w14:paraId="330A6EBB" w14:textId="77777777" w:rsidR="00BD7DE4" w:rsidRPr="0028041A" w:rsidRDefault="00BD7DE4" w:rsidP="00BD7DE4">
      <w:pPr>
        <w:numPr>
          <w:ilvl w:val="0"/>
          <w:numId w:val="1"/>
        </w:numPr>
        <w:spacing w:after="0" w:line="240" w:lineRule="auto"/>
        <w:jc w:val="both"/>
        <w:rPr>
          <w:rFonts w:ascii="Cambria" w:eastAsia="Calibri" w:hAnsi="Cambria" w:cs="Times New Roman"/>
        </w:rPr>
      </w:pPr>
      <w:r>
        <w:rPr>
          <w:rFonts w:ascii="Cambria" w:eastAsia="Calibri" w:hAnsi="Cambria" w:cs="Times New Roman"/>
        </w:rPr>
        <w:t>Discrimination on the grounds of disability is expressly prohibited in the employment context.</w:t>
      </w:r>
      <w:r>
        <w:rPr>
          <w:rFonts w:ascii="Cambria" w:eastAsia="Calibri" w:hAnsi="Cambria" w:cs="Times New Roman"/>
          <w:vertAlign w:val="superscript"/>
        </w:rPr>
        <w:footnoteReference w:id="41"/>
      </w:r>
      <w:r>
        <w:rPr>
          <w:rFonts w:ascii="Cambria" w:eastAsia="Calibri" w:hAnsi="Cambria" w:cs="Times New Roman"/>
        </w:rPr>
        <w:t xml:space="preserve"> </w:t>
      </w:r>
      <w:r w:rsidRPr="0028041A">
        <w:rPr>
          <w:rFonts w:ascii="Cambria" w:eastAsia="Calibri" w:hAnsi="Cambria" w:cs="Times New Roman"/>
        </w:rPr>
        <w:t>There are also specific protections for persons with disabilities in relation to</w:t>
      </w:r>
      <w:r>
        <w:rPr>
          <w:rFonts w:ascii="Cambria" w:eastAsia="Calibri" w:hAnsi="Cambria" w:cs="Times New Roman"/>
        </w:rPr>
        <w:t xml:space="preserve"> leave entitlement</w:t>
      </w:r>
      <w:r>
        <w:rPr>
          <w:rFonts w:ascii="Cambria" w:eastAsia="Calibri" w:hAnsi="Cambria" w:cs="Times New Roman"/>
          <w:vertAlign w:val="superscript"/>
        </w:rPr>
        <w:footnoteReference w:id="42"/>
      </w:r>
      <w:r w:rsidRPr="0028041A">
        <w:rPr>
          <w:rFonts w:ascii="Cambria" w:eastAsia="Calibri" w:hAnsi="Cambria" w:cs="Times New Roman"/>
        </w:rPr>
        <w:t xml:space="preserve"> and adjustments to the duration of working time.</w:t>
      </w:r>
      <w:r>
        <w:rPr>
          <w:rFonts w:ascii="Cambria" w:eastAsia="Calibri" w:hAnsi="Cambria" w:cs="Times New Roman"/>
          <w:vertAlign w:val="superscript"/>
        </w:rPr>
        <w:footnoteReference w:id="43"/>
      </w:r>
      <w:r w:rsidRPr="0028041A">
        <w:rPr>
          <w:rFonts w:ascii="Cambria" w:eastAsia="Calibri" w:hAnsi="Cambria" w:cs="Times New Roman"/>
        </w:rPr>
        <w:t xml:space="preserve"> In addition to this, </w:t>
      </w:r>
      <w:r>
        <w:rPr>
          <w:rFonts w:ascii="Cambria" w:eastAsia="Calibri" w:hAnsi="Cambria" w:cs="Times New Roman"/>
        </w:rPr>
        <w:t xml:space="preserve">under Article 34(4) of the </w:t>
      </w:r>
      <w:r w:rsidRPr="0028041A">
        <w:rPr>
          <w:rFonts w:ascii="Cambria" w:eastAsia="Calibri" w:hAnsi="Cambria" w:cs="Times New Roman"/>
        </w:rPr>
        <w:t>Law on Persons with Disabilities</w:t>
      </w:r>
      <w:r>
        <w:rPr>
          <w:rFonts w:ascii="Cambria" w:eastAsia="Calibri" w:hAnsi="Cambria" w:cs="Times New Roman"/>
        </w:rPr>
        <w:t>, employers</w:t>
      </w:r>
      <w:r w:rsidRPr="0028041A">
        <w:rPr>
          <w:rFonts w:ascii="Cambria" w:eastAsia="Calibri" w:hAnsi="Cambria" w:cs="Times New Roman"/>
        </w:rPr>
        <w:t xml:space="preserve"> are required to ensure that at </w:t>
      </w:r>
      <w:r w:rsidRPr="0028041A">
        <w:rPr>
          <w:rFonts w:ascii="Cambria" w:eastAsia="Calibri" w:hAnsi="Cambria" w:cs="Times New Roman"/>
        </w:rPr>
        <w:lastRenderedPageBreak/>
        <w:t>least 5% of their employees are persons with disabilities.</w:t>
      </w:r>
      <w:r>
        <w:rPr>
          <w:rFonts w:ascii="Cambria" w:eastAsia="Calibri" w:hAnsi="Cambria" w:cs="Times New Roman"/>
          <w:vertAlign w:val="superscript"/>
        </w:rPr>
        <w:footnoteReference w:id="44"/>
      </w:r>
      <w:r w:rsidRPr="0028041A">
        <w:rPr>
          <w:rFonts w:ascii="Cambria" w:eastAsia="Calibri" w:hAnsi="Cambria" w:cs="Times New Roman"/>
        </w:rPr>
        <w:t xml:space="preserve"> As indicated in the third periodic report submitted by the Republic of Moldova, the Moldovan government has also </w:t>
      </w:r>
      <w:r>
        <w:rPr>
          <w:rFonts w:ascii="Cambria" w:eastAsia="Calibri" w:hAnsi="Cambria" w:cs="Times New Roman"/>
        </w:rPr>
        <w:t>undertaken a series of reforms seeking</w:t>
      </w:r>
      <w:r w:rsidRPr="0028041A">
        <w:rPr>
          <w:rFonts w:ascii="Cambria" w:eastAsia="Calibri" w:hAnsi="Cambria" w:cs="Times New Roman"/>
        </w:rPr>
        <w:t xml:space="preserve"> to </w:t>
      </w:r>
      <w:r>
        <w:rPr>
          <w:rFonts w:ascii="Cambria" w:eastAsia="Calibri" w:hAnsi="Cambria" w:cs="Times New Roman"/>
        </w:rPr>
        <w:t>improv</w:t>
      </w:r>
      <w:r w:rsidRPr="0028041A">
        <w:rPr>
          <w:rFonts w:ascii="Cambria" w:eastAsia="Calibri" w:hAnsi="Cambria" w:cs="Times New Roman"/>
        </w:rPr>
        <w:t>e the integration of persons with disabilities.</w:t>
      </w:r>
      <w:r>
        <w:rPr>
          <w:rFonts w:ascii="Cambria" w:eastAsia="Calibri" w:hAnsi="Cambria" w:cs="Times New Roman"/>
          <w:vertAlign w:val="superscript"/>
        </w:rPr>
        <w:footnoteReference w:id="45"/>
      </w:r>
      <w:r w:rsidRPr="0028041A">
        <w:rPr>
          <w:rFonts w:ascii="Cambria" w:eastAsia="Calibri" w:hAnsi="Cambria" w:cs="Times New Roman"/>
        </w:rPr>
        <w:t xml:space="preserve"> </w:t>
      </w:r>
    </w:p>
    <w:p w14:paraId="3246CF8E" w14:textId="77777777" w:rsidR="00BD7DE4" w:rsidRPr="00205CCD" w:rsidRDefault="00BD7DE4" w:rsidP="00BD7DE4">
      <w:pPr>
        <w:spacing w:after="0" w:line="240" w:lineRule="auto"/>
        <w:ind w:left="567"/>
        <w:jc w:val="both"/>
        <w:rPr>
          <w:rFonts w:ascii="Cambria" w:eastAsia="Calibri" w:hAnsi="Cambria" w:cs="Times New Roman"/>
        </w:rPr>
      </w:pPr>
    </w:p>
    <w:p w14:paraId="61954955" w14:textId="77777777" w:rsidR="00BD7DE4" w:rsidRDefault="00BD7DE4" w:rsidP="00BD7DE4">
      <w:pPr>
        <w:numPr>
          <w:ilvl w:val="0"/>
          <w:numId w:val="1"/>
        </w:numPr>
        <w:spacing w:after="0" w:line="240" w:lineRule="auto"/>
        <w:jc w:val="both"/>
        <w:rPr>
          <w:rFonts w:ascii="Cambria" w:eastAsia="Calibri" w:hAnsi="Cambria" w:cs="Times New Roman"/>
        </w:rPr>
      </w:pPr>
      <w:r>
        <w:rPr>
          <w:rFonts w:ascii="Cambria" w:eastAsia="Calibri" w:hAnsi="Cambria" w:cs="Times New Roman"/>
        </w:rPr>
        <w:t xml:space="preserve">Despite the steps taken, our research indicates that there has been little improvement in the </w:t>
      </w:r>
      <w:r w:rsidRPr="00205CCD">
        <w:rPr>
          <w:rFonts w:ascii="Cambria" w:eastAsia="Calibri" w:hAnsi="Cambria" w:cs="Times New Roman"/>
        </w:rPr>
        <w:t>situation faced by persons with disabilities, who remain stigmatized, isolated and vulnerable. Research in 2014 showed that</w:t>
      </w:r>
      <w:r>
        <w:rPr>
          <w:rFonts w:ascii="Cambria" w:eastAsia="Calibri" w:hAnsi="Cambria" w:cs="Times New Roman"/>
        </w:rPr>
        <w:t>, notwithstanding the obligation in Article 34(4) of the Law on Persons with Disabilities,</w:t>
      </w:r>
      <w:r w:rsidRPr="00205CCD">
        <w:rPr>
          <w:rFonts w:ascii="Cambria" w:eastAsia="Calibri" w:hAnsi="Cambria" w:cs="Times New Roman"/>
        </w:rPr>
        <w:t xml:space="preserve"> less than 1% of the Moldovan workforce was made up of persons with disabilities, and only 46.1% of those recognized as having a disability were employed.</w:t>
      </w:r>
      <w:r>
        <w:rPr>
          <w:rFonts w:ascii="Cambria" w:eastAsia="Calibri" w:hAnsi="Cambria" w:cs="Times New Roman"/>
          <w:vertAlign w:val="superscript"/>
        </w:rPr>
        <w:footnoteReference w:id="46"/>
      </w:r>
      <w:r>
        <w:rPr>
          <w:rFonts w:ascii="Cambria" w:eastAsia="Calibri" w:hAnsi="Cambria" w:cs="Times New Roman"/>
        </w:rPr>
        <w:t xml:space="preserve"> </w:t>
      </w:r>
      <w:r w:rsidRPr="00205CCD">
        <w:rPr>
          <w:rFonts w:ascii="Cambria" w:eastAsia="Calibri" w:hAnsi="Cambria" w:cs="Times New Roman"/>
        </w:rPr>
        <w:t xml:space="preserve"> </w:t>
      </w:r>
    </w:p>
    <w:p w14:paraId="372B3E69" w14:textId="77777777" w:rsidR="00BD7DE4" w:rsidRDefault="00BD7DE4" w:rsidP="00BD7DE4">
      <w:pPr>
        <w:pStyle w:val="ListParagraph"/>
        <w:spacing w:after="0" w:line="240" w:lineRule="auto"/>
        <w:contextualSpacing w:val="0"/>
        <w:rPr>
          <w:rFonts w:ascii="Cambria" w:eastAsia="Calibri" w:hAnsi="Cambria" w:cs="Times New Roman"/>
        </w:rPr>
      </w:pPr>
    </w:p>
    <w:p w14:paraId="110617A4" w14:textId="77777777" w:rsidR="00BD7DE4" w:rsidRPr="00205CCD" w:rsidRDefault="00BD7DE4" w:rsidP="00BD7DE4">
      <w:pPr>
        <w:numPr>
          <w:ilvl w:val="0"/>
          <w:numId w:val="1"/>
        </w:numPr>
        <w:spacing w:after="0" w:line="240" w:lineRule="auto"/>
        <w:jc w:val="both"/>
        <w:rPr>
          <w:rFonts w:ascii="Cambria" w:eastAsia="Calibri" w:hAnsi="Cambria" w:cs="Times New Roman"/>
        </w:rPr>
      </w:pPr>
      <w:r>
        <w:rPr>
          <w:rFonts w:ascii="Cambria" w:eastAsia="Calibri" w:hAnsi="Cambria" w:cs="Times New Roman"/>
        </w:rPr>
        <w:t xml:space="preserve">As noted above, one shortcoming of the Law on Persons with Disabilities is the </w:t>
      </w:r>
      <w:r w:rsidRPr="00205CCD">
        <w:rPr>
          <w:rFonts w:ascii="Cambria" w:eastAsia="Calibri" w:hAnsi="Cambria" w:cs="Times New Roman"/>
        </w:rPr>
        <w:t>absence of an independent enforcement mechanism</w:t>
      </w:r>
      <w:r>
        <w:rPr>
          <w:rFonts w:ascii="Cambria" w:eastAsia="Calibri" w:hAnsi="Cambria" w:cs="Times New Roman"/>
        </w:rPr>
        <w:t xml:space="preserve"> with the powers and resources</w:t>
      </w:r>
      <w:r w:rsidRPr="00205CCD">
        <w:rPr>
          <w:rFonts w:ascii="Cambria" w:eastAsia="Calibri" w:hAnsi="Cambria" w:cs="Times New Roman"/>
        </w:rPr>
        <w:t xml:space="preserve"> to enforce the existing minimum legislative quota.</w:t>
      </w:r>
      <w:r>
        <w:rPr>
          <w:rFonts w:ascii="Cambria" w:eastAsia="Calibri" w:hAnsi="Cambria" w:cs="Times New Roman"/>
          <w:vertAlign w:val="superscript"/>
        </w:rPr>
        <w:footnoteReference w:id="47"/>
      </w:r>
      <w:r w:rsidRPr="00205CCD">
        <w:rPr>
          <w:rFonts w:ascii="Cambria" w:eastAsia="Calibri" w:hAnsi="Cambria" w:cs="Times New Roman"/>
        </w:rPr>
        <w:t xml:space="preserve"> </w:t>
      </w:r>
      <w:r>
        <w:rPr>
          <w:rFonts w:ascii="Cambria" w:eastAsia="Calibri" w:hAnsi="Cambria" w:cs="Times New Roman"/>
        </w:rPr>
        <w:t xml:space="preserve">While there is </w:t>
      </w:r>
      <w:r w:rsidRPr="00205CCD">
        <w:rPr>
          <w:rFonts w:ascii="Cambria" w:eastAsia="Calibri" w:hAnsi="Cambria" w:cs="Times New Roman"/>
        </w:rPr>
        <w:t xml:space="preserve">a National Council on the Rights of Persons with Disabilities, the UN Special Rapporteur on the Rights of Persons with Disabilities has reported that many Council decisions have been “challenged and overturned in court”, and </w:t>
      </w:r>
      <w:r>
        <w:rPr>
          <w:rFonts w:ascii="Cambria" w:eastAsia="Calibri" w:hAnsi="Cambria" w:cs="Times New Roman"/>
        </w:rPr>
        <w:t>recommended</w:t>
      </w:r>
      <w:r w:rsidRPr="00205CCD">
        <w:rPr>
          <w:rFonts w:ascii="Cambria" w:eastAsia="Calibri" w:hAnsi="Cambria" w:cs="Times New Roman"/>
        </w:rPr>
        <w:t xml:space="preserve"> that an independent monitoring mechanism be established.</w:t>
      </w:r>
      <w:r>
        <w:rPr>
          <w:rFonts w:ascii="Cambria" w:eastAsia="Calibri" w:hAnsi="Cambria" w:cs="Times New Roman"/>
          <w:vertAlign w:val="superscript"/>
        </w:rPr>
        <w:footnoteReference w:id="48"/>
      </w:r>
    </w:p>
    <w:p w14:paraId="31C5ABB9" w14:textId="77777777" w:rsidR="00BD7DE4" w:rsidRPr="00205CCD" w:rsidRDefault="00BD7DE4" w:rsidP="00BD7DE4">
      <w:pPr>
        <w:spacing w:after="0" w:line="240" w:lineRule="auto"/>
        <w:ind w:left="567"/>
        <w:jc w:val="both"/>
        <w:rPr>
          <w:rFonts w:ascii="Cambria" w:eastAsia="Calibri" w:hAnsi="Cambria" w:cs="Times New Roman"/>
        </w:rPr>
      </w:pPr>
    </w:p>
    <w:p w14:paraId="07599414" w14:textId="77777777" w:rsidR="00BD7DE4" w:rsidRDefault="00BD7DE4" w:rsidP="00BD7DE4">
      <w:pPr>
        <w:numPr>
          <w:ilvl w:val="0"/>
          <w:numId w:val="1"/>
        </w:numPr>
        <w:spacing w:after="0" w:line="240" w:lineRule="auto"/>
        <w:jc w:val="both"/>
        <w:rPr>
          <w:rFonts w:ascii="Cambria" w:eastAsia="Calibri" w:hAnsi="Cambria" w:cs="Times New Roman"/>
        </w:rPr>
      </w:pPr>
      <w:r>
        <w:rPr>
          <w:rFonts w:ascii="Cambria" w:eastAsia="Calibri" w:hAnsi="Cambria" w:cs="Times New Roman"/>
        </w:rPr>
        <w:t xml:space="preserve">Negative attitudes of </w:t>
      </w:r>
      <w:r w:rsidRPr="00205CCD">
        <w:rPr>
          <w:rFonts w:ascii="Cambria" w:eastAsia="Calibri" w:hAnsi="Cambria" w:cs="Times New Roman"/>
        </w:rPr>
        <w:t xml:space="preserve">employers </w:t>
      </w:r>
      <w:r>
        <w:rPr>
          <w:rFonts w:ascii="Cambria" w:eastAsia="Calibri" w:hAnsi="Cambria" w:cs="Times New Roman"/>
        </w:rPr>
        <w:t xml:space="preserve">to </w:t>
      </w:r>
      <w:r w:rsidRPr="00205CCD">
        <w:rPr>
          <w:rFonts w:ascii="Cambria" w:eastAsia="Calibri" w:hAnsi="Cambria" w:cs="Times New Roman"/>
        </w:rPr>
        <w:t>persons with physical or mental disabilities</w:t>
      </w:r>
      <w:r>
        <w:rPr>
          <w:rFonts w:ascii="Cambria" w:eastAsia="Calibri" w:hAnsi="Cambria" w:cs="Times New Roman"/>
        </w:rPr>
        <w:t xml:space="preserve"> persist</w:t>
      </w:r>
      <w:r w:rsidRPr="00205CCD">
        <w:rPr>
          <w:rFonts w:ascii="Cambria" w:eastAsia="Calibri" w:hAnsi="Cambria" w:cs="Times New Roman"/>
        </w:rPr>
        <w:t xml:space="preserve">. The Trust </w:t>
      </w:r>
      <w:r>
        <w:rPr>
          <w:rFonts w:ascii="Cambria" w:eastAsia="Calibri" w:hAnsi="Cambria" w:cs="Times New Roman"/>
        </w:rPr>
        <w:t>collected</w:t>
      </w:r>
      <w:r w:rsidRPr="00205CCD">
        <w:rPr>
          <w:rFonts w:ascii="Cambria" w:eastAsia="Calibri" w:hAnsi="Cambria" w:cs="Times New Roman"/>
        </w:rPr>
        <w:t xml:space="preserve"> testimony from persons with disabilities who </w:t>
      </w:r>
      <w:r>
        <w:rPr>
          <w:rFonts w:ascii="Cambria" w:eastAsia="Calibri" w:hAnsi="Cambria" w:cs="Times New Roman"/>
        </w:rPr>
        <w:t>had</w:t>
      </w:r>
      <w:r w:rsidRPr="00205CCD">
        <w:rPr>
          <w:rFonts w:ascii="Cambria" w:eastAsia="Calibri" w:hAnsi="Cambria" w:cs="Times New Roman"/>
        </w:rPr>
        <w:t xml:space="preserve"> experien</w:t>
      </w:r>
      <w:r>
        <w:rPr>
          <w:rFonts w:ascii="Cambria" w:eastAsia="Calibri" w:hAnsi="Cambria" w:cs="Times New Roman"/>
        </w:rPr>
        <w:t xml:space="preserve">ced discrimination in </w:t>
      </w:r>
      <w:r w:rsidRPr="00205CCD">
        <w:rPr>
          <w:rFonts w:ascii="Cambria" w:eastAsia="Calibri" w:hAnsi="Cambria" w:cs="Times New Roman"/>
        </w:rPr>
        <w:t xml:space="preserve">exercising their right to work.  </w:t>
      </w:r>
      <w:r>
        <w:rPr>
          <w:rFonts w:ascii="Cambria" w:eastAsia="Calibri" w:hAnsi="Cambria" w:cs="Times New Roman"/>
        </w:rPr>
        <w:t>For example, one woman with multiple sclerosis told us:</w:t>
      </w:r>
    </w:p>
    <w:p w14:paraId="12927BC4" w14:textId="77777777" w:rsidR="00BD7DE4" w:rsidRDefault="00BD7DE4" w:rsidP="00BD7DE4">
      <w:pPr>
        <w:spacing w:after="0" w:line="240" w:lineRule="auto"/>
        <w:ind w:left="1440"/>
        <w:jc w:val="both"/>
        <w:rPr>
          <w:rFonts w:ascii="Cambria" w:eastAsia="Calibri" w:hAnsi="Cambria" w:cs="Times New Roman"/>
          <w:i/>
        </w:rPr>
      </w:pPr>
    </w:p>
    <w:p w14:paraId="18A2C008" w14:textId="77777777" w:rsidR="00BD7DE4" w:rsidRPr="0028041A" w:rsidRDefault="00BD7DE4" w:rsidP="00BD7DE4">
      <w:pPr>
        <w:tabs>
          <w:tab w:val="left" w:pos="8505"/>
        </w:tabs>
        <w:spacing w:after="0" w:line="240" w:lineRule="auto"/>
        <w:ind w:left="1418" w:right="855"/>
        <w:jc w:val="both"/>
        <w:rPr>
          <w:rFonts w:ascii="Cambria" w:eastAsia="Calibri" w:hAnsi="Cambria" w:cs="Times New Roman"/>
        </w:rPr>
      </w:pPr>
      <w:r w:rsidRPr="0028041A">
        <w:rPr>
          <w:rFonts w:ascii="Cambria" w:eastAsia="Calibri" w:hAnsi="Cambria" w:cs="Times New Roman"/>
          <w:i/>
        </w:rPr>
        <w:t>During my work, I had to go on a sick leave. Because treatment lasted several weeks and the administration found out about my diagnosis, they asked me to leave the job because they thought I could fall on the floor at any time, losing my consciousness. Even after I told them about multiple sclerosis they did not give up. I was asked to quit the job.</w:t>
      </w:r>
      <w:r>
        <w:rPr>
          <w:rFonts w:ascii="Cambria" w:eastAsia="Calibri" w:hAnsi="Cambria" w:cs="Times New Roman"/>
          <w:i/>
          <w:vertAlign w:val="superscript"/>
        </w:rPr>
        <w:footnoteReference w:id="49"/>
      </w:r>
    </w:p>
    <w:p w14:paraId="36ADC4BB" w14:textId="77777777" w:rsidR="00BD7DE4" w:rsidRPr="00205CCD" w:rsidRDefault="00BD7DE4" w:rsidP="00BD7DE4">
      <w:pPr>
        <w:spacing w:after="0" w:line="240" w:lineRule="auto"/>
        <w:ind w:left="567"/>
        <w:jc w:val="both"/>
        <w:rPr>
          <w:rFonts w:ascii="Cambria" w:eastAsia="Calibri" w:hAnsi="Cambria" w:cs="Times New Roman"/>
        </w:rPr>
      </w:pPr>
    </w:p>
    <w:p w14:paraId="4360FAE6" w14:textId="77777777" w:rsidR="00BD7DE4" w:rsidRPr="00716D83" w:rsidRDefault="00BD7DE4" w:rsidP="00BD7DE4">
      <w:pPr>
        <w:numPr>
          <w:ilvl w:val="0"/>
          <w:numId w:val="1"/>
        </w:numPr>
        <w:spacing w:after="0" w:line="240" w:lineRule="auto"/>
        <w:jc w:val="both"/>
        <w:rPr>
          <w:rFonts w:ascii="Cambria" w:eastAsia="Calibri" w:hAnsi="Cambria" w:cs="Times New Roman"/>
          <w:b/>
        </w:rPr>
      </w:pPr>
      <w:r w:rsidRPr="006E4AC7">
        <w:rPr>
          <w:rFonts w:ascii="Cambria" w:eastAsia="Calibri" w:hAnsi="Cambria" w:cs="Times New Roman"/>
        </w:rPr>
        <w:t xml:space="preserve">Access to employment for persons with disabilities is also impeded by a general lack of physical accessibility in general infrastructure and workplaces, and accessibility of information.  </w:t>
      </w:r>
      <w:r>
        <w:rPr>
          <w:rFonts w:ascii="Cambria" w:eastAsia="Calibri" w:hAnsi="Cambria" w:cs="Times New Roman"/>
        </w:rPr>
        <w:t>While the state adopted an</w:t>
      </w:r>
      <w:r w:rsidRPr="006E4AC7">
        <w:rPr>
          <w:rFonts w:ascii="Cambria" w:eastAsia="Calibri" w:hAnsi="Cambria" w:cs="Times New Roman"/>
        </w:rPr>
        <w:t xml:space="preserve"> Action Plan on Measures to Ensure Accessibility for People with Disabilities to Social Infrastructure, an assessment by the Office of Ombudsman in 2015 revealed that no significant change in levels of accessibility has been achieved.</w:t>
      </w:r>
      <w:r>
        <w:rPr>
          <w:rFonts w:ascii="Cambria" w:eastAsia="Calibri" w:hAnsi="Cambria" w:cs="Times New Roman"/>
          <w:vertAlign w:val="superscript"/>
        </w:rPr>
        <w:footnoteReference w:id="50"/>
      </w:r>
      <w:r w:rsidRPr="006E4AC7">
        <w:rPr>
          <w:rFonts w:ascii="Cambria" w:eastAsia="Calibri" w:hAnsi="Cambria" w:cs="Times New Roman"/>
        </w:rPr>
        <w:t xml:space="preserve"> </w:t>
      </w:r>
    </w:p>
    <w:p w14:paraId="7A860F89" w14:textId="77777777" w:rsidR="00BD7DE4" w:rsidRPr="00205CCD" w:rsidRDefault="00BD7DE4" w:rsidP="00BD7DE4">
      <w:pPr>
        <w:spacing w:after="0" w:line="240" w:lineRule="auto"/>
        <w:jc w:val="both"/>
        <w:rPr>
          <w:rFonts w:ascii="Cambria" w:eastAsia="Calibri" w:hAnsi="Cambria" w:cs="Times New Roman"/>
          <w:b/>
          <w:u w:val="single"/>
        </w:rPr>
      </w:pPr>
    </w:p>
    <w:p w14:paraId="3546207A" w14:textId="77777777" w:rsidR="00BD7DE4" w:rsidRPr="00205CCD" w:rsidRDefault="00BD7DE4" w:rsidP="00896364">
      <w:pPr>
        <w:numPr>
          <w:ilvl w:val="0"/>
          <w:numId w:val="1"/>
        </w:numPr>
        <w:spacing w:after="0" w:line="240" w:lineRule="auto"/>
        <w:jc w:val="both"/>
        <w:rPr>
          <w:rFonts w:ascii="Cambria" w:eastAsia="Calibri" w:hAnsi="Cambria" w:cs="Times New Roman"/>
        </w:rPr>
      </w:pPr>
    </w:p>
    <w:p w14:paraId="375BAA20" w14:textId="77777777" w:rsidR="00F00B1E" w:rsidRPr="00205CCD" w:rsidRDefault="00F00B1E" w:rsidP="00896364">
      <w:pPr>
        <w:spacing w:after="0" w:line="240" w:lineRule="auto"/>
        <w:jc w:val="both"/>
        <w:rPr>
          <w:rFonts w:ascii="Cambria" w:eastAsia="Calibri" w:hAnsi="Cambria" w:cs="Times New Roman"/>
          <w:u w:val="single"/>
        </w:rPr>
      </w:pPr>
      <w:r w:rsidRPr="00205CCD">
        <w:rPr>
          <w:rFonts w:ascii="Cambria" w:eastAsia="Calibri" w:hAnsi="Cambria" w:cs="Times New Roman"/>
          <w:u w:val="single"/>
        </w:rPr>
        <w:t xml:space="preserve">Access to employment for persons living with HIV and persons living with tuberculosis </w:t>
      </w:r>
    </w:p>
    <w:p w14:paraId="529A5D7F" w14:textId="77777777" w:rsidR="00F00B1E" w:rsidRPr="00205CCD" w:rsidRDefault="00F00B1E" w:rsidP="00896364">
      <w:pPr>
        <w:spacing w:after="0" w:line="240" w:lineRule="auto"/>
        <w:jc w:val="both"/>
        <w:rPr>
          <w:rFonts w:ascii="Cambria" w:eastAsia="Calibri" w:hAnsi="Cambria" w:cs="Times New Roman"/>
          <w:i/>
        </w:rPr>
      </w:pPr>
    </w:p>
    <w:p w14:paraId="0701C31B" w14:textId="77777777" w:rsidR="00F00B1E" w:rsidRPr="00C719DC" w:rsidRDefault="000667CB" w:rsidP="00C719DC">
      <w:pPr>
        <w:numPr>
          <w:ilvl w:val="0"/>
          <w:numId w:val="1"/>
        </w:numPr>
        <w:spacing w:after="0" w:line="240" w:lineRule="auto"/>
        <w:jc w:val="both"/>
        <w:rPr>
          <w:rFonts w:ascii="Cambria" w:eastAsia="Calibri" w:hAnsi="Cambria" w:cs="Times New Roman"/>
        </w:rPr>
      </w:pPr>
      <w:r>
        <w:rPr>
          <w:rFonts w:ascii="Cambria" w:eastAsia="Calibri" w:hAnsi="Cambria" w:cs="Times New Roman"/>
        </w:rPr>
        <w:t>While the Law on Ensuring Equality does not</w:t>
      </w:r>
      <w:r w:rsidR="00C719DC">
        <w:rPr>
          <w:rFonts w:ascii="Cambria" w:eastAsia="Calibri" w:hAnsi="Cambria" w:cs="Times New Roman"/>
        </w:rPr>
        <w:t xml:space="preserve"> explicitly</w:t>
      </w:r>
      <w:r>
        <w:rPr>
          <w:rFonts w:ascii="Cambria" w:eastAsia="Calibri" w:hAnsi="Cambria" w:cs="Times New Roman"/>
        </w:rPr>
        <w:t xml:space="preserve"> i</w:t>
      </w:r>
      <w:r w:rsidR="00C719DC">
        <w:rPr>
          <w:rFonts w:ascii="Cambria" w:eastAsia="Calibri" w:hAnsi="Cambria" w:cs="Times New Roman"/>
        </w:rPr>
        <w:t xml:space="preserve">nclude health status in its </w:t>
      </w:r>
      <w:r w:rsidRPr="00C719DC">
        <w:rPr>
          <w:rFonts w:ascii="Cambria" w:eastAsia="Calibri" w:hAnsi="Cambria" w:cs="Times New Roman"/>
        </w:rPr>
        <w:t xml:space="preserve">list of </w:t>
      </w:r>
      <w:r w:rsidR="00C719DC" w:rsidRPr="00C719DC">
        <w:rPr>
          <w:rFonts w:ascii="Cambria" w:eastAsia="Calibri" w:hAnsi="Cambria" w:cs="Times New Roman"/>
        </w:rPr>
        <w:t>protected</w:t>
      </w:r>
      <w:r w:rsidR="00D8750D" w:rsidRPr="00C719DC">
        <w:rPr>
          <w:rFonts w:ascii="Cambria" w:eastAsia="Calibri" w:hAnsi="Cambria" w:cs="Times New Roman"/>
        </w:rPr>
        <w:t xml:space="preserve"> grounds, the Law on Prevention of HIV/AIDS Infection </w:t>
      </w:r>
      <w:r w:rsidR="00C719DC">
        <w:rPr>
          <w:rFonts w:ascii="Cambria" w:eastAsia="Calibri" w:hAnsi="Cambria" w:cs="Times New Roman"/>
        </w:rPr>
        <w:t xml:space="preserve">specifically </w:t>
      </w:r>
      <w:r w:rsidR="00D8750D" w:rsidRPr="00C719DC">
        <w:rPr>
          <w:rFonts w:ascii="Cambria" w:eastAsia="Calibri" w:hAnsi="Cambria" w:cs="Times New Roman"/>
        </w:rPr>
        <w:t xml:space="preserve">prohibits </w:t>
      </w:r>
      <w:r w:rsidR="00C719DC">
        <w:rPr>
          <w:rFonts w:ascii="Cambria" w:eastAsia="Calibri" w:hAnsi="Cambria" w:cs="Times New Roman"/>
        </w:rPr>
        <w:t xml:space="preserve">both </w:t>
      </w:r>
      <w:r w:rsidR="00D8750D" w:rsidRPr="00C719DC">
        <w:rPr>
          <w:rFonts w:ascii="Cambria" w:eastAsia="Calibri" w:hAnsi="Cambria" w:cs="Times New Roman"/>
        </w:rPr>
        <w:t>discrimination based on HIV status and mandatory HIV testing in employment.</w:t>
      </w:r>
      <w:r w:rsidR="00D8750D">
        <w:rPr>
          <w:rFonts w:ascii="Cambria" w:eastAsia="Calibri" w:hAnsi="Cambria" w:cs="Times New Roman"/>
          <w:vertAlign w:val="superscript"/>
        </w:rPr>
        <w:footnoteReference w:id="51"/>
      </w:r>
      <w:r w:rsidR="00D8750D" w:rsidRPr="00C719DC">
        <w:rPr>
          <w:rFonts w:ascii="Cambria" w:eastAsia="Calibri" w:hAnsi="Cambria" w:cs="Times New Roman"/>
        </w:rPr>
        <w:t xml:space="preserve">  </w:t>
      </w:r>
      <w:r w:rsidR="00F00B1E" w:rsidRPr="00C719DC">
        <w:rPr>
          <w:rFonts w:ascii="Cambria" w:eastAsia="Calibri" w:hAnsi="Cambria" w:cs="Times New Roman"/>
        </w:rPr>
        <w:t xml:space="preserve">Despite </w:t>
      </w:r>
      <w:r w:rsidR="00D8750D" w:rsidRPr="00C719DC">
        <w:rPr>
          <w:rFonts w:ascii="Cambria" w:eastAsia="Calibri" w:hAnsi="Cambria" w:cs="Times New Roman"/>
        </w:rPr>
        <w:t>this</w:t>
      </w:r>
      <w:r w:rsidR="00F00B1E" w:rsidRPr="00C719DC">
        <w:rPr>
          <w:rFonts w:ascii="Cambria" w:eastAsia="Calibri" w:hAnsi="Cambria" w:cs="Times New Roman"/>
        </w:rPr>
        <w:t>, there is strong evidence that</w:t>
      </w:r>
      <w:r w:rsidR="00AD7813" w:rsidRPr="00C719DC">
        <w:rPr>
          <w:rFonts w:ascii="Cambria" w:eastAsia="Calibri" w:hAnsi="Cambria" w:cs="Times New Roman"/>
        </w:rPr>
        <w:t xml:space="preserve"> persons living with HIV </w:t>
      </w:r>
      <w:r w:rsidR="00F00B1E" w:rsidRPr="00C719DC">
        <w:rPr>
          <w:rFonts w:ascii="Cambria" w:eastAsia="Calibri" w:hAnsi="Cambria" w:cs="Times New Roman"/>
        </w:rPr>
        <w:t xml:space="preserve">have limited access to employment. Only a third of the </w:t>
      </w:r>
      <w:r w:rsidR="00EC678C">
        <w:rPr>
          <w:rFonts w:ascii="Cambria" w:eastAsia="Calibri" w:hAnsi="Cambria" w:cs="Times New Roman"/>
        </w:rPr>
        <w:t>people living with HIV</w:t>
      </w:r>
      <w:r w:rsidR="00F00B1E" w:rsidRPr="00C719DC">
        <w:rPr>
          <w:rFonts w:ascii="Cambria" w:eastAsia="Calibri" w:hAnsi="Cambria" w:cs="Times New Roman"/>
        </w:rPr>
        <w:t xml:space="preserve"> surveyed in research conducted by the Soros Foundation in 2012 were in full or part-time </w:t>
      </w:r>
      <w:r w:rsidR="00AD7813" w:rsidRPr="00C719DC">
        <w:rPr>
          <w:rFonts w:ascii="Cambria" w:eastAsia="Calibri" w:hAnsi="Cambria" w:cs="Times New Roman"/>
        </w:rPr>
        <w:t>employment; this research revealed that a</w:t>
      </w:r>
      <w:r w:rsidR="00F00B1E" w:rsidRPr="00C719DC">
        <w:rPr>
          <w:rFonts w:ascii="Cambria" w:eastAsia="Calibri" w:hAnsi="Cambria" w:cs="Times New Roman"/>
        </w:rPr>
        <w:t xml:space="preserve"> primary cause of unemployment of </w:t>
      </w:r>
      <w:r w:rsidR="00EC678C">
        <w:rPr>
          <w:rFonts w:ascii="Cambria" w:eastAsia="Calibri" w:hAnsi="Cambria" w:cs="Times New Roman"/>
        </w:rPr>
        <w:t>people living with HIV</w:t>
      </w:r>
      <w:r w:rsidR="00F00B1E" w:rsidRPr="00C719DC">
        <w:rPr>
          <w:rFonts w:ascii="Cambria" w:eastAsia="Calibri" w:hAnsi="Cambria" w:cs="Times New Roman"/>
        </w:rPr>
        <w:t xml:space="preserve"> is their health status.</w:t>
      </w:r>
      <w:r w:rsidR="00F00B1E">
        <w:rPr>
          <w:rFonts w:ascii="Cambria" w:eastAsia="Calibri" w:hAnsi="Cambria" w:cs="Times New Roman"/>
          <w:vertAlign w:val="superscript"/>
        </w:rPr>
        <w:footnoteReference w:id="52"/>
      </w:r>
    </w:p>
    <w:p w14:paraId="69A6A0D9" w14:textId="77777777" w:rsidR="00F00B1E" w:rsidRPr="00205CCD" w:rsidRDefault="00F00B1E" w:rsidP="00896364">
      <w:pPr>
        <w:spacing w:after="0" w:line="240" w:lineRule="auto"/>
        <w:ind w:left="567"/>
        <w:jc w:val="both"/>
        <w:rPr>
          <w:rFonts w:ascii="Cambria" w:eastAsia="Calibri" w:hAnsi="Cambria" w:cs="Times New Roman"/>
        </w:rPr>
      </w:pPr>
    </w:p>
    <w:p w14:paraId="38758DF5" w14:textId="77777777" w:rsidR="00AD7813" w:rsidRPr="00AE0C2F" w:rsidRDefault="00AD7813" w:rsidP="00896364">
      <w:pPr>
        <w:numPr>
          <w:ilvl w:val="0"/>
          <w:numId w:val="1"/>
        </w:numPr>
        <w:spacing w:after="0" w:line="240" w:lineRule="auto"/>
        <w:jc w:val="both"/>
        <w:rPr>
          <w:rFonts w:ascii="Cambria" w:eastAsia="Calibri" w:hAnsi="Cambria" w:cs="Times New Roman"/>
          <w:i/>
        </w:rPr>
      </w:pPr>
      <w:r w:rsidRPr="00AD7813">
        <w:rPr>
          <w:rFonts w:ascii="Cambria" w:eastAsia="Calibri" w:hAnsi="Cambria" w:cs="Times New Roman"/>
        </w:rPr>
        <w:t xml:space="preserve">Our research indicates that </w:t>
      </w:r>
      <w:r w:rsidR="000F79F2">
        <w:rPr>
          <w:rFonts w:ascii="Cambria" w:eastAsia="Calibri" w:hAnsi="Cambria" w:cs="Times New Roman"/>
        </w:rPr>
        <w:t xml:space="preserve">in practice </w:t>
      </w:r>
      <w:r w:rsidR="00F00B1E" w:rsidRPr="00AD7813">
        <w:rPr>
          <w:rFonts w:ascii="Cambria" w:eastAsia="Calibri" w:hAnsi="Cambria" w:cs="Times New Roman"/>
        </w:rPr>
        <w:t>many employers request medical records and certificates</w:t>
      </w:r>
      <w:r w:rsidRPr="00AD7813">
        <w:rPr>
          <w:rFonts w:ascii="Cambria" w:eastAsia="Calibri" w:hAnsi="Cambria" w:cs="Times New Roman"/>
        </w:rPr>
        <w:t>, which detail whether an individual has HIV or tuberculosis,</w:t>
      </w:r>
      <w:r w:rsidR="00F00B1E" w:rsidRPr="00AD7813">
        <w:rPr>
          <w:rFonts w:ascii="Cambria" w:eastAsia="Calibri" w:hAnsi="Cambria" w:cs="Times New Roman"/>
        </w:rPr>
        <w:t xml:space="preserve"> from their </w:t>
      </w:r>
      <w:r w:rsidRPr="00AD7813">
        <w:rPr>
          <w:rFonts w:ascii="Cambria" w:eastAsia="Calibri" w:hAnsi="Cambria" w:cs="Times New Roman"/>
        </w:rPr>
        <w:t xml:space="preserve">(prospective) </w:t>
      </w:r>
      <w:r w:rsidR="00F00B1E" w:rsidRPr="00AD7813">
        <w:rPr>
          <w:rFonts w:ascii="Cambria" w:eastAsia="Calibri" w:hAnsi="Cambria" w:cs="Times New Roman"/>
        </w:rPr>
        <w:t>employees</w:t>
      </w:r>
      <w:r w:rsidRPr="00AD7813">
        <w:rPr>
          <w:rFonts w:ascii="Cambria" w:eastAsia="Calibri" w:hAnsi="Cambria" w:cs="Times New Roman"/>
        </w:rPr>
        <w:t xml:space="preserve"> in breach of the Law on Prevention of HIV/AIDS Infection</w:t>
      </w:r>
      <w:r w:rsidR="00F00B1E" w:rsidRPr="00AD7813">
        <w:rPr>
          <w:rFonts w:ascii="Cambria" w:eastAsia="Calibri" w:hAnsi="Cambria" w:cs="Times New Roman"/>
        </w:rPr>
        <w:t>.</w:t>
      </w:r>
      <w:r>
        <w:rPr>
          <w:rFonts w:ascii="Cambria" w:eastAsia="Calibri" w:hAnsi="Cambria" w:cs="Times New Roman"/>
          <w:vertAlign w:val="superscript"/>
        </w:rPr>
        <w:footnoteReference w:id="53"/>
      </w:r>
      <w:r w:rsidRPr="00AD7813">
        <w:rPr>
          <w:rFonts w:ascii="Cambria" w:eastAsia="Calibri" w:hAnsi="Cambria" w:cs="Times New Roman"/>
        </w:rPr>
        <w:t xml:space="preserve"> </w:t>
      </w:r>
      <w:r w:rsidR="00F00B1E" w:rsidRPr="00AD7813">
        <w:rPr>
          <w:rFonts w:ascii="Cambria" w:eastAsia="Calibri" w:hAnsi="Cambria" w:cs="Times New Roman"/>
        </w:rPr>
        <w:t>One intervie</w:t>
      </w:r>
      <w:r>
        <w:rPr>
          <w:rFonts w:ascii="Cambria" w:eastAsia="Calibri" w:hAnsi="Cambria" w:cs="Times New Roman"/>
        </w:rPr>
        <w:t xml:space="preserve">wee told the Equal Rights Trust: </w:t>
      </w:r>
    </w:p>
    <w:p w14:paraId="10D3C3C7" w14:textId="77777777" w:rsidR="00AE0C2F" w:rsidRPr="00AD7813" w:rsidRDefault="00AE0C2F" w:rsidP="00AE0C2F">
      <w:pPr>
        <w:spacing w:after="0" w:line="240" w:lineRule="auto"/>
        <w:jc w:val="both"/>
        <w:rPr>
          <w:rFonts w:ascii="Cambria" w:eastAsia="Calibri" w:hAnsi="Cambria" w:cs="Times New Roman"/>
          <w:i/>
        </w:rPr>
      </w:pPr>
    </w:p>
    <w:p w14:paraId="270A5F9E" w14:textId="77777777" w:rsidR="00F00B1E" w:rsidRPr="00AD7813" w:rsidRDefault="00F00B1E" w:rsidP="00AE0C2F">
      <w:pPr>
        <w:spacing w:after="0" w:line="240" w:lineRule="auto"/>
        <w:ind w:left="1418" w:right="1138"/>
        <w:jc w:val="both"/>
        <w:rPr>
          <w:rFonts w:ascii="Cambria" w:eastAsia="Calibri" w:hAnsi="Cambria" w:cs="Times New Roman"/>
        </w:rPr>
      </w:pPr>
      <w:r w:rsidRPr="00AD7813">
        <w:rPr>
          <w:rFonts w:ascii="Cambria" w:eastAsia="Calibri" w:hAnsi="Cambria" w:cs="Times New Roman"/>
          <w:i/>
        </w:rPr>
        <w:t>When I went to the doctor in early 2015 to obtain my certificate I was seen by the nurse who I later learned was my colleague’s wife. I later discovered that she had told her husband that I was HIV positive and that I had provided a false certifi</w:t>
      </w:r>
      <w:r w:rsidRPr="00AD7813">
        <w:rPr>
          <w:rFonts w:ascii="Cambria" w:eastAsia="Calibri" w:hAnsi="Cambria" w:cs="Times New Roman"/>
          <w:i/>
        </w:rPr>
        <w:softHyphen/>
        <w:t>cate to my employer. The other employees, including the director, then found out about my HIV status and on the same day I was forced to resign.</w:t>
      </w:r>
      <w:r w:rsidRPr="00C719DC">
        <w:rPr>
          <w:rFonts w:ascii="Cambria" w:eastAsia="Calibri" w:hAnsi="Cambria" w:cs="Times New Roman"/>
          <w:vertAlign w:val="superscript"/>
        </w:rPr>
        <w:footnoteReference w:id="54"/>
      </w:r>
    </w:p>
    <w:p w14:paraId="34CC5D33" w14:textId="77777777" w:rsidR="009E381F" w:rsidRDefault="009E381F" w:rsidP="00896364">
      <w:pPr>
        <w:spacing w:after="0" w:line="240" w:lineRule="auto"/>
        <w:jc w:val="both"/>
        <w:rPr>
          <w:rFonts w:ascii="Cambria" w:eastAsia="Calibri" w:hAnsi="Cambria" w:cs="Times New Roman"/>
          <w:u w:val="single"/>
        </w:rPr>
      </w:pPr>
    </w:p>
    <w:p w14:paraId="11EB3C54" w14:textId="77777777" w:rsidR="00F00B1E" w:rsidRPr="00205CCD" w:rsidRDefault="00F00B1E" w:rsidP="00896364">
      <w:pPr>
        <w:spacing w:after="0" w:line="240" w:lineRule="auto"/>
        <w:jc w:val="both"/>
        <w:rPr>
          <w:rFonts w:ascii="Cambria" w:eastAsia="Calibri" w:hAnsi="Cambria" w:cs="Times New Roman"/>
          <w:u w:val="single"/>
        </w:rPr>
      </w:pPr>
      <w:r w:rsidRPr="00205CCD">
        <w:rPr>
          <w:rFonts w:ascii="Cambria" w:eastAsia="Calibri" w:hAnsi="Cambria" w:cs="Times New Roman"/>
          <w:u w:val="single"/>
        </w:rPr>
        <w:t xml:space="preserve">Access to employment for older persons </w:t>
      </w:r>
    </w:p>
    <w:p w14:paraId="08760BCE" w14:textId="77777777" w:rsidR="00F00B1E" w:rsidRPr="00205CCD" w:rsidRDefault="00F00B1E" w:rsidP="00896364">
      <w:pPr>
        <w:spacing w:after="0" w:line="240" w:lineRule="auto"/>
        <w:jc w:val="both"/>
        <w:rPr>
          <w:rFonts w:ascii="Cambria" w:eastAsia="Calibri" w:hAnsi="Cambria" w:cs="Times New Roman"/>
        </w:rPr>
      </w:pPr>
    </w:p>
    <w:p w14:paraId="33AF9489" w14:textId="77777777" w:rsidR="008E4F0B" w:rsidRDefault="00986632" w:rsidP="00896364">
      <w:pPr>
        <w:numPr>
          <w:ilvl w:val="0"/>
          <w:numId w:val="1"/>
        </w:numPr>
        <w:spacing w:after="0" w:line="240" w:lineRule="auto"/>
        <w:jc w:val="both"/>
        <w:rPr>
          <w:rFonts w:ascii="Cambria" w:eastAsia="Calibri" w:hAnsi="Cambria" w:cs="Times New Roman"/>
        </w:rPr>
      </w:pPr>
      <w:r>
        <w:rPr>
          <w:rFonts w:ascii="Cambria" w:eastAsia="Calibri" w:hAnsi="Cambria" w:cs="Times New Roman"/>
        </w:rPr>
        <w:t xml:space="preserve">Discrimination on the basis of age is prohibited by the Law on Ensuring Equality and </w:t>
      </w:r>
      <w:r w:rsidR="00716D83">
        <w:rPr>
          <w:rFonts w:ascii="Cambria" w:eastAsia="Calibri" w:hAnsi="Cambria" w:cs="Times New Roman"/>
        </w:rPr>
        <w:t xml:space="preserve">by </w:t>
      </w:r>
      <w:r>
        <w:rPr>
          <w:rFonts w:ascii="Cambria" w:eastAsia="Calibri" w:hAnsi="Cambria" w:cs="Times New Roman"/>
        </w:rPr>
        <w:t>the Labour Code.</w:t>
      </w:r>
      <w:r>
        <w:rPr>
          <w:rStyle w:val="FootnoteReference"/>
          <w:rFonts w:ascii="Cambria" w:eastAsia="Calibri" w:hAnsi="Cambria" w:cs="Times New Roman"/>
        </w:rPr>
        <w:footnoteReference w:id="55"/>
      </w:r>
      <w:r>
        <w:rPr>
          <w:rFonts w:ascii="Cambria" w:eastAsia="Calibri" w:hAnsi="Cambria" w:cs="Times New Roman"/>
        </w:rPr>
        <w:t xml:space="preserve"> </w:t>
      </w:r>
      <w:r w:rsidR="00F00B1E" w:rsidRPr="00205CCD">
        <w:rPr>
          <w:rFonts w:ascii="Cambria" w:eastAsia="Calibri" w:hAnsi="Cambria" w:cs="Times New Roman"/>
        </w:rPr>
        <w:t xml:space="preserve">Changes have also been made to the Labour Code to </w:t>
      </w:r>
      <w:r w:rsidR="005E6614">
        <w:rPr>
          <w:rFonts w:ascii="Cambria" w:eastAsia="Calibri" w:hAnsi="Cambria" w:cs="Times New Roman"/>
        </w:rPr>
        <w:t xml:space="preserve">include positive action measures to </w:t>
      </w:r>
      <w:r w:rsidR="00F00B1E" w:rsidRPr="00205CCD">
        <w:rPr>
          <w:rFonts w:ascii="Cambria" w:eastAsia="Calibri" w:hAnsi="Cambria" w:cs="Times New Roman"/>
        </w:rPr>
        <w:t xml:space="preserve">promote </w:t>
      </w:r>
      <w:r w:rsidR="00716D83">
        <w:rPr>
          <w:rFonts w:ascii="Cambria" w:eastAsia="Calibri" w:hAnsi="Cambria" w:cs="Times New Roman"/>
        </w:rPr>
        <w:t>the employment of older persons:</w:t>
      </w:r>
      <w:r>
        <w:rPr>
          <w:rFonts w:ascii="Cambria" w:eastAsia="Calibri" w:hAnsi="Cambria" w:cs="Times New Roman"/>
        </w:rPr>
        <w:t xml:space="preserve"> for example, </w:t>
      </w:r>
      <w:r w:rsidR="00F00B1E" w:rsidRPr="00205CCD">
        <w:rPr>
          <w:rFonts w:ascii="Cambria" w:eastAsia="Calibri" w:hAnsi="Cambria" w:cs="Times New Roman"/>
        </w:rPr>
        <w:t xml:space="preserve">pensioners are allowed to be employed on fixed term contracts and persons with five years or less until retirement </w:t>
      </w:r>
      <w:r w:rsidR="008E4F0B">
        <w:rPr>
          <w:rFonts w:ascii="Cambria" w:eastAsia="Calibri" w:hAnsi="Cambria" w:cs="Times New Roman"/>
        </w:rPr>
        <w:t xml:space="preserve">have </w:t>
      </w:r>
      <w:r w:rsidR="00F00B1E" w:rsidRPr="00205CCD">
        <w:rPr>
          <w:rFonts w:ascii="Cambria" w:eastAsia="Calibri" w:hAnsi="Cambria" w:cs="Times New Roman"/>
        </w:rPr>
        <w:t>a preferential right to maintain their job in case of redundancies.</w:t>
      </w:r>
      <w:r w:rsidR="00F00B1E" w:rsidRPr="00205CCD">
        <w:rPr>
          <w:rFonts w:ascii="Cambria" w:eastAsia="Calibri" w:hAnsi="Cambria" w:cs="Times New Roman"/>
          <w:vertAlign w:val="superscript"/>
        </w:rPr>
        <w:t xml:space="preserve"> </w:t>
      </w:r>
      <w:r w:rsidR="00F00B1E">
        <w:rPr>
          <w:rFonts w:ascii="Cambria" w:eastAsia="Calibri" w:hAnsi="Cambria" w:cs="Times New Roman"/>
          <w:vertAlign w:val="superscript"/>
        </w:rPr>
        <w:footnoteReference w:id="56"/>
      </w:r>
      <w:r w:rsidR="00F00B1E" w:rsidRPr="00205CCD">
        <w:rPr>
          <w:rFonts w:ascii="Cambria" w:eastAsia="Calibri" w:hAnsi="Cambria" w:cs="Times New Roman"/>
        </w:rPr>
        <w:t xml:space="preserve"> </w:t>
      </w:r>
    </w:p>
    <w:p w14:paraId="71E2162C" w14:textId="77777777" w:rsidR="008E4F0B" w:rsidRDefault="008E4F0B" w:rsidP="00896364">
      <w:pPr>
        <w:spacing w:after="0" w:line="240" w:lineRule="auto"/>
        <w:ind w:left="567"/>
        <w:jc w:val="both"/>
        <w:rPr>
          <w:rFonts w:ascii="Cambria" w:eastAsia="Calibri" w:hAnsi="Cambria" w:cs="Times New Roman"/>
        </w:rPr>
      </w:pPr>
    </w:p>
    <w:p w14:paraId="09797DFD" w14:textId="77777777" w:rsidR="005E6614" w:rsidRDefault="00F00B1E" w:rsidP="00896364">
      <w:pPr>
        <w:numPr>
          <w:ilvl w:val="0"/>
          <w:numId w:val="1"/>
        </w:numPr>
        <w:spacing w:after="0" w:line="240" w:lineRule="auto"/>
        <w:jc w:val="both"/>
        <w:rPr>
          <w:rFonts w:ascii="Cambria" w:eastAsia="Calibri" w:hAnsi="Cambria" w:cs="Times New Roman"/>
        </w:rPr>
      </w:pPr>
      <w:r w:rsidRPr="00205CCD">
        <w:rPr>
          <w:rFonts w:ascii="Cambria" w:eastAsia="Calibri" w:hAnsi="Cambria" w:cs="Times New Roman"/>
        </w:rPr>
        <w:t xml:space="preserve">Despite this, </w:t>
      </w:r>
      <w:r w:rsidR="008E4F0B">
        <w:rPr>
          <w:rFonts w:ascii="Cambria" w:eastAsia="Calibri" w:hAnsi="Cambria" w:cs="Times New Roman"/>
        </w:rPr>
        <w:t xml:space="preserve">the CPEDEE has noted </w:t>
      </w:r>
      <w:r w:rsidR="008E4F0B" w:rsidRPr="00205CCD">
        <w:rPr>
          <w:rFonts w:ascii="Cambria" w:eastAsia="Calibri" w:hAnsi="Cambria" w:cs="Times New Roman"/>
        </w:rPr>
        <w:t>significant trend in employment discrimination on grounds of age.</w:t>
      </w:r>
      <w:r w:rsidR="008E4F0B">
        <w:rPr>
          <w:rFonts w:ascii="Cambria" w:eastAsia="Calibri" w:hAnsi="Cambria" w:cs="Times New Roman"/>
          <w:vertAlign w:val="superscript"/>
        </w:rPr>
        <w:footnoteReference w:id="57"/>
      </w:r>
      <w:r w:rsidR="008E4F0B">
        <w:rPr>
          <w:rFonts w:ascii="Cambria" w:eastAsia="Calibri" w:hAnsi="Cambria" w:cs="Times New Roman"/>
        </w:rPr>
        <w:t xml:space="preserve"> O</w:t>
      </w:r>
      <w:r w:rsidRPr="00205CCD">
        <w:rPr>
          <w:rFonts w:ascii="Cambria" w:eastAsia="Calibri" w:hAnsi="Cambria" w:cs="Times New Roman"/>
        </w:rPr>
        <w:t>lder persons remain heavily underrepresented in the workforce – only 16.4% of the persons aged 60 and over are economically active.</w:t>
      </w:r>
      <w:r>
        <w:rPr>
          <w:rFonts w:ascii="Cambria" w:eastAsia="Calibri" w:hAnsi="Cambria" w:cs="Times New Roman"/>
          <w:vertAlign w:val="superscript"/>
        </w:rPr>
        <w:footnoteReference w:id="58"/>
      </w:r>
      <w:r w:rsidRPr="00205CCD">
        <w:rPr>
          <w:rFonts w:ascii="Cambria" w:eastAsia="Calibri" w:hAnsi="Cambria" w:cs="Times New Roman"/>
        </w:rPr>
        <w:t xml:space="preserve"> Statistics from the National Employment Office in 2015 reveal that 16,607 persons aged between 50-65 years were registered as un</w:t>
      </w:r>
      <w:r w:rsidR="008E4F0B">
        <w:rPr>
          <w:rFonts w:ascii="Cambria" w:eastAsia="Calibri" w:hAnsi="Cambria" w:cs="Times New Roman"/>
        </w:rPr>
        <w:t>employed for six months or more</w:t>
      </w:r>
      <w:r w:rsidRPr="00205CCD">
        <w:rPr>
          <w:rFonts w:ascii="Cambria" w:eastAsia="Calibri" w:hAnsi="Cambria" w:cs="Times New Roman"/>
        </w:rPr>
        <w:t>.</w:t>
      </w:r>
      <w:r>
        <w:rPr>
          <w:rFonts w:ascii="Cambria" w:eastAsia="Calibri" w:hAnsi="Cambria" w:cs="Times New Roman"/>
          <w:vertAlign w:val="superscript"/>
        </w:rPr>
        <w:footnoteReference w:id="59"/>
      </w:r>
      <w:r w:rsidRPr="00205CCD">
        <w:rPr>
          <w:rFonts w:ascii="Cambria" w:eastAsia="Calibri" w:hAnsi="Cambria" w:cs="Times New Roman"/>
        </w:rPr>
        <w:t xml:space="preserve"> </w:t>
      </w:r>
    </w:p>
    <w:p w14:paraId="14E30AE2" w14:textId="77777777" w:rsidR="005E6614" w:rsidRDefault="005E6614" w:rsidP="005E6614">
      <w:pPr>
        <w:spacing w:after="0" w:line="240" w:lineRule="auto"/>
        <w:ind w:left="567"/>
        <w:jc w:val="both"/>
        <w:rPr>
          <w:rFonts w:ascii="Cambria" w:eastAsia="Calibri" w:hAnsi="Cambria" w:cs="Times New Roman"/>
        </w:rPr>
      </w:pPr>
    </w:p>
    <w:p w14:paraId="65254DE0" w14:textId="77777777" w:rsidR="00F00B1E" w:rsidRPr="008E4F0B" w:rsidRDefault="008E4F0B" w:rsidP="00896364">
      <w:pPr>
        <w:numPr>
          <w:ilvl w:val="0"/>
          <w:numId w:val="1"/>
        </w:numPr>
        <w:spacing w:after="0" w:line="240" w:lineRule="auto"/>
        <w:jc w:val="both"/>
        <w:rPr>
          <w:rFonts w:ascii="Cambria" w:eastAsia="Calibri" w:hAnsi="Cambria" w:cs="Times New Roman"/>
        </w:rPr>
      </w:pPr>
      <w:r w:rsidRPr="008E4F0B">
        <w:rPr>
          <w:rFonts w:ascii="Cambria" w:eastAsia="Calibri" w:hAnsi="Cambria" w:cs="Times New Roman"/>
        </w:rPr>
        <w:lastRenderedPageBreak/>
        <w:t>Certain legal provisions discriminate against older persons</w:t>
      </w:r>
      <w:r>
        <w:rPr>
          <w:rFonts w:ascii="Cambria" w:eastAsia="Calibri" w:hAnsi="Cambria" w:cs="Times New Roman"/>
        </w:rPr>
        <w:t xml:space="preserve"> in employment</w:t>
      </w:r>
      <w:r w:rsidR="005E6614">
        <w:rPr>
          <w:rFonts w:ascii="Cambria" w:eastAsia="Calibri" w:hAnsi="Cambria" w:cs="Times New Roman"/>
        </w:rPr>
        <w:t>. F</w:t>
      </w:r>
      <w:r w:rsidRPr="008E4F0B">
        <w:rPr>
          <w:rFonts w:ascii="Cambria" w:eastAsia="Calibri" w:hAnsi="Cambria" w:cs="Times New Roman"/>
        </w:rPr>
        <w:t>or example</w:t>
      </w:r>
      <w:r w:rsidRPr="008E4F0B">
        <w:rPr>
          <w:rFonts w:ascii="Cambria" w:eastAsia="Calibri" w:hAnsi="Cambria" w:cs="Times New Roman"/>
          <w:vertAlign w:val="superscript"/>
        </w:rPr>
        <w:t xml:space="preserve">, </w:t>
      </w:r>
      <w:r w:rsidRPr="008E4F0B">
        <w:rPr>
          <w:rFonts w:ascii="Cambria" w:eastAsia="Calibri" w:hAnsi="Cambria" w:cs="Times New Roman"/>
        </w:rPr>
        <w:t>the Law on the Public Function and Status of Civil Servants and the Labour Code, respectively, allow civil servants and teachers who reach the retirement age to be dismissed.</w:t>
      </w:r>
      <w:r>
        <w:rPr>
          <w:rStyle w:val="FootnoteReference"/>
          <w:rFonts w:ascii="Cambria" w:eastAsia="Calibri" w:hAnsi="Cambria" w:cs="Times New Roman"/>
        </w:rPr>
        <w:footnoteReference w:id="60"/>
      </w:r>
      <w:r w:rsidRPr="008E4F0B">
        <w:rPr>
          <w:rFonts w:ascii="Cambria" w:eastAsia="Calibri" w:hAnsi="Cambria" w:cs="Times New Roman"/>
        </w:rPr>
        <w:t xml:space="preserve"> </w:t>
      </w:r>
    </w:p>
    <w:p w14:paraId="6329790B" w14:textId="77777777" w:rsidR="008E4F0B" w:rsidRDefault="008E4F0B" w:rsidP="00896364">
      <w:pPr>
        <w:pStyle w:val="ListParagraph"/>
        <w:spacing w:after="0" w:line="240" w:lineRule="auto"/>
        <w:contextualSpacing w:val="0"/>
        <w:rPr>
          <w:rFonts w:ascii="Cambria" w:eastAsia="Calibri" w:hAnsi="Cambria" w:cs="Times New Roman"/>
        </w:rPr>
      </w:pPr>
    </w:p>
    <w:p w14:paraId="49157FB3" w14:textId="77777777" w:rsidR="008E4F0B" w:rsidRDefault="00F00B1E" w:rsidP="00896364">
      <w:pPr>
        <w:numPr>
          <w:ilvl w:val="0"/>
          <w:numId w:val="1"/>
        </w:numPr>
        <w:spacing w:after="0" w:line="240" w:lineRule="auto"/>
        <w:jc w:val="both"/>
        <w:rPr>
          <w:rFonts w:ascii="Cambria" w:eastAsia="Calibri" w:hAnsi="Cambria" w:cs="Times New Roman"/>
        </w:rPr>
      </w:pPr>
      <w:r w:rsidRPr="00205CCD">
        <w:rPr>
          <w:rFonts w:ascii="Cambria" w:eastAsia="Calibri" w:hAnsi="Cambria" w:cs="Times New Roman"/>
        </w:rPr>
        <w:t xml:space="preserve">Although the </w:t>
      </w:r>
      <w:r w:rsidR="008E4F0B">
        <w:rPr>
          <w:rFonts w:ascii="Cambria" w:eastAsia="Calibri" w:hAnsi="Cambria" w:cs="Times New Roman"/>
        </w:rPr>
        <w:t xml:space="preserve">CPEDEE has recognised that </w:t>
      </w:r>
      <w:r w:rsidRPr="00205CCD">
        <w:rPr>
          <w:rFonts w:ascii="Cambria" w:eastAsia="Calibri" w:hAnsi="Cambria" w:cs="Times New Roman"/>
        </w:rPr>
        <w:t>job announcements</w:t>
      </w:r>
      <w:r w:rsidR="008E4F0B">
        <w:rPr>
          <w:rFonts w:ascii="Cambria" w:eastAsia="Calibri" w:hAnsi="Cambria" w:cs="Times New Roman"/>
        </w:rPr>
        <w:t xml:space="preserve"> which include age as a selection criteria</w:t>
      </w:r>
      <w:r w:rsidRPr="00205CCD">
        <w:rPr>
          <w:rFonts w:ascii="Cambria" w:eastAsia="Calibri" w:hAnsi="Cambria" w:cs="Times New Roman"/>
        </w:rPr>
        <w:t xml:space="preserve"> can constitute age discrimination,</w:t>
      </w:r>
      <w:r w:rsidR="008E4F0B">
        <w:rPr>
          <w:rStyle w:val="FootnoteReference"/>
          <w:rFonts w:ascii="Cambria" w:eastAsia="Calibri" w:hAnsi="Cambria" w:cs="Times New Roman"/>
        </w:rPr>
        <w:footnoteReference w:id="61"/>
      </w:r>
      <w:r w:rsidRPr="00205CCD">
        <w:rPr>
          <w:rFonts w:ascii="Cambria" w:eastAsia="Calibri" w:hAnsi="Cambria" w:cs="Times New Roman"/>
        </w:rPr>
        <w:t xml:space="preserve"> </w:t>
      </w:r>
      <w:r w:rsidR="00AC011C">
        <w:rPr>
          <w:rFonts w:ascii="Cambria" w:eastAsia="Calibri" w:hAnsi="Cambria" w:cs="Times New Roman"/>
        </w:rPr>
        <w:t>age discrimination in job interviews persists. O</w:t>
      </w:r>
      <w:r w:rsidR="008E4F0B">
        <w:rPr>
          <w:rFonts w:ascii="Cambria" w:eastAsia="Calibri" w:hAnsi="Cambria" w:cs="Times New Roman"/>
        </w:rPr>
        <w:t xml:space="preserve">ne interviewee told us: </w:t>
      </w:r>
    </w:p>
    <w:p w14:paraId="58D0D4A9" w14:textId="77777777" w:rsidR="00436B4D" w:rsidRDefault="00436B4D" w:rsidP="00896364">
      <w:pPr>
        <w:spacing w:after="0" w:line="240" w:lineRule="auto"/>
        <w:ind w:left="1440"/>
        <w:jc w:val="both"/>
        <w:rPr>
          <w:rFonts w:ascii="Cambria" w:hAnsi="Cambria"/>
          <w:i/>
        </w:rPr>
      </w:pPr>
    </w:p>
    <w:p w14:paraId="5E7B410B" w14:textId="77777777" w:rsidR="008E4F0B" w:rsidRPr="008E4F0B" w:rsidRDefault="005E6614" w:rsidP="005E6614">
      <w:pPr>
        <w:tabs>
          <w:tab w:val="left" w:pos="8505"/>
        </w:tabs>
        <w:spacing w:after="0" w:line="240" w:lineRule="auto"/>
        <w:ind w:left="1418" w:right="855"/>
        <w:jc w:val="both"/>
        <w:rPr>
          <w:rFonts w:ascii="Cambria" w:eastAsia="Calibri" w:hAnsi="Cambria" w:cs="Times New Roman"/>
        </w:rPr>
      </w:pPr>
      <w:r>
        <w:rPr>
          <w:rFonts w:ascii="Cambria" w:hAnsi="Cambria"/>
          <w:i/>
        </w:rPr>
        <w:t>Every time</w:t>
      </w:r>
      <w:r w:rsidR="008E4F0B" w:rsidRPr="008E4F0B">
        <w:rPr>
          <w:rFonts w:ascii="Cambria" w:hAnsi="Cambria"/>
          <w:i/>
        </w:rPr>
        <w:t xml:space="preserve"> during a job interview or on the phone when the potential employer contacts you, the first question is: “What is your age?” Sometimes I lie that I am 5 years younger, hoping to at least be invited for a job interview but even that does not help. At one point, I decided to call an announcement for a nanny/ babysitter and they also asked about my age. I told them I am pension age and the person who placed the ad, said: “no, no, we need a younger person.” When I was looking for a job my age was an obstacle at both public and private companies. So I stopped looking for a job..</w:t>
      </w:r>
      <w:r w:rsidR="008E4F0B">
        <w:rPr>
          <w:rStyle w:val="FootnoteReference"/>
          <w:rFonts w:ascii="Cambria" w:hAnsi="Cambria"/>
          <w:i/>
        </w:rPr>
        <w:footnoteReference w:id="62"/>
      </w:r>
    </w:p>
    <w:p w14:paraId="397B212F" w14:textId="77777777" w:rsidR="008E4F0B" w:rsidRDefault="008E4F0B" w:rsidP="00896364">
      <w:pPr>
        <w:pStyle w:val="ListParagraph"/>
        <w:spacing w:after="0" w:line="240" w:lineRule="auto"/>
        <w:contextualSpacing w:val="0"/>
        <w:rPr>
          <w:rFonts w:ascii="Cambria" w:eastAsia="Calibri" w:hAnsi="Cambria" w:cs="Times New Roman"/>
        </w:rPr>
      </w:pPr>
    </w:p>
    <w:p w14:paraId="43B4C7EA" w14:textId="2AADD73C" w:rsidR="00F00B1E" w:rsidRDefault="008E4F0B" w:rsidP="00896364">
      <w:pPr>
        <w:numPr>
          <w:ilvl w:val="0"/>
          <w:numId w:val="1"/>
        </w:numPr>
        <w:spacing w:after="0" w:line="240" w:lineRule="auto"/>
        <w:jc w:val="both"/>
        <w:rPr>
          <w:rFonts w:ascii="Cambria" w:eastAsia="Calibri" w:hAnsi="Cambria" w:cs="Times New Roman"/>
        </w:rPr>
      </w:pPr>
      <w:r>
        <w:rPr>
          <w:rFonts w:ascii="Cambria" w:eastAsia="Calibri" w:hAnsi="Cambria" w:cs="Times New Roman"/>
        </w:rPr>
        <w:t xml:space="preserve">Moreover, </w:t>
      </w:r>
      <w:r w:rsidR="002E1555">
        <w:rPr>
          <w:rFonts w:ascii="Cambria" w:eastAsia="Calibri" w:hAnsi="Cambria" w:cs="Times New Roman"/>
        </w:rPr>
        <w:t xml:space="preserve">although the CPEDEE has proactively addressed the issue of age discrimination, </w:t>
      </w:r>
      <w:r w:rsidR="00353936">
        <w:rPr>
          <w:rFonts w:ascii="Cambria" w:eastAsia="Calibri" w:hAnsi="Cambria" w:cs="Times New Roman"/>
        </w:rPr>
        <w:t xml:space="preserve">the </w:t>
      </w:r>
      <w:r w:rsidR="00F00B1E" w:rsidRPr="00205CCD">
        <w:rPr>
          <w:rFonts w:ascii="Cambria" w:eastAsia="Calibri" w:hAnsi="Cambria" w:cs="Times New Roman"/>
        </w:rPr>
        <w:t>Moldovan courts have had a mixed record in responding to age discrimination in employment. A ruling in the Edinet District Court in 2013 found that a termination of a labour contract upon an employee reaching the pension age did not constitute discrimination on the basis of age, as it was permitted by the Labour Code.</w:t>
      </w:r>
      <w:r w:rsidR="00F00B1E">
        <w:rPr>
          <w:rFonts w:ascii="Cambria" w:eastAsia="Calibri" w:hAnsi="Cambria" w:cs="Times New Roman"/>
          <w:vertAlign w:val="superscript"/>
        </w:rPr>
        <w:footnoteReference w:id="63"/>
      </w:r>
    </w:p>
    <w:p w14:paraId="6A26ED04" w14:textId="725F9295" w:rsidR="00FF1DD2" w:rsidRDefault="00FF1DD2" w:rsidP="005A16BD">
      <w:pPr>
        <w:spacing w:after="0" w:line="240" w:lineRule="auto"/>
        <w:jc w:val="both"/>
        <w:rPr>
          <w:rFonts w:ascii="Cambria" w:eastAsia="Calibri" w:hAnsi="Cambria" w:cs="Times New Roman"/>
        </w:rPr>
      </w:pPr>
    </w:p>
    <w:p w14:paraId="22A3AF89" w14:textId="255D5E52" w:rsidR="00E257FD" w:rsidRPr="005A273F" w:rsidRDefault="00E257FD" w:rsidP="00E257FD">
      <w:pPr>
        <w:pBdr>
          <w:top w:val="single" w:sz="18" w:space="1" w:color="E8112D"/>
          <w:left w:val="single" w:sz="18" w:space="4" w:color="E8112D"/>
          <w:bottom w:val="single" w:sz="18" w:space="1" w:color="E8112D"/>
          <w:right w:val="single" w:sz="18" w:space="4" w:color="E8112D"/>
        </w:pBdr>
        <w:shd w:val="solid" w:color="FCD4D9" w:fill="E8112D"/>
        <w:ind w:left="567" w:hanging="567"/>
        <w:rPr>
          <w:rFonts w:ascii="Cambria" w:hAnsi="Cambria"/>
          <w:b/>
        </w:rPr>
      </w:pPr>
      <w:r w:rsidRPr="005A273F">
        <w:rPr>
          <w:rFonts w:ascii="Cambria" w:hAnsi="Cambria"/>
          <w:b/>
        </w:rPr>
        <w:t>Suggested Questions</w:t>
      </w:r>
      <w:r>
        <w:rPr>
          <w:rFonts w:ascii="Cambria" w:hAnsi="Cambria"/>
          <w:b/>
        </w:rPr>
        <w:t xml:space="preserve"> on Discrimination in respect of the Right to Work </w:t>
      </w:r>
    </w:p>
    <w:p w14:paraId="7C91DD4D" w14:textId="0A4DFBA3" w:rsidR="00E257FD" w:rsidRPr="000E0CE4" w:rsidRDefault="00E257FD" w:rsidP="00E257FD">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sidRPr="000E0CE4">
        <w:rPr>
          <w:rFonts w:ascii="Cambria" w:hAnsi="Cambria"/>
        </w:rPr>
        <w:t xml:space="preserve">What measures </w:t>
      </w:r>
      <w:r>
        <w:rPr>
          <w:rFonts w:ascii="Cambria" w:hAnsi="Cambria"/>
        </w:rPr>
        <w:t xml:space="preserve">– beyond legislation – </w:t>
      </w:r>
      <w:r w:rsidRPr="000E0CE4">
        <w:rPr>
          <w:rFonts w:ascii="Cambria" w:hAnsi="Cambria"/>
        </w:rPr>
        <w:t xml:space="preserve">has the state party taken to ensure the equal enjoyment of the right to </w:t>
      </w:r>
      <w:r>
        <w:rPr>
          <w:rFonts w:ascii="Cambria" w:hAnsi="Cambria"/>
        </w:rPr>
        <w:t>work,</w:t>
      </w:r>
      <w:r w:rsidR="00BD7DE4">
        <w:rPr>
          <w:rFonts w:ascii="Cambria" w:hAnsi="Cambria"/>
        </w:rPr>
        <w:t xml:space="preserve"> without discrimin</w:t>
      </w:r>
      <w:r w:rsidRPr="000E0CE4">
        <w:rPr>
          <w:rFonts w:ascii="Cambria" w:hAnsi="Cambria"/>
        </w:rPr>
        <w:t xml:space="preserve">ation of any kind, including in particular on the basis of race and ethnicity, </w:t>
      </w:r>
      <w:r w:rsidR="00BD7DE4">
        <w:rPr>
          <w:rFonts w:ascii="Cambria" w:hAnsi="Cambria"/>
        </w:rPr>
        <w:t>gender, disability,</w:t>
      </w:r>
      <w:r w:rsidRPr="000E0CE4">
        <w:rPr>
          <w:rFonts w:ascii="Cambria" w:hAnsi="Cambria"/>
        </w:rPr>
        <w:t xml:space="preserve"> health status</w:t>
      </w:r>
      <w:r w:rsidR="00BD7DE4">
        <w:rPr>
          <w:rFonts w:ascii="Cambria" w:hAnsi="Cambria"/>
        </w:rPr>
        <w:t xml:space="preserve"> and age</w:t>
      </w:r>
      <w:r w:rsidRPr="000E0CE4">
        <w:rPr>
          <w:rFonts w:ascii="Cambria" w:hAnsi="Cambria"/>
        </w:rPr>
        <w:t xml:space="preserve">?  </w:t>
      </w:r>
    </w:p>
    <w:p w14:paraId="02E3DE91" w14:textId="55447618" w:rsidR="00E257FD" w:rsidRDefault="00E257FD" w:rsidP="00E257FD">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What assessment, if any, has the state party made of the effectiveness of the Law on Ensuring Equality in eliminating discrimination in the exercise of the right to work? What was the outcome of this assessment?</w:t>
      </w:r>
    </w:p>
    <w:p w14:paraId="7ADE236F" w14:textId="30BD1AD2" w:rsidR="00E257FD" w:rsidRDefault="00E257FD" w:rsidP="00E257FD">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What steps has the state taken to monitor the implementation of measures to comply with the obligation of non-discrimination in respect of the right to work? In particular, what data has the state party collected on participation in work, disaggregated on the basis of all grounds of discrimination recognised by the Committee?</w:t>
      </w:r>
    </w:p>
    <w:p w14:paraId="37025376" w14:textId="58CDF735" w:rsidR="00E257FD" w:rsidRDefault="00E257FD" w:rsidP="00E257FD">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What measures is the state party taking to increase the participation of R</w:t>
      </w:r>
      <w:r w:rsidR="005147C7">
        <w:rPr>
          <w:rFonts w:ascii="Cambria" w:hAnsi="Cambria"/>
        </w:rPr>
        <w:t>oma, in particular Roma women,</w:t>
      </w:r>
      <w:r>
        <w:rPr>
          <w:rFonts w:ascii="Cambria" w:hAnsi="Cambria"/>
        </w:rPr>
        <w:t xml:space="preserve"> in employment?</w:t>
      </w:r>
    </w:p>
    <w:p w14:paraId="583743EA" w14:textId="727F9EE9" w:rsidR="00FB7629" w:rsidRDefault="00FB7629" w:rsidP="00E257FD">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ind w:left="567" w:hanging="567"/>
        <w:rPr>
          <w:rFonts w:ascii="Cambria" w:hAnsi="Cambria"/>
        </w:rPr>
      </w:pPr>
      <w:r>
        <w:rPr>
          <w:rFonts w:ascii="Cambria" w:hAnsi="Cambria"/>
        </w:rPr>
        <w:t xml:space="preserve">What measures is the state party taking to combat discrimination against women in employment? In particular, what steps are being taken to address the horizontal and vertical segregation in the labour market? </w:t>
      </w:r>
    </w:p>
    <w:p w14:paraId="2A6DB050" w14:textId="1ADD6F7B" w:rsidR="00FB7629" w:rsidRDefault="00FB7629" w:rsidP="00E257FD">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ind w:left="567" w:hanging="567"/>
        <w:rPr>
          <w:rFonts w:ascii="Cambria" w:hAnsi="Cambria"/>
        </w:rPr>
      </w:pPr>
      <w:r>
        <w:rPr>
          <w:rFonts w:ascii="Cambria" w:hAnsi="Cambria"/>
        </w:rPr>
        <w:lastRenderedPageBreak/>
        <w:t xml:space="preserve">What steps does the state party intend to take in relation to the quota established under Article 34(4) of the Law on the Social Inclusion of Persons with Disabilities? In particular, does it intend to create a mechanism to monitor and enforce this quota? </w:t>
      </w:r>
    </w:p>
    <w:p w14:paraId="778B3F95" w14:textId="1174BDA8" w:rsidR="00BD7DE4" w:rsidRDefault="00BD7DE4" w:rsidP="00BD7DE4">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 xml:space="preserve">What measures are taken against employers who discriminate on the grounds of health status in breach of the provisions of the Law </w:t>
      </w:r>
      <w:r w:rsidRPr="00205CCD">
        <w:rPr>
          <w:rFonts w:ascii="Cambria" w:eastAsia="Calibri" w:hAnsi="Cambria" w:cs="Times New Roman"/>
        </w:rPr>
        <w:t>on Prevention of HIV/AIDS Infection</w:t>
      </w:r>
      <w:r>
        <w:rPr>
          <w:rFonts w:ascii="Cambria" w:eastAsia="Calibri" w:hAnsi="Cambria" w:cs="Times New Roman"/>
        </w:rPr>
        <w:t>?</w:t>
      </w:r>
    </w:p>
    <w:p w14:paraId="20307DB8" w14:textId="5D2CBABF" w:rsidR="00FB7629" w:rsidRDefault="00FB7629" w:rsidP="00E257FD">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ind w:left="567" w:hanging="567"/>
        <w:rPr>
          <w:rFonts w:ascii="Cambria" w:hAnsi="Cambria"/>
        </w:rPr>
      </w:pPr>
      <w:r>
        <w:rPr>
          <w:rFonts w:ascii="Cambria" w:hAnsi="Cambria"/>
        </w:rPr>
        <w:t>What measures is the state party taking to ensure that the practices of employers do not discriminate against older persons – particularly where such practices, such as discriminatory job announcements have already been found by the CPEDEE to constitute unlawful discrimination?</w:t>
      </w:r>
    </w:p>
    <w:p w14:paraId="76911079" w14:textId="5DD0DDD8" w:rsidR="00E257FD" w:rsidRDefault="00FB7629" w:rsidP="005A16BD">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ind w:left="567" w:hanging="567"/>
      </w:pPr>
      <w:r w:rsidRPr="009E381F">
        <w:rPr>
          <w:rFonts w:ascii="Cambria" w:hAnsi="Cambria"/>
        </w:rPr>
        <w:t xml:space="preserve">What measures, if any, has the state party taken to prohibit discrimination in the public services and by private employers on the basis of age? </w:t>
      </w:r>
    </w:p>
    <w:p w14:paraId="7DDF7B84" w14:textId="77777777" w:rsidR="002F5D19" w:rsidRDefault="002F5D19" w:rsidP="00896364">
      <w:pPr>
        <w:spacing w:after="0" w:line="240" w:lineRule="auto"/>
        <w:jc w:val="both"/>
        <w:rPr>
          <w:rFonts w:ascii="Cambria" w:eastAsia="Calibri" w:hAnsi="Cambria" w:cs="Times New Roman"/>
          <w:b/>
        </w:rPr>
      </w:pPr>
    </w:p>
    <w:p w14:paraId="417CC280" w14:textId="76D8FFEF" w:rsidR="00F00B1E" w:rsidRPr="00205CCD" w:rsidRDefault="00F00B1E" w:rsidP="00896364">
      <w:pPr>
        <w:spacing w:after="0" w:line="240" w:lineRule="auto"/>
        <w:jc w:val="both"/>
        <w:rPr>
          <w:rFonts w:ascii="Cambria" w:eastAsia="Calibri" w:hAnsi="Cambria" w:cs="Times New Roman"/>
          <w:b/>
        </w:rPr>
      </w:pPr>
      <w:r w:rsidRPr="00205CCD">
        <w:rPr>
          <w:rFonts w:ascii="Cambria" w:eastAsia="Calibri" w:hAnsi="Cambria" w:cs="Times New Roman"/>
          <w:b/>
        </w:rPr>
        <w:t xml:space="preserve">Article 12: the right to physical and mental health </w:t>
      </w:r>
    </w:p>
    <w:p w14:paraId="6A3E8748" w14:textId="77777777" w:rsidR="00F00B1E" w:rsidRPr="00205CCD" w:rsidRDefault="00F00B1E" w:rsidP="00896364">
      <w:pPr>
        <w:spacing w:after="0" w:line="240" w:lineRule="auto"/>
        <w:jc w:val="both"/>
        <w:rPr>
          <w:rFonts w:ascii="Cambria" w:eastAsia="Calibri" w:hAnsi="Cambria" w:cs="Times New Roman"/>
          <w:i/>
        </w:rPr>
      </w:pPr>
    </w:p>
    <w:p w14:paraId="7BD8CCBD" w14:textId="77777777" w:rsidR="00F00B1E" w:rsidRPr="00205CCD" w:rsidRDefault="00F00B1E" w:rsidP="00896364">
      <w:pPr>
        <w:spacing w:after="0" w:line="240" w:lineRule="auto"/>
        <w:jc w:val="both"/>
        <w:rPr>
          <w:rFonts w:ascii="Cambria" w:eastAsia="Calibri" w:hAnsi="Cambria" w:cs="Times New Roman"/>
          <w:u w:val="single"/>
        </w:rPr>
      </w:pPr>
      <w:r w:rsidRPr="00205CCD">
        <w:rPr>
          <w:rFonts w:ascii="Cambria" w:eastAsia="Calibri" w:hAnsi="Cambria" w:cs="Times New Roman"/>
          <w:u w:val="single"/>
        </w:rPr>
        <w:t xml:space="preserve">Access to healthcare for Roma and other ethnic minorities </w:t>
      </w:r>
    </w:p>
    <w:p w14:paraId="47336AF7" w14:textId="77777777" w:rsidR="00F00B1E" w:rsidRPr="00205CCD" w:rsidRDefault="00F00B1E" w:rsidP="00896364">
      <w:pPr>
        <w:spacing w:after="0" w:line="240" w:lineRule="auto"/>
        <w:ind w:left="567"/>
        <w:jc w:val="both"/>
        <w:rPr>
          <w:rFonts w:ascii="Cambria" w:eastAsia="Calibri" w:hAnsi="Cambria" w:cs="Times New Roman"/>
        </w:rPr>
      </w:pPr>
    </w:p>
    <w:p w14:paraId="1A9B6CC2" w14:textId="77777777" w:rsidR="00AC011C" w:rsidRPr="00205CCD" w:rsidRDefault="00353936" w:rsidP="00896364">
      <w:pPr>
        <w:numPr>
          <w:ilvl w:val="0"/>
          <w:numId w:val="1"/>
        </w:numPr>
        <w:spacing w:after="0" w:line="240" w:lineRule="auto"/>
        <w:jc w:val="both"/>
        <w:rPr>
          <w:rFonts w:ascii="Cambria" w:eastAsia="Calibri" w:hAnsi="Cambria" w:cs="Times New Roman"/>
        </w:rPr>
      </w:pPr>
      <w:r>
        <w:rPr>
          <w:rFonts w:ascii="Cambria" w:eastAsia="Calibri" w:hAnsi="Cambria" w:cs="Times New Roman"/>
        </w:rPr>
        <w:t>Our R</w:t>
      </w:r>
      <w:r w:rsidR="00AC011C">
        <w:rPr>
          <w:rFonts w:ascii="Cambria" w:eastAsia="Calibri" w:hAnsi="Cambria" w:cs="Times New Roman"/>
        </w:rPr>
        <w:t xml:space="preserve">eport found that Roma do not enjoy equal </w:t>
      </w:r>
      <w:r w:rsidR="00AC011C" w:rsidRPr="00205CCD">
        <w:rPr>
          <w:rFonts w:ascii="Cambria" w:eastAsia="Calibri" w:hAnsi="Cambria" w:cs="Times New Roman"/>
        </w:rPr>
        <w:t>access</w:t>
      </w:r>
      <w:r>
        <w:rPr>
          <w:rFonts w:ascii="Cambria" w:eastAsia="Calibri" w:hAnsi="Cambria" w:cs="Times New Roman"/>
        </w:rPr>
        <w:t xml:space="preserve"> to healthcare: a UN study found that in </w:t>
      </w:r>
      <w:r w:rsidR="00AC011C" w:rsidRPr="00205CCD">
        <w:rPr>
          <w:rFonts w:ascii="Cambria" w:eastAsia="Calibri" w:hAnsi="Cambria" w:cs="Times New Roman"/>
        </w:rPr>
        <w:t>65% of Roma with health issues in 2014 stated that they had hesitated to consult a doctor in the previous year, citing unaffordability and a lack of health insurance.</w:t>
      </w:r>
      <w:r w:rsidR="00AC011C">
        <w:rPr>
          <w:rFonts w:ascii="Cambria" w:eastAsia="Calibri" w:hAnsi="Cambria" w:cs="Times New Roman"/>
          <w:vertAlign w:val="superscript"/>
        </w:rPr>
        <w:footnoteReference w:id="64"/>
      </w:r>
      <w:r w:rsidR="00AC011C" w:rsidRPr="00205CCD">
        <w:rPr>
          <w:rFonts w:ascii="Cambria" w:eastAsia="Calibri" w:hAnsi="Cambria" w:cs="Times New Roman"/>
        </w:rPr>
        <w:t xml:space="preserve"> </w:t>
      </w:r>
      <w:r>
        <w:rPr>
          <w:rFonts w:ascii="Cambria" w:eastAsia="Calibri" w:hAnsi="Cambria" w:cs="Times New Roman"/>
        </w:rPr>
        <w:t>Our research also</w:t>
      </w:r>
      <w:r w:rsidR="00AC011C" w:rsidRPr="00205CCD">
        <w:rPr>
          <w:rFonts w:ascii="Cambria" w:eastAsia="Calibri" w:hAnsi="Cambria" w:cs="Times New Roman"/>
        </w:rPr>
        <w:t xml:space="preserve"> found evidence of poorer health outcomes for Roma than for non-Roma. A </w:t>
      </w:r>
      <w:r>
        <w:rPr>
          <w:rFonts w:ascii="Cambria" w:eastAsia="Calibri" w:hAnsi="Cambria" w:cs="Times New Roman"/>
        </w:rPr>
        <w:t>different UN study</w:t>
      </w:r>
      <w:r w:rsidR="00AC011C" w:rsidRPr="00205CCD">
        <w:rPr>
          <w:rFonts w:ascii="Cambria" w:eastAsia="Calibri" w:hAnsi="Cambria" w:cs="Times New Roman"/>
        </w:rPr>
        <w:t xml:space="preserve"> found significant differences in the self-assessment of health status between Roma and non-Roma in all age cohorts – for example, almost twice as many Roma (41%) as non-Roma (21%) aged 30-49 years stated that their health was bad or very bad.</w:t>
      </w:r>
      <w:r w:rsidR="00AC011C">
        <w:rPr>
          <w:rFonts w:ascii="Cambria" w:eastAsia="Calibri" w:hAnsi="Cambria" w:cs="Times New Roman"/>
          <w:vertAlign w:val="superscript"/>
        </w:rPr>
        <w:footnoteReference w:id="65"/>
      </w:r>
    </w:p>
    <w:p w14:paraId="57A81EF3" w14:textId="77777777" w:rsidR="00AC011C" w:rsidRDefault="00AC011C" w:rsidP="00896364">
      <w:pPr>
        <w:spacing w:after="0" w:line="240" w:lineRule="auto"/>
        <w:jc w:val="both"/>
        <w:rPr>
          <w:rFonts w:ascii="Cambria" w:eastAsia="Calibri" w:hAnsi="Cambria" w:cs="Times New Roman"/>
        </w:rPr>
      </w:pPr>
    </w:p>
    <w:p w14:paraId="67B82D43" w14:textId="77777777" w:rsidR="00353936" w:rsidRDefault="00C4602C" w:rsidP="00353936">
      <w:pPr>
        <w:numPr>
          <w:ilvl w:val="0"/>
          <w:numId w:val="1"/>
        </w:numPr>
        <w:spacing w:after="0" w:line="240" w:lineRule="auto"/>
        <w:jc w:val="both"/>
        <w:rPr>
          <w:rFonts w:ascii="Cambria" w:eastAsia="Calibri" w:hAnsi="Cambria" w:cs="Times New Roman"/>
        </w:rPr>
      </w:pPr>
      <w:r w:rsidRPr="00353936">
        <w:rPr>
          <w:rFonts w:ascii="Cambria" w:eastAsia="Calibri" w:hAnsi="Cambria" w:cs="Times New Roman"/>
        </w:rPr>
        <w:t xml:space="preserve">One barrier to the access of Roma to healthcare is that, </w:t>
      </w:r>
      <w:r w:rsidR="00353936" w:rsidRPr="00353936">
        <w:rPr>
          <w:rFonts w:ascii="Cambria" w:eastAsia="Calibri" w:hAnsi="Cambria" w:cs="Times New Roman"/>
        </w:rPr>
        <w:t>despite the existence of a</w:t>
      </w:r>
      <w:r w:rsidRPr="00353936">
        <w:rPr>
          <w:rFonts w:ascii="Cambria" w:eastAsia="Calibri" w:hAnsi="Cambria" w:cs="Times New Roman"/>
        </w:rPr>
        <w:t xml:space="preserve"> compulsory health insurance scheme</w:t>
      </w:r>
      <w:r w:rsidR="00353936" w:rsidRPr="00353936">
        <w:rPr>
          <w:rFonts w:ascii="Cambria" w:eastAsia="Calibri" w:hAnsi="Cambria" w:cs="Times New Roman"/>
        </w:rPr>
        <w:t>,</w:t>
      </w:r>
      <w:r w:rsidRPr="00353936">
        <w:rPr>
          <w:rFonts w:ascii="Cambria" w:eastAsia="Calibri" w:hAnsi="Cambria" w:cs="Times New Roman"/>
        </w:rPr>
        <w:t xml:space="preserve"> over 58% of Roma are not insured</w:t>
      </w:r>
      <w:r w:rsidR="00353936" w:rsidRPr="00353936">
        <w:rPr>
          <w:rFonts w:ascii="Cambria" w:eastAsia="Calibri" w:hAnsi="Cambria" w:cs="Times New Roman"/>
        </w:rPr>
        <w:t>,</w:t>
      </w:r>
      <w:r w:rsidRPr="00353936">
        <w:rPr>
          <w:rFonts w:ascii="Cambria" w:eastAsia="Calibri" w:hAnsi="Cambria" w:cs="Times New Roman"/>
        </w:rPr>
        <w:t xml:space="preserve"> compared with 24% of non-Roma.</w:t>
      </w:r>
      <w:r>
        <w:rPr>
          <w:rFonts w:ascii="Cambria" w:eastAsia="Calibri" w:hAnsi="Cambria" w:cs="Times New Roman"/>
          <w:vertAlign w:val="superscript"/>
        </w:rPr>
        <w:footnoteReference w:id="66"/>
      </w:r>
      <w:r w:rsidRPr="00353936">
        <w:rPr>
          <w:rFonts w:ascii="Cambria" w:eastAsia="Calibri" w:hAnsi="Cambria" w:cs="Times New Roman"/>
        </w:rPr>
        <w:t xml:space="preserve"> There is also evidence that Roma experience discrimination when seeking to access healthcare services.</w:t>
      </w:r>
      <w:r w:rsidR="00436B4D" w:rsidRPr="00353936">
        <w:rPr>
          <w:rFonts w:ascii="Cambria" w:eastAsia="Calibri" w:hAnsi="Cambria" w:cs="Times New Roman"/>
        </w:rPr>
        <w:t xml:space="preserve"> For example, the Trust received </w:t>
      </w:r>
      <w:r w:rsidRPr="00353936">
        <w:rPr>
          <w:rFonts w:ascii="Cambria" w:eastAsia="Calibri" w:hAnsi="Cambria" w:cs="Times New Roman"/>
        </w:rPr>
        <w:t xml:space="preserve">reports that emergency ambulance services have failed to respond to calls from Roma living in </w:t>
      </w:r>
      <w:r w:rsidR="00353936" w:rsidRPr="00353936">
        <w:rPr>
          <w:rFonts w:ascii="Cambria" w:eastAsia="Calibri" w:hAnsi="Cambria" w:cs="Times New Roman"/>
        </w:rPr>
        <w:t>certain</w:t>
      </w:r>
      <w:r w:rsidRPr="00353936">
        <w:rPr>
          <w:rFonts w:ascii="Cambria" w:eastAsia="Calibri" w:hAnsi="Cambria" w:cs="Times New Roman"/>
        </w:rPr>
        <w:t xml:space="preserve"> settlements, and that doctors have charged for providing services that fall under the insurance plan to Roma.</w:t>
      </w:r>
      <w:r>
        <w:rPr>
          <w:rFonts w:ascii="Cambria" w:eastAsia="Calibri" w:hAnsi="Cambria" w:cs="Times New Roman"/>
          <w:vertAlign w:val="superscript"/>
        </w:rPr>
        <w:footnoteReference w:id="67"/>
      </w:r>
      <w:r w:rsidRPr="00353936">
        <w:rPr>
          <w:rFonts w:ascii="Cambria" w:eastAsia="Calibri" w:hAnsi="Cambria" w:cs="Times New Roman"/>
        </w:rPr>
        <w:t xml:space="preserve"> </w:t>
      </w:r>
    </w:p>
    <w:p w14:paraId="1FAD4D24" w14:textId="77777777" w:rsidR="00353936" w:rsidRDefault="00353936" w:rsidP="00353936">
      <w:pPr>
        <w:spacing w:after="0" w:line="240" w:lineRule="auto"/>
        <w:ind w:left="567"/>
        <w:jc w:val="both"/>
        <w:rPr>
          <w:rFonts w:ascii="Cambria" w:eastAsia="Calibri" w:hAnsi="Cambria" w:cs="Times New Roman"/>
        </w:rPr>
      </w:pPr>
    </w:p>
    <w:p w14:paraId="567523D6" w14:textId="77777777" w:rsidR="00353936" w:rsidRPr="00353936" w:rsidRDefault="00353936" w:rsidP="00353936">
      <w:pPr>
        <w:numPr>
          <w:ilvl w:val="0"/>
          <w:numId w:val="1"/>
        </w:numPr>
        <w:spacing w:after="0" w:line="240" w:lineRule="auto"/>
        <w:jc w:val="both"/>
        <w:rPr>
          <w:rFonts w:ascii="Cambria" w:eastAsia="Calibri" w:hAnsi="Cambria" w:cs="Times New Roman"/>
        </w:rPr>
      </w:pPr>
      <w:r w:rsidRPr="00353936">
        <w:rPr>
          <w:rFonts w:ascii="Cambria" w:eastAsia="Calibri" w:hAnsi="Cambria" w:cs="Times New Roman"/>
        </w:rPr>
        <w:t xml:space="preserve">Our research also found evidence of discriminatory denial of health service based on stigma. For example, Vera, a 25-year old Roma woman, gave us the following account of a time when she tried to access healthcare services: </w:t>
      </w:r>
    </w:p>
    <w:p w14:paraId="66ECA6B3" w14:textId="77777777" w:rsidR="00353936" w:rsidRDefault="00353936" w:rsidP="00353936">
      <w:pPr>
        <w:spacing w:after="0" w:line="240" w:lineRule="auto"/>
        <w:jc w:val="both"/>
        <w:rPr>
          <w:rFonts w:ascii="Cambria" w:eastAsia="Calibri" w:hAnsi="Cambria" w:cs="Times New Roman"/>
        </w:rPr>
      </w:pPr>
    </w:p>
    <w:p w14:paraId="1FC418B1" w14:textId="77777777" w:rsidR="00353936" w:rsidRPr="00C4602C" w:rsidRDefault="00353936" w:rsidP="00353936">
      <w:pPr>
        <w:spacing w:after="0" w:line="240" w:lineRule="auto"/>
        <w:ind w:left="1418" w:right="855"/>
        <w:jc w:val="both"/>
        <w:rPr>
          <w:rFonts w:ascii="Cambria" w:eastAsia="Calibri" w:hAnsi="Cambria" w:cs="Times New Roman"/>
        </w:rPr>
      </w:pPr>
      <w:r w:rsidRPr="00C4602C">
        <w:rPr>
          <w:rFonts w:ascii="Cambria" w:eastAsia="Calibri" w:hAnsi="Cambria" w:cs="Times New Roman"/>
          <w:i/>
        </w:rPr>
        <w:t>[They said I had to wait] because we Gypsies smell bad, and they would need to refresh the room the whole day and that other patients feel very bad because of our smells. I was terribly offended and humiliated.</w:t>
      </w:r>
      <w:r w:rsidRPr="00353936">
        <w:rPr>
          <w:rFonts w:ascii="Cambria" w:eastAsia="Calibri" w:hAnsi="Cambria" w:cs="Times New Roman"/>
          <w:vertAlign w:val="superscript"/>
        </w:rPr>
        <w:footnoteReference w:id="68"/>
      </w:r>
    </w:p>
    <w:p w14:paraId="40F3F4D9" w14:textId="77777777" w:rsidR="00C4602C" w:rsidRDefault="00C4602C" w:rsidP="00896364">
      <w:pPr>
        <w:pStyle w:val="ListParagraph"/>
        <w:spacing w:after="0" w:line="240" w:lineRule="auto"/>
        <w:contextualSpacing w:val="0"/>
        <w:rPr>
          <w:rFonts w:ascii="Cambria" w:eastAsia="Calibri" w:hAnsi="Cambria" w:cs="Times New Roman"/>
        </w:rPr>
      </w:pPr>
    </w:p>
    <w:p w14:paraId="6A050BA9" w14:textId="77777777" w:rsidR="00565A3C" w:rsidRDefault="00C4602C" w:rsidP="00353936">
      <w:pPr>
        <w:numPr>
          <w:ilvl w:val="0"/>
          <w:numId w:val="1"/>
        </w:numPr>
        <w:spacing w:after="0" w:line="240" w:lineRule="auto"/>
        <w:jc w:val="both"/>
        <w:rPr>
          <w:rFonts w:ascii="Cambria" w:eastAsia="Calibri" w:hAnsi="Cambria" w:cs="Times New Roman"/>
        </w:rPr>
      </w:pPr>
      <w:r w:rsidRPr="00C4602C">
        <w:rPr>
          <w:rFonts w:ascii="Cambria" w:eastAsia="Calibri" w:hAnsi="Cambria" w:cs="Times New Roman"/>
        </w:rPr>
        <w:lastRenderedPageBreak/>
        <w:t>Roma women are particularly vulnerable to multiple discrimination in accessing healthcare. A</w:t>
      </w:r>
      <w:r>
        <w:rPr>
          <w:rFonts w:ascii="Cambria" w:eastAsia="Calibri" w:hAnsi="Cambria" w:cs="Times New Roman"/>
        </w:rPr>
        <w:t xml:space="preserve"> </w:t>
      </w:r>
      <w:r w:rsidRPr="00C4602C">
        <w:rPr>
          <w:rFonts w:ascii="Cambria" w:eastAsia="Calibri" w:hAnsi="Cambria" w:cs="Times New Roman"/>
        </w:rPr>
        <w:t>lack of jobs, lack of identity cards and birth certificates, long waiting times and discrimination from local authorities inhibit their access to healthcare.</w:t>
      </w:r>
      <w:r>
        <w:rPr>
          <w:rFonts w:ascii="Cambria" w:eastAsia="Calibri" w:hAnsi="Cambria" w:cs="Times New Roman"/>
          <w:vertAlign w:val="superscript"/>
        </w:rPr>
        <w:footnoteReference w:id="69"/>
      </w:r>
      <w:r w:rsidR="007D57DB">
        <w:rPr>
          <w:rFonts w:ascii="Cambria" w:eastAsia="Calibri" w:hAnsi="Cambria" w:cs="Times New Roman"/>
        </w:rPr>
        <w:t xml:space="preserve"> </w:t>
      </w:r>
      <w:r w:rsidR="00353936">
        <w:rPr>
          <w:rFonts w:ascii="Cambria" w:eastAsia="Calibri" w:hAnsi="Cambria" w:cs="Times New Roman"/>
        </w:rPr>
        <w:t xml:space="preserve"> </w:t>
      </w:r>
    </w:p>
    <w:p w14:paraId="5E9D42A3" w14:textId="77777777" w:rsidR="00353936" w:rsidRDefault="00353936" w:rsidP="00353936">
      <w:pPr>
        <w:spacing w:after="0" w:line="240" w:lineRule="auto"/>
        <w:ind w:left="567"/>
        <w:jc w:val="both"/>
        <w:rPr>
          <w:rFonts w:ascii="Cambria" w:eastAsia="Calibri" w:hAnsi="Cambria" w:cs="Times New Roman"/>
        </w:rPr>
      </w:pPr>
    </w:p>
    <w:p w14:paraId="521244CD" w14:textId="71E59D50" w:rsidR="00F00B1E" w:rsidRDefault="00353936" w:rsidP="00896364">
      <w:pPr>
        <w:numPr>
          <w:ilvl w:val="0"/>
          <w:numId w:val="1"/>
        </w:numPr>
        <w:spacing w:after="0" w:line="240" w:lineRule="auto"/>
        <w:jc w:val="both"/>
        <w:rPr>
          <w:rFonts w:ascii="Cambria" w:eastAsia="Calibri" w:hAnsi="Cambria" w:cs="Times New Roman"/>
        </w:rPr>
      </w:pPr>
      <w:r>
        <w:rPr>
          <w:rFonts w:ascii="Cambria" w:eastAsia="Calibri" w:hAnsi="Cambria" w:cs="Times New Roman"/>
        </w:rPr>
        <w:t xml:space="preserve">All of this said, </w:t>
      </w:r>
      <w:r w:rsidR="00AC011C">
        <w:rPr>
          <w:rFonts w:ascii="Cambria" w:eastAsia="Calibri" w:hAnsi="Cambria" w:cs="Times New Roman"/>
        </w:rPr>
        <w:t xml:space="preserve">Moldova has made </w:t>
      </w:r>
      <w:r w:rsidR="00C4602C">
        <w:rPr>
          <w:rFonts w:ascii="Cambria" w:eastAsia="Calibri" w:hAnsi="Cambria" w:cs="Times New Roman"/>
        </w:rPr>
        <w:t xml:space="preserve">welcome </w:t>
      </w:r>
      <w:r w:rsidR="00AC011C">
        <w:rPr>
          <w:rFonts w:ascii="Cambria" w:eastAsia="Calibri" w:hAnsi="Cambria" w:cs="Times New Roman"/>
        </w:rPr>
        <w:t>efforts to address this problem, for example, under the</w:t>
      </w:r>
      <w:r w:rsidR="00A9119C">
        <w:rPr>
          <w:rFonts w:ascii="Cambria" w:eastAsia="Calibri" w:hAnsi="Cambria" w:cs="Times New Roman"/>
        </w:rPr>
        <w:t xml:space="preserve"> Roma Action Plan</w:t>
      </w:r>
      <w:r w:rsidR="00C4602C">
        <w:rPr>
          <w:rFonts w:ascii="Cambria" w:eastAsia="Calibri" w:hAnsi="Cambria" w:cs="Times New Roman"/>
        </w:rPr>
        <w:t xml:space="preserve">, </w:t>
      </w:r>
      <w:r w:rsidR="00F00B1E" w:rsidRPr="00205CCD">
        <w:rPr>
          <w:rFonts w:ascii="Cambria" w:eastAsia="Calibri" w:hAnsi="Cambria" w:cs="Times New Roman"/>
        </w:rPr>
        <w:t>the Ministry of Health developed and retained oversight of a Sector Action Plan (2012-2015) to support the Roma population in its access to healthcare. This involved the sending out of mobile teams to localities to increase the accessibility of healthcare services, to increase the quality of medical services, and to educate young people on how to lead a healthy lifestyle.</w:t>
      </w:r>
      <w:r w:rsidR="00F00B1E">
        <w:rPr>
          <w:rFonts w:ascii="Cambria" w:eastAsia="Calibri" w:hAnsi="Cambria" w:cs="Times New Roman"/>
          <w:vertAlign w:val="superscript"/>
        </w:rPr>
        <w:footnoteReference w:id="70"/>
      </w:r>
      <w:r w:rsidR="00F00B1E" w:rsidRPr="00205CCD">
        <w:rPr>
          <w:rFonts w:ascii="Cambria" w:eastAsia="Calibri" w:hAnsi="Cambria" w:cs="Times New Roman"/>
        </w:rPr>
        <w:t xml:space="preserve"> </w:t>
      </w:r>
      <w:r w:rsidR="00C4602C">
        <w:rPr>
          <w:rFonts w:ascii="Cambria" w:eastAsia="Calibri" w:hAnsi="Cambria" w:cs="Times New Roman"/>
        </w:rPr>
        <w:t xml:space="preserve">The Trust encourages such efforts and welcomes evidence on the effectiveness of the Sector Action Plan. </w:t>
      </w:r>
    </w:p>
    <w:p w14:paraId="618BB169" w14:textId="77777777" w:rsidR="002F5D19" w:rsidRDefault="002F5D19" w:rsidP="002F5D19">
      <w:pPr>
        <w:spacing w:after="0" w:line="240" w:lineRule="auto"/>
        <w:jc w:val="both"/>
        <w:rPr>
          <w:rFonts w:ascii="Cambria" w:eastAsia="Calibri" w:hAnsi="Cambria" w:cs="Times New Roman"/>
          <w:u w:val="single"/>
        </w:rPr>
      </w:pPr>
    </w:p>
    <w:p w14:paraId="0A401588" w14:textId="2119457E" w:rsidR="002F5D19" w:rsidRPr="00205CCD" w:rsidRDefault="002F5D19" w:rsidP="002F5D19">
      <w:pPr>
        <w:spacing w:after="0" w:line="240" w:lineRule="auto"/>
        <w:jc w:val="both"/>
        <w:rPr>
          <w:rFonts w:ascii="Cambria" w:eastAsia="Calibri" w:hAnsi="Cambria" w:cs="Times New Roman"/>
          <w:u w:val="single"/>
        </w:rPr>
      </w:pPr>
      <w:r w:rsidRPr="00205CCD">
        <w:rPr>
          <w:rFonts w:ascii="Cambria" w:eastAsia="Calibri" w:hAnsi="Cambria" w:cs="Times New Roman"/>
          <w:u w:val="single"/>
        </w:rPr>
        <w:t xml:space="preserve">Access to healthcare for persons with disabilities </w:t>
      </w:r>
    </w:p>
    <w:p w14:paraId="5786BF79" w14:textId="77777777" w:rsidR="002F5D19" w:rsidRPr="00205CCD" w:rsidRDefault="002F5D19" w:rsidP="002F5D19">
      <w:pPr>
        <w:spacing w:after="0" w:line="240" w:lineRule="auto"/>
        <w:jc w:val="both"/>
        <w:rPr>
          <w:rFonts w:ascii="Cambria" w:eastAsia="Calibri" w:hAnsi="Cambria" w:cs="Times New Roman"/>
          <w:i/>
        </w:rPr>
      </w:pPr>
    </w:p>
    <w:p w14:paraId="676C6038" w14:textId="77777777" w:rsidR="002F5D19" w:rsidRPr="007D57DB" w:rsidRDefault="002F5D19" w:rsidP="002F5D19">
      <w:pPr>
        <w:numPr>
          <w:ilvl w:val="0"/>
          <w:numId w:val="1"/>
        </w:numPr>
        <w:spacing w:after="0" w:line="240" w:lineRule="auto"/>
        <w:jc w:val="both"/>
        <w:rPr>
          <w:rFonts w:ascii="Cambria" w:eastAsia="Calibri" w:hAnsi="Cambria" w:cs="Times New Roman"/>
        </w:rPr>
      </w:pPr>
      <w:r>
        <w:rPr>
          <w:rFonts w:ascii="Cambria" w:eastAsia="Calibri" w:hAnsi="Cambria" w:cs="Times New Roman"/>
        </w:rPr>
        <w:t>Discrimination against persons with disabilities in accessing medical and health services is expressly prohibited under law,</w:t>
      </w:r>
      <w:r>
        <w:rPr>
          <w:rFonts w:ascii="Cambria" w:eastAsia="Calibri" w:hAnsi="Cambria" w:cs="Times New Roman"/>
          <w:vertAlign w:val="superscript"/>
        </w:rPr>
        <w:footnoteReference w:id="71"/>
      </w:r>
      <w:r w:rsidRPr="00205CCD">
        <w:rPr>
          <w:rFonts w:ascii="Cambria" w:eastAsia="Calibri" w:hAnsi="Cambria" w:cs="Times New Roman"/>
        </w:rPr>
        <w:t xml:space="preserve"> </w:t>
      </w:r>
      <w:r>
        <w:rPr>
          <w:rFonts w:ascii="Cambria" w:eastAsia="Calibri" w:hAnsi="Cambria" w:cs="Times New Roman"/>
        </w:rPr>
        <w:t>and a</w:t>
      </w:r>
      <w:r w:rsidRPr="00205CCD">
        <w:rPr>
          <w:rFonts w:ascii="Cambria" w:eastAsia="Calibri" w:hAnsi="Cambria" w:cs="Times New Roman"/>
        </w:rPr>
        <w:t>ll persons with disabilities are issued free medical insurance under the Law on Mandatory Medical Health Insurance.</w:t>
      </w:r>
      <w:r>
        <w:rPr>
          <w:rFonts w:ascii="Cambria" w:eastAsia="Calibri" w:hAnsi="Cambria" w:cs="Times New Roman"/>
          <w:vertAlign w:val="superscript"/>
        </w:rPr>
        <w:footnoteReference w:id="72"/>
      </w:r>
      <w:r>
        <w:rPr>
          <w:rFonts w:ascii="Cambria" w:eastAsia="Calibri" w:hAnsi="Cambria" w:cs="Times New Roman"/>
        </w:rPr>
        <w:t xml:space="preserve"> However, </w:t>
      </w:r>
      <w:r w:rsidRPr="007D57DB">
        <w:rPr>
          <w:rFonts w:ascii="Cambria" w:eastAsia="Calibri" w:hAnsi="Cambria" w:cs="Times New Roman"/>
        </w:rPr>
        <w:t>persons with disabilit</w:t>
      </w:r>
      <w:r>
        <w:rPr>
          <w:rFonts w:ascii="Cambria" w:eastAsia="Calibri" w:hAnsi="Cambria" w:cs="Times New Roman"/>
        </w:rPr>
        <w:t xml:space="preserve">y </w:t>
      </w:r>
      <w:r w:rsidRPr="007D57DB">
        <w:rPr>
          <w:rFonts w:ascii="Cambria" w:eastAsia="Calibri" w:hAnsi="Cambria" w:cs="Times New Roman"/>
        </w:rPr>
        <w:t>remain at a disadvantage when seeking to access healthcare services</w:t>
      </w:r>
      <w:r w:rsidRPr="004B09B0">
        <w:rPr>
          <w:rFonts w:ascii="Cambria" w:eastAsia="Calibri" w:hAnsi="Cambria" w:cs="Times New Roman"/>
        </w:rPr>
        <w:t xml:space="preserve"> </w:t>
      </w:r>
      <w:r w:rsidRPr="007D57DB">
        <w:rPr>
          <w:rFonts w:ascii="Cambria" w:eastAsia="Calibri" w:hAnsi="Cambria" w:cs="Times New Roman"/>
        </w:rPr>
        <w:t>whether in relation to their disability or otherwise.</w:t>
      </w:r>
      <w:r>
        <w:rPr>
          <w:rFonts w:ascii="Cambria" w:eastAsia="Calibri" w:hAnsi="Cambria" w:cs="Times New Roman"/>
          <w:vertAlign w:val="superscript"/>
        </w:rPr>
        <w:footnoteReference w:id="73"/>
      </w:r>
      <w:r w:rsidRPr="007D57DB">
        <w:rPr>
          <w:rFonts w:ascii="Cambria" w:eastAsia="Calibri" w:hAnsi="Cambria" w:cs="Times New Roman"/>
        </w:rPr>
        <w:t xml:space="preserve"> </w:t>
      </w:r>
    </w:p>
    <w:p w14:paraId="43B42753" w14:textId="77777777" w:rsidR="002F5D19" w:rsidRPr="00205CCD" w:rsidRDefault="002F5D19" w:rsidP="002F5D19">
      <w:pPr>
        <w:spacing w:after="0" w:line="240" w:lineRule="auto"/>
        <w:ind w:left="567"/>
        <w:jc w:val="both"/>
        <w:rPr>
          <w:rFonts w:ascii="Cambria" w:eastAsia="Calibri" w:hAnsi="Cambria" w:cs="Times New Roman"/>
        </w:rPr>
      </w:pPr>
    </w:p>
    <w:p w14:paraId="715572F7" w14:textId="77777777" w:rsidR="002F5D19" w:rsidRPr="00205CCD" w:rsidRDefault="002F5D19" w:rsidP="002F5D19">
      <w:pPr>
        <w:numPr>
          <w:ilvl w:val="0"/>
          <w:numId w:val="1"/>
        </w:numPr>
        <w:spacing w:after="0" w:line="240" w:lineRule="auto"/>
        <w:jc w:val="both"/>
        <w:rPr>
          <w:rFonts w:ascii="Cambria" w:eastAsia="Calibri" w:hAnsi="Cambria" w:cs="Times New Roman"/>
        </w:rPr>
      </w:pPr>
      <w:r>
        <w:rPr>
          <w:rFonts w:ascii="Cambria" w:eastAsia="Calibri" w:hAnsi="Cambria" w:cs="Times New Roman"/>
        </w:rPr>
        <w:t>Focus</w:t>
      </w:r>
      <w:r w:rsidRPr="00205CCD">
        <w:rPr>
          <w:rFonts w:ascii="Cambria" w:eastAsia="Calibri" w:hAnsi="Cambria" w:cs="Times New Roman"/>
        </w:rPr>
        <w:t xml:space="preserve"> group</w:t>
      </w:r>
      <w:r>
        <w:rPr>
          <w:rFonts w:ascii="Cambria" w:eastAsia="Calibri" w:hAnsi="Cambria" w:cs="Times New Roman"/>
        </w:rPr>
        <w:t>s</w:t>
      </w:r>
      <w:r w:rsidRPr="00205CCD">
        <w:rPr>
          <w:rFonts w:ascii="Cambria" w:eastAsia="Calibri" w:hAnsi="Cambria" w:cs="Times New Roman"/>
        </w:rPr>
        <w:t xml:space="preserve"> </w:t>
      </w:r>
      <w:r>
        <w:rPr>
          <w:rFonts w:ascii="Cambria" w:eastAsia="Calibri" w:hAnsi="Cambria" w:cs="Times New Roman"/>
        </w:rPr>
        <w:t>conducted by the Trust revealed that persons with disabilities experience discrimination from medical staff.</w:t>
      </w:r>
      <w:r>
        <w:rPr>
          <w:rStyle w:val="FootnoteReference"/>
          <w:rFonts w:ascii="Cambria" w:eastAsia="Calibri" w:hAnsi="Cambria" w:cs="Times New Roman"/>
        </w:rPr>
        <w:footnoteReference w:id="74"/>
      </w:r>
      <w:r>
        <w:rPr>
          <w:rFonts w:ascii="Cambria" w:eastAsia="Calibri" w:hAnsi="Cambria" w:cs="Times New Roman"/>
        </w:rPr>
        <w:t xml:space="preserve"> Our findings are corroborated by those from others, such as </w:t>
      </w:r>
      <w:r w:rsidRPr="00205CCD">
        <w:rPr>
          <w:rFonts w:ascii="Cambria" w:eastAsia="Calibri" w:hAnsi="Cambria" w:cs="Times New Roman"/>
        </w:rPr>
        <w:t xml:space="preserve">a </w:t>
      </w:r>
      <w:r>
        <w:rPr>
          <w:rFonts w:ascii="Cambria" w:eastAsia="Calibri" w:hAnsi="Cambria" w:cs="Times New Roman"/>
        </w:rPr>
        <w:t xml:space="preserve">2013 </w:t>
      </w:r>
      <w:r w:rsidRPr="00205CCD">
        <w:rPr>
          <w:rFonts w:ascii="Cambria" w:eastAsia="Calibri" w:hAnsi="Cambria" w:cs="Times New Roman"/>
        </w:rPr>
        <w:t xml:space="preserve">study by Association “Motivatie” 3, </w:t>
      </w:r>
      <w:r>
        <w:rPr>
          <w:rFonts w:ascii="Cambria" w:eastAsia="Calibri" w:hAnsi="Cambria" w:cs="Times New Roman"/>
        </w:rPr>
        <w:t xml:space="preserve">which found that </w:t>
      </w:r>
      <w:r w:rsidRPr="00205CCD">
        <w:rPr>
          <w:rFonts w:ascii="Cambria" w:eastAsia="Calibri" w:hAnsi="Cambria" w:cs="Times New Roman"/>
        </w:rPr>
        <w:t>prejudice from healthcare professionals and a lack of reasonable accommodation impedes access to healthcare.</w:t>
      </w:r>
      <w:r>
        <w:rPr>
          <w:rFonts w:ascii="Cambria" w:eastAsia="Calibri" w:hAnsi="Cambria" w:cs="Times New Roman"/>
          <w:vertAlign w:val="superscript"/>
        </w:rPr>
        <w:footnoteReference w:id="75"/>
      </w:r>
    </w:p>
    <w:p w14:paraId="7628696F" w14:textId="77777777" w:rsidR="002F5D19" w:rsidRPr="00205CCD" w:rsidRDefault="002F5D19" w:rsidP="002F5D19">
      <w:pPr>
        <w:spacing w:after="0" w:line="240" w:lineRule="auto"/>
        <w:ind w:left="567"/>
        <w:jc w:val="both"/>
        <w:rPr>
          <w:rFonts w:ascii="Cambria" w:eastAsia="Calibri" w:hAnsi="Cambria" w:cs="Times New Roman"/>
        </w:rPr>
      </w:pPr>
    </w:p>
    <w:p w14:paraId="0761C356" w14:textId="77777777" w:rsidR="002F5D19" w:rsidRPr="004A1C49" w:rsidRDefault="002F5D19" w:rsidP="002F5D19">
      <w:pPr>
        <w:numPr>
          <w:ilvl w:val="0"/>
          <w:numId w:val="1"/>
        </w:numPr>
        <w:spacing w:after="0" w:line="240" w:lineRule="auto"/>
        <w:jc w:val="both"/>
        <w:rPr>
          <w:rFonts w:ascii="Cambria" w:eastAsia="Calibri" w:hAnsi="Cambria" w:cs="Times New Roman"/>
        </w:rPr>
      </w:pPr>
      <w:r>
        <w:rPr>
          <w:rFonts w:ascii="Cambria" w:eastAsia="Calibri" w:hAnsi="Cambria" w:cs="Times New Roman"/>
        </w:rPr>
        <w:t>Our</w:t>
      </w:r>
      <w:r w:rsidRPr="00205CCD">
        <w:rPr>
          <w:rFonts w:ascii="Cambria" w:eastAsia="Calibri" w:hAnsi="Cambria" w:cs="Times New Roman"/>
        </w:rPr>
        <w:t xml:space="preserve"> Report highlights </w:t>
      </w:r>
      <w:r>
        <w:rPr>
          <w:rFonts w:ascii="Cambria" w:eastAsia="Calibri" w:hAnsi="Cambria" w:cs="Times New Roman"/>
        </w:rPr>
        <w:t xml:space="preserve">the multiple discrimination faced by women with disabilities who face particular problems in accessing healthcare. For example, pre-natal healthcare is not accessible for pregnant women with disabilities as </w:t>
      </w:r>
      <w:r w:rsidRPr="004A1C49">
        <w:rPr>
          <w:rFonts w:ascii="Cambria" w:eastAsia="Calibri" w:hAnsi="Cambria" w:cs="Times New Roman"/>
        </w:rPr>
        <w:t>while some hospitals have access ramps,</w:t>
      </w:r>
      <w:r>
        <w:rPr>
          <w:rFonts w:ascii="Cambria" w:eastAsia="Calibri" w:hAnsi="Cambria" w:cs="Times New Roman"/>
        </w:rPr>
        <w:t xml:space="preserve"> </w:t>
      </w:r>
      <w:r w:rsidRPr="004A1C49">
        <w:rPr>
          <w:rFonts w:ascii="Cambria" w:eastAsia="Calibri" w:hAnsi="Cambria" w:cs="Times New Roman"/>
        </w:rPr>
        <w:t>the majority of medical institutions do not have adapted consultation and delivery</w:t>
      </w:r>
      <w:r>
        <w:rPr>
          <w:rFonts w:ascii="Cambria" w:eastAsia="Calibri" w:hAnsi="Cambria" w:cs="Times New Roman"/>
        </w:rPr>
        <w:t xml:space="preserve"> </w:t>
      </w:r>
      <w:r w:rsidRPr="004A1C49">
        <w:rPr>
          <w:rFonts w:ascii="Cambria" w:eastAsia="Calibri" w:hAnsi="Cambria" w:cs="Times New Roman"/>
        </w:rPr>
        <w:t>rooms, examination chairs or delivery tables</w:t>
      </w:r>
      <w:r>
        <w:rPr>
          <w:rFonts w:ascii="Cambria" w:eastAsia="Calibri" w:hAnsi="Cambria" w:cs="Times New Roman"/>
        </w:rPr>
        <w:t>.</w:t>
      </w:r>
      <w:r>
        <w:rPr>
          <w:rStyle w:val="FootnoteReference"/>
          <w:rFonts w:ascii="Cambria" w:eastAsia="Calibri" w:hAnsi="Cambria" w:cs="Times New Roman"/>
        </w:rPr>
        <w:footnoteReference w:id="76"/>
      </w:r>
      <w:r>
        <w:rPr>
          <w:rFonts w:ascii="Cambria" w:eastAsia="Calibri" w:hAnsi="Cambria" w:cs="Times New Roman"/>
        </w:rPr>
        <w:t xml:space="preserve"> </w:t>
      </w:r>
      <w:r w:rsidRPr="004A1C49">
        <w:rPr>
          <w:rFonts w:ascii="Cambria" w:eastAsia="Calibri" w:hAnsi="Cambria" w:cs="Times New Roman"/>
        </w:rPr>
        <w:t>Mariana, a woman interviewed by the Equal Rights Trust, told our researchers that she was advised by a gynaecologist that “in case you get pregnant, I will not register you – I do not want such statistics.”</w:t>
      </w:r>
      <w:r>
        <w:rPr>
          <w:rFonts w:ascii="Cambria" w:eastAsia="Calibri" w:hAnsi="Cambria" w:cs="Times New Roman"/>
          <w:vertAlign w:val="superscript"/>
        </w:rPr>
        <w:footnoteReference w:id="77"/>
      </w:r>
    </w:p>
    <w:p w14:paraId="10D0ECA4" w14:textId="77777777" w:rsidR="002F5D19" w:rsidRPr="00205CCD" w:rsidRDefault="002F5D19" w:rsidP="002F5D19">
      <w:pPr>
        <w:spacing w:after="0" w:line="240" w:lineRule="auto"/>
        <w:ind w:left="567"/>
        <w:jc w:val="both"/>
        <w:rPr>
          <w:rFonts w:ascii="Cambria" w:eastAsia="Calibri" w:hAnsi="Cambria" w:cs="Times New Roman"/>
        </w:rPr>
      </w:pPr>
    </w:p>
    <w:p w14:paraId="25929BB6" w14:textId="77777777" w:rsidR="00F00B1E" w:rsidRPr="00205CCD" w:rsidRDefault="00F00B1E" w:rsidP="00896364">
      <w:pPr>
        <w:spacing w:after="0" w:line="240" w:lineRule="auto"/>
        <w:jc w:val="both"/>
        <w:rPr>
          <w:rFonts w:ascii="Cambria" w:eastAsia="Calibri" w:hAnsi="Cambria" w:cs="Times New Roman"/>
          <w:u w:val="single"/>
        </w:rPr>
      </w:pPr>
    </w:p>
    <w:p w14:paraId="046C6020" w14:textId="77777777" w:rsidR="00F00B1E" w:rsidRPr="00205CCD" w:rsidRDefault="00F00B1E" w:rsidP="00896364">
      <w:pPr>
        <w:spacing w:after="0" w:line="240" w:lineRule="auto"/>
        <w:jc w:val="both"/>
        <w:rPr>
          <w:rFonts w:ascii="Cambria" w:eastAsia="Calibri" w:hAnsi="Cambria" w:cs="Times New Roman"/>
          <w:u w:val="single"/>
        </w:rPr>
      </w:pPr>
      <w:r w:rsidRPr="00205CCD">
        <w:rPr>
          <w:rFonts w:ascii="Cambria" w:eastAsia="Calibri" w:hAnsi="Cambria" w:cs="Times New Roman"/>
          <w:u w:val="single"/>
        </w:rPr>
        <w:lastRenderedPageBreak/>
        <w:t xml:space="preserve">Access to healthcare for persons living with HIV </w:t>
      </w:r>
    </w:p>
    <w:p w14:paraId="4CB06F49" w14:textId="77777777" w:rsidR="00F00B1E" w:rsidRPr="00205CCD" w:rsidRDefault="00F00B1E" w:rsidP="00896364">
      <w:pPr>
        <w:spacing w:after="0" w:line="240" w:lineRule="auto"/>
        <w:jc w:val="both"/>
        <w:rPr>
          <w:rFonts w:ascii="Cambria" w:eastAsia="Calibri" w:hAnsi="Cambria" w:cs="Times New Roman"/>
          <w:i/>
        </w:rPr>
      </w:pPr>
    </w:p>
    <w:p w14:paraId="27AA1E2F" w14:textId="678594F9" w:rsidR="00F00B1E" w:rsidRPr="00205CCD" w:rsidRDefault="00436B4D" w:rsidP="00896364">
      <w:pPr>
        <w:numPr>
          <w:ilvl w:val="0"/>
          <w:numId w:val="1"/>
        </w:numPr>
        <w:spacing w:after="0" w:line="240" w:lineRule="auto"/>
        <w:jc w:val="both"/>
        <w:rPr>
          <w:rFonts w:ascii="Cambria" w:eastAsia="Calibri" w:hAnsi="Cambria" w:cs="Times New Roman"/>
          <w:i/>
        </w:rPr>
      </w:pPr>
      <w:r>
        <w:rPr>
          <w:rFonts w:ascii="Cambria" w:eastAsia="Calibri" w:hAnsi="Cambria" w:cs="Times New Roman"/>
        </w:rPr>
        <w:t>Despite legal protections against discrimination</w:t>
      </w:r>
      <w:r w:rsidR="00353936">
        <w:rPr>
          <w:rFonts w:ascii="Cambria" w:eastAsia="Calibri" w:hAnsi="Cambria" w:cs="Times New Roman"/>
        </w:rPr>
        <w:t xml:space="preserve"> on the basis</w:t>
      </w:r>
      <w:r>
        <w:rPr>
          <w:rFonts w:ascii="Cambria" w:eastAsia="Calibri" w:hAnsi="Cambria" w:cs="Times New Roman"/>
        </w:rPr>
        <w:t xml:space="preserve"> HIV status in accessing healthcare, </w:t>
      </w:r>
      <w:r w:rsidR="00353936">
        <w:rPr>
          <w:rFonts w:ascii="Cambria" w:eastAsia="Calibri" w:hAnsi="Cambria" w:cs="Times New Roman"/>
        </w:rPr>
        <w:t xml:space="preserve">there are persistent </w:t>
      </w:r>
      <w:r>
        <w:rPr>
          <w:rFonts w:ascii="Cambria" w:eastAsia="Calibri" w:hAnsi="Cambria" w:cs="Times New Roman"/>
        </w:rPr>
        <w:t xml:space="preserve">reports of </w:t>
      </w:r>
      <w:r w:rsidR="00EC678C">
        <w:rPr>
          <w:rFonts w:ascii="Cambria" w:eastAsia="Calibri" w:hAnsi="Cambria" w:cs="Times New Roman"/>
        </w:rPr>
        <w:t xml:space="preserve">people living with HIV </w:t>
      </w:r>
      <w:r>
        <w:rPr>
          <w:rFonts w:ascii="Cambria" w:eastAsia="Calibri" w:hAnsi="Cambria" w:cs="Times New Roman"/>
        </w:rPr>
        <w:t>being refused medical treatment and facing other discrimination in accessing healthcare. T</w:t>
      </w:r>
      <w:r w:rsidR="00F00B1E" w:rsidRPr="00205CCD">
        <w:rPr>
          <w:rFonts w:ascii="Cambria" w:eastAsia="Calibri" w:hAnsi="Cambria" w:cs="Times New Roman"/>
        </w:rPr>
        <w:t xml:space="preserve">here is significant evidence to suggest stigmatization, </w:t>
      </w:r>
      <w:r w:rsidR="00893754">
        <w:rPr>
          <w:rFonts w:ascii="Cambria" w:eastAsia="Calibri" w:hAnsi="Cambria" w:cs="Times New Roman"/>
        </w:rPr>
        <w:t>and</w:t>
      </w:r>
      <w:r w:rsidR="00F00B1E" w:rsidRPr="00205CCD">
        <w:rPr>
          <w:rFonts w:ascii="Cambria" w:eastAsia="Calibri" w:hAnsi="Cambria" w:cs="Times New Roman"/>
        </w:rPr>
        <w:t xml:space="preserve"> discrimination by health institutions and </w:t>
      </w:r>
      <w:r w:rsidR="00893754">
        <w:rPr>
          <w:rFonts w:ascii="Cambria" w:eastAsia="Calibri" w:hAnsi="Cambria" w:cs="Times New Roman"/>
        </w:rPr>
        <w:t xml:space="preserve">healthcare </w:t>
      </w:r>
      <w:r w:rsidR="00F00B1E" w:rsidRPr="00205CCD">
        <w:rPr>
          <w:rFonts w:ascii="Cambria" w:eastAsia="Calibri" w:hAnsi="Cambria" w:cs="Times New Roman"/>
        </w:rPr>
        <w:t>professionals in their provision of healthcare services to HIV-positive patients.</w:t>
      </w:r>
      <w:r w:rsidR="00893754">
        <w:rPr>
          <w:rStyle w:val="FootnoteReference"/>
          <w:rFonts w:ascii="Cambria" w:eastAsia="Calibri" w:hAnsi="Cambria" w:cs="Times New Roman"/>
        </w:rPr>
        <w:footnoteReference w:id="78"/>
      </w:r>
      <w:r w:rsidR="00F00B1E" w:rsidRPr="00205CCD">
        <w:rPr>
          <w:rFonts w:ascii="Cambria" w:eastAsia="Calibri" w:hAnsi="Cambria" w:cs="Times New Roman"/>
        </w:rPr>
        <w:t xml:space="preserve"> </w:t>
      </w:r>
    </w:p>
    <w:p w14:paraId="4454C2AC" w14:textId="77777777" w:rsidR="00F00B1E" w:rsidRPr="00205CCD" w:rsidRDefault="00F00B1E" w:rsidP="00896364">
      <w:pPr>
        <w:spacing w:after="0" w:line="240" w:lineRule="auto"/>
        <w:ind w:left="567"/>
        <w:jc w:val="both"/>
        <w:rPr>
          <w:rFonts w:ascii="Cambria" w:eastAsia="Calibri" w:hAnsi="Cambria" w:cs="Times New Roman"/>
          <w:i/>
        </w:rPr>
      </w:pPr>
    </w:p>
    <w:p w14:paraId="02BD12E9" w14:textId="77777777" w:rsidR="00E62205" w:rsidRDefault="00F00B1E" w:rsidP="00896364">
      <w:pPr>
        <w:numPr>
          <w:ilvl w:val="0"/>
          <w:numId w:val="1"/>
        </w:numPr>
        <w:spacing w:after="0" w:line="240" w:lineRule="auto"/>
        <w:jc w:val="both"/>
        <w:rPr>
          <w:rFonts w:ascii="Cambria" w:eastAsia="Calibri" w:hAnsi="Cambria" w:cs="Times New Roman"/>
          <w:i/>
        </w:rPr>
      </w:pPr>
      <w:r w:rsidRPr="00205CCD">
        <w:rPr>
          <w:rFonts w:ascii="Cambria" w:eastAsia="Calibri" w:hAnsi="Cambria" w:cs="Times New Roman"/>
        </w:rPr>
        <w:t xml:space="preserve">Researchers from the Soros Foundation </w:t>
      </w:r>
      <w:r w:rsidR="00425009">
        <w:rPr>
          <w:rFonts w:ascii="Cambria" w:eastAsia="Calibri" w:hAnsi="Cambria" w:cs="Times New Roman"/>
        </w:rPr>
        <w:t>documented</w:t>
      </w:r>
      <w:r w:rsidRPr="00205CCD">
        <w:rPr>
          <w:rFonts w:ascii="Cambria" w:eastAsia="Calibri" w:hAnsi="Cambria" w:cs="Times New Roman"/>
        </w:rPr>
        <w:t xml:space="preserve"> cases of doctors refusing to perform surgery on </w:t>
      </w:r>
      <w:r w:rsidR="00EC678C">
        <w:rPr>
          <w:rFonts w:ascii="Cambria" w:eastAsia="Calibri" w:hAnsi="Cambria" w:cs="Times New Roman"/>
        </w:rPr>
        <w:t>people living with HIV</w:t>
      </w:r>
      <w:r w:rsidR="00EC678C" w:rsidRPr="00C719DC">
        <w:rPr>
          <w:rFonts w:ascii="Cambria" w:eastAsia="Calibri" w:hAnsi="Cambria" w:cs="Times New Roman"/>
        </w:rPr>
        <w:t xml:space="preserve"> </w:t>
      </w:r>
      <w:r w:rsidRPr="00205CCD">
        <w:rPr>
          <w:rFonts w:ascii="Cambria" w:eastAsia="Calibri" w:hAnsi="Cambria" w:cs="Times New Roman"/>
        </w:rPr>
        <w:t>after they revealed their health status to medical staff.</w:t>
      </w:r>
      <w:r>
        <w:rPr>
          <w:rFonts w:ascii="Cambria" w:eastAsia="Calibri" w:hAnsi="Cambria" w:cs="Times New Roman"/>
          <w:vertAlign w:val="superscript"/>
        </w:rPr>
        <w:footnoteReference w:id="79"/>
      </w:r>
      <w:r w:rsidRPr="00205CCD">
        <w:rPr>
          <w:rFonts w:ascii="Cambria" w:eastAsia="Calibri" w:hAnsi="Cambria" w:cs="Times New Roman"/>
        </w:rPr>
        <w:t xml:space="preserve"> This </w:t>
      </w:r>
      <w:r w:rsidR="00425009">
        <w:rPr>
          <w:rFonts w:ascii="Cambria" w:eastAsia="Calibri" w:hAnsi="Cambria" w:cs="Times New Roman"/>
        </w:rPr>
        <w:t>was</w:t>
      </w:r>
      <w:r w:rsidRPr="00205CCD">
        <w:rPr>
          <w:rFonts w:ascii="Cambria" w:eastAsia="Calibri" w:hAnsi="Cambria" w:cs="Times New Roman"/>
        </w:rPr>
        <w:t xml:space="preserve"> corroborated by the test</w:t>
      </w:r>
      <w:r w:rsidR="00425009">
        <w:rPr>
          <w:rFonts w:ascii="Cambria" w:eastAsia="Calibri" w:hAnsi="Cambria" w:cs="Times New Roman"/>
        </w:rPr>
        <w:t xml:space="preserve">imonies gathered by the Trust; </w:t>
      </w:r>
      <w:r w:rsidRPr="00205CCD">
        <w:rPr>
          <w:rFonts w:ascii="Cambria" w:eastAsia="Calibri" w:hAnsi="Cambria" w:cs="Times New Roman"/>
        </w:rPr>
        <w:t>one person interviewed in Bălți city shared the following account:</w:t>
      </w:r>
    </w:p>
    <w:p w14:paraId="2A8B20A1" w14:textId="77777777" w:rsidR="007D57DB" w:rsidRDefault="007D57DB" w:rsidP="00896364">
      <w:pPr>
        <w:spacing w:after="0" w:line="240" w:lineRule="auto"/>
        <w:ind w:left="1440"/>
        <w:jc w:val="both"/>
        <w:rPr>
          <w:rFonts w:ascii="Cambria" w:eastAsia="Calibri" w:hAnsi="Cambria" w:cs="Times New Roman"/>
          <w:i/>
        </w:rPr>
      </w:pPr>
    </w:p>
    <w:p w14:paraId="366F8BDF" w14:textId="77777777" w:rsidR="00F00B1E" w:rsidRPr="00E62205" w:rsidRDefault="00F00B1E" w:rsidP="00425009">
      <w:pPr>
        <w:spacing w:after="0" w:line="240" w:lineRule="auto"/>
        <w:ind w:left="1418" w:right="855"/>
        <w:jc w:val="both"/>
        <w:rPr>
          <w:rFonts w:ascii="Cambria" w:eastAsia="Calibri" w:hAnsi="Cambria" w:cs="Times New Roman"/>
          <w:i/>
        </w:rPr>
      </w:pPr>
      <w:r w:rsidRPr="00E62205">
        <w:rPr>
          <w:rFonts w:ascii="Cambria" w:eastAsia="Calibri" w:hAnsi="Cambria" w:cs="Times New Roman"/>
          <w:i/>
        </w:rPr>
        <w:t>At the end of 2014, I spoke to the surgeon in our city centre clinic and informed him I was HIV positive. He then became aggressive and asked me why this was not listed on my medical card. I tried to explain the situation, because I know that including this information on my medical card is not mandatory. The doctor and the nurse shouted at me, saying that they were at risk of infection and that I should have warned them of my status. I tried to explain that they were required to treat me as they treated other patients. I said I would complain to the director of the clinic because the doctor had written my health status on my medical card without my consent. After this, the doctor ripped up my documentation.</w:t>
      </w:r>
      <w:r>
        <w:rPr>
          <w:rFonts w:ascii="Cambria" w:eastAsia="Calibri" w:hAnsi="Cambria" w:cs="Times New Roman"/>
          <w:i/>
          <w:vertAlign w:val="superscript"/>
        </w:rPr>
        <w:footnoteReference w:id="80"/>
      </w:r>
    </w:p>
    <w:p w14:paraId="7055AA26" w14:textId="77777777" w:rsidR="00F00B1E" w:rsidRPr="00205CCD" w:rsidRDefault="00F00B1E" w:rsidP="00896364">
      <w:pPr>
        <w:spacing w:after="0" w:line="240" w:lineRule="auto"/>
        <w:ind w:left="720"/>
        <w:jc w:val="both"/>
        <w:rPr>
          <w:rFonts w:ascii="Cambria" w:eastAsia="Calibri" w:hAnsi="Cambria" w:cs="Times New Roman"/>
          <w:i/>
        </w:rPr>
      </w:pPr>
    </w:p>
    <w:p w14:paraId="216D603A" w14:textId="77777777" w:rsidR="00436B4D" w:rsidRDefault="00F00B1E" w:rsidP="00896364">
      <w:pPr>
        <w:numPr>
          <w:ilvl w:val="0"/>
          <w:numId w:val="1"/>
        </w:numPr>
        <w:spacing w:after="0" w:line="240" w:lineRule="auto"/>
        <w:jc w:val="both"/>
        <w:rPr>
          <w:rFonts w:ascii="Cambria" w:eastAsia="Calibri" w:hAnsi="Cambria" w:cs="Times New Roman"/>
          <w:i/>
        </w:rPr>
      </w:pPr>
      <w:r w:rsidRPr="003578C1">
        <w:rPr>
          <w:rFonts w:ascii="Cambria" w:eastAsia="Calibri" w:hAnsi="Cambria" w:cs="Times New Roman"/>
        </w:rPr>
        <w:t xml:space="preserve">There is also worrying evidence of women </w:t>
      </w:r>
      <w:r w:rsidR="00EC678C">
        <w:rPr>
          <w:rFonts w:ascii="Cambria" w:eastAsia="Calibri" w:hAnsi="Cambria" w:cs="Times New Roman"/>
        </w:rPr>
        <w:t xml:space="preserve">living </w:t>
      </w:r>
      <w:r w:rsidRPr="003578C1">
        <w:rPr>
          <w:rFonts w:ascii="Cambria" w:eastAsia="Calibri" w:hAnsi="Cambria" w:cs="Times New Roman"/>
        </w:rPr>
        <w:t>with HIV facing discrimination during their</w:t>
      </w:r>
      <w:r w:rsidRPr="00205CCD">
        <w:rPr>
          <w:rFonts w:ascii="Cambria" w:eastAsia="Calibri" w:hAnsi="Cambria" w:cs="Times New Roman"/>
        </w:rPr>
        <w:t xml:space="preserve"> pregnancy and maternity. </w:t>
      </w:r>
      <w:r w:rsidR="00EC678C">
        <w:rPr>
          <w:rFonts w:ascii="Cambria" w:eastAsia="Calibri" w:hAnsi="Cambria" w:cs="Times New Roman"/>
        </w:rPr>
        <w:t>A 2012 study found that women</w:t>
      </w:r>
      <w:r w:rsidR="00FF3D38">
        <w:rPr>
          <w:rFonts w:ascii="Cambria" w:eastAsia="Calibri" w:hAnsi="Cambria" w:cs="Times New Roman"/>
        </w:rPr>
        <w:t xml:space="preserve"> </w:t>
      </w:r>
      <w:r w:rsidR="00EC678C">
        <w:rPr>
          <w:rFonts w:ascii="Cambria" w:eastAsia="Calibri" w:hAnsi="Cambria" w:cs="Times New Roman"/>
        </w:rPr>
        <w:t>living with HIV have been advised</w:t>
      </w:r>
      <w:r w:rsidRPr="00205CCD">
        <w:rPr>
          <w:rFonts w:ascii="Cambria" w:eastAsia="Calibri" w:hAnsi="Cambria" w:cs="Times New Roman"/>
        </w:rPr>
        <w:t xml:space="preserve"> to terminate their</w:t>
      </w:r>
      <w:r w:rsidR="00EC678C">
        <w:rPr>
          <w:rFonts w:ascii="Cambria" w:eastAsia="Calibri" w:hAnsi="Cambria" w:cs="Times New Roman"/>
        </w:rPr>
        <w:t xml:space="preserve"> pregnancies, even in</w:t>
      </w:r>
      <w:r w:rsidRPr="00205CCD">
        <w:rPr>
          <w:rFonts w:ascii="Cambria" w:eastAsia="Calibri" w:hAnsi="Cambria" w:cs="Times New Roman"/>
        </w:rPr>
        <w:t xml:space="preserve"> the final trimester, on the grounds that their child might be born with disabilities or rejected by society.</w:t>
      </w:r>
      <w:r>
        <w:rPr>
          <w:rFonts w:ascii="Cambria" w:eastAsia="Calibri" w:hAnsi="Cambria" w:cs="Times New Roman"/>
          <w:vertAlign w:val="superscript"/>
        </w:rPr>
        <w:footnoteReference w:id="81"/>
      </w:r>
      <w:r w:rsidRPr="00205CCD">
        <w:rPr>
          <w:rFonts w:ascii="Cambria" w:eastAsia="Calibri" w:hAnsi="Cambria" w:cs="Times New Roman"/>
        </w:rPr>
        <w:t xml:space="preserve"> The Trust </w:t>
      </w:r>
      <w:r w:rsidR="00EC678C">
        <w:rPr>
          <w:rFonts w:ascii="Cambria" w:eastAsia="Calibri" w:hAnsi="Cambria" w:cs="Times New Roman"/>
        </w:rPr>
        <w:t>also collected evidence that women living with HIV are subject to discriminatory treatment during childbirth:</w:t>
      </w:r>
    </w:p>
    <w:p w14:paraId="7C11649D" w14:textId="77777777" w:rsidR="00436B4D" w:rsidRDefault="00436B4D" w:rsidP="00EC678C">
      <w:pPr>
        <w:spacing w:after="0" w:line="240" w:lineRule="auto"/>
        <w:ind w:left="1418" w:right="855"/>
        <w:jc w:val="both"/>
        <w:rPr>
          <w:rFonts w:ascii="Cambria" w:eastAsia="Calibri" w:hAnsi="Cambria" w:cs="Times New Roman"/>
          <w:i/>
        </w:rPr>
      </w:pPr>
    </w:p>
    <w:p w14:paraId="424DC92E" w14:textId="77777777" w:rsidR="00F00B1E" w:rsidRPr="00436B4D" w:rsidRDefault="00F00B1E" w:rsidP="00EC678C">
      <w:pPr>
        <w:spacing w:after="0" w:line="240" w:lineRule="auto"/>
        <w:ind w:left="1418" w:right="855"/>
        <w:jc w:val="both"/>
        <w:rPr>
          <w:rFonts w:ascii="Cambria" w:eastAsia="Calibri" w:hAnsi="Cambria" w:cs="Times New Roman"/>
          <w:i/>
        </w:rPr>
      </w:pPr>
      <w:r w:rsidRPr="00436B4D">
        <w:rPr>
          <w:rFonts w:ascii="Cambria" w:eastAsia="Calibri" w:hAnsi="Cambria" w:cs="Times New Roman"/>
          <w:i/>
        </w:rPr>
        <w:t>Women living with HIV who participated in our focus group said they often felt isolated and ignored during childbirth, as they were placed in rooms alone, with some stating that they were placed in very cold rooms with their newborn babies and felt forced to warm their babies with plastic bottles filled with hot water.</w:t>
      </w:r>
      <w:r>
        <w:rPr>
          <w:rFonts w:ascii="Cambria" w:eastAsia="Calibri" w:hAnsi="Cambria" w:cs="Times New Roman"/>
          <w:i/>
          <w:vertAlign w:val="superscript"/>
        </w:rPr>
        <w:footnoteReference w:id="82"/>
      </w:r>
    </w:p>
    <w:p w14:paraId="3D2BC426" w14:textId="77777777" w:rsidR="00F00B1E" w:rsidRPr="00205CCD" w:rsidRDefault="00F00B1E" w:rsidP="00896364">
      <w:pPr>
        <w:spacing w:after="0" w:line="240" w:lineRule="auto"/>
        <w:ind w:left="720"/>
        <w:jc w:val="both"/>
        <w:rPr>
          <w:rFonts w:ascii="Cambria" w:eastAsia="Calibri" w:hAnsi="Cambria" w:cs="Times New Roman"/>
          <w:i/>
        </w:rPr>
      </w:pPr>
    </w:p>
    <w:p w14:paraId="5310C8DC" w14:textId="77777777" w:rsidR="00F00B1E" w:rsidRPr="00FF3D38" w:rsidRDefault="00F00B1E" w:rsidP="00896364">
      <w:pPr>
        <w:pStyle w:val="ListParagraph"/>
        <w:numPr>
          <w:ilvl w:val="0"/>
          <w:numId w:val="1"/>
        </w:numPr>
        <w:spacing w:after="0" w:line="240" w:lineRule="auto"/>
        <w:contextualSpacing w:val="0"/>
        <w:jc w:val="both"/>
        <w:rPr>
          <w:rFonts w:ascii="Cambria" w:eastAsia="Calibri" w:hAnsi="Cambria" w:cs="Times New Roman"/>
        </w:rPr>
      </w:pPr>
      <w:r w:rsidRPr="00FF3D38">
        <w:rPr>
          <w:rFonts w:ascii="Cambria" w:eastAsia="Calibri" w:hAnsi="Cambria" w:cs="Times New Roman"/>
        </w:rPr>
        <w:t xml:space="preserve">Ministry of Health Order No. 100 states that women living with HIV may only give birth in two specialized medical facilities, located in Chișinău and Bălți. Despite the </w:t>
      </w:r>
      <w:r w:rsidR="00EC678C">
        <w:rPr>
          <w:rFonts w:ascii="Cambria" w:eastAsia="Calibri" w:hAnsi="Cambria" w:cs="Times New Roman"/>
        </w:rPr>
        <w:t xml:space="preserve">CPEDEE </w:t>
      </w:r>
      <w:r w:rsidRPr="00FF3D38">
        <w:rPr>
          <w:rFonts w:ascii="Cambria" w:eastAsia="Calibri" w:hAnsi="Cambria" w:cs="Times New Roman"/>
        </w:rPr>
        <w:t>recommending the repeal of Order No. 100, there is no evidence that such a repeal has occurred.</w:t>
      </w:r>
      <w:r>
        <w:rPr>
          <w:vertAlign w:val="superscript"/>
        </w:rPr>
        <w:footnoteReference w:id="83"/>
      </w:r>
      <w:r w:rsidRPr="00FF3D38">
        <w:rPr>
          <w:rFonts w:ascii="Cambria" w:eastAsia="Calibri" w:hAnsi="Cambria" w:cs="Times New Roman"/>
        </w:rPr>
        <w:t xml:space="preserve"> </w:t>
      </w:r>
    </w:p>
    <w:p w14:paraId="45F67EB5" w14:textId="77777777" w:rsidR="00F00B1E" w:rsidRPr="00205CCD" w:rsidRDefault="00F00B1E" w:rsidP="00896364">
      <w:pPr>
        <w:spacing w:after="0" w:line="240" w:lineRule="auto"/>
        <w:ind w:left="562"/>
        <w:jc w:val="both"/>
        <w:rPr>
          <w:rFonts w:ascii="Cambria" w:eastAsia="Calibri" w:hAnsi="Cambria" w:cs="Times New Roman"/>
          <w:i/>
        </w:rPr>
      </w:pPr>
    </w:p>
    <w:p w14:paraId="1C67B6FB" w14:textId="77777777" w:rsidR="00F00B1E" w:rsidRPr="00205CCD" w:rsidRDefault="00F00B1E" w:rsidP="00896364">
      <w:pPr>
        <w:numPr>
          <w:ilvl w:val="0"/>
          <w:numId w:val="1"/>
        </w:numPr>
        <w:spacing w:after="0" w:line="240" w:lineRule="auto"/>
        <w:jc w:val="both"/>
        <w:rPr>
          <w:rFonts w:ascii="Cambria" w:eastAsia="Calibri" w:hAnsi="Cambria" w:cs="Times New Roman"/>
          <w:i/>
        </w:rPr>
      </w:pPr>
      <w:r w:rsidRPr="00205CCD">
        <w:rPr>
          <w:rFonts w:ascii="Cambria" w:eastAsia="Calibri" w:hAnsi="Cambria" w:cs="Times New Roman"/>
        </w:rPr>
        <w:t xml:space="preserve">In addition to the discriminatory treatment of </w:t>
      </w:r>
      <w:r w:rsidR="00EC678C">
        <w:rPr>
          <w:rFonts w:ascii="Cambria" w:eastAsia="Calibri" w:hAnsi="Cambria" w:cs="Times New Roman"/>
        </w:rPr>
        <w:t>people living with HIV</w:t>
      </w:r>
      <w:r w:rsidRPr="00205CCD">
        <w:rPr>
          <w:rFonts w:ascii="Cambria" w:eastAsia="Calibri" w:hAnsi="Cambria" w:cs="Times New Roman"/>
        </w:rPr>
        <w:t xml:space="preserve">, another barrier to their effective access to healthcare is the fear of seeking healthcare and </w:t>
      </w:r>
      <w:r w:rsidR="00EC678C">
        <w:rPr>
          <w:rFonts w:ascii="Cambria" w:eastAsia="Calibri" w:hAnsi="Cambria" w:cs="Times New Roman"/>
        </w:rPr>
        <w:t>of registering with</w:t>
      </w:r>
      <w:r w:rsidRPr="00205CCD">
        <w:rPr>
          <w:rFonts w:ascii="Cambria" w:eastAsia="Calibri" w:hAnsi="Cambria" w:cs="Times New Roman"/>
        </w:rPr>
        <w:t xml:space="preserve"> clinics that has </w:t>
      </w:r>
      <w:r w:rsidR="00EC678C">
        <w:rPr>
          <w:rFonts w:ascii="Cambria" w:eastAsia="Calibri" w:hAnsi="Cambria" w:cs="Times New Roman"/>
        </w:rPr>
        <w:t>arisen as a result of widespread</w:t>
      </w:r>
      <w:r w:rsidRPr="00205CCD">
        <w:rPr>
          <w:rFonts w:ascii="Cambria" w:eastAsia="Calibri" w:hAnsi="Cambria" w:cs="Times New Roman"/>
        </w:rPr>
        <w:t xml:space="preserve"> unauthoriz</w:t>
      </w:r>
      <w:r w:rsidR="00EC678C">
        <w:rPr>
          <w:rFonts w:ascii="Cambria" w:eastAsia="Calibri" w:hAnsi="Cambria" w:cs="Times New Roman"/>
        </w:rPr>
        <w:t>ed disclosures of health status</w:t>
      </w:r>
      <w:r w:rsidRPr="00205CCD">
        <w:rPr>
          <w:rFonts w:ascii="Cambria" w:eastAsia="Calibri" w:hAnsi="Cambria" w:cs="Times New Roman"/>
        </w:rPr>
        <w:t xml:space="preserve">. </w:t>
      </w:r>
      <w:r w:rsidR="00FF3D38">
        <w:rPr>
          <w:rFonts w:ascii="Cambria" w:eastAsia="Calibri" w:hAnsi="Cambria" w:cs="Times New Roman"/>
        </w:rPr>
        <w:t xml:space="preserve">There are reports of doctors </w:t>
      </w:r>
      <w:r w:rsidRPr="00205CCD">
        <w:rPr>
          <w:rFonts w:ascii="Cambria" w:eastAsia="Calibri" w:hAnsi="Cambria" w:cs="Times New Roman"/>
        </w:rPr>
        <w:t>breaching patient confidentiality regarding their HIV status,</w:t>
      </w:r>
      <w:r>
        <w:rPr>
          <w:rFonts w:ascii="Cambria" w:eastAsia="Calibri" w:hAnsi="Cambria" w:cs="Times New Roman"/>
          <w:vertAlign w:val="superscript"/>
        </w:rPr>
        <w:footnoteReference w:id="84"/>
      </w:r>
      <w:r w:rsidRPr="00205CCD">
        <w:rPr>
          <w:rFonts w:ascii="Cambria" w:eastAsia="Calibri" w:hAnsi="Cambria" w:cs="Times New Roman"/>
        </w:rPr>
        <w:t xml:space="preserve"> despite this being illegal</w:t>
      </w:r>
      <w:r w:rsidR="00EC678C">
        <w:rPr>
          <w:rFonts w:ascii="Cambria" w:eastAsia="Calibri" w:hAnsi="Cambria" w:cs="Times New Roman"/>
        </w:rPr>
        <w:t xml:space="preserve"> under national law</w:t>
      </w:r>
      <w:r w:rsidRPr="00205CCD">
        <w:rPr>
          <w:rFonts w:ascii="Cambria" w:eastAsia="Calibri" w:hAnsi="Cambria" w:cs="Times New Roman"/>
        </w:rPr>
        <w:t>.</w:t>
      </w:r>
      <w:r>
        <w:rPr>
          <w:rFonts w:ascii="Cambria" w:eastAsia="Calibri" w:hAnsi="Cambria" w:cs="Times New Roman"/>
          <w:vertAlign w:val="superscript"/>
        </w:rPr>
        <w:footnoteReference w:id="85"/>
      </w:r>
      <w:r w:rsidRPr="00205CCD">
        <w:rPr>
          <w:rFonts w:ascii="Cambria" w:eastAsia="Calibri" w:hAnsi="Cambria" w:cs="Times New Roman"/>
        </w:rPr>
        <w:t xml:space="preserve"> This situation is particularly acute in rural areas.</w:t>
      </w:r>
      <w:r>
        <w:rPr>
          <w:rFonts w:ascii="Cambria" w:eastAsia="Calibri" w:hAnsi="Cambria" w:cs="Times New Roman"/>
          <w:vertAlign w:val="superscript"/>
        </w:rPr>
        <w:footnoteReference w:id="86"/>
      </w:r>
      <w:r w:rsidRPr="00205CCD">
        <w:rPr>
          <w:rFonts w:ascii="Cambria" w:eastAsia="Calibri" w:hAnsi="Cambria" w:cs="Times New Roman"/>
        </w:rPr>
        <w:t xml:space="preserve"> </w:t>
      </w:r>
      <w:r w:rsidR="00EC678C">
        <w:rPr>
          <w:rFonts w:ascii="Cambria" w:eastAsia="Calibri" w:hAnsi="Cambria" w:cs="Times New Roman"/>
        </w:rPr>
        <w:t>In addition to breaching the rights of people living with HIV, it discourages testing and so prevents</w:t>
      </w:r>
      <w:r w:rsidRPr="00205CCD">
        <w:rPr>
          <w:rFonts w:ascii="Cambria" w:eastAsia="Calibri" w:hAnsi="Cambria" w:cs="Times New Roman"/>
        </w:rPr>
        <w:t xml:space="preserve"> </w:t>
      </w:r>
      <w:r w:rsidR="00EC678C">
        <w:rPr>
          <w:rFonts w:ascii="Cambria" w:eastAsia="Calibri" w:hAnsi="Cambria" w:cs="Times New Roman"/>
        </w:rPr>
        <w:t>people living with HIV</w:t>
      </w:r>
      <w:r w:rsidRPr="00205CCD">
        <w:rPr>
          <w:rFonts w:ascii="Cambria" w:eastAsia="Calibri" w:hAnsi="Cambria" w:cs="Times New Roman"/>
        </w:rPr>
        <w:t xml:space="preserve"> from accessing essential antiretroviral treatment.</w:t>
      </w:r>
    </w:p>
    <w:p w14:paraId="51E36AC3" w14:textId="77777777" w:rsidR="00EC678C" w:rsidRDefault="00EC678C" w:rsidP="00EC678C">
      <w:pPr>
        <w:spacing w:after="0" w:line="240" w:lineRule="auto"/>
        <w:jc w:val="both"/>
        <w:rPr>
          <w:rFonts w:ascii="Cambria" w:eastAsia="Calibri" w:hAnsi="Cambria" w:cs="Times New Roman"/>
          <w:i/>
        </w:rPr>
      </w:pPr>
    </w:p>
    <w:p w14:paraId="1C83A1CB" w14:textId="77777777" w:rsidR="00EC678C" w:rsidRDefault="00EC678C" w:rsidP="00EC678C">
      <w:pPr>
        <w:spacing w:after="0" w:line="240" w:lineRule="auto"/>
        <w:jc w:val="both"/>
        <w:rPr>
          <w:rFonts w:ascii="Cambria" w:eastAsia="Calibri" w:hAnsi="Cambria" w:cs="Times New Roman"/>
          <w:i/>
        </w:rPr>
      </w:pPr>
      <w:r>
        <w:rPr>
          <w:rFonts w:ascii="Cambria" w:eastAsia="Calibri" w:hAnsi="Cambria" w:cs="Times New Roman"/>
          <w:u w:val="single"/>
        </w:rPr>
        <w:t xml:space="preserve">Access to healthcare for </w:t>
      </w:r>
      <w:r w:rsidRPr="00205CCD">
        <w:rPr>
          <w:rFonts w:ascii="Cambria" w:eastAsia="Calibri" w:hAnsi="Cambria" w:cs="Times New Roman"/>
          <w:u w:val="single"/>
        </w:rPr>
        <w:t>persons living with tuberculosis</w:t>
      </w:r>
    </w:p>
    <w:p w14:paraId="00E2B241" w14:textId="77777777" w:rsidR="00EC678C" w:rsidRPr="00205CCD" w:rsidRDefault="00EC678C" w:rsidP="00EC678C">
      <w:pPr>
        <w:spacing w:after="0" w:line="240" w:lineRule="auto"/>
        <w:jc w:val="both"/>
        <w:rPr>
          <w:rFonts w:ascii="Cambria" w:eastAsia="Calibri" w:hAnsi="Cambria" w:cs="Times New Roman"/>
          <w:i/>
        </w:rPr>
      </w:pPr>
    </w:p>
    <w:p w14:paraId="13DD225C" w14:textId="1FE18D8B" w:rsidR="00FF3D38" w:rsidRDefault="00FF3D38" w:rsidP="00896364">
      <w:pPr>
        <w:numPr>
          <w:ilvl w:val="0"/>
          <w:numId w:val="1"/>
        </w:numPr>
        <w:spacing w:after="0" w:line="240" w:lineRule="auto"/>
        <w:jc w:val="both"/>
        <w:rPr>
          <w:rFonts w:ascii="Cambria" w:eastAsia="Calibri" w:hAnsi="Cambria" w:cs="Times New Roman"/>
        </w:rPr>
      </w:pPr>
      <w:r>
        <w:rPr>
          <w:rFonts w:ascii="Cambria" w:eastAsia="Calibri" w:hAnsi="Cambria" w:cs="Times New Roman"/>
        </w:rPr>
        <w:t xml:space="preserve">There are also </w:t>
      </w:r>
      <w:r w:rsidR="00E606F0">
        <w:rPr>
          <w:rFonts w:ascii="Cambria" w:eastAsia="Calibri" w:hAnsi="Cambria" w:cs="Times New Roman"/>
        </w:rPr>
        <w:t>serious grounds for concern regarding</w:t>
      </w:r>
      <w:r>
        <w:rPr>
          <w:rFonts w:ascii="Cambria" w:eastAsia="Calibri" w:hAnsi="Cambria" w:cs="Times New Roman"/>
        </w:rPr>
        <w:t xml:space="preserve"> the forcible detention and treatment of tuberculosis sufferers deemed to have “avoided treatment”</w:t>
      </w:r>
      <w:r w:rsidR="00CD5D3B">
        <w:rPr>
          <w:rFonts w:ascii="Cambria" w:eastAsia="Calibri" w:hAnsi="Cambria" w:cs="Times New Roman"/>
        </w:rPr>
        <w:t xml:space="preserve"> under the Regulation on Coercive Temporary Hospitalisation in Anti-Tuberculosis  Specialised Healthcare Institutions of Persons with Contagious Tuberculosis who Refuse Treatment (the Regulation) </w:t>
      </w:r>
      <w:r>
        <w:rPr>
          <w:rFonts w:ascii="Cambria" w:eastAsia="Calibri" w:hAnsi="Cambria" w:cs="Times New Roman"/>
        </w:rPr>
        <w:t>.</w:t>
      </w:r>
      <w:r>
        <w:rPr>
          <w:rStyle w:val="FootnoteReference"/>
          <w:rFonts w:ascii="Cambria" w:eastAsia="Calibri" w:hAnsi="Cambria" w:cs="Times New Roman"/>
        </w:rPr>
        <w:footnoteReference w:id="87"/>
      </w:r>
      <w:r>
        <w:rPr>
          <w:rFonts w:ascii="Cambria" w:eastAsia="Calibri" w:hAnsi="Cambria" w:cs="Times New Roman"/>
        </w:rPr>
        <w:t xml:space="preserve"> </w:t>
      </w:r>
      <w:r w:rsidR="00CA3B55">
        <w:rPr>
          <w:rFonts w:ascii="Cambria" w:eastAsia="Calibri" w:hAnsi="Cambria" w:cs="Times New Roman"/>
        </w:rPr>
        <w:t>As noted by the Committee in General Comment No. 14</w:t>
      </w:r>
      <w:r w:rsidR="00CA3B55">
        <w:rPr>
          <w:rFonts w:ascii="Cambria" w:eastAsia="Calibri" w:hAnsi="Cambria" w:cs="Times New Roman"/>
        </w:rPr>
        <w:t>, states have</w:t>
      </w:r>
      <w:r w:rsidR="00CA3B55">
        <w:rPr>
          <w:rFonts w:ascii="Cambria" w:eastAsia="Calibri" w:hAnsi="Cambria" w:cs="Times New Roman"/>
        </w:rPr>
        <w:t xml:space="preserve"> an obligation to refrain “from applying coercive medical treatments, unless on an exceptional basis for the treatment of mental illness or the prevention and control of communicable diseases”.</w:t>
      </w:r>
      <w:r w:rsidR="00CA3B55">
        <w:rPr>
          <w:rStyle w:val="FootnoteReference"/>
          <w:rFonts w:ascii="Cambria" w:eastAsia="Calibri" w:hAnsi="Cambria" w:cs="Times New Roman"/>
        </w:rPr>
        <w:footnoteReference w:id="88"/>
      </w:r>
      <w:r w:rsidR="00E606F0">
        <w:rPr>
          <w:rFonts w:ascii="Cambria" w:eastAsia="Calibri" w:hAnsi="Cambria" w:cs="Times New Roman"/>
        </w:rPr>
        <w:t>Thus, a</w:t>
      </w:r>
      <w:r w:rsidR="007D57DB">
        <w:rPr>
          <w:rFonts w:ascii="Cambria" w:eastAsia="Calibri" w:hAnsi="Cambria" w:cs="Times New Roman"/>
        </w:rPr>
        <w:t xml:space="preserve">ny </w:t>
      </w:r>
      <w:r w:rsidR="007D57DB" w:rsidRPr="00205CCD">
        <w:rPr>
          <w:rFonts w:ascii="Cambria" w:eastAsia="Calibri" w:hAnsi="Cambria" w:cs="Times New Roman"/>
        </w:rPr>
        <w:t xml:space="preserve">decision to </w:t>
      </w:r>
      <w:r w:rsidR="00E606F0">
        <w:rPr>
          <w:rFonts w:ascii="Cambria" w:eastAsia="Calibri" w:hAnsi="Cambria" w:cs="Times New Roman"/>
        </w:rPr>
        <w:t xml:space="preserve">forcibly </w:t>
      </w:r>
      <w:r w:rsidR="007D57DB" w:rsidRPr="00205CCD">
        <w:rPr>
          <w:rFonts w:ascii="Cambria" w:eastAsia="Calibri" w:hAnsi="Cambria" w:cs="Times New Roman"/>
        </w:rPr>
        <w:t xml:space="preserve">detain </w:t>
      </w:r>
      <w:r w:rsidR="00E606F0">
        <w:rPr>
          <w:rFonts w:ascii="Cambria" w:eastAsia="Calibri" w:hAnsi="Cambria" w:cs="Times New Roman"/>
        </w:rPr>
        <w:t xml:space="preserve">and train </w:t>
      </w:r>
      <w:r w:rsidR="007D57DB" w:rsidRPr="00205CCD">
        <w:rPr>
          <w:rFonts w:ascii="Cambria" w:eastAsia="Calibri" w:hAnsi="Cambria" w:cs="Times New Roman"/>
        </w:rPr>
        <w:t xml:space="preserve">a tuberculosis sufferer should involve a careful balancing of their right to physical and mental health </w:t>
      </w:r>
      <w:r w:rsidR="00E606F0">
        <w:rPr>
          <w:rFonts w:ascii="Cambria" w:eastAsia="Calibri" w:hAnsi="Cambria" w:cs="Times New Roman"/>
        </w:rPr>
        <w:t>together with</w:t>
      </w:r>
      <w:r w:rsidR="007D57DB" w:rsidRPr="00205CCD">
        <w:rPr>
          <w:rFonts w:ascii="Cambria" w:eastAsia="Calibri" w:hAnsi="Cambria" w:cs="Times New Roman"/>
        </w:rPr>
        <w:t xml:space="preserve"> their right to non-discrimination and equality</w:t>
      </w:r>
      <w:r w:rsidR="007D57DB">
        <w:rPr>
          <w:rFonts w:ascii="Cambria" w:eastAsia="Calibri" w:hAnsi="Cambria" w:cs="Times New Roman"/>
        </w:rPr>
        <w:t>, against public health concerns.</w:t>
      </w:r>
      <w:r w:rsidR="003F00E8">
        <w:rPr>
          <w:rStyle w:val="FootnoteReference"/>
          <w:rFonts w:ascii="Cambria" w:eastAsia="Calibri" w:hAnsi="Cambria" w:cs="Times New Roman"/>
        </w:rPr>
        <w:footnoteReference w:id="89"/>
      </w:r>
      <w:r w:rsidR="00E15B93">
        <w:rPr>
          <w:rFonts w:ascii="Cambria" w:eastAsia="Calibri" w:hAnsi="Cambria" w:cs="Times New Roman"/>
        </w:rPr>
        <w:t xml:space="preserve"> </w:t>
      </w:r>
      <w:r w:rsidR="007D57DB">
        <w:rPr>
          <w:rFonts w:ascii="Cambria" w:eastAsia="Calibri" w:hAnsi="Cambria" w:cs="Times New Roman"/>
        </w:rPr>
        <w:t>It is not evident that the Regulation provides scope for such a balancing exercise</w:t>
      </w:r>
      <w:r w:rsidR="00E606F0">
        <w:rPr>
          <w:rFonts w:ascii="Cambria" w:eastAsia="Calibri" w:hAnsi="Cambria" w:cs="Times New Roman"/>
        </w:rPr>
        <w:t>. Th</w:t>
      </w:r>
      <w:r w:rsidR="003F00E8">
        <w:rPr>
          <w:rFonts w:ascii="Cambria" w:eastAsia="Calibri" w:hAnsi="Cambria" w:cs="Times New Roman"/>
        </w:rPr>
        <w:t>ere is</w:t>
      </w:r>
      <w:r w:rsidR="00CD5D3B">
        <w:rPr>
          <w:rFonts w:ascii="Cambria" w:eastAsia="Calibri" w:hAnsi="Cambria" w:cs="Times New Roman"/>
        </w:rPr>
        <w:t xml:space="preserve"> no clear definition of what behaviour constitutes “avoiding treatment”</w:t>
      </w:r>
      <w:r w:rsidR="00BD7DE4">
        <w:rPr>
          <w:rFonts w:ascii="Cambria" w:eastAsia="Calibri" w:hAnsi="Cambria" w:cs="Times New Roman"/>
        </w:rPr>
        <w:t>;</w:t>
      </w:r>
      <w:r w:rsidR="00CD5D3B">
        <w:rPr>
          <w:rFonts w:ascii="Cambria" w:eastAsia="Calibri" w:hAnsi="Cambria" w:cs="Times New Roman"/>
        </w:rPr>
        <w:t xml:space="preserve"> to the extent that there is a blanket requirement that such persons are subject to forcible treatment, this </w:t>
      </w:r>
      <w:r w:rsidR="00E606F0">
        <w:rPr>
          <w:rFonts w:ascii="Cambria" w:eastAsia="Calibri" w:hAnsi="Cambria" w:cs="Times New Roman"/>
        </w:rPr>
        <w:t>could not</w:t>
      </w:r>
      <w:r w:rsidR="00CD5D3B">
        <w:rPr>
          <w:rFonts w:ascii="Cambria" w:eastAsia="Calibri" w:hAnsi="Cambria" w:cs="Times New Roman"/>
        </w:rPr>
        <w:t xml:space="preserve"> adequately provide for the rights of the individual</w:t>
      </w:r>
      <w:r w:rsidR="007D57DB">
        <w:rPr>
          <w:rFonts w:ascii="Cambria" w:eastAsia="Calibri" w:hAnsi="Cambria" w:cs="Times New Roman"/>
        </w:rPr>
        <w:t>.</w:t>
      </w:r>
      <w:r w:rsidR="00BD7DE4">
        <w:rPr>
          <w:rFonts w:ascii="Cambria" w:eastAsia="Calibri" w:hAnsi="Cambria" w:cs="Times New Roman"/>
        </w:rPr>
        <w:t xml:space="preserve"> </w:t>
      </w:r>
      <w:r w:rsidR="00CD5D3B">
        <w:rPr>
          <w:rFonts w:ascii="Cambria" w:eastAsia="Calibri" w:hAnsi="Cambria" w:cs="Times New Roman"/>
        </w:rPr>
        <w:t>T</w:t>
      </w:r>
      <w:r w:rsidR="007D57DB" w:rsidRPr="00205CCD">
        <w:rPr>
          <w:rFonts w:ascii="Cambria" w:eastAsia="Calibri" w:hAnsi="Cambria" w:cs="Times New Roman"/>
        </w:rPr>
        <w:t xml:space="preserve">he Council on the Prevention and Elimination of Discrimination and Ensuring Equality has declared that the provisions of this Regulation </w:t>
      </w:r>
      <w:r w:rsidR="00061F20">
        <w:rPr>
          <w:rFonts w:ascii="Cambria" w:eastAsia="Calibri" w:hAnsi="Cambria" w:cs="Times New Roman"/>
        </w:rPr>
        <w:t>d</w:t>
      </w:r>
      <w:r w:rsidR="00BD7DE4">
        <w:rPr>
          <w:rFonts w:ascii="Cambria" w:eastAsia="Calibri" w:hAnsi="Cambria" w:cs="Times New Roman"/>
        </w:rPr>
        <w:t>o n</w:t>
      </w:r>
      <w:r w:rsidR="00061F20">
        <w:rPr>
          <w:rFonts w:ascii="Cambria" w:eastAsia="Calibri" w:hAnsi="Cambria" w:cs="Times New Roman"/>
        </w:rPr>
        <w:t>ot guarantee tuberculosis sufferers the rights under the Constitution</w:t>
      </w:r>
      <w:r w:rsidR="00BD7DE4">
        <w:rPr>
          <w:rFonts w:ascii="Cambria" w:eastAsia="Calibri" w:hAnsi="Cambria" w:cs="Times New Roman"/>
        </w:rPr>
        <w:t>,</w:t>
      </w:r>
      <w:r w:rsidR="00061F20">
        <w:rPr>
          <w:rFonts w:ascii="Cambria" w:eastAsia="Calibri" w:hAnsi="Cambria" w:cs="Times New Roman"/>
        </w:rPr>
        <w:t xml:space="preserve"> in violation of international and national </w:t>
      </w:r>
      <w:r w:rsidR="007D57DB" w:rsidRPr="00205CCD">
        <w:rPr>
          <w:rFonts w:ascii="Cambria" w:eastAsia="Calibri" w:hAnsi="Cambria" w:cs="Times New Roman"/>
        </w:rPr>
        <w:t>non-discrimination standards.</w:t>
      </w:r>
      <w:r w:rsidR="007D57DB">
        <w:rPr>
          <w:rFonts w:ascii="Cambria" w:eastAsia="Calibri" w:hAnsi="Cambria" w:cs="Times New Roman"/>
          <w:vertAlign w:val="superscript"/>
        </w:rPr>
        <w:footnoteReference w:id="90"/>
      </w:r>
      <w:r w:rsidR="007D57DB" w:rsidRPr="00205CCD">
        <w:rPr>
          <w:rFonts w:ascii="Cambria" w:eastAsia="Calibri" w:hAnsi="Cambria" w:cs="Times New Roman"/>
        </w:rPr>
        <w:t xml:space="preserve"> Despite this declaration, </w:t>
      </w:r>
      <w:r w:rsidR="007D57DB">
        <w:rPr>
          <w:rFonts w:ascii="Cambria" w:eastAsia="Calibri" w:hAnsi="Cambria" w:cs="Times New Roman"/>
        </w:rPr>
        <w:t xml:space="preserve">the Regulation remains in force. </w:t>
      </w:r>
    </w:p>
    <w:p w14:paraId="45AE4F9D" w14:textId="77777777" w:rsidR="00F00B1E" w:rsidRPr="00205CCD" w:rsidRDefault="00F00B1E" w:rsidP="00896364">
      <w:pPr>
        <w:spacing w:after="0" w:line="240" w:lineRule="auto"/>
        <w:jc w:val="both"/>
        <w:rPr>
          <w:rFonts w:ascii="Cambria" w:eastAsia="Calibri" w:hAnsi="Cambria" w:cs="Times New Roman"/>
          <w:u w:val="single"/>
        </w:rPr>
      </w:pPr>
    </w:p>
    <w:p w14:paraId="0C79EADE" w14:textId="77777777" w:rsidR="00F00B1E" w:rsidRPr="00205CCD" w:rsidRDefault="00F00B1E" w:rsidP="00896364">
      <w:pPr>
        <w:spacing w:after="0" w:line="240" w:lineRule="auto"/>
        <w:ind w:left="567"/>
        <w:jc w:val="both"/>
        <w:rPr>
          <w:rFonts w:ascii="Cambria" w:eastAsia="Calibri" w:hAnsi="Cambria" w:cs="Times New Roman"/>
        </w:rPr>
      </w:pPr>
    </w:p>
    <w:p w14:paraId="5F13B206" w14:textId="4A61A581" w:rsidR="00182859" w:rsidRPr="005A273F" w:rsidRDefault="00182859" w:rsidP="00182859">
      <w:pPr>
        <w:pBdr>
          <w:top w:val="single" w:sz="18" w:space="1" w:color="E8112D"/>
          <w:left w:val="single" w:sz="18" w:space="4" w:color="E8112D"/>
          <w:bottom w:val="single" w:sz="18" w:space="1" w:color="E8112D"/>
          <w:right w:val="single" w:sz="18" w:space="4" w:color="E8112D"/>
        </w:pBdr>
        <w:shd w:val="solid" w:color="FCD4D9" w:fill="E8112D"/>
        <w:ind w:left="567" w:hanging="567"/>
        <w:rPr>
          <w:rFonts w:ascii="Cambria" w:hAnsi="Cambria"/>
          <w:b/>
        </w:rPr>
      </w:pPr>
      <w:r w:rsidRPr="005A273F">
        <w:rPr>
          <w:rFonts w:ascii="Cambria" w:hAnsi="Cambria"/>
          <w:b/>
        </w:rPr>
        <w:t>Suggested Questions</w:t>
      </w:r>
      <w:r>
        <w:rPr>
          <w:rFonts w:ascii="Cambria" w:hAnsi="Cambria"/>
          <w:b/>
        </w:rPr>
        <w:t xml:space="preserve"> on Discrimination in respect of the Right to Physical and Mental Health</w:t>
      </w:r>
    </w:p>
    <w:p w14:paraId="11A16C6B" w14:textId="58EAD656" w:rsidR="00182859" w:rsidRPr="000E0CE4" w:rsidRDefault="00182859" w:rsidP="00182859">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sidRPr="000E0CE4">
        <w:rPr>
          <w:rFonts w:ascii="Cambria" w:hAnsi="Cambria"/>
        </w:rPr>
        <w:lastRenderedPageBreak/>
        <w:t xml:space="preserve">What measures </w:t>
      </w:r>
      <w:r>
        <w:rPr>
          <w:rFonts w:ascii="Cambria" w:hAnsi="Cambria"/>
        </w:rPr>
        <w:t xml:space="preserve">– beyond legislation – </w:t>
      </w:r>
      <w:r w:rsidRPr="000E0CE4">
        <w:rPr>
          <w:rFonts w:ascii="Cambria" w:hAnsi="Cambria"/>
        </w:rPr>
        <w:t>has the state party taken to ensure the equal enjoyment of the right to</w:t>
      </w:r>
      <w:r>
        <w:rPr>
          <w:rFonts w:ascii="Cambria" w:hAnsi="Cambria"/>
        </w:rPr>
        <w:t xml:space="preserve"> physical and mental health,</w:t>
      </w:r>
      <w:r w:rsidRPr="000E0CE4">
        <w:rPr>
          <w:rFonts w:ascii="Cambria" w:hAnsi="Cambria"/>
        </w:rPr>
        <w:t xml:space="preserve"> without discrimination of any kind, including in particular on the basis of race and ethnicity, disability and health status?  </w:t>
      </w:r>
    </w:p>
    <w:p w14:paraId="78C90F59" w14:textId="6B8ACCE4" w:rsidR="00182859" w:rsidRDefault="00182859" w:rsidP="00182859">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What assessment, if any, has the state party made of the effectiveness of the Law on Ensuring Equality in eliminating discrimination in the exercise of the right to physical and mental health? What was the outcome of this assessment?</w:t>
      </w:r>
    </w:p>
    <w:p w14:paraId="545EB84D" w14:textId="760B193D" w:rsidR="00182859" w:rsidRDefault="00182859" w:rsidP="00182859">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What steps has the state taken to monitor the implementation of measures to comply with the obligation of non-discrimination in respect of the right to physical and mental health? In particular, what data has the state party collected on access to healthcare, disaggregated on the basis of all grounds of discrimination recognised by the Committee?</w:t>
      </w:r>
    </w:p>
    <w:p w14:paraId="43EB680C" w14:textId="77777777" w:rsidR="006A3754" w:rsidRDefault="006A3754" w:rsidP="006A3754">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 xml:space="preserve">What measures, beyond the Section Action Plan, does the state party intend to implement to improve the access of Roma, in particular Roma women, to healthcare? </w:t>
      </w:r>
    </w:p>
    <w:p w14:paraId="39037385" w14:textId="1B97D7E9" w:rsidR="006A3754" w:rsidRDefault="006A3754" w:rsidP="006A3754">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What steps, if any, has the state party taken to ensure that healthcare professionals who impose wrongful charges</w:t>
      </w:r>
      <w:r w:rsidR="001565CD">
        <w:rPr>
          <w:rFonts w:ascii="Cambria" w:hAnsi="Cambria"/>
        </w:rPr>
        <w:t xml:space="preserve"> for</w:t>
      </w:r>
      <w:r>
        <w:rPr>
          <w:rFonts w:ascii="Cambria" w:hAnsi="Cambria"/>
        </w:rPr>
        <w:t xml:space="preserve"> the provision of healthcare are identified and sanctioned? </w:t>
      </w:r>
    </w:p>
    <w:p w14:paraId="643B39A6" w14:textId="77777777" w:rsidR="002F5D19" w:rsidRDefault="002F5D19" w:rsidP="002F5D19">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bookmarkStart w:id="0" w:name="_GoBack"/>
      <w:r>
        <w:rPr>
          <w:rFonts w:ascii="Cambria" w:hAnsi="Cambria"/>
        </w:rPr>
        <w:t xml:space="preserve">What measures does the state party intend to take to ensure the accessibility of healthcare to persons with disabilities? </w:t>
      </w:r>
    </w:p>
    <w:p w14:paraId="4F1F8266" w14:textId="77777777" w:rsidR="002F5D19" w:rsidRDefault="002F5D19" w:rsidP="002F5D19">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 xml:space="preserve">What steps does the state party intend to take to maximise the access of pregnant women with disabilities to pre-natal health care? </w:t>
      </w:r>
    </w:p>
    <w:bookmarkEnd w:id="0"/>
    <w:p w14:paraId="54738304" w14:textId="77777777" w:rsidR="006A3754" w:rsidRDefault="006A3754" w:rsidP="006A3754">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 xml:space="preserve">What measures has the state party taken to identify and sanction unauthorised disclosures of a patient’s HIV status? </w:t>
      </w:r>
    </w:p>
    <w:p w14:paraId="6E761827" w14:textId="77777777" w:rsidR="006A3754" w:rsidRDefault="006A3754" w:rsidP="006A3754">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 xml:space="preserve">What steps does the state party intend to take to ensure that the compulsory treatment of tuberculosis sufferers gives adequate protection to the rights of the individual? </w:t>
      </w:r>
    </w:p>
    <w:p w14:paraId="7C6C3AAB" w14:textId="77777777" w:rsidR="00182859" w:rsidRDefault="00182859" w:rsidP="00896364">
      <w:pPr>
        <w:spacing w:after="0" w:line="240" w:lineRule="auto"/>
        <w:jc w:val="both"/>
        <w:rPr>
          <w:rFonts w:ascii="Cambria" w:eastAsia="Calibri" w:hAnsi="Cambria" w:cs="Times New Roman"/>
          <w:b/>
        </w:rPr>
      </w:pPr>
    </w:p>
    <w:p w14:paraId="00A7B9DB" w14:textId="77777777" w:rsidR="00CD5D3B" w:rsidRPr="00205CCD" w:rsidRDefault="00CD5D3B" w:rsidP="00CD5D3B">
      <w:pPr>
        <w:spacing w:after="0" w:line="240" w:lineRule="auto"/>
        <w:jc w:val="both"/>
        <w:rPr>
          <w:rFonts w:ascii="Cambria" w:eastAsia="Calibri" w:hAnsi="Cambria" w:cs="Times New Roman"/>
        </w:rPr>
      </w:pPr>
      <w:r w:rsidRPr="00205CCD">
        <w:rPr>
          <w:rFonts w:ascii="Cambria" w:eastAsia="Calibri" w:hAnsi="Cambria" w:cs="Times New Roman"/>
          <w:b/>
        </w:rPr>
        <w:t>Article 13: the right to education</w:t>
      </w:r>
      <w:r w:rsidRPr="00205CCD">
        <w:rPr>
          <w:rFonts w:ascii="Cambria" w:eastAsia="Calibri" w:hAnsi="Cambria" w:cs="Times New Roman"/>
        </w:rPr>
        <w:t xml:space="preserve"> </w:t>
      </w:r>
    </w:p>
    <w:p w14:paraId="3D91BA7C" w14:textId="77777777" w:rsidR="00CD5D3B" w:rsidRPr="00205CCD" w:rsidRDefault="00CD5D3B" w:rsidP="00CD5D3B">
      <w:pPr>
        <w:spacing w:after="0" w:line="240" w:lineRule="auto"/>
        <w:ind w:left="567"/>
        <w:jc w:val="both"/>
        <w:rPr>
          <w:rFonts w:ascii="Cambria" w:eastAsia="Calibri" w:hAnsi="Cambria" w:cs="Times New Roman"/>
        </w:rPr>
      </w:pPr>
    </w:p>
    <w:p w14:paraId="1AABFC2B" w14:textId="77777777" w:rsidR="00CD5D3B" w:rsidRPr="00205CCD" w:rsidRDefault="00CD5D3B" w:rsidP="00CD5D3B">
      <w:pPr>
        <w:spacing w:after="0" w:line="240" w:lineRule="auto"/>
        <w:jc w:val="both"/>
        <w:rPr>
          <w:rFonts w:ascii="Cambria" w:eastAsia="Calibri" w:hAnsi="Cambria" w:cs="Times New Roman"/>
          <w:u w:val="single"/>
        </w:rPr>
      </w:pPr>
      <w:r w:rsidRPr="00205CCD">
        <w:rPr>
          <w:rFonts w:ascii="Cambria" w:eastAsia="Calibri" w:hAnsi="Cambria" w:cs="Times New Roman"/>
          <w:u w:val="single"/>
        </w:rPr>
        <w:t xml:space="preserve">Access to education for Roma and other ethnic minorities </w:t>
      </w:r>
    </w:p>
    <w:p w14:paraId="52F5C9BF" w14:textId="77777777" w:rsidR="00CD5D3B" w:rsidRPr="00205CCD" w:rsidRDefault="00CD5D3B" w:rsidP="00CD5D3B">
      <w:pPr>
        <w:spacing w:after="0" w:line="240" w:lineRule="auto"/>
        <w:ind w:left="567"/>
        <w:jc w:val="both"/>
        <w:rPr>
          <w:rFonts w:ascii="Cambria" w:eastAsia="Calibri" w:hAnsi="Cambria" w:cs="Times New Roman"/>
        </w:rPr>
      </w:pPr>
    </w:p>
    <w:p w14:paraId="3A499335" w14:textId="77777777" w:rsidR="00CD5D3B" w:rsidRPr="00205CCD" w:rsidRDefault="00CD5D3B" w:rsidP="00CD5D3B">
      <w:pPr>
        <w:numPr>
          <w:ilvl w:val="0"/>
          <w:numId w:val="1"/>
        </w:numPr>
        <w:spacing w:after="0" w:line="240" w:lineRule="auto"/>
        <w:jc w:val="both"/>
        <w:rPr>
          <w:rFonts w:ascii="Cambria" w:eastAsia="Calibri" w:hAnsi="Cambria" w:cs="Times New Roman"/>
        </w:rPr>
      </w:pPr>
      <w:r>
        <w:rPr>
          <w:rFonts w:ascii="Cambria" w:eastAsia="Calibri" w:hAnsi="Cambria" w:cs="Times New Roman"/>
        </w:rPr>
        <w:t xml:space="preserve">Our Report presents evidence </w:t>
      </w:r>
      <w:r w:rsidRPr="00205CCD">
        <w:rPr>
          <w:rFonts w:ascii="Cambria" w:eastAsia="Calibri" w:hAnsi="Cambria" w:cs="Times New Roman"/>
        </w:rPr>
        <w:t xml:space="preserve">that Roma </w:t>
      </w:r>
      <w:r>
        <w:rPr>
          <w:rFonts w:ascii="Cambria" w:eastAsia="Calibri" w:hAnsi="Cambria" w:cs="Times New Roman"/>
        </w:rPr>
        <w:t xml:space="preserve">children do not </w:t>
      </w:r>
      <w:r w:rsidRPr="00205CCD">
        <w:rPr>
          <w:rFonts w:ascii="Cambria" w:eastAsia="Calibri" w:hAnsi="Cambria" w:cs="Times New Roman"/>
        </w:rPr>
        <w:t>participat</w:t>
      </w:r>
      <w:r>
        <w:rPr>
          <w:rFonts w:ascii="Cambria" w:eastAsia="Calibri" w:hAnsi="Cambria" w:cs="Times New Roman"/>
        </w:rPr>
        <w:t>e equally in education:</w:t>
      </w:r>
      <w:r w:rsidRPr="00205CCD">
        <w:rPr>
          <w:rFonts w:ascii="Cambria" w:eastAsia="Calibri" w:hAnsi="Cambria" w:cs="Times New Roman"/>
        </w:rPr>
        <w:t xml:space="preserve"> 43% of Roma children between the ages of seven and 15 do not attend school, as compared to only 6% of non-Roma children.</w:t>
      </w:r>
      <w:r>
        <w:rPr>
          <w:rStyle w:val="FootnoteReference"/>
          <w:rFonts w:ascii="Cambria" w:eastAsia="Calibri" w:hAnsi="Cambria" w:cs="Times New Roman"/>
        </w:rPr>
        <w:footnoteReference w:id="91"/>
      </w:r>
      <w:r w:rsidRPr="00205CCD">
        <w:rPr>
          <w:rFonts w:ascii="Cambria" w:eastAsia="Calibri" w:hAnsi="Cambria" w:cs="Times New Roman"/>
        </w:rPr>
        <w:t xml:space="preserve"> </w:t>
      </w:r>
      <w:r w:rsidRPr="00777128">
        <w:rPr>
          <w:rFonts w:ascii="Cambria" w:eastAsia="Calibri" w:hAnsi="Cambria" w:cs="Times New Roman"/>
        </w:rPr>
        <w:t xml:space="preserve"> </w:t>
      </w:r>
      <w:r>
        <w:rPr>
          <w:rFonts w:ascii="Cambria" w:eastAsia="Calibri" w:hAnsi="Cambria" w:cs="Times New Roman"/>
        </w:rPr>
        <w:t>A</w:t>
      </w:r>
      <w:r w:rsidRPr="00205CCD">
        <w:rPr>
          <w:rFonts w:ascii="Cambria" w:eastAsia="Calibri" w:hAnsi="Cambria" w:cs="Times New Roman"/>
        </w:rPr>
        <w:t>t the secondary education stage, only 14% of Roma girls are enrolled in school, as compared with 78% of non-Roma girls and 17% of Roma boys.</w:t>
      </w:r>
      <w:r>
        <w:rPr>
          <w:rFonts w:ascii="Cambria" w:eastAsia="Calibri" w:hAnsi="Cambria" w:cs="Times New Roman"/>
          <w:vertAlign w:val="superscript"/>
        </w:rPr>
        <w:footnoteReference w:id="92"/>
      </w:r>
      <w:r>
        <w:rPr>
          <w:rFonts w:ascii="Cambria" w:eastAsia="Calibri" w:hAnsi="Cambria" w:cs="Times New Roman"/>
        </w:rPr>
        <w:t xml:space="preserve">Among adults, </w:t>
      </w:r>
      <w:r w:rsidRPr="00205CCD">
        <w:rPr>
          <w:rFonts w:ascii="Cambria" w:eastAsia="Calibri" w:hAnsi="Cambria" w:cs="Times New Roman"/>
        </w:rPr>
        <w:t>45% of Roma women have no formal education, compared with 2% of non-R</w:t>
      </w:r>
      <w:r>
        <w:rPr>
          <w:rFonts w:ascii="Cambria" w:eastAsia="Calibri" w:hAnsi="Cambria" w:cs="Times New Roman"/>
        </w:rPr>
        <w:t>oma women and 33% of Roma men.</w:t>
      </w:r>
      <w:r>
        <w:rPr>
          <w:rStyle w:val="FootnoteReference"/>
          <w:rFonts w:ascii="Cambria" w:eastAsia="Calibri" w:hAnsi="Cambria" w:cs="Times New Roman"/>
        </w:rPr>
        <w:footnoteReference w:id="93"/>
      </w:r>
      <w:r w:rsidRPr="00205CCD">
        <w:rPr>
          <w:rFonts w:ascii="Cambria" w:eastAsia="Calibri" w:hAnsi="Cambria" w:cs="Times New Roman"/>
        </w:rPr>
        <w:t xml:space="preserve">  </w:t>
      </w:r>
    </w:p>
    <w:p w14:paraId="33A12488" w14:textId="77777777" w:rsidR="00CD5D3B" w:rsidRPr="00205CCD" w:rsidRDefault="00CD5D3B" w:rsidP="00CD5D3B">
      <w:pPr>
        <w:spacing w:after="0" w:line="240" w:lineRule="auto"/>
        <w:ind w:left="567"/>
        <w:jc w:val="both"/>
        <w:rPr>
          <w:rFonts w:ascii="Cambria" w:eastAsia="Calibri" w:hAnsi="Cambria" w:cs="Times New Roman"/>
        </w:rPr>
      </w:pPr>
    </w:p>
    <w:p w14:paraId="48034BCC" w14:textId="77777777" w:rsidR="00CD5D3B" w:rsidRPr="00205CCD" w:rsidRDefault="00CD5D3B" w:rsidP="00CD5D3B">
      <w:pPr>
        <w:numPr>
          <w:ilvl w:val="0"/>
          <w:numId w:val="1"/>
        </w:numPr>
        <w:spacing w:after="0" w:line="240" w:lineRule="auto"/>
        <w:jc w:val="both"/>
        <w:rPr>
          <w:rFonts w:ascii="Cambria" w:eastAsia="Calibri" w:hAnsi="Cambria" w:cs="Times New Roman"/>
        </w:rPr>
      </w:pPr>
      <w:r w:rsidRPr="00205CCD">
        <w:rPr>
          <w:rFonts w:ascii="Cambria" w:eastAsia="Calibri" w:hAnsi="Cambria" w:cs="Times New Roman"/>
        </w:rPr>
        <w:t xml:space="preserve">A major barrier to education </w:t>
      </w:r>
      <w:r>
        <w:rPr>
          <w:rFonts w:ascii="Cambria" w:eastAsia="Calibri" w:hAnsi="Cambria" w:cs="Times New Roman"/>
        </w:rPr>
        <w:t xml:space="preserve">for Roma children </w:t>
      </w:r>
      <w:r w:rsidRPr="00205CCD">
        <w:rPr>
          <w:rFonts w:ascii="Cambria" w:eastAsia="Calibri" w:hAnsi="Cambria" w:cs="Times New Roman"/>
        </w:rPr>
        <w:t xml:space="preserve">is the widespread practice of informal payments for schooling. Although primary and secondary education </w:t>
      </w:r>
      <w:r>
        <w:rPr>
          <w:rFonts w:ascii="Cambria" w:eastAsia="Calibri" w:hAnsi="Cambria" w:cs="Times New Roman"/>
        </w:rPr>
        <w:t>should</w:t>
      </w:r>
      <w:r w:rsidRPr="00205CCD">
        <w:rPr>
          <w:rFonts w:ascii="Cambria" w:eastAsia="Calibri" w:hAnsi="Cambria" w:cs="Times New Roman"/>
        </w:rPr>
        <w:t xml:space="preserve"> be provided free of charge in Moldova, and the </w:t>
      </w:r>
      <w:r>
        <w:rPr>
          <w:rFonts w:ascii="Cambria" w:eastAsia="Calibri" w:hAnsi="Cambria" w:cs="Times New Roman"/>
        </w:rPr>
        <w:t>Roma</w:t>
      </w:r>
      <w:r w:rsidRPr="00205CCD">
        <w:rPr>
          <w:rFonts w:ascii="Cambria" w:eastAsia="Calibri" w:hAnsi="Cambria" w:cs="Times New Roman"/>
        </w:rPr>
        <w:t xml:space="preserve"> Action Plan provide</w:t>
      </w:r>
      <w:r>
        <w:rPr>
          <w:rFonts w:ascii="Cambria" w:eastAsia="Calibri" w:hAnsi="Cambria" w:cs="Times New Roman"/>
        </w:rPr>
        <w:t>s</w:t>
      </w:r>
      <w:r w:rsidRPr="00205CCD">
        <w:rPr>
          <w:rFonts w:ascii="Cambria" w:eastAsia="Calibri" w:hAnsi="Cambria" w:cs="Times New Roman"/>
        </w:rPr>
        <w:t xml:space="preserve"> for free teaching materials and manuals for Roma children, the practice of demanding informal payments continues unchecked</w:t>
      </w:r>
      <w:r>
        <w:rPr>
          <w:rFonts w:ascii="Cambria" w:eastAsia="Calibri" w:hAnsi="Cambria" w:cs="Times New Roman"/>
        </w:rPr>
        <w:t>.</w:t>
      </w:r>
      <w:r>
        <w:rPr>
          <w:rStyle w:val="FootnoteReference"/>
          <w:rFonts w:ascii="Cambria" w:eastAsia="Calibri" w:hAnsi="Cambria" w:cs="Times New Roman"/>
        </w:rPr>
        <w:footnoteReference w:id="94"/>
      </w:r>
    </w:p>
    <w:p w14:paraId="417FBB82" w14:textId="77777777" w:rsidR="00CD5D3B" w:rsidRPr="00205CCD" w:rsidRDefault="00CD5D3B" w:rsidP="00CD5D3B">
      <w:pPr>
        <w:spacing w:after="0" w:line="240" w:lineRule="auto"/>
        <w:ind w:left="567"/>
        <w:jc w:val="both"/>
        <w:rPr>
          <w:rFonts w:ascii="Cambria" w:eastAsia="Calibri" w:hAnsi="Cambria" w:cs="Times New Roman"/>
        </w:rPr>
      </w:pPr>
    </w:p>
    <w:p w14:paraId="5C49415E" w14:textId="77777777" w:rsidR="00CD5D3B" w:rsidRPr="00205CCD" w:rsidRDefault="00CD5D3B" w:rsidP="00CD5D3B">
      <w:pPr>
        <w:numPr>
          <w:ilvl w:val="0"/>
          <w:numId w:val="1"/>
        </w:numPr>
        <w:spacing w:after="0" w:line="240" w:lineRule="auto"/>
        <w:jc w:val="both"/>
        <w:rPr>
          <w:rFonts w:ascii="Cambria" w:eastAsia="Calibri" w:hAnsi="Cambria" w:cs="Times New Roman"/>
        </w:rPr>
      </w:pPr>
      <w:r w:rsidRPr="00205CCD">
        <w:rPr>
          <w:rFonts w:ascii="Cambria" w:eastAsia="Calibri" w:hAnsi="Cambria" w:cs="Times New Roman"/>
        </w:rPr>
        <w:t>Another barrier to education is the discrimination</w:t>
      </w:r>
      <w:r>
        <w:rPr>
          <w:rFonts w:ascii="Cambria" w:eastAsia="Calibri" w:hAnsi="Cambria" w:cs="Times New Roman"/>
        </w:rPr>
        <w:t xml:space="preserve"> faced by Roma children in schools</w:t>
      </w:r>
      <w:r w:rsidRPr="00205CCD">
        <w:rPr>
          <w:rFonts w:ascii="Cambria" w:eastAsia="Calibri" w:hAnsi="Cambria" w:cs="Times New Roman"/>
        </w:rPr>
        <w:t>. The UN Special Rapporteur on Extreme Poverty has reported that even in areas with a predominantly Roma population, Roma children are segregated in schools.</w:t>
      </w:r>
      <w:r>
        <w:rPr>
          <w:rFonts w:ascii="Cambria" w:eastAsia="Calibri" w:hAnsi="Cambria" w:cs="Times New Roman"/>
          <w:vertAlign w:val="superscript"/>
        </w:rPr>
        <w:footnoteReference w:id="95"/>
      </w:r>
      <w:r w:rsidRPr="00205CCD">
        <w:rPr>
          <w:rFonts w:ascii="Cambria" w:eastAsia="Calibri" w:hAnsi="Cambria" w:cs="Times New Roman"/>
        </w:rPr>
        <w:t xml:space="preserve"> This segregation takes place at a school level, class leve</w:t>
      </w:r>
      <w:r>
        <w:rPr>
          <w:rFonts w:ascii="Cambria" w:eastAsia="Calibri" w:hAnsi="Cambria" w:cs="Times New Roman"/>
        </w:rPr>
        <w:t>l, or even within the classroom</w:t>
      </w:r>
      <w:r>
        <w:rPr>
          <w:rFonts w:ascii="Cambria" w:eastAsia="Calibri" w:hAnsi="Cambria" w:cs="Times New Roman"/>
          <w:vertAlign w:val="superscript"/>
        </w:rPr>
        <w:footnoteReference w:id="96"/>
      </w:r>
      <w:r w:rsidRPr="00205CCD">
        <w:rPr>
          <w:rFonts w:ascii="Cambria" w:eastAsia="Calibri" w:hAnsi="Cambria" w:cs="Times New Roman"/>
        </w:rPr>
        <w:t xml:space="preserve"> </w:t>
      </w:r>
      <w:r>
        <w:rPr>
          <w:rFonts w:ascii="Cambria" w:eastAsia="Calibri" w:hAnsi="Cambria" w:cs="Times New Roman"/>
        </w:rPr>
        <w:t xml:space="preserve">and is coupled with negative attitudes towards Roma from teachers who believe that Roma children are frequently absent and require a special curriculum which will only provides </w:t>
      </w:r>
      <w:r w:rsidRPr="00205CCD">
        <w:rPr>
          <w:rFonts w:ascii="Cambria" w:eastAsia="Calibri" w:hAnsi="Cambria" w:cs="Times New Roman"/>
        </w:rPr>
        <w:t>a ‘basic proficiency in writing, reading, and how to count money’.</w:t>
      </w:r>
      <w:r>
        <w:rPr>
          <w:rFonts w:ascii="Cambria" w:eastAsia="Calibri" w:hAnsi="Cambria" w:cs="Times New Roman"/>
          <w:vertAlign w:val="superscript"/>
        </w:rPr>
        <w:footnoteReference w:id="97"/>
      </w:r>
      <w:r>
        <w:rPr>
          <w:rFonts w:ascii="Cambria" w:eastAsia="Calibri" w:hAnsi="Cambria" w:cs="Times New Roman"/>
        </w:rPr>
        <w:t xml:space="preserve"> </w:t>
      </w:r>
      <w:r w:rsidRPr="00205CCD">
        <w:rPr>
          <w:rFonts w:ascii="Cambria" w:eastAsia="Calibri" w:hAnsi="Cambria" w:cs="Times New Roman"/>
        </w:rPr>
        <w:t xml:space="preserve"> </w:t>
      </w:r>
    </w:p>
    <w:p w14:paraId="015D9682" w14:textId="77777777" w:rsidR="00CD5D3B" w:rsidRPr="00205CCD" w:rsidRDefault="00CD5D3B" w:rsidP="00CD5D3B">
      <w:pPr>
        <w:spacing w:after="0" w:line="240" w:lineRule="auto"/>
        <w:jc w:val="both"/>
        <w:rPr>
          <w:rFonts w:ascii="Cambria" w:eastAsia="Calibri" w:hAnsi="Cambria" w:cs="Times New Roman"/>
          <w:b/>
        </w:rPr>
      </w:pPr>
    </w:p>
    <w:p w14:paraId="7E63A727" w14:textId="77777777" w:rsidR="00CD5D3B" w:rsidRPr="00205CCD" w:rsidRDefault="00CD5D3B" w:rsidP="00CD5D3B">
      <w:pPr>
        <w:spacing w:after="0" w:line="240" w:lineRule="auto"/>
        <w:jc w:val="both"/>
        <w:rPr>
          <w:rFonts w:ascii="Cambria" w:eastAsia="Calibri" w:hAnsi="Cambria" w:cs="Times New Roman"/>
          <w:u w:val="single"/>
        </w:rPr>
      </w:pPr>
      <w:r w:rsidRPr="00205CCD">
        <w:rPr>
          <w:rFonts w:ascii="Cambria" w:eastAsia="Calibri" w:hAnsi="Cambria" w:cs="Times New Roman"/>
          <w:u w:val="single"/>
        </w:rPr>
        <w:t xml:space="preserve">Access to education for persons with disabilities  </w:t>
      </w:r>
    </w:p>
    <w:p w14:paraId="501090A2" w14:textId="77777777" w:rsidR="00CD5D3B" w:rsidRPr="00205CCD" w:rsidRDefault="00CD5D3B" w:rsidP="00CD5D3B">
      <w:pPr>
        <w:spacing w:after="0" w:line="240" w:lineRule="auto"/>
        <w:jc w:val="both"/>
        <w:rPr>
          <w:rFonts w:ascii="Cambria" w:eastAsia="Calibri" w:hAnsi="Cambria" w:cs="Times New Roman"/>
        </w:rPr>
      </w:pPr>
    </w:p>
    <w:p w14:paraId="268979D5" w14:textId="77777777" w:rsidR="00CD5D3B" w:rsidRPr="00205CCD" w:rsidRDefault="00CD5D3B" w:rsidP="00CD5D3B">
      <w:pPr>
        <w:numPr>
          <w:ilvl w:val="0"/>
          <w:numId w:val="1"/>
        </w:numPr>
        <w:spacing w:after="0" w:line="240" w:lineRule="auto"/>
        <w:jc w:val="both"/>
        <w:rPr>
          <w:rFonts w:ascii="Cambria" w:eastAsia="Calibri" w:hAnsi="Cambria" w:cs="Times New Roman"/>
        </w:rPr>
      </w:pPr>
      <w:r w:rsidRPr="00205CCD">
        <w:rPr>
          <w:rFonts w:ascii="Cambria" w:eastAsia="Calibri" w:hAnsi="Cambria" w:cs="Times New Roman"/>
        </w:rPr>
        <w:t xml:space="preserve">There is an extensive framework of legislation and policy to promote </w:t>
      </w:r>
      <w:r>
        <w:rPr>
          <w:rFonts w:ascii="Cambria" w:eastAsia="Calibri" w:hAnsi="Cambria" w:cs="Times New Roman"/>
        </w:rPr>
        <w:t>access to</w:t>
      </w:r>
      <w:r w:rsidRPr="00205CCD">
        <w:rPr>
          <w:rFonts w:ascii="Cambria" w:eastAsia="Calibri" w:hAnsi="Cambria" w:cs="Times New Roman"/>
        </w:rPr>
        <w:t xml:space="preserve"> education for persons with disabilities. Discrimination in education on grounds of disab</w:t>
      </w:r>
      <w:r>
        <w:rPr>
          <w:rFonts w:ascii="Cambria" w:eastAsia="Calibri" w:hAnsi="Cambria" w:cs="Times New Roman"/>
        </w:rPr>
        <w:t>ility is prohibited,</w:t>
      </w:r>
      <w:r>
        <w:rPr>
          <w:rFonts w:ascii="Cambria" w:eastAsia="Calibri" w:hAnsi="Cambria" w:cs="Times New Roman"/>
          <w:vertAlign w:val="superscript"/>
        </w:rPr>
        <w:footnoteReference w:id="98"/>
      </w:r>
      <w:r w:rsidRPr="00205CCD">
        <w:rPr>
          <w:rFonts w:ascii="Cambria" w:eastAsia="Calibri" w:hAnsi="Cambria" w:cs="Times New Roman"/>
        </w:rPr>
        <w:t xml:space="preserve"> and there are specific provisions for the regulation of education of persons with disabilities,</w:t>
      </w:r>
      <w:r>
        <w:rPr>
          <w:rFonts w:ascii="Cambria" w:eastAsia="Calibri" w:hAnsi="Cambria" w:cs="Times New Roman"/>
          <w:vertAlign w:val="superscript"/>
        </w:rPr>
        <w:footnoteReference w:id="99"/>
      </w:r>
      <w:r w:rsidRPr="00205CCD">
        <w:rPr>
          <w:rFonts w:ascii="Cambria" w:eastAsia="Calibri" w:hAnsi="Cambria" w:cs="Times New Roman"/>
        </w:rPr>
        <w:t xml:space="preserve"> and for children with special educational needs, including the right for parents to choose the educational institution they want their children to attend.</w:t>
      </w:r>
      <w:r>
        <w:rPr>
          <w:rFonts w:ascii="Cambria" w:eastAsia="Calibri" w:hAnsi="Cambria" w:cs="Times New Roman"/>
          <w:vertAlign w:val="superscript"/>
        </w:rPr>
        <w:footnoteReference w:id="100"/>
      </w:r>
      <w:r w:rsidRPr="00205CCD">
        <w:rPr>
          <w:rFonts w:ascii="Cambria" w:eastAsia="Calibri" w:hAnsi="Cambria" w:cs="Times New Roman"/>
        </w:rPr>
        <w:t xml:space="preserve"> A Programme on Inclusive Education (2011-2020) has also been approved by the Government of Moldova, which addresses, among other things, the inclusion of children with special educational needs.</w:t>
      </w:r>
      <w:r>
        <w:rPr>
          <w:rFonts w:ascii="Cambria" w:eastAsia="Calibri" w:hAnsi="Cambria" w:cs="Times New Roman"/>
          <w:vertAlign w:val="superscript"/>
        </w:rPr>
        <w:footnoteReference w:id="101"/>
      </w:r>
    </w:p>
    <w:p w14:paraId="0313B833" w14:textId="77777777" w:rsidR="00CD5D3B" w:rsidRPr="00205CCD" w:rsidRDefault="00CD5D3B" w:rsidP="00CD5D3B">
      <w:pPr>
        <w:spacing w:after="0" w:line="240" w:lineRule="auto"/>
        <w:ind w:left="567"/>
        <w:jc w:val="both"/>
        <w:rPr>
          <w:rFonts w:ascii="Cambria" w:eastAsia="Calibri" w:hAnsi="Cambria" w:cs="Times New Roman"/>
        </w:rPr>
      </w:pPr>
    </w:p>
    <w:p w14:paraId="268E2B82" w14:textId="2B39D29E" w:rsidR="00CD5D3B" w:rsidRDefault="00CD5D3B" w:rsidP="00CD5D3B">
      <w:pPr>
        <w:numPr>
          <w:ilvl w:val="0"/>
          <w:numId w:val="1"/>
        </w:numPr>
        <w:spacing w:after="0" w:line="240" w:lineRule="auto"/>
        <w:jc w:val="both"/>
        <w:rPr>
          <w:rFonts w:ascii="Cambria" w:eastAsia="Calibri" w:hAnsi="Cambria" w:cs="Times New Roman"/>
        </w:rPr>
      </w:pPr>
      <w:r w:rsidRPr="00205CCD">
        <w:rPr>
          <w:rFonts w:ascii="Cambria" w:eastAsia="Calibri" w:hAnsi="Cambria" w:cs="Times New Roman"/>
        </w:rPr>
        <w:t xml:space="preserve">Despite this framework, barriers to education persist. </w:t>
      </w:r>
      <w:r>
        <w:rPr>
          <w:rFonts w:ascii="Cambria" w:eastAsia="Calibri" w:hAnsi="Cambria" w:cs="Times New Roman"/>
        </w:rPr>
        <w:t>This can be seen in the low enrol</w:t>
      </w:r>
      <w:r w:rsidRPr="00205CCD">
        <w:rPr>
          <w:rFonts w:ascii="Cambria" w:eastAsia="Calibri" w:hAnsi="Cambria" w:cs="Times New Roman"/>
        </w:rPr>
        <w:t xml:space="preserve">ment </w:t>
      </w:r>
      <w:r>
        <w:rPr>
          <w:rFonts w:ascii="Cambria" w:eastAsia="Calibri" w:hAnsi="Cambria" w:cs="Times New Roman"/>
        </w:rPr>
        <w:t xml:space="preserve">rates </w:t>
      </w:r>
      <w:r w:rsidRPr="00205CCD">
        <w:rPr>
          <w:rFonts w:ascii="Cambria" w:eastAsia="Calibri" w:hAnsi="Cambria" w:cs="Times New Roman"/>
        </w:rPr>
        <w:t>of persons with di</w:t>
      </w:r>
      <w:r>
        <w:rPr>
          <w:rFonts w:ascii="Cambria" w:eastAsia="Calibri" w:hAnsi="Cambria" w:cs="Times New Roman"/>
        </w:rPr>
        <w:t xml:space="preserve">sabilities in higher education, which is a consequence of </w:t>
      </w:r>
      <w:r w:rsidRPr="00205CCD">
        <w:rPr>
          <w:rFonts w:ascii="Cambria" w:eastAsia="Calibri" w:hAnsi="Cambria" w:cs="Times New Roman"/>
        </w:rPr>
        <w:t xml:space="preserve">students being excluded </w:t>
      </w:r>
      <w:r>
        <w:rPr>
          <w:rFonts w:ascii="Cambria" w:eastAsia="Calibri" w:hAnsi="Cambria" w:cs="Times New Roman"/>
        </w:rPr>
        <w:t xml:space="preserve">from education </w:t>
      </w:r>
      <w:r w:rsidRPr="00205CCD">
        <w:rPr>
          <w:rFonts w:ascii="Cambria" w:eastAsia="Calibri" w:hAnsi="Cambria" w:cs="Times New Roman"/>
        </w:rPr>
        <w:t xml:space="preserve">at </w:t>
      </w:r>
      <w:r>
        <w:rPr>
          <w:rFonts w:ascii="Cambria" w:eastAsia="Calibri" w:hAnsi="Cambria" w:cs="Times New Roman"/>
        </w:rPr>
        <w:t xml:space="preserve">the </w:t>
      </w:r>
      <w:r w:rsidRPr="00205CCD">
        <w:rPr>
          <w:rFonts w:ascii="Cambria" w:eastAsia="Calibri" w:hAnsi="Cambria" w:cs="Times New Roman"/>
        </w:rPr>
        <w:t>earlier stages</w:t>
      </w:r>
      <w:r>
        <w:rPr>
          <w:rFonts w:ascii="Cambria" w:eastAsia="Calibri" w:hAnsi="Cambria" w:cs="Times New Roman"/>
        </w:rPr>
        <w:t xml:space="preserve"> of education</w:t>
      </w:r>
      <w:r w:rsidRPr="00205CCD">
        <w:rPr>
          <w:rFonts w:ascii="Cambria" w:eastAsia="Calibri" w:hAnsi="Cambria" w:cs="Times New Roman"/>
        </w:rPr>
        <w:t>, and</w:t>
      </w:r>
      <w:r>
        <w:rPr>
          <w:rFonts w:ascii="Cambria" w:eastAsia="Calibri" w:hAnsi="Cambria" w:cs="Times New Roman"/>
        </w:rPr>
        <w:t xml:space="preserve"> can </w:t>
      </w:r>
      <w:r w:rsidRPr="00205CCD">
        <w:rPr>
          <w:rFonts w:ascii="Cambria" w:eastAsia="Calibri" w:hAnsi="Cambria" w:cs="Times New Roman"/>
        </w:rPr>
        <w:t xml:space="preserve">in part </w:t>
      </w:r>
      <w:r>
        <w:rPr>
          <w:rFonts w:ascii="Cambria" w:eastAsia="Calibri" w:hAnsi="Cambria" w:cs="Times New Roman"/>
        </w:rPr>
        <w:t>be attributed to</w:t>
      </w:r>
      <w:r w:rsidRPr="00205CCD">
        <w:rPr>
          <w:rFonts w:ascii="Cambria" w:eastAsia="Calibri" w:hAnsi="Cambria" w:cs="Times New Roman"/>
        </w:rPr>
        <w:t xml:space="preserve"> other barriers such as a lack of accessibility.</w:t>
      </w:r>
      <w:r>
        <w:rPr>
          <w:rFonts w:ascii="Cambria" w:eastAsia="Calibri" w:hAnsi="Cambria" w:cs="Times New Roman"/>
          <w:vertAlign w:val="superscript"/>
        </w:rPr>
        <w:footnoteReference w:id="102"/>
      </w:r>
      <w:r w:rsidRPr="00205CCD">
        <w:rPr>
          <w:rFonts w:ascii="Cambria" w:eastAsia="Calibri" w:hAnsi="Cambria" w:cs="Times New Roman"/>
        </w:rPr>
        <w:t xml:space="preserve"> </w:t>
      </w:r>
      <w:r w:rsidR="00917462">
        <w:rPr>
          <w:rFonts w:ascii="Cambria" w:eastAsia="Calibri" w:hAnsi="Cambria" w:cs="Times New Roman"/>
        </w:rPr>
        <w:t xml:space="preserve">The CPEDEE has considered several </w:t>
      </w:r>
      <w:r w:rsidRPr="00205CCD">
        <w:rPr>
          <w:rFonts w:ascii="Cambria" w:eastAsia="Calibri" w:hAnsi="Cambria" w:cs="Times New Roman"/>
        </w:rPr>
        <w:t>case</w:t>
      </w:r>
      <w:r>
        <w:rPr>
          <w:rFonts w:ascii="Cambria" w:eastAsia="Calibri" w:hAnsi="Cambria" w:cs="Times New Roman"/>
        </w:rPr>
        <w:t>s</w:t>
      </w:r>
      <w:r w:rsidRPr="00205CCD">
        <w:rPr>
          <w:rFonts w:ascii="Cambria" w:eastAsia="Calibri" w:hAnsi="Cambria" w:cs="Times New Roman"/>
        </w:rPr>
        <w:t xml:space="preserve"> of children who have been excluded from education  by being </w:t>
      </w:r>
      <w:r w:rsidR="00182859">
        <w:rPr>
          <w:rFonts w:ascii="Cambria" w:eastAsia="Calibri" w:hAnsi="Cambria" w:cs="Times New Roman"/>
        </w:rPr>
        <w:t>refused admission</w:t>
      </w:r>
      <w:r w:rsidRPr="00205CCD">
        <w:rPr>
          <w:rFonts w:ascii="Cambria" w:eastAsia="Calibri" w:hAnsi="Cambria" w:cs="Times New Roman"/>
        </w:rPr>
        <w:t>.</w:t>
      </w:r>
      <w:r w:rsidR="00917462">
        <w:rPr>
          <w:rStyle w:val="FootnoteReference"/>
          <w:rFonts w:ascii="Cambria" w:eastAsia="Calibri" w:hAnsi="Cambria" w:cs="Times New Roman"/>
        </w:rPr>
        <w:footnoteReference w:id="103"/>
      </w:r>
      <w:r w:rsidR="00917462">
        <w:rPr>
          <w:rFonts w:ascii="Cambria" w:eastAsia="Calibri" w:hAnsi="Cambria" w:cs="Times New Roman"/>
        </w:rPr>
        <w:t xml:space="preserve"> For example, i</w:t>
      </w:r>
      <w:r>
        <w:rPr>
          <w:rFonts w:ascii="Cambria" w:eastAsia="Calibri" w:hAnsi="Cambria" w:cs="Times New Roman"/>
        </w:rPr>
        <w:t>n 2013, t</w:t>
      </w:r>
      <w:r w:rsidRPr="00205CCD">
        <w:rPr>
          <w:rFonts w:ascii="Cambria" w:eastAsia="Calibri" w:hAnsi="Cambria" w:cs="Times New Roman"/>
        </w:rPr>
        <w:t xml:space="preserve">he </w:t>
      </w:r>
      <w:r>
        <w:rPr>
          <w:rFonts w:ascii="Cambria" w:eastAsia="Calibri" w:hAnsi="Cambria" w:cs="Times New Roman"/>
        </w:rPr>
        <w:t>CPEDEE</w:t>
      </w:r>
      <w:r w:rsidRPr="00205CCD">
        <w:rPr>
          <w:rFonts w:ascii="Cambria" w:eastAsia="Calibri" w:hAnsi="Cambria" w:cs="Times New Roman"/>
        </w:rPr>
        <w:t xml:space="preserve"> found that a child with diabetes who had been refused enrolment in two kindergartens in Chișinău because of her special </w:t>
      </w:r>
      <w:r>
        <w:rPr>
          <w:rFonts w:ascii="Cambria" w:eastAsia="Calibri" w:hAnsi="Cambria" w:cs="Times New Roman"/>
        </w:rPr>
        <w:t xml:space="preserve">educational </w:t>
      </w:r>
      <w:r w:rsidRPr="00205CCD">
        <w:rPr>
          <w:rFonts w:ascii="Cambria" w:eastAsia="Calibri" w:hAnsi="Cambria" w:cs="Times New Roman"/>
        </w:rPr>
        <w:t xml:space="preserve">needs, had been the subject of discrimination. </w:t>
      </w:r>
      <w:r>
        <w:rPr>
          <w:rFonts w:ascii="Cambria" w:eastAsia="Calibri" w:hAnsi="Cambria" w:cs="Times New Roman"/>
          <w:vertAlign w:val="superscript"/>
        </w:rPr>
        <w:footnoteReference w:id="104"/>
      </w:r>
      <w:r w:rsidRPr="00205CCD">
        <w:rPr>
          <w:rFonts w:ascii="Cambria" w:eastAsia="Calibri" w:hAnsi="Cambria" w:cs="Times New Roman"/>
        </w:rPr>
        <w:t xml:space="preserve"> </w:t>
      </w:r>
    </w:p>
    <w:p w14:paraId="4CDD96BD" w14:textId="77777777" w:rsidR="001565CD" w:rsidRDefault="001565CD" w:rsidP="00CD5D3B">
      <w:pPr>
        <w:spacing w:after="0" w:line="240" w:lineRule="auto"/>
        <w:jc w:val="both"/>
        <w:rPr>
          <w:rFonts w:ascii="Cambria" w:eastAsia="Calibri" w:hAnsi="Cambria" w:cs="Times New Roman"/>
          <w:u w:val="single"/>
        </w:rPr>
      </w:pPr>
    </w:p>
    <w:p w14:paraId="1227403A" w14:textId="49408FE8" w:rsidR="00CD5D3B" w:rsidRPr="00205CCD" w:rsidRDefault="00CD5D3B" w:rsidP="00CD5D3B">
      <w:pPr>
        <w:spacing w:after="0" w:line="240" w:lineRule="auto"/>
        <w:jc w:val="both"/>
        <w:rPr>
          <w:rFonts w:ascii="Cambria" w:eastAsia="Calibri" w:hAnsi="Cambria" w:cs="Times New Roman"/>
          <w:u w:val="single"/>
        </w:rPr>
      </w:pPr>
      <w:r w:rsidRPr="00205CCD">
        <w:rPr>
          <w:rFonts w:ascii="Cambria" w:eastAsia="Calibri" w:hAnsi="Cambria" w:cs="Times New Roman"/>
          <w:u w:val="single"/>
        </w:rPr>
        <w:t>Access to education for persons living with HIV and persons living with tuberculosis</w:t>
      </w:r>
    </w:p>
    <w:p w14:paraId="06D79FC1" w14:textId="77777777" w:rsidR="00CD5D3B" w:rsidRPr="00205CCD" w:rsidRDefault="00CD5D3B" w:rsidP="00CD5D3B">
      <w:pPr>
        <w:spacing w:after="0" w:line="240" w:lineRule="auto"/>
        <w:ind w:left="567"/>
        <w:jc w:val="both"/>
        <w:rPr>
          <w:rFonts w:ascii="Cambria" w:eastAsia="Calibri" w:hAnsi="Cambria" w:cs="Times New Roman"/>
          <w:i/>
        </w:rPr>
      </w:pPr>
    </w:p>
    <w:p w14:paraId="191868D0" w14:textId="77777777" w:rsidR="00CD5D3B" w:rsidRPr="00637AB5" w:rsidRDefault="00CD5D3B" w:rsidP="00CD5D3B">
      <w:pPr>
        <w:numPr>
          <w:ilvl w:val="0"/>
          <w:numId w:val="1"/>
        </w:numPr>
        <w:spacing w:after="0" w:line="240" w:lineRule="auto"/>
        <w:jc w:val="both"/>
        <w:rPr>
          <w:rFonts w:ascii="Cambria" w:eastAsia="Calibri" w:hAnsi="Cambria" w:cs="Times New Roman"/>
          <w:i/>
        </w:rPr>
      </w:pPr>
      <w:r w:rsidRPr="00637AB5">
        <w:rPr>
          <w:rFonts w:ascii="Cambria" w:eastAsia="Calibri" w:hAnsi="Cambria" w:cs="Times New Roman"/>
        </w:rPr>
        <w:t xml:space="preserve">Although discrimination based on HIV status is specifically prohibited in Article 23 of the Law on Prevention of HIV/AIDS, there is evidence that educational institutions have declined to </w:t>
      </w:r>
      <w:r w:rsidRPr="00637AB5">
        <w:rPr>
          <w:rFonts w:ascii="Cambria" w:eastAsia="Calibri" w:hAnsi="Cambria" w:cs="Times New Roman"/>
        </w:rPr>
        <w:lastRenderedPageBreak/>
        <w:t xml:space="preserve">accept children </w:t>
      </w:r>
      <w:r>
        <w:rPr>
          <w:rFonts w:ascii="Cambria" w:eastAsia="Calibri" w:hAnsi="Cambria" w:cs="Times New Roman"/>
        </w:rPr>
        <w:t xml:space="preserve">living </w:t>
      </w:r>
      <w:r w:rsidRPr="00637AB5">
        <w:rPr>
          <w:rFonts w:ascii="Cambria" w:eastAsia="Calibri" w:hAnsi="Cambria" w:cs="Times New Roman"/>
        </w:rPr>
        <w:t>with HIV into kindergartens and schools.</w:t>
      </w:r>
      <w:r>
        <w:rPr>
          <w:rFonts w:ascii="Cambria" w:eastAsia="Calibri" w:hAnsi="Cambria" w:cs="Times New Roman"/>
          <w:vertAlign w:val="superscript"/>
        </w:rPr>
        <w:footnoteReference w:id="105"/>
      </w:r>
      <w:r w:rsidRPr="00637AB5">
        <w:rPr>
          <w:rFonts w:ascii="Cambria" w:eastAsia="Calibri" w:hAnsi="Cambria" w:cs="Times New Roman"/>
        </w:rPr>
        <w:t xml:space="preserve"> Children </w:t>
      </w:r>
      <w:r>
        <w:rPr>
          <w:rFonts w:ascii="Cambria" w:eastAsia="Calibri" w:hAnsi="Cambria" w:cs="Times New Roman"/>
        </w:rPr>
        <w:t xml:space="preserve">living </w:t>
      </w:r>
      <w:r w:rsidRPr="00637AB5">
        <w:rPr>
          <w:rFonts w:ascii="Cambria" w:eastAsia="Calibri" w:hAnsi="Cambria" w:cs="Times New Roman"/>
        </w:rPr>
        <w:t>with HIV experience stigma</w:t>
      </w:r>
      <w:r>
        <w:rPr>
          <w:rFonts w:ascii="Cambria" w:eastAsia="Calibri" w:hAnsi="Cambria" w:cs="Times New Roman"/>
        </w:rPr>
        <w:t>:</w:t>
      </w:r>
      <w:r w:rsidRPr="00637AB5">
        <w:rPr>
          <w:rFonts w:ascii="Cambria" w:eastAsia="Calibri" w:hAnsi="Cambria" w:cs="Times New Roman"/>
        </w:rPr>
        <w:t xml:space="preserve"> 48.9% of respondents to a 2015 study considered that children with HIV should be segregated from other students in schools.</w:t>
      </w:r>
      <w:r>
        <w:rPr>
          <w:rFonts w:ascii="Cambria" w:eastAsia="Calibri" w:hAnsi="Cambria" w:cs="Times New Roman"/>
          <w:vertAlign w:val="superscript"/>
        </w:rPr>
        <w:footnoteReference w:id="106"/>
      </w:r>
      <w:r w:rsidRPr="00637AB5">
        <w:rPr>
          <w:rFonts w:ascii="Cambria" w:eastAsia="Calibri" w:hAnsi="Cambria" w:cs="Times New Roman"/>
        </w:rPr>
        <w:t xml:space="preserve"> Children </w:t>
      </w:r>
      <w:r>
        <w:rPr>
          <w:rFonts w:ascii="Cambria" w:eastAsia="Calibri" w:hAnsi="Cambria" w:cs="Times New Roman"/>
        </w:rPr>
        <w:t>of adults living with HIV</w:t>
      </w:r>
      <w:r w:rsidRPr="00637AB5">
        <w:rPr>
          <w:rFonts w:ascii="Cambria" w:eastAsia="Calibri" w:hAnsi="Cambria" w:cs="Times New Roman"/>
        </w:rPr>
        <w:t xml:space="preserve"> are subject to discrimination by association.</w:t>
      </w:r>
      <w:r>
        <w:rPr>
          <w:rFonts w:ascii="Cambria" w:eastAsia="Calibri" w:hAnsi="Cambria" w:cs="Times New Roman"/>
        </w:rPr>
        <w:t xml:space="preserve"> </w:t>
      </w:r>
      <w:r w:rsidRPr="00637AB5">
        <w:rPr>
          <w:rFonts w:ascii="Cambria" w:eastAsia="Calibri" w:hAnsi="Cambria" w:cs="Times New Roman"/>
        </w:rPr>
        <w:t>The Trust collected testimon</w:t>
      </w:r>
      <w:r>
        <w:rPr>
          <w:rFonts w:ascii="Cambria" w:eastAsia="Calibri" w:hAnsi="Cambria" w:cs="Times New Roman"/>
        </w:rPr>
        <w:t xml:space="preserve">y from </w:t>
      </w:r>
      <w:r w:rsidRPr="00637AB5">
        <w:rPr>
          <w:rFonts w:ascii="Cambria" w:eastAsia="Calibri" w:hAnsi="Cambria" w:cs="Times New Roman"/>
        </w:rPr>
        <w:t xml:space="preserve">parents </w:t>
      </w:r>
      <w:r>
        <w:rPr>
          <w:rFonts w:ascii="Cambria" w:eastAsia="Calibri" w:hAnsi="Cambria" w:cs="Times New Roman"/>
        </w:rPr>
        <w:t xml:space="preserve">living </w:t>
      </w:r>
      <w:r w:rsidRPr="00637AB5">
        <w:rPr>
          <w:rFonts w:ascii="Cambria" w:eastAsia="Calibri" w:hAnsi="Cambria" w:cs="Times New Roman"/>
        </w:rPr>
        <w:t>with HIV who have been forced to remove their children from schools because of pressure from directors of kindergartens or teachers.</w:t>
      </w:r>
      <w:r>
        <w:rPr>
          <w:rFonts w:ascii="Cambria" w:eastAsia="Calibri" w:hAnsi="Cambria" w:cs="Times New Roman"/>
          <w:vertAlign w:val="superscript"/>
        </w:rPr>
        <w:footnoteReference w:id="107"/>
      </w:r>
      <w:r w:rsidRPr="00637AB5">
        <w:rPr>
          <w:rFonts w:ascii="Cambria" w:eastAsia="Calibri" w:hAnsi="Cambria" w:cs="Times New Roman"/>
        </w:rPr>
        <w:t xml:space="preserve"> </w:t>
      </w:r>
    </w:p>
    <w:p w14:paraId="5879A1CB" w14:textId="77777777" w:rsidR="00CD5D3B" w:rsidRPr="00B63956" w:rsidRDefault="00CD5D3B" w:rsidP="00CD5D3B">
      <w:pPr>
        <w:spacing w:after="0" w:line="240" w:lineRule="auto"/>
        <w:ind w:left="567"/>
        <w:jc w:val="both"/>
        <w:rPr>
          <w:rFonts w:ascii="Cambria" w:eastAsia="Calibri" w:hAnsi="Cambria" w:cs="Times New Roman"/>
          <w:i/>
        </w:rPr>
      </w:pPr>
    </w:p>
    <w:p w14:paraId="4D40C55B" w14:textId="77777777" w:rsidR="00CD5D3B" w:rsidRPr="00637AB5" w:rsidRDefault="00CD5D3B" w:rsidP="00CD5D3B">
      <w:pPr>
        <w:numPr>
          <w:ilvl w:val="0"/>
          <w:numId w:val="1"/>
        </w:numPr>
        <w:spacing w:after="0" w:line="240" w:lineRule="auto"/>
        <w:jc w:val="both"/>
        <w:rPr>
          <w:rFonts w:ascii="Cambria" w:eastAsia="Calibri" w:hAnsi="Cambria" w:cs="Times New Roman"/>
          <w:i/>
        </w:rPr>
      </w:pPr>
      <w:r w:rsidRPr="00205CCD">
        <w:rPr>
          <w:rFonts w:ascii="Cambria" w:eastAsia="Calibri" w:hAnsi="Cambria" w:cs="Times New Roman"/>
        </w:rPr>
        <w:t xml:space="preserve">The Trust has also found evidence of discrimination in the classroom against children whose relatives have tuberculosis. In one </w:t>
      </w:r>
      <w:r>
        <w:rPr>
          <w:rFonts w:ascii="Cambria" w:eastAsia="Calibri" w:hAnsi="Cambria" w:cs="Times New Roman"/>
        </w:rPr>
        <w:t>case which was</w:t>
      </w:r>
      <w:r w:rsidRPr="00205CCD">
        <w:rPr>
          <w:rFonts w:ascii="Cambria" w:eastAsia="Calibri" w:hAnsi="Cambria" w:cs="Times New Roman"/>
        </w:rPr>
        <w:t xml:space="preserve"> shared at </w:t>
      </w:r>
      <w:r>
        <w:rPr>
          <w:rFonts w:ascii="Cambria" w:eastAsia="Calibri" w:hAnsi="Cambria" w:cs="Times New Roman"/>
        </w:rPr>
        <w:t xml:space="preserve">a </w:t>
      </w:r>
      <w:r w:rsidRPr="00205CCD">
        <w:rPr>
          <w:rFonts w:ascii="Cambria" w:eastAsia="Calibri" w:hAnsi="Cambria" w:cs="Times New Roman"/>
        </w:rPr>
        <w:t>focus group</w:t>
      </w:r>
      <w:r>
        <w:rPr>
          <w:rFonts w:ascii="Cambria" w:eastAsia="Calibri" w:hAnsi="Cambria" w:cs="Times New Roman"/>
        </w:rPr>
        <w:t xml:space="preserve"> discussions</w:t>
      </w:r>
      <w:r w:rsidRPr="00205CCD">
        <w:rPr>
          <w:rFonts w:ascii="Cambria" w:eastAsia="Calibri" w:hAnsi="Cambria" w:cs="Times New Roman"/>
        </w:rPr>
        <w:t>, school administrators moved a child’s desk to the back of the classroom</w:t>
      </w:r>
      <w:r>
        <w:rPr>
          <w:rFonts w:ascii="Cambria" w:eastAsia="Calibri" w:hAnsi="Cambria" w:cs="Times New Roman"/>
        </w:rPr>
        <w:t xml:space="preserve"> because they had a relative with TB; t</w:t>
      </w:r>
      <w:r w:rsidRPr="00205CCD">
        <w:rPr>
          <w:rFonts w:ascii="Cambria" w:eastAsia="Calibri" w:hAnsi="Cambria" w:cs="Times New Roman"/>
        </w:rPr>
        <w:t>he child was asked to keep her mouth closed during school time and to avoid talking during class, unless asked by the teacher, so that “she would not spread the disease”. The girl was bullied by other children and eventually left the school.</w:t>
      </w:r>
      <w:r w:rsidRPr="00205CCD">
        <w:rPr>
          <w:rFonts w:ascii="Cambria" w:eastAsia="Calibri" w:hAnsi="Cambria" w:cs="Times New Roman"/>
          <w:vertAlign w:val="superscript"/>
        </w:rPr>
        <w:t xml:space="preserve"> </w:t>
      </w:r>
      <w:r>
        <w:rPr>
          <w:rFonts w:ascii="Cambria" w:eastAsia="Calibri" w:hAnsi="Cambria" w:cs="Times New Roman"/>
          <w:vertAlign w:val="superscript"/>
        </w:rPr>
        <w:footnoteReference w:id="108"/>
      </w:r>
      <w:r>
        <w:rPr>
          <w:rFonts w:ascii="Cambria" w:eastAsia="Calibri" w:hAnsi="Cambria" w:cs="Times New Roman"/>
          <w:i/>
        </w:rPr>
        <w:t xml:space="preserve"> </w:t>
      </w:r>
    </w:p>
    <w:p w14:paraId="48E02161" w14:textId="77777777" w:rsidR="00CD5D3B" w:rsidRPr="00205CCD" w:rsidRDefault="00CD5D3B" w:rsidP="00CD5D3B">
      <w:pPr>
        <w:spacing w:after="0" w:line="240" w:lineRule="auto"/>
        <w:ind w:left="567"/>
        <w:jc w:val="both"/>
        <w:rPr>
          <w:rFonts w:ascii="Cambria" w:eastAsia="Calibri" w:hAnsi="Cambria" w:cs="Times New Roman"/>
        </w:rPr>
      </w:pPr>
    </w:p>
    <w:p w14:paraId="596D609A" w14:textId="77777777" w:rsidR="00CD5D3B" w:rsidRPr="0074474F" w:rsidRDefault="00CD5D3B" w:rsidP="00CD5D3B">
      <w:pPr>
        <w:numPr>
          <w:ilvl w:val="0"/>
          <w:numId w:val="1"/>
        </w:numPr>
        <w:spacing w:after="0" w:line="240" w:lineRule="auto"/>
        <w:jc w:val="both"/>
        <w:rPr>
          <w:rFonts w:ascii="Cambria" w:eastAsia="Calibri" w:hAnsi="Cambria" w:cs="Times New Roman"/>
        </w:rPr>
      </w:pPr>
      <w:r w:rsidRPr="0074474F">
        <w:rPr>
          <w:rFonts w:ascii="Cambria" w:eastAsia="Calibri" w:hAnsi="Cambria" w:cs="Times New Roman"/>
        </w:rPr>
        <w:t>Ove 1,300 children remain in special boarding schools that lack the required materials and expertise to administer educational services effectively to children with disabilities.</w:t>
      </w:r>
      <w:r w:rsidRPr="0074474F">
        <w:rPr>
          <w:rFonts w:ascii="Cambria" w:eastAsia="Calibri" w:hAnsi="Cambria" w:cs="Times New Roman"/>
          <w:vertAlign w:val="superscript"/>
        </w:rPr>
        <w:footnoteReference w:id="109"/>
      </w:r>
      <w:r w:rsidRPr="0074474F">
        <w:rPr>
          <w:rFonts w:ascii="Cambria" w:eastAsia="Calibri" w:hAnsi="Cambria" w:cs="Times New Roman"/>
        </w:rPr>
        <w:t xml:space="preserve"> There have also been reported difficulties in the integration of children with disabilities into mainstream schools. The Legal Assistance Centre for Persons with Disabilities has recorded that many mainstream schools are unwilling to accept children with disabilities, and that mainstream schools lack the skills and resources to effectively cater for children with disabilities.</w:t>
      </w:r>
      <w:r w:rsidRPr="0074474F">
        <w:rPr>
          <w:rFonts w:ascii="Cambria" w:eastAsia="Calibri" w:hAnsi="Cambria" w:cs="Times New Roman"/>
          <w:vertAlign w:val="superscript"/>
        </w:rPr>
        <w:footnoteReference w:id="110"/>
      </w:r>
    </w:p>
    <w:p w14:paraId="541FD008" w14:textId="77777777" w:rsidR="00CD5D3B" w:rsidRDefault="00CD5D3B" w:rsidP="00CD5D3B">
      <w:pPr>
        <w:spacing w:after="0" w:line="240" w:lineRule="auto"/>
        <w:ind w:left="567"/>
        <w:jc w:val="both"/>
        <w:rPr>
          <w:rFonts w:ascii="Cambria" w:eastAsia="Calibri" w:hAnsi="Cambria" w:cs="Times New Roman"/>
          <w:b/>
        </w:rPr>
      </w:pPr>
    </w:p>
    <w:p w14:paraId="637CA5CF" w14:textId="77777777" w:rsidR="00CD5D3B" w:rsidRPr="005A273F" w:rsidRDefault="00CD5D3B" w:rsidP="00CD5D3B">
      <w:pPr>
        <w:pBdr>
          <w:top w:val="single" w:sz="18" w:space="1" w:color="E8112D"/>
          <w:left w:val="single" w:sz="18" w:space="4" w:color="E8112D"/>
          <w:bottom w:val="single" w:sz="18" w:space="1" w:color="E8112D"/>
          <w:right w:val="single" w:sz="18" w:space="4" w:color="E8112D"/>
        </w:pBdr>
        <w:shd w:val="solid" w:color="FCD4D9" w:fill="E8112D"/>
        <w:ind w:left="567" w:hanging="567"/>
        <w:rPr>
          <w:rFonts w:ascii="Cambria" w:hAnsi="Cambria"/>
          <w:b/>
        </w:rPr>
      </w:pPr>
      <w:r w:rsidRPr="005A273F">
        <w:rPr>
          <w:rFonts w:ascii="Cambria" w:hAnsi="Cambria"/>
          <w:b/>
        </w:rPr>
        <w:t>Suggested Questions</w:t>
      </w:r>
      <w:r>
        <w:rPr>
          <w:rFonts w:ascii="Cambria" w:hAnsi="Cambria"/>
          <w:b/>
        </w:rPr>
        <w:t xml:space="preserve"> on Discrimination in respect of the Right to Education</w:t>
      </w:r>
    </w:p>
    <w:p w14:paraId="3FF1ED69" w14:textId="77777777" w:rsidR="00CD5D3B" w:rsidRPr="000E0CE4" w:rsidRDefault="00CD5D3B" w:rsidP="00CD5D3B">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sidRPr="000E0CE4">
        <w:rPr>
          <w:rFonts w:ascii="Cambria" w:hAnsi="Cambria"/>
        </w:rPr>
        <w:t xml:space="preserve">What measures </w:t>
      </w:r>
      <w:r>
        <w:rPr>
          <w:rFonts w:ascii="Cambria" w:hAnsi="Cambria"/>
        </w:rPr>
        <w:t xml:space="preserve">– beyond legislation – </w:t>
      </w:r>
      <w:r w:rsidRPr="000E0CE4">
        <w:rPr>
          <w:rFonts w:ascii="Cambria" w:hAnsi="Cambria"/>
        </w:rPr>
        <w:t>has the state party taken to ensure the equal enjoyment of the right to education</w:t>
      </w:r>
      <w:r>
        <w:rPr>
          <w:rFonts w:ascii="Cambria" w:hAnsi="Cambria"/>
        </w:rPr>
        <w:t>,</w:t>
      </w:r>
      <w:r w:rsidRPr="000E0CE4">
        <w:rPr>
          <w:rFonts w:ascii="Cambria" w:hAnsi="Cambria"/>
        </w:rPr>
        <w:t xml:space="preserve"> without discrimination of any kind, including in particular on the basis of race and ethnicity, disability and health status?  </w:t>
      </w:r>
    </w:p>
    <w:p w14:paraId="3F2DAE9C" w14:textId="77777777" w:rsidR="00CD5D3B" w:rsidRDefault="00CD5D3B" w:rsidP="00CD5D3B">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What assessment, if any, has the state party made of the effectiveness of the Law on Ensuring Equality in eliminating discrimination in the exercise of the right to education? What was the outcome of this assessment?</w:t>
      </w:r>
    </w:p>
    <w:p w14:paraId="56906BDD" w14:textId="77777777" w:rsidR="00CD5D3B" w:rsidRDefault="00CD5D3B" w:rsidP="00CD5D3B">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What steps has the state taken to monitor the implementation of measures to comply with the obligation of non-discrimination in respect of the right to education? In particular, what data has the state party collected on participation in education, disaggregated on the basis of all grounds of discrimination recognised by the Committee?</w:t>
      </w:r>
    </w:p>
    <w:p w14:paraId="7D86EB47" w14:textId="77777777" w:rsidR="00CD5D3B" w:rsidRDefault="00CD5D3B" w:rsidP="00CD5D3B">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What measures is the state party taking to increase the participation of Roma children in education?</w:t>
      </w:r>
    </w:p>
    <w:p w14:paraId="3BFCF582" w14:textId="77777777" w:rsidR="00CD5D3B" w:rsidRDefault="00CD5D3B" w:rsidP="00CD5D3B">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Pr>
          <w:rFonts w:ascii="Cambria" w:hAnsi="Cambria"/>
        </w:rPr>
        <w:t xml:space="preserve">What measures is the state party taking to eliminate </w:t>
      </w:r>
      <w:r>
        <w:rPr>
          <w:rFonts w:ascii="Cambria" w:hAnsi="Cambria"/>
          <w:i/>
        </w:rPr>
        <w:t xml:space="preserve">de facto </w:t>
      </w:r>
      <w:r>
        <w:rPr>
          <w:rFonts w:ascii="Cambria" w:hAnsi="Cambria"/>
        </w:rPr>
        <w:t>segregation of Roma children within the education system?</w:t>
      </w:r>
    </w:p>
    <w:p w14:paraId="726359A9" w14:textId="77777777" w:rsidR="00CD5D3B" w:rsidRPr="0019651B" w:rsidRDefault="00CD5D3B" w:rsidP="00CD5D3B">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ind w:left="567" w:hanging="567"/>
        <w:rPr>
          <w:rFonts w:ascii="Cambria" w:hAnsi="Cambria"/>
        </w:rPr>
      </w:pPr>
      <w:r>
        <w:rPr>
          <w:rFonts w:ascii="Cambria" w:hAnsi="Cambria"/>
        </w:rPr>
        <w:lastRenderedPageBreak/>
        <w:t>What measures is the state party taking to ensure the inclusive education of children with disabilities, and to end the practice of institutionalisation?</w:t>
      </w:r>
      <w:r w:rsidRPr="0019651B">
        <w:rPr>
          <w:rFonts w:ascii="Cambria" w:eastAsia="Calibri" w:hAnsi="Cambria" w:cs="Times New Roman"/>
        </w:rPr>
        <w:t xml:space="preserve"> </w:t>
      </w:r>
      <w:r>
        <w:rPr>
          <w:rFonts w:ascii="Cambria" w:eastAsia="Calibri" w:hAnsi="Cambria" w:cs="Times New Roman"/>
        </w:rPr>
        <w:t>In particular, w</w:t>
      </w:r>
      <w:r w:rsidRPr="0019651B">
        <w:rPr>
          <w:rFonts w:ascii="Cambria" w:hAnsi="Cambria"/>
        </w:rPr>
        <w:t>hat steps</w:t>
      </w:r>
      <w:r>
        <w:rPr>
          <w:rFonts w:ascii="Cambria" w:hAnsi="Cambria"/>
        </w:rPr>
        <w:t xml:space="preserve"> </w:t>
      </w:r>
      <w:r w:rsidRPr="0019651B">
        <w:rPr>
          <w:rFonts w:ascii="Cambria" w:hAnsi="Cambria"/>
        </w:rPr>
        <w:t xml:space="preserve">is the state party </w:t>
      </w:r>
      <w:r>
        <w:rPr>
          <w:rFonts w:ascii="Cambria" w:hAnsi="Cambria"/>
        </w:rPr>
        <w:t>taking</w:t>
      </w:r>
      <w:r w:rsidRPr="0019651B">
        <w:rPr>
          <w:rFonts w:ascii="Cambria" w:hAnsi="Cambria"/>
        </w:rPr>
        <w:t xml:space="preserve"> to ensure that mainstream schools are able to accommodate the needs of children with disabilities? </w:t>
      </w:r>
    </w:p>
    <w:p w14:paraId="687395A3" w14:textId="77777777" w:rsidR="00CD5D3B" w:rsidRPr="0019651B" w:rsidRDefault="00CD5D3B" w:rsidP="00CD5D3B">
      <w:pPr>
        <w:pStyle w:val="ListParagraph"/>
        <w:numPr>
          <w:ilvl w:val="0"/>
          <w:numId w:val="24"/>
        </w:numPr>
        <w:pBdr>
          <w:top w:val="single" w:sz="18" w:space="1" w:color="E8112D"/>
          <w:left w:val="single" w:sz="18" w:space="4" w:color="E8112D"/>
          <w:bottom w:val="single" w:sz="18" w:space="1" w:color="E8112D"/>
          <w:right w:val="single" w:sz="18" w:space="4" w:color="E8112D"/>
        </w:pBdr>
        <w:shd w:val="solid" w:color="FCD4D9" w:fill="E8112D"/>
        <w:spacing w:after="0" w:line="240" w:lineRule="auto"/>
        <w:ind w:left="567" w:hanging="567"/>
        <w:jc w:val="both"/>
        <w:rPr>
          <w:rFonts w:ascii="Cambria" w:hAnsi="Cambria"/>
        </w:rPr>
      </w:pPr>
      <w:r w:rsidRPr="0019651B">
        <w:rPr>
          <w:rFonts w:ascii="Cambria" w:hAnsi="Cambria"/>
        </w:rPr>
        <w:t>What measures is the state party taking to combat the stigmatisation of persons living with HIV and persons with tuberculosis in the education system?</w:t>
      </w:r>
    </w:p>
    <w:p w14:paraId="35408820" w14:textId="77777777" w:rsidR="00CD5D3B" w:rsidRDefault="00CD5D3B" w:rsidP="00CD5D3B">
      <w:pPr>
        <w:pBdr>
          <w:top w:val="single" w:sz="18" w:space="1" w:color="E8112D"/>
          <w:left w:val="single" w:sz="18" w:space="4" w:color="E8112D"/>
          <w:bottom w:val="single" w:sz="18" w:space="1" w:color="E8112D"/>
          <w:right w:val="single" w:sz="18" w:space="4" w:color="E8112D"/>
        </w:pBdr>
        <w:shd w:val="solid" w:color="FCD4D9" w:fill="E8112D"/>
      </w:pPr>
    </w:p>
    <w:p w14:paraId="36F55F1A" w14:textId="74EB444A" w:rsidR="00F00B1E" w:rsidRPr="002D3BA6" w:rsidRDefault="00F00B1E" w:rsidP="00CD5D3B">
      <w:pPr>
        <w:spacing w:after="0" w:line="240" w:lineRule="auto"/>
        <w:jc w:val="both"/>
        <w:rPr>
          <w:rFonts w:ascii="Cambria" w:hAnsi="Cambria"/>
        </w:rPr>
      </w:pPr>
    </w:p>
    <w:sectPr w:rsidR="00F00B1E" w:rsidRPr="002D3BA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E27824" w14:textId="77777777" w:rsidR="00E33A40" w:rsidRDefault="00E33A40">
      <w:pPr>
        <w:spacing w:after="0" w:line="240" w:lineRule="auto"/>
      </w:pPr>
      <w:r>
        <w:separator/>
      </w:r>
    </w:p>
  </w:endnote>
  <w:endnote w:type="continuationSeparator" w:id="0">
    <w:p w14:paraId="5291A2D5" w14:textId="77777777" w:rsidR="00E33A40" w:rsidRDefault="00E33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102F8C" w14:textId="77777777" w:rsidR="00E33A40" w:rsidRDefault="00E33A40" w:rsidP="00F00B1E">
      <w:pPr>
        <w:spacing w:after="0" w:line="240" w:lineRule="auto"/>
      </w:pPr>
      <w:r>
        <w:separator/>
      </w:r>
    </w:p>
  </w:footnote>
  <w:footnote w:type="continuationSeparator" w:id="0">
    <w:p w14:paraId="5CC12820" w14:textId="77777777" w:rsidR="00E33A40" w:rsidRDefault="00E33A40" w:rsidP="00F00B1E">
      <w:pPr>
        <w:spacing w:after="0" w:line="240" w:lineRule="auto"/>
      </w:pPr>
      <w:r>
        <w:continuationSeparator/>
      </w:r>
    </w:p>
  </w:footnote>
  <w:footnote w:id="1">
    <w:p w14:paraId="5C312710" w14:textId="77777777" w:rsidR="001E6F04" w:rsidRDefault="001E6F04">
      <w:pPr>
        <w:pStyle w:val="FootnoteText"/>
      </w:pPr>
      <w:r>
        <w:rPr>
          <w:rStyle w:val="FootnoteReference"/>
        </w:rPr>
        <w:footnoteRef/>
      </w:r>
      <w:r>
        <w:t xml:space="preserve"> The Report can be accessed here: </w:t>
      </w:r>
      <w:hyperlink r:id="rId1" w:history="1">
        <w:r w:rsidRPr="00B661FC">
          <w:rPr>
            <w:rStyle w:val="Hyperlink"/>
          </w:rPr>
          <w:t>http://www.equalrightstrust.org/ertdocumentbank/From%20Words%20to%20Deeds%20Addressing%20Discrimination%20and%20Inequality%20in%20Moldova_0.pdf</w:t>
        </w:r>
      </w:hyperlink>
      <w:r>
        <w:t xml:space="preserve">. </w:t>
      </w:r>
    </w:p>
  </w:footnote>
  <w:footnote w:id="2">
    <w:p w14:paraId="64B466FA" w14:textId="77777777" w:rsidR="001E6F04" w:rsidRDefault="001E6F04" w:rsidP="007444AC">
      <w:pPr>
        <w:pStyle w:val="FootnoteText"/>
      </w:pPr>
      <w:r>
        <w:rPr>
          <w:rStyle w:val="FootnoteReference"/>
        </w:rPr>
        <w:footnoteRef/>
      </w:r>
      <w:r>
        <w:t xml:space="preserve"> </w:t>
      </w:r>
      <w:r w:rsidRPr="00F25B31">
        <w:t xml:space="preserve">Committee on Economic, Social and Cultural Rights, </w:t>
      </w:r>
      <w:r w:rsidRPr="00AA6E59">
        <w:rPr>
          <w:i/>
        </w:rPr>
        <w:t>General Comment No. 20:  Non-discrimination in economic, social and cultural rights (Article 2, Para. 2, of the International Covenant on Economic, Social and Cultural Rights),</w:t>
      </w:r>
      <w:r>
        <w:t xml:space="preserve"> UN Doc.</w:t>
      </w:r>
      <w:r w:rsidRPr="00AA6E59">
        <w:rPr>
          <w:i/>
        </w:rPr>
        <w:t xml:space="preserve"> </w:t>
      </w:r>
      <w:r w:rsidRPr="00F25B31">
        <w:t xml:space="preserve">E/C.12/GC/20, 2009, </w:t>
      </w:r>
      <w:r>
        <w:t>Para 37.</w:t>
      </w:r>
    </w:p>
  </w:footnote>
  <w:footnote w:id="3">
    <w:p w14:paraId="77DF80AC" w14:textId="77777777" w:rsidR="001E6F04" w:rsidRDefault="001E6F04" w:rsidP="003C5119">
      <w:pPr>
        <w:pStyle w:val="FootnoteText"/>
      </w:pPr>
      <w:r>
        <w:rPr>
          <w:rStyle w:val="FootnoteReference"/>
        </w:rPr>
        <w:footnoteRef/>
      </w:r>
      <w:r>
        <w:t xml:space="preserve"> Constitutional Court, Decision No. 14 of 8 October 2013, available at: http://lex.justice.md/index.php?action=view&amp;view=doc&amp;lang=1&amp;id=350284.</w:t>
      </w:r>
    </w:p>
  </w:footnote>
  <w:footnote w:id="4">
    <w:p w14:paraId="5458505A" w14:textId="77777777" w:rsidR="001E6F04" w:rsidRDefault="001E6F04">
      <w:pPr>
        <w:pStyle w:val="FootnoteText"/>
      </w:pPr>
      <w:r>
        <w:rPr>
          <w:rStyle w:val="FootnoteReference"/>
        </w:rPr>
        <w:footnoteRef/>
      </w:r>
      <w:r>
        <w:t xml:space="preserve"> </w:t>
      </w:r>
      <w:r w:rsidRPr="00EC1388">
        <w:t>Law on Ensuring Equality (Law No. 121 of 25 May 2012), Article</w:t>
      </w:r>
      <w:r>
        <w:t>s 7 – 9.</w:t>
      </w:r>
    </w:p>
  </w:footnote>
  <w:footnote w:id="5">
    <w:p w14:paraId="5B0F6EED" w14:textId="77777777" w:rsidR="001E6F04" w:rsidRDefault="001E6F04" w:rsidP="00A85263">
      <w:pPr>
        <w:pStyle w:val="FootnoteText"/>
      </w:pPr>
      <w:r>
        <w:rPr>
          <w:rStyle w:val="FootnoteReference"/>
        </w:rPr>
        <w:footnoteRef/>
      </w:r>
      <w:r>
        <w:t xml:space="preserve"> </w:t>
      </w:r>
      <w:r w:rsidRPr="00AA6E59">
        <w:rPr>
          <w:i/>
        </w:rPr>
        <w:t>Ibid</w:t>
      </w:r>
      <w:r>
        <w:t xml:space="preserve">., </w:t>
      </w:r>
      <w:r w:rsidRPr="00AA6E59">
        <w:t>Article</w:t>
      </w:r>
      <w:r w:rsidRPr="00B17C6A">
        <w:t xml:space="preserve"> </w:t>
      </w:r>
      <w:r>
        <w:t xml:space="preserve">1(1), Article 5(a). </w:t>
      </w:r>
    </w:p>
  </w:footnote>
  <w:footnote w:id="6">
    <w:p w14:paraId="7A1F58F4" w14:textId="77777777" w:rsidR="001E6F04" w:rsidRDefault="001E6F04">
      <w:pPr>
        <w:pStyle w:val="FootnoteText"/>
      </w:pPr>
      <w:r>
        <w:rPr>
          <w:rStyle w:val="FootnoteReference"/>
        </w:rPr>
        <w:footnoteRef/>
      </w:r>
      <w:r w:rsidRPr="00AA6E59">
        <w:rPr>
          <w:i/>
        </w:rPr>
        <w:t>Ibid</w:t>
      </w:r>
      <w:r>
        <w:t xml:space="preserve">., </w:t>
      </w:r>
      <w:r w:rsidRPr="008D64E6">
        <w:t>Article 1(1)</w:t>
      </w:r>
      <w:r>
        <w:t>.</w:t>
      </w:r>
    </w:p>
  </w:footnote>
  <w:footnote w:id="7">
    <w:p w14:paraId="1FA48732" w14:textId="77777777" w:rsidR="001E6F04" w:rsidRDefault="001E6F04">
      <w:pPr>
        <w:pStyle w:val="FootnoteText"/>
      </w:pPr>
      <w:r>
        <w:rPr>
          <w:rStyle w:val="FootnoteReference"/>
        </w:rPr>
        <w:footnoteRef/>
      </w:r>
      <w:r>
        <w:t xml:space="preserve"> </w:t>
      </w:r>
      <w:r w:rsidRPr="00AA6E59">
        <w:rPr>
          <w:i/>
        </w:rPr>
        <w:t>Ibid</w:t>
      </w:r>
      <w:r>
        <w:t>., Article 1(2).</w:t>
      </w:r>
    </w:p>
  </w:footnote>
  <w:footnote w:id="8">
    <w:p w14:paraId="05E35B11" w14:textId="77777777" w:rsidR="001E6F04" w:rsidRDefault="001E6F04" w:rsidP="00023861">
      <w:pPr>
        <w:pStyle w:val="FootnoteText"/>
      </w:pPr>
      <w:r>
        <w:rPr>
          <w:rStyle w:val="FootnoteReference"/>
        </w:rPr>
        <w:footnoteRef/>
      </w:r>
      <w:r>
        <w:t xml:space="preserve"> Note that </w:t>
      </w:r>
      <w:r w:rsidRPr="00205CCD">
        <w:rPr>
          <w:rFonts w:eastAsia="Calibri" w:cs="Times New Roman"/>
        </w:rPr>
        <w:t xml:space="preserve">the Council on the Prevention and Elimination of Discrimination and Ensuring Equality has held that sexual orientation is a protected characteristic within the meaning of Article 1(1) </w:t>
      </w:r>
      <w:r>
        <w:rPr>
          <w:rFonts w:eastAsia="Calibri" w:cs="Times New Roman"/>
        </w:rPr>
        <w:t xml:space="preserve">of the Law on Ensuring Equality, </w:t>
      </w:r>
      <w:r>
        <w:t>Council on the Prevention and Elimination of Discrimination and Ensuring Equality, Decision</w:t>
      </w:r>
    </w:p>
    <w:p w14:paraId="7E293CBD" w14:textId="77777777" w:rsidR="001E6F04" w:rsidRDefault="001E6F04" w:rsidP="00023861">
      <w:pPr>
        <w:pStyle w:val="FootnoteText"/>
      </w:pPr>
      <w:r>
        <w:t>No. 028/13 of 21 January 2014, available at: http://www.egalitate.md/media/files/files/</w:t>
      </w:r>
    </w:p>
    <w:p w14:paraId="0F0C2D41" w14:textId="77777777" w:rsidR="001E6F04" w:rsidRDefault="001E6F04">
      <w:pPr>
        <w:pStyle w:val="FootnoteText"/>
      </w:pPr>
      <w:r>
        <w:t>decizie_conf_cauza_nr_028_2013_bn_3543907.pdf.</w:t>
      </w:r>
    </w:p>
  </w:footnote>
  <w:footnote w:id="9">
    <w:p w14:paraId="6130BD33" w14:textId="77777777" w:rsidR="001E6F04" w:rsidRDefault="001E6F04" w:rsidP="00FB0E38">
      <w:pPr>
        <w:pStyle w:val="FootnoteText"/>
      </w:pPr>
      <w:r>
        <w:rPr>
          <w:rStyle w:val="FootnoteReference"/>
        </w:rPr>
        <w:footnoteRef/>
      </w:r>
      <w:r>
        <w:t xml:space="preserve"> </w:t>
      </w:r>
      <w:r w:rsidRPr="00AA6E59">
        <w:rPr>
          <w:i/>
        </w:rPr>
        <w:t>Ibid</w:t>
      </w:r>
      <w:r>
        <w:t>., Article 11.</w:t>
      </w:r>
    </w:p>
  </w:footnote>
  <w:footnote w:id="10">
    <w:p w14:paraId="32CF3EF2" w14:textId="4B79211E" w:rsidR="001E6F04" w:rsidRPr="00837F79" w:rsidRDefault="001E6F04">
      <w:pPr>
        <w:pStyle w:val="FootnoteText"/>
      </w:pPr>
      <w:r>
        <w:rPr>
          <w:rStyle w:val="FootnoteReference"/>
        </w:rPr>
        <w:footnoteRef/>
      </w:r>
      <w:r>
        <w:t xml:space="preserve"> </w:t>
      </w:r>
      <w:r w:rsidRPr="00EC1388">
        <w:t>Law on Ensuring Equality (Law No. 121 of 25 May 2012),</w:t>
      </w:r>
      <w:r>
        <w:t xml:space="preserve"> Article 15(4); </w:t>
      </w:r>
      <w:r w:rsidRPr="00A6743A">
        <w:rPr>
          <w:lang w:val="en-US"/>
        </w:rPr>
        <w:t xml:space="preserve">Equal Rights Trust, </w:t>
      </w:r>
      <w:r w:rsidRPr="00AA6E59">
        <w:rPr>
          <w:i/>
          <w:lang w:val="en-US"/>
        </w:rPr>
        <w:t>From Words to Deeds: Addressing Discrimination and Inequality in Moldova</w:t>
      </w:r>
      <w:r>
        <w:rPr>
          <w:lang w:val="en-US"/>
        </w:rPr>
        <w:t xml:space="preserve">, p. 257. </w:t>
      </w:r>
    </w:p>
  </w:footnote>
  <w:footnote w:id="11">
    <w:p w14:paraId="25D73C46" w14:textId="77777777" w:rsidR="001E6F04" w:rsidRDefault="001E6F04" w:rsidP="00205FF4">
      <w:pPr>
        <w:pStyle w:val="FootnoteText"/>
      </w:pPr>
      <w:r w:rsidRPr="00A6743A">
        <w:rPr>
          <w:rStyle w:val="FootnoteReference"/>
        </w:rPr>
        <w:footnoteRef/>
      </w:r>
      <w:r w:rsidRPr="00A6743A">
        <w:t xml:space="preserve"> </w:t>
      </w:r>
      <w:r w:rsidRPr="00A6743A">
        <w:rPr>
          <w:lang w:val="en-US"/>
        </w:rPr>
        <w:t xml:space="preserve">Equal Rights Trust, </w:t>
      </w:r>
      <w:r w:rsidRPr="00AA6E59">
        <w:rPr>
          <w:i/>
          <w:lang w:val="en-US"/>
        </w:rPr>
        <w:t>From Words to Deeds: Addressing Discrimination and Inequality in Moldova</w:t>
      </w:r>
      <w:r>
        <w:rPr>
          <w:lang w:val="en-US"/>
        </w:rPr>
        <w:t xml:space="preserve">, </w:t>
      </w:r>
      <w:r>
        <w:t>p.280</w:t>
      </w:r>
      <w:r w:rsidRPr="00A6743A">
        <w:t>.</w:t>
      </w:r>
    </w:p>
  </w:footnote>
  <w:footnote w:id="12">
    <w:p w14:paraId="4D300EBD" w14:textId="77777777" w:rsidR="001E6F04" w:rsidRDefault="001E6F04">
      <w:pPr>
        <w:pStyle w:val="FootnoteText"/>
      </w:pPr>
      <w:r>
        <w:rPr>
          <w:rStyle w:val="FootnoteReference"/>
        </w:rPr>
        <w:footnoteRef/>
      </w:r>
      <w:r>
        <w:t xml:space="preserve"> </w:t>
      </w:r>
      <w:r w:rsidRPr="007971BC">
        <w:t>Law</w:t>
      </w:r>
      <w:r>
        <w:t xml:space="preserve"> No. 5-XVI of 9 February 2006, </w:t>
      </w:r>
      <w:r w:rsidRPr="00AD7813">
        <w:t>the (Equal Opportunities Law).</w:t>
      </w:r>
    </w:p>
  </w:footnote>
  <w:footnote w:id="13">
    <w:p w14:paraId="47B2432C" w14:textId="77777777" w:rsidR="001E6F04" w:rsidRDefault="001E6F04" w:rsidP="00205FF4">
      <w:pPr>
        <w:pStyle w:val="FootnoteText"/>
      </w:pPr>
      <w:r>
        <w:rPr>
          <w:rStyle w:val="FootnoteReference"/>
        </w:rPr>
        <w:footnoteRef/>
      </w:r>
      <w:r>
        <w:t xml:space="preserve"> </w:t>
      </w:r>
      <w:r w:rsidRPr="00FC4DDB">
        <w:t>Law No. 60 of 30 March 2012</w:t>
      </w:r>
      <w:r>
        <w:t>.</w:t>
      </w:r>
    </w:p>
  </w:footnote>
  <w:footnote w:id="14">
    <w:p w14:paraId="1F5733D0" w14:textId="32EAEE7F" w:rsidR="001E6F04" w:rsidRDefault="001E6F04">
      <w:pPr>
        <w:pStyle w:val="FootnoteText"/>
      </w:pPr>
      <w:r>
        <w:rPr>
          <w:rStyle w:val="FootnoteReference"/>
        </w:rPr>
        <w:footnoteRef/>
      </w:r>
      <w:r>
        <w:t xml:space="preserve"> </w:t>
      </w:r>
      <w:r w:rsidRPr="00A6743A">
        <w:rPr>
          <w:lang w:val="en-US"/>
        </w:rPr>
        <w:t xml:space="preserve">Equal Rights Trust, </w:t>
      </w:r>
      <w:r w:rsidRPr="00AA6E59">
        <w:rPr>
          <w:i/>
          <w:lang w:val="en-US"/>
        </w:rPr>
        <w:t>From Words to Deeds: Addressing Discrimination and Inequality in Moldova</w:t>
      </w:r>
      <w:r>
        <w:rPr>
          <w:lang w:val="en-US"/>
        </w:rPr>
        <w:t xml:space="preserve">, </w:t>
      </w:r>
      <w:r>
        <w:t>p.257</w:t>
      </w:r>
      <w:r w:rsidRPr="00A6743A">
        <w:t>.</w:t>
      </w:r>
    </w:p>
  </w:footnote>
  <w:footnote w:id="15">
    <w:p w14:paraId="3515FBA1" w14:textId="3ED14C2D" w:rsidR="001E6F04" w:rsidRPr="00837F79" w:rsidRDefault="001E6F04">
      <w:pPr>
        <w:pStyle w:val="FootnoteText"/>
      </w:pPr>
      <w:r>
        <w:rPr>
          <w:rStyle w:val="FootnoteReference"/>
        </w:rPr>
        <w:footnoteRef/>
      </w:r>
      <w:r>
        <w:t xml:space="preserve"> </w:t>
      </w:r>
      <w:r>
        <w:rPr>
          <w:i/>
        </w:rPr>
        <w:t xml:space="preserve">Ibid, </w:t>
      </w:r>
      <w:r>
        <w:t xml:space="preserve">p.262; for example, there is an obligation under Article 10(1) of the Equal Opportunities Law which requires employers to cooperate with employees to establish internal regulations to prevent cases of discrimination at work. There is currently no way for an aggrieved person to obtain relief under this provision. </w:t>
      </w:r>
    </w:p>
  </w:footnote>
  <w:footnote w:id="16">
    <w:p w14:paraId="7574FF04" w14:textId="2F626EB9" w:rsidR="001E6F04" w:rsidRDefault="001E6F04">
      <w:pPr>
        <w:pStyle w:val="FootnoteText"/>
      </w:pPr>
      <w:r>
        <w:rPr>
          <w:rStyle w:val="FootnoteReference"/>
        </w:rPr>
        <w:footnoteRef/>
      </w:r>
      <w:r>
        <w:t xml:space="preserve"> </w:t>
      </w:r>
      <w:r w:rsidRPr="00FC4DDB">
        <w:t>Law No. 60 of 30 March 2012</w:t>
      </w:r>
      <w:r>
        <w:t xml:space="preserve">, Articles 22-25. </w:t>
      </w:r>
    </w:p>
  </w:footnote>
  <w:footnote w:id="17">
    <w:p w14:paraId="146F786B" w14:textId="7DEDC602" w:rsidR="001E6F04" w:rsidRDefault="001E6F04">
      <w:pPr>
        <w:pStyle w:val="FootnoteText"/>
      </w:pPr>
      <w:r>
        <w:rPr>
          <w:rStyle w:val="FootnoteReference"/>
        </w:rPr>
        <w:footnoteRef/>
      </w:r>
      <w:r>
        <w:t xml:space="preserve"> </w:t>
      </w:r>
      <w:r w:rsidRPr="00FC4DDB">
        <w:t>Law No. 60 of 30 March 2012</w:t>
      </w:r>
      <w:r>
        <w:t>, Articles 34(4).</w:t>
      </w:r>
    </w:p>
  </w:footnote>
  <w:footnote w:id="18">
    <w:p w14:paraId="09AAB690" w14:textId="64FF36A1" w:rsidR="001E6F04" w:rsidRPr="00B47F36" w:rsidRDefault="001E6F04">
      <w:pPr>
        <w:pStyle w:val="FootnoteText"/>
      </w:pPr>
      <w:r>
        <w:rPr>
          <w:rStyle w:val="FootnoteReference"/>
        </w:rPr>
        <w:footnoteRef/>
      </w:r>
      <w:r>
        <w:t xml:space="preserve"> </w:t>
      </w:r>
      <w:r>
        <w:rPr>
          <w:i/>
        </w:rPr>
        <w:t>Ibid</w:t>
      </w:r>
      <w:r>
        <w:t xml:space="preserve">. </w:t>
      </w:r>
    </w:p>
  </w:footnote>
  <w:footnote w:id="19">
    <w:p w14:paraId="1CC7D903" w14:textId="77777777" w:rsidR="001E6F04" w:rsidRDefault="001E6F04">
      <w:pPr>
        <w:pStyle w:val="FootnoteText"/>
      </w:pPr>
      <w:r>
        <w:rPr>
          <w:rStyle w:val="FootnoteReference"/>
        </w:rPr>
        <w:footnoteRef/>
      </w:r>
      <w:r>
        <w:t xml:space="preserve"> Eq</w:t>
      </w:r>
      <w:r w:rsidRPr="00A6743A">
        <w:rPr>
          <w:lang w:val="en-US"/>
        </w:rPr>
        <w:t xml:space="preserve">ual Rights Trust, </w:t>
      </w:r>
      <w:r w:rsidRPr="00AA6E59">
        <w:rPr>
          <w:i/>
          <w:lang w:val="en-US"/>
        </w:rPr>
        <w:t>From Words to Deeds: Addressing Discrimination and Inequality in Moldova</w:t>
      </w:r>
      <w:r>
        <w:t xml:space="preserve">, p. 270.  </w:t>
      </w:r>
    </w:p>
  </w:footnote>
  <w:footnote w:id="20">
    <w:p w14:paraId="39DCFC64" w14:textId="77777777" w:rsidR="001E6F04" w:rsidRPr="00222490" w:rsidRDefault="001E6F04" w:rsidP="00F05420">
      <w:pPr>
        <w:pStyle w:val="FootnoteText"/>
      </w:pPr>
      <w:r>
        <w:rPr>
          <w:rStyle w:val="FootnoteReference"/>
        </w:rPr>
        <w:footnoteRef/>
      </w:r>
      <w:r>
        <w:t xml:space="preserve"> National Employment Agency, </w:t>
      </w:r>
      <w:r>
        <w:rPr>
          <w:i/>
        </w:rPr>
        <w:t>Activity Report for 2015</w:t>
      </w:r>
      <w:r w:rsidRPr="00237997">
        <w:t>,</w:t>
      </w:r>
      <w:r>
        <w:rPr>
          <w:i/>
        </w:rPr>
        <w:t xml:space="preserve"> </w:t>
      </w:r>
      <w:r>
        <w:t>2016, p. 16</w:t>
      </w:r>
    </w:p>
  </w:footnote>
  <w:footnote w:id="21">
    <w:p w14:paraId="5B7833D3" w14:textId="77777777" w:rsidR="001E6F04" w:rsidRDefault="001E6F04" w:rsidP="00142964">
      <w:pPr>
        <w:pStyle w:val="FootnoteText"/>
      </w:pPr>
      <w:r>
        <w:rPr>
          <w:rStyle w:val="FootnoteReference"/>
        </w:rPr>
        <w:footnoteRef/>
      </w:r>
      <w:r>
        <w:t xml:space="preserve"> United Nations in Moldova, Roma in the Republic of Moldova: In Communities Inhabited Mainly by</w:t>
      </w:r>
    </w:p>
    <w:p w14:paraId="10B66003" w14:textId="2F7D5DB0" w:rsidR="001E6F04" w:rsidRDefault="001E6F04" w:rsidP="00142964">
      <w:pPr>
        <w:pStyle w:val="FootnoteText"/>
      </w:pPr>
      <w:r>
        <w:t>Roma, 2013, p. 36, available at http://www.unicef.org/moldova/ro/Raport_ROMA_rom2013.pdf.</w:t>
      </w:r>
    </w:p>
  </w:footnote>
  <w:footnote w:id="22">
    <w:p w14:paraId="6DCB59EC" w14:textId="77777777" w:rsidR="001E6F04" w:rsidRDefault="001E6F04" w:rsidP="00F05420">
      <w:pPr>
        <w:pStyle w:val="FootnoteText"/>
      </w:pPr>
      <w:r>
        <w:rPr>
          <w:rStyle w:val="FootnoteReference"/>
        </w:rPr>
        <w:footnoteRef/>
      </w:r>
      <w:r>
        <w:t xml:space="preserve"> UN Women, United Nations Development Programme, and Office of the High Commissioner for Human Rights, </w:t>
      </w:r>
      <w:r w:rsidRPr="00AA6E59">
        <w:rPr>
          <w:i/>
        </w:rPr>
        <w:t>Study on the Situation of the Romani Women and Girls in the Republic of Moldova</w:t>
      </w:r>
      <w:r>
        <w:t>,</w:t>
      </w:r>
    </w:p>
    <w:p w14:paraId="2D45AB85" w14:textId="77777777" w:rsidR="001E6F04" w:rsidRDefault="001E6F04" w:rsidP="00F05420">
      <w:pPr>
        <w:pStyle w:val="FootnoteText"/>
      </w:pPr>
      <w:r>
        <w:t>2014, p. 37, available at: http://www.un.md/publicdocget/126</w:t>
      </w:r>
    </w:p>
  </w:footnote>
  <w:footnote w:id="23">
    <w:p w14:paraId="64D1DFA9" w14:textId="77777777" w:rsidR="001E6F04" w:rsidRPr="0020024E" w:rsidRDefault="001E6F04" w:rsidP="00F00B1E">
      <w:pPr>
        <w:pStyle w:val="FootnoteText"/>
      </w:pPr>
      <w:r>
        <w:rPr>
          <w:rStyle w:val="FootnoteReference"/>
        </w:rPr>
        <w:footnoteRef/>
      </w:r>
      <w:r>
        <w:t xml:space="preserve"> Equal Rights Trust, “No Jobs for Roma: Situation Report on Discrimination against the Roma in Moldova”, </w:t>
      </w:r>
      <w:r>
        <w:rPr>
          <w:i/>
        </w:rPr>
        <w:t>The Equal Rights Review</w:t>
      </w:r>
      <w:r>
        <w:t>, Vol. 15, 2015, p. 130</w:t>
      </w:r>
    </w:p>
  </w:footnote>
  <w:footnote w:id="24">
    <w:p w14:paraId="627E4822" w14:textId="77777777" w:rsidR="001E6F04" w:rsidRDefault="001E6F04" w:rsidP="00F05420">
      <w:pPr>
        <w:pStyle w:val="FootnoteText"/>
      </w:pPr>
      <w:r>
        <w:rPr>
          <w:rStyle w:val="FootnoteReference"/>
        </w:rPr>
        <w:footnoteRef/>
      </w:r>
      <w:r>
        <w:t xml:space="preserve"> </w:t>
      </w:r>
      <w:r w:rsidRPr="002A087B">
        <w:t>Chisinau Court of Appeal, Decision No. 2a-3692/14 of 22 January 2015, available at: http://cac.instante.justice.md/apps/hotariri_judecata/inst/cac/get_decision_doc.php?decision_key=839655AF-7FAC-E411-8112-005056A5D154&amp;case_title=Dosar-02-2a-15181-26082014-29671.</w:t>
      </w:r>
    </w:p>
  </w:footnote>
  <w:footnote w:id="25">
    <w:p w14:paraId="21A23637" w14:textId="77777777" w:rsidR="001E6F04" w:rsidRPr="00D367DE" w:rsidRDefault="001E6F04" w:rsidP="00F00B1E">
      <w:pPr>
        <w:pStyle w:val="FootnoteText"/>
      </w:pPr>
      <w:r>
        <w:rPr>
          <w:rStyle w:val="FootnoteReference"/>
        </w:rPr>
        <w:footnoteRef/>
      </w:r>
      <w:r>
        <w:t xml:space="preserve"> Interethnic Relations Bureau of Moldova, </w:t>
      </w:r>
      <w:r>
        <w:rPr>
          <w:i/>
        </w:rPr>
        <w:t xml:space="preserve">Population Census, </w:t>
      </w:r>
      <w:r>
        <w:t>2004, p. 37</w:t>
      </w:r>
    </w:p>
  </w:footnote>
  <w:footnote w:id="26">
    <w:p w14:paraId="34B60D2D" w14:textId="08633F86" w:rsidR="001E6F04" w:rsidRDefault="001E6F04">
      <w:pPr>
        <w:pStyle w:val="FootnoteText"/>
      </w:pPr>
      <w:r>
        <w:rPr>
          <w:rStyle w:val="FootnoteReference"/>
        </w:rPr>
        <w:footnoteRef/>
      </w:r>
      <w:r>
        <w:t xml:space="preserve"> Equal Rights Trust interview with Salifo, 16 September 2015, Chișinău.</w:t>
      </w:r>
    </w:p>
  </w:footnote>
  <w:footnote w:id="27">
    <w:p w14:paraId="6706AB1A" w14:textId="77777777" w:rsidR="001E6F04" w:rsidRDefault="001E6F04" w:rsidP="00F00B1E">
      <w:pPr>
        <w:pStyle w:val="FootnoteText"/>
      </w:pPr>
      <w:r>
        <w:rPr>
          <w:rStyle w:val="FootnoteReference"/>
        </w:rPr>
        <w:footnoteRef/>
      </w:r>
      <w:r>
        <w:t xml:space="preserve"> E</w:t>
      </w:r>
      <w:r w:rsidRPr="00A6743A">
        <w:rPr>
          <w:lang w:val="en-US"/>
        </w:rPr>
        <w:t xml:space="preserve">qual Rights Trust, </w:t>
      </w:r>
      <w:r w:rsidRPr="00AA6E59">
        <w:rPr>
          <w:i/>
          <w:lang w:val="en-US"/>
        </w:rPr>
        <w:t>From Words to Deeds: Addressing Discrimination and Inequality in Moldova</w:t>
      </w:r>
      <w:r>
        <w:rPr>
          <w:lang w:val="en-US"/>
        </w:rPr>
        <w:t>,</w:t>
      </w:r>
      <w:r>
        <w:t xml:space="preserve"> p. 71.</w:t>
      </w:r>
    </w:p>
  </w:footnote>
  <w:footnote w:id="28">
    <w:p w14:paraId="040EEDA3" w14:textId="73F72785" w:rsidR="00BD7DE4" w:rsidRDefault="00BD7DE4" w:rsidP="00BD7DE4">
      <w:pPr>
        <w:pStyle w:val="FootnoteText"/>
      </w:pPr>
      <w:r>
        <w:rPr>
          <w:rStyle w:val="FootnoteReference"/>
        </w:rPr>
        <w:footnoteRef/>
      </w:r>
      <w:r>
        <w:t xml:space="preserve"> </w:t>
      </w:r>
      <w:r w:rsidRPr="00EC1388">
        <w:t>Law on Ensuring Equality (Law No. 121 of 25 May 2012),</w:t>
      </w:r>
      <w:r>
        <w:t xml:space="preserve"> Article 1(1); ; </w:t>
      </w:r>
      <w:r w:rsidRPr="00320551">
        <w:t xml:space="preserve">Labour Code of the Republic of Moldova </w:t>
      </w:r>
      <w:r>
        <w:t>(Code No. 154 of 28 March 2003), Articles 10(2)(f)-(g).</w:t>
      </w:r>
    </w:p>
  </w:footnote>
  <w:footnote w:id="29">
    <w:p w14:paraId="4BBF4B39" w14:textId="77777777" w:rsidR="00BD7DE4" w:rsidRDefault="00BD7DE4" w:rsidP="00BD7DE4">
      <w:pPr>
        <w:pStyle w:val="FootnoteText"/>
      </w:pPr>
      <w:r>
        <w:rPr>
          <w:rStyle w:val="FootnoteReference"/>
        </w:rPr>
        <w:footnoteRef/>
      </w:r>
      <w:r>
        <w:t xml:space="preserve"> </w:t>
      </w:r>
      <w:r w:rsidRPr="00205CCD">
        <w:rPr>
          <w:rFonts w:eastAsia="Calibri" w:cs="Times New Roman"/>
        </w:rPr>
        <w:t>National Programme on Ensur</w:t>
      </w:r>
      <w:r>
        <w:rPr>
          <w:rFonts w:eastAsia="Calibri" w:cs="Times New Roman"/>
        </w:rPr>
        <w:t xml:space="preserve">ing Gender Equality (2010-2015). </w:t>
      </w:r>
    </w:p>
  </w:footnote>
  <w:footnote w:id="30">
    <w:p w14:paraId="04B5AEB7" w14:textId="77777777" w:rsidR="00BD7DE4" w:rsidRDefault="00BD7DE4" w:rsidP="00BD7DE4">
      <w:pPr>
        <w:pStyle w:val="FootnoteText"/>
      </w:pPr>
      <w:r>
        <w:rPr>
          <w:rStyle w:val="FootnoteReference"/>
        </w:rPr>
        <w:footnoteRef/>
      </w:r>
      <w:r>
        <w:t xml:space="preserve"> The Directorate for Ensuring Equality between Women and Men is responsible for assessing compliance of national law with the principle of gender equality, and the Government Commission on Equality between Women and Men was established to implement the Law on Equality of Opportunities between Men and Women.</w:t>
      </w:r>
    </w:p>
  </w:footnote>
  <w:footnote w:id="31">
    <w:p w14:paraId="48FC5043" w14:textId="77777777" w:rsidR="00BD7DE4" w:rsidRDefault="00BD7DE4" w:rsidP="00BD7DE4">
      <w:pPr>
        <w:pStyle w:val="FootnoteText"/>
      </w:pPr>
      <w:r>
        <w:rPr>
          <w:rStyle w:val="FootnoteReference"/>
        </w:rPr>
        <w:footnoteRef/>
      </w:r>
      <w:r>
        <w:t xml:space="preserve"> National Bureau of Statistics of the Republic of Moldova, A Statistical Portrait of Men and Women in Moldova, 2014, p. 2, available at: http://www.statistica.md/public/files/publicatii_ electronice/femei_si_barbati/Portret_statistic_femei.pdf.</w:t>
      </w:r>
    </w:p>
  </w:footnote>
  <w:footnote w:id="32">
    <w:p w14:paraId="129FF382" w14:textId="77777777" w:rsidR="00BD7DE4" w:rsidRDefault="00BD7DE4" w:rsidP="00BD7DE4">
      <w:pPr>
        <w:pStyle w:val="FootnoteText"/>
      </w:pPr>
      <w:r>
        <w:rPr>
          <w:rStyle w:val="FootnoteReference"/>
        </w:rPr>
        <w:footnoteRef/>
      </w:r>
      <w:r>
        <w:t xml:space="preserve"> </w:t>
      </w:r>
      <w:r w:rsidRPr="005E446C">
        <w:t xml:space="preserve">Promo-LEX Association and Others, </w:t>
      </w:r>
      <w:r w:rsidRPr="00BA35DC">
        <w:rPr>
          <w:i/>
        </w:rPr>
        <w:t>Submission to the Committee on the Elimination of Discrimination against Women for Moldova</w:t>
      </w:r>
      <w:r w:rsidRPr="005E446C">
        <w:t>, 2013, Para 57, available at: http://tbinternet.ohchr.org/Treaties/CEDAW/Shared%20Documents/MDA/INT_CEDAW_NGO_MDA_14954_E.pdf.</w:t>
      </w:r>
    </w:p>
  </w:footnote>
  <w:footnote w:id="33">
    <w:p w14:paraId="1D4D7B8D" w14:textId="77777777" w:rsidR="00BD7DE4" w:rsidRDefault="00BD7DE4" w:rsidP="00BD7DE4">
      <w:pPr>
        <w:pStyle w:val="FootnoteText"/>
      </w:pPr>
      <w:r>
        <w:rPr>
          <w:rStyle w:val="FootnoteReference"/>
        </w:rPr>
        <w:footnoteRef/>
      </w:r>
      <w:r>
        <w:t xml:space="preserve"> Government Decision No. 264 of 1993 prohibits women from undertaking certain forms of dangerous work. See Decision approving the List of Industries, Professions and Works with Hard and Harmful Working Conditions Proscribed to Women and Maximum Permissible Norms for Women on Manual Lifting and Carrying of Loads, available at: http://lex.justice.md/index.php?action=view&amp;view=doc&amp;lang=1&amp;id=300608.</w:t>
      </w:r>
    </w:p>
  </w:footnote>
  <w:footnote w:id="34">
    <w:p w14:paraId="408981FA" w14:textId="77777777" w:rsidR="00BD7DE4" w:rsidRDefault="00BD7DE4" w:rsidP="00BD7DE4">
      <w:pPr>
        <w:pStyle w:val="FootnoteText"/>
      </w:pPr>
      <w:r>
        <w:rPr>
          <w:rStyle w:val="FootnoteReference"/>
        </w:rPr>
        <w:footnoteRef/>
      </w:r>
      <w:r>
        <w:t xml:space="preserve"> </w:t>
      </w:r>
      <w:r w:rsidRPr="002255D0">
        <w:t>Law on State Social Insurance Pensions (Law No. 156 of 14 October 1998).</w:t>
      </w:r>
    </w:p>
  </w:footnote>
  <w:footnote w:id="35">
    <w:p w14:paraId="764C1EAC" w14:textId="77777777" w:rsidR="00BD7DE4" w:rsidRDefault="00BD7DE4" w:rsidP="00BD7DE4">
      <w:pPr>
        <w:pStyle w:val="FootnoteText"/>
      </w:pPr>
      <w:r>
        <w:rPr>
          <w:rStyle w:val="FootnoteReference"/>
        </w:rPr>
        <w:footnoteRef/>
      </w:r>
      <w:r>
        <w:t xml:space="preserve"> </w:t>
      </w:r>
      <w:r w:rsidRPr="00B256D5">
        <w:t>Labour Code of the Republic of Moldova (Code No. 154 of 28 March 2003).</w:t>
      </w:r>
    </w:p>
  </w:footnote>
  <w:footnote w:id="36">
    <w:p w14:paraId="614197EE" w14:textId="77777777" w:rsidR="00BD7DE4" w:rsidRDefault="00BD7DE4" w:rsidP="00BD7DE4">
      <w:pPr>
        <w:pStyle w:val="FootnoteText"/>
      </w:pPr>
      <w:r>
        <w:rPr>
          <w:rStyle w:val="FootnoteReference"/>
        </w:rPr>
        <w:footnoteRef/>
      </w:r>
      <w:r>
        <w:t xml:space="preserve"> Gender Equality Platform and Others, </w:t>
      </w:r>
      <w:r w:rsidRPr="00BA35DC">
        <w:rPr>
          <w:i/>
        </w:rPr>
        <w:t>Joint Submission to the Universal Periodic Review for the Republic of Moldova</w:t>
      </w:r>
      <w:r>
        <w:t xml:space="preserve">, 2016, Para 5.1, available at: http://cdf.md/files/resources/98/UPR-submission-gender-equality-platform-Moldova.pdf. </w:t>
      </w:r>
    </w:p>
  </w:footnote>
  <w:footnote w:id="37">
    <w:p w14:paraId="2C6E7195" w14:textId="77777777" w:rsidR="00BD7DE4" w:rsidRDefault="00BD7DE4" w:rsidP="00BD7DE4">
      <w:pPr>
        <w:pStyle w:val="FootnoteText"/>
      </w:pPr>
      <w:r>
        <w:rPr>
          <w:rStyle w:val="FootnoteReference"/>
        </w:rPr>
        <w:footnoteRef/>
      </w:r>
      <w:r>
        <w:t xml:space="preserve"> </w:t>
      </w:r>
      <w:r w:rsidRPr="00A15A23">
        <w:t>Law on Ensuring Equality (Law No. 121 of 25</w:t>
      </w:r>
      <w:r>
        <w:t xml:space="preserve"> May 2012), Article 7(2)(a). </w:t>
      </w:r>
    </w:p>
  </w:footnote>
  <w:footnote w:id="38">
    <w:p w14:paraId="24083F17" w14:textId="77777777" w:rsidR="00BD7DE4" w:rsidRDefault="00BD7DE4" w:rsidP="00BD7DE4">
      <w:pPr>
        <w:pStyle w:val="FootnoteText"/>
      </w:pPr>
      <w:r>
        <w:rPr>
          <w:rStyle w:val="FootnoteReference"/>
        </w:rPr>
        <w:footnoteRef/>
      </w:r>
      <w:r>
        <w:t xml:space="preserve"> </w:t>
      </w:r>
      <w:r w:rsidRPr="00A17720">
        <w:t>Council on the Prevention and Elimination of Discrimination and Ensuring Equality, Activity Report, 2014, p. 9, available at: http://egalitate.md/media/files/Moldovan-Equality-Body-Activity-Report-2014.docx.</w:t>
      </w:r>
    </w:p>
  </w:footnote>
  <w:footnote w:id="39">
    <w:p w14:paraId="6B6926A6" w14:textId="77777777" w:rsidR="00BD7DE4" w:rsidRDefault="00BD7DE4" w:rsidP="00BD7DE4">
      <w:pPr>
        <w:pStyle w:val="FootnoteText"/>
      </w:pPr>
      <w:r>
        <w:rPr>
          <w:rStyle w:val="FootnoteReference"/>
        </w:rPr>
        <w:footnoteRef/>
      </w:r>
      <w:r>
        <w:t xml:space="preserve"> </w:t>
      </w:r>
      <w:r w:rsidRPr="00CE5308">
        <w:t xml:space="preserve">National Bureau of Statistics of the Republic of Moldova, </w:t>
      </w:r>
      <w:r w:rsidRPr="00BA35DC">
        <w:rPr>
          <w:i/>
        </w:rPr>
        <w:t>A Statistical Portrait of Men and Women in Moldova</w:t>
      </w:r>
      <w:r w:rsidRPr="00CE5308">
        <w:t>, 2014, p. 2, available at: http://www.statistica.md/public/files/publicatii_electronice/femei_si_barbati/Portret_statistic_femei.pdf.</w:t>
      </w:r>
    </w:p>
  </w:footnote>
  <w:footnote w:id="40">
    <w:p w14:paraId="3BFCB194" w14:textId="77777777" w:rsidR="00BD7DE4" w:rsidRDefault="00BD7DE4" w:rsidP="00BD7DE4">
      <w:pPr>
        <w:pStyle w:val="FootnoteText"/>
      </w:pPr>
      <w:r>
        <w:rPr>
          <w:rStyle w:val="FootnoteReference"/>
        </w:rPr>
        <w:footnoteRef/>
      </w:r>
      <w:r>
        <w:t xml:space="preserve"> E</w:t>
      </w:r>
      <w:r w:rsidRPr="00A6743A">
        <w:rPr>
          <w:lang w:val="en-US"/>
        </w:rPr>
        <w:t xml:space="preserve">qual Rights Trust, </w:t>
      </w:r>
      <w:r w:rsidRPr="00AA6E59">
        <w:rPr>
          <w:i/>
          <w:lang w:val="en-US"/>
        </w:rPr>
        <w:t>From Words to Deeds: Addressing Discrimination and Inequality in Moldova</w:t>
      </w:r>
      <w:r>
        <w:rPr>
          <w:lang w:val="en-US"/>
        </w:rPr>
        <w:t xml:space="preserve">, </w:t>
      </w:r>
      <w:r>
        <w:t>p. 128.</w:t>
      </w:r>
    </w:p>
  </w:footnote>
  <w:footnote w:id="41">
    <w:p w14:paraId="68355D98" w14:textId="77777777" w:rsidR="00BD7DE4" w:rsidRDefault="00BD7DE4" w:rsidP="00BD7DE4">
      <w:pPr>
        <w:pStyle w:val="FootnoteText"/>
      </w:pPr>
      <w:r>
        <w:rPr>
          <w:rStyle w:val="FootnoteReference"/>
        </w:rPr>
        <w:footnoteRef/>
      </w:r>
      <w:r>
        <w:t xml:space="preserve"> </w:t>
      </w:r>
      <w:r w:rsidRPr="00EC1388">
        <w:t>Law on Ensuring Equality (Law No. 121 of 25 May 2012),</w:t>
      </w:r>
      <w:r>
        <w:t xml:space="preserve"> Article 1(1);</w:t>
      </w:r>
      <w:r w:rsidRPr="00CF4DA9">
        <w:t xml:space="preserve">Labour Code </w:t>
      </w:r>
      <w:r w:rsidRPr="00543DE3">
        <w:t xml:space="preserve">of the Republic of Moldova </w:t>
      </w:r>
      <w:r>
        <w:t xml:space="preserve">(Code No. 154 of 28 March 2003), Article 8. </w:t>
      </w:r>
    </w:p>
  </w:footnote>
  <w:footnote w:id="42">
    <w:p w14:paraId="62548076" w14:textId="77777777" w:rsidR="00BD7DE4" w:rsidRDefault="00BD7DE4" w:rsidP="00BD7DE4">
      <w:pPr>
        <w:pStyle w:val="FootnoteText"/>
      </w:pPr>
      <w:r>
        <w:rPr>
          <w:rStyle w:val="FootnoteReference"/>
        </w:rPr>
        <w:footnoteRef/>
      </w:r>
      <w:r>
        <w:t xml:space="preserve"> </w:t>
      </w:r>
      <w:r w:rsidRPr="008E1FF5">
        <w:t xml:space="preserve">Labour Code of the Republic of Moldova </w:t>
      </w:r>
      <w:r>
        <w:t xml:space="preserve">(Code No. 154 of 28 March 2003), Articles 120(2), 121(1). </w:t>
      </w:r>
    </w:p>
  </w:footnote>
  <w:footnote w:id="43">
    <w:p w14:paraId="5ED10C73" w14:textId="77777777" w:rsidR="00BD7DE4" w:rsidRDefault="00BD7DE4" w:rsidP="00BD7DE4">
      <w:pPr>
        <w:pStyle w:val="FootnoteText"/>
      </w:pPr>
      <w:r>
        <w:rPr>
          <w:rStyle w:val="FootnoteReference"/>
        </w:rPr>
        <w:footnoteRef/>
      </w:r>
      <w:r>
        <w:t xml:space="preserve"> </w:t>
      </w:r>
      <w:r w:rsidRPr="008E1FF5">
        <w:t xml:space="preserve">Labour Code of the Republic of Moldova </w:t>
      </w:r>
      <w:r>
        <w:t xml:space="preserve">(Code No. 154 of 28 March 2003), Articles 96(4), 97(1),100(4). </w:t>
      </w:r>
    </w:p>
  </w:footnote>
  <w:footnote w:id="44">
    <w:p w14:paraId="14D792F6" w14:textId="77777777" w:rsidR="00BD7DE4" w:rsidRDefault="00BD7DE4" w:rsidP="00BD7DE4">
      <w:pPr>
        <w:pStyle w:val="FootnoteText"/>
      </w:pPr>
      <w:r>
        <w:rPr>
          <w:rStyle w:val="FootnoteReference"/>
        </w:rPr>
        <w:footnoteRef/>
      </w:r>
      <w:r>
        <w:t xml:space="preserve"> </w:t>
      </w:r>
      <w:r w:rsidRPr="0071518C">
        <w:t>Law on Social Inclusion of Persons with Disabilities (Law No. 60 of 30 March 2012).</w:t>
      </w:r>
    </w:p>
  </w:footnote>
  <w:footnote w:id="45">
    <w:p w14:paraId="2D2DB286" w14:textId="77777777" w:rsidR="00BD7DE4" w:rsidRDefault="00BD7DE4" w:rsidP="00BD7DE4">
      <w:pPr>
        <w:pStyle w:val="FootnoteText"/>
      </w:pPr>
      <w:r>
        <w:rPr>
          <w:rStyle w:val="FootnoteReference"/>
        </w:rPr>
        <w:footnoteRef/>
      </w:r>
      <w:r>
        <w:t xml:space="preserve"> Committee on Economic, Social and Cultural Rights, </w:t>
      </w:r>
      <w:r>
        <w:rPr>
          <w:i/>
        </w:rPr>
        <w:t xml:space="preserve">Third Periodic Report: </w:t>
      </w:r>
      <w:r w:rsidRPr="00BA35DC">
        <w:rPr>
          <w:i/>
        </w:rPr>
        <w:t>Moldova</w:t>
      </w:r>
      <w:r>
        <w:t xml:space="preserve">, UN Doc. E/C.12/MDA/3, 14 October 2016, Para 49, listing reforms including the </w:t>
      </w:r>
      <w:r w:rsidRPr="00543DE3">
        <w:t>Strategy for Social Inclusion of Person</w:t>
      </w:r>
      <w:r>
        <w:t>s with Disabilities (2010-2013) and the</w:t>
      </w:r>
      <w:r w:rsidRPr="00543DE3">
        <w:t xml:space="preserve"> National Action Plan for implementing the Strategy for Social Inclusion of Persons with Disabilities</w:t>
      </w:r>
      <w:r>
        <w:t xml:space="preserve"> (2010-2013).</w:t>
      </w:r>
    </w:p>
  </w:footnote>
  <w:footnote w:id="46">
    <w:p w14:paraId="4D267946" w14:textId="77777777" w:rsidR="00BD7DE4" w:rsidRDefault="00BD7DE4" w:rsidP="00BD7DE4">
      <w:pPr>
        <w:pStyle w:val="FootnoteText"/>
      </w:pPr>
      <w:r>
        <w:rPr>
          <w:rStyle w:val="FootnoteReference"/>
        </w:rPr>
        <w:footnoteRef/>
      </w:r>
      <w:r>
        <w:t xml:space="preserve"> National Bureau of Statistics of the Republic of Moldova, </w:t>
      </w:r>
      <w:r w:rsidRPr="00BA35DC">
        <w:rPr>
          <w:i/>
        </w:rPr>
        <w:t>The Situation of People with Disabilities in Moldova,</w:t>
      </w:r>
      <w:r>
        <w:t xml:space="preserve"> 2015, available at: http://www.statistica.md/newsview.php?l=ro&amp;id=4976&amp;idc=168.</w:t>
      </w:r>
    </w:p>
  </w:footnote>
  <w:footnote w:id="47">
    <w:p w14:paraId="58074DEA" w14:textId="77777777" w:rsidR="00BD7DE4" w:rsidRPr="00BA35DC" w:rsidRDefault="00BD7DE4" w:rsidP="00BD7DE4">
      <w:pPr>
        <w:pStyle w:val="FootnoteText"/>
        <w:rPr>
          <w:i/>
        </w:rPr>
      </w:pPr>
      <w:r>
        <w:rPr>
          <w:rStyle w:val="FootnoteReference"/>
        </w:rPr>
        <w:footnoteRef/>
      </w:r>
      <w:r>
        <w:t xml:space="preserve"> Legal Assistance Centre for Persons with Disabilities, </w:t>
      </w:r>
      <w:r w:rsidRPr="00BA35DC">
        <w:rPr>
          <w:i/>
        </w:rPr>
        <w:t>Submission to the Committee on the Rights</w:t>
      </w:r>
    </w:p>
    <w:p w14:paraId="2B4501E5" w14:textId="77777777" w:rsidR="00BD7DE4" w:rsidRDefault="00BD7DE4" w:rsidP="00BD7DE4">
      <w:pPr>
        <w:pStyle w:val="FootnoteText"/>
      </w:pPr>
      <w:r w:rsidRPr="00BA35DC">
        <w:rPr>
          <w:i/>
        </w:rPr>
        <w:t>of Persons with Disabilities for Moldova</w:t>
      </w:r>
      <w:r>
        <w:t>, 2015, p. 32, available at: http://www.advocacy.md/sites/newadvocacy/files/Raport%20de%20alternativa%20CRPD_ROM.pdf.</w:t>
      </w:r>
    </w:p>
  </w:footnote>
  <w:footnote w:id="48">
    <w:p w14:paraId="116679A6" w14:textId="77777777" w:rsidR="00BD7DE4" w:rsidRPr="00BA35DC" w:rsidRDefault="00BD7DE4" w:rsidP="00BD7DE4">
      <w:pPr>
        <w:pStyle w:val="FootnoteText"/>
        <w:rPr>
          <w:i/>
        </w:rPr>
      </w:pPr>
      <w:r>
        <w:rPr>
          <w:rStyle w:val="FootnoteReference"/>
        </w:rPr>
        <w:footnoteRef/>
      </w:r>
      <w:r>
        <w:t xml:space="preserve"> Human Rights Council, </w:t>
      </w:r>
      <w:r w:rsidRPr="00BA35DC">
        <w:rPr>
          <w:i/>
        </w:rPr>
        <w:t>Report of the Special Rapporteur on the Rights of Persons with Disabilities</w:t>
      </w:r>
    </w:p>
    <w:p w14:paraId="23558569" w14:textId="77777777" w:rsidR="00BD7DE4" w:rsidRDefault="00BD7DE4" w:rsidP="00BD7DE4">
      <w:pPr>
        <w:pStyle w:val="FootnoteText"/>
      </w:pPr>
      <w:r w:rsidRPr="00BA35DC">
        <w:rPr>
          <w:i/>
        </w:rPr>
        <w:t>on her Mission to the Republic of Moldova</w:t>
      </w:r>
      <w:r>
        <w:t>, UN Doc. A/HRC/31/62/Add.2, 2016, Paras 15-16.</w:t>
      </w:r>
    </w:p>
  </w:footnote>
  <w:footnote w:id="49">
    <w:p w14:paraId="22EBD826" w14:textId="77777777" w:rsidR="00BD7DE4" w:rsidRDefault="00BD7DE4" w:rsidP="00BD7DE4">
      <w:pPr>
        <w:pStyle w:val="FootnoteText"/>
      </w:pPr>
      <w:r>
        <w:rPr>
          <w:rStyle w:val="FootnoteReference"/>
        </w:rPr>
        <w:footnoteRef/>
      </w:r>
      <w:r>
        <w:t xml:space="preserve"> </w:t>
      </w:r>
      <w:r w:rsidRPr="00A6743A">
        <w:rPr>
          <w:lang w:val="en-US"/>
        </w:rPr>
        <w:t>E</w:t>
      </w:r>
      <w:r w:rsidRPr="00BA35DC">
        <w:rPr>
          <w:lang w:val="en-US"/>
        </w:rPr>
        <w:t xml:space="preserve">qual Rights Trust, </w:t>
      </w:r>
      <w:r w:rsidRPr="00BA35DC">
        <w:rPr>
          <w:i/>
          <w:lang w:val="en-US"/>
        </w:rPr>
        <w:t>From Words to Deeds: Addressing Discrimination and Inequality in Moldova</w:t>
      </w:r>
      <w:r w:rsidRPr="00BA35DC">
        <w:rPr>
          <w:lang w:val="en-US"/>
        </w:rPr>
        <w:t xml:space="preserve">, </w:t>
      </w:r>
      <w:r w:rsidRPr="00BA35DC">
        <w:t>p. 161.</w:t>
      </w:r>
    </w:p>
  </w:footnote>
  <w:footnote w:id="50">
    <w:p w14:paraId="4CCFFCD3" w14:textId="77777777" w:rsidR="00BD7DE4" w:rsidRDefault="00BD7DE4" w:rsidP="00BD7DE4">
      <w:pPr>
        <w:pStyle w:val="FootnoteText"/>
      </w:pPr>
      <w:r>
        <w:rPr>
          <w:rStyle w:val="FootnoteReference"/>
        </w:rPr>
        <w:footnoteRef/>
      </w:r>
      <w:r>
        <w:t xml:space="preserve"> Council on the Prevention and Elimination of Discrimination and Ensuring Equality, Activity Report, 2015, p. 22, available at: http://www.egalitate.md/media/files/Raport%20general%202015.pdf.</w:t>
      </w:r>
    </w:p>
  </w:footnote>
  <w:footnote w:id="51">
    <w:p w14:paraId="05DEFD75" w14:textId="77777777" w:rsidR="001E6F04" w:rsidRDefault="001E6F04" w:rsidP="00D8750D">
      <w:pPr>
        <w:pStyle w:val="FootnoteText"/>
      </w:pPr>
      <w:r>
        <w:rPr>
          <w:rStyle w:val="FootnoteReference"/>
        </w:rPr>
        <w:footnoteRef/>
      </w:r>
      <w:r>
        <w:t xml:space="preserve"> </w:t>
      </w:r>
      <w:r w:rsidRPr="007E7729">
        <w:t>Law on Prevention of HIV/AIDS Infection (Law No. 23-XVI of 16 February 2007)</w:t>
      </w:r>
      <w:r>
        <w:t xml:space="preserve">, Articles 15 and 22. </w:t>
      </w:r>
    </w:p>
  </w:footnote>
  <w:footnote w:id="52">
    <w:p w14:paraId="56AE3264" w14:textId="77777777" w:rsidR="001E6F04" w:rsidRDefault="001E6F04" w:rsidP="00F00B1E">
      <w:pPr>
        <w:pStyle w:val="FootnoteText"/>
      </w:pPr>
      <w:r>
        <w:rPr>
          <w:rStyle w:val="FootnoteReference"/>
        </w:rPr>
        <w:footnoteRef/>
      </w:r>
      <w:r>
        <w:t xml:space="preserve"> </w:t>
      </w:r>
      <w:r w:rsidRPr="00A74C02">
        <w:t xml:space="preserve">Malcoci, L., </w:t>
      </w:r>
      <w:r w:rsidRPr="00BA35DC">
        <w:rPr>
          <w:i/>
        </w:rPr>
        <w:t>The Socio-Economic Situation of HIV Infected Persons, 2012</w:t>
      </w:r>
      <w:r w:rsidRPr="00A74C02">
        <w:t>, p. 93, available at: http://soros.md/files/publications/documents/Raport_Soros_2012_statut%20HIV.pdf.</w:t>
      </w:r>
    </w:p>
  </w:footnote>
  <w:footnote w:id="53">
    <w:p w14:paraId="73D00BB4" w14:textId="77777777" w:rsidR="001E6F04" w:rsidRDefault="001E6F04" w:rsidP="00AD7813">
      <w:pPr>
        <w:pStyle w:val="FootnoteText"/>
      </w:pPr>
      <w:r>
        <w:rPr>
          <w:rStyle w:val="FootnoteReference"/>
        </w:rPr>
        <w:footnoteRef/>
      </w:r>
      <w:r>
        <w:t xml:space="preserve"> E</w:t>
      </w:r>
      <w:r w:rsidRPr="00A6743A">
        <w:rPr>
          <w:lang w:val="en-US"/>
        </w:rPr>
        <w:t xml:space="preserve">qual Rights Trust, </w:t>
      </w:r>
      <w:r w:rsidRPr="00AA6E59">
        <w:rPr>
          <w:i/>
          <w:lang w:val="en-US"/>
        </w:rPr>
        <w:t>From Words to Deeds: Addressing Discrimination and Inequality in Moldova</w:t>
      </w:r>
      <w:r>
        <w:rPr>
          <w:lang w:val="en-US"/>
        </w:rPr>
        <w:t xml:space="preserve">, </w:t>
      </w:r>
      <w:r>
        <w:t>p. 98</w:t>
      </w:r>
    </w:p>
  </w:footnote>
  <w:footnote w:id="54">
    <w:p w14:paraId="0F5DEF61" w14:textId="77777777" w:rsidR="001E6F04" w:rsidRDefault="001E6F04" w:rsidP="00F00B1E">
      <w:pPr>
        <w:pStyle w:val="FootnoteText"/>
      </w:pPr>
      <w:r>
        <w:rPr>
          <w:rStyle w:val="FootnoteReference"/>
        </w:rPr>
        <w:footnoteRef/>
      </w:r>
      <w:r>
        <w:t xml:space="preserve"> </w:t>
      </w:r>
      <w:r w:rsidRPr="00237997">
        <w:rPr>
          <w:i/>
        </w:rPr>
        <w:t>Ibid</w:t>
      </w:r>
      <w:r w:rsidRPr="00237997">
        <w:t>.</w:t>
      </w:r>
    </w:p>
  </w:footnote>
  <w:footnote w:id="55">
    <w:p w14:paraId="5B792749" w14:textId="77777777" w:rsidR="001E6F04" w:rsidRDefault="001E6F04">
      <w:pPr>
        <w:pStyle w:val="FootnoteText"/>
      </w:pPr>
      <w:r>
        <w:rPr>
          <w:rStyle w:val="FootnoteReference"/>
        </w:rPr>
        <w:footnoteRef/>
      </w:r>
      <w:r>
        <w:t xml:space="preserve"> The Law on Ensuring Equality, Article 1(1);</w:t>
      </w:r>
      <w:r w:rsidRPr="009125BA">
        <w:t xml:space="preserve"> </w:t>
      </w:r>
      <w:r w:rsidRPr="00BA35DC">
        <w:t xml:space="preserve">Labour Code of the Republic of Moldova (Code No. 154 of 28 March 2003), </w:t>
      </w:r>
      <w:r>
        <w:t xml:space="preserve">Article 8. </w:t>
      </w:r>
    </w:p>
  </w:footnote>
  <w:footnote w:id="56">
    <w:p w14:paraId="51E50159" w14:textId="77777777" w:rsidR="001E6F04" w:rsidRDefault="001E6F04" w:rsidP="00F00B1E">
      <w:pPr>
        <w:pStyle w:val="FootnoteText"/>
      </w:pPr>
      <w:r>
        <w:rPr>
          <w:rStyle w:val="FootnoteReference"/>
        </w:rPr>
        <w:footnoteRef/>
      </w:r>
      <w:r>
        <w:t xml:space="preserve"> </w:t>
      </w:r>
      <w:r w:rsidRPr="00892557">
        <w:t xml:space="preserve">Labour Code of the Republic of Moldova </w:t>
      </w:r>
      <w:r>
        <w:t xml:space="preserve">(Code No. 154 of 28 March 2003), Article 8, Article 183(2)(l) and National Employment Agency, </w:t>
      </w:r>
      <w:r w:rsidRPr="00AC011C">
        <w:rPr>
          <w:i/>
        </w:rPr>
        <w:t>Activity Report for 2015</w:t>
      </w:r>
      <w:r>
        <w:t>, 2016, p. 16, available at: http://anofm.</w:t>
      </w:r>
    </w:p>
    <w:p w14:paraId="59718766" w14:textId="77777777" w:rsidR="001E6F04" w:rsidRDefault="001E6F04" w:rsidP="00F00B1E">
      <w:pPr>
        <w:pStyle w:val="FootnoteText"/>
      </w:pPr>
      <w:r>
        <w:t>md/files/elfinder/Raport%20de%20activitate%20ANOFM%202015%20final.docx.</w:t>
      </w:r>
    </w:p>
  </w:footnote>
  <w:footnote w:id="57">
    <w:p w14:paraId="73644C9D" w14:textId="77777777" w:rsidR="001E6F04" w:rsidRDefault="001E6F04" w:rsidP="008E4F0B">
      <w:pPr>
        <w:pStyle w:val="FootnoteText"/>
      </w:pPr>
      <w:r>
        <w:rPr>
          <w:rStyle w:val="FootnoteReference"/>
        </w:rPr>
        <w:footnoteRef/>
      </w:r>
      <w:r>
        <w:t xml:space="preserve"> Council on the Prevention and Elimination of Discrimination and Ensuring Equality, Activity Report, 2015, p. 3, available at: http://www.egalitate.md/media/files/Raport%20general%202015.pdf.</w:t>
      </w:r>
    </w:p>
  </w:footnote>
  <w:footnote w:id="58">
    <w:p w14:paraId="69DC06D6" w14:textId="77777777" w:rsidR="001E6F04" w:rsidRDefault="001E6F04" w:rsidP="00F00B1E">
      <w:pPr>
        <w:pStyle w:val="FootnoteText"/>
      </w:pPr>
      <w:r>
        <w:rPr>
          <w:rStyle w:val="FootnoteReference"/>
        </w:rPr>
        <w:footnoteRef/>
      </w:r>
      <w:r>
        <w:t xml:space="preserve"> </w:t>
      </w:r>
      <w:r w:rsidRPr="00E52FEE">
        <w:t xml:space="preserve">National Bureau of Statistics of the Republic of Moldova, </w:t>
      </w:r>
      <w:r w:rsidRPr="00AC011C">
        <w:rPr>
          <w:i/>
        </w:rPr>
        <w:t>Elderly in Moldova in 2014</w:t>
      </w:r>
      <w:r w:rsidRPr="00E52FEE">
        <w:t>, 2015, available at: http://www.statistica.md/newsview.php?l=ro&amp;idc=168&amp;id=4916.</w:t>
      </w:r>
    </w:p>
  </w:footnote>
  <w:footnote w:id="59">
    <w:p w14:paraId="38FF3DD9" w14:textId="77777777" w:rsidR="001E6F04" w:rsidRDefault="001E6F04" w:rsidP="00F00B1E">
      <w:pPr>
        <w:pStyle w:val="FootnoteText"/>
      </w:pPr>
      <w:r>
        <w:rPr>
          <w:rStyle w:val="FootnoteReference"/>
        </w:rPr>
        <w:footnoteRef/>
      </w:r>
      <w:r>
        <w:t xml:space="preserve"> </w:t>
      </w:r>
      <w:r w:rsidRPr="0094164C">
        <w:t xml:space="preserve">National Employment Agency, </w:t>
      </w:r>
      <w:r w:rsidRPr="00AC011C">
        <w:rPr>
          <w:i/>
        </w:rPr>
        <w:t>Activity Report for 2015</w:t>
      </w:r>
      <w:r w:rsidRPr="0094164C">
        <w:t>, 2016, p. 16</w:t>
      </w:r>
      <w:r>
        <w:t>,</w:t>
      </w:r>
      <w:r w:rsidRPr="0094164C">
        <w:t xml:space="preserve"> available at: http://anofm.</w:t>
      </w:r>
    </w:p>
  </w:footnote>
  <w:footnote w:id="60">
    <w:p w14:paraId="32F47C35" w14:textId="77777777" w:rsidR="001E6F04" w:rsidRDefault="001E6F04">
      <w:pPr>
        <w:pStyle w:val="FootnoteText"/>
      </w:pPr>
      <w:r>
        <w:rPr>
          <w:rStyle w:val="FootnoteReference"/>
        </w:rPr>
        <w:footnoteRef/>
      </w:r>
      <w:r>
        <w:t xml:space="preserve"> Law on the Public Function and Status of Civil Servants, (Law No. 158 of 4 July 2008), Article 62(1)(d); </w:t>
      </w:r>
      <w:r w:rsidRPr="00BA35DC">
        <w:t>of the Republic of Moldova (Code No. 154 of 28 March 2003)</w:t>
      </w:r>
      <w:r>
        <w:t xml:space="preserve">, Article 301(1)(c). </w:t>
      </w:r>
    </w:p>
  </w:footnote>
  <w:footnote w:id="61">
    <w:p w14:paraId="684DD6F1" w14:textId="77777777" w:rsidR="001E6F04" w:rsidRDefault="001E6F04">
      <w:pPr>
        <w:pStyle w:val="FootnoteText"/>
      </w:pPr>
      <w:r>
        <w:rPr>
          <w:rStyle w:val="FootnoteReference"/>
        </w:rPr>
        <w:footnoteRef/>
      </w:r>
      <w:r>
        <w:t xml:space="preserve"> Council on the Prevention and Elimination of Discrimination and Ensuring Equality, Decision No. 050/14 of 22 February 2014, available at: http://egalitate.md/media/files/files/decizia_ cauza_050_gavriloi_rodion_catre_legis-com_srl_5733279.pdf.</w:t>
      </w:r>
    </w:p>
  </w:footnote>
  <w:footnote w:id="62">
    <w:p w14:paraId="0D3BC5A7" w14:textId="77777777" w:rsidR="001E6F04" w:rsidRDefault="001E6F04">
      <w:pPr>
        <w:pStyle w:val="FootnoteText"/>
      </w:pPr>
      <w:r>
        <w:rPr>
          <w:rStyle w:val="FootnoteReference"/>
        </w:rPr>
        <w:footnoteRef/>
      </w:r>
      <w:r>
        <w:t xml:space="preserve"> </w:t>
      </w:r>
      <w:r w:rsidRPr="00436B4D">
        <w:t>Equal Rights Trust interview with Mrs Valentina, 24 April 2015, Anenii Noi town, Anenii Noi region</w:t>
      </w:r>
      <w:r>
        <w:t xml:space="preserve">. </w:t>
      </w:r>
    </w:p>
  </w:footnote>
  <w:footnote w:id="63">
    <w:p w14:paraId="491A52F0" w14:textId="77777777" w:rsidR="001E6F04" w:rsidRDefault="001E6F04" w:rsidP="00F00B1E">
      <w:pPr>
        <w:pStyle w:val="FootnoteText"/>
      </w:pPr>
      <w:r>
        <w:rPr>
          <w:rStyle w:val="FootnoteReference"/>
        </w:rPr>
        <w:footnoteRef/>
      </w:r>
      <w:r>
        <w:t xml:space="preserve"> </w:t>
      </w:r>
      <w:r w:rsidRPr="002B45CB">
        <w:t>Edineţ District Court, Decision No. 2-206/13 of 20 March 2013, available at: http://www.jed.instante.justice.md/apps/hotariri_judecata/inst/jed/get_decision_doc.php?decision_key=13423C31-E899-E211-B0BC-00215AE0E41D&amp;case_title=Dosar-28-2-33-10012013-4559.</w:t>
      </w:r>
    </w:p>
  </w:footnote>
  <w:footnote w:id="64">
    <w:p w14:paraId="11EC8EAB" w14:textId="77777777" w:rsidR="001E6F04" w:rsidRDefault="001E6F04" w:rsidP="00AC011C">
      <w:pPr>
        <w:pStyle w:val="FootnoteText"/>
      </w:pPr>
      <w:r>
        <w:rPr>
          <w:rStyle w:val="FootnoteReference"/>
        </w:rPr>
        <w:footnoteRef/>
      </w:r>
      <w:r>
        <w:t xml:space="preserve"> UN Women, United Nations Development Programme, and Office of the High Commissioner for</w:t>
      </w:r>
    </w:p>
    <w:p w14:paraId="3B29E28E" w14:textId="77777777" w:rsidR="001E6F04" w:rsidRDefault="001E6F04" w:rsidP="00AC011C">
      <w:pPr>
        <w:pStyle w:val="FootnoteText"/>
      </w:pPr>
      <w:r>
        <w:t xml:space="preserve">Human Rights, </w:t>
      </w:r>
      <w:r w:rsidRPr="00565A3C">
        <w:rPr>
          <w:i/>
        </w:rPr>
        <w:t>Study on the Situation of the Romani Women and Girls in the Republic of Moldova</w:t>
      </w:r>
      <w:r>
        <w:t>,</w:t>
      </w:r>
    </w:p>
    <w:p w14:paraId="50E53069" w14:textId="77777777" w:rsidR="001E6F04" w:rsidRDefault="001E6F04" w:rsidP="00AC011C">
      <w:pPr>
        <w:pStyle w:val="FootnoteText"/>
      </w:pPr>
      <w:r>
        <w:t>2014, p. 43, available at: http://www.un.md/publicdocget/126.</w:t>
      </w:r>
    </w:p>
  </w:footnote>
  <w:footnote w:id="65">
    <w:p w14:paraId="037F0949" w14:textId="77777777" w:rsidR="001E6F04" w:rsidRPr="00565A3C" w:rsidRDefault="001E6F04" w:rsidP="00AC011C">
      <w:pPr>
        <w:pStyle w:val="FootnoteText"/>
        <w:rPr>
          <w:i/>
        </w:rPr>
      </w:pPr>
      <w:r>
        <w:rPr>
          <w:rStyle w:val="FootnoteReference"/>
        </w:rPr>
        <w:footnoteRef/>
      </w:r>
      <w:r>
        <w:t xml:space="preserve"> United Nations in Moldova, </w:t>
      </w:r>
      <w:r w:rsidRPr="00565A3C">
        <w:rPr>
          <w:i/>
        </w:rPr>
        <w:t>Roma in the Republic of Moldova: In Communities Inhabited Mainly by</w:t>
      </w:r>
    </w:p>
    <w:p w14:paraId="3B93E087" w14:textId="77777777" w:rsidR="001E6F04" w:rsidRDefault="001E6F04" w:rsidP="00AC011C">
      <w:pPr>
        <w:pStyle w:val="FootnoteText"/>
      </w:pPr>
      <w:r w:rsidRPr="00565A3C">
        <w:rPr>
          <w:i/>
        </w:rPr>
        <w:t>Roma,</w:t>
      </w:r>
      <w:r>
        <w:t xml:space="preserve"> 2013, p. 36, available at http://www.unicef.org/moldova/ro/Raport_ROMA_rom2013.pdf.</w:t>
      </w:r>
    </w:p>
  </w:footnote>
  <w:footnote w:id="66">
    <w:p w14:paraId="33197EEC" w14:textId="77777777" w:rsidR="001E6F04" w:rsidRDefault="001E6F04" w:rsidP="00C4602C">
      <w:pPr>
        <w:pStyle w:val="FootnoteText"/>
      </w:pPr>
      <w:r>
        <w:rPr>
          <w:rStyle w:val="FootnoteReference"/>
        </w:rPr>
        <w:footnoteRef/>
      </w:r>
      <w:r>
        <w:t xml:space="preserve"> </w:t>
      </w:r>
      <w:r w:rsidRPr="00237997">
        <w:rPr>
          <w:i/>
        </w:rPr>
        <w:t>Ibid</w:t>
      </w:r>
      <w:r>
        <w:t>.</w:t>
      </w:r>
    </w:p>
  </w:footnote>
  <w:footnote w:id="67">
    <w:p w14:paraId="74270271" w14:textId="77777777" w:rsidR="001E6F04" w:rsidRDefault="001E6F04" w:rsidP="00C4602C">
      <w:pPr>
        <w:pStyle w:val="FootnoteText"/>
      </w:pPr>
      <w:r>
        <w:rPr>
          <w:rStyle w:val="FootnoteReference"/>
        </w:rPr>
        <w:footnoteRef/>
      </w:r>
      <w:r>
        <w:t xml:space="preserve"> Equal Rights Trust interview with Bogdan Elena, 10 April 2015, Hîncești, Hîncești region. </w:t>
      </w:r>
    </w:p>
  </w:footnote>
  <w:footnote w:id="68">
    <w:p w14:paraId="179599AC" w14:textId="77777777" w:rsidR="001E6F04" w:rsidRDefault="001E6F04" w:rsidP="00353936">
      <w:pPr>
        <w:pStyle w:val="FootnoteText"/>
      </w:pPr>
      <w:r>
        <w:rPr>
          <w:rStyle w:val="FootnoteReference"/>
        </w:rPr>
        <w:footnoteRef/>
      </w:r>
      <w:r>
        <w:t xml:space="preserve"> </w:t>
      </w:r>
      <w:r w:rsidRPr="00241397">
        <w:t>Equal Rights Trust interview with Vera, 23 June 2015</w:t>
      </w:r>
      <w:r>
        <w:t>,</w:t>
      </w:r>
      <w:r w:rsidRPr="00241397">
        <w:t xml:space="preserve"> Bugeac village, Comrat.</w:t>
      </w:r>
    </w:p>
  </w:footnote>
  <w:footnote w:id="69">
    <w:p w14:paraId="61350F42" w14:textId="637ABE07" w:rsidR="001E6F04" w:rsidRPr="00BE6977" w:rsidRDefault="001E6F04" w:rsidP="00C4602C">
      <w:pPr>
        <w:pStyle w:val="FootnoteText"/>
      </w:pPr>
      <w:r>
        <w:rPr>
          <w:rStyle w:val="FootnoteReference"/>
        </w:rPr>
        <w:footnoteRef/>
      </w:r>
      <w:r>
        <w:t xml:space="preserve"> </w:t>
      </w:r>
      <w:r w:rsidR="002B1E57">
        <w:t>UN Women, United Nations Development Programme, and Office of the High Commissioner for Human Rights, Study on the Situation of the Romani Women and Girls in the Republic of Moldova, 2014, p. 17, available at: http://www.un.md/publicdocget/126</w:t>
      </w:r>
      <w:r w:rsidR="00C52241">
        <w:t>.</w:t>
      </w:r>
      <w:r>
        <w:t>.</w:t>
      </w:r>
    </w:p>
  </w:footnote>
  <w:footnote w:id="70">
    <w:p w14:paraId="4B974485" w14:textId="77777777" w:rsidR="001E6F04" w:rsidRDefault="001E6F04" w:rsidP="00F00B1E">
      <w:pPr>
        <w:pStyle w:val="FootnoteText"/>
      </w:pPr>
      <w:r>
        <w:rPr>
          <w:rStyle w:val="FootnoteReference"/>
        </w:rPr>
        <w:footnoteRef/>
      </w:r>
      <w:r>
        <w:t xml:space="preserve"> Committee on Economic, Social and Cultural Rights, </w:t>
      </w:r>
      <w:r>
        <w:rPr>
          <w:i/>
        </w:rPr>
        <w:t xml:space="preserve">Third Periodic Report: </w:t>
      </w:r>
      <w:r w:rsidRPr="00BA35DC">
        <w:rPr>
          <w:i/>
        </w:rPr>
        <w:t>Moldova</w:t>
      </w:r>
      <w:r>
        <w:t>, UN Doc. E/C.12/MDA/3, 14 October 2016, Paras 154-156.</w:t>
      </w:r>
    </w:p>
  </w:footnote>
  <w:footnote w:id="71">
    <w:p w14:paraId="4C8F5F08" w14:textId="77777777" w:rsidR="002F5D19" w:rsidRDefault="002F5D19" w:rsidP="002F5D19">
      <w:pPr>
        <w:pStyle w:val="FootnoteText"/>
      </w:pPr>
      <w:r>
        <w:rPr>
          <w:rStyle w:val="FootnoteReference"/>
        </w:rPr>
        <w:footnoteRef/>
      </w:r>
      <w:r>
        <w:t xml:space="preserve"> </w:t>
      </w:r>
      <w:r w:rsidRPr="00E77561">
        <w:t>Law on Ensuring Equality</w:t>
      </w:r>
      <w:r>
        <w:t>,</w:t>
      </w:r>
      <w:r w:rsidRPr="006870B7">
        <w:t xml:space="preserve"> </w:t>
      </w:r>
      <w:r>
        <w:t xml:space="preserve">Article 8(b); Constitution of Moldova, Article 51. </w:t>
      </w:r>
    </w:p>
  </w:footnote>
  <w:footnote w:id="72">
    <w:p w14:paraId="333D96DD" w14:textId="77777777" w:rsidR="002F5D19" w:rsidRDefault="002F5D19" w:rsidP="002F5D19">
      <w:pPr>
        <w:pStyle w:val="FootnoteText"/>
      </w:pPr>
      <w:r>
        <w:rPr>
          <w:rStyle w:val="FootnoteReference"/>
        </w:rPr>
        <w:footnoteRef/>
      </w:r>
      <w:r>
        <w:t xml:space="preserve"> </w:t>
      </w:r>
      <w:r w:rsidRPr="00E77561">
        <w:t>Law on Mandatory Medical Health Insurance (Law No. 1585 of 27 February 1998), Article 4(4)(i).</w:t>
      </w:r>
    </w:p>
  </w:footnote>
  <w:footnote w:id="73">
    <w:p w14:paraId="5CD177C5" w14:textId="77777777" w:rsidR="002F5D19" w:rsidRDefault="002F5D19" w:rsidP="002F5D19">
      <w:pPr>
        <w:pStyle w:val="FootnoteText"/>
      </w:pPr>
      <w:r>
        <w:rPr>
          <w:rStyle w:val="FootnoteReference"/>
        </w:rPr>
        <w:footnoteRef/>
      </w:r>
      <w:r>
        <w:t xml:space="preserve"> </w:t>
      </w:r>
      <w:r w:rsidRPr="006870B7">
        <w:t xml:space="preserve">Equal Rights Trust, </w:t>
      </w:r>
      <w:r w:rsidRPr="006870B7">
        <w:rPr>
          <w:i/>
        </w:rPr>
        <w:t>From Words to Deeds: Addressing Discrimination and Inequality in Moldova</w:t>
      </w:r>
      <w:r>
        <w:t>, pp. 165-167.</w:t>
      </w:r>
    </w:p>
  </w:footnote>
  <w:footnote w:id="74">
    <w:p w14:paraId="6AECB873" w14:textId="77777777" w:rsidR="002F5D19" w:rsidRDefault="002F5D19" w:rsidP="002F5D19">
      <w:pPr>
        <w:pStyle w:val="FootnoteText"/>
      </w:pPr>
      <w:r>
        <w:rPr>
          <w:rStyle w:val="FootnoteReference"/>
        </w:rPr>
        <w:footnoteRef/>
      </w:r>
      <w:r>
        <w:t xml:space="preserve"> Equal Rights Trust, Focus group with 12 persons with disabilities, 11 July 2015, Cahul town, Cahul rayon.</w:t>
      </w:r>
    </w:p>
  </w:footnote>
  <w:footnote w:id="75">
    <w:p w14:paraId="166D0599" w14:textId="77777777" w:rsidR="002F5D19" w:rsidRPr="006870B7" w:rsidRDefault="002F5D19" w:rsidP="002F5D19">
      <w:pPr>
        <w:pStyle w:val="FootnoteText"/>
        <w:rPr>
          <w:i/>
        </w:rPr>
      </w:pPr>
      <w:r>
        <w:rPr>
          <w:rStyle w:val="FootnoteReference"/>
        </w:rPr>
        <w:footnoteRef/>
      </w:r>
      <w:r>
        <w:t xml:space="preserve"> Association “Motivation”, </w:t>
      </w:r>
      <w:r w:rsidRPr="006870B7">
        <w:rPr>
          <w:i/>
        </w:rPr>
        <w:t>Analysis of the Individual Experience of People with Disabilities in</w:t>
      </w:r>
    </w:p>
    <w:p w14:paraId="6F7C6EC2" w14:textId="77777777" w:rsidR="002F5D19" w:rsidRDefault="002F5D19" w:rsidP="002F5D19">
      <w:pPr>
        <w:pStyle w:val="FootnoteText"/>
      </w:pPr>
      <w:r w:rsidRPr="006870B7">
        <w:rPr>
          <w:i/>
        </w:rPr>
        <w:t>Republic of Moldova: 1 February – 31 July 2013</w:t>
      </w:r>
      <w:r>
        <w:t>, 2014, p. 83, available at: http://www.cod.rs/</w:t>
      </w:r>
    </w:p>
    <w:p w14:paraId="13B200D0" w14:textId="77777777" w:rsidR="002F5D19" w:rsidRDefault="002F5D19" w:rsidP="002F5D19">
      <w:pPr>
        <w:pStyle w:val="FootnoteText"/>
      </w:pPr>
      <w:r>
        <w:t>wp-content/uploads/2014/06/Raport-interviuri-EN.pdf.</w:t>
      </w:r>
    </w:p>
  </w:footnote>
  <w:footnote w:id="76">
    <w:p w14:paraId="2ED5FA9D" w14:textId="77777777" w:rsidR="002F5D19" w:rsidRDefault="002F5D19" w:rsidP="002F5D19">
      <w:pPr>
        <w:pStyle w:val="FootnoteText"/>
      </w:pPr>
      <w:r>
        <w:rPr>
          <w:rStyle w:val="FootnoteReference"/>
        </w:rPr>
        <w:footnoteRef/>
      </w:r>
      <w:r>
        <w:t xml:space="preserve"> Independent Press Association, “</w:t>
      </w:r>
      <w:r w:rsidRPr="006870B7">
        <w:t>Women with Locomotor Disabilities Discriminated in Maternity</w:t>
      </w:r>
      <w:r>
        <w:t>”, 14 July 2014, available at: http://www.api.md/news/view/ro-femeile-cudizabilitati-locomotorii-discriminate-in-maternitati-557</w:t>
      </w:r>
    </w:p>
  </w:footnote>
  <w:footnote w:id="77">
    <w:p w14:paraId="61FC24B6" w14:textId="77777777" w:rsidR="002F5D19" w:rsidRDefault="002F5D19" w:rsidP="002F5D19">
      <w:pPr>
        <w:pStyle w:val="FootnoteText"/>
      </w:pPr>
      <w:r>
        <w:rPr>
          <w:rStyle w:val="FootnoteReference"/>
        </w:rPr>
        <w:footnoteRef/>
      </w:r>
      <w:r>
        <w:t xml:space="preserve"> </w:t>
      </w:r>
      <w:r w:rsidRPr="006870B7">
        <w:t xml:space="preserve">Equal Rights Trust, </w:t>
      </w:r>
      <w:r w:rsidRPr="006870B7">
        <w:rPr>
          <w:i/>
        </w:rPr>
        <w:t>From Words to Deeds: Addressing Discrimination and Inequality in Moldova</w:t>
      </w:r>
      <w:r>
        <w:rPr>
          <w:i/>
        </w:rPr>
        <w:t xml:space="preserve">, </w:t>
      </w:r>
      <w:r>
        <w:t>p. 168.</w:t>
      </w:r>
    </w:p>
  </w:footnote>
  <w:footnote w:id="78">
    <w:p w14:paraId="02E1E492" w14:textId="13E1863B" w:rsidR="00893754" w:rsidRDefault="00893754">
      <w:pPr>
        <w:pStyle w:val="FootnoteText"/>
      </w:pPr>
      <w:r>
        <w:rPr>
          <w:rStyle w:val="FootnoteReference"/>
        </w:rPr>
        <w:footnoteRef/>
      </w:r>
      <w:r>
        <w:t xml:space="preserve"> </w:t>
      </w:r>
      <w:r w:rsidRPr="00A6743A">
        <w:rPr>
          <w:lang w:val="en-US"/>
        </w:rPr>
        <w:t xml:space="preserve">Equal Rights Trust, </w:t>
      </w:r>
      <w:r w:rsidRPr="00AA6E59">
        <w:rPr>
          <w:i/>
          <w:lang w:val="en-US"/>
        </w:rPr>
        <w:t>From Words to Deeds: Addressing Discrimination and Inequality in Moldova</w:t>
      </w:r>
      <w:r>
        <w:rPr>
          <w:lang w:val="en-US"/>
        </w:rPr>
        <w:t xml:space="preserve">, </w:t>
      </w:r>
      <w:r>
        <w:t>pp. 100-104.</w:t>
      </w:r>
    </w:p>
  </w:footnote>
  <w:footnote w:id="79">
    <w:p w14:paraId="052C9197" w14:textId="77777777" w:rsidR="001E6F04" w:rsidRDefault="001E6F04" w:rsidP="00F00B1E">
      <w:pPr>
        <w:pStyle w:val="FootnoteText"/>
      </w:pPr>
      <w:r>
        <w:rPr>
          <w:rStyle w:val="FootnoteReference"/>
        </w:rPr>
        <w:footnoteRef/>
      </w:r>
      <w:r>
        <w:t xml:space="preserve"> Malcoci, L. and Barbarosie, A., </w:t>
      </w:r>
      <w:r w:rsidRPr="00664B1E">
        <w:rPr>
          <w:i/>
        </w:rPr>
        <w:t>The Phenomenon of Discrimination in Moldova: Perceptions of the Population: A Comparative Study</w:t>
      </w:r>
      <w:r>
        <w:t>, 2015, p. 33, available at: http://www.soros.md/</w:t>
      </w:r>
    </w:p>
    <w:p w14:paraId="19D9F738" w14:textId="77777777" w:rsidR="001E6F04" w:rsidRDefault="001E6F04" w:rsidP="00F00B1E">
      <w:pPr>
        <w:pStyle w:val="FootnoteText"/>
      </w:pPr>
      <w:r>
        <w:t>files/publications/documents/The%20Phenomenon%20of%20Discrimination%20in%20</w:t>
      </w:r>
    </w:p>
    <w:p w14:paraId="59EDDD02" w14:textId="77777777" w:rsidR="001E6F04" w:rsidRDefault="001E6F04" w:rsidP="00F00B1E">
      <w:pPr>
        <w:pStyle w:val="FootnoteText"/>
      </w:pPr>
      <w:r>
        <w:t>Moldova_0.pdf.</w:t>
      </w:r>
    </w:p>
  </w:footnote>
  <w:footnote w:id="80">
    <w:p w14:paraId="15448260" w14:textId="77777777" w:rsidR="001E6F04" w:rsidRDefault="001E6F04" w:rsidP="00F00B1E">
      <w:pPr>
        <w:pStyle w:val="FootnoteText"/>
      </w:pPr>
      <w:r>
        <w:rPr>
          <w:rStyle w:val="FootnoteReference"/>
        </w:rPr>
        <w:footnoteRef/>
      </w:r>
      <w:r>
        <w:t xml:space="preserve"> </w:t>
      </w:r>
      <w:r w:rsidRPr="00A6743A">
        <w:rPr>
          <w:lang w:val="en-US"/>
        </w:rPr>
        <w:t xml:space="preserve">Equal Rights Trust, </w:t>
      </w:r>
      <w:r w:rsidRPr="00AA6E59">
        <w:rPr>
          <w:i/>
          <w:lang w:val="en-US"/>
        </w:rPr>
        <w:t>From Words to Deeds: Addressing Discrimination and Inequality in Moldova</w:t>
      </w:r>
      <w:r>
        <w:rPr>
          <w:lang w:val="en-US"/>
        </w:rPr>
        <w:t xml:space="preserve">, </w:t>
      </w:r>
      <w:r>
        <w:t>pp. 101-102</w:t>
      </w:r>
    </w:p>
  </w:footnote>
  <w:footnote w:id="81">
    <w:p w14:paraId="004A5EE4" w14:textId="77777777" w:rsidR="001E6F04" w:rsidRDefault="001E6F04" w:rsidP="00F00B1E">
      <w:pPr>
        <w:pStyle w:val="FootnoteText"/>
      </w:pPr>
      <w:r>
        <w:rPr>
          <w:rStyle w:val="FootnoteReference"/>
        </w:rPr>
        <w:footnoteRef/>
      </w:r>
      <w:r>
        <w:t xml:space="preserve"> </w:t>
      </w:r>
      <w:r w:rsidRPr="007E1C85">
        <w:t xml:space="preserve">Malcoci, L., </w:t>
      </w:r>
      <w:r w:rsidRPr="00664B1E">
        <w:rPr>
          <w:i/>
        </w:rPr>
        <w:t>The Socio-Economic Situation of HIV Infected Persons</w:t>
      </w:r>
      <w:r w:rsidRPr="007E1C85">
        <w:t>, 2012, p. 93, available at: http://soros.md/files/publications/documents/Raport_Soros_2012_statut%20HIV.pdf.</w:t>
      </w:r>
    </w:p>
  </w:footnote>
  <w:footnote w:id="82">
    <w:p w14:paraId="40270547" w14:textId="77777777" w:rsidR="001E6F04" w:rsidRDefault="001E6F04" w:rsidP="00F00B1E">
      <w:pPr>
        <w:pStyle w:val="FootnoteText"/>
      </w:pPr>
      <w:r>
        <w:rPr>
          <w:rStyle w:val="FootnoteReference"/>
        </w:rPr>
        <w:footnoteRef/>
      </w:r>
      <w:r>
        <w:t xml:space="preserve"> </w:t>
      </w:r>
      <w:r w:rsidRPr="00A6743A">
        <w:rPr>
          <w:lang w:val="en-US"/>
        </w:rPr>
        <w:t xml:space="preserve">Equal Rights Trust, </w:t>
      </w:r>
      <w:r w:rsidRPr="00AA6E59">
        <w:rPr>
          <w:i/>
          <w:lang w:val="en-US"/>
        </w:rPr>
        <w:t>From Words to Deeds: Addressing Discrimination and Inequality in Moldova</w:t>
      </w:r>
      <w:r>
        <w:rPr>
          <w:lang w:val="en-US"/>
        </w:rPr>
        <w:t xml:space="preserve">, </w:t>
      </w:r>
      <w:r>
        <w:t>p. 103.</w:t>
      </w:r>
    </w:p>
  </w:footnote>
  <w:footnote w:id="83">
    <w:p w14:paraId="34025454" w14:textId="77777777" w:rsidR="001E6F04" w:rsidRDefault="001E6F04" w:rsidP="00F00B1E">
      <w:pPr>
        <w:pStyle w:val="FootnoteText"/>
      </w:pPr>
      <w:r>
        <w:rPr>
          <w:rStyle w:val="FootnoteReference"/>
        </w:rPr>
        <w:footnoteRef/>
      </w:r>
      <w:r>
        <w:t xml:space="preserve"> Council on the Prevention and Elimination of Discrimination and Ensuring Equality, Activity Report, 2013, p. 16, available at: http://egalitate.md/media/files/Moldovan-Equality-Body-</w:t>
      </w:r>
    </w:p>
    <w:p w14:paraId="5869F314" w14:textId="77777777" w:rsidR="001E6F04" w:rsidRDefault="001E6F04" w:rsidP="00F00B1E">
      <w:pPr>
        <w:pStyle w:val="FootnoteText"/>
      </w:pPr>
      <w:r>
        <w:t>Activity-Report-2013.doc.</w:t>
      </w:r>
    </w:p>
  </w:footnote>
  <w:footnote w:id="84">
    <w:p w14:paraId="739F3AED" w14:textId="77777777" w:rsidR="001E6F04" w:rsidRDefault="001E6F04" w:rsidP="00F00B1E">
      <w:pPr>
        <w:pStyle w:val="FootnoteText"/>
      </w:pPr>
      <w:r>
        <w:rPr>
          <w:rStyle w:val="FootnoteReference"/>
        </w:rPr>
        <w:footnoteRef/>
      </w:r>
      <w:r>
        <w:t xml:space="preserve"> Malcoci, L. and Barbarosie, A., </w:t>
      </w:r>
      <w:r w:rsidRPr="006870B7">
        <w:rPr>
          <w:i/>
        </w:rPr>
        <w:t>The Phenomenon of Discrimination in Moldova: Perceptions of the Population: A Comparative Study</w:t>
      </w:r>
      <w:r>
        <w:t>, 2015, p. 33, available at: http://www.soros.md/</w:t>
      </w:r>
    </w:p>
    <w:p w14:paraId="3EA48F2F" w14:textId="77777777" w:rsidR="001E6F04" w:rsidRDefault="001E6F04" w:rsidP="00F00B1E">
      <w:pPr>
        <w:pStyle w:val="FootnoteText"/>
      </w:pPr>
      <w:r>
        <w:t>files/publications/documents/The%20Phenomenon%20of%20Discrimination%20in%20</w:t>
      </w:r>
    </w:p>
    <w:p w14:paraId="4A15C5EE" w14:textId="77777777" w:rsidR="001E6F04" w:rsidRDefault="001E6F04" w:rsidP="00F00B1E">
      <w:pPr>
        <w:pStyle w:val="FootnoteText"/>
      </w:pPr>
      <w:r>
        <w:t>Moldova_0.pdf.</w:t>
      </w:r>
    </w:p>
  </w:footnote>
  <w:footnote w:id="85">
    <w:p w14:paraId="40571CB8" w14:textId="77777777" w:rsidR="001E6F04" w:rsidRDefault="001E6F04" w:rsidP="00F00B1E">
      <w:pPr>
        <w:pStyle w:val="FootnoteText"/>
      </w:pPr>
      <w:r>
        <w:rPr>
          <w:rStyle w:val="FootnoteReference"/>
        </w:rPr>
        <w:footnoteRef/>
      </w:r>
      <w:r>
        <w:t xml:space="preserve"> </w:t>
      </w:r>
      <w:r w:rsidRPr="006B72CC">
        <w:t>Law on Prevention of HIV/AIDS Infection</w:t>
      </w:r>
      <w:r>
        <w:t xml:space="preserve"> (Law No. 76 of 12 April 2012 amending the </w:t>
      </w:r>
      <w:r w:rsidRPr="006B72CC">
        <w:t>Law No. 23-XVI of 16</w:t>
      </w:r>
      <w:r>
        <w:t xml:space="preserve"> February 2007), Article 14. </w:t>
      </w:r>
    </w:p>
  </w:footnote>
  <w:footnote w:id="86">
    <w:p w14:paraId="68F58FD7" w14:textId="77777777" w:rsidR="001E6F04" w:rsidRDefault="001E6F04" w:rsidP="00F00B1E">
      <w:pPr>
        <w:pStyle w:val="FootnoteText"/>
      </w:pPr>
      <w:r>
        <w:rPr>
          <w:rStyle w:val="FootnoteReference"/>
        </w:rPr>
        <w:footnoteRef/>
      </w:r>
      <w:r>
        <w:t xml:space="preserve"> </w:t>
      </w:r>
      <w:r w:rsidRPr="006B0170">
        <w:t>Equal Rights Trust</w:t>
      </w:r>
      <w:r>
        <w:t>, F</w:t>
      </w:r>
      <w:r w:rsidRPr="006B0170">
        <w:t>ocus group, 9 July 2015, Chișinău.</w:t>
      </w:r>
    </w:p>
  </w:footnote>
  <w:footnote w:id="87">
    <w:p w14:paraId="2F9C1282" w14:textId="77777777" w:rsidR="001E6F04" w:rsidRDefault="001E6F04">
      <w:pPr>
        <w:pStyle w:val="FootnoteText"/>
      </w:pPr>
      <w:r>
        <w:rPr>
          <w:rStyle w:val="FootnoteReference"/>
        </w:rPr>
        <w:footnoteRef/>
      </w:r>
      <w:r>
        <w:t xml:space="preserve"> Forcible detention and treatment is provided for in the </w:t>
      </w:r>
      <w:r w:rsidRPr="00205CCD">
        <w:rPr>
          <w:rFonts w:eastAsia="Calibri" w:cs="Times New Roman"/>
        </w:rPr>
        <w:t>Regulation on Coercive Temporary Hospitalisation in Anti-Tuberculosis Specialised Healthcare Institutions of Persons with Contagious Tuberculosis Who Refuse Treatmen</w:t>
      </w:r>
      <w:r>
        <w:rPr>
          <w:rFonts w:eastAsia="Calibri" w:cs="Times New Roman"/>
        </w:rPr>
        <w:t>t.</w:t>
      </w:r>
    </w:p>
  </w:footnote>
  <w:footnote w:id="88">
    <w:p w14:paraId="0AD92EB7" w14:textId="77777777" w:rsidR="00CA3B55" w:rsidRDefault="00CA3B55" w:rsidP="00CA3B55">
      <w:pPr>
        <w:pStyle w:val="FootnoteText"/>
      </w:pPr>
      <w:r>
        <w:rPr>
          <w:rStyle w:val="FootnoteReference"/>
        </w:rPr>
        <w:footnoteRef/>
      </w:r>
      <w:r>
        <w:t xml:space="preserve"> Committee on Economic, Social and Cultural Rights, </w:t>
      </w:r>
      <w:r w:rsidRPr="002F5D19">
        <w:rPr>
          <w:i/>
        </w:rPr>
        <w:t>General Comment No. 14: The Right to the Highest Attainable Standard of Health</w:t>
      </w:r>
      <w:r>
        <w:t>, UN Doc. E/C.12/2000/4, 2000, Para 12.</w:t>
      </w:r>
    </w:p>
  </w:footnote>
  <w:footnote w:id="89">
    <w:p w14:paraId="75F17C50" w14:textId="68E3FA53" w:rsidR="003F00E8" w:rsidRDefault="003F00E8">
      <w:pPr>
        <w:pStyle w:val="FootnoteText"/>
      </w:pPr>
      <w:r>
        <w:rPr>
          <w:rStyle w:val="FootnoteReference"/>
        </w:rPr>
        <w:footnoteRef/>
      </w:r>
      <w:r>
        <w:t xml:space="preserve"> </w:t>
      </w:r>
      <w:r w:rsidRPr="00A6743A">
        <w:rPr>
          <w:lang w:val="en-US"/>
        </w:rPr>
        <w:t xml:space="preserve">Equal Rights Trust, </w:t>
      </w:r>
      <w:r w:rsidRPr="00AA6E59">
        <w:rPr>
          <w:i/>
          <w:lang w:val="en-US"/>
        </w:rPr>
        <w:t>From Words to Deeds: Addressing Discrimination and Inequality in Moldova</w:t>
      </w:r>
      <w:r>
        <w:rPr>
          <w:lang w:val="en-US"/>
        </w:rPr>
        <w:t xml:space="preserve">, </w:t>
      </w:r>
      <w:r>
        <w:t>pp. 107</w:t>
      </w:r>
    </w:p>
  </w:footnote>
  <w:footnote w:id="90">
    <w:p w14:paraId="117ED22E" w14:textId="77777777" w:rsidR="001E6F04" w:rsidRDefault="001E6F04" w:rsidP="007D57DB">
      <w:pPr>
        <w:pStyle w:val="FootnoteText"/>
      </w:pPr>
      <w:r>
        <w:rPr>
          <w:rStyle w:val="FootnoteReference"/>
        </w:rPr>
        <w:footnoteRef/>
      </w:r>
      <w:r>
        <w:t xml:space="preserve"> C</w:t>
      </w:r>
      <w:r w:rsidRPr="002368E7">
        <w:t>ouncil on the Prevention and Elimination of Discrimination and Ensuring Equality, Activity Report, 2014, p. 9, available at: http://egalitate.md/media/files/Moldovan-Equality-Body-Activity-Report-2014.docx.</w:t>
      </w:r>
    </w:p>
  </w:footnote>
  <w:footnote w:id="91">
    <w:p w14:paraId="78639F11" w14:textId="77777777" w:rsidR="00CD5D3B" w:rsidRDefault="00CD5D3B" w:rsidP="00CD5D3B">
      <w:pPr>
        <w:pStyle w:val="FootnoteText"/>
      </w:pPr>
      <w:r>
        <w:rPr>
          <w:rStyle w:val="FootnoteReference"/>
        </w:rPr>
        <w:footnoteRef/>
      </w:r>
      <w:r>
        <w:t xml:space="preserve"> UN Women, United Nations Development Programme, and Office of the High Commissioner for</w:t>
      </w:r>
    </w:p>
    <w:p w14:paraId="20DA4AA9" w14:textId="77777777" w:rsidR="00CD5D3B" w:rsidRDefault="00CD5D3B" w:rsidP="00CD5D3B">
      <w:pPr>
        <w:pStyle w:val="FootnoteText"/>
      </w:pPr>
      <w:r>
        <w:t xml:space="preserve">Human Rights, </w:t>
      </w:r>
      <w:r w:rsidRPr="00565A3C">
        <w:rPr>
          <w:i/>
        </w:rPr>
        <w:t>Study on the Situation of the Romani Women and Girls in the Republic of Moldova</w:t>
      </w:r>
      <w:r>
        <w:t>,</w:t>
      </w:r>
    </w:p>
    <w:p w14:paraId="716EF60E" w14:textId="77777777" w:rsidR="00CD5D3B" w:rsidRDefault="00CD5D3B" w:rsidP="00CD5D3B">
      <w:pPr>
        <w:pStyle w:val="FootnoteText"/>
      </w:pPr>
      <w:r>
        <w:t>2014, p. 30, available at: http://www.un.md/publicdocget/126.</w:t>
      </w:r>
    </w:p>
  </w:footnote>
  <w:footnote w:id="92">
    <w:p w14:paraId="48E26DEC" w14:textId="77777777" w:rsidR="00CD5D3B" w:rsidRDefault="00CD5D3B" w:rsidP="00CD5D3B">
      <w:pPr>
        <w:pStyle w:val="FootnoteText"/>
      </w:pPr>
      <w:r>
        <w:rPr>
          <w:rStyle w:val="FootnoteReference"/>
        </w:rPr>
        <w:footnoteRef/>
      </w:r>
      <w:r>
        <w:t xml:space="preserve"> </w:t>
      </w:r>
      <w:r w:rsidRPr="00CD5106">
        <w:t>Interethnic Relations Bureau of Moldova, Population Census, 2004,</w:t>
      </w:r>
      <w:r>
        <w:t xml:space="preserve"> p. 30.</w:t>
      </w:r>
    </w:p>
  </w:footnote>
  <w:footnote w:id="93">
    <w:p w14:paraId="319FD3DF" w14:textId="77777777" w:rsidR="00CD5D3B" w:rsidRDefault="00CD5D3B" w:rsidP="00CD5D3B">
      <w:pPr>
        <w:pStyle w:val="FootnoteText"/>
      </w:pPr>
      <w:r>
        <w:rPr>
          <w:rStyle w:val="FootnoteReference"/>
        </w:rPr>
        <w:footnoteRef/>
      </w:r>
      <w:r>
        <w:t xml:space="preserve"> UN Women, United Nations Development Programme, and Office of the High Commissioner for</w:t>
      </w:r>
    </w:p>
    <w:p w14:paraId="5B8FE362" w14:textId="77777777" w:rsidR="00CD5D3B" w:rsidRDefault="00CD5D3B" w:rsidP="00CD5D3B">
      <w:pPr>
        <w:pStyle w:val="FootnoteText"/>
      </w:pPr>
      <w:r>
        <w:t xml:space="preserve">Human Rights, </w:t>
      </w:r>
      <w:r w:rsidRPr="00565A3C">
        <w:rPr>
          <w:i/>
        </w:rPr>
        <w:t>Study on the Situation of the Romani Women and Girls in the Republic of Moldova</w:t>
      </w:r>
      <w:r>
        <w:t>,</w:t>
      </w:r>
    </w:p>
    <w:p w14:paraId="3A130A7B" w14:textId="77777777" w:rsidR="00CD5D3B" w:rsidRDefault="00CD5D3B" w:rsidP="00CD5D3B">
      <w:pPr>
        <w:pStyle w:val="FootnoteText"/>
      </w:pPr>
      <w:r>
        <w:t>2014, p. 30, available at: http://www.un.md/publicdocget/126.</w:t>
      </w:r>
    </w:p>
  </w:footnote>
  <w:footnote w:id="94">
    <w:p w14:paraId="0785EF66" w14:textId="77777777" w:rsidR="00CD5D3B" w:rsidRDefault="00CD5D3B" w:rsidP="00CD5D3B">
      <w:pPr>
        <w:pStyle w:val="FootnoteText"/>
      </w:pPr>
      <w:r>
        <w:rPr>
          <w:rStyle w:val="FootnoteReference"/>
        </w:rPr>
        <w:footnoteRef/>
      </w:r>
      <w:r>
        <w:t xml:space="preserve"> UN Women, United Nations Development Programme, and Office of the High Commissioner for</w:t>
      </w:r>
    </w:p>
    <w:p w14:paraId="383DBFF2" w14:textId="77777777" w:rsidR="00CD5D3B" w:rsidRDefault="00CD5D3B" w:rsidP="00CD5D3B">
      <w:pPr>
        <w:pStyle w:val="FootnoteText"/>
      </w:pPr>
      <w:r>
        <w:t xml:space="preserve">Human Rights, </w:t>
      </w:r>
      <w:r w:rsidRPr="00565A3C">
        <w:rPr>
          <w:i/>
        </w:rPr>
        <w:t>Study on the Situation of the Romani Women and Girls in the Republic of Moldova</w:t>
      </w:r>
      <w:r>
        <w:t>,</w:t>
      </w:r>
    </w:p>
    <w:p w14:paraId="33F980FB" w14:textId="77777777" w:rsidR="00CD5D3B" w:rsidRDefault="00CD5D3B" w:rsidP="00CD5D3B">
      <w:pPr>
        <w:pStyle w:val="FootnoteText"/>
      </w:pPr>
      <w:r>
        <w:t>2014, p. 31, available at: http://www.un.md/publicdocget/126.</w:t>
      </w:r>
    </w:p>
  </w:footnote>
  <w:footnote w:id="95">
    <w:p w14:paraId="05D5DD67" w14:textId="77777777" w:rsidR="00CD5D3B" w:rsidRPr="00DC2D7A" w:rsidRDefault="00CD5D3B" w:rsidP="00CD5D3B">
      <w:pPr>
        <w:pStyle w:val="FootnoteText"/>
      </w:pPr>
      <w:r>
        <w:rPr>
          <w:rStyle w:val="FootnoteReference"/>
        </w:rPr>
        <w:footnoteRef/>
      </w:r>
      <w:r>
        <w:t xml:space="preserve"> Human Rights Council, </w:t>
      </w:r>
      <w:r>
        <w:rPr>
          <w:i/>
        </w:rPr>
        <w:t xml:space="preserve">Report of the Special Rapporteur on Extreme Poverty and Human Rights, Magdalena Sepulveda Carmona, Addendum, </w:t>
      </w:r>
      <w:r>
        <w:t>UN Doc.A/HRC/26/28/Add.2,2014. Para 57.</w:t>
      </w:r>
    </w:p>
  </w:footnote>
  <w:footnote w:id="96">
    <w:p w14:paraId="789B5F14" w14:textId="77777777" w:rsidR="00CD5D3B" w:rsidRPr="004665BC" w:rsidRDefault="00CD5D3B" w:rsidP="00CD5D3B">
      <w:pPr>
        <w:pStyle w:val="FootnoteText"/>
      </w:pPr>
      <w:r>
        <w:rPr>
          <w:rStyle w:val="FootnoteReference"/>
        </w:rPr>
        <w:footnoteRef/>
      </w:r>
      <w:r>
        <w:t xml:space="preserve"> Human Rights Information Centre, </w:t>
      </w:r>
      <w:r>
        <w:rPr>
          <w:i/>
        </w:rPr>
        <w:t>Preliminary Findings of Study on Discrimination in the School System in Moldova</w:t>
      </w:r>
      <w:r>
        <w:t xml:space="preserve">, 2014, p. 3. </w:t>
      </w:r>
    </w:p>
  </w:footnote>
  <w:footnote w:id="97">
    <w:p w14:paraId="7B9B77FA" w14:textId="77777777" w:rsidR="00CD5D3B" w:rsidRPr="009101C2" w:rsidRDefault="00CD5D3B" w:rsidP="00CD5D3B">
      <w:pPr>
        <w:pStyle w:val="FootnoteText"/>
        <w:rPr>
          <w:i/>
        </w:rPr>
      </w:pPr>
      <w:r>
        <w:rPr>
          <w:rStyle w:val="FootnoteReference"/>
        </w:rPr>
        <w:footnoteRef/>
      </w:r>
      <w:r>
        <w:t xml:space="preserve"> National Bureau of Statistics of Moldova, </w:t>
      </w:r>
      <w:r>
        <w:rPr>
          <w:i/>
        </w:rPr>
        <w:t>Number of resident population in Moldova on 1 January 2016, in territorial, on average, genders and age groups</w:t>
      </w:r>
      <w:r>
        <w:t xml:space="preserve">, Para 84. </w:t>
      </w:r>
    </w:p>
  </w:footnote>
  <w:footnote w:id="98">
    <w:p w14:paraId="16569973" w14:textId="77777777" w:rsidR="00CD5D3B" w:rsidRDefault="00CD5D3B" w:rsidP="00CD5D3B">
      <w:pPr>
        <w:pStyle w:val="FootnoteText"/>
      </w:pPr>
      <w:r>
        <w:rPr>
          <w:rStyle w:val="FootnoteReference"/>
        </w:rPr>
        <w:footnoteRef/>
      </w:r>
      <w:r>
        <w:t xml:space="preserve"> Law on Ensuring Equality,</w:t>
      </w:r>
      <w:r w:rsidRPr="006870B7">
        <w:t xml:space="preserve"> (Law No. 121 of 25 May 2012),</w:t>
      </w:r>
      <w:r>
        <w:t xml:space="preserve"> Article 9. </w:t>
      </w:r>
    </w:p>
  </w:footnote>
  <w:footnote w:id="99">
    <w:p w14:paraId="13498C59" w14:textId="77777777" w:rsidR="00CD5D3B" w:rsidRDefault="00CD5D3B" w:rsidP="00CD5D3B">
      <w:pPr>
        <w:pStyle w:val="FootnoteText"/>
      </w:pPr>
      <w:r>
        <w:rPr>
          <w:rStyle w:val="FootnoteReference"/>
        </w:rPr>
        <w:footnoteRef/>
      </w:r>
      <w:r>
        <w:t xml:space="preserve"> Law on the Social Inclusion of Persons with Disabilities</w:t>
      </w:r>
      <w:r w:rsidRPr="006870B7">
        <w:t xml:space="preserve"> </w:t>
      </w:r>
      <w:r>
        <w:t xml:space="preserve">(Law No. 60 of 30 March 2012), Chapter IV. </w:t>
      </w:r>
    </w:p>
  </w:footnote>
  <w:footnote w:id="100">
    <w:p w14:paraId="0799F552" w14:textId="77777777" w:rsidR="00CD5D3B" w:rsidRDefault="00CD5D3B" w:rsidP="00CD5D3B">
      <w:pPr>
        <w:pStyle w:val="FootnoteText"/>
      </w:pPr>
      <w:r>
        <w:rPr>
          <w:rStyle w:val="FootnoteReference"/>
        </w:rPr>
        <w:footnoteRef/>
      </w:r>
      <w:r>
        <w:t xml:space="preserve"> </w:t>
      </w:r>
      <w:r w:rsidRPr="001F2C08">
        <w:t>Education Code of the Republic of Moldova</w:t>
      </w:r>
      <w:r>
        <w:t xml:space="preserve"> (Code No. 152 of 17 July 2014), Articles 136(1) and 138(1)(a). </w:t>
      </w:r>
    </w:p>
  </w:footnote>
  <w:footnote w:id="101">
    <w:p w14:paraId="38650D1A" w14:textId="77777777" w:rsidR="00CD5D3B" w:rsidRDefault="00CD5D3B" w:rsidP="00CD5D3B">
      <w:pPr>
        <w:pStyle w:val="FootnoteText"/>
      </w:pPr>
      <w:r>
        <w:rPr>
          <w:rStyle w:val="FootnoteReference"/>
        </w:rPr>
        <w:footnoteRef/>
      </w:r>
      <w:r>
        <w:t xml:space="preserve"> Decision approving the Development Program of Inclusive Education in Moldova for 2011-2020</w:t>
      </w:r>
    </w:p>
    <w:p w14:paraId="17B46EC5" w14:textId="77777777" w:rsidR="00CD5D3B" w:rsidRDefault="00CD5D3B" w:rsidP="00CD5D3B">
      <w:pPr>
        <w:pStyle w:val="FootnoteText"/>
      </w:pPr>
      <w:r>
        <w:t>(Government Decision No. 523 of 11 July 2011), available at: http://lex.justice.md/viewdoc.</w:t>
      </w:r>
    </w:p>
    <w:p w14:paraId="000A4A9F" w14:textId="77777777" w:rsidR="00CD5D3B" w:rsidRDefault="00CD5D3B" w:rsidP="00CD5D3B">
      <w:pPr>
        <w:pStyle w:val="FootnoteText"/>
      </w:pPr>
      <w:r>
        <w:t>php?action=view&amp;view=doc&amp;id=339343&amp;lang=1.</w:t>
      </w:r>
    </w:p>
  </w:footnote>
  <w:footnote w:id="102">
    <w:p w14:paraId="25DD5B14" w14:textId="77777777" w:rsidR="00CD5D3B" w:rsidRDefault="00CD5D3B" w:rsidP="00CD5D3B">
      <w:pPr>
        <w:pStyle w:val="FootnoteText"/>
      </w:pPr>
      <w:r>
        <w:rPr>
          <w:rStyle w:val="FootnoteReference"/>
        </w:rPr>
        <w:footnoteRef/>
      </w:r>
      <w:r>
        <w:t xml:space="preserve"> </w:t>
      </w:r>
      <w:r w:rsidRPr="006870B7">
        <w:t xml:space="preserve">Equal Rights Trust, </w:t>
      </w:r>
      <w:r w:rsidRPr="006870B7">
        <w:rPr>
          <w:i/>
        </w:rPr>
        <w:t>From Words to Deeds: Addressing Discrimination and Inequality in Moldova</w:t>
      </w:r>
      <w:r>
        <w:t>, p. 164.</w:t>
      </w:r>
    </w:p>
  </w:footnote>
  <w:footnote w:id="103">
    <w:p w14:paraId="26532045" w14:textId="2261E133" w:rsidR="00917462" w:rsidRDefault="00917462">
      <w:pPr>
        <w:pStyle w:val="FootnoteText"/>
      </w:pPr>
      <w:r>
        <w:rPr>
          <w:rStyle w:val="FootnoteReference"/>
        </w:rPr>
        <w:footnoteRef/>
      </w:r>
      <w:r>
        <w:t xml:space="preserve"> </w:t>
      </w:r>
      <w:r w:rsidRPr="006870B7">
        <w:t xml:space="preserve">Equal Rights Trust, </w:t>
      </w:r>
      <w:r w:rsidRPr="006870B7">
        <w:rPr>
          <w:i/>
        </w:rPr>
        <w:t>From Words to Deeds: Addressing Discrimination and Inequality in Moldova</w:t>
      </w:r>
      <w:r>
        <w:t>, p. 163-164.</w:t>
      </w:r>
    </w:p>
  </w:footnote>
  <w:footnote w:id="104">
    <w:p w14:paraId="37FBD347" w14:textId="77777777" w:rsidR="00CD5D3B" w:rsidRDefault="00CD5D3B" w:rsidP="00CD5D3B">
      <w:pPr>
        <w:pStyle w:val="FootnoteText"/>
      </w:pPr>
      <w:r>
        <w:rPr>
          <w:rStyle w:val="FootnoteReference"/>
        </w:rPr>
        <w:footnoteRef/>
      </w:r>
      <w:r>
        <w:t xml:space="preserve"> Council on the Prevention and Elimination of Discrimination and Ensuring Equality, Decision</w:t>
      </w:r>
    </w:p>
    <w:p w14:paraId="52E51712" w14:textId="77777777" w:rsidR="00CD5D3B" w:rsidRDefault="00CD5D3B" w:rsidP="00CD5D3B">
      <w:pPr>
        <w:pStyle w:val="FootnoteText"/>
      </w:pPr>
      <w:r>
        <w:t>No. 005/2013 of 25 November 2013, available at: http://egalitate.md/media/files/files/</w:t>
      </w:r>
    </w:p>
    <w:p w14:paraId="39B2E3EF" w14:textId="77777777" w:rsidR="00CD5D3B" w:rsidRDefault="00CD5D3B" w:rsidP="00CD5D3B">
      <w:pPr>
        <w:pStyle w:val="FootnoteText"/>
      </w:pPr>
      <w:r>
        <w:t>decizie_proiect_cauza_005_13_f_v_final_2502223.pdf.</w:t>
      </w:r>
    </w:p>
  </w:footnote>
  <w:footnote w:id="105">
    <w:p w14:paraId="1EDF0BDD" w14:textId="77777777" w:rsidR="00CD5D3B" w:rsidRDefault="00CD5D3B" w:rsidP="00CD5D3B">
      <w:pPr>
        <w:pStyle w:val="FootnoteText"/>
      </w:pPr>
      <w:r>
        <w:rPr>
          <w:rStyle w:val="FootnoteReference"/>
        </w:rPr>
        <w:footnoteRef/>
      </w:r>
      <w:r>
        <w:t xml:space="preserve"> </w:t>
      </w:r>
      <w:r w:rsidRPr="00CF0066">
        <w:t xml:space="preserve">Malcoci, L., </w:t>
      </w:r>
      <w:r w:rsidRPr="006870B7">
        <w:rPr>
          <w:i/>
        </w:rPr>
        <w:t>The Socio-Economic Situation of HIV Infected Persons</w:t>
      </w:r>
      <w:r w:rsidRPr="00CF0066">
        <w:t>, 2012,</w:t>
      </w:r>
      <w:r>
        <w:t xml:space="preserve"> p. 111</w:t>
      </w:r>
      <w:r w:rsidRPr="00CF0066">
        <w:t>, available at: http://soros.md/files/publications/documents/Raport_Soros_2012_statut%20HIV.pdf.</w:t>
      </w:r>
    </w:p>
  </w:footnote>
  <w:footnote w:id="106">
    <w:p w14:paraId="6DD6CE10" w14:textId="77777777" w:rsidR="00CD5D3B" w:rsidRDefault="00CD5D3B" w:rsidP="00CD5D3B">
      <w:pPr>
        <w:pStyle w:val="FootnoteText"/>
      </w:pPr>
      <w:r>
        <w:rPr>
          <w:rStyle w:val="FootnoteReference"/>
        </w:rPr>
        <w:footnoteRef/>
      </w:r>
      <w:r>
        <w:t xml:space="preserve"> Council on the Prevention and Elimination of Discrimination and Ensuring Equality and Office of the High Commissioner for Human Rights, Study on Equality Perceptions and Attitudes in the Republic of Moldova, 2015, Study on equality perceptions and attitudes in the Republic of Moldova, 2015, p. 19, available at: http://md.one.un.org/content/dam/unct/moldova/docs/</w:t>
      </w:r>
    </w:p>
  </w:footnote>
  <w:footnote w:id="107">
    <w:p w14:paraId="64AC1F2A" w14:textId="77777777" w:rsidR="00CD5D3B" w:rsidRDefault="00CD5D3B" w:rsidP="00CD5D3B">
      <w:pPr>
        <w:pStyle w:val="FootnoteText"/>
      </w:pPr>
      <w:r>
        <w:rPr>
          <w:rStyle w:val="FootnoteReference"/>
        </w:rPr>
        <w:footnoteRef/>
      </w:r>
      <w:r>
        <w:t xml:space="preserve"> </w:t>
      </w:r>
      <w:r w:rsidRPr="006870B7">
        <w:t xml:space="preserve">Equal Rights Trust, </w:t>
      </w:r>
      <w:r w:rsidRPr="006870B7">
        <w:rPr>
          <w:i/>
        </w:rPr>
        <w:t xml:space="preserve">From Words to Deeds: Addressing Discrimination and Inequality in Moldova, </w:t>
      </w:r>
      <w:r>
        <w:t>p. 100.</w:t>
      </w:r>
    </w:p>
  </w:footnote>
  <w:footnote w:id="108">
    <w:p w14:paraId="3A348911" w14:textId="77777777" w:rsidR="00CD5D3B" w:rsidRDefault="00CD5D3B" w:rsidP="00CD5D3B">
      <w:pPr>
        <w:pStyle w:val="FootnoteText"/>
      </w:pPr>
      <w:r>
        <w:rPr>
          <w:rStyle w:val="FootnoteReference"/>
        </w:rPr>
        <w:footnoteRef/>
      </w:r>
      <w:r>
        <w:t xml:space="preserve"> </w:t>
      </w:r>
      <w:r w:rsidRPr="006870B7">
        <w:t xml:space="preserve">Equal Rights Trust, </w:t>
      </w:r>
      <w:r w:rsidRPr="006870B7">
        <w:rPr>
          <w:i/>
        </w:rPr>
        <w:t xml:space="preserve">From Words to Deeds: Addressing Discrimination and Inequality in Moldova, </w:t>
      </w:r>
      <w:r>
        <w:t>p. 109.</w:t>
      </w:r>
    </w:p>
  </w:footnote>
  <w:footnote w:id="109">
    <w:p w14:paraId="0C7B1FDB" w14:textId="77777777" w:rsidR="00CD5D3B" w:rsidRDefault="00CD5D3B" w:rsidP="00CD5D3B">
      <w:pPr>
        <w:pStyle w:val="FootnoteText"/>
      </w:pPr>
      <w:r>
        <w:rPr>
          <w:rStyle w:val="FootnoteReference"/>
        </w:rPr>
        <w:footnoteRef/>
      </w:r>
      <w:r>
        <w:t xml:space="preserve"> </w:t>
      </w:r>
      <w:r w:rsidRPr="00237997">
        <w:rPr>
          <w:i/>
        </w:rPr>
        <w:t>Ibid</w:t>
      </w:r>
      <w:r>
        <w:t>.</w:t>
      </w:r>
    </w:p>
  </w:footnote>
  <w:footnote w:id="110">
    <w:p w14:paraId="6A81BD64" w14:textId="77777777" w:rsidR="00CD5D3B" w:rsidRDefault="00CD5D3B" w:rsidP="00CD5D3B">
      <w:pPr>
        <w:pStyle w:val="FootnoteText"/>
      </w:pPr>
      <w:r>
        <w:rPr>
          <w:rStyle w:val="FootnoteReference"/>
        </w:rPr>
        <w:footnoteRef/>
      </w:r>
      <w:r>
        <w:t xml:space="preserve"> </w:t>
      </w:r>
      <w:r w:rsidRPr="00371DD2">
        <w:t>Legal Assistance Centre for Persons with Disabilities, Submission to the Committee on the Rights of Persons with Disabilit</w:t>
      </w:r>
      <w:r>
        <w:t>ies for Moldova, 2015, p. 29</w:t>
      </w:r>
      <w:r w:rsidRPr="00371DD2">
        <w:t>, available at: http://www.advocacy.md/sites/newadvocacy/files/Raport%20de%20alternativa%20CRPD_ROM.pdf.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22043"/>
    <w:multiLevelType w:val="hybridMultilevel"/>
    <w:tmpl w:val="A9D4C078"/>
    <w:lvl w:ilvl="0" w:tplc="5C8E1C14">
      <w:start w:val="1"/>
      <w:numFmt w:val="bullet"/>
      <w:lvlText w:val=""/>
      <w:lvlJc w:val="left"/>
      <w:pPr>
        <w:ind w:left="720" w:hanging="360"/>
      </w:pPr>
      <w:rPr>
        <w:rFonts w:ascii="Symbol" w:hAnsi="Symbol" w:hint="default"/>
      </w:rPr>
    </w:lvl>
    <w:lvl w:ilvl="1" w:tplc="94C00F6A" w:tentative="1">
      <w:start w:val="1"/>
      <w:numFmt w:val="bullet"/>
      <w:lvlText w:val="o"/>
      <w:lvlJc w:val="left"/>
      <w:pPr>
        <w:ind w:left="1440" w:hanging="360"/>
      </w:pPr>
      <w:rPr>
        <w:rFonts w:ascii="Courier New" w:hAnsi="Courier New" w:cs="Courier New" w:hint="default"/>
      </w:rPr>
    </w:lvl>
    <w:lvl w:ilvl="2" w:tplc="CB08A692" w:tentative="1">
      <w:start w:val="1"/>
      <w:numFmt w:val="bullet"/>
      <w:lvlText w:val=""/>
      <w:lvlJc w:val="left"/>
      <w:pPr>
        <w:ind w:left="2160" w:hanging="360"/>
      </w:pPr>
      <w:rPr>
        <w:rFonts w:ascii="Wingdings" w:hAnsi="Wingdings" w:hint="default"/>
      </w:rPr>
    </w:lvl>
    <w:lvl w:ilvl="3" w:tplc="9F806EA0" w:tentative="1">
      <w:start w:val="1"/>
      <w:numFmt w:val="bullet"/>
      <w:lvlText w:val=""/>
      <w:lvlJc w:val="left"/>
      <w:pPr>
        <w:ind w:left="2880" w:hanging="360"/>
      </w:pPr>
      <w:rPr>
        <w:rFonts w:ascii="Symbol" w:hAnsi="Symbol" w:hint="default"/>
      </w:rPr>
    </w:lvl>
    <w:lvl w:ilvl="4" w:tplc="82AC840C" w:tentative="1">
      <w:start w:val="1"/>
      <w:numFmt w:val="bullet"/>
      <w:lvlText w:val="o"/>
      <w:lvlJc w:val="left"/>
      <w:pPr>
        <w:ind w:left="3600" w:hanging="360"/>
      </w:pPr>
      <w:rPr>
        <w:rFonts w:ascii="Courier New" w:hAnsi="Courier New" w:cs="Courier New" w:hint="default"/>
      </w:rPr>
    </w:lvl>
    <w:lvl w:ilvl="5" w:tplc="59A2EFBE" w:tentative="1">
      <w:start w:val="1"/>
      <w:numFmt w:val="bullet"/>
      <w:lvlText w:val=""/>
      <w:lvlJc w:val="left"/>
      <w:pPr>
        <w:ind w:left="4320" w:hanging="360"/>
      </w:pPr>
      <w:rPr>
        <w:rFonts w:ascii="Wingdings" w:hAnsi="Wingdings" w:hint="default"/>
      </w:rPr>
    </w:lvl>
    <w:lvl w:ilvl="6" w:tplc="D160017A" w:tentative="1">
      <w:start w:val="1"/>
      <w:numFmt w:val="bullet"/>
      <w:lvlText w:val=""/>
      <w:lvlJc w:val="left"/>
      <w:pPr>
        <w:ind w:left="5040" w:hanging="360"/>
      </w:pPr>
      <w:rPr>
        <w:rFonts w:ascii="Symbol" w:hAnsi="Symbol" w:hint="default"/>
      </w:rPr>
    </w:lvl>
    <w:lvl w:ilvl="7" w:tplc="255A6A0C" w:tentative="1">
      <w:start w:val="1"/>
      <w:numFmt w:val="bullet"/>
      <w:lvlText w:val="o"/>
      <w:lvlJc w:val="left"/>
      <w:pPr>
        <w:ind w:left="5760" w:hanging="360"/>
      </w:pPr>
      <w:rPr>
        <w:rFonts w:ascii="Courier New" w:hAnsi="Courier New" w:cs="Courier New" w:hint="default"/>
      </w:rPr>
    </w:lvl>
    <w:lvl w:ilvl="8" w:tplc="D612ED5E" w:tentative="1">
      <w:start w:val="1"/>
      <w:numFmt w:val="bullet"/>
      <w:lvlText w:val=""/>
      <w:lvlJc w:val="left"/>
      <w:pPr>
        <w:ind w:left="6480" w:hanging="360"/>
      </w:pPr>
      <w:rPr>
        <w:rFonts w:ascii="Wingdings" w:hAnsi="Wingdings" w:hint="default"/>
      </w:rPr>
    </w:lvl>
  </w:abstractNum>
  <w:abstractNum w:abstractNumId="1" w15:restartNumberingAfterBreak="0">
    <w:nsid w:val="02F23885"/>
    <w:multiLevelType w:val="hybridMultilevel"/>
    <w:tmpl w:val="3112FD0C"/>
    <w:lvl w:ilvl="0" w:tplc="CB80772E">
      <w:start w:val="1"/>
      <w:numFmt w:val="bullet"/>
      <w:lvlText w:val=""/>
      <w:lvlJc w:val="left"/>
      <w:pPr>
        <w:ind w:left="720" w:hanging="360"/>
      </w:pPr>
      <w:rPr>
        <w:rFonts w:ascii="Symbol" w:hAnsi="Symbol" w:hint="default"/>
      </w:rPr>
    </w:lvl>
    <w:lvl w:ilvl="1" w:tplc="A9CC7BE4">
      <w:start w:val="1"/>
      <w:numFmt w:val="bullet"/>
      <w:lvlText w:val="o"/>
      <w:lvlJc w:val="left"/>
      <w:pPr>
        <w:ind w:left="1440" w:hanging="360"/>
      </w:pPr>
      <w:rPr>
        <w:rFonts w:ascii="Courier New" w:hAnsi="Courier New" w:cs="Courier New" w:hint="default"/>
      </w:rPr>
    </w:lvl>
    <w:lvl w:ilvl="2" w:tplc="5E0A30A6" w:tentative="1">
      <w:start w:val="1"/>
      <w:numFmt w:val="bullet"/>
      <w:lvlText w:val=""/>
      <w:lvlJc w:val="left"/>
      <w:pPr>
        <w:ind w:left="2160" w:hanging="360"/>
      </w:pPr>
      <w:rPr>
        <w:rFonts w:ascii="Wingdings" w:hAnsi="Wingdings" w:hint="default"/>
      </w:rPr>
    </w:lvl>
    <w:lvl w:ilvl="3" w:tplc="B2A03C0A" w:tentative="1">
      <w:start w:val="1"/>
      <w:numFmt w:val="bullet"/>
      <w:lvlText w:val=""/>
      <w:lvlJc w:val="left"/>
      <w:pPr>
        <w:ind w:left="2880" w:hanging="360"/>
      </w:pPr>
      <w:rPr>
        <w:rFonts w:ascii="Symbol" w:hAnsi="Symbol" w:hint="default"/>
      </w:rPr>
    </w:lvl>
    <w:lvl w:ilvl="4" w:tplc="A0BA6BB2" w:tentative="1">
      <w:start w:val="1"/>
      <w:numFmt w:val="bullet"/>
      <w:lvlText w:val="o"/>
      <w:lvlJc w:val="left"/>
      <w:pPr>
        <w:ind w:left="3600" w:hanging="360"/>
      </w:pPr>
      <w:rPr>
        <w:rFonts w:ascii="Courier New" w:hAnsi="Courier New" w:cs="Courier New" w:hint="default"/>
      </w:rPr>
    </w:lvl>
    <w:lvl w:ilvl="5" w:tplc="219809A0" w:tentative="1">
      <w:start w:val="1"/>
      <w:numFmt w:val="bullet"/>
      <w:lvlText w:val=""/>
      <w:lvlJc w:val="left"/>
      <w:pPr>
        <w:ind w:left="4320" w:hanging="360"/>
      </w:pPr>
      <w:rPr>
        <w:rFonts w:ascii="Wingdings" w:hAnsi="Wingdings" w:hint="default"/>
      </w:rPr>
    </w:lvl>
    <w:lvl w:ilvl="6" w:tplc="B546F6BA" w:tentative="1">
      <w:start w:val="1"/>
      <w:numFmt w:val="bullet"/>
      <w:lvlText w:val=""/>
      <w:lvlJc w:val="left"/>
      <w:pPr>
        <w:ind w:left="5040" w:hanging="360"/>
      </w:pPr>
      <w:rPr>
        <w:rFonts w:ascii="Symbol" w:hAnsi="Symbol" w:hint="default"/>
      </w:rPr>
    </w:lvl>
    <w:lvl w:ilvl="7" w:tplc="DB3048CC" w:tentative="1">
      <w:start w:val="1"/>
      <w:numFmt w:val="bullet"/>
      <w:lvlText w:val="o"/>
      <w:lvlJc w:val="left"/>
      <w:pPr>
        <w:ind w:left="5760" w:hanging="360"/>
      </w:pPr>
      <w:rPr>
        <w:rFonts w:ascii="Courier New" w:hAnsi="Courier New" w:cs="Courier New" w:hint="default"/>
      </w:rPr>
    </w:lvl>
    <w:lvl w:ilvl="8" w:tplc="12BC2C36" w:tentative="1">
      <w:start w:val="1"/>
      <w:numFmt w:val="bullet"/>
      <w:lvlText w:val=""/>
      <w:lvlJc w:val="left"/>
      <w:pPr>
        <w:ind w:left="6480" w:hanging="360"/>
      </w:pPr>
      <w:rPr>
        <w:rFonts w:ascii="Wingdings" w:hAnsi="Wingdings" w:hint="default"/>
      </w:rPr>
    </w:lvl>
  </w:abstractNum>
  <w:abstractNum w:abstractNumId="2" w15:restartNumberingAfterBreak="0">
    <w:nsid w:val="031164A8"/>
    <w:multiLevelType w:val="hybridMultilevel"/>
    <w:tmpl w:val="9B3E45EC"/>
    <w:lvl w:ilvl="0" w:tplc="B41C15DC">
      <w:numFmt w:val="bullet"/>
      <w:lvlText w:val="•"/>
      <w:lvlJc w:val="left"/>
      <w:pPr>
        <w:ind w:left="1440" w:hanging="720"/>
      </w:pPr>
      <w:rPr>
        <w:rFonts w:ascii="Cambria" w:eastAsiaTheme="minorHAnsi"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327501"/>
    <w:multiLevelType w:val="hybridMultilevel"/>
    <w:tmpl w:val="DAE2B794"/>
    <w:lvl w:ilvl="0" w:tplc="F57C4BA6">
      <w:start w:val="1"/>
      <w:numFmt w:val="bullet"/>
      <w:lvlText w:val=""/>
      <w:lvlJc w:val="left"/>
      <w:pPr>
        <w:ind w:left="720" w:hanging="360"/>
      </w:pPr>
      <w:rPr>
        <w:rFonts w:ascii="Symbol" w:hAnsi="Symbol" w:hint="default"/>
      </w:rPr>
    </w:lvl>
    <w:lvl w:ilvl="1" w:tplc="9F14555E" w:tentative="1">
      <w:start w:val="1"/>
      <w:numFmt w:val="bullet"/>
      <w:lvlText w:val="o"/>
      <w:lvlJc w:val="left"/>
      <w:pPr>
        <w:ind w:left="1440" w:hanging="360"/>
      </w:pPr>
      <w:rPr>
        <w:rFonts w:ascii="Courier New" w:hAnsi="Courier New" w:cs="Courier New" w:hint="default"/>
      </w:rPr>
    </w:lvl>
    <w:lvl w:ilvl="2" w:tplc="4AC829B6" w:tentative="1">
      <w:start w:val="1"/>
      <w:numFmt w:val="bullet"/>
      <w:lvlText w:val=""/>
      <w:lvlJc w:val="left"/>
      <w:pPr>
        <w:ind w:left="2160" w:hanging="360"/>
      </w:pPr>
      <w:rPr>
        <w:rFonts w:ascii="Wingdings" w:hAnsi="Wingdings" w:hint="default"/>
      </w:rPr>
    </w:lvl>
    <w:lvl w:ilvl="3" w:tplc="8A94E418" w:tentative="1">
      <w:start w:val="1"/>
      <w:numFmt w:val="bullet"/>
      <w:lvlText w:val=""/>
      <w:lvlJc w:val="left"/>
      <w:pPr>
        <w:ind w:left="2880" w:hanging="360"/>
      </w:pPr>
      <w:rPr>
        <w:rFonts w:ascii="Symbol" w:hAnsi="Symbol" w:hint="default"/>
      </w:rPr>
    </w:lvl>
    <w:lvl w:ilvl="4" w:tplc="1B90D62E" w:tentative="1">
      <w:start w:val="1"/>
      <w:numFmt w:val="bullet"/>
      <w:lvlText w:val="o"/>
      <w:lvlJc w:val="left"/>
      <w:pPr>
        <w:ind w:left="3600" w:hanging="360"/>
      </w:pPr>
      <w:rPr>
        <w:rFonts w:ascii="Courier New" w:hAnsi="Courier New" w:cs="Courier New" w:hint="default"/>
      </w:rPr>
    </w:lvl>
    <w:lvl w:ilvl="5" w:tplc="37D41766" w:tentative="1">
      <w:start w:val="1"/>
      <w:numFmt w:val="bullet"/>
      <w:lvlText w:val=""/>
      <w:lvlJc w:val="left"/>
      <w:pPr>
        <w:ind w:left="4320" w:hanging="360"/>
      </w:pPr>
      <w:rPr>
        <w:rFonts w:ascii="Wingdings" w:hAnsi="Wingdings" w:hint="default"/>
      </w:rPr>
    </w:lvl>
    <w:lvl w:ilvl="6" w:tplc="0EA4EE6A" w:tentative="1">
      <w:start w:val="1"/>
      <w:numFmt w:val="bullet"/>
      <w:lvlText w:val=""/>
      <w:lvlJc w:val="left"/>
      <w:pPr>
        <w:ind w:left="5040" w:hanging="360"/>
      </w:pPr>
      <w:rPr>
        <w:rFonts w:ascii="Symbol" w:hAnsi="Symbol" w:hint="default"/>
      </w:rPr>
    </w:lvl>
    <w:lvl w:ilvl="7" w:tplc="E8582A1E" w:tentative="1">
      <w:start w:val="1"/>
      <w:numFmt w:val="bullet"/>
      <w:lvlText w:val="o"/>
      <w:lvlJc w:val="left"/>
      <w:pPr>
        <w:ind w:left="5760" w:hanging="360"/>
      </w:pPr>
      <w:rPr>
        <w:rFonts w:ascii="Courier New" w:hAnsi="Courier New" w:cs="Courier New" w:hint="default"/>
      </w:rPr>
    </w:lvl>
    <w:lvl w:ilvl="8" w:tplc="3D345E2C" w:tentative="1">
      <w:start w:val="1"/>
      <w:numFmt w:val="bullet"/>
      <w:lvlText w:val=""/>
      <w:lvlJc w:val="left"/>
      <w:pPr>
        <w:ind w:left="6480" w:hanging="360"/>
      </w:pPr>
      <w:rPr>
        <w:rFonts w:ascii="Wingdings" w:hAnsi="Wingdings" w:hint="default"/>
      </w:rPr>
    </w:lvl>
  </w:abstractNum>
  <w:abstractNum w:abstractNumId="4" w15:restartNumberingAfterBreak="0">
    <w:nsid w:val="0C5D7984"/>
    <w:multiLevelType w:val="hybridMultilevel"/>
    <w:tmpl w:val="2C92247E"/>
    <w:lvl w:ilvl="0" w:tplc="7C60148A">
      <w:start w:val="1"/>
      <w:numFmt w:val="bullet"/>
      <w:lvlText w:val=""/>
      <w:lvlJc w:val="left"/>
      <w:pPr>
        <w:ind w:left="1287" w:hanging="360"/>
      </w:pPr>
      <w:rPr>
        <w:rFonts w:ascii="Symbol" w:hAnsi="Symbol" w:hint="default"/>
      </w:rPr>
    </w:lvl>
    <w:lvl w:ilvl="1" w:tplc="427A99BE" w:tentative="1">
      <w:start w:val="1"/>
      <w:numFmt w:val="bullet"/>
      <w:lvlText w:val="o"/>
      <w:lvlJc w:val="left"/>
      <w:pPr>
        <w:ind w:left="2007" w:hanging="360"/>
      </w:pPr>
      <w:rPr>
        <w:rFonts w:ascii="Courier New" w:hAnsi="Courier New" w:cs="Courier New" w:hint="default"/>
      </w:rPr>
    </w:lvl>
    <w:lvl w:ilvl="2" w:tplc="90742D58" w:tentative="1">
      <w:start w:val="1"/>
      <w:numFmt w:val="bullet"/>
      <w:lvlText w:val=""/>
      <w:lvlJc w:val="left"/>
      <w:pPr>
        <w:ind w:left="2727" w:hanging="360"/>
      </w:pPr>
      <w:rPr>
        <w:rFonts w:ascii="Wingdings" w:hAnsi="Wingdings" w:hint="default"/>
      </w:rPr>
    </w:lvl>
    <w:lvl w:ilvl="3" w:tplc="EBE08A4E" w:tentative="1">
      <w:start w:val="1"/>
      <w:numFmt w:val="bullet"/>
      <w:lvlText w:val=""/>
      <w:lvlJc w:val="left"/>
      <w:pPr>
        <w:ind w:left="3447" w:hanging="360"/>
      </w:pPr>
      <w:rPr>
        <w:rFonts w:ascii="Symbol" w:hAnsi="Symbol" w:hint="default"/>
      </w:rPr>
    </w:lvl>
    <w:lvl w:ilvl="4" w:tplc="57C22B54" w:tentative="1">
      <w:start w:val="1"/>
      <w:numFmt w:val="bullet"/>
      <w:lvlText w:val="o"/>
      <w:lvlJc w:val="left"/>
      <w:pPr>
        <w:ind w:left="4167" w:hanging="360"/>
      </w:pPr>
      <w:rPr>
        <w:rFonts w:ascii="Courier New" w:hAnsi="Courier New" w:cs="Courier New" w:hint="default"/>
      </w:rPr>
    </w:lvl>
    <w:lvl w:ilvl="5" w:tplc="B5E6BD5A" w:tentative="1">
      <w:start w:val="1"/>
      <w:numFmt w:val="bullet"/>
      <w:lvlText w:val=""/>
      <w:lvlJc w:val="left"/>
      <w:pPr>
        <w:ind w:left="4887" w:hanging="360"/>
      </w:pPr>
      <w:rPr>
        <w:rFonts w:ascii="Wingdings" w:hAnsi="Wingdings" w:hint="default"/>
      </w:rPr>
    </w:lvl>
    <w:lvl w:ilvl="6" w:tplc="9B64FCA8" w:tentative="1">
      <w:start w:val="1"/>
      <w:numFmt w:val="bullet"/>
      <w:lvlText w:val=""/>
      <w:lvlJc w:val="left"/>
      <w:pPr>
        <w:ind w:left="5607" w:hanging="360"/>
      </w:pPr>
      <w:rPr>
        <w:rFonts w:ascii="Symbol" w:hAnsi="Symbol" w:hint="default"/>
      </w:rPr>
    </w:lvl>
    <w:lvl w:ilvl="7" w:tplc="7488EA84" w:tentative="1">
      <w:start w:val="1"/>
      <w:numFmt w:val="bullet"/>
      <w:lvlText w:val="o"/>
      <w:lvlJc w:val="left"/>
      <w:pPr>
        <w:ind w:left="6327" w:hanging="360"/>
      </w:pPr>
      <w:rPr>
        <w:rFonts w:ascii="Courier New" w:hAnsi="Courier New" w:cs="Courier New" w:hint="default"/>
      </w:rPr>
    </w:lvl>
    <w:lvl w:ilvl="8" w:tplc="6E308962" w:tentative="1">
      <w:start w:val="1"/>
      <w:numFmt w:val="bullet"/>
      <w:lvlText w:val=""/>
      <w:lvlJc w:val="left"/>
      <w:pPr>
        <w:ind w:left="7047" w:hanging="360"/>
      </w:pPr>
      <w:rPr>
        <w:rFonts w:ascii="Wingdings" w:hAnsi="Wingdings" w:hint="default"/>
      </w:rPr>
    </w:lvl>
  </w:abstractNum>
  <w:abstractNum w:abstractNumId="5" w15:restartNumberingAfterBreak="0">
    <w:nsid w:val="0D300ED0"/>
    <w:multiLevelType w:val="hybridMultilevel"/>
    <w:tmpl w:val="EC504FE8"/>
    <w:lvl w:ilvl="0" w:tplc="2CECC69C">
      <w:start w:val="1"/>
      <w:numFmt w:val="decimal"/>
      <w:lvlText w:val="%1."/>
      <w:lvlJc w:val="left"/>
      <w:pPr>
        <w:ind w:left="567" w:hanging="567"/>
      </w:pPr>
      <w:rPr>
        <w:rFonts w:hint="default"/>
        <w:i w:val="0"/>
      </w:rPr>
    </w:lvl>
    <w:lvl w:ilvl="1" w:tplc="D704456E">
      <w:start w:val="1"/>
      <w:numFmt w:val="lowerLetter"/>
      <w:lvlText w:val="(%2)"/>
      <w:lvlJc w:val="left"/>
      <w:pPr>
        <w:ind w:left="2356" w:hanging="360"/>
      </w:pPr>
      <w:rPr>
        <w:rFonts w:hint="default"/>
      </w:rPr>
    </w:lvl>
    <w:lvl w:ilvl="2" w:tplc="EAA2D116">
      <w:start w:val="1"/>
      <w:numFmt w:val="lowerRoman"/>
      <w:lvlText w:val="%3."/>
      <w:lvlJc w:val="right"/>
      <w:pPr>
        <w:ind w:left="3076" w:hanging="180"/>
      </w:pPr>
    </w:lvl>
    <w:lvl w:ilvl="3" w:tplc="E9C0F480">
      <w:start w:val="1"/>
      <w:numFmt w:val="decimal"/>
      <w:lvlText w:val="%4."/>
      <w:lvlJc w:val="left"/>
      <w:pPr>
        <w:ind w:left="3796" w:hanging="360"/>
      </w:pPr>
    </w:lvl>
    <w:lvl w:ilvl="4" w:tplc="5D585D1E" w:tentative="1">
      <w:start w:val="1"/>
      <w:numFmt w:val="lowerLetter"/>
      <w:lvlText w:val="%5."/>
      <w:lvlJc w:val="left"/>
      <w:pPr>
        <w:ind w:left="4516" w:hanging="360"/>
      </w:pPr>
    </w:lvl>
    <w:lvl w:ilvl="5" w:tplc="B42A28B6" w:tentative="1">
      <w:start w:val="1"/>
      <w:numFmt w:val="lowerRoman"/>
      <w:lvlText w:val="%6."/>
      <w:lvlJc w:val="right"/>
      <w:pPr>
        <w:ind w:left="5236" w:hanging="180"/>
      </w:pPr>
    </w:lvl>
    <w:lvl w:ilvl="6" w:tplc="490CAE7E" w:tentative="1">
      <w:start w:val="1"/>
      <w:numFmt w:val="decimal"/>
      <w:lvlText w:val="%7."/>
      <w:lvlJc w:val="left"/>
      <w:pPr>
        <w:ind w:left="5956" w:hanging="360"/>
      </w:pPr>
    </w:lvl>
    <w:lvl w:ilvl="7" w:tplc="C7EE6884" w:tentative="1">
      <w:start w:val="1"/>
      <w:numFmt w:val="lowerLetter"/>
      <w:lvlText w:val="%8."/>
      <w:lvlJc w:val="left"/>
      <w:pPr>
        <w:ind w:left="6676" w:hanging="360"/>
      </w:pPr>
    </w:lvl>
    <w:lvl w:ilvl="8" w:tplc="F74A57C0" w:tentative="1">
      <w:start w:val="1"/>
      <w:numFmt w:val="lowerRoman"/>
      <w:lvlText w:val="%9."/>
      <w:lvlJc w:val="right"/>
      <w:pPr>
        <w:ind w:left="7396" w:hanging="180"/>
      </w:pPr>
    </w:lvl>
  </w:abstractNum>
  <w:abstractNum w:abstractNumId="6" w15:restartNumberingAfterBreak="0">
    <w:nsid w:val="0F835026"/>
    <w:multiLevelType w:val="hybridMultilevel"/>
    <w:tmpl w:val="F904D0FE"/>
    <w:lvl w:ilvl="0" w:tplc="0378891C">
      <w:start w:val="1"/>
      <w:numFmt w:val="bullet"/>
      <w:lvlText w:val=""/>
      <w:lvlJc w:val="left"/>
      <w:pPr>
        <w:ind w:left="720" w:hanging="360"/>
      </w:pPr>
      <w:rPr>
        <w:rFonts w:ascii="Symbol" w:hAnsi="Symbol" w:hint="default"/>
      </w:rPr>
    </w:lvl>
    <w:lvl w:ilvl="1" w:tplc="8AF4260C" w:tentative="1">
      <w:start w:val="1"/>
      <w:numFmt w:val="bullet"/>
      <w:lvlText w:val="o"/>
      <w:lvlJc w:val="left"/>
      <w:pPr>
        <w:ind w:left="1440" w:hanging="360"/>
      </w:pPr>
      <w:rPr>
        <w:rFonts w:ascii="Courier New" w:hAnsi="Courier New" w:cs="Courier New" w:hint="default"/>
      </w:rPr>
    </w:lvl>
    <w:lvl w:ilvl="2" w:tplc="DD06ADC6" w:tentative="1">
      <w:start w:val="1"/>
      <w:numFmt w:val="bullet"/>
      <w:lvlText w:val=""/>
      <w:lvlJc w:val="left"/>
      <w:pPr>
        <w:ind w:left="2160" w:hanging="360"/>
      </w:pPr>
      <w:rPr>
        <w:rFonts w:ascii="Wingdings" w:hAnsi="Wingdings" w:hint="default"/>
      </w:rPr>
    </w:lvl>
    <w:lvl w:ilvl="3" w:tplc="F13C17D6" w:tentative="1">
      <w:start w:val="1"/>
      <w:numFmt w:val="bullet"/>
      <w:lvlText w:val=""/>
      <w:lvlJc w:val="left"/>
      <w:pPr>
        <w:ind w:left="2880" w:hanging="360"/>
      </w:pPr>
      <w:rPr>
        <w:rFonts w:ascii="Symbol" w:hAnsi="Symbol" w:hint="default"/>
      </w:rPr>
    </w:lvl>
    <w:lvl w:ilvl="4" w:tplc="C57CC260" w:tentative="1">
      <w:start w:val="1"/>
      <w:numFmt w:val="bullet"/>
      <w:lvlText w:val="o"/>
      <w:lvlJc w:val="left"/>
      <w:pPr>
        <w:ind w:left="3600" w:hanging="360"/>
      </w:pPr>
      <w:rPr>
        <w:rFonts w:ascii="Courier New" w:hAnsi="Courier New" w:cs="Courier New" w:hint="default"/>
      </w:rPr>
    </w:lvl>
    <w:lvl w:ilvl="5" w:tplc="99388178" w:tentative="1">
      <w:start w:val="1"/>
      <w:numFmt w:val="bullet"/>
      <w:lvlText w:val=""/>
      <w:lvlJc w:val="left"/>
      <w:pPr>
        <w:ind w:left="4320" w:hanging="360"/>
      </w:pPr>
      <w:rPr>
        <w:rFonts w:ascii="Wingdings" w:hAnsi="Wingdings" w:hint="default"/>
      </w:rPr>
    </w:lvl>
    <w:lvl w:ilvl="6" w:tplc="6DD4EA42" w:tentative="1">
      <w:start w:val="1"/>
      <w:numFmt w:val="bullet"/>
      <w:lvlText w:val=""/>
      <w:lvlJc w:val="left"/>
      <w:pPr>
        <w:ind w:left="5040" w:hanging="360"/>
      </w:pPr>
      <w:rPr>
        <w:rFonts w:ascii="Symbol" w:hAnsi="Symbol" w:hint="default"/>
      </w:rPr>
    </w:lvl>
    <w:lvl w:ilvl="7" w:tplc="7A70B3CE" w:tentative="1">
      <w:start w:val="1"/>
      <w:numFmt w:val="bullet"/>
      <w:lvlText w:val="o"/>
      <w:lvlJc w:val="left"/>
      <w:pPr>
        <w:ind w:left="5760" w:hanging="360"/>
      </w:pPr>
      <w:rPr>
        <w:rFonts w:ascii="Courier New" w:hAnsi="Courier New" w:cs="Courier New" w:hint="default"/>
      </w:rPr>
    </w:lvl>
    <w:lvl w:ilvl="8" w:tplc="93F0D93A" w:tentative="1">
      <w:start w:val="1"/>
      <w:numFmt w:val="bullet"/>
      <w:lvlText w:val=""/>
      <w:lvlJc w:val="left"/>
      <w:pPr>
        <w:ind w:left="6480" w:hanging="360"/>
      </w:pPr>
      <w:rPr>
        <w:rFonts w:ascii="Wingdings" w:hAnsi="Wingdings" w:hint="default"/>
      </w:rPr>
    </w:lvl>
  </w:abstractNum>
  <w:abstractNum w:abstractNumId="7" w15:restartNumberingAfterBreak="0">
    <w:nsid w:val="1373500F"/>
    <w:multiLevelType w:val="hybridMultilevel"/>
    <w:tmpl w:val="1FB4BC4E"/>
    <w:lvl w:ilvl="0" w:tplc="1A6C27D0">
      <w:start w:val="1"/>
      <w:numFmt w:val="bullet"/>
      <w:lvlText w:val=""/>
      <w:lvlJc w:val="left"/>
      <w:pPr>
        <w:ind w:left="720" w:hanging="360"/>
      </w:pPr>
      <w:rPr>
        <w:rFonts w:ascii="Symbol" w:hAnsi="Symbol" w:hint="default"/>
      </w:rPr>
    </w:lvl>
    <w:lvl w:ilvl="1" w:tplc="DB2CD948" w:tentative="1">
      <w:start w:val="1"/>
      <w:numFmt w:val="bullet"/>
      <w:lvlText w:val="o"/>
      <w:lvlJc w:val="left"/>
      <w:pPr>
        <w:ind w:left="1440" w:hanging="360"/>
      </w:pPr>
      <w:rPr>
        <w:rFonts w:ascii="Courier New" w:hAnsi="Courier New" w:cs="Courier New" w:hint="default"/>
      </w:rPr>
    </w:lvl>
    <w:lvl w:ilvl="2" w:tplc="2ECA5420" w:tentative="1">
      <w:start w:val="1"/>
      <w:numFmt w:val="bullet"/>
      <w:lvlText w:val=""/>
      <w:lvlJc w:val="left"/>
      <w:pPr>
        <w:ind w:left="2160" w:hanging="360"/>
      </w:pPr>
      <w:rPr>
        <w:rFonts w:ascii="Wingdings" w:hAnsi="Wingdings" w:hint="default"/>
      </w:rPr>
    </w:lvl>
    <w:lvl w:ilvl="3" w:tplc="A686D70E" w:tentative="1">
      <w:start w:val="1"/>
      <w:numFmt w:val="bullet"/>
      <w:lvlText w:val=""/>
      <w:lvlJc w:val="left"/>
      <w:pPr>
        <w:ind w:left="2880" w:hanging="360"/>
      </w:pPr>
      <w:rPr>
        <w:rFonts w:ascii="Symbol" w:hAnsi="Symbol" w:hint="default"/>
      </w:rPr>
    </w:lvl>
    <w:lvl w:ilvl="4" w:tplc="BF3AC066" w:tentative="1">
      <w:start w:val="1"/>
      <w:numFmt w:val="bullet"/>
      <w:lvlText w:val="o"/>
      <w:lvlJc w:val="left"/>
      <w:pPr>
        <w:ind w:left="3600" w:hanging="360"/>
      </w:pPr>
      <w:rPr>
        <w:rFonts w:ascii="Courier New" w:hAnsi="Courier New" w:cs="Courier New" w:hint="default"/>
      </w:rPr>
    </w:lvl>
    <w:lvl w:ilvl="5" w:tplc="81D67B32" w:tentative="1">
      <w:start w:val="1"/>
      <w:numFmt w:val="bullet"/>
      <w:lvlText w:val=""/>
      <w:lvlJc w:val="left"/>
      <w:pPr>
        <w:ind w:left="4320" w:hanging="360"/>
      </w:pPr>
      <w:rPr>
        <w:rFonts w:ascii="Wingdings" w:hAnsi="Wingdings" w:hint="default"/>
      </w:rPr>
    </w:lvl>
    <w:lvl w:ilvl="6" w:tplc="D09A2500" w:tentative="1">
      <w:start w:val="1"/>
      <w:numFmt w:val="bullet"/>
      <w:lvlText w:val=""/>
      <w:lvlJc w:val="left"/>
      <w:pPr>
        <w:ind w:left="5040" w:hanging="360"/>
      </w:pPr>
      <w:rPr>
        <w:rFonts w:ascii="Symbol" w:hAnsi="Symbol" w:hint="default"/>
      </w:rPr>
    </w:lvl>
    <w:lvl w:ilvl="7" w:tplc="CD3E70F8" w:tentative="1">
      <w:start w:val="1"/>
      <w:numFmt w:val="bullet"/>
      <w:lvlText w:val="o"/>
      <w:lvlJc w:val="left"/>
      <w:pPr>
        <w:ind w:left="5760" w:hanging="360"/>
      </w:pPr>
      <w:rPr>
        <w:rFonts w:ascii="Courier New" w:hAnsi="Courier New" w:cs="Courier New" w:hint="default"/>
      </w:rPr>
    </w:lvl>
    <w:lvl w:ilvl="8" w:tplc="6FA0C928" w:tentative="1">
      <w:start w:val="1"/>
      <w:numFmt w:val="bullet"/>
      <w:lvlText w:val=""/>
      <w:lvlJc w:val="left"/>
      <w:pPr>
        <w:ind w:left="6480" w:hanging="360"/>
      </w:pPr>
      <w:rPr>
        <w:rFonts w:ascii="Wingdings" w:hAnsi="Wingdings" w:hint="default"/>
      </w:rPr>
    </w:lvl>
  </w:abstractNum>
  <w:abstractNum w:abstractNumId="8" w15:restartNumberingAfterBreak="0">
    <w:nsid w:val="26FA7615"/>
    <w:multiLevelType w:val="hybridMultilevel"/>
    <w:tmpl w:val="C35413FC"/>
    <w:lvl w:ilvl="0" w:tplc="043E1B8A">
      <w:start w:val="1"/>
      <w:numFmt w:val="bullet"/>
      <w:lvlText w:val=""/>
      <w:lvlJc w:val="left"/>
      <w:pPr>
        <w:ind w:left="720" w:hanging="360"/>
      </w:pPr>
      <w:rPr>
        <w:rFonts w:ascii="Symbol" w:hAnsi="Symbol" w:hint="default"/>
      </w:rPr>
    </w:lvl>
    <w:lvl w:ilvl="1" w:tplc="C9F65EF6" w:tentative="1">
      <w:start w:val="1"/>
      <w:numFmt w:val="bullet"/>
      <w:lvlText w:val="o"/>
      <w:lvlJc w:val="left"/>
      <w:pPr>
        <w:ind w:left="1440" w:hanging="360"/>
      </w:pPr>
      <w:rPr>
        <w:rFonts w:ascii="Courier New" w:hAnsi="Courier New" w:cs="Courier New" w:hint="default"/>
      </w:rPr>
    </w:lvl>
    <w:lvl w:ilvl="2" w:tplc="787EF602" w:tentative="1">
      <w:start w:val="1"/>
      <w:numFmt w:val="bullet"/>
      <w:lvlText w:val=""/>
      <w:lvlJc w:val="left"/>
      <w:pPr>
        <w:ind w:left="2160" w:hanging="360"/>
      </w:pPr>
      <w:rPr>
        <w:rFonts w:ascii="Wingdings" w:hAnsi="Wingdings" w:hint="default"/>
      </w:rPr>
    </w:lvl>
    <w:lvl w:ilvl="3" w:tplc="74F442A2" w:tentative="1">
      <w:start w:val="1"/>
      <w:numFmt w:val="bullet"/>
      <w:lvlText w:val=""/>
      <w:lvlJc w:val="left"/>
      <w:pPr>
        <w:ind w:left="2880" w:hanging="360"/>
      </w:pPr>
      <w:rPr>
        <w:rFonts w:ascii="Symbol" w:hAnsi="Symbol" w:hint="default"/>
      </w:rPr>
    </w:lvl>
    <w:lvl w:ilvl="4" w:tplc="C4CC5588" w:tentative="1">
      <w:start w:val="1"/>
      <w:numFmt w:val="bullet"/>
      <w:lvlText w:val="o"/>
      <w:lvlJc w:val="left"/>
      <w:pPr>
        <w:ind w:left="3600" w:hanging="360"/>
      </w:pPr>
      <w:rPr>
        <w:rFonts w:ascii="Courier New" w:hAnsi="Courier New" w:cs="Courier New" w:hint="default"/>
      </w:rPr>
    </w:lvl>
    <w:lvl w:ilvl="5" w:tplc="D194DB4E" w:tentative="1">
      <w:start w:val="1"/>
      <w:numFmt w:val="bullet"/>
      <w:lvlText w:val=""/>
      <w:lvlJc w:val="left"/>
      <w:pPr>
        <w:ind w:left="4320" w:hanging="360"/>
      </w:pPr>
      <w:rPr>
        <w:rFonts w:ascii="Wingdings" w:hAnsi="Wingdings" w:hint="default"/>
      </w:rPr>
    </w:lvl>
    <w:lvl w:ilvl="6" w:tplc="EC6A4B78" w:tentative="1">
      <w:start w:val="1"/>
      <w:numFmt w:val="bullet"/>
      <w:lvlText w:val=""/>
      <w:lvlJc w:val="left"/>
      <w:pPr>
        <w:ind w:left="5040" w:hanging="360"/>
      </w:pPr>
      <w:rPr>
        <w:rFonts w:ascii="Symbol" w:hAnsi="Symbol" w:hint="default"/>
      </w:rPr>
    </w:lvl>
    <w:lvl w:ilvl="7" w:tplc="A120DD26" w:tentative="1">
      <w:start w:val="1"/>
      <w:numFmt w:val="bullet"/>
      <w:lvlText w:val="o"/>
      <w:lvlJc w:val="left"/>
      <w:pPr>
        <w:ind w:left="5760" w:hanging="360"/>
      </w:pPr>
      <w:rPr>
        <w:rFonts w:ascii="Courier New" w:hAnsi="Courier New" w:cs="Courier New" w:hint="default"/>
      </w:rPr>
    </w:lvl>
    <w:lvl w:ilvl="8" w:tplc="A756F99A" w:tentative="1">
      <w:start w:val="1"/>
      <w:numFmt w:val="bullet"/>
      <w:lvlText w:val=""/>
      <w:lvlJc w:val="left"/>
      <w:pPr>
        <w:ind w:left="6480" w:hanging="360"/>
      </w:pPr>
      <w:rPr>
        <w:rFonts w:ascii="Wingdings" w:hAnsi="Wingdings" w:hint="default"/>
      </w:rPr>
    </w:lvl>
  </w:abstractNum>
  <w:abstractNum w:abstractNumId="9" w15:restartNumberingAfterBreak="0">
    <w:nsid w:val="2FC670A0"/>
    <w:multiLevelType w:val="hybridMultilevel"/>
    <w:tmpl w:val="E40C2332"/>
    <w:lvl w:ilvl="0" w:tplc="3F80822E">
      <w:start w:val="1"/>
      <w:numFmt w:val="bullet"/>
      <w:lvlText w:val=""/>
      <w:lvlJc w:val="left"/>
      <w:pPr>
        <w:ind w:left="720" w:hanging="360"/>
      </w:pPr>
      <w:rPr>
        <w:rFonts w:ascii="Symbol" w:hAnsi="Symbol" w:hint="default"/>
      </w:rPr>
    </w:lvl>
    <w:lvl w:ilvl="1" w:tplc="861A28C2" w:tentative="1">
      <w:start w:val="1"/>
      <w:numFmt w:val="bullet"/>
      <w:lvlText w:val="o"/>
      <w:lvlJc w:val="left"/>
      <w:pPr>
        <w:ind w:left="1440" w:hanging="360"/>
      </w:pPr>
      <w:rPr>
        <w:rFonts w:ascii="Courier New" w:hAnsi="Courier New" w:cs="Courier New" w:hint="default"/>
      </w:rPr>
    </w:lvl>
    <w:lvl w:ilvl="2" w:tplc="207A739E" w:tentative="1">
      <w:start w:val="1"/>
      <w:numFmt w:val="bullet"/>
      <w:lvlText w:val=""/>
      <w:lvlJc w:val="left"/>
      <w:pPr>
        <w:ind w:left="2160" w:hanging="360"/>
      </w:pPr>
      <w:rPr>
        <w:rFonts w:ascii="Wingdings" w:hAnsi="Wingdings" w:hint="default"/>
      </w:rPr>
    </w:lvl>
    <w:lvl w:ilvl="3" w:tplc="D602AC9E" w:tentative="1">
      <w:start w:val="1"/>
      <w:numFmt w:val="bullet"/>
      <w:lvlText w:val=""/>
      <w:lvlJc w:val="left"/>
      <w:pPr>
        <w:ind w:left="2880" w:hanging="360"/>
      </w:pPr>
      <w:rPr>
        <w:rFonts w:ascii="Symbol" w:hAnsi="Symbol" w:hint="default"/>
      </w:rPr>
    </w:lvl>
    <w:lvl w:ilvl="4" w:tplc="D232491C" w:tentative="1">
      <w:start w:val="1"/>
      <w:numFmt w:val="bullet"/>
      <w:lvlText w:val="o"/>
      <w:lvlJc w:val="left"/>
      <w:pPr>
        <w:ind w:left="3600" w:hanging="360"/>
      </w:pPr>
      <w:rPr>
        <w:rFonts w:ascii="Courier New" w:hAnsi="Courier New" w:cs="Courier New" w:hint="default"/>
      </w:rPr>
    </w:lvl>
    <w:lvl w:ilvl="5" w:tplc="1AB015EE" w:tentative="1">
      <w:start w:val="1"/>
      <w:numFmt w:val="bullet"/>
      <w:lvlText w:val=""/>
      <w:lvlJc w:val="left"/>
      <w:pPr>
        <w:ind w:left="4320" w:hanging="360"/>
      </w:pPr>
      <w:rPr>
        <w:rFonts w:ascii="Wingdings" w:hAnsi="Wingdings" w:hint="default"/>
      </w:rPr>
    </w:lvl>
    <w:lvl w:ilvl="6" w:tplc="C1F6B460" w:tentative="1">
      <w:start w:val="1"/>
      <w:numFmt w:val="bullet"/>
      <w:lvlText w:val=""/>
      <w:lvlJc w:val="left"/>
      <w:pPr>
        <w:ind w:left="5040" w:hanging="360"/>
      </w:pPr>
      <w:rPr>
        <w:rFonts w:ascii="Symbol" w:hAnsi="Symbol" w:hint="default"/>
      </w:rPr>
    </w:lvl>
    <w:lvl w:ilvl="7" w:tplc="37C02D60" w:tentative="1">
      <w:start w:val="1"/>
      <w:numFmt w:val="bullet"/>
      <w:lvlText w:val="o"/>
      <w:lvlJc w:val="left"/>
      <w:pPr>
        <w:ind w:left="5760" w:hanging="360"/>
      </w:pPr>
      <w:rPr>
        <w:rFonts w:ascii="Courier New" w:hAnsi="Courier New" w:cs="Courier New" w:hint="default"/>
      </w:rPr>
    </w:lvl>
    <w:lvl w:ilvl="8" w:tplc="3CA8827C" w:tentative="1">
      <w:start w:val="1"/>
      <w:numFmt w:val="bullet"/>
      <w:lvlText w:val=""/>
      <w:lvlJc w:val="left"/>
      <w:pPr>
        <w:ind w:left="6480" w:hanging="360"/>
      </w:pPr>
      <w:rPr>
        <w:rFonts w:ascii="Wingdings" w:hAnsi="Wingdings" w:hint="default"/>
      </w:rPr>
    </w:lvl>
  </w:abstractNum>
  <w:abstractNum w:abstractNumId="10" w15:restartNumberingAfterBreak="0">
    <w:nsid w:val="3C705F1A"/>
    <w:multiLevelType w:val="hybridMultilevel"/>
    <w:tmpl w:val="C1AEE522"/>
    <w:lvl w:ilvl="0" w:tplc="FFBEABEC">
      <w:start w:val="1"/>
      <w:numFmt w:val="bullet"/>
      <w:lvlText w:val=""/>
      <w:lvlJc w:val="left"/>
      <w:pPr>
        <w:ind w:left="720" w:hanging="360"/>
      </w:pPr>
      <w:rPr>
        <w:rFonts w:ascii="Symbol" w:hAnsi="Symbol" w:hint="default"/>
      </w:rPr>
    </w:lvl>
    <w:lvl w:ilvl="1" w:tplc="2A9AAEE0" w:tentative="1">
      <w:start w:val="1"/>
      <w:numFmt w:val="bullet"/>
      <w:lvlText w:val="o"/>
      <w:lvlJc w:val="left"/>
      <w:pPr>
        <w:ind w:left="1440" w:hanging="360"/>
      </w:pPr>
      <w:rPr>
        <w:rFonts w:ascii="Courier New" w:hAnsi="Courier New" w:cs="Courier New" w:hint="default"/>
      </w:rPr>
    </w:lvl>
    <w:lvl w:ilvl="2" w:tplc="62D4B93A" w:tentative="1">
      <w:start w:val="1"/>
      <w:numFmt w:val="bullet"/>
      <w:lvlText w:val=""/>
      <w:lvlJc w:val="left"/>
      <w:pPr>
        <w:ind w:left="2160" w:hanging="360"/>
      </w:pPr>
      <w:rPr>
        <w:rFonts w:ascii="Wingdings" w:hAnsi="Wingdings" w:hint="default"/>
      </w:rPr>
    </w:lvl>
    <w:lvl w:ilvl="3" w:tplc="793EDCB6" w:tentative="1">
      <w:start w:val="1"/>
      <w:numFmt w:val="bullet"/>
      <w:lvlText w:val=""/>
      <w:lvlJc w:val="left"/>
      <w:pPr>
        <w:ind w:left="2880" w:hanging="360"/>
      </w:pPr>
      <w:rPr>
        <w:rFonts w:ascii="Symbol" w:hAnsi="Symbol" w:hint="default"/>
      </w:rPr>
    </w:lvl>
    <w:lvl w:ilvl="4" w:tplc="B5D2E13A" w:tentative="1">
      <w:start w:val="1"/>
      <w:numFmt w:val="bullet"/>
      <w:lvlText w:val="o"/>
      <w:lvlJc w:val="left"/>
      <w:pPr>
        <w:ind w:left="3600" w:hanging="360"/>
      </w:pPr>
      <w:rPr>
        <w:rFonts w:ascii="Courier New" w:hAnsi="Courier New" w:cs="Courier New" w:hint="default"/>
      </w:rPr>
    </w:lvl>
    <w:lvl w:ilvl="5" w:tplc="F02EA4F8" w:tentative="1">
      <w:start w:val="1"/>
      <w:numFmt w:val="bullet"/>
      <w:lvlText w:val=""/>
      <w:lvlJc w:val="left"/>
      <w:pPr>
        <w:ind w:left="4320" w:hanging="360"/>
      </w:pPr>
      <w:rPr>
        <w:rFonts w:ascii="Wingdings" w:hAnsi="Wingdings" w:hint="default"/>
      </w:rPr>
    </w:lvl>
    <w:lvl w:ilvl="6" w:tplc="2DD493D6" w:tentative="1">
      <w:start w:val="1"/>
      <w:numFmt w:val="bullet"/>
      <w:lvlText w:val=""/>
      <w:lvlJc w:val="left"/>
      <w:pPr>
        <w:ind w:left="5040" w:hanging="360"/>
      </w:pPr>
      <w:rPr>
        <w:rFonts w:ascii="Symbol" w:hAnsi="Symbol" w:hint="default"/>
      </w:rPr>
    </w:lvl>
    <w:lvl w:ilvl="7" w:tplc="22D6C15A" w:tentative="1">
      <w:start w:val="1"/>
      <w:numFmt w:val="bullet"/>
      <w:lvlText w:val="o"/>
      <w:lvlJc w:val="left"/>
      <w:pPr>
        <w:ind w:left="5760" w:hanging="360"/>
      </w:pPr>
      <w:rPr>
        <w:rFonts w:ascii="Courier New" w:hAnsi="Courier New" w:cs="Courier New" w:hint="default"/>
      </w:rPr>
    </w:lvl>
    <w:lvl w:ilvl="8" w:tplc="0D4A3908" w:tentative="1">
      <w:start w:val="1"/>
      <w:numFmt w:val="bullet"/>
      <w:lvlText w:val=""/>
      <w:lvlJc w:val="left"/>
      <w:pPr>
        <w:ind w:left="6480" w:hanging="360"/>
      </w:pPr>
      <w:rPr>
        <w:rFonts w:ascii="Wingdings" w:hAnsi="Wingdings" w:hint="default"/>
      </w:rPr>
    </w:lvl>
  </w:abstractNum>
  <w:abstractNum w:abstractNumId="11" w15:restartNumberingAfterBreak="0">
    <w:nsid w:val="50254FBE"/>
    <w:multiLevelType w:val="hybridMultilevel"/>
    <w:tmpl w:val="DAF0E980"/>
    <w:lvl w:ilvl="0" w:tplc="427057D2">
      <w:start w:val="1"/>
      <w:numFmt w:val="bullet"/>
      <w:lvlText w:val=""/>
      <w:lvlJc w:val="left"/>
      <w:pPr>
        <w:ind w:left="720" w:hanging="360"/>
      </w:pPr>
      <w:rPr>
        <w:rFonts w:ascii="Symbol" w:hAnsi="Symbol" w:hint="default"/>
      </w:rPr>
    </w:lvl>
    <w:lvl w:ilvl="1" w:tplc="AF0CDDE0" w:tentative="1">
      <w:start w:val="1"/>
      <w:numFmt w:val="bullet"/>
      <w:lvlText w:val="o"/>
      <w:lvlJc w:val="left"/>
      <w:pPr>
        <w:ind w:left="1440" w:hanging="360"/>
      </w:pPr>
      <w:rPr>
        <w:rFonts w:ascii="Courier New" w:hAnsi="Courier New" w:cs="Courier New" w:hint="default"/>
      </w:rPr>
    </w:lvl>
    <w:lvl w:ilvl="2" w:tplc="638A1DE0" w:tentative="1">
      <w:start w:val="1"/>
      <w:numFmt w:val="bullet"/>
      <w:lvlText w:val=""/>
      <w:lvlJc w:val="left"/>
      <w:pPr>
        <w:ind w:left="2160" w:hanging="360"/>
      </w:pPr>
      <w:rPr>
        <w:rFonts w:ascii="Wingdings" w:hAnsi="Wingdings" w:hint="default"/>
      </w:rPr>
    </w:lvl>
    <w:lvl w:ilvl="3" w:tplc="9048BE86" w:tentative="1">
      <w:start w:val="1"/>
      <w:numFmt w:val="bullet"/>
      <w:lvlText w:val=""/>
      <w:lvlJc w:val="left"/>
      <w:pPr>
        <w:ind w:left="2880" w:hanging="360"/>
      </w:pPr>
      <w:rPr>
        <w:rFonts w:ascii="Symbol" w:hAnsi="Symbol" w:hint="default"/>
      </w:rPr>
    </w:lvl>
    <w:lvl w:ilvl="4" w:tplc="C7F6A9F2" w:tentative="1">
      <w:start w:val="1"/>
      <w:numFmt w:val="bullet"/>
      <w:lvlText w:val="o"/>
      <w:lvlJc w:val="left"/>
      <w:pPr>
        <w:ind w:left="3600" w:hanging="360"/>
      </w:pPr>
      <w:rPr>
        <w:rFonts w:ascii="Courier New" w:hAnsi="Courier New" w:cs="Courier New" w:hint="default"/>
      </w:rPr>
    </w:lvl>
    <w:lvl w:ilvl="5" w:tplc="3D7AFF6A" w:tentative="1">
      <w:start w:val="1"/>
      <w:numFmt w:val="bullet"/>
      <w:lvlText w:val=""/>
      <w:lvlJc w:val="left"/>
      <w:pPr>
        <w:ind w:left="4320" w:hanging="360"/>
      </w:pPr>
      <w:rPr>
        <w:rFonts w:ascii="Wingdings" w:hAnsi="Wingdings" w:hint="default"/>
      </w:rPr>
    </w:lvl>
    <w:lvl w:ilvl="6" w:tplc="41C8155A" w:tentative="1">
      <w:start w:val="1"/>
      <w:numFmt w:val="bullet"/>
      <w:lvlText w:val=""/>
      <w:lvlJc w:val="left"/>
      <w:pPr>
        <w:ind w:left="5040" w:hanging="360"/>
      </w:pPr>
      <w:rPr>
        <w:rFonts w:ascii="Symbol" w:hAnsi="Symbol" w:hint="default"/>
      </w:rPr>
    </w:lvl>
    <w:lvl w:ilvl="7" w:tplc="80F6CAC6" w:tentative="1">
      <w:start w:val="1"/>
      <w:numFmt w:val="bullet"/>
      <w:lvlText w:val="o"/>
      <w:lvlJc w:val="left"/>
      <w:pPr>
        <w:ind w:left="5760" w:hanging="360"/>
      </w:pPr>
      <w:rPr>
        <w:rFonts w:ascii="Courier New" w:hAnsi="Courier New" w:cs="Courier New" w:hint="default"/>
      </w:rPr>
    </w:lvl>
    <w:lvl w:ilvl="8" w:tplc="91E0D780" w:tentative="1">
      <w:start w:val="1"/>
      <w:numFmt w:val="bullet"/>
      <w:lvlText w:val=""/>
      <w:lvlJc w:val="left"/>
      <w:pPr>
        <w:ind w:left="6480" w:hanging="360"/>
      </w:pPr>
      <w:rPr>
        <w:rFonts w:ascii="Wingdings" w:hAnsi="Wingdings" w:hint="default"/>
      </w:rPr>
    </w:lvl>
  </w:abstractNum>
  <w:abstractNum w:abstractNumId="12" w15:restartNumberingAfterBreak="0">
    <w:nsid w:val="515E5CEE"/>
    <w:multiLevelType w:val="hybridMultilevel"/>
    <w:tmpl w:val="AE6ACDCE"/>
    <w:lvl w:ilvl="0" w:tplc="0809000F">
      <w:start w:val="1"/>
      <w:numFmt w:val="decimal"/>
      <w:lvlText w:val="%1."/>
      <w:lvlJc w:val="left"/>
      <w:pPr>
        <w:ind w:left="1282" w:hanging="360"/>
      </w:pPr>
    </w:lvl>
    <w:lvl w:ilvl="1" w:tplc="08090019" w:tentative="1">
      <w:start w:val="1"/>
      <w:numFmt w:val="lowerLetter"/>
      <w:lvlText w:val="%2."/>
      <w:lvlJc w:val="left"/>
      <w:pPr>
        <w:ind w:left="2002" w:hanging="360"/>
      </w:pPr>
    </w:lvl>
    <w:lvl w:ilvl="2" w:tplc="0809001B" w:tentative="1">
      <w:start w:val="1"/>
      <w:numFmt w:val="lowerRoman"/>
      <w:lvlText w:val="%3."/>
      <w:lvlJc w:val="right"/>
      <w:pPr>
        <w:ind w:left="2722" w:hanging="180"/>
      </w:pPr>
    </w:lvl>
    <w:lvl w:ilvl="3" w:tplc="0809000F" w:tentative="1">
      <w:start w:val="1"/>
      <w:numFmt w:val="decimal"/>
      <w:lvlText w:val="%4."/>
      <w:lvlJc w:val="left"/>
      <w:pPr>
        <w:ind w:left="3442" w:hanging="360"/>
      </w:pPr>
    </w:lvl>
    <w:lvl w:ilvl="4" w:tplc="08090019" w:tentative="1">
      <w:start w:val="1"/>
      <w:numFmt w:val="lowerLetter"/>
      <w:lvlText w:val="%5."/>
      <w:lvlJc w:val="left"/>
      <w:pPr>
        <w:ind w:left="4162" w:hanging="360"/>
      </w:pPr>
    </w:lvl>
    <w:lvl w:ilvl="5" w:tplc="0809001B" w:tentative="1">
      <w:start w:val="1"/>
      <w:numFmt w:val="lowerRoman"/>
      <w:lvlText w:val="%6."/>
      <w:lvlJc w:val="right"/>
      <w:pPr>
        <w:ind w:left="4882" w:hanging="180"/>
      </w:pPr>
    </w:lvl>
    <w:lvl w:ilvl="6" w:tplc="0809000F" w:tentative="1">
      <w:start w:val="1"/>
      <w:numFmt w:val="decimal"/>
      <w:lvlText w:val="%7."/>
      <w:lvlJc w:val="left"/>
      <w:pPr>
        <w:ind w:left="5602" w:hanging="360"/>
      </w:pPr>
    </w:lvl>
    <w:lvl w:ilvl="7" w:tplc="08090019" w:tentative="1">
      <w:start w:val="1"/>
      <w:numFmt w:val="lowerLetter"/>
      <w:lvlText w:val="%8."/>
      <w:lvlJc w:val="left"/>
      <w:pPr>
        <w:ind w:left="6322" w:hanging="360"/>
      </w:pPr>
    </w:lvl>
    <w:lvl w:ilvl="8" w:tplc="0809001B" w:tentative="1">
      <w:start w:val="1"/>
      <w:numFmt w:val="lowerRoman"/>
      <w:lvlText w:val="%9."/>
      <w:lvlJc w:val="right"/>
      <w:pPr>
        <w:ind w:left="7042" w:hanging="180"/>
      </w:pPr>
    </w:lvl>
  </w:abstractNum>
  <w:abstractNum w:abstractNumId="13" w15:restartNumberingAfterBreak="0">
    <w:nsid w:val="51F86E4F"/>
    <w:multiLevelType w:val="hybridMultilevel"/>
    <w:tmpl w:val="4F1A199A"/>
    <w:lvl w:ilvl="0" w:tplc="CC2AEB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EC4990"/>
    <w:multiLevelType w:val="hybridMultilevel"/>
    <w:tmpl w:val="9FFACD50"/>
    <w:lvl w:ilvl="0" w:tplc="C4A0E936">
      <w:start w:val="1"/>
      <w:numFmt w:val="bullet"/>
      <w:lvlText w:val=""/>
      <w:lvlJc w:val="left"/>
      <w:pPr>
        <w:ind w:left="720" w:hanging="360"/>
      </w:pPr>
      <w:rPr>
        <w:rFonts w:ascii="Symbol" w:hAnsi="Symbol" w:hint="default"/>
      </w:rPr>
    </w:lvl>
    <w:lvl w:ilvl="1" w:tplc="5B4E4B30" w:tentative="1">
      <w:start w:val="1"/>
      <w:numFmt w:val="bullet"/>
      <w:lvlText w:val="o"/>
      <w:lvlJc w:val="left"/>
      <w:pPr>
        <w:ind w:left="1440" w:hanging="360"/>
      </w:pPr>
      <w:rPr>
        <w:rFonts w:ascii="Courier New" w:hAnsi="Courier New" w:cs="Courier New" w:hint="default"/>
      </w:rPr>
    </w:lvl>
    <w:lvl w:ilvl="2" w:tplc="FF7CE7EA" w:tentative="1">
      <w:start w:val="1"/>
      <w:numFmt w:val="bullet"/>
      <w:lvlText w:val=""/>
      <w:lvlJc w:val="left"/>
      <w:pPr>
        <w:ind w:left="2160" w:hanging="360"/>
      </w:pPr>
      <w:rPr>
        <w:rFonts w:ascii="Wingdings" w:hAnsi="Wingdings" w:hint="default"/>
      </w:rPr>
    </w:lvl>
    <w:lvl w:ilvl="3" w:tplc="A866C786" w:tentative="1">
      <w:start w:val="1"/>
      <w:numFmt w:val="bullet"/>
      <w:lvlText w:val=""/>
      <w:lvlJc w:val="left"/>
      <w:pPr>
        <w:ind w:left="2880" w:hanging="360"/>
      </w:pPr>
      <w:rPr>
        <w:rFonts w:ascii="Symbol" w:hAnsi="Symbol" w:hint="default"/>
      </w:rPr>
    </w:lvl>
    <w:lvl w:ilvl="4" w:tplc="1210534E" w:tentative="1">
      <w:start w:val="1"/>
      <w:numFmt w:val="bullet"/>
      <w:lvlText w:val="o"/>
      <w:lvlJc w:val="left"/>
      <w:pPr>
        <w:ind w:left="3600" w:hanging="360"/>
      </w:pPr>
      <w:rPr>
        <w:rFonts w:ascii="Courier New" w:hAnsi="Courier New" w:cs="Courier New" w:hint="default"/>
      </w:rPr>
    </w:lvl>
    <w:lvl w:ilvl="5" w:tplc="2700AE32" w:tentative="1">
      <w:start w:val="1"/>
      <w:numFmt w:val="bullet"/>
      <w:lvlText w:val=""/>
      <w:lvlJc w:val="left"/>
      <w:pPr>
        <w:ind w:left="4320" w:hanging="360"/>
      </w:pPr>
      <w:rPr>
        <w:rFonts w:ascii="Wingdings" w:hAnsi="Wingdings" w:hint="default"/>
      </w:rPr>
    </w:lvl>
    <w:lvl w:ilvl="6" w:tplc="3A949730" w:tentative="1">
      <w:start w:val="1"/>
      <w:numFmt w:val="bullet"/>
      <w:lvlText w:val=""/>
      <w:lvlJc w:val="left"/>
      <w:pPr>
        <w:ind w:left="5040" w:hanging="360"/>
      </w:pPr>
      <w:rPr>
        <w:rFonts w:ascii="Symbol" w:hAnsi="Symbol" w:hint="default"/>
      </w:rPr>
    </w:lvl>
    <w:lvl w:ilvl="7" w:tplc="8FBEEF4C" w:tentative="1">
      <w:start w:val="1"/>
      <w:numFmt w:val="bullet"/>
      <w:lvlText w:val="o"/>
      <w:lvlJc w:val="left"/>
      <w:pPr>
        <w:ind w:left="5760" w:hanging="360"/>
      </w:pPr>
      <w:rPr>
        <w:rFonts w:ascii="Courier New" w:hAnsi="Courier New" w:cs="Courier New" w:hint="default"/>
      </w:rPr>
    </w:lvl>
    <w:lvl w:ilvl="8" w:tplc="F05A5762" w:tentative="1">
      <w:start w:val="1"/>
      <w:numFmt w:val="bullet"/>
      <w:lvlText w:val=""/>
      <w:lvlJc w:val="left"/>
      <w:pPr>
        <w:ind w:left="6480" w:hanging="360"/>
      </w:pPr>
      <w:rPr>
        <w:rFonts w:ascii="Wingdings" w:hAnsi="Wingdings" w:hint="default"/>
      </w:rPr>
    </w:lvl>
  </w:abstractNum>
  <w:abstractNum w:abstractNumId="15" w15:restartNumberingAfterBreak="0">
    <w:nsid w:val="5BCE43A7"/>
    <w:multiLevelType w:val="hybridMultilevel"/>
    <w:tmpl w:val="6B4EF6A4"/>
    <w:lvl w:ilvl="0" w:tplc="6994C4F2">
      <w:numFmt w:val="bullet"/>
      <w:lvlText w:val="-"/>
      <w:lvlJc w:val="left"/>
      <w:pPr>
        <w:ind w:left="927" w:hanging="360"/>
      </w:pPr>
      <w:rPr>
        <w:rFonts w:ascii="Cambria" w:eastAsiaTheme="minorHAnsi" w:hAnsi="Cambria" w:cstheme="minorBidi" w:hint="default"/>
      </w:rPr>
    </w:lvl>
    <w:lvl w:ilvl="1" w:tplc="064AA8DC" w:tentative="1">
      <w:start w:val="1"/>
      <w:numFmt w:val="bullet"/>
      <w:lvlText w:val="o"/>
      <w:lvlJc w:val="left"/>
      <w:pPr>
        <w:ind w:left="1647" w:hanging="360"/>
      </w:pPr>
      <w:rPr>
        <w:rFonts w:ascii="Courier New" w:hAnsi="Courier New" w:cs="Courier New" w:hint="default"/>
      </w:rPr>
    </w:lvl>
    <w:lvl w:ilvl="2" w:tplc="ADAC48CA" w:tentative="1">
      <w:start w:val="1"/>
      <w:numFmt w:val="bullet"/>
      <w:lvlText w:val=""/>
      <w:lvlJc w:val="left"/>
      <w:pPr>
        <w:ind w:left="2367" w:hanging="360"/>
      </w:pPr>
      <w:rPr>
        <w:rFonts w:ascii="Wingdings" w:hAnsi="Wingdings" w:hint="default"/>
      </w:rPr>
    </w:lvl>
    <w:lvl w:ilvl="3" w:tplc="02D4FD4E" w:tentative="1">
      <w:start w:val="1"/>
      <w:numFmt w:val="bullet"/>
      <w:lvlText w:val=""/>
      <w:lvlJc w:val="left"/>
      <w:pPr>
        <w:ind w:left="3087" w:hanging="360"/>
      </w:pPr>
      <w:rPr>
        <w:rFonts w:ascii="Symbol" w:hAnsi="Symbol" w:hint="default"/>
      </w:rPr>
    </w:lvl>
    <w:lvl w:ilvl="4" w:tplc="47A8518E" w:tentative="1">
      <w:start w:val="1"/>
      <w:numFmt w:val="bullet"/>
      <w:lvlText w:val="o"/>
      <w:lvlJc w:val="left"/>
      <w:pPr>
        <w:ind w:left="3807" w:hanging="360"/>
      </w:pPr>
      <w:rPr>
        <w:rFonts w:ascii="Courier New" w:hAnsi="Courier New" w:cs="Courier New" w:hint="default"/>
      </w:rPr>
    </w:lvl>
    <w:lvl w:ilvl="5" w:tplc="1A44E2C2" w:tentative="1">
      <w:start w:val="1"/>
      <w:numFmt w:val="bullet"/>
      <w:lvlText w:val=""/>
      <w:lvlJc w:val="left"/>
      <w:pPr>
        <w:ind w:left="4527" w:hanging="360"/>
      </w:pPr>
      <w:rPr>
        <w:rFonts w:ascii="Wingdings" w:hAnsi="Wingdings" w:hint="default"/>
      </w:rPr>
    </w:lvl>
    <w:lvl w:ilvl="6" w:tplc="ABA43952" w:tentative="1">
      <w:start w:val="1"/>
      <w:numFmt w:val="bullet"/>
      <w:lvlText w:val=""/>
      <w:lvlJc w:val="left"/>
      <w:pPr>
        <w:ind w:left="5247" w:hanging="360"/>
      </w:pPr>
      <w:rPr>
        <w:rFonts w:ascii="Symbol" w:hAnsi="Symbol" w:hint="default"/>
      </w:rPr>
    </w:lvl>
    <w:lvl w:ilvl="7" w:tplc="7B2CBB14" w:tentative="1">
      <w:start w:val="1"/>
      <w:numFmt w:val="bullet"/>
      <w:lvlText w:val="o"/>
      <w:lvlJc w:val="left"/>
      <w:pPr>
        <w:ind w:left="5967" w:hanging="360"/>
      </w:pPr>
      <w:rPr>
        <w:rFonts w:ascii="Courier New" w:hAnsi="Courier New" w:cs="Courier New" w:hint="default"/>
      </w:rPr>
    </w:lvl>
    <w:lvl w:ilvl="8" w:tplc="87484D9A" w:tentative="1">
      <w:start w:val="1"/>
      <w:numFmt w:val="bullet"/>
      <w:lvlText w:val=""/>
      <w:lvlJc w:val="left"/>
      <w:pPr>
        <w:ind w:left="6687" w:hanging="360"/>
      </w:pPr>
      <w:rPr>
        <w:rFonts w:ascii="Wingdings" w:hAnsi="Wingdings" w:hint="default"/>
      </w:rPr>
    </w:lvl>
  </w:abstractNum>
  <w:abstractNum w:abstractNumId="16" w15:restartNumberingAfterBreak="0">
    <w:nsid w:val="5EAD4E27"/>
    <w:multiLevelType w:val="hybridMultilevel"/>
    <w:tmpl w:val="024211C2"/>
    <w:lvl w:ilvl="0" w:tplc="C95EC916">
      <w:start w:val="1"/>
      <w:numFmt w:val="bullet"/>
      <w:lvlText w:val=""/>
      <w:lvlJc w:val="left"/>
      <w:pPr>
        <w:ind w:left="1287" w:hanging="360"/>
      </w:pPr>
      <w:rPr>
        <w:rFonts w:ascii="Symbol" w:hAnsi="Symbol" w:hint="default"/>
      </w:rPr>
    </w:lvl>
    <w:lvl w:ilvl="1" w:tplc="066CA32A" w:tentative="1">
      <w:start w:val="1"/>
      <w:numFmt w:val="bullet"/>
      <w:lvlText w:val="o"/>
      <w:lvlJc w:val="left"/>
      <w:pPr>
        <w:ind w:left="2007" w:hanging="360"/>
      </w:pPr>
      <w:rPr>
        <w:rFonts w:ascii="Courier New" w:hAnsi="Courier New" w:cs="Courier New" w:hint="default"/>
      </w:rPr>
    </w:lvl>
    <w:lvl w:ilvl="2" w:tplc="0D8609F6" w:tentative="1">
      <w:start w:val="1"/>
      <w:numFmt w:val="bullet"/>
      <w:lvlText w:val=""/>
      <w:lvlJc w:val="left"/>
      <w:pPr>
        <w:ind w:left="2727" w:hanging="360"/>
      </w:pPr>
      <w:rPr>
        <w:rFonts w:ascii="Wingdings" w:hAnsi="Wingdings" w:hint="default"/>
      </w:rPr>
    </w:lvl>
    <w:lvl w:ilvl="3" w:tplc="745ED7A6" w:tentative="1">
      <w:start w:val="1"/>
      <w:numFmt w:val="bullet"/>
      <w:lvlText w:val=""/>
      <w:lvlJc w:val="left"/>
      <w:pPr>
        <w:ind w:left="3447" w:hanging="360"/>
      </w:pPr>
      <w:rPr>
        <w:rFonts w:ascii="Symbol" w:hAnsi="Symbol" w:hint="default"/>
      </w:rPr>
    </w:lvl>
    <w:lvl w:ilvl="4" w:tplc="A50E807E" w:tentative="1">
      <w:start w:val="1"/>
      <w:numFmt w:val="bullet"/>
      <w:lvlText w:val="o"/>
      <w:lvlJc w:val="left"/>
      <w:pPr>
        <w:ind w:left="4167" w:hanging="360"/>
      </w:pPr>
      <w:rPr>
        <w:rFonts w:ascii="Courier New" w:hAnsi="Courier New" w:cs="Courier New" w:hint="default"/>
      </w:rPr>
    </w:lvl>
    <w:lvl w:ilvl="5" w:tplc="D2024A74" w:tentative="1">
      <w:start w:val="1"/>
      <w:numFmt w:val="bullet"/>
      <w:lvlText w:val=""/>
      <w:lvlJc w:val="left"/>
      <w:pPr>
        <w:ind w:left="4887" w:hanging="360"/>
      </w:pPr>
      <w:rPr>
        <w:rFonts w:ascii="Wingdings" w:hAnsi="Wingdings" w:hint="default"/>
      </w:rPr>
    </w:lvl>
    <w:lvl w:ilvl="6" w:tplc="DC7C0F3A" w:tentative="1">
      <w:start w:val="1"/>
      <w:numFmt w:val="bullet"/>
      <w:lvlText w:val=""/>
      <w:lvlJc w:val="left"/>
      <w:pPr>
        <w:ind w:left="5607" w:hanging="360"/>
      </w:pPr>
      <w:rPr>
        <w:rFonts w:ascii="Symbol" w:hAnsi="Symbol" w:hint="default"/>
      </w:rPr>
    </w:lvl>
    <w:lvl w:ilvl="7" w:tplc="8960B880" w:tentative="1">
      <w:start w:val="1"/>
      <w:numFmt w:val="bullet"/>
      <w:lvlText w:val="o"/>
      <w:lvlJc w:val="left"/>
      <w:pPr>
        <w:ind w:left="6327" w:hanging="360"/>
      </w:pPr>
      <w:rPr>
        <w:rFonts w:ascii="Courier New" w:hAnsi="Courier New" w:cs="Courier New" w:hint="default"/>
      </w:rPr>
    </w:lvl>
    <w:lvl w:ilvl="8" w:tplc="91F61D48" w:tentative="1">
      <w:start w:val="1"/>
      <w:numFmt w:val="bullet"/>
      <w:lvlText w:val=""/>
      <w:lvlJc w:val="left"/>
      <w:pPr>
        <w:ind w:left="7047" w:hanging="360"/>
      </w:pPr>
      <w:rPr>
        <w:rFonts w:ascii="Wingdings" w:hAnsi="Wingdings" w:hint="default"/>
      </w:rPr>
    </w:lvl>
  </w:abstractNum>
  <w:abstractNum w:abstractNumId="17" w15:restartNumberingAfterBreak="0">
    <w:nsid w:val="5EAE72DF"/>
    <w:multiLevelType w:val="hybridMultilevel"/>
    <w:tmpl w:val="584CAF42"/>
    <w:lvl w:ilvl="0" w:tplc="82A439DE">
      <w:start w:val="1"/>
      <w:numFmt w:val="decimal"/>
      <w:lvlText w:val="%1."/>
      <w:lvlJc w:val="left"/>
      <w:pPr>
        <w:ind w:left="720" w:hanging="360"/>
      </w:pPr>
    </w:lvl>
    <w:lvl w:ilvl="1" w:tplc="7E4A5D34" w:tentative="1">
      <w:start w:val="1"/>
      <w:numFmt w:val="lowerLetter"/>
      <w:lvlText w:val="%2."/>
      <w:lvlJc w:val="left"/>
      <w:pPr>
        <w:ind w:left="1440" w:hanging="360"/>
      </w:pPr>
    </w:lvl>
    <w:lvl w:ilvl="2" w:tplc="2AD47EA0" w:tentative="1">
      <w:start w:val="1"/>
      <w:numFmt w:val="lowerRoman"/>
      <w:lvlText w:val="%3."/>
      <w:lvlJc w:val="right"/>
      <w:pPr>
        <w:ind w:left="2160" w:hanging="180"/>
      </w:pPr>
    </w:lvl>
    <w:lvl w:ilvl="3" w:tplc="3D5C5BB0" w:tentative="1">
      <w:start w:val="1"/>
      <w:numFmt w:val="decimal"/>
      <w:lvlText w:val="%4."/>
      <w:lvlJc w:val="left"/>
      <w:pPr>
        <w:ind w:left="2880" w:hanging="360"/>
      </w:pPr>
    </w:lvl>
    <w:lvl w:ilvl="4" w:tplc="CD467C44" w:tentative="1">
      <w:start w:val="1"/>
      <w:numFmt w:val="lowerLetter"/>
      <w:lvlText w:val="%5."/>
      <w:lvlJc w:val="left"/>
      <w:pPr>
        <w:ind w:left="3600" w:hanging="360"/>
      </w:pPr>
    </w:lvl>
    <w:lvl w:ilvl="5" w:tplc="BB2AC4E2" w:tentative="1">
      <w:start w:val="1"/>
      <w:numFmt w:val="lowerRoman"/>
      <w:lvlText w:val="%6."/>
      <w:lvlJc w:val="right"/>
      <w:pPr>
        <w:ind w:left="4320" w:hanging="180"/>
      </w:pPr>
    </w:lvl>
    <w:lvl w:ilvl="6" w:tplc="AB601514" w:tentative="1">
      <w:start w:val="1"/>
      <w:numFmt w:val="decimal"/>
      <w:lvlText w:val="%7."/>
      <w:lvlJc w:val="left"/>
      <w:pPr>
        <w:ind w:left="5040" w:hanging="360"/>
      </w:pPr>
    </w:lvl>
    <w:lvl w:ilvl="7" w:tplc="E84EACDE" w:tentative="1">
      <w:start w:val="1"/>
      <w:numFmt w:val="lowerLetter"/>
      <w:lvlText w:val="%8."/>
      <w:lvlJc w:val="left"/>
      <w:pPr>
        <w:ind w:left="5760" w:hanging="360"/>
      </w:pPr>
    </w:lvl>
    <w:lvl w:ilvl="8" w:tplc="4DB461FE" w:tentative="1">
      <w:start w:val="1"/>
      <w:numFmt w:val="lowerRoman"/>
      <w:lvlText w:val="%9."/>
      <w:lvlJc w:val="right"/>
      <w:pPr>
        <w:ind w:left="6480" w:hanging="180"/>
      </w:pPr>
    </w:lvl>
  </w:abstractNum>
  <w:abstractNum w:abstractNumId="18" w15:restartNumberingAfterBreak="0">
    <w:nsid w:val="62313DAF"/>
    <w:multiLevelType w:val="hybridMultilevel"/>
    <w:tmpl w:val="4C18AD10"/>
    <w:lvl w:ilvl="0" w:tplc="BBCC10F2">
      <w:start w:val="1"/>
      <w:numFmt w:val="decimal"/>
      <w:lvlText w:val="%1."/>
      <w:lvlJc w:val="left"/>
      <w:pPr>
        <w:ind w:left="567" w:hanging="567"/>
      </w:pPr>
      <w:rPr>
        <w:rFonts w:hint="default"/>
      </w:rPr>
    </w:lvl>
    <w:lvl w:ilvl="1" w:tplc="974E1ECC">
      <w:start w:val="1"/>
      <w:numFmt w:val="lowerLetter"/>
      <w:lvlText w:val="(%2)"/>
      <w:lvlJc w:val="left"/>
      <w:pPr>
        <w:ind w:left="2356" w:hanging="360"/>
      </w:pPr>
      <w:rPr>
        <w:rFonts w:hint="default"/>
      </w:rPr>
    </w:lvl>
    <w:lvl w:ilvl="2" w:tplc="D3E0BAEC">
      <w:start w:val="1"/>
      <w:numFmt w:val="lowerRoman"/>
      <w:lvlText w:val="%3."/>
      <w:lvlJc w:val="right"/>
      <w:pPr>
        <w:ind w:left="3076" w:hanging="180"/>
      </w:pPr>
    </w:lvl>
    <w:lvl w:ilvl="3" w:tplc="688E88A4">
      <w:start w:val="1"/>
      <w:numFmt w:val="decimal"/>
      <w:lvlText w:val="%4."/>
      <w:lvlJc w:val="left"/>
      <w:pPr>
        <w:ind w:left="3796" w:hanging="360"/>
      </w:pPr>
    </w:lvl>
    <w:lvl w:ilvl="4" w:tplc="73667E20" w:tentative="1">
      <w:start w:val="1"/>
      <w:numFmt w:val="lowerLetter"/>
      <w:lvlText w:val="%5."/>
      <w:lvlJc w:val="left"/>
      <w:pPr>
        <w:ind w:left="4516" w:hanging="360"/>
      </w:pPr>
    </w:lvl>
    <w:lvl w:ilvl="5" w:tplc="03A895B0" w:tentative="1">
      <w:start w:val="1"/>
      <w:numFmt w:val="lowerRoman"/>
      <w:lvlText w:val="%6."/>
      <w:lvlJc w:val="right"/>
      <w:pPr>
        <w:ind w:left="5236" w:hanging="180"/>
      </w:pPr>
    </w:lvl>
    <w:lvl w:ilvl="6" w:tplc="0DF27BB0" w:tentative="1">
      <w:start w:val="1"/>
      <w:numFmt w:val="decimal"/>
      <w:lvlText w:val="%7."/>
      <w:lvlJc w:val="left"/>
      <w:pPr>
        <w:ind w:left="5956" w:hanging="360"/>
      </w:pPr>
    </w:lvl>
    <w:lvl w:ilvl="7" w:tplc="991E8488" w:tentative="1">
      <w:start w:val="1"/>
      <w:numFmt w:val="lowerLetter"/>
      <w:lvlText w:val="%8."/>
      <w:lvlJc w:val="left"/>
      <w:pPr>
        <w:ind w:left="6676" w:hanging="360"/>
      </w:pPr>
    </w:lvl>
    <w:lvl w:ilvl="8" w:tplc="D8F2757E" w:tentative="1">
      <w:start w:val="1"/>
      <w:numFmt w:val="lowerRoman"/>
      <w:lvlText w:val="%9."/>
      <w:lvlJc w:val="right"/>
      <w:pPr>
        <w:ind w:left="7396" w:hanging="180"/>
      </w:pPr>
    </w:lvl>
  </w:abstractNum>
  <w:abstractNum w:abstractNumId="19" w15:restartNumberingAfterBreak="0">
    <w:nsid w:val="6401348C"/>
    <w:multiLevelType w:val="hybridMultilevel"/>
    <w:tmpl w:val="C72C6A2C"/>
    <w:lvl w:ilvl="0" w:tplc="E3086B22">
      <w:start w:val="1"/>
      <w:numFmt w:val="bullet"/>
      <w:lvlText w:val=""/>
      <w:lvlJc w:val="left"/>
      <w:pPr>
        <w:ind w:left="720" w:hanging="360"/>
      </w:pPr>
      <w:rPr>
        <w:rFonts w:ascii="Symbol" w:hAnsi="Symbol" w:hint="default"/>
      </w:rPr>
    </w:lvl>
    <w:lvl w:ilvl="1" w:tplc="62DE3C0C" w:tentative="1">
      <w:start w:val="1"/>
      <w:numFmt w:val="bullet"/>
      <w:lvlText w:val="o"/>
      <w:lvlJc w:val="left"/>
      <w:pPr>
        <w:ind w:left="1440" w:hanging="360"/>
      </w:pPr>
      <w:rPr>
        <w:rFonts w:ascii="Courier New" w:hAnsi="Courier New" w:cs="Courier New" w:hint="default"/>
      </w:rPr>
    </w:lvl>
    <w:lvl w:ilvl="2" w:tplc="FC6453E2" w:tentative="1">
      <w:start w:val="1"/>
      <w:numFmt w:val="bullet"/>
      <w:lvlText w:val=""/>
      <w:lvlJc w:val="left"/>
      <w:pPr>
        <w:ind w:left="2160" w:hanging="360"/>
      </w:pPr>
      <w:rPr>
        <w:rFonts w:ascii="Wingdings" w:hAnsi="Wingdings" w:hint="default"/>
      </w:rPr>
    </w:lvl>
    <w:lvl w:ilvl="3" w:tplc="57EC5922" w:tentative="1">
      <w:start w:val="1"/>
      <w:numFmt w:val="bullet"/>
      <w:lvlText w:val=""/>
      <w:lvlJc w:val="left"/>
      <w:pPr>
        <w:ind w:left="2880" w:hanging="360"/>
      </w:pPr>
      <w:rPr>
        <w:rFonts w:ascii="Symbol" w:hAnsi="Symbol" w:hint="default"/>
      </w:rPr>
    </w:lvl>
    <w:lvl w:ilvl="4" w:tplc="E8B035A0" w:tentative="1">
      <w:start w:val="1"/>
      <w:numFmt w:val="bullet"/>
      <w:lvlText w:val="o"/>
      <w:lvlJc w:val="left"/>
      <w:pPr>
        <w:ind w:left="3600" w:hanging="360"/>
      </w:pPr>
      <w:rPr>
        <w:rFonts w:ascii="Courier New" w:hAnsi="Courier New" w:cs="Courier New" w:hint="default"/>
      </w:rPr>
    </w:lvl>
    <w:lvl w:ilvl="5" w:tplc="A0F2D5EA" w:tentative="1">
      <w:start w:val="1"/>
      <w:numFmt w:val="bullet"/>
      <w:lvlText w:val=""/>
      <w:lvlJc w:val="left"/>
      <w:pPr>
        <w:ind w:left="4320" w:hanging="360"/>
      </w:pPr>
      <w:rPr>
        <w:rFonts w:ascii="Wingdings" w:hAnsi="Wingdings" w:hint="default"/>
      </w:rPr>
    </w:lvl>
    <w:lvl w:ilvl="6" w:tplc="12709384" w:tentative="1">
      <w:start w:val="1"/>
      <w:numFmt w:val="bullet"/>
      <w:lvlText w:val=""/>
      <w:lvlJc w:val="left"/>
      <w:pPr>
        <w:ind w:left="5040" w:hanging="360"/>
      </w:pPr>
      <w:rPr>
        <w:rFonts w:ascii="Symbol" w:hAnsi="Symbol" w:hint="default"/>
      </w:rPr>
    </w:lvl>
    <w:lvl w:ilvl="7" w:tplc="A462D1AA" w:tentative="1">
      <w:start w:val="1"/>
      <w:numFmt w:val="bullet"/>
      <w:lvlText w:val="o"/>
      <w:lvlJc w:val="left"/>
      <w:pPr>
        <w:ind w:left="5760" w:hanging="360"/>
      </w:pPr>
      <w:rPr>
        <w:rFonts w:ascii="Courier New" w:hAnsi="Courier New" w:cs="Courier New" w:hint="default"/>
      </w:rPr>
    </w:lvl>
    <w:lvl w:ilvl="8" w:tplc="F08E0D7C" w:tentative="1">
      <w:start w:val="1"/>
      <w:numFmt w:val="bullet"/>
      <w:lvlText w:val=""/>
      <w:lvlJc w:val="left"/>
      <w:pPr>
        <w:ind w:left="6480" w:hanging="360"/>
      </w:pPr>
      <w:rPr>
        <w:rFonts w:ascii="Wingdings" w:hAnsi="Wingdings" w:hint="default"/>
      </w:rPr>
    </w:lvl>
  </w:abstractNum>
  <w:abstractNum w:abstractNumId="20" w15:restartNumberingAfterBreak="0">
    <w:nsid w:val="689724D7"/>
    <w:multiLevelType w:val="hybridMultilevel"/>
    <w:tmpl w:val="19A88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690C5D"/>
    <w:multiLevelType w:val="hybridMultilevel"/>
    <w:tmpl w:val="E0162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6F44A2"/>
    <w:multiLevelType w:val="hybridMultilevel"/>
    <w:tmpl w:val="57802F3A"/>
    <w:lvl w:ilvl="0" w:tplc="B11E773E">
      <w:start w:val="19"/>
      <w:numFmt w:val="bullet"/>
      <w:lvlText w:val="-"/>
      <w:lvlJc w:val="left"/>
      <w:pPr>
        <w:ind w:left="720" w:hanging="360"/>
      </w:pPr>
      <w:rPr>
        <w:rFonts w:ascii="Cambria" w:eastAsiaTheme="minorHAnsi" w:hAnsi="Cambria" w:cstheme="minorBidi" w:hint="default"/>
      </w:rPr>
    </w:lvl>
    <w:lvl w:ilvl="1" w:tplc="1432308C" w:tentative="1">
      <w:start w:val="1"/>
      <w:numFmt w:val="bullet"/>
      <w:lvlText w:val="o"/>
      <w:lvlJc w:val="left"/>
      <w:pPr>
        <w:ind w:left="1440" w:hanging="360"/>
      </w:pPr>
      <w:rPr>
        <w:rFonts w:ascii="Courier New" w:hAnsi="Courier New" w:cs="Courier New" w:hint="default"/>
      </w:rPr>
    </w:lvl>
    <w:lvl w:ilvl="2" w:tplc="ECBCA1CE" w:tentative="1">
      <w:start w:val="1"/>
      <w:numFmt w:val="bullet"/>
      <w:lvlText w:val=""/>
      <w:lvlJc w:val="left"/>
      <w:pPr>
        <w:ind w:left="2160" w:hanging="360"/>
      </w:pPr>
      <w:rPr>
        <w:rFonts w:ascii="Wingdings" w:hAnsi="Wingdings" w:hint="default"/>
      </w:rPr>
    </w:lvl>
    <w:lvl w:ilvl="3" w:tplc="F026A7F6" w:tentative="1">
      <w:start w:val="1"/>
      <w:numFmt w:val="bullet"/>
      <w:lvlText w:val=""/>
      <w:lvlJc w:val="left"/>
      <w:pPr>
        <w:ind w:left="2880" w:hanging="360"/>
      </w:pPr>
      <w:rPr>
        <w:rFonts w:ascii="Symbol" w:hAnsi="Symbol" w:hint="default"/>
      </w:rPr>
    </w:lvl>
    <w:lvl w:ilvl="4" w:tplc="1274333C" w:tentative="1">
      <w:start w:val="1"/>
      <w:numFmt w:val="bullet"/>
      <w:lvlText w:val="o"/>
      <w:lvlJc w:val="left"/>
      <w:pPr>
        <w:ind w:left="3600" w:hanging="360"/>
      </w:pPr>
      <w:rPr>
        <w:rFonts w:ascii="Courier New" w:hAnsi="Courier New" w:cs="Courier New" w:hint="default"/>
      </w:rPr>
    </w:lvl>
    <w:lvl w:ilvl="5" w:tplc="F6CCB42C" w:tentative="1">
      <w:start w:val="1"/>
      <w:numFmt w:val="bullet"/>
      <w:lvlText w:val=""/>
      <w:lvlJc w:val="left"/>
      <w:pPr>
        <w:ind w:left="4320" w:hanging="360"/>
      </w:pPr>
      <w:rPr>
        <w:rFonts w:ascii="Wingdings" w:hAnsi="Wingdings" w:hint="default"/>
      </w:rPr>
    </w:lvl>
    <w:lvl w:ilvl="6" w:tplc="7BFABCF0" w:tentative="1">
      <w:start w:val="1"/>
      <w:numFmt w:val="bullet"/>
      <w:lvlText w:val=""/>
      <w:lvlJc w:val="left"/>
      <w:pPr>
        <w:ind w:left="5040" w:hanging="360"/>
      </w:pPr>
      <w:rPr>
        <w:rFonts w:ascii="Symbol" w:hAnsi="Symbol" w:hint="default"/>
      </w:rPr>
    </w:lvl>
    <w:lvl w:ilvl="7" w:tplc="E9CCF710" w:tentative="1">
      <w:start w:val="1"/>
      <w:numFmt w:val="bullet"/>
      <w:lvlText w:val="o"/>
      <w:lvlJc w:val="left"/>
      <w:pPr>
        <w:ind w:left="5760" w:hanging="360"/>
      </w:pPr>
      <w:rPr>
        <w:rFonts w:ascii="Courier New" w:hAnsi="Courier New" w:cs="Courier New" w:hint="default"/>
      </w:rPr>
    </w:lvl>
    <w:lvl w:ilvl="8" w:tplc="D9925492" w:tentative="1">
      <w:start w:val="1"/>
      <w:numFmt w:val="bullet"/>
      <w:lvlText w:val=""/>
      <w:lvlJc w:val="left"/>
      <w:pPr>
        <w:ind w:left="6480" w:hanging="360"/>
      </w:pPr>
      <w:rPr>
        <w:rFonts w:ascii="Wingdings" w:hAnsi="Wingdings" w:hint="default"/>
      </w:rPr>
    </w:lvl>
  </w:abstractNum>
  <w:abstractNum w:abstractNumId="23" w15:restartNumberingAfterBreak="0">
    <w:nsid w:val="7A542E00"/>
    <w:multiLevelType w:val="hybridMultilevel"/>
    <w:tmpl w:val="CAB2AB5E"/>
    <w:lvl w:ilvl="0" w:tplc="2C669CD4">
      <w:start w:val="1"/>
      <w:numFmt w:val="bullet"/>
      <w:lvlText w:val=""/>
      <w:lvlJc w:val="left"/>
      <w:pPr>
        <w:ind w:left="720" w:hanging="360"/>
      </w:pPr>
      <w:rPr>
        <w:rFonts w:ascii="Symbol" w:hAnsi="Symbol" w:hint="default"/>
      </w:rPr>
    </w:lvl>
    <w:lvl w:ilvl="1" w:tplc="FBA82586" w:tentative="1">
      <w:start w:val="1"/>
      <w:numFmt w:val="bullet"/>
      <w:lvlText w:val="o"/>
      <w:lvlJc w:val="left"/>
      <w:pPr>
        <w:ind w:left="1440" w:hanging="360"/>
      </w:pPr>
      <w:rPr>
        <w:rFonts w:ascii="Courier New" w:hAnsi="Courier New" w:cs="Courier New" w:hint="default"/>
      </w:rPr>
    </w:lvl>
    <w:lvl w:ilvl="2" w:tplc="C958EBF8" w:tentative="1">
      <w:start w:val="1"/>
      <w:numFmt w:val="bullet"/>
      <w:lvlText w:val=""/>
      <w:lvlJc w:val="left"/>
      <w:pPr>
        <w:ind w:left="2160" w:hanging="360"/>
      </w:pPr>
      <w:rPr>
        <w:rFonts w:ascii="Wingdings" w:hAnsi="Wingdings" w:hint="default"/>
      </w:rPr>
    </w:lvl>
    <w:lvl w:ilvl="3" w:tplc="4FD2C42C" w:tentative="1">
      <w:start w:val="1"/>
      <w:numFmt w:val="bullet"/>
      <w:lvlText w:val=""/>
      <w:lvlJc w:val="left"/>
      <w:pPr>
        <w:ind w:left="2880" w:hanging="360"/>
      </w:pPr>
      <w:rPr>
        <w:rFonts w:ascii="Symbol" w:hAnsi="Symbol" w:hint="default"/>
      </w:rPr>
    </w:lvl>
    <w:lvl w:ilvl="4" w:tplc="50009C6E" w:tentative="1">
      <w:start w:val="1"/>
      <w:numFmt w:val="bullet"/>
      <w:lvlText w:val="o"/>
      <w:lvlJc w:val="left"/>
      <w:pPr>
        <w:ind w:left="3600" w:hanging="360"/>
      </w:pPr>
      <w:rPr>
        <w:rFonts w:ascii="Courier New" w:hAnsi="Courier New" w:cs="Courier New" w:hint="default"/>
      </w:rPr>
    </w:lvl>
    <w:lvl w:ilvl="5" w:tplc="9358002A" w:tentative="1">
      <w:start w:val="1"/>
      <w:numFmt w:val="bullet"/>
      <w:lvlText w:val=""/>
      <w:lvlJc w:val="left"/>
      <w:pPr>
        <w:ind w:left="4320" w:hanging="360"/>
      </w:pPr>
      <w:rPr>
        <w:rFonts w:ascii="Wingdings" w:hAnsi="Wingdings" w:hint="default"/>
      </w:rPr>
    </w:lvl>
    <w:lvl w:ilvl="6" w:tplc="98661D96" w:tentative="1">
      <w:start w:val="1"/>
      <w:numFmt w:val="bullet"/>
      <w:lvlText w:val=""/>
      <w:lvlJc w:val="left"/>
      <w:pPr>
        <w:ind w:left="5040" w:hanging="360"/>
      </w:pPr>
      <w:rPr>
        <w:rFonts w:ascii="Symbol" w:hAnsi="Symbol" w:hint="default"/>
      </w:rPr>
    </w:lvl>
    <w:lvl w:ilvl="7" w:tplc="4ABC7E62" w:tentative="1">
      <w:start w:val="1"/>
      <w:numFmt w:val="bullet"/>
      <w:lvlText w:val="o"/>
      <w:lvlJc w:val="left"/>
      <w:pPr>
        <w:ind w:left="5760" w:hanging="360"/>
      </w:pPr>
      <w:rPr>
        <w:rFonts w:ascii="Courier New" w:hAnsi="Courier New" w:cs="Courier New" w:hint="default"/>
      </w:rPr>
    </w:lvl>
    <w:lvl w:ilvl="8" w:tplc="133EB03A" w:tentative="1">
      <w:start w:val="1"/>
      <w:numFmt w:val="bullet"/>
      <w:lvlText w:val=""/>
      <w:lvlJc w:val="left"/>
      <w:pPr>
        <w:ind w:left="6480" w:hanging="360"/>
      </w:pPr>
      <w:rPr>
        <w:rFonts w:ascii="Wingdings" w:hAnsi="Wingdings" w:hint="default"/>
      </w:rPr>
    </w:lvl>
  </w:abstractNum>
  <w:abstractNum w:abstractNumId="24" w15:restartNumberingAfterBreak="0">
    <w:nsid w:val="7EEB5C78"/>
    <w:multiLevelType w:val="hybridMultilevel"/>
    <w:tmpl w:val="448E8FC0"/>
    <w:lvl w:ilvl="0" w:tplc="00B8E156">
      <w:start w:val="1"/>
      <w:numFmt w:val="bullet"/>
      <w:lvlText w:val=""/>
      <w:lvlJc w:val="left"/>
      <w:pPr>
        <w:ind w:left="1287" w:hanging="360"/>
      </w:pPr>
      <w:rPr>
        <w:rFonts w:ascii="Symbol" w:hAnsi="Symbol" w:hint="default"/>
      </w:rPr>
    </w:lvl>
    <w:lvl w:ilvl="1" w:tplc="5F6079CA" w:tentative="1">
      <w:start w:val="1"/>
      <w:numFmt w:val="bullet"/>
      <w:lvlText w:val="o"/>
      <w:lvlJc w:val="left"/>
      <w:pPr>
        <w:ind w:left="2007" w:hanging="360"/>
      </w:pPr>
      <w:rPr>
        <w:rFonts w:ascii="Courier New" w:hAnsi="Courier New" w:cs="Courier New" w:hint="default"/>
      </w:rPr>
    </w:lvl>
    <w:lvl w:ilvl="2" w:tplc="94FC0D6E" w:tentative="1">
      <w:start w:val="1"/>
      <w:numFmt w:val="bullet"/>
      <w:lvlText w:val=""/>
      <w:lvlJc w:val="left"/>
      <w:pPr>
        <w:ind w:left="2727" w:hanging="360"/>
      </w:pPr>
      <w:rPr>
        <w:rFonts w:ascii="Wingdings" w:hAnsi="Wingdings" w:hint="default"/>
      </w:rPr>
    </w:lvl>
    <w:lvl w:ilvl="3" w:tplc="988CDA24" w:tentative="1">
      <w:start w:val="1"/>
      <w:numFmt w:val="bullet"/>
      <w:lvlText w:val=""/>
      <w:lvlJc w:val="left"/>
      <w:pPr>
        <w:ind w:left="3447" w:hanging="360"/>
      </w:pPr>
      <w:rPr>
        <w:rFonts w:ascii="Symbol" w:hAnsi="Symbol" w:hint="default"/>
      </w:rPr>
    </w:lvl>
    <w:lvl w:ilvl="4" w:tplc="4F5E3430" w:tentative="1">
      <w:start w:val="1"/>
      <w:numFmt w:val="bullet"/>
      <w:lvlText w:val="o"/>
      <w:lvlJc w:val="left"/>
      <w:pPr>
        <w:ind w:left="4167" w:hanging="360"/>
      </w:pPr>
      <w:rPr>
        <w:rFonts w:ascii="Courier New" w:hAnsi="Courier New" w:cs="Courier New" w:hint="default"/>
      </w:rPr>
    </w:lvl>
    <w:lvl w:ilvl="5" w:tplc="769E2530" w:tentative="1">
      <w:start w:val="1"/>
      <w:numFmt w:val="bullet"/>
      <w:lvlText w:val=""/>
      <w:lvlJc w:val="left"/>
      <w:pPr>
        <w:ind w:left="4887" w:hanging="360"/>
      </w:pPr>
      <w:rPr>
        <w:rFonts w:ascii="Wingdings" w:hAnsi="Wingdings" w:hint="default"/>
      </w:rPr>
    </w:lvl>
    <w:lvl w:ilvl="6" w:tplc="1A4C19C6" w:tentative="1">
      <w:start w:val="1"/>
      <w:numFmt w:val="bullet"/>
      <w:lvlText w:val=""/>
      <w:lvlJc w:val="left"/>
      <w:pPr>
        <w:ind w:left="5607" w:hanging="360"/>
      </w:pPr>
      <w:rPr>
        <w:rFonts w:ascii="Symbol" w:hAnsi="Symbol" w:hint="default"/>
      </w:rPr>
    </w:lvl>
    <w:lvl w:ilvl="7" w:tplc="415CCE52" w:tentative="1">
      <w:start w:val="1"/>
      <w:numFmt w:val="bullet"/>
      <w:lvlText w:val="o"/>
      <w:lvlJc w:val="left"/>
      <w:pPr>
        <w:ind w:left="6327" w:hanging="360"/>
      </w:pPr>
      <w:rPr>
        <w:rFonts w:ascii="Courier New" w:hAnsi="Courier New" w:cs="Courier New" w:hint="default"/>
      </w:rPr>
    </w:lvl>
    <w:lvl w:ilvl="8" w:tplc="C8D0927A" w:tentative="1">
      <w:start w:val="1"/>
      <w:numFmt w:val="bullet"/>
      <w:lvlText w:val=""/>
      <w:lvlJc w:val="left"/>
      <w:pPr>
        <w:ind w:left="7047" w:hanging="360"/>
      </w:pPr>
      <w:rPr>
        <w:rFonts w:ascii="Wingdings" w:hAnsi="Wingdings" w:hint="default"/>
      </w:rPr>
    </w:lvl>
  </w:abstractNum>
  <w:num w:numId="1">
    <w:abstractNumId w:val="5"/>
  </w:num>
  <w:num w:numId="2">
    <w:abstractNumId w:val="18"/>
  </w:num>
  <w:num w:numId="3">
    <w:abstractNumId w:val="15"/>
  </w:num>
  <w:num w:numId="4">
    <w:abstractNumId w:val="22"/>
  </w:num>
  <w:num w:numId="5">
    <w:abstractNumId w:val="1"/>
  </w:num>
  <w:num w:numId="6">
    <w:abstractNumId w:val="11"/>
  </w:num>
  <w:num w:numId="7">
    <w:abstractNumId w:val="7"/>
  </w:num>
  <w:num w:numId="8">
    <w:abstractNumId w:val="6"/>
  </w:num>
  <w:num w:numId="9">
    <w:abstractNumId w:val="23"/>
  </w:num>
  <w:num w:numId="10">
    <w:abstractNumId w:val="0"/>
  </w:num>
  <w:num w:numId="11">
    <w:abstractNumId w:val="16"/>
  </w:num>
  <w:num w:numId="12">
    <w:abstractNumId w:val="3"/>
  </w:num>
  <w:num w:numId="13">
    <w:abstractNumId w:val="8"/>
  </w:num>
  <w:num w:numId="14">
    <w:abstractNumId w:val="14"/>
  </w:num>
  <w:num w:numId="15">
    <w:abstractNumId w:val="24"/>
  </w:num>
  <w:num w:numId="16">
    <w:abstractNumId w:val="19"/>
  </w:num>
  <w:num w:numId="17">
    <w:abstractNumId w:val="4"/>
  </w:num>
  <w:num w:numId="18">
    <w:abstractNumId w:val="9"/>
  </w:num>
  <w:num w:numId="19">
    <w:abstractNumId w:val="17"/>
  </w:num>
  <w:num w:numId="20">
    <w:abstractNumId w:val="10"/>
  </w:num>
  <w:num w:numId="21">
    <w:abstractNumId w:val="12"/>
  </w:num>
  <w:num w:numId="22">
    <w:abstractNumId w:val="20"/>
  </w:num>
  <w:num w:numId="23">
    <w:abstractNumId w:val="13"/>
  </w:num>
  <w:num w:numId="24">
    <w:abstractNumId w:val="2"/>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A0D"/>
    <w:rsid w:val="00023861"/>
    <w:rsid w:val="00033866"/>
    <w:rsid w:val="000526A3"/>
    <w:rsid w:val="00061F20"/>
    <w:rsid w:val="000667CB"/>
    <w:rsid w:val="00071CF1"/>
    <w:rsid w:val="000F79F2"/>
    <w:rsid w:val="00100834"/>
    <w:rsid w:val="00134E30"/>
    <w:rsid w:val="00142964"/>
    <w:rsid w:val="001565CD"/>
    <w:rsid w:val="00182859"/>
    <w:rsid w:val="001D61C1"/>
    <w:rsid w:val="001E6F04"/>
    <w:rsid w:val="00205FF4"/>
    <w:rsid w:val="0028041A"/>
    <w:rsid w:val="00280581"/>
    <w:rsid w:val="002A0C5E"/>
    <w:rsid w:val="002A2FFF"/>
    <w:rsid w:val="002B1E57"/>
    <w:rsid w:val="002C29D6"/>
    <w:rsid w:val="002D3BA6"/>
    <w:rsid w:val="002E1555"/>
    <w:rsid w:val="002E3212"/>
    <w:rsid w:val="002E733C"/>
    <w:rsid w:val="002F5D19"/>
    <w:rsid w:val="00311338"/>
    <w:rsid w:val="00327CE1"/>
    <w:rsid w:val="003360C1"/>
    <w:rsid w:val="00353936"/>
    <w:rsid w:val="00355ABA"/>
    <w:rsid w:val="003578C1"/>
    <w:rsid w:val="003A0BA0"/>
    <w:rsid w:val="003C5119"/>
    <w:rsid w:val="003F00E8"/>
    <w:rsid w:val="00411C9A"/>
    <w:rsid w:val="00425009"/>
    <w:rsid w:val="00436B4D"/>
    <w:rsid w:val="00475261"/>
    <w:rsid w:val="00495B0A"/>
    <w:rsid w:val="004A1C49"/>
    <w:rsid w:val="004B09B0"/>
    <w:rsid w:val="005147C7"/>
    <w:rsid w:val="00565A3C"/>
    <w:rsid w:val="005771D8"/>
    <w:rsid w:val="00581046"/>
    <w:rsid w:val="00584A4E"/>
    <w:rsid w:val="005A074D"/>
    <w:rsid w:val="005A16BD"/>
    <w:rsid w:val="005D02A1"/>
    <w:rsid w:val="005D6D6D"/>
    <w:rsid w:val="005D7E0C"/>
    <w:rsid w:val="005E6614"/>
    <w:rsid w:val="005E6DA8"/>
    <w:rsid w:val="005F1F72"/>
    <w:rsid w:val="00601578"/>
    <w:rsid w:val="00637AB5"/>
    <w:rsid w:val="00651A84"/>
    <w:rsid w:val="00664B1E"/>
    <w:rsid w:val="006870B7"/>
    <w:rsid w:val="006A04B2"/>
    <w:rsid w:val="006A3754"/>
    <w:rsid w:val="006E4AC7"/>
    <w:rsid w:val="006E6ACF"/>
    <w:rsid w:val="00716D83"/>
    <w:rsid w:val="007444AC"/>
    <w:rsid w:val="007802F1"/>
    <w:rsid w:val="007B62DC"/>
    <w:rsid w:val="007D57DB"/>
    <w:rsid w:val="00811789"/>
    <w:rsid w:val="00837F79"/>
    <w:rsid w:val="008910CE"/>
    <w:rsid w:val="00893754"/>
    <w:rsid w:val="00896364"/>
    <w:rsid w:val="008E4F0B"/>
    <w:rsid w:val="008E54CF"/>
    <w:rsid w:val="008F5171"/>
    <w:rsid w:val="00917462"/>
    <w:rsid w:val="00986632"/>
    <w:rsid w:val="009E381F"/>
    <w:rsid w:val="00A0382F"/>
    <w:rsid w:val="00A56AF7"/>
    <w:rsid w:val="00A717E9"/>
    <w:rsid w:val="00A85263"/>
    <w:rsid w:val="00A9119C"/>
    <w:rsid w:val="00AA6E59"/>
    <w:rsid w:val="00AC011C"/>
    <w:rsid w:val="00AD7813"/>
    <w:rsid w:val="00AE0C2F"/>
    <w:rsid w:val="00B01D3E"/>
    <w:rsid w:val="00B347D7"/>
    <w:rsid w:val="00B47F36"/>
    <w:rsid w:val="00B63956"/>
    <w:rsid w:val="00B70885"/>
    <w:rsid w:val="00B8185C"/>
    <w:rsid w:val="00BA35DC"/>
    <w:rsid w:val="00BB021D"/>
    <w:rsid w:val="00BC78B0"/>
    <w:rsid w:val="00BD7DE4"/>
    <w:rsid w:val="00C0197E"/>
    <w:rsid w:val="00C20C2A"/>
    <w:rsid w:val="00C4602C"/>
    <w:rsid w:val="00C52241"/>
    <w:rsid w:val="00C719DC"/>
    <w:rsid w:val="00CA3B55"/>
    <w:rsid w:val="00CB14A5"/>
    <w:rsid w:val="00CB7AC1"/>
    <w:rsid w:val="00CC31C2"/>
    <w:rsid w:val="00CD5D3B"/>
    <w:rsid w:val="00CF4DE2"/>
    <w:rsid w:val="00D43C6B"/>
    <w:rsid w:val="00D469BE"/>
    <w:rsid w:val="00D552EB"/>
    <w:rsid w:val="00D8750D"/>
    <w:rsid w:val="00E15B93"/>
    <w:rsid w:val="00E257FD"/>
    <w:rsid w:val="00E33A40"/>
    <w:rsid w:val="00E606F0"/>
    <w:rsid w:val="00E62205"/>
    <w:rsid w:val="00E956C9"/>
    <w:rsid w:val="00EC678C"/>
    <w:rsid w:val="00F00B1E"/>
    <w:rsid w:val="00F05420"/>
    <w:rsid w:val="00F05E82"/>
    <w:rsid w:val="00F2393F"/>
    <w:rsid w:val="00F43788"/>
    <w:rsid w:val="00F63A0D"/>
    <w:rsid w:val="00F76D8B"/>
    <w:rsid w:val="00F902E2"/>
    <w:rsid w:val="00FB0E38"/>
    <w:rsid w:val="00FB7629"/>
    <w:rsid w:val="00FF1DD2"/>
    <w:rsid w:val="00FF3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CB111"/>
  <w15:docId w15:val="{28866C3D-AEBD-4185-8623-D63D3BF7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04938"/>
    <w:pPr>
      <w:ind w:left="720"/>
      <w:contextualSpacing/>
    </w:pPr>
  </w:style>
  <w:style w:type="paragraph" w:styleId="FootnoteText">
    <w:name w:val="footnote text"/>
    <w:aliases w:val=" Char,Char,Footnote,Footnote Text Char Char1 Char,Footnote Text Char Char1 Char Char Char,Footnote Text Char Char1 Char1,Footnote Text Char Char2 Char,Footnote Text Char1 Char,Footnote Text Char1 Char Char Char,Footnote Text Char1 Char1,fn"/>
    <w:basedOn w:val="Normal"/>
    <w:link w:val="FootnoteTextChar"/>
    <w:unhideWhenUsed/>
    <w:rsid w:val="00A600B8"/>
    <w:pPr>
      <w:spacing w:after="0" w:line="240" w:lineRule="auto"/>
    </w:pPr>
    <w:rPr>
      <w:rFonts w:ascii="Cambria" w:hAnsi="Cambria"/>
      <w:sz w:val="20"/>
      <w:szCs w:val="20"/>
    </w:rPr>
  </w:style>
  <w:style w:type="character" w:customStyle="1" w:styleId="FootnoteTextChar">
    <w:name w:val="Footnote Text Char"/>
    <w:aliases w:val=" Char Char,Char Char,Footnote Char,Footnote Text Char Char1 Char Char,Footnote Text Char Char1 Char Char Char Char,Footnote Text Char Char1 Char1 Char,Footnote Text Char Char2 Char Char,Footnote Text Char1 Char Char,fn Char"/>
    <w:basedOn w:val="DefaultParagraphFont"/>
    <w:link w:val="FootnoteText"/>
    <w:rsid w:val="00A600B8"/>
    <w:rPr>
      <w:rFonts w:ascii="Cambria" w:hAnsi="Cambria"/>
      <w:sz w:val="20"/>
      <w:szCs w:val="20"/>
      <w:lang w:val="en-GB"/>
    </w:rPr>
  </w:style>
  <w:style w:type="character" w:styleId="FootnoteReference">
    <w:name w:val="footnote reference"/>
    <w:aliases w:val="16 Point,4_G,Appel note de bas de page,BVI fnr,Footnote number,Footnotes refss,Marque note bas de page,Rimando nota a piè di pagina,Superscript 6 Point,Texto de nota al pie,Texto nota al pie,f,referencia nota al pie"/>
    <w:basedOn w:val="DefaultParagraphFont"/>
    <w:unhideWhenUsed/>
    <w:rsid w:val="00A600B8"/>
    <w:rPr>
      <w:vertAlign w:val="superscript"/>
    </w:rPr>
  </w:style>
  <w:style w:type="character" w:styleId="Hyperlink">
    <w:name w:val="Hyperlink"/>
    <w:basedOn w:val="DefaultParagraphFont"/>
    <w:uiPriority w:val="99"/>
    <w:unhideWhenUsed/>
    <w:rsid w:val="00B227A4"/>
    <w:rPr>
      <w:color w:val="0563C1" w:themeColor="hyperlink"/>
      <w:u w:val="single"/>
    </w:rPr>
  </w:style>
  <w:style w:type="character" w:styleId="FollowedHyperlink">
    <w:name w:val="FollowedHyperlink"/>
    <w:basedOn w:val="DefaultParagraphFont"/>
    <w:uiPriority w:val="99"/>
    <w:semiHidden/>
    <w:unhideWhenUsed/>
    <w:rsid w:val="003C67F1"/>
    <w:rPr>
      <w:color w:val="954F72" w:themeColor="followedHyperlink"/>
      <w:u w:val="single"/>
    </w:rPr>
  </w:style>
  <w:style w:type="paragraph" w:styleId="BalloonText">
    <w:name w:val="Balloon Text"/>
    <w:basedOn w:val="Normal"/>
    <w:link w:val="BalloonTextChar"/>
    <w:uiPriority w:val="99"/>
    <w:semiHidden/>
    <w:unhideWhenUsed/>
    <w:rsid w:val="00277B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B69"/>
    <w:rPr>
      <w:rFonts w:ascii="Tahoma" w:hAnsi="Tahoma" w:cs="Tahoma"/>
      <w:sz w:val="16"/>
      <w:szCs w:val="16"/>
    </w:rPr>
  </w:style>
  <w:style w:type="paragraph" w:styleId="Header">
    <w:name w:val="header"/>
    <w:basedOn w:val="Normal"/>
    <w:link w:val="HeaderChar"/>
    <w:uiPriority w:val="99"/>
    <w:unhideWhenUsed/>
    <w:rsid w:val="001331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189"/>
  </w:style>
  <w:style w:type="paragraph" w:styleId="Footer">
    <w:name w:val="footer"/>
    <w:basedOn w:val="Normal"/>
    <w:link w:val="FooterChar"/>
    <w:uiPriority w:val="99"/>
    <w:unhideWhenUsed/>
    <w:rsid w:val="001331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189"/>
  </w:style>
  <w:style w:type="character" w:styleId="CommentReference">
    <w:name w:val="annotation reference"/>
    <w:basedOn w:val="DefaultParagraphFont"/>
    <w:uiPriority w:val="99"/>
    <w:semiHidden/>
    <w:unhideWhenUsed/>
    <w:rsid w:val="002134E0"/>
    <w:rPr>
      <w:sz w:val="16"/>
      <w:szCs w:val="16"/>
    </w:rPr>
  </w:style>
  <w:style w:type="paragraph" w:styleId="CommentText">
    <w:name w:val="annotation text"/>
    <w:basedOn w:val="Normal"/>
    <w:link w:val="CommentTextChar"/>
    <w:uiPriority w:val="99"/>
    <w:semiHidden/>
    <w:unhideWhenUsed/>
    <w:rsid w:val="002134E0"/>
    <w:pPr>
      <w:spacing w:line="240" w:lineRule="auto"/>
    </w:pPr>
    <w:rPr>
      <w:sz w:val="20"/>
      <w:szCs w:val="20"/>
    </w:rPr>
  </w:style>
  <w:style w:type="character" w:customStyle="1" w:styleId="CommentTextChar">
    <w:name w:val="Comment Text Char"/>
    <w:basedOn w:val="DefaultParagraphFont"/>
    <w:link w:val="CommentText"/>
    <w:uiPriority w:val="99"/>
    <w:semiHidden/>
    <w:rsid w:val="002134E0"/>
    <w:rPr>
      <w:sz w:val="20"/>
      <w:szCs w:val="20"/>
    </w:rPr>
  </w:style>
  <w:style w:type="paragraph" w:styleId="CommentSubject">
    <w:name w:val="annotation subject"/>
    <w:basedOn w:val="CommentText"/>
    <w:next w:val="CommentText"/>
    <w:link w:val="CommentSubjectChar"/>
    <w:uiPriority w:val="99"/>
    <w:semiHidden/>
    <w:unhideWhenUsed/>
    <w:rsid w:val="002134E0"/>
    <w:rPr>
      <w:b/>
      <w:bCs/>
    </w:rPr>
  </w:style>
  <w:style w:type="character" w:customStyle="1" w:styleId="CommentSubjectChar">
    <w:name w:val="Comment Subject Char"/>
    <w:basedOn w:val="CommentTextChar"/>
    <w:link w:val="CommentSubject"/>
    <w:uiPriority w:val="99"/>
    <w:semiHidden/>
    <w:rsid w:val="002134E0"/>
    <w:rPr>
      <w:b/>
      <w:bCs/>
      <w:sz w:val="20"/>
      <w:szCs w:val="20"/>
    </w:rPr>
  </w:style>
  <w:style w:type="paragraph" w:customStyle="1" w:styleId="Default">
    <w:name w:val="Default"/>
    <w:rsid w:val="002274F5"/>
    <w:pPr>
      <w:autoSpaceDE w:val="0"/>
      <w:autoSpaceDN w:val="0"/>
      <w:adjustRightInd w:val="0"/>
      <w:spacing w:after="0" w:line="240" w:lineRule="auto"/>
    </w:pPr>
    <w:rPr>
      <w:rFonts w:ascii="Cambria" w:hAnsi="Cambria" w:cs="Cambria"/>
      <w:color w:val="000000"/>
      <w:sz w:val="24"/>
      <w:szCs w:val="24"/>
      <w:lang w:val="en-GB"/>
    </w:rPr>
  </w:style>
  <w:style w:type="paragraph" w:customStyle="1" w:styleId="Pa0">
    <w:name w:val="Pa0"/>
    <w:basedOn w:val="Default"/>
    <w:next w:val="Default"/>
    <w:uiPriority w:val="99"/>
    <w:rsid w:val="002274F5"/>
    <w:pPr>
      <w:spacing w:line="211" w:lineRule="atLeast"/>
    </w:pPr>
    <w:rPr>
      <w:rFonts w:cstheme="minorBidi"/>
      <w:color w:val="auto"/>
    </w:rPr>
  </w:style>
  <w:style w:type="paragraph" w:styleId="Revision">
    <w:name w:val="Revision"/>
    <w:hidden/>
    <w:uiPriority w:val="99"/>
    <w:semiHidden/>
    <w:rsid w:val="00D405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equalrightstrust.org/ertdocumentbank/From%20Words%20to%20Deeds%20Addressing%20Discrimination%20and%20Inequality%20in%20Moldova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12B794-9C65-4B8E-9D09-74977B9EC6CD}"/>
</file>

<file path=customXml/itemProps2.xml><?xml version="1.0" encoding="utf-8"?>
<ds:datastoreItem xmlns:ds="http://schemas.openxmlformats.org/officeDocument/2006/customXml" ds:itemID="{76D1EAF8-7858-42EB-B0CD-7DC02BF7C125}"/>
</file>

<file path=customXml/itemProps3.xml><?xml version="1.0" encoding="utf-8"?>
<ds:datastoreItem xmlns:ds="http://schemas.openxmlformats.org/officeDocument/2006/customXml" ds:itemID="{2A312CE8-2580-4B8F-92ED-836B59D79CAC}"/>
</file>

<file path=customXml/itemProps4.xml><?xml version="1.0" encoding="utf-8"?>
<ds:datastoreItem xmlns:ds="http://schemas.openxmlformats.org/officeDocument/2006/customXml" ds:itemID="{8C611161-F3FD-4C4A-8AE1-19C142E683F8}"/>
</file>

<file path=docProps/app.xml><?xml version="1.0" encoding="utf-8"?>
<Properties xmlns="http://schemas.openxmlformats.org/officeDocument/2006/extended-properties" xmlns:vt="http://schemas.openxmlformats.org/officeDocument/2006/docPropsVTypes">
  <Template>Normal</Template>
  <TotalTime>8</TotalTime>
  <Pages>17</Pages>
  <Words>5929</Words>
  <Characters>33801</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Tayyiba Bajwa</dc:creator>
  <cp:keywords/>
  <dc:description/>
  <cp:lastModifiedBy>Jim Fitzgerald</cp:lastModifiedBy>
  <cp:revision>5</cp:revision>
  <dcterms:created xsi:type="dcterms:W3CDTF">2017-01-30T00:08:00Z</dcterms:created>
  <dcterms:modified xsi:type="dcterms:W3CDTF">2017-01-30T00:16:00Z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ient">
    <vt:lpwstr>0120409</vt:lpwstr>
  </property>
  <property fmtid="{D5CDD505-2E9C-101B-9397-08002B2CF9AE}" pid="3" name="cpClientMatter">
    <vt:lpwstr>0120409-0000001</vt:lpwstr>
  </property>
  <property fmtid="{D5CDD505-2E9C-101B-9397-08002B2CF9AE}" pid="4" name="cpCombinedRef">
    <vt:lpwstr>0120409-0000001 BK:38893177.1</vt:lpwstr>
  </property>
  <property fmtid="{D5CDD505-2E9C-101B-9397-08002B2CF9AE}" pid="5" name="cpDocRef">
    <vt:lpwstr>BK:38893177.1</vt:lpwstr>
  </property>
  <property fmtid="{D5CDD505-2E9C-101B-9397-08002B2CF9AE}" pid="6" name="Matter">
    <vt:lpwstr>0000001</vt:lpwstr>
  </property>
  <property fmtid="{D5CDD505-2E9C-101B-9397-08002B2CF9AE}" pid="7" name="ContentTypeId">
    <vt:lpwstr>0x010100FAE5DBF0ADA998469064B64F53A76F3C</vt:lpwstr>
  </property>
</Properties>
</file>