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1E0B2" w14:textId="77777777" w:rsidR="00D41B41" w:rsidRPr="00E2092E" w:rsidRDefault="009F2540" w:rsidP="00E2092E">
      <w:pPr>
        <w:spacing w:before="200" w:after="80" w:line="276" w:lineRule="auto"/>
        <w:jc w:val="center"/>
        <w:rPr>
          <w:rFonts w:ascii="Leelawadee" w:hAnsi="Leelawadee" w:cs="Leelawadee"/>
          <w:sz w:val="22"/>
          <w:szCs w:val="22"/>
          <w:lang w:val="es-419"/>
        </w:rPr>
      </w:pPr>
      <w:r w:rsidRPr="00E2092E">
        <w:rPr>
          <w:rFonts w:ascii="Leelawadee" w:hAnsi="Leelawadee" w:cs="Leelawadee"/>
          <w:b/>
          <w:bCs/>
          <w:sz w:val="22"/>
          <w:szCs w:val="22"/>
          <w:lang w:val="es-419"/>
        </w:rPr>
        <w:t>INFORME ALTERNATIVO AL COMITÉ PARA LA ELIMINACIÓN DE LA DISCRIMINACIÓN RACIAL</w:t>
      </w:r>
    </w:p>
    <w:p w14:paraId="4745FA95" w14:textId="77777777" w:rsidR="00D41B41" w:rsidRPr="00E2092E" w:rsidRDefault="009F2540" w:rsidP="00E2092E">
      <w:pPr>
        <w:spacing w:after="120" w:line="276" w:lineRule="auto"/>
        <w:jc w:val="center"/>
        <w:rPr>
          <w:rFonts w:ascii="Leelawadee" w:hAnsi="Leelawadee" w:cs="Leelawadee"/>
          <w:sz w:val="22"/>
          <w:szCs w:val="22"/>
          <w:lang w:val="es-419"/>
        </w:rPr>
      </w:pPr>
      <w:r w:rsidRPr="00E2092E">
        <w:rPr>
          <w:rFonts w:ascii="Leelawadee" w:hAnsi="Leelawadee" w:cs="Leelawadee"/>
          <w:b/>
          <w:bCs/>
          <w:sz w:val="22"/>
          <w:szCs w:val="22"/>
          <w:lang w:val="es-419"/>
        </w:rPr>
        <w:t>Examen de los informes periódicos 9.º a 11.º combinados de Honduras (CERD/C/HND/9-11)</w:t>
      </w:r>
    </w:p>
    <w:p w14:paraId="62AB11E0" w14:textId="77777777" w:rsidR="00D41B41" w:rsidRPr="00E2092E" w:rsidRDefault="009F2540" w:rsidP="00E2092E">
      <w:pPr>
        <w:spacing w:after="120" w:line="276" w:lineRule="auto"/>
        <w:jc w:val="center"/>
        <w:rPr>
          <w:rFonts w:ascii="Leelawadee" w:hAnsi="Leelawadee" w:cs="Leelawadee"/>
          <w:sz w:val="22"/>
          <w:szCs w:val="22"/>
          <w:lang w:val="es-419"/>
        </w:rPr>
      </w:pPr>
      <w:r w:rsidRPr="00E2092E">
        <w:rPr>
          <w:rFonts w:ascii="Leelawadee" w:hAnsi="Leelawadee" w:cs="Leelawadee"/>
          <w:sz w:val="22"/>
          <w:szCs w:val="22"/>
          <w:lang w:val="es-419"/>
        </w:rPr>
        <w:t>118.º período de sesiones — Ginebra, 10 a 25 de agosto de 2026</w:t>
      </w:r>
    </w:p>
    <w:p w14:paraId="57D99FDB" w14:textId="77777777" w:rsidR="00D41B41" w:rsidRPr="00E2092E" w:rsidRDefault="009F2540" w:rsidP="00E2092E">
      <w:pPr>
        <w:spacing w:after="200" w:line="276" w:lineRule="auto"/>
        <w:jc w:val="center"/>
        <w:rPr>
          <w:rFonts w:ascii="Leelawadee" w:hAnsi="Leelawadee" w:cs="Leelawadee"/>
          <w:sz w:val="22"/>
          <w:szCs w:val="22"/>
          <w:lang w:val="es-419"/>
        </w:rPr>
      </w:pPr>
      <w:r w:rsidRPr="00E2092E">
        <w:rPr>
          <w:rFonts w:ascii="Leelawadee" w:hAnsi="Leelawadee" w:cs="Leelawadee"/>
          <w:i/>
          <w:iCs/>
          <w:sz w:val="22"/>
          <w:szCs w:val="22"/>
          <w:lang w:val="es-419"/>
        </w:rPr>
        <w:t>Situación de los derechos de los pueblos indígenas Tolupán, Maya Chortí, Misquito y Lenca en Honduras (2019-2026)</w:t>
      </w:r>
    </w:p>
    <w:p w14:paraId="52D67A76" w14:textId="13AB0B1B" w:rsidR="00D41B41" w:rsidRPr="00E2092E" w:rsidRDefault="009F2540" w:rsidP="00E2092E">
      <w:pPr>
        <w:spacing w:after="120" w:line="276" w:lineRule="auto"/>
        <w:jc w:val="both"/>
        <w:rPr>
          <w:rFonts w:ascii="Leelawadee" w:hAnsi="Leelawadee" w:cs="Leelawadee"/>
          <w:sz w:val="22"/>
          <w:szCs w:val="22"/>
          <w:lang w:val="es-419"/>
        </w:rPr>
      </w:pPr>
      <w:r w:rsidRPr="00E2092E">
        <w:rPr>
          <w:rFonts w:ascii="Leelawadee" w:hAnsi="Leelawadee" w:cs="Leelawadee"/>
          <w:b/>
          <w:bCs/>
          <w:sz w:val="22"/>
          <w:szCs w:val="22"/>
          <w:lang w:val="es-419"/>
        </w:rPr>
        <w:t>Presentado por:</w:t>
      </w:r>
      <w:r w:rsidRPr="00E2092E">
        <w:rPr>
          <w:rFonts w:ascii="Leelawadee" w:hAnsi="Leelawadee" w:cs="Leelawadee"/>
          <w:sz w:val="22"/>
          <w:szCs w:val="22"/>
          <w:lang w:val="es-419"/>
        </w:rPr>
        <w:t xml:space="preserve"> Movimiento Amplio por la Dignidad y la Justicia (MADJ)</w:t>
      </w:r>
      <w:r w:rsidR="00E2092E">
        <w:rPr>
          <w:rFonts w:ascii="Leelawadee" w:hAnsi="Leelawadee" w:cs="Leelawadee"/>
          <w:sz w:val="22"/>
          <w:szCs w:val="22"/>
          <w:lang w:val="es-419"/>
        </w:rPr>
        <w:t xml:space="preserve">, </w:t>
      </w:r>
      <w:r w:rsidRPr="00E2092E">
        <w:rPr>
          <w:rFonts w:ascii="Leelawadee" w:hAnsi="Leelawadee" w:cs="Leelawadee"/>
          <w:sz w:val="22"/>
          <w:szCs w:val="22"/>
          <w:lang w:val="es-419"/>
        </w:rPr>
        <w:t>Bufete Estudios para la Dignidad (BED)</w:t>
      </w:r>
      <w:r w:rsidR="00E2092E">
        <w:rPr>
          <w:rFonts w:ascii="Leelawadee" w:hAnsi="Leelawadee" w:cs="Leelawadee"/>
          <w:sz w:val="22"/>
          <w:szCs w:val="22"/>
          <w:lang w:val="es-419"/>
        </w:rPr>
        <w:t>,</w:t>
      </w:r>
      <w:r w:rsidRPr="00E2092E">
        <w:rPr>
          <w:rFonts w:ascii="Leelawadee" w:hAnsi="Leelawadee" w:cs="Leelawadee"/>
          <w:sz w:val="22"/>
          <w:szCs w:val="22"/>
          <w:lang w:val="es-419"/>
        </w:rPr>
        <w:t xml:space="preserve"> Fundación para la Salvaguardia del Medio Ambiente en el Democrático Desarrollo Socioeconómico y de las Instituciones (FUNDAMBIENTE)</w:t>
      </w:r>
      <w:r w:rsidR="00E2092E">
        <w:rPr>
          <w:rFonts w:ascii="Leelawadee" w:hAnsi="Leelawadee" w:cs="Leelawadee"/>
          <w:sz w:val="22"/>
          <w:szCs w:val="22"/>
          <w:lang w:val="es-419"/>
        </w:rPr>
        <w:t xml:space="preserve">, Consejo Indígena Maya Chortí de la comunidad de Azacualpa; Consejo Directivo de la Tribu San Francisco de </w:t>
      </w:r>
      <w:proofErr w:type="spellStart"/>
      <w:r w:rsidR="00E2092E">
        <w:rPr>
          <w:rFonts w:ascii="Leelawadee" w:hAnsi="Leelawadee" w:cs="Leelawadee"/>
          <w:sz w:val="22"/>
          <w:szCs w:val="22"/>
          <w:lang w:val="es-419"/>
        </w:rPr>
        <w:t>Locomapa</w:t>
      </w:r>
      <w:proofErr w:type="spellEnd"/>
      <w:r w:rsidR="00E2092E">
        <w:rPr>
          <w:rFonts w:ascii="Leelawadee" w:hAnsi="Leelawadee" w:cs="Leelawadee"/>
          <w:sz w:val="22"/>
          <w:szCs w:val="22"/>
          <w:lang w:val="es-419"/>
        </w:rPr>
        <w:t xml:space="preserve">; Consejo Preventivo de la Tribu San Francisco de </w:t>
      </w:r>
      <w:proofErr w:type="spellStart"/>
      <w:r w:rsidR="00E2092E">
        <w:rPr>
          <w:rFonts w:ascii="Leelawadee" w:hAnsi="Leelawadee" w:cs="Leelawadee"/>
          <w:sz w:val="22"/>
          <w:szCs w:val="22"/>
          <w:lang w:val="es-419"/>
        </w:rPr>
        <w:t>Locomapa</w:t>
      </w:r>
      <w:proofErr w:type="spellEnd"/>
      <w:r w:rsidR="00E2092E">
        <w:rPr>
          <w:rFonts w:ascii="Leelawadee" w:hAnsi="Leelawadee" w:cs="Leelawadee"/>
          <w:sz w:val="22"/>
          <w:szCs w:val="22"/>
          <w:lang w:val="es-419"/>
        </w:rPr>
        <w:t>.</w:t>
      </w:r>
    </w:p>
    <w:p w14:paraId="0924DBE9" w14:textId="23D5B3B9" w:rsidR="00D41B41" w:rsidRPr="00E2092E" w:rsidRDefault="009F2540" w:rsidP="00E2092E">
      <w:pPr>
        <w:spacing w:after="240" w:line="276" w:lineRule="auto"/>
        <w:rPr>
          <w:rFonts w:ascii="Leelawadee" w:hAnsi="Leelawadee" w:cs="Leelawadee"/>
          <w:sz w:val="22"/>
          <w:szCs w:val="22"/>
          <w:lang w:val="es-419"/>
        </w:rPr>
      </w:pPr>
      <w:r w:rsidRPr="00E2092E">
        <w:rPr>
          <w:rFonts w:ascii="Leelawadee" w:hAnsi="Leelawadee" w:cs="Leelawadee"/>
          <w:b/>
          <w:bCs/>
          <w:sz w:val="22"/>
          <w:szCs w:val="22"/>
          <w:lang w:val="es-419"/>
        </w:rPr>
        <w:t>Presentación de carácter PÚBLICO</w:t>
      </w:r>
    </w:p>
    <w:p w14:paraId="6615215B" w14:textId="77777777" w:rsidR="00D41B41" w:rsidRPr="00E2092E" w:rsidRDefault="009F2540" w:rsidP="00E2092E">
      <w:pPr>
        <w:pStyle w:val="Ttulo1"/>
        <w:spacing w:before="240" w:after="160" w:line="276" w:lineRule="auto"/>
        <w:rPr>
          <w:rFonts w:ascii="Leelawadee" w:hAnsi="Leelawadee" w:cs="Leelawadee"/>
          <w:sz w:val="22"/>
          <w:szCs w:val="22"/>
          <w:lang w:val="es-419"/>
        </w:rPr>
      </w:pPr>
      <w:r w:rsidRPr="00E2092E">
        <w:rPr>
          <w:rFonts w:ascii="Leelawadee" w:hAnsi="Leelawadee" w:cs="Leelawadee"/>
          <w:b/>
          <w:bCs/>
          <w:caps/>
          <w:color w:val="000000"/>
          <w:sz w:val="22"/>
          <w:szCs w:val="22"/>
          <w:lang w:val="es-419"/>
        </w:rPr>
        <w:t>I. Presentación</w:t>
      </w:r>
    </w:p>
    <w:p w14:paraId="53AD843D" w14:textId="6DC2632E" w:rsidR="00D41B41" w:rsidRPr="00E2092E" w:rsidRDefault="009F2540" w:rsidP="00E2092E">
      <w:pPr>
        <w:spacing w:after="120" w:line="276" w:lineRule="auto"/>
        <w:jc w:val="both"/>
        <w:rPr>
          <w:rFonts w:ascii="Leelawadee" w:hAnsi="Leelawadee" w:cs="Leelawadee"/>
          <w:sz w:val="22"/>
          <w:szCs w:val="22"/>
          <w:lang w:val="es-419"/>
        </w:rPr>
      </w:pPr>
      <w:r w:rsidRPr="00E2092E">
        <w:rPr>
          <w:rFonts w:ascii="Leelawadee" w:hAnsi="Leelawadee" w:cs="Leelawadee"/>
          <w:sz w:val="22"/>
          <w:szCs w:val="22"/>
          <w:lang w:val="es-419"/>
        </w:rPr>
        <w:t xml:space="preserve">1. El presente informe alternativo se somete a la consideración del Comité para la Eliminación de la Discriminación Racial (en adelante, «el Comité») con ocasión del examen de los informes periódicos 9.º a 11.º combinados del Estado de Honduras (CERD/C/HND/9-11), programado para el 118.º período de sesiones. Lo presentan conjuntamente el </w:t>
      </w:r>
      <w:r w:rsidRPr="00E2092E">
        <w:rPr>
          <w:rFonts w:ascii="Leelawadee" w:hAnsi="Leelawadee" w:cs="Leelawadee"/>
          <w:b/>
          <w:bCs/>
          <w:sz w:val="22"/>
          <w:szCs w:val="22"/>
          <w:lang w:val="es-419"/>
        </w:rPr>
        <w:t>Movimiento Amplio por la Dignidad y la Justicia (MADJ)</w:t>
      </w:r>
      <w:r w:rsidRPr="00E2092E">
        <w:rPr>
          <w:rFonts w:ascii="Leelawadee" w:hAnsi="Leelawadee" w:cs="Leelawadee"/>
          <w:sz w:val="22"/>
          <w:szCs w:val="22"/>
          <w:lang w:val="es-419"/>
        </w:rPr>
        <w:t xml:space="preserve">, organización social de base dedicada a la promoción y defensa de los derechos humanos, los bienes naturales comunes, los pueblos indígenas y la lucha contra la corrupción y la impunidad; el </w:t>
      </w:r>
      <w:r w:rsidRPr="00E2092E">
        <w:rPr>
          <w:rFonts w:ascii="Leelawadee" w:hAnsi="Leelawadee" w:cs="Leelawadee"/>
          <w:b/>
          <w:bCs/>
          <w:sz w:val="22"/>
          <w:szCs w:val="22"/>
          <w:lang w:val="es-419"/>
        </w:rPr>
        <w:t>Bufete Estudios para la Dignidad (BED)</w:t>
      </w:r>
      <w:r w:rsidRPr="00E2092E">
        <w:rPr>
          <w:rFonts w:ascii="Leelawadee" w:hAnsi="Leelawadee" w:cs="Leelawadee"/>
          <w:sz w:val="22"/>
          <w:szCs w:val="22"/>
          <w:lang w:val="es-419"/>
        </w:rPr>
        <w:t xml:space="preserve">, organización dedicada </w:t>
      </w:r>
      <w:r w:rsidR="00E2092E">
        <w:rPr>
          <w:rFonts w:ascii="Leelawadee" w:hAnsi="Leelawadee" w:cs="Leelawadee"/>
          <w:sz w:val="22"/>
          <w:szCs w:val="22"/>
          <w:lang w:val="es-419"/>
        </w:rPr>
        <w:t xml:space="preserve">a la representación de colectivos víctimas de violaciones de </w:t>
      </w:r>
      <w:r w:rsidRPr="00E2092E">
        <w:rPr>
          <w:rFonts w:ascii="Leelawadee" w:hAnsi="Leelawadee" w:cs="Leelawadee"/>
          <w:sz w:val="22"/>
          <w:szCs w:val="22"/>
          <w:lang w:val="es-419"/>
        </w:rPr>
        <w:t>derechos;</w:t>
      </w:r>
      <w:r w:rsidR="00E2092E">
        <w:rPr>
          <w:rFonts w:ascii="Leelawadee" w:hAnsi="Leelawadee" w:cs="Leelawadee"/>
          <w:sz w:val="22"/>
          <w:szCs w:val="22"/>
          <w:lang w:val="es-419"/>
        </w:rPr>
        <w:t xml:space="preserve"> </w:t>
      </w:r>
      <w:r w:rsidRPr="00E2092E">
        <w:rPr>
          <w:rFonts w:ascii="Leelawadee" w:hAnsi="Leelawadee" w:cs="Leelawadee"/>
          <w:sz w:val="22"/>
          <w:szCs w:val="22"/>
          <w:lang w:val="es-419"/>
        </w:rPr>
        <w:t xml:space="preserve">la </w:t>
      </w:r>
      <w:r w:rsidRPr="00E2092E">
        <w:rPr>
          <w:rFonts w:ascii="Leelawadee" w:hAnsi="Leelawadee" w:cs="Leelawadee"/>
          <w:b/>
          <w:bCs/>
          <w:sz w:val="22"/>
          <w:szCs w:val="22"/>
          <w:lang w:val="es-419"/>
        </w:rPr>
        <w:t>Fundación para la Salvaguardia del Medio Ambiente en el Democrático Desarrollo Socioeconómico y de las Instituciones (FUNDAMBIENTE)</w:t>
      </w:r>
      <w:r w:rsidR="00E2092E">
        <w:rPr>
          <w:rFonts w:ascii="Leelawadee" w:hAnsi="Leelawadee" w:cs="Leelawadee"/>
          <w:sz w:val="22"/>
          <w:szCs w:val="22"/>
          <w:lang w:val="es-419"/>
        </w:rPr>
        <w:t xml:space="preserve">, organización dedicada a la incidencia e investigación en materia de derechos humanos, especialmente, relativos al medio ambiente; </w:t>
      </w:r>
      <w:r w:rsidR="00E2092E" w:rsidRPr="00E2092E">
        <w:rPr>
          <w:rFonts w:ascii="Leelawadee" w:hAnsi="Leelawadee" w:cs="Leelawadee"/>
          <w:b/>
          <w:bCs/>
          <w:sz w:val="22"/>
          <w:szCs w:val="22"/>
          <w:lang w:val="es-419"/>
        </w:rPr>
        <w:t xml:space="preserve">Consejo Directivo de la Tribu San Francisco </w:t>
      </w:r>
      <w:proofErr w:type="spellStart"/>
      <w:r w:rsidR="00E2092E" w:rsidRPr="00E2092E">
        <w:rPr>
          <w:rFonts w:ascii="Leelawadee" w:hAnsi="Leelawadee" w:cs="Leelawadee"/>
          <w:b/>
          <w:bCs/>
          <w:sz w:val="22"/>
          <w:szCs w:val="22"/>
          <w:lang w:val="es-419"/>
        </w:rPr>
        <w:t>Locomapa</w:t>
      </w:r>
      <w:proofErr w:type="spellEnd"/>
      <w:r w:rsidR="00E2092E" w:rsidRPr="00E2092E">
        <w:rPr>
          <w:rFonts w:ascii="Leelawadee" w:hAnsi="Leelawadee" w:cs="Leelawadee"/>
          <w:b/>
          <w:bCs/>
          <w:sz w:val="22"/>
          <w:szCs w:val="22"/>
          <w:lang w:val="es-419"/>
        </w:rPr>
        <w:t xml:space="preserve"> (CDT),</w:t>
      </w:r>
      <w:r w:rsidR="00E2092E">
        <w:rPr>
          <w:rFonts w:ascii="Leelawadee" w:hAnsi="Leelawadee" w:cs="Leelawadee"/>
          <w:b/>
          <w:bCs/>
          <w:sz w:val="22"/>
          <w:szCs w:val="22"/>
          <w:lang w:val="es-419"/>
        </w:rPr>
        <w:t xml:space="preserve"> </w:t>
      </w:r>
      <w:r w:rsidR="00E2092E" w:rsidRPr="00E2092E">
        <w:rPr>
          <w:rFonts w:ascii="Leelawadee" w:hAnsi="Leelawadee" w:cs="Leelawadee"/>
          <w:sz w:val="22"/>
          <w:szCs w:val="22"/>
          <w:lang w:val="es-419"/>
        </w:rPr>
        <w:t>organización indígena</w:t>
      </w:r>
      <w:r w:rsidR="00E2092E">
        <w:rPr>
          <w:rFonts w:ascii="Leelawadee" w:hAnsi="Leelawadee" w:cs="Leelawadee"/>
          <w:sz w:val="22"/>
          <w:szCs w:val="22"/>
          <w:lang w:val="es-419"/>
        </w:rPr>
        <w:t xml:space="preserve"> con facultades de representación y administración la tribu tolupana; </w:t>
      </w:r>
      <w:r w:rsidR="00E2092E" w:rsidRPr="00E2092E">
        <w:rPr>
          <w:rFonts w:ascii="Leelawadee" w:hAnsi="Leelawadee" w:cs="Leelawadee"/>
          <w:b/>
          <w:bCs/>
          <w:sz w:val="22"/>
          <w:szCs w:val="22"/>
          <w:lang w:val="es-419"/>
        </w:rPr>
        <w:t>Consejo Preventivo de Tribu de la</w:t>
      </w:r>
      <w:r w:rsidR="008D0DA3">
        <w:rPr>
          <w:rFonts w:ascii="Leelawadee" w:hAnsi="Leelawadee" w:cs="Leelawadee"/>
          <w:b/>
          <w:bCs/>
          <w:sz w:val="22"/>
          <w:szCs w:val="22"/>
          <w:lang w:val="es-419"/>
        </w:rPr>
        <w:t xml:space="preserve"> Tribu San Francisco </w:t>
      </w:r>
      <w:proofErr w:type="spellStart"/>
      <w:r w:rsidR="008D0DA3">
        <w:rPr>
          <w:rFonts w:ascii="Leelawadee" w:hAnsi="Leelawadee" w:cs="Leelawadee"/>
          <w:b/>
          <w:bCs/>
          <w:sz w:val="22"/>
          <w:szCs w:val="22"/>
          <w:lang w:val="es-419"/>
        </w:rPr>
        <w:t>Locomapa</w:t>
      </w:r>
      <w:proofErr w:type="spellEnd"/>
      <w:r w:rsidR="00E2092E" w:rsidRPr="00E2092E">
        <w:rPr>
          <w:rFonts w:ascii="Leelawadee" w:hAnsi="Leelawadee" w:cs="Leelawadee"/>
          <w:b/>
          <w:bCs/>
          <w:sz w:val="22"/>
          <w:szCs w:val="22"/>
          <w:lang w:val="es-419"/>
        </w:rPr>
        <w:t xml:space="preserve"> </w:t>
      </w:r>
      <w:r w:rsidR="008D0DA3">
        <w:rPr>
          <w:rFonts w:ascii="Leelawadee" w:hAnsi="Leelawadee" w:cs="Leelawadee"/>
          <w:b/>
          <w:bCs/>
          <w:sz w:val="22"/>
          <w:szCs w:val="22"/>
          <w:lang w:val="es-419"/>
        </w:rPr>
        <w:t>(</w:t>
      </w:r>
      <w:r w:rsidR="00E2092E" w:rsidRPr="00E2092E">
        <w:rPr>
          <w:rFonts w:ascii="Leelawadee" w:hAnsi="Leelawadee" w:cs="Leelawadee"/>
          <w:b/>
          <w:bCs/>
          <w:sz w:val="22"/>
          <w:szCs w:val="22"/>
          <w:lang w:val="es-419"/>
        </w:rPr>
        <w:t>TSFL</w:t>
      </w:r>
      <w:r w:rsidR="008D0DA3">
        <w:rPr>
          <w:rFonts w:ascii="Leelawadee" w:hAnsi="Leelawadee" w:cs="Leelawadee"/>
          <w:b/>
          <w:bCs/>
          <w:sz w:val="22"/>
          <w:szCs w:val="22"/>
          <w:lang w:val="es-419"/>
        </w:rPr>
        <w:t>)</w:t>
      </w:r>
      <w:r w:rsidR="00E2092E" w:rsidRPr="00E2092E">
        <w:rPr>
          <w:rFonts w:ascii="Leelawadee" w:hAnsi="Leelawadee" w:cs="Leelawadee"/>
          <w:b/>
          <w:bCs/>
          <w:sz w:val="22"/>
          <w:szCs w:val="22"/>
          <w:lang w:val="es-419"/>
        </w:rPr>
        <w:t>,</w:t>
      </w:r>
      <w:r w:rsidR="00E2092E">
        <w:rPr>
          <w:rFonts w:ascii="Leelawadee" w:hAnsi="Leelawadee" w:cs="Leelawadee"/>
          <w:sz w:val="22"/>
          <w:szCs w:val="22"/>
          <w:lang w:val="es-419"/>
        </w:rPr>
        <w:t xml:space="preserve"> instancia indígena cuyo objetivo es la fiscalización de las acciones ejecutadas por el gobierno indígena de la TSFL; </w:t>
      </w:r>
      <w:r w:rsidR="00E2092E" w:rsidRPr="00E2092E">
        <w:rPr>
          <w:rFonts w:ascii="Leelawadee" w:hAnsi="Leelawadee" w:cs="Leelawadee"/>
          <w:b/>
          <w:bCs/>
          <w:sz w:val="22"/>
          <w:szCs w:val="22"/>
          <w:lang w:val="es-419"/>
        </w:rPr>
        <w:t>Consejo Indígena Maya Chortí de la Comunidad de Azacualpa,</w:t>
      </w:r>
      <w:r w:rsidR="00E2092E">
        <w:rPr>
          <w:rFonts w:ascii="Leelawadee" w:hAnsi="Leelawadee" w:cs="Leelawadee"/>
          <w:sz w:val="22"/>
          <w:szCs w:val="22"/>
          <w:lang w:val="es-419"/>
        </w:rPr>
        <w:t xml:space="preserve"> gobierno indígena Maya Chortí.  </w:t>
      </w:r>
      <w:r w:rsidR="00E2092E">
        <w:rPr>
          <w:rFonts w:ascii="Leelawadee" w:hAnsi="Leelawadee" w:cs="Leelawadee"/>
          <w:b/>
          <w:bCs/>
          <w:sz w:val="22"/>
          <w:szCs w:val="22"/>
          <w:lang w:val="es-419"/>
        </w:rPr>
        <w:t xml:space="preserve"> </w:t>
      </w:r>
      <w:r w:rsidR="00E2092E">
        <w:rPr>
          <w:rFonts w:ascii="Leelawadee" w:hAnsi="Leelawadee" w:cs="Leelawadee"/>
          <w:sz w:val="22"/>
          <w:szCs w:val="22"/>
          <w:lang w:val="es-419"/>
        </w:rPr>
        <w:t xml:space="preserve"> </w:t>
      </w:r>
    </w:p>
    <w:p w14:paraId="42B6EC61" w14:textId="687FCAF3" w:rsidR="00D41B41" w:rsidRPr="00E2092E" w:rsidRDefault="009F2540" w:rsidP="00E2092E">
      <w:pPr>
        <w:spacing w:after="120" w:line="276" w:lineRule="auto"/>
        <w:jc w:val="both"/>
        <w:rPr>
          <w:rFonts w:ascii="Leelawadee" w:hAnsi="Leelawadee" w:cs="Leelawadee"/>
          <w:sz w:val="22"/>
          <w:szCs w:val="22"/>
          <w:lang w:val="es-419"/>
        </w:rPr>
      </w:pPr>
      <w:r w:rsidRPr="00E2092E">
        <w:rPr>
          <w:rFonts w:ascii="Leelawadee" w:hAnsi="Leelawadee" w:cs="Leelawadee"/>
          <w:sz w:val="22"/>
          <w:szCs w:val="22"/>
          <w:lang w:val="es-419"/>
        </w:rPr>
        <w:t>2. El informe cubre el período comprendido entre la adopción de las observaciones finales sobre los informes periódicos 6.º a 8.º combinados de Honduras</w:t>
      </w:r>
      <w:r w:rsidRPr="00E2092E">
        <w:rPr>
          <w:rStyle w:val="Refdenotaalpie"/>
          <w:rFonts w:ascii="Leelawadee" w:hAnsi="Leelawadee" w:cs="Leelawadee"/>
          <w:sz w:val="22"/>
          <w:szCs w:val="22"/>
        </w:rPr>
        <w:footnoteReference w:id="1"/>
      </w:r>
      <w:r w:rsidRPr="00E2092E">
        <w:rPr>
          <w:rFonts w:ascii="Leelawadee" w:hAnsi="Leelawadee" w:cs="Leelawadee"/>
          <w:sz w:val="22"/>
          <w:szCs w:val="22"/>
          <w:lang w:val="es-419"/>
        </w:rPr>
        <w:t xml:space="preserve"> y la fecha límite para la presentación de información escrita ante el Comité (2019-2026), y se articula con la lista de temas aprobada por el Relator para el país</w:t>
      </w:r>
      <w:r w:rsidRPr="00E2092E">
        <w:rPr>
          <w:rStyle w:val="Refdenotaalpie"/>
          <w:rFonts w:ascii="Leelawadee" w:hAnsi="Leelawadee" w:cs="Leelawadee"/>
          <w:sz w:val="22"/>
          <w:szCs w:val="22"/>
        </w:rPr>
        <w:footnoteReference w:id="2"/>
      </w:r>
      <w:r w:rsidRPr="00E2092E">
        <w:rPr>
          <w:rFonts w:ascii="Leelawadee" w:hAnsi="Leelawadee" w:cs="Leelawadee"/>
          <w:sz w:val="22"/>
          <w:szCs w:val="22"/>
          <w:lang w:val="es-419"/>
        </w:rPr>
        <w:t xml:space="preserve">. Su objeto es aportar al Comité información derivada del litigio </w:t>
      </w:r>
      <w:r w:rsidRPr="00E2092E">
        <w:rPr>
          <w:rFonts w:ascii="Leelawadee" w:hAnsi="Leelawadee" w:cs="Leelawadee"/>
          <w:sz w:val="22"/>
          <w:szCs w:val="22"/>
          <w:lang w:val="es-419"/>
        </w:rPr>
        <w:lastRenderedPageBreak/>
        <w:t>nacional e internacional, de resoluciones judiciales y administrativas y de la documentación de campo de las organizaciones presentantes</w:t>
      </w:r>
      <w:r w:rsidR="00E2092E">
        <w:rPr>
          <w:rFonts w:ascii="Leelawadee" w:hAnsi="Leelawadee" w:cs="Leelawadee"/>
          <w:sz w:val="22"/>
          <w:szCs w:val="22"/>
          <w:lang w:val="es-419"/>
        </w:rPr>
        <w:t>,</w:t>
      </w:r>
      <w:r w:rsidRPr="00E2092E">
        <w:rPr>
          <w:rFonts w:ascii="Leelawadee" w:hAnsi="Leelawadee" w:cs="Leelawadee"/>
          <w:sz w:val="22"/>
          <w:szCs w:val="22"/>
          <w:lang w:val="es-419"/>
        </w:rPr>
        <w:t xml:space="preserve"> sobre la situación de cuatro pueblos indígenas: el </w:t>
      </w:r>
      <w:r w:rsidRPr="00E2092E">
        <w:rPr>
          <w:rFonts w:ascii="Leelawadee" w:hAnsi="Leelawadee" w:cs="Leelawadee"/>
          <w:b/>
          <w:bCs/>
          <w:sz w:val="22"/>
          <w:szCs w:val="22"/>
          <w:lang w:val="es-419"/>
        </w:rPr>
        <w:t>Pueblo Tolupán</w:t>
      </w:r>
      <w:r w:rsidRPr="00E2092E">
        <w:rPr>
          <w:rFonts w:ascii="Leelawadee" w:hAnsi="Leelawadee" w:cs="Leelawadee"/>
          <w:sz w:val="22"/>
          <w:szCs w:val="22"/>
          <w:lang w:val="es-419"/>
        </w:rPr>
        <w:t xml:space="preserve"> (Tribu San Francisco de </w:t>
      </w:r>
      <w:proofErr w:type="spellStart"/>
      <w:r w:rsidRPr="00E2092E">
        <w:rPr>
          <w:rFonts w:ascii="Leelawadee" w:hAnsi="Leelawadee" w:cs="Leelawadee"/>
          <w:sz w:val="22"/>
          <w:szCs w:val="22"/>
          <w:lang w:val="es-419"/>
        </w:rPr>
        <w:t>Locomapa</w:t>
      </w:r>
      <w:proofErr w:type="spellEnd"/>
      <w:r w:rsidRPr="00E2092E">
        <w:rPr>
          <w:rFonts w:ascii="Leelawadee" w:hAnsi="Leelawadee" w:cs="Leelawadee"/>
          <w:sz w:val="22"/>
          <w:szCs w:val="22"/>
          <w:lang w:val="es-419"/>
        </w:rPr>
        <w:t xml:space="preserve">, Yoro), el </w:t>
      </w:r>
      <w:r w:rsidRPr="00E2092E">
        <w:rPr>
          <w:rFonts w:ascii="Leelawadee" w:hAnsi="Leelawadee" w:cs="Leelawadee"/>
          <w:b/>
          <w:bCs/>
          <w:sz w:val="22"/>
          <w:szCs w:val="22"/>
          <w:lang w:val="es-419"/>
        </w:rPr>
        <w:t>Pueblo Maya Chortí</w:t>
      </w:r>
      <w:r w:rsidRPr="00E2092E">
        <w:rPr>
          <w:rFonts w:ascii="Leelawadee" w:hAnsi="Leelawadee" w:cs="Leelawadee"/>
          <w:sz w:val="22"/>
          <w:szCs w:val="22"/>
          <w:lang w:val="es-419"/>
        </w:rPr>
        <w:t xml:space="preserve"> (comunidad de Azacualpa, La Unión, Copán), el </w:t>
      </w:r>
      <w:r w:rsidRPr="00E2092E">
        <w:rPr>
          <w:rFonts w:ascii="Leelawadee" w:hAnsi="Leelawadee" w:cs="Leelawadee"/>
          <w:b/>
          <w:bCs/>
          <w:sz w:val="22"/>
          <w:szCs w:val="22"/>
          <w:lang w:val="es-419"/>
        </w:rPr>
        <w:t>Pueblo Misquito</w:t>
      </w:r>
      <w:r w:rsidRPr="00E2092E">
        <w:rPr>
          <w:rFonts w:ascii="Leelawadee" w:hAnsi="Leelawadee" w:cs="Leelawadee"/>
          <w:sz w:val="22"/>
          <w:szCs w:val="22"/>
          <w:lang w:val="es-419"/>
        </w:rPr>
        <w:t xml:space="preserve"> (comunidad de </w:t>
      </w:r>
      <w:proofErr w:type="spellStart"/>
      <w:r w:rsidRPr="00E2092E">
        <w:rPr>
          <w:rFonts w:ascii="Leelawadee" w:hAnsi="Leelawadee" w:cs="Leelawadee"/>
          <w:sz w:val="22"/>
          <w:szCs w:val="22"/>
          <w:lang w:val="es-419"/>
        </w:rPr>
        <w:t>Ibans</w:t>
      </w:r>
      <w:proofErr w:type="spellEnd"/>
      <w:r w:rsidRPr="00E2092E">
        <w:rPr>
          <w:rFonts w:ascii="Leelawadee" w:hAnsi="Leelawadee" w:cs="Leelawadee"/>
          <w:sz w:val="22"/>
          <w:szCs w:val="22"/>
          <w:lang w:val="es-419"/>
        </w:rPr>
        <w:t xml:space="preserve">, Gracias a Dios) y el </w:t>
      </w:r>
      <w:r w:rsidRPr="00E2092E">
        <w:rPr>
          <w:rFonts w:ascii="Leelawadee" w:hAnsi="Leelawadee" w:cs="Leelawadee"/>
          <w:b/>
          <w:bCs/>
          <w:sz w:val="22"/>
          <w:szCs w:val="22"/>
          <w:lang w:val="es-419"/>
        </w:rPr>
        <w:t>Pueblo Lenca</w:t>
      </w:r>
      <w:r w:rsidR="00E2092E">
        <w:rPr>
          <w:rFonts w:ascii="Leelawadee" w:hAnsi="Leelawadee" w:cs="Leelawadee"/>
          <w:b/>
          <w:bCs/>
          <w:sz w:val="22"/>
          <w:szCs w:val="22"/>
          <w:lang w:val="es-419"/>
        </w:rPr>
        <w:t xml:space="preserve"> (Siguatepeque, Comayagua y La Esperanza, Intibucá)</w:t>
      </w:r>
      <w:r w:rsidRPr="00E2092E">
        <w:rPr>
          <w:rFonts w:ascii="Leelawadee" w:hAnsi="Leelawadee" w:cs="Leelawadee"/>
          <w:sz w:val="22"/>
          <w:szCs w:val="22"/>
          <w:lang w:val="es-419"/>
        </w:rPr>
        <w:t xml:space="preserve">. Cada capítulo expone los hechos y, </w:t>
      </w:r>
      <w:r w:rsidR="00E2092E">
        <w:rPr>
          <w:rFonts w:ascii="Leelawadee" w:hAnsi="Leelawadee" w:cs="Leelawadee"/>
          <w:sz w:val="22"/>
          <w:szCs w:val="22"/>
          <w:lang w:val="es-419"/>
        </w:rPr>
        <w:t xml:space="preserve">el abordaje jurídico </w:t>
      </w:r>
      <w:r w:rsidRPr="00E2092E">
        <w:rPr>
          <w:rFonts w:ascii="Leelawadee" w:hAnsi="Leelawadee" w:cs="Leelawadee"/>
          <w:sz w:val="22"/>
          <w:szCs w:val="22"/>
          <w:lang w:val="es-419"/>
        </w:rPr>
        <w:t>de la violación, es decir, la identificación precisa de los derechos y de los estándares internacionales infringidos.</w:t>
      </w:r>
    </w:p>
    <w:p w14:paraId="7E97255E" w14:textId="77777777" w:rsidR="00D41B41" w:rsidRPr="00E2092E" w:rsidRDefault="009F2540" w:rsidP="00E2092E">
      <w:pPr>
        <w:spacing w:after="120" w:line="276" w:lineRule="auto"/>
        <w:jc w:val="both"/>
        <w:rPr>
          <w:rFonts w:ascii="Leelawadee" w:hAnsi="Leelawadee" w:cs="Leelawadee"/>
          <w:sz w:val="22"/>
          <w:szCs w:val="22"/>
          <w:lang w:val="es-419"/>
        </w:rPr>
      </w:pPr>
      <w:r w:rsidRPr="00E2092E">
        <w:rPr>
          <w:rFonts w:ascii="Leelawadee" w:hAnsi="Leelawadee" w:cs="Leelawadee"/>
          <w:sz w:val="22"/>
          <w:szCs w:val="22"/>
          <w:lang w:val="es-419"/>
        </w:rPr>
        <w:t xml:space="preserve">3. La presentación es de </w:t>
      </w:r>
      <w:r w:rsidRPr="00E2092E">
        <w:rPr>
          <w:rFonts w:ascii="Leelawadee" w:hAnsi="Leelawadee" w:cs="Leelawadee"/>
          <w:b/>
          <w:bCs/>
          <w:sz w:val="22"/>
          <w:szCs w:val="22"/>
          <w:lang w:val="es-419"/>
        </w:rPr>
        <w:t>carácter público</w:t>
      </w:r>
      <w:r w:rsidRPr="00E2092E">
        <w:rPr>
          <w:rFonts w:ascii="Leelawadee" w:hAnsi="Leelawadee" w:cs="Leelawadee"/>
          <w:sz w:val="22"/>
          <w:szCs w:val="22"/>
          <w:lang w:val="es-419"/>
        </w:rPr>
        <w:t xml:space="preserve">. En cumplimiento de las directrices del Comité, se han anonimizado los nombres de víctimas, testigos y personas agresoras cuya identidad no consta en actuaciones judiciales públicas ni en pronunciamientos oficiales de órganos nacionales o internacionales. Se mantienen, en cambio, los nombres de las personas fallecidas y procesadas que figuran en expedientes judiciales y en resoluciones de órganos internacionales de protección, así como los nombres de las empresas y de las funcionarias y funcionarios públicos concernidos, los cuales no son objeto de </w:t>
      </w:r>
      <w:proofErr w:type="spellStart"/>
      <w:r w:rsidRPr="00E2092E">
        <w:rPr>
          <w:rFonts w:ascii="Leelawadee" w:hAnsi="Leelawadee" w:cs="Leelawadee"/>
          <w:sz w:val="22"/>
          <w:szCs w:val="22"/>
          <w:lang w:val="es-419"/>
        </w:rPr>
        <w:t>anonimización</w:t>
      </w:r>
      <w:proofErr w:type="spellEnd"/>
      <w:r w:rsidRPr="00E2092E">
        <w:rPr>
          <w:rFonts w:ascii="Leelawadee" w:hAnsi="Leelawadee" w:cs="Leelawadee"/>
          <w:sz w:val="22"/>
          <w:szCs w:val="22"/>
          <w:lang w:val="es-419"/>
        </w:rPr>
        <w:t>.</w:t>
      </w:r>
    </w:p>
    <w:p w14:paraId="07818914" w14:textId="77777777" w:rsidR="00D41B41" w:rsidRPr="00E2092E" w:rsidRDefault="009F2540" w:rsidP="00E2092E">
      <w:pPr>
        <w:pStyle w:val="Ttulo1"/>
        <w:spacing w:before="240" w:after="160" w:line="276" w:lineRule="auto"/>
        <w:rPr>
          <w:rFonts w:ascii="Leelawadee" w:hAnsi="Leelawadee" w:cs="Leelawadee"/>
          <w:sz w:val="22"/>
          <w:szCs w:val="22"/>
          <w:lang w:val="es-419"/>
        </w:rPr>
      </w:pPr>
      <w:r w:rsidRPr="00E2092E">
        <w:rPr>
          <w:rFonts w:ascii="Leelawadee" w:hAnsi="Leelawadee" w:cs="Leelawadee"/>
          <w:b/>
          <w:bCs/>
          <w:caps/>
          <w:color w:val="000000"/>
          <w:sz w:val="22"/>
          <w:szCs w:val="22"/>
          <w:lang w:val="es-419"/>
        </w:rPr>
        <w:t>II. Resumen: principales infracciones a la Convención y patrones identificados</w:t>
      </w:r>
    </w:p>
    <w:p w14:paraId="0F74768C" w14:textId="62BA641C" w:rsidR="00D41B41" w:rsidRPr="00E2092E" w:rsidRDefault="009F2540" w:rsidP="00E2092E">
      <w:pPr>
        <w:spacing w:after="120" w:line="276" w:lineRule="auto"/>
        <w:jc w:val="both"/>
        <w:rPr>
          <w:rFonts w:ascii="Leelawadee" w:hAnsi="Leelawadee" w:cs="Leelawadee"/>
          <w:sz w:val="22"/>
          <w:szCs w:val="22"/>
          <w:lang w:val="es-419"/>
        </w:rPr>
      </w:pPr>
      <w:r w:rsidRPr="00E2092E">
        <w:rPr>
          <w:rFonts w:ascii="Leelawadee" w:hAnsi="Leelawadee" w:cs="Leelawadee"/>
          <w:sz w:val="22"/>
          <w:szCs w:val="22"/>
          <w:lang w:val="es-419"/>
        </w:rPr>
        <w:t>4. Los casos documentados en este informe evidencian, para el período examinado, las siguientes infracciones a la Convención Internacional sobre la Eliminación de Todas las Formas de Discriminación Racial (en adelante</w:t>
      </w:r>
      <w:r w:rsidR="00175C49">
        <w:rPr>
          <w:rFonts w:ascii="Leelawadee" w:hAnsi="Leelawadee" w:cs="Leelawadee"/>
          <w:sz w:val="22"/>
          <w:szCs w:val="22"/>
          <w:lang w:val="es-419"/>
        </w:rPr>
        <w:t xml:space="preserve"> </w:t>
      </w:r>
      <w:r w:rsidRPr="00E2092E">
        <w:rPr>
          <w:rFonts w:ascii="Leelawadee" w:hAnsi="Leelawadee" w:cs="Leelawadee"/>
          <w:sz w:val="22"/>
          <w:szCs w:val="22"/>
          <w:lang w:val="es-419"/>
        </w:rPr>
        <w:t>la Convención):</w:t>
      </w:r>
    </w:p>
    <w:p w14:paraId="01F487C5" w14:textId="7C09840D" w:rsidR="00D41B41" w:rsidRPr="00E2092E" w:rsidRDefault="009F2540" w:rsidP="000174FD">
      <w:pPr>
        <w:spacing w:after="120" w:line="276" w:lineRule="auto"/>
        <w:ind w:left="284"/>
        <w:jc w:val="both"/>
        <w:rPr>
          <w:rFonts w:ascii="Leelawadee" w:hAnsi="Leelawadee" w:cs="Leelawadee"/>
          <w:sz w:val="22"/>
          <w:szCs w:val="22"/>
          <w:lang w:val="es-419"/>
        </w:rPr>
      </w:pPr>
      <w:r w:rsidRPr="00E2092E">
        <w:rPr>
          <w:rFonts w:ascii="Leelawadee" w:hAnsi="Leelawadee" w:cs="Leelawadee"/>
          <w:b/>
          <w:bCs/>
          <w:sz w:val="22"/>
          <w:szCs w:val="22"/>
          <w:lang w:val="es-419"/>
        </w:rPr>
        <w:t>a) Negación de la condición indígena como estrategia de neutralización de derechos (</w:t>
      </w:r>
      <w:r w:rsidR="00175C49">
        <w:rPr>
          <w:rFonts w:ascii="Leelawadee" w:hAnsi="Leelawadee" w:cs="Leelawadee"/>
          <w:b/>
          <w:bCs/>
          <w:sz w:val="22"/>
          <w:szCs w:val="22"/>
          <w:lang w:val="es-419"/>
        </w:rPr>
        <w:t>artículos</w:t>
      </w:r>
      <w:r w:rsidRPr="00E2092E">
        <w:rPr>
          <w:rFonts w:ascii="Leelawadee" w:hAnsi="Leelawadee" w:cs="Leelawadee"/>
          <w:b/>
          <w:bCs/>
          <w:sz w:val="22"/>
          <w:szCs w:val="22"/>
          <w:lang w:val="es-419"/>
        </w:rPr>
        <w:t xml:space="preserve"> 1, 2 y 5). </w:t>
      </w:r>
      <w:r w:rsidRPr="00E2092E">
        <w:rPr>
          <w:rFonts w:ascii="Leelawadee" w:hAnsi="Leelawadee" w:cs="Leelawadee"/>
          <w:sz w:val="22"/>
          <w:szCs w:val="22"/>
          <w:lang w:val="es-419"/>
        </w:rPr>
        <w:t>Instituciones del Estado —el Ministerio Público, el Instituto Nacional Agrario (INA), el Poder Judicial y el Instituto Hondureño de Geología y Minas (INHGEOMIN)— niegan o condicionan el reconocimiento de la condición indígena de comunidades Maya Chortí y Lenca a requisitos registrales ajenos al criterio de autoidentificación</w:t>
      </w:r>
      <w:r w:rsidRPr="00E2092E">
        <w:rPr>
          <w:rStyle w:val="Refdenotaalpie"/>
          <w:rFonts w:ascii="Leelawadee" w:hAnsi="Leelawadee" w:cs="Leelawadee"/>
          <w:sz w:val="22"/>
          <w:szCs w:val="22"/>
        </w:rPr>
        <w:footnoteReference w:id="3"/>
      </w:r>
      <w:r w:rsidRPr="00E2092E">
        <w:rPr>
          <w:rFonts w:ascii="Leelawadee" w:hAnsi="Leelawadee" w:cs="Leelawadee"/>
          <w:sz w:val="22"/>
          <w:szCs w:val="22"/>
          <w:lang w:val="es-419"/>
        </w:rPr>
        <w:t xml:space="preserve">, con el efecto —y en ocasiones el propósito— de </w:t>
      </w:r>
      <w:r w:rsidR="00175C49">
        <w:rPr>
          <w:rFonts w:ascii="Leelawadee" w:hAnsi="Leelawadee" w:cs="Leelawadee"/>
          <w:sz w:val="22"/>
          <w:szCs w:val="22"/>
          <w:lang w:val="es-419"/>
        </w:rPr>
        <w:t>obstaculizar y detener</w:t>
      </w:r>
      <w:r w:rsidRPr="00E2092E">
        <w:rPr>
          <w:rFonts w:ascii="Leelawadee" w:hAnsi="Leelawadee" w:cs="Leelawadee"/>
          <w:sz w:val="22"/>
          <w:szCs w:val="22"/>
          <w:lang w:val="es-419"/>
        </w:rPr>
        <w:t xml:space="preserve"> sus reivindicaciones territoriales frente a proyectos extractivos, incluso en contradicción con sentencias constitucionales y dictámenes oficiales que acreditan esa condición.</w:t>
      </w:r>
    </w:p>
    <w:p w14:paraId="1D0938CE" w14:textId="69397A8E" w:rsidR="00D41B41" w:rsidRPr="00E2092E" w:rsidRDefault="009F2540" w:rsidP="000174FD">
      <w:pPr>
        <w:spacing w:after="120" w:line="276" w:lineRule="auto"/>
        <w:ind w:left="284"/>
        <w:jc w:val="both"/>
        <w:rPr>
          <w:rFonts w:ascii="Leelawadee" w:hAnsi="Leelawadee" w:cs="Leelawadee"/>
          <w:sz w:val="22"/>
          <w:szCs w:val="22"/>
          <w:lang w:val="es-419"/>
        </w:rPr>
      </w:pPr>
      <w:r w:rsidRPr="00E2092E">
        <w:rPr>
          <w:rFonts w:ascii="Leelawadee" w:hAnsi="Leelawadee" w:cs="Leelawadee"/>
          <w:b/>
          <w:bCs/>
          <w:sz w:val="22"/>
          <w:szCs w:val="22"/>
          <w:lang w:val="es-419"/>
        </w:rPr>
        <w:t>b) Violación del derecho a la vida e impunidad estructural (</w:t>
      </w:r>
      <w:r w:rsidR="00175C49">
        <w:rPr>
          <w:rFonts w:ascii="Leelawadee" w:hAnsi="Leelawadee" w:cs="Leelawadee"/>
          <w:b/>
          <w:bCs/>
          <w:sz w:val="22"/>
          <w:szCs w:val="22"/>
          <w:lang w:val="es-419"/>
        </w:rPr>
        <w:t>artículos</w:t>
      </w:r>
      <w:r w:rsidRPr="00E2092E">
        <w:rPr>
          <w:rFonts w:ascii="Leelawadee" w:hAnsi="Leelawadee" w:cs="Leelawadee"/>
          <w:b/>
          <w:bCs/>
          <w:sz w:val="22"/>
          <w:szCs w:val="22"/>
          <w:lang w:val="es-419"/>
        </w:rPr>
        <w:t xml:space="preserve"> 5</w:t>
      </w:r>
      <w:r w:rsidR="00175C49">
        <w:rPr>
          <w:rFonts w:ascii="Leelawadee" w:hAnsi="Leelawadee" w:cs="Leelawadee"/>
          <w:b/>
          <w:bCs/>
          <w:sz w:val="22"/>
          <w:szCs w:val="22"/>
          <w:lang w:val="es-419"/>
        </w:rPr>
        <w:t xml:space="preserve"> inciso </w:t>
      </w:r>
      <w:r w:rsidRPr="00E2092E">
        <w:rPr>
          <w:rFonts w:ascii="Leelawadee" w:hAnsi="Leelawadee" w:cs="Leelawadee"/>
          <w:b/>
          <w:bCs/>
          <w:sz w:val="22"/>
          <w:szCs w:val="22"/>
          <w:lang w:val="es-419"/>
        </w:rPr>
        <w:t xml:space="preserve">b y 6). </w:t>
      </w:r>
      <w:r w:rsidRPr="00E2092E">
        <w:rPr>
          <w:rFonts w:ascii="Leelawadee" w:hAnsi="Leelawadee" w:cs="Leelawadee"/>
          <w:sz w:val="22"/>
          <w:szCs w:val="22"/>
          <w:lang w:val="es-419"/>
        </w:rPr>
        <w:t xml:space="preserve">Asesinatos de los defensores tolupanes José Salomón Matute, Juan Samael Matute y </w:t>
      </w:r>
      <w:proofErr w:type="spellStart"/>
      <w:r w:rsidRPr="00E2092E">
        <w:rPr>
          <w:rFonts w:ascii="Leelawadee" w:hAnsi="Leelawadee" w:cs="Leelawadee"/>
          <w:sz w:val="22"/>
          <w:szCs w:val="22"/>
          <w:lang w:val="es-419"/>
        </w:rPr>
        <w:t>Milgen</w:t>
      </w:r>
      <w:proofErr w:type="spellEnd"/>
      <w:r w:rsidRPr="00E2092E">
        <w:rPr>
          <w:rFonts w:ascii="Leelawadee" w:hAnsi="Leelawadee" w:cs="Leelawadee"/>
          <w:sz w:val="22"/>
          <w:szCs w:val="22"/>
          <w:lang w:val="es-419"/>
        </w:rPr>
        <w:t xml:space="preserve"> </w:t>
      </w:r>
      <w:proofErr w:type="spellStart"/>
      <w:r w:rsidRPr="00E2092E">
        <w:rPr>
          <w:rFonts w:ascii="Leelawadee" w:hAnsi="Leelawadee" w:cs="Leelawadee"/>
          <w:sz w:val="22"/>
          <w:szCs w:val="22"/>
          <w:lang w:val="es-419"/>
        </w:rPr>
        <w:t>Idán</w:t>
      </w:r>
      <w:proofErr w:type="spellEnd"/>
      <w:r w:rsidRPr="00E2092E">
        <w:rPr>
          <w:rFonts w:ascii="Leelawadee" w:hAnsi="Leelawadee" w:cs="Leelawadee"/>
          <w:sz w:val="22"/>
          <w:szCs w:val="22"/>
          <w:lang w:val="es-419"/>
        </w:rPr>
        <w:t xml:space="preserve"> Soto Ávila (2019), sin sentencia firme a julio de 2026 y con órdenes de captura sin ejecutar</w:t>
      </w:r>
      <w:r w:rsidR="00175C49">
        <w:rPr>
          <w:rFonts w:ascii="Leelawadee" w:hAnsi="Leelawadee" w:cs="Leelawadee"/>
          <w:sz w:val="22"/>
          <w:szCs w:val="22"/>
          <w:lang w:val="es-419"/>
        </w:rPr>
        <w:t>.</w:t>
      </w:r>
      <w:r w:rsidRPr="00E2092E">
        <w:rPr>
          <w:rFonts w:ascii="Leelawadee" w:hAnsi="Leelawadee" w:cs="Leelawadee"/>
          <w:sz w:val="22"/>
          <w:szCs w:val="22"/>
          <w:lang w:val="es-419"/>
        </w:rPr>
        <w:t xml:space="preserve"> </w:t>
      </w:r>
      <w:r w:rsidR="00175C49">
        <w:rPr>
          <w:rFonts w:ascii="Leelawadee" w:hAnsi="Leelawadee" w:cs="Leelawadee"/>
          <w:sz w:val="22"/>
          <w:szCs w:val="22"/>
          <w:lang w:val="es-419"/>
        </w:rPr>
        <w:t>E</w:t>
      </w:r>
      <w:r w:rsidRPr="00E2092E">
        <w:rPr>
          <w:rFonts w:ascii="Leelawadee" w:hAnsi="Leelawadee" w:cs="Leelawadee"/>
          <w:sz w:val="22"/>
          <w:szCs w:val="22"/>
          <w:lang w:val="es-419"/>
        </w:rPr>
        <w:t xml:space="preserve">jecución de un pescador misquito y muertes conexas en la comunidad de </w:t>
      </w:r>
      <w:proofErr w:type="spellStart"/>
      <w:r w:rsidRPr="00E2092E">
        <w:rPr>
          <w:rFonts w:ascii="Leelawadee" w:hAnsi="Leelawadee" w:cs="Leelawadee"/>
          <w:sz w:val="22"/>
          <w:szCs w:val="22"/>
          <w:lang w:val="es-419"/>
        </w:rPr>
        <w:t>Ibans</w:t>
      </w:r>
      <w:proofErr w:type="spellEnd"/>
      <w:r w:rsidRPr="00E2092E">
        <w:rPr>
          <w:rFonts w:ascii="Leelawadee" w:hAnsi="Leelawadee" w:cs="Leelawadee"/>
          <w:sz w:val="22"/>
          <w:szCs w:val="22"/>
          <w:lang w:val="es-419"/>
        </w:rPr>
        <w:t xml:space="preserve"> (2021)</w:t>
      </w:r>
      <w:r w:rsidR="00175C49">
        <w:rPr>
          <w:rFonts w:ascii="Leelawadee" w:hAnsi="Leelawadee" w:cs="Leelawadee"/>
          <w:sz w:val="22"/>
          <w:szCs w:val="22"/>
          <w:lang w:val="es-419"/>
        </w:rPr>
        <w:t xml:space="preserve"> por parte de las Fuerzas Armadas,</w:t>
      </w:r>
      <w:r w:rsidRPr="00E2092E">
        <w:rPr>
          <w:rFonts w:ascii="Leelawadee" w:hAnsi="Leelawadee" w:cs="Leelawadee"/>
          <w:sz w:val="22"/>
          <w:szCs w:val="22"/>
          <w:lang w:val="es-419"/>
        </w:rPr>
        <w:t xml:space="preserve"> sin que exista, casi cinco años después, </w:t>
      </w:r>
      <w:r w:rsidR="00175C49">
        <w:rPr>
          <w:rFonts w:ascii="Leelawadee" w:hAnsi="Leelawadee" w:cs="Leelawadee"/>
          <w:sz w:val="22"/>
          <w:szCs w:val="22"/>
          <w:lang w:val="es-419"/>
        </w:rPr>
        <w:t>diligencia debida en la investigación y por supuesto, sin acusación en contra de los responsables</w:t>
      </w:r>
      <w:r w:rsidRPr="00E2092E">
        <w:rPr>
          <w:rFonts w:ascii="Leelawadee" w:hAnsi="Leelawadee" w:cs="Leelawadee"/>
          <w:sz w:val="22"/>
          <w:szCs w:val="22"/>
          <w:lang w:val="es-419"/>
        </w:rPr>
        <w:t>.</w:t>
      </w:r>
    </w:p>
    <w:p w14:paraId="05D4FF13" w14:textId="7672CDF0" w:rsidR="00D41B41" w:rsidRPr="00E2092E" w:rsidRDefault="009F2540" w:rsidP="000174FD">
      <w:pPr>
        <w:spacing w:after="120" w:line="276" w:lineRule="auto"/>
        <w:ind w:left="284"/>
        <w:jc w:val="both"/>
        <w:rPr>
          <w:rFonts w:ascii="Leelawadee" w:hAnsi="Leelawadee" w:cs="Leelawadee"/>
          <w:sz w:val="22"/>
          <w:szCs w:val="22"/>
          <w:lang w:val="es-419"/>
        </w:rPr>
      </w:pPr>
      <w:r w:rsidRPr="00E2092E">
        <w:rPr>
          <w:rFonts w:ascii="Leelawadee" w:hAnsi="Leelawadee" w:cs="Leelawadee"/>
          <w:b/>
          <w:bCs/>
          <w:sz w:val="22"/>
          <w:szCs w:val="22"/>
          <w:lang w:val="es-419"/>
        </w:rPr>
        <w:t xml:space="preserve">c) </w:t>
      </w:r>
      <w:r w:rsidR="00175C49">
        <w:rPr>
          <w:rFonts w:ascii="Leelawadee" w:hAnsi="Leelawadee" w:cs="Leelawadee"/>
          <w:b/>
          <w:bCs/>
          <w:sz w:val="22"/>
          <w:szCs w:val="22"/>
          <w:lang w:val="es-419"/>
        </w:rPr>
        <w:t>Falta</w:t>
      </w:r>
      <w:r w:rsidRPr="00E2092E">
        <w:rPr>
          <w:rFonts w:ascii="Leelawadee" w:hAnsi="Leelawadee" w:cs="Leelawadee"/>
          <w:b/>
          <w:bCs/>
          <w:sz w:val="22"/>
          <w:szCs w:val="22"/>
          <w:lang w:val="es-419"/>
        </w:rPr>
        <w:t xml:space="preserve"> de consulta y consentimiento libre, previo e informado (</w:t>
      </w:r>
      <w:r w:rsidR="00175C49">
        <w:rPr>
          <w:rFonts w:ascii="Leelawadee" w:hAnsi="Leelawadee" w:cs="Leelawadee"/>
          <w:b/>
          <w:bCs/>
          <w:sz w:val="22"/>
          <w:szCs w:val="22"/>
          <w:lang w:val="es-419"/>
        </w:rPr>
        <w:t>artículos</w:t>
      </w:r>
      <w:r w:rsidRPr="00E2092E">
        <w:rPr>
          <w:rFonts w:ascii="Leelawadee" w:hAnsi="Leelawadee" w:cs="Leelawadee"/>
          <w:b/>
          <w:bCs/>
          <w:sz w:val="22"/>
          <w:szCs w:val="22"/>
          <w:lang w:val="es-419"/>
        </w:rPr>
        <w:t xml:space="preserve"> </w:t>
      </w:r>
      <w:r w:rsidRPr="00175C49">
        <w:rPr>
          <w:rFonts w:ascii="Leelawadee" w:hAnsi="Leelawadee" w:cs="Leelawadee"/>
          <w:b/>
          <w:bCs/>
          <w:sz w:val="22"/>
          <w:szCs w:val="22"/>
          <w:lang w:val="es-419"/>
        </w:rPr>
        <w:t>2 y 5</w:t>
      </w:r>
      <w:r w:rsidR="00175C49">
        <w:rPr>
          <w:rFonts w:ascii="Leelawadee" w:hAnsi="Leelawadee" w:cs="Leelawadee"/>
          <w:b/>
          <w:bCs/>
          <w:sz w:val="22"/>
          <w:szCs w:val="22"/>
          <w:lang w:val="es-419"/>
        </w:rPr>
        <w:t xml:space="preserve"> inciso d. v</w:t>
      </w:r>
      <w:r w:rsidRPr="00175C49">
        <w:rPr>
          <w:rFonts w:ascii="Leelawadee" w:hAnsi="Leelawadee" w:cs="Leelawadee"/>
          <w:b/>
          <w:bCs/>
          <w:sz w:val="22"/>
          <w:szCs w:val="22"/>
          <w:lang w:val="es-419"/>
        </w:rPr>
        <w:t xml:space="preserve">). </w:t>
      </w:r>
      <w:r w:rsidRPr="00E2092E">
        <w:rPr>
          <w:rFonts w:ascii="Leelawadee" w:hAnsi="Leelawadee" w:cs="Leelawadee"/>
          <w:sz w:val="22"/>
          <w:szCs w:val="22"/>
          <w:lang w:val="es-419"/>
        </w:rPr>
        <w:t>Aprovechamiento forestal y minero en el territorio tolupán sin consulta a la Tribu</w:t>
      </w:r>
      <w:r w:rsidR="00175C49">
        <w:rPr>
          <w:rFonts w:ascii="Leelawadee" w:hAnsi="Leelawadee" w:cs="Leelawadee"/>
          <w:sz w:val="22"/>
          <w:szCs w:val="22"/>
          <w:lang w:val="es-419"/>
        </w:rPr>
        <w:t xml:space="preserve">, mediando violencia y </w:t>
      </w:r>
      <w:r w:rsidR="00175C49" w:rsidRPr="00175C49">
        <w:rPr>
          <w:rFonts w:ascii="Leelawadee" w:hAnsi="Leelawadee" w:cs="Leelawadee"/>
          <w:sz w:val="22"/>
          <w:szCs w:val="22"/>
          <w:lang w:val="es-419"/>
        </w:rPr>
        <w:t>aquiescencia</w:t>
      </w:r>
      <w:r w:rsidR="00175C49">
        <w:rPr>
          <w:rFonts w:ascii="Leelawadee" w:hAnsi="Leelawadee" w:cs="Leelawadee"/>
          <w:sz w:val="22"/>
          <w:szCs w:val="22"/>
          <w:lang w:val="es-419"/>
        </w:rPr>
        <w:t xml:space="preserve"> por parte del Estado.</w:t>
      </w:r>
      <w:r w:rsidRPr="00E2092E">
        <w:rPr>
          <w:rFonts w:ascii="Leelawadee" w:hAnsi="Leelawadee" w:cs="Leelawadee"/>
          <w:sz w:val="22"/>
          <w:szCs w:val="22"/>
          <w:lang w:val="es-419"/>
        </w:rPr>
        <w:t xml:space="preserve"> </w:t>
      </w:r>
      <w:r w:rsidR="00175C49">
        <w:rPr>
          <w:rFonts w:ascii="Leelawadee" w:hAnsi="Leelawadee" w:cs="Leelawadee"/>
          <w:sz w:val="22"/>
          <w:szCs w:val="22"/>
          <w:lang w:val="es-419"/>
        </w:rPr>
        <w:t xml:space="preserve">Pretendida </w:t>
      </w:r>
      <w:r w:rsidRPr="00E2092E">
        <w:rPr>
          <w:rFonts w:ascii="Leelawadee" w:hAnsi="Leelawadee" w:cs="Leelawadee"/>
          <w:sz w:val="22"/>
          <w:szCs w:val="22"/>
          <w:lang w:val="es-419"/>
        </w:rPr>
        <w:t xml:space="preserve">prórroga por treinta años de la concesión minera San Andrés I, operada por la empresa Minerales de Occidente S.A. (MINOSA), </w:t>
      </w:r>
      <w:r w:rsidRPr="00E2092E">
        <w:rPr>
          <w:rFonts w:ascii="Leelawadee" w:hAnsi="Leelawadee" w:cs="Leelawadee"/>
          <w:sz w:val="22"/>
          <w:szCs w:val="22"/>
          <w:lang w:val="es-419"/>
        </w:rPr>
        <w:lastRenderedPageBreak/>
        <w:t>mediante la figura de la afirmativa ficta</w:t>
      </w:r>
      <w:r w:rsidR="00175C49">
        <w:rPr>
          <w:rFonts w:ascii="Leelawadee" w:hAnsi="Leelawadee" w:cs="Leelawadee"/>
          <w:sz w:val="22"/>
          <w:szCs w:val="22"/>
          <w:lang w:val="es-419"/>
        </w:rPr>
        <w:t xml:space="preserve">, </w:t>
      </w:r>
      <w:r w:rsidRPr="00E2092E">
        <w:rPr>
          <w:rFonts w:ascii="Leelawadee" w:hAnsi="Leelawadee" w:cs="Leelawadee"/>
          <w:sz w:val="22"/>
          <w:szCs w:val="22"/>
          <w:lang w:val="es-419"/>
        </w:rPr>
        <w:t>esto es, mediante el silencio de la propia administración, existiendo oposición comunitaria formalmente admitida y no resuelta</w:t>
      </w:r>
      <w:r w:rsidR="00175C49">
        <w:rPr>
          <w:rFonts w:ascii="Leelawadee" w:hAnsi="Leelawadee" w:cs="Leelawadee"/>
          <w:sz w:val="22"/>
          <w:szCs w:val="22"/>
          <w:lang w:val="es-419"/>
        </w:rPr>
        <w:t xml:space="preserve">, consecuentemente, operaciones mineras sin permiso vigente. </w:t>
      </w:r>
    </w:p>
    <w:p w14:paraId="574A23EA" w14:textId="094F6315" w:rsidR="00D41B41" w:rsidRPr="00E2092E" w:rsidRDefault="009F2540" w:rsidP="000174FD">
      <w:pPr>
        <w:spacing w:after="120" w:line="276" w:lineRule="auto"/>
        <w:ind w:left="284"/>
        <w:jc w:val="both"/>
        <w:rPr>
          <w:rFonts w:ascii="Leelawadee" w:hAnsi="Leelawadee" w:cs="Leelawadee"/>
          <w:sz w:val="22"/>
          <w:szCs w:val="22"/>
          <w:lang w:val="es-419"/>
        </w:rPr>
      </w:pPr>
      <w:r w:rsidRPr="00E2092E">
        <w:rPr>
          <w:rFonts w:ascii="Leelawadee" w:hAnsi="Leelawadee" w:cs="Leelawadee"/>
          <w:b/>
          <w:bCs/>
          <w:sz w:val="22"/>
          <w:szCs w:val="22"/>
          <w:lang w:val="es-419"/>
        </w:rPr>
        <w:t>d) Violación del territorio ancestral, invasiones toleradas y ausencia de restitución (</w:t>
      </w:r>
      <w:r w:rsidR="00175C49">
        <w:rPr>
          <w:rFonts w:ascii="Leelawadee" w:hAnsi="Leelawadee" w:cs="Leelawadee"/>
          <w:b/>
          <w:bCs/>
          <w:sz w:val="22"/>
          <w:szCs w:val="22"/>
          <w:lang w:val="es-419"/>
        </w:rPr>
        <w:t>artículos</w:t>
      </w:r>
      <w:r w:rsidRPr="00E2092E">
        <w:rPr>
          <w:rFonts w:ascii="Leelawadee" w:hAnsi="Leelawadee" w:cs="Leelawadee"/>
          <w:b/>
          <w:bCs/>
          <w:sz w:val="22"/>
          <w:szCs w:val="22"/>
          <w:lang w:val="es-419"/>
        </w:rPr>
        <w:t xml:space="preserve"> 5.d.v). </w:t>
      </w:r>
      <w:r w:rsidRPr="00E2092E">
        <w:rPr>
          <w:rFonts w:ascii="Leelawadee" w:hAnsi="Leelawadee" w:cs="Leelawadee"/>
          <w:sz w:val="22"/>
          <w:szCs w:val="22"/>
          <w:lang w:val="es-419"/>
        </w:rPr>
        <w:t xml:space="preserve">Reducción del título ancestral de la Tribu San Francisco de </w:t>
      </w:r>
      <w:proofErr w:type="spellStart"/>
      <w:r w:rsidRPr="00E2092E">
        <w:rPr>
          <w:rFonts w:ascii="Leelawadee" w:hAnsi="Leelawadee" w:cs="Leelawadee"/>
          <w:sz w:val="22"/>
          <w:szCs w:val="22"/>
          <w:lang w:val="es-419"/>
        </w:rPr>
        <w:t>Locomapa</w:t>
      </w:r>
      <w:proofErr w:type="spellEnd"/>
      <w:r w:rsidRPr="00E2092E">
        <w:rPr>
          <w:rFonts w:ascii="Leelawadee" w:hAnsi="Leelawadee" w:cs="Leelawadee"/>
          <w:sz w:val="22"/>
          <w:szCs w:val="22"/>
          <w:lang w:val="es-419"/>
        </w:rPr>
        <w:t xml:space="preserve"> mediante resoluciones del INA de 1999, cuya nulidad se reclama actualmente en vía administrativa; ocupaciones e invasiones de personas externas a la tribu toleradas por el Estado; avance de </w:t>
      </w:r>
      <w:r w:rsidR="00616429">
        <w:rPr>
          <w:rFonts w:ascii="Leelawadee" w:hAnsi="Leelawadee" w:cs="Leelawadee"/>
          <w:sz w:val="22"/>
          <w:szCs w:val="22"/>
          <w:lang w:val="es-419"/>
        </w:rPr>
        <w:t xml:space="preserve">las actividades </w:t>
      </w:r>
      <w:r w:rsidRPr="00E2092E">
        <w:rPr>
          <w:rFonts w:ascii="Leelawadee" w:hAnsi="Leelawadee" w:cs="Leelawadee"/>
          <w:sz w:val="22"/>
          <w:szCs w:val="22"/>
          <w:lang w:val="es-419"/>
        </w:rPr>
        <w:t>minera</w:t>
      </w:r>
      <w:r w:rsidR="00616429">
        <w:rPr>
          <w:rFonts w:ascii="Leelawadee" w:hAnsi="Leelawadee" w:cs="Leelawadee"/>
          <w:sz w:val="22"/>
          <w:szCs w:val="22"/>
          <w:lang w:val="es-419"/>
        </w:rPr>
        <w:t>s</w:t>
      </w:r>
      <w:r w:rsidRPr="00E2092E">
        <w:rPr>
          <w:rFonts w:ascii="Leelawadee" w:hAnsi="Leelawadee" w:cs="Leelawadee"/>
          <w:sz w:val="22"/>
          <w:szCs w:val="22"/>
          <w:lang w:val="es-419"/>
        </w:rPr>
        <w:t xml:space="preserve"> hacia el Cerro Los Hornillos, a escasos doscientos metros de la comunidad de Azacualpa, con riesgo de desplazamiento de toda la comunidad.</w:t>
      </w:r>
    </w:p>
    <w:p w14:paraId="5250A1B2" w14:textId="10BC5B3A" w:rsidR="00D41B41" w:rsidRPr="00E2092E" w:rsidRDefault="009F2540" w:rsidP="000174FD">
      <w:pPr>
        <w:spacing w:after="120" w:line="276" w:lineRule="auto"/>
        <w:ind w:left="284"/>
        <w:jc w:val="both"/>
        <w:rPr>
          <w:rFonts w:ascii="Leelawadee" w:hAnsi="Leelawadee" w:cs="Leelawadee"/>
          <w:sz w:val="22"/>
          <w:szCs w:val="22"/>
          <w:lang w:val="es-419"/>
        </w:rPr>
      </w:pPr>
      <w:r w:rsidRPr="00E2092E">
        <w:rPr>
          <w:rFonts w:ascii="Leelawadee" w:hAnsi="Leelawadee" w:cs="Leelawadee"/>
          <w:b/>
          <w:bCs/>
          <w:sz w:val="22"/>
          <w:szCs w:val="22"/>
          <w:lang w:val="es-419"/>
        </w:rPr>
        <w:t>e) Destrucción del patrimonio cultural e incumplimiento de sentencias (</w:t>
      </w:r>
      <w:r w:rsidR="00175C49">
        <w:rPr>
          <w:rFonts w:ascii="Leelawadee" w:hAnsi="Leelawadee" w:cs="Leelawadee"/>
          <w:b/>
          <w:bCs/>
          <w:sz w:val="22"/>
          <w:szCs w:val="22"/>
          <w:lang w:val="es-419"/>
        </w:rPr>
        <w:t>artículos</w:t>
      </w:r>
      <w:r w:rsidRPr="00E2092E">
        <w:rPr>
          <w:rFonts w:ascii="Leelawadee" w:hAnsi="Leelawadee" w:cs="Leelawadee"/>
          <w:b/>
          <w:bCs/>
          <w:sz w:val="22"/>
          <w:szCs w:val="22"/>
          <w:lang w:val="es-419"/>
        </w:rPr>
        <w:t xml:space="preserve"> 5</w:t>
      </w:r>
      <w:r w:rsidR="00175C49">
        <w:rPr>
          <w:rFonts w:ascii="Leelawadee" w:hAnsi="Leelawadee" w:cs="Leelawadee"/>
          <w:b/>
          <w:bCs/>
          <w:sz w:val="22"/>
          <w:szCs w:val="22"/>
          <w:lang w:val="es-419"/>
        </w:rPr>
        <w:t xml:space="preserve"> inciso </w:t>
      </w:r>
      <w:r w:rsidRPr="00E2092E">
        <w:rPr>
          <w:rFonts w:ascii="Leelawadee" w:hAnsi="Leelawadee" w:cs="Leelawadee"/>
          <w:b/>
          <w:bCs/>
          <w:sz w:val="22"/>
          <w:szCs w:val="22"/>
          <w:lang w:val="es-419"/>
        </w:rPr>
        <w:t>e.</w:t>
      </w:r>
      <w:r w:rsidR="00175C49">
        <w:rPr>
          <w:rFonts w:ascii="Leelawadee" w:hAnsi="Leelawadee" w:cs="Leelawadee"/>
          <w:b/>
          <w:bCs/>
          <w:sz w:val="22"/>
          <w:szCs w:val="22"/>
          <w:lang w:val="es-419"/>
        </w:rPr>
        <w:t xml:space="preserve"> </w:t>
      </w:r>
      <w:r w:rsidRPr="00E2092E">
        <w:rPr>
          <w:rFonts w:ascii="Leelawadee" w:hAnsi="Leelawadee" w:cs="Leelawadee"/>
          <w:b/>
          <w:bCs/>
          <w:sz w:val="22"/>
          <w:szCs w:val="22"/>
          <w:lang w:val="es-419"/>
        </w:rPr>
        <w:t xml:space="preserve">vi y 6). </w:t>
      </w:r>
      <w:r w:rsidRPr="00E2092E">
        <w:rPr>
          <w:rFonts w:ascii="Leelawadee" w:hAnsi="Leelawadee" w:cs="Leelawadee"/>
          <w:sz w:val="22"/>
          <w:szCs w:val="22"/>
          <w:lang w:val="es-419"/>
        </w:rPr>
        <w:t>Exhumación y destrucción del cementerio comunitario de Azacualpa por MINOSA y la Corporación Municipal de La Unión, en contravención de una sentencia de la Sala de lo Constitucional de la Corte Suprema de Justicia</w:t>
      </w:r>
      <w:r w:rsidR="00616429">
        <w:rPr>
          <w:rFonts w:ascii="Leelawadee" w:hAnsi="Leelawadee" w:cs="Leelawadee"/>
          <w:sz w:val="22"/>
          <w:szCs w:val="22"/>
          <w:lang w:val="es-419"/>
        </w:rPr>
        <w:t xml:space="preserve"> (SCO)</w:t>
      </w:r>
      <w:r w:rsidRPr="00E2092E">
        <w:rPr>
          <w:rFonts w:ascii="Leelawadee" w:hAnsi="Leelawadee" w:cs="Leelawadee"/>
          <w:sz w:val="22"/>
          <w:szCs w:val="22"/>
          <w:lang w:val="es-419"/>
        </w:rPr>
        <w:t xml:space="preserve">; incumplimiento de la sentencia de amparo </w:t>
      </w:r>
      <w:r w:rsidR="00616429">
        <w:rPr>
          <w:rFonts w:ascii="Leelawadee" w:hAnsi="Leelawadee" w:cs="Leelawadee"/>
          <w:sz w:val="22"/>
          <w:szCs w:val="22"/>
          <w:lang w:val="es-419"/>
        </w:rPr>
        <w:t xml:space="preserve">de la SCO </w:t>
      </w:r>
      <w:r w:rsidRPr="00E2092E">
        <w:rPr>
          <w:rFonts w:ascii="Leelawadee" w:hAnsi="Leelawadee" w:cs="Leelawadee"/>
          <w:sz w:val="22"/>
          <w:szCs w:val="22"/>
          <w:lang w:val="es-419"/>
        </w:rPr>
        <w:t xml:space="preserve">que ordena garantizar los derechos a la salud y a la alimentación de la </w:t>
      </w:r>
      <w:r w:rsidR="00616429">
        <w:rPr>
          <w:rFonts w:ascii="Leelawadee" w:hAnsi="Leelawadee" w:cs="Leelawadee"/>
          <w:sz w:val="22"/>
          <w:szCs w:val="22"/>
          <w:lang w:val="es-419"/>
        </w:rPr>
        <w:t>TSFL</w:t>
      </w:r>
      <w:r w:rsidRPr="00E2092E">
        <w:rPr>
          <w:rFonts w:ascii="Leelawadee" w:hAnsi="Leelawadee" w:cs="Leelawadee"/>
          <w:sz w:val="22"/>
          <w:szCs w:val="22"/>
          <w:lang w:val="es-419"/>
        </w:rPr>
        <w:t>.</w:t>
      </w:r>
    </w:p>
    <w:p w14:paraId="7B744C81" w14:textId="18A2D0AE" w:rsidR="00D41B41" w:rsidRPr="00841E8C" w:rsidRDefault="009F2540" w:rsidP="00841E8C">
      <w:pPr>
        <w:spacing w:after="120" w:line="276" w:lineRule="auto"/>
        <w:ind w:left="284"/>
        <w:jc w:val="both"/>
        <w:rPr>
          <w:rFonts w:ascii="Leelawadee" w:hAnsi="Leelawadee" w:cs="Leelawadee"/>
          <w:sz w:val="22"/>
          <w:szCs w:val="22"/>
          <w:lang w:val="es-419"/>
        </w:rPr>
      </w:pPr>
      <w:r w:rsidRPr="00E2092E">
        <w:rPr>
          <w:rFonts w:ascii="Leelawadee" w:hAnsi="Leelawadee" w:cs="Leelawadee"/>
          <w:b/>
          <w:bCs/>
          <w:sz w:val="22"/>
          <w:szCs w:val="22"/>
          <w:lang w:val="es-419"/>
        </w:rPr>
        <w:t>f) Criminalización de la reivindicación territorial indígena (</w:t>
      </w:r>
      <w:r w:rsidR="00175C49">
        <w:rPr>
          <w:rFonts w:ascii="Leelawadee" w:hAnsi="Leelawadee" w:cs="Leelawadee"/>
          <w:b/>
          <w:bCs/>
          <w:sz w:val="22"/>
          <w:szCs w:val="22"/>
          <w:lang w:val="es-419"/>
        </w:rPr>
        <w:t>artículos</w:t>
      </w:r>
      <w:r w:rsidRPr="00E2092E">
        <w:rPr>
          <w:rFonts w:ascii="Leelawadee" w:hAnsi="Leelawadee" w:cs="Leelawadee"/>
          <w:b/>
          <w:bCs/>
          <w:sz w:val="22"/>
          <w:szCs w:val="22"/>
          <w:lang w:val="es-419"/>
        </w:rPr>
        <w:t>. 5</w:t>
      </w:r>
      <w:r w:rsidR="00175C49">
        <w:rPr>
          <w:rFonts w:ascii="Leelawadee" w:hAnsi="Leelawadee" w:cs="Leelawadee"/>
          <w:b/>
          <w:bCs/>
          <w:sz w:val="22"/>
          <w:szCs w:val="22"/>
          <w:lang w:val="es-419"/>
        </w:rPr>
        <w:t xml:space="preserve"> inciso </w:t>
      </w:r>
      <w:r w:rsidRPr="00E2092E">
        <w:rPr>
          <w:rFonts w:ascii="Leelawadee" w:hAnsi="Leelawadee" w:cs="Leelawadee"/>
          <w:b/>
          <w:bCs/>
          <w:sz w:val="22"/>
          <w:szCs w:val="22"/>
          <w:lang w:val="es-419"/>
        </w:rPr>
        <w:t>a, 5</w:t>
      </w:r>
      <w:r w:rsidR="00175C49">
        <w:rPr>
          <w:rFonts w:ascii="Leelawadee" w:hAnsi="Leelawadee" w:cs="Leelawadee"/>
          <w:b/>
          <w:bCs/>
          <w:sz w:val="22"/>
          <w:szCs w:val="22"/>
          <w:lang w:val="es-419"/>
        </w:rPr>
        <w:t xml:space="preserve"> inciso </w:t>
      </w:r>
      <w:r w:rsidRPr="00E2092E">
        <w:rPr>
          <w:rFonts w:ascii="Leelawadee" w:hAnsi="Leelawadee" w:cs="Leelawadee"/>
          <w:b/>
          <w:bCs/>
          <w:sz w:val="22"/>
          <w:szCs w:val="22"/>
          <w:lang w:val="es-419"/>
        </w:rPr>
        <w:t>b, 5</w:t>
      </w:r>
      <w:r w:rsidR="00175C49">
        <w:rPr>
          <w:rFonts w:ascii="Leelawadee" w:hAnsi="Leelawadee" w:cs="Leelawadee"/>
          <w:b/>
          <w:bCs/>
          <w:sz w:val="22"/>
          <w:szCs w:val="22"/>
          <w:lang w:val="es-419"/>
        </w:rPr>
        <w:t xml:space="preserve"> inciso </w:t>
      </w:r>
      <w:r w:rsidRPr="00E2092E">
        <w:rPr>
          <w:rFonts w:ascii="Leelawadee" w:hAnsi="Leelawadee" w:cs="Leelawadee"/>
          <w:b/>
          <w:bCs/>
          <w:sz w:val="22"/>
          <w:szCs w:val="22"/>
          <w:lang w:val="es-419"/>
        </w:rPr>
        <w:t>d</w:t>
      </w:r>
      <w:r w:rsidR="00175C49">
        <w:rPr>
          <w:rFonts w:ascii="Leelawadee" w:hAnsi="Leelawadee" w:cs="Leelawadee"/>
          <w:b/>
          <w:bCs/>
          <w:sz w:val="22"/>
          <w:szCs w:val="22"/>
          <w:lang w:val="es-419"/>
        </w:rPr>
        <w:t xml:space="preserve">. </w:t>
      </w:r>
      <w:proofErr w:type="spellStart"/>
      <w:r w:rsidRPr="00E2092E">
        <w:rPr>
          <w:rFonts w:ascii="Leelawadee" w:hAnsi="Leelawadee" w:cs="Leelawadee"/>
          <w:b/>
          <w:bCs/>
          <w:sz w:val="22"/>
          <w:szCs w:val="22"/>
          <w:lang w:val="es-419"/>
        </w:rPr>
        <w:t>ix</w:t>
      </w:r>
      <w:proofErr w:type="spellEnd"/>
      <w:r w:rsidRPr="00E2092E">
        <w:rPr>
          <w:rFonts w:ascii="Leelawadee" w:hAnsi="Leelawadee" w:cs="Leelawadee"/>
          <w:b/>
          <w:bCs/>
          <w:sz w:val="22"/>
          <w:szCs w:val="22"/>
          <w:lang w:val="es-419"/>
        </w:rPr>
        <w:t xml:space="preserve"> y 6). </w:t>
      </w:r>
      <w:r w:rsidRPr="00E2092E">
        <w:rPr>
          <w:rFonts w:ascii="Leelawadee" w:hAnsi="Leelawadee" w:cs="Leelawadee"/>
          <w:sz w:val="22"/>
          <w:szCs w:val="22"/>
          <w:lang w:val="es-419"/>
        </w:rPr>
        <w:t xml:space="preserve">Al menos tres procesos penales contra </w:t>
      </w:r>
      <w:r w:rsidR="00616429">
        <w:rPr>
          <w:rFonts w:ascii="Leelawadee" w:hAnsi="Leelawadee" w:cs="Leelawadee"/>
          <w:sz w:val="22"/>
          <w:szCs w:val="22"/>
          <w:lang w:val="es-419"/>
        </w:rPr>
        <w:t>indígenas</w:t>
      </w:r>
      <w:r w:rsidRPr="00E2092E">
        <w:rPr>
          <w:rFonts w:ascii="Leelawadee" w:hAnsi="Leelawadee" w:cs="Leelawadee"/>
          <w:sz w:val="22"/>
          <w:szCs w:val="22"/>
          <w:lang w:val="es-419"/>
        </w:rPr>
        <w:t xml:space="preserve"> Maya Chortí de Azacualpa, </w:t>
      </w:r>
      <w:r w:rsidR="00616429">
        <w:rPr>
          <w:rFonts w:ascii="Leelawadee" w:hAnsi="Leelawadee" w:cs="Leelawadee"/>
          <w:sz w:val="22"/>
          <w:szCs w:val="22"/>
          <w:lang w:val="es-419"/>
        </w:rPr>
        <w:t xml:space="preserve">impulsados por la </w:t>
      </w:r>
      <w:r w:rsidRPr="00E2092E">
        <w:rPr>
          <w:rFonts w:ascii="Leelawadee" w:hAnsi="Leelawadee" w:cs="Leelawadee"/>
          <w:sz w:val="22"/>
          <w:szCs w:val="22"/>
          <w:lang w:val="es-419"/>
        </w:rPr>
        <w:t xml:space="preserve">empresa minera como </w:t>
      </w:r>
      <w:r w:rsidR="00616429">
        <w:rPr>
          <w:rFonts w:ascii="Leelawadee" w:hAnsi="Leelawadee" w:cs="Leelawadee"/>
          <w:sz w:val="22"/>
          <w:szCs w:val="22"/>
          <w:lang w:val="es-419"/>
        </w:rPr>
        <w:t xml:space="preserve">acusación </w:t>
      </w:r>
      <w:r w:rsidRPr="00E2092E">
        <w:rPr>
          <w:rFonts w:ascii="Leelawadee" w:hAnsi="Leelawadee" w:cs="Leelawadee"/>
          <w:sz w:val="22"/>
          <w:szCs w:val="22"/>
          <w:lang w:val="es-419"/>
        </w:rPr>
        <w:t>privada; tres procesos contra indígenas Lencas</w:t>
      </w:r>
      <w:r w:rsidR="00616429">
        <w:rPr>
          <w:rFonts w:ascii="Leelawadee" w:hAnsi="Leelawadee" w:cs="Leelawadee"/>
          <w:sz w:val="22"/>
          <w:szCs w:val="22"/>
          <w:lang w:val="es-419"/>
        </w:rPr>
        <w:t xml:space="preserve">, </w:t>
      </w:r>
      <w:r w:rsidRPr="00E2092E">
        <w:rPr>
          <w:rFonts w:ascii="Leelawadee" w:hAnsi="Leelawadee" w:cs="Leelawadee"/>
          <w:sz w:val="22"/>
          <w:szCs w:val="22"/>
          <w:lang w:val="es-419"/>
        </w:rPr>
        <w:t>uno de ellos contra veinte personas por el delito de usurpación, con órdenes de captura y al menos cinco personas en prisión preventiva, instruidos ante juzgados con competencia en criminalidad organizada</w:t>
      </w:r>
      <w:r w:rsidR="00616429">
        <w:rPr>
          <w:rFonts w:ascii="Leelawadee" w:hAnsi="Leelawadee" w:cs="Leelawadee"/>
          <w:sz w:val="22"/>
          <w:szCs w:val="22"/>
          <w:lang w:val="es-419"/>
        </w:rPr>
        <w:t>, situándolos como organización criminal organizada.</w:t>
      </w:r>
    </w:p>
    <w:p w14:paraId="37A7F0FE" w14:textId="3555B96D" w:rsidR="00D41B41" w:rsidRPr="00E2092E" w:rsidRDefault="009F2540" w:rsidP="00E2092E">
      <w:pPr>
        <w:spacing w:after="120" w:line="276" w:lineRule="auto"/>
        <w:jc w:val="both"/>
        <w:rPr>
          <w:rFonts w:ascii="Leelawadee" w:hAnsi="Leelawadee" w:cs="Leelawadee"/>
          <w:sz w:val="22"/>
          <w:szCs w:val="22"/>
          <w:lang w:val="es-419"/>
        </w:rPr>
      </w:pPr>
      <w:r w:rsidRPr="00E2092E">
        <w:rPr>
          <w:rFonts w:ascii="Leelawadee" w:hAnsi="Leelawadee" w:cs="Leelawadee"/>
          <w:sz w:val="22"/>
          <w:szCs w:val="22"/>
          <w:lang w:val="es-419"/>
        </w:rPr>
        <w:t xml:space="preserve">5. De la lectura conjunta de los cuatro casos emergen patrones transversales que configuran una discriminación estructural: (i) la negación </w:t>
      </w:r>
      <w:r w:rsidR="000174FD">
        <w:rPr>
          <w:rFonts w:ascii="Leelawadee" w:hAnsi="Leelawadee" w:cs="Leelawadee"/>
          <w:sz w:val="22"/>
          <w:szCs w:val="22"/>
          <w:lang w:val="es-419"/>
        </w:rPr>
        <w:t xml:space="preserve">de la condición indígena </w:t>
      </w:r>
      <w:r w:rsidRPr="00E2092E">
        <w:rPr>
          <w:rFonts w:ascii="Leelawadee" w:hAnsi="Leelawadee" w:cs="Leelawadee"/>
          <w:sz w:val="22"/>
          <w:szCs w:val="22"/>
          <w:lang w:val="es-419"/>
        </w:rPr>
        <w:t>como técnica de despojo; (</w:t>
      </w:r>
      <w:proofErr w:type="spellStart"/>
      <w:r w:rsidRPr="00E2092E">
        <w:rPr>
          <w:rFonts w:ascii="Leelawadee" w:hAnsi="Leelawadee" w:cs="Leelawadee"/>
          <w:sz w:val="22"/>
          <w:szCs w:val="22"/>
          <w:lang w:val="es-419"/>
        </w:rPr>
        <w:t>ii</w:t>
      </w:r>
      <w:proofErr w:type="spellEnd"/>
      <w:r w:rsidRPr="00E2092E">
        <w:rPr>
          <w:rFonts w:ascii="Leelawadee" w:hAnsi="Leelawadee" w:cs="Leelawadee"/>
          <w:sz w:val="22"/>
          <w:szCs w:val="22"/>
          <w:lang w:val="es-419"/>
        </w:rPr>
        <w:t>) la sustitución de la consulta previa, libre e informada por mecanismos fraudulentos de obtención de consentimiento o por el silencio administrativo; (</w:t>
      </w:r>
      <w:proofErr w:type="spellStart"/>
      <w:r w:rsidRPr="00E2092E">
        <w:rPr>
          <w:rFonts w:ascii="Leelawadee" w:hAnsi="Leelawadee" w:cs="Leelawadee"/>
          <w:sz w:val="22"/>
          <w:szCs w:val="22"/>
          <w:lang w:val="es-419"/>
        </w:rPr>
        <w:t>iii</w:t>
      </w:r>
      <w:proofErr w:type="spellEnd"/>
      <w:r w:rsidRPr="00E2092E">
        <w:rPr>
          <w:rFonts w:ascii="Leelawadee" w:hAnsi="Leelawadee" w:cs="Leelawadee"/>
          <w:sz w:val="22"/>
          <w:szCs w:val="22"/>
          <w:lang w:val="es-419"/>
        </w:rPr>
        <w:t xml:space="preserve">) la </w:t>
      </w:r>
      <w:r w:rsidR="000174FD">
        <w:rPr>
          <w:rFonts w:ascii="Leelawadee" w:hAnsi="Leelawadee" w:cs="Leelawadee"/>
          <w:sz w:val="22"/>
          <w:szCs w:val="22"/>
          <w:lang w:val="es-419"/>
        </w:rPr>
        <w:t xml:space="preserve">criminalización </w:t>
      </w:r>
      <w:r w:rsidRPr="00E2092E">
        <w:rPr>
          <w:rFonts w:ascii="Leelawadee" w:hAnsi="Leelawadee" w:cs="Leelawadee"/>
          <w:sz w:val="22"/>
          <w:szCs w:val="22"/>
          <w:lang w:val="es-419"/>
        </w:rPr>
        <w:t>frente a la reivindicación de derechos</w:t>
      </w:r>
      <w:r w:rsidR="004061DE">
        <w:rPr>
          <w:rFonts w:ascii="Leelawadee" w:hAnsi="Leelawadee" w:cs="Leelawadee"/>
          <w:sz w:val="22"/>
          <w:szCs w:val="22"/>
          <w:lang w:val="es-419"/>
        </w:rPr>
        <w:t>;</w:t>
      </w:r>
      <w:r w:rsidRPr="00E2092E">
        <w:rPr>
          <w:rFonts w:ascii="Leelawadee" w:hAnsi="Leelawadee" w:cs="Leelawadee"/>
          <w:sz w:val="22"/>
          <w:szCs w:val="22"/>
          <w:lang w:val="es-419"/>
        </w:rPr>
        <w:t xml:space="preserve"> </w:t>
      </w:r>
      <w:r w:rsidR="004061DE">
        <w:rPr>
          <w:rFonts w:ascii="Leelawadee" w:hAnsi="Leelawadee" w:cs="Leelawadee"/>
          <w:sz w:val="22"/>
          <w:szCs w:val="22"/>
          <w:lang w:val="es-419"/>
        </w:rPr>
        <w:t>además, la impunidad frente a los agresores de los pueblos indígenas</w:t>
      </w:r>
      <w:r w:rsidRPr="00E2092E">
        <w:rPr>
          <w:rFonts w:ascii="Leelawadee" w:hAnsi="Leelawadee" w:cs="Leelawadee"/>
          <w:sz w:val="22"/>
          <w:szCs w:val="22"/>
          <w:lang w:val="es-419"/>
        </w:rPr>
        <w:t>; y (</w:t>
      </w:r>
      <w:proofErr w:type="spellStart"/>
      <w:r w:rsidRPr="00E2092E">
        <w:rPr>
          <w:rFonts w:ascii="Leelawadee" w:hAnsi="Leelawadee" w:cs="Leelawadee"/>
          <w:sz w:val="22"/>
          <w:szCs w:val="22"/>
          <w:lang w:val="es-419"/>
        </w:rPr>
        <w:t>iv</w:t>
      </w:r>
      <w:proofErr w:type="spellEnd"/>
      <w:r w:rsidRPr="00E2092E">
        <w:rPr>
          <w:rFonts w:ascii="Leelawadee" w:hAnsi="Leelawadee" w:cs="Leelawadee"/>
          <w:sz w:val="22"/>
          <w:szCs w:val="22"/>
          <w:lang w:val="es-419"/>
        </w:rPr>
        <w:t xml:space="preserve">) </w:t>
      </w:r>
      <w:r w:rsidR="004061DE">
        <w:rPr>
          <w:rFonts w:ascii="Leelawadee" w:hAnsi="Leelawadee" w:cs="Leelawadee"/>
          <w:sz w:val="22"/>
          <w:szCs w:val="22"/>
          <w:lang w:val="es-419"/>
        </w:rPr>
        <w:t xml:space="preserve">el incumplimiento de </w:t>
      </w:r>
      <w:r w:rsidRPr="00E2092E">
        <w:rPr>
          <w:rFonts w:ascii="Leelawadee" w:hAnsi="Leelawadee" w:cs="Leelawadee"/>
          <w:sz w:val="22"/>
          <w:szCs w:val="22"/>
          <w:lang w:val="es-419"/>
        </w:rPr>
        <w:t xml:space="preserve">resoluciones judiciales favorables a los pueblos indígenas. Estos patrones </w:t>
      </w:r>
      <w:r w:rsidR="004061DE">
        <w:rPr>
          <w:rFonts w:ascii="Leelawadee" w:hAnsi="Leelawadee" w:cs="Leelawadee"/>
          <w:sz w:val="22"/>
          <w:szCs w:val="22"/>
          <w:lang w:val="es-419"/>
        </w:rPr>
        <w:t xml:space="preserve">demuestran </w:t>
      </w:r>
      <w:r w:rsidRPr="00E2092E">
        <w:rPr>
          <w:rFonts w:ascii="Leelawadee" w:hAnsi="Leelawadee" w:cs="Leelawadee"/>
          <w:sz w:val="22"/>
          <w:szCs w:val="22"/>
          <w:lang w:val="es-419"/>
        </w:rPr>
        <w:t>las preocupaciones expresadas por el Comité en sus observaciones finales de 2019</w:t>
      </w:r>
      <w:r w:rsidRPr="00E2092E">
        <w:rPr>
          <w:rStyle w:val="Refdenotaalpie"/>
          <w:rFonts w:ascii="Leelawadee" w:hAnsi="Leelawadee" w:cs="Leelawadee"/>
          <w:sz w:val="22"/>
          <w:szCs w:val="22"/>
        </w:rPr>
        <w:footnoteReference w:id="4"/>
      </w:r>
      <w:r w:rsidRPr="00E2092E">
        <w:rPr>
          <w:rFonts w:ascii="Leelawadee" w:hAnsi="Leelawadee" w:cs="Leelawadee"/>
          <w:sz w:val="22"/>
          <w:szCs w:val="22"/>
          <w:lang w:val="es-419"/>
        </w:rPr>
        <w:t xml:space="preserve"> y demuestran que las recomendaciones correspondientes no han sido aplicadas. </w:t>
      </w:r>
      <w:r w:rsidR="004061DE">
        <w:rPr>
          <w:rFonts w:ascii="Leelawadee" w:hAnsi="Leelawadee" w:cs="Leelawadee"/>
          <w:sz w:val="22"/>
          <w:szCs w:val="22"/>
          <w:lang w:val="es-419"/>
        </w:rPr>
        <w:t>Por tanto,</w:t>
      </w:r>
      <w:r w:rsidRPr="00E2092E">
        <w:rPr>
          <w:rFonts w:ascii="Leelawadee" w:hAnsi="Leelawadee" w:cs="Leelawadee"/>
          <w:sz w:val="22"/>
          <w:szCs w:val="22"/>
          <w:lang w:val="es-419"/>
        </w:rPr>
        <w:t xml:space="preserve"> mientras el informe del Estado enumera medidas normativas, convenios institucionales, capacitaciones y homenajes, los casos aquí documentados</w:t>
      </w:r>
      <w:r w:rsidR="004061DE">
        <w:rPr>
          <w:rFonts w:ascii="Leelawadee" w:hAnsi="Leelawadee" w:cs="Leelawadee"/>
          <w:sz w:val="22"/>
          <w:szCs w:val="22"/>
          <w:lang w:val="es-419"/>
        </w:rPr>
        <w:t xml:space="preserve">, </w:t>
      </w:r>
      <w:r w:rsidRPr="00E2092E">
        <w:rPr>
          <w:rFonts w:ascii="Leelawadee" w:hAnsi="Leelawadee" w:cs="Leelawadee"/>
          <w:sz w:val="22"/>
          <w:szCs w:val="22"/>
          <w:lang w:val="es-419"/>
        </w:rPr>
        <w:t>todos ocurridos o continuados durante el período examinado</w:t>
      </w:r>
      <w:r w:rsidR="004061DE">
        <w:rPr>
          <w:rFonts w:ascii="Leelawadee" w:hAnsi="Leelawadee" w:cs="Leelawadee"/>
          <w:sz w:val="22"/>
          <w:szCs w:val="22"/>
          <w:lang w:val="es-419"/>
        </w:rPr>
        <w:t>,</w:t>
      </w:r>
      <w:r w:rsidRPr="00E2092E">
        <w:rPr>
          <w:rFonts w:ascii="Leelawadee" w:hAnsi="Leelawadee" w:cs="Leelawadee"/>
          <w:sz w:val="22"/>
          <w:szCs w:val="22"/>
          <w:lang w:val="es-419"/>
        </w:rPr>
        <w:t xml:space="preserve"> acreditan que, sobre el </w:t>
      </w:r>
      <w:r w:rsidR="004061DE">
        <w:rPr>
          <w:rFonts w:ascii="Leelawadee" w:hAnsi="Leelawadee" w:cs="Leelawadee"/>
          <w:sz w:val="22"/>
          <w:szCs w:val="22"/>
          <w:lang w:val="es-419"/>
        </w:rPr>
        <w:t>territorio indígena</w:t>
      </w:r>
      <w:r w:rsidRPr="00E2092E">
        <w:rPr>
          <w:rFonts w:ascii="Leelawadee" w:hAnsi="Leelawadee" w:cs="Leelawadee"/>
          <w:sz w:val="22"/>
          <w:szCs w:val="22"/>
          <w:lang w:val="es-419"/>
        </w:rPr>
        <w:t>, las instituciones actúan en sentido contrario a dichas medidas.</w:t>
      </w:r>
    </w:p>
    <w:p w14:paraId="40D50B21" w14:textId="77777777" w:rsidR="00D41B41" w:rsidRPr="00E2092E" w:rsidRDefault="009F2540" w:rsidP="00E2092E">
      <w:pPr>
        <w:pStyle w:val="Ttulo1"/>
        <w:spacing w:before="240" w:after="160" w:line="276" w:lineRule="auto"/>
        <w:rPr>
          <w:rFonts w:ascii="Leelawadee" w:hAnsi="Leelawadee" w:cs="Leelawadee"/>
          <w:sz w:val="22"/>
          <w:szCs w:val="22"/>
          <w:lang w:val="es-419"/>
        </w:rPr>
      </w:pPr>
      <w:r w:rsidRPr="00E2092E">
        <w:rPr>
          <w:rFonts w:ascii="Leelawadee" w:hAnsi="Leelawadee" w:cs="Leelawadee"/>
          <w:b/>
          <w:bCs/>
          <w:caps/>
          <w:color w:val="000000"/>
          <w:sz w:val="22"/>
          <w:szCs w:val="22"/>
          <w:lang w:val="es-419"/>
        </w:rPr>
        <w:t>III. Pueblo Indígena Tolupán — Tribu San Francisco de Locomapa, Yoro</w:t>
      </w:r>
    </w:p>
    <w:p w14:paraId="4818B612" w14:textId="77777777" w:rsidR="00D41B41" w:rsidRPr="00E2092E" w:rsidRDefault="009F2540" w:rsidP="00E2092E">
      <w:pPr>
        <w:pStyle w:val="Ttulo2"/>
        <w:spacing w:before="180" w:after="120" w:line="276" w:lineRule="auto"/>
        <w:rPr>
          <w:rFonts w:ascii="Leelawadee" w:hAnsi="Leelawadee" w:cs="Leelawadee"/>
          <w:sz w:val="22"/>
          <w:szCs w:val="22"/>
          <w:lang w:val="es-419"/>
        </w:rPr>
      </w:pPr>
      <w:r w:rsidRPr="00E2092E">
        <w:rPr>
          <w:rFonts w:ascii="Leelawadee" w:hAnsi="Leelawadee" w:cs="Leelawadee"/>
          <w:b/>
          <w:bCs/>
          <w:color w:val="000000"/>
          <w:sz w:val="22"/>
          <w:szCs w:val="22"/>
          <w:lang w:val="es-419"/>
        </w:rPr>
        <w:t>III.1. Contexto</w:t>
      </w:r>
    </w:p>
    <w:p w14:paraId="770DBC82" w14:textId="2E4F631B" w:rsidR="00D41B41" w:rsidRPr="00E2092E" w:rsidRDefault="009F2540" w:rsidP="00E2092E">
      <w:pPr>
        <w:spacing w:after="120" w:line="276" w:lineRule="auto"/>
        <w:jc w:val="both"/>
        <w:rPr>
          <w:rFonts w:ascii="Leelawadee" w:hAnsi="Leelawadee" w:cs="Leelawadee"/>
          <w:sz w:val="22"/>
          <w:szCs w:val="22"/>
          <w:lang w:val="es-419"/>
        </w:rPr>
      </w:pPr>
      <w:r w:rsidRPr="00E2092E">
        <w:rPr>
          <w:rFonts w:ascii="Leelawadee" w:hAnsi="Leelawadee" w:cs="Leelawadee"/>
          <w:sz w:val="22"/>
          <w:szCs w:val="22"/>
          <w:lang w:val="es-419"/>
        </w:rPr>
        <w:t xml:space="preserve">6. La Tribu San Francisco de </w:t>
      </w:r>
      <w:proofErr w:type="spellStart"/>
      <w:r w:rsidRPr="00E2092E">
        <w:rPr>
          <w:rFonts w:ascii="Leelawadee" w:hAnsi="Leelawadee" w:cs="Leelawadee"/>
          <w:sz w:val="22"/>
          <w:szCs w:val="22"/>
          <w:lang w:val="es-419"/>
        </w:rPr>
        <w:t>Locomapa</w:t>
      </w:r>
      <w:proofErr w:type="spellEnd"/>
      <w:r w:rsidRPr="00E2092E">
        <w:rPr>
          <w:rFonts w:ascii="Leelawadee" w:hAnsi="Leelawadee" w:cs="Leelawadee"/>
          <w:sz w:val="22"/>
          <w:szCs w:val="22"/>
          <w:lang w:val="es-419"/>
        </w:rPr>
        <w:t xml:space="preserve"> (en adelante, TSFL) es una de </w:t>
      </w:r>
      <w:r w:rsidR="004061DE">
        <w:rPr>
          <w:rFonts w:ascii="Leelawadee" w:hAnsi="Leelawadee" w:cs="Leelawadee"/>
          <w:sz w:val="22"/>
          <w:szCs w:val="22"/>
          <w:lang w:val="es-419"/>
        </w:rPr>
        <w:t xml:space="preserve">31 </w:t>
      </w:r>
      <w:r w:rsidRPr="00E2092E">
        <w:rPr>
          <w:rFonts w:ascii="Leelawadee" w:hAnsi="Leelawadee" w:cs="Leelawadee"/>
          <w:sz w:val="22"/>
          <w:szCs w:val="22"/>
          <w:lang w:val="es-419"/>
        </w:rPr>
        <w:t xml:space="preserve">tribus que conforman el pueblo indígena Tolupán y una de las veinticinco asentadas en el departamento de Yoro. Cada tribu se organiza a través del Consejo Directivo de Tribu (CDT), institución indígena con facultades </w:t>
      </w:r>
      <w:r w:rsidRPr="00E2092E">
        <w:rPr>
          <w:rFonts w:ascii="Leelawadee" w:hAnsi="Leelawadee" w:cs="Leelawadee"/>
          <w:sz w:val="22"/>
          <w:szCs w:val="22"/>
          <w:lang w:val="es-419"/>
        </w:rPr>
        <w:lastRenderedPageBreak/>
        <w:t xml:space="preserve">administrativas y de representación que integra la Federación de Tribus </w:t>
      </w:r>
      <w:proofErr w:type="spellStart"/>
      <w:r w:rsidRPr="00E2092E">
        <w:rPr>
          <w:rFonts w:ascii="Leelawadee" w:hAnsi="Leelawadee" w:cs="Leelawadee"/>
          <w:sz w:val="22"/>
          <w:szCs w:val="22"/>
          <w:lang w:val="es-419"/>
        </w:rPr>
        <w:t>Xicaques</w:t>
      </w:r>
      <w:proofErr w:type="spellEnd"/>
      <w:r w:rsidRPr="00E2092E">
        <w:rPr>
          <w:rFonts w:ascii="Leelawadee" w:hAnsi="Leelawadee" w:cs="Leelawadee"/>
          <w:sz w:val="22"/>
          <w:szCs w:val="22"/>
          <w:lang w:val="es-419"/>
        </w:rPr>
        <w:t xml:space="preserve"> de Yoro (FETRIXY). En 1990 se creó el Consejo Preventivo de Tribu (CPT), figura indígena cuya misión es defender, proteger y reivindicar la integridad de la propiedad ancestral y los bienes naturales comunes existentes en el territorio. El CPT ha denunciado de manera sostenida que estructuras de la Tribu y de la FETRIXY han servido para facilitar a empresarios madereros y mineros, junto con autoridades locales de Yoro, </w:t>
      </w:r>
      <w:r w:rsidR="004061DE">
        <w:rPr>
          <w:rFonts w:ascii="Leelawadee" w:hAnsi="Leelawadee" w:cs="Leelawadee"/>
          <w:sz w:val="22"/>
          <w:szCs w:val="22"/>
          <w:lang w:val="es-419"/>
        </w:rPr>
        <w:t xml:space="preserve">el </w:t>
      </w:r>
      <w:r w:rsidRPr="00E2092E">
        <w:rPr>
          <w:rFonts w:ascii="Leelawadee" w:hAnsi="Leelawadee" w:cs="Leelawadee"/>
          <w:sz w:val="22"/>
          <w:szCs w:val="22"/>
          <w:lang w:val="es-419"/>
        </w:rPr>
        <w:t xml:space="preserve">saqueo de los bienes naturales comunes, profundizando la pobreza y la desigualdad existentes en la Tribu. Integrantes del CPT </w:t>
      </w:r>
      <w:r w:rsidR="004061DE">
        <w:rPr>
          <w:rFonts w:ascii="Leelawadee" w:hAnsi="Leelawadee" w:cs="Leelawadee"/>
          <w:sz w:val="22"/>
          <w:szCs w:val="22"/>
          <w:lang w:val="es-419"/>
        </w:rPr>
        <w:t xml:space="preserve">pertenecientes al </w:t>
      </w:r>
      <w:r w:rsidRPr="00E2092E">
        <w:rPr>
          <w:rFonts w:ascii="Leelawadee" w:hAnsi="Leelawadee" w:cs="Leelawadee"/>
          <w:sz w:val="22"/>
          <w:szCs w:val="22"/>
          <w:lang w:val="es-419"/>
        </w:rPr>
        <w:t>MADJ son beneficiarios de las medidas cautelares MC 416-13, otorgadas por la CIDH el 19 de diciembre de 2013 tras el asesinato de tres dirigentes indígenas</w:t>
      </w:r>
      <w:r w:rsidRPr="00E2092E">
        <w:rPr>
          <w:rStyle w:val="Refdenotaalpie"/>
          <w:rFonts w:ascii="Leelawadee" w:hAnsi="Leelawadee" w:cs="Leelawadee"/>
          <w:sz w:val="22"/>
          <w:szCs w:val="22"/>
        </w:rPr>
        <w:footnoteReference w:id="5"/>
      </w:r>
      <w:r w:rsidRPr="00E2092E">
        <w:rPr>
          <w:rFonts w:ascii="Leelawadee" w:hAnsi="Leelawadee" w:cs="Leelawadee"/>
          <w:sz w:val="22"/>
          <w:szCs w:val="22"/>
          <w:lang w:val="es-419"/>
        </w:rPr>
        <w:t xml:space="preserve"> y ampliadas en 2023, mediante la Resolución 83/23, a sesenta y una personas adicionales ante el incremento sostenido del riesgo</w:t>
      </w:r>
      <w:r w:rsidRPr="00E2092E">
        <w:rPr>
          <w:rStyle w:val="Refdenotaalpie"/>
          <w:rFonts w:ascii="Leelawadee" w:hAnsi="Leelawadee" w:cs="Leelawadee"/>
          <w:sz w:val="22"/>
          <w:szCs w:val="22"/>
        </w:rPr>
        <w:footnoteReference w:id="6"/>
      </w:r>
      <w:r w:rsidRPr="00E2092E">
        <w:rPr>
          <w:rFonts w:ascii="Leelawadee" w:hAnsi="Leelawadee" w:cs="Leelawadee"/>
          <w:sz w:val="22"/>
          <w:szCs w:val="22"/>
          <w:lang w:val="es-419"/>
        </w:rPr>
        <w:t>.</w:t>
      </w:r>
    </w:p>
    <w:p w14:paraId="6505BD9C" w14:textId="356D2D7B" w:rsidR="00D41B41" w:rsidRPr="00E2092E" w:rsidRDefault="009F2540" w:rsidP="00E2092E">
      <w:pPr>
        <w:pStyle w:val="Ttulo2"/>
        <w:spacing w:before="180" w:after="120" w:line="276" w:lineRule="auto"/>
        <w:rPr>
          <w:rFonts w:ascii="Leelawadee" w:hAnsi="Leelawadee" w:cs="Leelawadee"/>
          <w:sz w:val="22"/>
          <w:szCs w:val="22"/>
          <w:lang w:val="es-419"/>
        </w:rPr>
      </w:pPr>
      <w:r w:rsidRPr="00E2092E">
        <w:rPr>
          <w:rFonts w:ascii="Leelawadee" w:hAnsi="Leelawadee" w:cs="Leelawadee"/>
          <w:b/>
          <w:bCs/>
          <w:color w:val="000000"/>
          <w:sz w:val="22"/>
          <w:szCs w:val="22"/>
          <w:lang w:val="es-419"/>
        </w:rPr>
        <w:t>III.2. Violación del derecho a la vida, agresiones continuadas e impunidad (</w:t>
      </w:r>
      <w:r w:rsidR="004061DE">
        <w:rPr>
          <w:rFonts w:ascii="Leelawadee" w:hAnsi="Leelawadee" w:cs="Leelawadee"/>
          <w:b/>
          <w:bCs/>
          <w:color w:val="000000"/>
          <w:sz w:val="22"/>
          <w:szCs w:val="22"/>
          <w:lang w:val="es-419"/>
        </w:rPr>
        <w:t xml:space="preserve">artículos </w:t>
      </w:r>
      <w:r w:rsidRPr="00E2092E">
        <w:rPr>
          <w:rFonts w:ascii="Leelawadee" w:hAnsi="Leelawadee" w:cs="Leelawadee"/>
          <w:b/>
          <w:bCs/>
          <w:color w:val="000000"/>
          <w:sz w:val="22"/>
          <w:szCs w:val="22"/>
          <w:lang w:val="es-419"/>
        </w:rPr>
        <w:t>5</w:t>
      </w:r>
      <w:r w:rsidR="004061DE">
        <w:rPr>
          <w:rFonts w:ascii="Leelawadee" w:hAnsi="Leelawadee" w:cs="Leelawadee"/>
          <w:b/>
          <w:bCs/>
          <w:color w:val="000000"/>
          <w:sz w:val="22"/>
          <w:szCs w:val="22"/>
          <w:lang w:val="es-419"/>
        </w:rPr>
        <w:t xml:space="preserve"> inciso </w:t>
      </w:r>
      <w:r w:rsidRPr="00E2092E">
        <w:rPr>
          <w:rFonts w:ascii="Leelawadee" w:hAnsi="Leelawadee" w:cs="Leelawadee"/>
          <w:b/>
          <w:bCs/>
          <w:color w:val="000000"/>
          <w:sz w:val="22"/>
          <w:szCs w:val="22"/>
          <w:lang w:val="es-419"/>
        </w:rPr>
        <w:t>b y 6)</w:t>
      </w:r>
    </w:p>
    <w:p w14:paraId="28480994" w14:textId="77777777" w:rsidR="00D41B41" w:rsidRPr="00E2092E" w:rsidRDefault="009F2540" w:rsidP="00E2092E">
      <w:pPr>
        <w:spacing w:after="120" w:line="276" w:lineRule="auto"/>
        <w:jc w:val="both"/>
        <w:rPr>
          <w:rFonts w:ascii="Leelawadee" w:hAnsi="Leelawadee" w:cs="Leelawadee"/>
          <w:sz w:val="22"/>
          <w:szCs w:val="22"/>
          <w:lang w:val="es-419"/>
        </w:rPr>
      </w:pPr>
      <w:r w:rsidRPr="00E2092E">
        <w:rPr>
          <w:rFonts w:ascii="Leelawadee" w:hAnsi="Leelawadee" w:cs="Leelawadee"/>
          <w:sz w:val="22"/>
          <w:szCs w:val="22"/>
          <w:lang w:val="es-419"/>
        </w:rPr>
        <w:t>7. Desde 2013 han sido asesinadas al menos catorce personas de la TSFL vinculadas a la defensa del territorio y de los bienes naturales comunes; la CIDH ha verificado el asesinato de once integrantes del MADJ con posterioridad al otorgamiento de las medidas cautelares</w:t>
      </w:r>
      <w:r w:rsidRPr="00E2092E">
        <w:rPr>
          <w:rStyle w:val="Refdenotaalpie"/>
          <w:rFonts w:ascii="Leelawadee" w:hAnsi="Leelawadee" w:cs="Leelawadee"/>
          <w:sz w:val="22"/>
          <w:szCs w:val="22"/>
        </w:rPr>
        <w:footnoteReference w:id="7"/>
      </w:r>
      <w:r w:rsidRPr="00E2092E">
        <w:rPr>
          <w:rFonts w:ascii="Leelawadee" w:hAnsi="Leelawadee" w:cs="Leelawadee"/>
          <w:sz w:val="22"/>
          <w:szCs w:val="22"/>
          <w:lang w:val="es-419"/>
        </w:rPr>
        <w:t xml:space="preserve">. En el período que cubre este informe: el 25 de febrero de 2019 fueron asesinados </w:t>
      </w:r>
      <w:r w:rsidRPr="00E2092E">
        <w:rPr>
          <w:rFonts w:ascii="Leelawadee" w:hAnsi="Leelawadee" w:cs="Leelawadee"/>
          <w:b/>
          <w:bCs/>
          <w:sz w:val="22"/>
          <w:szCs w:val="22"/>
          <w:lang w:val="es-419"/>
        </w:rPr>
        <w:t>José Salomón Matute</w:t>
      </w:r>
      <w:r w:rsidRPr="00E2092E">
        <w:rPr>
          <w:rFonts w:ascii="Leelawadee" w:hAnsi="Leelawadee" w:cs="Leelawadee"/>
          <w:sz w:val="22"/>
          <w:szCs w:val="22"/>
          <w:lang w:val="es-419"/>
        </w:rPr>
        <w:t xml:space="preserve"> —beneficiario directo de la MC 416-13— y su hijo </w:t>
      </w:r>
      <w:r w:rsidRPr="00E2092E">
        <w:rPr>
          <w:rFonts w:ascii="Leelawadee" w:hAnsi="Leelawadee" w:cs="Leelawadee"/>
          <w:b/>
          <w:bCs/>
          <w:sz w:val="22"/>
          <w:szCs w:val="22"/>
          <w:lang w:val="es-419"/>
        </w:rPr>
        <w:t>Juan Samael Matute</w:t>
      </w:r>
      <w:r w:rsidRPr="00E2092E">
        <w:rPr>
          <w:rFonts w:ascii="Leelawadee" w:hAnsi="Leelawadee" w:cs="Leelawadee"/>
          <w:sz w:val="22"/>
          <w:szCs w:val="22"/>
          <w:lang w:val="es-419"/>
        </w:rPr>
        <w:t xml:space="preserve">; y en septiembre de 2019 fue asesinado </w:t>
      </w:r>
      <w:proofErr w:type="spellStart"/>
      <w:r w:rsidRPr="00E2092E">
        <w:rPr>
          <w:rFonts w:ascii="Leelawadee" w:hAnsi="Leelawadee" w:cs="Leelawadee"/>
          <w:b/>
          <w:bCs/>
          <w:sz w:val="22"/>
          <w:szCs w:val="22"/>
          <w:lang w:val="es-419"/>
        </w:rPr>
        <w:t>Milgen</w:t>
      </w:r>
      <w:proofErr w:type="spellEnd"/>
      <w:r w:rsidRPr="00E2092E">
        <w:rPr>
          <w:rFonts w:ascii="Leelawadee" w:hAnsi="Leelawadee" w:cs="Leelawadee"/>
          <w:b/>
          <w:bCs/>
          <w:sz w:val="22"/>
          <w:szCs w:val="22"/>
          <w:lang w:val="es-419"/>
        </w:rPr>
        <w:t xml:space="preserve"> </w:t>
      </w:r>
      <w:proofErr w:type="spellStart"/>
      <w:r w:rsidRPr="00E2092E">
        <w:rPr>
          <w:rFonts w:ascii="Leelawadee" w:hAnsi="Leelawadee" w:cs="Leelawadee"/>
          <w:b/>
          <w:bCs/>
          <w:sz w:val="22"/>
          <w:szCs w:val="22"/>
          <w:lang w:val="es-419"/>
        </w:rPr>
        <w:t>Idán</w:t>
      </w:r>
      <w:proofErr w:type="spellEnd"/>
      <w:r w:rsidRPr="00E2092E">
        <w:rPr>
          <w:rFonts w:ascii="Leelawadee" w:hAnsi="Leelawadee" w:cs="Leelawadee"/>
          <w:b/>
          <w:bCs/>
          <w:sz w:val="22"/>
          <w:szCs w:val="22"/>
          <w:lang w:val="es-419"/>
        </w:rPr>
        <w:t xml:space="preserve"> Soto Ávila</w:t>
      </w:r>
      <w:r w:rsidRPr="00E2092E">
        <w:rPr>
          <w:rFonts w:ascii="Leelawadee" w:hAnsi="Leelawadee" w:cs="Leelawadee"/>
          <w:sz w:val="22"/>
          <w:szCs w:val="22"/>
          <w:lang w:val="es-419"/>
        </w:rPr>
        <w:t>, cuyo cuerpo fue hallado el 28 de septiembre de 2019 en una fosa clandestina ubicada a escasos metros de un aserradero de la empresa maderera INMARE. En mayo de 2023 fueron asesinados un integrante del MADJ residente en la TSFL y su hijo, hechos igualmente condenados por la Oficina del Alto Comisionado de las Naciones Unidas para los Derechos Humanos (OACNUDH).</w:t>
      </w:r>
    </w:p>
    <w:p w14:paraId="6EA42890" w14:textId="4019EB7C" w:rsidR="00D41B41" w:rsidRPr="00E2092E" w:rsidRDefault="009F2540" w:rsidP="00E2092E">
      <w:pPr>
        <w:spacing w:after="120" w:line="276" w:lineRule="auto"/>
        <w:jc w:val="both"/>
        <w:rPr>
          <w:rFonts w:ascii="Leelawadee" w:hAnsi="Leelawadee" w:cs="Leelawadee"/>
          <w:sz w:val="22"/>
          <w:szCs w:val="22"/>
          <w:lang w:val="es-419"/>
        </w:rPr>
      </w:pPr>
      <w:r w:rsidRPr="00E2092E">
        <w:rPr>
          <w:rFonts w:ascii="Leelawadee" w:hAnsi="Leelawadee" w:cs="Leelawadee"/>
          <w:sz w:val="22"/>
          <w:szCs w:val="22"/>
          <w:lang w:val="es-419"/>
        </w:rPr>
        <w:t xml:space="preserve">8. Las agresiones no letales contra las personas beneficiarias han sido continuas durante todo el período examinado: amenazas de muerte </w:t>
      </w:r>
      <w:r w:rsidR="00442D9B">
        <w:rPr>
          <w:rFonts w:ascii="Leelawadee" w:hAnsi="Leelawadee" w:cs="Leelawadee"/>
          <w:sz w:val="22"/>
          <w:szCs w:val="22"/>
          <w:lang w:val="es-419"/>
        </w:rPr>
        <w:t xml:space="preserve">directamente </w:t>
      </w:r>
      <w:r w:rsidRPr="00E2092E">
        <w:rPr>
          <w:rFonts w:ascii="Leelawadee" w:hAnsi="Leelawadee" w:cs="Leelawadee"/>
          <w:sz w:val="22"/>
          <w:szCs w:val="22"/>
          <w:lang w:val="es-419"/>
        </w:rPr>
        <w:t xml:space="preserve">vinculadas </w:t>
      </w:r>
      <w:r w:rsidR="00442D9B">
        <w:rPr>
          <w:rFonts w:ascii="Leelawadee" w:hAnsi="Leelawadee" w:cs="Leelawadee"/>
          <w:sz w:val="22"/>
          <w:szCs w:val="22"/>
          <w:lang w:val="es-419"/>
        </w:rPr>
        <w:t>a las actividades extractivas empresariales</w:t>
      </w:r>
      <w:r w:rsidRPr="00E2092E">
        <w:rPr>
          <w:rFonts w:ascii="Leelawadee" w:hAnsi="Leelawadee" w:cs="Leelawadee"/>
          <w:sz w:val="22"/>
          <w:szCs w:val="22"/>
          <w:lang w:val="es-419"/>
        </w:rPr>
        <w:t>, envenenamiento de animales</w:t>
      </w:r>
      <w:r w:rsidR="00442D9B">
        <w:rPr>
          <w:rFonts w:ascii="Leelawadee" w:hAnsi="Leelawadee" w:cs="Leelawadee"/>
          <w:sz w:val="22"/>
          <w:szCs w:val="22"/>
          <w:lang w:val="es-419"/>
        </w:rPr>
        <w:t>, agresiones físicas, detención ilegal de beneficiarios</w:t>
      </w:r>
      <w:r w:rsidRPr="00E2092E">
        <w:rPr>
          <w:rFonts w:ascii="Leelawadee" w:hAnsi="Leelawadee" w:cs="Leelawadee"/>
          <w:sz w:val="22"/>
          <w:szCs w:val="22"/>
          <w:lang w:val="es-419"/>
        </w:rPr>
        <w:t xml:space="preserve"> y el ataque violento contra unas sesenta personas reunidas en asamblea comunitaria en mayo de 2021</w:t>
      </w:r>
      <w:r w:rsidRPr="00E2092E">
        <w:rPr>
          <w:rStyle w:val="Refdenotaalpie"/>
          <w:rFonts w:ascii="Leelawadee" w:hAnsi="Leelawadee" w:cs="Leelawadee"/>
          <w:sz w:val="22"/>
          <w:szCs w:val="22"/>
        </w:rPr>
        <w:footnoteReference w:id="8"/>
      </w:r>
      <w:r w:rsidR="00662A3B">
        <w:rPr>
          <w:rFonts w:ascii="Leelawadee" w:hAnsi="Leelawadee" w:cs="Leelawadee"/>
          <w:sz w:val="22"/>
          <w:szCs w:val="22"/>
          <w:lang w:val="es-419"/>
        </w:rPr>
        <w:t xml:space="preserve"> y la destrucción de las instalaciones de la Radio Dignidad Tolupana, radio comunitaria de la TSFL</w:t>
      </w:r>
      <w:r w:rsidRPr="00E2092E">
        <w:rPr>
          <w:rFonts w:ascii="Leelawadee" w:hAnsi="Leelawadee" w:cs="Leelawadee"/>
          <w:sz w:val="22"/>
          <w:szCs w:val="22"/>
          <w:lang w:val="es-419"/>
        </w:rPr>
        <w:t xml:space="preserve">. Los incidentes persisten hasta el presente: </w:t>
      </w:r>
      <w:r w:rsidR="00662A3B">
        <w:rPr>
          <w:rFonts w:ascii="Leelawadee" w:hAnsi="Leelawadee" w:cs="Leelawadee"/>
          <w:sz w:val="22"/>
          <w:szCs w:val="22"/>
          <w:lang w:val="es-419"/>
        </w:rPr>
        <w:t xml:space="preserve">En mayo de 2026, el beneficiario de la medida Víctor Antonio Fernández Guzmán y fundador del MADJ, fue detenido ilegalmente mientras realizada actividades relacionadas la defensa de derechos en la TSFL, más de 20 personas promovidas y alentadas por las empresas madereras, le retuvieron por más de 3 horas con amenazas de incendiar el vehículo; </w:t>
      </w:r>
      <w:r w:rsidRPr="00E2092E">
        <w:rPr>
          <w:rFonts w:ascii="Leelawadee" w:hAnsi="Leelawadee" w:cs="Leelawadee"/>
          <w:sz w:val="22"/>
          <w:szCs w:val="22"/>
          <w:lang w:val="es-419"/>
        </w:rPr>
        <w:t xml:space="preserve">en junio de 2026 un beneficiario fue agredido a pedradas </w:t>
      </w:r>
      <w:r w:rsidRPr="00E2092E">
        <w:rPr>
          <w:rFonts w:ascii="Leelawadee" w:hAnsi="Leelawadee" w:cs="Leelawadee"/>
          <w:sz w:val="22"/>
          <w:szCs w:val="22"/>
          <w:lang w:val="es-419"/>
        </w:rPr>
        <w:lastRenderedPageBreak/>
        <w:t>mientras trabajaba y otra persona fue advertida por agentes de la Policía Nacional de no acudir a las actividades del Campamento Digno «porque bien sabía que era peligroso», actitud de permisividad que traslada a las víctimas la carga del riesgo</w:t>
      </w:r>
      <w:r w:rsidRPr="00E2092E">
        <w:rPr>
          <w:rStyle w:val="Refdenotaalpie"/>
          <w:rFonts w:ascii="Leelawadee" w:hAnsi="Leelawadee" w:cs="Leelawadee"/>
          <w:sz w:val="22"/>
          <w:szCs w:val="22"/>
        </w:rPr>
        <w:footnoteReference w:id="9"/>
      </w:r>
      <w:r w:rsidRPr="00E2092E">
        <w:rPr>
          <w:rFonts w:ascii="Leelawadee" w:hAnsi="Leelawadee" w:cs="Leelawadee"/>
          <w:sz w:val="22"/>
          <w:szCs w:val="22"/>
          <w:lang w:val="es-419"/>
        </w:rPr>
        <w:t>.</w:t>
      </w:r>
      <w:r w:rsidR="00662A3B">
        <w:rPr>
          <w:rFonts w:ascii="Leelawadee" w:hAnsi="Leelawadee" w:cs="Leelawadee"/>
          <w:sz w:val="22"/>
          <w:szCs w:val="22"/>
          <w:lang w:val="es-419"/>
        </w:rPr>
        <w:t xml:space="preserve"> </w:t>
      </w:r>
    </w:p>
    <w:p w14:paraId="2AB50630" w14:textId="3BD4337B" w:rsidR="00D41B41" w:rsidRPr="00E2092E" w:rsidRDefault="009F2540" w:rsidP="00E2092E">
      <w:pPr>
        <w:spacing w:after="120" w:line="276" w:lineRule="auto"/>
        <w:jc w:val="both"/>
        <w:rPr>
          <w:rFonts w:ascii="Leelawadee" w:hAnsi="Leelawadee" w:cs="Leelawadee"/>
          <w:sz w:val="22"/>
          <w:szCs w:val="22"/>
          <w:lang w:val="es-419"/>
        </w:rPr>
      </w:pPr>
      <w:r w:rsidRPr="00E2092E">
        <w:rPr>
          <w:rFonts w:ascii="Leelawadee" w:hAnsi="Leelawadee" w:cs="Leelawadee"/>
          <w:sz w:val="22"/>
          <w:szCs w:val="22"/>
          <w:lang w:val="es-419"/>
        </w:rPr>
        <w:t>9. A más de siete años de los primeros hechos, ninguno de los tres asesinatos de 2019 cuenta con sentencia firme. Por el asesinato de José Salomón y Juan Samael Matute se instruye proceso contra dos personas ante el Juzgado de Letras Seccional de Yoro, en el cual, pese a existir órdenes de captura, éstas no han sido ejecutadas por l</w:t>
      </w:r>
      <w:r w:rsidR="00863F29">
        <w:rPr>
          <w:rFonts w:ascii="Leelawadee" w:hAnsi="Leelawadee" w:cs="Leelawadee"/>
          <w:sz w:val="22"/>
          <w:szCs w:val="22"/>
          <w:lang w:val="es-419"/>
        </w:rPr>
        <w:t>a</w:t>
      </w:r>
      <w:r w:rsidRPr="00E2092E">
        <w:rPr>
          <w:rFonts w:ascii="Leelawadee" w:hAnsi="Leelawadee" w:cs="Leelawadee"/>
          <w:sz w:val="22"/>
          <w:szCs w:val="22"/>
          <w:lang w:val="es-419"/>
        </w:rPr>
        <w:t xml:space="preserve">s </w:t>
      </w:r>
      <w:r w:rsidR="00863F29">
        <w:rPr>
          <w:rFonts w:ascii="Leelawadee" w:hAnsi="Leelawadee" w:cs="Leelawadee"/>
          <w:sz w:val="22"/>
          <w:szCs w:val="22"/>
          <w:lang w:val="es-419"/>
        </w:rPr>
        <w:t>autoridades</w:t>
      </w:r>
      <w:r w:rsidRPr="00E2092E">
        <w:rPr>
          <w:rStyle w:val="Refdenotaalpie"/>
          <w:rFonts w:ascii="Leelawadee" w:hAnsi="Leelawadee" w:cs="Leelawadee"/>
          <w:sz w:val="22"/>
          <w:szCs w:val="22"/>
        </w:rPr>
        <w:footnoteReference w:id="10"/>
      </w:r>
      <w:r w:rsidRPr="00E2092E">
        <w:rPr>
          <w:rFonts w:ascii="Leelawadee" w:hAnsi="Leelawadee" w:cs="Leelawadee"/>
          <w:sz w:val="22"/>
          <w:szCs w:val="22"/>
          <w:lang w:val="es-419"/>
        </w:rPr>
        <w:t xml:space="preserve">. Por el asesinato de </w:t>
      </w:r>
      <w:proofErr w:type="spellStart"/>
      <w:r w:rsidRPr="00E2092E">
        <w:rPr>
          <w:rFonts w:ascii="Leelawadee" w:hAnsi="Leelawadee" w:cs="Leelawadee"/>
          <w:sz w:val="22"/>
          <w:szCs w:val="22"/>
          <w:lang w:val="es-419"/>
        </w:rPr>
        <w:t>Milgen</w:t>
      </w:r>
      <w:proofErr w:type="spellEnd"/>
      <w:r w:rsidRPr="00E2092E">
        <w:rPr>
          <w:rFonts w:ascii="Leelawadee" w:hAnsi="Leelawadee" w:cs="Leelawadee"/>
          <w:sz w:val="22"/>
          <w:szCs w:val="22"/>
          <w:lang w:val="es-419"/>
        </w:rPr>
        <w:t xml:space="preserve"> </w:t>
      </w:r>
      <w:proofErr w:type="spellStart"/>
      <w:r w:rsidRPr="00E2092E">
        <w:rPr>
          <w:rFonts w:ascii="Leelawadee" w:hAnsi="Leelawadee" w:cs="Leelawadee"/>
          <w:sz w:val="22"/>
          <w:szCs w:val="22"/>
          <w:lang w:val="es-419"/>
        </w:rPr>
        <w:t>Idán</w:t>
      </w:r>
      <w:proofErr w:type="spellEnd"/>
      <w:r w:rsidRPr="00E2092E">
        <w:rPr>
          <w:rFonts w:ascii="Leelawadee" w:hAnsi="Leelawadee" w:cs="Leelawadee"/>
          <w:sz w:val="22"/>
          <w:szCs w:val="22"/>
          <w:lang w:val="es-419"/>
        </w:rPr>
        <w:t xml:space="preserve"> Soto se instruye proceso contra cinco personas</w:t>
      </w:r>
      <w:r w:rsidR="00863F29">
        <w:rPr>
          <w:rFonts w:ascii="Leelawadee" w:hAnsi="Leelawadee" w:cs="Leelawadee"/>
          <w:sz w:val="22"/>
          <w:szCs w:val="22"/>
          <w:lang w:val="es-419"/>
        </w:rPr>
        <w:t xml:space="preserve">, </w:t>
      </w:r>
      <w:r w:rsidRPr="00E2092E">
        <w:rPr>
          <w:rFonts w:ascii="Leelawadee" w:hAnsi="Leelawadee" w:cs="Leelawadee"/>
          <w:sz w:val="22"/>
          <w:szCs w:val="22"/>
          <w:lang w:val="es-419"/>
        </w:rPr>
        <w:t>entre ellas el expresidente del Consejo Directivo de Tribu</w:t>
      </w:r>
      <w:r w:rsidR="00863F29">
        <w:rPr>
          <w:rFonts w:ascii="Leelawadee" w:hAnsi="Leelawadee" w:cs="Leelawadee"/>
          <w:sz w:val="22"/>
          <w:szCs w:val="22"/>
          <w:lang w:val="es-419"/>
        </w:rPr>
        <w:t>,</w:t>
      </w:r>
      <w:r w:rsidRPr="00E2092E">
        <w:rPr>
          <w:rFonts w:ascii="Leelawadee" w:hAnsi="Leelawadee" w:cs="Leelawadee"/>
          <w:sz w:val="22"/>
          <w:szCs w:val="22"/>
          <w:lang w:val="es-419"/>
        </w:rPr>
        <w:t xml:space="preserve"> ante el Tribunal de Sentencia en materia de Criminalidad Organizada, Medio Ambiente y Corrupción de Tegucigalpa</w:t>
      </w:r>
      <w:r w:rsidRPr="00E2092E">
        <w:rPr>
          <w:rStyle w:val="Refdenotaalpie"/>
          <w:rFonts w:ascii="Leelawadee" w:hAnsi="Leelawadee" w:cs="Leelawadee"/>
          <w:sz w:val="22"/>
          <w:szCs w:val="22"/>
        </w:rPr>
        <w:footnoteReference w:id="11"/>
      </w:r>
      <w:r w:rsidRPr="00E2092E">
        <w:rPr>
          <w:rFonts w:ascii="Leelawadee" w:hAnsi="Leelawadee" w:cs="Leelawadee"/>
          <w:sz w:val="22"/>
          <w:szCs w:val="22"/>
          <w:lang w:val="es-419"/>
        </w:rPr>
        <w:t>. A ello se suman al menos cuarenta y ocho denuncias interpuestas ante el Ministerio Público desde 2013 por amenazas, hostigamientos, coacciones y otros delitos en perjuicio de los miembros de la tribu que defienden sus derechos, sin resultados sustantivos.</w:t>
      </w:r>
    </w:p>
    <w:p w14:paraId="7F5BC5CE" w14:textId="05F69706" w:rsidR="00863F29" w:rsidRPr="003B33D5" w:rsidRDefault="00863F29" w:rsidP="00E2092E">
      <w:pPr>
        <w:spacing w:after="120" w:line="276" w:lineRule="auto"/>
        <w:jc w:val="both"/>
        <w:rPr>
          <w:rFonts w:ascii="Leelawadee" w:hAnsi="Leelawadee" w:cs="Leelawadee"/>
          <w:sz w:val="22"/>
          <w:szCs w:val="22"/>
          <w:lang w:val="es-ES"/>
        </w:rPr>
      </w:pPr>
      <w:r w:rsidRPr="003B33D5">
        <w:rPr>
          <w:rFonts w:ascii="Leelawadee" w:hAnsi="Leelawadee" w:cs="Leelawadee"/>
          <w:sz w:val="22"/>
          <w:szCs w:val="22"/>
          <w:lang w:val="es-419"/>
        </w:rPr>
        <w:t xml:space="preserve">10. </w:t>
      </w:r>
      <w:r w:rsidR="003B33D5">
        <w:rPr>
          <w:rFonts w:ascii="Leelawadee" w:hAnsi="Leelawadee" w:cs="Leelawadee"/>
          <w:sz w:val="22"/>
          <w:szCs w:val="22"/>
          <w:lang w:val="es-419"/>
        </w:rPr>
        <w:t>E</w:t>
      </w:r>
      <w:r w:rsidR="003B33D5" w:rsidRPr="003B33D5">
        <w:rPr>
          <w:rFonts w:ascii="Leelawadee" w:hAnsi="Leelawadee" w:cs="Leelawadee"/>
          <w:sz w:val="22"/>
          <w:szCs w:val="22"/>
          <w:lang w:val="es-419"/>
        </w:rPr>
        <w:t xml:space="preserve">l asesinato de los liderazgos María Enriqueta Matute, Ricardo Soto y Armando Funez, ocurridos el 25 de agosto de </w:t>
      </w:r>
      <w:r w:rsidR="003B33D5">
        <w:rPr>
          <w:rFonts w:ascii="Leelawadee" w:hAnsi="Leelawadee" w:cs="Leelawadee"/>
          <w:sz w:val="22"/>
          <w:szCs w:val="22"/>
          <w:lang w:val="es-419"/>
        </w:rPr>
        <w:t>2013</w:t>
      </w:r>
      <w:r w:rsidR="003B33D5" w:rsidRPr="003B33D5">
        <w:rPr>
          <w:rFonts w:ascii="Leelawadee" w:hAnsi="Leelawadee" w:cs="Leelawadee"/>
          <w:sz w:val="22"/>
          <w:szCs w:val="22"/>
          <w:lang w:val="es-419"/>
        </w:rPr>
        <w:t xml:space="preserve"> en la comunidad de San Francisco Campo, mientras desarrollaban una acción de protesta pública y pacífica</w:t>
      </w:r>
      <w:r w:rsidR="003B33D5">
        <w:rPr>
          <w:rStyle w:val="Refdenotaalpie"/>
          <w:rFonts w:ascii="Leelawadee" w:hAnsi="Leelawadee" w:cs="Leelawadee"/>
          <w:sz w:val="22"/>
          <w:szCs w:val="22"/>
          <w:lang w:val="es-419"/>
        </w:rPr>
        <w:footnoteReference w:id="12"/>
      </w:r>
      <w:r w:rsidR="003B33D5" w:rsidRPr="003B33D5">
        <w:rPr>
          <w:rFonts w:ascii="Leelawadee" w:hAnsi="Leelawadee" w:cs="Leelawadee"/>
          <w:sz w:val="22"/>
          <w:szCs w:val="22"/>
          <w:lang w:val="es-419"/>
        </w:rPr>
        <w:t xml:space="preserve">; </w:t>
      </w:r>
      <w:r w:rsidR="003B33D5">
        <w:rPr>
          <w:rFonts w:ascii="Leelawadee" w:hAnsi="Leelawadee" w:cs="Leelawadee"/>
          <w:sz w:val="22"/>
          <w:szCs w:val="22"/>
          <w:lang w:val="es-419"/>
        </w:rPr>
        <w:t xml:space="preserve">se acusó a </w:t>
      </w:r>
      <w:proofErr w:type="spellStart"/>
      <w:r w:rsidR="003B33D5" w:rsidRPr="003B33D5">
        <w:rPr>
          <w:rFonts w:ascii="Leelawadee" w:hAnsi="Leelawadee" w:cs="Leelawadee"/>
          <w:sz w:val="22"/>
          <w:szCs w:val="22"/>
          <w:lang w:val="es-419"/>
        </w:rPr>
        <w:t>Selín</w:t>
      </w:r>
      <w:proofErr w:type="spellEnd"/>
      <w:r w:rsidR="003B33D5" w:rsidRPr="003B33D5">
        <w:rPr>
          <w:rFonts w:ascii="Leelawadee" w:hAnsi="Leelawadee" w:cs="Leelawadee"/>
          <w:sz w:val="22"/>
          <w:szCs w:val="22"/>
          <w:lang w:val="es-419"/>
        </w:rPr>
        <w:t xml:space="preserve"> Eleazar Funez, a quién el Tribunal de Sentencias de Yoro absolvió mediante sentencia de fecha 13 de marzo de 2020,</w:t>
      </w:r>
      <w:r w:rsidR="003B33D5">
        <w:rPr>
          <w:rFonts w:ascii="Leelawadee" w:hAnsi="Leelawadee" w:cs="Leelawadee"/>
          <w:sz w:val="22"/>
          <w:szCs w:val="22"/>
          <w:lang w:val="es-419"/>
        </w:rPr>
        <w:t xml:space="preserve"> el 20 de noviembre de 2020</w:t>
      </w:r>
      <w:r w:rsidR="003B33D5" w:rsidRPr="003B33D5">
        <w:rPr>
          <w:rFonts w:ascii="Leelawadee" w:hAnsi="Leelawadee" w:cs="Leelawadee"/>
          <w:sz w:val="22"/>
          <w:szCs w:val="22"/>
          <w:lang w:val="es-419"/>
        </w:rPr>
        <w:t xml:space="preserve"> </w:t>
      </w:r>
      <w:r w:rsidR="003B33D5">
        <w:rPr>
          <w:rFonts w:ascii="Leelawadee" w:hAnsi="Leelawadee" w:cs="Leelawadee"/>
          <w:sz w:val="22"/>
          <w:szCs w:val="22"/>
          <w:lang w:val="es-419"/>
        </w:rPr>
        <w:t>se interpuso</w:t>
      </w:r>
      <w:r w:rsidR="003B33D5" w:rsidRPr="003B33D5">
        <w:rPr>
          <w:rFonts w:ascii="Leelawadee" w:hAnsi="Leelawadee" w:cs="Leelawadee"/>
          <w:sz w:val="22"/>
          <w:szCs w:val="22"/>
          <w:lang w:val="es-419"/>
        </w:rPr>
        <w:t xml:space="preserve"> </w:t>
      </w:r>
      <w:r w:rsidR="003B33D5">
        <w:rPr>
          <w:rFonts w:ascii="Leelawadee" w:hAnsi="Leelawadee" w:cs="Leelawadee"/>
          <w:sz w:val="22"/>
          <w:szCs w:val="22"/>
          <w:lang w:val="es-419"/>
        </w:rPr>
        <w:t>r</w:t>
      </w:r>
      <w:r w:rsidR="003B33D5" w:rsidRPr="003B33D5">
        <w:rPr>
          <w:rFonts w:ascii="Leelawadee" w:hAnsi="Leelawadee" w:cs="Leelawadee"/>
          <w:sz w:val="22"/>
          <w:szCs w:val="22"/>
          <w:lang w:val="es-419"/>
        </w:rPr>
        <w:t>ecurso de Casación</w:t>
      </w:r>
      <w:r w:rsidR="003B33D5">
        <w:rPr>
          <w:rFonts w:ascii="Leelawadee" w:hAnsi="Leelawadee" w:cs="Leelawadee"/>
          <w:sz w:val="22"/>
          <w:szCs w:val="22"/>
          <w:lang w:val="es-419"/>
        </w:rPr>
        <w:t>,</w:t>
      </w:r>
      <w:r w:rsidR="003B33D5" w:rsidRPr="003B33D5">
        <w:rPr>
          <w:rFonts w:ascii="Leelawadee" w:hAnsi="Leelawadee" w:cs="Leelawadee"/>
          <w:sz w:val="22"/>
          <w:szCs w:val="22"/>
          <w:lang w:val="es-419"/>
        </w:rPr>
        <w:t xml:space="preserve"> </w:t>
      </w:r>
      <w:r w:rsidR="003B33D5">
        <w:rPr>
          <w:rFonts w:ascii="Leelawadee" w:hAnsi="Leelawadee" w:cs="Leelawadee"/>
          <w:sz w:val="22"/>
          <w:szCs w:val="22"/>
          <w:lang w:val="es-419"/>
        </w:rPr>
        <w:t xml:space="preserve">sin embargo, </w:t>
      </w:r>
      <w:r w:rsidR="003B33D5" w:rsidRPr="003B33D5">
        <w:rPr>
          <w:rFonts w:ascii="Leelawadee" w:hAnsi="Leelawadee" w:cs="Leelawadee"/>
          <w:sz w:val="22"/>
          <w:szCs w:val="22"/>
          <w:lang w:val="es-419"/>
        </w:rPr>
        <w:t xml:space="preserve">la Sala Penal de la Corte Suprema de Justicia </w:t>
      </w:r>
      <w:r w:rsidR="003B33D5">
        <w:rPr>
          <w:rFonts w:ascii="Leelawadee" w:hAnsi="Leelawadee" w:cs="Leelawadee"/>
          <w:sz w:val="22"/>
          <w:szCs w:val="22"/>
          <w:lang w:val="es-419"/>
        </w:rPr>
        <w:t xml:space="preserve">no ha </w:t>
      </w:r>
      <w:r w:rsidR="003B33D5" w:rsidRPr="003B33D5">
        <w:rPr>
          <w:rFonts w:ascii="Leelawadee" w:hAnsi="Leelawadee" w:cs="Leelawadee"/>
          <w:sz w:val="22"/>
          <w:szCs w:val="22"/>
          <w:lang w:val="es-419"/>
        </w:rPr>
        <w:t xml:space="preserve">emitido </w:t>
      </w:r>
      <w:r w:rsidR="003B33D5">
        <w:rPr>
          <w:rFonts w:ascii="Leelawadee" w:hAnsi="Leelawadee" w:cs="Leelawadee"/>
          <w:sz w:val="22"/>
          <w:szCs w:val="22"/>
          <w:lang w:val="es-419"/>
        </w:rPr>
        <w:t>su resolución</w:t>
      </w:r>
      <w:r w:rsidR="003B33D5" w:rsidRPr="003B33D5">
        <w:rPr>
          <w:rFonts w:ascii="Leelawadee" w:hAnsi="Leelawadee" w:cs="Leelawadee"/>
          <w:sz w:val="22"/>
          <w:szCs w:val="22"/>
          <w:lang w:val="es-419"/>
        </w:rPr>
        <w:t xml:space="preserve">, limitando el acceso a la justicia para las víctimas </w:t>
      </w:r>
      <w:r w:rsidR="003B33D5">
        <w:rPr>
          <w:rFonts w:ascii="Leelawadee" w:hAnsi="Leelawadee" w:cs="Leelawadee"/>
          <w:sz w:val="22"/>
          <w:szCs w:val="22"/>
          <w:lang w:val="es-419"/>
        </w:rPr>
        <w:t>de estos hechos.</w:t>
      </w:r>
    </w:p>
    <w:p w14:paraId="7DBB2C3C" w14:textId="5CA72394" w:rsidR="00D41B41" w:rsidRPr="00E2092E" w:rsidRDefault="00863F29" w:rsidP="00E2092E">
      <w:pPr>
        <w:spacing w:after="120" w:line="276" w:lineRule="auto"/>
        <w:jc w:val="both"/>
        <w:rPr>
          <w:rFonts w:ascii="Leelawadee" w:hAnsi="Leelawadee" w:cs="Leelawadee"/>
          <w:sz w:val="22"/>
          <w:szCs w:val="22"/>
          <w:lang w:val="es-419"/>
        </w:rPr>
      </w:pPr>
      <w:r>
        <w:rPr>
          <w:rFonts w:ascii="Leelawadee" w:hAnsi="Leelawadee" w:cs="Leelawadee"/>
          <w:sz w:val="22"/>
          <w:szCs w:val="22"/>
          <w:lang w:val="es-419"/>
        </w:rPr>
        <w:t xml:space="preserve">11. </w:t>
      </w:r>
      <w:r w:rsidRPr="00E2092E">
        <w:rPr>
          <w:rFonts w:ascii="Leelawadee" w:hAnsi="Leelawadee" w:cs="Leelawadee"/>
          <w:sz w:val="22"/>
          <w:szCs w:val="22"/>
          <w:lang w:val="es-419"/>
        </w:rPr>
        <w:t>Los hechos descritos violan el derecho a la seguridad personal y a la protección del Estado contra todo acto de violencia (</w:t>
      </w:r>
      <w:r w:rsidR="003B33D5">
        <w:rPr>
          <w:rFonts w:ascii="Leelawadee" w:hAnsi="Leelawadee" w:cs="Leelawadee"/>
          <w:sz w:val="22"/>
          <w:szCs w:val="22"/>
          <w:lang w:val="es-419"/>
        </w:rPr>
        <w:t xml:space="preserve">artículo 5 inciso b. </w:t>
      </w:r>
      <w:r w:rsidRPr="00E2092E">
        <w:rPr>
          <w:rFonts w:ascii="Leelawadee" w:hAnsi="Leelawadee" w:cs="Leelawadee"/>
          <w:sz w:val="22"/>
          <w:szCs w:val="22"/>
          <w:lang w:val="es-419"/>
        </w:rPr>
        <w:t>de la Convención), en relación con la obligación de no fomentar, defender ni apoyar la discriminación racial practicada por particulares y con el derecho a protección y recursos efectivos. La Corte Interamericana ha establecido</w:t>
      </w:r>
      <w:r w:rsidR="003B33D5">
        <w:rPr>
          <w:rFonts w:ascii="Leelawadee" w:hAnsi="Leelawadee" w:cs="Leelawadee"/>
          <w:sz w:val="22"/>
          <w:szCs w:val="22"/>
          <w:lang w:val="es-419"/>
        </w:rPr>
        <w:t xml:space="preserve">, </w:t>
      </w:r>
      <w:r w:rsidRPr="00E2092E">
        <w:rPr>
          <w:rFonts w:ascii="Leelawadee" w:hAnsi="Leelawadee" w:cs="Leelawadee"/>
          <w:sz w:val="22"/>
          <w:szCs w:val="22"/>
          <w:lang w:val="es-419"/>
        </w:rPr>
        <w:t>precisamente en dos casos contra Honduras relativos a personas defensoras del ambiente</w:t>
      </w:r>
      <w:r w:rsidR="003B33D5">
        <w:rPr>
          <w:rFonts w:ascii="Leelawadee" w:hAnsi="Leelawadee" w:cs="Leelawadee"/>
          <w:sz w:val="22"/>
          <w:szCs w:val="22"/>
          <w:lang w:val="es-419"/>
        </w:rPr>
        <w:t>,</w:t>
      </w:r>
      <w:r w:rsidRPr="00E2092E">
        <w:rPr>
          <w:rFonts w:ascii="Leelawadee" w:hAnsi="Leelawadee" w:cs="Leelawadee"/>
          <w:sz w:val="22"/>
          <w:szCs w:val="22"/>
          <w:lang w:val="es-419"/>
        </w:rPr>
        <w:t xml:space="preserve"> que el Estado tiene un deber reforzado de prevención y protección frente a riesgos conocidos contra defensores ambientales, y que la falta de investigación diligente de tales ataques propicia su repetición</w:t>
      </w:r>
      <w:r w:rsidRPr="00E2092E">
        <w:rPr>
          <w:rStyle w:val="Refdenotaalpie"/>
          <w:rFonts w:ascii="Leelawadee" w:hAnsi="Leelawadee" w:cs="Leelawadee"/>
          <w:sz w:val="22"/>
          <w:szCs w:val="22"/>
        </w:rPr>
        <w:footnoteReference w:id="13"/>
      </w:r>
      <w:r w:rsidRPr="00E2092E">
        <w:rPr>
          <w:rFonts w:ascii="Leelawadee" w:hAnsi="Leelawadee" w:cs="Leelawadee"/>
          <w:sz w:val="22"/>
          <w:szCs w:val="22"/>
          <w:lang w:val="es-419"/>
        </w:rPr>
        <w:t xml:space="preserve">. En el presente caso el riesgo no solo era conocido: estaba declarado formalmente por la CIDH desde 2013 mediante medidas cautelares vigentes. La </w:t>
      </w:r>
      <w:r>
        <w:rPr>
          <w:rFonts w:ascii="Leelawadee" w:hAnsi="Leelawadee" w:cs="Leelawadee"/>
          <w:sz w:val="22"/>
          <w:szCs w:val="22"/>
          <w:lang w:val="es-419"/>
        </w:rPr>
        <w:t>no ejecución</w:t>
      </w:r>
      <w:r w:rsidRPr="00E2092E">
        <w:rPr>
          <w:rFonts w:ascii="Leelawadee" w:hAnsi="Leelawadee" w:cs="Leelawadee"/>
          <w:sz w:val="22"/>
          <w:szCs w:val="22"/>
          <w:lang w:val="es-419"/>
        </w:rPr>
        <w:t xml:space="preserve"> de órdenes de captura durante años, la ausencia de resultados en al menos cuarenta y ocho denuncias y la subsistencia del factor estructural del riesgo (la explotación maderera y minera) configuran una denegación de justicia por motivos étnicos, contraria a la Recomendaci</w:t>
      </w:r>
      <w:r>
        <w:rPr>
          <w:rFonts w:ascii="Leelawadee" w:hAnsi="Leelawadee" w:cs="Leelawadee"/>
          <w:sz w:val="22"/>
          <w:szCs w:val="22"/>
          <w:lang w:val="es-419"/>
        </w:rPr>
        <w:t>ones</w:t>
      </w:r>
      <w:r w:rsidRPr="00E2092E">
        <w:rPr>
          <w:rFonts w:ascii="Leelawadee" w:hAnsi="Leelawadee" w:cs="Leelawadee"/>
          <w:sz w:val="22"/>
          <w:szCs w:val="22"/>
          <w:lang w:val="es-419"/>
        </w:rPr>
        <w:t xml:space="preserve"> </w:t>
      </w:r>
      <w:r>
        <w:rPr>
          <w:rFonts w:ascii="Leelawadee" w:hAnsi="Leelawadee" w:cs="Leelawadee"/>
          <w:sz w:val="22"/>
          <w:szCs w:val="22"/>
          <w:lang w:val="es-419"/>
        </w:rPr>
        <w:t xml:space="preserve">generales </w:t>
      </w:r>
      <w:r w:rsidRPr="00E2092E">
        <w:rPr>
          <w:rFonts w:ascii="Leelawadee" w:hAnsi="Leelawadee" w:cs="Leelawadee"/>
          <w:sz w:val="22"/>
          <w:szCs w:val="22"/>
          <w:lang w:val="es-419"/>
        </w:rPr>
        <w:t>del Comité, que exige a los Estados garantizar que la condición indígena de las víctimas no se traduzca en investigaciones de menor intensidad.</w:t>
      </w:r>
    </w:p>
    <w:p w14:paraId="109D00F9" w14:textId="2FF35A5E" w:rsidR="00D41B41" w:rsidRPr="00E2092E" w:rsidRDefault="009F2540" w:rsidP="00E2092E">
      <w:pPr>
        <w:pStyle w:val="Ttulo2"/>
        <w:spacing w:before="180" w:after="120" w:line="276" w:lineRule="auto"/>
        <w:rPr>
          <w:rFonts w:ascii="Leelawadee" w:hAnsi="Leelawadee" w:cs="Leelawadee"/>
          <w:sz w:val="22"/>
          <w:szCs w:val="22"/>
          <w:lang w:val="es-419"/>
        </w:rPr>
      </w:pPr>
      <w:r w:rsidRPr="00E2092E">
        <w:rPr>
          <w:rFonts w:ascii="Leelawadee" w:hAnsi="Leelawadee" w:cs="Leelawadee"/>
          <w:b/>
          <w:bCs/>
          <w:color w:val="000000"/>
          <w:sz w:val="22"/>
          <w:szCs w:val="22"/>
          <w:lang w:val="es-419"/>
        </w:rPr>
        <w:lastRenderedPageBreak/>
        <w:t>III.3. Territorio ancestral: reducción del título e invasiones toleradas (art</w:t>
      </w:r>
      <w:r w:rsidR="00863F29">
        <w:rPr>
          <w:rFonts w:ascii="Leelawadee" w:hAnsi="Leelawadee" w:cs="Leelawadee"/>
          <w:b/>
          <w:bCs/>
          <w:color w:val="000000"/>
          <w:sz w:val="22"/>
          <w:szCs w:val="22"/>
          <w:lang w:val="es-419"/>
        </w:rPr>
        <w:t>ículo</w:t>
      </w:r>
      <w:r w:rsidRPr="00E2092E">
        <w:rPr>
          <w:rFonts w:ascii="Leelawadee" w:hAnsi="Leelawadee" w:cs="Leelawadee"/>
          <w:b/>
          <w:bCs/>
          <w:color w:val="000000"/>
          <w:sz w:val="22"/>
          <w:szCs w:val="22"/>
          <w:lang w:val="es-419"/>
        </w:rPr>
        <w:t xml:space="preserve"> 5</w:t>
      </w:r>
      <w:r w:rsidR="00863F29">
        <w:rPr>
          <w:rFonts w:ascii="Leelawadee" w:hAnsi="Leelawadee" w:cs="Leelawadee"/>
          <w:b/>
          <w:bCs/>
          <w:color w:val="000000"/>
          <w:sz w:val="22"/>
          <w:szCs w:val="22"/>
          <w:lang w:val="es-419"/>
        </w:rPr>
        <w:t xml:space="preserve"> inciso </w:t>
      </w:r>
      <w:r w:rsidRPr="00E2092E">
        <w:rPr>
          <w:rFonts w:ascii="Leelawadee" w:hAnsi="Leelawadee" w:cs="Leelawadee"/>
          <w:b/>
          <w:bCs/>
          <w:color w:val="000000"/>
          <w:sz w:val="22"/>
          <w:szCs w:val="22"/>
          <w:lang w:val="es-419"/>
        </w:rPr>
        <w:t>d</w:t>
      </w:r>
      <w:r w:rsidR="00863F29">
        <w:rPr>
          <w:rFonts w:ascii="Leelawadee" w:hAnsi="Leelawadee" w:cs="Leelawadee"/>
          <w:b/>
          <w:bCs/>
          <w:color w:val="000000"/>
          <w:sz w:val="22"/>
          <w:szCs w:val="22"/>
          <w:lang w:val="es-419"/>
        </w:rPr>
        <w:t xml:space="preserve">. </w:t>
      </w:r>
      <w:r w:rsidRPr="00E2092E">
        <w:rPr>
          <w:rFonts w:ascii="Leelawadee" w:hAnsi="Leelawadee" w:cs="Leelawadee"/>
          <w:b/>
          <w:bCs/>
          <w:color w:val="000000"/>
          <w:sz w:val="22"/>
          <w:szCs w:val="22"/>
          <w:lang w:val="es-419"/>
        </w:rPr>
        <w:t>v)</w:t>
      </w:r>
    </w:p>
    <w:p w14:paraId="723AF7A4" w14:textId="77926725" w:rsidR="00D41B41" w:rsidRPr="00E2092E" w:rsidRDefault="009F2540" w:rsidP="00E2092E">
      <w:pPr>
        <w:spacing w:after="120" w:line="276" w:lineRule="auto"/>
        <w:jc w:val="both"/>
        <w:rPr>
          <w:rFonts w:ascii="Leelawadee" w:hAnsi="Leelawadee" w:cs="Leelawadee"/>
          <w:sz w:val="22"/>
          <w:szCs w:val="22"/>
          <w:lang w:val="es-419"/>
        </w:rPr>
      </w:pPr>
      <w:r w:rsidRPr="00E2092E">
        <w:rPr>
          <w:rFonts w:ascii="Leelawadee" w:hAnsi="Leelawadee" w:cs="Leelawadee"/>
          <w:sz w:val="22"/>
          <w:szCs w:val="22"/>
          <w:lang w:val="es-419"/>
        </w:rPr>
        <w:t>1</w:t>
      </w:r>
      <w:r w:rsidR="00863F29">
        <w:rPr>
          <w:rFonts w:ascii="Leelawadee" w:hAnsi="Leelawadee" w:cs="Leelawadee"/>
          <w:sz w:val="22"/>
          <w:szCs w:val="22"/>
          <w:lang w:val="es-419"/>
        </w:rPr>
        <w:t>2</w:t>
      </w:r>
      <w:r w:rsidRPr="00E2092E">
        <w:rPr>
          <w:rFonts w:ascii="Leelawadee" w:hAnsi="Leelawadee" w:cs="Leelawadee"/>
          <w:sz w:val="22"/>
          <w:szCs w:val="22"/>
          <w:lang w:val="es-419"/>
        </w:rPr>
        <w:t xml:space="preserve">. El título ancestral de la TSFL fue reducido en su extensión mediante resoluciones emitidas por el </w:t>
      </w:r>
      <w:r w:rsidRPr="00E2092E">
        <w:rPr>
          <w:rFonts w:ascii="Leelawadee" w:hAnsi="Leelawadee" w:cs="Leelawadee"/>
          <w:b/>
          <w:bCs/>
          <w:sz w:val="22"/>
          <w:szCs w:val="22"/>
          <w:lang w:val="es-419"/>
        </w:rPr>
        <w:t>Instituto Nacional Agrario (INA)</w:t>
      </w:r>
      <w:r w:rsidRPr="00E2092E">
        <w:rPr>
          <w:rFonts w:ascii="Leelawadee" w:hAnsi="Leelawadee" w:cs="Leelawadee"/>
          <w:sz w:val="22"/>
          <w:szCs w:val="22"/>
          <w:lang w:val="es-419"/>
        </w:rPr>
        <w:t xml:space="preserve"> en 1999. Aunque dichas resoluciones datan de ese año, su impugnación constituye una reivindicación actual y vigente de las tribus tolupanas: se han promovido acciones administrativas dirigidas a obtener la nulidad de tales resoluciones, las cuales se encuentran pendientes de resolución. El Estado no ha establecido el mecanismo adecuado y eficaz de reclamación y restitución de tierras y territorios ancestrales recomendado por el Comité en 2019</w:t>
      </w:r>
      <w:r w:rsidR="00863F29">
        <w:rPr>
          <w:rStyle w:val="Refdenotaalpie"/>
          <w:rFonts w:ascii="Leelawadee" w:hAnsi="Leelawadee" w:cs="Leelawadee"/>
          <w:sz w:val="22"/>
          <w:szCs w:val="22"/>
          <w:lang w:val="es-419"/>
        </w:rPr>
        <w:footnoteReference w:id="14"/>
      </w:r>
      <w:r w:rsidRPr="00E2092E">
        <w:rPr>
          <w:rFonts w:ascii="Leelawadee" w:hAnsi="Leelawadee" w:cs="Leelawadee"/>
          <w:sz w:val="22"/>
          <w:szCs w:val="22"/>
          <w:lang w:val="es-419"/>
        </w:rPr>
        <w:t>. Paralelamente, el territorio de la Tribu es objeto de invasiones y ocupaciones por personas externas a ella, que suceden actualmente y son toleradas por las autoridades, sin que se hayan activado procesos de saneamiento territorial conforme a los estándares internacionales.</w:t>
      </w:r>
    </w:p>
    <w:p w14:paraId="5B3B4EB4" w14:textId="30CB9343" w:rsidR="00D41B41" w:rsidRPr="00E2092E" w:rsidRDefault="00D7759A" w:rsidP="00E2092E">
      <w:pPr>
        <w:spacing w:after="120" w:line="276" w:lineRule="auto"/>
        <w:jc w:val="both"/>
        <w:rPr>
          <w:rFonts w:ascii="Leelawadee" w:hAnsi="Leelawadee" w:cs="Leelawadee"/>
          <w:sz w:val="22"/>
          <w:szCs w:val="22"/>
          <w:lang w:val="es-419"/>
        </w:rPr>
      </w:pPr>
      <w:r>
        <w:rPr>
          <w:rFonts w:ascii="Leelawadee" w:hAnsi="Leelawadee" w:cs="Leelawadee"/>
          <w:sz w:val="22"/>
          <w:szCs w:val="22"/>
          <w:lang w:val="es-419"/>
        </w:rPr>
        <w:t xml:space="preserve">13. </w:t>
      </w:r>
      <w:r w:rsidRPr="00E2092E">
        <w:rPr>
          <w:rFonts w:ascii="Leelawadee" w:hAnsi="Leelawadee" w:cs="Leelawadee"/>
          <w:sz w:val="22"/>
          <w:szCs w:val="22"/>
          <w:lang w:val="es-419"/>
        </w:rPr>
        <w:t xml:space="preserve">El derecho de toda persona a la propiedad, individualmente y en asociación con otras, comprende, tratándose de pueblos indígenas, el derecho a poseer, desarrollar, controlar y utilizar sus tierras, territorios y </w:t>
      </w:r>
      <w:r>
        <w:rPr>
          <w:rFonts w:ascii="Leelawadee" w:hAnsi="Leelawadee" w:cs="Leelawadee"/>
          <w:sz w:val="22"/>
          <w:szCs w:val="22"/>
          <w:lang w:val="es-419"/>
        </w:rPr>
        <w:t>bienes naturales comunes</w:t>
      </w:r>
      <w:r w:rsidRPr="00E2092E">
        <w:rPr>
          <w:rFonts w:ascii="Leelawadee" w:hAnsi="Leelawadee" w:cs="Leelawadee"/>
          <w:sz w:val="22"/>
          <w:szCs w:val="22"/>
          <w:lang w:val="es-419"/>
        </w:rPr>
        <w:t>, y</w:t>
      </w:r>
      <w:r w:rsidR="00863F29">
        <w:rPr>
          <w:rFonts w:ascii="Leelawadee" w:hAnsi="Leelawadee" w:cs="Leelawadee"/>
          <w:sz w:val="22"/>
          <w:szCs w:val="22"/>
          <w:lang w:val="es-419"/>
        </w:rPr>
        <w:t xml:space="preserve">, </w:t>
      </w:r>
      <w:r w:rsidRPr="00E2092E">
        <w:rPr>
          <w:rFonts w:ascii="Leelawadee" w:hAnsi="Leelawadee" w:cs="Leelawadee"/>
          <w:sz w:val="22"/>
          <w:szCs w:val="22"/>
          <w:lang w:val="es-419"/>
        </w:rPr>
        <w:t>cuando han sido privados de ellos sin su consentimiento libre e informado</w:t>
      </w:r>
      <w:r w:rsidR="00863F29">
        <w:rPr>
          <w:rFonts w:ascii="Leelawadee" w:hAnsi="Leelawadee" w:cs="Leelawadee"/>
          <w:sz w:val="22"/>
          <w:szCs w:val="22"/>
          <w:lang w:val="es-419"/>
        </w:rPr>
        <w:t>,</w:t>
      </w:r>
      <w:r w:rsidRPr="00E2092E">
        <w:rPr>
          <w:rFonts w:ascii="Leelawadee" w:hAnsi="Leelawadee" w:cs="Leelawadee"/>
          <w:sz w:val="22"/>
          <w:szCs w:val="22"/>
          <w:lang w:val="es-419"/>
        </w:rPr>
        <w:t xml:space="preserve"> el derecho a su devolución, conforme a la Recomendación </w:t>
      </w:r>
      <w:r>
        <w:rPr>
          <w:rFonts w:ascii="Leelawadee" w:hAnsi="Leelawadee" w:cs="Leelawadee"/>
          <w:sz w:val="22"/>
          <w:szCs w:val="22"/>
          <w:lang w:val="es-419"/>
        </w:rPr>
        <w:t>G</w:t>
      </w:r>
      <w:r w:rsidRPr="00E2092E">
        <w:rPr>
          <w:rFonts w:ascii="Leelawadee" w:hAnsi="Leelawadee" w:cs="Leelawadee"/>
          <w:sz w:val="22"/>
          <w:szCs w:val="22"/>
          <w:lang w:val="es-419"/>
        </w:rPr>
        <w:t xml:space="preserve">eneral </w:t>
      </w:r>
      <w:r w:rsidR="003F7866">
        <w:rPr>
          <w:rFonts w:ascii="Leelawadee" w:hAnsi="Leelawadee" w:cs="Leelawadee"/>
          <w:sz w:val="22"/>
          <w:szCs w:val="22"/>
          <w:lang w:val="es-419"/>
        </w:rPr>
        <w:t>No. 31</w:t>
      </w:r>
      <w:r w:rsidRPr="00E2092E">
        <w:rPr>
          <w:rFonts w:ascii="Leelawadee" w:hAnsi="Leelawadee" w:cs="Leelawadee"/>
          <w:sz w:val="22"/>
          <w:szCs w:val="22"/>
          <w:lang w:val="es-419"/>
        </w:rPr>
        <w:t xml:space="preserve"> del Comité. La posesión ancestral prevalece sobre el registro estatal y el derecho de recuperación permanece vigente mientras subsista la relación del pueblo con su territorio</w:t>
      </w:r>
      <w:r w:rsidRPr="00E2092E">
        <w:rPr>
          <w:rStyle w:val="Refdenotaalpie"/>
          <w:rFonts w:ascii="Leelawadee" w:hAnsi="Leelawadee" w:cs="Leelawadee"/>
          <w:sz w:val="22"/>
          <w:szCs w:val="22"/>
        </w:rPr>
        <w:footnoteReference w:id="15"/>
      </w:r>
      <w:r w:rsidRPr="00E2092E">
        <w:rPr>
          <w:rFonts w:ascii="Leelawadee" w:hAnsi="Leelawadee" w:cs="Leelawadee"/>
          <w:sz w:val="22"/>
          <w:szCs w:val="22"/>
          <w:lang w:val="es-419"/>
        </w:rPr>
        <w:t xml:space="preserve">. La subsistencia de resoluciones administrativas reductoras del título ancestral sin resolución de </w:t>
      </w:r>
      <w:r w:rsidR="00434312">
        <w:rPr>
          <w:rFonts w:ascii="Leelawadee" w:hAnsi="Leelawadee" w:cs="Leelawadee"/>
          <w:sz w:val="22"/>
          <w:szCs w:val="22"/>
          <w:lang w:val="es-419"/>
        </w:rPr>
        <w:t xml:space="preserve">la nulidad </w:t>
      </w:r>
      <w:r w:rsidRPr="00E2092E">
        <w:rPr>
          <w:rFonts w:ascii="Leelawadee" w:hAnsi="Leelawadee" w:cs="Leelawadee"/>
          <w:sz w:val="22"/>
          <w:szCs w:val="22"/>
          <w:lang w:val="es-419"/>
        </w:rPr>
        <w:t xml:space="preserve">promovida, la ausencia del mecanismo de restitución ordenado por el Comité en 2019 y la </w:t>
      </w:r>
      <w:r w:rsidR="00434312">
        <w:rPr>
          <w:rFonts w:ascii="Leelawadee" w:hAnsi="Leelawadee" w:cs="Leelawadee"/>
          <w:sz w:val="22"/>
          <w:szCs w:val="22"/>
          <w:lang w:val="es-419"/>
        </w:rPr>
        <w:t xml:space="preserve">omisión </w:t>
      </w:r>
      <w:r w:rsidRPr="00E2092E">
        <w:rPr>
          <w:rFonts w:ascii="Leelawadee" w:hAnsi="Leelawadee" w:cs="Leelawadee"/>
          <w:sz w:val="22"/>
          <w:szCs w:val="22"/>
          <w:lang w:val="es-419"/>
        </w:rPr>
        <w:t>estatal frente a las invasiones de terceros constituyen, en conjunto, una violación continuada del artículo 5</w:t>
      </w:r>
      <w:r w:rsidR="00434312">
        <w:rPr>
          <w:rFonts w:ascii="Leelawadee" w:hAnsi="Leelawadee" w:cs="Leelawadee"/>
          <w:sz w:val="22"/>
          <w:szCs w:val="22"/>
          <w:lang w:val="es-419"/>
        </w:rPr>
        <w:t xml:space="preserve"> inciso d.v</w:t>
      </w:r>
      <w:r w:rsidRPr="00E2092E">
        <w:rPr>
          <w:rFonts w:ascii="Leelawadee" w:hAnsi="Leelawadee" w:cs="Leelawadee"/>
          <w:sz w:val="22"/>
          <w:szCs w:val="22"/>
          <w:lang w:val="es-419"/>
        </w:rPr>
        <w:t xml:space="preserve">, agravada por su conexión con el aprovechamiento económico de los recursos del territorio por </w:t>
      </w:r>
      <w:r w:rsidR="00434312">
        <w:rPr>
          <w:rFonts w:ascii="Leelawadee" w:hAnsi="Leelawadee" w:cs="Leelawadee"/>
          <w:sz w:val="22"/>
          <w:szCs w:val="22"/>
          <w:lang w:val="es-419"/>
        </w:rPr>
        <w:t xml:space="preserve">actores </w:t>
      </w:r>
      <w:r w:rsidRPr="00E2092E">
        <w:rPr>
          <w:rFonts w:ascii="Leelawadee" w:hAnsi="Leelawadee" w:cs="Leelawadee"/>
          <w:sz w:val="22"/>
          <w:szCs w:val="22"/>
          <w:lang w:val="es-419"/>
        </w:rPr>
        <w:t>externos.</w:t>
      </w:r>
    </w:p>
    <w:p w14:paraId="0D47409C" w14:textId="77777777" w:rsidR="00D41B41" w:rsidRPr="00E2092E" w:rsidRDefault="009F2540" w:rsidP="00E2092E">
      <w:pPr>
        <w:pStyle w:val="Ttulo2"/>
        <w:spacing w:before="180" w:after="120" w:line="276" w:lineRule="auto"/>
        <w:rPr>
          <w:rFonts w:ascii="Leelawadee" w:hAnsi="Leelawadee" w:cs="Leelawadee"/>
          <w:sz w:val="22"/>
          <w:szCs w:val="22"/>
          <w:lang w:val="es-419"/>
        </w:rPr>
      </w:pPr>
      <w:r w:rsidRPr="00E2092E">
        <w:rPr>
          <w:rFonts w:ascii="Leelawadee" w:hAnsi="Leelawadee" w:cs="Leelawadee"/>
          <w:b/>
          <w:bCs/>
          <w:color w:val="000000"/>
          <w:sz w:val="22"/>
          <w:szCs w:val="22"/>
          <w:lang w:val="es-419"/>
        </w:rPr>
        <w:t>III.4. Consulta previa, libre e informada y saqueo de los bienes naturales comunes: madera y antimonio (arts. 2 y 5.d.v)</w:t>
      </w:r>
    </w:p>
    <w:p w14:paraId="018665C3" w14:textId="3D8B7F28" w:rsidR="00D41B41" w:rsidRPr="00E2092E" w:rsidRDefault="009F2540" w:rsidP="00E2092E">
      <w:pPr>
        <w:spacing w:after="120" w:line="276" w:lineRule="auto"/>
        <w:jc w:val="both"/>
        <w:rPr>
          <w:rFonts w:ascii="Leelawadee" w:hAnsi="Leelawadee" w:cs="Leelawadee"/>
          <w:sz w:val="22"/>
          <w:szCs w:val="22"/>
          <w:lang w:val="es-419"/>
        </w:rPr>
      </w:pPr>
      <w:r w:rsidRPr="00E2092E">
        <w:rPr>
          <w:rFonts w:ascii="Leelawadee" w:hAnsi="Leelawadee" w:cs="Leelawadee"/>
          <w:sz w:val="22"/>
          <w:szCs w:val="22"/>
          <w:lang w:val="es-419"/>
        </w:rPr>
        <w:t>1</w:t>
      </w:r>
      <w:r w:rsidR="00434312">
        <w:rPr>
          <w:rFonts w:ascii="Leelawadee" w:hAnsi="Leelawadee" w:cs="Leelawadee"/>
          <w:sz w:val="22"/>
          <w:szCs w:val="22"/>
          <w:lang w:val="es-419"/>
        </w:rPr>
        <w:t>4</w:t>
      </w:r>
      <w:r w:rsidRPr="00E2092E">
        <w:rPr>
          <w:rFonts w:ascii="Leelawadee" w:hAnsi="Leelawadee" w:cs="Leelawadee"/>
          <w:sz w:val="22"/>
          <w:szCs w:val="22"/>
          <w:lang w:val="es-419"/>
        </w:rPr>
        <w:t xml:space="preserve">. La explotación </w:t>
      </w:r>
      <w:r w:rsidR="00434312">
        <w:rPr>
          <w:rFonts w:ascii="Leelawadee" w:hAnsi="Leelawadee" w:cs="Leelawadee"/>
          <w:sz w:val="22"/>
          <w:szCs w:val="22"/>
          <w:lang w:val="es-419"/>
        </w:rPr>
        <w:t>del bosque</w:t>
      </w:r>
      <w:r w:rsidRPr="00E2092E">
        <w:rPr>
          <w:rFonts w:ascii="Leelawadee" w:hAnsi="Leelawadee" w:cs="Leelawadee"/>
          <w:sz w:val="22"/>
          <w:szCs w:val="22"/>
          <w:lang w:val="es-419"/>
        </w:rPr>
        <w:t xml:space="preserve"> en la TSFL se desarrolla al amparo del </w:t>
      </w:r>
      <w:r w:rsidRPr="00434312">
        <w:rPr>
          <w:rFonts w:ascii="Leelawadee" w:hAnsi="Leelawadee" w:cs="Leelawadee"/>
          <w:sz w:val="22"/>
          <w:szCs w:val="22"/>
          <w:lang w:val="es-419"/>
        </w:rPr>
        <w:t>Plan de Manejo Forestal BP-YO-1811-0221-1994,</w:t>
      </w:r>
      <w:r w:rsidRPr="00E2092E">
        <w:rPr>
          <w:rFonts w:ascii="Leelawadee" w:hAnsi="Leelawadee" w:cs="Leelawadee"/>
          <w:sz w:val="22"/>
          <w:szCs w:val="22"/>
          <w:lang w:val="es-419"/>
        </w:rPr>
        <w:t xml:space="preserve"> otorgado por el Instituto de Conservación Forestal (ICF) en 1994, y de planes operativos y permisos posteriores aprobados sin proceso alguno de consulta previa, libre, informada y de buena fe a toda la Tribu</w:t>
      </w:r>
      <w:r w:rsidRPr="00E2092E">
        <w:rPr>
          <w:rStyle w:val="Refdenotaalpie"/>
          <w:rFonts w:ascii="Leelawadee" w:hAnsi="Leelawadee" w:cs="Leelawadee"/>
          <w:sz w:val="22"/>
          <w:szCs w:val="22"/>
        </w:rPr>
        <w:footnoteReference w:id="16"/>
      </w:r>
      <w:r w:rsidRPr="00E2092E">
        <w:rPr>
          <w:rFonts w:ascii="Leelawadee" w:hAnsi="Leelawadee" w:cs="Leelawadee"/>
          <w:sz w:val="22"/>
          <w:szCs w:val="22"/>
          <w:lang w:val="es-419"/>
        </w:rPr>
        <w:t>. El consentimiento indígena ha sido sustituido por procesos asamblearios viciados</w:t>
      </w:r>
      <w:r w:rsidR="00434312">
        <w:rPr>
          <w:rFonts w:ascii="Leelawadee" w:hAnsi="Leelawadee" w:cs="Leelawadee"/>
          <w:sz w:val="22"/>
          <w:szCs w:val="22"/>
          <w:lang w:val="es-419"/>
        </w:rPr>
        <w:t xml:space="preserve">, </w:t>
      </w:r>
      <w:r w:rsidRPr="00E2092E">
        <w:rPr>
          <w:rFonts w:ascii="Leelawadee" w:hAnsi="Leelawadee" w:cs="Leelawadee"/>
          <w:sz w:val="22"/>
          <w:szCs w:val="22"/>
          <w:lang w:val="es-419"/>
        </w:rPr>
        <w:t xml:space="preserve">falta de quórum, ausencia de información previa y suficiente, engaños sobre los acuerdos sometidos a votación, mediante los cuales estructuras </w:t>
      </w:r>
      <w:r w:rsidR="00434312">
        <w:rPr>
          <w:rFonts w:ascii="Leelawadee" w:hAnsi="Leelawadee" w:cs="Leelawadee"/>
          <w:sz w:val="22"/>
          <w:szCs w:val="22"/>
          <w:lang w:val="es-419"/>
        </w:rPr>
        <w:t xml:space="preserve">indígenas </w:t>
      </w:r>
      <w:r w:rsidRPr="00E2092E">
        <w:rPr>
          <w:rFonts w:ascii="Leelawadee" w:hAnsi="Leelawadee" w:cs="Leelawadee"/>
          <w:sz w:val="22"/>
          <w:szCs w:val="22"/>
          <w:lang w:val="es-419"/>
        </w:rPr>
        <w:t>afines a las empresas madereras disponen discrecionalmente del producto de la venta de madera, sin rendición de cuentas ante la Tribu.</w:t>
      </w:r>
      <w:r w:rsidR="00434312">
        <w:rPr>
          <w:rFonts w:ascii="Leelawadee" w:hAnsi="Leelawadee" w:cs="Leelawadee"/>
          <w:sz w:val="22"/>
          <w:szCs w:val="22"/>
          <w:lang w:val="es-419"/>
        </w:rPr>
        <w:t xml:space="preserve"> A consecuencia de las actividades de extracción se han generado múltiples acciones de violencia descritas supra. Además, desde 2022 se han interpuesto </w:t>
      </w:r>
      <w:r w:rsidR="00434312">
        <w:rPr>
          <w:rFonts w:ascii="Leelawadee" w:hAnsi="Leelawadee" w:cs="Leelawadee"/>
          <w:sz w:val="22"/>
          <w:szCs w:val="22"/>
          <w:lang w:val="es-419"/>
        </w:rPr>
        <w:lastRenderedPageBreak/>
        <w:t>acciones de nulidad e impugnación en contra de los permisos de corte de madera, los cuales no han sido resueltos por el ICF.</w:t>
      </w:r>
    </w:p>
    <w:p w14:paraId="1BFA8916" w14:textId="56A26404" w:rsidR="00D41B41" w:rsidRPr="00E2092E" w:rsidRDefault="009F2540" w:rsidP="00E2092E">
      <w:pPr>
        <w:spacing w:after="120" w:line="276" w:lineRule="auto"/>
        <w:jc w:val="both"/>
        <w:rPr>
          <w:rFonts w:ascii="Leelawadee" w:hAnsi="Leelawadee" w:cs="Leelawadee"/>
          <w:sz w:val="22"/>
          <w:szCs w:val="22"/>
          <w:lang w:val="es-419"/>
        </w:rPr>
      </w:pPr>
      <w:r w:rsidRPr="00E2092E">
        <w:rPr>
          <w:rFonts w:ascii="Leelawadee" w:hAnsi="Leelawadee" w:cs="Leelawadee"/>
          <w:sz w:val="22"/>
          <w:szCs w:val="22"/>
          <w:lang w:val="es-419"/>
        </w:rPr>
        <w:t>1</w:t>
      </w:r>
      <w:r w:rsidR="00434312">
        <w:rPr>
          <w:rFonts w:ascii="Leelawadee" w:hAnsi="Leelawadee" w:cs="Leelawadee"/>
          <w:sz w:val="22"/>
          <w:szCs w:val="22"/>
          <w:lang w:val="es-419"/>
        </w:rPr>
        <w:t>5</w:t>
      </w:r>
      <w:r w:rsidRPr="00434312">
        <w:rPr>
          <w:rFonts w:ascii="Leelawadee" w:hAnsi="Leelawadee" w:cs="Leelawadee"/>
          <w:sz w:val="22"/>
          <w:szCs w:val="22"/>
          <w:lang w:val="es-419"/>
        </w:rPr>
        <w:t>. En enero de 2022, la empresa minera LACHANSA CO. S.A.</w:t>
      </w:r>
      <w:r w:rsidR="00434312">
        <w:rPr>
          <w:rFonts w:ascii="Leelawadee" w:hAnsi="Leelawadee" w:cs="Leelawadee"/>
          <w:sz w:val="22"/>
          <w:szCs w:val="22"/>
          <w:lang w:val="es-419"/>
        </w:rPr>
        <w:t xml:space="preserve">, empresa de capital </w:t>
      </w:r>
      <w:r w:rsidR="00C500A2">
        <w:rPr>
          <w:rFonts w:ascii="Leelawadee" w:hAnsi="Leelawadee" w:cs="Leelawadee"/>
          <w:sz w:val="22"/>
          <w:szCs w:val="22"/>
          <w:lang w:val="es-419"/>
        </w:rPr>
        <w:t>estadounidense y colombiano,</w:t>
      </w:r>
      <w:r w:rsidRPr="00434312">
        <w:rPr>
          <w:rFonts w:ascii="Leelawadee" w:hAnsi="Leelawadee" w:cs="Leelawadee"/>
          <w:sz w:val="22"/>
          <w:szCs w:val="22"/>
          <w:lang w:val="es-419"/>
        </w:rPr>
        <w:t xml:space="preserve"> inició actividades de extracción de mineral de antimonio</w:t>
      </w:r>
      <w:r w:rsidRPr="00E2092E">
        <w:rPr>
          <w:rFonts w:ascii="Leelawadee" w:hAnsi="Leelawadee" w:cs="Leelawadee"/>
          <w:sz w:val="22"/>
          <w:szCs w:val="22"/>
          <w:lang w:val="es-419"/>
        </w:rPr>
        <w:t xml:space="preserve"> dentro del territorio tribal, sin licenciamiento ambiental de la Secretaría de Recursos Naturales y Ambiente (</w:t>
      </w:r>
      <w:r w:rsidR="00434312">
        <w:rPr>
          <w:rFonts w:ascii="Leelawadee" w:hAnsi="Leelawadee" w:cs="Leelawadee"/>
          <w:sz w:val="22"/>
          <w:szCs w:val="22"/>
          <w:lang w:val="es-419"/>
        </w:rPr>
        <w:t>SERNA</w:t>
      </w:r>
      <w:r w:rsidRPr="00E2092E">
        <w:rPr>
          <w:rFonts w:ascii="Leelawadee" w:hAnsi="Leelawadee" w:cs="Leelawadee"/>
          <w:sz w:val="22"/>
          <w:szCs w:val="22"/>
          <w:lang w:val="es-419"/>
        </w:rPr>
        <w:t>)</w:t>
      </w:r>
      <w:r w:rsidR="00434312">
        <w:rPr>
          <w:rFonts w:ascii="Leelawadee" w:hAnsi="Leelawadee" w:cs="Leelawadee"/>
          <w:sz w:val="22"/>
          <w:szCs w:val="22"/>
          <w:lang w:val="es-419"/>
        </w:rPr>
        <w:t xml:space="preserve"> y</w:t>
      </w:r>
      <w:r w:rsidRPr="00E2092E">
        <w:rPr>
          <w:rFonts w:ascii="Leelawadee" w:hAnsi="Leelawadee" w:cs="Leelawadee"/>
          <w:sz w:val="22"/>
          <w:szCs w:val="22"/>
          <w:lang w:val="es-419"/>
        </w:rPr>
        <w:t xml:space="preserve"> sin permiso de explotación </w:t>
      </w:r>
      <w:r w:rsidR="00434312">
        <w:rPr>
          <w:rFonts w:ascii="Leelawadee" w:hAnsi="Leelawadee" w:cs="Leelawadee"/>
          <w:sz w:val="22"/>
          <w:szCs w:val="22"/>
          <w:lang w:val="es-419"/>
        </w:rPr>
        <w:t>otorgado por Instituto Hondureño de Geología y Minas (</w:t>
      </w:r>
      <w:r w:rsidRPr="00E2092E">
        <w:rPr>
          <w:rFonts w:ascii="Leelawadee" w:hAnsi="Leelawadee" w:cs="Leelawadee"/>
          <w:sz w:val="22"/>
          <w:szCs w:val="22"/>
          <w:lang w:val="es-419"/>
        </w:rPr>
        <w:t>INHGEOMIN</w:t>
      </w:r>
      <w:r w:rsidR="00434312">
        <w:rPr>
          <w:rFonts w:ascii="Leelawadee" w:hAnsi="Leelawadee" w:cs="Leelawadee"/>
          <w:sz w:val="22"/>
          <w:szCs w:val="22"/>
          <w:lang w:val="es-419"/>
        </w:rPr>
        <w:t>),</w:t>
      </w:r>
      <w:r w:rsidRPr="00E2092E">
        <w:rPr>
          <w:rFonts w:ascii="Leelawadee" w:hAnsi="Leelawadee" w:cs="Leelawadee"/>
          <w:sz w:val="22"/>
          <w:szCs w:val="22"/>
          <w:lang w:val="es-419"/>
        </w:rPr>
        <w:t xml:space="preserve"> sin que mediara consulta a la Tribu. La operación con maquinaria pesada, decenas de trabajadores y detonaciones de dinamita al menos dos veces por día, fue acompañada de una dinámica de compra de voluntades, sobornos, intimidaciones</w:t>
      </w:r>
      <w:r w:rsidR="00434312">
        <w:rPr>
          <w:rFonts w:ascii="Leelawadee" w:hAnsi="Leelawadee" w:cs="Leelawadee"/>
          <w:sz w:val="22"/>
          <w:szCs w:val="22"/>
          <w:lang w:val="es-419"/>
        </w:rPr>
        <w:t>, seguimiento, persecución</w:t>
      </w:r>
      <w:r w:rsidRPr="00E2092E">
        <w:rPr>
          <w:rFonts w:ascii="Leelawadee" w:hAnsi="Leelawadee" w:cs="Leelawadee"/>
          <w:sz w:val="22"/>
          <w:szCs w:val="22"/>
          <w:lang w:val="es-419"/>
        </w:rPr>
        <w:t xml:space="preserve"> y </w:t>
      </w:r>
      <w:r w:rsidR="00434312">
        <w:rPr>
          <w:rFonts w:ascii="Leelawadee" w:hAnsi="Leelawadee" w:cs="Leelawadee"/>
          <w:sz w:val="22"/>
          <w:szCs w:val="22"/>
          <w:lang w:val="es-419"/>
        </w:rPr>
        <w:t xml:space="preserve">amenazas </w:t>
      </w:r>
      <w:r w:rsidRPr="00E2092E">
        <w:rPr>
          <w:rFonts w:ascii="Leelawadee" w:hAnsi="Leelawadee" w:cs="Leelawadee"/>
          <w:sz w:val="22"/>
          <w:szCs w:val="22"/>
          <w:lang w:val="es-419"/>
        </w:rPr>
        <w:t xml:space="preserve">para obtener </w:t>
      </w:r>
      <w:r w:rsidR="00434312">
        <w:rPr>
          <w:rFonts w:ascii="Leelawadee" w:hAnsi="Leelawadee" w:cs="Leelawadee"/>
          <w:sz w:val="22"/>
          <w:szCs w:val="22"/>
          <w:lang w:val="es-419"/>
        </w:rPr>
        <w:t xml:space="preserve">el permiso o </w:t>
      </w:r>
      <w:r w:rsidRPr="00E2092E">
        <w:rPr>
          <w:rFonts w:ascii="Leelawadee" w:hAnsi="Leelawadee" w:cs="Leelawadee"/>
          <w:sz w:val="22"/>
          <w:szCs w:val="22"/>
          <w:lang w:val="es-419"/>
        </w:rPr>
        <w:t>apoyo comunitario, así como del establecimiento de una estructura dedicada a ejecutar acciones de violencia contra las personas del CPT y demás miembros de la Tribu comprometidos con la defensa de sus bienes naturales y comunes</w:t>
      </w:r>
      <w:r w:rsidR="00434312">
        <w:rPr>
          <w:rFonts w:ascii="Leelawadee" w:hAnsi="Leelawadee" w:cs="Leelawadee"/>
          <w:sz w:val="22"/>
          <w:szCs w:val="22"/>
          <w:lang w:val="es-419"/>
        </w:rPr>
        <w:t xml:space="preserve"> que se opusieron a las actividades mineras ilegales</w:t>
      </w:r>
      <w:r w:rsidRPr="00E2092E">
        <w:rPr>
          <w:rStyle w:val="Refdenotaalpie"/>
          <w:rFonts w:ascii="Leelawadee" w:hAnsi="Leelawadee" w:cs="Leelawadee"/>
          <w:sz w:val="22"/>
          <w:szCs w:val="22"/>
        </w:rPr>
        <w:footnoteReference w:id="17"/>
      </w:r>
      <w:r w:rsidRPr="00E2092E">
        <w:rPr>
          <w:rFonts w:ascii="Leelawadee" w:hAnsi="Leelawadee" w:cs="Leelawadee"/>
          <w:sz w:val="22"/>
          <w:szCs w:val="22"/>
          <w:lang w:val="es-419"/>
        </w:rPr>
        <w:t>.</w:t>
      </w:r>
    </w:p>
    <w:p w14:paraId="7569E104" w14:textId="26A37D0B" w:rsidR="00D41B41" w:rsidRPr="00E2092E" w:rsidRDefault="009F2540" w:rsidP="00E2092E">
      <w:pPr>
        <w:spacing w:after="120" w:line="276" w:lineRule="auto"/>
        <w:jc w:val="both"/>
        <w:rPr>
          <w:rFonts w:ascii="Leelawadee" w:hAnsi="Leelawadee" w:cs="Leelawadee"/>
          <w:sz w:val="22"/>
          <w:szCs w:val="22"/>
          <w:lang w:val="es-419"/>
        </w:rPr>
      </w:pPr>
      <w:r w:rsidRPr="00E2092E">
        <w:rPr>
          <w:rFonts w:ascii="Leelawadee" w:hAnsi="Leelawadee" w:cs="Leelawadee"/>
          <w:sz w:val="22"/>
          <w:szCs w:val="22"/>
          <w:lang w:val="es-419"/>
        </w:rPr>
        <w:t>1</w:t>
      </w:r>
      <w:r w:rsidR="00C500A2">
        <w:rPr>
          <w:rFonts w:ascii="Leelawadee" w:hAnsi="Leelawadee" w:cs="Leelawadee"/>
          <w:sz w:val="22"/>
          <w:szCs w:val="22"/>
          <w:lang w:val="es-419"/>
        </w:rPr>
        <w:t>6</w:t>
      </w:r>
      <w:r w:rsidRPr="00E2092E">
        <w:rPr>
          <w:rFonts w:ascii="Leelawadee" w:hAnsi="Leelawadee" w:cs="Leelawadee"/>
          <w:sz w:val="22"/>
          <w:szCs w:val="22"/>
          <w:lang w:val="es-419"/>
        </w:rPr>
        <w:t xml:space="preserve">. La respuesta estatal ha sido tardía y parcial: se ha presentado acusación contra </w:t>
      </w:r>
      <w:r w:rsidRPr="00E2092E">
        <w:rPr>
          <w:rFonts w:ascii="Leelawadee" w:hAnsi="Leelawadee" w:cs="Leelawadee"/>
          <w:b/>
          <w:bCs/>
          <w:sz w:val="22"/>
          <w:szCs w:val="22"/>
          <w:lang w:val="es-419"/>
        </w:rPr>
        <w:t>Álvaro Hernández Londoño</w:t>
      </w:r>
      <w:r w:rsidRPr="00E2092E">
        <w:rPr>
          <w:rFonts w:ascii="Leelawadee" w:hAnsi="Leelawadee" w:cs="Leelawadee"/>
          <w:sz w:val="22"/>
          <w:szCs w:val="22"/>
          <w:lang w:val="es-419"/>
        </w:rPr>
        <w:t>, representante legal de LACHANSA, por el delito de explotación ilegal de recursos naturales</w:t>
      </w:r>
      <w:r w:rsidRPr="00E2092E">
        <w:rPr>
          <w:rStyle w:val="Refdenotaalpie"/>
          <w:rFonts w:ascii="Leelawadee" w:hAnsi="Leelawadee" w:cs="Leelawadee"/>
          <w:sz w:val="22"/>
          <w:szCs w:val="22"/>
        </w:rPr>
        <w:footnoteReference w:id="18"/>
      </w:r>
      <w:r w:rsidRPr="00E2092E">
        <w:rPr>
          <w:rFonts w:ascii="Leelawadee" w:hAnsi="Leelawadee" w:cs="Leelawadee"/>
          <w:sz w:val="22"/>
          <w:szCs w:val="22"/>
          <w:lang w:val="es-419"/>
        </w:rPr>
        <w:t xml:space="preserve">, y contra </w:t>
      </w:r>
      <w:r w:rsidRPr="00E2092E">
        <w:rPr>
          <w:rFonts w:ascii="Leelawadee" w:hAnsi="Leelawadee" w:cs="Leelawadee"/>
          <w:b/>
          <w:bCs/>
          <w:sz w:val="22"/>
          <w:szCs w:val="22"/>
          <w:lang w:val="es-419"/>
        </w:rPr>
        <w:t>Santiago Londoño</w:t>
      </w:r>
      <w:r w:rsidRPr="00E2092E">
        <w:rPr>
          <w:rFonts w:ascii="Leelawadee" w:hAnsi="Leelawadee" w:cs="Leelawadee"/>
          <w:sz w:val="22"/>
          <w:szCs w:val="22"/>
          <w:lang w:val="es-419"/>
        </w:rPr>
        <w:t>, accionista y directivo de la misma empresa, por el delito de hostigamiento sexual en perjuicio de una niña indígena de la Tribu</w:t>
      </w:r>
      <w:r w:rsidRPr="00E2092E">
        <w:rPr>
          <w:rStyle w:val="Refdenotaalpie"/>
          <w:rFonts w:ascii="Leelawadee" w:hAnsi="Leelawadee" w:cs="Leelawadee"/>
          <w:sz w:val="22"/>
          <w:szCs w:val="22"/>
        </w:rPr>
        <w:footnoteReference w:id="19"/>
      </w:r>
      <w:r w:rsidRPr="00E2092E">
        <w:rPr>
          <w:rFonts w:ascii="Leelawadee" w:hAnsi="Leelawadee" w:cs="Leelawadee"/>
          <w:sz w:val="22"/>
          <w:szCs w:val="22"/>
          <w:lang w:val="es-419"/>
        </w:rPr>
        <w:t>. Sin embargo, la denuncia por asociación para delinquir, lavado de activos y tenencia ilegal de armas, presentada el 30 de septiembre de 2022 ante la Fiscalía Especial contra el Crimen Organizado, permanece sin requerimiento fiscal, y el saqueo de los bienes naturales comunes de la Tribu</w:t>
      </w:r>
      <w:r w:rsidR="00C500A2">
        <w:rPr>
          <w:rFonts w:ascii="Leelawadee" w:hAnsi="Leelawadee" w:cs="Leelawadee"/>
          <w:sz w:val="22"/>
          <w:szCs w:val="22"/>
          <w:lang w:val="es-419"/>
        </w:rPr>
        <w:t xml:space="preserve">, </w:t>
      </w:r>
      <w:r w:rsidRPr="00E2092E">
        <w:rPr>
          <w:rFonts w:ascii="Leelawadee" w:hAnsi="Leelawadee" w:cs="Leelawadee"/>
          <w:sz w:val="22"/>
          <w:szCs w:val="22"/>
          <w:lang w:val="es-419"/>
        </w:rPr>
        <w:t>madera y mineral</w:t>
      </w:r>
      <w:r w:rsidR="00C500A2">
        <w:rPr>
          <w:rFonts w:ascii="Leelawadee" w:hAnsi="Leelawadee" w:cs="Leelawadee"/>
          <w:sz w:val="22"/>
          <w:szCs w:val="22"/>
          <w:lang w:val="es-419"/>
        </w:rPr>
        <w:t xml:space="preserve"> antimonio,</w:t>
      </w:r>
      <w:r w:rsidRPr="00E2092E">
        <w:rPr>
          <w:rFonts w:ascii="Leelawadee" w:hAnsi="Leelawadee" w:cs="Leelawadee"/>
          <w:sz w:val="22"/>
          <w:szCs w:val="22"/>
          <w:lang w:val="es-419"/>
        </w:rPr>
        <w:t xml:space="preserve"> no ha cesado ni ha sido objeto de reparación.</w:t>
      </w:r>
    </w:p>
    <w:p w14:paraId="79EA3B7E" w14:textId="44EB18B2" w:rsidR="00D41B41" w:rsidRPr="00E2092E" w:rsidRDefault="00C500A2" w:rsidP="00E2092E">
      <w:pPr>
        <w:spacing w:after="120" w:line="276" w:lineRule="auto"/>
        <w:jc w:val="both"/>
        <w:rPr>
          <w:rFonts w:ascii="Leelawadee" w:hAnsi="Leelawadee" w:cs="Leelawadee"/>
          <w:sz w:val="22"/>
          <w:szCs w:val="22"/>
          <w:lang w:val="es-419"/>
        </w:rPr>
      </w:pPr>
      <w:r w:rsidRPr="00C500A2">
        <w:rPr>
          <w:rFonts w:ascii="Leelawadee" w:hAnsi="Leelawadee" w:cs="Leelawadee"/>
          <w:sz w:val="22"/>
          <w:szCs w:val="22"/>
          <w:lang w:val="es-419"/>
        </w:rPr>
        <w:t>1</w:t>
      </w:r>
      <w:r>
        <w:rPr>
          <w:rFonts w:ascii="Leelawadee" w:hAnsi="Leelawadee" w:cs="Leelawadee"/>
          <w:sz w:val="22"/>
          <w:szCs w:val="22"/>
          <w:lang w:val="es-419"/>
        </w:rPr>
        <w:t>7</w:t>
      </w:r>
      <w:r w:rsidRPr="00C500A2">
        <w:rPr>
          <w:rFonts w:ascii="Leelawadee" w:hAnsi="Leelawadee" w:cs="Leelawadee"/>
          <w:sz w:val="22"/>
          <w:szCs w:val="22"/>
          <w:lang w:val="es-419"/>
        </w:rPr>
        <w:t xml:space="preserve">. </w:t>
      </w:r>
      <w:r w:rsidRPr="00E2092E">
        <w:rPr>
          <w:rFonts w:ascii="Leelawadee" w:hAnsi="Leelawadee" w:cs="Leelawadee"/>
          <w:sz w:val="22"/>
          <w:szCs w:val="22"/>
          <w:lang w:val="es-419"/>
        </w:rPr>
        <w:t>El artículo 2.1 de la Convención obliga al Estado a no incurrir en actos o prácticas de discriminación racial y a que todas las autoridades públicas actúen en conformidad con esa obligación; la Recomendación general N</w:t>
      </w:r>
      <w:r>
        <w:rPr>
          <w:rFonts w:ascii="Leelawadee" w:hAnsi="Leelawadee" w:cs="Leelawadee"/>
          <w:sz w:val="22"/>
          <w:szCs w:val="22"/>
          <w:lang w:val="es-419"/>
        </w:rPr>
        <w:t>o. 23</w:t>
      </w:r>
      <w:r w:rsidRPr="00E2092E">
        <w:rPr>
          <w:rFonts w:ascii="Leelawadee" w:hAnsi="Leelawadee" w:cs="Leelawadee"/>
          <w:sz w:val="22"/>
          <w:szCs w:val="22"/>
          <w:lang w:val="es-419"/>
        </w:rPr>
        <w:t xml:space="preserve"> exige garantizar que no se adopte decisión alguna directamente relacionada con los derechos e intereses de los pueblos indígenas sin su consentimiento informado. Conforme al Convenio 169 (arts. 6 y 15) y a la jurisprudencia interamericana, la consulta debe realizarse con carácter previo, de buena fe, mediante procedimientos culturalmente adecuados, a través de las instituciones representativas de los pueblos y con la finalidad de </w:t>
      </w:r>
      <w:r>
        <w:rPr>
          <w:rFonts w:ascii="Leelawadee" w:hAnsi="Leelawadee" w:cs="Leelawadee"/>
          <w:sz w:val="22"/>
          <w:szCs w:val="22"/>
          <w:lang w:val="es-419"/>
        </w:rPr>
        <w:t>obtener el consentimiento</w:t>
      </w:r>
      <w:r w:rsidRPr="00E2092E">
        <w:rPr>
          <w:rFonts w:ascii="Leelawadee" w:hAnsi="Leelawadee" w:cs="Leelawadee"/>
          <w:sz w:val="22"/>
          <w:szCs w:val="22"/>
          <w:lang w:val="es-419"/>
        </w:rPr>
        <w:t>; el deber de consultar es una obligación del Estado, indelegable en la empresa interesada, y su incumplimiento compromete la responsabilidad internacional del Estado aun cuando el proyecto haya obtenido permisos formales</w:t>
      </w:r>
      <w:r w:rsidRPr="00E2092E">
        <w:rPr>
          <w:rStyle w:val="Refdenotaalpie"/>
          <w:rFonts w:ascii="Leelawadee" w:hAnsi="Leelawadee" w:cs="Leelawadee"/>
          <w:sz w:val="22"/>
          <w:szCs w:val="22"/>
        </w:rPr>
        <w:footnoteReference w:id="20"/>
      </w:r>
      <w:r w:rsidRPr="00E2092E">
        <w:rPr>
          <w:rFonts w:ascii="Leelawadee" w:hAnsi="Leelawadee" w:cs="Leelawadee"/>
          <w:sz w:val="22"/>
          <w:szCs w:val="22"/>
          <w:lang w:val="es-419"/>
        </w:rPr>
        <w:t xml:space="preserve">. La aprobación estatal de planes de manejo y permisos de aprovechamiento sin consulta (y su convalidación mediante asambleas viciadas promovidas por las empresas), así como la tolerancia prolongada de una explotación minera abiertamente ilegal, violan los artículos </w:t>
      </w:r>
      <w:r w:rsidRPr="00E2092E">
        <w:rPr>
          <w:rFonts w:ascii="Leelawadee" w:hAnsi="Leelawadee" w:cs="Leelawadee"/>
          <w:sz w:val="22"/>
          <w:szCs w:val="22"/>
          <w:lang w:val="es-419"/>
        </w:rPr>
        <w:lastRenderedPageBreak/>
        <w:t>2 y 5 de la Convención y responden de manera directa a la información solicitada por el Comité en el párrafo 16 de la lista de temas.</w:t>
      </w:r>
    </w:p>
    <w:p w14:paraId="29F93BB3" w14:textId="77777777" w:rsidR="00D41B41" w:rsidRPr="00E2092E" w:rsidRDefault="009F2540" w:rsidP="00E2092E">
      <w:pPr>
        <w:pStyle w:val="Ttulo2"/>
        <w:spacing w:before="180" w:after="120" w:line="276" w:lineRule="auto"/>
        <w:rPr>
          <w:rFonts w:ascii="Leelawadee" w:hAnsi="Leelawadee" w:cs="Leelawadee"/>
          <w:sz w:val="22"/>
          <w:szCs w:val="22"/>
          <w:lang w:val="es-419"/>
        </w:rPr>
      </w:pPr>
      <w:r w:rsidRPr="00841E8C">
        <w:rPr>
          <w:rFonts w:ascii="Leelawadee" w:hAnsi="Leelawadee" w:cs="Leelawadee"/>
          <w:b/>
          <w:bCs/>
          <w:color w:val="000000"/>
          <w:sz w:val="22"/>
          <w:szCs w:val="22"/>
          <w:lang w:val="es-419"/>
        </w:rPr>
        <w:t>III.5. Agravamiento del riesgo (2025-2026) y conducta estatal adversa a la protección</w:t>
      </w:r>
    </w:p>
    <w:p w14:paraId="5973FD4B" w14:textId="00D4A56A" w:rsidR="00D41B41" w:rsidRPr="00E2092E" w:rsidRDefault="009F2540" w:rsidP="00E2092E">
      <w:pPr>
        <w:spacing w:after="120" w:line="276" w:lineRule="auto"/>
        <w:jc w:val="both"/>
        <w:rPr>
          <w:rFonts w:ascii="Leelawadee" w:hAnsi="Leelawadee" w:cs="Leelawadee"/>
          <w:sz w:val="22"/>
          <w:szCs w:val="22"/>
          <w:lang w:val="es-419"/>
        </w:rPr>
      </w:pPr>
      <w:r w:rsidRPr="00E2092E">
        <w:rPr>
          <w:rFonts w:ascii="Leelawadee" w:hAnsi="Leelawadee" w:cs="Leelawadee"/>
          <w:sz w:val="22"/>
          <w:szCs w:val="22"/>
          <w:lang w:val="es-419"/>
        </w:rPr>
        <w:t>1</w:t>
      </w:r>
      <w:r w:rsidR="00D9380C">
        <w:rPr>
          <w:rFonts w:ascii="Leelawadee" w:hAnsi="Leelawadee" w:cs="Leelawadee"/>
          <w:sz w:val="22"/>
          <w:szCs w:val="22"/>
          <w:lang w:val="es-419"/>
        </w:rPr>
        <w:t>8</w:t>
      </w:r>
      <w:r w:rsidRPr="00E2092E">
        <w:rPr>
          <w:rFonts w:ascii="Leelawadee" w:hAnsi="Leelawadee" w:cs="Leelawadee"/>
          <w:sz w:val="22"/>
          <w:szCs w:val="22"/>
          <w:lang w:val="es-419"/>
        </w:rPr>
        <w:t xml:space="preserve">. Desde 2025 se desarrolla al interior de la Tribu una disputa por la presidencia del Consejo Directivo, promovida y financiada por las empresas madereras de la zona con el propósito de reactivar la ejecución de los planes de manejo: en febrero de 2025, estando aún en funciones el Consejo Directivo legítimamente electo, una persona se autoproclamó presidente del CDT en una reunión celebrada al margen de los estatutos de la Tribu, mientras que la Asamblea de Tribu legítimamente desarrollada en marzo de 2025 reeligió a su presidente conforme al reglamento interno. El 7 de junio de 2026, la estructura paralela convocó una asamblea con la participación de la </w:t>
      </w:r>
      <w:proofErr w:type="gramStart"/>
      <w:r w:rsidRPr="00E2092E">
        <w:rPr>
          <w:rFonts w:ascii="Leelawadee" w:hAnsi="Leelawadee" w:cs="Leelawadee"/>
          <w:sz w:val="22"/>
          <w:szCs w:val="22"/>
          <w:lang w:val="es-419"/>
        </w:rPr>
        <w:t>Ministra</w:t>
      </w:r>
      <w:proofErr w:type="gramEnd"/>
      <w:r w:rsidRPr="00E2092E">
        <w:rPr>
          <w:rFonts w:ascii="Leelawadee" w:hAnsi="Leelawadee" w:cs="Leelawadee"/>
          <w:sz w:val="22"/>
          <w:szCs w:val="22"/>
          <w:lang w:val="es-419"/>
        </w:rPr>
        <w:t xml:space="preserve"> de la Secretaría de Derechos Humanos, </w:t>
      </w:r>
      <w:r w:rsidRPr="00E2092E">
        <w:rPr>
          <w:rFonts w:ascii="Leelawadee" w:hAnsi="Leelawadee" w:cs="Leelawadee"/>
          <w:b/>
          <w:bCs/>
          <w:sz w:val="22"/>
          <w:szCs w:val="22"/>
          <w:lang w:val="es-419"/>
        </w:rPr>
        <w:t>Leda Lizethe García Pagán</w:t>
      </w:r>
      <w:r w:rsidRPr="00E2092E">
        <w:rPr>
          <w:rFonts w:ascii="Leelawadee" w:hAnsi="Leelawadee" w:cs="Leelawadee"/>
          <w:sz w:val="22"/>
          <w:szCs w:val="22"/>
          <w:lang w:val="es-419"/>
        </w:rPr>
        <w:t xml:space="preserve">; la Alcaldesa de Yoro, </w:t>
      </w:r>
      <w:r w:rsidRPr="00E2092E">
        <w:rPr>
          <w:rFonts w:ascii="Leelawadee" w:hAnsi="Leelawadee" w:cs="Leelawadee"/>
          <w:b/>
          <w:bCs/>
          <w:sz w:val="22"/>
          <w:szCs w:val="22"/>
          <w:lang w:val="es-419"/>
        </w:rPr>
        <w:t>Diana Urbina</w:t>
      </w:r>
      <w:r w:rsidRPr="00E2092E">
        <w:rPr>
          <w:rFonts w:ascii="Leelawadee" w:hAnsi="Leelawadee" w:cs="Leelawadee"/>
          <w:sz w:val="22"/>
          <w:szCs w:val="22"/>
          <w:lang w:val="es-419"/>
        </w:rPr>
        <w:t xml:space="preserve">; la Subdirectora de Fiscalías, </w:t>
      </w:r>
      <w:r w:rsidRPr="00E2092E">
        <w:rPr>
          <w:rFonts w:ascii="Leelawadee" w:hAnsi="Leelawadee" w:cs="Leelawadee"/>
          <w:b/>
          <w:bCs/>
          <w:sz w:val="22"/>
          <w:szCs w:val="22"/>
          <w:lang w:val="es-419"/>
        </w:rPr>
        <w:t>Yeimy Palacios</w:t>
      </w:r>
      <w:r w:rsidRPr="00E2092E">
        <w:rPr>
          <w:rFonts w:ascii="Leelawadee" w:hAnsi="Leelawadee" w:cs="Leelawadee"/>
          <w:sz w:val="22"/>
          <w:szCs w:val="22"/>
          <w:lang w:val="es-419"/>
        </w:rPr>
        <w:t xml:space="preserve">; y representantes del ICF y de la Secretaría de Salud. En dicha asamblea se acordó, entre otros puntos, </w:t>
      </w:r>
      <w:r w:rsidR="00C500A2">
        <w:rPr>
          <w:rFonts w:ascii="Leelawadee" w:hAnsi="Leelawadee" w:cs="Leelawadee"/>
          <w:sz w:val="22"/>
          <w:szCs w:val="22"/>
          <w:lang w:val="es-419"/>
        </w:rPr>
        <w:t>“</w:t>
      </w:r>
      <w:r w:rsidRPr="00E2092E">
        <w:rPr>
          <w:rFonts w:ascii="Leelawadee" w:hAnsi="Leelawadee" w:cs="Leelawadee"/>
          <w:sz w:val="22"/>
          <w:szCs w:val="22"/>
          <w:lang w:val="es-419"/>
        </w:rPr>
        <w:t>destituir</w:t>
      </w:r>
      <w:r w:rsidR="00C500A2">
        <w:rPr>
          <w:rFonts w:ascii="Leelawadee" w:hAnsi="Leelawadee" w:cs="Leelawadee"/>
          <w:sz w:val="22"/>
          <w:szCs w:val="22"/>
          <w:lang w:val="es-419"/>
        </w:rPr>
        <w:t>”</w:t>
      </w:r>
      <w:r w:rsidRPr="00E2092E">
        <w:rPr>
          <w:rFonts w:ascii="Leelawadee" w:hAnsi="Leelawadee" w:cs="Leelawadee"/>
          <w:sz w:val="22"/>
          <w:szCs w:val="22"/>
          <w:lang w:val="es-419"/>
        </w:rPr>
        <w:t xml:space="preserve"> al MADJ y prohibirle el ingreso al territorio, solicitar la revocatoria de las medidas cautelares MC416</w:t>
      </w:r>
      <w:r w:rsidR="00C500A2">
        <w:rPr>
          <w:rFonts w:ascii="Leelawadee" w:hAnsi="Leelawadee" w:cs="Leelawadee"/>
          <w:sz w:val="22"/>
          <w:szCs w:val="22"/>
          <w:lang w:val="es-419"/>
        </w:rPr>
        <w:t>-</w:t>
      </w:r>
      <w:r w:rsidRPr="00E2092E">
        <w:rPr>
          <w:rFonts w:ascii="Leelawadee" w:hAnsi="Leelawadee" w:cs="Leelawadee"/>
          <w:sz w:val="22"/>
          <w:szCs w:val="22"/>
          <w:lang w:val="es-419"/>
        </w:rPr>
        <w:t>13</w:t>
      </w:r>
      <w:r w:rsidR="00C500A2">
        <w:rPr>
          <w:rFonts w:ascii="Leelawadee" w:hAnsi="Leelawadee" w:cs="Leelawadee"/>
          <w:sz w:val="22"/>
          <w:szCs w:val="22"/>
          <w:lang w:val="es-419"/>
        </w:rPr>
        <w:t xml:space="preserve">, </w:t>
      </w:r>
      <w:r w:rsidRPr="00E2092E">
        <w:rPr>
          <w:rFonts w:ascii="Leelawadee" w:hAnsi="Leelawadee" w:cs="Leelawadee"/>
          <w:sz w:val="22"/>
          <w:szCs w:val="22"/>
          <w:lang w:val="es-419"/>
        </w:rPr>
        <w:t xml:space="preserve">a las que se atribuyó ser </w:t>
      </w:r>
      <w:r w:rsidR="00C500A2">
        <w:rPr>
          <w:rFonts w:ascii="Leelawadee" w:hAnsi="Leelawadee" w:cs="Leelawadee"/>
          <w:sz w:val="22"/>
          <w:szCs w:val="22"/>
          <w:lang w:val="es-419"/>
        </w:rPr>
        <w:t>“</w:t>
      </w:r>
      <w:r w:rsidRPr="00E2092E">
        <w:rPr>
          <w:rFonts w:ascii="Leelawadee" w:hAnsi="Leelawadee" w:cs="Leelawadee"/>
          <w:sz w:val="22"/>
          <w:szCs w:val="22"/>
          <w:lang w:val="es-419"/>
        </w:rPr>
        <w:t>las que están dañando a todo el pueblo</w:t>
      </w:r>
      <w:r w:rsidR="00C500A2">
        <w:rPr>
          <w:rFonts w:ascii="Leelawadee" w:hAnsi="Leelawadee" w:cs="Leelawadee"/>
          <w:sz w:val="22"/>
          <w:szCs w:val="22"/>
          <w:lang w:val="es-419"/>
        </w:rPr>
        <w:t>”</w:t>
      </w:r>
      <w:r w:rsidRPr="00E2092E">
        <w:rPr>
          <w:rFonts w:ascii="Leelawadee" w:hAnsi="Leelawadee" w:cs="Leelawadee"/>
          <w:sz w:val="22"/>
          <w:szCs w:val="22"/>
          <w:lang w:val="es-419"/>
        </w:rPr>
        <w:t xml:space="preserve"> y reactivar, una vez revocadas, el plan de manejo forestal </w:t>
      </w:r>
      <w:r w:rsidR="00C500A2">
        <w:rPr>
          <w:rFonts w:ascii="Leelawadee" w:hAnsi="Leelawadee" w:cs="Leelawadee"/>
          <w:sz w:val="22"/>
          <w:szCs w:val="22"/>
          <w:lang w:val="es-419"/>
        </w:rPr>
        <w:t xml:space="preserve">impugnado </w:t>
      </w:r>
      <w:r w:rsidRPr="00E2092E">
        <w:rPr>
          <w:rFonts w:ascii="Leelawadee" w:hAnsi="Leelawadee" w:cs="Leelawadee"/>
          <w:sz w:val="22"/>
          <w:szCs w:val="22"/>
          <w:lang w:val="es-419"/>
        </w:rPr>
        <w:t>desde 2022. Las instituciones estatales no se limitaron a escuchar: participaron activamente en la construcción de acuerdos dirigidos a afectar los derechos de las personas beneficiarias, legitimando discursos de estigmatización y posiciones favorables a la reactivación extractiva que constituye el principal factor estructural del riesgo</w:t>
      </w:r>
      <w:r w:rsidR="00C500A2">
        <w:rPr>
          <w:rFonts w:ascii="Leelawadee" w:hAnsi="Leelawadee" w:cs="Leelawadee"/>
          <w:sz w:val="22"/>
          <w:szCs w:val="22"/>
          <w:lang w:val="es-419"/>
        </w:rPr>
        <w:t xml:space="preserve"> y violencia en la TSFL.</w:t>
      </w:r>
    </w:p>
    <w:p w14:paraId="51C91A16" w14:textId="36E869A6" w:rsidR="00D41B41" w:rsidRPr="00E2092E" w:rsidRDefault="00D9380C" w:rsidP="00E2092E">
      <w:pPr>
        <w:spacing w:after="120" w:line="276" w:lineRule="auto"/>
        <w:jc w:val="both"/>
        <w:rPr>
          <w:rFonts w:ascii="Leelawadee" w:hAnsi="Leelawadee" w:cs="Leelawadee"/>
          <w:sz w:val="22"/>
          <w:szCs w:val="22"/>
          <w:lang w:val="es-419"/>
        </w:rPr>
      </w:pPr>
      <w:r>
        <w:rPr>
          <w:rFonts w:ascii="Leelawadee" w:hAnsi="Leelawadee" w:cs="Leelawadee"/>
          <w:sz w:val="22"/>
          <w:szCs w:val="22"/>
          <w:lang w:val="es-419"/>
        </w:rPr>
        <w:t>19</w:t>
      </w:r>
      <w:r w:rsidRPr="00E2092E">
        <w:rPr>
          <w:rFonts w:ascii="Leelawadee" w:hAnsi="Leelawadee" w:cs="Leelawadee"/>
          <w:sz w:val="22"/>
          <w:szCs w:val="22"/>
          <w:lang w:val="es-419"/>
        </w:rPr>
        <w:t xml:space="preserve">. Adicionalmente, el 30 de junio de 2026 se presentó denuncia ante el Ministerio Público contra </w:t>
      </w:r>
      <w:r>
        <w:rPr>
          <w:rFonts w:ascii="Leelawadee" w:hAnsi="Leelawadee" w:cs="Leelawadee"/>
          <w:sz w:val="22"/>
          <w:szCs w:val="22"/>
          <w:lang w:val="es-419"/>
        </w:rPr>
        <w:t xml:space="preserve">funcionarios de la </w:t>
      </w:r>
      <w:r w:rsidRPr="00E2092E">
        <w:rPr>
          <w:rFonts w:ascii="Leelawadee" w:hAnsi="Leelawadee" w:cs="Leelawadee"/>
          <w:sz w:val="22"/>
          <w:szCs w:val="22"/>
          <w:lang w:val="es-419"/>
        </w:rPr>
        <w:t xml:space="preserve">Secretaría de Derechos Humanos por el delito de revelación de secretos, tras la filtración de información confidencial del proceso de implementación de la medida cautelar </w:t>
      </w:r>
      <w:r w:rsidR="00C500A2">
        <w:rPr>
          <w:rFonts w:ascii="Leelawadee" w:hAnsi="Leelawadee" w:cs="Leelawadee"/>
          <w:sz w:val="22"/>
          <w:szCs w:val="22"/>
          <w:lang w:val="es-419"/>
        </w:rPr>
        <w:t xml:space="preserve">416-13 </w:t>
      </w:r>
      <w:r w:rsidRPr="00E2092E">
        <w:rPr>
          <w:rFonts w:ascii="Leelawadee" w:hAnsi="Leelawadee" w:cs="Leelawadee"/>
          <w:sz w:val="22"/>
          <w:szCs w:val="22"/>
          <w:lang w:val="es-419"/>
        </w:rPr>
        <w:t>a los grupos señalados como promotores de la violencia dentro de la Tribu</w:t>
      </w:r>
      <w:r w:rsidRPr="00E2092E">
        <w:rPr>
          <w:rStyle w:val="Refdenotaalpie"/>
          <w:rFonts w:ascii="Leelawadee" w:hAnsi="Leelawadee" w:cs="Leelawadee"/>
          <w:sz w:val="22"/>
          <w:szCs w:val="22"/>
        </w:rPr>
        <w:footnoteReference w:id="21"/>
      </w:r>
      <w:r w:rsidRPr="00E2092E">
        <w:rPr>
          <w:rFonts w:ascii="Leelawadee" w:hAnsi="Leelawadee" w:cs="Leelawadee"/>
          <w:sz w:val="22"/>
          <w:szCs w:val="22"/>
          <w:lang w:val="es-419"/>
        </w:rPr>
        <w:t>.</w:t>
      </w:r>
      <w:r>
        <w:rPr>
          <w:rFonts w:ascii="Leelawadee" w:hAnsi="Leelawadee" w:cs="Leelawadee"/>
          <w:sz w:val="22"/>
          <w:szCs w:val="22"/>
          <w:lang w:val="es-419"/>
        </w:rPr>
        <w:t xml:space="preserve"> Colocando en una grave situación de riesgo de los beneficiarios de la medida.</w:t>
      </w:r>
    </w:p>
    <w:p w14:paraId="2AFA90CA" w14:textId="2AEDF3E5" w:rsidR="00D41B41" w:rsidRPr="00E2092E" w:rsidRDefault="00D9380C" w:rsidP="00E2092E">
      <w:pPr>
        <w:spacing w:after="120" w:line="276" w:lineRule="auto"/>
        <w:jc w:val="both"/>
        <w:rPr>
          <w:rFonts w:ascii="Leelawadee" w:hAnsi="Leelawadee" w:cs="Leelawadee"/>
          <w:sz w:val="22"/>
          <w:szCs w:val="22"/>
          <w:lang w:val="es-419"/>
        </w:rPr>
      </w:pPr>
      <w:r>
        <w:rPr>
          <w:rFonts w:ascii="Leelawadee" w:hAnsi="Leelawadee" w:cs="Leelawadee"/>
          <w:sz w:val="22"/>
          <w:szCs w:val="22"/>
          <w:lang w:val="es-419"/>
        </w:rPr>
        <w:t xml:space="preserve">20. </w:t>
      </w:r>
      <w:r w:rsidRPr="00D9380C">
        <w:rPr>
          <w:rFonts w:ascii="Leelawadee" w:hAnsi="Leelawadee" w:cs="Leelawadee"/>
          <w:sz w:val="22"/>
          <w:szCs w:val="22"/>
          <w:lang w:val="es-419"/>
        </w:rPr>
        <w:t>La</w:t>
      </w:r>
      <w:r>
        <w:rPr>
          <w:rFonts w:ascii="Leelawadee" w:hAnsi="Leelawadee" w:cs="Leelawadee"/>
          <w:b/>
          <w:bCs/>
          <w:sz w:val="22"/>
          <w:szCs w:val="22"/>
          <w:lang w:val="es-419"/>
        </w:rPr>
        <w:t xml:space="preserve"> </w:t>
      </w:r>
      <w:r w:rsidRPr="00E2092E">
        <w:rPr>
          <w:rFonts w:ascii="Leelawadee" w:hAnsi="Leelawadee" w:cs="Leelawadee"/>
          <w:sz w:val="22"/>
          <w:szCs w:val="22"/>
          <w:lang w:val="es-419"/>
        </w:rPr>
        <w:t>Convención prohíbe a todas las autoridades e instituciones públicas, nacionales y locales, incurrir en actos o prácticas de discriminación racial. Cuando la ministra rectora de la política de derechos humanos, una alcaldesa y una alta funcionaria fiscal participan en la adopción de acuerdos dirigidos a expulsar del territorio a las víctimas</w:t>
      </w:r>
      <w:r>
        <w:rPr>
          <w:rFonts w:ascii="Leelawadee" w:hAnsi="Leelawadee" w:cs="Leelawadee"/>
          <w:sz w:val="22"/>
          <w:szCs w:val="22"/>
          <w:lang w:val="es-419"/>
        </w:rPr>
        <w:t xml:space="preserve"> que pertenecen al MADJ</w:t>
      </w:r>
      <w:r w:rsidRPr="00E2092E">
        <w:rPr>
          <w:rFonts w:ascii="Leelawadee" w:hAnsi="Leelawadee" w:cs="Leelawadee"/>
          <w:sz w:val="22"/>
          <w:szCs w:val="22"/>
          <w:lang w:val="es-419"/>
        </w:rPr>
        <w:t>, a revocar medidas cautelares internacionales vigentes y a reactivar la actividad extractiva causante del riesgo, el Estado incumple simultáneamente esa prohibición, su deber de garantía frente a las personas defensoras y la obligación de ejecutar de buena fe las medidas de protección ordenadas por los órganos internacionales. La filtración de información confidencial del mecanismo de protección anula la eficacia de éste y expone deliberadamente a las personas beneficiarias.</w:t>
      </w:r>
    </w:p>
    <w:p w14:paraId="69916435" w14:textId="77777777" w:rsidR="00D41B41" w:rsidRPr="00E2092E" w:rsidRDefault="009F2540" w:rsidP="00E2092E">
      <w:pPr>
        <w:pStyle w:val="Ttulo1"/>
        <w:spacing w:before="240" w:after="160" w:line="276" w:lineRule="auto"/>
        <w:rPr>
          <w:rFonts w:ascii="Leelawadee" w:hAnsi="Leelawadee" w:cs="Leelawadee"/>
          <w:sz w:val="22"/>
          <w:szCs w:val="22"/>
          <w:lang w:val="es-419"/>
        </w:rPr>
      </w:pPr>
      <w:r w:rsidRPr="00E2092E">
        <w:rPr>
          <w:rFonts w:ascii="Leelawadee" w:hAnsi="Leelawadee" w:cs="Leelawadee"/>
          <w:b/>
          <w:bCs/>
          <w:caps/>
          <w:color w:val="000000"/>
          <w:sz w:val="22"/>
          <w:szCs w:val="22"/>
          <w:lang w:val="es-419"/>
        </w:rPr>
        <w:t>IV. Pueblo Indígena Maya Chortí — Comunidad de Azacualpa, La Unión, Copán</w:t>
      </w:r>
    </w:p>
    <w:p w14:paraId="09BE2265" w14:textId="77777777" w:rsidR="00D41B41" w:rsidRPr="00E2092E" w:rsidRDefault="009F2540" w:rsidP="00E2092E">
      <w:pPr>
        <w:pStyle w:val="Ttulo2"/>
        <w:spacing w:before="180" w:after="120" w:line="276" w:lineRule="auto"/>
        <w:rPr>
          <w:rFonts w:ascii="Leelawadee" w:hAnsi="Leelawadee" w:cs="Leelawadee"/>
          <w:sz w:val="22"/>
          <w:szCs w:val="22"/>
          <w:lang w:val="es-419"/>
        </w:rPr>
      </w:pPr>
      <w:r w:rsidRPr="00E2092E">
        <w:rPr>
          <w:rFonts w:ascii="Leelawadee" w:hAnsi="Leelawadee" w:cs="Leelawadee"/>
          <w:b/>
          <w:bCs/>
          <w:color w:val="000000"/>
          <w:sz w:val="22"/>
          <w:szCs w:val="22"/>
          <w:lang w:val="es-419"/>
        </w:rPr>
        <w:t>IV.1. Contexto: cuatro décadas de minería a cielo abierto</w:t>
      </w:r>
    </w:p>
    <w:p w14:paraId="5E3A27B3" w14:textId="310A763A" w:rsidR="00D41B41" w:rsidRPr="00E2092E" w:rsidRDefault="00D9380C" w:rsidP="00E2092E">
      <w:pPr>
        <w:spacing w:after="120" w:line="276" w:lineRule="auto"/>
        <w:jc w:val="both"/>
        <w:rPr>
          <w:rFonts w:ascii="Leelawadee" w:hAnsi="Leelawadee" w:cs="Leelawadee"/>
          <w:sz w:val="22"/>
          <w:szCs w:val="22"/>
          <w:lang w:val="es-419"/>
        </w:rPr>
      </w:pPr>
      <w:r>
        <w:rPr>
          <w:rFonts w:ascii="Leelawadee" w:hAnsi="Leelawadee" w:cs="Leelawadee"/>
          <w:sz w:val="22"/>
          <w:szCs w:val="22"/>
          <w:lang w:val="es-419"/>
        </w:rPr>
        <w:lastRenderedPageBreak/>
        <w:t>21</w:t>
      </w:r>
      <w:r w:rsidRPr="00E2092E">
        <w:rPr>
          <w:rFonts w:ascii="Leelawadee" w:hAnsi="Leelawadee" w:cs="Leelawadee"/>
          <w:sz w:val="22"/>
          <w:szCs w:val="22"/>
          <w:lang w:val="es-419"/>
        </w:rPr>
        <w:t xml:space="preserve">. En 1983 el Estado de Honduras otorgó más de trescientas hectáreas para la extracción de minerales a cielo abierto en el municipio de La Unión, departamento de Copán. Desde 2009 la mina es operada por </w:t>
      </w:r>
      <w:r w:rsidRPr="00E2092E">
        <w:rPr>
          <w:rFonts w:ascii="Leelawadee" w:hAnsi="Leelawadee" w:cs="Leelawadee"/>
          <w:b/>
          <w:bCs/>
          <w:sz w:val="22"/>
          <w:szCs w:val="22"/>
          <w:lang w:val="es-419"/>
        </w:rPr>
        <w:t>Minerales de Occidente S.A. (MINOSA)</w:t>
      </w:r>
      <w:r w:rsidRPr="00E2092E">
        <w:rPr>
          <w:rFonts w:ascii="Leelawadee" w:hAnsi="Leelawadee" w:cs="Leelawadee"/>
          <w:sz w:val="22"/>
          <w:szCs w:val="22"/>
          <w:lang w:val="es-419"/>
        </w:rPr>
        <w:t xml:space="preserve">, filial de la empresa </w:t>
      </w:r>
      <w:r w:rsidR="00E62692">
        <w:rPr>
          <w:rFonts w:ascii="Leelawadee" w:hAnsi="Leelawadee" w:cs="Leelawadee"/>
          <w:sz w:val="22"/>
          <w:szCs w:val="22"/>
          <w:lang w:val="es-419"/>
        </w:rPr>
        <w:t xml:space="preserve">transnacional </w:t>
      </w:r>
      <w:r w:rsidRPr="00E2092E">
        <w:rPr>
          <w:rFonts w:ascii="Leelawadee" w:hAnsi="Leelawadee" w:cs="Leelawadee"/>
          <w:sz w:val="22"/>
          <w:szCs w:val="22"/>
          <w:lang w:val="es-419"/>
        </w:rPr>
        <w:t xml:space="preserve">Aura </w:t>
      </w:r>
      <w:proofErr w:type="spellStart"/>
      <w:r w:rsidRPr="00E2092E">
        <w:rPr>
          <w:rFonts w:ascii="Leelawadee" w:hAnsi="Leelawadee" w:cs="Leelawadee"/>
          <w:sz w:val="22"/>
          <w:szCs w:val="22"/>
          <w:lang w:val="es-419"/>
        </w:rPr>
        <w:t>Minerals</w:t>
      </w:r>
      <w:proofErr w:type="spellEnd"/>
      <w:r w:rsidRPr="00E2092E">
        <w:rPr>
          <w:rFonts w:ascii="Leelawadee" w:hAnsi="Leelawadee" w:cs="Leelawadee"/>
          <w:sz w:val="22"/>
          <w:szCs w:val="22"/>
          <w:lang w:val="es-419"/>
        </w:rPr>
        <w:t>. La actividad extractiva ha provocado el desplazamiento y la desaparición de las comunidades de San Andrés y San Miguel, la pérdida de al menos catorce fuentes de agua, la erosión de suelos y una profunda fractura del tejido social comunitario. En 2012, tras la pretensión pública de la empresa de explotar el cerro donde se asienta el cementerio de Azacualpa, se suscribió un convenio con sectores de la comunidad; la empresa empleó la división interna como método</w:t>
      </w:r>
      <w:r w:rsidR="00E62692">
        <w:rPr>
          <w:rFonts w:ascii="Leelawadee" w:hAnsi="Leelawadee" w:cs="Leelawadee"/>
          <w:sz w:val="22"/>
          <w:szCs w:val="22"/>
          <w:lang w:val="es-419"/>
        </w:rPr>
        <w:t xml:space="preserve">, </w:t>
      </w:r>
      <w:r w:rsidRPr="00E2092E">
        <w:rPr>
          <w:rFonts w:ascii="Leelawadee" w:hAnsi="Leelawadee" w:cs="Leelawadee"/>
          <w:sz w:val="22"/>
          <w:szCs w:val="22"/>
          <w:lang w:val="es-419"/>
        </w:rPr>
        <w:t>utilizando a trabajadores propios para confrontar a los pobladores opuestos a la remoción del cementerio</w:t>
      </w:r>
      <w:r w:rsidR="00E62692">
        <w:rPr>
          <w:rFonts w:ascii="Leelawadee" w:hAnsi="Leelawadee" w:cs="Leelawadee"/>
          <w:sz w:val="22"/>
          <w:szCs w:val="22"/>
          <w:lang w:val="es-419"/>
        </w:rPr>
        <w:t>,</w:t>
      </w:r>
      <w:r w:rsidRPr="00E2092E">
        <w:rPr>
          <w:rFonts w:ascii="Leelawadee" w:hAnsi="Leelawadee" w:cs="Leelawadee"/>
          <w:sz w:val="22"/>
          <w:szCs w:val="22"/>
          <w:lang w:val="es-419"/>
        </w:rPr>
        <w:t xml:space="preserve"> e incumplió los compromisos adquiridos, lo que agudizó la conflictividad en los años siguientes.</w:t>
      </w:r>
      <w:r w:rsidR="00E62692">
        <w:rPr>
          <w:rFonts w:ascii="Leelawadee" w:hAnsi="Leelawadee" w:cs="Leelawadee"/>
          <w:sz w:val="22"/>
          <w:szCs w:val="22"/>
          <w:lang w:val="es-419"/>
        </w:rPr>
        <w:t xml:space="preserve"> Una sentencia de Amparo de la SCO ordenó proteger el cementerio y no realizar exhumaciones ni actividades mineras, esta decisión judicial fue incumplida por la empresa. </w:t>
      </w:r>
    </w:p>
    <w:p w14:paraId="7811E1E7" w14:textId="77777777" w:rsidR="00D41B41" w:rsidRPr="00E2092E" w:rsidRDefault="009F2540" w:rsidP="00E2092E">
      <w:pPr>
        <w:pStyle w:val="Ttulo2"/>
        <w:spacing w:before="180" w:after="120" w:line="276" w:lineRule="auto"/>
        <w:rPr>
          <w:rFonts w:ascii="Leelawadee" w:hAnsi="Leelawadee" w:cs="Leelawadee"/>
          <w:sz w:val="22"/>
          <w:szCs w:val="22"/>
          <w:lang w:val="es-419"/>
        </w:rPr>
      </w:pPr>
      <w:r w:rsidRPr="00E2092E">
        <w:rPr>
          <w:rFonts w:ascii="Leelawadee" w:hAnsi="Leelawadee" w:cs="Leelawadee"/>
          <w:b/>
          <w:bCs/>
          <w:color w:val="000000"/>
          <w:sz w:val="22"/>
          <w:szCs w:val="22"/>
          <w:lang w:val="es-419"/>
        </w:rPr>
        <w:t>IV.2. Negación de la condición indígena Maya Chortí (arts. 1, 2 y 5)</w:t>
      </w:r>
    </w:p>
    <w:p w14:paraId="61145FFD" w14:textId="0C2776BA" w:rsidR="00D41B41" w:rsidRPr="00E2092E" w:rsidRDefault="00E62692" w:rsidP="00E2092E">
      <w:pPr>
        <w:spacing w:after="120" w:line="276" w:lineRule="auto"/>
        <w:jc w:val="both"/>
        <w:rPr>
          <w:rFonts w:ascii="Leelawadee" w:hAnsi="Leelawadee" w:cs="Leelawadee"/>
          <w:sz w:val="22"/>
          <w:szCs w:val="22"/>
          <w:lang w:val="es-419"/>
        </w:rPr>
      </w:pPr>
      <w:r>
        <w:rPr>
          <w:rFonts w:ascii="Leelawadee" w:hAnsi="Leelawadee" w:cs="Leelawadee"/>
          <w:sz w:val="22"/>
          <w:szCs w:val="22"/>
          <w:lang w:val="es-419"/>
        </w:rPr>
        <w:t xml:space="preserve">22. SCO </w:t>
      </w:r>
      <w:r w:rsidRPr="00E2092E">
        <w:rPr>
          <w:rFonts w:ascii="Leelawadee" w:hAnsi="Leelawadee" w:cs="Leelawadee"/>
          <w:sz w:val="22"/>
          <w:szCs w:val="22"/>
          <w:lang w:val="es-419"/>
        </w:rPr>
        <w:t xml:space="preserve">de la </w:t>
      </w:r>
      <w:r>
        <w:rPr>
          <w:rFonts w:ascii="Leelawadee" w:hAnsi="Leelawadee" w:cs="Leelawadee"/>
          <w:sz w:val="22"/>
          <w:szCs w:val="22"/>
          <w:lang w:val="es-419"/>
        </w:rPr>
        <w:t xml:space="preserve">CSJ </w:t>
      </w:r>
      <w:r w:rsidRPr="00E2092E">
        <w:rPr>
          <w:rFonts w:ascii="Leelawadee" w:hAnsi="Leelawadee" w:cs="Leelawadee"/>
          <w:sz w:val="22"/>
          <w:szCs w:val="22"/>
          <w:lang w:val="es-419"/>
        </w:rPr>
        <w:t xml:space="preserve">estableció, en la sentencia SCO-0122-2019, que los habitantes de la comunidad de Azacualpa </w:t>
      </w:r>
      <w:r w:rsidRPr="00E62692">
        <w:rPr>
          <w:rFonts w:ascii="Leelawadee" w:hAnsi="Leelawadee" w:cs="Leelawadee"/>
          <w:i/>
          <w:iCs/>
          <w:sz w:val="22"/>
          <w:szCs w:val="22"/>
          <w:lang w:val="es-419"/>
        </w:rPr>
        <w:t>“conforman un grupo indígena por cumplir con el requisito de la descendencia, en este caso territorio ancestral Maya Chortí”</w:t>
      </w:r>
      <w:r w:rsidRPr="00E2092E">
        <w:rPr>
          <w:rStyle w:val="Refdenotaalpie"/>
          <w:rFonts w:ascii="Leelawadee" w:hAnsi="Leelawadee" w:cs="Leelawadee"/>
          <w:sz w:val="22"/>
          <w:szCs w:val="22"/>
        </w:rPr>
        <w:footnoteReference w:id="22"/>
      </w:r>
      <w:r w:rsidRPr="00E2092E">
        <w:rPr>
          <w:rFonts w:ascii="Leelawadee" w:hAnsi="Leelawadee" w:cs="Leelawadee"/>
          <w:sz w:val="22"/>
          <w:szCs w:val="22"/>
          <w:lang w:val="es-419"/>
        </w:rPr>
        <w:t xml:space="preserve">. Este reconocimiento fue corroborado por el propio Estado mediante el informe etnohistórico del Instituto Hondureño de Antropología e Historia (IHAH) de diciembre de 2024, que ubica a las aldeas de San Andrés Minas, Azacualpa y San Miguel en una región habitada por los descendientes directos de las poblaciones </w:t>
      </w:r>
      <w:r>
        <w:rPr>
          <w:rFonts w:ascii="Leelawadee" w:hAnsi="Leelawadee" w:cs="Leelawadee"/>
          <w:sz w:val="22"/>
          <w:szCs w:val="22"/>
          <w:lang w:val="es-419"/>
        </w:rPr>
        <w:t>M</w:t>
      </w:r>
      <w:r w:rsidRPr="00E2092E">
        <w:rPr>
          <w:rFonts w:ascii="Leelawadee" w:hAnsi="Leelawadee" w:cs="Leelawadee"/>
          <w:sz w:val="22"/>
          <w:szCs w:val="22"/>
          <w:lang w:val="es-419"/>
        </w:rPr>
        <w:t xml:space="preserve">aya </w:t>
      </w:r>
      <w:proofErr w:type="spellStart"/>
      <w:r>
        <w:rPr>
          <w:rFonts w:ascii="Leelawadee" w:hAnsi="Leelawadee" w:cs="Leelawadee"/>
          <w:sz w:val="22"/>
          <w:szCs w:val="22"/>
          <w:lang w:val="es-419"/>
        </w:rPr>
        <w:t>C</w:t>
      </w:r>
      <w:r w:rsidRPr="00E2092E">
        <w:rPr>
          <w:rFonts w:ascii="Leelawadee" w:hAnsi="Leelawadee" w:cs="Leelawadee"/>
          <w:sz w:val="22"/>
          <w:szCs w:val="22"/>
          <w:lang w:val="es-419"/>
        </w:rPr>
        <w:t>hortís</w:t>
      </w:r>
      <w:proofErr w:type="spellEnd"/>
      <w:r w:rsidRPr="00E2092E">
        <w:rPr>
          <w:rStyle w:val="Refdenotaalpie"/>
          <w:rFonts w:ascii="Leelawadee" w:hAnsi="Leelawadee" w:cs="Leelawadee"/>
          <w:sz w:val="22"/>
          <w:szCs w:val="22"/>
        </w:rPr>
        <w:footnoteReference w:id="23"/>
      </w:r>
      <w:r w:rsidRPr="00E2092E">
        <w:rPr>
          <w:rFonts w:ascii="Leelawadee" w:hAnsi="Leelawadee" w:cs="Leelawadee"/>
          <w:sz w:val="22"/>
          <w:szCs w:val="22"/>
          <w:lang w:val="es-419"/>
        </w:rPr>
        <w:t>.</w:t>
      </w:r>
    </w:p>
    <w:p w14:paraId="65B35D87" w14:textId="33A30D21" w:rsidR="00D41B41" w:rsidRPr="00E2092E" w:rsidRDefault="00E62692" w:rsidP="00E2092E">
      <w:pPr>
        <w:spacing w:after="120" w:line="276" w:lineRule="auto"/>
        <w:jc w:val="both"/>
        <w:rPr>
          <w:rFonts w:ascii="Leelawadee" w:hAnsi="Leelawadee" w:cs="Leelawadee"/>
          <w:sz w:val="22"/>
          <w:szCs w:val="22"/>
          <w:lang w:val="es-419"/>
        </w:rPr>
      </w:pPr>
      <w:r>
        <w:rPr>
          <w:rFonts w:ascii="Leelawadee" w:hAnsi="Leelawadee" w:cs="Leelawadee"/>
          <w:sz w:val="22"/>
          <w:szCs w:val="22"/>
          <w:lang w:val="es-419"/>
        </w:rPr>
        <w:t>23</w:t>
      </w:r>
      <w:r w:rsidRPr="00E2092E">
        <w:rPr>
          <w:rFonts w:ascii="Leelawadee" w:hAnsi="Leelawadee" w:cs="Leelawadee"/>
          <w:sz w:val="22"/>
          <w:szCs w:val="22"/>
          <w:lang w:val="es-419"/>
        </w:rPr>
        <w:t xml:space="preserve">. A pesar de la existencia de una sentencia constitucional y de un dictamen oficial que acreditan la condición indígena de la comunidad, el Estado de Honduras y la empresa minera persisten en negar la existencia del Pueblo Indígena Maya Chortí de Azacualpa. </w:t>
      </w:r>
      <w:r w:rsidR="00081598">
        <w:rPr>
          <w:rFonts w:ascii="Leelawadee" w:hAnsi="Leelawadee" w:cs="Leelawadee"/>
          <w:sz w:val="22"/>
          <w:szCs w:val="22"/>
          <w:lang w:val="es-419"/>
        </w:rPr>
        <w:t xml:space="preserve">La empresa MINOSA </w:t>
      </w:r>
      <w:r w:rsidR="00640AF0">
        <w:rPr>
          <w:rFonts w:ascii="Leelawadee" w:hAnsi="Leelawadee" w:cs="Leelawadee"/>
          <w:sz w:val="22"/>
          <w:szCs w:val="22"/>
          <w:lang w:val="es-419"/>
        </w:rPr>
        <w:t>e instituciones</w:t>
      </w:r>
      <w:r w:rsidR="00081598">
        <w:rPr>
          <w:rFonts w:ascii="Leelawadee" w:hAnsi="Leelawadee" w:cs="Leelawadee"/>
          <w:sz w:val="22"/>
          <w:szCs w:val="22"/>
          <w:lang w:val="es-419"/>
        </w:rPr>
        <w:t xml:space="preserve"> del Estado</w:t>
      </w:r>
      <w:r>
        <w:rPr>
          <w:rFonts w:ascii="Leelawadee" w:hAnsi="Leelawadee" w:cs="Leelawadee"/>
          <w:sz w:val="22"/>
          <w:szCs w:val="22"/>
          <w:lang w:val="es-419"/>
        </w:rPr>
        <w:t xml:space="preserve">, </w:t>
      </w:r>
      <w:r w:rsidRPr="00E2092E">
        <w:rPr>
          <w:rFonts w:ascii="Leelawadee" w:hAnsi="Leelawadee" w:cs="Leelawadee"/>
          <w:sz w:val="22"/>
          <w:szCs w:val="22"/>
          <w:lang w:val="es-419"/>
        </w:rPr>
        <w:t>incluido el propio Poder Judicial</w:t>
      </w:r>
      <w:r>
        <w:rPr>
          <w:rFonts w:ascii="Leelawadee" w:hAnsi="Leelawadee" w:cs="Leelawadee"/>
          <w:sz w:val="22"/>
          <w:szCs w:val="22"/>
          <w:lang w:val="es-419"/>
        </w:rPr>
        <w:t xml:space="preserve"> (Juzgado de Letras de Santa rosa de Copán, la jurisdicción de la comunidad de Azacualpa)</w:t>
      </w:r>
      <w:r w:rsidRPr="00E2092E">
        <w:rPr>
          <w:rFonts w:ascii="Leelawadee" w:hAnsi="Leelawadee" w:cs="Leelawadee"/>
          <w:sz w:val="22"/>
          <w:szCs w:val="22"/>
          <w:lang w:val="es-419"/>
        </w:rPr>
        <w:t xml:space="preserve"> niegan esa condición a personas de la comunidad con el fin de neutralizar o disminuir su reivindicación de derechos frente a la empresa, en particular el derecho a la consulta previa, libre e informada y los derechos territoriales asociados.</w:t>
      </w:r>
    </w:p>
    <w:p w14:paraId="2D17DE1C" w14:textId="435A40A7" w:rsidR="00D41B41" w:rsidRPr="00E2092E" w:rsidRDefault="00081598" w:rsidP="00E2092E">
      <w:pPr>
        <w:spacing w:after="120" w:line="276" w:lineRule="auto"/>
        <w:jc w:val="both"/>
        <w:rPr>
          <w:rFonts w:ascii="Leelawadee" w:hAnsi="Leelawadee" w:cs="Leelawadee"/>
          <w:sz w:val="22"/>
          <w:szCs w:val="22"/>
          <w:lang w:val="es-419"/>
        </w:rPr>
      </w:pPr>
      <w:r>
        <w:rPr>
          <w:rFonts w:ascii="Leelawadee" w:hAnsi="Leelawadee" w:cs="Leelawadee"/>
          <w:sz w:val="22"/>
          <w:szCs w:val="22"/>
          <w:lang w:val="es-419"/>
        </w:rPr>
        <w:t xml:space="preserve">24. </w:t>
      </w:r>
      <w:r w:rsidRPr="00E2092E">
        <w:rPr>
          <w:rFonts w:ascii="Leelawadee" w:hAnsi="Leelawadee" w:cs="Leelawadee"/>
          <w:sz w:val="22"/>
          <w:szCs w:val="22"/>
          <w:lang w:val="es-419"/>
        </w:rPr>
        <w:t xml:space="preserve">El artículo 1 de la Convención protege contra toda distinción, exclusión o restricción basada en el origen étnico que anule o menoscabe el ejercicio de los derechos humanos en condiciones de igualdad, y la Recomendación </w:t>
      </w:r>
      <w:r>
        <w:rPr>
          <w:rFonts w:ascii="Leelawadee" w:hAnsi="Leelawadee" w:cs="Leelawadee"/>
          <w:sz w:val="22"/>
          <w:szCs w:val="22"/>
          <w:lang w:val="es-419"/>
        </w:rPr>
        <w:t xml:space="preserve">General No. 8 </w:t>
      </w:r>
      <w:r w:rsidRPr="00E2092E">
        <w:rPr>
          <w:rFonts w:ascii="Leelawadee" w:hAnsi="Leelawadee" w:cs="Leelawadee"/>
          <w:sz w:val="22"/>
          <w:szCs w:val="22"/>
          <w:lang w:val="es-419"/>
        </w:rPr>
        <w:t>establece que la identificación de las personas como miembros de un grupo étnico debe basarse, salvo justificación en contrario, en la autoidentificación del propio interesado</w:t>
      </w:r>
      <w:r w:rsidR="00D16E3F">
        <w:rPr>
          <w:rStyle w:val="Refdenotaalpie"/>
          <w:rFonts w:ascii="Leelawadee" w:hAnsi="Leelawadee" w:cs="Leelawadee"/>
          <w:sz w:val="22"/>
          <w:szCs w:val="22"/>
          <w:lang w:val="es-419"/>
        </w:rPr>
        <w:footnoteReference w:id="24"/>
      </w:r>
      <w:r w:rsidRPr="00E2092E">
        <w:rPr>
          <w:rFonts w:ascii="Leelawadee" w:hAnsi="Leelawadee" w:cs="Leelawadee"/>
          <w:sz w:val="22"/>
          <w:szCs w:val="22"/>
          <w:lang w:val="es-419"/>
        </w:rPr>
        <w:t xml:space="preserve">. Negar administrativa o judicialmente una condición indígena ya declarada por el máximo tribunal constitucional y acreditada por el órgano </w:t>
      </w:r>
      <w:r w:rsidR="000B6963">
        <w:rPr>
          <w:rFonts w:ascii="Leelawadee" w:hAnsi="Leelawadee" w:cs="Leelawadee"/>
          <w:sz w:val="22"/>
          <w:szCs w:val="22"/>
          <w:lang w:val="es-419"/>
        </w:rPr>
        <w:t xml:space="preserve">técnico con estas facultades y </w:t>
      </w:r>
      <w:r w:rsidRPr="00E2092E">
        <w:rPr>
          <w:rFonts w:ascii="Leelawadee" w:hAnsi="Leelawadee" w:cs="Leelawadee"/>
          <w:sz w:val="22"/>
          <w:szCs w:val="22"/>
          <w:lang w:val="es-419"/>
        </w:rPr>
        <w:t xml:space="preserve">competente del propio Estado no es un desacuerdo </w:t>
      </w:r>
      <w:r w:rsidR="00D16E3F" w:rsidRPr="00E2092E">
        <w:rPr>
          <w:rFonts w:ascii="Leelawadee" w:hAnsi="Leelawadee" w:cs="Leelawadee"/>
          <w:sz w:val="22"/>
          <w:szCs w:val="22"/>
          <w:lang w:val="es-419"/>
        </w:rPr>
        <w:t>probatorio</w:t>
      </w:r>
      <w:r w:rsidR="00D16E3F">
        <w:rPr>
          <w:rFonts w:ascii="Leelawadee" w:hAnsi="Leelawadee" w:cs="Leelawadee"/>
          <w:sz w:val="22"/>
          <w:szCs w:val="22"/>
          <w:lang w:val="es-419"/>
        </w:rPr>
        <w:t>,</w:t>
      </w:r>
      <w:r w:rsidR="00D16E3F" w:rsidRPr="00E2092E">
        <w:rPr>
          <w:rFonts w:ascii="Leelawadee" w:hAnsi="Leelawadee" w:cs="Leelawadee"/>
          <w:sz w:val="22"/>
          <w:szCs w:val="22"/>
          <w:lang w:val="es-419"/>
        </w:rPr>
        <w:t xml:space="preserve"> es</w:t>
      </w:r>
      <w:r w:rsidRPr="00E2092E">
        <w:rPr>
          <w:rFonts w:ascii="Leelawadee" w:hAnsi="Leelawadee" w:cs="Leelawadee"/>
          <w:sz w:val="22"/>
          <w:szCs w:val="22"/>
          <w:lang w:val="es-419"/>
        </w:rPr>
        <w:t xml:space="preserve"> una </w:t>
      </w:r>
      <w:r w:rsidR="000B6963">
        <w:rPr>
          <w:rFonts w:ascii="Leelawadee" w:hAnsi="Leelawadee" w:cs="Leelawadee"/>
          <w:sz w:val="22"/>
          <w:szCs w:val="22"/>
          <w:lang w:val="es-419"/>
        </w:rPr>
        <w:lastRenderedPageBreak/>
        <w:t xml:space="preserve">pretensión </w:t>
      </w:r>
      <w:r w:rsidRPr="00E2092E">
        <w:rPr>
          <w:rFonts w:ascii="Leelawadee" w:hAnsi="Leelawadee" w:cs="Leelawadee"/>
          <w:sz w:val="22"/>
          <w:szCs w:val="22"/>
          <w:lang w:val="es-419"/>
        </w:rPr>
        <w:t>con el propósito de menoscabar derechos, es decir, discriminación racial en el sentido del artículo 1.1, imputable al Estado conforme al artículo 2.1 Su efecto práctico es privar a la comunidad de la titularidad de los derechos colectivos</w:t>
      </w:r>
      <w:r w:rsidR="000B6963">
        <w:rPr>
          <w:rFonts w:ascii="Leelawadee" w:hAnsi="Leelawadee" w:cs="Leelawadee"/>
          <w:sz w:val="22"/>
          <w:szCs w:val="22"/>
          <w:lang w:val="es-419"/>
        </w:rPr>
        <w:t xml:space="preserve">, como la </w:t>
      </w:r>
      <w:r w:rsidRPr="00E2092E">
        <w:rPr>
          <w:rFonts w:ascii="Leelawadee" w:hAnsi="Leelawadee" w:cs="Leelawadee"/>
          <w:sz w:val="22"/>
          <w:szCs w:val="22"/>
          <w:lang w:val="es-419"/>
        </w:rPr>
        <w:t>consulta, territorio, cultura</w:t>
      </w:r>
      <w:r w:rsidR="000B6963">
        <w:rPr>
          <w:rFonts w:ascii="Leelawadee" w:hAnsi="Leelawadee" w:cs="Leelawadee"/>
          <w:sz w:val="22"/>
          <w:szCs w:val="22"/>
          <w:lang w:val="es-419"/>
        </w:rPr>
        <w:t>,</w:t>
      </w:r>
      <w:r w:rsidRPr="00E2092E">
        <w:rPr>
          <w:rFonts w:ascii="Leelawadee" w:hAnsi="Leelawadee" w:cs="Leelawadee"/>
          <w:sz w:val="22"/>
          <w:szCs w:val="22"/>
          <w:lang w:val="es-419"/>
        </w:rPr>
        <w:t xml:space="preserve"> que condicionan la legalidad de la operación minera.</w:t>
      </w:r>
    </w:p>
    <w:p w14:paraId="07B09864" w14:textId="7CF8DE91" w:rsidR="00D41B41" w:rsidRPr="00E2092E" w:rsidRDefault="009F2540" w:rsidP="00E2092E">
      <w:pPr>
        <w:pStyle w:val="Ttulo2"/>
        <w:spacing w:before="180" w:after="120" w:line="276" w:lineRule="auto"/>
        <w:rPr>
          <w:rFonts w:ascii="Leelawadee" w:hAnsi="Leelawadee" w:cs="Leelawadee"/>
          <w:sz w:val="22"/>
          <w:szCs w:val="22"/>
          <w:lang w:val="es-419"/>
        </w:rPr>
      </w:pPr>
      <w:r w:rsidRPr="00E2092E">
        <w:rPr>
          <w:rFonts w:ascii="Leelawadee" w:hAnsi="Leelawadee" w:cs="Leelawadee"/>
          <w:b/>
          <w:bCs/>
          <w:color w:val="000000"/>
          <w:sz w:val="22"/>
          <w:szCs w:val="22"/>
          <w:lang w:val="es-419"/>
        </w:rPr>
        <w:t>IV.3. Destrucción del cementerio comunitario y desobediencia a la Sala de lo Constitucional (</w:t>
      </w:r>
      <w:r w:rsidR="000B6963">
        <w:rPr>
          <w:rFonts w:ascii="Leelawadee" w:hAnsi="Leelawadee" w:cs="Leelawadee"/>
          <w:b/>
          <w:bCs/>
          <w:color w:val="000000"/>
          <w:sz w:val="22"/>
          <w:szCs w:val="22"/>
          <w:lang w:val="es-419"/>
        </w:rPr>
        <w:t>artículo</w:t>
      </w:r>
      <w:r w:rsidRPr="00E2092E">
        <w:rPr>
          <w:rFonts w:ascii="Leelawadee" w:hAnsi="Leelawadee" w:cs="Leelawadee"/>
          <w:b/>
          <w:bCs/>
          <w:color w:val="000000"/>
          <w:sz w:val="22"/>
          <w:szCs w:val="22"/>
          <w:lang w:val="es-419"/>
        </w:rPr>
        <w:t xml:space="preserve"> 5</w:t>
      </w:r>
      <w:r w:rsidR="000B6963">
        <w:rPr>
          <w:rFonts w:ascii="Leelawadee" w:hAnsi="Leelawadee" w:cs="Leelawadee"/>
          <w:b/>
          <w:bCs/>
          <w:color w:val="000000"/>
          <w:sz w:val="22"/>
          <w:szCs w:val="22"/>
          <w:lang w:val="es-419"/>
        </w:rPr>
        <w:t xml:space="preserve"> inciso </w:t>
      </w:r>
      <w:r w:rsidRPr="00E2092E">
        <w:rPr>
          <w:rFonts w:ascii="Leelawadee" w:hAnsi="Leelawadee" w:cs="Leelawadee"/>
          <w:b/>
          <w:bCs/>
          <w:color w:val="000000"/>
          <w:sz w:val="22"/>
          <w:szCs w:val="22"/>
          <w:lang w:val="es-419"/>
        </w:rPr>
        <w:t>e</w:t>
      </w:r>
      <w:r w:rsidR="000B6963">
        <w:rPr>
          <w:rFonts w:ascii="Leelawadee" w:hAnsi="Leelawadee" w:cs="Leelawadee"/>
          <w:b/>
          <w:bCs/>
          <w:color w:val="000000"/>
          <w:sz w:val="22"/>
          <w:szCs w:val="22"/>
          <w:lang w:val="es-419"/>
        </w:rPr>
        <w:t xml:space="preserve">. </w:t>
      </w:r>
      <w:r w:rsidRPr="00E2092E">
        <w:rPr>
          <w:rFonts w:ascii="Leelawadee" w:hAnsi="Leelawadee" w:cs="Leelawadee"/>
          <w:b/>
          <w:bCs/>
          <w:color w:val="000000"/>
          <w:sz w:val="22"/>
          <w:szCs w:val="22"/>
          <w:lang w:val="es-419"/>
        </w:rPr>
        <w:t xml:space="preserve">vi y </w:t>
      </w:r>
      <w:r w:rsidR="000B6963">
        <w:rPr>
          <w:rFonts w:ascii="Leelawadee" w:hAnsi="Leelawadee" w:cs="Leelawadee"/>
          <w:b/>
          <w:bCs/>
          <w:color w:val="000000"/>
          <w:sz w:val="22"/>
          <w:szCs w:val="22"/>
          <w:lang w:val="es-419"/>
        </w:rPr>
        <w:t xml:space="preserve">artículo </w:t>
      </w:r>
      <w:r w:rsidRPr="00E2092E">
        <w:rPr>
          <w:rFonts w:ascii="Leelawadee" w:hAnsi="Leelawadee" w:cs="Leelawadee"/>
          <w:b/>
          <w:bCs/>
          <w:color w:val="000000"/>
          <w:sz w:val="22"/>
          <w:szCs w:val="22"/>
          <w:lang w:val="es-419"/>
        </w:rPr>
        <w:t>6)</w:t>
      </w:r>
    </w:p>
    <w:p w14:paraId="1CD2DAFE" w14:textId="6B49B2F0" w:rsidR="00D41B41" w:rsidRPr="00E2092E" w:rsidRDefault="000B6963" w:rsidP="00E2092E">
      <w:pPr>
        <w:spacing w:after="120" w:line="276" w:lineRule="auto"/>
        <w:jc w:val="both"/>
        <w:rPr>
          <w:rFonts w:ascii="Leelawadee" w:hAnsi="Leelawadee" w:cs="Leelawadee"/>
          <w:sz w:val="22"/>
          <w:szCs w:val="22"/>
          <w:lang w:val="es-419"/>
        </w:rPr>
      </w:pPr>
      <w:r>
        <w:rPr>
          <w:rFonts w:ascii="Leelawadee" w:hAnsi="Leelawadee" w:cs="Leelawadee"/>
          <w:sz w:val="22"/>
          <w:szCs w:val="22"/>
          <w:lang w:val="es-419"/>
        </w:rPr>
        <w:t>25</w:t>
      </w:r>
      <w:r w:rsidRPr="00E2092E">
        <w:rPr>
          <w:rFonts w:ascii="Leelawadee" w:hAnsi="Leelawadee" w:cs="Leelawadee"/>
          <w:sz w:val="22"/>
          <w:szCs w:val="22"/>
          <w:lang w:val="es-419"/>
        </w:rPr>
        <w:t>. El cementerio de Azacualpa constituía parte del patrimonio histórico, identitario y cultural de la comunidad y un vínculo material con sus antepasados. Frente a la pretensión de MINOSA de explotar el cerro donde se asentaba, la comunidad manifestó su rechazo en cabildo abierto el 11 de enero de 2015, acto convocado, desarrollado y certificado por la propia Corporación Municipal</w:t>
      </w:r>
      <w:r w:rsidRPr="00E2092E">
        <w:rPr>
          <w:rStyle w:val="Refdenotaalpie"/>
          <w:rFonts w:ascii="Leelawadee" w:hAnsi="Leelawadee" w:cs="Leelawadee"/>
          <w:sz w:val="22"/>
          <w:szCs w:val="22"/>
        </w:rPr>
        <w:footnoteReference w:id="25"/>
      </w:r>
      <w:r w:rsidRPr="00E2092E">
        <w:rPr>
          <w:rFonts w:ascii="Leelawadee" w:hAnsi="Leelawadee" w:cs="Leelawadee"/>
          <w:sz w:val="22"/>
          <w:szCs w:val="22"/>
          <w:lang w:val="es-419"/>
        </w:rPr>
        <w:t xml:space="preserve">. Ante la continuidad de las exhumaciones, los pobladores interpusieron el 22 de junio de 2018 una acción de amparo, denegada en primera y segunda instancia, y el 27 de noviembre de 2019 la Sala de lo Constitucional la otorgó, ordenando a la Municipalidad y a la Secretaría de Salud </w:t>
      </w:r>
      <w:r>
        <w:rPr>
          <w:rFonts w:ascii="Leelawadee" w:hAnsi="Leelawadee" w:cs="Leelawadee"/>
          <w:sz w:val="22"/>
          <w:szCs w:val="22"/>
          <w:lang w:val="es-419"/>
        </w:rPr>
        <w:t>“</w:t>
      </w:r>
      <w:r w:rsidRPr="00E2092E">
        <w:rPr>
          <w:rFonts w:ascii="Leelawadee" w:hAnsi="Leelawadee" w:cs="Leelawadee"/>
          <w:sz w:val="22"/>
          <w:szCs w:val="22"/>
          <w:lang w:val="es-419"/>
        </w:rPr>
        <w:t>rechazar de entrada (in limine) las autorizaciones de exhumaciones en el Cementerio de Azacualpa, con excepción de las que sean autorizadas judicialmente, con arreglo al Código de Salud y con posterior licencia</w:t>
      </w:r>
      <w:r>
        <w:rPr>
          <w:rFonts w:ascii="Leelawadee" w:hAnsi="Leelawadee" w:cs="Leelawadee"/>
          <w:sz w:val="22"/>
          <w:szCs w:val="22"/>
          <w:lang w:val="es-419"/>
        </w:rPr>
        <w:t>”</w:t>
      </w:r>
      <w:r w:rsidRPr="00E2092E">
        <w:rPr>
          <w:rFonts w:ascii="Leelawadee" w:hAnsi="Leelawadee" w:cs="Leelawadee"/>
          <w:sz w:val="22"/>
          <w:szCs w:val="22"/>
          <w:lang w:val="es-419"/>
        </w:rPr>
        <w:t xml:space="preserve"> de dicha Secretaría. A partir de la sentencia favorable se incrementaron las persecuciones, agresiones y hostigamientos contra los pobladores, ejecutados en su mayoría por la empresa de seguridad privada contratada por MINOSA, mediante vigilancia, amenazas y desalojos violentos de manifestaciones pacíficas entre 2021 y 2024.</w:t>
      </w:r>
    </w:p>
    <w:p w14:paraId="6028119F" w14:textId="1E993BC1" w:rsidR="00D41B41" w:rsidRPr="00E2092E" w:rsidRDefault="009F2540" w:rsidP="00E2092E">
      <w:pPr>
        <w:spacing w:after="120" w:line="276" w:lineRule="auto"/>
        <w:jc w:val="both"/>
        <w:rPr>
          <w:rFonts w:ascii="Leelawadee" w:hAnsi="Leelawadee" w:cs="Leelawadee"/>
          <w:sz w:val="22"/>
          <w:szCs w:val="22"/>
          <w:lang w:val="es-419"/>
        </w:rPr>
      </w:pPr>
      <w:r w:rsidRPr="000B6963">
        <w:rPr>
          <w:rFonts w:ascii="Leelawadee" w:hAnsi="Leelawadee" w:cs="Leelawadee"/>
          <w:sz w:val="22"/>
          <w:szCs w:val="22"/>
          <w:lang w:val="es-419"/>
        </w:rPr>
        <w:t>2</w:t>
      </w:r>
      <w:r w:rsidR="000B6963" w:rsidRPr="000B6963">
        <w:rPr>
          <w:rFonts w:ascii="Leelawadee" w:hAnsi="Leelawadee" w:cs="Leelawadee"/>
          <w:sz w:val="22"/>
          <w:szCs w:val="22"/>
          <w:lang w:val="es-419"/>
        </w:rPr>
        <w:t>6</w:t>
      </w:r>
      <w:r w:rsidRPr="000B6963">
        <w:rPr>
          <w:rFonts w:ascii="Leelawadee" w:hAnsi="Leelawadee" w:cs="Leelawadee"/>
          <w:sz w:val="22"/>
          <w:szCs w:val="22"/>
          <w:lang w:val="es-419"/>
        </w:rPr>
        <w:t xml:space="preserve">. No obstante la sentencia, </w:t>
      </w:r>
      <w:r w:rsidR="000B6963" w:rsidRPr="000B6963">
        <w:rPr>
          <w:rFonts w:ascii="Leelawadee" w:hAnsi="Leelawadee" w:cs="Leelawadee"/>
          <w:sz w:val="22"/>
          <w:szCs w:val="22"/>
          <w:lang w:val="es-419"/>
        </w:rPr>
        <w:t xml:space="preserve">fue incumplida por </w:t>
      </w:r>
      <w:r w:rsidRPr="000B6963">
        <w:rPr>
          <w:rFonts w:ascii="Leelawadee" w:hAnsi="Leelawadee" w:cs="Leelawadee"/>
          <w:sz w:val="22"/>
          <w:szCs w:val="22"/>
          <w:lang w:val="es-419"/>
        </w:rPr>
        <w:t xml:space="preserve">MINOSA y la Municipalidad </w:t>
      </w:r>
      <w:r w:rsidR="000B6963" w:rsidRPr="000B6963">
        <w:rPr>
          <w:rFonts w:ascii="Leelawadee" w:hAnsi="Leelawadee" w:cs="Leelawadee"/>
          <w:sz w:val="22"/>
          <w:szCs w:val="22"/>
          <w:lang w:val="es-419"/>
        </w:rPr>
        <w:t>de La Unión Copán, realizando las exhumaciones, reubicación y actividades mineras en el cerro del cementerio</w:t>
      </w:r>
      <w:r w:rsidRPr="000B6963">
        <w:rPr>
          <w:rStyle w:val="Refdenotaalpie"/>
          <w:rFonts w:ascii="Leelawadee" w:hAnsi="Leelawadee" w:cs="Leelawadee"/>
          <w:sz w:val="22"/>
          <w:szCs w:val="22"/>
        </w:rPr>
        <w:footnoteReference w:id="26"/>
      </w:r>
      <w:r w:rsidRPr="000B6963">
        <w:rPr>
          <w:rFonts w:ascii="Leelawadee" w:hAnsi="Leelawadee" w:cs="Leelawadee"/>
          <w:sz w:val="22"/>
          <w:szCs w:val="22"/>
          <w:lang w:val="es-419"/>
        </w:rPr>
        <w:t xml:space="preserve">. Aunque las víctimas continuaron presentando acciones para exigir el cumplimiento de la sentencia, las exhumaciones fueron ejecutadas sin la participación de los familiares, quienes hasta la fecha desconocen el paradero de los restos de sus seres queridos. </w:t>
      </w:r>
      <w:r w:rsidRPr="00E2092E">
        <w:rPr>
          <w:rFonts w:ascii="Leelawadee" w:hAnsi="Leelawadee" w:cs="Leelawadee"/>
          <w:sz w:val="22"/>
          <w:szCs w:val="22"/>
          <w:lang w:val="es-419"/>
        </w:rPr>
        <w:t>Con ello se consumó un daño irreparable al patrimonio cultural material e inmaterial del Pueblo Maya Chortí: la destrucción de sus ritos funerarios, la ruptura del vínculo espiritual con sus antepasados y la afectación de su vida comunitaria. Por estos hechos se presentó una comunicación individual ante el Comité de Derechos Económicos, Sociales y Culturales, la cual fue admitida a trámite</w:t>
      </w:r>
      <w:r w:rsidRPr="00E2092E">
        <w:rPr>
          <w:rStyle w:val="Refdenotaalpie"/>
          <w:rFonts w:ascii="Leelawadee" w:hAnsi="Leelawadee" w:cs="Leelawadee"/>
          <w:sz w:val="22"/>
          <w:szCs w:val="22"/>
        </w:rPr>
        <w:footnoteReference w:id="27"/>
      </w:r>
      <w:r w:rsidRPr="00E2092E">
        <w:rPr>
          <w:rFonts w:ascii="Leelawadee" w:hAnsi="Leelawadee" w:cs="Leelawadee"/>
          <w:sz w:val="22"/>
          <w:szCs w:val="22"/>
          <w:lang w:val="es-419"/>
        </w:rPr>
        <w:t>.</w:t>
      </w:r>
    </w:p>
    <w:p w14:paraId="7C38E84F" w14:textId="11FB28C7" w:rsidR="00D41B41" w:rsidRPr="00E2092E" w:rsidRDefault="000B6963" w:rsidP="00E2092E">
      <w:pPr>
        <w:spacing w:after="120" w:line="276" w:lineRule="auto"/>
        <w:jc w:val="both"/>
        <w:rPr>
          <w:rFonts w:ascii="Leelawadee" w:hAnsi="Leelawadee" w:cs="Leelawadee"/>
          <w:sz w:val="22"/>
          <w:szCs w:val="22"/>
          <w:lang w:val="es-419"/>
        </w:rPr>
      </w:pPr>
      <w:r w:rsidRPr="000B6963">
        <w:rPr>
          <w:rFonts w:ascii="Leelawadee" w:hAnsi="Leelawadee" w:cs="Leelawadee"/>
          <w:sz w:val="22"/>
          <w:szCs w:val="22"/>
          <w:lang w:val="es-419"/>
        </w:rPr>
        <w:t xml:space="preserve">27. </w:t>
      </w:r>
      <w:r w:rsidRPr="00E2092E">
        <w:rPr>
          <w:rFonts w:ascii="Leelawadee" w:hAnsi="Leelawadee" w:cs="Leelawadee"/>
          <w:sz w:val="22"/>
          <w:szCs w:val="22"/>
          <w:lang w:val="es-419"/>
        </w:rPr>
        <w:t>La destrucción del cementerio viola el derecho a participar, en condiciones de igualdad, en las actividades culturales (art. 5</w:t>
      </w:r>
      <w:r>
        <w:rPr>
          <w:rFonts w:ascii="Leelawadee" w:hAnsi="Leelawadee" w:cs="Leelawadee"/>
          <w:sz w:val="22"/>
          <w:szCs w:val="22"/>
          <w:lang w:val="es-419"/>
        </w:rPr>
        <w:t xml:space="preserve"> inciso </w:t>
      </w:r>
      <w:r w:rsidRPr="00E2092E">
        <w:rPr>
          <w:rFonts w:ascii="Leelawadee" w:hAnsi="Leelawadee" w:cs="Leelawadee"/>
          <w:sz w:val="22"/>
          <w:szCs w:val="22"/>
          <w:lang w:val="es-419"/>
        </w:rPr>
        <w:t>e</w:t>
      </w:r>
      <w:r>
        <w:rPr>
          <w:rFonts w:ascii="Leelawadee" w:hAnsi="Leelawadee" w:cs="Leelawadee"/>
          <w:sz w:val="22"/>
          <w:szCs w:val="22"/>
          <w:lang w:val="es-419"/>
        </w:rPr>
        <w:t xml:space="preserve">. </w:t>
      </w:r>
      <w:r w:rsidRPr="00E2092E">
        <w:rPr>
          <w:rFonts w:ascii="Leelawadee" w:hAnsi="Leelawadee" w:cs="Leelawadee"/>
          <w:sz w:val="22"/>
          <w:szCs w:val="22"/>
          <w:lang w:val="es-419"/>
        </w:rPr>
        <w:t xml:space="preserve">vi de la Convención), </w:t>
      </w:r>
      <w:r>
        <w:rPr>
          <w:rFonts w:ascii="Leelawadee" w:hAnsi="Leelawadee" w:cs="Leelawadee"/>
          <w:sz w:val="22"/>
          <w:szCs w:val="22"/>
          <w:lang w:val="es-419"/>
        </w:rPr>
        <w:t xml:space="preserve">además, de lo dispuesto en la </w:t>
      </w:r>
      <w:r w:rsidRPr="00E2092E">
        <w:rPr>
          <w:rFonts w:ascii="Leelawadee" w:hAnsi="Leelawadee" w:cs="Leelawadee"/>
          <w:sz w:val="22"/>
          <w:szCs w:val="22"/>
          <w:lang w:val="es-419"/>
        </w:rPr>
        <w:t xml:space="preserve">Recomendación </w:t>
      </w:r>
      <w:r>
        <w:rPr>
          <w:rFonts w:ascii="Leelawadee" w:hAnsi="Leelawadee" w:cs="Leelawadee"/>
          <w:sz w:val="22"/>
          <w:szCs w:val="22"/>
          <w:lang w:val="es-419"/>
        </w:rPr>
        <w:t>G</w:t>
      </w:r>
      <w:r w:rsidRPr="00E2092E">
        <w:rPr>
          <w:rFonts w:ascii="Leelawadee" w:hAnsi="Leelawadee" w:cs="Leelawadee"/>
          <w:sz w:val="22"/>
          <w:szCs w:val="22"/>
          <w:lang w:val="es-419"/>
        </w:rPr>
        <w:t>eneral N</w:t>
      </w:r>
      <w:r>
        <w:rPr>
          <w:rFonts w:ascii="Leelawadee" w:hAnsi="Leelawadee" w:cs="Leelawadee"/>
          <w:sz w:val="22"/>
          <w:szCs w:val="22"/>
          <w:lang w:val="es-419"/>
        </w:rPr>
        <w:t>o.</w:t>
      </w:r>
      <w:r w:rsidRPr="00E2092E">
        <w:rPr>
          <w:rFonts w:ascii="Leelawadee" w:hAnsi="Leelawadee" w:cs="Leelawadee"/>
          <w:sz w:val="22"/>
          <w:szCs w:val="22"/>
          <w:lang w:val="es-419"/>
        </w:rPr>
        <w:t xml:space="preserve"> </w:t>
      </w:r>
      <w:r>
        <w:rPr>
          <w:rFonts w:ascii="Leelawadee" w:hAnsi="Leelawadee" w:cs="Leelawadee"/>
          <w:sz w:val="22"/>
          <w:szCs w:val="22"/>
          <w:lang w:val="es-419"/>
        </w:rPr>
        <w:t>23</w:t>
      </w:r>
      <w:r w:rsidRPr="00E2092E">
        <w:rPr>
          <w:rFonts w:ascii="Leelawadee" w:hAnsi="Leelawadee" w:cs="Leelawadee"/>
          <w:sz w:val="22"/>
          <w:szCs w:val="22"/>
          <w:lang w:val="es-419"/>
        </w:rPr>
        <w:t xml:space="preserve">, que obliga a los Estados a reconocer y respetar la cultura, la historia y el modo de vida de los pueblos indígenas y a garantizar su derecho a practicar y revitalizar sus tradiciones y costumbres. La jurisprudencia interamericana ha reconocido que la imposibilidad de una comunidad de honrar a sus muertos conforme a sus ritos, y la separación de los restos de sus antepasados, constituyen una afectación grave y continuada de la integridad </w:t>
      </w:r>
      <w:r w:rsidRPr="00E2092E">
        <w:rPr>
          <w:rFonts w:ascii="Leelawadee" w:hAnsi="Leelawadee" w:cs="Leelawadee"/>
          <w:sz w:val="22"/>
          <w:szCs w:val="22"/>
          <w:lang w:val="es-419"/>
        </w:rPr>
        <w:lastRenderedPageBreak/>
        <w:t>de sus miembros</w:t>
      </w:r>
      <w:r w:rsidRPr="00E2092E">
        <w:rPr>
          <w:rStyle w:val="Refdenotaalpie"/>
          <w:rFonts w:ascii="Leelawadee" w:hAnsi="Leelawadee" w:cs="Leelawadee"/>
          <w:sz w:val="22"/>
          <w:szCs w:val="22"/>
        </w:rPr>
        <w:footnoteReference w:id="28"/>
      </w:r>
      <w:r w:rsidRPr="00E2092E">
        <w:rPr>
          <w:rFonts w:ascii="Leelawadee" w:hAnsi="Leelawadee" w:cs="Leelawadee"/>
          <w:sz w:val="22"/>
          <w:szCs w:val="22"/>
          <w:lang w:val="es-419"/>
        </w:rPr>
        <w:t>. La ejecución de las exhumaciones en abierta contravención de una sentencia constitucional firme viol</w:t>
      </w:r>
      <w:r w:rsidR="00145331">
        <w:rPr>
          <w:rFonts w:ascii="Leelawadee" w:hAnsi="Leelawadee" w:cs="Leelawadee"/>
          <w:sz w:val="22"/>
          <w:szCs w:val="22"/>
          <w:lang w:val="es-419"/>
        </w:rPr>
        <w:t>enta</w:t>
      </w:r>
      <w:r w:rsidRPr="00E2092E">
        <w:rPr>
          <w:rFonts w:ascii="Leelawadee" w:hAnsi="Leelawadee" w:cs="Leelawadee"/>
          <w:sz w:val="22"/>
          <w:szCs w:val="22"/>
          <w:lang w:val="es-419"/>
        </w:rPr>
        <w:t>, además, el derecho a protección y recursos efectivos del artículo 6 de la Convención</w:t>
      </w:r>
      <w:r w:rsidR="0045520B">
        <w:rPr>
          <w:rFonts w:ascii="Leelawadee" w:hAnsi="Leelawadee" w:cs="Leelawadee"/>
          <w:sz w:val="22"/>
          <w:szCs w:val="22"/>
          <w:lang w:val="es-419"/>
        </w:rPr>
        <w:t>,</w:t>
      </w:r>
      <w:r w:rsidRPr="00E2092E">
        <w:rPr>
          <w:rFonts w:ascii="Leelawadee" w:hAnsi="Leelawadee" w:cs="Leelawadee"/>
          <w:sz w:val="22"/>
          <w:szCs w:val="22"/>
          <w:lang w:val="es-419"/>
        </w:rPr>
        <w:t xml:space="preserve"> </w:t>
      </w:r>
      <w:r w:rsidR="00145331">
        <w:rPr>
          <w:rFonts w:ascii="Leelawadee" w:hAnsi="Leelawadee" w:cs="Leelawadee"/>
          <w:sz w:val="22"/>
          <w:szCs w:val="22"/>
          <w:lang w:val="es-419"/>
        </w:rPr>
        <w:t xml:space="preserve">se obtiene un recurso favorable </w:t>
      </w:r>
      <w:r w:rsidRPr="00E2092E">
        <w:rPr>
          <w:rFonts w:ascii="Leelawadee" w:hAnsi="Leelawadee" w:cs="Leelawadee"/>
          <w:sz w:val="22"/>
          <w:szCs w:val="22"/>
          <w:lang w:val="es-419"/>
        </w:rPr>
        <w:t xml:space="preserve">y </w:t>
      </w:r>
      <w:r w:rsidR="00145331">
        <w:rPr>
          <w:rFonts w:ascii="Leelawadee" w:hAnsi="Leelawadee" w:cs="Leelawadee"/>
          <w:sz w:val="22"/>
          <w:szCs w:val="22"/>
          <w:lang w:val="es-419"/>
        </w:rPr>
        <w:t xml:space="preserve">posteriormente </w:t>
      </w:r>
      <w:r w:rsidRPr="00E2092E">
        <w:rPr>
          <w:rFonts w:ascii="Leelawadee" w:hAnsi="Leelawadee" w:cs="Leelawadee"/>
          <w:sz w:val="22"/>
          <w:szCs w:val="22"/>
          <w:lang w:val="es-419"/>
        </w:rPr>
        <w:t>se desobedece</w:t>
      </w:r>
      <w:r w:rsidR="00145331">
        <w:rPr>
          <w:rFonts w:ascii="Leelawadee" w:hAnsi="Leelawadee" w:cs="Leelawadee"/>
          <w:sz w:val="22"/>
          <w:szCs w:val="22"/>
          <w:lang w:val="es-419"/>
        </w:rPr>
        <w:t xml:space="preserve">, </w:t>
      </w:r>
      <w:r w:rsidRPr="00E2092E">
        <w:rPr>
          <w:rFonts w:ascii="Leelawadee" w:hAnsi="Leelawadee" w:cs="Leelawadee"/>
          <w:sz w:val="22"/>
          <w:szCs w:val="22"/>
          <w:lang w:val="es-419"/>
        </w:rPr>
        <w:t>con la intervención de otro órgano judicial que autoriza precisamente lo prohibido</w:t>
      </w:r>
      <w:r w:rsidR="00145331">
        <w:rPr>
          <w:rFonts w:ascii="Leelawadee" w:hAnsi="Leelawadee" w:cs="Leelawadee"/>
          <w:sz w:val="22"/>
          <w:szCs w:val="22"/>
          <w:lang w:val="es-419"/>
        </w:rPr>
        <w:t>,</w:t>
      </w:r>
      <w:r w:rsidRPr="00E2092E">
        <w:rPr>
          <w:rFonts w:ascii="Leelawadee" w:hAnsi="Leelawadee" w:cs="Leelawadee"/>
          <w:sz w:val="22"/>
          <w:szCs w:val="22"/>
          <w:lang w:val="es-419"/>
        </w:rPr>
        <w:t xml:space="preserve"> es la negación misma de la tutela, pues la ejecución de los fallos forma parte del derecho de acceso a la justicia.</w:t>
      </w:r>
    </w:p>
    <w:p w14:paraId="2E351FF4" w14:textId="2B884020" w:rsidR="00D41B41" w:rsidRPr="00E2092E" w:rsidRDefault="009F2540" w:rsidP="00E2092E">
      <w:pPr>
        <w:pStyle w:val="Ttulo2"/>
        <w:spacing w:before="180" w:after="120" w:line="276" w:lineRule="auto"/>
        <w:rPr>
          <w:rFonts w:ascii="Leelawadee" w:hAnsi="Leelawadee" w:cs="Leelawadee"/>
          <w:sz w:val="22"/>
          <w:szCs w:val="22"/>
          <w:lang w:val="es-419"/>
        </w:rPr>
      </w:pPr>
      <w:r w:rsidRPr="00E2092E">
        <w:rPr>
          <w:rFonts w:ascii="Leelawadee" w:hAnsi="Leelawadee" w:cs="Leelawadee"/>
          <w:b/>
          <w:bCs/>
          <w:color w:val="000000"/>
          <w:sz w:val="22"/>
          <w:szCs w:val="22"/>
          <w:lang w:val="es-419"/>
        </w:rPr>
        <w:t>IV.4. Consulta previa y prórroga de la concesión minera San Andrés I mediante afirmativa ficta (</w:t>
      </w:r>
      <w:r w:rsidR="00145331">
        <w:rPr>
          <w:rFonts w:ascii="Leelawadee" w:hAnsi="Leelawadee" w:cs="Leelawadee"/>
          <w:b/>
          <w:bCs/>
          <w:color w:val="000000"/>
          <w:sz w:val="22"/>
          <w:szCs w:val="22"/>
          <w:lang w:val="es-419"/>
        </w:rPr>
        <w:t xml:space="preserve">artículo </w:t>
      </w:r>
      <w:r w:rsidRPr="00E2092E">
        <w:rPr>
          <w:rFonts w:ascii="Leelawadee" w:hAnsi="Leelawadee" w:cs="Leelawadee"/>
          <w:b/>
          <w:bCs/>
          <w:color w:val="000000"/>
          <w:sz w:val="22"/>
          <w:szCs w:val="22"/>
          <w:lang w:val="es-419"/>
        </w:rPr>
        <w:t>2 y 5</w:t>
      </w:r>
      <w:r w:rsidR="00145331">
        <w:rPr>
          <w:rFonts w:ascii="Leelawadee" w:hAnsi="Leelawadee" w:cs="Leelawadee"/>
          <w:b/>
          <w:bCs/>
          <w:color w:val="000000"/>
          <w:sz w:val="22"/>
          <w:szCs w:val="22"/>
          <w:lang w:val="es-419"/>
        </w:rPr>
        <w:t xml:space="preserve"> inciso </w:t>
      </w:r>
      <w:r w:rsidRPr="00E2092E">
        <w:rPr>
          <w:rFonts w:ascii="Leelawadee" w:hAnsi="Leelawadee" w:cs="Leelawadee"/>
          <w:b/>
          <w:bCs/>
          <w:color w:val="000000"/>
          <w:sz w:val="22"/>
          <w:szCs w:val="22"/>
          <w:lang w:val="es-419"/>
        </w:rPr>
        <w:t>d</w:t>
      </w:r>
      <w:r w:rsidR="00145331">
        <w:rPr>
          <w:rFonts w:ascii="Leelawadee" w:hAnsi="Leelawadee" w:cs="Leelawadee"/>
          <w:b/>
          <w:bCs/>
          <w:color w:val="000000"/>
          <w:sz w:val="22"/>
          <w:szCs w:val="22"/>
          <w:lang w:val="es-419"/>
        </w:rPr>
        <w:t xml:space="preserve">. </w:t>
      </w:r>
      <w:r w:rsidRPr="00E2092E">
        <w:rPr>
          <w:rFonts w:ascii="Leelawadee" w:hAnsi="Leelawadee" w:cs="Leelawadee"/>
          <w:b/>
          <w:bCs/>
          <w:color w:val="000000"/>
          <w:sz w:val="22"/>
          <w:szCs w:val="22"/>
          <w:lang w:val="es-419"/>
        </w:rPr>
        <w:t>v)</w:t>
      </w:r>
    </w:p>
    <w:p w14:paraId="471793DB" w14:textId="1F80059B" w:rsidR="00D41B41" w:rsidRPr="00E2092E" w:rsidRDefault="009F2540" w:rsidP="00E2092E">
      <w:pPr>
        <w:spacing w:after="120" w:line="276" w:lineRule="auto"/>
        <w:jc w:val="both"/>
        <w:rPr>
          <w:rFonts w:ascii="Leelawadee" w:hAnsi="Leelawadee" w:cs="Leelawadee"/>
          <w:sz w:val="22"/>
          <w:szCs w:val="22"/>
          <w:lang w:val="es-419"/>
        </w:rPr>
      </w:pPr>
      <w:r w:rsidRPr="00E2092E">
        <w:rPr>
          <w:rFonts w:ascii="Leelawadee" w:hAnsi="Leelawadee" w:cs="Leelawadee"/>
          <w:sz w:val="22"/>
          <w:szCs w:val="22"/>
          <w:lang w:val="es-419"/>
        </w:rPr>
        <w:t>2</w:t>
      </w:r>
      <w:r w:rsidR="00145331">
        <w:rPr>
          <w:rFonts w:ascii="Leelawadee" w:hAnsi="Leelawadee" w:cs="Leelawadee"/>
          <w:sz w:val="22"/>
          <w:szCs w:val="22"/>
          <w:lang w:val="es-419"/>
        </w:rPr>
        <w:t>8</w:t>
      </w:r>
      <w:r w:rsidRPr="00E2092E">
        <w:rPr>
          <w:rFonts w:ascii="Leelawadee" w:hAnsi="Leelawadee" w:cs="Leelawadee"/>
          <w:sz w:val="22"/>
          <w:szCs w:val="22"/>
          <w:lang w:val="es-419"/>
        </w:rPr>
        <w:t>. La concesión minera San Andrés I se encuentra vencida. El 27 de septiembre de 2022, MINOSA solicitó al INHGEOMIN su prórroga, mantenimiento y renovación (expediente administrativo N</w:t>
      </w:r>
      <w:r w:rsidR="00145331">
        <w:rPr>
          <w:rFonts w:ascii="Leelawadee" w:hAnsi="Leelawadee" w:cs="Leelawadee"/>
          <w:sz w:val="22"/>
          <w:szCs w:val="22"/>
          <w:lang w:val="es-419"/>
        </w:rPr>
        <w:t>o.</w:t>
      </w:r>
      <w:r w:rsidRPr="00E2092E">
        <w:rPr>
          <w:rFonts w:ascii="Leelawadee" w:hAnsi="Leelawadee" w:cs="Leelawadee"/>
          <w:sz w:val="22"/>
          <w:szCs w:val="22"/>
          <w:lang w:val="es-419"/>
        </w:rPr>
        <w:t xml:space="preserve"> 45). El 10 de febrero de 2023</w:t>
      </w:r>
      <w:r w:rsidR="00145331">
        <w:rPr>
          <w:rFonts w:ascii="Leelawadee" w:hAnsi="Leelawadee" w:cs="Leelawadee"/>
          <w:sz w:val="22"/>
          <w:szCs w:val="22"/>
          <w:lang w:val="es-419"/>
        </w:rPr>
        <w:t xml:space="preserve">, </w:t>
      </w:r>
      <w:r w:rsidRPr="00E2092E">
        <w:rPr>
          <w:rFonts w:ascii="Leelawadee" w:hAnsi="Leelawadee" w:cs="Leelawadee"/>
          <w:sz w:val="22"/>
          <w:szCs w:val="22"/>
          <w:lang w:val="es-419"/>
        </w:rPr>
        <w:t>apenas transcurrido el plazo del artículo 29 de la Ley de Procedimiento Administrativo</w:t>
      </w:r>
      <w:r w:rsidR="00145331">
        <w:rPr>
          <w:rFonts w:ascii="Leelawadee" w:hAnsi="Leelawadee" w:cs="Leelawadee"/>
          <w:sz w:val="22"/>
          <w:szCs w:val="22"/>
          <w:lang w:val="es-419"/>
        </w:rPr>
        <w:t>,</w:t>
      </w:r>
      <w:r w:rsidRPr="00E2092E">
        <w:rPr>
          <w:rFonts w:ascii="Leelawadee" w:hAnsi="Leelawadee" w:cs="Leelawadee"/>
          <w:sz w:val="22"/>
          <w:szCs w:val="22"/>
          <w:lang w:val="es-419"/>
        </w:rPr>
        <w:t xml:space="preserve"> la empresa solicitó la certificación de </w:t>
      </w:r>
      <w:r w:rsidRPr="00E2092E">
        <w:rPr>
          <w:rFonts w:ascii="Leelawadee" w:hAnsi="Leelawadee" w:cs="Leelawadee"/>
          <w:i/>
          <w:iCs/>
          <w:sz w:val="22"/>
          <w:szCs w:val="22"/>
          <w:lang w:val="es-419"/>
        </w:rPr>
        <w:t>afirmativa ficta</w:t>
      </w:r>
      <w:r w:rsidRPr="00E2092E">
        <w:rPr>
          <w:rFonts w:ascii="Leelawadee" w:hAnsi="Leelawadee" w:cs="Leelawadee"/>
          <w:sz w:val="22"/>
          <w:szCs w:val="22"/>
          <w:lang w:val="es-419"/>
        </w:rPr>
        <w:t>, y el 3 de marzo de 2023 presentó un acta notarial mediante la cual pretende tener por otorgada, por el solo silencio de la administración, la renovación de la concesi</w:t>
      </w:r>
      <w:r w:rsidRPr="00145331">
        <w:rPr>
          <w:rFonts w:ascii="Leelawadee" w:hAnsi="Leelawadee" w:cs="Leelawadee"/>
          <w:sz w:val="22"/>
          <w:szCs w:val="22"/>
          <w:lang w:val="es-419"/>
        </w:rPr>
        <w:t>ón por un período adicional de treinta años</w:t>
      </w:r>
      <w:r w:rsidRPr="00E2092E">
        <w:rPr>
          <w:rFonts w:ascii="Leelawadee" w:hAnsi="Leelawadee" w:cs="Leelawadee"/>
          <w:sz w:val="22"/>
          <w:szCs w:val="22"/>
          <w:lang w:val="es-419"/>
        </w:rPr>
        <w:t>.</w:t>
      </w:r>
    </w:p>
    <w:p w14:paraId="6E900595" w14:textId="0D63A34F" w:rsidR="00D41B41" w:rsidRPr="00E2092E" w:rsidRDefault="00D00399" w:rsidP="00E2092E">
      <w:pPr>
        <w:spacing w:after="120" w:line="276" w:lineRule="auto"/>
        <w:jc w:val="both"/>
        <w:rPr>
          <w:rFonts w:ascii="Leelawadee" w:hAnsi="Leelawadee" w:cs="Leelawadee"/>
          <w:sz w:val="22"/>
          <w:szCs w:val="22"/>
          <w:lang w:val="es-419"/>
        </w:rPr>
      </w:pPr>
      <w:r>
        <w:rPr>
          <w:rFonts w:ascii="Leelawadee" w:hAnsi="Leelawadee" w:cs="Leelawadee"/>
          <w:sz w:val="22"/>
          <w:szCs w:val="22"/>
          <w:lang w:val="es-419"/>
        </w:rPr>
        <w:t xml:space="preserve">29. </w:t>
      </w:r>
      <w:r w:rsidRPr="00E2092E">
        <w:rPr>
          <w:rFonts w:ascii="Leelawadee" w:hAnsi="Leelawadee" w:cs="Leelawadee"/>
          <w:sz w:val="22"/>
          <w:szCs w:val="22"/>
          <w:lang w:val="es-419"/>
        </w:rPr>
        <w:t xml:space="preserve">El 13 de abril de 2023, </w:t>
      </w:r>
      <w:r>
        <w:rPr>
          <w:rFonts w:ascii="Leelawadee" w:hAnsi="Leelawadee" w:cs="Leelawadee"/>
          <w:sz w:val="22"/>
          <w:szCs w:val="22"/>
          <w:lang w:val="es-419"/>
        </w:rPr>
        <w:t xml:space="preserve">se interpuso </w:t>
      </w:r>
      <w:r w:rsidRPr="00E2092E">
        <w:rPr>
          <w:rFonts w:ascii="Leelawadee" w:hAnsi="Leelawadee" w:cs="Leelawadee"/>
          <w:sz w:val="22"/>
          <w:szCs w:val="22"/>
          <w:lang w:val="es-419"/>
        </w:rPr>
        <w:t xml:space="preserve">oposición a la prórroga, sustentada en la violación del derecho a la consulta previa, libre e informada; la oposición fue admitida por el INHGEOMIN el 26 de julio de 2023 y, a la fecha de este informe, </w:t>
      </w:r>
      <w:r w:rsidRPr="00E2092E">
        <w:rPr>
          <w:rFonts w:ascii="Leelawadee" w:hAnsi="Leelawadee" w:cs="Leelawadee"/>
          <w:b/>
          <w:bCs/>
          <w:sz w:val="22"/>
          <w:szCs w:val="22"/>
          <w:lang w:val="es-419"/>
        </w:rPr>
        <w:t>no ha sido resuelta</w:t>
      </w:r>
      <w:r w:rsidRPr="00E2092E">
        <w:rPr>
          <w:rFonts w:ascii="Leelawadee" w:hAnsi="Leelawadee" w:cs="Leelawadee"/>
          <w:sz w:val="22"/>
          <w:szCs w:val="22"/>
          <w:lang w:val="es-419"/>
        </w:rPr>
        <w:t xml:space="preserve">. </w:t>
      </w:r>
      <w:r>
        <w:rPr>
          <w:rFonts w:ascii="Leelawadee" w:hAnsi="Leelawadee" w:cs="Leelawadee"/>
          <w:sz w:val="22"/>
          <w:szCs w:val="22"/>
          <w:lang w:val="es-419"/>
        </w:rPr>
        <w:t xml:space="preserve">Pese a la oposición y las irregularidades del proceso, </w:t>
      </w:r>
      <w:r w:rsidRPr="00E2092E">
        <w:rPr>
          <w:rFonts w:ascii="Leelawadee" w:hAnsi="Leelawadee" w:cs="Leelawadee"/>
          <w:sz w:val="22"/>
          <w:szCs w:val="22"/>
          <w:lang w:val="es-419"/>
        </w:rPr>
        <w:t xml:space="preserve">la empresa </w:t>
      </w:r>
      <w:r>
        <w:rPr>
          <w:rFonts w:ascii="Leelawadee" w:hAnsi="Leelawadee" w:cs="Leelawadee"/>
          <w:sz w:val="22"/>
          <w:szCs w:val="22"/>
          <w:lang w:val="es-419"/>
        </w:rPr>
        <w:t xml:space="preserve">MINOSA </w:t>
      </w:r>
      <w:r w:rsidRPr="00E2092E">
        <w:rPr>
          <w:rFonts w:ascii="Leelawadee" w:hAnsi="Leelawadee" w:cs="Leelawadee"/>
          <w:sz w:val="22"/>
          <w:szCs w:val="22"/>
          <w:lang w:val="es-419"/>
        </w:rPr>
        <w:t xml:space="preserve">se declaró </w:t>
      </w:r>
      <w:r>
        <w:rPr>
          <w:rFonts w:ascii="Leelawadee" w:hAnsi="Leelawadee" w:cs="Leelawadee"/>
          <w:sz w:val="22"/>
          <w:szCs w:val="22"/>
          <w:lang w:val="es-419"/>
        </w:rPr>
        <w:t>“</w:t>
      </w:r>
      <w:r w:rsidRPr="00E2092E">
        <w:rPr>
          <w:rFonts w:ascii="Leelawadee" w:hAnsi="Leelawadee" w:cs="Leelawadee"/>
          <w:sz w:val="22"/>
          <w:szCs w:val="22"/>
          <w:lang w:val="es-419"/>
        </w:rPr>
        <w:t>plenamente habilitada</w:t>
      </w:r>
      <w:r>
        <w:rPr>
          <w:rFonts w:ascii="Leelawadee" w:hAnsi="Leelawadee" w:cs="Leelawadee"/>
          <w:sz w:val="22"/>
          <w:szCs w:val="22"/>
          <w:lang w:val="es-419"/>
        </w:rPr>
        <w:t>”</w:t>
      </w:r>
      <w:r w:rsidRPr="00E2092E">
        <w:rPr>
          <w:rFonts w:ascii="Leelawadee" w:hAnsi="Leelawadee" w:cs="Leelawadee"/>
          <w:sz w:val="22"/>
          <w:szCs w:val="22"/>
          <w:lang w:val="es-419"/>
        </w:rPr>
        <w:t xml:space="preserve"> para el desarrollo integral del proyecto por treinta años y el INHGEOMIN ordenó continuar el trámite. Contra el acto presunto se promovió acción de nulidad absoluta, actualmente en trámite</w:t>
      </w:r>
      <w:r w:rsidRPr="00E2092E">
        <w:rPr>
          <w:rStyle w:val="Refdenotaalpie"/>
          <w:rFonts w:ascii="Leelawadee" w:hAnsi="Leelawadee" w:cs="Leelawadee"/>
          <w:sz w:val="22"/>
          <w:szCs w:val="22"/>
        </w:rPr>
        <w:footnoteReference w:id="29"/>
      </w:r>
      <w:r w:rsidRPr="00E2092E">
        <w:rPr>
          <w:rFonts w:ascii="Leelawadee" w:hAnsi="Leelawadee" w:cs="Leelawadee"/>
          <w:sz w:val="22"/>
          <w:szCs w:val="22"/>
          <w:lang w:val="es-419"/>
        </w:rPr>
        <w:t>.</w:t>
      </w:r>
    </w:p>
    <w:p w14:paraId="26331AD8" w14:textId="43E34CDC" w:rsidR="00D41B41" w:rsidRPr="00E2092E" w:rsidRDefault="00D00399" w:rsidP="00E2092E">
      <w:pPr>
        <w:spacing w:after="120" w:line="276" w:lineRule="auto"/>
        <w:jc w:val="both"/>
        <w:rPr>
          <w:rFonts w:ascii="Leelawadee" w:hAnsi="Leelawadee" w:cs="Leelawadee"/>
          <w:sz w:val="22"/>
          <w:szCs w:val="22"/>
          <w:lang w:val="es-419"/>
        </w:rPr>
      </w:pPr>
      <w:r w:rsidRPr="00D00399">
        <w:rPr>
          <w:rFonts w:ascii="Leelawadee" w:hAnsi="Leelawadee" w:cs="Leelawadee"/>
          <w:sz w:val="22"/>
          <w:szCs w:val="22"/>
          <w:lang w:val="es-419"/>
        </w:rPr>
        <w:t xml:space="preserve">30. </w:t>
      </w:r>
      <w:r w:rsidRPr="00E2092E">
        <w:rPr>
          <w:rFonts w:ascii="Leelawadee" w:hAnsi="Leelawadee" w:cs="Leelawadee"/>
          <w:sz w:val="22"/>
          <w:szCs w:val="22"/>
          <w:lang w:val="es-419"/>
        </w:rPr>
        <w:t>La operación descrita infringe simultáneamente el derecho interno y la Convención. En el plano interno, conforme a la jurisprudencia de la Corte Suprema de Justicia, la afirmativa ficta exige el cumplimiento de los requisitos de fondo de la solicitud y no opera cuando existe una disputa entre partes interesadas pendiente de ser dirimida en la vía administrativa</w:t>
      </w:r>
      <w:r>
        <w:rPr>
          <w:rFonts w:ascii="Leelawadee" w:hAnsi="Leelawadee" w:cs="Leelawadee"/>
          <w:sz w:val="22"/>
          <w:szCs w:val="22"/>
          <w:lang w:val="es-419"/>
        </w:rPr>
        <w:t>.</w:t>
      </w:r>
      <w:r w:rsidRPr="00E2092E">
        <w:rPr>
          <w:rFonts w:ascii="Leelawadee" w:hAnsi="Leelawadee" w:cs="Leelawadee"/>
          <w:sz w:val="22"/>
          <w:szCs w:val="22"/>
          <w:lang w:val="es-419"/>
        </w:rPr>
        <w:t xml:space="preserve"> </w:t>
      </w:r>
      <w:r>
        <w:rPr>
          <w:rFonts w:ascii="Leelawadee" w:hAnsi="Leelawadee" w:cs="Leelawadee"/>
          <w:sz w:val="22"/>
          <w:szCs w:val="22"/>
          <w:lang w:val="es-419"/>
        </w:rPr>
        <w:t>A</w:t>
      </w:r>
      <w:r w:rsidRPr="00E2092E">
        <w:rPr>
          <w:rFonts w:ascii="Leelawadee" w:hAnsi="Leelawadee" w:cs="Leelawadee"/>
          <w:sz w:val="22"/>
          <w:szCs w:val="22"/>
          <w:lang w:val="es-419"/>
        </w:rPr>
        <w:t xml:space="preserve">demás, el artículo 67-A de la Ley General de Minería ordena expresamente la consulta previa, libre e informada conforme al Convenio 169 para los proyectos en territorios de pueblos indígenas. En el plano convencional, la consulta es un deber estatal que debe cumplirse activamente, en las primeras etapas de la decisión, de buena fe y con miras </w:t>
      </w:r>
      <w:r>
        <w:rPr>
          <w:rFonts w:ascii="Leelawadee" w:hAnsi="Leelawadee" w:cs="Leelawadee"/>
          <w:sz w:val="22"/>
          <w:szCs w:val="22"/>
          <w:lang w:val="es-419"/>
        </w:rPr>
        <w:t>a obtener el consentimiento</w:t>
      </w:r>
      <w:r w:rsidR="00FC23E4">
        <w:rPr>
          <w:rStyle w:val="Refdenotaalpie"/>
          <w:rFonts w:ascii="Leelawadee" w:hAnsi="Leelawadee" w:cs="Leelawadee"/>
          <w:sz w:val="22"/>
          <w:szCs w:val="22"/>
          <w:lang w:val="es-419"/>
        </w:rPr>
        <w:footnoteReference w:id="30"/>
      </w:r>
      <w:r w:rsidRPr="00E2092E">
        <w:rPr>
          <w:rFonts w:ascii="Leelawadee" w:hAnsi="Leelawadee" w:cs="Leelawadee"/>
          <w:sz w:val="22"/>
          <w:szCs w:val="22"/>
          <w:lang w:val="es-419"/>
        </w:rPr>
        <w:t xml:space="preserve">; por definición, el silencio de la administración es la </w:t>
      </w:r>
      <w:r>
        <w:rPr>
          <w:rFonts w:ascii="Leelawadee" w:hAnsi="Leelawadee" w:cs="Leelawadee"/>
          <w:sz w:val="22"/>
          <w:szCs w:val="22"/>
          <w:lang w:val="es-419"/>
        </w:rPr>
        <w:t xml:space="preserve">lo contrario </w:t>
      </w:r>
      <w:r w:rsidRPr="00E2092E">
        <w:rPr>
          <w:rFonts w:ascii="Leelawadee" w:hAnsi="Leelawadee" w:cs="Leelawadee"/>
          <w:sz w:val="22"/>
          <w:szCs w:val="22"/>
          <w:lang w:val="es-419"/>
        </w:rPr>
        <w:t>de ese deber</w:t>
      </w:r>
      <w:r w:rsidR="00165661">
        <w:rPr>
          <w:rFonts w:ascii="Leelawadee" w:hAnsi="Leelawadee" w:cs="Leelawadee"/>
          <w:sz w:val="22"/>
          <w:szCs w:val="22"/>
          <w:lang w:val="es-419"/>
        </w:rPr>
        <w:t xml:space="preserve">, </w:t>
      </w:r>
      <w:r w:rsidRPr="00E2092E">
        <w:rPr>
          <w:rFonts w:ascii="Leelawadee" w:hAnsi="Leelawadee" w:cs="Leelawadee"/>
          <w:sz w:val="22"/>
          <w:szCs w:val="22"/>
          <w:lang w:val="es-419"/>
        </w:rPr>
        <w:t xml:space="preserve">no informa, </w:t>
      </w:r>
      <w:r w:rsidR="00FC23E4">
        <w:rPr>
          <w:rFonts w:ascii="Leelawadee" w:hAnsi="Leelawadee" w:cs="Leelawadee"/>
          <w:sz w:val="22"/>
          <w:szCs w:val="22"/>
          <w:lang w:val="es-419"/>
        </w:rPr>
        <w:t xml:space="preserve">ni </w:t>
      </w:r>
      <w:r w:rsidRPr="00E2092E">
        <w:rPr>
          <w:rFonts w:ascii="Leelawadee" w:hAnsi="Leelawadee" w:cs="Leelawadee"/>
          <w:sz w:val="22"/>
          <w:szCs w:val="22"/>
          <w:lang w:val="es-419"/>
        </w:rPr>
        <w:t>permite el control de la decisión. Sustituir la consulta</w:t>
      </w:r>
      <w:r>
        <w:rPr>
          <w:rFonts w:ascii="Leelawadee" w:hAnsi="Leelawadee" w:cs="Leelawadee"/>
          <w:sz w:val="22"/>
          <w:szCs w:val="22"/>
          <w:lang w:val="es-419"/>
        </w:rPr>
        <w:t xml:space="preserve">, </w:t>
      </w:r>
      <w:r w:rsidRPr="00E2092E">
        <w:rPr>
          <w:rFonts w:ascii="Leelawadee" w:hAnsi="Leelawadee" w:cs="Leelawadee"/>
          <w:sz w:val="22"/>
          <w:szCs w:val="22"/>
          <w:lang w:val="es-419"/>
        </w:rPr>
        <w:t>y la resolución motivada de una oposición admitida</w:t>
      </w:r>
      <w:r>
        <w:rPr>
          <w:rFonts w:ascii="Leelawadee" w:hAnsi="Leelawadee" w:cs="Leelawadee"/>
          <w:sz w:val="22"/>
          <w:szCs w:val="22"/>
          <w:lang w:val="es-419"/>
        </w:rPr>
        <w:t>,</w:t>
      </w:r>
      <w:r w:rsidRPr="00E2092E">
        <w:rPr>
          <w:rFonts w:ascii="Leelawadee" w:hAnsi="Leelawadee" w:cs="Leelawadee"/>
          <w:sz w:val="22"/>
          <w:szCs w:val="22"/>
          <w:lang w:val="es-419"/>
        </w:rPr>
        <w:t xml:space="preserve"> por el silencio administrativo equivale a convertir la omisión del Estado en título habilitante de la actividad extractiva, permitiendo a la empresa operar con un permiso vencido en un territorio indígena reconocido. Ello viola los artículos 2.1 y 5</w:t>
      </w:r>
      <w:r>
        <w:rPr>
          <w:rFonts w:ascii="Leelawadee" w:hAnsi="Leelawadee" w:cs="Leelawadee"/>
          <w:sz w:val="22"/>
          <w:szCs w:val="22"/>
          <w:lang w:val="es-419"/>
        </w:rPr>
        <w:t xml:space="preserve"> inciso </w:t>
      </w:r>
      <w:r w:rsidRPr="00E2092E">
        <w:rPr>
          <w:rFonts w:ascii="Leelawadee" w:hAnsi="Leelawadee" w:cs="Leelawadee"/>
          <w:sz w:val="22"/>
          <w:szCs w:val="22"/>
          <w:lang w:val="es-419"/>
        </w:rPr>
        <w:t>d</w:t>
      </w:r>
      <w:r>
        <w:rPr>
          <w:rFonts w:ascii="Leelawadee" w:hAnsi="Leelawadee" w:cs="Leelawadee"/>
          <w:sz w:val="22"/>
          <w:szCs w:val="22"/>
          <w:lang w:val="es-419"/>
        </w:rPr>
        <w:t xml:space="preserve"> </w:t>
      </w:r>
      <w:r w:rsidRPr="00E2092E">
        <w:rPr>
          <w:rFonts w:ascii="Leelawadee" w:hAnsi="Leelawadee" w:cs="Leelawadee"/>
          <w:sz w:val="22"/>
          <w:szCs w:val="22"/>
          <w:lang w:val="es-419"/>
        </w:rPr>
        <w:t xml:space="preserve">de la Convención, la Recomendación </w:t>
      </w:r>
      <w:r>
        <w:rPr>
          <w:rFonts w:ascii="Leelawadee" w:hAnsi="Leelawadee" w:cs="Leelawadee"/>
          <w:sz w:val="22"/>
          <w:szCs w:val="22"/>
          <w:lang w:val="es-419"/>
        </w:rPr>
        <w:lastRenderedPageBreak/>
        <w:t>G</w:t>
      </w:r>
      <w:r w:rsidRPr="00E2092E">
        <w:rPr>
          <w:rFonts w:ascii="Leelawadee" w:hAnsi="Leelawadee" w:cs="Leelawadee"/>
          <w:sz w:val="22"/>
          <w:szCs w:val="22"/>
          <w:lang w:val="es-419"/>
        </w:rPr>
        <w:t>eneral N</w:t>
      </w:r>
      <w:r>
        <w:rPr>
          <w:rFonts w:ascii="Leelawadee" w:hAnsi="Leelawadee" w:cs="Leelawadee"/>
          <w:sz w:val="22"/>
          <w:szCs w:val="22"/>
          <w:lang w:val="es-419"/>
        </w:rPr>
        <w:t>o.</w:t>
      </w:r>
      <w:r w:rsidRPr="00E2092E">
        <w:rPr>
          <w:rFonts w:ascii="Leelawadee" w:hAnsi="Leelawadee" w:cs="Leelawadee"/>
          <w:sz w:val="22"/>
          <w:szCs w:val="22"/>
          <w:lang w:val="es-419"/>
        </w:rPr>
        <w:t xml:space="preserve"> </w:t>
      </w:r>
      <w:r>
        <w:rPr>
          <w:rFonts w:ascii="Leelawadee" w:hAnsi="Leelawadee" w:cs="Leelawadee"/>
          <w:sz w:val="22"/>
          <w:szCs w:val="22"/>
          <w:lang w:val="es-419"/>
        </w:rPr>
        <w:t xml:space="preserve">23 </w:t>
      </w:r>
      <w:r w:rsidRPr="00E2092E">
        <w:rPr>
          <w:rFonts w:ascii="Leelawadee" w:hAnsi="Leelawadee" w:cs="Leelawadee"/>
          <w:sz w:val="22"/>
          <w:szCs w:val="22"/>
          <w:lang w:val="es-419"/>
        </w:rPr>
        <w:t>(párr. 4.d) y responde de manera directa a la información solicitada por el Comité en el párrafo 16 de la lista de temas.</w:t>
      </w:r>
    </w:p>
    <w:p w14:paraId="119991BC" w14:textId="67A70F9D" w:rsidR="00D41B41" w:rsidRPr="00E2092E" w:rsidRDefault="009F2540" w:rsidP="00E2092E">
      <w:pPr>
        <w:pStyle w:val="Ttulo2"/>
        <w:spacing w:before="180" w:after="120" w:line="276" w:lineRule="auto"/>
        <w:rPr>
          <w:rFonts w:ascii="Leelawadee" w:hAnsi="Leelawadee" w:cs="Leelawadee"/>
          <w:sz w:val="22"/>
          <w:szCs w:val="22"/>
          <w:lang w:val="es-419"/>
        </w:rPr>
      </w:pPr>
      <w:r w:rsidRPr="00E2092E">
        <w:rPr>
          <w:rFonts w:ascii="Leelawadee" w:hAnsi="Leelawadee" w:cs="Leelawadee"/>
          <w:b/>
          <w:bCs/>
          <w:color w:val="000000"/>
          <w:sz w:val="22"/>
          <w:szCs w:val="22"/>
          <w:lang w:val="es-419"/>
        </w:rPr>
        <w:t xml:space="preserve">IV.5. Criminalización de </w:t>
      </w:r>
      <w:r w:rsidR="00D00399">
        <w:rPr>
          <w:rFonts w:ascii="Leelawadee" w:hAnsi="Leelawadee" w:cs="Leelawadee"/>
          <w:b/>
          <w:bCs/>
          <w:color w:val="000000"/>
          <w:sz w:val="22"/>
          <w:szCs w:val="22"/>
          <w:lang w:val="es-419"/>
        </w:rPr>
        <w:t>indígenas Maya Chortí</w:t>
      </w:r>
      <w:r w:rsidRPr="00E2092E">
        <w:rPr>
          <w:rFonts w:ascii="Leelawadee" w:hAnsi="Leelawadee" w:cs="Leelawadee"/>
          <w:b/>
          <w:bCs/>
          <w:color w:val="000000"/>
          <w:sz w:val="22"/>
          <w:szCs w:val="22"/>
          <w:lang w:val="es-419"/>
        </w:rPr>
        <w:t xml:space="preserve"> </w:t>
      </w:r>
      <w:r w:rsidR="00D00399">
        <w:rPr>
          <w:rFonts w:ascii="Leelawadee" w:hAnsi="Leelawadee" w:cs="Leelawadee"/>
          <w:b/>
          <w:bCs/>
          <w:color w:val="000000"/>
          <w:sz w:val="22"/>
          <w:szCs w:val="22"/>
          <w:lang w:val="es-419"/>
        </w:rPr>
        <w:t>(</w:t>
      </w:r>
      <w:r w:rsidRPr="00E2092E">
        <w:rPr>
          <w:rFonts w:ascii="Leelawadee" w:hAnsi="Leelawadee" w:cs="Leelawadee"/>
          <w:b/>
          <w:bCs/>
          <w:color w:val="000000"/>
          <w:sz w:val="22"/>
          <w:szCs w:val="22"/>
          <w:lang w:val="es-419"/>
        </w:rPr>
        <w:t>art</w:t>
      </w:r>
      <w:r w:rsidR="00D00399">
        <w:rPr>
          <w:rFonts w:ascii="Leelawadee" w:hAnsi="Leelawadee" w:cs="Leelawadee"/>
          <w:b/>
          <w:bCs/>
          <w:color w:val="000000"/>
          <w:sz w:val="22"/>
          <w:szCs w:val="22"/>
          <w:lang w:val="es-419"/>
        </w:rPr>
        <w:t>ículos</w:t>
      </w:r>
      <w:r w:rsidRPr="00E2092E">
        <w:rPr>
          <w:rFonts w:ascii="Leelawadee" w:hAnsi="Leelawadee" w:cs="Leelawadee"/>
          <w:b/>
          <w:bCs/>
          <w:color w:val="000000"/>
          <w:sz w:val="22"/>
          <w:szCs w:val="22"/>
          <w:lang w:val="es-419"/>
        </w:rPr>
        <w:t xml:space="preserve"> 5</w:t>
      </w:r>
      <w:r w:rsidR="00D00399">
        <w:rPr>
          <w:rFonts w:ascii="Leelawadee" w:hAnsi="Leelawadee" w:cs="Leelawadee"/>
          <w:b/>
          <w:bCs/>
          <w:color w:val="000000"/>
          <w:sz w:val="22"/>
          <w:szCs w:val="22"/>
          <w:lang w:val="es-419"/>
        </w:rPr>
        <w:t xml:space="preserve"> inciso </w:t>
      </w:r>
      <w:r w:rsidRPr="00E2092E">
        <w:rPr>
          <w:rFonts w:ascii="Leelawadee" w:hAnsi="Leelawadee" w:cs="Leelawadee"/>
          <w:b/>
          <w:bCs/>
          <w:color w:val="000000"/>
          <w:sz w:val="22"/>
          <w:szCs w:val="22"/>
          <w:lang w:val="es-419"/>
        </w:rPr>
        <w:t>a, 5</w:t>
      </w:r>
      <w:r w:rsidR="00D00399">
        <w:rPr>
          <w:rFonts w:ascii="Leelawadee" w:hAnsi="Leelawadee" w:cs="Leelawadee"/>
          <w:b/>
          <w:bCs/>
          <w:color w:val="000000"/>
          <w:sz w:val="22"/>
          <w:szCs w:val="22"/>
          <w:lang w:val="es-419"/>
        </w:rPr>
        <w:t xml:space="preserve"> inciso </w:t>
      </w:r>
      <w:r w:rsidRPr="00E2092E">
        <w:rPr>
          <w:rFonts w:ascii="Leelawadee" w:hAnsi="Leelawadee" w:cs="Leelawadee"/>
          <w:b/>
          <w:bCs/>
          <w:color w:val="000000"/>
          <w:sz w:val="22"/>
          <w:szCs w:val="22"/>
          <w:lang w:val="es-419"/>
        </w:rPr>
        <w:t>b, 5</w:t>
      </w:r>
      <w:r w:rsidR="00D00399">
        <w:rPr>
          <w:rFonts w:ascii="Leelawadee" w:hAnsi="Leelawadee" w:cs="Leelawadee"/>
          <w:b/>
          <w:bCs/>
          <w:color w:val="000000"/>
          <w:sz w:val="22"/>
          <w:szCs w:val="22"/>
          <w:lang w:val="es-419"/>
        </w:rPr>
        <w:t xml:space="preserve"> inciso </w:t>
      </w:r>
      <w:r w:rsidRPr="00E2092E">
        <w:rPr>
          <w:rFonts w:ascii="Leelawadee" w:hAnsi="Leelawadee" w:cs="Leelawadee"/>
          <w:b/>
          <w:bCs/>
          <w:color w:val="000000"/>
          <w:sz w:val="22"/>
          <w:szCs w:val="22"/>
          <w:lang w:val="es-419"/>
        </w:rPr>
        <w:t>d</w:t>
      </w:r>
      <w:r w:rsidR="00D00399">
        <w:rPr>
          <w:rFonts w:ascii="Leelawadee" w:hAnsi="Leelawadee" w:cs="Leelawadee"/>
          <w:b/>
          <w:bCs/>
          <w:color w:val="000000"/>
          <w:sz w:val="22"/>
          <w:szCs w:val="22"/>
          <w:lang w:val="es-419"/>
        </w:rPr>
        <w:t xml:space="preserve">, </w:t>
      </w:r>
      <w:proofErr w:type="spellStart"/>
      <w:r w:rsidRPr="00E2092E">
        <w:rPr>
          <w:rFonts w:ascii="Leelawadee" w:hAnsi="Leelawadee" w:cs="Leelawadee"/>
          <w:b/>
          <w:bCs/>
          <w:color w:val="000000"/>
          <w:sz w:val="22"/>
          <w:szCs w:val="22"/>
          <w:lang w:val="es-419"/>
        </w:rPr>
        <w:t>ix</w:t>
      </w:r>
      <w:proofErr w:type="spellEnd"/>
      <w:r w:rsidRPr="00E2092E">
        <w:rPr>
          <w:rFonts w:ascii="Leelawadee" w:hAnsi="Leelawadee" w:cs="Leelawadee"/>
          <w:b/>
          <w:bCs/>
          <w:color w:val="000000"/>
          <w:sz w:val="22"/>
          <w:szCs w:val="22"/>
          <w:lang w:val="es-419"/>
        </w:rPr>
        <w:t xml:space="preserve"> y 6)</w:t>
      </w:r>
    </w:p>
    <w:p w14:paraId="4B7894CA" w14:textId="4046CC08" w:rsidR="00D41B41" w:rsidRPr="00E2092E" w:rsidRDefault="00D00399" w:rsidP="00E2092E">
      <w:pPr>
        <w:spacing w:after="120" w:line="276" w:lineRule="auto"/>
        <w:jc w:val="both"/>
        <w:rPr>
          <w:rFonts w:ascii="Leelawadee" w:hAnsi="Leelawadee" w:cs="Leelawadee"/>
          <w:sz w:val="22"/>
          <w:szCs w:val="22"/>
          <w:lang w:val="es-419"/>
        </w:rPr>
      </w:pPr>
      <w:r>
        <w:rPr>
          <w:rFonts w:ascii="Leelawadee" w:hAnsi="Leelawadee" w:cs="Leelawadee"/>
          <w:sz w:val="22"/>
          <w:szCs w:val="22"/>
          <w:lang w:val="es-419"/>
        </w:rPr>
        <w:t xml:space="preserve">31. </w:t>
      </w:r>
      <w:r w:rsidRPr="00E2092E">
        <w:rPr>
          <w:rFonts w:ascii="Leelawadee" w:hAnsi="Leelawadee" w:cs="Leelawadee"/>
          <w:sz w:val="22"/>
          <w:szCs w:val="22"/>
          <w:lang w:val="es-419"/>
        </w:rPr>
        <w:t xml:space="preserve">La única respuesta del Estado frente a la reivindicación de derechos de la comunidad ha sido la persecución penal. A la fecha se registran </w:t>
      </w:r>
      <w:r w:rsidRPr="00E2092E">
        <w:rPr>
          <w:rFonts w:ascii="Leelawadee" w:hAnsi="Leelawadee" w:cs="Leelawadee"/>
          <w:b/>
          <w:bCs/>
          <w:sz w:val="22"/>
          <w:szCs w:val="22"/>
          <w:lang w:val="es-419"/>
        </w:rPr>
        <w:t>tres procesos de criminalización</w:t>
      </w:r>
      <w:r w:rsidRPr="00E2092E">
        <w:rPr>
          <w:rFonts w:ascii="Leelawadee" w:hAnsi="Leelawadee" w:cs="Leelawadee"/>
          <w:sz w:val="22"/>
          <w:szCs w:val="22"/>
          <w:lang w:val="es-419"/>
        </w:rPr>
        <w:t xml:space="preserve"> contra personas indígenas de Azacualpa por los delitos de usurpación y daños</w:t>
      </w:r>
      <w:r w:rsidRPr="00E2092E">
        <w:rPr>
          <w:rStyle w:val="Refdenotaalpie"/>
          <w:rFonts w:ascii="Leelawadee" w:hAnsi="Leelawadee" w:cs="Leelawadee"/>
          <w:sz w:val="22"/>
          <w:szCs w:val="22"/>
        </w:rPr>
        <w:footnoteReference w:id="31"/>
      </w:r>
      <w:r w:rsidRPr="00E2092E">
        <w:rPr>
          <w:rFonts w:ascii="Leelawadee" w:hAnsi="Leelawadee" w:cs="Leelawadee"/>
          <w:sz w:val="22"/>
          <w:szCs w:val="22"/>
          <w:lang w:val="es-419"/>
        </w:rPr>
        <w:t xml:space="preserve">. En todos, la empresa figura como </w:t>
      </w:r>
      <w:r w:rsidR="002A4A05">
        <w:rPr>
          <w:rFonts w:ascii="Leelawadee" w:hAnsi="Leelawadee" w:cs="Leelawadee"/>
          <w:sz w:val="22"/>
          <w:szCs w:val="22"/>
          <w:lang w:val="es-419"/>
        </w:rPr>
        <w:t>acusación privada</w:t>
      </w:r>
      <w:r w:rsidRPr="00E2092E">
        <w:rPr>
          <w:rFonts w:ascii="Leelawadee" w:hAnsi="Leelawadee" w:cs="Leelawadee"/>
          <w:sz w:val="22"/>
          <w:szCs w:val="22"/>
          <w:lang w:val="es-419"/>
        </w:rPr>
        <w:t xml:space="preserve">, y el más reciente se vincula precisamente a la reivindicación sobre el Cerro Los Hornillos. </w:t>
      </w:r>
      <w:r w:rsidR="002A4A05">
        <w:rPr>
          <w:rFonts w:ascii="Leelawadee" w:hAnsi="Leelawadee" w:cs="Leelawadee"/>
          <w:sz w:val="22"/>
          <w:szCs w:val="22"/>
          <w:lang w:val="es-419"/>
        </w:rPr>
        <w:t xml:space="preserve">Por su parte, en febrero de 2026 miembros de las Fuerzas Armadas </w:t>
      </w:r>
      <w:r w:rsidRPr="00E2092E">
        <w:rPr>
          <w:rFonts w:ascii="Leelawadee" w:hAnsi="Leelawadee" w:cs="Leelawadee"/>
          <w:sz w:val="22"/>
          <w:szCs w:val="22"/>
          <w:lang w:val="es-419"/>
        </w:rPr>
        <w:t xml:space="preserve">escoltaban las actividades de tala </w:t>
      </w:r>
      <w:r w:rsidR="00DA11A4">
        <w:rPr>
          <w:rFonts w:ascii="Leelawadee" w:hAnsi="Leelawadee" w:cs="Leelawadee"/>
          <w:sz w:val="22"/>
          <w:szCs w:val="22"/>
          <w:lang w:val="es-419"/>
        </w:rPr>
        <w:t xml:space="preserve">del bosque por parte de </w:t>
      </w:r>
      <w:r w:rsidRPr="00E2092E">
        <w:rPr>
          <w:rFonts w:ascii="Leelawadee" w:hAnsi="Leelawadee" w:cs="Leelawadee"/>
          <w:sz w:val="22"/>
          <w:szCs w:val="22"/>
          <w:lang w:val="es-419"/>
        </w:rPr>
        <w:t xml:space="preserve">la empresa en </w:t>
      </w:r>
      <w:r w:rsidR="002A4A05">
        <w:rPr>
          <w:rFonts w:ascii="Leelawadee" w:hAnsi="Leelawadee" w:cs="Leelawadee"/>
          <w:sz w:val="22"/>
          <w:szCs w:val="22"/>
          <w:lang w:val="es-419"/>
        </w:rPr>
        <w:t>territorio indígena</w:t>
      </w:r>
      <w:r w:rsidRPr="00E2092E">
        <w:rPr>
          <w:rStyle w:val="Refdenotaalpie"/>
          <w:rFonts w:ascii="Leelawadee" w:hAnsi="Leelawadee" w:cs="Leelawadee"/>
          <w:sz w:val="22"/>
          <w:szCs w:val="22"/>
        </w:rPr>
        <w:footnoteReference w:id="32"/>
      </w:r>
      <w:r w:rsidR="002A4A05" w:rsidRPr="002A4A05">
        <w:rPr>
          <w:rFonts w:ascii="Leelawadee" w:hAnsi="Leelawadee" w:cs="Leelawadee"/>
          <w:sz w:val="22"/>
          <w:szCs w:val="22"/>
          <w:lang w:val="es-419"/>
        </w:rPr>
        <w:t>,</w:t>
      </w:r>
      <w:r w:rsidRPr="00E2092E">
        <w:rPr>
          <w:rFonts w:ascii="Leelawadee" w:hAnsi="Leelawadee" w:cs="Leelawadee"/>
          <w:sz w:val="22"/>
          <w:szCs w:val="22"/>
          <w:lang w:val="es-419"/>
        </w:rPr>
        <w:t xml:space="preserve"> la</w:t>
      </w:r>
      <w:r w:rsidR="002A4A05">
        <w:rPr>
          <w:rFonts w:ascii="Leelawadee" w:hAnsi="Leelawadee" w:cs="Leelawadee"/>
          <w:sz w:val="22"/>
          <w:szCs w:val="22"/>
          <w:lang w:val="es-419"/>
        </w:rPr>
        <w:t>s</w:t>
      </w:r>
      <w:r w:rsidRPr="00E2092E">
        <w:rPr>
          <w:rFonts w:ascii="Leelawadee" w:hAnsi="Leelawadee" w:cs="Leelawadee"/>
          <w:sz w:val="22"/>
          <w:szCs w:val="22"/>
          <w:lang w:val="es-419"/>
        </w:rPr>
        <w:t xml:space="preserve"> </w:t>
      </w:r>
      <w:r w:rsidR="002A4A05">
        <w:rPr>
          <w:rFonts w:ascii="Leelawadee" w:hAnsi="Leelawadee" w:cs="Leelawadee"/>
          <w:sz w:val="22"/>
          <w:szCs w:val="22"/>
          <w:lang w:val="es-419"/>
        </w:rPr>
        <w:t xml:space="preserve">fuerzas de seguridad del Estado </w:t>
      </w:r>
      <w:r w:rsidRPr="00E2092E">
        <w:rPr>
          <w:rFonts w:ascii="Leelawadee" w:hAnsi="Leelawadee" w:cs="Leelawadee"/>
          <w:sz w:val="22"/>
          <w:szCs w:val="22"/>
          <w:lang w:val="es-419"/>
        </w:rPr>
        <w:t>protege</w:t>
      </w:r>
      <w:r w:rsidR="002A4A05">
        <w:rPr>
          <w:rFonts w:ascii="Leelawadee" w:hAnsi="Leelawadee" w:cs="Leelawadee"/>
          <w:sz w:val="22"/>
          <w:szCs w:val="22"/>
          <w:lang w:val="es-419"/>
        </w:rPr>
        <w:t>n</w:t>
      </w:r>
      <w:r w:rsidRPr="00E2092E">
        <w:rPr>
          <w:rFonts w:ascii="Leelawadee" w:hAnsi="Leelawadee" w:cs="Leelawadee"/>
          <w:sz w:val="22"/>
          <w:szCs w:val="22"/>
          <w:lang w:val="es-419"/>
        </w:rPr>
        <w:t xml:space="preserve"> la actividad </w:t>
      </w:r>
      <w:r w:rsidR="002A4A05">
        <w:rPr>
          <w:rFonts w:ascii="Leelawadee" w:hAnsi="Leelawadee" w:cs="Leelawadee"/>
          <w:sz w:val="22"/>
          <w:szCs w:val="22"/>
          <w:lang w:val="es-419"/>
        </w:rPr>
        <w:t xml:space="preserve">minera </w:t>
      </w:r>
      <w:r w:rsidRPr="00E2092E">
        <w:rPr>
          <w:rFonts w:ascii="Leelawadee" w:hAnsi="Leelawadee" w:cs="Leelawadee"/>
          <w:sz w:val="22"/>
          <w:szCs w:val="22"/>
          <w:lang w:val="es-419"/>
        </w:rPr>
        <w:t xml:space="preserve">y </w:t>
      </w:r>
      <w:r w:rsidR="002A4A05">
        <w:rPr>
          <w:rFonts w:ascii="Leelawadee" w:hAnsi="Leelawadee" w:cs="Leelawadee"/>
          <w:sz w:val="22"/>
          <w:szCs w:val="22"/>
          <w:lang w:val="es-419"/>
        </w:rPr>
        <w:t>el Ministerio Público acusa a quienes se oponen.</w:t>
      </w:r>
    </w:p>
    <w:p w14:paraId="6BF0EBC3" w14:textId="61C79666" w:rsidR="00D41B41" w:rsidRPr="00E2092E" w:rsidRDefault="002A4A05" w:rsidP="00E2092E">
      <w:pPr>
        <w:spacing w:after="120" w:line="276" w:lineRule="auto"/>
        <w:jc w:val="both"/>
        <w:rPr>
          <w:rFonts w:ascii="Leelawadee" w:hAnsi="Leelawadee" w:cs="Leelawadee"/>
          <w:sz w:val="22"/>
          <w:szCs w:val="22"/>
          <w:lang w:val="es-419"/>
        </w:rPr>
      </w:pPr>
      <w:r w:rsidRPr="002A4A05">
        <w:rPr>
          <w:rFonts w:ascii="Leelawadee" w:hAnsi="Leelawadee" w:cs="Leelawadee"/>
          <w:sz w:val="22"/>
          <w:szCs w:val="22"/>
          <w:lang w:val="es-419"/>
        </w:rPr>
        <w:t xml:space="preserve">32. </w:t>
      </w:r>
      <w:r w:rsidRPr="00E2092E">
        <w:rPr>
          <w:rFonts w:ascii="Leelawadee" w:hAnsi="Leelawadee" w:cs="Leelawadee"/>
          <w:sz w:val="22"/>
          <w:szCs w:val="22"/>
          <w:lang w:val="es-419"/>
        </w:rPr>
        <w:t>La criminalización descrita viola el derecho a la igualdad de tratamiento ante los tribunales y los derechos de reunión pacífica y de asociación, pues el proceso penal se emplea como instrumento de disuasión del ejercicio legítimo de la defensa territorial.</w:t>
      </w:r>
      <w:r>
        <w:rPr>
          <w:rFonts w:ascii="Leelawadee" w:hAnsi="Leelawadee" w:cs="Leelawadee"/>
          <w:sz w:val="22"/>
          <w:szCs w:val="22"/>
          <w:lang w:val="es-419"/>
        </w:rPr>
        <w:t xml:space="preserve"> </w:t>
      </w:r>
      <w:r w:rsidRPr="00E2092E">
        <w:rPr>
          <w:rFonts w:ascii="Leelawadee" w:hAnsi="Leelawadee" w:cs="Leelawadee"/>
          <w:sz w:val="22"/>
          <w:szCs w:val="22"/>
          <w:lang w:val="es-419"/>
        </w:rPr>
        <w:t xml:space="preserve">El contraste entre la diligencia fiscal desplegada a instancia de la empresa y la inacción absoluta frente a las denuncias comunitarias por amenazas, agresiones y daños ambientales configura una aplicación selectiva y discriminatoria de la ley penal, contraria a la Recomendación </w:t>
      </w:r>
      <w:r>
        <w:rPr>
          <w:rFonts w:ascii="Leelawadee" w:hAnsi="Leelawadee" w:cs="Leelawadee"/>
          <w:sz w:val="22"/>
          <w:szCs w:val="22"/>
          <w:lang w:val="es-419"/>
        </w:rPr>
        <w:t>G</w:t>
      </w:r>
      <w:r w:rsidRPr="00E2092E">
        <w:rPr>
          <w:rFonts w:ascii="Leelawadee" w:hAnsi="Leelawadee" w:cs="Leelawadee"/>
          <w:sz w:val="22"/>
          <w:szCs w:val="22"/>
          <w:lang w:val="es-419"/>
        </w:rPr>
        <w:t>eneral N</w:t>
      </w:r>
      <w:r>
        <w:rPr>
          <w:rFonts w:ascii="Leelawadee" w:hAnsi="Leelawadee" w:cs="Leelawadee"/>
          <w:sz w:val="22"/>
          <w:szCs w:val="22"/>
          <w:lang w:val="es-419"/>
        </w:rPr>
        <w:t>o.</w:t>
      </w:r>
      <w:r w:rsidRPr="00E2092E">
        <w:rPr>
          <w:rFonts w:ascii="Leelawadee" w:hAnsi="Leelawadee" w:cs="Leelawadee"/>
          <w:sz w:val="22"/>
          <w:szCs w:val="22"/>
          <w:lang w:val="es-419"/>
        </w:rPr>
        <w:t xml:space="preserve"> </w:t>
      </w:r>
      <w:r>
        <w:rPr>
          <w:rFonts w:ascii="Leelawadee" w:hAnsi="Leelawadee" w:cs="Leelawadee"/>
          <w:sz w:val="22"/>
          <w:szCs w:val="22"/>
          <w:lang w:val="es-419"/>
        </w:rPr>
        <w:t>31</w:t>
      </w:r>
      <w:r w:rsidRPr="00E2092E">
        <w:rPr>
          <w:rFonts w:ascii="Leelawadee" w:hAnsi="Leelawadee" w:cs="Leelawadee"/>
          <w:sz w:val="22"/>
          <w:szCs w:val="22"/>
          <w:lang w:val="es-419"/>
        </w:rPr>
        <w:t xml:space="preserve">. </w:t>
      </w:r>
    </w:p>
    <w:p w14:paraId="149184A4" w14:textId="77777777" w:rsidR="00D41B41" w:rsidRPr="00E2092E" w:rsidRDefault="009F2540" w:rsidP="00E2092E">
      <w:pPr>
        <w:pStyle w:val="Ttulo2"/>
        <w:spacing w:before="180" w:after="120" w:line="276" w:lineRule="auto"/>
        <w:rPr>
          <w:rFonts w:ascii="Leelawadee" w:hAnsi="Leelawadee" w:cs="Leelawadee"/>
          <w:sz w:val="22"/>
          <w:szCs w:val="22"/>
          <w:lang w:val="es-419"/>
        </w:rPr>
      </w:pPr>
      <w:r w:rsidRPr="00E2092E">
        <w:rPr>
          <w:rFonts w:ascii="Leelawadee" w:hAnsi="Leelawadee" w:cs="Leelawadee"/>
          <w:b/>
          <w:bCs/>
          <w:color w:val="000000"/>
          <w:sz w:val="22"/>
          <w:szCs w:val="22"/>
          <w:lang w:val="es-419"/>
        </w:rPr>
        <w:t>IV.6. Expansión hacia el Cerro Los Hornillos y riesgo de desplazamiento de la comunidad</w:t>
      </w:r>
    </w:p>
    <w:p w14:paraId="776B9FF7" w14:textId="77777777" w:rsidR="00DA11A4" w:rsidRDefault="002A4A05" w:rsidP="00E2092E">
      <w:pPr>
        <w:spacing w:after="120" w:line="276" w:lineRule="auto"/>
        <w:jc w:val="both"/>
        <w:rPr>
          <w:rFonts w:ascii="Leelawadee" w:hAnsi="Leelawadee" w:cs="Leelawadee"/>
          <w:sz w:val="22"/>
          <w:szCs w:val="22"/>
          <w:lang w:val="es-419"/>
        </w:rPr>
      </w:pPr>
      <w:r>
        <w:rPr>
          <w:rFonts w:ascii="Leelawadee" w:hAnsi="Leelawadee" w:cs="Leelawadee"/>
          <w:sz w:val="22"/>
          <w:szCs w:val="22"/>
          <w:lang w:val="es-419"/>
        </w:rPr>
        <w:t xml:space="preserve">33. </w:t>
      </w:r>
      <w:r w:rsidRPr="00E2092E">
        <w:rPr>
          <w:rFonts w:ascii="Leelawadee" w:hAnsi="Leelawadee" w:cs="Leelawadee"/>
          <w:sz w:val="22"/>
          <w:szCs w:val="22"/>
          <w:lang w:val="es-419"/>
        </w:rPr>
        <w:t xml:space="preserve">Desde mayo de 2025, la comunidad ha denunciado que MINOSA realiza acciones de deforestación extensiva en el </w:t>
      </w:r>
      <w:r w:rsidRPr="00E2092E">
        <w:rPr>
          <w:rFonts w:ascii="Leelawadee" w:hAnsi="Leelawadee" w:cs="Leelawadee"/>
          <w:b/>
          <w:bCs/>
          <w:sz w:val="22"/>
          <w:szCs w:val="22"/>
          <w:lang w:val="es-419"/>
        </w:rPr>
        <w:t>Cerro Los Hornillos</w:t>
      </w:r>
      <w:r w:rsidRPr="00E2092E">
        <w:rPr>
          <w:rFonts w:ascii="Leelawadee" w:hAnsi="Leelawadee" w:cs="Leelawadee"/>
          <w:sz w:val="22"/>
          <w:szCs w:val="22"/>
          <w:lang w:val="es-419"/>
        </w:rPr>
        <w:t xml:space="preserve">, barrera natural que separa a Azacualpa de las actividades mineras y por el que transitan al menos cinco fuentes de agua que abastecen a la población. La empresa pretende ampliar su concesión bajo la misma lógica empleada para la destrucción del cementerio: de forma inconsulta y mediante violencia, criminalización e intimidación contra quienes defienden sus derechos, incluida la presencia de fuerzas policiales que escoltan las actividades de tala. Conforme al plan de expansión, las actividades mineras avanzarán a </w:t>
      </w:r>
      <w:r w:rsidRPr="00E2092E">
        <w:rPr>
          <w:rFonts w:ascii="Leelawadee" w:hAnsi="Leelawadee" w:cs="Leelawadee"/>
          <w:b/>
          <w:bCs/>
          <w:sz w:val="22"/>
          <w:szCs w:val="22"/>
          <w:lang w:val="es-419"/>
        </w:rPr>
        <w:t>escasos doscientos metros de la comunidad</w:t>
      </w:r>
      <w:r w:rsidRPr="00E2092E">
        <w:rPr>
          <w:rFonts w:ascii="Leelawadee" w:hAnsi="Leelawadee" w:cs="Leelawadee"/>
          <w:sz w:val="22"/>
          <w:szCs w:val="22"/>
          <w:lang w:val="es-419"/>
        </w:rPr>
        <w:t xml:space="preserve">, encaminándose a su desplazamiento. </w:t>
      </w:r>
    </w:p>
    <w:p w14:paraId="2D9A312A" w14:textId="4B8039D8" w:rsidR="00D41B41" w:rsidRPr="00E2092E" w:rsidRDefault="00DA11A4" w:rsidP="00E2092E">
      <w:pPr>
        <w:spacing w:after="120" w:line="276" w:lineRule="auto"/>
        <w:jc w:val="both"/>
        <w:rPr>
          <w:rFonts w:ascii="Leelawadee" w:hAnsi="Leelawadee" w:cs="Leelawadee"/>
          <w:sz w:val="22"/>
          <w:szCs w:val="22"/>
          <w:lang w:val="es-419"/>
        </w:rPr>
      </w:pPr>
      <w:r>
        <w:rPr>
          <w:rFonts w:ascii="Leelawadee" w:hAnsi="Leelawadee" w:cs="Leelawadee"/>
          <w:sz w:val="22"/>
          <w:szCs w:val="22"/>
          <w:lang w:val="es-419"/>
        </w:rPr>
        <w:t xml:space="preserve">34. El </w:t>
      </w:r>
      <w:r w:rsidRPr="00E2092E">
        <w:rPr>
          <w:rFonts w:ascii="Leelawadee" w:hAnsi="Leelawadee" w:cs="Leelawadee"/>
          <w:sz w:val="22"/>
          <w:szCs w:val="22"/>
          <w:lang w:val="es-419"/>
        </w:rPr>
        <w:t>25 de septiembre de 2025 la población instaló el Campamento Digno Maya Chortí por el Agua y por la Vida, ejercicio legítimo de soberanía y control territorial y de reunión pacífica, y ha solicitado la ampliación de las medidas de protección ante el Mecanismo Nacional</w:t>
      </w:r>
      <w:r w:rsidRPr="00E2092E">
        <w:rPr>
          <w:rStyle w:val="Refdenotaalpie"/>
          <w:rFonts w:ascii="Leelawadee" w:hAnsi="Leelawadee" w:cs="Leelawadee"/>
          <w:sz w:val="22"/>
          <w:szCs w:val="22"/>
        </w:rPr>
        <w:footnoteReference w:id="33"/>
      </w:r>
      <w:r w:rsidRPr="00E2092E">
        <w:rPr>
          <w:rFonts w:ascii="Leelawadee" w:hAnsi="Leelawadee" w:cs="Leelawadee"/>
          <w:sz w:val="22"/>
          <w:szCs w:val="22"/>
          <w:lang w:val="es-419"/>
        </w:rPr>
        <w:t xml:space="preserve">. El desplazamiento de una comunidad indígena de su territorio ancestral sin consulta ni consentimiento </w:t>
      </w:r>
      <w:r>
        <w:rPr>
          <w:rFonts w:ascii="Leelawadee" w:hAnsi="Leelawadee" w:cs="Leelawadee"/>
          <w:sz w:val="22"/>
          <w:szCs w:val="22"/>
          <w:lang w:val="es-419"/>
        </w:rPr>
        <w:t>contraviene los estándares internacionales sobre derechos de los pueblos indígenas.</w:t>
      </w:r>
    </w:p>
    <w:p w14:paraId="0F5CEAD5" w14:textId="77777777" w:rsidR="00D41B41" w:rsidRPr="00E2092E" w:rsidRDefault="009F2540" w:rsidP="00E2092E">
      <w:pPr>
        <w:pStyle w:val="Ttulo1"/>
        <w:spacing w:before="240" w:after="160" w:line="276" w:lineRule="auto"/>
        <w:rPr>
          <w:rFonts w:ascii="Leelawadee" w:hAnsi="Leelawadee" w:cs="Leelawadee"/>
          <w:sz w:val="22"/>
          <w:szCs w:val="22"/>
          <w:lang w:val="es-419"/>
        </w:rPr>
      </w:pPr>
      <w:r w:rsidRPr="00E2092E">
        <w:rPr>
          <w:rFonts w:ascii="Leelawadee" w:hAnsi="Leelawadee" w:cs="Leelawadee"/>
          <w:b/>
          <w:bCs/>
          <w:caps/>
          <w:color w:val="000000"/>
          <w:sz w:val="22"/>
          <w:szCs w:val="22"/>
          <w:lang w:val="es-419"/>
        </w:rPr>
        <w:lastRenderedPageBreak/>
        <w:t>V. Pueblo Indígena Misquito — Comunidad de Ibans, Gracias a Dios</w:t>
      </w:r>
    </w:p>
    <w:p w14:paraId="7AA9A74C" w14:textId="77777777" w:rsidR="00D41B41" w:rsidRPr="00E2092E" w:rsidRDefault="009F2540" w:rsidP="00E2092E">
      <w:pPr>
        <w:pStyle w:val="Ttulo2"/>
        <w:spacing w:before="180" w:after="120" w:line="276" w:lineRule="auto"/>
        <w:rPr>
          <w:rFonts w:ascii="Leelawadee" w:hAnsi="Leelawadee" w:cs="Leelawadee"/>
          <w:sz w:val="22"/>
          <w:szCs w:val="22"/>
          <w:lang w:val="es-419"/>
        </w:rPr>
      </w:pPr>
      <w:r w:rsidRPr="00E2092E">
        <w:rPr>
          <w:rFonts w:ascii="Leelawadee" w:hAnsi="Leelawadee" w:cs="Leelawadee"/>
          <w:b/>
          <w:bCs/>
          <w:color w:val="000000"/>
          <w:sz w:val="22"/>
          <w:szCs w:val="22"/>
          <w:lang w:val="es-419"/>
        </w:rPr>
        <w:t>V.1. Contexto: pobreza estructural, estigmatización y antecedentes de uso letal de la fuerza</w:t>
      </w:r>
    </w:p>
    <w:p w14:paraId="5983F81B" w14:textId="021DE367" w:rsidR="00D41B41" w:rsidRPr="00E2092E" w:rsidRDefault="002A4A05" w:rsidP="00E2092E">
      <w:pPr>
        <w:spacing w:after="120" w:line="276" w:lineRule="auto"/>
        <w:jc w:val="both"/>
        <w:rPr>
          <w:rFonts w:ascii="Leelawadee" w:hAnsi="Leelawadee" w:cs="Leelawadee"/>
          <w:sz w:val="22"/>
          <w:szCs w:val="22"/>
          <w:lang w:val="es-419"/>
        </w:rPr>
      </w:pPr>
      <w:r>
        <w:rPr>
          <w:rFonts w:ascii="Leelawadee" w:hAnsi="Leelawadee" w:cs="Leelawadee"/>
          <w:sz w:val="22"/>
          <w:szCs w:val="22"/>
          <w:lang w:val="es-419"/>
        </w:rPr>
        <w:t xml:space="preserve">34. </w:t>
      </w:r>
      <w:r w:rsidRPr="00E2092E">
        <w:rPr>
          <w:rFonts w:ascii="Leelawadee" w:hAnsi="Leelawadee" w:cs="Leelawadee"/>
          <w:sz w:val="22"/>
          <w:szCs w:val="22"/>
          <w:lang w:val="es-419"/>
        </w:rPr>
        <w:t>El pueblo Misquito es el segundo pueblo indígena más numeroso de Honduras, con alrededor de ochenta mil personas asentadas principalmente en el departamento de Gracias a Dios, en condiciones de pobreza extrema y de exclusión de los servicios básicos el municipio de Brus Laguna presenta el índice más alto de hogares pobres del país y el de Juan Francisco Bulnes registra un 67,5 % de pobreza conforme al índice de necesidades básicas insatisfechas</w:t>
      </w:r>
      <w:r w:rsidRPr="00E2092E">
        <w:rPr>
          <w:rStyle w:val="Refdenotaalpie"/>
          <w:rFonts w:ascii="Leelawadee" w:hAnsi="Leelawadee" w:cs="Leelawadee"/>
          <w:sz w:val="22"/>
          <w:szCs w:val="22"/>
        </w:rPr>
        <w:footnoteReference w:id="34"/>
      </w:r>
      <w:r w:rsidRPr="00E2092E">
        <w:rPr>
          <w:rFonts w:ascii="Leelawadee" w:hAnsi="Leelawadee" w:cs="Leelawadee"/>
          <w:sz w:val="22"/>
          <w:szCs w:val="22"/>
          <w:lang w:val="es-419"/>
        </w:rPr>
        <w:t>. A esta exclusión se suma una estigmatización sistemática: la caracterización de la región como corredor del narcotráfico ha llevado a autoridades y medios a presentar al pueblo Misquito como vinculado a grupos criminales. Esta narrativa opera como condición de posibilidad</w:t>
      </w:r>
      <w:r w:rsidR="00DA11A4">
        <w:rPr>
          <w:rFonts w:ascii="Leelawadee" w:hAnsi="Leelawadee" w:cs="Leelawadee"/>
          <w:sz w:val="22"/>
          <w:szCs w:val="22"/>
          <w:lang w:val="es-419"/>
        </w:rPr>
        <w:t xml:space="preserve">, </w:t>
      </w:r>
      <w:r w:rsidRPr="00E2092E">
        <w:rPr>
          <w:rFonts w:ascii="Leelawadee" w:hAnsi="Leelawadee" w:cs="Leelawadee"/>
          <w:sz w:val="22"/>
          <w:szCs w:val="22"/>
          <w:lang w:val="es-419"/>
        </w:rPr>
        <w:t>y luego como justificación</w:t>
      </w:r>
      <w:r w:rsidR="00DA11A4">
        <w:rPr>
          <w:rFonts w:ascii="Leelawadee" w:hAnsi="Leelawadee" w:cs="Leelawadee"/>
          <w:sz w:val="22"/>
          <w:szCs w:val="22"/>
          <w:lang w:val="es-419"/>
        </w:rPr>
        <w:t>,</w:t>
      </w:r>
      <w:r w:rsidRPr="00E2092E">
        <w:rPr>
          <w:rFonts w:ascii="Leelawadee" w:hAnsi="Leelawadee" w:cs="Leelawadee"/>
          <w:sz w:val="22"/>
          <w:szCs w:val="22"/>
          <w:lang w:val="es-419"/>
        </w:rPr>
        <w:t xml:space="preserve"> del uso indiscriminado de la fuerza </w:t>
      </w:r>
      <w:r w:rsidR="00CF1A9E">
        <w:rPr>
          <w:rFonts w:ascii="Leelawadee" w:hAnsi="Leelawadee" w:cs="Leelawadee"/>
          <w:sz w:val="22"/>
          <w:szCs w:val="22"/>
          <w:lang w:val="es-419"/>
        </w:rPr>
        <w:t>-</w:t>
      </w:r>
      <w:r w:rsidRPr="00E2092E">
        <w:rPr>
          <w:rFonts w:ascii="Leelawadee" w:hAnsi="Leelawadee" w:cs="Leelawadee"/>
          <w:sz w:val="22"/>
          <w:szCs w:val="22"/>
          <w:lang w:val="es-419"/>
        </w:rPr>
        <w:t xml:space="preserve">militar: el 11 de mayo de 2012, en </w:t>
      </w:r>
      <w:proofErr w:type="spellStart"/>
      <w:r w:rsidRPr="00E2092E">
        <w:rPr>
          <w:rFonts w:ascii="Leelawadee" w:hAnsi="Leelawadee" w:cs="Leelawadee"/>
          <w:sz w:val="22"/>
          <w:szCs w:val="22"/>
          <w:lang w:val="es-419"/>
        </w:rPr>
        <w:t>Ahuás</w:t>
      </w:r>
      <w:proofErr w:type="spellEnd"/>
      <w:r w:rsidRPr="00E2092E">
        <w:rPr>
          <w:rFonts w:ascii="Leelawadee" w:hAnsi="Leelawadee" w:cs="Leelawadee"/>
          <w:sz w:val="22"/>
          <w:szCs w:val="22"/>
          <w:lang w:val="es-419"/>
        </w:rPr>
        <w:t xml:space="preserve">, un operativo con participación de la agencia antidrogas de los Estados Unidos (DEA) causó la muerte de cuatro personas misquitas, entre ellas una mujer embarazada y un niño de catorce años, y los militares y policías imputados fueron sobreseídos; el 19 de mayo de 2018, en </w:t>
      </w:r>
      <w:proofErr w:type="spellStart"/>
      <w:r w:rsidRPr="00E2092E">
        <w:rPr>
          <w:rFonts w:ascii="Leelawadee" w:hAnsi="Leelawadee" w:cs="Leelawadee"/>
          <w:sz w:val="22"/>
          <w:szCs w:val="22"/>
          <w:lang w:val="es-419"/>
        </w:rPr>
        <w:t>Warunta</w:t>
      </w:r>
      <w:proofErr w:type="spellEnd"/>
      <w:r w:rsidRPr="00E2092E">
        <w:rPr>
          <w:rFonts w:ascii="Leelawadee" w:hAnsi="Leelawadee" w:cs="Leelawadee"/>
          <w:sz w:val="22"/>
          <w:szCs w:val="22"/>
          <w:lang w:val="es-419"/>
        </w:rPr>
        <w:t>, tres pescadores fueron muertos por disparos de soldados, hechos condenados por la OACNUDH</w:t>
      </w:r>
      <w:r w:rsidRPr="00E2092E">
        <w:rPr>
          <w:rStyle w:val="Refdenotaalpie"/>
          <w:rFonts w:ascii="Leelawadee" w:hAnsi="Leelawadee" w:cs="Leelawadee"/>
          <w:sz w:val="22"/>
          <w:szCs w:val="22"/>
        </w:rPr>
        <w:footnoteReference w:id="35"/>
      </w:r>
      <w:r w:rsidRPr="00E2092E">
        <w:rPr>
          <w:rFonts w:ascii="Leelawadee" w:hAnsi="Leelawadee" w:cs="Leelawadee"/>
          <w:sz w:val="22"/>
          <w:szCs w:val="22"/>
          <w:lang w:val="es-419"/>
        </w:rPr>
        <w:t>. Ninguno de estos antecedentes derivó en condenas.</w:t>
      </w:r>
    </w:p>
    <w:p w14:paraId="36D21A6C" w14:textId="6B16FC74" w:rsidR="00D41B41" w:rsidRPr="00E2092E" w:rsidRDefault="009F2540" w:rsidP="00E2092E">
      <w:pPr>
        <w:pStyle w:val="Ttulo2"/>
        <w:spacing w:before="180" w:after="120" w:line="276" w:lineRule="auto"/>
        <w:rPr>
          <w:rFonts w:ascii="Leelawadee" w:hAnsi="Leelawadee" w:cs="Leelawadee"/>
          <w:sz w:val="22"/>
          <w:szCs w:val="22"/>
          <w:lang w:val="es-419"/>
        </w:rPr>
      </w:pPr>
      <w:r w:rsidRPr="00E2092E">
        <w:rPr>
          <w:rFonts w:ascii="Leelawadee" w:hAnsi="Leelawadee" w:cs="Leelawadee"/>
          <w:b/>
          <w:bCs/>
          <w:color w:val="000000"/>
          <w:sz w:val="22"/>
          <w:szCs w:val="22"/>
          <w:lang w:val="es-419"/>
        </w:rPr>
        <w:t xml:space="preserve">V.2. El ataque del 16 de septiembre de 2021 contra la comunidad de </w:t>
      </w:r>
      <w:proofErr w:type="spellStart"/>
      <w:r w:rsidRPr="00E2092E">
        <w:rPr>
          <w:rFonts w:ascii="Leelawadee" w:hAnsi="Leelawadee" w:cs="Leelawadee"/>
          <w:b/>
          <w:bCs/>
          <w:color w:val="000000"/>
          <w:sz w:val="22"/>
          <w:szCs w:val="22"/>
          <w:lang w:val="es-419"/>
        </w:rPr>
        <w:t>Ibans</w:t>
      </w:r>
      <w:proofErr w:type="spellEnd"/>
      <w:r w:rsidRPr="00E2092E">
        <w:rPr>
          <w:rFonts w:ascii="Leelawadee" w:hAnsi="Leelawadee" w:cs="Leelawadee"/>
          <w:b/>
          <w:bCs/>
          <w:color w:val="000000"/>
          <w:sz w:val="22"/>
          <w:szCs w:val="22"/>
          <w:lang w:val="es-419"/>
        </w:rPr>
        <w:t xml:space="preserve"> (art</w:t>
      </w:r>
      <w:r w:rsidR="002A71B2">
        <w:rPr>
          <w:rFonts w:ascii="Leelawadee" w:hAnsi="Leelawadee" w:cs="Leelawadee"/>
          <w:b/>
          <w:bCs/>
          <w:color w:val="000000"/>
          <w:sz w:val="22"/>
          <w:szCs w:val="22"/>
          <w:lang w:val="es-419"/>
        </w:rPr>
        <w:t>ículo</w:t>
      </w:r>
      <w:r w:rsidRPr="00E2092E">
        <w:rPr>
          <w:rFonts w:ascii="Leelawadee" w:hAnsi="Leelawadee" w:cs="Leelawadee"/>
          <w:b/>
          <w:bCs/>
          <w:color w:val="000000"/>
          <w:sz w:val="22"/>
          <w:szCs w:val="22"/>
          <w:lang w:val="es-419"/>
        </w:rPr>
        <w:t xml:space="preserve"> 2, 5</w:t>
      </w:r>
      <w:r w:rsidR="002A71B2">
        <w:rPr>
          <w:rFonts w:ascii="Leelawadee" w:hAnsi="Leelawadee" w:cs="Leelawadee"/>
          <w:b/>
          <w:bCs/>
          <w:color w:val="000000"/>
          <w:sz w:val="22"/>
          <w:szCs w:val="22"/>
          <w:lang w:val="es-419"/>
        </w:rPr>
        <w:t xml:space="preserve"> inciso </w:t>
      </w:r>
      <w:r w:rsidRPr="00E2092E">
        <w:rPr>
          <w:rFonts w:ascii="Leelawadee" w:hAnsi="Leelawadee" w:cs="Leelawadee"/>
          <w:b/>
          <w:bCs/>
          <w:color w:val="000000"/>
          <w:sz w:val="22"/>
          <w:szCs w:val="22"/>
          <w:lang w:val="es-419"/>
        </w:rPr>
        <w:t>a y 5</w:t>
      </w:r>
      <w:r w:rsidR="002A71B2">
        <w:rPr>
          <w:rFonts w:ascii="Leelawadee" w:hAnsi="Leelawadee" w:cs="Leelawadee"/>
          <w:b/>
          <w:bCs/>
          <w:color w:val="000000"/>
          <w:sz w:val="22"/>
          <w:szCs w:val="22"/>
          <w:lang w:val="es-419"/>
        </w:rPr>
        <w:t xml:space="preserve"> inciso </w:t>
      </w:r>
      <w:r w:rsidRPr="00E2092E">
        <w:rPr>
          <w:rFonts w:ascii="Leelawadee" w:hAnsi="Leelawadee" w:cs="Leelawadee"/>
          <w:b/>
          <w:bCs/>
          <w:color w:val="000000"/>
          <w:sz w:val="22"/>
          <w:szCs w:val="22"/>
          <w:lang w:val="es-419"/>
        </w:rPr>
        <w:t>b)</w:t>
      </w:r>
    </w:p>
    <w:p w14:paraId="354C6951" w14:textId="7C7C67ED" w:rsidR="00D41B41" w:rsidRPr="00E2092E" w:rsidRDefault="002A4A05" w:rsidP="00E2092E">
      <w:pPr>
        <w:spacing w:after="120" w:line="276" w:lineRule="auto"/>
        <w:jc w:val="both"/>
        <w:rPr>
          <w:rFonts w:ascii="Leelawadee" w:hAnsi="Leelawadee" w:cs="Leelawadee"/>
          <w:sz w:val="22"/>
          <w:szCs w:val="22"/>
          <w:lang w:val="es-419"/>
        </w:rPr>
      </w:pPr>
      <w:r>
        <w:rPr>
          <w:rFonts w:ascii="Leelawadee" w:hAnsi="Leelawadee" w:cs="Leelawadee"/>
          <w:sz w:val="22"/>
          <w:szCs w:val="22"/>
          <w:lang w:val="es-419"/>
        </w:rPr>
        <w:t xml:space="preserve">35. </w:t>
      </w:r>
      <w:r w:rsidRPr="00E2092E">
        <w:rPr>
          <w:rFonts w:ascii="Leelawadee" w:hAnsi="Leelawadee" w:cs="Leelawadee"/>
          <w:sz w:val="22"/>
          <w:szCs w:val="22"/>
          <w:lang w:val="es-419"/>
        </w:rPr>
        <w:t xml:space="preserve">El 16 de septiembre de 2021, </w:t>
      </w:r>
      <w:r w:rsidR="00EB705D">
        <w:rPr>
          <w:rFonts w:ascii="Leelawadee" w:hAnsi="Leelawadee" w:cs="Leelawadee"/>
          <w:sz w:val="22"/>
          <w:szCs w:val="22"/>
          <w:lang w:val="es-419"/>
        </w:rPr>
        <w:t>a</w:t>
      </w:r>
      <w:r w:rsidRPr="00E2092E">
        <w:rPr>
          <w:rFonts w:ascii="Leelawadee" w:hAnsi="Leelawadee" w:cs="Leelawadee"/>
          <w:sz w:val="22"/>
          <w:szCs w:val="22"/>
          <w:lang w:val="es-419"/>
        </w:rPr>
        <w:t xml:space="preserve">proximadamente a las 14:00 horas, un helicóptero de las Fuerzas Armadas, en persecución de una lancha rápida presuntamente vinculada al narcotráfico, </w:t>
      </w:r>
      <w:r w:rsidRPr="00EB705D">
        <w:rPr>
          <w:rFonts w:ascii="Leelawadee" w:hAnsi="Leelawadee" w:cs="Leelawadee"/>
          <w:sz w:val="22"/>
          <w:szCs w:val="22"/>
          <w:lang w:val="es-419"/>
        </w:rPr>
        <w:t>disparó de manera indiscriminada,</w:t>
      </w:r>
      <w:r w:rsidR="00EB705D">
        <w:rPr>
          <w:rFonts w:ascii="Leelawadee" w:hAnsi="Leelawadee" w:cs="Leelawadee"/>
          <w:sz w:val="22"/>
          <w:szCs w:val="22"/>
          <w:lang w:val="es-419"/>
        </w:rPr>
        <w:t xml:space="preserve"> incluso sobre la playa en la que se encontraban, hombres, mujeres y niños realizando distintas actividades,</w:t>
      </w:r>
      <w:r w:rsidRPr="00EB705D">
        <w:rPr>
          <w:rFonts w:ascii="Leelawadee" w:hAnsi="Leelawadee" w:cs="Leelawadee"/>
          <w:sz w:val="22"/>
          <w:szCs w:val="22"/>
          <w:lang w:val="es-419"/>
        </w:rPr>
        <w:t xml:space="preserve"> </w:t>
      </w:r>
      <w:r w:rsidRPr="00E2092E">
        <w:rPr>
          <w:rFonts w:ascii="Leelawadee" w:hAnsi="Leelawadee" w:cs="Leelawadee"/>
          <w:sz w:val="22"/>
          <w:szCs w:val="22"/>
          <w:lang w:val="es-419"/>
        </w:rPr>
        <w:t xml:space="preserve">Militares </w:t>
      </w:r>
      <w:r w:rsidR="00EB705D">
        <w:rPr>
          <w:rFonts w:ascii="Leelawadee" w:hAnsi="Leelawadee" w:cs="Leelawadee"/>
          <w:sz w:val="22"/>
          <w:szCs w:val="22"/>
          <w:lang w:val="es-419"/>
        </w:rPr>
        <w:t xml:space="preserve">una vez que descendieron </w:t>
      </w:r>
      <w:r w:rsidRPr="00E2092E">
        <w:rPr>
          <w:rFonts w:ascii="Leelawadee" w:hAnsi="Leelawadee" w:cs="Leelawadee"/>
          <w:sz w:val="22"/>
          <w:szCs w:val="22"/>
          <w:lang w:val="es-419"/>
        </w:rPr>
        <w:t>del helicóptero y efectivos navales en tierra también habrían disparado hacia la población.</w:t>
      </w:r>
    </w:p>
    <w:p w14:paraId="4F711839" w14:textId="4BABEDE0" w:rsidR="00D41B41" w:rsidRPr="00E2092E" w:rsidRDefault="002A4A05" w:rsidP="00E2092E">
      <w:pPr>
        <w:spacing w:after="120" w:line="276" w:lineRule="auto"/>
        <w:jc w:val="both"/>
        <w:rPr>
          <w:rFonts w:ascii="Leelawadee" w:hAnsi="Leelawadee" w:cs="Leelawadee"/>
          <w:sz w:val="22"/>
          <w:szCs w:val="22"/>
          <w:lang w:val="es-419"/>
        </w:rPr>
      </w:pPr>
      <w:r w:rsidRPr="003A3BD1">
        <w:rPr>
          <w:rFonts w:ascii="Leelawadee" w:hAnsi="Leelawadee" w:cs="Leelawadee"/>
          <w:sz w:val="22"/>
          <w:szCs w:val="22"/>
          <w:lang w:val="es-419"/>
        </w:rPr>
        <w:t>36. Como consecuencia del ataque: (i) el pescador Erick Barú Rivera, quien recolectaba medusas cerca de la orilla, recibió un impacto de bala en el abdomen disparado desde el helicóptero y falleció el 20 de septiembre de 2021 en el Hospital Escuela de Tegucigalpa; el dictamen forense calificó la muerte como homicida y describió una trayectoria del proyectil consistente con disparos desde el aire</w:t>
      </w:r>
      <w:r w:rsidRPr="003A3BD1">
        <w:rPr>
          <w:rStyle w:val="Refdenotaalpie"/>
          <w:rFonts w:ascii="Leelawadee" w:hAnsi="Leelawadee" w:cs="Leelawadee"/>
          <w:sz w:val="22"/>
          <w:szCs w:val="22"/>
        </w:rPr>
        <w:footnoteReference w:id="36"/>
      </w:r>
      <w:r w:rsidRPr="003A3BD1">
        <w:rPr>
          <w:rFonts w:ascii="Leelawadee" w:hAnsi="Leelawadee" w:cs="Leelawadee"/>
          <w:sz w:val="22"/>
          <w:szCs w:val="22"/>
          <w:lang w:val="es-419"/>
        </w:rPr>
        <w:t>; (</w:t>
      </w:r>
      <w:proofErr w:type="spellStart"/>
      <w:r w:rsidRPr="003A3BD1">
        <w:rPr>
          <w:rFonts w:ascii="Leelawadee" w:hAnsi="Leelawadee" w:cs="Leelawadee"/>
          <w:sz w:val="22"/>
          <w:szCs w:val="22"/>
          <w:lang w:val="es-419"/>
        </w:rPr>
        <w:t>ii</w:t>
      </w:r>
      <w:proofErr w:type="spellEnd"/>
      <w:r w:rsidRPr="003A3BD1">
        <w:rPr>
          <w:rFonts w:ascii="Leelawadee" w:hAnsi="Leelawadee" w:cs="Leelawadee"/>
          <w:sz w:val="22"/>
          <w:szCs w:val="22"/>
          <w:lang w:val="es-419"/>
        </w:rPr>
        <w:t>) al menos ocho personas resultaron heridas por proyectiles de arma de fuego, entre ellas un adolescente de diecisiete años; y (</w:t>
      </w:r>
      <w:proofErr w:type="spellStart"/>
      <w:r w:rsidRPr="003A3BD1">
        <w:rPr>
          <w:rFonts w:ascii="Leelawadee" w:hAnsi="Leelawadee" w:cs="Leelawadee"/>
          <w:sz w:val="22"/>
          <w:szCs w:val="22"/>
          <w:lang w:val="es-419"/>
        </w:rPr>
        <w:t>iii</w:t>
      </w:r>
      <w:proofErr w:type="spellEnd"/>
      <w:r w:rsidRPr="003A3BD1">
        <w:rPr>
          <w:rFonts w:ascii="Leelawadee" w:hAnsi="Leelawadee" w:cs="Leelawadee"/>
          <w:sz w:val="22"/>
          <w:szCs w:val="22"/>
          <w:lang w:val="es-419"/>
        </w:rPr>
        <w:t xml:space="preserve">) dos personas adultas mayores fallecieron por afectaciones cardíacas vinculadas a los hechos, los señores Lander López Valeriano y Héctor Danilo </w:t>
      </w:r>
      <w:proofErr w:type="spellStart"/>
      <w:r w:rsidRPr="003A3BD1">
        <w:rPr>
          <w:rFonts w:ascii="Leelawadee" w:hAnsi="Leelawadee" w:cs="Leelawadee"/>
          <w:sz w:val="22"/>
          <w:szCs w:val="22"/>
          <w:lang w:val="es-419"/>
        </w:rPr>
        <w:t>Derich</w:t>
      </w:r>
      <w:proofErr w:type="spellEnd"/>
      <w:r w:rsidRPr="003A3BD1">
        <w:rPr>
          <w:rFonts w:ascii="Leelawadee" w:hAnsi="Leelawadee" w:cs="Leelawadee"/>
          <w:sz w:val="22"/>
          <w:szCs w:val="22"/>
          <w:lang w:val="es-419"/>
        </w:rPr>
        <w:t xml:space="preserve"> Thomas. Verificada por la propia comunidad, la lancha perseguida solo contenía barriles de combust</w:t>
      </w:r>
      <w:r w:rsidRPr="00E2092E">
        <w:rPr>
          <w:rFonts w:ascii="Leelawadee" w:hAnsi="Leelawadee" w:cs="Leelawadee"/>
          <w:sz w:val="22"/>
          <w:szCs w:val="22"/>
          <w:lang w:val="es-419"/>
        </w:rPr>
        <w:t xml:space="preserve">ible. Pese a ello, el portavoz del Estado Mayor Conjunto de las </w:t>
      </w:r>
      <w:r w:rsidRPr="00E2092E">
        <w:rPr>
          <w:rFonts w:ascii="Leelawadee" w:hAnsi="Leelawadee" w:cs="Leelawadee"/>
          <w:sz w:val="22"/>
          <w:szCs w:val="22"/>
          <w:lang w:val="es-419"/>
        </w:rPr>
        <w:lastRenderedPageBreak/>
        <w:t>Fuerzas Armadas presentó públicamente los hechos como un «enfrentamiento armado» con supuestos criminales.</w:t>
      </w:r>
    </w:p>
    <w:p w14:paraId="40BB2DB4" w14:textId="39B813A8" w:rsidR="00D41B41" w:rsidRPr="00E2092E" w:rsidRDefault="00EB705D" w:rsidP="00E2092E">
      <w:pPr>
        <w:spacing w:after="120" w:line="276" w:lineRule="auto"/>
        <w:jc w:val="both"/>
        <w:rPr>
          <w:rFonts w:ascii="Leelawadee" w:hAnsi="Leelawadee" w:cs="Leelawadee"/>
          <w:sz w:val="22"/>
          <w:szCs w:val="22"/>
          <w:lang w:val="es-419"/>
        </w:rPr>
      </w:pPr>
      <w:r w:rsidRPr="00EB705D">
        <w:rPr>
          <w:rFonts w:ascii="Leelawadee" w:hAnsi="Leelawadee" w:cs="Leelawadee"/>
          <w:sz w:val="22"/>
          <w:szCs w:val="22"/>
          <w:lang w:val="es-419"/>
        </w:rPr>
        <w:t xml:space="preserve">37. </w:t>
      </w:r>
      <w:r w:rsidRPr="00E2092E">
        <w:rPr>
          <w:rFonts w:ascii="Leelawadee" w:hAnsi="Leelawadee" w:cs="Leelawadee"/>
          <w:sz w:val="22"/>
          <w:szCs w:val="22"/>
          <w:lang w:val="es-419"/>
        </w:rPr>
        <w:t>La dimensión racial de la violación es doble: los hechos solo se explican por la previa deshumanización estigmatizante de la población misquita</w:t>
      </w:r>
      <w:r>
        <w:rPr>
          <w:rFonts w:ascii="Leelawadee" w:hAnsi="Leelawadee" w:cs="Leelawadee"/>
          <w:sz w:val="22"/>
          <w:szCs w:val="22"/>
          <w:lang w:val="es-419"/>
        </w:rPr>
        <w:t xml:space="preserve">, </w:t>
      </w:r>
      <w:r w:rsidRPr="00E2092E">
        <w:rPr>
          <w:rFonts w:ascii="Leelawadee" w:hAnsi="Leelawadee" w:cs="Leelawadee"/>
          <w:sz w:val="22"/>
          <w:szCs w:val="22"/>
          <w:lang w:val="es-419"/>
        </w:rPr>
        <w:t xml:space="preserve">tratada como blanco legítimo por su origen étnico y su ubicación territorial, y la calificación oficial de las víctimas como </w:t>
      </w:r>
      <w:r w:rsidR="003A3BD1" w:rsidRPr="003A3BD1">
        <w:rPr>
          <w:rFonts w:ascii="Leelawadee" w:hAnsi="Leelawadee" w:cs="Leelawadee"/>
          <w:i/>
          <w:iCs/>
          <w:sz w:val="22"/>
          <w:szCs w:val="22"/>
          <w:lang w:val="es-419"/>
        </w:rPr>
        <w:t>“</w:t>
      </w:r>
      <w:r w:rsidRPr="003A3BD1">
        <w:rPr>
          <w:rFonts w:ascii="Leelawadee" w:hAnsi="Leelawadee" w:cs="Leelawadee"/>
          <w:i/>
          <w:iCs/>
          <w:sz w:val="22"/>
          <w:szCs w:val="22"/>
          <w:lang w:val="es-419"/>
        </w:rPr>
        <w:t>criminales</w:t>
      </w:r>
      <w:r w:rsidR="003A3BD1" w:rsidRPr="003A3BD1">
        <w:rPr>
          <w:rFonts w:ascii="Leelawadee" w:hAnsi="Leelawadee" w:cs="Leelawadee"/>
          <w:i/>
          <w:iCs/>
          <w:sz w:val="22"/>
          <w:szCs w:val="22"/>
          <w:lang w:val="es-419"/>
        </w:rPr>
        <w:t>”</w:t>
      </w:r>
      <w:r w:rsidRPr="00E2092E">
        <w:rPr>
          <w:rFonts w:ascii="Leelawadee" w:hAnsi="Leelawadee" w:cs="Leelawadee"/>
          <w:sz w:val="22"/>
          <w:szCs w:val="22"/>
          <w:lang w:val="es-419"/>
        </w:rPr>
        <w:t xml:space="preserve"> constituye, en sí misma, un acto de las </w:t>
      </w:r>
      <w:r w:rsidR="003A3BD1" w:rsidRPr="00E2092E">
        <w:rPr>
          <w:rFonts w:ascii="Leelawadee" w:hAnsi="Leelawadee" w:cs="Leelawadee"/>
          <w:sz w:val="22"/>
          <w:szCs w:val="22"/>
          <w:lang w:val="es-419"/>
        </w:rPr>
        <w:t>autoridades</w:t>
      </w:r>
      <w:r w:rsidRPr="00E2092E">
        <w:rPr>
          <w:rFonts w:ascii="Leelawadee" w:hAnsi="Leelawadee" w:cs="Leelawadee"/>
          <w:sz w:val="22"/>
          <w:szCs w:val="22"/>
          <w:lang w:val="es-419"/>
        </w:rPr>
        <w:t xml:space="preserve"> incompatible con el artículo 2.1.a de la Convención y con la obligación de combatir los prejuicios raciales (art. 7. El patrón </w:t>
      </w:r>
      <w:proofErr w:type="spellStart"/>
      <w:r w:rsidRPr="00E2092E">
        <w:rPr>
          <w:rFonts w:ascii="Leelawadee" w:hAnsi="Leelawadee" w:cs="Leelawadee"/>
          <w:sz w:val="22"/>
          <w:szCs w:val="22"/>
          <w:lang w:val="es-419"/>
        </w:rPr>
        <w:t>Ahuás</w:t>
      </w:r>
      <w:proofErr w:type="spellEnd"/>
      <w:r w:rsidRPr="00E2092E">
        <w:rPr>
          <w:rFonts w:ascii="Leelawadee" w:hAnsi="Leelawadee" w:cs="Leelawadee"/>
          <w:sz w:val="22"/>
          <w:szCs w:val="22"/>
          <w:lang w:val="es-419"/>
        </w:rPr>
        <w:t>–</w:t>
      </w:r>
      <w:proofErr w:type="spellStart"/>
      <w:r w:rsidRPr="00E2092E">
        <w:rPr>
          <w:rFonts w:ascii="Leelawadee" w:hAnsi="Leelawadee" w:cs="Leelawadee"/>
          <w:sz w:val="22"/>
          <w:szCs w:val="22"/>
          <w:lang w:val="es-419"/>
        </w:rPr>
        <w:t>Warunta</w:t>
      </w:r>
      <w:proofErr w:type="spellEnd"/>
      <w:r w:rsidRPr="00E2092E">
        <w:rPr>
          <w:rFonts w:ascii="Leelawadee" w:hAnsi="Leelawadee" w:cs="Leelawadee"/>
          <w:sz w:val="22"/>
          <w:szCs w:val="22"/>
          <w:lang w:val="es-419"/>
        </w:rPr>
        <w:t>–</w:t>
      </w:r>
      <w:proofErr w:type="spellStart"/>
      <w:r w:rsidRPr="00E2092E">
        <w:rPr>
          <w:rFonts w:ascii="Leelawadee" w:hAnsi="Leelawadee" w:cs="Leelawadee"/>
          <w:sz w:val="22"/>
          <w:szCs w:val="22"/>
          <w:lang w:val="es-419"/>
        </w:rPr>
        <w:t>Ibans</w:t>
      </w:r>
      <w:proofErr w:type="spellEnd"/>
      <w:r w:rsidRPr="00E2092E">
        <w:rPr>
          <w:rFonts w:ascii="Leelawadee" w:hAnsi="Leelawadee" w:cs="Leelawadee"/>
          <w:sz w:val="22"/>
          <w:szCs w:val="22"/>
          <w:lang w:val="es-419"/>
        </w:rPr>
        <w:t>, sin una sola condena, revela que no se trata de excesos aislados sino de una práctica tolerada.</w:t>
      </w:r>
    </w:p>
    <w:p w14:paraId="67D53AEA" w14:textId="77777777" w:rsidR="00D41B41" w:rsidRPr="00E2092E" w:rsidRDefault="009F2540" w:rsidP="00E2092E">
      <w:pPr>
        <w:pStyle w:val="Ttulo2"/>
        <w:spacing w:before="180" w:after="120" w:line="276" w:lineRule="auto"/>
        <w:rPr>
          <w:rFonts w:ascii="Leelawadee" w:hAnsi="Leelawadee" w:cs="Leelawadee"/>
          <w:sz w:val="22"/>
          <w:szCs w:val="22"/>
          <w:lang w:val="es-419"/>
        </w:rPr>
      </w:pPr>
      <w:r w:rsidRPr="00E2092E">
        <w:rPr>
          <w:rFonts w:ascii="Leelawadee" w:hAnsi="Leelawadee" w:cs="Leelawadee"/>
          <w:b/>
          <w:bCs/>
          <w:color w:val="000000"/>
          <w:sz w:val="22"/>
          <w:szCs w:val="22"/>
          <w:lang w:val="es-419"/>
        </w:rPr>
        <w:t>V.3. Impunidad absoluta y barreras de acceso a la justicia (arts. 5.a y 6)</w:t>
      </w:r>
    </w:p>
    <w:p w14:paraId="101CFC0B" w14:textId="01A5012A" w:rsidR="003A3BD1" w:rsidRDefault="002A4A05" w:rsidP="00E2092E">
      <w:pPr>
        <w:spacing w:after="120" w:line="276" w:lineRule="auto"/>
        <w:jc w:val="both"/>
        <w:rPr>
          <w:rFonts w:ascii="Leelawadee" w:hAnsi="Leelawadee" w:cs="Leelawadee"/>
          <w:sz w:val="22"/>
          <w:szCs w:val="22"/>
          <w:lang w:val="es-419"/>
        </w:rPr>
      </w:pPr>
      <w:r>
        <w:rPr>
          <w:rFonts w:ascii="Leelawadee" w:hAnsi="Leelawadee" w:cs="Leelawadee"/>
          <w:sz w:val="22"/>
          <w:szCs w:val="22"/>
          <w:lang w:val="es-419"/>
        </w:rPr>
        <w:t>3</w:t>
      </w:r>
      <w:r w:rsidR="003A3BD1">
        <w:rPr>
          <w:rFonts w:ascii="Leelawadee" w:hAnsi="Leelawadee" w:cs="Leelawadee"/>
          <w:sz w:val="22"/>
          <w:szCs w:val="22"/>
          <w:lang w:val="es-419"/>
        </w:rPr>
        <w:t>8</w:t>
      </w:r>
      <w:r>
        <w:rPr>
          <w:rFonts w:ascii="Leelawadee" w:hAnsi="Leelawadee" w:cs="Leelawadee"/>
          <w:sz w:val="22"/>
          <w:szCs w:val="22"/>
          <w:lang w:val="es-419"/>
        </w:rPr>
        <w:t xml:space="preserve">. </w:t>
      </w:r>
      <w:r w:rsidRPr="003A3BD1">
        <w:rPr>
          <w:rFonts w:ascii="Leelawadee" w:hAnsi="Leelawadee" w:cs="Leelawadee"/>
          <w:sz w:val="22"/>
          <w:szCs w:val="22"/>
          <w:lang w:val="es-419"/>
        </w:rPr>
        <w:t xml:space="preserve">A casi cinco años de los hechos, no existe requerimiento fiscal </w:t>
      </w:r>
      <w:r w:rsidR="003A3BD1">
        <w:rPr>
          <w:rFonts w:ascii="Leelawadee" w:hAnsi="Leelawadee" w:cs="Leelawadee"/>
          <w:sz w:val="22"/>
          <w:szCs w:val="22"/>
          <w:lang w:val="es-419"/>
        </w:rPr>
        <w:t>en contra de ninguna persona</w:t>
      </w:r>
      <w:r w:rsidRPr="003A3BD1">
        <w:rPr>
          <w:rFonts w:ascii="Leelawadee" w:hAnsi="Leelawadee" w:cs="Leelawadee"/>
          <w:sz w:val="22"/>
          <w:szCs w:val="22"/>
          <w:lang w:val="es-419"/>
        </w:rPr>
        <w:t>. La investigación adolece de una ausencia total de diligencia debida</w:t>
      </w:r>
      <w:r w:rsidR="003A3BD1">
        <w:rPr>
          <w:rFonts w:ascii="Leelawadee" w:hAnsi="Leelawadee" w:cs="Leelawadee"/>
          <w:sz w:val="22"/>
          <w:szCs w:val="22"/>
          <w:lang w:val="es-419"/>
        </w:rPr>
        <w:t xml:space="preserve">. Hasta el pasado mes de abril se realizó gira para inspeccionar la zona. Por información proporcionada por el Ministerio Público, se cuenta con toda la documentación y suficientes diligencias investigativas, no obstante, a pesar de esta manifestación realizada para con las víctimas y representantes, no se ha presentado acusación en contra de los responsables. </w:t>
      </w:r>
      <w:r w:rsidR="005A3376">
        <w:rPr>
          <w:rFonts w:ascii="Leelawadee" w:hAnsi="Leelawadee" w:cs="Leelawadee"/>
          <w:sz w:val="22"/>
          <w:szCs w:val="22"/>
          <w:lang w:val="es-419"/>
        </w:rPr>
        <w:t xml:space="preserve">Siempre se ha colocado como justificación por parte de los entes investigadores la falta de presupuesto y logística para realizar las diligencias investigativas en la zona, indicando el riesgo por la criminalidad y lo lejano de la zona.  </w:t>
      </w:r>
    </w:p>
    <w:p w14:paraId="52C9E8C4" w14:textId="27C2212B" w:rsidR="00D41B41" w:rsidRPr="00E2092E" w:rsidRDefault="003A3BD1" w:rsidP="00E2092E">
      <w:pPr>
        <w:spacing w:after="120" w:line="276" w:lineRule="auto"/>
        <w:jc w:val="both"/>
        <w:rPr>
          <w:rFonts w:ascii="Leelawadee" w:hAnsi="Leelawadee" w:cs="Leelawadee"/>
          <w:sz w:val="22"/>
          <w:szCs w:val="22"/>
          <w:lang w:val="es-419"/>
        </w:rPr>
      </w:pPr>
      <w:r>
        <w:rPr>
          <w:rFonts w:ascii="Leelawadee" w:hAnsi="Leelawadee" w:cs="Leelawadee"/>
          <w:sz w:val="22"/>
          <w:szCs w:val="22"/>
          <w:lang w:val="es-419"/>
        </w:rPr>
        <w:t xml:space="preserve">39. </w:t>
      </w:r>
      <w:r w:rsidRPr="00E2092E">
        <w:rPr>
          <w:rFonts w:ascii="Leelawadee" w:hAnsi="Leelawadee" w:cs="Leelawadee"/>
          <w:sz w:val="22"/>
          <w:szCs w:val="22"/>
          <w:lang w:val="es-419"/>
        </w:rPr>
        <w:t>La obligación de investigar violaciones del derecho a la vida es de oficio</w:t>
      </w:r>
      <w:r>
        <w:rPr>
          <w:rFonts w:ascii="Leelawadee" w:hAnsi="Leelawadee" w:cs="Leelawadee"/>
          <w:sz w:val="22"/>
          <w:szCs w:val="22"/>
          <w:lang w:val="es-419"/>
        </w:rPr>
        <w:t xml:space="preserve">, </w:t>
      </w:r>
      <w:r w:rsidRPr="00E2092E">
        <w:rPr>
          <w:rFonts w:ascii="Leelawadee" w:hAnsi="Leelawadee" w:cs="Leelawadee"/>
          <w:sz w:val="22"/>
          <w:szCs w:val="22"/>
          <w:lang w:val="es-419"/>
        </w:rPr>
        <w:t xml:space="preserve">su incumplimiento absoluto durante casi cinco años viola el artículo 6 de la Convención, que garantiza protección y recursos efectivos contra todo acto de discriminación racial, así como el derecho a la igualdad </w:t>
      </w:r>
      <w:r>
        <w:rPr>
          <w:rFonts w:ascii="Leelawadee" w:hAnsi="Leelawadee" w:cs="Leelawadee"/>
          <w:sz w:val="22"/>
          <w:szCs w:val="22"/>
          <w:lang w:val="es-419"/>
        </w:rPr>
        <w:t>ante la justicia</w:t>
      </w:r>
      <w:r w:rsidRPr="00E2092E">
        <w:rPr>
          <w:rFonts w:ascii="Leelawadee" w:hAnsi="Leelawadee" w:cs="Leelawadee"/>
          <w:sz w:val="22"/>
          <w:szCs w:val="22"/>
          <w:lang w:val="es-419"/>
        </w:rPr>
        <w:t>. Tratándose de víctimas indígenas, el Estado debía además remover activamente las barreras geográficas, lingüísticas y económicas que obstaculizan su acceso a la justicia</w:t>
      </w:r>
      <w:r w:rsidRPr="00E2092E">
        <w:rPr>
          <w:rStyle w:val="Refdenotaalpie"/>
          <w:rFonts w:ascii="Leelawadee" w:hAnsi="Leelawadee" w:cs="Leelawadee"/>
          <w:sz w:val="22"/>
          <w:szCs w:val="22"/>
        </w:rPr>
        <w:footnoteReference w:id="37"/>
      </w:r>
      <w:r w:rsidR="005A3376">
        <w:rPr>
          <w:rFonts w:ascii="Leelawadee" w:hAnsi="Leelawadee" w:cs="Leelawadee"/>
          <w:sz w:val="22"/>
          <w:szCs w:val="22"/>
          <w:lang w:val="es-419"/>
        </w:rPr>
        <w:t>,</w:t>
      </w:r>
      <w:r w:rsidRPr="00E2092E">
        <w:rPr>
          <w:rFonts w:ascii="Leelawadee" w:hAnsi="Leelawadee" w:cs="Leelawadee"/>
          <w:sz w:val="22"/>
          <w:szCs w:val="22"/>
          <w:lang w:val="es-419"/>
        </w:rPr>
        <w:t xml:space="preserve"> lejos de ello, </w:t>
      </w:r>
      <w:r w:rsidR="005A3376">
        <w:rPr>
          <w:rFonts w:ascii="Leelawadee" w:hAnsi="Leelawadee" w:cs="Leelawadee"/>
          <w:sz w:val="22"/>
          <w:szCs w:val="22"/>
          <w:lang w:val="es-419"/>
        </w:rPr>
        <w:t xml:space="preserve">estas </w:t>
      </w:r>
      <w:r w:rsidRPr="00E2092E">
        <w:rPr>
          <w:rFonts w:ascii="Leelawadee" w:hAnsi="Leelawadee" w:cs="Leelawadee"/>
          <w:sz w:val="22"/>
          <w:szCs w:val="22"/>
          <w:lang w:val="es-419"/>
        </w:rPr>
        <w:t>barreras han operado como garantía de impunidad. La Recomendación general N</w:t>
      </w:r>
      <w:r>
        <w:rPr>
          <w:rFonts w:ascii="Leelawadee" w:hAnsi="Leelawadee" w:cs="Leelawadee"/>
          <w:sz w:val="22"/>
          <w:szCs w:val="22"/>
          <w:lang w:val="es-419"/>
        </w:rPr>
        <w:t>o.</w:t>
      </w:r>
      <w:r w:rsidRPr="00E2092E">
        <w:rPr>
          <w:rFonts w:ascii="Leelawadee" w:hAnsi="Leelawadee" w:cs="Leelawadee"/>
          <w:sz w:val="22"/>
          <w:szCs w:val="22"/>
          <w:lang w:val="es-419"/>
        </w:rPr>
        <w:t xml:space="preserve"> </w:t>
      </w:r>
      <w:r>
        <w:rPr>
          <w:rFonts w:ascii="Leelawadee" w:hAnsi="Leelawadee" w:cs="Leelawadee"/>
          <w:sz w:val="22"/>
          <w:szCs w:val="22"/>
          <w:lang w:val="es-419"/>
        </w:rPr>
        <w:t>31</w:t>
      </w:r>
      <w:r w:rsidRPr="00E2092E">
        <w:rPr>
          <w:rFonts w:ascii="Leelawadee" w:hAnsi="Leelawadee" w:cs="Leelawadee"/>
          <w:sz w:val="22"/>
          <w:szCs w:val="22"/>
          <w:lang w:val="es-419"/>
        </w:rPr>
        <w:t xml:space="preserve"> exige prestar atención especial a los indicadores de discriminación en la investigación penal</w:t>
      </w:r>
      <w:r w:rsidR="005A3376">
        <w:rPr>
          <w:rFonts w:ascii="Leelawadee" w:hAnsi="Leelawadee" w:cs="Leelawadee"/>
          <w:sz w:val="22"/>
          <w:szCs w:val="22"/>
          <w:lang w:val="es-419"/>
        </w:rPr>
        <w:t>.</w:t>
      </w:r>
    </w:p>
    <w:p w14:paraId="26F39892" w14:textId="77777777" w:rsidR="00D41B41" w:rsidRPr="00E2092E" w:rsidRDefault="009F2540" w:rsidP="00E2092E">
      <w:pPr>
        <w:pStyle w:val="Ttulo1"/>
        <w:spacing w:before="240" w:after="160" w:line="276" w:lineRule="auto"/>
        <w:rPr>
          <w:rFonts w:ascii="Leelawadee" w:hAnsi="Leelawadee" w:cs="Leelawadee"/>
          <w:sz w:val="22"/>
          <w:szCs w:val="22"/>
          <w:lang w:val="es-419"/>
        </w:rPr>
      </w:pPr>
      <w:r w:rsidRPr="00E2092E">
        <w:rPr>
          <w:rFonts w:ascii="Leelawadee" w:hAnsi="Leelawadee" w:cs="Leelawadee"/>
          <w:b/>
          <w:bCs/>
          <w:caps/>
          <w:color w:val="000000"/>
          <w:sz w:val="22"/>
          <w:szCs w:val="22"/>
          <w:lang w:val="es-419"/>
        </w:rPr>
        <w:t>VI. Pueblo Indígena Lenca</w:t>
      </w:r>
    </w:p>
    <w:p w14:paraId="6A30EC0F" w14:textId="77777777" w:rsidR="00D41B41" w:rsidRPr="00E2092E" w:rsidRDefault="009F2540" w:rsidP="00E2092E">
      <w:pPr>
        <w:pStyle w:val="Ttulo2"/>
        <w:spacing w:before="180" w:after="120" w:line="276" w:lineRule="auto"/>
        <w:rPr>
          <w:rFonts w:ascii="Leelawadee" w:hAnsi="Leelawadee" w:cs="Leelawadee"/>
          <w:sz w:val="22"/>
          <w:szCs w:val="22"/>
          <w:lang w:val="es-419"/>
        </w:rPr>
      </w:pPr>
      <w:r w:rsidRPr="00E2092E">
        <w:rPr>
          <w:rFonts w:ascii="Leelawadee" w:hAnsi="Leelawadee" w:cs="Leelawadee"/>
          <w:b/>
          <w:bCs/>
          <w:color w:val="000000"/>
          <w:sz w:val="22"/>
          <w:szCs w:val="22"/>
          <w:lang w:val="es-419"/>
        </w:rPr>
        <w:t>VI.1. Negación de la condición indígena mediante un criterio registral (arts. 1, 2 y 5)</w:t>
      </w:r>
    </w:p>
    <w:p w14:paraId="71DCDF2D" w14:textId="296781E8" w:rsidR="00D41B41" w:rsidRPr="005A3376" w:rsidRDefault="005A3376" w:rsidP="00E2092E">
      <w:pPr>
        <w:spacing w:after="120" w:line="276" w:lineRule="auto"/>
        <w:jc w:val="both"/>
        <w:rPr>
          <w:rFonts w:ascii="Leelawadee" w:hAnsi="Leelawadee" w:cs="Leelawadee"/>
          <w:sz w:val="22"/>
          <w:szCs w:val="22"/>
          <w:lang w:val="es-419"/>
        </w:rPr>
      </w:pPr>
      <w:r>
        <w:rPr>
          <w:rFonts w:ascii="Leelawadee" w:hAnsi="Leelawadee" w:cs="Leelawadee"/>
          <w:sz w:val="22"/>
          <w:szCs w:val="22"/>
          <w:lang w:val="es-419"/>
        </w:rPr>
        <w:t>40</w:t>
      </w:r>
      <w:r w:rsidR="002A4A05">
        <w:rPr>
          <w:rFonts w:ascii="Leelawadee" w:hAnsi="Leelawadee" w:cs="Leelawadee"/>
          <w:sz w:val="22"/>
          <w:szCs w:val="22"/>
          <w:lang w:val="es-419"/>
        </w:rPr>
        <w:t xml:space="preserve">. </w:t>
      </w:r>
      <w:r w:rsidRPr="00E2092E">
        <w:rPr>
          <w:rFonts w:ascii="Leelawadee" w:hAnsi="Leelawadee" w:cs="Leelawadee"/>
          <w:sz w:val="22"/>
          <w:szCs w:val="22"/>
          <w:lang w:val="es-419"/>
        </w:rPr>
        <w:t xml:space="preserve">En diversos procesos penales seguidos contra personas indígenas Lencas por la reivindicación de su territorio ancestral, </w:t>
      </w:r>
      <w:r w:rsidRPr="005A3376">
        <w:rPr>
          <w:rFonts w:ascii="Leelawadee" w:hAnsi="Leelawadee" w:cs="Leelawadee"/>
          <w:sz w:val="22"/>
          <w:szCs w:val="22"/>
          <w:lang w:val="es-419"/>
        </w:rPr>
        <w:t>funcionarios del Ministerio Público y del Poder Judicial han negado en audiencia la condición indígena de las personas procesadas y de sus comunidades por no encontrarse inscritas en la Dirección de Registro, Regulación y Seguimiento de Asociaciones Civiles (DIRRSAC), adscrita a la Secretaría de Gobernación, Justicia y Descentralización</w:t>
      </w:r>
      <w:r>
        <w:rPr>
          <w:rFonts w:ascii="Leelawadee" w:hAnsi="Leelawadee" w:cs="Leelawadee"/>
          <w:sz w:val="22"/>
          <w:szCs w:val="22"/>
          <w:lang w:val="es-419"/>
        </w:rPr>
        <w:t>.</w:t>
      </w:r>
    </w:p>
    <w:p w14:paraId="416AB87C" w14:textId="4D1659DA" w:rsidR="00D41B41" w:rsidRPr="00E2092E" w:rsidRDefault="005A3376" w:rsidP="00E2092E">
      <w:pPr>
        <w:spacing w:after="120" w:line="276" w:lineRule="auto"/>
        <w:jc w:val="both"/>
        <w:rPr>
          <w:rFonts w:ascii="Leelawadee" w:hAnsi="Leelawadee" w:cs="Leelawadee"/>
          <w:sz w:val="22"/>
          <w:szCs w:val="22"/>
          <w:lang w:val="es-419"/>
        </w:rPr>
      </w:pPr>
      <w:r w:rsidRPr="005A3376">
        <w:rPr>
          <w:rFonts w:ascii="Leelawadee" w:hAnsi="Leelawadee" w:cs="Leelawadee"/>
          <w:sz w:val="22"/>
          <w:szCs w:val="22"/>
          <w:lang w:val="es-419"/>
        </w:rPr>
        <w:t xml:space="preserve">41. </w:t>
      </w:r>
      <w:r w:rsidRPr="00E2092E">
        <w:rPr>
          <w:rFonts w:ascii="Leelawadee" w:hAnsi="Leelawadee" w:cs="Leelawadee"/>
          <w:sz w:val="22"/>
          <w:szCs w:val="22"/>
          <w:lang w:val="es-419"/>
        </w:rPr>
        <w:t>Condicionar la existencia jurídica de un pueblo indígena y las garantías que de ella derivan</w:t>
      </w:r>
      <w:r>
        <w:rPr>
          <w:rFonts w:ascii="Leelawadee" w:hAnsi="Leelawadee" w:cs="Leelawadee"/>
          <w:sz w:val="22"/>
          <w:szCs w:val="22"/>
          <w:lang w:val="es-419"/>
        </w:rPr>
        <w:t>,</w:t>
      </w:r>
      <w:r w:rsidRPr="00E2092E">
        <w:rPr>
          <w:rFonts w:ascii="Leelawadee" w:hAnsi="Leelawadee" w:cs="Leelawadee"/>
          <w:sz w:val="22"/>
          <w:szCs w:val="22"/>
          <w:lang w:val="es-419"/>
        </w:rPr>
        <w:t xml:space="preserve"> a la inscripción en un registro de asociaciones civiles es contrario al criterio de autoidentificación establecido </w:t>
      </w:r>
      <w:r>
        <w:rPr>
          <w:rFonts w:ascii="Leelawadee" w:hAnsi="Leelawadee" w:cs="Leelawadee"/>
          <w:sz w:val="22"/>
          <w:szCs w:val="22"/>
          <w:lang w:val="es-419"/>
        </w:rPr>
        <w:t>en los estándares internacionales sobre derechos de los pueblos indígenas.</w:t>
      </w:r>
      <w:r w:rsidRPr="00E2092E">
        <w:rPr>
          <w:rFonts w:ascii="Leelawadee" w:hAnsi="Leelawadee" w:cs="Leelawadee"/>
          <w:sz w:val="22"/>
          <w:szCs w:val="22"/>
          <w:lang w:val="es-419"/>
        </w:rPr>
        <w:t xml:space="preserve"> </w:t>
      </w:r>
      <w:r>
        <w:rPr>
          <w:rFonts w:ascii="Leelawadee" w:hAnsi="Leelawadee" w:cs="Leelawadee"/>
          <w:sz w:val="22"/>
          <w:szCs w:val="22"/>
          <w:lang w:val="es-419"/>
        </w:rPr>
        <w:t xml:space="preserve">Éstos </w:t>
      </w:r>
      <w:r w:rsidRPr="00E2092E">
        <w:rPr>
          <w:rFonts w:ascii="Leelawadee" w:hAnsi="Leelawadee" w:cs="Leelawadee"/>
          <w:sz w:val="22"/>
          <w:szCs w:val="22"/>
          <w:lang w:val="es-419"/>
        </w:rPr>
        <w:lastRenderedPageBreak/>
        <w:t>preexisten al Estado y a sus registros, y su personalidad no es una concesión administrativa. La exigencia registral constituye una restricción basada en el origen étnico que menoscaba el ejercicio de derechos en condiciones de igualdad (art</w:t>
      </w:r>
      <w:r>
        <w:rPr>
          <w:rFonts w:ascii="Leelawadee" w:hAnsi="Leelawadee" w:cs="Leelawadee"/>
          <w:sz w:val="22"/>
          <w:szCs w:val="22"/>
          <w:lang w:val="es-419"/>
        </w:rPr>
        <w:t>ículo</w:t>
      </w:r>
      <w:r w:rsidRPr="00E2092E">
        <w:rPr>
          <w:rFonts w:ascii="Leelawadee" w:hAnsi="Leelawadee" w:cs="Leelawadee"/>
          <w:sz w:val="22"/>
          <w:szCs w:val="22"/>
          <w:lang w:val="es-419"/>
        </w:rPr>
        <w:t xml:space="preserve"> 1.1 de la Convención) y, aplicada por fiscales y jueces, compromete directamente al Estado (art</w:t>
      </w:r>
      <w:r>
        <w:rPr>
          <w:rFonts w:ascii="Leelawadee" w:hAnsi="Leelawadee" w:cs="Leelawadee"/>
          <w:sz w:val="22"/>
          <w:szCs w:val="22"/>
          <w:lang w:val="es-419"/>
        </w:rPr>
        <w:t>ículo</w:t>
      </w:r>
      <w:r w:rsidRPr="00E2092E">
        <w:rPr>
          <w:rFonts w:ascii="Leelawadee" w:hAnsi="Leelawadee" w:cs="Leelawadee"/>
          <w:sz w:val="22"/>
          <w:szCs w:val="22"/>
          <w:lang w:val="es-419"/>
        </w:rPr>
        <w:t xml:space="preserve"> 2.1</w:t>
      </w:r>
      <w:r>
        <w:rPr>
          <w:rFonts w:ascii="Leelawadee" w:hAnsi="Leelawadee" w:cs="Leelawadee"/>
          <w:sz w:val="22"/>
          <w:szCs w:val="22"/>
          <w:lang w:val="es-419"/>
        </w:rPr>
        <w:t xml:space="preserve"> inciso </w:t>
      </w:r>
      <w:r w:rsidRPr="00E2092E">
        <w:rPr>
          <w:rFonts w:ascii="Leelawadee" w:hAnsi="Leelawadee" w:cs="Leelawadee"/>
          <w:sz w:val="22"/>
          <w:szCs w:val="22"/>
          <w:lang w:val="es-419"/>
        </w:rPr>
        <w:t>a). Sus efectos son concretos y graves: priva a las personas procesadas de las garantías específicas que les corresponden</w:t>
      </w:r>
      <w:r>
        <w:rPr>
          <w:rFonts w:ascii="Leelawadee" w:hAnsi="Leelawadee" w:cs="Leelawadee"/>
          <w:sz w:val="22"/>
          <w:szCs w:val="22"/>
          <w:lang w:val="es-419"/>
        </w:rPr>
        <w:t xml:space="preserve">.  </w:t>
      </w:r>
    </w:p>
    <w:p w14:paraId="36343FB2" w14:textId="77777777" w:rsidR="00D41B41" w:rsidRPr="00E2092E" w:rsidRDefault="009F2540" w:rsidP="00E2092E">
      <w:pPr>
        <w:pStyle w:val="Ttulo2"/>
        <w:spacing w:before="180" w:after="120" w:line="276" w:lineRule="auto"/>
        <w:rPr>
          <w:rFonts w:ascii="Leelawadee" w:hAnsi="Leelawadee" w:cs="Leelawadee"/>
          <w:sz w:val="22"/>
          <w:szCs w:val="22"/>
          <w:lang w:val="es-419"/>
        </w:rPr>
      </w:pPr>
      <w:r w:rsidRPr="00E2092E">
        <w:rPr>
          <w:rFonts w:ascii="Leelawadee" w:hAnsi="Leelawadee" w:cs="Leelawadee"/>
          <w:b/>
          <w:bCs/>
          <w:color w:val="000000"/>
          <w:sz w:val="22"/>
          <w:szCs w:val="22"/>
          <w:lang w:val="es-419"/>
        </w:rPr>
        <w:t>VI.2. Criminalización, jurisdicción de criminalidad organizada y prisión preventiva (arts. 5.a, 5.b y 6)</w:t>
      </w:r>
    </w:p>
    <w:p w14:paraId="0D7C508E" w14:textId="404C7A4D" w:rsidR="00D41B41" w:rsidRPr="005A3376" w:rsidRDefault="005A3376" w:rsidP="00E2092E">
      <w:pPr>
        <w:spacing w:after="120" w:line="276" w:lineRule="auto"/>
        <w:jc w:val="both"/>
        <w:rPr>
          <w:rFonts w:ascii="Leelawadee" w:hAnsi="Leelawadee" w:cs="Leelawadee"/>
          <w:sz w:val="22"/>
          <w:szCs w:val="22"/>
          <w:lang w:val="es-419"/>
        </w:rPr>
      </w:pPr>
      <w:r>
        <w:rPr>
          <w:rFonts w:ascii="Leelawadee" w:hAnsi="Leelawadee" w:cs="Leelawadee"/>
          <w:sz w:val="22"/>
          <w:szCs w:val="22"/>
          <w:lang w:val="es-419"/>
        </w:rPr>
        <w:t>42</w:t>
      </w:r>
      <w:r w:rsidR="002A4A05">
        <w:rPr>
          <w:rFonts w:ascii="Leelawadee" w:hAnsi="Leelawadee" w:cs="Leelawadee"/>
          <w:sz w:val="22"/>
          <w:szCs w:val="22"/>
          <w:lang w:val="es-419"/>
        </w:rPr>
        <w:t xml:space="preserve">. </w:t>
      </w:r>
      <w:r w:rsidRPr="005A3376">
        <w:rPr>
          <w:rFonts w:ascii="Leelawadee" w:hAnsi="Leelawadee" w:cs="Leelawadee"/>
          <w:sz w:val="22"/>
          <w:szCs w:val="22"/>
          <w:lang w:val="es-419"/>
        </w:rPr>
        <w:t>Durante el período examinado se ha intensificado el patrón de criminalización contra el pueblo Lenca. Destacan tres procesos actualmente en curso: (i) el expediente N</w:t>
      </w:r>
      <w:r>
        <w:rPr>
          <w:rFonts w:ascii="Leelawadee" w:hAnsi="Leelawadee" w:cs="Leelawadee"/>
          <w:sz w:val="22"/>
          <w:szCs w:val="22"/>
          <w:lang w:val="es-419"/>
        </w:rPr>
        <w:t>o.</w:t>
      </w:r>
      <w:r w:rsidRPr="005A3376">
        <w:rPr>
          <w:rFonts w:ascii="Leelawadee" w:hAnsi="Leelawadee" w:cs="Leelawadee"/>
          <w:sz w:val="22"/>
          <w:szCs w:val="22"/>
          <w:lang w:val="es-419"/>
        </w:rPr>
        <w:t xml:space="preserve"> 257-2025, ante el Juzgado de Letras Penal con Competencia Territorial Nacional en materia de Criminalidad Organizada y Corrupción de Tegucigalpa, contra veinte personas indígenas Lencas acusadas del delito de usurpación, en el cual la juzgadora emitió órdenes de captura pese a tratarse de un delito que no conlleva pena grave ni justifica medidas restrictivas de la libertad; (</w:t>
      </w:r>
      <w:proofErr w:type="spellStart"/>
      <w:r w:rsidRPr="005A3376">
        <w:rPr>
          <w:rFonts w:ascii="Leelawadee" w:hAnsi="Leelawadee" w:cs="Leelawadee"/>
          <w:sz w:val="22"/>
          <w:szCs w:val="22"/>
          <w:lang w:val="es-419"/>
        </w:rPr>
        <w:t>ii</w:t>
      </w:r>
      <w:proofErr w:type="spellEnd"/>
      <w:r w:rsidRPr="005A3376">
        <w:rPr>
          <w:rFonts w:ascii="Leelawadee" w:hAnsi="Leelawadee" w:cs="Leelawadee"/>
          <w:sz w:val="22"/>
          <w:szCs w:val="22"/>
          <w:lang w:val="es-419"/>
        </w:rPr>
        <w:t>) el expediente N</w:t>
      </w:r>
      <w:r>
        <w:rPr>
          <w:rFonts w:ascii="Leelawadee" w:hAnsi="Leelawadee" w:cs="Leelawadee"/>
          <w:sz w:val="22"/>
          <w:szCs w:val="22"/>
          <w:lang w:val="es-419"/>
        </w:rPr>
        <w:t>o.</w:t>
      </w:r>
      <w:r w:rsidRPr="005A3376">
        <w:rPr>
          <w:rFonts w:ascii="Leelawadee" w:hAnsi="Leelawadee" w:cs="Leelawadee"/>
          <w:sz w:val="22"/>
          <w:szCs w:val="22"/>
          <w:lang w:val="es-419"/>
        </w:rPr>
        <w:t xml:space="preserve"> 049-2025, ante el Tribunal de Sentencia de Siguatepeque, contra dos indígenas Lencas por el mismo delito; y (</w:t>
      </w:r>
      <w:proofErr w:type="spellStart"/>
      <w:r w:rsidRPr="005A3376">
        <w:rPr>
          <w:rFonts w:ascii="Leelawadee" w:hAnsi="Leelawadee" w:cs="Leelawadee"/>
          <w:sz w:val="22"/>
          <w:szCs w:val="22"/>
          <w:lang w:val="es-419"/>
        </w:rPr>
        <w:t>iii</w:t>
      </w:r>
      <w:proofErr w:type="spellEnd"/>
      <w:r w:rsidRPr="005A3376">
        <w:rPr>
          <w:rFonts w:ascii="Leelawadee" w:hAnsi="Leelawadee" w:cs="Leelawadee"/>
          <w:sz w:val="22"/>
          <w:szCs w:val="22"/>
          <w:lang w:val="es-419"/>
        </w:rPr>
        <w:t>) el expediente N</w:t>
      </w:r>
      <w:r>
        <w:rPr>
          <w:rFonts w:ascii="Leelawadee" w:hAnsi="Leelawadee" w:cs="Leelawadee"/>
          <w:sz w:val="22"/>
          <w:szCs w:val="22"/>
          <w:lang w:val="es-419"/>
        </w:rPr>
        <w:t>o.</w:t>
      </w:r>
      <w:r w:rsidRPr="005A3376">
        <w:rPr>
          <w:rFonts w:ascii="Leelawadee" w:hAnsi="Leelawadee" w:cs="Leelawadee"/>
          <w:sz w:val="22"/>
          <w:szCs w:val="22"/>
          <w:lang w:val="es-419"/>
        </w:rPr>
        <w:t xml:space="preserve"> 310-2025, ante el mismo juzgado de criminalidad organizada, contra dos indígenas Lencas a quienes se imputa el delito de asociación para delinquir, calificación que constituye un salto significativo e injustificado en la criminalización de los pueblos indígenas. De especial gravedad resulta que al menos cinco personas indígenas Lencas se encuentran actualmente en prisión preventiva en el marco de estos procesos.</w:t>
      </w:r>
    </w:p>
    <w:p w14:paraId="22B0686E" w14:textId="44D3FD5D" w:rsidR="00C87E7C" w:rsidRPr="00E2092E" w:rsidRDefault="005A3376" w:rsidP="00E2092E">
      <w:pPr>
        <w:spacing w:after="120" w:line="276" w:lineRule="auto"/>
        <w:jc w:val="both"/>
        <w:rPr>
          <w:rFonts w:ascii="Leelawadee" w:hAnsi="Leelawadee" w:cs="Leelawadee"/>
          <w:sz w:val="22"/>
          <w:szCs w:val="22"/>
          <w:lang w:val="es-419"/>
        </w:rPr>
      </w:pPr>
      <w:r w:rsidRPr="005A3376">
        <w:rPr>
          <w:rFonts w:ascii="Leelawadee" w:hAnsi="Leelawadee" w:cs="Leelawadee"/>
          <w:sz w:val="22"/>
          <w:szCs w:val="22"/>
          <w:lang w:val="es-419"/>
        </w:rPr>
        <w:t xml:space="preserve">43. </w:t>
      </w:r>
      <w:r w:rsidRPr="00E2092E">
        <w:rPr>
          <w:rFonts w:ascii="Leelawadee" w:hAnsi="Leelawadee" w:cs="Leelawadee"/>
          <w:sz w:val="22"/>
          <w:szCs w:val="22"/>
          <w:lang w:val="es-419"/>
        </w:rPr>
        <w:t xml:space="preserve">La instrucción de causas </w:t>
      </w:r>
      <w:r w:rsidR="00044C3C">
        <w:rPr>
          <w:rFonts w:ascii="Leelawadee" w:hAnsi="Leelawadee" w:cs="Leelawadee"/>
          <w:sz w:val="22"/>
          <w:szCs w:val="22"/>
          <w:lang w:val="es-419"/>
        </w:rPr>
        <w:t>por el delito de usurpación,</w:t>
      </w:r>
      <w:r w:rsidRPr="00E2092E">
        <w:rPr>
          <w:rFonts w:ascii="Leelawadee" w:hAnsi="Leelawadee" w:cs="Leelawadee"/>
          <w:sz w:val="22"/>
          <w:szCs w:val="22"/>
          <w:lang w:val="es-419"/>
        </w:rPr>
        <w:t xml:space="preserve"> vinculados al ejercicio de derechos territoriales</w:t>
      </w:r>
      <w:r w:rsidR="00044C3C">
        <w:rPr>
          <w:rFonts w:ascii="Leelawadee" w:hAnsi="Leelawadee" w:cs="Leelawadee"/>
          <w:sz w:val="22"/>
          <w:szCs w:val="22"/>
          <w:lang w:val="es-419"/>
        </w:rPr>
        <w:t>,</w:t>
      </w:r>
      <w:r w:rsidRPr="00E2092E">
        <w:rPr>
          <w:rFonts w:ascii="Leelawadee" w:hAnsi="Leelawadee" w:cs="Leelawadee"/>
          <w:sz w:val="22"/>
          <w:szCs w:val="22"/>
          <w:lang w:val="es-419"/>
        </w:rPr>
        <w:t xml:space="preserve"> ante juzgados especializados en criminalidad organizada configura,</w:t>
      </w:r>
      <w:r w:rsidR="00044C3C">
        <w:rPr>
          <w:rFonts w:ascii="Leelawadee" w:hAnsi="Leelawadee" w:cs="Leelawadee"/>
          <w:sz w:val="22"/>
          <w:szCs w:val="22"/>
          <w:lang w:val="es-419"/>
        </w:rPr>
        <w:t xml:space="preserve"> una práctica y estigma </w:t>
      </w:r>
      <w:r w:rsidRPr="00E2092E">
        <w:rPr>
          <w:rFonts w:ascii="Leelawadee" w:hAnsi="Leelawadee" w:cs="Leelawadee"/>
          <w:sz w:val="22"/>
          <w:szCs w:val="22"/>
          <w:lang w:val="es-419"/>
        </w:rPr>
        <w:t xml:space="preserve">incompatible con la garantía del juez natural y con la igualdad ante </w:t>
      </w:r>
      <w:r w:rsidR="00C87E7C">
        <w:rPr>
          <w:rFonts w:ascii="Leelawadee" w:hAnsi="Leelawadee" w:cs="Leelawadee"/>
          <w:sz w:val="22"/>
          <w:szCs w:val="22"/>
          <w:lang w:val="es-419"/>
        </w:rPr>
        <w:t xml:space="preserve">la justicia </w:t>
      </w:r>
      <w:r w:rsidRPr="00E2092E">
        <w:rPr>
          <w:rFonts w:ascii="Leelawadee" w:hAnsi="Leelawadee" w:cs="Leelawadee"/>
          <w:sz w:val="22"/>
          <w:szCs w:val="22"/>
          <w:lang w:val="es-419"/>
        </w:rPr>
        <w:t>(art</w:t>
      </w:r>
      <w:r w:rsidR="00044C3C">
        <w:rPr>
          <w:rFonts w:ascii="Leelawadee" w:hAnsi="Leelawadee" w:cs="Leelawadee"/>
          <w:sz w:val="22"/>
          <w:szCs w:val="22"/>
          <w:lang w:val="es-419"/>
        </w:rPr>
        <w:t>ículo</w:t>
      </w:r>
      <w:r w:rsidRPr="00E2092E">
        <w:rPr>
          <w:rFonts w:ascii="Leelawadee" w:hAnsi="Leelawadee" w:cs="Leelawadee"/>
          <w:sz w:val="22"/>
          <w:szCs w:val="22"/>
          <w:lang w:val="es-419"/>
        </w:rPr>
        <w:t xml:space="preserve"> 5</w:t>
      </w:r>
      <w:r w:rsidR="00044C3C">
        <w:rPr>
          <w:rFonts w:ascii="Leelawadee" w:hAnsi="Leelawadee" w:cs="Leelawadee"/>
          <w:sz w:val="22"/>
          <w:szCs w:val="22"/>
          <w:lang w:val="es-419"/>
        </w:rPr>
        <w:t xml:space="preserve"> inciso </w:t>
      </w:r>
      <w:r w:rsidRPr="00E2092E">
        <w:rPr>
          <w:rFonts w:ascii="Leelawadee" w:hAnsi="Leelawadee" w:cs="Leelawadee"/>
          <w:sz w:val="22"/>
          <w:szCs w:val="22"/>
          <w:lang w:val="es-419"/>
        </w:rPr>
        <w:t xml:space="preserve">a). La prisión preventiva impuesta en tales causas invierte su carácter excepcional y </w:t>
      </w:r>
      <w:r w:rsidR="00C87E7C">
        <w:rPr>
          <w:rFonts w:ascii="Leelawadee" w:hAnsi="Leelawadee" w:cs="Leelawadee"/>
          <w:sz w:val="22"/>
          <w:szCs w:val="22"/>
          <w:lang w:val="es-419"/>
        </w:rPr>
        <w:t xml:space="preserve">quebranta </w:t>
      </w:r>
      <w:r w:rsidRPr="00E2092E">
        <w:rPr>
          <w:rFonts w:ascii="Leelawadee" w:hAnsi="Leelawadee" w:cs="Leelawadee"/>
          <w:sz w:val="22"/>
          <w:szCs w:val="22"/>
          <w:lang w:val="es-419"/>
        </w:rPr>
        <w:t>el mandato del artículo 10 del Convenio 169</w:t>
      </w:r>
      <w:r w:rsidR="00044C3C">
        <w:rPr>
          <w:rFonts w:ascii="Leelawadee" w:hAnsi="Leelawadee" w:cs="Leelawadee"/>
          <w:sz w:val="22"/>
          <w:szCs w:val="22"/>
          <w:lang w:val="es-419"/>
        </w:rPr>
        <w:t xml:space="preserve"> de la OIT</w:t>
      </w:r>
      <w:r w:rsidRPr="00E2092E">
        <w:rPr>
          <w:rFonts w:ascii="Leelawadee" w:hAnsi="Leelawadee" w:cs="Leelawadee"/>
          <w:sz w:val="22"/>
          <w:szCs w:val="22"/>
          <w:lang w:val="es-419"/>
        </w:rPr>
        <w:t>, conforme al cual, tratándose de personas indígenas, deben preferirse sanciones y medidas distintas del encarcelamiento</w:t>
      </w:r>
      <w:r w:rsidR="00044C3C">
        <w:rPr>
          <w:rFonts w:ascii="Leelawadee" w:hAnsi="Leelawadee" w:cs="Leelawadee"/>
          <w:sz w:val="22"/>
          <w:szCs w:val="22"/>
          <w:lang w:val="es-419"/>
        </w:rPr>
        <w:t xml:space="preserve">. </w:t>
      </w:r>
      <w:r w:rsidRPr="00E2092E">
        <w:rPr>
          <w:rFonts w:ascii="Leelawadee" w:hAnsi="Leelawadee" w:cs="Leelawadee"/>
          <w:sz w:val="22"/>
          <w:szCs w:val="22"/>
          <w:lang w:val="es-419"/>
        </w:rPr>
        <w:t xml:space="preserve"> La Recomendación general N</w:t>
      </w:r>
      <w:r w:rsidR="00044C3C">
        <w:rPr>
          <w:rFonts w:ascii="Leelawadee" w:hAnsi="Leelawadee" w:cs="Leelawadee"/>
          <w:sz w:val="22"/>
          <w:szCs w:val="22"/>
          <w:lang w:val="es-419"/>
        </w:rPr>
        <w:t>o.</w:t>
      </w:r>
      <w:r w:rsidRPr="00E2092E">
        <w:rPr>
          <w:rFonts w:ascii="Leelawadee" w:hAnsi="Leelawadee" w:cs="Leelawadee"/>
          <w:sz w:val="22"/>
          <w:szCs w:val="22"/>
          <w:lang w:val="es-419"/>
        </w:rPr>
        <w:t xml:space="preserve"> </w:t>
      </w:r>
      <w:r w:rsidR="00044C3C">
        <w:rPr>
          <w:rFonts w:ascii="Leelawadee" w:hAnsi="Leelawadee" w:cs="Leelawadee"/>
          <w:sz w:val="22"/>
          <w:szCs w:val="22"/>
          <w:lang w:val="es-419"/>
        </w:rPr>
        <w:t xml:space="preserve">31 </w:t>
      </w:r>
      <w:r w:rsidRPr="00E2092E">
        <w:rPr>
          <w:rFonts w:ascii="Leelawadee" w:hAnsi="Leelawadee" w:cs="Leelawadee"/>
          <w:sz w:val="22"/>
          <w:szCs w:val="22"/>
          <w:lang w:val="es-419"/>
        </w:rPr>
        <w:t xml:space="preserve">insta a los Estados a verificar, como indicador de discriminación, el número desproporcionado de personas pertenecientes a pueblos indígenas sometidas a persecución penal y a </w:t>
      </w:r>
      <w:r w:rsidR="00044C3C">
        <w:rPr>
          <w:rFonts w:ascii="Leelawadee" w:hAnsi="Leelawadee" w:cs="Leelawadee"/>
          <w:sz w:val="22"/>
          <w:szCs w:val="22"/>
          <w:lang w:val="es-419"/>
        </w:rPr>
        <w:t xml:space="preserve">prisión </w:t>
      </w:r>
      <w:r w:rsidRPr="00E2092E">
        <w:rPr>
          <w:rFonts w:ascii="Leelawadee" w:hAnsi="Leelawadee" w:cs="Leelawadee"/>
          <w:sz w:val="22"/>
          <w:szCs w:val="22"/>
          <w:lang w:val="es-419"/>
        </w:rPr>
        <w:t xml:space="preserve">preventiva: los tres expedientes citados, con </w:t>
      </w:r>
      <w:r w:rsidR="00044C3C">
        <w:rPr>
          <w:rFonts w:ascii="Leelawadee" w:hAnsi="Leelawadee" w:cs="Leelawadee"/>
          <w:sz w:val="22"/>
          <w:szCs w:val="22"/>
          <w:lang w:val="es-419"/>
        </w:rPr>
        <w:t xml:space="preserve">más de 40 </w:t>
      </w:r>
      <w:r w:rsidRPr="00E2092E">
        <w:rPr>
          <w:rFonts w:ascii="Leelawadee" w:hAnsi="Leelawadee" w:cs="Leelawadee"/>
          <w:sz w:val="22"/>
          <w:szCs w:val="22"/>
          <w:lang w:val="es-419"/>
        </w:rPr>
        <w:t>personas procesadas y al menos cinco privadas de libertad por conflictos</w:t>
      </w:r>
      <w:r w:rsidR="00044C3C">
        <w:rPr>
          <w:rFonts w:ascii="Leelawadee" w:hAnsi="Leelawadee" w:cs="Leelawadee"/>
          <w:sz w:val="22"/>
          <w:szCs w:val="22"/>
          <w:lang w:val="es-419"/>
        </w:rPr>
        <w:t xml:space="preserve"> territoriales</w:t>
      </w:r>
      <w:r w:rsidRPr="00E2092E">
        <w:rPr>
          <w:rFonts w:ascii="Leelawadee" w:hAnsi="Leelawadee" w:cs="Leelawadee"/>
          <w:sz w:val="22"/>
          <w:szCs w:val="22"/>
          <w:lang w:val="es-419"/>
        </w:rPr>
        <w:t>, son exactamente ese indicador.</w:t>
      </w:r>
    </w:p>
    <w:p w14:paraId="110EE292" w14:textId="24256CCB" w:rsidR="00D41B41" w:rsidRPr="00E2092E" w:rsidRDefault="009F2540" w:rsidP="00E2092E">
      <w:pPr>
        <w:pStyle w:val="Ttulo1"/>
        <w:spacing w:before="240" w:after="160" w:line="276" w:lineRule="auto"/>
        <w:rPr>
          <w:rFonts w:ascii="Leelawadee" w:hAnsi="Leelawadee" w:cs="Leelawadee"/>
          <w:sz w:val="22"/>
          <w:szCs w:val="22"/>
          <w:lang w:val="es-419"/>
        </w:rPr>
      </w:pPr>
      <w:r w:rsidRPr="00E2092E">
        <w:rPr>
          <w:rFonts w:ascii="Leelawadee" w:hAnsi="Leelawadee" w:cs="Leelawadee"/>
          <w:b/>
          <w:bCs/>
          <w:caps/>
          <w:color w:val="000000"/>
          <w:sz w:val="22"/>
          <w:szCs w:val="22"/>
          <w:lang w:val="es-419"/>
        </w:rPr>
        <w:t xml:space="preserve">VII. </w:t>
      </w:r>
      <w:r w:rsidR="00C87E7C">
        <w:rPr>
          <w:rFonts w:ascii="Leelawadee" w:hAnsi="Leelawadee" w:cs="Leelawadee"/>
          <w:b/>
          <w:bCs/>
          <w:caps/>
          <w:color w:val="000000"/>
          <w:sz w:val="22"/>
          <w:szCs w:val="22"/>
          <w:lang w:val="es-419"/>
        </w:rPr>
        <w:t>PETICIONES CONCRETAS</w:t>
      </w:r>
    </w:p>
    <w:p w14:paraId="0316BF9A" w14:textId="6170AB88" w:rsidR="00D41B41" w:rsidRPr="00E2092E" w:rsidRDefault="002A4A05" w:rsidP="00E2092E">
      <w:pPr>
        <w:spacing w:after="120" w:line="276" w:lineRule="auto"/>
        <w:jc w:val="both"/>
        <w:rPr>
          <w:rFonts w:ascii="Leelawadee" w:hAnsi="Leelawadee" w:cs="Leelawadee"/>
          <w:sz w:val="22"/>
          <w:szCs w:val="22"/>
          <w:lang w:val="es-419"/>
        </w:rPr>
      </w:pPr>
      <w:r>
        <w:rPr>
          <w:rFonts w:ascii="Leelawadee" w:hAnsi="Leelawadee" w:cs="Leelawadee"/>
          <w:sz w:val="22"/>
          <w:szCs w:val="22"/>
          <w:lang w:val="es-419"/>
        </w:rPr>
        <w:t>4</w:t>
      </w:r>
      <w:r w:rsidR="00044C3C">
        <w:rPr>
          <w:rFonts w:ascii="Leelawadee" w:hAnsi="Leelawadee" w:cs="Leelawadee"/>
          <w:sz w:val="22"/>
          <w:szCs w:val="22"/>
          <w:lang w:val="es-419"/>
        </w:rPr>
        <w:t>4</w:t>
      </w:r>
      <w:r>
        <w:rPr>
          <w:rFonts w:ascii="Leelawadee" w:hAnsi="Leelawadee" w:cs="Leelawadee"/>
          <w:sz w:val="22"/>
          <w:szCs w:val="22"/>
          <w:lang w:val="es-419"/>
        </w:rPr>
        <w:t xml:space="preserve">. </w:t>
      </w:r>
      <w:r w:rsidRPr="00E2092E">
        <w:rPr>
          <w:rFonts w:ascii="Leelawadee" w:hAnsi="Leelawadee" w:cs="Leelawadee"/>
          <w:sz w:val="22"/>
          <w:szCs w:val="22"/>
          <w:lang w:val="es-419"/>
        </w:rPr>
        <w:t>Las organizaciones presentantes solicita</w:t>
      </w:r>
      <w:r w:rsidR="00C87E7C">
        <w:rPr>
          <w:rFonts w:ascii="Leelawadee" w:hAnsi="Leelawadee" w:cs="Leelawadee"/>
          <w:sz w:val="22"/>
          <w:szCs w:val="22"/>
          <w:lang w:val="es-419"/>
        </w:rPr>
        <w:t>mos</w:t>
      </w:r>
      <w:r w:rsidRPr="00E2092E">
        <w:rPr>
          <w:rFonts w:ascii="Leelawadee" w:hAnsi="Leelawadee" w:cs="Leelawadee"/>
          <w:sz w:val="22"/>
          <w:szCs w:val="22"/>
          <w:lang w:val="es-419"/>
        </w:rPr>
        <w:t xml:space="preserve"> al Comité que recomiende al Estado de Honduras las siguientes medidas</w:t>
      </w:r>
      <w:r w:rsidR="00C87E7C">
        <w:rPr>
          <w:rFonts w:ascii="Leelawadee" w:hAnsi="Leelawadee" w:cs="Leelawadee"/>
          <w:sz w:val="22"/>
          <w:szCs w:val="22"/>
          <w:lang w:val="es-419"/>
        </w:rPr>
        <w:t xml:space="preserve">: </w:t>
      </w:r>
    </w:p>
    <w:p w14:paraId="00AD5598" w14:textId="03F03843" w:rsidR="00D41B41" w:rsidRPr="00E2092E" w:rsidRDefault="009F2540" w:rsidP="00195157">
      <w:pPr>
        <w:spacing w:after="120" w:line="276" w:lineRule="auto"/>
        <w:ind w:left="284"/>
        <w:jc w:val="both"/>
        <w:rPr>
          <w:rFonts w:ascii="Leelawadee" w:hAnsi="Leelawadee" w:cs="Leelawadee"/>
          <w:sz w:val="22"/>
          <w:szCs w:val="22"/>
          <w:lang w:val="es-419"/>
        </w:rPr>
      </w:pPr>
      <w:r w:rsidRPr="00E2092E">
        <w:rPr>
          <w:rFonts w:ascii="Leelawadee" w:hAnsi="Leelawadee" w:cs="Leelawadee"/>
          <w:sz w:val="22"/>
          <w:szCs w:val="22"/>
          <w:lang w:val="es-419"/>
        </w:rPr>
        <w:t xml:space="preserve">a) </w:t>
      </w:r>
      <w:r w:rsidRPr="00E2092E">
        <w:rPr>
          <w:rFonts w:ascii="Leelawadee" w:hAnsi="Leelawadee" w:cs="Leelawadee"/>
          <w:b/>
          <w:bCs/>
          <w:sz w:val="22"/>
          <w:szCs w:val="22"/>
          <w:lang w:val="es-419"/>
        </w:rPr>
        <w:t>Reconocimiento por autoidentificación.</w:t>
      </w:r>
      <w:r w:rsidRPr="00E2092E">
        <w:rPr>
          <w:rFonts w:ascii="Leelawadee" w:hAnsi="Leelawadee" w:cs="Leelawadee"/>
          <w:sz w:val="22"/>
          <w:szCs w:val="22"/>
          <w:lang w:val="es-419"/>
        </w:rPr>
        <w:t xml:space="preserve"> Instruir por escrito</w:t>
      </w:r>
      <w:r w:rsidR="00C87E7C">
        <w:rPr>
          <w:rFonts w:ascii="Leelawadee" w:hAnsi="Leelawadee" w:cs="Leelawadee"/>
          <w:sz w:val="22"/>
          <w:szCs w:val="22"/>
          <w:lang w:val="es-419"/>
        </w:rPr>
        <w:t xml:space="preserve"> </w:t>
      </w:r>
      <w:r w:rsidRPr="00E2092E">
        <w:rPr>
          <w:rFonts w:ascii="Leelawadee" w:hAnsi="Leelawadee" w:cs="Leelawadee"/>
          <w:sz w:val="22"/>
          <w:szCs w:val="22"/>
          <w:lang w:val="es-419"/>
        </w:rPr>
        <w:t xml:space="preserve">al </w:t>
      </w:r>
      <w:r w:rsidR="00195157">
        <w:rPr>
          <w:rFonts w:ascii="Leelawadee" w:hAnsi="Leelawadee" w:cs="Leelawadee"/>
          <w:sz w:val="22"/>
          <w:szCs w:val="22"/>
          <w:lang w:val="es-419"/>
        </w:rPr>
        <w:t xml:space="preserve">Estado de Honduras </w:t>
      </w:r>
      <w:r w:rsidRPr="00E2092E">
        <w:rPr>
          <w:rFonts w:ascii="Leelawadee" w:hAnsi="Leelawadee" w:cs="Leelawadee"/>
          <w:sz w:val="22"/>
          <w:szCs w:val="22"/>
          <w:lang w:val="es-419"/>
        </w:rPr>
        <w:t>que la condición indígena de una persona o comunidad no puede condicionarse a su inscripción en la DIRRSAC ni en registro administrativo alguno, debiendo estarse al criterio de autoidentificación conforme al Convenio 169 de la OIT y a la Recomendación general</w:t>
      </w:r>
      <w:r w:rsidR="00C87E7C">
        <w:rPr>
          <w:rFonts w:ascii="Leelawadee" w:hAnsi="Leelawadee" w:cs="Leelawadee"/>
          <w:sz w:val="22"/>
          <w:szCs w:val="22"/>
          <w:lang w:val="es-419"/>
        </w:rPr>
        <w:t>es</w:t>
      </w:r>
      <w:r w:rsidRPr="00E2092E">
        <w:rPr>
          <w:rFonts w:ascii="Leelawadee" w:hAnsi="Leelawadee" w:cs="Leelawadee"/>
          <w:sz w:val="22"/>
          <w:szCs w:val="22"/>
          <w:lang w:val="es-419"/>
        </w:rPr>
        <w:t>.</w:t>
      </w:r>
    </w:p>
    <w:p w14:paraId="14B9496A" w14:textId="575A78BA" w:rsidR="00D41B41" w:rsidRPr="00E2092E" w:rsidRDefault="009F2540" w:rsidP="00195157">
      <w:pPr>
        <w:spacing w:after="120" w:line="276" w:lineRule="auto"/>
        <w:ind w:left="284"/>
        <w:jc w:val="both"/>
        <w:rPr>
          <w:rFonts w:ascii="Leelawadee" w:hAnsi="Leelawadee" w:cs="Leelawadee"/>
          <w:sz w:val="22"/>
          <w:szCs w:val="22"/>
          <w:lang w:val="es-419"/>
        </w:rPr>
      </w:pPr>
      <w:r w:rsidRPr="00E2092E">
        <w:rPr>
          <w:rFonts w:ascii="Leelawadee" w:hAnsi="Leelawadee" w:cs="Leelawadee"/>
          <w:sz w:val="22"/>
          <w:szCs w:val="22"/>
          <w:lang w:val="es-419"/>
        </w:rPr>
        <w:lastRenderedPageBreak/>
        <w:t xml:space="preserve">b) </w:t>
      </w:r>
      <w:r w:rsidRPr="00E2092E">
        <w:rPr>
          <w:rFonts w:ascii="Leelawadee" w:hAnsi="Leelawadee" w:cs="Leelawadee"/>
          <w:b/>
          <w:bCs/>
          <w:sz w:val="22"/>
          <w:szCs w:val="22"/>
          <w:lang w:val="es-419"/>
        </w:rPr>
        <w:t>Consulta previa, libre e informada.</w:t>
      </w:r>
      <w:r w:rsidRPr="00E2092E">
        <w:rPr>
          <w:rFonts w:ascii="Leelawadee" w:hAnsi="Leelawadee" w:cs="Leelawadee"/>
          <w:sz w:val="22"/>
          <w:szCs w:val="22"/>
          <w:lang w:val="es-419"/>
        </w:rPr>
        <w:t xml:space="preserve"> </w:t>
      </w:r>
      <w:r w:rsidR="00C87E7C">
        <w:rPr>
          <w:rFonts w:ascii="Leelawadee" w:hAnsi="Leelawadee" w:cs="Leelawadee"/>
          <w:sz w:val="22"/>
          <w:szCs w:val="22"/>
          <w:lang w:val="es-419"/>
        </w:rPr>
        <w:t>S</w:t>
      </w:r>
      <w:r w:rsidRPr="00E2092E">
        <w:rPr>
          <w:rFonts w:ascii="Leelawadee" w:hAnsi="Leelawadee" w:cs="Leelawadee"/>
          <w:sz w:val="22"/>
          <w:szCs w:val="22"/>
          <w:lang w:val="es-419"/>
        </w:rPr>
        <w:t>uspender los actos administrativos que autoricen el aprovechamiento de recursos en territorios indígenas sin consulta, prohibiendo expresamente la aplicación de la afirmativa ficta o de cualquier forma de silencio administrativo positivo a solicitudes que afecten territorios de pueblos indígenas.</w:t>
      </w:r>
      <w:r w:rsidR="00195157">
        <w:rPr>
          <w:rFonts w:ascii="Leelawadee" w:hAnsi="Leelawadee" w:cs="Leelawadee"/>
          <w:sz w:val="22"/>
          <w:szCs w:val="22"/>
          <w:lang w:val="es-419"/>
        </w:rPr>
        <w:t xml:space="preserve"> Que se proceda con la resolución de las peticiones de impugnación en contra de los permisos que afectan los derechos de los pueblos indígenas, como el Maya Chortí y Pueblo Tolupán. </w:t>
      </w:r>
    </w:p>
    <w:p w14:paraId="3CC113D0" w14:textId="7802115E" w:rsidR="00D41B41" w:rsidRPr="00E2092E" w:rsidRDefault="00C87E7C" w:rsidP="00195157">
      <w:pPr>
        <w:spacing w:after="120" w:line="276" w:lineRule="auto"/>
        <w:ind w:left="284"/>
        <w:jc w:val="both"/>
        <w:rPr>
          <w:rFonts w:ascii="Leelawadee" w:hAnsi="Leelawadee" w:cs="Leelawadee"/>
          <w:sz w:val="22"/>
          <w:szCs w:val="22"/>
          <w:lang w:val="es-419"/>
        </w:rPr>
      </w:pPr>
      <w:r>
        <w:rPr>
          <w:rFonts w:ascii="Leelawadee" w:hAnsi="Leelawadee" w:cs="Leelawadee"/>
          <w:sz w:val="22"/>
          <w:szCs w:val="22"/>
          <w:lang w:val="es-419"/>
        </w:rPr>
        <w:t>c</w:t>
      </w:r>
      <w:r w:rsidRPr="00E2092E">
        <w:rPr>
          <w:rFonts w:ascii="Leelawadee" w:hAnsi="Leelawadee" w:cs="Leelawadee"/>
          <w:sz w:val="22"/>
          <w:szCs w:val="22"/>
          <w:lang w:val="es-419"/>
        </w:rPr>
        <w:t xml:space="preserve">) </w:t>
      </w:r>
      <w:r w:rsidRPr="00E2092E">
        <w:rPr>
          <w:rFonts w:ascii="Leelawadee" w:hAnsi="Leelawadee" w:cs="Leelawadee"/>
          <w:b/>
          <w:bCs/>
          <w:sz w:val="22"/>
          <w:szCs w:val="22"/>
          <w:lang w:val="es-419"/>
        </w:rPr>
        <w:t>Cese de la criminalización.</w:t>
      </w:r>
      <w:r w:rsidRPr="00E2092E">
        <w:rPr>
          <w:rFonts w:ascii="Leelawadee" w:hAnsi="Leelawadee" w:cs="Leelawadee"/>
          <w:sz w:val="22"/>
          <w:szCs w:val="22"/>
          <w:lang w:val="es-419"/>
        </w:rPr>
        <w:t xml:space="preserve"> </w:t>
      </w:r>
      <w:r w:rsidR="00195157">
        <w:rPr>
          <w:rFonts w:ascii="Leelawadee" w:hAnsi="Leelawadee" w:cs="Leelawadee"/>
          <w:sz w:val="22"/>
          <w:szCs w:val="22"/>
          <w:lang w:val="es-419"/>
        </w:rPr>
        <w:t xml:space="preserve">Recomendar al Estado de Honduras, para que el </w:t>
      </w:r>
      <w:r w:rsidRPr="00E2092E">
        <w:rPr>
          <w:rFonts w:ascii="Leelawadee" w:hAnsi="Leelawadee" w:cs="Leelawadee"/>
          <w:sz w:val="22"/>
          <w:szCs w:val="22"/>
          <w:lang w:val="es-419"/>
        </w:rPr>
        <w:t xml:space="preserve">Ministerio Público </w:t>
      </w:r>
      <w:r w:rsidR="00195157">
        <w:rPr>
          <w:rFonts w:ascii="Leelawadee" w:hAnsi="Leelawadee" w:cs="Leelawadee"/>
          <w:sz w:val="22"/>
          <w:szCs w:val="22"/>
          <w:lang w:val="es-419"/>
        </w:rPr>
        <w:t xml:space="preserve">revise </w:t>
      </w:r>
      <w:r w:rsidRPr="00E2092E">
        <w:rPr>
          <w:rFonts w:ascii="Leelawadee" w:hAnsi="Leelawadee" w:cs="Leelawadee"/>
          <w:sz w:val="22"/>
          <w:szCs w:val="22"/>
          <w:lang w:val="es-419"/>
        </w:rPr>
        <w:t>todos los procesos penales por usurpación seguidos contra personas indígenas en contextos de reivindicación territorial</w:t>
      </w:r>
      <w:r>
        <w:rPr>
          <w:rFonts w:ascii="Leelawadee" w:hAnsi="Leelawadee" w:cs="Leelawadee"/>
          <w:sz w:val="22"/>
          <w:szCs w:val="22"/>
          <w:lang w:val="es-419"/>
        </w:rPr>
        <w:t xml:space="preserve">. Así como </w:t>
      </w:r>
      <w:r w:rsidRPr="00E2092E">
        <w:rPr>
          <w:rFonts w:ascii="Leelawadee" w:hAnsi="Leelawadee" w:cs="Leelawadee"/>
          <w:sz w:val="22"/>
          <w:szCs w:val="22"/>
          <w:lang w:val="es-419"/>
        </w:rPr>
        <w:t xml:space="preserve">el cese de la </w:t>
      </w:r>
      <w:r>
        <w:rPr>
          <w:rFonts w:ascii="Leelawadee" w:hAnsi="Leelawadee" w:cs="Leelawadee"/>
          <w:sz w:val="22"/>
          <w:szCs w:val="22"/>
          <w:lang w:val="es-419"/>
        </w:rPr>
        <w:t xml:space="preserve">imposición de la </w:t>
      </w:r>
      <w:r w:rsidRPr="00E2092E">
        <w:rPr>
          <w:rFonts w:ascii="Leelawadee" w:hAnsi="Leelawadee" w:cs="Leelawadee"/>
          <w:sz w:val="22"/>
          <w:szCs w:val="22"/>
          <w:lang w:val="es-419"/>
        </w:rPr>
        <w:t xml:space="preserve">prisión preventiva en </w:t>
      </w:r>
      <w:r>
        <w:rPr>
          <w:rFonts w:ascii="Leelawadee" w:hAnsi="Leelawadee" w:cs="Leelawadee"/>
          <w:sz w:val="22"/>
          <w:szCs w:val="22"/>
          <w:lang w:val="es-419"/>
        </w:rPr>
        <w:t xml:space="preserve">estas </w:t>
      </w:r>
      <w:r w:rsidRPr="00E2092E">
        <w:rPr>
          <w:rFonts w:ascii="Leelawadee" w:hAnsi="Leelawadee" w:cs="Leelawadee"/>
          <w:sz w:val="22"/>
          <w:szCs w:val="22"/>
          <w:lang w:val="es-419"/>
        </w:rPr>
        <w:t>causas</w:t>
      </w:r>
      <w:r>
        <w:rPr>
          <w:rFonts w:ascii="Leelawadee" w:hAnsi="Leelawadee" w:cs="Leelawadee"/>
          <w:sz w:val="22"/>
          <w:szCs w:val="22"/>
          <w:lang w:val="es-419"/>
        </w:rPr>
        <w:t>. Además,</w:t>
      </w:r>
      <w:r w:rsidRPr="00E2092E">
        <w:rPr>
          <w:rFonts w:ascii="Leelawadee" w:hAnsi="Leelawadee" w:cs="Leelawadee"/>
          <w:sz w:val="22"/>
          <w:szCs w:val="22"/>
          <w:lang w:val="es-419"/>
        </w:rPr>
        <w:t xml:space="preserve"> la remisión de los procesos instruidos ante juzgados de criminalidad organizada a los jueces naturales competentes.</w:t>
      </w:r>
    </w:p>
    <w:p w14:paraId="5621E0C0" w14:textId="3459CCE0" w:rsidR="00D41B41" w:rsidRPr="00E2092E" w:rsidRDefault="00C87E7C" w:rsidP="00195157">
      <w:pPr>
        <w:spacing w:after="120" w:line="276" w:lineRule="auto"/>
        <w:ind w:left="284"/>
        <w:jc w:val="both"/>
        <w:rPr>
          <w:rFonts w:ascii="Leelawadee" w:hAnsi="Leelawadee" w:cs="Leelawadee"/>
          <w:sz w:val="22"/>
          <w:szCs w:val="22"/>
          <w:lang w:val="es-419"/>
        </w:rPr>
      </w:pPr>
      <w:r>
        <w:rPr>
          <w:rFonts w:ascii="Leelawadee" w:hAnsi="Leelawadee" w:cs="Leelawadee"/>
          <w:sz w:val="22"/>
          <w:szCs w:val="22"/>
          <w:lang w:val="es-419"/>
        </w:rPr>
        <w:t>d</w:t>
      </w:r>
      <w:r w:rsidRPr="00E2092E">
        <w:rPr>
          <w:rFonts w:ascii="Leelawadee" w:hAnsi="Leelawadee" w:cs="Leelawadee"/>
          <w:sz w:val="22"/>
          <w:szCs w:val="22"/>
          <w:lang w:val="es-419"/>
        </w:rPr>
        <w:t xml:space="preserve">) </w:t>
      </w:r>
      <w:r w:rsidRPr="00E2092E">
        <w:rPr>
          <w:rFonts w:ascii="Leelawadee" w:hAnsi="Leelawadee" w:cs="Leelawadee"/>
          <w:b/>
          <w:bCs/>
          <w:sz w:val="22"/>
          <w:szCs w:val="22"/>
          <w:lang w:val="es-419"/>
        </w:rPr>
        <w:t>Protección de personas defensoras.</w:t>
      </w:r>
      <w:r w:rsidRPr="00E2092E">
        <w:rPr>
          <w:rFonts w:ascii="Leelawadee" w:hAnsi="Leelawadee" w:cs="Leelawadee"/>
          <w:sz w:val="22"/>
          <w:szCs w:val="22"/>
          <w:lang w:val="es-419"/>
        </w:rPr>
        <w:t xml:space="preserve"> </w:t>
      </w:r>
      <w:r>
        <w:rPr>
          <w:rFonts w:ascii="Leelawadee" w:hAnsi="Leelawadee" w:cs="Leelawadee"/>
          <w:sz w:val="22"/>
          <w:szCs w:val="22"/>
          <w:lang w:val="es-419"/>
        </w:rPr>
        <w:t>I</w:t>
      </w:r>
      <w:r w:rsidRPr="00E2092E">
        <w:rPr>
          <w:rFonts w:ascii="Leelawadee" w:hAnsi="Leelawadee" w:cs="Leelawadee"/>
          <w:sz w:val="22"/>
          <w:szCs w:val="22"/>
          <w:lang w:val="es-419"/>
        </w:rPr>
        <w:t>nvestigar la filtración de información confidencial de las medidas de protección</w:t>
      </w:r>
      <w:r w:rsidR="00195157">
        <w:rPr>
          <w:rFonts w:ascii="Leelawadee" w:hAnsi="Leelawadee" w:cs="Leelawadee"/>
          <w:sz w:val="22"/>
          <w:szCs w:val="22"/>
          <w:lang w:val="es-419"/>
        </w:rPr>
        <w:t xml:space="preserve">, especialmente, la del pueblo Tolupán. Que se instruya con claridad </w:t>
      </w:r>
      <w:r w:rsidRPr="00E2092E">
        <w:rPr>
          <w:rFonts w:ascii="Leelawadee" w:hAnsi="Leelawadee" w:cs="Leelawadee"/>
          <w:sz w:val="22"/>
          <w:szCs w:val="22"/>
          <w:lang w:val="es-419"/>
        </w:rPr>
        <w:t xml:space="preserve">a todos los funcionarios públicos para que se abstengan de participar en actos de estigmatización o en gestiones dirigidas a debilitar o revocar medidas cautelares </w:t>
      </w:r>
      <w:r>
        <w:rPr>
          <w:rFonts w:ascii="Leelawadee" w:hAnsi="Leelawadee" w:cs="Leelawadee"/>
          <w:sz w:val="22"/>
          <w:szCs w:val="22"/>
          <w:lang w:val="es-419"/>
        </w:rPr>
        <w:t>otorgadas por instancias internacionales en materia de derechos humanos</w:t>
      </w:r>
      <w:r w:rsidR="00195157">
        <w:rPr>
          <w:rFonts w:ascii="Leelawadee" w:hAnsi="Leelawadee" w:cs="Leelawadee"/>
          <w:sz w:val="22"/>
          <w:szCs w:val="22"/>
          <w:lang w:val="es-419"/>
        </w:rPr>
        <w:t xml:space="preserve">, coordinadas por las empresas extractivas o los agresores de beneficiarios o que han dado justificación al otorgamiento de la medida cautelar. </w:t>
      </w:r>
    </w:p>
    <w:p w14:paraId="4688FA34" w14:textId="798A3AF2" w:rsidR="00C87E7C" w:rsidRPr="00E2092E" w:rsidRDefault="00C87E7C" w:rsidP="00195157">
      <w:pPr>
        <w:spacing w:after="120" w:line="276" w:lineRule="auto"/>
        <w:ind w:left="284"/>
        <w:jc w:val="both"/>
        <w:rPr>
          <w:rFonts w:ascii="Leelawadee" w:hAnsi="Leelawadee" w:cs="Leelawadee"/>
          <w:sz w:val="22"/>
          <w:szCs w:val="22"/>
          <w:lang w:val="es-419"/>
        </w:rPr>
      </w:pPr>
      <w:r>
        <w:rPr>
          <w:rFonts w:ascii="Leelawadee" w:hAnsi="Leelawadee" w:cs="Leelawadee"/>
          <w:sz w:val="22"/>
          <w:szCs w:val="22"/>
          <w:lang w:val="es-419"/>
        </w:rPr>
        <w:t>e</w:t>
      </w:r>
      <w:r w:rsidRPr="00E2092E">
        <w:rPr>
          <w:rFonts w:ascii="Leelawadee" w:hAnsi="Leelawadee" w:cs="Leelawadee"/>
          <w:sz w:val="22"/>
          <w:szCs w:val="22"/>
          <w:lang w:val="es-419"/>
        </w:rPr>
        <w:t xml:space="preserve">) </w:t>
      </w:r>
      <w:r w:rsidRPr="00E2092E">
        <w:rPr>
          <w:rFonts w:ascii="Leelawadee" w:hAnsi="Leelawadee" w:cs="Leelawadee"/>
          <w:b/>
          <w:bCs/>
          <w:sz w:val="22"/>
          <w:szCs w:val="22"/>
          <w:lang w:val="es-419"/>
        </w:rPr>
        <w:t>Investigación de la violencia.</w:t>
      </w:r>
      <w:r w:rsidRPr="00E2092E">
        <w:rPr>
          <w:rFonts w:ascii="Leelawadee" w:hAnsi="Leelawadee" w:cs="Leelawadee"/>
          <w:sz w:val="22"/>
          <w:szCs w:val="22"/>
          <w:lang w:val="es-419"/>
        </w:rPr>
        <w:t xml:space="preserve"> </w:t>
      </w:r>
      <w:r>
        <w:rPr>
          <w:rFonts w:ascii="Leelawadee" w:hAnsi="Leelawadee" w:cs="Leelawadee"/>
          <w:sz w:val="22"/>
          <w:szCs w:val="22"/>
          <w:lang w:val="es-419"/>
        </w:rPr>
        <w:t xml:space="preserve">Que se recomiende al Estado </w:t>
      </w:r>
      <w:r w:rsidRPr="00E2092E">
        <w:rPr>
          <w:rFonts w:ascii="Leelawadee" w:hAnsi="Leelawadee" w:cs="Leelawadee"/>
          <w:sz w:val="22"/>
          <w:szCs w:val="22"/>
          <w:lang w:val="es-419"/>
        </w:rPr>
        <w:t>investigar con debida diligencia, en plazos definidos, los asesinatos y agresiones contra personas defensoras indígenas, informando periódicamente a las víctimas.</w:t>
      </w:r>
    </w:p>
    <w:p w14:paraId="28340C07" w14:textId="38317888" w:rsidR="00824351" w:rsidRDefault="00824351" w:rsidP="00E2092E">
      <w:pPr>
        <w:spacing w:before="120" w:line="276" w:lineRule="auto"/>
        <w:jc w:val="both"/>
        <w:rPr>
          <w:rFonts w:ascii="Leelawadee" w:hAnsi="Leelawadee" w:cs="Leelawadee"/>
          <w:sz w:val="22"/>
          <w:szCs w:val="22"/>
          <w:lang w:val="es-419"/>
        </w:rPr>
      </w:pPr>
    </w:p>
    <w:p w14:paraId="78173015" w14:textId="00021A52" w:rsidR="00D41B41" w:rsidRDefault="009F2540" w:rsidP="00E2092E">
      <w:pPr>
        <w:spacing w:before="120" w:line="276" w:lineRule="auto"/>
        <w:jc w:val="both"/>
        <w:rPr>
          <w:rFonts w:ascii="Leelawadee" w:hAnsi="Leelawadee" w:cs="Leelawadee"/>
          <w:sz w:val="22"/>
          <w:szCs w:val="22"/>
          <w:lang w:val="es-419"/>
        </w:rPr>
      </w:pPr>
      <w:r w:rsidRPr="00E2092E">
        <w:rPr>
          <w:rFonts w:ascii="Leelawadee" w:hAnsi="Leelawadee" w:cs="Leelawadee"/>
          <w:sz w:val="22"/>
          <w:szCs w:val="22"/>
          <w:lang w:val="es-419"/>
        </w:rPr>
        <w:t>Las organizaciones presentantes quedan a disposición del Comité para ampliar la información contenida en este informe y manifiestan su interés en participar en las reuniones informativas previas al diálogo constructivo con el Estado parte.</w:t>
      </w:r>
    </w:p>
    <w:p w14:paraId="4A14743C" w14:textId="27787B36" w:rsidR="00F57FED" w:rsidRDefault="00F718D2" w:rsidP="00E2092E">
      <w:pPr>
        <w:spacing w:before="120" w:line="276" w:lineRule="auto"/>
        <w:jc w:val="both"/>
        <w:rPr>
          <w:rFonts w:ascii="Leelawadee" w:hAnsi="Leelawadee" w:cs="Leelawadee"/>
          <w:sz w:val="22"/>
          <w:szCs w:val="22"/>
          <w:lang w:val="es-419"/>
        </w:rPr>
      </w:pPr>
      <w:r w:rsidRPr="00F57FED">
        <w:drawing>
          <wp:anchor distT="0" distB="0" distL="114300" distR="114300" simplePos="0" relativeHeight="251659264" behindDoc="1" locked="0" layoutInCell="1" allowOverlap="1" wp14:anchorId="17FE670D" wp14:editId="190FFE31">
            <wp:simplePos x="0" y="0"/>
            <wp:positionH relativeFrom="margin">
              <wp:posOffset>3994150</wp:posOffset>
            </wp:positionH>
            <wp:positionV relativeFrom="page">
              <wp:posOffset>6329680</wp:posOffset>
            </wp:positionV>
            <wp:extent cx="1136650" cy="862965"/>
            <wp:effectExtent l="0" t="0" r="6350" b="0"/>
            <wp:wrapTight wrapText="bothSides">
              <wp:wrapPolygon edited="0">
                <wp:start x="0" y="0"/>
                <wp:lineTo x="0" y="20980"/>
                <wp:lineTo x="21359" y="20980"/>
                <wp:lineTo x="21359"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6650" cy="8629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1914BD" w14:textId="0CB9F668" w:rsidR="00F57FED" w:rsidRDefault="00F718D2" w:rsidP="00E2092E">
      <w:pPr>
        <w:spacing w:before="120" w:line="276" w:lineRule="auto"/>
        <w:jc w:val="both"/>
        <w:rPr>
          <w:rFonts w:ascii="Leelawadee" w:hAnsi="Leelawadee" w:cs="Leelawadee"/>
          <w:sz w:val="22"/>
          <w:szCs w:val="22"/>
          <w:lang w:val="es-419"/>
        </w:rPr>
      </w:pPr>
      <w:r>
        <w:rPr>
          <w:noProof/>
        </w:rPr>
        <w:drawing>
          <wp:anchor distT="0" distB="0" distL="114300" distR="114300" simplePos="0" relativeHeight="251658240" behindDoc="1" locked="0" layoutInCell="1" allowOverlap="1" wp14:anchorId="5061F7B7" wp14:editId="094C4126">
            <wp:simplePos x="0" y="0"/>
            <wp:positionH relativeFrom="margin">
              <wp:posOffset>361950</wp:posOffset>
            </wp:positionH>
            <wp:positionV relativeFrom="page">
              <wp:posOffset>6453505</wp:posOffset>
            </wp:positionV>
            <wp:extent cx="1847850" cy="385445"/>
            <wp:effectExtent l="0" t="0" r="0" b="0"/>
            <wp:wrapTight wrapText="bothSides">
              <wp:wrapPolygon edited="0">
                <wp:start x="0" y="0"/>
                <wp:lineTo x="0" y="20283"/>
                <wp:lineTo x="21377" y="20283"/>
                <wp:lineTo x="21377"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47850" cy="385445"/>
                    </a:xfrm>
                    <a:prstGeom prst="rect">
                      <a:avLst/>
                    </a:prstGeom>
                  </pic:spPr>
                </pic:pic>
              </a:graphicData>
            </a:graphic>
            <wp14:sizeRelH relativeFrom="margin">
              <wp14:pctWidth>0</wp14:pctWidth>
            </wp14:sizeRelH>
            <wp14:sizeRelV relativeFrom="margin">
              <wp14:pctHeight>0</wp14:pctHeight>
            </wp14:sizeRelV>
          </wp:anchor>
        </w:drawing>
      </w:r>
    </w:p>
    <w:p w14:paraId="38F2E1B8" w14:textId="17C72FA4" w:rsidR="001D02D9" w:rsidRDefault="00F718D2" w:rsidP="001D02D9">
      <w:pPr>
        <w:pStyle w:val="NormalWeb"/>
      </w:pPr>
      <w:r>
        <w:rPr>
          <w:noProof/>
        </w:rPr>
        <mc:AlternateContent>
          <mc:Choice Requires="wps">
            <w:drawing>
              <wp:anchor distT="0" distB="0" distL="114300" distR="114300" simplePos="0" relativeHeight="251661312" behindDoc="0" locked="0" layoutInCell="1" allowOverlap="1" wp14:anchorId="331D44D6" wp14:editId="2AA8017B">
                <wp:simplePos x="0" y="0"/>
                <wp:positionH relativeFrom="column">
                  <wp:posOffset>-317500</wp:posOffset>
                </wp:positionH>
                <wp:positionV relativeFrom="paragraph">
                  <wp:posOffset>1435735</wp:posOffset>
                </wp:positionV>
                <wp:extent cx="3276600" cy="107315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3276600" cy="10731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A604579" w14:textId="676D97D3" w:rsidR="00F718D2" w:rsidRPr="00F718D2" w:rsidRDefault="00F718D2" w:rsidP="00F718D2">
                            <w:pPr>
                              <w:jc w:val="center"/>
                              <w:rPr>
                                <w:rFonts w:ascii="Leelawadee" w:hAnsi="Leelawadee" w:cs="Leelawadee" w:hint="cs"/>
                                <w:sz w:val="24"/>
                                <w:szCs w:val="24"/>
                                <w:lang w:val="es-ES"/>
                              </w:rPr>
                            </w:pPr>
                            <w:r>
                              <w:rPr>
                                <w:rFonts w:ascii="Leelawadee" w:hAnsi="Leelawadee" w:cs="Leelawadee"/>
                                <w:b/>
                                <w:bCs/>
                                <w:sz w:val="24"/>
                                <w:szCs w:val="24"/>
                                <w:lang w:val="es-ES"/>
                              </w:rPr>
                              <w:t xml:space="preserve">Ruth </w:t>
                            </w:r>
                            <w:r w:rsidRPr="00F718D2">
                              <w:rPr>
                                <w:rFonts w:ascii="Leelawadee" w:hAnsi="Leelawadee" w:cs="Leelawadee" w:hint="cs"/>
                                <w:b/>
                                <w:bCs/>
                                <w:sz w:val="24"/>
                                <w:szCs w:val="24"/>
                                <w:lang w:val="es-ES"/>
                              </w:rPr>
                              <w:t xml:space="preserve">Ileana Morales </w:t>
                            </w:r>
                            <w:r w:rsidRPr="00F718D2">
                              <w:rPr>
                                <w:rFonts w:ascii="Leelawadee" w:hAnsi="Leelawadee" w:cs="Leelawadee" w:hint="cs"/>
                                <w:b/>
                                <w:bCs/>
                                <w:sz w:val="24"/>
                                <w:szCs w:val="24"/>
                                <w:lang w:val="es-ES"/>
                              </w:rPr>
                              <w:br/>
                            </w:r>
                            <w:r w:rsidRPr="00F718D2">
                              <w:rPr>
                                <w:rFonts w:ascii="Leelawadee" w:hAnsi="Leelawadee" w:cs="Leelawadee" w:hint="cs"/>
                                <w:lang w:val="es-419"/>
                              </w:rPr>
                              <w:t>Fundación para la Salvaguardia del Medio Ambiente en el Democrático Desarrollo Socioeconómico y de las Instituciones (FUNDAMBIENTE)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1D44D6" id="_x0000_t202" coordsize="21600,21600" o:spt="202" path="m,l,21600r21600,l21600,xe">
                <v:stroke joinstyle="miter"/>
                <v:path gradientshapeok="t" o:connecttype="rect"/>
              </v:shapetype>
              <v:shape id="Cuadro de texto 4" o:spid="_x0000_s1026" type="#_x0000_t202" style="position:absolute;margin-left:-25pt;margin-top:113.05pt;width:258pt;height:8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rwigQIAAFwFAAAOAAAAZHJzL2Uyb0RvYy54bWysVN9P2zAQfp+0/8Hy+0hbCmwVKeqKmCYh&#10;QIOJZ9ex22i2zzu7Tbq/nrOTFMb2wrSXxL777nz33Y/zi9YatlMYanAlHx+NOFNOQlW7dcm/P1x9&#10;+MhZiMJVwoBTJd+rwC/m79+dN36mJrABUylk5MSFWeNLvonRz4oiyI2yIhyBV46UGtCKSFdcFxWK&#10;hrxbU0xGo9OiAaw8glQhkPSyU/J59q+1kvFW66AiMyWn2GL+Yv6u0reYn4vZGoXf1LIPQ/xDFFbU&#10;jh49uLoUUbAt1n+4srVECKDjkQRbgNa1VDkHymY8epXN/UZ4lXMhcoI/0BT+n1t5s7tDVlcln3Lm&#10;hKUSLbeiQmCVYlG1Edg0kdT4MCPsvSd0bD9DS8Ue5IGEKfdWo01/yoqRnujeHygmT0yS8Hhydno6&#10;IpUk3Xh0djw+yUUons09hvhFgWXpUHKkGmZqxe46RAqFoAMkvebgqjYm19G43wQETJIixd7FmE9x&#10;b1TCGfdNaUo9h5oEQeJ6tTTIuv6gBqY4hy7JzsggATU9+Ebb3iRZq9yWb7Q/GOX3wcWDva0dYCYo&#10;D41KCewEtXv1I1eIAtcdfqCiIyBxEdtV2xd3BdWeaovQjUjw8qom/q9FiHcCaSaIC5rzeEsfbaAp&#10;OfQnzjaAv/4mT3hqVdJy1tCMlTz83ApUnJmvjpr403g6JbcxX6YnZxO64EvN6qXGbe0SKK8xbRQv&#10;8zHhoxmOGsE+0jpYpFdJJZykt0seh+MydpWldSLVYpFBNIZexGt372VynehN3fXQPgr0fQumObiB&#10;YRrF7FUndthk6WCxjaDr3KaJ4I7Vnnga4dy9/bpJO+LlPaOel+L8CQAA//8DAFBLAwQUAAYACAAA&#10;ACEAXwSaj98AAAALAQAADwAAAGRycy9kb3ducmV2LnhtbEyPwU7DMBBE70j8g7VI3Fo7oYloyKZC&#10;IK4gClTqzY23SUS8jmK3CX+POdHj7Ixm35Sb2fbiTKPvHCMkSwWCuHam4wbh8+NlcQ/CB81G944J&#10;4Yc8bKrrq1IXxk38TudtaEQsYV9ohDaEoZDS1y1Z7ZduII7e0Y1WhyjHRppRT7Hc9jJVKpdWdxw/&#10;tHqgp5bq7+3JIny9Hve7lXprnm02TG5Wku1aIt7ezI8PIALN4T8Mf/gRHarIdHAnNl70CItMxS0B&#10;IU3zBERMrPI8Xg4Id+ssAVmV8nJD9QsAAP//AwBQSwECLQAUAAYACAAAACEAtoM4kv4AAADhAQAA&#10;EwAAAAAAAAAAAAAAAAAAAAAAW0NvbnRlbnRfVHlwZXNdLnhtbFBLAQItABQABgAIAAAAIQA4/SH/&#10;1gAAAJQBAAALAAAAAAAAAAAAAAAAAC8BAABfcmVscy8ucmVsc1BLAQItABQABgAIAAAAIQAqsrwi&#10;gQIAAFwFAAAOAAAAAAAAAAAAAAAAAC4CAABkcnMvZTJvRG9jLnhtbFBLAQItABQABgAIAAAAIQBf&#10;BJqP3wAAAAsBAAAPAAAAAAAAAAAAAAAAANsEAABkcnMvZG93bnJldi54bWxQSwUGAAAAAAQABADz&#10;AAAA5wUAAAAA&#10;" filled="f" stroked="f">
                <v:textbox>
                  <w:txbxContent>
                    <w:p w14:paraId="4A604579" w14:textId="676D97D3" w:rsidR="00F718D2" w:rsidRPr="00F718D2" w:rsidRDefault="00F718D2" w:rsidP="00F718D2">
                      <w:pPr>
                        <w:jc w:val="center"/>
                        <w:rPr>
                          <w:rFonts w:ascii="Leelawadee" w:hAnsi="Leelawadee" w:cs="Leelawadee" w:hint="cs"/>
                          <w:sz w:val="24"/>
                          <w:szCs w:val="24"/>
                          <w:lang w:val="es-ES"/>
                        </w:rPr>
                      </w:pPr>
                      <w:r>
                        <w:rPr>
                          <w:rFonts w:ascii="Leelawadee" w:hAnsi="Leelawadee" w:cs="Leelawadee"/>
                          <w:b/>
                          <w:bCs/>
                          <w:sz w:val="24"/>
                          <w:szCs w:val="24"/>
                          <w:lang w:val="es-ES"/>
                        </w:rPr>
                        <w:t xml:space="preserve">Ruth </w:t>
                      </w:r>
                      <w:r w:rsidRPr="00F718D2">
                        <w:rPr>
                          <w:rFonts w:ascii="Leelawadee" w:hAnsi="Leelawadee" w:cs="Leelawadee" w:hint="cs"/>
                          <w:b/>
                          <w:bCs/>
                          <w:sz w:val="24"/>
                          <w:szCs w:val="24"/>
                          <w:lang w:val="es-ES"/>
                        </w:rPr>
                        <w:t xml:space="preserve">Ileana Morales </w:t>
                      </w:r>
                      <w:r w:rsidRPr="00F718D2">
                        <w:rPr>
                          <w:rFonts w:ascii="Leelawadee" w:hAnsi="Leelawadee" w:cs="Leelawadee" w:hint="cs"/>
                          <w:b/>
                          <w:bCs/>
                          <w:sz w:val="24"/>
                          <w:szCs w:val="24"/>
                          <w:lang w:val="es-ES"/>
                        </w:rPr>
                        <w:br/>
                      </w:r>
                      <w:r w:rsidRPr="00F718D2">
                        <w:rPr>
                          <w:rFonts w:ascii="Leelawadee" w:hAnsi="Leelawadee" w:cs="Leelawadee" w:hint="cs"/>
                          <w:lang w:val="es-419"/>
                        </w:rPr>
                        <w:t>Fundación para la Salvaguardia del Medio Ambiente en el Democrático Desarrollo Socioeconómico y de las Instituciones (FUNDAMBIENTE)</w:t>
                      </w:r>
                    </w:p>
                  </w:txbxContent>
                </v:textbox>
              </v:shape>
            </w:pict>
          </mc:Fallback>
        </mc:AlternateContent>
      </w:r>
      <w:r w:rsidRPr="00F718D2">
        <w:drawing>
          <wp:anchor distT="0" distB="0" distL="114300" distR="114300" simplePos="0" relativeHeight="251660288" behindDoc="1" locked="0" layoutInCell="1" allowOverlap="1" wp14:anchorId="49A19FA5" wp14:editId="6F8CE2D6">
            <wp:simplePos x="0" y="0"/>
            <wp:positionH relativeFrom="margin">
              <wp:posOffset>488950</wp:posOffset>
            </wp:positionH>
            <wp:positionV relativeFrom="margin">
              <wp:posOffset>6815455</wp:posOffset>
            </wp:positionV>
            <wp:extent cx="1295400" cy="379095"/>
            <wp:effectExtent l="0" t="0" r="0" b="1905"/>
            <wp:wrapTight wrapText="bothSides">
              <wp:wrapPolygon edited="0">
                <wp:start x="0" y="0"/>
                <wp:lineTo x="0" y="20623"/>
                <wp:lineTo x="21282" y="20623"/>
                <wp:lineTo x="21282"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5400" cy="37909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14:anchorId="07F0C029" wp14:editId="7350CBD7">
                <wp:simplePos x="0" y="0"/>
                <wp:positionH relativeFrom="margin">
                  <wp:posOffset>3568700</wp:posOffset>
                </wp:positionH>
                <wp:positionV relativeFrom="paragraph">
                  <wp:posOffset>337185</wp:posOffset>
                </wp:positionV>
                <wp:extent cx="2520950" cy="45720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520950" cy="4572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F7A8BB2" w14:textId="4710DB17" w:rsidR="00F718D2" w:rsidRPr="00F718D2" w:rsidRDefault="00F718D2" w:rsidP="00F718D2">
                            <w:pPr>
                              <w:jc w:val="center"/>
                              <w:rPr>
                                <w:rFonts w:ascii="Leelawadee" w:hAnsi="Leelawadee" w:cs="Leelawadee" w:hint="cs"/>
                                <w:lang w:val="es-ES"/>
                              </w:rPr>
                            </w:pPr>
                            <w:r>
                              <w:rPr>
                                <w:rFonts w:ascii="Leelawadee" w:hAnsi="Leelawadee" w:cs="Leelawadee"/>
                                <w:b/>
                                <w:bCs/>
                                <w:sz w:val="24"/>
                                <w:szCs w:val="24"/>
                                <w:lang w:val="es-ES"/>
                              </w:rPr>
                              <w:t xml:space="preserve">Victor Fernández </w:t>
                            </w:r>
                            <w:proofErr w:type="spellStart"/>
                            <w:r>
                              <w:rPr>
                                <w:rFonts w:ascii="Leelawadee" w:hAnsi="Leelawadee" w:cs="Leelawadee"/>
                                <w:b/>
                                <w:bCs/>
                                <w:sz w:val="24"/>
                                <w:szCs w:val="24"/>
                                <w:lang w:val="es-ES"/>
                              </w:rPr>
                              <w:t>Guzman</w:t>
                            </w:r>
                            <w:proofErr w:type="spellEnd"/>
                            <w:r>
                              <w:rPr>
                                <w:rFonts w:ascii="Leelawadee" w:hAnsi="Leelawadee" w:cs="Leelawadee"/>
                                <w:b/>
                                <w:bCs/>
                                <w:sz w:val="24"/>
                                <w:szCs w:val="24"/>
                                <w:lang w:val="es-ES"/>
                              </w:rPr>
                              <w:br/>
                            </w:r>
                            <w:r w:rsidRPr="00F718D2">
                              <w:rPr>
                                <w:rFonts w:ascii="Leelawadee" w:hAnsi="Leelawadee" w:cs="Leelawadee"/>
                                <w:lang w:val="es-ES"/>
                              </w:rPr>
                              <w:t>Bufete Estudios para la Dignidad</w:t>
                            </w:r>
                            <w:r w:rsidRPr="00F718D2">
                              <w:rPr>
                                <w:rFonts w:ascii="Leelawadee" w:hAnsi="Leelawadee" w:cs="Leelawadee"/>
                                <w:b/>
                                <w:bCs/>
                                <w:lang w:val="es-ES"/>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0C029" id="Cuadro de texto 5" o:spid="_x0000_s1027" type="#_x0000_t202" style="position:absolute;margin-left:281pt;margin-top:26.55pt;width:198.5pt;height:3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KrYfwIAAGIFAAAOAAAAZHJzL2Uyb0RvYy54bWysVN9v0zAQfkfif7D8ztJWK7Bo6VQ6DSFN&#10;20SH9uw6dhth+8zZbVL+es5O05XByxAvjnO/fPfdd3d51VnDdgpDA67i47MRZ8pJqBu3rvi3x5t3&#10;HzkLUbhaGHCq4nsV+NXs7ZvL1pdqAhswtUJGQVwoW1/xTYy+LIogN8qKcAZeOVJqQCsi/eK6qFG0&#10;FN2aYjIavS9awNojSBUCSa97JZ/l+ForGe+1DioyU3HKLeYT87lKZzG7FOUahd808pCG+IcsrGgc&#10;PXoMdS2iYFts/ghlG4kQQMczCbYArRupcg1UzXj0oprlRniVayFwgj/CFP5fWHm3e0DW1BWfcuaE&#10;pRYttqJGYLViUXUR2DSB1PpQku3Sk3XsPkFHzR7kgYSp9k6jTV+qipGe4N4fIaZITJJwMp2MLqak&#10;kqQ7n36gHqYwxbO3xxA/K7AsXSqO1MKMrNjdhtibDibpMQc3jTG5jcb9JqCYSVKk1PsU8y3ujUp2&#10;xn1VmirPmSZBkLheLQyynh7EX0pzIEkORg7JUNODr/Q9uCRvlVn5Sv+jU34fXDz628YBZoDyzKhU&#10;wE4Q2+vvuUGUuO7tByh6ABIWsVt1uffHVq6g3lOHEfpBCV7eNNSGWxHig0CaDIKEpj3e06ENtBWH&#10;w42zDeDPv8mTPRGWtJy1NGkVDz+2AhVn5osjKl+Mz88pbMw/mRKc4almdapxW7sAKm9Me8XLfCVn&#10;jGa4agT7REthnl4llXCS3q54HK6L2DeYlopU83k2omH0It66pZcpdEI5keyxexLoD0xM03AHw0yK&#10;8gUhe9vk6WC+jaCbzNaEc4/qAX8a5Mz3w9JJm+L0P1s9r8bZLwAAAP//AwBQSwMEFAAGAAgAAAAh&#10;AEwjAobeAAAACgEAAA8AAABkcnMvZG93bnJldi54bWxMj0FPwzAMhe9I/IfISNxY0kInWppO0xBX&#10;ENtA4pY1XlvROFWTreXfY07sZvs9PX+vXM2uF2ccQ+dJQ7JQIJBqbztqNOx3L3ePIEI0ZE3vCTX8&#10;YIBVdX1VmsL6id7xvI2N4BAKhdHQxjgUUoa6RWfCwg9IrB396EzkdWykHc3E4a6XqVJL6UxH/KE1&#10;A25arL+3J6fh4/X49fmg3ppnlw2Tn5Ukl0utb2/m9ROIiHP8N8MfPqNDxUwHfyIbRK8hW6bcJfJw&#10;n4BgQ57lfDiwM80SkFUpLytUvwAAAP//AwBQSwECLQAUAAYACAAAACEAtoM4kv4AAADhAQAAEwAA&#10;AAAAAAAAAAAAAAAAAAAAW0NvbnRlbnRfVHlwZXNdLnhtbFBLAQItABQABgAIAAAAIQA4/SH/1gAA&#10;AJQBAAALAAAAAAAAAAAAAAAAAC8BAABfcmVscy8ucmVsc1BLAQItABQABgAIAAAAIQDZxKrYfwIA&#10;AGIFAAAOAAAAAAAAAAAAAAAAAC4CAABkcnMvZTJvRG9jLnhtbFBLAQItABQABgAIAAAAIQBMIwKG&#10;3gAAAAoBAAAPAAAAAAAAAAAAAAAAANkEAABkcnMvZG93bnJldi54bWxQSwUGAAAAAAQABADzAAAA&#10;5AUAAAAA&#10;" filled="f" stroked="f">
                <v:textbox>
                  <w:txbxContent>
                    <w:p w14:paraId="4F7A8BB2" w14:textId="4710DB17" w:rsidR="00F718D2" w:rsidRPr="00F718D2" w:rsidRDefault="00F718D2" w:rsidP="00F718D2">
                      <w:pPr>
                        <w:jc w:val="center"/>
                        <w:rPr>
                          <w:rFonts w:ascii="Leelawadee" w:hAnsi="Leelawadee" w:cs="Leelawadee" w:hint="cs"/>
                          <w:lang w:val="es-ES"/>
                        </w:rPr>
                      </w:pPr>
                      <w:r>
                        <w:rPr>
                          <w:rFonts w:ascii="Leelawadee" w:hAnsi="Leelawadee" w:cs="Leelawadee"/>
                          <w:b/>
                          <w:bCs/>
                          <w:sz w:val="24"/>
                          <w:szCs w:val="24"/>
                          <w:lang w:val="es-ES"/>
                        </w:rPr>
                        <w:t xml:space="preserve">Victor Fernández </w:t>
                      </w:r>
                      <w:proofErr w:type="spellStart"/>
                      <w:r>
                        <w:rPr>
                          <w:rFonts w:ascii="Leelawadee" w:hAnsi="Leelawadee" w:cs="Leelawadee"/>
                          <w:b/>
                          <w:bCs/>
                          <w:sz w:val="24"/>
                          <w:szCs w:val="24"/>
                          <w:lang w:val="es-ES"/>
                        </w:rPr>
                        <w:t>Guzman</w:t>
                      </w:r>
                      <w:proofErr w:type="spellEnd"/>
                      <w:r>
                        <w:rPr>
                          <w:rFonts w:ascii="Leelawadee" w:hAnsi="Leelawadee" w:cs="Leelawadee"/>
                          <w:b/>
                          <w:bCs/>
                          <w:sz w:val="24"/>
                          <w:szCs w:val="24"/>
                          <w:lang w:val="es-ES"/>
                        </w:rPr>
                        <w:br/>
                      </w:r>
                      <w:r w:rsidRPr="00F718D2">
                        <w:rPr>
                          <w:rFonts w:ascii="Leelawadee" w:hAnsi="Leelawadee" w:cs="Leelawadee"/>
                          <w:lang w:val="es-ES"/>
                        </w:rPr>
                        <w:t>Bufete Estudios para la Dignidad</w:t>
                      </w:r>
                      <w:r w:rsidRPr="00F718D2">
                        <w:rPr>
                          <w:rFonts w:ascii="Leelawadee" w:hAnsi="Leelawadee" w:cs="Leelawadee"/>
                          <w:b/>
                          <w:bCs/>
                          <w:lang w:val="es-ES"/>
                        </w:rPr>
                        <w:br/>
                      </w:r>
                    </w:p>
                  </w:txbxContent>
                </v:textbox>
                <w10:wrap anchorx="margin"/>
              </v:shape>
            </w:pict>
          </mc:Fallback>
        </mc:AlternateContent>
      </w:r>
      <w:r>
        <w:rPr>
          <w:noProof/>
        </w:rPr>
        <mc:AlternateContent>
          <mc:Choice Requires="wps">
            <w:drawing>
              <wp:anchor distT="0" distB="0" distL="114300" distR="114300" simplePos="0" relativeHeight="251665408" behindDoc="0" locked="0" layoutInCell="1" allowOverlap="1" wp14:anchorId="1052FC0B" wp14:editId="0D300363">
                <wp:simplePos x="0" y="0"/>
                <wp:positionH relativeFrom="margin">
                  <wp:posOffset>19050</wp:posOffset>
                </wp:positionH>
                <wp:positionV relativeFrom="paragraph">
                  <wp:posOffset>132715</wp:posOffset>
                </wp:positionV>
                <wp:extent cx="2520950" cy="666750"/>
                <wp:effectExtent l="0" t="0" r="0" b="0"/>
                <wp:wrapNone/>
                <wp:docPr id="6" name="Cuadro de texto 6"/>
                <wp:cNvGraphicFramePr/>
                <a:graphic xmlns:a="http://schemas.openxmlformats.org/drawingml/2006/main">
                  <a:graphicData uri="http://schemas.microsoft.com/office/word/2010/wordprocessingShape">
                    <wps:wsp>
                      <wps:cNvSpPr txBox="1"/>
                      <wps:spPr>
                        <a:xfrm>
                          <a:off x="0" y="0"/>
                          <a:ext cx="2520950" cy="6667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84F2B31" w14:textId="64E691EF" w:rsidR="00F718D2" w:rsidRPr="00F718D2" w:rsidRDefault="00F718D2" w:rsidP="00F718D2">
                            <w:pPr>
                              <w:jc w:val="center"/>
                              <w:rPr>
                                <w:rFonts w:ascii="Leelawadee" w:hAnsi="Leelawadee" w:cs="Leelawadee" w:hint="cs"/>
                                <w:lang w:val="es-ES"/>
                              </w:rPr>
                            </w:pPr>
                            <w:r>
                              <w:rPr>
                                <w:rFonts w:ascii="Leelawadee" w:hAnsi="Leelawadee" w:cs="Leelawadee"/>
                                <w:b/>
                                <w:bCs/>
                                <w:sz w:val="24"/>
                                <w:szCs w:val="24"/>
                                <w:lang w:val="es-ES"/>
                              </w:rPr>
                              <w:t xml:space="preserve">Santos David Martínez </w:t>
                            </w:r>
                            <w:r>
                              <w:rPr>
                                <w:rFonts w:ascii="Leelawadee" w:hAnsi="Leelawadee" w:cs="Leelawadee"/>
                                <w:b/>
                                <w:bCs/>
                                <w:sz w:val="24"/>
                                <w:szCs w:val="24"/>
                                <w:lang w:val="es-ES"/>
                              </w:rPr>
                              <w:br/>
                            </w:r>
                            <w:r>
                              <w:rPr>
                                <w:rFonts w:ascii="Leelawadee" w:hAnsi="Leelawadee" w:cs="Leelawadee"/>
                                <w:lang w:val="es-ES"/>
                              </w:rPr>
                              <w:t xml:space="preserve">Movimiento Amplio por la Dignidad y la Justicia (MADJ)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52FC0B" id="Cuadro de texto 6" o:spid="_x0000_s1028" type="#_x0000_t202" style="position:absolute;margin-left:1.5pt;margin-top:10.45pt;width:198.5pt;height:5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zcagAIAAGIFAAAOAAAAZHJzL2Uyb0RvYy54bWysVEtvGjEQvlfqf7B8bxYQkAZliShRqkpR&#10;EpVUORuvDavaHnds2KW/vmMvS9K0l1S97I7nPd88Lq9aa9heYajBlXx4NuBMOQlV7TYl//Z48+Ej&#10;ZyEKVwkDTpX8oAK/mr9/d9n4mRrBFkylkJETF2aNL/k2Rj8riiC3yopwBl45EmpAKyI9cVNUKBry&#10;bk0xGgymRQNYeQSpQiDudSfk8+xfayXjvdZBRWZKTrnF/MX8XadvMb8Usw0Kv63lMQ3xD1lYUTsK&#10;enJ1LaJgO6z/cGVriRBAxzMJtgCta6lyDVTNcPCqmtVWeJVrIXCCP8EU/p9bebd/QFZXJZ9y5oSl&#10;Fi13okJglWJRtRHYNIHU+DAj3ZUn7dh+gpaa3fMDMVPtrUab/lQVIznBfThBTJ6YJOZoMhpcTEgk&#10;STadTs+JJvfFs7XHED8rsCwRJUdqYUZW7G9D7FR7lRTMwU1tTG6jcb8xyGfiFCn1LsVMxYNRSc+4&#10;r0pT5TnTxAgSN+ulQdaNB80vpdkPSXZGBklRU8A32h5NkrXKU/lG+5NRjg8unuxt7QAzQHlnVCpg&#10;L2jaq++5QZS47vR7KDoAEhaxXbe596O+lWuoDtRhhG5Rgpc3NbXhVoT4IJA2gyChbY/39NEGmpLD&#10;keJsC/jzb/ykTwNLUs4a2rSShx87gYoz88XRKF8Mx2NyG/NjPDkf0QNfStYvJW5nl0DlDemueJnJ&#10;pB9NT2oE+0RHYZGikkg4SbFLHntyGbsG01GRarHISrSMXsRbt/IyuU4opyF7bJ8E+uMkpm24g34n&#10;xezVQHa6ydLBYhdB13laE84dqkf8aZHzvB+PTroUL99Z6/k0zn8BAAD//wMAUEsDBBQABgAIAAAA&#10;IQD4INd72wAAAAgBAAAPAAAAZHJzL2Rvd25yZXYueG1sTI/BTsMwEETvSPyDtUjcqE1oEQlxKgTi&#10;CqJApd628TaJiNdR7Dbh71lOcNyZ0eybcj37Xp1ojF1gC9cLA4q4Dq7jxsLH+/PVHaiYkB32gcnC&#10;N0VYV+dnJRYuTPxGp01qlJRwLNBCm9JQaB3rljzGRRiIxTuE0WOSc2y0G3GSct/rzJhb7bFj+dDi&#10;QI8t1V+bo7fw+XLYbZfmtXnyq2EKs9Hsc23t5cX8cA8q0Zz+wvCLL+hQCdM+HNlF1Vu4kSXJQmZy&#10;UGIvjRFhL7lslYOuSv1/QPUDAAD//wMAUEsBAi0AFAAGAAgAAAAhALaDOJL+AAAA4QEAABMAAAAA&#10;AAAAAAAAAAAAAAAAAFtDb250ZW50X1R5cGVzXS54bWxQSwECLQAUAAYACAAAACEAOP0h/9YAAACU&#10;AQAACwAAAAAAAAAAAAAAAAAvAQAAX3JlbHMvLnJlbHNQSwECLQAUAAYACAAAACEANo83GoACAABi&#10;BQAADgAAAAAAAAAAAAAAAAAuAgAAZHJzL2Uyb0RvYy54bWxQSwECLQAUAAYACAAAACEA+CDXe9sA&#10;AAAIAQAADwAAAAAAAAAAAAAAAADaBAAAZHJzL2Rvd25yZXYueG1sUEsFBgAAAAAEAAQA8wAAAOIF&#10;AAAAAA==&#10;" filled="f" stroked="f">
                <v:textbox>
                  <w:txbxContent>
                    <w:p w14:paraId="684F2B31" w14:textId="64E691EF" w:rsidR="00F718D2" w:rsidRPr="00F718D2" w:rsidRDefault="00F718D2" w:rsidP="00F718D2">
                      <w:pPr>
                        <w:jc w:val="center"/>
                        <w:rPr>
                          <w:rFonts w:ascii="Leelawadee" w:hAnsi="Leelawadee" w:cs="Leelawadee" w:hint="cs"/>
                          <w:lang w:val="es-ES"/>
                        </w:rPr>
                      </w:pPr>
                      <w:r>
                        <w:rPr>
                          <w:rFonts w:ascii="Leelawadee" w:hAnsi="Leelawadee" w:cs="Leelawadee"/>
                          <w:b/>
                          <w:bCs/>
                          <w:sz w:val="24"/>
                          <w:szCs w:val="24"/>
                          <w:lang w:val="es-ES"/>
                        </w:rPr>
                        <w:t xml:space="preserve">Santos David Martínez </w:t>
                      </w:r>
                      <w:r>
                        <w:rPr>
                          <w:rFonts w:ascii="Leelawadee" w:hAnsi="Leelawadee" w:cs="Leelawadee"/>
                          <w:b/>
                          <w:bCs/>
                          <w:sz w:val="24"/>
                          <w:szCs w:val="24"/>
                          <w:lang w:val="es-ES"/>
                        </w:rPr>
                        <w:br/>
                      </w:r>
                      <w:r>
                        <w:rPr>
                          <w:rFonts w:ascii="Leelawadee" w:hAnsi="Leelawadee" w:cs="Leelawadee"/>
                          <w:lang w:val="es-ES"/>
                        </w:rPr>
                        <w:t xml:space="preserve">Movimiento Amplio por la Dignidad y la Justicia (MADJ) </w:t>
                      </w:r>
                    </w:p>
                  </w:txbxContent>
                </v:textbox>
                <w10:wrap anchorx="margin"/>
              </v:shape>
            </w:pict>
          </mc:Fallback>
        </mc:AlternateContent>
      </w:r>
      <w:r w:rsidRPr="00F718D2">
        <w:t xml:space="preserve"> </w:t>
      </w:r>
      <w:r w:rsidR="001D02D9">
        <w:rPr>
          <w:noProof/>
        </w:rPr>
        <w:t>Ñ</w:t>
      </w:r>
    </w:p>
    <w:p w14:paraId="53FCE309" w14:textId="5FB385D9" w:rsidR="00F57FED" w:rsidRDefault="00F57FED" w:rsidP="00E2092E">
      <w:pPr>
        <w:spacing w:before="120" w:line="276" w:lineRule="auto"/>
        <w:jc w:val="both"/>
        <w:rPr>
          <w:rFonts w:ascii="Leelawadee" w:hAnsi="Leelawadee" w:cs="Leelawadee"/>
          <w:sz w:val="22"/>
          <w:szCs w:val="22"/>
          <w:lang w:val="es-419"/>
        </w:rPr>
      </w:pPr>
    </w:p>
    <w:p w14:paraId="1A146427" w14:textId="0522C03C" w:rsidR="001D02D9" w:rsidRDefault="001D02D9" w:rsidP="00E2092E">
      <w:pPr>
        <w:spacing w:before="120" w:line="276" w:lineRule="auto"/>
        <w:jc w:val="both"/>
        <w:rPr>
          <w:rFonts w:ascii="Leelawadee" w:hAnsi="Leelawadee" w:cs="Leelawadee"/>
          <w:sz w:val="22"/>
          <w:szCs w:val="22"/>
          <w:lang w:val="es-419"/>
        </w:rPr>
      </w:pPr>
      <w:r w:rsidRPr="001D02D9">
        <w:rPr>
          <w:rFonts w:ascii="Leelawadee" w:hAnsi="Leelawadee" w:cs="Leelawadee"/>
          <w:sz w:val="22"/>
          <w:szCs w:val="22"/>
          <w:lang w:val="es-HN"/>
        </w:rPr>
        <w:drawing>
          <wp:anchor distT="0" distB="0" distL="114300" distR="114300" simplePos="0" relativeHeight="251668480" behindDoc="1" locked="0" layoutInCell="1" allowOverlap="1" wp14:anchorId="73755525" wp14:editId="632706DC">
            <wp:simplePos x="0" y="0"/>
            <wp:positionH relativeFrom="column">
              <wp:posOffset>3853815</wp:posOffset>
            </wp:positionH>
            <wp:positionV relativeFrom="page">
              <wp:posOffset>7471410</wp:posOffset>
            </wp:positionV>
            <wp:extent cx="1658620" cy="878840"/>
            <wp:effectExtent l="0" t="0" r="0" b="0"/>
            <wp:wrapTight wrapText="bothSides">
              <wp:wrapPolygon edited="0">
                <wp:start x="0" y="0"/>
                <wp:lineTo x="0" y="21069"/>
                <wp:lineTo x="21335" y="21069"/>
                <wp:lineTo x="21335"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1195" b="16051"/>
                    <a:stretch/>
                  </pic:blipFill>
                  <pic:spPr bwMode="auto">
                    <a:xfrm>
                      <a:off x="0" y="0"/>
                      <a:ext cx="1658620" cy="87884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52C51D6" w14:textId="204C6C37" w:rsidR="001D02D9" w:rsidRDefault="001D02D9" w:rsidP="00E2092E">
      <w:pPr>
        <w:spacing w:before="120" w:line="276" w:lineRule="auto"/>
        <w:jc w:val="both"/>
        <w:rPr>
          <w:rFonts w:ascii="Leelawadee" w:hAnsi="Leelawadee" w:cs="Leelawadee"/>
          <w:sz w:val="22"/>
          <w:szCs w:val="22"/>
          <w:lang w:val="es-419"/>
        </w:rPr>
      </w:pPr>
    </w:p>
    <w:p w14:paraId="2EE03BEB" w14:textId="6B677A37" w:rsidR="001D02D9" w:rsidRDefault="001D02D9" w:rsidP="00E2092E">
      <w:pPr>
        <w:spacing w:before="120" w:line="276" w:lineRule="auto"/>
        <w:jc w:val="both"/>
        <w:rPr>
          <w:rFonts w:ascii="Leelawadee" w:hAnsi="Leelawadee" w:cs="Leelawadee"/>
          <w:sz w:val="22"/>
          <w:szCs w:val="22"/>
          <w:lang w:val="es-419"/>
        </w:rPr>
      </w:pPr>
    </w:p>
    <w:p w14:paraId="7BC873A2" w14:textId="4F7B63DE" w:rsidR="001D02D9" w:rsidRDefault="001D02D9" w:rsidP="00E2092E">
      <w:pPr>
        <w:spacing w:before="120" w:line="276" w:lineRule="auto"/>
        <w:jc w:val="both"/>
        <w:rPr>
          <w:rFonts w:ascii="Leelawadee" w:hAnsi="Leelawadee" w:cs="Leelawadee"/>
          <w:sz w:val="22"/>
          <w:szCs w:val="22"/>
          <w:lang w:val="es-419"/>
        </w:rPr>
      </w:pPr>
      <w:r>
        <w:rPr>
          <w:noProof/>
        </w:rPr>
        <mc:AlternateContent>
          <mc:Choice Requires="wps">
            <w:drawing>
              <wp:anchor distT="0" distB="0" distL="114300" distR="114300" simplePos="0" relativeHeight="251667456" behindDoc="0" locked="0" layoutInCell="1" allowOverlap="1" wp14:anchorId="0AD0875B" wp14:editId="3FF54DCF">
                <wp:simplePos x="0" y="0"/>
                <wp:positionH relativeFrom="margin">
                  <wp:posOffset>3402957</wp:posOffset>
                </wp:positionH>
                <wp:positionV relativeFrom="paragraph">
                  <wp:posOffset>141909</wp:posOffset>
                </wp:positionV>
                <wp:extent cx="2639028" cy="711843"/>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639028" cy="71184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87060EA" w14:textId="60505735" w:rsidR="001D02D9" w:rsidRDefault="001D02D9" w:rsidP="001D02D9">
                            <w:pPr>
                              <w:jc w:val="center"/>
                              <w:rPr>
                                <w:rFonts w:ascii="Leelawadee" w:hAnsi="Leelawadee" w:cs="Leelawadee"/>
                                <w:b/>
                                <w:bCs/>
                                <w:sz w:val="24"/>
                                <w:szCs w:val="24"/>
                                <w:lang w:val="es-ES"/>
                              </w:rPr>
                            </w:pPr>
                            <w:r>
                              <w:rPr>
                                <w:rFonts w:ascii="Leelawadee" w:hAnsi="Leelawadee" w:cs="Leelawadee"/>
                                <w:b/>
                                <w:bCs/>
                                <w:sz w:val="24"/>
                                <w:szCs w:val="24"/>
                                <w:lang w:val="es-ES"/>
                              </w:rPr>
                              <w:t xml:space="preserve">José </w:t>
                            </w:r>
                            <w:proofErr w:type="spellStart"/>
                            <w:r>
                              <w:rPr>
                                <w:rFonts w:ascii="Leelawadee" w:hAnsi="Leelawadee" w:cs="Leelawadee"/>
                                <w:b/>
                                <w:bCs/>
                                <w:sz w:val="24"/>
                                <w:szCs w:val="24"/>
                                <w:lang w:val="es-ES"/>
                              </w:rPr>
                              <w:t>Maria</w:t>
                            </w:r>
                            <w:proofErr w:type="spellEnd"/>
                            <w:r>
                              <w:rPr>
                                <w:rFonts w:ascii="Leelawadee" w:hAnsi="Leelawadee" w:cs="Leelawadee"/>
                                <w:b/>
                                <w:bCs/>
                                <w:sz w:val="24"/>
                                <w:szCs w:val="24"/>
                                <w:lang w:val="es-ES"/>
                              </w:rPr>
                              <w:t xml:space="preserve"> Pineda </w:t>
                            </w:r>
                          </w:p>
                          <w:p w14:paraId="0AFB6A28" w14:textId="77777777" w:rsidR="001D02D9" w:rsidRPr="001D02D9" w:rsidRDefault="001D02D9" w:rsidP="001D02D9">
                            <w:pPr>
                              <w:spacing w:after="120"/>
                              <w:jc w:val="center"/>
                              <w:rPr>
                                <w:rFonts w:ascii="Leelawadee" w:hAnsi="Leelawadee" w:cs="Leelawadee"/>
                                <w:lang w:val="es-419"/>
                              </w:rPr>
                            </w:pPr>
                            <w:r w:rsidRPr="001D02D9">
                              <w:rPr>
                                <w:rFonts w:ascii="Leelawadee" w:hAnsi="Leelawadee" w:cs="Leelawadee"/>
                                <w:lang w:val="es-419"/>
                              </w:rPr>
                              <w:t xml:space="preserve">Consejo Preventivo de la Tribu San Francisco de </w:t>
                            </w:r>
                            <w:proofErr w:type="spellStart"/>
                            <w:r w:rsidRPr="001D02D9">
                              <w:rPr>
                                <w:rFonts w:ascii="Leelawadee" w:hAnsi="Leelawadee" w:cs="Leelawadee"/>
                                <w:lang w:val="es-419"/>
                              </w:rPr>
                              <w:t>Locomapa</w:t>
                            </w:r>
                            <w:proofErr w:type="spellEnd"/>
                            <w:r w:rsidRPr="001D02D9">
                              <w:rPr>
                                <w:rFonts w:ascii="Leelawadee" w:hAnsi="Leelawadee" w:cs="Leelawadee"/>
                                <w:lang w:val="es-419"/>
                              </w:rPr>
                              <w:t>.</w:t>
                            </w:r>
                          </w:p>
                          <w:p w14:paraId="06CD010C" w14:textId="6381F0B0" w:rsidR="001D02D9" w:rsidRPr="001D02D9" w:rsidRDefault="001D02D9" w:rsidP="001D02D9">
                            <w:pPr>
                              <w:jc w:val="center"/>
                              <w:rPr>
                                <w:rFonts w:ascii="Leelawadee" w:hAnsi="Leelawadee" w:cs="Leelawadee" w:hint="cs"/>
                                <w:b/>
                                <w:bCs/>
                                <w:sz w:val="24"/>
                                <w:szCs w:val="24"/>
                                <w:lang w:val="es-ES"/>
                              </w:rPr>
                            </w:pPr>
                            <w:r w:rsidRPr="00F718D2">
                              <w:rPr>
                                <w:rFonts w:ascii="Leelawadee" w:hAnsi="Leelawadee" w:cs="Leelawadee"/>
                                <w:b/>
                                <w:bCs/>
                                <w:lang w:val="es-ES"/>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0875B" id="Cuadro de texto 7" o:spid="_x0000_s1029" type="#_x0000_t202" style="position:absolute;left:0;text-align:left;margin-left:267.95pt;margin-top:11.15pt;width:207.8pt;height:56.0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rSOggIAAGIFAAAOAAAAZHJzL2Uyb0RvYy54bWysVE1v2zAMvQ/YfxB0X52kWdMGdYosRYcB&#10;RVssHXpWZCkxJokapcTOfv0oOU67bpcOu9gSv0Q+PvLyqrWG7RSGGlzJhycDzpSTUNVuXfJvjzcf&#10;zjkLUbhKGHCq5HsV+NXs/bvLxk/VCDZgKoWMgrgwbXzJNzH6aVEEuVFWhBPwypFSA1oR6YrrokLR&#10;UHRritFgcFY0gJVHkCoEkl53Sj7L8bVWMt5rHVRkpuSUW8xfzN9V+hazSzFdo/CbWh7SEP+QhRW1&#10;o0ePoa5FFGyL9R+hbC0RAuh4IsEWoHUtVa6BqhkOXlWz3Aivci0ETvBHmML/Cyvvdg/I6qrkE86c&#10;sNSixVZUCKxSLKo2ApskkBofpmS79GQd20/QUrN7eSBhqr3VaNOfqmKkJ7j3R4gpEpMkHJ2dXgxG&#10;RApJuslweD4+TWGKZ2+PIX5WYFk6lByphRlZsbsNsTPtTdJjDm5qY3IbjftNQDGTpEipdynmU9wb&#10;leyM+6o0VZ4zTYIgcb1aGGQdPYi/VEFPkhyMHJKhpgff6HtwSd4qs/KN/ken/D64ePS3tQPMAOWZ&#10;UamAnSC2V99zgyhx3dn3UHQAJCxiu2pz73MPkmQF1Z46jNANSvDypqY23IoQHwTSZBAkNO3xnj7a&#10;QFNyOJw42wD+/Js82RNhSctZQ5NW8vBjK1BxZr44ovLFcDxOo5kv44+TEV3wpWb1UuO2dgFU3pD2&#10;ipf5mOyj6Y8awT7RUpinV0klnKS3Sx774yJ2DaalItV8no1oGL2It27pZQqdUE4ke2yfBPoDE9M0&#10;3EE/k2L6ipCdbfJ0MN9G0HVm6zOqB/xpkDPfD0snbYqX92z1vBpnvwAAAP//AwBQSwMEFAAGAAgA&#10;AAAhAIWmzYLeAAAACgEAAA8AAABkcnMvZG93bnJldi54bWxMj8tOwzAQRfdI/IM1SOyo3TwQCXEq&#10;BGILokCl7tx4mkTE4yh2m/D3DCtYju7RvWeqzeIGccYp9J40rFcKBFLjbU+tho/355s7ECEasmbw&#10;hBq+McCmvryoTGn9TG943sZWcAmF0mjoYhxLKUPToTNh5Uckzo5+cibyObXSTmbmcjfIRKlb6UxP&#10;vNCZER87bL62J6fh8+W432XqtX1y+Tj7RUlyhdT6+mp5uAcRcYl/MPzqszrU7HTwJ7JBDBryNC8Y&#10;1ZAkKQgGinydgzgwmWYZyLqS/1+ofwAAAP//AwBQSwECLQAUAAYACAAAACEAtoM4kv4AAADhAQAA&#10;EwAAAAAAAAAAAAAAAAAAAAAAW0NvbnRlbnRfVHlwZXNdLnhtbFBLAQItABQABgAIAAAAIQA4/SH/&#10;1gAAAJQBAAALAAAAAAAAAAAAAAAAAC8BAABfcmVscy8ucmVsc1BLAQItABQABgAIAAAAIQCvLrSO&#10;ggIAAGIFAAAOAAAAAAAAAAAAAAAAAC4CAABkcnMvZTJvRG9jLnhtbFBLAQItABQABgAIAAAAIQCF&#10;ps2C3gAAAAoBAAAPAAAAAAAAAAAAAAAAANwEAABkcnMvZG93bnJldi54bWxQSwUGAAAAAAQABADz&#10;AAAA5wUAAAAA&#10;" filled="f" stroked="f">
                <v:textbox>
                  <w:txbxContent>
                    <w:p w14:paraId="487060EA" w14:textId="60505735" w:rsidR="001D02D9" w:rsidRDefault="001D02D9" w:rsidP="001D02D9">
                      <w:pPr>
                        <w:jc w:val="center"/>
                        <w:rPr>
                          <w:rFonts w:ascii="Leelawadee" w:hAnsi="Leelawadee" w:cs="Leelawadee"/>
                          <w:b/>
                          <w:bCs/>
                          <w:sz w:val="24"/>
                          <w:szCs w:val="24"/>
                          <w:lang w:val="es-ES"/>
                        </w:rPr>
                      </w:pPr>
                      <w:r>
                        <w:rPr>
                          <w:rFonts w:ascii="Leelawadee" w:hAnsi="Leelawadee" w:cs="Leelawadee"/>
                          <w:b/>
                          <w:bCs/>
                          <w:sz w:val="24"/>
                          <w:szCs w:val="24"/>
                          <w:lang w:val="es-ES"/>
                        </w:rPr>
                        <w:t xml:space="preserve">José </w:t>
                      </w:r>
                      <w:proofErr w:type="spellStart"/>
                      <w:r>
                        <w:rPr>
                          <w:rFonts w:ascii="Leelawadee" w:hAnsi="Leelawadee" w:cs="Leelawadee"/>
                          <w:b/>
                          <w:bCs/>
                          <w:sz w:val="24"/>
                          <w:szCs w:val="24"/>
                          <w:lang w:val="es-ES"/>
                        </w:rPr>
                        <w:t>Maria</w:t>
                      </w:r>
                      <w:proofErr w:type="spellEnd"/>
                      <w:r>
                        <w:rPr>
                          <w:rFonts w:ascii="Leelawadee" w:hAnsi="Leelawadee" w:cs="Leelawadee"/>
                          <w:b/>
                          <w:bCs/>
                          <w:sz w:val="24"/>
                          <w:szCs w:val="24"/>
                          <w:lang w:val="es-ES"/>
                        </w:rPr>
                        <w:t xml:space="preserve"> Pineda </w:t>
                      </w:r>
                    </w:p>
                    <w:p w14:paraId="0AFB6A28" w14:textId="77777777" w:rsidR="001D02D9" w:rsidRPr="001D02D9" w:rsidRDefault="001D02D9" w:rsidP="001D02D9">
                      <w:pPr>
                        <w:spacing w:after="120"/>
                        <w:jc w:val="center"/>
                        <w:rPr>
                          <w:rFonts w:ascii="Leelawadee" w:hAnsi="Leelawadee" w:cs="Leelawadee"/>
                          <w:lang w:val="es-419"/>
                        </w:rPr>
                      </w:pPr>
                      <w:r w:rsidRPr="001D02D9">
                        <w:rPr>
                          <w:rFonts w:ascii="Leelawadee" w:hAnsi="Leelawadee" w:cs="Leelawadee"/>
                          <w:lang w:val="es-419"/>
                        </w:rPr>
                        <w:t xml:space="preserve">Consejo Preventivo de la Tribu San Francisco de </w:t>
                      </w:r>
                      <w:proofErr w:type="spellStart"/>
                      <w:r w:rsidRPr="001D02D9">
                        <w:rPr>
                          <w:rFonts w:ascii="Leelawadee" w:hAnsi="Leelawadee" w:cs="Leelawadee"/>
                          <w:lang w:val="es-419"/>
                        </w:rPr>
                        <w:t>Locomapa</w:t>
                      </w:r>
                      <w:proofErr w:type="spellEnd"/>
                      <w:r w:rsidRPr="001D02D9">
                        <w:rPr>
                          <w:rFonts w:ascii="Leelawadee" w:hAnsi="Leelawadee" w:cs="Leelawadee"/>
                          <w:lang w:val="es-419"/>
                        </w:rPr>
                        <w:t>.</w:t>
                      </w:r>
                    </w:p>
                    <w:p w14:paraId="06CD010C" w14:textId="6381F0B0" w:rsidR="001D02D9" w:rsidRPr="001D02D9" w:rsidRDefault="001D02D9" w:rsidP="001D02D9">
                      <w:pPr>
                        <w:jc w:val="center"/>
                        <w:rPr>
                          <w:rFonts w:ascii="Leelawadee" w:hAnsi="Leelawadee" w:cs="Leelawadee" w:hint="cs"/>
                          <w:b/>
                          <w:bCs/>
                          <w:sz w:val="24"/>
                          <w:szCs w:val="24"/>
                          <w:lang w:val="es-ES"/>
                        </w:rPr>
                      </w:pPr>
                      <w:r w:rsidRPr="00F718D2">
                        <w:rPr>
                          <w:rFonts w:ascii="Leelawadee" w:hAnsi="Leelawadee" w:cs="Leelawadee"/>
                          <w:b/>
                          <w:bCs/>
                          <w:lang w:val="es-ES"/>
                        </w:rPr>
                        <w:br/>
                      </w:r>
                    </w:p>
                  </w:txbxContent>
                </v:textbox>
                <w10:wrap anchorx="margin"/>
              </v:shape>
            </w:pict>
          </mc:Fallback>
        </mc:AlternateContent>
      </w:r>
    </w:p>
    <w:p w14:paraId="780B9C3F" w14:textId="70761AEA" w:rsidR="001D02D9" w:rsidRDefault="001D02D9" w:rsidP="00E2092E">
      <w:pPr>
        <w:spacing w:before="120" w:line="276" w:lineRule="auto"/>
        <w:jc w:val="both"/>
        <w:rPr>
          <w:rFonts w:ascii="Leelawadee" w:hAnsi="Leelawadee" w:cs="Leelawadee"/>
          <w:sz w:val="22"/>
          <w:szCs w:val="22"/>
          <w:lang w:val="es-419"/>
        </w:rPr>
      </w:pPr>
    </w:p>
    <w:p w14:paraId="7DF370ED" w14:textId="13977496" w:rsidR="001D02D9" w:rsidRDefault="001D02D9" w:rsidP="00E2092E">
      <w:pPr>
        <w:spacing w:before="120" w:line="276" w:lineRule="auto"/>
        <w:jc w:val="both"/>
        <w:rPr>
          <w:rFonts w:ascii="Leelawadee" w:hAnsi="Leelawadee" w:cs="Leelawadee"/>
          <w:sz w:val="22"/>
          <w:szCs w:val="22"/>
          <w:lang w:val="es-419"/>
        </w:rPr>
      </w:pPr>
    </w:p>
    <w:p w14:paraId="5A1562E5" w14:textId="1F25BA8D" w:rsidR="001D02D9" w:rsidRDefault="001D02D9" w:rsidP="00E2092E">
      <w:pPr>
        <w:spacing w:before="120" w:line="276" w:lineRule="auto"/>
        <w:jc w:val="both"/>
        <w:rPr>
          <w:rFonts w:ascii="Leelawadee" w:hAnsi="Leelawadee" w:cs="Leelawadee"/>
          <w:sz w:val="22"/>
          <w:szCs w:val="22"/>
          <w:lang w:val="es-419"/>
        </w:rPr>
      </w:pPr>
    </w:p>
    <w:p w14:paraId="1FF57BB7" w14:textId="0AA5F544" w:rsidR="001D02D9" w:rsidRDefault="007069E5" w:rsidP="00E2092E">
      <w:pPr>
        <w:spacing w:before="120" w:line="276" w:lineRule="auto"/>
        <w:jc w:val="both"/>
        <w:rPr>
          <w:rFonts w:ascii="Leelawadee" w:hAnsi="Leelawadee" w:cs="Leelawadee"/>
          <w:sz w:val="22"/>
          <w:szCs w:val="22"/>
          <w:lang w:val="es-419"/>
        </w:rPr>
      </w:pPr>
      <w:r>
        <w:rPr>
          <w:rFonts w:ascii="Leelawadee" w:hAnsi="Leelawadee" w:cs="Leelawadee"/>
          <w:noProof/>
          <w:sz w:val="22"/>
          <w:szCs w:val="22"/>
          <w:lang w:val="es-419"/>
        </w:rPr>
        <w:drawing>
          <wp:anchor distT="0" distB="0" distL="114300" distR="114300" simplePos="0" relativeHeight="251674624" behindDoc="1" locked="0" layoutInCell="1" allowOverlap="1" wp14:anchorId="6F7BFD13" wp14:editId="2553B47D">
            <wp:simplePos x="0" y="0"/>
            <wp:positionH relativeFrom="margin">
              <wp:posOffset>3248387</wp:posOffset>
            </wp:positionH>
            <wp:positionV relativeFrom="paragraph">
              <wp:posOffset>157230</wp:posOffset>
            </wp:positionV>
            <wp:extent cx="2717800" cy="474345"/>
            <wp:effectExtent l="0" t="0" r="6350" b="1905"/>
            <wp:wrapTight wrapText="bothSides">
              <wp:wrapPolygon edited="0">
                <wp:start x="0" y="0"/>
                <wp:lineTo x="0" y="20819"/>
                <wp:lineTo x="21499" y="20819"/>
                <wp:lineTo x="21499" y="0"/>
                <wp:lineTo x="0" y="0"/>
              </wp:wrapPolygon>
            </wp:wrapTight>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l="10619" t="52234" r="28746" b="2930"/>
                    <a:stretch/>
                  </pic:blipFill>
                  <pic:spPr bwMode="auto">
                    <a:xfrm>
                      <a:off x="0" y="0"/>
                      <a:ext cx="2717800" cy="4743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1" locked="0" layoutInCell="1" allowOverlap="1" wp14:anchorId="78120E16" wp14:editId="0E72C5BA">
            <wp:simplePos x="0" y="0"/>
            <wp:positionH relativeFrom="column">
              <wp:posOffset>688340</wp:posOffset>
            </wp:positionH>
            <wp:positionV relativeFrom="paragraph">
              <wp:posOffset>85090</wp:posOffset>
            </wp:positionV>
            <wp:extent cx="1986280" cy="705485"/>
            <wp:effectExtent l="0" t="0" r="0" b="0"/>
            <wp:wrapTight wrapText="bothSides">
              <wp:wrapPolygon edited="0">
                <wp:start x="0" y="0"/>
                <wp:lineTo x="0" y="20997"/>
                <wp:lineTo x="21338" y="20997"/>
                <wp:lineTo x="21338" y="0"/>
                <wp:lineTo x="0" y="0"/>
              </wp:wrapPolygon>
            </wp:wrapTight>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86280" cy="7054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B36C4F" w14:textId="4E7EC851" w:rsidR="007069E5" w:rsidRDefault="007069E5" w:rsidP="007069E5">
      <w:pPr>
        <w:pStyle w:val="NormalWeb"/>
      </w:pPr>
    </w:p>
    <w:p w14:paraId="08D108D1" w14:textId="24A1D2C1" w:rsidR="001D02D9" w:rsidRDefault="007069E5" w:rsidP="00E2092E">
      <w:pPr>
        <w:spacing w:before="120" w:line="276" w:lineRule="auto"/>
        <w:jc w:val="both"/>
        <w:rPr>
          <w:rFonts w:ascii="Leelawadee" w:hAnsi="Leelawadee" w:cs="Leelawadee"/>
          <w:sz w:val="22"/>
          <w:szCs w:val="22"/>
          <w:lang w:val="es-419"/>
        </w:rPr>
      </w:pPr>
      <w:r>
        <w:rPr>
          <w:noProof/>
        </w:rPr>
        <mc:AlternateContent>
          <mc:Choice Requires="wps">
            <w:drawing>
              <wp:anchor distT="0" distB="0" distL="114300" distR="114300" simplePos="0" relativeHeight="251672576" behindDoc="0" locked="0" layoutInCell="1" allowOverlap="1" wp14:anchorId="6B31B796" wp14:editId="1AE19F3C">
                <wp:simplePos x="0" y="0"/>
                <wp:positionH relativeFrom="margin">
                  <wp:posOffset>3182307</wp:posOffset>
                </wp:positionH>
                <wp:positionV relativeFrom="paragraph">
                  <wp:posOffset>4477</wp:posOffset>
                </wp:positionV>
                <wp:extent cx="2639028" cy="711843"/>
                <wp:effectExtent l="0" t="0" r="0" b="0"/>
                <wp:wrapNone/>
                <wp:docPr id="13" name="Cuadro de texto 13"/>
                <wp:cNvGraphicFramePr/>
                <a:graphic xmlns:a="http://schemas.openxmlformats.org/drawingml/2006/main">
                  <a:graphicData uri="http://schemas.microsoft.com/office/word/2010/wordprocessingShape">
                    <wps:wsp>
                      <wps:cNvSpPr txBox="1"/>
                      <wps:spPr>
                        <a:xfrm>
                          <a:off x="0" y="0"/>
                          <a:ext cx="2639028" cy="71184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4247DED" w14:textId="5BB42684" w:rsidR="001D02D9" w:rsidRDefault="007069E5" w:rsidP="001D02D9">
                            <w:pPr>
                              <w:jc w:val="center"/>
                              <w:rPr>
                                <w:rFonts w:ascii="Leelawadee" w:hAnsi="Leelawadee" w:cs="Leelawadee"/>
                                <w:b/>
                                <w:bCs/>
                                <w:sz w:val="24"/>
                                <w:szCs w:val="24"/>
                                <w:lang w:val="es-ES"/>
                              </w:rPr>
                            </w:pPr>
                            <w:r>
                              <w:rPr>
                                <w:rFonts w:ascii="Leelawadee" w:hAnsi="Leelawadee" w:cs="Leelawadee"/>
                                <w:b/>
                                <w:bCs/>
                                <w:sz w:val="24"/>
                                <w:szCs w:val="24"/>
                                <w:lang w:val="es-ES"/>
                              </w:rPr>
                              <w:t xml:space="preserve">Javier Humberto Madrid </w:t>
                            </w:r>
                          </w:p>
                          <w:p w14:paraId="06FF90EB" w14:textId="2BC709C0" w:rsidR="001D02D9" w:rsidRPr="007069E5" w:rsidRDefault="007069E5" w:rsidP="001D02D9">
                            <w:pPr>
                              <w:spacing w:after="120"/>
                              <w:jc w:val="center"/>
                              <w:rPr>
                                <w:rFonts w:ascii="Leelawadee" w:hAnsi="Leelawadee" w:cs="Leelawadee"/>
                                <w:lang w:val="es-419"/>
                              </w:rPr>
                            </w:pPr>
                            <w:r w:rsidRPr="007069E5">
                              <w:rPr>
                                <w:rFonts w:ascii="Leelawadee" w:hAnsi="Leelawadee" w:cs="Leelawadee"/>
                                <w:lang w:val="es-419"/>
                              </w:rPr>
                              <w:t>Consejo Indígena Maya Chortí de la comunidad de Azacualpa</w:t>
                            </w:r>
                            <w:r w:rsidR="001D02D9" w:rsidRPr="007069E5">
                              <w:rPr>
                                <w:rFonts w:ascii="Leelawadee" w:hAnsi="Leelawadee" w:cs="Leelawadee"/>
                                <w:lang w:val="es-419"/>
                              </w:rPr>
                              <w:t>.</w:t>
                            </w:r>
                          </w:p>
                          <w:p w14:paraId="1567341B" w14:textId="77777777" w:rsidR="001D02D9" w:rsidRPr="001D02D9" w:rsidRDefault="001D02D9" w:rsidP="001D02D9">
                            <w:pPr>
                              <w:jc w:val="center"/>
                              <w:rPr>
                                <w:rFonts w:ascii="Leelawadee" w:hAnsi="Leelawadee" w:cs="Leelawadee" w:hint="cs"/>
                                <w:b/>
                                <w:bCs/>
                                <w:sz w:val="24"/>
                                <w:szCs w:val="24"/>
                                <w:lang w:val="es-ES"/>
                              </w:rPr>
                            </w:pPr>
                            <w:r w:rsidRPr="00F718D2">
                              <w:rPr>
                                <w:rFonts w:ascii="Leelawadee" w:hAnsi="Leelawadee" w:cs="Leelawadee"/>
                                <w:b/>
                                <w:bCs/>
                                <w:lang w:val="es-ES"/>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31B796" id="Cuadro de texto 13" o:spid="_x0000_s1030" type="#_x0000_t202" style="position:absolute;left:0;text-align:left;margin-left:250.6pt;margin-top:.35pt;width:207.8pt;height:56.0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pIhAIAAGQFAAAOAAAAZHJzL2Uyb0RvYy54bWysVE1v2zAMvQ/YfxB0X52kWT+COkWWosOA&#10;oi3WDj0rspQYk0VNUhJnv35Pcpx23S4ddrEl8pEiHz8uLtvGsI3yoSZb8uHRgDNlJVW1XZb82+P1&#10;hzPOQhS2EoasKvlOBX45ff/uYusmakQrMpXyDE5smGxdyVcxuklRBLlSjQhH5JSFUpNvRMTVL4vK&#10;iy28N6YYDQYnxZZ85TxJFQKkV52ST7N/rZWMd1oHFZkpOWKL+evzd5G+xfRCTJZeuFUt92GIf4ii&#10;EbXFowdXVyIKtvb1H66aWnoKpOORpKYgrWupcg7IZjh4lc3DSjiVcwE5wR1oCv/Prbzd3HtWV6jd&#10;MWdWNKjRfC0qT6xSLKo2EoMGNG1dmAD94ICP7SdqYdLLA4Qp+1b7Jv2RF4MehO8OJMMVkxCOTo7P&#10;ByO0hYTudDg8G2f3xbO18yF+VtSwdCi5RxEzt2JzEyIiAbSHpMcsXdfG5EIa+5sAwCQpUuhdiPkU&#10;d0YlnLFflUbuOdIkCNIvF3PjWdcg6GBk0LdJdgaDBNR48I22e5NkrXJfvtH+YJTfJxsP9k1tyWeC&#10;8tSolMBGoN+r77lACFx3+J6KjoDERWwXba7+uC/lgqodKuypG5Xg5HWNMtyIEO+Fx2yAEsx7vMNH&#10;G9qWnPYnzlbkf/5NnvBoWWg522LWSh5+rIVXnJkvFs18PhyP03Dmy/jj6QgX/1KzeKmx62ZOSG+I&#10;zeJkPiZ8NP1Re2qesBZm6VWohJV4u+SxP85jV2CsFalmswzCODoRb+yDk8l1Yjk12WP7JLzbd2Ia&#10;h1vqp1JMXjVkh02WlmbrSLrO3Zp47ljd849Rzk28XztpV7y8Z9Tzcpz+AgAA//8DAFBLAwQUAAYA&#10;CAAAACEAziHtztwAAAAIAQAADwAAAGRycy9kb3ducmV2LnhtbEyPy07DMBBF90j8gzVI7KidiJY2&#10;xKkQiC2I8pDYTeNpEhGPo9htwt8zrGA5ukd3zi23s+/VicbYBbaQLQwo4jq4jhsLb6+PV2tQMSE7&#10;7AOThW+KsK3Oz0osXJj4hU671Cgp4VighTalodA61i15jIswEEt2CKPHJOfYaDfiJOW+17kxK+2x&#10;Y/nQ4kD3LdVfu6O38P50+Py4Ns/Ng18OU5iNZr/R1l5ezHe3oBLN6Q+GX31Rh0qc9uHILqrewtJk&#10;uaAWbkBJvMlWsmQvXJavQVel/j+g+gEAAP//AwBQSwECLQAUAAYACAAAACEAtoM4kv4AAADhAQAA&#10;EwAAAAAAAAAAAAAAAAAAAAAAW0NvbnRlbnRfVHlwZXNdLnhtbFBLAQItABQABgAIAAAAIQA4/SH/&#10;1gAAAJQBAAALAAAAAAAAAAAAAAAAAC8BAABfcmVscy8ucmVsc1BLAQItABQABgAIAAAAIQC+LOpI&#10;hAIAAGQFAAAOAAAAAAAAAAAAAAAAAC4CAABkcnMvZTJvRG9jLnhtbFBLAQItABQABgAIAAAAIQDO&#10;Ie3O3AAAAAgBAAAPAAAAAAAAAAAAAAAAAN4EAABkcnMvZG93bnJldi54bWxQSwUGAAAAAAQABADz&#10;AAAA5wUAAAAA&#10;" filled="f" stroked="f">
                <v:textbox>
                  <w:txbxContent>
                    <w:p w14:paraId="04247DED" w14:textId="5BB42684" w:rsidR="001D02D9" w:rsidRDefault="007069E5" w:rsidP="001D02D9">
                      <w:pPr>
                        <w:jc w:val="center"/>
                        <w:rPr>
                          <w:rFonts w:ascii="Leelawadee" w:hAnsi="Leelawadee" w:cs="Leelawadee"/>
                          <w:b/>
                          <w:bCs/>
                          <w:sz w:val="24"/>
                          <w:szCs w:val="24"/>
                          <w:lang w:val="es-ES"/>
                        </w:rPr>
                      </w:pPr>
                      <w:r>
                        <w:rPr>
                          <w:rFonts w:ascii="Leelawadee" w:hAnsi="Leelawadee" w:cs="Leelawadee"/>
                          <w:b/>
                          <w:bCs/>
                          <w:sz w:val="24"/>
                          <w:szCs w:val="24"/>
                          <w:lang w:val="es-ES"/>
                        </w:rPr>
                        <w:t xml:space="preserve">Javier Humberto Madrid </w:t>
                      </w:r>
                    </w:p>
                    <w:p w14:paraId="06FF90EB" w14:textId="2BC709C0" w:rsidR="001D02D9" w:rsidRPr="007069E5" w:rsidRDefault="007069E5" w:rsidP="001D02D9">
                      <w:pPr>
                        <w:spacing w:after="120"/>
                        <w:jc w:val="center"/>
                        <w:rPr>
                          <w:rFonts w:ascii="Leelawadee" w:hAnsi="Leelawadee" w:cs="Leelawadee"/>
                          <w:lang w:val="es-419"/>
                        </w:rPr>
                      </w:pPr>
                      <w:r w:rsidRPr="007069E5">
                        <w:rPr>
                          <w:rFonts w:ascii="Leelawadee" w:hAnsi="Leelawadee" w:cs="Leelawadee"/>
                          <w:lang w:val="es-419"/>
                        </w:rPr>
                        <w:t>Consejo Indígena Maya Chortí de la comunidad de Azacualpa</w:t>
                      </w:r>
                      <w:r w:rsidR="001D02D9" w:rsidRPr="007069E5">
                        <w:rPr>
                          <w:rFonts w:ascii="Leelawadee" w:hAnsi="Leelawadee" w:cs="Leelawadee"/>
                          <w:lang w:val="es-419"/>
                        </w:rPr>
                        <w:t>.</w:t>
                      </w:r>
                    </w:p>
                    <w:p w14:paraId="1567341B" w14:textId="77777777" w:rsidR="001D02D9" w:rsidRPr="001D02D9" w:rsidRDefault="001D02D9" w:rsidP="001D02D9">
                      <w:pPr>
                        <w:jc w:val="center"/>
                        <w:rPr>
                          <w:rFonts w:ascii="Leelawadee" w:hAnsi="Leelawadee" w:cs="Leelawadee" w:hint="cs"/>
                          <w:b/>
                          <w:bCs/>
                          <w:sz w:val="24"/>
                          <w:szCs w:val="24"/>
                          <w:lang w:val="es-ES"/>
                        </w:rPr>
                      </w:pPr>
                      <w:r w:rsidRPr="00F718D2">
                        <w:rPr>
                          <w:rFonts w:ascii="Leelawadee" w:hAnsi="Leelawadee" w:cs="Leelawadee"/>
                          <w:b/>
                          <w:bCs/>
                          <w:lang w:val="es-ES"/>
                        </w:rPr>
                        <w:br/>
                      </w:r>
                    </w:p>
                  </w:txbxContent>
                </v:textbox>
                <w10:wrap anchorx="margin"/>
              </v:shape>
            </w:pict>
          </mc:Fallback>
        </mc:AlternateContent>
      </w:r>
      <w:r>
        <w:rPr>
          <w:noProof/>
        </w:rPr>
        <mc:AlternateContent>
          <mc:Choice Requires="wps">
            <w:drawing>
              <wp:anchor distT="0" distB="0" distL="114300" distR="114300" simplePos="0" relativeHeight="251670528" behindDoc="0" locked="0" layoutInCell="1" allowOverlap="1" wp14:anchorId="713EFA2B" wp14:editId="5128B873">
                <wp:simplePos x="0" y="0"/>
                <wp:positionH relativeFrom="margin">
                  <wp:posOffset>144683</wp:posOffset>
                </wp:positionH>
                <wp:positionV relativeFrom="paragraph">
                  <wp:posOffset>7089</wp:posOffset>
                </wp:positionV>
                <wp:extent cx="2639028" cy="711843"/>
                <wp:effectExtent l="0" t="0" r="0" b="0"/>
                <wp:wrapNone/>
                <wp:docPr id="12" name="Cuadro de texto 12"/>
                <wp:cNvGraphicFramePr/>
                <a:graphic xmlns:a="http://schemas.openxmlformats.org/drawingml/2006/main">
                  <a:graphicData uri="http://schemas.microsoft.com/office/word/2010/wordprocessingShape">
                    <wps:wsp>
                      <wps:cNvSpPr txBox="1"/>
                      <wps:spPr>
                        <a:xfrm>
                          <a:off x="0" y="0"/>
                          <a:ext cx="2639028" cy="71184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D5FD484" w14:textId="3B218B1B" w:rsidR="001D02D9" w:rsidRDefault="007069E5" w:rsidP="001D02D9">
                            <w:pPr>
                              <w:jc w:val="center"/>
                              <w:rPr>
                                <w:rFonts w:ascii="Leelawadee" w:hAnsi="Leelawadee" w:cs="Leelawadee"/>
                                <w:b/>
                                <w:bCs/>
                                <w:sz w:val="24"/>
                                <w:szCs w:val="24"/>
                                <w:lang w:val="es-ES"/>
                              </w:rPr>
                            </w:pPr>
                            <w:r>
                              <w:rPr>
                                <w:rFonts w:ascii="Leelawadee" w:hAnsi="Leelawadee" w:cs="Leelawadee"/>
                                <w:b/>
                                <w:bCs/>
                                <w:sz w:val="24"/>
                                <w:szCs w:val="24"/>
                                <w:lang w:val="es-ES"/>
                              </w:rPr>
                              <w:t>Ramon Matute</w:t>
                            </w:r>
                          </w:p>
                          <w:p w14:paraId="7068B0F4" w14:textId="784E3B82" w:rsidR="001D02D9" w:rsidRPr="001D02D9" w:rsidRDefault="001D02D9" w:rsidP="001D02D9">
                            <w:pPr>
                              <w:spacing w:after="120"/>
                              <w:jc w:val="center"/>
                              <w:rPr>
                                <w:rFonts w:ascii="Leelawadee" w:hAnsi="Leelawadee" w:cs="Leelawadee"/>
                                <w:lang w:val="es-419"/>
                              </w:rPr>
                            </w:pPr>
                            <w:r w:rsidRPr="001D02D9">
                              <w:rPr>
                                <w:rFonts w:ascii="Leelawadee" w:hAnsi="Leelawadee" w:cs="Leelawadee"/>
                                <w:lang w:val="es-419"/>
                              </w:rPr>
                              <w:t xml:space="preserve">Consejo </w:t>
                            </w:r>
                            <w:r w:rsidR="007069E5">
                              <w:rPr>
                                <w:rFonts w:ascii="Leelawadee" w:hAnsi="Leelawadee" w:cs="Leelawadee"/>
                                <w:lang w:val="es-419"/>
                              </w:rPr>
                              <w:t>Directivo</w:t>
                            </w:r>
                            <w:r w:rsidRPr="001D02D9">
                              <w:rPr>
                                <w:rFonts w:ascii="Leelawadee" w:hAnsi="Leelawadee" w:cs="Leelawadee"/>
                                <w:lang w:val="es-419"/>
                              </w:rPr>
                              <w:t xml:space="preserve"> de la Tribu San Francisco de </w:t>
                            </w:r>
                            <w:proofErr w:type="spellStart"/>
                            <w:r w:rsidRPr="001D02D9">
                              <w:rPr>
                                <w:rFonts w:ascii="Leelawadee" w:hAnsi="Leelawadee" w:cs="Leelawadee"/>
                                <w:lang w:val="es-419"/>
                              </w:rPr>
                              <w:t>Locomapa</w:t>
                            </w:r>
                            <w:proofErr w:type="spellEnd"/>
                            <w:r w:rsidRPr="001D02D9">
                              <w:rPr>
                                <w:rFonts w:ascii="Leelawadee" w:hAnsi="Leelawadee" w:cs="Leelawadee"/>
                                <w:lang w:val="es-419"/>
                              </w:rPr>
                              <w:t>.</w:t>
                            </w:r>
                          </w:p>
                          <w:p w14:paraId="7B597B25" w14:textId="77777777" w:rsidR="001D02D9" w:rsidRPr="001D02D9" w:rsidRDefault="001D02D9" w:rsidP="001D02D9">
                            <w:pPr>
                              <w:jc w:val="center"/>
                              <w:rPr>
                                <w:rFonts w:ascii="Leelawadee" w:hAnsi="Leelawadee" w:cs="Leelawadee" w:hint="cs"/>
                                <w:b/>
                                <w:bCs/>
                                <w:sz w:val="24"/>
                                <w:szCs w:val="24"/>
                                <w:lang w:val="es-ES"/>
                              </w:rPr>
                            </w:pPr>
                            <w:r w:rsidRPr="00F718D2">
                              <w:rPr>
                                <w:rFonts w:ascii="Leelawadee" w:hAnsi="Leelawadee" w:cs="Leelawadee"/>
                                <w:b/>
                                <w:bCs/>
                                <w:lang w:val="es-ES"/>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3EFA2B" id="Cuadro de texto 12" o:spid="_x0000_s1031" type="#_x0000_t202" style="position:absolute;left:0;text-align:left;margin-left:11.4pt;margin-top:.55pt;width:207.8pt;height:56.0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ofpgwIAAGQFAAAOAAAAZHJzL2Uyb0RvYy54bWysVEtv2zAMvg/YfxB0X52k6SuoU2QpOgwo&#10;2mLp0LMiS4kxSdQoJXb260vJcdp1u3TYxZb4EvnxIy+vWmvYVmGowZV8eDTgTDkJVe1WJf/+ePPp&#10;nLMQhauEAadKvlOBX00/frhs/ESNYA2mUsgoiAuTxpd8HaOfFEWQa2VFOAKvHCk1oBWRrrgqKhQN&#10;RbemGA0Gp0UDWHkEqUIg6XWn5NMcX2sl473WQUVmSk65xfzF/F2mbzG9FJMVCr+u5T4N8Q9ZWFE7&#10;evQQ6lpEwTZY/xHK1hIhgI5HEmwBWtdS5RqomuHgTTWLtfAq10LgBH+AKfy/sPJu+4Csrqh3I86c&#10;sNSj+UZUCKxSLKo2AiMNwdT4MCHrhSf72H6Gllx6eSBhqr7VaNOf6mKkJ8B3B5ApFJMkHJ0eXwxG&#10;RAtJurPh8Hx8nMIUL94eQ/yiwLJ0KDlSEzO2YnsbYmfam6THHNzUxuRGGvebgGImSZFS71LMp7gz&#10;KtkZ901pqj1nmgRB4mo5N8g6ghCDqYKeJjkYOSRDTQ++03fvkrxV5uU7/Q9O+X1w8eBvaweYAcpT&#10;o1IBW0F8r37kBlHiurPvoegASFjEdtnm7p/0rVxCtaMOI3SjEry8qakNtyLEB4E0GwQJzXu8p482&#10;0JQc9ifO1oC//iZP9kRZ0nLW0KyVPPzcCFScma+OyHwxHI/TcObL+ORsRBd8rVm+1riNnQOVN6TN&#10;4mU+Jvto+qNGsE+0FmbpVVIJJ+ntksf+OI9dg2mtSDWbZSMaRy/irVt4mUInlBPJHtsngX7PxDQO&#10;d9BPpZi8IWRnmzwdzDYRdJ3ZmnDuUN3jT6Oc+b5fO2lXvL5nq5flOH0GAAD//wMAUEsDBBQABgAI&#10;AAAAIQAbGAVr2wAAAAgBAAAPAAAAZHJzL2Rvd25yZXYueG1sTI/NTsMwEITvSLyDtUjc6LppQCXE&#10;qRCIK4jyI3Fz420SEa+j2G3C27M9wXF2VjPflJvZ9+pIY+wCG1guNCjiOriOGwPvb09Xa1AxWXa2&#10;D0wGfijCpjo/K23hwsSvdNymRkkIx8IaaFMaCsRYt+RtXISBWLx9GL1NIscG3WgnCfc9ZlrfoLcd&#10;S0NrB3poqf7eHryBj+f912euX5pHfz1MYdbI/haNubyY7+9AJZrT3zOc8AUdKmHahQO7qHoDWSbk&#10;Se5LUGLnq3UOanfSqwywKvH/gOoXAAD//wMAUEsBAi0AFAAGAAgAAAAhALaDOJL+AAAA4QEAABMA&#10;AAAAAAAAAAAAAAAAAAAAAFtDb250ZW50X1R5cGVzXS54bWxQSwECLQAUAAYACAAAACEAOP0h/9YA&#10;AACUAQAACwAAAAAAAAAAAAAAAAAvAQAAX3JlbHMvLnJlbHNQSwECLQAUAAYACAAAACEA+K6H6YMC&#10;AABkBQAADgAAAAAAAAAAAAAAAAAuAgAAZHJzL2Uyb0RvYy54bWxQSwECLQAUAAYACAAAACEAGxgF&#10;a9sAAAAIAQAADwAAAAAAAAAAAAAAAADdBAAAZHJzL2Rvd25yZXYueG1sUEsFBgAAAAAEAAQA8wAA&#10;AOUFAAAAAA==&#10;" filled="f" stroked="f">
                <v:textbox>
                  <w:txbxContent>
                    <w:p w14:paraId="4D5FD484" w14:textId="3B218B1B" w:rsidR="001D02D9" w:rsidRDefault="007069E5" w:rsidP="001D02D9">
                      <w:pPr>
                        <w:jc w:val="center"/>
                        <w:rPr>
                          <w:rFonts w:ascii="Leelawadee" w:hAnsi="Leelawadee" w:cs="Leelawadee"/>
                          <w:b/>
                          <w:bCs/>
                          <w:sz w:val="24"/>
                          <w:szCs w:val="24"/>
                          <w:lang w:val="es-ES"/>
                        </w:rPr>
                      </w:pPr>
                      <w:r>
                        <w:rPr>
                          <w:rFonts w:ascii="Leelawadee" w:hAnsi="Leelawadee" w:cs="Leelawadee"/>
                          <w:b/>
                          <w:bCs/>
                          <w:sz w:val="24"/>
                          <w:szCs w:val="24"/>
                          <w:lang w:val="es-ES"/>
                        </w:rPr>
                        <w:t>Ramon Matute</w:t>
                      </w:r>
                    </w:p>
                    <w:p w14:paraId="7068B0F4" w14:textId="784E3B82" w:rsidR="001D02D9" w:rsidRPr="001D02D9" w:rsidRDefault="001D02D9" w:rsidP="001D02D9">
                      <w:pPr>
                        <w:spacing w:after="120"/>
                        <w:jc w:val="center"/>
                        <w:rPr>
                          <w:rFonts w:ascii="Leelawadee" w:hAnsi="Leelawadee" w:cs="Leelawadee"/>
                          <w:lang w:val="es-419"/>
                        </w:rPr>
                      </w:pPr>
                      <w:r w:rsidRPr="001D02D9">
                        <w:rPr>
                          <w:rFonts w:ascii="Leelawadee" w:hAnsi="Leelawadee" w:cs="Leelawadee"/>
                          <w:lang w:val="es-419"/>
                        </w:rPr>
                        <w:t xml:space="preserve">Consejo </w:t>
                      </w:r>
                      <w:r w:rsidR="007069E5">
                        <w:rPr>
                          <w:rFonts w:ascii="Leelawadee" w:hAnsi="Leelawadee" w:cs="Leelawadee"/>
                          <w:lang w:val="es-419"/>
                        </w:rPr>
                        <w:t>Directivo</w:t>
                      </w:r>
                      <w:r w:rsidRPr="001D02D9">
                        <w:rPr>
                          <w:rFonts w:ascii="Leelawadee" w:hAnsi="Leelawadee" w:cs="Leelawadee"/>
                          <w:lang w:val="es-419"/>
                        </w:rPr>
                        <w:t xml:space="preserve"> de la Tribu San Francisco de </w:t>
                      </w:r>
                      <w:proofErr w:type="spellStart"/>
                      <w:r w:rsidRPr="001D02D9">
                        <w:rPr>
                          <w:rFonts w:ascii="Leelawadee" w:hAnsi="Leelawadee" w:cs="Leelawadee"/>
                          <w:lang w:val="es-419"/>
                        </w:rPr>
                        <w:t>Locomapa</w:t>
                      </w:r>
                      <w:proofErr w:type="spellEnd"/>
                      <w:r w:rsidRPr="001D02D9">
                        <w:rPr>
                          <w:rFonts w:ascii="Leelawadee" w:hAnsi="Leelawadee" w:cs="Leelawadee"/>
                          <w:lang w:val="es-419"/>
                        </w:rPr>
                        <w:t>.</w:t>
                      </w:r>
                    </w:p>
                    <w:p w14:paraId="7B597B25" w14:textId="77777777" w:rsidR="001D02D9" w:rsidRPr="001D02D9" w:rsidRDefault="001D02D9" w:rsidP="001D02D9">
                      <w:pPr>
                        <w:jc w:val="center"/>
                        <w:rPr>
                          <w:rFonts w:ascii="Leelawadee" w:hAnsi="Leelawadee" w:cs="Leelawadee" w:hint="cs"/>
                          <w:b/>
                          <w:bCs/>
                          <w:sz w:val="24"/>
                          <w:szCs w:val="24"/>
                          <w:lang w:val="es-ES"/>
                        </w:rPr>
                      </w:pPr>
                      <w:r w:rsidRPr="00F718D2">
                        <w:rPr>
                          <w:rFonts w:ascii="Leelawadee" w:hAnsi="Leelawadee" w:cs="Leelawadee"/>
                          <w:b/>
                          <w:bCs/>
                          <w:lang w:val="es-ES"/>
                        </w:rPr>
                        <w:br/>
                      </w:r>
                    </w:p>
                  </w:txbxContent>
                </v:textbox>
                <w10:wrap anchorx="margin"/>
              </v:shape>
            </w:pict>
          </mc:Fallback>
        </mc:AlternateContent>
      </w:r>
    </w:p>
    <w:p w14:paraId="37E400EB" w14:textId="74A9F468" w:rsidR="001D02D9" w:rsidRDefault="001D02D9" w:rsidP="00E2092E">
      <w:pPr>
        <w:spacing w:before="120" w:line="276" w:lineRule="auto"/>
        <w:jc w:val="both"/>
        <w:rPr>
          <w:rFonts w:ascii="Leelawadee" w:hAnsi="Leelawadee" w:cs="Leelawadee"/>
          <w:sz w:val="22"/>
          <w:szCs w:val="22"/>
          <w:lang w:val="es-419"/>
        </w:rPr>
      </w:pPr>
    </w:p>
    <w:p w14:paraId="50E79AE3" w14:textId="5B85793F" w:rsidR="001D02D9" w:rsidRDefault="001D02D9" w:rsidP="00E2092E">
      <w:pPr>
        <w:spacing w:before="120" w:line="276" w:lineRule="auto"/>
        <w:jc w:val="both"/>
        <w:rPr>
          <w:rFonts w:ascii="Leelawadee" w:hAnsi="Leelawadee" w:cs="Leelawadee"/>
          <w:sz w:val="22"/>
          <w:szCs w:val="22"/>
          <w:lang w:val="es-419"/>
        </w:rPr>
      </w:pPr>
    </w:p>
    <w:p w14:paraId="775053C4" w14:textId="3908E0B8" w:rsidR="001D02D9" w:rsidRPr="001D02D9" w:rsidRDefault="001D02D9" w:rsidP="001D02D9">
      <w:pPr>
        <w:spacing w:before="120" w:line="276" w:lineRule="auto"/>
        <w:jc w:val="both"/>
        <w:rPr>
          <w:rFonts w:ascii="Leelawadee" w:hAnsi="Leelawadee" w:cs="Leelawadee"/>
          <w:sz w:val="22"/>
          <w:szCs w:val="22"/>
          <w:lang w:val="es-HN"/>
        </w:rPr>
      </w:pPr>
    </w:p>
    <w:p w14:paraId="5AD91845" w14:textId="4ACB6846" w:rsidR="001D02D9" w:rsidRPr="00E2092E" w:rsidRDefault="001D02D9" w:rsidP="00E2092E">
      <w:pPr>
        <w:spacing w:before="120" w:line="276" w:lineRule="auto"/>
        <w:jc w:val="both"/>
        <w:rPr>
          <w:rFonts w:ascii="Leelawadee" w:hAnsi="Leelawadee" w:cs="Leelawadee"/>
          <w:sz w:val="22"/>
          <w:szCs w:val="22"/>
          <w:lang w:val="es-419"/>
        </w:rPr>
      </w:pPr>
    </w:p>
    <w:sectPr w:rsidR="001D02D9" w:rsidRPr="00E2092E" w:rsidSect="00E2092E">
      <w:headerReference w:type="even" r:id="rId14"/>
      <w:headerReference w:type="default" r:id="rId15"/>
      <w:footerReference w:type="even" r:id="rId16"/>
      <w:footerReference w:type="default" r:id="rId17"/>
      <w:headerReference w:type="first" r:id="rId18"/>
      <w:footerReference w:type="first" r:id="rId19"/>
      <w:pgSz w:w="12240" w:h="15840" w:code="1"/>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51CDA" w14:textId="77777777" w:rsidR="00CE7F1D" w:rsidRDefault="00CE7F1D">
      <w:r>
        <w:separator/>
      </w:r>
    </w:p>
  </w:endnote>
  <w:endnote w:type="continuationSeparator" w:id="0">
    <w:p w14:paraId="3BDB34C4" w14:textId="77777777" w:rsidR="00CE7F1D" w:rsidRDefault="00CE7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Leelawadee">
    <w:charset w:val="DE"/>
    <w:family w:val="swiss"/>
    <w:pitch w:val="variable"/>
    <w:sig w:usb0="81000003" w:usb1="00000000" w:usb2="00000000" w:usb3="00000000" w:csb0="00010001" w:csb1="00000000"/>
  </w:font>
  <w:font w:name="Arial Narrow">
    <w:panose1 w:val="020B0606020202030204"/>
    <w:charset w:val="00"/>
    <w:family w:val="swiss"/>
    <w:pitch w:val="variable"/>
    <w:sig w:usb0="00000287" w:usb1="00000800" w:usb2="00000000" w:usb3="00000000" w:csb0="000000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0D3D8" w14:textId="77777777" w:rsidR="000B6963" w:rsidRDefault="000B696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376C0" w14:textId="77777777" w:rsidR="00D41B41" w:rsidRDefault="009F2540">
    <w:pPr>
      <w:jc w:val="center"/>
    </w:pPr>
    <w:r>
      <w:rPr>
        <w:sz w:val="18"/>
        <w:szCs w:val="18"/>
      </w:rPr>
      <w:fldChar w:fldCharType="begin"/>
    </w:r>
    <w:r>
      <w:rPr>
        <w:sz w:val="18"/>
        <w:szCs w:val="18"/>
      </w:rPr>
      <w:instrText>PAGE</w:instrText>
    </w:r>
    <w:r>
      <w:rPr>
        <w:sz w:val="18"/>
        <w:szCs w:val="18"/>
      </w:rPr>
      <w:fldChar w:fldCharType="separate"/>
    </w:r>
    <w:r w:rsidR="00E2092E">
      <w:rPr>
        <w:noProof/>
        <w:sz w:val="18"/>
        <w:szCs w:val="18"/>
      </w:rPr>
      <w:t>1</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8F3CB" w14:textId="77777777" w:rsidR="000B6963" w:rsidRDefault="000B696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BDDC3" w14:textId="77777777" w:rsidR="00CE7F1D" w:rsidRDefault="00CE7F1D">
      <w:r>
        <w:separator/>
      </w:r>
    </w:p>
  </w:footnote>
  <w:footnote w:type="continuationSeparator" w:id="0">
    <w:p w14:paraId="059083EC" w14:textId="77777777" w:rsidR="00CE7F1D" w:rsidRDefault="00CE7F1D">
      <w:r>
        <w:continuationSeparator/>
      </w:r>
    </w:p>
  </w:footnote>
  <w:footnote w:id="1">
    <w:p w14:paraId="20911207"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Comité para la Eliminación de la Discriminación Racial, Observaciones finales sobre los informes periódicos 6.º a 8.º combinados de Honduras, CERD/C/HND/CO/6-8, 2019.</w:t>
      </w:r>
    </w:p>
  </w:footnote>
  <w:footnote w:id="2">
    <w:p w14:paraId="786D6CB5"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Comité para la Eliminación de la Discriminación Racial, Lista de temas relativa a los informes periódicos 9.º a 11.º combinados de Honduras, CERD/C/HND/Q/9-11, 15 de junio de 2026 (versión preliminar sin editar).</w:t>
      </w:r>
    </w:p>
  </w:footnote>
  <w:footnote w:id="3">
    <w:p w14:paraId="18F0579D"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CERD, Recomendación general N.º VIII relativa a la interpretación y la aplicación de los párrafos 1 y 4 del artículo 1 de la Convención (identificación con un determinado grupo racial o étnico), 1990. Véase también Convenio 169 de la OIT, art. 1.2, y Declaración de las Naciones Unidas sobre los Derechos de los Pueblos Indígenas (DNUDPI), art. 33.</w:t>
      </w:r>
    </w:p>
  </w:footnote>
  <w:footnote w:id="4">
    <w:p w14:paraId="575DDF40"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rPr>
        <w:t xml:space="preserve"> CERD/C/HND/CO/6-8, párrs. </w:t>
      </w:r>
      <w:r w:rsidRPr="00E2092E">
        <w:rPr>
          <w:rFonts w:ascii="Arial Narrow" w:hAnsi="Arial Narrow"/>
          <w:sz w:val="18"/>
          <w:szCs w:val="18"/>
          <w:lang w:val="es-419"/>
        </w:rPr>
        <w:t>16 a 27 (discriminación estructural, consulta previa, tierras, territorios y recursos naturales, desarrollo de proyectos económicos, defensores de derechos humanos y situación de La Mosquitia) y 38 y 39 (acceso a la justicia).</w:t>
      </w:r>
    </w:p>
  </w:footnote>
  <w:footnote w:id="5">
    <w:p w14:paraId="474A8373"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CIDH, Resolución 12/2013, Medida Cautelar N.º 416-13, Asunto 18 miembros del Movimiento Amplio por la Dignidad y la Justicia y sus familias respecto de Honduras, 19 de diciembre de 2013.</w:t>
      </w:r>
    </w:p>
  </w:footnote>
  <w:footnote w:id="6">
    <w:p w14:paraId="10A1AD85"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CIDH, Resolución 83/23 (Seguimiento y Ampliación), Medidas Cautelares N.º 416-13, Miembros del Movimiento Amplio por la Dignidad y la Justicia (MADJ) e integrantes de la Tribu San Francisco de </w:t>
      </w:r>
      <w:proofErr w:type="spellStart"/>
      <w:r w:rsidRPr="00E2092E">
        <w:rPr>
          <w:rFonts w:ascii="Arial Narrow" w:hAnsi="Arial Narrow"/>
          <w:sz w:val="18"/>
          <w:szCs w:val="18"/>
          <w:lang w:val="es-419"/>
        </w:rPr>
        <w:t>Locomapa</w:t>
      </w:r>
      <w:proofErr w:type="spellEnd"/>
      <w:r w:rsidRPr="00E2092E">
        <w:rPr>
          <w:rFonts w:ascii="Arial Narrow" w:hAnsi="Arial Narrow"/>
          <w:sz w:val="18"/>
          <w:szCs w:val="18"/>
          <w:lang w:val="es-419"/>
        </w:rPr>
        <w:t xml:space="preserve"> respecto de Honduras, 2023.</w:t>
      </w:r>
    </w:p>
  </w:footnote>
  <w:footnote w:id="7">
    <w:p w14:paraId="258A7985"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CIDH, Resolución 83/23, párr. 64 y nota 48; MADJ y CEJIL, escrito de información adicional a la CIDH, MC 416-13, 12 de junio de 2026. La OACNUDH condenó públicamente los asesinatos de 2019 y de 2023.</w:t>
      </w:r>
    </w:p>
  </w:footnote>
  <w:footnote w:id="8">
    <w:p w14:paraId="4C64B19E"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CIDH, Resolución 83/23, párrs. 18 a 20, que documenta, entre otros: la amenaza proferida el 11 de enero de 2021 por un trabajador de la empresa INMARE («si no les dejan pasar la maquinaria van a haber más muertos en la tribu»); los sabotajes vehiculares de marzo de 2021 que dejaron lesionados a tres beneficiarios; la amenaza de abril de 2021 calificada como amenaza de desaparición forzada; y el ataque del 8 de mayo de 2021 contra unas sesenta personas reunidas en asamblea en el «Campamento Digno», agredidas con palos y piedras durante aproximadamente veinte minutos por miembros del Consejo Directivo y trabajadores de INMARE.</w:t>
      </w:r>
    </w:p>
  </w:footnote>
  <w:footnote w:id="9">
    <w:p w14:paraId="430FE61E" w14:textId="77777777" w:rsidR="00B80AF3" w:rsidRPr="00E2092E" w:rsidRDefault="00B80AF3">
      <w:pPr>
        <w:rPr>
          <w:rFonts w:ascii="Arial Narrow" w:hAnsi="Arial Narrow"/>
          <w:lang w:val="es-419"/>
        </w:rPr>
      </w:pPr>
    </w:p>
  </w:footnote>
  <w:footnote w:id="10">
    <w:p w14:paraId="53FBEE28"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Expediente judicial 061-2020 2R, Juzgado de Letras Seccional de Yoro, proceso por el asesinato de José Salomón Matute y Juan Samael Matute.</w:t>
      </w:r>
    </w:p>
  </w:footnote>
  <w:footnote w:id="11">
    <w:p w14:paraId="02EC4588"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Expediente judicial 51-2025, Tribunal de Sentencia en materia de Criminalidad Organizada, Medio Ambiente y Corrupción, Tegucigalpa, proceso por el asesinato de </w:t>
      </w:r>
      <w:proofErr w:type="spellStart"/>
      <w:r w:rsidRPr="00E2092E">
        <w:rPr>
          <w:rFonts w:ascii="Arial Narrow" w:hAnsi="Arial Narrow"/>
          <w:sz w:val="18"/>
          <w:szCs w:val="18"/>
          <w:lang w:val="es-419"/>
        </w:rPr>
        <w:t>Milgen</w:t>
      </w:r>
      <w:proofErr w:type="spellEnd"/>
      <w:r w:rsidRPr="00E2092E">
        <w:rPr>
          <w:rFonts w:ascii="Arial Narrow" w:hAnsi="Arial Narrow"/>
          <w:sz w:val="18"/>
          <w:szCs w:val="18"/>
          <w:lang w:val="es-419"/>
        </w:rPr>
        <w:t xml:space="preserve"> </w:t>
      </w:r>
      <w:proofErr w:type="spellStart"/>
      <w:r w:rsidRPr="00E2092E">
        <w:rPr>
          <w:rFonts w:ascii="Arial Narrow" w:hAnsi="Arial Narrow"/>
          <w:sz w:val="18"/>
          <w:szCs w:val="18"/>
          <w:lang w:val="es-419"/>
        </w:rPr>
        <w:t>Idán</w:t>
      </w:r>
      <w:proofErr w:type="spellEnd"/>
      <w:r w:rsidRPr="00E2092E">
        <w:rPr>
          <w:rFonts w:ascii="Arial Narrow" w:hAnsi="Arial Narrow"/>
          <w:sz w:val="18"/>
          <w:szCs w:val="18"/>
          <w:lang w:val="es-419"/>
        </w:rPr>
        <w:t xml:space="preserve"> Soto Ávila.</w:t>
      </w:r>
    </w:p>
  </w:footnote>
  <w:footnote w:id="12">
    <w:p w14:paraId="79AB7211" w14:textId="1A7AD303" w:rsidR="003B33D5" w:rsidRPr="003B33D5" w:rsidRDefault="003B33D5">
      <w:pPr>
        <w:pStyle w:val="Textonotapie"/>
        <w:rPr>
          <w:lang w:val="es-419"/>
        </w:rPr>
      </w:pPr>
      <w:r>
        <w:rPr>
          <w:rStyle w:val="Refdenotaalpie"/>
        </w:rPr>
        <w:footnoteRef/>
      </w:r>
      <w:r w:rsidRPr="003B33D5">
        <w:rPr>
          <w:lang w:val="es-419"/>
        </w:rPr>
        <w:t xml:space="preserve"> </w:t>
      </w:r>
      <w:r>
        <w:rPr>
          <w:lang w:val="es-419"/>
        </w:rPr>
        <w:t>Este crimen dio lugar a que la CIDH otorgara las medidas cautelares a la TSFL.</w:t>
      </w:r>
    </w:p>
  </w:footnote>
  <w:footnote w:id="13">
    <w:p w14:paraId="3D343372"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Corte IDH, Caso </w:t>
      </w:r>
      <w:proofErr w:type="spellStart"/>
      <w:r w:rsidRPr="00E2092E">
        <w:rPr>
          <w:rFonts w:ascii="Arial Narrow" w:hAnsi="Arial Narrow"/>
          <w:sz w:val="18"/>
          <w:szCs w:val="18"/>
          <w:lang w:val="es-419"/>
        </w:rPr>
        <w:t>Kawas</w:t>
      </w:r>
      <w:proofErr w:type="spellEnd"/>
      <w:r w:rsidRPr="00E2092E">
        <w:rPr>
          <w:rFonts w:ascii="Arial Narrow" w:hAnsi="Arial Narrow"/>
          <w:sz w:val="18"/>
          <w:szCs w:val="18"/>
          <w:lang w:val="es-419"/>
        </w:rPr>
        <w:t xml:space="preserve"> Fernández vs. Honduras, sentencia de 3 de abril de 2009, párrs. 145 a 155; Caso Luna López vs. Honduras, sentencia de 10 de octubre de 2013, párrs. 122 a 124; CERD, Recomendación general N.º XXXI sobre la prevención de la discriminación racial en la administración y el funcionamiento de la justicia penal, 2005.</w:t>
      </w:r>
    </w:p>
  </w:footnote>
  <w:footnote w:id="14">
    <w:p w14:paraId="10B37ABE" w14:textId="06847768" w:rsidR="00863F29" w:rsidRPr="00863F29" w:rsidRDefault="00863F29">
      <w:pPr>
        <w:pStyle w:val="Textonotapie"/>
        <w:rPr>
          <w:lang w:val="es-419"/>
        </w:rPr>
      </w:pPr>
      <w:r>
        <w:rPr>
          <w:rStyle w:val="Refdenotaalpie"/>
        </w:rPr>
        <w:footnoteRef/>
      </w:r>
      <w:r w:rsidRPr="00863F29">
        <w:rPr>
          <w:lang w:val="es-419"/>
        </w:rPr>
        <w:t xml:space="preserve"> </w:t>
      </w:r>
      <w:r>
        <w:rPr>
          <w:lang w:val="es-419"/>
        </w:rPr>
        <w:t xml:space="preserve">CERD, </w:t>
      </w:r>
      <w:r w:rsidRPr="00863F29">
        <w:rPr>
          <w:lang w:val="es-419"/>
        </w:rPr>
        <w:t>Observaciones finales sobre los informes periódicos sexto a octavo combinados de Honduras</w:t>
      </w:r>
      <w:r>
        <w:rPr>
          <w:lang w:val="es-419"/>
        </w:rPr>
        <w:t xml:space="preserve">. Párr. 21. </w:t>
      </w:r>
    </w:p>
  </w:footnote>
  <w:footnote w:id="15">
    <w:p w14:paraId="16A6695F" w14:textId="00979028"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CERD, Recomendación general N</w:t>
      </w:r>
      <w:r w:rsidR="00D7759A">
        <w:rPr>
          <w:rFonts w:ascii="Arial Narrow" w:hAnsi="Arial Narrow"/>
          <w:sz w:val="18"/>
          <w:szCs w:val="18"/>
          <w:lang w:val="es-419"/>
        </w:rPr>
        <w:t>o. 31</w:t>
      </w:r>
      <w:r w:rsidRPr="00E2092E">
        <w:rPr>
          <w:rFonts w:ascii="Arial Narrow" w:hAnsi="Arial Narrow"/>
          <w:sz w:val="18"/>
          <w:szCs w:val="18"/>
          <w:lang w:val="es-419"/>
        </w:rPr>
        <w:t xml:space="preserve"> relativa a los derechos de los pueblos indígenas, 1997, párr. 5; DNUDPI, arts. 26 a 28; Corte IDH, Caso de la Comunidad </w:t>
      </w:r>
      <w:proofErr w:type="spellStart"/>
      <w:r w:rsidRPr="00E2092E">
        <w:rPr>
          <w:rFonts w:ascii="Arial Narrow" w:hAnsi="Arial Narrow"/>
          <w:sz w:val="18"/>
          <w:szCs w:val="18"/>
          <w:lang w:val="es-419"/>
        </w:rPr>
        <w:t>Mayagna</w:t>
      </w:r>
      <w:proofErr w:type="spellEnd"/>
      <w:r w:rsidRPr="00E2092E">
        <w:rPr>
          <w:rFonts w:ascii="Arial Narrow" w:hAnsi="Arial Narrow"/>
          <w:sz w:val="18"/>
          <w:szCs w:val="18"/>
          <w:lang w:val="es-419"/>
        </w:rPr>
        <w:t xml:space="preserve"> </w:t>
      </w:r>
      <w:proofErr w:type="spellStart"/>
      <w:r w:rsidRPr="00E2092E">
        <w:rPr>
          <w:rFonts w:ascii="Arial Narrow" w:hAnsi="Arial Narrow"/>
          <w:sz w:val="18"/>
          <w:szCs w:val="18"/>
          <w:lang w:val="es-419"/>
        </w:rPr>
        <w:t>Awas</w:t>
      </w:r>
      <w:proofErr w:type="spellEnd"/>
      <w:r w:rsidRPr="00E2092E">
        <w:rPr>
          <w:rFonts w:ascii="Arial Narrow" w:hAnsi="Arial Narrow"/>
          <w:sz w:val="18"/>
          <w:szCs w:val="18"/>
          <w:lang w:val="es-419"/>
        </w:rPr>
        <w:t xml:space="preserve"> </w:t>
      </w:r>
      <w:proofErr w:type="spellStart"/>
      <w:r w:rsidRPr="00E2092E">
        <w:rPr>
          <w:rFonts w:ascii="Arial Narrow" w:hAnsi="Arial Narrow"/>
          <w:sz w:val="18"/>
          <w:szCs w:val="18"/>
          <w:lang w:val="es-419"/>
        </w:rPr>
        <w:t>Tingni</w:t>
      </w:r>
      <w:proofErr w:type="spellEnd"/>
      <w:r w:rsidRPr="00E2092E">
        <w:rPr>
          <w:rFonts w:ascii="Arial Narrow" w:hAnsi="Arial Narrow"/>
          <w:sz w:val="18"/>
          <w:szCs w:val="18"/>
          <w:lang w:val="es-419"/>
        </w:rPr>
        <w:t xml:space="preserve"> vs. Nicaragua, sentencia de 31 de agosto de 2001, párrs. 148 a 153, y Caso Comunidad Indígena </w:t>
      </w:r>
      <w:proofErr w:type="spellStart"/>
      <w:r w:rsidRPr="00E2092E">
        <w:rPr>
          <w:rFonts w:ascii="Arial Narrow" w:hAnsi="Arial Narrow"/>
          <w:sz w:val="18"/>
          <w:szCs w:val="18"/>
          <w:lang w:val="es-419"/>
        </w:rPr>
        <w:t>Sawhoyamaxa</w:t>
      </w:r>
      <w:proofErr w:type="spellEnd"/>
      <w:r w:rsidRPr="00E2092E">
        <w:rPr>
          <w:rFonts w:ascii="Arial Narrow" w:hAnsi="Arial Narrow"/>
          <w:sz w:val="18"/>
          <w:szCs w:val="18"/>
          <w:lang w:val="es-419"/>
        </w:rPr>
        <w:t xml:space="preserve"> vs. Paraguay, sentencia de 29 de marzo de 2006, párrs. 126 a 131.</w:t>
      </w:r>
    </w:p>
  </w:footnote>
  <w:footnote w:id="16">
    <w:p w14:paraId="09251A89"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Instituto de Conservación Forestal (ICF), Plan de Manejo Forestal BP-YO-1811-0221-1994. Véase asimismo CIDH, Resolución 83/23, párrs. 17 y 38, sobre los cuestionamientos a la legalidad del aprovechamiento de madera y los permisos aprobados por el ICF en 2020 y 2021 sin consulta a toda la Tribu.</w:t>
      </w:r>
    </w:p>
  </w:footnote>
  <w:footnote w:id="17">
    <w:p w14:paraId="6F77B602"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MADJ, denuncia por los delitos de asociación para delinquir, lavado de activos y tenencia o porte ilegal de armas, presentada ante la Fiscalía Especial contra el Crimen Organizado el 30 de septiembre de 2022.</w:t>
      </w:r>
    </w:p>
  </w:footnote>
  <w:footnote w:id="18">
    <w:p w14:paraId="5E8E6C6D"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Expediente judicial 220-2023, Juzgado de Letras Seccional de Yoro.</w:t>
      </w:r>
    </w:p>
  </w:footnote>
  <w:footnote w:id="19">
    <w:p w14:paraId="18E27BA0"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Expediente judicial 238-2023, Juzgado de Letras Seccional de Yoro. La identidad de la víctima, menor de edad, se mantiene en estricta reserva. El hecho responde asimismo a la información solicitada por el Comité en el párrafo 22 de la lista de temas, relativo a la violencia contra mujeres y niñas indígenas en contextos de conflictividad territorial.</w:t>
      </w:r>
    </w:p>
  </w:footnote>
  <w:footnote w:id="20">
    <w:p w14:paraId="6CE5F031"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Corte IDH, Caso Pueblo Indígena </w:t>
      </w:r>
      <w:proofErr w:type="spellStart"/>
      <w:r w:rsidRPr="00E2092E">
        <w:rPr>
          <w:rFonts w:ascii="Arial Narrow" w:hAnsi="Arial Narrow"/>
          <w:sz w:val="18"/>
          <w:szCs w:val="18"/>
          <w:lang w:val="es-419"/>
        </w:rPr>
        <w:t>Kichwa</w:t>
      </w:r>
      <w:proofErr w:type="spellEnd"/>
      <w:r w:rsidRPr="00E2092E">
        <w:rPr>
          <w:rFonts w:ascii="Arial Narrow" w:hAnsi="Arial Narrow"/>
          <w:sz w:val="18"/>
          <w:szCs w:val="18"/>
          <w:lang w:val="es-419"/>
        </w:rPr>
        <w:t xml:space="preserve"> de </w:t>
      </w:r>
      <w:proofErr w:type="spellStart"/>
      <w:r w:rsidRPr="00E2092E">
        <w:rPr>
          <w:rFonts w:ascii="Arial Narrow" w:hAnsi="Arial Narrow"/>
          <w:sz w:val="18"/>
          <w:szCs w:val="18"/>
          <w:lang w:val="es-419"/>
        </w:rPr>
        <w:t>Sarayaku</w:t>
      </w:r>
      <w:proofErr w:type="spellEnd"/>
      <w:r w:rsidRPr="00E2092E">
        <w:rPr>
          <w:rFonts w:ascii="Arial Narrow" w:hAnsi="Arial Narrow"/>
          <w:sz w:val="18"/>
          <w:szCs w:val="18"/>
          <w:lang w:val="es-419"/>
        </w:rPr>
        <w:t xml:space="preserve"> vs. Ecuador, sentencia de 27 de junio de 2012, párrs. 177 a 187; Convenio 169 de la OIT, arts. 6 y 15; CERD, Recomendación general N.º XXIII, párr. 4.d.</w:t>
      </w:r>
    </w:p>
  </w:footnote>
  <w:footnote w:id="21">
    <w:p w14:paraId="481DCCD7"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Denuncia presentada ante el Ministerio Público el 30 de junio de 2026 por el delito de revelación de secretos.</w:t>
      </w:r>
    </w:p>
  </w:footnote>
  <w:footnote w:id="22">
    <w:p w14:paraId="7BECA78B"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Sala de lo Constitucional de la Corte Suprema de Justicia, sentencia de amparo SCO-0122-2019, de 27 de noviembre de 2019, considerando 29.</w:t>
      </w:r>
    </w:p>
  </w:footnote>
  <w:footnote w:id="23">
    <w:p w14:paraId="40E474FC"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Instituto Hondureño de Antropología e Historia, Subgerencia de Patrimonio, «Etnohistoria de las aldeas de San Andrés Minas, Azacualpa y San Miguel, La Unión, Copán», 6 de diciembre de 2024.</w:t>
      </w:r>
    </w:p>
  </w:footnote>
  <w:footnote w:id="24">
    <w:p w14:paraId="2449D016" w14:textId="03D5973C" w:rsidR="00D16E3F" w:rsidRPr="00D16E3F" w:rsidRDefault="00D16E3F" w:rsidP="00D16E3F">
      <w:pPr>
        <w:pStyle w:val="Textonotapie"/>
        <w:jc w:val="both"/>
        <w:rPr>
          <w:lang w:val="es-HN"/>
        </w:rPr>
      </w:pPr>
      <w:r>
        <w:rPr>
          <w:rStyle w:val="Refdenotaalpie"/>
        </w:rPr>
        <w:footnoteRef/>
      </w:r>
      <w:r w:rsidRPr="00D16E3F">
        <w:rPr>
          <w:lang w:val="es-HN"/>
        </w:rPr>
        <w:t xml:space="preserve"> </w:t>
      </w:r>
      <w:r w:rsidRPr="00D16E3F">
        <w:rPr>
          <w:rFonts w:ascii="Arial Narrow" w:hAnsi="Arial Narrow"/>
          <w:sz w:val="18"/>
          <w:szCs w:val="18"/>
          <w:lang w:val="es-HN"/>
        </w:rPr>
        <w:t>Comité para la Eliminación de la Discriminación Racial, relativa a la interpretación y la aplicación de los párrafos 1 y 4 del artículo 1 de la Convención, 38º período de sesiones, U.N. Doc. HRI/GEN/1/Rev.7 at 236 (1990).</w:t>
      </w:r>
    </w:p>
  </w:footnote>
  <w:footnote w:id="25">
    <w:p w14:paraId="6B4FC519"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Cabildo abierto de 11 de enero de 2015, convocado, desarrollado y certificado por la Corporación Municipal de La Unión, Copán, en el cual la comunidad votó en contra del cierre del cementerio.</w:t>
      </w:r>
    </w:p>
  </w:footnote>
  <w:footnote w:id="26">
    <w:p w14:paraId="654C9AB6"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Resolución del Juzgado de Letras Seccional de Santa Rosa de Copán de 20 de octubre de 2021, que autorizó con carácter «urgente» la reubicación del cementerio comunitario a solicitud de MINOSA y de la Municipalidad de La Unión.</w:t>
      </w:r>
    </w:p>
  </w:footnote>
  <w:footnote w:id="27">
    <w:p w14:paraId="46D82BF5"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Comunicación individual contra el Estado de Honduras presentada ante el Comité de Derechos Económicos, Sociales y Culturales el 22 de julio de 2024, admitida a trámite y actualmente en etapa de resolución.</w:t>
      </w:r>
    </w:p>
  </w:footnote>
  <w:footnote w:id="28">
    <w:p w14:paraId="6E1B28CC"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Corte IDH, Caso de la Comunidad Moiwana vs. Suriname, sentencia de 15 de junio de 2005, párrs. 98 a 103, sobre el sufrimiento causado por la imposibilidad de honrar debidamente a los seres queridos fallecidos y la separación de sus restos como afectación a la integridad de los miembros de la comunidad; Caso Muelle Flores vs. Perú, sentencia de 6 de marzo de 2019, párr. 155, sobre la ejecución de las sentencias como componente de la tutela judicial efectiva.</w:t>
      </w:r>
    </w:p>
  </w:footnote>
  <w:footnote w:id="29">
    <w:p w14:paraId="4CF3A5D2"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Acción de nulidad absoluta del acto presunto de prórroga de la concesión minera San Andrés I operado vía afirmativa ficta, promovida ante el INHGEOMIN por la representación legal de pobladores de la comunidad de Azacualpa, por prescindir total y absolutamente del procedimiento establecido, haber sido operado por órgano incompetente y disminuir y tergiversar derechos y garantías constitucionales (arts. 34.a, 34.c y 34.f de la Ley de Procedimiento Administrativo).</w:t>
      </w:r>
    </w:p>
  </w:footnote>
  <w:footnote w:id="30">
    <w:p w14:paraId="70F8ABD3" w14:textId="1C32270F" w:rsidR="00FC23E4" w:rsidRPr="00FC23E4" w:rsidRDefault="00FC23E4" w:rsidP="00FC23E4">
      <w:pPr>
        <w:pStyle w:val="Textonotapie"/>
        <w:jc w:val="both"/>
        <w:rPr>
          <w:rFonts w:ascii="Arial Narrow" w:hAnsi="Arial Narrow"/>
          <w:sz w:val="18"/>
          <w:szCs w:val="18"/>
          <w:lang w:val="es-HN"/>
        </w:rPr>
      </w:pPr>
      <w:r w:rsidRPr="00FC23E4">
        <w:rPr>
          <w:rStyle w:val="Refdenotaalpie"/>
          <w:rFonts w:ascii="Arial Narrow" w:hAnsi="Arial Narrow"/>
          <w:sz w:val="18"/>
          <w:szCs w:val="18"/>
        </w:rPr>
        <w:footnoteRef/>
      </w:r>
      <w:r w:rsidRPr="00FC23E4">
        <w:rPr>
          <w:rFonts w:ascii="Arial Narrow" w:hAnsi="Arial Narrow"/>
          <w:sz w:val="18"/>
          <w:szCs w:val="18"/>
          <w:lang w:val="es-HN"/>
        </w:rPr>
        <w:t xml:space="preserve"> Corte IDH. Pueblo Indígena </w:t>
      </w:r>
      <w:proofErr w:type="spellStart"/>
      <w:r w:rsidRPr="00FC23E4">
        <w:rPr>
          <w:rFonts w:ascii="Arial Narrow" w:hAnsi="Arial Narrow"/>
          <w:sz w:val="18"/>
          <w:szCs w:val="18"/>
          <w:lang w:val="es-HN"/>
        </w:rPr>
        <w:t>Kichwa</w:t>
      </w:r>
      <w:proofErr w:type="spellEnd"/>
      <w:r w:rsidRPr="00FC23E4">
        <w:rPr>
          <w:rFonts w:ascii="Arial Narrow" w:hAnsi="Arial Narrow"/>
          <w:sz w:val="18"/>
          <w:szCs w:val="18"/>
          <w:lang w:val="es-HN"/>
        </w:rPr>
        <w:t xml:space="preserve"> de </w:t>
      </w:r>
      <w:proofErr w:type="spellStart"/>
      <w:r w:rsidRPr="00FC23E4">
        <w:rPr>
          <w:rFonts w:ascii="Arial Narrow" w:hAnsi="Arial Narrow"/>
          <w:sz w:val="18"/>
          <w:szCs w:val="18"/>
          <w:lang w:val="es-HN"/>
        </w:rPr>
        <w:t>Sarayaku</w:t>
      </w:r>
      <w:proofErr w:type="spellEnd"/>
      <w:r w:rsidRPr="00FC23E4">
        <w:rPr>
          <w:rFonts w:ascii="Arial Narrow" w:hAnsi="Arial Narrow"/>
          <w:sz w:val="18"/>
          <w:szCs w:val="18"/>
          <w:lang w:val="es-HN"/>
        </w:rPr>
        <w:t xml:space="preserve"> VS. Ecuador, sentencia fondo y reparaciones de 27 de junio de 2012, párr. 179</w:t>
      </w:r>
      <w:r>
        <w:rPr>
          <w:rFonts w:ascii="Arial Narrow" w:hAnsi="Arial Narrow"/>
          <w:sz w:val="18"/>
          <w:szCs w:val="18"/>
          <w:lang w:val="es-HN"/>
        </w:rPr>
        <w:t xml:space="preserve">. </w:t>
      </w:r>
      <w:r w:rsidRPr="00FC23E4">
        <w:rPr>
          <w:rFonts w:ascii="Arial Narrow" w:hAnsi="Arial Narrow"/>
          <w:sz w:val="18"/>
          <w:szCs w:val="18"/>
          <w:lang w:val="es-HN"/>
        </w:rPr>
        <w:t xml:space="preserve">Corte IDH. Pueblo Indígena </w:t>
      </w:r>
      <w:proofErr w:type="spellStart"/>
      <w:r w:rsidRPr="00FC23E4">
        <w:rPr>
          <w:rFonts w:ascii="Arial Narrow" w:hAnsi="Arial Narrow"/>
          <w:sz w:val="18"/>
          <w:szCs w:val="18"/>
          <w:lang w:val="es-HN"/>
        </w:rPr>
        <w:t>Kichwa</w:t>
      </w:r>
      <w:proofErr w:type="spellEnd"/>
      <w:r w:rsidRPr="00FC23E4">
        <w:rPr>
          <w:rFonts w:ascii="Arial Narrow" w:hAnsi="Arial Narrow"/>
          <w:sz w:val="18"/>
          <w:szCs w:val="18"/>
          <w:lang w:val="es-HN"/>
        </w:rPr>
        <w:t xml:space="preserve"> de </w:t>
      </w:r>
      <w:proofErr w:type="spellStart"/>
      <w:r w:rsidRPr="00FC23E4">
        <w:rPr>
          <w:rFonts w:ascii="Arial Narrow" w:hAnsi="Arial Narrow"/>
          <w:sz w:val="18"/>
          <w:szCs w:val="18"/>
          <w:lang w:val="es-HN"/>
        </w:rPr>
        <w:t>Sarayaku</w:t>
      </w:r>
      <w:proofErr w:type="spellEnd"/>
      <w:r w:rsidRPr="00FC23E4">
        <w:rPr>
          <w:rFonts w:ascii="Arial Narrow" w:hAnsi="Arial Narrow"/>
          <w:sz w:val="18"/>
          <w:szCs w:val="18"/>
          <w:lang w:val="es-HN"/>
        </w:rPr>
        <w:t xml:space="preserve"> VS. Ecuador, sentencia fondo y reparaciones de 27 de junio de 2012, párr. 180.</w:t>
      </w:r>
    </w:p>
  </w:footnote>
  <w:footnote w:id="31">
    <w:p w14:paraId="735FDC74"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Expedientes judiciales 09-2026 (delito de usurpación, Juzgado de Letras de Santa Rosa de Copán: sobreseimiento provisional apelado y pendiente de resolución); 2503-2020 (delito de daños agravados, denunciantes MINOSA e INCOBE, empresa constructora vinculada a MINOSA); y 105-2023 (Corte de Apelaciones de Santa Rosa de Copán, pendiente de resolución de los recursos de apelación interpuestos por el Ministerio Público y la acusación privada).</w:t>
      </w:r>
    </w:p>
  </w:footnote>
  <w:footnote w:id="32">
    <w:p w14:paraId="3F9943DA"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Radio Progreso, «Imponen medidas sustitutivas a defensores maya-chortí criminalizados por el Estado», 24 de febrero de 2026; Criterio.hn, «Denuncian que fuerzas estatales escoltaron tala en zona en disputa minera en Copán», 14 de febrero de 2026.</w:t>
      </w:r>
    </w:p>
  </w:footnote>
  <w:footnote w:id="33">
    <w:p w14:paraId="5132FF25"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Solicitud de ampliación de medidas de protección presentada ante el Mecanismo Nacional de Protección en favor de las personas integrantes del Campamento Digno Maya Chortí por el Agua y por la Vida, instalado desde el 25 de septiembre de 2025.</w:t>
      </w:r>
    </w:p>
  </w:footnote>
  <w:footnote w:id="34">
    <w:p w14:paraId="2C7310F9"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Banco Mundial, Project </w:t>
      </w:r>
      <w:proofErr w:type="spellStart"/>
      <w:r w:rsidRPr="00E2092E">
        <w:rPr>
          <w:rFonts w:ascii="Arial Narrow" w:hAnsi="Arial Narrow"/>
          <w:sz w:val="18"/>
          <w:szCs w:val="18"/>
          <w:lang w:val="es-419"/>
        </w:rPr>
        <w:t>Information</w:t>
      </w:r>
      <w:proofErr w:type="spellEnd"/>
      <w:r w:rsidRPr="00E2092E">
        <w:rPr>
          <w:rFonts w:ascii="Arial Narrow" w:hAnsi="Arial Narrow"/>
          <w:sz w:val="18"/>
          <w:szCs w:val="18"/>
          <w:lang w:val="es-419"/>
        </w:rPr>
        <w:t xml:space="preserve"> </w:t>
      </w:r>
      <w:proofErr w:type="spellStart"/>
      <w:r w:rsidRPr="00E2092E">
        <w:rPr>
          <w:rFonts w:ascii="Arial Narrow" w:hAnsi="Arial Narrow"/>
          <w:sz w:val="18"/>
          <w:szCs w:val="18"/>
          <w:lang w:val="es-419"/>
        </w:rPr>
        <w:t>Document</w:t>
      </w:r>
      <w:proofErr w:type="spellEnd"/>
      <w:r w:rsidRPr="00E2092E">
        <w:rPr>
          <w:rFonts w:ascii="Arial Narrow" w:hAnsi="Arial Narrow"/>
          <w:sz w:val="18"/>
          <w:szCs w:val="18"/>
          <w:lang w:val="es-419"/>
        </w:rPr>
        <w:t>, «</w:t>
      </w:r>
      <w:proofErr w:type="spellStart"/>
      <w:r w:rsidRPr="00E2092E">
        <w:rPr>
          <w:rFonts w:ascii="Arial Narrow" w:hAnsi="Arial Narrow"/>
          <w:sz w:val="18"/>
          <w:szCs w:val="18"/>
          <w:lang w:val="es-419"/>
        </w:rPr>
        <w:t>Improving</w:t>
      </w:r>
      <w:proofErr w:type="spellEnd"/>
      <w:r w:rsidRPr="00E2092E">
        <w:rPr>
          <w:rFonts w:ascii="Arial Narrow" w:hAnsi="Arial Narrow"/>
          <w:sz w:val="18"/>
          <w:szCs w:val="18"/>
          <w:lang w:val="es-419"/>
        </w:rPr>
        <w:t xml:space="preserve"> </w:t>
      </w:r>
      <w:proofErr w:type="spellStart"/>
      <w:r w:rsidRPr="00E2092E">
        <w:rPr>
          <w:rFonts w:ascii="Arial Narrow" w:hAnsi="Arial Narrow"/>
          <w:sz w:val="18"/>
          <w:szCs w:val="18"/>
          <w:lang w:val="es-419"/>
        </w:rPr>
        <w:t>the</w:t>
      </w:r>
      <w:proofErr w:type="spellEnd"/>
      <w:r w:rsidRPr="00E2092E">
        <w:rPr>
          <w:rFonts w:ascii="Arial Narrow" w:hAnsi="Arial Narrow"/>
          <w:sz w:val="18"/>
          <w:szCs w:val="18"/>
          <w:lang w:val="es-419"/>
        </w:rPr>
        <w:t xml:space="preserve"> </w:t>
      </w:r>
      <w:proofErr w:type="spellStart"/>
      <w:r w:rsidRPr="00E2092E">
        <w:rPr>
          <w:rFonts w:ascii="Arial Narrow" w:hAnsi="Arial Narrow"/>
          <w:sz w:val="18"/>
          <w:szCs w:val="18"/>
          <w:lang w:val="es-419"/>
        </w:rPr>
        <w:t>Livelihoods</w:t>
      </w:r>
      <w:proofErr w:type="spellEnd"/>
      <w:r w:rsidRPr="00E2092E">
        <w:rPr>
          <w:rFonts w:ascii="Arial Narrow" w:hAnsi="Arial Narrow"/>
          <w:sz w:val="18"/>
          <w:szCs w:val="18"/>
          <w:lang w:val="es-419"/>
        </w:rPr>
        <w:t xml:space="preserve"> </w:t>
      </w:r>
      <w:proofErr w:type="spellStart"/>
      <w:r w:rsidRPr="00E2092E">
        <w:rPr>
          <w:rFonts w:ascii="Arial Narrow" w:hAnsi="Arial Narrow"/>
          <w:sz w:val="18"/>
          <w:szCs w:val="18"/>
          <w:lang w:val="es-419"/>
        </w:rPr>
        <w:t>of</w:t>
      </w:r>
      <w:proofErr w:type="spellEnd"/>
      <w:r w:rsidRPr="00E2092E">
        <w:rPr>
          <w:rFonts w:ascii="Arial Narrow" w:hAnsi="Arial Narrow"/>
          <w:sz w:val="18"/>
          <w:szCs w:val="18"/>
          <w:lang w:val="es-419"/>
        </w:rPr>
        <w:t xml:space="preserve"> </w:t>
      </w:r>
      <w:proofErr w:type="spellStart"/>
      <w:r w:rsidRPr="00E2092E">
        <w:rPr>
          <w:rFonts w:ascii="Arial Narrow" w:hAnsi="Arial Narrow"/>
          <w:sz w:val="18"/>
          <w:szCs w:val="18"/>
          <w:lang w:val="es-419"/>
        </w:rPr>
        <w:t>Miskito</w:t>
      </w:r>
      <w:proofErr w:type="spellEnd"/>
      <w:r w:rsidRPr="00E2092E">
        <w:rPr>
          <w:rFonts w:ascii="Arial Narrow" w:hAnsi="Arial Narrow"/>
          <w:sz w:val="18"/>
          <w:szCs w:val="18"/>
          <w:lang w:val="es-419"/>
        </w:rPr>
        <w:t xml:space="preserve"> </w:t>
      </w:r>
      <w:proofErr w:type="spellStart"/>
      <w:r w:rsidRPr="00E2092E">
        <w:rPr>
          <w:rFonts w:ascii="Arial Narrow" w:hAnsi="Arial Narrow"/>
          <w:sz w:val="18"/>
          <w:szCs w:val="18"/>
          <w:lang w:val="es-419"/>
        </w:rPr>
        <w:t>Indigenous</w:t>
      </w:r>
      <w:proofErr w:type="spellEnd"/>
      <w:r w:rsidRPr="00E2092E">
        <w:rPr>
          <w:rFonts w:ascii="Arial Narrow" w:hAnsi="Arial Narrow"/>
          <w:sz w:val="18"/>
          <w:szCs w:val="18"/>
          <w:lang w:val="es-419"/>
        </w:rPr>
        <w:t xml:space="preserve"> </w:t>
      </w:r>
      <w:proofErr w:type="spellStart"/>
      <w:r w:rsidRPr="00E2092E">
        <w:rPr>
          <w:rFonts w:ascii="Arial Narrow" w:hAnsi="Arial Narrow"/>
          <w:sz w:val="18"/>
          <w:szCs w:val="18"/>
          <w:lang w:val="es-419"/>
        </w:rPr>
        <w:t>Peoples</w:t>
      </w:r>
      <w:proofErr w:type="spellEnd"/>
      <w:r w:rsidRPr="00E2092E">
        <w:rPr>
          <w:rFonts w:ascii="Arial Narrow" w:hAnsi="Arial Narrow"/>
          <w:sz w:val="18"/>
          <w:szCs w:val="18"/>
          <w:lang w:val="es-419"/>
        </w:rPr>
        <w:t xml:space="preserve"> in La </w:t>
      </w:r>
      <w:proofErr w:type="spellStart"/>
      <w:r w:rsidRPr="00E2092E">
        <w:rPr>
          <w:rFonts w:ascii="Arial Narrow" w:hAnsi="Arial Narrow"/>
          <w:sz w:val="18"/>
          <w:szCs w:val="18"/>
          <w:lang w:val="es-419"/>
        </w:rPr>
        <w:t>Moskitia</w:t>
      </w:r>
      <w:proofErr w:type="spellEnd"/>
      <w:r w:rsidRPr="00E2092E">
        <w:rPr>
          <w:rFonts w:ascii="Arial Narrow" w:hAnsi="Arial Narrow"/>
          <w:sz w:val="18"/>
          <w:szCs w:val="18"/>
          <w:lang w:val="es-419"/>
        </w:rPr>
        <w:t>» (P167767), 2019; Instituto de Investigación Sociales y Económicas de la UNAH, Perfil Sociodemográfico de Juan Francisco Bulnes, Gracias a Dios, 2022.</w:t>
      </w:r>
    </w:p>
  </w:footnote>
  <w:footnote w:id="35">
    <w:p w14:paraId="36E330B9"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OACNUDH, comunicado «La OACNUDH condena la muerte de tres miembros de la comunidad </w:t>
      </w:r>
      <w:proofErr w:type="spellStart"/>
      <w:r w:rsidRPr="00E2092E">
        <w:rPr>
          <w:rFonts w:ascii="Arial Narrow" w:hAnsi="Arial Narrow"/>
          <w:sz w:val="18"/>
          <w:szCs w:val="18"/>
          <w:lang w:val="es-419"/>
        </w:rPr>
        <w:t>miskita</w:t>
      </w:r>
      <w:proofErr w:type="spellEnd"/>
      <w:r w:rsidRPr="00E2092E">
        <w:rPr>
          <w:rFonts w:ascii="Arial Narrow" w:hAnsi="Arial Narrow"/>
          <w:sz w:val="18"/>
          <w:szCs w:val="18"/>
          <w:lang w:val="es-419"/>
        </w:rPr>
        <w:t xml:space="preserve"> de </w:t>
      </w:r>
      <w:proofErr w:type="spellStart"/>
      <w:r w:rsidRPr="00E2092E">
        <w:rPr>
          <w:rFonts w:ascii="Arial Narrow" w:hAnsi="Arial Narrow"/>
          <w:sz w:val="18"/>
          <w:szCs w:val="18"/>
          <w:lang w:val="es-419"/>
        </w:rPr>
        <w:t>Warunta</w:t>
      </w:r>
      <w:proofErr w:type="spellEnd"/>
      <w:r w:rsidRPr="00E2092E">
        <w:rPr>
          <w:rFonts w:ascii="Arial Narrow" w:hAnsi="Arial Narrow"/>
          <w:sz w:val="18"/>
          <w:szCs w:val="18"/>
          <w:lang w:val="es-419"/>
        </w:rPr>
        <w:t xml:space="preserve">, Gracias a Dios», mayo de 2018. Sobre </w:t>
      </w:r>
      <w:proofErr w:type="spellStart"/>
      <w:r w:rsidRPr="00E2092E">
        <w:rPr>
          <w:rFonts w:ascii="Arial Narrow" w:hAnsi="Arial Narrow"/>
          <w:sz w:val="18"/>
          <w:szCs w:val="18"/>
          <w:lang w:val="es-419"/>
        </w:rPr>
        <w:t>Ahuás</w:t>
      </w:r>
      <w:proofErr w:type="spellEnd"/>
      <w:r w:rsidRPr="00E2092E">
        <w:rPr>
          <w:rFonts w:ascii="Arial Narrow" w:hAnsi="Arial Narrow"/>
          <w:sz w:val="18"/>
          <w:szCs w:val="18"/>
          <w:lang w:val="es-419"/>
        </w:rPr>
        <w:t>, véase CEPR, «Daños colaterales de una guerra contra la droga», y la cobertura del caso tras la difusión del registro audiovisual que desmintió la versión oficial de un «intercambio de disparos».</w:t>
      </w:r>
    </w:p>
  </w:footnote>
  <w:footnote w:id="36">
    <w:p w14:paraId="44D0FC87"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Dictamen de autopsia de la Dirección de Medicina Forense: la manera de la muerte fue homicida, desde el punto de vista médico-legal, a causa de una sepsis de origen abdominal derivada de la herida por proyectil de arma de fuego; la trayectoria del proyectil descrita es consistente con disparos efectuados desde el helicóptero.</w:t>
      </w:r>
    </w:p>
  </w:footnote>
  <w:footnote w:id="37">
    <w:p w14:paraId="6C986931" w14:textId="77777777" w:rsidR="00D41B41" w:rsidRPr="00E2092E" w:rsidRDefault="009F2540">
      <w:pPr>
        <w:jc w:val="both"/>
        <w:rPr>
          <w:rFonts w:ascii="Arial Narrow" w:hAnsi="Arial Narrow"/>
          <w:lang w:val="es-419"/>
        </w:rPr>
      </w:pPr>
      <w:r w:rsidRPr="00E2092E">
        <w:rPr>
          <w:rStyle w:val="Refdenotaalpie"/>
          <w:rFonts w:ascii="Arial Narrow" w:hAnsi="Arial Narrow"/>
        </w:rPr>
        <w:footnoteRef/>
      </w:r>
      <w:r w:rsidRPr="00E2092E">
        <w:rPr>
          <w:rFonts w:ascii="Arial Narrow" w:hAnsi="Arial Narrow"/>
          <w:sz w:val="18"/>
          <w:szCs w:val="18"/>
          <w:lang w:val="es-419"/>
        </w:rPr>
        <w:t xml:space="preserve"> Corte IDH, Caso </w:t>
      </w:r>
      <w:proofErr w:type="spellStart"/>
      <w:r w:rsidRPr="00E2092E">
        <w:rPr>
          <w:rFonts w:ascii="Arial Narrow" w:hAnsi="Arial Narrow"/>
          <w:sz w:val="18"/>
          <w:szCs w:val="18"/>
          <w:lang w:val="es-419"/>
        </w:rPr>
        <w:t>Tiu</w:t>
      </w:r>
      <w:proofErr w:type="spellEnd"/>
      <w:r w:rsidRPr="00E2092E">
        <w:rPr>
          <w:rFonts w:ascii="Arial Narrow" w:hAnsi="Arial Narrow"/>
          <w:sz w:val="18"/>
          <w:szCs w:val="18"/>
          <w:lang w:val="es-419"/>
        </w:rPr>
        <w:t xml:space="preserve"> </w:t>
      </w:r>
      <w:proofErr w:type="spellStart"/>
      <w:r w:rsidRPr="00E2092E">
        <w:rPr>
          <w:rFonts w:ascii="Arial Narrow" w:hAnsi="Arial Narrow"/>
          <w:sz w:val="18"/>
          <w:szCs w:val="18"/>
          <w:lang w:val="es-419"/>
        </w:rPr>
        <w:t>Tojín</w:t>
      </w:r>
      <w:proofErr w:type="spellEnd"/>
      <w:r w:rsidRPr="00E2092E">
        <w:rPr>
          <w:rFonts w:ascii="Arial Narrow" w:hAnsi="Arial Narrow"/>
          <w:sz w:val="18"/>
          <w:szCs w:val="18"/>
          <w:lang w:val="es-419"/>
        </w:rPr>
        <w:t xml:space="preserve"> vs. Guatemala, sentencia de 26 de noviembre de 2008, párr. 100, y Caso Fernández Ortega y otros vs. México, sentencia de 30 de agosto de 2010, párrs. 200 y 201, sobre la obligación de remover las barreras lingüísticas, geográficas y económicas que enfrentan las personas indígenas para acceder a la justicia.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B801E" w14:textId="77777777" w:rsidR="000B6963" w:rsidRDefault="000B696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D36A8" w14:textId="77777777" w:rsidR="000B6963" w:rsidRDefault="000B696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6690C" w14:textId="77777777" w:rsidR="000B6963" w:rsidRDefault="000B69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4F25188"/>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649D1E0C"/>
    <w:multiLevelType w:val="hybridMultilevel"/>
    <w:tmpl w:val="E6D4F9F4"/>
    <w:lvl w:ilvl="0" w:tplc="87C61B3E">
      <w:start w:val="1"/>
      <w:numFmt w:val="bullet"/>
      <w:lvlText w:val="●"/>
      <w:lvlJc w:val="left"/>
      <w:pPr>
        <w:ind w:left="720" w:hanging="360"/>
      </w:pPr>
    </w:lvl>
    <w:lvl w:ilvl="1" w:tplc="9784247E">
      <w:start w:val="1"/>
      <w:numFmt w:val="bullet"/>
      <w:lvlText w:val="○"/>
      <w:lvlJc w:val="left"/>
      <w:pPr>
        <w:ind w:left="1440" w:hanging="360"/>
      </w:pPr>
    </w:lvl>
    <w:lvl w:ilvl="2" w:tplc="39D40398">
      <w:start w:val="1"/>
      <w:numFmt w:val="bullet"/>
      <w:lvlText w:val="■"/>
      <w:lvlJc w:val="left"/>
      <w:pPr>
        <w:ind w:left="2160" w:hanging="360"/>
      </w:pPr>
    </w:lvl>
    <w:lvl w:ilvl="3" w:tplc="4C8040F8">
      <w:start w:val="1"/>
      <w:numFmt w:val="bullet"/>
      <w:lvlText w:val="●"/>
      <w:lvlJc w:val="left"/>
      <w:pPr>
        <w:ind w:left="2880" w:hanging="360"/>
      </w:pPr>
    </w:lvl>
    <w:lvl w:ilvl="4" w:tplc="E5D0EBBE">
      <w:start w:val="1"/>
      <w:numFmt w:val="bullet"/>
      <w:lvlText w:val="○"/>
      <w:lvlJc w:val="left"/>
      <w:pPr>
        <w:ind w:left="3600" w:hanging="360"/>
      </w:pPr>
    </w:lvl>
    <w:lvl w:ilvl="5" w:tplc="5BF890CC">
      <w:start w:val="1"/>
      <w:numFmt w:val="bullet"/>
      <w:lvlText w:val="■"/>
      <w:lvlJc w:val="left"/>
      <w:pPr>
        <w:ind w:left="4320" w:hanging="360"/>
      </w:pPr>
    </w:lvl>
    <w:lvl w:ilvl="6" w:tplc="8E561E8E">
      <w:start w:val="1"/>
      <w:numFmt w:val="bullet"/>
      <w:lvlText w:val="●"/>
      <w:lvlJc w:val="left"/>
      <w:pPr>
        <w:ind w:left="5040" w:hanging="360"/>
      </w:pPr>
    </w:lvl>
    <w:lvl w:ilvl="7" w:tplc="98624E58">
      <w:start w:val="1"/>
      <w:numFmt w:val="bullet"/>
      <w:lvlText w:val="●"/>
      <w:lvlJc w:val="left"/>
      <w:pPr>
        <w:ind w:left="5760" w:hanging="360"/>
      </w:pPr>
    </w:lvl>
    <w:lvl w:ilvl="8" w:tplc="0D06E810">
      <w:start w:val="1"/>
      <w:numFmt w:val="bullet"/>
      <w:lvlText w:val="●"/>
      <w:lvlJc w:val="left"/>
      <w:pPr>
        <w:ind w:left="6480" w:hanging="360"/>
      </w:pPr>
    </w:lvl>
  </w:abstractNum>
  <w:num w:numId="1">
    <w:abstractNumId w:val="1"/>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B41"/>
    <w:rsid w:val="000174FD"/>
    <w:rsid w:val="00044C3C"/>
    <w:rsid w:val="00081598"/>
    <w:rsid w:val="000B6963"/>
    <w:rsid w:val="00145331"/>
    <w:rsid w:val="00165661"/>
    <w:rsid w:val="00175C49"/>
    <w:rsid w:val="00195157"/>
    <w:rsid w:val="001D02D9"/>
    <w:rsid w:val="002A4A05"/>
    <w:rsid w:val="002A71B2"/>
    <w:rsid w:val="002B1F10"/>
    <w:rsid w:val="003A3BD1"/>
    <w:rsid w:val="003B33D5"/>
    <w:rsid w:val="003F64E3"/>
    <w:rsid w:val="003F7866"/>
    <w:rsid w:val="004061DE"/>
    <w:rsid w:val="00434312"/>
    <w:rsid w:val="00442D9B"/>
    <w:rsid w:val="0045520B"/>
    <w:rsid w:val="004821CF"/>
    <w:rsid w:val="005A3376"/>
    <w:rsid w:val="00616429"/>
    <w:rsid w:val="00640AF0"/>
    <w:rsid w:val="00662A3B"/>
    <w:rsid w:val="007069E5"/>
    <w:rsid w:val="007D488E"/>
    <w:rsid w:val="00824351"/>
    <w:rsid w:val="00841E8C"/>
    <w:rsid w:val="00863F29"/>
    <w:rsid w:val="008D0DA3"/>
    <w:rsid w:val="009F2540"/>
    <w:rsid w:val="00B03A57"/>
    <w:rsid w:val="00B80AF3"/>
    <w:rsid w:val="00BC59E2"/>
    <w:rsid w:val="00C500A2"/>
    <w:rsid w:val="00C87E7C"/>
    <w:rsid w:val="00CB3317"/>
    <w:rsid w:val="00CE7F1D"/>
    <w:rsid w:val="00CF1A9E"/>
    <w:rsid w:val="00D00399"/>
    <w:rsid w:val="00D16E3F"/>
    <w:rsid w:val="00D41B41"/>
    <w:rsid w:val="00D7759A"/>
    <w:rsid w:val="00D9380C"/>
    <w:rsid w:val="00DA11A4"/>
    <w:rsid w:val="00E2092E"/>
    <w:rsid w:val="00E62692"/>
    <w:rsid w:val="00EB705D"/>
    <w:rsid w:val="00F57FED"/>
    <w:rsid w:val="00F718D2"/>
    <w:rsid w:val="00FA6384"/>
    <w:rsid w:val="00FC23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5057C"/>
  <w15:docId w15:val="{87BEECB2-3C59-4EE8-B509-24214E927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style>
  <w:style w:type="character" w:customStyle="1" w:styleId="TextonotaalfinalCar">
    <w:name w:val="Texto nota al final Car"/>
    <w:link w:val="Textonotaalfinal"/>
    <w:uiPriority w:val="99"/>
    <w:semiHidden/>
    <w:unhideWhenUsed/>
    <w:rPr>
      <w:sz w:val="20"/>
      <w:szCs w:val="20"/>
    </w:rPr>
  </w:style>
  <w:style w:type="paragraph" w:styleId="Listaconvietas">
    <w:name w:val="List Bullet"/>
    <w:basedOn w:val="Normal"/>
    <w:uiPriority w:val="99"/>
    <w:unhideWhenUsed/>
    <w:rsid w:val="00E2092E"/>
    <w:pPr>
      <w:numPr>
        <w:numId w:val="2"/>
      </w:numPr>
      <w:contextualSpacing/>
    </w:pPr>
  </w:style>
  <w:style w:type="paragraph" w:styleId="Encabezado">
    <w:name w:val="header"/>
    <w:basedOn w:val="Normal"/>
    <w:link w:val="EncabezadoCar"/>
    <w:uiPriority w:val="99"/>
    <w:unhideWhenUsed/>
    <w:rsid w:val="000B6963"/>
    <w:pPr>
      <w:tabs>
        <w:tab w:val="center" w:pos="4680"/>
        <w:tab w:val="right" w:pos="9360"/>
      </w:tabs>
    </w:pPr>
  </w:style>
  <w:style w:type="character" w:customStyle="1" w:styleId="EncabezadoCar">
    <w:name w:val="Encabezado Car"/>
    <w:basedOn w:val="Fuentedeprrafopredeter"/>
    <w:link w:val="Encabezado"/>
    <w:uiPriority w:val="99"/>
    <w:rsid w:val="000B6963"/>
  </w:style>
  <w:style w:type="paragraph" w:styleId="Piedepgina">
    <w:name w:val="footer"/>
    <w:basedOn w:val="Normal"/>
    <w:link w:val="PiedepginaCar"/>
    <w:uiPriority w:val="99"/>
    <w:unhideWhenUsed/>
    <w:rsid w:val="000B6963"/>
    <w:pPr>
      <w:tabs>
        <w:tab w:val="center" w:pos="4680"/>
        <w:tab w:val="right" w:pos="9360"/>
      </w:tabs>
    </w:pPr>
  </w:style>
  <w:style w:type="character" w:customStyle="1" w:styleId="PiedepginaCar">
    <w:name w:val="Pie de página Car"/>
    <w:basedOn w:val="Fuentedeprrafopredeter"/>
    <w:link w:val="Piedepgina"/>
    <w:uiPriority w:val="99"/>
    <w:rsid w:val="000B6963"/>
  </w:style>
  <w:style w:type="character" w:styleId="Refdecomentario">
    <w:name w:val="annotation reference"/>
    <w:basedOn w:val="Fuentedeprrafopredeter"/>
    <w:uiPriority w:val="99"/>
    <w:semiHidden/>
    <w:unhideWhenUsed/>
    <w:rsid w:val="000B6963"/>
    <w:rPr>
      <w:sz w:val="16"/>
      <w:szCs w:val="16"/>
    </w:rPr>
  </w:style>
  <w:style w:type="paragraph" w:styleId="Textocomentario">
    <w:name w:val="annotation text"/>
    <w:basedOn w:val="Normal"/>
    <w:link w:val="TextocomentarioCar"/>
    <w:uiPriority w:val="99"/>
    <w:unhideWhenUsed/>
    <w:rsid w:val="000B6963"/>
  </w:style>
  <w:style w:type="character" w:customStyle="1" w:styleId="TextocomentarioCar">
    <w:name w:val="Texto comentario Car"/>
    <w:basedOn w:val="Fuentedeprrafopredeter"/>
    <w:link w:val="Textocomentario"/>
    <w:uiPriority w:val="99"/>
    <w:rsid w:val="000B6963"/>
  </w:style>
  <w:style w:type="paragraph" w:styleId="Asuntodelcomentario">
    <w:name w:val="annotation subject"/>
    <w:basedOn w:val="Textocomentario"/>
    <w:next w:val="Textocomentario"/>
    <w:link w:val="AsuntodelcomentarioCar"/>
    <w:uiPriority w:val="99"/>
    <w:semiHidden/>
    <w:unhideWhenUsed/>
    <w:rsid w:val="000B6963"/>
    <w:rPr>
      <w:b/>
      <w:bCs/>
    </w:rPr>
  </w:style>
  <w:style w:type="character" w:customStyle="1" w:styleId="AsuntodelcomentarioCar">
    <w:name w:val="Asunto del comentario Car"/>
    <w:basedOn w:val="TextocomentarioCar"/>
    <w:link w:val="Asuntodelcomentario"/>
    <w:uiPriority w:val="99"/>
    <w:semiHidden/>
    <w:rsid w:val="000B6963"/>
    <w:rPr>
      <w:b/>
      <w:bCs/>
    </w:rPr>
  </w:style>
  <w:style w:type="paragraph" w:styleId="NormalWeb">
    <w:name w:val="Normal (Web)"/>
    <w:basedOn w:val="Normal"/>
    <w:uiPriority w:val="99"/>
    <w:semiHidden/>
    <w:unhideWhenUsed/>
    <w:rsid w:val="001D02D9"/>
    <w:pPr>
      <w:spacing w:before="100" w:beforeAutospacing="1" w:after="100" w:afterAutospacing="1"/>
    </w:pPr>
    <w:rPr>
      <w:sz w:val="24"/>
      <w:szCs w:val="24"/>
      <w:lang w:val="es-HN" w:eastAsia="es-H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8802159">
      <w:bodyDiv w:val="1"/>
      <w:marLeft w:val="0"/>
      <w:marRight w:val="0"/>
      <w:marTop w:val="0"/>
      <w:marBottom w:val="0"/>
      <w:divBdr>
        <w:top w:val="none" w:sz="0" w:space="0" w:color="auto"/>
        <w:left w:val="none" w:sz="0" w:space="0" w:color="auto"/>
        <w:bottom w:val="none" w:sz="0" w:space="0" w:color="auto"/>
        <w:right w:val="none" w:sz="0" w:space="0" w:color="auto"/>
      </w:divBdr>
    </w:div>
    <w:div w:id="1190098052">
      <w:bodyDiv w:val="1"/>
      <w:marLeft w:val="0"/>
      <w:marRight w:val="0"/>
      <w:marTop w:val="0"/>
      <w:marBottom w:val="0"/>
      <w:divBdr>
        <w:top w:val="none" w:sz="0" w:space="0" w:color="auto"/>
        <w:left w:val="none" w:sz="0" w:space="0" w:color="auto"/>
        <w:bottom w:val="none" w:sz="0" w:space="0" w:color="auto"/>
        <w:right w:val="none" w:sz="0" w:space="0" w:color="auto"/>
      </w:divBdr>
    </w:div>
    <w:div w:id="1751656810">
      <w:bodyDiv w:val="1"/>
      <w:marLeft w:val="0"/>
      <w:marRight w:val="0"/>
      <w:marTop w:val="0"/>
      <w:marBottom w:val="0"/>
      <w:divBdr>
        <w:top w:val="none" w:sz="0" w:space="0" w:color="auto"/>
        <w:left w:val="none" w:sz="0" w:space="0" w:color="auto"/>
        <w:bottom w:val="none" w:sz="0" w:space="0" w:color="auto"/>
        <w:right w:val="none" w:sz="0" w:space="0" w:color="auto"/>
      </w:divBdr>
    </w:div>
    <w:div w:id="20255920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1728161-5D40-43A2-864C-220EE3103238}">
  <we:reference id="wa200010453" version="1.0.0.1" store="en-US" storeType="OMEX"/>
  <we:alternateReferences>
    <we:reference id="WA200010453" version="1.0.0.1" store="" storeType="OMEX"/>
  </we:alternateReferences>
  <we:properties>
    <we:property name="claude.fileId" value="&quot;75b13950-342c-4094-9fe3-a7fd30ff1f04&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6BC24-4484-446E-BF1B-BC914ED0E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7219</Words>
  <Characters>39705</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Koritza Ortez Amaya</cp:lastModifiedBy>
  <cp:revision>2</cp:revision>
  <cp:lastPrinted>2026-07-20T19:10:00Z</cp:lastPrinted>
  <dcterms:created xsi:type="dcterms:W3CDTF">2026-07-20T19:10:00Z</dcterms:created>
  <dcterms:modified xsi:type="dcterms:W3CDTF">2026-07-20T19:10:00Z</dcterms:modified>
</cp:coreProperties>
</file>