
<file path=[Content_Types].xml><?xml version="1.0" encoding="utf-8"?>
<Types xmlns="http://schemas.openxmlformats.org/package/2006/content-types">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8A7D4" w14:textId="48AB32EA" w:rsidR="00E762EE" w:rsidRDefault="00B50016" w:rsidP="00E756D4">
      <w:pPr>
        <w:ind w:left="5760" w:firstLine="720"/>
        <w:jc w:val="center"/>
        <w:rPr>
          <w:b/>
          <w:sz w:val="28"/>
          <w:lang w:val="en-GB"/>
        </w:rPr>
      </w:pPr>
      <w:r>
        <w:rPr>
          <w:b/>
          <w:noProof/>
          <w:sz w:val="28"/>
          <w:lang w:val="en-US"/>
        </w:rPr>
        <w:drawing>
          <wp:anchor distT="0" distB="0" distL="114300" distR="114300" simplePos="0" relativeHeight="251659264" behindDoc="0" locked="0" layoutInCell="1" allowOverlap="1" wp14:anchorId="2EE6E0E7" wp14:editId="1BE146AC">
            <wp:simplePos x="0" y="0"/>
            <wp:positionH relativeFrom="page">
              <wp:posOffset>3589020</wp:posOffset>
            </wp:positionH>
            <wp:positionV relativeFrom="paragraph">
              <wp:posOffset>7620</wp:posOffset>
            </wp:positionV>
            <wp:extent cx="2493010" cy="1371600"/>
            <wp:effectExtent l="0" t="0" r="2540" b="0"/>
            <wp:wrapSquare wrapText="bothSides"/>
            <wp:docPr id="455616489" name="Picture 1" descr="A logo with column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16489" name="Picture 1" descr="A logo with columns and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93010" cy="1371600"/>
                    </a:xfrm>
                    <a:prstGeom prst="rect">
                      <a:avLst/>
                    </a:prstGeom>
                  </pic:spPr>
                </pic:pic>
              </a:graphicData>
            </a:graphic>
            <wp14:sizeRelH relativeFrom="margin">
              <wp14:pctWidth>0</wp14:pctWidth>
            </wp14:sizeRelH>
            <wp14:sizeRelV relativeFrom="margin">
              <wp14:pctHeight>0</wp14:pctHeight>
            </wp14:sizeRelV>
          </wp:anchor>
        </w:drawing>
      </w:r>
      <w:r>
        <w:rPr>
          <w:b/>
          <w:noProof/>
          <w:sz w:val="28"/>
          <w:lang w:val="en-US"/>
        </w:rPr>
        <w:drawing>
          <wp:anchor distT="0" distB="0" distL="114300" distR="114300" simplePos="0" relativeHeight="251658240" behindDoc="0" locked="0" layoutInCell="1" allowOverlap="1" wp14:anchorId="14BCC689" wp14:editId="5F1731CC">
            <wp:simplePos x="0" y="0"/>
            <wp:positionH relativeFrom="column">
              <wp:posOffset>-251460</wp:posOffset>
            </wp:positionH>
            <wp:positionV relativeFrom="paragraph">
              <wp:posOffset>175260</wp:posOffset>
            </wp:positionV>
            <wp:extent cx="2453640" cy="1297305"/>
            <wp:effectExtent l="0" t="0" r="3810" b="0"/>
            <wp:wrapSquare wrapText="bothSides"/>
            <wp:docPr id="2" name="Resim 2"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A logo with blu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3640" cy="1297305"/>
                    </a:xfrm>
                    <a:prstGeom prst="rect">
                      <a:avLst/>
                    </a:prstGeom>
                  </pic:spPr>
                </pic:pic>
              </a:graphicData>
            </a:graphic>
            <wp14:sizeRelH relativeFrom="margin">
              <wp14:pctWidth>0</wp14:pctWidth>
            </wp14:sizeRelH>
          </wp:anchor>
        </w:drawing>
      </w:r>
    </w:p>
    <w:p w14:paraId="10AB2B5D" w14:textId="70A5D65F" w:rsidR="00B76F2E" w:rsidRDefault="00B76F2E" w:rsidP="00B76F2E">
      <w:pPr>
        <w:ind w:left="7200"/>
        <w:rPr>
          <w:b/>
          <w:sz w:val="28"/>
          <w:lang w:val="en-GB"/>
        </w:rPr>
      </w:pPr>
    </w:p>
    <w:p w14:paraId="11AB3CDF" w14:textId="4900F7CB" w:rsidR="00E762EE" w:rsidRDefault="00E762EE">
      <w:pPr>
        <w:jc w:val="center"/>
        <w:rPr>
          <w:b/>
          <w:sz w:val="28"/>
          <w:lang w:val="en-GB"/>
        </w:rPr>
      </w:pPr>
    </w:p>
    <w:p w14:paraId="714ADF52" w14:textId="5A34956A" w:rsidR="00E762EE" w:rsidRDefault="00E762EE">
      <w:pPr>
        <w:jc w:val="center"/>
        <w:rPr>
          <w:b/>
          <w:sz w:val="28"/>
          <w:lang w:val="en-GB"/>
        </w:rPr>
      </w:pPr>
      <w:bookmarkStart w:id="0" w:name="_Hlk168297632"/>
      <w:bookmarkEnd w:id="0"/>
    </w:p>
    <w:p w14:paraId="6B3F6564" w14:textId="77777777" w:rsidR="00B50016" w:rsidRDefault="00B50016">
      <w:pPr>
        <w:jc w:val="center"/>
        <w:rPr>
          <w:b/>
          <w:sz w:val="28"/>
          <w:lang w:val="en-GB"/>
        </w:rPr>
      </w:pPr>
    </w:p>
    <w:p w14:paraId="786453A7" w14:textId="77777777" w:rsidR="00B50016" w:rsidRDefault="00B50016">
      <w:pPr>
        <w:jc w:val="center"/>
        <w:rPr>
          <w:b/>
          <w:sz w:val="28"/>
          <w:lang w:val="en-GB"/>
        </w:rPr>
      </w:pPr>
    </w:p>
    <w:p w14:paraId="509A3902" w14:textId="7A21A92E" w:rsidR="004726C6" w:rsidRDefault="00251EC3">
      <w:pPr>
        <w:jc w:val="center"/>
        <w:rPr>
          <w:b/>
          <w:sz w:val="28"/>
          <w:lang w:val="en-GB"/>
        </w:rPr>
      </w:pPr>
      <w:r>
        <w:rPr>
          <w:b/>
          <w:sz w:val="28"/>
          <w:lang w:val="en-GB"/>
        </w:rPr>
        <w:t>JOINT SUBMISSION</w:t>
      </w:r>
      <w:r w:rsidR="00CD0971">
        <w:rPr>
          <w:b/>
          <w:sz w:val="28"/>
          <w:lang w:val="en-GB"/>
        </w:rPr>
        <w:t xml:space="preserve"> FOR THE FIFTH PERIODIC REVIEW OF </w:t>
      </w:r>
      <w:r w:rsidR="006C6B0F">
        <w:rPr>
          <w:b/>
          <w:sz w:val="28"/>
          <w:szCs w:val="28"/>
          <w:lang w:val="en-US"/>
        </w:rPr>
        <w:t>TÜRK</w:t>
      </w:r>
      <w:r w:rsidR="006C6B0F">
        <w:rPr>
          <w:b/>
          <w:sz w:val="28"/>
          <w:szCs w:val="28"/>
          <w:lang w:val="tr-TR"/>
        </w:rPr>
        <w:t>i</w:t>
      </w:r>
      <w:r w:rsidR="006C6B0F">
        <w:rPr>
          <w:b/>
          <w:sz w:val="28"/>
          <w:szCs w:val="28"/>
          <w:lang w:val="en-US"/>
        </w:rPr>
        <w:t>YE</w:t>
      </w:r>
      <w:r w:rsidR="006C6B0F">
        <w:rPr>
          <w:b/>
          <w:sz w:val="28"/>
          <w:lang w:val="en-GB"/>
        </w:rPr>
        <w:t xml:space="preserve"> </w:t>
      </w:r>
      <w:r w:rsidR="00CD0971">
        <w:rPr>
          <w:b/>
          <w:sz w:val="28"/>
          <w:lang w:val="en-GB"/>
        </w:rPr>
        <w:t xml:space="preserve">BEFORE THE UNITED NATIONS COMMITTEE AGAINST TORTURE </w:t>
      </w:r>
      <w:r w:rsidR="00836093">
        <w:rPr>
          <w:b/>
          <w:sz w:val="28"/>
          <w:lang w:val="en-GB"/>
        </w:rPr>
        <w:t xml:space="preserve"> </w:t>
      </w:r>
    </w:p>
    <w:p w14:paraId="5B3230FA" w14:textId="77777777" w:rsidR="009D5D43" w:rsidRDefault="009D5D43">
      <w:pPr>
        <w:jc w:val="center"/>
        <w:rPr>
          <w:b/>
          <w:sz w:val="28"/>
          <w:lang w:val="en-GB"/>
        </w:rPr>
      </w:pPr>
    </w:p>
    <w:p w14:paraId="41A835DF" w14:textId="28D58E5A" w:rsidR="00E762EE" w:rsidRDefault="00E762EE">
      <w:pPr>
        <w:jc w:val="center"/>
        <w:rPr>
          <w:b/>
          <w:sz w:val="28"/>
          <w:lang w:val="en-GB"/>
        </w:rPr>
      </w:pPr>
      <w:r>
        <w:rPr>
          <w:b/>
          <w:sz w:val="28"/>
          <w:lang w:val="en-GB"/>
        </w:rPr>
        <w:t>BY VOLUNTEER JURISTS</w:t>
      </w:r>
      <w:r w:rsidR="00B50016">
        <w:rPr>
          <w:rStyle w:val="FootnoteReference"/>
          <w:b/>
          <w:sz w:val="28"/>
          <w:lang w:val="en-GB"/>
        </w:rPr>
        <w:footnoteReference w:id="2"/>
      </w:r>
      <w:r w:rsidR="00B50016">
        <w:rPr>
          <w:b/>
          <w:sz w:val="28"/>
          <w:lang w:val="en-GB"/>
        </w:rPr>
        <w:t xml:space="preserve"> AND JUSTICE FOR RULE OF LAW</w:t>
      </w:r>
      <w:r w:rsidR="00B50016">
        <w:rPr>
          <w:rStyle w:val="FootnoteReference"/>
          <w:b/>
          <w:sz w:val="28"/>
          <w:lang w:val="en-GB"/>
        </w:rPr>
        <w:footnoteReference w:id="3"/>
      </w:r>
      <w:r>
        <w:rPr>
          <w:b/>
          <w:sz w:val="28"/>
          <w:lang w:val="en-GB"/>
        </w:rPr>
        <w:t xml:space="preserve"> ASSOCIATION</w:t>
      </w:r>
      <w:r w:rsidR="00B50016">
        <w:rPr>
          <w:b/>
          <w:sz w:val="28"/>
          <w:lang w:val="en-GB"/>
        </w:rPr>
        <w:t>S</w:t>
      </w:r>
      <w:r>
        <w:rPr>
          <w:b/>
          <w:sz w:val="28"/>
          <w:lang w:val="en-GB"/>
        </w:rPr>
        <w:t xml:space="preserve"> </w:t>
      </w:r>
    </w:p>
    <w:p w14:paraId="6D277ECE" w14:textId="77777777" w:rsidR="00E762EE" w:rsidRDefault="00E762EE">
      <w:pPr>
        <w:jc w:val="center"/>
        <w:rPr>
          <w:b/>
          <w:sz w:val="28"/>
          <w:lang w:val="en-GB"/>
        </w:rPr>
      </w:pPr>
    </w:p>
    <w:p w14:paraId="1F389A07" w14:textId="7AA5F9C3" w:rsidR="00E756D4" w:rsidRDefault="000D4D10" w:rsidP="000D4D10">
      <w:pPr>
        <w:ind w:firstLine="720"/>
        <w:rPr>
          <w:b/>
          <w:sz w:val="28"/>
          <w:lang w:val="en-GB"/>
        </w:rPr>
      </w:pPr>
      <w:r>
        <w:rPr>
          <w:b/>
          <w:sz w:val="28"/>
          <w:lang w:val="en-GB"/>
        </w:rPr>
        <w:t xml:space="preserve">                                                </w:t>
      </w:r>
      <w:r w:rsidR="003A2010">
        <w:rPr>
          <w:b/>
          <w:sz w:val="28"/>
          <w:lang w:val="en-GB"/>
        </w:rPr>
        <w:t>0</w:t>
      </w:r>
      <w:r w:rsidR="00D222D6">
        <w:rPr>
          <w:b/>
          <w:sz w:val="28"/>
          <w:lang w:val="en-GB"/>
        </w:rPr>
        <w:t>5</w:t>
      </w:r>
      <w:r w:rsidR="00403451">
        <w:rPr>
          <w:b/>
          <w:sz w:val="28"/>
          <w:lang w:val="en-GB"/>
        </w:rPr>
        <w:t xml:space="preserve"> </w:t>
      </w:r>
      <w:r w:rsidR="003A2010">
        <w:rPr>
          <w:b/>
          <w:sz w:val="28"/>
          <w:lang w:val="en-GB"/>
        </w:rPr>
        <w:t>JUNE</w:t>
      </w:r>
      <w:r w:rsidR="00E756D4">
        <w:rPr>
          <w:b/>
          <w:sz w:val="28"/>
          <w:lang w:val="en-GB"/>
        </w:rPr>
        <w:t xml:space="preserve"> 202</w:t>
      </w:r>
      <w:r w:rsidR="009D5D43">
        <w:rPr>
          <w:b/>
          <w:sz w:val="28"/>
          <w:lang w:val="en-GB"/>
        </w:rPr>
        <w:t>4</w:t>
      </w:r>
    </w:p>
    <w:p w14:paraId="5979B550" w14:textId="77777777" w:rsidR="00E762EE" w:rsidRDefault="00E762EE">
      <w:pPr>
        <w:jc w:val="center"/>
        <w:rPr>
          <w:b/>
          <w:sz w:val="28"/>
          <w:lang w:val="en-GB"/>
        </w:rPr>
      </w:pPr>
    </w:p>
    <w:p w14:paraId="2D2DB5CD" w14:textId="77777777" w:rsidR="00E762EE" w:rsidRDefault="00E762EE">
      <w:pPr>
        <w:jc w:val="center"/>
        <w:rPr>
          <w:b/>
          <w:sz w:val="28"/>
          <w:lang w:val="en-GB"/>
        </w:rPr>
      </w:pPr>
    </w:p>
    <w:p w14:paraId="4DA436FD" w14:textId="77777777" w:rsidR="00E762EE" w:rsidRDefault="00E762EE" w:rsidP="00E762EE">
      <w:pPr>
        <w:pStyle w:val="Default"/>
      </w:pPr>
    </w:p>
    <w:p w14:paraId="2FDE669F" w14:textId="33B1C144" w:rsidR="00E762EE" w:rsidRPr="00E762EE" w:rsidRDefault="00E762EE" w:rsidP="00E762EE">
      <w:pPr>
        <w:jc w:val="center"/>
        <w:rPr>
          <w:b/>
          <w:sz w:val="28"/>
          <w:szCs w:val="28"/>
          <w:lang w:val="en-US"/>
        </w:rPr>
      </w:pPr>
      <w:r>
        <w:rPr>
          <w:b/>
          <w:sz w:val="28"/>
          <w:szCs w:val="28"/>
          <w:lang w:val="en-US"/>
        </w:rPr>
        <w:t xml:space="preserve">For the </w:t>
      </w:r>
      <w:r w:rsidR="009D5D43">
        <w:rPr>
          <w:b/>
          <w:sz w:val="28"/>
          <w:szCs w:val="28"/>
          <w:lang w:val="en-US"/>
        </w:rPr>
        <w:t>80</w:t>
      </w:r>
      <w:proofErr w:type="gramStart"/>
      <w:r w:rsidR="009D5D43" w:rsidRPr="009D5D43">
        <w:rPr>
          <w:b/>
          <w:sz w:val="28"/>
          <w:szCs w:val="28"/>
          <w:vertAlign w:val="superscript"/>
          <w:lang w:val="en-US"/>
        </w:rPr>
        <w:t>th</w:t>
      </w:r>
      <w:r w:rsidR="009D5D43">
        <w:rPr>
          <w:b/>
          <w:sz w:val="28"/>
          <w:szCs w:val="28"/>
          <w:lang w:val="en-US"/>
        </w:rPr>
        <w:t xml:space="preserve"> </w:t>
      </w:r>
      <w:r>
        <w:rPr>
          <w:b/>
          <w:sz w:val="28"/>
          <w:szCs w:val="28"/>
          <w:lang w:val="en-US"/>
        </w:rPr>
        <w:t xml:space="preserve"> </w:t>
      </w:r>
      <w:r w:rsidRPr="00E762EE">
        <w:rPr>
          <w:b/>
          <w:sz w:val="28"/>
          <w:szCs w:val="28"/>
          <w:lang w:val="en-US"/>
        </w:rPr>
        <w:t>session</w:t>
      </w:r>
      <w:proofErr w:type="gramEnd"/>
      <w:r w:rsidR="00B76F2E">
        <w:rPr>
          <w:b/>
          <w:sz w:val="28"/>
          <w:szCs w:val="28"/>
          <w:lang w:val="en-US"/>
        </w:rPr>
        <w:t xml:space="preserve"> </w:t>
      </w:r>
      <w:r>
        <w:rPr>
          <w:b/>
          <w:sz w:val="28"/>
          <w:szCs w:val="28"/>
          <w:lang w:val="en-US"/>
        </w:rPr>
        <w:t>(</w:t>
      </w:r>
      <w:r w:rsidR="009D5D43">
        <w:rPr>
          <w:b/>
          <w:sz w:val="28"/>
          <w:szCs w:val="28"/>
          <w:lang w:val="en-US"/>
        </w:rPr>
        <w:t>0</w:t>
      </w:r>
      <w:r>
        <w:rPr>
          <w:b/>
          <w:sz w:val="28"/>
          <w:szCs w:val="28"/>
          <w:lang w:val="en-US"/>
        </w:rPr>
        <w:t>8 Ju</w:t>
      </w:r>
      <w:r w:rsidR="009D5D43">
        <w:rPr>
          <w:b/>
          <w:sz w:val="28"/>
          <w:szCs w:val="28"/>
          <w:lang w:val="en-US"/>
        </w:rPr>
        <w:t>ly</w:t>
      </w:r>
      <w:r>
        <w:rPr>
          <w:b/>
          <w:sz w:val="28"/>
          <w:szCs w:val="28"/>
          <w:lang w:val="en-US"/>
        </w:rPr>
        <w:t xml:space="preserve"> 202</w:t>
      </w:r>
      <w:r w:rsidR="009D5D43">
        <w:rPr>
          <w:b/>
          <w:sz w:val="28"/>
          <w:szCs w:val="28"/>
          <w:lang w:val="en-US"/>
        </w:rPr>
        <w:t>4</w:t>
      </w:r>
      <w:r>
        <w:rPr>
          <w:b/>
          <w:sz w:val="28"/>
          <w:szCs w:val="28"/>
          <w:lang w:val="en-US"/>
        </w:rPr>
        <w:t>-2</w:t>
      </w:r>
      <w:r w:rsidR="009D5D43">
        <w:rPr>
          <w:b/>
          <w:sz w:val="28"/>
          <w:szCs w:val="28"/>
          <w:lang w:val="en-US"/>
        </w:rPr>
        <w:t>6</w:t>
      </w:r>
      <w:r>
        <w:rPr>
          <w:b/>
          <w:sz w:val="28"/>
          <w:szCs w:val="28"/>
          <w:lang w:val="en-US"/>
        </w:rPr>
        <w:t xml:space="preserve"> July 202</w:t>
      </w:r>
      <w:r w:rsidR="009D5D43">
        <w:rPr>
          <w:b/>
          <w:sz w:val="28"/>
          <w:szCs w:val="28"/>
          <w:lang w:val="en-US"/>
        </w:rPr>
        <w:t>4</w:t>
      </w:r>
      <w:r>
        <w:rPr>
          <w:b/>
          <w:sz w:val="28"/>
          <w:szCs w:val="28"/>
          <w:lang w:val="en-US"/>
        </w:rPr>
        <w:t>)</w:t>
      </w:r>
      <w:r w:rsidRPr="00E762EE">
        <w:rPr>
          <w:b/>
          <w:sz w:val="28"/>
          <w:szCs w:val="28"/>
          <w:lang w:val="en-US"/>
        </w:rPr>
        <w:t xml:space="preserve"> of the</w:t>
      </w:r>
      <w:r w:rsidR="009D5D43">
        <w:rPr>
          <w:b/>
          <w:sz w:val="28"/>
          <w:szCs w:val="28"/>
          <w:lang w:val="en-US"/>
        </w:rPr>
        <w:t xml:space="preserve"> United Nations</w:t>
      </w:r>
      <w:r w:rsidRPr="00E762EE">
        <w:rPr>
          <w:b/>
          <w:sz w:val="28"/>
          <w:szCs w:val="28"/>
          <w:lang w:val="en-US"/>
        </w:rPr>
        <w:t xml:space="preserve"> Committee</w:t>
      </w:r>
      <w:r w:rsidR="009D5D43">
        <w:rPr>
          <w:b/>
          <w:sz w:val="28"/>
          <w:szCs w:val="28"/>
          <w:lang w:val="en-US"/>
        </w:rPr>
        <w:t xml:space="preserve"> Against Torture</w:t>
      </w:r>
      <w:r w:rsidRPr="00E762EE">
        <w:rPr>
          <w:b/>
          <w:sz w:val="28"/>
          <w:szCs w:val="28"/>
          <w:lang w:val="en-US"/>
        </w:rPr>
        <w:t xml:space="preserve"> for</w:t>
      </w:r>
      <w:r w:rsidR="009D5D43">
        <w:rPr>
          <w:b/>
          <w:sz w:val="28"/>
          <w:szCs w:val="28"/>
          <w:lang w:val="en-US"/>
        </w:rPr>
        <w:t xml:space="preserve"> the</w:t>
      </w:r>
      <w:r w:rsidRPr="00E762EE">
        <w:rPr>
          <w:b/>
          <w:sz w:val="28"/>
          <w:szCs w:val="28"/>
          <w:lang w:val="en-US"/>
        </w:rPr>
        <w:t xml:space="preserve"> adoption of </w:t>
      </w:r>
      <w:r w:rsidR="00D222D6">
        <w:rPr>
          <w:b/>
          <w:sz w:val="28"/>
          <w:szCs w:val="28"/>
          <w:lang w:val="en-US"/>
        </w:rPr>
        <w:t>C</w:t>
      </w:r>
      <w:r w:rsidR="009D5D43">
        <w:rPr>
          <w:b/>
          <w:sz w:val="28"/>
          <w:szCs w:val="28"/>
          <w:lang w:val="en-US"/>
        </w:rPr>
        <w:t xml:space="preserve">oncluding </w:t>
      </w:r>
      <w:r w:rsidR="00D222D6">
        <w:rPr>
          <w:b/>
          <w:sz w:val="28"/>
          <w:szCs w:val="28"/>
          <w:lang w:val="en-US"/>
        </w:rPr>
        <w:t>O</w:t>
      </w:r>
      <w:r w:rsidR="009D5D43">
        <w:rPr>
          <w:b/>
          <w:sz w:val="28"/>
          <w:szCs w:val="28"/>
          <w:lang w:val="en-US"/>
        </w:rPr>
        <w:t>bservations</w:t>
      </w:r>
      <w:r w:rsidRPr="00E762EE">
        <w:rPr>
          <w:b/>
          <w:sz w:val="28"/>
          <w:szCs w:val="28"/>
          <w:lang w:val="en-US"/>
        </w:rPr>
        <w:t xml:space="preserve"> </w:t>
      </w:r>
      <w:r w:rsidR="00D222D6">
        <w:rPr>
          <w:b/>
          <w:sz w:val="28"/>
          <w:szCs w:val="28"/>
          <w:lang w:val="en-US"/>
        </w:rPr>
        <w:t>on</w:t>
      </w:r>
      <w:r w:rsidRPr="00E762EE">
        <w:rPr>
          <w:b/>
          <w:sz w:val="28"/>
          <w:szCs w:val="28"/>
          <w:lang w:val="en-US"/>
        </w:rPr>
        <w:t xml:space="preserve"> the </w:t>
      </w:r>
      <w:r>
        <w:rPr>
          <w:b/>
          <w:sz w:val="28"/>
          <w:szCs w:val="28"/>
          <w:lang w:val="en-US"/>
        </w:rPr>
        <w:t xml:space="preserve">Republic of </w:t>
      </w:r>
      <w:r w:rsidR="00ED188A">
        <w:rPr>
          <w:b/>
          <w:sz w:val="28"/>
          <w:szCs w:val="28"/>
          <w:lang w:val="en-US"/>
        </w:rPr>
        <w:t>Türkiye</w:t>
      </w:r>
    </w:p>
    <w:p w14:paraId="0213AC05" w14:textId="77777777" w:rsidR="00726A30" w:rsidRPr="00ED188A" w:rsidRDefault="00726A30" w:rsidP="00726A30">
      <w:pPr>
        <w:rPr>
          <w:b/>
          <w:sz w:val="28"/>
          <w:lang w:val="en-US"/>
        </w:rPr>
      </w:pPr>
    </w:p>
    <w:p w14:paraId="47BAEF84" w14:textId="77777777" w:rsidR="00726A30" w:rsidRDefault="00726A30" w:rsidP="00726A30">
      <w:pPr>
        <w:rPr>
          <w:b/>
          <w:sz w:val="28"/>
          <w:lang w:val="en-GB"/>
        </w:rPr>
      </w:pPr>
    </w:p>
    <w:p w14:paraId="69838188" w14:textId="77777777" w:rsidR="00726A30" w:rsidRDefault="00726A30" w:rsidP="00726A30">
      <w:pPr>
        <w:rPr>
          <w:b/>
          <w:sz w:val="28"/>
          <w:lang w:val="en-GB"/>
        </w:rPr>
      </w:pPr>
    </w:p>
    <w:p w14:paraId="750D226F" w14:textId="77777777" w:rsidR="00726A30" w:rsidRDefault="00726A30" w:rsidP="00726A30">
      <w:pPr>
        <w:rPr>
          <w:b/>
          <w:sz w:val="28"/>
          <w:lang w:val="en-GB"/>
        </w:rPr>
      </w:pPr>
    </w:p>
    <w:p w14:paraId="13EEE8F9" w14:textId="77777777" w:rsidR="00726A30" w:rsidRDefault="00726A30" w:rsidP="00726A30">
      <w:pPr>
        <w:rPr>
          <w:b/>
          <w:sz w:val="28"/>
          <w:lang w:val="en-GB"/>
        </w:rPr>
      </w:pPr>
    </w:p>
    <w:p w14:paraId="6625B118" w14:textId="77777777" w:rsidR="00726A30" w:rsidRPr="00D63115" w:rsidRDefault="00726A30" w:rsidP="00D63115">
      <w:pPr>
        <w:jc w:val="center"/>
        <w:rPr>
          <w:b/>
          <w:sz w:val="26"/>
          <w:szCs w:val="26"/>
          <w:lang w:val="en-GB"/>
        </w:rPr>
      </w:pPr>
      <w:r w:rsidRPr="00D63115">
        <w:rPr>
          <w:b/>
          <w:sz w:val="26"/>
          <w:szCs w:val="26"/>
          <w:lang w:val="en-GB"/>
        </w:rPr>
        <w:t>CONTENTS</w:t>
      </w:r>
    </w:p>
    <w:sdt>
      <w:sdtPr>
        <w:rPr>
          <w:sz w:val="26"/>
          <w:szCs w:val="26"/>
        </w:rPr>
        <w:id w:val="-1565556772"/>
        <w:docPartObj>
          <w:docPartGallery w:val="Table of Contents"/>
          <w:docPartUnique/>
        </w:docPartObj>
      </w:sdtPr>
      <w:sdtEndPr>
        <w:rPr>
          <w:b/>
          <w:bCs/>
        </w:rPr>
      </w:sdtEndPr>
      <w:sdtContent>
        <w:p w14:paraId="6D145D2D" w14:textId="685EE847" w:rsidR="00725A47" w:rsidRPr="00D63115" w:rsidRDefault="00725A47" w:rsidP="00B658E2">
          <w:pPr>
            <w:pStyle w:val="TOCHeading"/>
            <w:tabs>
              <w:tab w:val="left" w:pos="851"/>
            </w:tabs>
            <w:ind w:left="567" w:right="1229" w:hanging="567"/>
            <w:rPr>
              <w:sz w:val="26"/>
              <w:szCs w:val="26"/>
            </w:rPr>
          </w:pPr>
        </w:p>
        <w:p w14:paraId="1F9CB09A" w14:textId="5180266F" w:rsidR="00D81B1E" w:rsidRPr="00346E5C" w:rsidRDefault="00725A47">
          <w:pPr>
            <w:pStyle w:val="TOC2"/>
            <w:tabs>
              <w:tab w:val="left" w:pos="850"/>
              <w:tab w:val="right" w:leader="dot" w:pos="9016"/>
            </w:tabs>
            <w:rPr>
              <w:rFonts w:asciiTheme="minorHAnsi" w:eastAsiaTheme="minorEastAsia" w:hAnsiTheme="minorHAnsi" w:cstheme="minorBidi"/>
              <w:b/>
              <w:bCs/>
              <w:noProof/>
              <w:kern w:val="2"/>
              <w:sz w:val="24"/>
              <w:szCs w:val="24"/>
              <w:lang/>
              <w14:ligatures w14:val="standardContextual"/>
            </w:rPr>
          </w:pPr>
          <w:r w:rsidRPr="00D63115">
            <w:rPr>
              <w:b/>
              <w:bCs/>
              <w:sz w:val="26"/>
              <w:szCs w:val="26"/>
            </w:rPr>
            <w:fldChar w:fldCharType="begin"/>
          </w:r>
          <w:r w:rsidRPr="00D63115">
            <w:rPr>
              <w:b/>
              <w:bCs/>
              <w:sz w:val="26"/>
              <w:szCs w:val="26"/>
            </w:rPr>
            <w:instrText xml:space="preserve"> TOC \o "1-3" \h \z \u </w:instrText>
          </w:r>
          <w:r w:rsidRPr="00D63115">
            <w:rPr>
              <w:b/>
              <w:bCs/>
              <w:sz w:val="26"/>
              <w:szCs w:val="26"/>
            </w:rPr>
            <w:fldChar w:fldCharType="separate"/>
          </w:r>
          <w:hyperlink w:anchor="_Toc168143654" w:history="1">
            <w:r w:rsidR="00D81B1E" w:rsidRPr="00346E5C">
              <w:rPr>
                <w:rStyle w:val="Hyperlink"/>
                <w:b/>
                <w:bCs/>
                <w:noProof/>
              </w:rPr>
              <w:t>I-</w:t>
            </w:r>
            <w:r w:rsidR="00D81B1E" w:rsidRPr="00346E5C">
              <w:rPr>
                <w:rFonts w:asciiTheme="minorHAnsi" w:eastAsiaTheme="minorEastAsia" w:hAnsiTheme="minorHAnsi" w:cstheme="minorBidi"/>
                <w:b/>
                <w:bCs/>
                <w:noProof/>
                <w:kern w:val="2"/>
                <w:sz w:val="24"/>
                <w:szCs w:val="24"/>
                <w:lang/>
                <w14:ligatures w14:val="standardContextual"/>
              </w:rPr>
              <w:tab/>
            </w:r>
            <w:r w:rsidR="00D81B1E" w:rsidRPr="00346E5C">
              <w:rPr>
                <w:rStyle w:val="Hyperlink"/>
                <w:b/>
                <w:bCs/>
                <w:noProof/>
              </w:rPr>
              <w:t>Introduction</w:t>
            </w:r>
            <w:r w:rsidR="00D81B1E" w:rsidRPr="00346E5C">
              <w:rPr>
                <w:b/>
                <w:bCs/>
                <w:noProof/>
                <w:webHidden/>
              </w:rPr>
              <w:tab/>
            </w:r>
            <w:r w:rsidR="00D81B1E" w:rsidRPr="00346E5C">
              <w:rPr>
                <w:b/>
                <w:bCs/>
                <w:noProof/>
                <w:webHidden/>
              </w:rPr>
              <w:fldChar w:fldCharType="begin"/>
            </w:r>
            <w:r w:rsidR="00D81B1E" w:rsidRPr="00346E5C">
              <w:rPr>
                <w:b/>
                <w:bCs/>
                <w:noProof/>
                <w:webHidden/>
              </w:rPr>
              <w:instrText xml:space="preserve"> PAGEREF _Toc168143654 \h </w:instrText>
            </w:r>
            <w:r w:rsidR="00D81B1E" w:rsidRPr="00346E5C">
              <w:rPr>
                <w:b/>
                <w:bCs/>
                <w:noProof/>
                <w:webHidden/>
              </w:rPr>
            </w:r>
            <w:r w:rsidR="00D81B1E" w:rsidRPr="00346E5C">
              <w:rPr>
                <w:b/>
                <w:bCs/>
                <w:noProof/>
                <w:webHidden/>
              </w:rPr>
              <w:fldChar w:fldCharType="separate"/>
            </w:r>
            <w:r w:rsidR="00D222D6">
              <w:rPr>
                <w:b/>
                <w:bCs/>
                <w:noProof/>
                <w:webHidden/>
              </w:rPr>
              <w:t>3</w:t>
            </w:r>
            <w:r w:rsidR="00D81B1E" w:rsidRPr="00346E5C">
              <w:rPr>
                <w:b/>
                <w:bCs/>
                <w:noProof/>
                <w:webHidden/>
              </w:rPr>
              <w:fldChar w:fldCharType="end"/>
            </w:r>
          </w:hyperlink>
        </w:p>
        <w:p w14:paraId="592FBCAA" w14:textId="5F50AB02" w:rsidR="00D81B1E" w:rsidRPr="00346E5C" w:rsidRDefault="00455119">
          <w:pPr>
            <w:pStyle w:val="TOC2"/>
            <w:tabs>
              <w:tab w:val="left" w:pos="850"/>
              <w:tab w:val="right" w:leader="dot" w:pos="9016"/>
            </w:tabs>
            <w:rPr>
              <w:rFonts w:asciiTheme="minorHAnsi" w:eastAsiaTheme="minorEastAsia" w:hAnsiTheme="minorHAnsi" w:cstheme="minorBidi"/>
              <w:b/>
              <w:bCs/>
              <w:noProof/>
              <w:kern w:val="2"/>
              <w:sz w:val="24"/>
              <w:szCs w:val="24"/>
              <w:lang/>
              <w14:ligatures w14:val="standardContextual"/>
            </w:rPr>
          </w:pPr>
          <w:hyperlink w:anchor="_Toc168143655" w:history="1">
            <w:r w:rsidR="00D81B1E" w:rsidRPr="00346E5C">
              <w:rPr>
                <w:rStyle w:val="Hyperlink"/>
                <w:b/>
                <w:bCs/>
                <w:noProof/>
              </w:rPr>
              <w:t>II-</w:t>
            </w:r>
            <w:r w:rsidR="00D81B1E" w:rsidRPr="00346E5C">
              <w:rPr>
                <w:rFonts w:asciiTheme="minorHAnsi" w:eastAsiaTheme="minorEastAsia" w:hAnsiTheme="minorHAnsi" w:cstheme="minorBidi"/>
                <w:b/>
                <w:bCs/>
                <w:noProof/>
                <w:kern w:val="2"/>
                <w:sz w:val="24"/>
                <w:szCs w:val="24"/>
                <w:lang/>
                <w14:ligatures w14:val="standardContextual"/>
              </w:rPr>
              <w:tab/>
            </w:r>
            <w:r w:rsidR="00D81B1E" w:rsidRPr="00346E5C">
              <w:rPr>
                <w:rStyle w:val="Hyperlink"/>
                <w:b/>
                <w:bCs/>
                <w:noProof/>
              </w:rPr>
              <w:t>Overview</w:t>
            </w:r>
            <w:r w:rsidR="00D81B1E" w:rsidRPr="00346E5C">
              <w:rPr>
                <w:b/>
                <w:bCs/>
                <w:noProof/>
                <w:webHidden/>
              </w:rPr>
              <w:tab/>
            </w:r>
            <w:r w:rsidR="00D81B1E" w:rsidRPr="00346E5C">
              <w:rPr>
                <w:b/>
                <w:bCs/>
                <w:noProof/>
                <w:webHidden/>
              </w:rPr>
              <w:fldChar w:fldCharType="begin"/>
            </w:r>
            <w:r w:rsidR="00D81B1E" w:rsidRPr="00346E5C">
              <w:rPr>
                <w:b/>
                <w:bCs/>
                <w:noProof/>
                <w:webHidden/>
              </w:rPr>
              <w:instrText xml:space="preserve"> PAGEREF _Toc168143655 \h </w:instrText>
            </w:r>
            <w:r w:rsidR="00D81B1E" w:rsidRPr="00346E5C">
              <w:rPr>
                <w:b/>
                <w:bCs/>
                <w:noProof/>
                <w:webHidden/>
              </w:rPr>
            </w:r>
            <w:r w:rsidR="00D81B1E" w:rsidRPr="00346E5C">
              <w:rPr>
                <w:b/>
                <w:bCs/>
                <w:noProof/>
                <w:webHidden/>
              </w:rPr>
              <w:fldChar w:fldCharType="separate"/>
            </w:r>
            <w:r w:rsidR="00D222D6">
              <w:rPr>
                <w:b/>
                <w:bCs/>
                <w:noProof/>
                <w:webHidden/>
              </w:rPr>
              <w:t>4</w:t>
            </w:r>
            <w:r w:rsidR="00D81B1E" w:rsidRPr="00346E5C">
              <w:rPr>
                <w:b/>
                <w:bCs/>
                <w:noProof/>
                <w:webHidden/>
              </w:rPr>
              <w:fldChar w:fldCharType="end"/>
            </w:r>
          </w:hyperlink>
        </w:p>
        <w:p w14:paraId="1765B2DB" w14:textId="6AF67702" w:rsidR="00D81B1E" w:rsidRPr="00346E5C" w:rsidRDefault="00455119">
          <w:pPr>
            <w:pStyle w:val="TOC2"/>
            <w:tabs>
              <w:tab w:val="left" w:pos="850"/>
              <w:tab w:val="right" w:leader="dot" w:pos="9016"/>
            </w:tabs>
            <w:rPr>
              <w:rFonts w:asciiTheme="minorHAnsi" w:eastAsiaTheme="minorEastAsia" w:hAnsiTheme="minorHAnsi" w:cstheme="minorBidi"/>
              <w:b/>
              <w:bCs/>
              <w:noProof/>
              <w:kern w:val="2"/>
              <w:sz w:val="24"/>
              <w:szCs w:val="24"/>
              <w:lang/>
              <w14:ligatures w14:val="standardContextual"/>
            </w:rPr>
          </w:pPr>
          <w:hyperlink w:anchor="_Toc168143656" w:history="1">
            <w:r w:rsidR="00D81B1E" w:rsidRPr="00346E5C">
              <w:rPr>
                <w:rStyle w:val="Hyperlink"/>
                <w:b/>
                <w:bCs/>
                <w:noProof/>
              </w:rPr>
              <w:t>III-</w:t>
            </w:r>
            <w:r w:rsidR="00D81B1E" w:rsidRPr="00346E5C">
              <w:rPr>
                <w:rFonts w:asciiTheme="minorHAnsi" w:eastAsiaTheme="minorEastAsia" w:hAnsiTheme="minorHAnsi" w:cstheme="minorBidi"/>
                <w:b/>
                <w:bCs/>
                <w:noProof/>
                <w:kern w:val="2"/>
                <w:sz w:val="24"/>
                <w:szCs w:val="24"/>
                <w:lang/>
                <w14:ligatures w14:val="standardContextual"/>
              </w:rPr>
              <w:tab/>
            </w:r>
            <w:r w:rsidR="00D81B1E" w:rsidRPr="00346E5C">
              <w:rPr>
                <w:rStyle w:val="Hyperlink"/>
                <w:b/>
                <w:bCs/>
                <w:noProof/>
              </w:rPr>
              <w:t>Legal safeguards</w:t>
            </w:r>
            <w:r w:rsidR="00D81B1E" w:rsidRPr="00346E5C">
              <w:rPr>
                <w:b/>
                <w:bCs/>
                <w:noProof/>
                <w:webHidden/>
              </w:rPr>
              <w:tab/>
            </w:r>
            <w:r w:rsidR="00D81B1E" w:rsidRPr="00346E5C">
              <w:rPr>
                <w:b/>
                <w:bCs/>
                <w:noProof/>
                <w:webHidden/>
              </w:rPr>
              <w:fldChar w:fldCharType="begin"/>
            </w:r>
            <w:r w:rsidR="00D81B1E" w:rsidRPr="00346E5C">
              <w:rPr>
                <w:b/>
                <w:bCs/>
                <w:noProof/>
                <w:webHidden/>
              </w:rPr>
              <w:instrText xml:space="preserve"> PAGEREF _Toc168143656 \h </w:instrText>
            </w:r>
            <w:r w:rsidR="00D81B1E" w:rsidRPr="00346E5C">
              <w:rPr>
                <w:b/>
                <w:bCs/>
                <w:noProof/>
                <w:webHidden/>
              </w:rPr>
            </w:r>
            <w:r w:rsidR="00D81B1E" w:rsidRPr="00346E5C">
              <w:rPr>
                <w:b/>
                <w:bCs/>
                <w:noProof/>
                <w:webHidden/>
              </w:rPr>
              <w:fldChar w:fldCharType="separate"/>
            </w:r>
            <w:r w:rsidR="00D222D6">
              <w:rPr>
                <w:b/>
                <w:bCs/>
                <w:noProof/>
                <w:webHidden/>
              </w:rPr>
              <w:t>6</w:t>
            </w:r>
            <w:r w:rsidR="00D81B1E" w:rsidRPr="00346E5C">
              <w:rPr>
                <w:b/>
                <w:bCs/>
                <w:noProof/>
                <w:webHidden/>
              </w:rPr>
              <w:fldChar w:fldCharType="end"/>
            </w:r>
          </w:hyperlink>
        </w:p>
        <w:p w14:paraId="338B4105" w14:textId="180C1329" w:rsidR="00D81B1E" w:rsidRPr="00346E5C" w:rsidRDefault="00455119">
          <w:pPr>
            <w:pStyle w:val="TOC2"/>
            <w:tabs>
              <w:tab w:val="left" w:pos="850"/>
              <w:tab w:val="right" w:leader="dot" w:pos="9016"/>
            </w:tabs>
            <w:rPr>
              <w:rFonts w:asciiTheme="minorHAnsi" w:eastAsiaTheme="minorEastAsia" w:hAnsiTheme="minorHAnsi" w:cstheme="minorBidi"/>
              <w:b/>
              <w:bCs/>
              <w:noProof/>
              <w:kern w:val="2"/>
              <w:sz w:val="24"/>
              <w:szCs w:val="24"/>
              <w:lang/>
              <w14:ligatures w14:val="standardContextual"/>
            </w:rPr>
          </w:pPr>
          <w:hyperlink w:anchor="_Toc168143657" w:history="1">
            <w:r w:rsidR="00D81B1E" w:rsidRPr="00346E5C">
              <w:rPr>
                <w:rStyle w:val="Hyperlink"/>
                <w:b/>
                <w:bCs/>
                <w:noProof/>
              </w:rPr>
              <w:t>IV-</w:t>
            </w:r>
            <w:r w:rsidR="00D81B1E" w:rsidRPr="00346E5C">
              <w:rPr>
                <w:rFonts w:asciiTheme="minorHAnsi" w:eastAsiaTheme="minorEastAsia" w:hAnsiTheme="minorHAnsi" w:cstheme="minorBidi"/>
                <w:b/>
                <w:bCs/>
                <w:noProof/>
                <w:kern w:val="2"/>
                <w:sz w:val="24"/>
                <w:szCs w:val="24"/>
                <w:lang/>
                <w14:ligatures w14:val="standardContextual"/>
              </w:rPr>
              <w:tab/>
            </w:r>
            <w:r w:rsidR="00D81B1E" w:rsidRPr="00346E5C">
              <w:rPr>
                <w:rStyle w:val="Hyperlink"/>
                <w:b/>
                <w:bCs/>
                <w:noProof/>
              </w:rPr>
              <w:t>Human rights defenders, journalists</w:t>
            </w:r>
            <w:r w:rsidR="00D81B1E" w:rsidRPr="00346E5C">
              <w:rPr>
                <w:b/>
                <w:bCs/>
                <w:noProof/>
                <w:webHidden/>
              </w:rPr>
              <w:tab/>
            </w:r>
            <w:r w:rsidR="00D81B1E" w:rsidRPr="00346E5C">
              <w:rPr>
                <w:b/>
                <w:bCs/>
                <w:noProof/>
                <w:webHidden/>
              </w:rPr>
              <w:fldChar w:fldCharType="begin"/>
            </w:r>
            <w:r w:rsidR="00D81B1E" w:rsidRPr="00346E5C">
              <w:rPr>
                <w:b/>
                <w:bCs/>
                <w:noProof/>
                <w:webHidden/>
              </w:rPr>
              <w:instrText xml:space="preserve"> PAGEREF _Toc168143657 \h </w:instrText>
            </w:r>
            <w:r w:rsidR="00D81B1E" w:rsidRPr="00346E5C">
              <w:rPr>
                <w:b/>
                <w:bCs/>
                <w:noProof/>
                <w:webHidden/>
              </w:rPr>
            </w:r>
            <w:r w:rsidR="00D81B1E" w:rsidRPr="00346E5C">
              <w:rPr>
                <w:b/>
                <w:bCs/>
                <w:noProof/>
                <w:webHidden/>
              </w:rPr>
              <w:fldChar w:fldCharType="separate"/>
            </w:r>
            <w:r w:rsidR="00D222D6">
              <w:rPr>
                <w:b/>
                <w:bCs/>
                <w:noProof/>
                <w:webHidden/>
              </w:rPr>
              <w:t>6</w:t>
            </w:r>
            <w:r w:rsidR="00D81B1E" w:rsidRPr="00346E5C">
              <w:rPr>
                <w:b/>
                <w:bCs/>
                <w:noProof/>
                <w:webHidden/>
              </w:rPr>
              <w:fldChar w:fldCharType="end"/>
            </w:r>
          </w:hyperlink>
        </w:p>
        <w:p w14:paraId="004A1EE8" w14:textId="476EF1BD" w:rsidR="00D81B1E" w:rsidRPr="00346E5C" w:rsidRDefault="00455119">
          <w:pPr>
            <w:pStyle w:val="TOC2"/>
            <w:tabs>
              <w:tab w:val="left" w:pos="850"/>
              <w:tab w:val="right" w:leader="dot" w:pos="9016"/>
            </w:tabs>
            <w:rPr>
              <w:rFonts w:asciiTheme="minorHAnsi" w:eastAsiaTheme="minorEastAsia" w:hAnsiTheme="minorHAnsi" w:cstheme="minorBidi"/>
              <w:b/>
              <w:bCs/>
              <w:noProof/>
              <w:kern w:val="2"/>
              <w:sz w:val="24"/>
              <w:szCs w:val="24"/>
              <w:lang/>
              <w14:ligatures w14:val="standardContextual"/>
            </w:rPr>
          </w:pPr>
          <w:hyperlink w:anchor="_Toc168143658" w:history="1">
            <w:r w:rsidR="00D81B1E" w:rsidRPr="00346E5C">
              <w:rPr>
                <w:rStyle w:val="Hyperlink"/>
                <w:b/>
                <w:bCs/>
                <w:noProof/>
              </w:rPr>
              <w:t>V-</w:t>
            </w:r>
            <w:r w:rsidR="00D81B1E" w:rsidRPr="00346E5C">
              <w:rPr>
                <w:rFonts w:asciiTheme="minorHAnsi" w:eastAsiaTheme="minorEastAsia" w:hAnsiTheme="minorHAnsi" w:cstheme="minorBidi"/>
                <w:b/>
                <w:bCs/>
                <w:noProof/>
                <w:kern w:val="2"/>
                <w:sz w:val="24"/>
                <w:szCs w:val="24"/>
                <w:lang/>
                <w14:ligatures w14:val="standardContextual"/>
              </w:rPr>
              <w:tab/>
            </w:r>
            <w:r w:rsidR="00D81B1E" w:rsidRPr="00346E5C">
              <w:rPr>
                <w:rStyle w:val="Hyperlink"/>
                <w:b/>
                <w:bCs/>
                <w:noProof/>
              </w:rPr>
              <w:t>Gender-based violence</w:t>
            </w:r>
            <w:r w:rsidR="00D81B1E" w:rsidRPr="00346E5C">
              <w:rPr>
                <w:b/>
                <w:bCs/>
                <w:noProof/>
                <w:webHidden/>
              </w:rPr>
              <w:tab/>
            </w:r>
            <w:r w:rsidR="00D81B1E" w:rsidRPr="00346E5C">
              <w:rPr>
                <w:b/>
                <w:bCs/>
                <w:noProof/>
                <w:webHidden/>
              </w:rPr>
              <w:fldChar w:fldCharType="begin"/>
            </w:r>
            <w:r w:rsidR="00D81B1E" w:rsidRPr="00346E5C">
              <w:rPr>
                <w:b/>
                <w:bCs/>
                <w:noProof/>
                <w:webHidden/>
              </w:rPr>
              <w:instrText xml:space="preserve"> PAGEREF _Toc168143658 \h </w:instrText>
            </w:r>
            <w:r w:rsidR="00D81B1E" w:rsidRPr="00346E5C">
              <w:rPr>
                <w:b/>
                <w:bCs/>
                <w:noProof/>
                <w:webHidden/>
              </w:rPr>
            </w:r>
            <w:r w:rsidR="00D81B1E" w:rsidRPr="00346E5C">
              <w:rPr>
                <w:b/>
                <w:bCs/>
                <w:noProof/>
                <w:webHidden/>
              </w:rPr>
              <w:fldChar w:fldCharType="separate"/>
            </w:r>
            <w:r w:rsidR="00D222D6">
              <w:rPr>
                <w:b/>
                <w:bCs/>
                <w:noProof/>
                <w:webHidden/>
              </w:rPr>
              <w:t>8</w:t>
            </w:r>
            <w:r w:rsidR="00D81B1E" w:rsidRPr="00346E5C">
              <w:rPr>
                <w:b/>
                <w:bCs/>
                <w:noProof/>
                <w:webHidden/>
              </w:rPr>
              <w:fldChar w:fldCharType="end"/>
            </w:r>
          </w:hyperlink>
        </w:p>
        <w:p w14:paraId="369065B3" w14:textId="2DE579D9" w:rsidR="00D81B1E" w:rsidRPr="00346E5C" w:rsidRDefault="00455119">
          <w:pPr>
            <w:pStyle w:val="TOC2"/>
            <w:tabs>
              <w:tab w:val="left" w:pos="850"/>
              <w:tab w:val="right" w:leader="dot" w:pos="9016"/>
            </w:tabs>
            <w:rPr>
              <w:rFonts w:asciiTheme="minorHAnsi" w:eastAsiaTheme="minorEastAsia" w:hAnsiTheme="minorHAnsi" w:cstheme="minorBidi"/>
              <w:b/>
              <w:bCs/>
              <w:noProof/>
              <w:kern w:val="2"/>
              <w:sz w:val="24"/>
              <w:szCs w:val="24"/>
              <w:lang/>
              <w14:ligatures w14:val="standardContextual"/>
            </w:rPr>
          </w:pPr>
          <w:hyperlink w:anchor="_Toc168143659" w:history="1">
            <w:r w:rsidR="00D81B1E" w:rsidRPr="00346E5C">
              <w:rPr>
                <w:rStyle w:val="Hyperlink"/>
                <w:b/>
                <w:bCs/>
                <w:noProof/>
              </w:rPr>
              <w:t>VI-</w:t>
            </w:r>
            <w:r w:rsidR="00D81B1E" w:rsidRPr="00346E5C">
              <w:rPr>
                <w:rFonts w:asciiTheme="minorHAnsi" w:eastAsiaTheme="minorEastAsia" w:hAnsiTheme="minorHAnsi" w:cstheme="minorBidi"/>
                <w:b/>
                <w:bCs/>
                <w:noProof/>
                <w:kern w:val="2"/>
                <w:sz w:val="24"/>
                <w:szCs w:val="24"/>
                <w:lang/>
                <w14:ligatures w14:val="standardContextual"/>
              </w:rPr>
              <w:tab/>
            </w:r>
            <w:r w:rsidR="00D81B1E" w:rsidRPr="00346E5C">
              <w:rPr>
                <w:rStyle w:val="Hyperlink"/>
                <w:b/>
                <w:bCs/>
                <w:noProof/>
              </w:rPr>
              <w:t>The independence of the judiciary</w:t>
            </w:r>
            <w:r w:rsidR="00D81B1E" w:rsidRPr="00346E5C">
              <w:rPr>
                <w:b/>
                <w:bCs/>
                <w:noProof/>
                <w:webHidden/>
              </w:rPr>
              <w:tab/>
            </w:r>
            <w:r w:rsidR="00D81B1E" w:rsidRPr="00346E5C">
              <w:rPr>
                <w:b/>
                <w:bCs/>
                <w:noProof/>
                <w:webHidden/>
              </w:rPr>
              <w:fldChar w:fldCharType="begin"/>
            </w:r>
            <w:r w:rsidR="00D81B1E" w:rsidRPr="00346E5C">
              <w:rPr>
                <w:b/>
                <w:bCs/>
                <w:noProof/>
                <w:webHidden/>
              </w:rPr>
              <w:instrText xml:space="preserve"> PAGEREF _Toc168143659 \h </w:instrText>
            </w:r>
            <w:r w:rsidR="00D81B1E" w:rsidRPr="00346E5C">
              <w:rPr>
                <w:b/>
                <w:bCs/>
                <w:noProof/>
                <w:webHidden/>
              </w:rPr>
            </w:r>
            <w:r w:rsidR="00D81B1E" w:rsidRPr="00346E5C">
              <w:rPr>
                <w:b/>
                <w:bCs/>
                <w:noProof/>
                <w:webHidden/>
              </w:rPr>
              <w:fldChar w:fldCharType="separate"/>
            </w:r>
            <w:r w:rsidR="00D222D6">
              <w:rPr>
                <w:b/>
                <w:bCs/>
                <w:noProof/>
                <w:webHidden/>
              </w:rPr>
              <w:t>9</w:t>
            </w:r>
            <w:r w:rsidR="00D81B1E" w:rsidRPr="00346E5C">
              <w:rPr>
                <w:b/>
                <w:bCs/>
                <w:noProof/>
                <w:webHidden/>
              </w:rPr>
              <w:fldChar w:fldCharType="end"/>
            </w:r>
          </w:hyperlink>
        </w:p>
        <w:p w14:paraId="414765FB" w14:textId="5C9A5F71" w:rsidR="00725A47" w:rsidRPr="00D63115" w:rsidRDefault="00725A47" w:rsidP="00D44DE2">
          <w:pPr>
            <w:tabs>
              <w:tab w:val="left" w:pos="993"/>
              <w:tab w:val="right" w:leader="dot" w:pos="8789"/>
            </w:tabs>
            <w:ind w:left="993" w:right="1796" w:hanging="709"/>
            <w:rPr>
              <w:b/>
              <w:bCs/>
              <w:sz w:val="26"/>
              <w:szCs w:val="26"/>
            </w:rPr>
          </w:pPr>
          <w:r w:rsidRPr="00D63115">
            <w:rPr>
              <w:b/>
              <w:bCs/>
              <w:sz w:val="26"/>
              <w:szCs w:val="26"/>
            </w:rPr>
            <w:fldChar w:fldCharType="end"/>
          </w:r>
        </w:p>
      </w:sdtContent>
    </w:sdt>
    <w:p w14:paraId="5DE9CBC8" w14:textId="24E851AE" w:rsidR="007D300A" w:rsidRDefault="007D300A" w:rsidP="00D76F12">
      <w:pPr>
        <w:jc w:val="both"/>
        <w:rPr>
          <w:b/>
          <w:sz w:val="28"/>
          <w:lang w:val="en-GB"/>
        </w:rPr>
      </w:pPr>
    </w:p>
    <w:p w14:paraId="0134EDEA" w14:textId="77777777" w:rsidR="00B658E2" w:rsidRDefault="00B658E2">
      <w:pPr>
        <w:rPr>
          <w:b/>
          <w:sz w:val="28"/>
          <w:lang w:val="en-GB"/>
        </w:rPr>
      </w:pPr>
      <w:r>
        <w:br w:type="page"/>
      </w:r>
    </w:p>
    <w:p w14:paraId="4789F4E4" w14:textId="38FC09B6" w:rsidR="004726C6" w:rsidRPr="00EA1E94" w:rsidRDefault="000D18B6" w:rsidP="00EA1E94">
      <w:pPr>
        <w:pStyle w:val="Heading2"/>
      </w:pPr>
      <w:bookmarkStart w:id="1" w:name="_Toc168143654"/>
      <w:r>
        <w:lastRenderedPageBreak/>
        <w:t>Introduction</w:t>
      </w:r>
      <w:bookmarkEnd w:id="1"/>
    </w:p>
    <w:p w14:paraId="21C393DF" w14:textId="01AB8932" w:rsidR="009452AF" w:rsidRDefault="009452AF" w:rsidP="009452AF">
      <w:pPr>
        <w:spacing w:line="360" w:lineRule="auto"/>
        <w:jc w:val="both"/>
        <w:rPr>
          <w:rFonts w:ascii="Times New Roman" w:hAnsi="Times New Roman" w:cs="Times New Roman"/>
          <w:sz w:val="24"/>
          <w:szCs w:val="24"/>
          <w:lang w:val="en-GB"/>
        </w:rPr>
      </w:pPr>
      <w:r w:rsidRPr="009452AF">
        <w:rPr>
          <w:rFonts w:ascii="Times New Roman" w:hAnsi="Times New Roman" w:cs="Times New Roman"/>
          <w:sz w:val="24"/>
          <w:szCs w:val="24"/>
          <w:lang w:val="en-GB"/>
        </w:rPr>
        <w:t xml:space="preserve">This </w:t>
      </w:r>
      <w:r w:rsidR="0091125D">
        <w:rPr>
          <w:rFonts w:ascii="Times New Roman" w:hAnsi="Times New Roman" w:cs="Times New Roman"/>
          <w:sz w:val="24"/>
          <w:szCs w:val="24"/>
          <w:lang w:val="en-GB"/>
        </w:rPr>
        <w:t>joint submission</w:t>
      </w:r>
      <w:r w:rsidRPr="009452AF">
        <w:rPr>
          <w:rFonts w:ascii="Times New Roman" w:hAnsi="Times New Roman" w:cs="Times New Roman"/>
          <w:sz w:val="24"/>
          <w:szCs w:val="24"/>
          <w:lang w:val="en-GB"/>
        </w:rPr>
        <w:t xml:space="preserve"> is prepared for the fifth periodic examination of Türkiye before the UN Committee Against Torture. The </w:t>
      </w:r>
      <w:r w:rsidR="0091125D">
        <w:rPr>
          <w:rFonts w:ascii="Times New Roman" w:hAnsi="Times New Roman" w:cs="Times New Roman"/>
          <w:sz w:val="24"/>
          <w:szCs w:val="24"/>
          <w:lang w:val="en-GB"/>
        </w:rPr>
        <w:t>C</w:t>
      </w:r>
      <w:r w:rsidRPr="009452AF">
        <w:rPr>
          <w:rFonts w:ascii="Times New Roman" w:hAnsi="Times New Roman" w:cs="Times New Roman"/>
          <w:sz w:val="24"/>
          <w:szCs w:val="24"/>
          <w:lang w:val="en-GB"/>
        </w:rPr>
        <w:t>ommittee</w:t>
      </w:r>
      <w:r w:rsidR="0091125D">
        <w:rPr>
          <w:rFonts w:ascii="Times New Roman" w:hAnsi="Times New Roman" w:cs="Times New Roman"/>
          <w:sz w:val="24"/>
          <w:szCs w:val="24"/>
          <w:lang w:val="en-GB"/>
        </w:rPr>
        <w:t>’s</w:t>
      </w:r>
      <w:r w:rsidRPr="009452AF">
        <w:rPr>
          <w:rFonts w:ascii="Times New Roman" w:hAnsi="Times New Roman" w:cs="Times New Roman"/>
          <w:sz w:val="24"/>
          <w:szCs w:val="24"/>
          <w:lang w:val="en-GB"/>
        </w:rPr>
        <w:t xml:space="preserve"> session will take place in Geneva between July 8 and 26, 2024. The Volunteer Jurists </w:t>
      </w:r>
      <w:r w:rsidR="0091125D">
        <w:rPr>
          <w:rFonts w:ascii="Times New Roman" w:hAnsi="Times New Roman" w:cs="Times New Roman"/>
          <w:sz w:val="24"/>
          <w:szCs w:val="24"/>
          <w:lang w:val="en-GB"/>
        </w:rPr>
        <w:t xml:space="preserve">and The Justice For Rule of Law </w:t>
      </w:r>
      <w:r w:rsidR="0091125D" w:rsidRPr="009452AF">
        <w:rPr>
          <w:rFonts w:ascii="Times New Roman" w:hAnsi="Times New Roman" w:cs="Times New Roman"/>
          <w:sz w:val="24"/>
          <w:szCs w:val="24"/>
          <w:lang w:val="en-GB"/>
        </w:rPr>
        <w:t>Association</w:t>
      </w:r>
      <w:r w:rsidR="0091125D">
        <w:rPr>
          <w:rFonts w:ascii="Times New Roman" w:hAnsi="Times New Roman" w:cs="Times New Roman"/>
          <w:sz w:val="24"/>
          <w:szCs w:val="24"/>
          <w:lang w:val="en-GB"/>
        </w:rPr>
        <w:t>s</w:t>
      </w:r>
      <w:r w:rsidRPr="009452AF">
        <w:rPr>
          <w:rFonts w:ascii="Times New Roman" w:hAnsi="Times New Roman" w:cs="Times New Roman"/>
          <w:sz w:val="24"/>
          <w:szCs w:val="24"/>
          <w:lang w:val="en-GB"/>
        </w:rPr>
        <w:t xml:space="preserve"> </w:t>
      </w:r>
      <w:r w:rsidR="0091125D">
        <w:rPr>
          <w:rFonts w:ascii="Times New Roman" w:hAnsi="Times New Roman" w:cs="Times New Roman"/>
          <w:sz w:val="24"/>
          <w:szCs w:val="24"/>
          <w:lang w:val="en-GB"/>
        </w:rPr>
        <w:t xml:space="preserve">are </w:t>
      </w:r>
      <w:proofErr w:type="gramStart"/>
      <w:r w:rsidR="0091125D">
        <w:rPr>
          <w:rFonts w:ascii="Times New Roman" w:hAnsi="Times New Roman" w:cs="Times New Roman"/>
          <w:sz w:val="24"/>
          <w:szCs w:val="24"/>
          <w:lang w:val="en-GB"/>
        </w:rPr>
        <w:t>respectively</w:t>
      </w:r>
      <w:r w:rsidRPr="009452AF">
        <w:rPr>
          <w:rFonts w:ascii="Times New Roman" w:hAnsi="Times New Roman" w:cs="Times New Roman"/>
          <w:sz w:val="24"/>
          <w:szCs w:val="24"/>
          <w:lang w:val="en-GB"/>
        </w:rPr>
        <w:t xml:space="preserve">  Geneva</w:t>
      </w:r>
      <w:proofErr w:type="gramEnd"/>
      <w:r w:rsidR="0091125D">
        <w:rPr>
          <w:rFonts w:ascii="Times New Roman" w:hAnsi="Times New Roman" w:cs="Times New Roman"/>
          <w:sz w:val="24"/>
          <w:szCs w:val="24"/>
          <w:lang w:val="en-GB"/>
        </w:rPr>
        <w:t xml:space="preserve"> and Brussels </w:t>
      </w:r>
      <w:r w:rsidRPr="009452AF">
        <w:rPr>
          <w:rFonts w:ascii="Times New Roman" w:hAnsi="Times New Roman" w:cs="Times New Roman"/>
          <w:sz w:val="24"/>
          <w:szCs w:val="24"/>
          <w:lang w:val="en-GB"/>
        </w:rPr>
        <w:t>based non-profit organization</w:t>
      </w:r>
      <w:r w:rsidR="0091125D">
        <w:rPr>
          <w:rFonts w:ascii="Times New Roman" w:hAnsi="Times New Roman" w:cs="Times New Roman"/>
          <w:sz w:val="24"/>
          <w:szCs w:val="24"/>
          <w:lang w:val="en-GB"/>
        </w:rPr>
        <w:t xml:space="preserve">s. </w:t>
      </w:r>
      <w:r w:rsidRPr="009452AF">
        <w:rPr>
          <w:rFonts w:ascii="Times New Roman" w:hAnsi="Times New Roman" w:cs="Times New Roman"/>
          <w:sz w:val="24"/>
          <w:szCs w:val="24"/>
          <w:lang w:val="en-GB"/>
        </w:rPr>
        <w:t xml:space="preserve">To </w:t>
      </w:r>
      <w:r w:rsidR="0091125D">
        <w:rPr>
          <w:rFonts w:ascii="Times New Roman" w:hAnsi="Times New Roman" w:cs="Times New Roman"/>
          <w:sz w:val="24"/>
          <w:szCs w:val="24"/>
          <w:lang w:val="en-GB"/>
        </w:rPr>
        <w:t xml:space="preserve">realize their </w:t>
      </w:r>
      <w:proofErr w:type="gramStart"/>
      <w:r w:rsidR="0091125D">
        <w:rPr>
          <w:rFonts w:ascii="Times New Roman" w:hAnsi="Times New Roman" w:cs="Times New Roman"/>
          <w:sz w:val="24"/>
          <w:szCs w:val="24"/>
          <w:lang w:val="en-GB"/>
        </w:rPr>
        <w:t xml:space="preserve">objectives, </w:t>
      </w:r>
      <w:r w:rsidRPr="009452AF">
        <w:rPr>
          <w:rFonts w:ascii="Times New Roman" w:hAnsi="Times New Roman" w:cs="Times New Roman"/>
          <w:sz w:val="24"/>
          <w:szCs w:val="24"/>
          <w:lang w:val="en-GB"/>
        </w:rPr>
        <w:t xml:space="preserve"> </w:t>
      </w:r>
      <w:r w:rsidR="0091125D">
        <w:rPr>
          <w:rFonts w:ascii="Times New Roman" w:hAnsi="Times New Roman" w:cs="Times New Roman"/>
          <w:sz w:val="24"/>
          <w:szCs w:val="24"/>
          <w:lang w:val="en-GB"/>
        </w:rPr>
        <w:t>we</w:t>
      </w:r>
      <w:proofErr w:type="gramEnd"/>
      <w:r w:rsidR="0091125D">
        <w:rPr>
          <w:rFonts w:ascii="Times New Roman" w:hAnsi="Times New Roman" w:cs="Times New Roman"/>
          <w:sz w:val="24"/>
          <w:szCs w:val="24"/>
          <w:lang w:val="en-GB"/>
        </w:rPr>
        <w:t xml:space="preserve"> are committed providing</w:t>
      </w:r>
      <w:r w:rsidRPr="009452AF">
        <w:rPr>
          <w:rFonts w:ascii="Times New Roman" w:hAnsi="Times New Roman" w:cs="Times New Roman"/>
          <w:sz w:val="24"/>
          <w:szCs w:val="24"/>
          <w:lang w:val="en-GB"/>
        </w:rPr>
        <w:t xml:space="preserve"> international mechanisms, including the Committee Against Torture (hereinafter the Committee), with vital information on human rights issues. By doing so, we believe that human rights violations can be addressed more efficiently and swiftly by international mechanisms when they are supported with comprehensive and accurate information from organizations like the Volunteer Jurists</w:t>
      </w:r>
      <w:r w:rsidR="0091125D">
        <w:rPr>
          <w:rFonts w:ascii="Times New Roman" w:hAnsi="Times New Roman" w:cs="Times New Roman"/>
          <w:sz w:val="24"/>
          <w:szCs w:val="24"/>
          <w:lang w:val="en-GB"/>
        </w:rPr>
        <w:t xml:space="preserve"> and Justice For Rule of Law</w:t>
      </w:r>
      <w:r w:rsidRPr="009452AF">
        <w:rPr>
          <w:rFonts w:ascii="Times New Roman" w:hAnsi="Times New Roman" w:cs="Times New Roman"/>
          <w:sz w:val="24"/>
          <w:szCs w:val="24"/>
          <w:lang w:val="en-GB"/>
        </w:rPr>
        <w:t xml:space="preserve"> Association</w:t>
      </w:r>
      <w:r w:rsidR="0091125D">
        <w:rPr>
          <w:rFonts w:ascii="Times New Roman" w:hAnsi="Times New Roman" w:cs="Times New Roman"/>
          <w:sz w:val="24"/>
          <w:szCs w:val="24"/>
          <w:lang w:val="en-GB"/>
        </w:rPr>
        <w:t>s</w:t>
      </w:r>
      <w:r w:rsidRPr="009452AF">
        <w:rPr>
          <w:rFonts w:ascii="Times New Roman" w:hAnsi="Times New Roman" w:cs="Times New Roman"/>
          <w:sz w:val="24"/>
          <w:szCs w:val="24"/>
          <w:lang w:val="en-GB"/>
        </w:rPr>
        <w:t>.</w:t>
      </w:r>
    </w:p>
    <w:p w14:paraId="0CAF05AA" w14:textId="32FD6010" w:rsidR="009452AF" w:rsidRDefault="009452AF" w:rsidP="00982F1D">
      <w:pPr>
        <w:spacing w:line="360" w:lineRule="auto"/>
        <w:jc w:val="both"/>
        <w:rPr>
          <w:rFonts w:ascii="Times New Roman" w:hAnsi="Times New Roman" w:cs="Times New Roman"/>
          <w:sz w:val="24"/>
          <w:szCs w:val="24"/>
          <w:lang w:val="en-GB"/>
        </w:rPr>
      </w:pPr>
      <w:r w:rsidRPr="009452AF">
        <w:rPr>
          <w:rFonts w:ascii="Times New Roman" w:hAnsi="Times New Roman" w:cs="Times New Roman"/>
          <w:sz w:val="24"/>
          <w:szCs w:val="24"/>
          <w:lang w:val="en-GB"/>
        </w:rPr>
        <w:t>Türkiye is a focal point of our attention due to the lack of respect for the independence of the judiciary by the authorities, both internally and externally. In Türkiye, thousands of judges have been dismissed and detained under the pretext of combating terrorism. Those in power have eradicated judicial independence and transformed the judiciary into a tool for silencing dissenting voices. Mass detentions of judges and prosecutors, along with allegations of torture and inhumane treatment, are alarmingly prevalent in the country. As association</w:t>
      </w:r>
      <w:r w:rsidR="001060AA">
        <w:rPr>
          <w:rFonts w:ascii="Times New Roman" w:hAnsi="Times New Roman" w:cs="Times New Roman"/>
          <w:sz w:val="24"/>
          <w:szCs w:val="24"/>
          <w:lang w:val="en-GB"/>
        </w:rPr>
        <w:t>s</w:t>
      </w:r>
      <w:r w:rsidRPr="009452AF">
        <w:rPr>
          <w:rFonts w:ascii="Times New Roman" w:hAnsi="Times New Roman" w:cs="Times New Roman"/>
          <w:sz w:val="24"/>
          <w:szCs w:val="24"/>
          <w:lang w:val="en-GB"/>
        </w:rPr>
        <w:t xml:space="preserve"> committed to combating human rights violations against judges and prosecutors, we have decided to present our observations on the independence of the judiciary, the mass detention of judges and prosecutors, and cases of inhumane treatment and torture to the Committee. We sincerely request that the Committee take the findings of this report into consideration, include them in its concluding observations after posing relevant questions to the representatives of Türkiye during the hearing.</w:t>
      </w:r>
    </w:p>
    <w:p w14:paraId="4D9098CD" w14:textId="0A002710" w:rsidR="003B47A9" w:rsidRPr="00982F1D" w:rsidRDefault="009452AF" w:rsidP="00982F1D">
      <w:pPr>
        <w:spacing w:line="360" w:lineRule="auto"/>
        <w:jc w:val="both"/>
        <w:rPr>
          <w:rFonts w:ascii="Times New Roman" w:hAnsi="Times New Roman" w:cs="Times New Roman"/>
          <w:sz w:val="24"/>
          <w:szCs w:val="24"/>
          <w:lang w:val="en-GB"/>
        </w:rPr>
      </w:pPr>
      <w:r w:rsidRPr="009452AF">
        <w:rPr>
          <w:rFonts w:ascii="Times New Roman" w:hAnsi="Times New Roman" w:cs="Times New Roman"/>
          <w:sz w:val="24"/>
          <w:szCs w:val="24"/>
          <w:lang w:val="en-GB"/>
        </w:rPr>
        <w:t xml:space="preserve">In this </w:t>
      </w:r>
      <w:r w:rsidR="001060AA">
        <w:rPr>
          <w:rFonts w:ascii="Times New Roman" w:hAnsi="Times New Roman" w:cs="Times New Roman"/>
          <w:sz w:val="24"/>
          <w:szCs w:val="24"/>
          <w:lang w:val="en-GB"/>
        </w:rPr>
        <w:t>submission</w:t>
      </w:r>
      <w:r w:rsidRPr="009452AF">
        <w:rPr>
          <w:rFonts w:ascii="Times New Roman" w:hAnsi="Times New Roman" w:cs="Times New Roman"/>
          <w:sz w:val="24"/>
          <w:szCs w:val="24"/>
          <w:lang w:val="en-GB"/>
        </w:rPr>
        <w:t xml:space="preserve">, we present numerous examples to demonstrate the widespread prevalence of torture and inhumane treatment across Türkiye. This report builds on several foundational documents: the State Report of Türkiye dated October 27, 2020, the </w:t>
      </w:r>
      <w:r w:rsidR="00A04227">
        <w:rPr>
          <w:rFonts w:ascii="Times New Roman" w:hAnsi="Times New Roman" w:cs="Times New Roman"/>
          <w:sz w:val="24"/>
          <w:szCs w:val="24"/>
          <w:lang w:val="en-GB"/>
        </w:rPr>
        <w:t>L</w:t>
      </w:r>
      <w:r w:rsidRPr="009452AF">
        <w:rPr>
          <w:rFonts w:ascii="Times New Roman" w:hAnsi="Times New Roman" w:cs="Times New Roman"/>
          <w:sz w:val="24"/>
          <w:szCs w:val="24"/>
          <w:lang w:val="en-GB"/>
        </w:rPr>
        <w:t xml:space="preserve">ist of </w:t>
      </w:r>
      <w:r w:rsidR="00A04227">
        <w:rPr>
          <w:rFonts w:ascii="Times New Roman" w:hAnsi="Times New Roman" w:cs="Times New Roman"/>
          <w:sz w:val="24"/>
          <w:szCs w:val="24"/>
          <w:lang w:val="en-GB"/>
        </w:rPr>
        <w:t>I</w:t>
      </w:r>
      <w:r w:rsidRPr="009452AF">
        <w:rPr>
          <w:rFonts w:ascii="Times New Roman" w:hAnsi="Times New Roman" w:cs="Times New Roman"/>
          <w:sz w:val="24"/>
          <w:szCs w:val="24"/>
          <w:lang w:val="en-GB"/>
        </w:rPr>
        <w:t>ssues prior to the submission of the fifth periodic report adopted by the Committee on December 27, 2018, and the concluding observations of the fourth periodic review. Our findings aim to elucidate the issues presented in these documents and substantiate our claims that Türkiye continues to dishonour its obligations under the CAT</w:t>
      </w:r>
      <w:r w:rsidR="00FE40E6" w:rsidRPr="00982F1D">
        <w:rPr>
          <w:rFonts w:ascii="Times New Roman" w:hAnsi="Times New Roman" w:cs="Times New Roman"/>
          <w:sz w:val="24"/>
          <w:szCs w:val="24"/>
          <w:lang w:val="en-GB"/>
        </w:rPr>
        <w:t xml:space="preserve">. </w:t>
      </w:r>
      <w:r w:rsidR="007554A6" w:rsidRPr="00982F1D">
        <w:rPr>
          <w:rFonts w:ascii="Times New Roman" w:hAnsi="Times New Roman" w:cs="Times New Roman"/>
          <w:sz w:val="24"/>
          <w:szCs w:val="24"/>
          <w:lang w:val="en-GB"/>
        </w:rPr>
        <w:t xml:space="preserve"> </w:t>
      </w:r>
      <w:r w:rsidR="00020744" w:rsidRPr="00982F1D">
        <w:rPr>
          <w:rFonts w:ascii="Times New Roman" w:hAnsi="Times New Roman" w:cs="Times New Roman"/>
          <w:sz w:val="24"/>
          <w:szCs w:val="24"/>
          <w:lang w:val="en-GB"/>
        </w:rPr>
        <w:t xml:space="preserve"> </w:t>
      </w:r>
    </w:p>
    <w:p w14:paraId="5E5A9B99" w14:textId="042682C4" w:rsidR="004A1DA8" w:rsidRDefault="003B47A9" w:rsidP="00982F1D">
      <w:pPr>
        <w:spacing w:line="360" w:lineRule="auto"/>
        <w:jc w:val="both"/>
        <w:rPr>
          <w:rFonts w:ascii="Times New Roman" w:hAnsi="Times New Roman" w:cs="Times New Roman"/>
          <w:sz w:val="24"/>
          <w:szCs w:val="24"/>
          <w:lang w:val="en-GB"/>
        </w:rPr>
      </w:pPr>
      <w:r w:rsidRPr="00982F1D">
        <w:rPr>
          <w:rFonts w:ascii="Times New Roman" w:hAnsi="Times New Roman" w:cs="Times New Roman"/>
          <w:sz w:val="24"/>
          <w:szCs w:val="24"/>
          <w:lang w:val="en-GB"/>
        </w:rPr>
        <w:t>As association</w:t>
      </w:r>
      <w:r w:rsidR="001060AA">
        <w:rPr>
          <w:rFonts w:ascii="Times New Roman" w:hAnsi="Times New Roman" w:cs="Times New Roman"/>
          <w:sz w:val="24"/>
          <w:szCs w:val="24"/>
          <w:lang w:val="en-GB"/>
        </w:rPr>
        <w:t>s</w:t>
      </w:r>
      <w:r w:rsidRPr="00982F1D">
        <w:rPr>
          <w:rFonts w:ascii="Times New Roman" w:hAnsi="Times New Roman" w:cs="Times New Roman"/>
          <w:sz w:val="24"/>
          <w:szCs w:val="24"/>
          <w:lang w:val="en-GB"/>
        </w:rPr>
        <w:t xml:space="preserve"> that </w:t>
      </w:r>
      <w:r w:rsidR="001060AA">
        <w:rPr>
          <w:rFonts w:ascii="Times New Roman" w:hAnsi="Times New Roman" w:cs="Times New Roman"/>
          <w:sz w:val="24"/>
          <w:szCs w:val="24"/>
          <w:lang w:val="en-GB"/>
        </w:rPr>
        <w:t>are</w:t>
      </w:r>
      <w:r w:rsidRPr="00982F1D">
        <w:rPr>
          <w:rFonts w:ascii="Times New Roman" w:hAnsi="Times New Roman" w:cs="Times New Roman"/>
          <w:sz w:val="24"/>
          <w:szCs w:val="24"/>
          <w:lang w:val="en-GB"/>
        </w:rPr>
        <w:t xml:space="preserve"> dedicated to safeguard the independence of the judiciary and the rights of judges and prosecutors, we</w:t>
      </w:r>
      <w:r w:rsidR="005A73EA">
        <w:rPr>
          <w:rFonts w:ascii="Times New Roman" w:hAnsi="Times New Roman" w:cs="Times New Roman"/>
          <w:sz w:val="24"/>
          <w:szCs w:val="24"/>
          <w:lang w:val="en-GB"/>
        </w:rPr>
        <w:t xml:space="preserve"> have prioritized the instances that primarily affects</w:t>
      </w:r>
      <w:r w:rsidRPr="00982F1D">
        <w:rPr>
          <w:rFonts w:ascii="Times New Roman" w:hAnsi="Times New Roman" w:cs="Times New Roman"/>
          <w:sz w:val="24"/>
          <w:szCs w:val="24"/>
          <w:lang w:val="en-GB"/>
        </w:rPr>
        <w:t xml:space="preserve"> judges, </w:t>
      </w:r>
      <w:r w:rsidRPr="00982F1D">
        <w:rPr>
          <w:rFonts w:ascii="Times New Roman" w:hAnsi="Times New Roman" w:cs="Times New Roman"/>
          <w:sz w:val="24"/>
          <w:szCs w:val="24"/>
          <w:lang w:val="en-GB"/>
        </w:rPr>
        <w:lastRenderedPageBreak/>
        <w:t>prosecutors, and lawyers.</w:t>
      </w:r>
      <w:r w:rsidR="00A04227">
        <w:rPr>
          <w:rFonts w:ascii="Times New Roman" w:hAnsi="Times New Roman" w:cs="Times New Roman"/>
          <w:sz w:val="24"/>
          <w:szCs w:val="24"/>
          <w:lang w:val="en-GB"/>
        </w:rPr>
        <w:t xml:space="preserve"> While we trust other human rights organisations to bring other issues to the attention of the Committee </w:t>
      </w:r>
      <w:r w:rsidR="005A73EA">
        <w:rPr>
          <w:rFonts w:ascii="Times New Roman" w:hAnsi="Times New Roman" w:cs="Times New Roman"/>
          <w:sz w:val="24"/>
          <w:szCs w:val="24"/>
          <w:lang w:val="en-GB"/>
        </w:rPr>
        <w:t>to demonstrate how torture is prevalent in Türkiye</w:t>
      </w:r>
      <w:r w:rsidR="00A04227">
        <w:rPr>
          <w:rFonts w:ascii="Times New Roman" w:hAnsi="Times New Roman" w:cs="Times New Roman"/>
          <w:sz w:val="24"/>
          <w:szCs w:val="24"/>
          <w:lang w:val="en-GB"/>
        </w:rPr>
        <w:t>,</w:t>
      </w:r>
      <w:r w:rsidR="005A73EA">
        <w:rPr>
          <w:rFonts w:ascii="Times New Roman" w:hAnsi="Times New Roman" w:cs="Times New Roman"/>
          <w:sz w:val="24"/>
          <w:szCs w:val="24"/>
          <w:lang w:val="en-GB"/>
        </w:rPr>
        <w:t xml:space="preserve"> </w:t>
      </w:r>
      <w:r w:rsidR="00A04227">
        <w:rPr>
          <w:rFonts w:ascii="Times New Roman" w:hAnsi="Times New Roman" w:cs="Times New Roman"/>
          <w:sz w:val="24"/>
          <w:szCs w:val="24"/>
          <w:lang w:val="en-GB"/>
        </w:rPr>
        <w:t>w</w:t>
      </w:r>
      <w:r w:rsidR="00D8653E" w:rsidRPr="00982F1D">
        <w:rPr>
          <w:rFonts w:ascii="Times New Roman" w:hAnsi="Times New Roman" w:cs="Times New Roman"/>
          <w:sz w:val="24"/>
          <w:szCs w:val="24"/>
          <w:lang w:val="en-GB"/>
        </w:rPr>
        <w:t>e</w:t>
      </w:r>
      <w:r w:rsidR="001060AA">
        <w:rPr>
          <w:rFonts w:ascii="Times New Roman" w:hAnsi="Times New Roman" w:cs="Times New Roman"/>
          <w:sz w:val="24"/>
          <w:szCs w:val="24"/>
          <w:lang w:val="en-GB"/>
        </w:rPr>
        <w:t xml:space="preserve"> equally</w:t>
      </w:r>
      <w:r w:rsidR="00D8653E" w:rsidRPr="00982F1D">
        <w:rPr>
          <w:rFonts w:ascii="Times New Roman" w:hAnsi="Times New Roman" w:cs="Times New Roman"/>
          <w:sz w:val="24"/>
          <w:szCs w:val="24"/>
          <w:lang w:val="en-GB"/>
        </w:rPr>
        <w:t xml:space="preserve"> rely on the Committee to</w:t>
      </w:r>
      <w:r w:rsidR="005A73EA">
        <w:rPr>
          <w:rFonts w:ascii="Times New Roman" w:hAnsi="Times New Roman" w:cs="Times New Roman"/>
          <w:sz w:val="24"/>
          <w:szCs w:val="24"/>
          <w:lang w:val="en-GB"/>
        </w:rPr>
        <w:t xml:space="preserve"> adopt concluding observations in a way that</w:t>
      </w:r>
      <w:r w:rsidR="00D8653E" w:rsidRPr="00982F1D">
        <w:rPr>
          <w:rFonts w:ascii="Times New Roman" w:hAnsi="Times New Roman" w:cs="Times New Roman"/>
          <w:sz w:val="24"/>
          <w:szCs w:val="24"/>
          <w:lang w:val="en-GB"/>
        </w:rPr>
        <w:t xml:space="preserve"> ensure the full implementation of the convention and </w:t>
      </w:r>
      <w:r w:rsidR="005A73EA">
        <w:rPr>
          <w:rFonts w:ascii="Times New Roman" w:hAnsi="Times New Roman" w:cs="Times New Roman"/>
          <w:sz w:val="24"/>
          <w:szCs w:val="24"/>
          <w:lang w:val="en-GB"/>
        </w:rPr>
        <w:t>pave the way of</w:t>
      </w:r>
      <w:r w:rsidR="00D8653E" w:rsidRPr="00982F1D">
        <w:rPr>
          <w:rFonts w:ascii="Times New Roman" w:hAnsi="Times New Roman" w:cs="Times New Roman"/>
          <w:sz w:val="24"/>
          <w:szCs w:val="24"/>
          <w:lang w:val="en-GB"/>
        </w:rPr>
        <w:t xml:space="preserve"> </w:t>
      </w:r>
      <w:r w:rsidR="005A73EA">
        <w:rPr>
          <w:rFonts w:ascii="Times New Roman" w:hAnsi="Times New Roman" w:cs="Times New Roman"/>
          <w:sz w:val="24"/>
          <w:szCs w:val="24"/>
          <w:lang w:val="en-GB"/>
        </w:rPr>
        <w:t xml:space="preserve">holding </w:t>
      </w:r>
      <w:r w:rsidR="00D8653E" w:rsidRPr="00982F1D">
        <w:rPr>
          <w:rFonts w:ascii="Times New Roman" w:hAnsi="Times New Roman" w:cs="Times New Roman"/>
          <w:sz w:val="24"/>
          <w:szCs w:val="24"/>
          <w:lang w:val="en-GB"/>
        </w:rPr>
        <w:t>perpetrators accountable f</w:t>
      </w:r>
      <w:r w:rsidR="00A04227">
        <w:rPr>
          <w:rFonts w:ascii="Times New Roman" w:hAnsi="Times New Roman" w:cs="Times New Roman"/>
          <w:sz w:val="24"/>
          <w:szCs w:val="24"/>
          <w:lang w:val="en-GB"/>
        </w:rPr>
        <w:t>or</w:t>
      </w:r>
      <w:r w:rsidR="00D8653E" w:rsidRPr="00982F1D">
        <w:rPr>
          <w:rFonts w:ascii="Times New Roman" w:hAnsi="Times New Roman" w:cs="Times New Roman"/>
          <w:sz w:val="24"/>
          <w:szCs w:val="24"/>
          <w:lang w:val="en-GB"/>
        </w:rPr>
        <w:t xml:space="preserve"> their actions. </w:t>
      </w:r>
      <w:r w:rsidRPr="00982F1D">
        <w:rPr>
          <w:rFonts w:ascii="Times New Roman" w:hAnsi="Times New Roman" w:cs="Times New Roman"/>
          <w:sz w:val="24"/>
          <w:szCs w:val="24"/>
          <w:lang w:val="en-GB"/>
        </w:rPr>
        <w:t xml:space="preserve">  </w:t>
      </w:r>
    </w:p>
    <w:p w14:paraId="551024F5" w14:textId="61E3C117" w:rsidR="004A1DA8" w:rsidRDefault="004A1DA8" w:rsidP="004A1DA8">
      <w:pPr>
        <w:pStyle w:val="Heading2"/>
      </w:pPr>
      <w:bookmarkStart w:id="2" w:name="_Toc168143655"/>
      <w:r>
        <w:t>Overview</w:t>
      </w:r>
      <w:bookmarkEnd w:id="2"/>
      <w:r>
        <w:t xml:space="preserve"> </w:t>
      </w:r>
    </w:p>
    <w:p w14:paraId="72A7D1B4" w14:textId="13E7FE02" w:rsidR="007E4D19" w:rsidRPr="00375408" w:rsidRDefault="00293552" w:rsidP="007E4D19">
      <w:pPr>
        <w:spacing w:line="360" w:lineRule="auto"/>
        <w:jc w:val="both"/>
        <w:rPr>
          <w:rFonts w:ascii="Times New Roman" w:hAnsi="Times New Roman" w:cs="Times New Roman"/>
          <w:sz w:val="24"/>
          <w:szCs w:val="24"/>
          <w:lang w:val="en-GB"/>
        </w:rPr>
      </w:pPr>
      <w:r w:rsidRPr="00293552">
        <w:rPr>
          <w:rFonts w:ascii="Times New Roman" w:hAnsi="Times New Roman" w:cs="Times New Roman"/>
          <w:sz w:val="24"/>
          <w:szCs w:val="24"/>
          <w:lang w:val="en-GB"/>
        </w:rPr>
        <w:t>Türkiye is a signatory to several international human rights conventions that are essential for the promotion and protection of human rights. By signing the Convention Against Torture (CAT), Türkiye has pledged to honour its obligations under the convention. However, as noted by the Special Rapporteur on Torture and Other Cruel, Inhuman, or Degrading Treatment or Punishment, there is a significant discrepancy between government policy and practice on the ground. Despite numerous and serious allegations of torture since July 15, investigations into these incidents appear insufficient. This inadequacy creates a perception of impunity for the perpetrators of torture and inhumane treatment</w:t>
      </w:r>
      <w:r w:rsidRPr="00293552">
        <w:rPr>
          <w:sz w:val="24"/>
          <w:szCs w:val="24"/>
          <w:lang w:val="en-GB"/>
        </w:rPr>
        <w:t>.</w:t>
      </w:r>
      <w:r w:rsidR="004A1DA8">
        <w:rPr>
          <w:rStyle w:val="FootnoteReference"/>
          <w:rFonts w:ascii="Times New Roman" w:hAnsi="Times New Roman" w:cs="Times New Roman"/>
          <w:sz w:val="24"/>
          <w:szCs w:val="24"/>
          <w:lang w:val="en-GB"/>
        </w:rPr>
        <w:footnoteReference w:id="4"/>
      </w:r>
      <w:r w:rsidR="007E4D19">
        <w:rPr>
          <w:rFonts w:ascii="Times New Roman" w:hAnsi="Times New Roman" w:cs="Times New Roman"/>
          <w:sz w:val="24"/>
          <w:szCs w:val="24"/>
          <w:lang w:val="en-GB"/>
        </w:rPr>
        <w:t xml:space="preserve"> </w:t>
      </w:r>
      <w:r w:rsidRPr="00293552">
        <w:rPr>
          <w:rFonts w:ascii="Times New Roman" w:hAnsi="Times New Roman" w:cs="Times New Roman"/>
          <w:sz w:val="24"/>
          <w:szCs w:val="24"/>
          <w:lang w:val="en-GB"/>
        </w:rPr>
        <w:t>Since July 15, 2016, there have been serious allegations of various human rights abuses in Türkiye, including torture, inhumane, and degrading treatment. This incident marks a turning point where the government assumed the authority to violate fundamental human rights under the pretext of fighting terrorism. Thousands of judges, prosecutors, journalists, military personnel, and police officers were dismissed and detained on fabricated terrorism charges.</w:t>
      </w:r>
      <w:r w:rsidR="00B11D69">
        <w:rPr>
          <w:rFonts w:ascii="Times New Roman" w:hAnsi="Times New Roman" w:cs="Times New Roman"/>
          <w:sz w:val="24"/>
          <w:szCs w:val="24"/>
          <w:lang w:val="en-GB"/>
        </w:rPr>
        <w:t xml:space="preserve"> From the outset,</w:t>
      </w:r>
      <w:r w:rsidRPr="00293552">
        <w:rPr>
          <w:rFonts w:ascii="Times New Roman" w:hAnsi="Times New Roman" w:cs="Times New Roman"/>
          <w:sz w:val="24"/>
          <w:szCs w:val="24"/>
          <w:lang w:val="en-GB"/>
        </w:rPr>
        <w:t xml:space="preserve"> </w:t>
      </w:r>
      <w:r w:rsidR="00B11D69">
        <w:rPr>
          <w:rFonts w:ascii="Times New Roman" w:hAnsi="Times New Roman" w:cs="Times New Roman"/>
          <w:sz w:val="24"/>
          <w:szCs w:val="24"/>
          <w:lang w:val="en-GB"/>
        </w:rPr>
        <w:t>t</w:t>
      </w:r>
      <w:r w:rsidRPr="00293552">
        <w:rPr>
          <w:rFonts w:ascii="Times New Roman" w:hAnsi="Times New Roman" w:cs="Times New Roman"/>
          <w:sz w:val="24"/>
          <w:szCs w:val="24"/>
          <w:lang w:val="en-GB"/>
        </w:rPr>
        <w:t>he government's intent and determination are evident in its derogation notification. On July 21, 2016, Türkiye notified the United Nations Secretary-General of its intention to derogate from certain obligations under the International Covenant on Civil and Political Rights (ICCPR), including the obligation to treat detainees humanely. The Committee has warned Türkiye about the inviolability of Article 10 of the ICCPR under any circumstances, emphasizing that there is no justification for torture under international law. The Committee has also reminded Türkiye of the importance of fundamental protections for everyone deprived of their liberty, stressing that the rule of law and the independence of the judiciary must be upheld even in public emergencies.</w:t>
      </w:r>
      <w:r w:rsidR="00B11D69">
        <w:rPr>
          <w:rStyle w:val="FootnoteReference"/>
          <w:rFonts w:ascii="Times New Roman" w:hAnsi="Times New Roman" w:cs="Times New Roman"/>
          <w:sz w:val="24"/>
          <w:szCs w:val="24"/>
          <w:lang w:val="en-GB"/>
        </w:rPr>
        <w:footnoteReference w:id="5"/>
      </w:r>
      <w:r w:rsidRPr="00293552">
        <w:rPr>
          <w:rFonts w:ascii="Times New Roman" w:hAnsi="Times New Roman" w:cs="Times New Roman"/>
          <w:sz w:val="24"/>
          <w:szCs w:val="24"/>
          <w:lang w:val="en-GB"/>
        </w:rPr>
        <w:t xml:space="preserve"> This notification vividly illustrates the extent to which the rule of law has deteriorated in Türkiye</w:t>
      </w:r>
      <w:r w:rsidR="00813949">
        <w:rPr>
          <w:rFonts w:ascii="Times New Roman" w:hAnsi="Times New Roman" w:cs="Times New Roman"/>
          <w:sz w:val="24"/>
          <w:szCs w:val="24"/>
          <w:lang w:val="en-US"/>
        </w:rPr>
        <w:t xml:space="preserve">. </w:t>
      </w:r>
    </w:p>
    <w:p w14:paraId="5418658B" w14:textId="498362DF" w:rsidR="006F5503" w:rsidRDefault="00293552" w:rsidP="00982F1D">
      <w:pPr>
        <w:spacing w:line="360" w:lineRule="auto"/>
        <w:jc w:val="both"/>
        <w:rPr>
          <w:rFonts w:ascii="Times New Roman" w:hAnsi="Times New Roman" w:cs="Times New Roman"/>
          <w:sz w:val="24"/>
          <w:szCs w:val="24"/>
          <w:lang w:val="en-US"/>
        </w:rPr>
      </w:pPr>
      <w:r w:rsidRPr="00293552">
        <w:rPr>
          <w:rFonts w:ascii="Times New Roman" w:hAnsi="Times New Roman" w:cs="Times New Roman"/>
          <w:sz w:val="24"/>
          <w:szCs w:val="24"/>
          <w:lang w:val="en-US"/>
        </w:rPr>
        <w:lastRenderedPageBreak/>
        <w:t>Türkiye responded to the letter from the chairperson of the Committee with misleading remarks, attempting to convey that it does not violate basic human rights in the aftermath of the coup d'état. As usual, Türkiye tried to trivialize incidents of torture, inhumane treatment, and unfair detentions and trials by referring to the coup d'état and the severity of the threat it faced</w:t>
      </w:r>
      <w:r w:rsidR="007E4D19">
        <w:rPr>
          <w:rFonts w:ascii="Times New Roman" w:hAnsi="Times New Roman" w:cs="Times New Roman"/>
          <w:sz w:val="24"/>
          <w:szCs w:val="24"/>
          <w:lang w:val="en-US"/>
        </w:rPr>
        <w:t>.</w:t>
      </w:r>
      <w:r w:rsidR="007E4D19">
        <w:rPr>
          <w:rStyle w:val="FootnoteReference"/>
          <w:rFonts w:ascii="Times New Roman" w:hAnsi="Times New Roman" w:cs="Times New Roman"/>
          <w:sz w:val="24"/>
          <w:szCs w:val="24"/>
          <w:lang w:val="en-US"/>
        </w:rPr>
        <w:footnoteReference w:id="6"/>
      </w:r>
      <w:r w:rsidR="007E4D19">
        <w:rPr>
          <w:rFonts w:ascii="Times New Roman" w:hAnsi="Times New Roman" w:cs="Times New Roman"/>
          <w:sz w:val="24"/>
          <w:szCs w:val="24"/>
          <w:lang w:val="en-US"/>
        </w:rPr>
        <w:t xml:space="preserve"> </w:t>
      </w:r>
      <w:r w:rsidRPr="00293552">
        <w:rPr>
          <w:rFonts w:ascii="Times New Roman" w:hAnsi="Times New Roman" w:cs="Times New Roman"/>
          <w:sz w:val="24"/>
          <w:szCs w:val="24"/>
          <w:lang w:val="en-US"/>
        </w:rPr>
        <w:t>Türkiye consistently behaves as if the coup d'état grants it the right to contravene fundamental human rights. It acts like a storyteller, attempting to mask the gravest human rights violations. By repeatedly narrating the same accounts, Türkiye seems to expect the international community to accept these unfounded stories as proven facts</w:t>
      </w:r>
      <w:r w:rsidR="007E4D19">
        <w:rPr>
          <w:rFonts w:ascii="Times New Roman" w:hAnsi="Times New Roman" w:cs="Times New Roman"/>
          <w:sz w:val="24"/>
          <w:szCs w:val="24"/>
          <w:lang w:val="en-US"/>
        </w:rPr>
        <w:t>.</w:t>
      </w:r>
      <w:r w:rsidR="007E4D19">
        <w:rPr>
          <w:rStyle w:val="FootnoteReference"/>
          <w:rFonts w:ascii="Times New Roman" w:hAnsi="Times New Roman" w:cs="Times New Roman"/>
          <w:sz w:val="24"/>
          <w:szCs w:val="24"/>
          <w:lang w:val="en-US"/>
        </w:rPr>
        <w:footnoteReference w:id="7"/>
      </w:r>
      <w:r w:rsidR="006F5503">
        <w:rPr>
          <w:rFonts w:ascii="Times New Roman" w:hAnsi="Times New Roman" w:cs="Times New Roman"/>
          <w:sz w:val="24"/>
          <w:szCs w:val="24"/>
          <w:lang w:val="en-US"/>
        </w:rPr>
        <w:t xml:space="preserve"> </w:t>
      </w:r>
      <w:r w:rsidR="007E4D19">
        <w:rPr>
          <w:rFonts w:ascii="Times New Roman" w:hAnsi="Times New Roman" w:cs="Times New Roman"/>
          <w:sz w:val="24"/>
          <w:szCs w:val="24"/>
          <w:lang w:val="en-US"/>
        </w:rPr>
        <w:t>Although Türkiye reaffirmed the non</w:t>
      </w:r>
      <w:r w:rsidR="00131818">
        <w:rPr>
          <w:rFonts w:ascii="Times New Roman" w:hAnsi="Times New Roman" w:cs="Times New Roman"/>
          <w:sz w:val="24"/>
          <w:szCs w:val="24"/>
          <w:lang w:val="en-US"/>
        </w:rPr>
        <w:t>-</w:t>
      </w:r>
      <w:r w:rsidR="007E4D19">
        <w:rPr>
          <w:rFonts w:ascii="Times New Roman" w:hAnsi="Times New Roman" w:cs="Times New Roman"/>
          <w:sz w:val="24"/>
          <w:szCs w:val="24"/>
          <w:lang w:val="en-US"/>
        </w:rPr>
        <w:t>derogable character of the article 10 of ICCPR, there are several incidents and allegations of torture and inhumane treatment at the hand of law enforcement officers and other state officials.</w:t>
      </w:r>
      <w:r w:rsidR="007B4D32">
        <w:rPr>
          <w:rFonts w:ascii="Times New Roman" w:hAnsi="Times New Roman" w:cs="Times New Roman"/>
          <w:sz w:val="24"/>
          <w:szCs w:val="24"/>
          <w:lang w:val="en-US"/>
        </w:rPr>
        <w:t xml:space="preserve"> This issue has been brought to the attention to Türkiye</w:t>
      </w:r>
      <w:r w:rsidR="007B4D32">
        <w:rPr>
          <w:rStyle w:val="FootnoteReference"/>
          <w:rFonts w:ascii="Times New Roman" w:hAnsi="Times New Roman" w:cs="Times New Roman"/>
          <w:sz w:val="24"/>
          <w:szCs w:val="24"/>
          <w:lang w:val="en-US"/>
        </w:rPr>
        <w:footnoteReference w:id="8"/>
      </w:r>
      <w:r w:rsidR="007B4D32">
        <w:rPr>
          <w:rFonts w:ascii="Times New Roman" w:hAnsi="Times New Roman" w:cs="Times New Roman"/>
          <w:sz w:val="24"/>
          <w:szCs w:val="24"/>
          <w:lang w:val="en-US"/>
        </w:rPr>
        <w:t xml:space="preserve">, however it was not properly addressed in the state report. In our view, it’s responded inadequately. Providing the initial and termination dates of the state of emergency and abstract expression of the </w:t>
      </w:r>
      <w:r w:rsidR="00D36267">
        <w:rPr>
          <w:rFonts w:ascii="Times New Roman" w:hAnsi="Times New Roman" w:cs="Times New Roman"/>
          <w:sz w:val="24"/>
          <w:szCs w:val="24"/>
          <w:lang w:val="en-US"/>
        </w:rPr>
        <w:t xml:space="preserve">convenience of the actions of the state of emergency to the rule of law </w:t>
      </w:r>
      <w:r>
        <w:rPr>
          <w:rFonts w:ascii="Times New Roman" w:hAnsi="Times New Roman" w:cs="Times New Roman"/>
          <w:sz w:val="24"/>
          <w:szCs w:val="24"/>
          <w:lang w:val="en-US"/>
        </w:rPr>
        <w:t>stays far away from a proper response that</w:t>
      </w:r>
      <w:r w:rsidR="00131818">
        <w:rPr>
          <w:rFonts w:ascii="Times New Roman" w:hAnsi="Times New Roman" w:cs="Times New Roman"/>
          <w:sz w:val="24"/>
          <w:szCs w:val="24"/>
          <w:lang w:val="en-US"/>
        </w:rPr>
        <w:t xml:space="preserve"> should</w:t>
      </w:r>
      <w:r>
        <w:rPr>
          <w:rFonts w:ascii="Times New Roman" w:hAnsi="Times New Roman" w:cs="Times New Roman"/>
          <w:sz w:val="24"/>
          <w:szCs w:val="24"/>
          <w:lang w:val="en-US"/>
        </w:rPr>
        <w:t xml:space="preserve"> include facts and reasons</w:t>
      </w:r>
      <w:r w:rsidR="000F24E7">
        <w:rPr>
          <w:rFonts w:ascii="Times New Roman" w:hAnsi="Times New Roman" w:cs="Times New Roman"/>
          <w:sz w:val="24"/>
          <w:szCs w:val="24"/>
          <w:lang w:val="en-US"/>
        </w:rPr>
        <w:t xml:space="preserve">. </w:t>
      </w:r>
    </w:p>
    <w:p w14:paraId="5EE6D7A0" w14:textId="561FF889" w:rsidR="006F5503" w:rsidRDefault="00445755" w:rsidP="007E248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302F73" w:rsidRPr="00965B7E">
        <w:rPr>
          <w:rFonts w:ascii="Times New Roman" w:hAnsi="Times New Roman" w:cs="Times New Roman"/>
          <w:sz w:val="24"/>
          <w:szCs w:val="24"/>
          <w:lang w:val="en-US"/>
        </w:rPr>
        <w:t xml:space="preserve">he Committee urges the state party to investigate all instances and allegations of torture promptly, </w:t>
      </w:r>
      <w:proofErr w:type="gramStart"/>
      <w:r w:rsidR="00302F73" w:rsidRPr="00965B7E">
        <w:rPr>
          <w:rFonts w:ascii="Times New Roman" w:hAnsi="Times New Roman" w:cs="Times New Roman"/>
          <w:sz w:val="24"/>
          <w:szCs w:val="24"/>
          <w:lang w:val="en-US"/>
        </w:rPr>
        <w:t>effectively</w:t>
      </w:r>
      <w:proofErr w:type="gramEnd"/>
      <w:r w:rsidR="00302F73" w:rsidRPr="00965B7E">
        <w:rPr>
          <w:rFonts w:ascii="Times New Roman" w:hAnsi="Times New Roman" w:cs="Times New Roman"/>
          <w:sz w:val="24"/>
          <w:szCs w:val="24"/>
          <w:lang w:val="en-US"/>
        </w:rPr>
        <w:t xml:space="preserve"> and impartially</w:t>
      </w:r>
      <w:r w:rsidR="00302F73" w:rsidRPr="00965B7E">
        <w:rPr>
          <w:rStyle w:val="FootnoteReference"/>
          <w:rFonts w:ascii="Times New Roman" w:hAnsi="Times New Roman" w:cs="Times New Roman"/>
          <w:sz w:val="24"/>
          <w:szCs w:val="24"/>
          <w:lang w:val="en-US"/>
        </w:rPr>
        <w:footnoteReference w:id="9"/>
      </w:r>
      <w:r w:rsidR="00302F73" w:rsidRPr="00965B7E">
        <w:rPr>
          <w:rFonts w:ascii="Times New Roman" w:hAnsi="Times New Roman" w:cs="Times New Roman"/>
          <w:sz w:val="24"/>
          <w:szCs w:val="24"/>
          <w:lang w:val="en-US"/>
        </w:rPr>
        <w:t>,</w:t>
      </w:r>
      <w:r>
        <w:rPr>
          <w:rFonts w:ascii="Times New Roman" w:hAnsi="Times New Roman" w:cs="Times New Roman"/>
          <w:sz w:val="24"/>
          <w:szCs w:val="24"/>
          <w:lang w:val="en-US"/>
        </w:rPr>
        <w:t xml:space="preserve"> however,</w:t>
      </w:r>
      <w:r w:rsidR="00302F73" w:rsidRPr="00965B7E">
        <w:rPr>
          <w:rFonts w:ascii="Times New Roman" w:hAnsi="Times New Roman" w:cs="Times New Roman"/>
          <w:sz w:val="24"/>
          <w:szCs w:val="24"/>
          <w:lang w:val="en-US"/>
        </w:rPr>
        <w:t xml:space="preserve"> Türkiye has taken steps in the opposite direction by introducing impunity shields to the law enforcement officers that inflict torture and inhumane treatments to the detainees.</w:t>
      </w:r>
      <w:r>
        <w:rPr>
          <w:rFonts w:ascii="Times New Roman" w:hAnsi="Times New Roman" w:cs="Times New Roman"/>
          <w:sz w:val="24"/>
          <w:szCs w:val="24"/>
          <w:lang w:val="en-US"/>
        </w:rPr>
        <w:t xml:space="preserve"> This intention </w:t>
      </w:r>
      <w:r w:rsidR="00131818">
        <w:rPr>
          <w:rFonts w:ascii="Times New Roman" w:hAnsi="Times New Roman" w:cs="Times New Roman"/>
          <w:sz w:val="24"/>
          <w:szCs w:val="24"/>
          <w:lang w:val="en-US"/>
        </w:rPr>
        <w:t>primarily</w:t>
      </w:r>
      <w:r>
        <w:rPr>
          <w:rFonts w:ascii="Times New Roman" w:hAnsi="Times New Roman" w:cs="Times New Roman"/>
          <w:sz w:val="24"/>
          <w:szCs w:val="24"/>
          <w:lang w:val="en-US"/>
        </w:rPr>
        <w:t xml:space="preserve"> can be observed in the wording of the enactment of the presidential decree numbered 667 that </w:t>
      </w:r>
      <w:r w:rsidR="006F5503">
        <w:rPr>
          <w:rFonts w:ascii="Times New Roman" w:hAnsi="Times New Roman" w:cs="Times New Roman"/>
          <w:sz w:val="24"/>
          <w:szCs w:val="24"/>
          <w:lang w:val="en-US"/>
        </w:rPr>
        <w:t>functions as a legal shield protect</w:t>
      </w:r>
      <w:r w:rsidR="0098234D">
        <w:rPr>
          <w:rFonts w:ascii="Times New Roman" w:hAnsi="Times New Roman" w:cs="Times New Roman"/>
          <w:sz w:val="24"/>
          <w:szCs w:val="24"/>
          <w:lang w:val="en-US"/>
        </w:rPr>
        <w:t>ing</w:t>
      </w:r>
      <w:r w:rsidR="006F5503">
        <w:rPr>
          <w:rFonts w:ascii="Times New Roman" w:hAnsi="Times New Roman" w:cs="Times New Roman"/>
          <w:sz w:val="24"/>
          <w:szCs w:val="24"/>
          <w:lang w:val="en-US"/>
        </w:rPr>
        <w:t xml:space="preserve"> the perpetrators of human rights violations from prosecutions. Th</w:t>
      </w:r>
      <w:r w:rsidR="0098234D">
        <w:rPr>
          <w:rFonts w:ascii="Times New Roman" w:hAnsi="Times New Roman" w:cs="Times New Roman"/>
          <w:sz w:val="24"/>
          <w:szCs w:val="24"/>
          <w:lang w:val="en-US"/>
        </w:rPr>
        <w:t>is</w:t>
      </w:r>
      <w:r w:rsidR="006F5503">
        <w:rPr>
          <w:rFonts w:ascii="Times New Roman" w:hAnsi="Times New Roman" w:cs="Times New Roman"/>
          <w:sz w:val="24"/>
          <w:szCs w:val="24"/>
          <w:lang w:val="en-US"/>
        </w:rPr>
        <w:t xml:space="preserve"> </w:t>
      </w:r>
      <w:proofErr w:type="gramStart"/>
      <w:r w:rsidR="006F5503">
        <w:rPr>
          <w:rFonts w:ascii="Times New Roman" w:hAnsi="Times New Roman" w:cs="Times New Roman"/>
          <w:sz w:val="24"/>
          <w:szCs w:val="24"/>
          <w:lang w:val="en-US"/>
        </w:rPr>
        <w:t>decree  introduce</w:t>
      </w:r>
      <w:r w:rsidR="0098234D">
        <w:rPr>
          <w:rFonts w:ascii="Times New Roman" w:hAnsi="Times New Roman" w:cs="Times New Roman"/>
          <w:sz w:val="24"/>
          <w:szCs w:val="24"/>
          <w:lang w:val="en-US"/>
        </w:rPr>
        <w:t>s</w:t>
      </w:r>
      <w:proofErr w:type="gramEnd"/>
      <w:r w:rsidR="006F5503">
        <w:rPr>
          <w:rFonts w:ascii="Times New Roman" w:hAnsi="Times New Roman" w:cs="Times New Roman"/>
          <w:sz w:val="24"/>
          <w:szCs w:val="24"/>
          <w:lang w:val="en-US"/>
        </w:rPr>
        <w:t xml:space="preserve"> impunity to state officials for acts conducted in line with the powers in the emergency of state.</w:t>
      </w:r>
      <w:r w:rsidR="006F5503">
        <w:rPr>
          <w:rStyle w:val="FootnoteReference"/>
          <w:rFonts w:ascii="Times New Roman" w:hAnsi="Times New Roman" w:cs="Times New Roman"/>
          <w:sz w:val="24"/>
          <w:szCs w:val="24"/>
          <w:lang w:val="en-US"/>
        </w:rPr>
        <w:footnoteReference w:id="10"/>
      </w:r>
      <w:r w:rsidR="0098234D">
        <w:rPr>
          <w:rFonts w:ascii="Times New Roman" w:hAnsi="Times New Roman" w:cs="Times New Roman"/>
          <w:sz w:val="24"/>
          <w:szCs w:val="24"/>
          <w:lang w:val="en-US"/>
        </w:rPr>
        <w:t xml:space="preserve"> As stated in the state report of Türkiye, like other emergency decrees, this decree has become a law after the validation of the Turkish Grand National Assembly. </w:t>
      </w:r>
      <w:r w:rsidR="006F5503">
        <w:rPr>
          <w:rFonts w:ascii="Times New Roman" w:hAnsi="Times New Roman" w:cs="Times New Roman"/>
          <w:sz w:val="24"/>
          <w:szCs w:val="24"/>
          <w:lang w:val="en-US"/>
        </w:rPr>
        <w:t xml:space="preserve">  </w:t>
      </w:r>
      <w:r w:rsidR="00131818">
        <w:rPr>
          <w:rFonts w:ascii="Times New Roman" w:hAnsi="Times New Roman" w:cs="Times New Roman"/>
          <w:sz w:val="24"/>
          <w:szCs w:val="24"/>
          <w:lang w:val="en-US"/>
        </w:rPr>
        <w:t xml:space="preserve">Although </w:t>
      </w:r>
      <w:r w:rsidR="006F5503">
        <w:rPr>
          <w:rFonts w:ascii="Times New Roman" w:hAnsi="Times New Roman" w:cs="Times New Roman"/>
          <w:sz w:val="24"/>
          <w:szCs w:val="24"/>
          <w:lang w:val="en-US"/>
        </w:rPr>
        <w:t xml:space="preserve">Türkiye </w:t>
      </w:r>
      <w:proofErr w:type="gramStart"/>
      <w:r w:rsidR="006F5503">
        <w:rPr>
          <w:rFonts w:ascii="Times New Roman" w:hAnsi="Times New Roman" w:cs="Times New Roman"/>
          <w:sz w:val="24"/>
          <w:szCs w:val="24"/>
          <w:lang w:val="en-US"/>
        </w:rPr>
        <w:t>tells</w:t>
      </w:r>
      <w:proofErr w:type="gramEnd"/>
      <w:r w:rsidR="006F5503">
        <w:rPr>
          <w:rFonts w:ascii="Times New Roman" w:hAnsi="Times New Roman" w:cs="Times New Roman"/>
          <w:sz w:val="24"/>
          <w:szCs w:val="24"/>
          <w:lang w:val="en-US"/>
        </w:rPr>
        <w:t xml:space="preserve"> that there has been a zero tolerance policy for torture and there has been no provided impunity for possible perpetrators, the instances tell the otherwise. </w:t>
      </w:r>
    </w:p>
    <w:p w14:paraId="45724C57" w14:textId="77777777" w:rsidR="006C6C2A" w:rsidRPr="006C6C2A" w:rsidRDefault="006C6C2A" w:rsidP="006C6C2A">
      <w:pPr>
        <w:tabs>
          <w:tab w:val="left" w:leader="dot" w:pos="9639"/>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US"/>
        </w:rPr>
        <w:lastRenderedPageBreak/>
        <w:t xml:space="preserve">From a wider perspective, the dependence of the judiciary to the executive power and its corollary inaction in safeguarding the human rights for all creates some repercussions that have been taken into consideration by other international mechanisms. For example, </w:t>
      </w:r>
      <w:proofErr w:type="gramStart"/>
      <w:r w:rsidRPr="006C6C2A">
        <w:rPr>
          <w:rFonts w:ascii="Times New Roman" w:hAnsi="Times New Roman" w:cs="Times New Roman"/>
          <w:sz w:val="24"/>
          <w:szCs w:val="24"/>
          <w:lang w:val="en-GB"/>
        </w:rPr>
        <w:t>The</w:t>
      </w:r>
      <w:proofErr w:type="gramEnd"/>
      <w:r w:rsidRPr="006C6C2A">
        <w:rPr>
          <w:rFonts w:ascii="Times New Roman" w:hAnsi="Times New Roman" w:cs="Times New Roman"/>
          <w:sz w:val="24"/>
          <w:szCs w:val="24"/>
          <w:lang w:val="en-GB"/>
        </w:rPr>
        <w:t xml:space="preserve"> recent </w:t>
      </w:r>
      <w:r w:rsidR="00455119">
        <w:fldChar w:fldCharType="begin"/>
      </w:r>
      <w:r w:rsidR="00455119" w:rsidRPr="00455119">
        <w:rPr>
          <w:lang w:val="en-GB"/>
        </w:rPr>
        <w:instrText>HYPERLINK "https://pace.coe.int/en/files/33365"</w:instrText>
      </w:r>
      <w:r w:rsidR="00455119">
        <w:fldChar w:fldCharType="separate"/>
      </w:r>
      <w:r w:rsidRPr="006C6C2A">
        <w:rPr>
          <w:rStyle w:val="Hyperlink"/>
          <w:rFonts w:ascii="Times New Roman" w:hAnsi="Times New Roman" w:cs="Times New Roman"/>
          <w:sz w:val="24"/>
          <w:szCs w:val="24"/>
          <w:lang w:val="en-GB"/>
        </w:rPr>
        <w:t>Written Declaration</w:t>
      </w:r>
      <w:r w:rsidR="00455119">
        <w:rPr>
          <w:rStyle w:val="Hyperlink"/>
          <w:rFonts w:ascii="Times New Roman" w:hAnsi="Times New Roman" w:cs="Times New Roman"/>
          <w:sz w:val="24"/>
          <w:szCs w:val="24"/>
          <w:lang w:val="en-GB"/>
        </w:rPr>
        <w:fldChar w:fldCharType="end"/>
      </w:r>
      <w:r w:rsidRPr="001467BE">
        <w:rPr>
          <w:rStyle w:val="FootnoteReference"/>
          <w:rFonts w:ascii="Times New Roman" w:hAnsi="Times New Roman" w:cs="Times New Roman"/>
          <w:sz w:val="24"/>
          <w:szCs w:val="24"/>
        </w:rPr>
        <w:footnoteReference w:id="11"/>
      </w:r>
      <w:r w:rsidRPr="006C6C2A">
        <w:rPr>
          <w:rFonts w:ascii="Times New Roman" w:hAnsi="Times New Roman" w:cs="Times New Roman"/>
          <w:sz w:val="24"/>
          <w:szCs w:val="24"/>
          <w:lang w:val="en-GB"/>
        </w:rPr>
        <w:t xml:space="preserve"> by representatives of the Parliamentary Assembly of the Council of Europe (PACE) reflect the appalling situation in the country vis a vis its statutory obligations:</w:t>
      </w:r>
    </w:p>
    <w:p w14:paraId="4CE78810" w14:textId="77777777" w:rsidR="006C6C2A" w:rsidRPr="006C6C2A" w:rsidRDefault="006C6C2A" w:rsidP="006C6C2A">
      <w:pPr>
        <w:tabs>
          <w:tab w:val="left" w:leader="dot" w:pos="9639"/>
        </w:tabs>
        <w:jc w:val="both"/>
        <w:rPr>
          <w:rFonts w:ascii="Times New Roman" w:hAnsi="Times New Roman" w:cs="Times New Roman"/>
          <w:i/>
          <w:sz w:val="24"/>
          <w:szCs w:val="24"/>
          <w:lang w:val="en-GB"/>
        </w:rPr>
      </w:pPr>
      <w:r w:rsidRPr="006C6C2A">
        <w:rPr>
          <w:rFonts w:ascii="Times New Roman" w:hAnsi="Times New Roman" w:cs="Times New Roman"/>
          <w:i/>
          <w:sz w:val="24"/>
          <w:szCs w:val="24"/>
          <w:lang w:val="en-GB"/>
        </w:rPr>
        <w:t xml:space="preserve">“In recent judgments, the European Court of Human Rights examined crucial cases, including the cases of </w:t>
      </w:r>
      <w:r w:rsidRPr="006C6C2A">
        <w:rPr>
          <w:rFonts w:ascii="Times New Roman" w:hAnsi="Times New Roman" w:cs="Times New Roman"/>
          <w:i/>
          <w:sz w:val="24"/>
          <w:szCs w:val="24"/>
          <w:u w:val="single"/>
          <w:lang w:val="en-GB"/>
        </w:rPr>
        <w:t>Osman Kavala</w:t>
      </w:r>
      <w:r w:rsidRPr="006C6C2A">
        <w:rPr>
          <w:rFonts w:ascii="Times New Roman" w:hAnsi="Times New Roman" w:cs="Times New Roman"/>
          <w:i/>
          <w:sz w:val="24"/>
          <w:szCs w:val="24"/>
          <w:lang w:val="en-GB"/>
        </w:rPr>
        <w:t xml:space="preserve">, </w:t>
      </w:r>
      <w:r w:rsidRPr="006C6C2A">
        <w:rPr>
          <w:rFonts w:ascii="Times New Roman" w:hAnsi="Times New Roman" w:cs="Times New Roman"/>
          <w:i/>
          <w:sz w:val="24"/>
          <w:szCs w:val="24"/>
          <w:u w:val="single"/>
          <w:lang w:val="en-GB"/>
        </w:rPr>
        <w:t>Selahattin Demirtaş</w:t>
      </w:r>
      <w:r w:rsidRPr="006C6C2A">
        <w:rPr>
          <w:rFonts w:ascii="Times New Roman" w:hAnsi="Times New Roman" w:cs="Times New Roman"/>
          <w:i/>
          <w:sz w:val="24"/>
          <w:szCs w:val="24"/>
          <w:lang w:val="en-GB"/>
        </w:rPr>
        <w:t xml:space="preserve"> and </w:t>
      </w:r>
      <w:r w:rsidRPr="006C6C2A">
        <w:rPr>
          <w:rFonts w:ascii="Times New Roman" w:hAnsi="Times New Roman" w:cs="Times New Roman"/>
          <w:i/>
          <w:sz w:val="24"/>
          <w:szCs w:val="24"/>
          <w:u w:val="single"/>
          <w:lang w:val="en-GB"/>
        </w:rPr>
        <w:t>Yüksel Yalçınkaya</w:t>
      </w:r>
      <w:r w:rsidRPr="006C6C2A">
        <w:rPr>
          <w:rFonts w:ascii="Times New Roman" w:hAnsi="Times New Roman" w:cs="Times New Roman"/>
          <w:i/>
          <w:sz w:val="24"/>
          <w:szCs w:val="24"/>
          <w:lang w:val="en-GB"/>
        </w:rPr>
        <w:t>. The Court’s firm stance reveals a significant lack of predictability in the application of Turkish anti-terrorism legislation, highlighting a systemic violation of the right to a fair trial and the principle of legal certainty.</w:t>
      </w:r>
    </w:p>
    <w:p w14:paraId="695B9B36" w14:textId="77777777" w:rsidR="006C6C2A" w:rsidRPr="006C6C2A" w:rsidRDefault="006C6C2A" w:rsidP="006C6C2A">
      <w:pPr>
        <w:tabs>
          <w:tab w:val="left" w:leader="dot" w:pos="9639"/>
        </w:tabs>
        <w:jc w:val="both"/>
        <w:rPr>
          <w:rFonts w:ascii="Times New Roman" w:hAnsi="Times New Roman" w:cs="Times New Roman"/>
          <w:i/>
          <w:sz w:val="24"/>
          <w:szCs w:val="24"/>
          <w:lang w:val="en-GB"/>
        </w:rPr>
      </w:pPr>
      <w:r w:rsidRPr="006C6C2A">
        <w:rPr>
          <w:rFonts w:ascii="Times New Roman" w:hAnsi="Times New Roman" w:cs="Times New Roman"/>
          <w:i/>
          <w:sz w:val="24"/>
          <w:szCs w:val="24"/>
          <w:lang w:val="en-GB"/>
        </w:rPr>
        <w:t>Notwithstanding the infringement proceedings, the Turkish government's refusal to comply with the Court’s judgments signals a failure to uphold its membership obligations to the Council of Europe. The current situation in the country exposes worrying cases of enforced disappearances in which victims were abducted and returned to Türkiye.</w:t>
      </w:r>
    </w:p>
    <w:p w14:paraId="7A5E58CE" w14:textId="77777777" w:rsidR="006C6C2A" w:rsidRPr="006C6C2A" w:rsidRDefault="006C6C2A" w:rsidP="006C6C2A">
      <w:pPr>
        <w:tabs>
          <w:tab w:val="left" w:leader="dot" w:pos="9639"/>
        </w:tabs>
        <w:jc w:val="both"/>
        <w:rPr>
          <w:rFonts w:ascii="Times New Roman" w:hAnsi="Times New Roman" w:cs="Times New Roman"/>
          <w:i/>
          <w:sz w:val="24"/>
          <w:szCs w:val="24"/>
          <w:lang w:val="en-GB"/>
        </w:rPr>
      </w:pPr>
      <w:r w:rsidRPr="006C6C2A">
        <w:rPr>
          <w:rFonts w:ascii="Times New Roman" w:hAnsi="Times New Roman" w:cs="Times New Roman"/>
          <w:i/>
          <w:sz w:val="24"/>
          <w:szCs w:val="24"/>
          <w:lang w:val="en-GB"/>
        </w:rPr>
        <w:t>Blatant disregard for principles of due process and abusive use of vague anti-terrorism charges that violates the principle of “</w:t>
      </w:r>
      <w:proofErr w:type="spellStart"/>
      <w:r w:rsidRPr="006C6C2A">
        <w:rPr>
          <w:rFonts w:ascii="Times New Roman" w:hAnsi="Times New Roman" w:cs="Times New Roman"/>
          <w:i/>
          <w:sz w:val="24"/>
          <w:szCs w:val="24"/>
          <w:lang w:val="en-GB"/>
        </w:rPr>
        <w:t>nullum</w:t>
      </w:r>
      <w:proofErr w:type="spellEnd"/>
      <w:r w:rsidRPr="006C6C2A">
        <w:rPr>
          <w:rFonts w:ascii="Times New Roman" w:hAnsi="Times New Roman" w:cs="Times New Roman"/>
          <w:i/>
          <w:sz w:val="24"/>
          <w:szCs w:val="24"/>
          <w:lang w:val="en-GB"/>
        </w:rPr>
        <w:t xml:space="preserve"> </w:t>
      </w:r>
      <w:proofErr w:type="spellStart"/>
      <w:r w:rsidRPr="006C6C2A">
        <w:rPr>
          <w:rFonts w:ascii="Times New Roman" w:hAnsi="Times New Roman" w:cs="Times New Roman"/>
          <w:i/>
          <w:sz w:val="24"/>
          <w:szCs w:val="24"/>
          <w:lang w:val="en-GB"/>
        </w:rPr>
        <w:t>crimen</w:t>
      </w:r>
      <w:proofErr w:type="spellEnd"/>
      <w:r w:rsidRPr="006C6C2A">
        <w:rPr>
          <w:rFonts w:ascii="Times New Roman" w:hAnsi="Times New Roman" w:cs="Times New Roman"/>
          <w:i/>
          <w:sz w:val="24"/>
          <w:szCs w:val="24"/>
          <w:lang w:val="en-GB"/>
        </w:rPr>
        <w:t xml:space="preserve"> sine </w:t>
      </w:r>
      <w:proofErr w:type="spellStart"/>
      <w:r w:rsidRPr="006C6C2A">
        <w:rPr>
          <w:rFonts w:ascii="Times New Roman" w:hAnsi="Times New Roman" w:cs="Times New Roman"/>
          <w:i/>
          <w:sz w:val="24"/>
          <w:szCs w:val="24"/>
          <w:lang w:val="en-GB"/>
        </w:rPr>
        <w:t>lege</w:t>
      </w:r>
      <w:proofErr w:type="spellEnd"/>
      <w:r w:rsidRPr="006C6C2A">
        <w:rPr>
          <w:rFonts w:ascii="Times New Roman" w:hAnsi="Times New Roman" w:cs="Times New Roman"/>
          <w:i/>
          <w:sz w:val="24"/>
          <w:szCs w:val="24"/>
          <w:lang w:val="en-GB"/>
        </w:rPr>
        <w:t>” clearly indicate systemic failure to respect international law.</w:t>
      </w:r>
    </w:p>
    <w:p w14:paraId="1081D026" w14:textId="77777777" w:rsidR="006C6C2A" w:rsidRPr="006C6C2A" w:rsidRDefault="006C6C2A" w:rsidP="006C6C2A">
      <w:pPr>
        <w:tabs>
          <w:tab w:val="left" w:leader="dot" w:pos="9639"/>
        </w:tabs>
        <w:jc w:val="both"/>
        <w:rPr>
          <w:rFonts w:ascii="Times New Roman" w:hAnsi="Times New Roman" w:cs="Times New Roman"/>
          <w:i/>
          <w:sz w:val="24"/>
          <w:szCs w:val="24"/>
          <w:lang w:val="en-GB"/>
        </w:rPr>
      </w:pPr>
      <w:r w:rsidRPr="006C6C2A">
        <w:rPr>
          <w:rFonts w:ascii="Times New Roman" w:hAnsi="Times New Roman" w:cs="Times New Roman"/>
          <w:i/>
          <w:sz w:val="24"/>
          <w:szCs w:val="24"/>
          <w:lang w:val="en-GB"/>
        </w:rPr>
        <w:t xml:space="preserve">The UN Working Group on Arbitrary Detention repeatedly stated that widespread or systematic imprisonment or other severe deprivation of liberty based on vague charges, in violation of international law, may constitute </w:t>
      </w:r>
      <w:r w:rsidRPr="006C6C2A">
        <w:rPr>
          <w:rFonts w:ascii="Times New Roman" w:hAnsi="Times New Roman" w:cs="Times New Roman"/>
          <w:b/>
          <w:i/>
          <w:sz w:val="24"/>
          <w:szCs w:val="24"/>
          <w:u w:val="single"/>
          <w:lang w:val="en-GB"/>
        </w:rPr>
        <w:t>crimes against humanity</w:t>
      </w:r>
      <w:r>
        <w:rPr>
          <w:rStyle w:val="FootnoteReference"/>
          <w:rFonts w:ascii="Times New Roman" w:hAnsi="Times New Roman" w:cs="Times New Roman"/>
          <w:b/>
          <w:i/>
          <w:sz w:val="24"/>
          <w:szCs w:val="24"/>
          <w:u w:val="single"/>
        </w:rPr>
        <w:footnoteReference w:id="12"/>
      </w:r>
      <w:r w:rsidRPr="006C6C2A">
        <w:rPr>
          <w:rFonts w:ascii="Times New Roman" w:hAnsi="Times New Roman" w:cs="Times New Roman"/>
          <w:i/>
          <w:sz w:val="24"/>
          <w:szCs w:val="24"/>
          <w:lang w:val="en-GB"/>
        </w:rPr>
        <w:t>.”</w:t>
      </w:r>
    </w:p>
    <w:p w14:paraId="28B397A8" w14:textId="77777777" w:rsidR="006C6C2A" w:rsidRPr="006C6C2A" w:rsidRDefault="006C6C2A" w:rsidP="006C6C2A">
      <w:pPr>
        <w:spacing w:line="360" w:lineRule="auto"/>
        <w:jc w:val="both"/>
        <w:rPr>
          <w:rFonts w:ascii="Times New Roman" w:hAnsi="Times New Roman" w:cs="Times New Roman"/>
          <w:sz w:val="24"/>
          <w:szCs w:val="24"/>
          <w:lang w:val="en-US"/>
        </w:rPr>
      </w:pPr>
      <w:r w:rsidRPr="006C6C2A">
        <w:rPr>
          <w:rFonts w:ascii="Times New Roman" w:hAnsi="Times New Roman" w:cs="Times New Roman"/>
          <w:iCs/>
          <w:sz w:val="24"/>
          <w:szCs w:val="24"/>
          <w:lang w:val="en-GB"/>
        </w:rPr>
        <w:t xml:space="preserve">In a more recent decision, the UN’s WGAD concluded that the Government of Turkey is responsible for the abduction and detention of its citizens from abroad, and for their forcible transfer to Turkey in </w:t>
      </w:r>
      <w:r w:rsidRPr="006C6C2A">
        <w:rPr>
          <w:rFonts w:ascii="Times New Roman" w:hAnsi="Times New Roman" w:cs="Times New Roman"/>
          <w:iCs/>
          <w:sz w:val="24"/>
          <w:szCs w:val="24"/>
          <w:u w:val="single"/>
          <w:lang w:val="en-GB"/>
        </w:rPr>
        <w:t>breach of freedom of expression, prohibition of discrimination and torture</w:t>
      </w:r>
      <w:r w:rsidRPr="006C6C2A">
        <w:rPr>
          <w:rFonts w:ascii="Times New Roman" w:hAnsi="Times New Roman" w:cs="Times New Roman"/>
          <w:iCs/>
          <w:sz w:val="24"/>
          <w:szCs w:val="24"/>
          <w:lang w:val="en-GB"/>
        </w:rPr>
        <w:t>.</w:t>
      </w:r>
      <w:r w:rsidRPr="006C6C2A">
        <w:rPr>
          <w:rStyle w:val="FootnoteReference"/>
          <w:rFonts w:ascii="Times New Roman" w:hAnsi="Times New Roman" w:cs="Times New Roman"/>
          <w:iCs/>
          <w:sz w:val="24"/>
          <w:szCs w:val="24"/>
        </w:rPr>
        <w:footnoteReference w:id="13"/>
      </w:r>
    </w:p>
    <w:p w14:paraId="42CA42E7" w14:textId="23B2AFA0" w:rsidR="001B27FF" w:rsidRDefault="00B7118F" w:rsidP="001B27FF">
      <w:pPr>
        <w:pStyle w:val="Heading2"/>
      </w:pPr>
      <w:bookmarkStart w:id="3" w:name="_Toc168143656"/>
      <w:r>
        <w:t>Legal safeguards</w:t>
      </w:r>
      <w:bookmarkEnd w:id="3"/>
    </w:p>
    <w:p w14:paraId="578D1003" w14:textId="49667303" w:rsidR="00B7118F" w:rsidRDefault="00B7118F" w:rsidP="007E248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 the aftermath of the coup d’etat, the judges and prosecutors were </w:t>
      </w:r>
      <w:r w:rsidR="00D96475">
        <w:rPr>
          <w:rFonts w:ascii="Times New Roman" w:hAnsi="Times New Roman" w:cs="Times New Roman"/>
          <w:sz w:val="24"/>
          <w:szCs w:val="24"/>
          <w:lang w:val="en-US"/>
        </w:rPr>
        <w:t>detained by the order of the Ankara Chief Public Prosecution Office. The legal safeguards and constitutional guarantees were blatantly overlooked by investigation authorities</w:t>
      </w:r>
      <w:r w:rsidR="00F91AE4">
        <w:rPr>
          <w:rFonts w:ascii="Times New Roman" w:hAnsi="Times New Roman" w:cs="Times New Roman"/>
          <w:sz w:val="24"/>
          <w:szCs w:val="24"/>
          <w:lang w:val="en-US"/>
        </w:rPr>
        <w:t>. While the pre</w:t>
      </w:r>
      <w:r w:rsidR="00D81B1E">
        <w:rPr>
          <w:rFonts w:ascii="Times New Roman" w:hAnsi="Times New Roman" w:cs="Times New Roman"/>
          <w:sz w:val="24"/>
          <w:szCs w:val="24"/>
          <w:lang w:val="en-US"/>
        </w:rPr>
        <w:t>-</w:t>
      </w:r>
      <w:r w:rsidR="00F91AE4">
        <w:rPr>
          <w:rFonts w:ascii="Times New Roman" w:hAnsi="Times New Roman" w:cs="Times New Roman"/>
          <w:sz w:val="24"/>
          <w:szCs w:val="24"/>
          <w:lang w:val="en-US"/>
        </w:rPr>
        <w:t xml:space="preserve">requisite conditions for detaining judges and prosecutors are clearly set out in the law numbered </w:t>
      </w:r>
      <w:r w:rsidR="00D96475">
        <w:rPr>
          <w:rFonts w:ascii="Times New Roman" w:hAnsi="Times New Roman" w:cs="Times New Roman"/>
          <w:sz w:val="24"/>
          <w:szCs w:val="24"/>
          <w:lang w:val="en-US"/>
        </w:rPr>
        <w:t>2802</w:t>
      </w:r>
      <w:r w:rsidR="00F91AE4">
        <w:rPr>
          <w:rFonts w:ascii="Times New Roman" w:hAnsi="Times New Roman" w:cs="Times New Roman"/>
          <w:sz w:val="24"/>
          <w:szCs w:val="24"/>
          <w:lang w:val="en-US"/>
        </w:rPr>
        <w:t xml:space="preserve">, the </w:t>
      </w:r>
      <w:r w:rsidR="007367E4">
        <w:rPr>
          <w:rFonts w:ascii="Times New Roman" w:hAnsi="Times New Roman" w:cs="Times New Roman"/>
          <w:sz w:val="24"/>
          <w:szCs w:val="24"/>
          <w:lang w:val="en-US"/>
        </w:rPr>
        <w:t>L</w:t>
      </w:r>
      <w:r w:rsidR="00F91AE4">
        <w:rPr>
          <w:rFonts w:ascii="Times New Roman" w:hAnsi="Times New Roman" w:cs="Times New Roman"/>
          <w:sz w:val="24"/>
          <w:szCs w:val="24"/>
          <w:lang w:val="en-US"/>
        </w:rPr>
        <w:t xml:space="preserve">aw on the </w:t>
      </w:r>
      <w:r w:rsidR="00E06146">
        <w:rPr>
          <w:rFonts w:ascii="Times New Roman" w:hAnsi="Times New Roman" w:cs="Times New Roman"/>
          <w:sz w:val="24"/>
          <w:szCs w:val="24"/>
          <w:lang w:val="en-US"/>
        </w:rPr>
        <w:t>J</w:t>
      </w:r>
      <w:r w:rsidR="00F91AE4">
        <w:rPr>
          <w:rFonts w:ascii="Times New Roman" w:hAnsi="Times New Roman" w:cs="Times New Roman"/>
          <w:sz w:val="24"/>
          <w:szCs w:val="24"/>
          <w:lang w:val="en-US"/>
        </w:rPr>
        <w:t xml:space="preserve">udges and </w:t>
      </w:r>
      <w:r w:rsidR="00E06146">
        <w:rPr>
          <w:rFonts w:ascii="Times New Roman" w:hAnsi="Times New Roman" w:cs="Times New Roman"/>
          <w:sz w:val="24"/>
          <w:szCs w:val="24"/>
          <w:lang w:val="en-US"/>
        </w:rPr>
        <w:t>P</w:t>
      </w:r>
      <w:r w:rsidR="00F91AE4">
        <w:rPr>
          <w:rFonts w:ascii="Times New Roman" w:hAnsi="Times New Roman" w:cs="Times New Roman"/>
          <w:sz w:val="24"/>
          <w:szCs w:val="24"/>
          <w:lang w:val="en-US"/>
        </w:rPr>
        <w:t xml:space="preserve">rosecutors, the investigation authorities </w:t>
      </w:r>
      <w:r w:rsidR="007367E4">
        <w:rPr>
          <w:rFonts w:ascii="Times New Roman" w:hAnsi="Times New Roman" w:cs="Times New Roman"/>
          <w:sz w:val="24"/>
          <w:szCs w:val="24"/>
          <w:lang w:val="en-US"/>
        </w:rPr>
        <w:t xml:space="preserve">effectuated detention orders against them. The coup d’etat was used as a pretext as if judges and prosecutors participated to the coup d’etat and caught in flagrente delicto. The European Court of Human Rights delivered a judgment on this issue in which it said the conditions of flagrente delicto were not present for the </w:t>
      </w:r>
      <w:r w:rsidR="00D81B1E">
        <w:rPr>
          <w:rFonts w:ascii="Times New Roman" w:hAnsi="Times New Roman" w:cs="Times New Roman"/>
          <w:sz w:val="24"/>
          <w:szCs w:val="24"/>
          <w:lang w:val="en-US"/>
        </w:rPr>
        <w:t xml:space="preserve">former judge Hakan </w:t>
      </w:r>
      <w:proofErr w:type="gramStart"/>
      <w:r w:rsidR="00D81B1E">
        <w:rPr>
          <w:rFonts w:ascii="Times New Roman" w:hAnsi="Times New Roman" w:cs="Times New Roman"/>
          <w:sz w:val="24"/>
          <w:szCs w:val="24"/>
          <w:lang w:val="en-US"/>
        </w:rPr>
        <w:t xml:space="preserve">Bas </w:t>
      </w:r>
      <w:r w:rsidR="007367E4">
        <w:rPr>
          <w:rFonts w:ascii="Times New Roman" w:hAnsi="Times New Roman" w:cs="Times New Roman"/>
          <w:sz w:val="24"/>
          <w:szCs w:val="24"/>
          <w:lang w:val="en-US"/>
        </w:rPr>
        <w:t>,</w:t>
      </w:r>
      <w:proofErr w:type="gramEnd"/>
      <w:r w:rsidR="007367E4">
        <w:rPr>
          <w:rFonts w:ascii="Times New Roman" w:hAnsi="Times New Roman" w:cs="Times New Roman"/>
          <w:sz w:val="24"/>
          <w:szCs w:val="24"/>
          <w:lang w:val="en-US"/>
        </w:rPr>
        <w:t xml:space="preserve"> thereby his right to liberty under 5 of the convention was violated.</w:t>
      </w:r>
      <w:r w:rsidR="007367E4">
        <w:rPr>
          <w:rStyle w:val="FootnoteReference"/>
          <w:rFonts w:ascii="Times New Roman" w:hAnsi="Times New Roman" w:cs="Times New Roman"/>
          <w:sz w:val="24"/>
          <w:szCs w:val="24"/>
          <w:lang w:val="en-US"/>
        </w:rPr>
        <w:footnoteReference w:id="14"/>
      </w:r>
      <w:r w:rsidR="007367E4">
        <w:rPr>
          <w:rFonts w:ascii="Times New Roman" w:hAnsi="Times New Roman" w:cs="Times New Roman"/>
          <w:sz w:val="24"/>
          <w:szCs w:val="24"/>
          <w:lang w:val="en-US"/>
        </w:rPr>
        <w:t xml:space="preserve"> This finding was repeated in the same manner again and again in the ensuing decisions of the ECtHR regarding other individual applications of former judges and prosecutors. </w:t>
      </w:r>
      <w:proofErr w:type="gramStart"/>
      <w:r w:rsidR="007367E4">
        <w:rPr>
          <w:rFonts w:ascii="Times New Roman" w:hAnsi="Times New Roman" w:cs="Times New Roman"/>
          <w:sz w:val="24"/>
          <w:szCs w:val="24"/>
          <w:lang w:val="en-US"/>
        </w:rPr>
        <w:t xml:space="preserve">Additionally, </w:t>
      </w:r>
      <w:r w:rsidR="002E462B">
        <w:rPr>
          <w:rFonts w:ascii="Times New Roman" w:hAnsi="Times New Roman" w:cs="Times New Roman"/>
          <w:sz w:val="24"/>
          <w:szCs w:val="24"/>
          <w:lang w:val="en-US"/>
        </w:rPr>
        <w:t xml:space="preserve"> Although</w:t>
      </w:r>
      <w:proofErr w:type="gramEnd"/>
      <w:r w:rsidR="002E462B">
        <w:rPr>
          <w:rFonts w:ascii="Times New Roman" w:hAnsi="Times New Roman" w:cs="Times New Roman"/>
          <w:sz w:val="24"/>
          <w:szCs w:val="24"/>
          <w:lang w:val="en-US"/>
        </w:rPr>
        <w:t xml:space="preserve"> </w:t>
      </w:r>
      <w:r w:rsidR="00FF2E38">
        <w:rPr>
          <w:rFonts w:ascii="Times New Roman" w:hAnsi="Times New Roman" w:cs="Times New Roman"/>
          <w:sz w:val="24"/>
          <w:szCs w:val="24"/>
          <w:lang w:val="en-US"/>
        </w:rPr>
        <w:t>Türkiye</w:t>
      </w:r>
      <w:r w:rsidR="007367E4">
        <w:rPr>
          <w:rFonts w:ascii="Times New Roman" w:hAnsi="Times New Roman" w:cs="Times New Roman"/>
          <w:sz w:val="24"/>
          <w:szCs w:val="24"/>
          <w:lang w:val="en-US"/>
        </w:rPr>
        <w:t xml:space="preserve"> was asked to provide information about the deterioration occurred to the procedural guarantees by the means of presidential decrees</w:t>
      </w:r>
      <w:r w:rsidR="002E462B">
        <w:rPr>
          <w:rFonts w:ascii="Times New Roman" w:hAnsi="Times New Roman" w:cs="Times New Roman"/>
          <w:sz w:val="24"/>
          <w:szCs w:val="24"/>
          <w:lang w:val="en-US"/>
        </w:rPr>
        <w:t>,</w:t>
      </w:r>
      <w:r w:rsidR="007367E4">
        <w:rPr>
          <w:rFonts w:ascii="Times New Roman" w:hAnsi="Times New Roman" w:cs="Times New Roman"/>
          <w:sz w:val="24"/>
          <w:szCs w:val="24"/>
          <w:lang w:val="en-US"/>
        </w:rPr>
        <w:t xml:space="preserve"> it did not address this issue in its </w:t>
      </w:r>
      <w:r w:rsidR="00FF2E38">
        <w:rPr>
          <w:rFonts w:ascii="Times New Roman" w:hAnsi="Times New Roman" w:cs="Times New Roman"/>
          <w:sz w:val="24"/>
          <w:szCs w:val="24"/>
          <w:lang w:val="en-US"/>
        </w:rPr>
        <w:t>response.</w:t>
      </w:r>
      <w:r w:rsidR="002E462B">
        <w:rPr>
          <w:rFonts w:ascii="Times New Roman" w:hAnsi="Times New Roman" w:cs="Times New Roman"/>
          <w:sz w:val="24"/>
          <w:szCs w:val="24"/>
          <w:lang w:val="en-US"/>
        </w:rPr>
        <w:t xml:space="preserve"> The presidential decrees were enacted under extremely heated and intense conditions in a way to eradicate the procedural guarantees of the accused</w:t>
      </w:r>
      <w:r w:rsidR="00D81B1E">
        <w:rPr>
          <w:rFonts w:ascii="Times New Roman" w:hAnsi="Times New Roman" w:cs="Times New Roman"/>
          <w:sz w:val="24"/>
          <w:szCs w:val="24"/>
          <w:lang w:val="en-US"/>
        </w:rPr>
        <w:t xml:space="preserve"> persons</w:t>
      </w:r>
      <w:r w:rsidR="002E462B">
        <w:rPr>
          <w:rFonts w:ascii="Times New Roman" w:hAnsi="Times New Roman" w:cs="Times New Roman"/>
          <w:sz w:val="24"/>
          <w:szCs w:val="24"/>
          <w:lang w:val="en-US"/>
        </w:rPr>
        <w:t>. The presidential decree numbered 667</w:t>
      </w:r>
      <w:r w:rsidR="00D81B1E">
        <w:rPr>
          <w:rFonts w:ascii="Times New Roman" w:hAnsi="Times New Roman" w:cs="Times New Roman"/>
          <w:sz w:val="24"/>
          <w:szCs w:val="24"/>
          <w:lang w:val="en-US"/>
        </w:rPr>
        <w:t xml:space="preserve"> for example</w:t>
      </w:r>
      <w:r w:rsidR="002E462B">
        <w:rPr>
          <w:rFonts w:ascii="Times New Roman" w:hAnsi="Times New Roman" w:cs="Times New Roman"/>
          <w:sz w:val="24"/>
          <w:szCs w:val="24"/>
          <w:lang w:val="en-US"/>
        </w:rPr>
        <w:t xml:space="preserve"> prescribed a </w:t>
      </w:r>
      <w:proofErr w:type="gramStart"/>
      <w:r w:rsidR="002E462B">
        <w:rPr>
          <w:rFonts w:ascii="Times New Roman" w:hAnsi="Times New Roman" w:cs="Times New Roman"/>
          <w:sz w:val="24"/>
          <w:szCs w:val="24"/>
          <w:lang w:val="en-US"/>
        </w:rPr>
        <w:t>thirty day</w:t>
      </w:r>
      <w:proofErr w:type="gramEnd"/>
      <w:r w:rsidR="002E462B">
        <w:rPr>
          <w:rFonts w:ascii="Times New Roman" w:hAnsi="Times New Roman" w:cs="Times New Roman"/>
          <w:sz w:val="24"/>
          <w:szCs w:val="24"/>
          <w:lang w:val="en-US"/>
        </w:rPr>
        <w:t xml:space="preserve"> detention period that opened way to torture and inhumane treatments in detention places. The right to be promptly brought before a judge was overlooked</w:t>
      </w:r>
      <w:r w:rsidR="00E06146">
        <w:rPr>
          <w:rFonts w:ascii="Times New Roman" w:hAnsi="Times New Roman" w:cs="Times New Roman"/>
          <w:sz w:val="24"/>
          <w:szCs w:val="24"/>
          <w:lang w:val="en-US"/>
        </w:rPr>
        <w:t xml:space="preserve"> along with other fundamental guarantees.</w:t>
      </w:r>
      <w:r w:rsidR="00D81B1E">
        <w:rPr>
          <w:rFonts w:ascii="Times New Roman" w:hAnsi="Times New Roman" w:cs="Times New Roman"/>
          <w:sz w:val="24"/>
          <w:szCs w:val="24"/>
          <w:lang w:val="en-US"/>
        </w:rPr>
        <w:t xml:space="preserve"> It also authorized the Council of Judges and Prosecutors to dismiss thousands of judges and prosecutors in a way that disregards the afforded protections and guarantees in the constitution and other laws. </w:t>
      </w:r>
      <w:r w:rsidR="00211549">
        <w:rPr>
          <w:rFonts w:ascii="Times New Roman" w:hAnsi="Times New Roman" w:cs="Times New Roman"/>
          <w:sz w:val="24"/>
          <w:szCs w:val="24"/>
          <w:lang w:val="en-US"/>
        </w:rPr>
        <w:t xml:space="preserve">The elaboration of this issue can be found under the title of independence of the judiciary. </w:t>
      </w:r>
      <w:r w:rsidR="002E462B">
        <w:rPr>
          <w:rFonts w:ascii="Times New Roman" w:hAnsi="Times New Roman" w:cs="Times New Roman"/>
          <w:sz w:val="24"/>
          <w:szCs w:val="24"/>
          <w:lang w:val="en-US"/>
        </w:rPr>
        <w:t xml:space="preserve">    </w:t>
      </w:r>
      <w:r w:rsidR="00FF2E38">
        <w:rPr>
          <w:rFonts w:ascii="Times New Roman" w:hAnsi="Times New Roman" w:cs="Times New Roman"/>
          <w:sz w:val="24"/>
          <w:szCs w:val="24"/>
          <w:lang w:val="en-US"/>
        </w:rPr>
        <w:t xml:space="preserve"> </w:t>
      </w:r>
    </w:p>
    <w:p w14:paraId="2D27B38B" w14:textId="7FF1664B" w:rsidR="001B27FF" w:rsidRDefault="001B27FF" w:rsidP="001B27FF">
      <w:pPr>
        <w:pStyle w:val="Heading2"/>
      </w:pPr>
      <w:bookmarkStart w:id="4" w:name="_Toc168143657"/>
      <w:r>
        <w:t>Human rights defenders, journalists</w:t>
      </w:r>
      <w:bookmarkEnd w:id="4"/>
      <w:r>
        <w:t xml:space="preserve"> </w:t>
      </w:r>
    </w:p>
    <w:p w14:paraId="42475500" w14:textId="0C8D82B3" w:rsidR="00C4198D" w:rsidRDefault="00C6780F" w:rsidP="007E2487">
      <w:pPr>
        <w:spacing w:line="360" w:lineRule="auto"/>
        <w:jc w:val="both"/>
        <w:rPr>
          <w:rFonts w:ascii="Times New Roman" w:hAnsi="Times New Roman" w:cs="Times New Roman"/>
          <w:sz w:val="24"/>
          <w:szCs w:val="24"/>
          <w:lang w:val="en-US"/>
        </w:rPr>
      </w:pPr>
      <w:r w:rsidRPr="002C3AFF">
        <w:rPr>
          <w:rFonts w:ascii="Times New Roman" w:hAnsi="Times New Roman" w:cs="Times New Roman"/>
          <w:sz w:val="24"/>
          <w:szCs w:val="24"/>
          <w:lang w:val="en-US"/>
        </w:rPr>
        <w:t xml:space="preserve">The attacks against human rights defenders and journalists have been cited as another area of concern in the concluding observations. Türkiye has been given a warning to refrain from detaining journalists and human rights defenders </w:t>
      </w:r>
      <w:r w:rsidR="001B5E5B" w:rsidRPr="002C3AFF">
        <w:rPr>
          <w:rFonts w:ascii="Times New Roman" w:hAnsi="Times New Roman" w:cs="Times New Roman"/>
          <w:sz w:val="24"/>
          <w:szCs w:val="24"/>
          <w:lang w:val="en-US"/>
        </w:rPr>
        <w:t xml:space="preserve">to ensure the free reporting of the incidents and allegations. </w:t>
      </w:r>
      <w:r w:rsidR="00C4198D" w:rsidRPr="002C3AFF">
        <w:rPr>
          <w:rFonts w:ascii="Times New Roman" w:hAnsi="Times New Roman" w:cs="Times New Roman"/>
          <w:sz w:val="24"/>
          <w:szCs w:val="24"/>
          <w:lang w:val="en-US"/>
        </w:rPr>
        <w:t>The journalists and human rights defenders have been intimidated with charges brough in the context of terrorism. The committee urges the state party to allow the independent review of these trials against human rights defenders.</w:t>
      </w:r>
      <w:r w:rsidR="00B33192">
        <w:rPr>
          <w:rStyle w:val="FootnoteReference"/>
          <w:rFonts w:ascii="Times New Roman" w:hAnsi="Times New Roman" w:cs="Times New Roman"/>
          <w:sz w:val="24"/>
          <w:szCs w:val="24"/>
          <w:lang w:val="en-US"/>
        </w:rPr>
        <w:footnoteReference w:id="15"/>
      </w:r>
      <w:r w:rsidR="00C4198D" w:rsidRPr="002C3AFF">
        <w:rPr>
          <w:rFonts w:ascii="Times New Roman" w:hAnsi="Times New Roman" w:cs="Times New Roman"/>
          <w:sz w:val="24"/>
          <w:szCs w:val="24"/>
          <w:lang w:val="en-US"/>
        </w:rPr>
        <w:t xml:space="preserve"> </w:t>
      </w:r>
      <w:r w:rsidR="00B33192">
        <w:rPr>
          <w:rFonts w:ascii="Times New Roman" w:hAnsi="Times New Roman" w:cs="Times New Roman"/>
          <w:sz w:val="24"/>
          <w:szCs w:val="24"/>
          <w:lang w:val="en-US"/>
        </w:rPr>
        <w:t xml:space="preserve">Türkiye, in its response to the </w:t>
      </w:r>
      <w:r w:rsidR="001421CF">
        <w:rPr>
          <w:rFonts w:ascii="Times New Roman" w:hAnsi="Times New Roman" w:cs="Times New Roman"/>
          <w:sz w:val="24"/>
          <w:szCs w:val="24"/>
          <w:lang w:val="en-US"/>
        </w:rPr>
        <w:t>C</w:t>
      </w:r>
      <w:r w:rsidR="00B33192">
        <w:rPr>
          <w:rFonts w:ascii="Times New Roman" w:hAnsi="Times New Roman" w:cs="Times New Roman"/>
          <w:sz w:val="24"/>
          <w:szCs w:val="24"/>
          <w:lang w:val="en-US"/>
        </w:rPr>
        <w:t xml:space="preserve">ommittee as part of the follow up process of the fourth periodic review, has stated that </w:t>
      </w:r>
      <w:r w:rsidR="00B33192">
        <w:rPr>
          <w:rFonts w:ascii="Times New Roman" w:hAnsi="Times New Roman" w:cs="Times New Roman"/>
          <w:sz w:val="24"/>
          <w:szCs w:val="24"/>
          <w:lang w:val="en-US"/>
        </w:rPr>
        <w:lastRenderedPageBreak/>
        <w:t>freedom of expression and media is among the fundamental rights in the Constitution and Türkiye possess pluralistic media community that enjoy the rights involved in the national and international legislation.</w:t>
      </w:r>
      <w:r w:rsidR="00B33192">
        <w:rPr>
          <w:rStyle w:val="FootnoteReference"/>
          <w:rFonts w:ascii="Times New Roman" w:hAnsi="Times New Roman" w:cs="Times New Roman"/>
          <w:sz w:val="24"/>
          <w:szCs w:val="24"/>
          <w:lang w:val="en-US"/>
        </w:rPr>
        <w:footnoteReference w:id="16"/>
      </w:r>
      <w:r w:rsidR="00B33192">
        <w:rPr>
          <w:rFonts w:ascii="Times New Roman" w:hAnsi="Times New Roman" w:cs="Times New Roman"/>
          <w:sz w:val="24"/>
          <w:szCs w:val="24"/>
          <w:lang w:val="en-US"/>
        </w:rPr>
        <w:t xml:space="preserve"> </w:t>
      </w:r>
    </w:p>
    <w:p w14:paraId="27135672" w14:textId="6AD46263" w:rsidR="001421CF" w:rsidRPr="002C3AFF" w:rsidRDefault="001421CF" w:rsidP="007E248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Human rights defenders and journalists are attacked as a means of intimidation by the judiciary. Türkiye supports its stance by making reference to the acts of judges and prosecutors. However, it does not mention the dependency of the judiciary to the executive branch of the state. Human rights defenders do not face proper accusations that are based on concrete </w:t>
      </w:r>
      <w:proofErr w:type="gramStart"/>
      <w:r>
        <w:rPr>
          <w:rFonts w:ascii="Times New Roman" w:hAnsi="Times New Roman" w:cs="Times New Roman"/>
          <w:sz w:val="24"/>
          <w:szCs w:val="24"/>
          <w:lang w:val="en-US"/>
        </w:rPr>
        <w:t>evidence</w:t>
      </w:r>
      <w:proofErr w:type="gramEnd"/>
      <w:r>
        <w:rPr>
          <w:rFonts w:ascii="Times New Roman" w:hAnsi="Times New Roman" w:cs="Times New Roman"/>
          <w:sz w:val="24"/>
          <w:szCs w:val="24"/>
          <w:lang w:val="en-US"/>
        </w:rPr>
        <w:t xml:space="preserve"> but fabricated ones purposefully designed to dishearten the human rights defenders and journalists from no more exercising their function that is vital for the democracy and the rule of law. </w:t>
      </w:r>
      <w:r w:rsidR="006B50E2">
        <w:rPr>
          <w:rFonts w:ascii="Times New Roman" w:hAnsi="Times New Roman" w:cs="Times New Roman"/>
          <w:sz w:val="24"/>
          <w:szCs w:val="24"/>
          <w:lang w:val="en-US"/>
        </w:rPr>
        <w:t>Presenting the existence of initiated proceedings against those persons should not be seen enough to accept that human rights defenders have been detained as part of an investigation</w:t>
      </w:r>
      <w:r w:rsidR="00A36B8A">
        <w:rPr>
          <w:rFonts w:ascii="Times New Roman" w:hAnsi="Times New Roman" w:cs="Times New Roman"/>
          <w:sz w:val="24"/>
          <w:szCs w:val="24"/>
          <w:lang w:val="en-US"/>
        </w:rPr>
        <w:t xml:space="preserve"> other than their journalism or advocacy activities</w:t>
      </w:r>
      <w:r w:rsidR="006B50E2">
        <w:rPr>
          <w:rFonts w:ascii="Times New Roman" w:hAnsi="Times New Roman" w:cs="Times New Roman"/>
          <w:sz w:val="24"/>
          <w:szCs w:val="24"/>
          <w:lang w:val="en-US"/>
        </w:rPr>
        <w:t>. While the real intention of the government is to penalize the action of human rights defenders and journalists on account of their awareness raising activities, they skillfully disguise its real intention by fabricating some accusations and evidence that stays within the ambit of anti-terrorism law.</w:t>
      </w:r>
      <w:r w:rsidR="00825AD2">
        <w:rPr>
          <w:rFonts w:ascii="Times New Roman" w:hAnsi="Times New Roman" w:cs="Times New Roman"/>
          <w:sz w:val="24"/>
          <w:szCs w:val="24"/>
          <w:lang w:val="en-US"/>
        </w:rPr>
        <w:t xml:space="preserve"> The detention of numerous journalists and human rights defenders present an example how Türkiye suppress the freedom of speech. Osman Kavala has been behind the bars for years, Sahin Alpay, Nazli Ilicak, Ahmet Altan, Mehmet Altan and several others were detained and accused of committing terrorism crimes </w:t>
      </w:r>
      <w:r w:rsidR="00B7118F">
        <w:rPr>
          <w:rFonts w:ascii="Times New Roman" w:hAnsi="Times New Roman" w:cs="Times New Roman"/>
          <w:sz w:val="24"/>
          <w:szCs w:val="24"/>
          <w:lang w:val="en-US"/>
        </w:rPr>
        <w:t>although</w:t>
      </w:r>
      <w:r w:rsidR="00825AD2">
        <w:rPr>
          <w:rFonts w:ascii="Times New Roman" w:hAnsi="Times New Roman" w:cs="Times New Roman"/>
          <w:sz w:val="24"/>
          <w:szCs w:val="24"/>
          <w:lang w:val="en-US"/>
        </w:rPr>
        <w:t xml:space="preserve"> they only were enjoying </w:t>
      </w:r>
      <w:r w:rsidR="00B7118F">
        <w:rPr>
          <w:rFonts w:ascii="Times New Roman" w:hAnsi="Times New Roman" w:cs="Times New Roman"/>
          <w:sz w:val="24"/>
          <w:szCs w:val="24"/>
          <w:lang w:val="en-US"/>
        </w:rPr>
        <w:t>the</w:t>
      </w:r>
      <w:r w:rsidR="00825AD2">
        <w:rPr>
          <w:rFonts w:ascii="Times New Roman" w:hAnsi="Times New Roman" w:cs="Times New Roman"/>
          <w:sz w:val="24"/>
          <w:szCs w:val="24"/>
          <w:lang w:val="en-US"/>
        </w:rPr>
        <w:t xml:space="preserve"> freedom of speech and the right to inform public opinion on important matters. The European Court of Human Rights decided in </w:t>
      </w:r>
      <w:r w:rsidR="00B7118F">
        <w:rPr>
          <w:rFonts w:ascii="Times New Roman" w:hAnsi="Times New Roman" w:cs="Times New Roman"/>
          <w:sz w:val="24"/>
          <w:szCs w:val="24"/>
          <w:lang w:val="en-US"/>
        </w:rPr>
        <w:t>favor</w:t>
      </w:r>
      <w:r w:rsidR="00825AD2">
        <w:rPr>
          <w:rFonts w:ascii="Times New Roman" w:hAnsi="Times New Roman" w:cs="Times New Roman"/>
          <w:sz w:val="24"/>
          <w:szCs w:val="24"/>
          <w:lang w:val="en-US"/>
        </w:rPr>
        <w:t xml:space="preserve"> of the journalists</w:t>
      </w:r>
      <w:r w:rsidR="00B7118F">
        <w:rPr>
          <w:rFonts w:ascii="Times New Roman" w:hAnsi="Times New Roman" w:cs="Times New Roman"/>
          <w:sz w:val="24"/>
          <w:szCs w:val="24"/>
          <w:lang w:val="en-US"/>
        </w:rPr>
        <w:t xml:space="preserve"> and declared that the freedom of speech was contravened by Türkiye.</w:t>
      </w:r>
      <w:r w:rsidR="00A36B8A">
        <w:rPr>
          <w:rStyle w:val="FootnoteReference"/>
          <w:rFonts w:ascii="Times New Roman" w:hAnsi="Times New Roman" w:cs="Times New Roman"/>
          <w:sz w:val="24"/>
          <w:szCs w:val="24"/>
          <w:lang w:val="en-US"/>
        </w:rPr>
        <w:footnoteReference w:id="17"/>
      </w:r>
      <w:r w:rsidR="00B7118F">
        <w:rPr>
          <w:rFonts w:ascii="Times New Roman" w:hAnsi="Times New Roman" w:cs="Times New Roman"/>
          <w:sz w:val="24"/>
          <w:szCs w:val="24"/>
          <w:lang w:val="en-US"/>
        </w:rPr>
        <w:t xml:space="preserve"> </w:t>
      </w:r>
      <w:r w:rsidR="00E06146">
        <w:rPr>
          <w:rFonts w:ascii="Times New Roman" w:hAnsi="Times New Roman" w:cs="Times New Roman"/>
          <w:sz w:val="24"/>
          <w:szCs w:val="24"/>
          <w:lang w:val="en-US"/>
        </w:rPr>
        <w:t>These incidents are of great essence to our organizations and for this submission for their importance in illustrating the co</w:t>
      </w:r>
      <w:r w:rsidR="008B2447">
        <w:rPr>
          <w:rFonts w:ascii="Times New Roman" w:hAnsi="Times New Roman" w:cs="Times New Roman"/>
          <w:sz w:val="24"/>
          <w:szCs w:val="24"/>
          <w:lang w:val="en-US"/>
        </w:rPr>
        <w:t>-</w:t>
      </w:r>
      <w:r w:rsidR="00E06146">
        <w:rPr>
          <w:rFonts w:ascii="Times New Roman" w:hAnsi="Times New Roman" w:cs="Times New Roman"/>
          <w:sz w:val="24"/>
          <w:szCs w:val="24"/>
          <w:lang w:val="en-US"/>
        </w:rPr>
        <w:t>pilotage of the judiciary with the government in eradicating the rule of law and independence of the judiciary.</w:t>
      </w:r>
      <w:r w:rsidR="008B2447">
        <w:rPr>
          <w:rFonts w:ascii="Times New Roman" w:hAnsi="Times New Roman" w:cs="Times New Roman"/>
          <w:sz w:val="24"/>
          <w:szCs w:val="24"/>
          <w:lang w:val="en-US"/>
        </w:rPr>
        <w:t xml:space="preserve"> </w:t>
      </w:r>
      <w:r w:rsidR="00A30CE5">
        <w:rPr>
          <w:rFonts w:ascii="Times New Roman" w:hAnsi="Times New Roman" w:cs="Times New Roman"/>
          <w:sz w:val="24"/>
          <w:szCs w:val="24"/>
          <w:lang w:val="en-US"/>
        </w:rPr>
        <w:t xml:space="preserve">While the judiciary is supposed to act like a guardian of the freedom of speech and rule of law, it opted to suppress the dissident voices in conjunction with the government. </w:t>
      </w:r>
      <w:r w:rsidR="008B2447">
        <w:rPr>
          <w:rFonts w:ascii="Times New Roman" w:hAnsi="Times New Roman" w:cs="Times New Roman"/>
          <w:sz w:val="24"/>
          <w:szCs w:val="24"/>
          <w:lang w:val="en-US"/>
        </w:rPr>
        <w:t xml:space="preserve"> </w:t>
      </w:r>
      <w:r w:rsidR="00E06146">
        <w:rPr>
          <w:rFonts w:ascii="Times New Roman" w:hAnsi="Times New Roman" w:cs="Times New Roman"/>
          <w:sz w:val="24"/>
          <w:szCs w:val="24"/>
          <w:lang w:val="en-US"/>
        </w:rPr>
        <w:t xml:space="preserve"> </w:t>
      </w:r>
    </w:p>
    <w:p w14:paraId="5FBA59C4" w14:textId="280963F3" w:rsidR="002C3AFF" w:rsidRDefault="002C3AFF" w:rsidP="002C3AFF">
      <w:pPr>
        <w:pStyle w:val="Heading2"/>
      </w:pPr>
      <w:bookmarkStart w:id="5" w:name="_Toc168143658"/>
      <w:r>
        <w:t>Gender-based violence</w:t>
      </w:r>
      <w:bookmarkEnd w:id="5"/>
      <w:r>
        <w:t xml:space="preserve"> </w:t>
      </w:r>
    </w:p>
    <w:p w14:paraId="5D5C9019" w14:textId="7017B9FA" w:rsidR="00A52F3D" w:rsidRDefault="00C4198D" w:rsidP="007E2487">
      <w:pPr>
        <w:spacing w:line="360" w:lineRule="auto"/>
        <w:jc w:val="both"/>
        <w:rPr>
          <w:rFonts w:ascii="Times New Roman" w:hAnsi="Times New Roman" w:cs="Times New Roman"/>
          <w:sz w:val="24"/>
          <w:szCs w:val="24"/>
          <w:lang w:val="en-US"/>
        </w:rPr>
      </w:pPr>
      <w:r w:rsidRPr="002C3AFF">
        <w:rPr>
          <w:rFonts w:ascii="Times New Roman" w:hAnsi="Times New Roman" w:cs="Times New Roman"/>
          <w:sz w:val="24"/>
          <w:szCs w:val="24"/>
          <w:lang w:val="en-US"/>
        </w:rPr>
        <w:t xml:space="preserve">Gender based violence has been another area of concern in the concluding observations. In this report, we will cover this issue from the perspective of unfair detentions and trials against our </w:t>
      </w:r>
      <w:r w:rsidRPr="002C3AFF">
        <w:rPr>
          <w:rFonts w:ascii="Times New Roman" w:hAnsi="Times New Roman" w:cs="Times New Roman"/>
          <w:sz w:val="24"/>
          <w:szCs w:val="24"/>
          <w:lang w:val="en-US"/>
        </w:rPr>
        <w:lastRenderedPageBreak/>
        <w:t>female colleagues in Tokat province.</w:t>
      </w:r>
      <w:r w:rsidR="007C4B8C" w:rsidRPr="002C3AFF">
        <w:rPr>
          <w:rFonts w:ascii="Times New Roman" w:hAnsi="Times New Roman" w:cs="Times New Roman"/>
          <w:sz w:val="24"/>
          <w:szCs w:val="24"/>
          <w:lang w:val="en-US"/>
        </w:rPr>
        <w:t xml:space="preserve"> In contrary to all statements regarding the protection of women from violence, female judges and prosecutors have been targeted by unfair investigations in Tokat province. </w:t>
      </w:r>
      <w:r w:rsidR="00A36B8A">
        <w:rPr>
          <w:rFonts w:ascii="Times New Roman" w:hAnsi="Times New Roman" w:cs="Times New Roman"/>
          <w:sz w:val="24"/>
          <w:szCs w:val="24"/>
          <w:lang w:val="en-US"/>
        </w:rPr>
        <w:t>We also provide the statements of our colleagues as annexes to this report. In their statements, they explained the inhumane treatments of the public prosecutor and the law enforcement officers, the real motivation of the public prosecutor and why they were chosen as a victim</w:t>
      </w:r>
      <w:r w:rsidR="00E264B8">
        <w:rPr>
          <w:rFonts w:ascii="Times New Roman" w:hAnsi="Times New Roman" w:cs="Times New Roman"/>
          <w:sz w:val="24"/>
          <w:szCs w:val="24"/>
          <w:lang w:val="en-US"/>
        </w:rPr>
        <w:t>.</w:t>
      </w:r>
      <w:r w:rsidR="005F68C2">
        <w:rPr>
          <w:rFonts w:ascii="Times New Roman" w:hAnsi="Times New Roman" w:cs="Times New Roman"/>
          <w:sz w:val="24"/>
          <w:szCs w:val="24"/>
          <w:lang w:val="en-US"/>
        </w:rPr>
        <w:t xml:space="preserve"> Two signed statements from two former female judges uncovers the </w:t>
      </w:r>
      <w:proofErr w:type="gramStart"/>
      <w:r w:rsidR="005F68C2">
        <w:rPr>
          <w:rFonts w:ascii="Times New Roman" w:hAnsi="Times New Roman" w:cs="Times New Roman"/>
          <w:sz w:val="24"/>
          <w:szCs w:val="24"/>
          <w:lang w:val="en-US"/>
        </w:rPr>
        <w:t>gender based</w:t>
      </w:r>
      <w:proofErr w:type="gramEnd"/>
      <w:r w:rsidR="005F68C2">
        <w:rPr>
          <w:rFonts w:ascii="Times New Roman" w:hAnsi="Times New Roman" w:cs="Times New Roman"/>
          <w:sz w:val="24"/>
          <w:szCs w:val="24"/>
          <w:lang w:val="en-US"/>
        </w:rPr>
        <w:t xml:space="preserve"> violence occurred at the hand of the judiciary. This issue was previously brought to the attention of the CEDAW by Sultani Temel with an application number 159/2020(TUR). </w:t>
      </w:r>
      <w:r w:rsidR="00E264B8">
        <w:rPr>
          <w:rFonts w:ascii="Times New Roman" w:hAnsi="Times New Roman" w:cs="Times New Roman"/>
          <w:sz w:val="24"/>
          <w:szCs w:val="24"/>
          <w:lang w:val="en-US"/>
        </w:rPr>
        <w:t xml:space="preserve"> </w:t>
      </w:r>
      <w:r w:rsidR="00A36B8A">
        <w:rPr>
          <w:rFonts w:ascii="Times New Roman" w:hAnsi="Times New Roman" w:cs="Times New Roman"/>
          <w:sz w:val="24"/>
          <w:szCs w:val="24"/>
          <w:lang w:val="en-US"/>
        </w:rPr>
        <w:t xml:space="preserve"> </w:t>
      </w:r>
    </w:p>
    <w:p w14:paraId="6FF3AFAD" w14:textId="77777777" w:rsidR="002B444C" w:rsidRDefault="002B444C" w:rsidP="007E2487">
      <w:pPr>
        <w:spacing w:line="360" w:lineRule="auto"/>
        <w:jc w:val="both"/>
        <w:rPr>
          <w:rFonts w:ascii="Times New Roman" w:hAnsi="Times New Roman" w:cs="Times New Roman"/>
          <w:color w:val="000000" w:themeColor="text1"/>
          <w:sz w:val="24"/>
          <w:szCs w:val="24"/>
          <w:lang w:val="en-US"/>
        </w:rPr>
      </w:pPr>
      <w:r w:rsidRPr="002B444C">
        <w:rPr>
          <w:rFonts w:ascii="Times New Roman" w:hAnsi="Times New Roman" w:cs="Times New Roman"/>
          <w:sz w:val="24"/>
          <w:szCs w:val="20"/>
          <w:lang w:val="en-US"/>
        </w:rPr>
        <w:t>Tokat is a city in northern Turkey, notorious for its extrajudicial criminal investigations initiated by the Tokat Chief Prosecution Office. In this small city, more than a hundred female judges and prosecutors have been taken into custody again on the same charges for which they were previously investigated by other Chief Public Prosecution Offices. Turkish legal regulations clearly prohibit a second detention for the same charges in the absence of newly obtained evidence</w:t>
      </w:r>
      <w:r w:rsidR="00A52F3D" w:rsidRPr="00A52F3D">
        <w:rPr>
          <w:rFonts w:ascii="Times New Roman" w:hAnsi="Times New Roman" w:cs="Times New Roman"/>
          <w:color w:val="000000" w:themeColor="text1"/>
          <w:sz w:val="24"/>
          <w:szCs w:val="24"/>
          <w:lang w:val="en-US"/>
        </w:rPr>
        <w:t>.</w:t>
      </w:r>
      <w:r w:rsidR="00A52F3D" w:rsidRPr="00A52F3D">
        <w:rPr>
          <w:rStyle w:val="FootnoteReference"/>
          <w:rFonts w:ascii="Times New Roman" w:hAnsi="Times New Roman" w:cs="Times New Roman"/>
          <w:color w:val="000000" w:themeColor="text1"/>
          <w:sz w:val="24"/>
          <w:szCs w:val="24"/>
          <w:lang w:val="en-US"/>
        </w:rPr>
        <w:footnoteReference w:id="18"/>
      </w:r>
      <w:r w:rsidR="00A52F3D" w:rsidRPr="00A52F3D">
        <w:rPr>
          <w:rFonts w:ascii="Times New Roman" w:hAnsi="Times New Roman" w:cs="Times New Roman"/>
          <w:color w:val="000000" w:themeColor="text1"/>
          <w:sz w:val="24"/>
          <w:szCs w:val="24"/>
          <w:lang w:val="en-US"/>
        </w:rPr>
        <w:t xml:space="preserve"> </w:t>
      </w:r>
      <w:r w:rsidRPr="002B444C">
        <w:rPr>
          <w:rFonts w:ascii="Times New Roman" w:hAnsi="Times New Roman" w:cs="Times New Roman"/>
          <w:color w:val="000000" w:themeColor="text1"/>
          <w:sz w:val="24"/>
          <w:szCs w:val="24"/>
          <w:lang w:val="en-US"/>
        </w:rPr>
        <w:t>However, the Tokat Chief Prosecution Office initiated an investigation and summoned over 100 female judges and prosecutors who were already under investigation. Without any jurisdictional basis, it detained numerous female jurists who had never worked or lived in Tokat</w:t>
      </w:r>
      <w:r w:rsidR="00A52F3D" w:rsidRPr="00A52F3D">
        <w:rPr>
          <w:rFonts w:ascii="Times New Roman" w:hAnsi="Times New Roman" w:cs="Times New Roman"/>
          <w:color w:val="000000" w:themeColor="text1"/>
          <w:sz w:val="24"/>
          <w:szCs w:val="24"/>
          <w:lang w:val="en-US"/>
        </w:rPr>
        <w:t>.</w:t>
      </w:r>
      <w:r w:rsidR="00A52F3D" w:rsidRPr="00A52F3D">
        <w:rPr>
          <w:rStyle w:val="FootnoteReference"/>
          <w:rFonts w:ascii="Times New Roman" w:hAnsi="Times New Roman" w:cs="Times New Roman"/>
          <w:color w:val="000000" w:themeColor="text1"/>
          <w:sz w:val="24"/>
          <w:szCs w:val="24"/>
          <w:lang w:val="en-US"/>
        </w:rPr>
        <w:footnoteReference w:id="19"/>
      </w:r>
      <w:r w:rsidR="00A52F3D" w:rsidRPr="00A52F3D">
        <w:rPr>
          <w:rFonts w:ascii="Times New Roman" w:hAnsi="Times New Roman" w:cs="Times New Roman"/>
          <w:color w:val="000000" w:themeColor="text1"/>
          <w:sz w:val="24"/>
          <w:szCs w:val="24"/>
          <w:lang w:val="en-US"/>
        </w:rPr>
        <w:t xml:space="preserve"> </w:t>
      </w:r>
      <w:r w:rsidRPr="002B444C">
        <w:rPr>
          <w:rFonts w:ascii="Times New Roman" w:hAnsi="Times New Roman" w:cs="Times New Roman"/>
          <w:color w:val="000000" w:themeColor="text1"/>
          <w:sz w:val="24"/>
          <w:szCs w:val="24"/>
          <w:lang w:val="en-US"/>
        </w:rPr>
        <w:t>Clearly, there was a deliberate intent to conduct such an investigation at the expense of violating the law</w:t>
      </w:r>
      <w:r w:rsidR="00A52F3D" w:rsidRPr="00A52F3D">
        <w:rPr>
          <w:rFonts w:ascii="Times New Roman" w:hAnsi="Times New Roman" w:cs="Times New Roman"/>
          <w:color w:val="000000" w:themeColor="text1"/>
          <w:sz w:val="24"/>
          <w:szCs w:val="24"/>
          <w:lang w:val="en-US"/>
        </w:rPr>
        <w:t>.</w:t>
      </w:r>
      <w:r w:rsidR="00A52F3D" w:rsidRPr="00A52F3D">
        <w:rPr>
          <w:rFonts w:ascii="Times New Roman" w:hAnsi="Times New Roman" w:cs="Times New Roman"/>
          <w:sz w:val="20"/>
          <w:szCs w:val="20"/>
          <w:lang w:val="en-US"/>
        </w:rPr>
        <w:t xml:space="preserve"> </w:t>
      </w:r>
      <w:r w:rsidRPr="002B444C">
        <w:rPr>
          <w:rFonts w:ascii="Times New Roman" w:hAnsi="Times New Roman" w:cs="Times New Roman"/>
          <w:color w:val="000000" w:themeColor="text1"/>
          <w:sz w:val="24"/>
          <w:szCs w:val="24"/>
          <w:lang w:val="en-US"/>
        </w:rPr>
        <w:t xml:space="preserve">Without any authority or reasonable grounds, the same prosecutor called and detained over a hundred female judges over time. This prosecution displayed a discriminatory nature and was evidently part of the efforts of the Council of Judges and Prosecutors to fabricate evidence against those who had been dismissed and detained without just cause. The aim was to coerce these female judges into confessing and testifying against other unlawfully detained prosecutors and judges. What these jurists had in common was their gender, particularly being women, pregnant, or nursing mothers. In preparing the lists of female judges to be detained, the Tokat Chief Prosecution Office specifically targeted those with babies or who were pregnant. They issued orders to detain them for 30 days. The discriminatory treatment of the Tokat Chief Prosecution Office towards female judges and prosecutors, including the applicants, is clearly covered by the definition of gender-based discrimination. They were unfairly targeted due to their gender and vulnerability as part of a plan to fabricate </w:t>
      </w:r>
      <w:r w:rsidRPr="002B444C">
        <w:rPr>
          <w:rFonts w:ascii="Times New Roman" w:hAnsi="Times New Roman" w:cs="Times New Roman"/>
          <w:color w:val="000000" w:themeColor="text1"/>
          <w:sz w:val="24"/>
          <w:szCs w:val="24"/>
          <w:lang w:val="en-US"/>
        </w:rPr>
        <w:lastRenderedPageBreak/>
        <w:t>evidence against judges and prosecutors dismissed based on blackmail lists. They were threatened regarding their babies and pressured into accepting unfounded terror charges and becoming confessors. Those who refused were detained with their babies by Magistrate Courts, while those who accepted became confessor were released by the Prosecution. While in police custody, these women were subjected to constant psychological humiliation and torture by law enforcement units. Their gender and motherhood were used as tools to force confessions, exploiting the close connection between mothers and their babies to obtain statements</w:t>
      </w:r>
      <w:r w:rsidR="00A52F3D" w:rsidRPr="00A52F3D">
        <w:rPr>
          <w:rFonts w:ascii="Times New Roman" w:hAnsi="Times New Roman" w:cs="Times New Roman"/>
          <w:color w:val="000000" w:themeColor="text1"/>
          <w:sz w:val="24"/>
          <w:szCs w:val="24"/>
          <w:lang w:val="en-US"/>
        </w:rPr>
        <w:t xml:space="preserve">. Although the convention and the domestic law order to protect the marital status of women, judicial authorities and law enforcement units persistently breached the rights of female judges. In defiance of the </w:t>
      </w:r>
      <w:r>
        <w:rPr>
          <w:rFonts w:ascii="Times New Roman" w:hAnsi="Times New Roman" w:cs="Times New Roman"/>
          <w:color w:val="000000" w:themeColor="text1"/>
          <w:sz w:val="24"/>
          <w:szCs w:val="24"/>
          <w:lang w:val="en-US"/>
        </w:rPr>
        <w:t>international</w:t>
      </w:r>
      <w:r w:rsidR="00A52F3D" w:rsidRPr="00A52F3D">
        <w:rPr>
          <w:rFonts w:ascii="Times New Roman" w:hAnsi="Times New Roman" w:cs="Times New Roman"/>
          <w:color w:val="000000" w:themeColor="text1"/>
          <w:sz w:val="24"/>
          <w:szCs w:val="24"/>
          <w:lang w:val="en-US"/>
        </w:rPr>
        <w:t xml:space="preserve"> recommendation</w:t>
      </w:r>
      <w:r>
        <w:rPr>
          <w:rFonts w:ascii="Times New Roman" w:hAnsi="Times New Roman" w:cs="Times New Roman"/>
          <w:color w:val="000000" w:themeColor="text1"/>
          <w:sz w:val="24"/>
          <w:szCs w:val="24"/>
          <w:lang w:val="en-US"/>
        </w:rPr>
        <w:t>s</w:t>
      </w:r>
      <w:r w:rsidR="00A52F3D" w:rsidRPr="00A52F3D">
        <w:rPr>
          <w:rFonts w:ascii="Times New Roman" w:hAnsi="Times New Roman" w:cs="Times New Roman"/>
          <w:color w:val="000000" w:themeColor="text1"/>
          <w:sz w:val="24"/>
          <w:szCs w:val="24"/>
          <w:lang w:val="en-US"/>
        </w:rPr>
        <w:t xml:space="preserve"> on gender sensitive training of judges and law enforcement officers, public officials were selected according to what extent they are capable to coerce innocent women</w:t>
      </w:r>
      <w:r>
        <w:rPr>
          <w:rFonts w:ascii="Times New Roman" w:hAnsi="Times New Roman" w:cs="Times New Roman"/>
          <w:color w:val="000000" w:themeColor="text1"/>
          <w:sz w:val="24"/>
          <w:szCs w:val="24"/>
          <w:lang w:val="en-US"/>
        </w:rPr>
        <w:t xml:space="preserve"> judges</w:t>
      </w:r>
      <w:r w:rsidR="00A52F3D" w:rsidRPr="00A52F3D">
        <w:rPr>
          <w:rFonts w:ascii="Times New Roman" w:hAnsi="Times New Roman" w:cs="Times New Roman"/>
          <w:color w:val="000000" w:themeColor="text1"/>
          <w:sz w:val="24"/>
          <w:szCs w:val="24"/>
          <w:lang w:val="en-US"/>
        </w:rPr>
        <w:t xml:space="preserve"> to confess.</w:t>
      </w:r>
      <w:r w:rsidR="00A52F3D" w:rsidRPr="00A52F3D">
        <w:rPr>
          <w:rStyle w:val="FootnoteReference"/>
          <w:rFonts w:ascii="Times New Roman" w:hAnsi="Times New Roman" w:cs="Times New Roman"/>
          <w:color w:val="000000" w:themeColor="text1"/>
          <w:sz w:val="24"/>
          <w:szCs w:val="24"/>
          <w:lang w:val="en-US"/>
        </w:rPr>
        <w:footnoteReference w:id="20"/>
      </w:r>
      <w:r w:rsidR="00A52F3D" w:rsidRPr="00A52F3D">
        <w:rPr>
          <w:rFonts w:ascii="Times New Roman" w:hAnsi="Times New Roman" w:cs="Times New Roman"/>
          <w:color w:val="000000" w:themeColor="text1"/>
          <w:sz w:val="24"/>
          <w:szCs w:val="24"/>
          <w:lang w:val="en-US"/>
        </w:rPr>
        <w:t xml:space="preserve"> </w:t>
      </w:r>
      <w:r w:rsidRPr="002B444C">
        <w:rPr>
          <w:rFonts w:ascii="Times New Roman" w:hAnsi="Times New Roman" w:cs="Times New Roman"/>
          <w:color w:val="000000" w:themeColor="text1"/>
          <w:sz w:val="24"/>
          <w:szCs w:val="24"/>
          <w:lang w:val="en-US"/>
        </w:rPr>
        <w:t>They were persistently pressured to consider their children and families. While the law enforcement officers should be held accountable for their actions, it's worth noting that they merely followed orders from the Tokat Chief Public Prosecution Office. This is evident from the lack of action by judicial authorities in response to allegations of inhumane and degrading treatment of detainees in police custody. Furthermore, the Tokat Chief Prosecution Office consistently claimed a lack of territorial jurisdiction after committing grave human rights violations against female judges. This alone demonstrates that the investigation was initiated for political purposes, coercing female judges to confess by exploiting their gender and marital status.</w:t>
      </w:r>
      <w:r w:rsidR="00A52F3D" w:rsidRPr="00A52F3D">
        <w:rPr>
          <w:rFonts w:ascii="Times New Roman" w:hAnsi="Times New Roman" w:cs="Times New Roman"/>
          <w:color w:val="000000" w:themeColor="text1"/>
          <w:sz w:val="24"/>
          <w:szCs w:val="24"/>
          <w:lang w:val="en-US"/>
        </w:rPr>
        <w:t xml:space="preserve"> </w:t>
      </w:r>
    </w:p>
    <w:p w14:paraId="3F72B084" w14:textId="50C9DBBF" w:rsidR="00724718" w:rsidRPr="0017541D" w:rsidRDefault="00A52F3D" w:rsidP="007E2487">
      <w:pPr>
        <w:spacing w:line="360" w:lineRule="auto"/>
        <w:jc w:val="both"/>
        <w:rPr>
          <w:rFonts w:ascii="Times New Roman" w:hAnsi="Times New Roman" w:cs="Times New Roman"/>
          <w:color w:val="000000" w:themeColor="text1"/>
          <w:sz w:val="24"/>
          <w:szCs w:val="24"/>
          <w:lang w:val="en-US"/>
        </w:rPr>
      </w:pPr>
      <w:r w:rsidRPr="00A52F3D">
        <w:rPr>
          <w:rFonts w:ascii="Times New Roman" w:hAnsi="Times New Roman" w:cs="Times New Roman"/>
          <w:color w:val="000000" w:themeColor="text1"/>
          <w:sz w:val="24"/>
          <w:szCs w:val="24"/>
          <w:lang w:val="en-US"/>
        </w:rPr>
        <w:t>In brief, the gender, marital status, family status and health situation were used as a tool by the government, judicial authorities and the law enforcement officers to commit psychological violence against female judges.</w:t>
      </w:r>
      <w:r w:rsidR="002B444C">
        <w:rPr>
          <w:rFonts w:ascii="Times New Roman" w:hAnsi="Times New Roman" w:cs="Times New Roman"/>
          <w:color w:val="000000" w:themeColor="text1"/>
          <w:sz w:val="24"/>
          <w:szCs w:val="24"/>
          <w:lang w:val="en-US"/>
        </w:rPr>
        <w:t xml:space="preserve">  </w:t>
      </w:r>
    </w:p>
    <w:p w14:paraId="79398539" w14:textId="1D17C317" w:rsidR="00E900E3" w:rsidRDefault="00724718" w:rsidP="00E900E3">
      <w:pPr>
        <w:pStyle w:val="Heading2"/>
      </w:pPr>
      <w:bookmarkStart w:id="6" w:name="_Toc168143659"/>
      <w:r>
        <w:t>The independence of the judiciary</w:t>
      </w:r>
      <w:bookmarkEnd w:id="6"/>
      <w:r>
        <w:t xml:space="preserve"> </w:t>
      </w:r>
    </w:p>
    <w:p w14:paraId="61AE25BB" w14:textId="6B1E3F9B" w:rsidR="00F6422A" w:rsidRPr="00E900E3" w:rsidRDefault="0005292F" w:rsidP="00E900E3">
      <w:pPr>
        <w:tabs>
          <w:tab w:val="left" w:pos="1272"/>
        </w:tabs>
        <w:rPr>
          <w:lang w:val="en-GB"/>
        </w:rPr>
      </w:pPr>
      <w:r w:rsidRPr="002C3AFF">
        <w:rPr>
          <w:rFonts w:ascii="Times New Roman" w:hAnsi="Times New Roman" w:cs="Times New Roman"/>
          <w:sz w:val="24"/>
          <w:szCs w:val="24"/>
          <w:lang w:val="en-US"/>
        </w:rPr>
        <w:t xml:space="preserve">Concluding observations for the fourth periodic review has been adopted just before the attempt of coup d’etat. In the aftermath of the coup d’etat, the instances and allegations of torture and inhumane treatments have dramatically risen up and reached to the terrifying levels. </w:t>
      </w:r>
      <w:r w:rsidR="007A2824" w:rsidRPr="002C3AFF">
        <w:rPr>
          <w:rFonts w:ascii="Times New Roman" w:hAnsi="Times New Roman" w:cs="Times New Roman"/>
          <w:sz w:val="24"/>
          <w:szCs w:val="24"/>
          <w:lang w:val="en-US"/>
        </w:rPr>
        <w:t xml:space="preserve">  </w:t>
      </w:r>
      <w:r w:rsidR="007E2487" w:rsidRPr="002C3AFF">
        <w:rPr>
          <w:rFonts w:ascii="Times New Roman" w:hAnsi="Times New Roman" w:cs="Times New Roman"/>
          <w:sz w:val="24"/>
          <w:szCs w:val="24"/>
          <w:lang w:val="en-US"/>
        </w:rPr>
        <w:t xml:space="preserve"> </w:t>
      </w:r>
    </w:p>
    <w:p w14:paraId="066E1184" w14:textId="2F7D4389" w:rsidR="00482E04" w:rsidRPr="00482E04" w:rsidRDefault="00F6422A" w:rsidP="007E2487">
      <w:pPr>
        <w:spacing w:line="360" w:lineRule="auto"/>
        <w:jc w:val="both"/>
        <w:rPr>
          <w:rFonts w:ascii="Times New Roman" w:hAnsi="Times New Roman" w:cs="Times New Roman"/>
          <w:sz w:val="24"/>
          <w:szCs w:val="24"/>
          <w:lang w:val="en-GB"/>
        </w:rPr>
      </w:pPr>
      <w:r w:rsidRPr="002C3AFF">
        <w:rPr>
          <w:rFonts w:ascii="Times New Roman" w:hAnsi="Times New Roman" w:cs="Times New Roman"/>
          <w:sz w:val="24"/>
          <w:szCs w:val="24"/>
          <w:lang w:val="en-US"/>
        </w:rPr>
        <w:t>In the aftermath of the coup d’etat, the Committee addressed Türkiye due to serious allegations and incidents about the grave violations of the convention.</w:t>
      </w:r>
      <w:r w:rsidR="00586E26">
        <w:rPr>
          <w:rFonts w:ascii="Times New Roman" w:hAnsi="Times New Roman" w:cs="Times New Roman"/>
          <w:sz w:val="24"/>
          <w:szCs w:val="24"/>
          <w:lang w:val="en-US"/>
        </w:rPr>
        <w:t xml:space="preserve"> The </w:t>
      </w:r>
      <w:r w:rsidRPr="002C3AFF">
        <w:rPr>
          <w:rFonts w:ascii="Times New Roman" w:hAnsi="Times New Roman" w:cs="Times New Roman"/>
          <w:sz w:val="24"/>
          <w:szCs w:val="24"/>
          <w:lang w:val="en-US"/>
        </w:rPr>
        <w:t>15</w:t>
      </w:r>
      <w:r w:rsidRPr="002C3AFF">
        <w:rPr>
          <w:rFonts w:ascii="Times New Roman" w:hAnsi="Times New Roman" w:cs="Times New Roman"/>
          <w:sz w:val="24"/>
          <w:szCs w:val="24"/>
          <w:vertAlign w:val="superscript"/>
          <w:lang w:val="en-US"/>
        </w:rPr>
        <w:t>th</w:t>
      </w:r>
      <w:r w:rsidRPr="002C3AFF">
        <w:rPr>
          <w:rFonts w:ascii="Times New Roman" w:hAnsi="Times New Roman" w:cs="Times New Roman"/>
          <w:sz w:val="24"/>
          <w:szCs w:val="24"/>
          <w:lang w:val="en-US"/>
        </w:rPr>
        <w:t xml:space="preserve"> of </w:t>
      </w:r>
      <w:proofErr w:type="gramStart"/>
      <w:r w:rsidRPr="002C3AFF">
        <w:rPr>
          <w:rFonts w:ascii="Times New Roman" w:hAnsi="Times New Roman" w:cs="Times New Roman"/>
          <w:sz w:val="24"/>
          <w:szCs w:val="24"/>
          <w:lang w:val="en-US"/>
        </w:rPr>
        <w:t xml:space="preserve">July </w:t>
      </w:r>
      <w:r w:rsidR="00586E26">
        <w:rPr>
          <w:rFonts w:ascii="Times New Roman" w:hAnsi="Times New Roman" w:cs="Times New Roman"/>
          <w:sz w:val="24"/>
          <w:szCs w:val="24"/>
          <w:lang w:val="en-US"/>
        </w:rPr>
        <w:t xml:space="preserve"> 2016</w:t>
      </w:r>
      <w:proofErr w:type="gramEnd"/>
      <w:r w:rsidR="00586E26">
        <w:rPr>
          <w:rFonts w:ascii="Times New Roman" w:hAnsi="Times New Roman" w:cs="Times New Roman"/>
          <w:sz w:val="24"/>
          <w:szCs w:val="24"/>
          <w:lang w:val="en-US"/>
        </w:rPr>
        <w:t xml:space="preserve"> </w:t>
      </w:r>
      <w:r w:rsidRPr="002C3AFF">
        <w:rPr>
          <w:rFonts w:ascii="Times New Roman" w:hAnsi="Times New Roman" w:cs="Times New Roman"/>
          <w:sz w:val="24"/>
          <w:szCs w:val="24"/>
          <w:lang w:val="en-US"/>
        </w:rPr>
        <w:t xml:space="preserve">has been a </w:t>
      </w:r>
      <w:r w:rsidRPr="002C3AFF">
        <w:rPr>
          <w:rFonts w:ascii="Times New Roman" w:hAnsi="Times New Roman" w:cs="Times New Roman"/>
          <w:sz w:val="24"/>
          <w:szCs w:val="24"/>
          <w:lang w:val="en-US"/>
        </w:rPr>
        <w:lastRenderedPageBreak/>
        <w:t>notorious date in the history of Türkiye for the situation of human rights. The Committee delivered its serious concerns to Türkiye about the incidents.</w:t>
      </w:r>
      <w:r w:rsidR="00F041B9" w:rsidRPr="002C3AFF">
        <w:rPr>
          <w:rFonts w:ascii="Times New Roman" w:hAnsi="Times New Roman" w:cs="Times New Roman"/>
          <w:sz w:val="24"/>
          <w:szCs w:val="24"/>
          <w:lang w:val="en-US"/>
        </w:rPr>
        <w:t xml:space="preserve"> The presidential decree numbered 667 allowed mass dismissals from the judiciary. 1684 judges and prosecutors were detained after the detention order of Ankara Chief Public Prosecution Office against 2740 judges and prosecutors. The judges and prosecutors were detained for </w:t>
      </w:r>
      <w:r w:rsidR="00B140DC">
        <w:rPr>
          <w:rFonts w:ascii="Times New Roman" w:hAnsi="Times New Roman" w:cs="Times New Roman"/>
          <w:sz w:val="24"/>
          <w:szCs w:val="24"/>
          <w:lang w:val="en-US"/>
        </w:rPr>
        <w:t>being involved in</w:t>
      </w:r>
      <w:r w:rsidR="00F041B9" w:rsidRPr="002C3AFF">
        <w:rPr>
          <w:rFonts w:ascii="Times New Roman" w:hAnsi="Times New Roman" w:cs="Times New Roman"/>
          <w:sz w:val="24"/>
          <w:szCs w:val="24"/>
          <w:lang w:val="en-US"/>
        </w:rPr>
        <w:t xml:space="preserve"> the coup d’etat despite there were no evidence suggesting this presence. This issue raised concerns in the eyes of the Committee about the capability of the government in ensuring the independence of the judiciary.</w:t>
      </w:r>
      <w:r w:rsidR="00C26BB4" w:rsidRPr="002C3AFF">
        <w:rPr>
          <w:rFonts w:ascii="Times New Roman" w:hAnsi="Times New Roman" w:cs="Times New Roman"/>
          <w:sz w:val="24"/>
          <w:szCs w:val="24"/>
          <w:lang w:val="en-US"/>
        </w:rPr>
        <w:t xml:space="preserve"> </w:t>
      </w:r>
      <w:r w:rsidR="00586E26">
        <w:rPr>
          <w:rFonts w:ascii="Times New Roman" w:hAnsi="Times New Roman" w:cs="Times New Roman"/>
          <w:sz w:val="24"/>
          <w:szCs w:val="24"/>
          <w:lang w:val="en-US"/>
        </w:rPr>
        <w:t xml:space="preserve">While the independence of the judiciary started to go down from a hill steadily, this issue has to be evaluated in its historical context to eliminate all elusive circumstances that leading to the erosion of the independence of the judiciary. </w:t>
      </w:r>
      <w:r w:rsidR="00482E04">
        <w:rPr>
          <w:rFonts w:ascii="Times New Roman" w:hAnsi="Times New Roman" w:cs="Times New Roman"/>
          <w:sz w:val="24"/>
          <w:szCs w:val="24"/>
          <w:lang w:val="en-US"/>
        </w:rPr>
        <w:t xml:space="preserve">Due to the importance of the issue, </w:t>
      </w:r>
      <w:r w:rsidR="00482E04">
        <w:rPr>
          <w:rFonts w:ascii="Times New Roman" w:hAnsi="Times New Roman" w:cs="Times New Roman"/>
          <w:sz w:val="24"/>
          <w:szCs w:val="20"/>
          <w:lang w:val="en-GB"/>
        </w:rPr>
        <w:t>the allegations regarding the mass detention and dismissals of judges and prosecutors have also been incorporated into the list of issues prior to reporting due to its importance to ensure the respect for the rule of law and human rights.</w:t>
      </w:r>
      <w:r w:rsidR="00482E04">
        <w:rPr>
          <w:rStyle w:val="FootnoteReference"/>
          <w:rFonts w:ascii="Times New Roman" w:hAnsi="Times New Roman" w:cs="Times New Roman"/>
          <w:sz w:val="24"/>
          <w:szCs w:val="20"/>
          <w:lang w:val="en-GB"/>
        </w:rPr>
        <w:footnoteReference w:id="21"/>
      </w:r>
      <w:r w:rsidR="00482E04">
        <w:rPr>
          <w:rFonts w:ascii="Times New Roman" w:hAnsi="Times New Roman" w:cs="Times New Roman"/>
          <w:sz w:val="24"/>
          <w:szCs w:val="20"/>
          <w:lang w:val="en-GB"/>
        </w:rPr>
        <w:t xml:space="preserve"> </w:t>
      </w:r>
      <w:r w:rsidR="006E4AD5" w:rsidRPr="006E4AD5">
        <w:rPr>
          <w:rFonts w:ascii="Times New Roman" w:hAnsi="Times New Roman" w:cs="Times New Roman"/>
          <w:sz w:val="24"/>
          <w:szCs w:val="20"/>
          <w:lang w:val="en-GB"/>
        </w:rPr>
        <w:t>In its state report, Türkiye initially attempted to sidestep the issues by asserting that the independence of the judiciary does not fall within the scope of the report. However, in opposition to this assertion, we firmly assert that all instances of torture and inhumane treatment occurred precisely because of the judiciary's lack of independence and its failure to investigate and hold perpetrators accountable. Judges and prosecutors have been complicit in these incidents, at the very least as negligent parties who chose to turn a blind eye and deaf ear to the atrocities taking place, contrary to the principles outlined in the Convention Against Torture (CAT).</w:t>
      </w:r>
    </w:p>
    <w:p w14:paraId="0AD4600C" w14:textId="58099EE1" w:rsidR="00586E26" w:rsidRDefault="00586E26" w:rsidP="007E248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Important milestones before the coup d’etat need to be reiterated so that the Committee better understand the incidents taken place after the coup d’etat.</w:t>
      </w:r>
    </w:p>
    <w:p w14:paraId="4C59CEC0" w14:textId="73882D48" w:rsidR="00586E26" w:rsidRPr="00586E26" w:rsidRDefault="006C6C2A" w:rsidP="00586E26">
      <w:pPr>
        <w:pStyle w:val="ListParagraph"/>
        <w:numPr>
          <w:ilvl w:val="0"/>
          <w:numId w:val="42"/>
        </w:num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Graft probes of </w:t>
      </w:r>
      <w:r w:rsidR="00586E26" w:rsidRPr="00586E26">
        <w:rPr>
          <w:rFonts w:ascii="Times New Roman" w:hAnsi="Times New Roman" w:cs="Times New Roman"/>
          <w:b/>
          <w:bCs/>
          <w:sz w:val="24"/>
          <w:szCs w:val="24"/>
          <w:lang w:val="en-US"/>
        </w:rPr>
        <w:t>17-25</w:t>
      </w:r>
      <w:r>
        <w:rPr>
          <w:rFonts w:ascii="Times New Roman" w:hAnsi="Times New Roman" w:cs="Times New Roman"/>
          <w:b/>
          <w:bCs/>
          <w:sz w:val="24"/>
          <w:szCs w:val="24"/>
          <w:lang w:val="en-US"/>
        </w:rPr>
        <w:t xml:space="preserve"> December</w:t>
      </w:r>
      <w:r w:rsidR="00586E26" w:rsidRPr="00586E26">
        <w:rPr>
          <w:rFonts w:ascii="Times New Roman" w:hAnsi="Times New Roman" w:cs="Times New Roman"/>
          <w:b/>
          <w:bCs/>
          <w:sz w:val="24"/>
          <w:szCs w:val="24"/>
          <w:lang w:val="en-US"/>
        </w:rPr>
        <w:t xml:space="preserve"> </w:t>
      </w:r>
    </w:p>
    <w:p w14:paraId="35578876" w14:textId="3DD64AE9" w:rsidR="00586E26" w:rsidRPr="00586E26" w:rsidRDefault="00AF20C6" w:rsidP="00586E26">
      <w:pPr>
        <w:spacing w:line="360" w:lineRule="auto"/>
        <w:jc w:val="both"/>
        <w:rPr>
          <w:rFonts w:ascii="Times New Roman" w:hAnsi="Times New Roman" w:cs="Times New Roman"/>
          <w:sz w:val="24"/>
          <w:szCs w:val="20"/>
          <w:lang w:val="en-GB"/>
        </w:rPr>
      </w:pPr>
      <w:r w:rsidRPr="00AF20C6">
        <w:rPr>
          <w:rFonts w:ascii="Times New Roman" w:hAnsi="Times New Roman" w:cs="Times New Roman"/>
          <w:sz w:val="24"/>
          <w:szCs w:val="24"/>
          <w:lang w:val="en-US"/>
        </w:rPr>
        <w:t xml:space="preserve">In early December 2013, Turkish police arrested the sons of three cabinet ministers and at least 34 others. These detentions struck at the heart of the </w:t>
      </w:r>
      <w:r w:rsidR="0095576E">
        <w:rPr>
          <w:rFonts w:ascii="Times New Roman" w:hAnsi="Times New Roman" w:cs="Times New Roman"/>
          <w:sz w:val="24"/>
          <w:szCs w:val="24"/>
          <w:lang w:val="en-US"/>
        </w:rPr>
        <w:t>government</w:t>
      </w:r>
      <w:r w:rsidRPr="00AF20C6">
        <w:rPr>
          <w:rFonts w:ascii="Times New Roman" w:hAnsi="Times New Roman" w:cs="Times New Roman"/>
          <w:sz w:val="24"/>
          <w:szCs w:val="24"/>
          <w:lang w:val="en-US"/>
        </w:rPr>
        <w:t>, involving prominent businessmen known for their close ties to the government and officials suspected of engaging in corruption, bribery, and tender rigging</w:t>
      </w:r>
      <w:r w:rsidR="00586E26" w:rsidRPr="00586E26">
        <w:rPr>
          <w:rFonts w:ascii="Times New Roman" w:hAnsi="Times New Roman" w:cs="Times New Roman"/>
          <w:sz w:val="24"/>
          <w:szCs w:val="24"/>
          <w:lang w:val="en-US"/>
        </w:rPr>
        <w:t>.</w:t>
      </w:r>
      <w:r w:rsidR="00586E26" w:rsidRPr="00586E26">
        <w:rPr>
          <w:rStyle w:val="FootnoteReference"/>
          <w:rFonts w:ascii="Times New Roman" w:hAnsi="Times New Roman" w:cs="Times New Roman"/>
          <w:sz w:val="24"/>
          <w:szCs w:val="24"/>
          <w:lang w:val="en-US"/>
        </w:rPr>
        <w:footnoteReference w:id="22"/>
      </w:r>
      <w:r w:rsidR="00586E26" w:rsidRPr="00586E26">
        <w:rPr>
          <w:rFonts w:ascii="Times New Roman" w:hAnsi="Times New Roman" w:cs="Times New Roman"/>
          <w:sz w:val="24"/>
          <w:szCs w:val="24"/>
          <w:lang w:val="en-US"/>
        </w:rPr>
        <w:t xml:space="preserve"> </w:t>
      </w:r>
      <w:r w:rsidRPr="00AF20C6">
        <w:rPr>
          <w:rFonts w:ascii="Times New Roman" w:hAnsi="Times New Roman" w:cs="Times New Roman"/>
          <w:sz w:val="24"/>
          <w:szCs w:val="24"/>
          <w:lang w:val="en-US"/>
        </w:rPr>
        <w:t xml:space="preserve">In an environment where the rule of law prevails, the government would respect such investigations. However, in Türkiye, the government </w:t>
      </w:r>
      <w:r w:rsidRPr="00AF20C6">
        <w:rPr>
          <w:rFonts w:ascii="Times New Roman" w:hAnsi="Times New Roman" w:cs="Times New Roman"/>
          <w:sz w:val="24"/>
          <w:szCs w:val="24"/>
          <w:lang w:val="en-US"/>
        </w:rPr>
        <w:lastRenderedPageBreak/>
        <w:t>responded to these investigations with an unlawful outburst, targeting the prosecutors, police chiefs, and officers who were simply fulfilling their duties</w:t>
      </w:r>
      <w:r w:rsidR="00586E26" w:rsidRPr="00586E26">
        <w:rPr>
          <w:rFonts w:ascii="Times New Roman" w:hAnsi="Times New Roman" w:cs="Times New Roman"/>
          <w:sz w:val="24"/>
          <w:szCs w:val="24"/>
          <w:lang w:val="en-US"/>
        </w:rPr>
        <w:t xml:space="preserve">. </w:t>
      </w:r>
      <w:r w:rsidR="00586E26" w:rsidRPr="00586E26">
        <w:rPr>
          <w:rFonts w:ascii="Times New Roman" w:hAnsi="Times New Roman" w:cs="Times New Roman"/>
          <w:sz w:val="24"/>
          <w:szCs w:val="20"/>
          <w:lang w:val="en-GB"/>
        </w:rPr>
        <w:t xml:space="preserve">‘December 2013 signs the start of the race to the bottom for the rule of law in </w:t>
      </w:r>
      <w:r w:rsidR="0095576E" w:rsidRPr="00AF20C6">
        <w:rPr>
          <w:rFonts w:ascii="Times New Roman" w:hAnsi="Times New Roman" w:cs="Times New Roman"/>
          <w:sz w:val="24"/>
          <w:szCs w:val="24"/>
          <w:lang w:val="en-US"/>
        </w:rPr>
        <w:t>Türkiye</w:t>
      </w:r>
      <w:r w:rsidR="00586E26" w:rsidRPr="00586E26">
        <w:rPr>
          <w:rFonts w:ascii="Times New Roman" w:hAnsi="Times New Roman" w:cs="Times New Roman"/>
          <w:sz w:val="24"/>
          <w:szCs w:val="20"/>
          <w:lang w:val="en-GB"/>
        </w:rPr>
        <w:t>.’</w:t>
      </w:r>
      <w:r w:rsidR="00586E26" w:rsidRPr="00586E26">
        <w:rPr>
          <w:rStyle w:val="FootnoteReference"/>
          <w:rFonts w:ascii="Times New Roman" w:hAnsi="Times New Roman" w:cs="Times New Roman"/>
          <w:sz w:val="24"/>
          <w:szCs w:val="20"/>
          <w:lang w:val="en-GB"/>
        </w:rPr>
        <w:footnoteReference w:id="23"/>
      </w:r>
      <w:r w:rsidR="00586E26" w:rsidRPr="00586E26">
        <w:rPr>
          <w:rFonts w:ascii="Times New Roman" w:hAnsi="Times New Roman" w:cs="Times New Roman"/>
          <w:sz w:val="24"/>
          <w:szCs w:val="20"/>
          <w:lang w:val="en-GB"/>
        </w:rPr>
        <w:t xml:space="preserve"> The </w:t>
      </w:r>
      <w:r w:rsidR="0095576E">
        <w:rPr>
          <w:rFonts w:ascii="Times New Roman" w:hAnsi="Times New Roman" w:cs="Times New Roman"/>
          <w:sz w:val="24"/>
          <w:szCs w:val="20"/>
          <w:lang w:val="en-GB"/>
        </w:rPr>
        <w:t>government</w:t>
      </w:r>
      <w:r w:rsidR="00586E26" w:rsidRPr="00586E26">
        <w:rPr>
          <w:rFonts w:ascii="Times New Roman" w:hAnsi="Times New Roman" w:cs="Times New Roman"/>
          <w:sz w:val="24"/>
          <w:szCs w:val="20"/>
          <w:lang w:val="en-GB"/>
        </w:rPr>
        <w:t xml:space="preserve"> changed the by law on judicial police on 21</w:t>
      </w:r>
      <w:r w:rsidR="00586E26" w:rsidRPr="00586E26">
        <w:rPr>
          <w:rFonts w:ascii="Times New Roman" w:hAnsi="Times New Roman" w:cs="Times New Roman"/>
          <w:sz w:val="24"/>
          <w:szCs w:val="20"/>
          <w:vertAlign w:val="superscript"/>
          <w:lang w:val="en-GB"/>
        </w:rPr>
        <w:t>st</w:t>
      </w:r>
      <w:r w:rsidR="00586E26" w:rsidRPr="00586E26">
        <w:rPr>
          <w:rFonts w:ascii="Times New Roman" w:hAnsi="Times New Roman" w:cs="Times New Roman"/>
          <w:sz w:val="24"/>
          <w:szCs w:val="20"/>
          <w:lang w:val="en-GB"/>
        </w:rPr>
        <w:t xml:space="preserve"> December 2013 and ordered the police forces to report all judicial instances to their superiors prior to the prosecutors.</w:t>
      </w:r>
      <w:r w:rsidR="00586E26" w:rsidRPr="00586E26">
        <w:rPr>
          <w:rStyle w:val="FootnoteReference"/>
          <w:rFonts w:ascii="Times New Roman" w:hAnsi="Times New Roman" w:cs="Times New Roman"/>
          <w:sz w:val="24"/>
          <w:szCs w:val="20"/>
          <w:lang w:val="en-GB"/>
        </w:rPr>
        <w:footnoteReference w:id="24"/>
      </w:r>
      <w:r w:rsidR="00586E26" w:rsidRPr="00586E26">
        <w:rPr>
          <w:rFonts w:ascii="Times New Roman" w:hAnsi="Times New Roman" w:cs="Times New Roman"/>
          <w:sz w:val="24"/>
          <w:szCs w:val="20"/>
          <w:lang w:val="en-GB"/>
        </w:rPr>
        <w:t xml:space="preserve">  </w:t>
      </w:r>
    </w:p>
    <w:p w14:paraId="29A5207B" w14:textId="5F4D2A19" w:rsidR="00586E26" w:rsidRDefault="00191927" w:rsidP="00AE6148">
      <w:pPr>
        <w:spacing w:line="360" w:lineRule="auto"/>
        <w:jc w:val="both"/>
        <w:rPr>
          <w:rFonts w:ascii="Times New Roman" w:hAnsi="Times New Roman" w:cs="Times New Roman"/>
          <w:sz w:val="24"/>
          <w:szCs w:val="24"/>
          <w:lang w:val="en-US"/>
        </w:rPr>
      </w:pPr>
      <w:r w:rsidRPr="00191927">
        <w:rPr>
          <w:rFonts w:ascii="Times New Roman" w:hAnsi="Times New Roman" w:cs="Times New Roman"/>
          <w:sz w:val="24"/>
          <w:szCs w:val="24"/>
          <w:lang w:val="en-US"/>
        </w:rPr>
        <w:t>The General Assembly of the Council of Judges and Prosecutors reallocated 65 judges, including 13 court presidents, 26 court members, and 26 liberty judges, as well as 80 prosecutors, including 11 deputy prosecutors</w:t>
      </w:r>
      <w:r w:rsidR="00586E26" w:rsidRPr="00586E26">
        <w:rPr>
          <w:rFonts w:ascii="Times New Roman" w:hAnsi="Times New Roman" w:cs="Times New Roman"/>
          <w:sz w:val="24"/>
          <w:szCs w:val="24"/>
          <w:lang w:val="en-US"/>
        </w:rPr>
        <w:t>.</w:t>
      </w:r>
      <w:r w:rsidR="00586E26" w:rsidRPr="00586E26">
        <w:rPr>
          <w:rStyle w:val="FootnoteReference"/>
          <w:rFonts w:ascii="Times New Roman" w:hAnsi="Times New Roman" w:cs="Times New Roman"/>
          <w:sz w:val="24"/>
          <w:szCs w:val="24"/>
          <w:lang w:val="en-US"/>
        </w:rPr>
        <w:footnoteReference w:id="25"/>
      </w:r>
      <w:r w:rsidR="00586E26" w:rsidRPr="00586E26">
        <w:rPr>
          <w:rFonts w:ascii="Times New Roman" w:hAnsi="Times New Roman" w:cs="Times New Roman"/>
          <w:sz w:val="24"/>
          <w:szCs w:val="24"/>
          <w:lang w:val="en-US"/>
        </w:rPr>
        <w:t xml:space="preserve"> </w:t>
      </w:r>
      <w:r w:rsidRPr="00191927">
        <w:rPr>
          <w:rFonts w:ascii="Times New Roman" w:hAnsi="Times New Roman" w:cs="Times New Roman"/>
          <w:sz w:val="24"/>
          <w:szCs w:val="24"/>
          <w:lang w:val="en-US"/>
        </w:rPr>
        <w:t>Only a small number of judges were allowed to continue working at the assize courts, which had replaced the special courts. This determination was made by the CJP six days after Law No. 6526 came into force. The appointment of judges and prosecutors was based on the demands of the government rather than on facts and objective criteria. Despite the significant public importance of the investigations, the CJP undermined the independence of the judiciary in collaboration with a government whose three ministers were under investigation for bribery and corruption. Undoubtedly, the Council of Judges and Prosecutors failed to protect the integrity of the judiciary profession, substantiating allegations of executive interference in the judiciary</w:t>
      </w:r>
      <w:r w:rsidR="00586E26" w:rsidRPr="00586E26">
        <w:rPr>
          <w:rFonts w:ascii="Times New Roman" w:hAnsi="Times New Roman" w:cs="Times New Roman"/>
          <w:sz w:val="24"/>
          <w:szCs w:val="24"/>
          <w:lang w:val="en-US"/>
        </w:rPr>
        <w:t>. ‘External independence protects judges from external political pressure. Judiciary must not be subject to any hierarchical constraint or subordinated to any other body. Independence is, therefore, guaranteed primarily vis-à-vis the other State’s powers, especially the Executive.’</w:t>
      </w:r>
      <w:r w:rsidR="00586E26" w:rsidRPr="00586E26">
        <w:rPr>
          <w:rStyle w:val="FootnoteReference"/>
          <w:rFonts w:ascii="Times New Roman" w:hAnsi="Times New Roman" w:cs="Times New Roman"/>
          <w:sz w:val="24"/>
          <w:szCs w:val="24"/>
          <w:lang w:val="en-US"/>
        </w:rPr>
        <w:footnoteReference w:id="26"/>
      </w:r>
      <w:r w:rsidR="00586E26" w:rsidRPr="00586E26">
        <w:rPr>
          <w:rFonts w:ascii="Times New Roman" w:hAnsi="Times New Roman" w:cs="Times New Roman"/>
          <w:sz w:val="24"/>
          <w:szCs w:val="24"/>
          <w:lang w:val="en-US"/>
        </w:rPr>
        <w:t xml:space="preserve"> Some of the judges of the investigations were made subject to disciplinary proceedings</w:t>
      </w:r>
      <w:r>
        <w:rPr>
          <w:rFonts w:ascii="Times New Roman" w:hAnsi="Times New Roman" w:cs="Times New Roman"/>
          <w:sz w:val="24"/>
          <w:szCs w:val="24"/>
          <w:lang w:val="en-US"/>
        </w:rPr>
        <w:t xml:space="preserve"> as well</w:t>
      </w:r>
      <w:r w:rsidR="00586E26" w:rsidRPr="00586E26">
        <w:rPr>
          <w:rFonts w:ascii="Times New Roman" w:hAnsi="Times New Roman" w:cs="Times New Roman"/>
          <w:sz w:val="24"/>
          <w:szCs w:val="24"/>
          <w:lang w:val="en-US"/>
        </w:rPr>
        <w:t>.</w:t>
      </w:r>
      <w:r w:rsidR="00586E26" w:rsidRPr="00586E26">
        <w:rPr>
          <w:rStyle w:val="FootnoteReference"/>
          <w:rFonts w:ascii="Times New Roman" w:hAnsi="Times New Roman" w:cs="Times New Roman"/>
          <w:sz w:val="24"/>
          <w:szCs w:val="24"/>
          <w:lang w:val="en-US"/>
        </w:rPr>
        <w:footnoteReference w:id="27"/>
      </w:r>
      <w:r w:rsidR="00586E26" w:rsidRPr="00586E26">
        <w:rPr>
          <w:rFonts w:ascii="Times New Roman" w:hAnsi="Times New Roman" w:cs="Times New Roman"/>
          <w:sz w:val="24"/>
          <w:szCs w:val="24"/>
          <w:lang w:val="en-US"/>
        </w:rPr>
        <w:t xml:space="preserve"> The Recommendation CM/Rec (2010) of the Council of Europe explicitly states that the ‘appointment of judges should be based on objective criteria pre-established by law or by the competent authorities, and on merit, having regard to the qualifications, skills and capacity </w:t>
      </w:r>
      <w:r w:rsidR="00586E26" w:rsidRPr="00586E26">
        <w:rPr>
          <w:rFonts w:ascii="Times New Roman" w:hAnsi="Times New Roman" w:cs="Times New Roman"/>
          <w:sz w:val="24"/>
          <w:szCs w:val="24"/>
          <w:lang w:val="en-US"/>
        </w:rPr>
        <w:lastRenderedPageBreak/>
        <w:t>required to adjudicate cases by applying the law while respecting human dignity.</w:t>
      </w:r>
      <w:r w:rsidR="00586E26" w:rsidRPr="00586E26">
        <w:rPr>
          <w:rStyle w:val="FootnoteReference"/>
          <w:rFonts w:ascii="Times New Roman" w:hAnsi="Times New Roman" w:cs="Times New Roman"/>
          <w:sz w:val="24"/>
          <w:szCs w:val="24"/>
          <w:lang w:val="en-US"/>
        </w:rPr>
        <w:footnoteReference w:id="28"/>
      </w:r>
      <w:r w:rsidR="00586E26" w:rsidRPr="00586E26">
        <w:rPr>
          <w:rFonts w:ascii="Times New Roman" w:hAnsi="Times New Roman" w:cs="Times New Roman"/>
          <w:sz w:val="8"/>
          <w:szCs w:val="8"/>
          <w:lang w:val="en-US"/>
        </w:rPr>
        <w:t xml:space="preserve"> </w:t>
      </w:r>
      <w:r w:rsidR="00586E26" w:rsidRPr="00586E26">
        <w:rPr>
          <w:rFonts w:ascii="Times New Roman" w:hAnsi="Times New Roman" w:cs="Times New Roman"/>
          <w:sz w:val="24"/>
          <w:szCs w:val="24"/>
          <w:lang w:val="en-US"/>
        </w:rPr>
        <w:t xml:space="preserve"> Contrary to the expectations on preserving the rule of law and the independence of the judiciary, the CJP chose to be an instrument in the hands of a </w:t>
      </w:r>
      <w:r>
        <w:rPr>
          <w:rFonts w:ascii="Times New Roman" w:hAnsi="Times New Roman" w:cs="Times New Roman"/>
          <w:sz w:val="24"/>
          <w:szCs w:val="24"/>
          <w:lang w:val="en-US"/>
        </w:rPr>
        <w:t>government</w:t>
      </w:r>
      <w:r w:rsidR="00586E26" w:rsidRPr="00586E26">
        <w:rPr>
          <w:rFonts w:ascii="Times New Roman" w:hAnsi="Times New Roman" w:cs="Times New Roman"/>
          <w:sz w:val="24"/>
          <w:szCs w:val="24"/>
          <w:lang w:val="en-US"/>
        </w:rPr>
        <w:t xml:space="preserve"> which </w:t>
      </w:r>
      <w:r>
        <w:rPr>
          <w:rFonts w:ascii="Times New Roman" w:hAnsi="Times New Roman" w:cs="Times New Roman"/>
          <w:sz w:val="24"/>
          <w:szCs w:val="24"/>
          <w:lang w:val="en-US"/>
        </w:rPr>
        <w:t>has become</w:t>
      </w:r>
      <w:r w:rsidR="00586E26" w:rsidRPr="00586E26">
        <w:rPr>
          <w:rFonts w:ascii="Times New Roman" w:hAnsi="Times New Roman" w:cs="Times New Roman"/>
          <w:sz w:val="24"/>
          <w:szCs w:val="24"/>
          <w:lang w:val="en-US"/>
        </w:rPr>
        <w:t xml:space="preserve"> infamous in eroding the democratic achievements of a country. </w:t>
      </w:r>
    </w:p>
    <w:p w14:paraId="25891461" w14:textId="7F4EF761" w:rsidR="00E6122D" w:rsidRPr="00AE6148" w:rsidRDefault="00E6122D" w:rsidP="00AE614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Just few months before the 17-25 December investigations, the common demands of millions of people who took to the streets regarding the rule of law were disregarded by the government. These setbacks marked milestones in consolidation of the arbitrariness in the country that affects not only one segment of the society but all who demand justice and prevailing of the rule of law.  </w:t>
      </w:r>
    </w:p>
    <w:p w14:paraId="4FFAA601" w14:textId="12F9BBDD" w:rsidR="00586E26" w:rsidRPr="00630B19" w:rsidRDefault="00630B19" w:rsidP="00586E26">
      <w:pPr>
        <w:pStyle w:val="ListParagraph"/>
        <w:numPr>
          <w:ilvl w:val="0"/>
          <w:numId w:val="42"/>
        </w:num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The election of the (</w:t>
      </w:r>
      <w:r w:rsidR="00586E26" w:rsidRPr="00630B19">
        <w:rPr>
          <w:rFonts w:ascii="Times New Roman" w:hAnsi="Times New Roman" w:cs="Times New Roman"/>
          <w:b/>
          <w:bCs/>
          <w:sz w:val="24"/>
          <w:szCs w:val="24"/>
          <w:lang w:val="en-US"/>
        </w:rPr>
        <w:t>High</w:t>
      </w:r>
      <w:r>
        <w:rPr>
          <w:rFonts w:ascii="Times New Roman" w:hAnsi="Times New Roman" w:cs="Times New Roman"/>
          <w:b/>
          <w:bCs/>
          <w:sz w:val="24"/>
          <w:szCs w:val="24"/>
          <w:lang w:val="en-US"/>
        </w:rPr>
        <w:t>)</w:t>
      </w:r>
      <w:r>
        <w:rPr>
          <w:rStyle w:val="FootnoteReference"/>
          <w:rFonts w:ascii="Times New Roman" w:hAnsi="Times New Roman" w:cs="Times New Roman"/>
          <w:b/>
          <w:bCs/>
          <w:sz w:val="24"/>
          <w:szCs w:val="24"/>
          <w:lang w:val="en-US"/>
        </w:rPr>
        <w:footnoteReference w:id="29"/>
      </w:r>
      <w:r w:rsidR="00586E26" w:rsidRPr="00630B19">
        <w:rPr>
          <w:rFonts w:ascii="Times New Roman" w:hAnsi="Times New Roman" w:cs="Times New Roman"/>
          <w:b/>
          <w:bCs/>
          <w:sz w:val="24"/>
          <w:szCs w:val="24"/>
          <w:lang w:val="en-US"/>
        </w:rPr>
        <w:t xml:space="preserve"> Council of Judges and </w:t>
      </w:r>
      <w:proofErr w:type="gramStart"/>
      <w:r>
        <w:rPr>
          <w:rFonts w:ascii="Times New Roman" w:hAnsi="Times New Roman" w:cs="Times New Roman"/>
          <w:b/>
          <w:bCs/>
          <w:sz w:val="24"/>
          <w:szCs w:val="24"/>
          <w:lang w:val="en-US"/>
        </w:rPr>
        <w:t>P</w:t>
      </w:r>
      <w:r w:rsidR="00586E26" w:rsidRPr="00630B19">
        <w:rPr>
          <w:rFonts w:ascii="Times New Roman" w:hAnsi="Times New Roman" w:cs="Times New Roman"/>
          <w:b/>
          <w:bCs/>
          <w:sz w:val="24"/>
          <w:szCs w:val="24"/>
          <w:lang w:val="en-US"/>
        </w:rPr>
        <w:t>rosecutors  (</w:t>
      </w:r>
      <w:proofErr w:type="gramEnd"/>
      <w:r w:rsidR="00586E26" w:rsidRPr="00630B19">
        <w:rPr>
          <w:rFonts w:ascii="Times New Roman" w:hAnsi="Times New Roman" w:cs="Times New Roman"/>
          <w:b/>
          <w:bCs/>
          <w:sz w:val="24"/>
          <w:szCs w:val="24"/>
          <w:lang w:val="en-US"/>
        </w:rPr>
        <w:t>October 2014)</w:t>
      </w:r>
    </w:p>
    <w:p w14:paraId="16012AF9" w14:textId="3CA8247E" w:rsidR="00630B19" w:rsidRPr="0017541D" w:rsidRDefault="00B41856" w:rsidP="0017541D">
      <w:pPr>
        <w:spacing w:line="360" w:lineRule="auto"/>
        <w:jc w:val="both"/>
        <w:rPr>
          <w:rFonts w:ascii="Times New Roman" w:hAnsi="Times New Roman" w:cs="Times New Roman"/>
          <w:sz w:val="24"/>
          <w:szCs w:val="20"/>
          <w:lang w:val="en-GB"/>
        </w:rPr>
      </w:pPr>
      <w:r w:rsidRPr="00B27849">
        <w:rPr>
          <w:rFonts w:ascii="Times New Roman" w:hAnsi="Times New Roman" w:cs="Times New Roman"/>
          <w:sz w:val="24"/>
          <w:szCs w:val="20"/>
          <w:lang w:val="en-GB"/>
        </w:rPr>
        <w:t xml:space="preserve">On </w:t>
      </w:r>
      <w:r w:rsidRPr="00B41856">
        <w:rPr>
          <w:rFonts w:ascii="Times New Roman" w:hAnsi="Times New Roman" w:cs="Times New Roman"/>
          <w:sz w:val="24"/>
          <w:szCs w:val="20"/>
          <w:lang w:val="en-GB"/>
        </w:rPr>
        <w:t>October 12, 2014, elections were held for the Council of Judges and Prosecutors (CJP). Following the 17/25 investigations, the government succeeded in influencing the CJP and replacing the Chief Prosecutors and heads of Judicial Commissions with judges and prosecutors who pledged full compliance to the executive authority. This move was aimed at preventing further bribery and fraud investigations and preparing for the upcoming elections, through which the government sought absolute control over the judiciary</w:t>
      </w:r>
      <w:r w:rsidR="00630B19" w:rsidRPr="00630B19">
        <w:rPr>
          <w:rFonts w:ascii="Times New Roman" w:hAnsi="Times New Roman" w:cs="Times New Roman"/>
          <w:sz w:val="24"/>
          <w:szCs w:val="20"/>
          <w:lang w:val="en-GB"/>
        </w:rPr>
        <w:t xml:space="preserve">. </w:t>
      </w:r>
      <w:r w:rsidR="00B2448B">
        <w:rPr>
          <w:rFonts w:ascii="Times New Roman" w:hAnsi="Times New Roman" w:cs="Times New Roman"/>
          <w:sz w:val="24"/>
          <w:szCs w:val="20"/>
          <w:lang w:val="en-GB"/>
        </w:rPr>
        <w:t>T</w:t>
      </w:r>
      <w:r w:rsidR="00630B19" w:rsidRPr="00630B19">
        <w:rPr>
          <w:rFonts w:ascii="Times New Roman" w:hAnsi="Times New Roman" w:cs="Times New Roman"/>
          <w:sz w:val="24"/>
          <w:szCs w:val="20"/>
          <w:lang w:val="en-GB"/>
        </w:rPr>
        <w:t>he government initiated an election campaign by supporting (creating) a platform</w:t>
      </w:r>
      <w:r w:rsidR="00B2448B" w:rsidRPr="00630B19">
        <w:rPr>
          <w:rStyle w:val="FootnoteReference"/>
          <w:rFonts w:ascii="Times New Roman" w:hAnsi="Times New Roman" w:cs="Times New Roman"/>
          <w:sz w:val="24"/>
          <w:szCs w:val="20"/>
          <w:lang w:val="en-GB"/>
        </w:rPr>
        <w:footnoteReference w:id="30"/>
      </w:r>
      <w:r w:rsidR="00630B19" w:rsidRPr="00630B19">
        <w:rPr>
          <w:rFonts w:ascii="Times New Roman" w:hAnsi="Times New Roman" w:cs="Times New Roman"/>
          <w:sz w:val="24"/>
          <w:szCs w:val="20"/>
          <w:lang w:val="en-GB"/>
        </w:rPr>
        <w:t xml:space="preserve"> in order to </w:t>
      </w:r>
      <w:r w:rsidR="00B2448B">
        <w:rPr>
          <w:rFonts w:ascii="Times New Roman" w:hAnsi="Times New Roman" w:cs="Times New Roman"/>
          <w:sz w:val="24"/>
          <w:szCs w:val="20"/>
          <w:lang w:val="en-GB"/>
        </w:rPr>
        <w:t>exert</w:t>
      </w:r>
      <w:r w:rsidR="00630B19" w:rsidRPr="00630B19">
        <w:rPr>
          <w:rFonts w:ascii="Times New Roman" w:hAnsi="Times New Roman" w:cs="Times New Roman"/>
          <w:sz w:val="24"/>
          <w:szCs w:val="20"/>
          <w:lang w:val="en-GB"/>
        </w:rPr>
        <w:t xml:space="preserve"> full authority on the judiciary. </w:t>
      </w:r>
      <w:r w:rsidR="00B2448B">
        <w:rPr>
          <w:rFonts w:ascii="Times New Roman" w:hAnsi="Times New Roman" w:cs="Times New Roman"/>
          <w:sz w:val="24"/>
          <w:szCs w:val="20"/>
          <w:lang w:val="en-GB"/>
        </w:rPr>
        <w:t>D</w:t>
      </w:r>
      <w:r w:rsidR="00630B19" w:rsidRPr="00630B19">
        <w:rPr>
          <w:rFonts w:ascii="Times New Roman" w:hAnsi="Times New Roman" w:cs="Times New Roman"/>
          <w:sz w:val="24"/>
          <w:szCs w:val="20"/>
          <w:lang w:val="en-GB"/>
        </w:rPr>
        <w:t>ifferent social and political groups</w:t>
      </w:r>
      <w:r w:rsidR="00B2448B">
        <w:rPr>
          <w:rFonts w:ascii="Times New Roman" w:hAnsi="Times New Roman" w:cs="Times New Roman"/>
          <w:sz w:val="24"/>
          <w:szCs w:val="20"/>
          <w:lang w:val="en-GB"/>
        </w:rPr>
        <w:t xml:space="preserve"> gathered</w:t>
      </w:r>
      <w:r w:rsidR="00630B19" w:rsidRPr="00630B19">
        <w:rPr>
          <w:rFonts w:ascii="Times New Roman" w:hAnsi="Times New Roman" w:cs="Times New Roman"/>
          <w:sz w:val="24"/>
          <w:szCs w:val="20"/>
          <w:lang w:val="en-GB"/>
        </w:rPr>
        <w:t xml:space="preserve"> and pronounced their candidacies with promises to provide unity in the judiciary and fight against </w:t>
      </w:r>
      <w:r w:rsidR="006B719E">
        <w:rPr>
          <w:rFonts w:ascii="Times New Roman" w:hAnsi="Times New Roman" w:cs="Times New Roman"/>
          <w:sz w:val="24"/>
          <w:szCs w:val="20"/>
          <w:lang w:val="en-GB"/>
        </w:rPr>
        <w:t>‘</w:t>
      </w:r>
      <w:r w:rsidR="00630B19" w:rsidRPr="00630B19">
        <w:rPr>
          <w:rFonts w:ascii="Times New Roman" w:hAnsi="Times New Roman" w:cs="Times New Roman"/>
          <w:sz w:val="24"/>
          <w:szCs w:val="20"/>
          <w:lang w:val="en-GB"/>
        </w:rPr>
        <w:t>the parallel state</w:t>
      </w:r>
      <w:r w:rsidR="006B719E">
        <w:rPr>
          <w:rFonts w:ascii="Times New Roman" w:hAnsi="Times New Roman" w:cs="Times New Roman"/>
          <w:sz w:val="24"/>
          <w:szCs w:val="20"/>
          <w:lang w:val="en-GB"/>
        </w:rPr>
        <w:t>’</w:t>
      </w:r>
      <w:r w:rsidR="00630B19" w:rsidRPr="00630B19">
        <w:rPr>
          <w:rFonts w:ascii="Times New Roman" w:hAnsi="Times New Roman" w:cs="Times New Roman"/>
          <w:sz w:val="24"/>
          <w:szCs w:val="20"/>
          <w:lang w:val="en-GB"/>
        </w:rPr>
        <w:t xml:space="preserve"> within the judiciary. The 17/25 December investigations were deemed by those as an attempt to overthrow the government and the so-called “parallel state” was deemed responsible for this conduct. The government explicitly declared its support to the platform and had allocated the public resources to launch a strong campaign. The chief prosecutors and the </w:t>
      </w:r>
      <w:r w:rsidR="00EC6A4C">
        <w:rPr>
          <w:rFonts w:ascii="Times New Roman" w:hAnsi="Times New Roman" w:cs="Times New Roman"/>
          <w:sz w:val="24"/>
          <w:szCs w:val="20"/>
          <w:lang w:val="en-GB"/>
        </w:rPr>
        <w:t>H</w:t>
      </w:r>
      <w:r w:rsidR="00630B19" w:rsidRPr="00630B19">
        <w:rPr>
          <w:rFonts w:ascii="Times New Roman" w:hAnsi="Times New Roman" w:cs="Times New Roman"/>
          <w:sz w:val="24"/>
          <w:szCs w:val="20"/>
          <w:lang w:val="en-GB"/>
        </w:rPr>
        <w:t xml:space="preserve">ead of </w:t>
      </w:r>
      <w:r w:rsidR="00EC6A4C">
        <w:rPr>
          <w:rFonts w:ascii="Times New Roman" w:hAnsi="Times New Roman" w:cs="Times New Roman"/>
          <w:sz w:val="24"/>
          <w:szCs w:val="20"/>
          <w:lang w:val="en-GB"/>
        </w:rPr>
        <w:t>J</w:t>
      </w:r>
      <w:r w:rsidR="00630B19" w:rsidRPr="00630B19">
        <w:rPr>
          <w:rFonts w:ascii="Times New Roman" w:hAnsi="Times New Roman" w:cs="Times New Roman"/>
          <w:sz w:val="24"/>
          <w:szCs w:val="20"/>
          <w:lang w:val="en-GB"/>
        </w:rPr>
        <w:t xml:space="preserve">udicial </w:t>
      </w:r>
      <w:r w:rsidR="00EC6A4C">
        <w:rPr>
          <w:rFonts w:ascii="Times New Roman" w:hAnsi="Times New Roman" w:cs="Times New Roman"/>
          <w:sz w:val="24"/>
          <w:szCs w:val="20"/>
          <w:lang w:val="en-GB"/>
        </w:rPr>
        <w:t>C</w:t>
      </w:r>
      <w:r w:rsidR="00630B19" w:rsidRPr="00630B19">
        <w:rPr>
          <w:rFonts w:ascii="Times New Roman" w:hAnsi="Times New Roman" w:cs="Times New Roman"/>
          <w:sz w:val="24"/>
          <w:szCs w:val="20"/>
          <w:lang w:val="en-GB"/>
        </w:rPr>
        <w:t>ommissions backed the platform with all power they had. As a result of the long campaign, the government</w:t>
      </w:r>
      <w:r w:rsidR="00EC6A4C">
        <w:rPr>
          <w:rFonts w:ascii="Times New Roman" w:hAnsi="Times New Roman" w:cs="Times New Roman"/>
          <w:sz w:val="24"/>
          <w:szCs w:val="20"/>
          <w:lang w:val="en-GB"/>
        </w:rPr>
        <w:t>-</w:t>
      </w:r>
      <w:r w:rsidR="00630B19" w:rsidRPr="00630B19">
        <w:rPr>
          <w:rFonts w:ascii="Times New Roman" w:hAnsi="Times New Roman" w:cs="Times New Roman"/>
          <w:sz w:val="24"/>
          <w:szCs w:val="20"/>
          <w:lang w:val="en-GB"/>
        </w:rPr>
        <w:t>backed platform gained the full control of the Council of Judges and Prosecutors</w:t>
      </w:r>
      <w:r w:rsidR="00EC6A4C">
        <w:rPr>
          <w:rFonts w:ascii="Times New Roman" w:hAnsi="Times New Roman" w:cs="Times New Roman"/>
          <w:sz w:val="24"/>
          <w:szCs w:val="20"/>
          <w:lang w:val="en-GB"/>
        </w:rPr>
        <w:t xml:space="preserve"> by securing the majority in all three chambers of the Council. </w:t>
      </w:r>
    </w:p>
    <w:p w14:paraId="7F788B65" w14:textId="77777777" w:rsidR="00586E26" w:rsidRPr="00FF5908" w:rsidRDefault="00586E26" w:rsidP="00586E26">
      <w:pPr>
        <w:pStyle w:val="ListParagraph"/>
        <w:numPr>
          <w:ilvl w:val="0"/>
          <w:numId w:val="42"/>
        </w:numPr>
        <w:spacing w:line="360" w:lineRule="auto"/>
        <w:jc w:val="both"/>
        <w:rPr>
          <w:rFonts w:ascii="Times New Roman" w:hAnsi="Times New Roman" w:cs="Times New Roman"/>
          <w:b/>
          <w:bCs/>
          <w:sz w:val="24"/>
          <w:szCs w:val="24"/>
          <w:lang w:val="en-US"/>
        </w:rPr>
      </w:pPr>
      <w:r w:rsidRPr="00FF5908">
        <w:rPr>
          <w:rFonts w:ascii="Times New Roman" w:hAnsi="Times New Roman" w:cs="Times New Roman"/>
          <w:b/>
          <w:bCs/>
          <w:sz w:val="24"/>
          <w:szCs w:val="24"/>
          <w:lang w:val="en-US"/>
        </w:rPr>
        <w:t>The reallocation of judges and prosecutors at a mass scale without their will</w:t>
      </w:r>
    </w:p>
    <w:p w14:paraId="7B7C3FC1" w14:textId="782EA3CE" w:rsidR="00FF5908" w:rsidRPr="00FF5908" w:rsidRDefault="0046070B" w:rsidP="00FF5908">
      <w:pPr>
        <w:spacing w:line="360" w:lineRule="auto"/>
        <w:jc w:val="both"/>
        <w:rPr>
          <w:rFonts w:ascii="Times New Roman" w:hAnsi="Times New Roman" w:cs="Times New Roman"/>
          <w:sz w:val="24"/>
          <w:szCs w:val="24"/>
          <w:lang w:val="en-GB"/>
        </w:rPr>
      </w:pPr>
      <w:r w:rsidRPr="0046070B">
        <w:rPr>
          <w:rFonts w:ascii="Times New Roman" w:hAnsi="Times New Roman" w:cs="Times New Roman"/>
          <w:sz w:val="24"/>
          <w:szCs w:val="24"/>
          <w:lang w:val="en-GB"/>
        </w:rPr>
        <w:lastRenderedPageBreak/>
        <w:t>Following its significant success in the elections, the Council of Judges and Prosecutors (CJP) acquired enormous power to reshape the judiciary according to the government's wishes. Between 2014 and 2016, the CJP continued to transfer judges and prosecutors between different regions without valid reason or justification, acting under government pressure</w:t>
      </w:r>
      <w:r w:rsidR="00FF5908" w:rsidRPr="00FF5908">
        <w:rPr>
          <w:rFonts w:ascii="Times New Roman" w:hAnsi="Times New Roman" w:cs="Times New Roman"/>
          <w:sz w:val="24"/>
          <w:szCs w:val="24"/>
          <w:lang w:val="en-GB"/>
        </w:rPr>
        <w:t>.</w:t>
      </w:r>
      <w:r w:rsidR="00FF5908" w:rsidRPr="00FF5908">
        <w:rPr>
          <w:rStyle w:val="FootnoteReference"/>
          <w:rFonts w:ascii="Times New Roman" w:hAnsi="Times New Roman" w:cs="Times New Roman"/>
          <w:sz w:val="24"/>
          <w:szCs w:val="24"/>
          <w:lang w:val="en-GB"/>
        </w:rPr>
        <w:footnoteReference w:id="31"/>
      </w:r>
      <w:r w:rsidR="00FF5908" w:rsidRPr="00FF5908">
        <w:rPr>
          <w:rStyle w:val="FootnoteReference"/>
          <w:rFonts w:ascii="Times New Roman" w:hAnsi="Times New Roman" w:cs="Times New Roman"/>
          <w:sz w:val="24"/>
          <w:szCs w:val="24"/>
          <w:vertAlign w:val="baseline"/>
          <w:lang w:val="en-GB"/>
        </w:rPr>
        <w:t xml:space="preserve"> </w:t>
      </w:r>
      <w:r w:rsidRPr="0046070B">
        <w:rPr>
          <w:rStyle w:val="FootnoteReference"/>
          <w:rFonts w:ascii="Times New Roman" w:hAnsi="Times New Roman" w:cs="Times New Roman"/>
          <w:sz w:val="24"/>
          <w:szCs w:val="24"/>
          <w:vertAlign w:val="baseline"/>
          <w:lang w:val="en-GB"/>
        </w:rPr>
        <w:t>The CJP played a crucial role in marginalizing judges and prosecutors, subjecting them to covert disciplinary punishments</w:t>
      </w:r>
      <w:r w:rsidR="00FF5908" w:rsidRPr="00FF5908">
        <w:rPr>
          <w:rStyle w:val="FootnoteReference"/>
          <w:rFonts w:ascii="Times New Roman" w:hAnsi="Times New Roman" w:cs="Times New Roman"/>
          <w:sz w:val="24"/>
          <w:szCs w:val="24"/>
          <w:vertAlign w:val="baseline"/>
          <w:lang w:val="en-GB"/>
        </w:rPr>
        <w:t>.</w:t>
      </w:r>
      <w:r w:rsidR="00FF5908" w:rsidRPr="00FF5908">
        <w:rPr>
          <w:rStyle w:val="FootnoteReference"/>
          <w:rFonts w:ascii="Times New Roman" w:hAnsi="Times New Roman" w:cs="Times New Roman"/>
          <w:sz w:val="24"/>
          <w:szCs w:val="24"/>
          <w:lang w:val="en-GB"/>
        </w:rPr>
        <w:footnoteReference w:id="32"/>
      </w:r>
      <w:r w:rsidR="00FF5908" w:rsidRPr="00FF5908">
        <w:rPr>
          <w:rStyle w:val="FootnoteReference"/>
          <w:rFonts w:ascii="Times New Roman" w:hAnsi="Times New Roman" w:cs="Times New Roman"/>
          <w:sz w:val="24"/>
          <w:szCs w:val="24"/>
          <w:vertAlign w:val="baseline"/>
          <w:lang w:val="en-GB"/>
        </w:rPr>
        <w:t xml:space="preserve">   </w:t>
      </w:r>
    </w:p>
    <w:p w14:paraId="68A6D17D" w14:textId="77777777" w:rsidR="00FF5908" w:rsidRPr="00FF5908" w:rsidRDefault="00FF5908" w:rsidP="00FF5908">
      <w:pPr>
        <w:spacing w:line="360" w:lineRule="auto"/>
        <w:jc w:val="both"/>
        <w:rPr>
          <w:rFonts w:ascii="Times New Roman" w:hAnsi="Times New Roman" w:cs="Times New Roman"/>
          <w:sz w:val="24"/>
          <w:szCs w:val="24"/>
          <w:lang w:val="en-GB"/>
        </w:rPr>
      </w:pPr>
      <w:r w:rsidRPr="00FF5908">
        <w:rPr>
          <w:rFonts w:ascii="Times New Roman" w:hAnsi="Times New Roman" w:cs="Times New Roman"/>
          <w:sz w:val="24"/>
          <w:szCs w:val="24"/>
          <w:lang w:val="en-GB"/>
        </w:rPr>
        <w:t>Accredited sources of information report significant cases of forced transfers such as in the cases of Murat Aydın, a judge in Karşıyaka and Vice-President of the Judges and Prosecutors’ Association (YARSAV); the Chief Judge of the Istanbul Regional Appeal Court, Sadık Özhan, was reassigned after he decided to reverse the CHP Deputy Enis Berberoglu’s conviction; judges İbrahim Lorasdağı, Barış Cömert and Necla Yeşilyurt Gülbiçim from the Istanbul Court, who released twenty-one detained journalists after eight months of pre-trial detention, were suspended by the HYSK ; judges of the Istanbul 37th Heavy Penal Court were removed by the Council after the Court released seventeen detained lawyers; Ankara 20th Regional Appeal Court was dismantled a day after the Court acquitted a military officer charged of coup attempt: the three Judges of the Court were unseated and subjected to a disciplinary investigation; President Erdoğan accused them of being members of the terrorist organisation (so called) “FETO”, during a press conference.</w:t>
      </w:r>
      <w:r w:rsidRPr="00FF5908">
        <w:rPr>
          <w:rStyle w:val="FootnoteReference"/>
          <w:rFonts w:ascii="Times New Roman" w:hAnsi="Times New Roman" w:cs="Times New Roman"/>
          <w:sz w:val="24"/>
          <w:szCs w:val="24"/>
          <w:lang w:val="en-GB"/>
        </w:rPr>
        <w:footnoteReference w:id="33"/>
      </w:r>
    </w:p>
    <w:p w14:paraId="0BE71CF3" w14:textId="719D3CB1" w:rsidR="00586E26" w:rsidRPr="0055401F" w:rsidRDefault="0055401F" w:rsidP="0055401F">
      <w:pPr>
        <w:pStyle w:val="ListParagraph"/>
        <w:numPr>
          <w:ilvl w:val="0"/>
          <w:numId w:val="42"/>
        </w:numPr>
        <w:spacing w:line="360" w:lineRule="auto"/>
        <w:jc w:val="both"/>
        <w:rPr>
          <w:rFonts w:ascii="Times New Roman" w:hAnsi="Times New Roman" w:cs="Times New Roman"/>
          <w:b/>
          <w:bCs/>
          <w:sz w:val="24"/>
          <w:szCs w:val="24"/>
          <w:lang w:val="en-US"/>
        </w:rPr>
      </w:pPr>
      <w:r w:rsidRPr="0055401F">
        <w:rPr>
          <w:rFonts w:ascii="Times New Roman" w:hAnsi="Times New Roman" w:cs="Times New Roman"/>
          <w:b/>
          <w:bCs/>
          <w:sz w:val="24"/>
          <w:szCs w:val="24"/>
          <w:lang w:val="en-US"/>
        </w:rPr>
        <w:t xml:space="preserve">The new phase in the crackdown in the judiciary: </w:t>
      </w:r>
      <w:r w:rsidR="00586E26" w:rsidRPr="0055401F">
        <w:rPr>
          <w:rFonts w:ascii="Times New Roman" w:hAnsi="Times New Roman" w:cs="Times New Roman"/>
          <w:b/>
          <w:bCs/>
          <w:sz w:val="24"/>
          <w:szCs w:val="24"/>
          <w:lang w:val="en-US"/>
        </w:rPr>
        <w:t xml:space="preserve">The detention of judges and prosecutors      </w:t>
      </w:r>
    </w:p>
    <w:p w14:paraId="76672E87" w14:textId="449169D7" w:rsidR="0055401F" w:rsidRPr="0055401F" w:rsidRDefault="0055401F" w:rsidP="0055401F">
      <w:pPr>
        <w:spacing w:line="360" w:lineRule="auto"/>
        <w:jc w:val="both"/>
        <w:rPr>
          <w:rFonts w:ascii="Times New Roman" w:hAnsi="Times New Roman" w:cs="Times New Roman"/>
          <w:sz w:val="24"/>
          <w:szCs w:val="24"/>
          <w:lang w:val="en-GB"/>
        </w:rPr>
      </w:pPr>
      <w:r w:rsidRPr="0055401F">
        <w:rPr>
          <w:rFonts w:ascii="Times New Roman" w:hAnsi="Times New Roman" w:cs="Times New Roman"/>
          <w:sz w:val="24"/>
          <w:szCs w:val="24"/>
          <w:lang w:val="en-GB"/>
        </w:rPr>
        <w:t>`</w:t>
      </w:r>
      <w:r w:rsidRPr="0055401F">
        <w:rPr>
          <w:rFonts w:ascii="Times New Roman" w:hAnsi="Times New Roman" w:cs="Times New Roman"/>
          <w:i/>
          <w:sz w:val="24"/>
          <w:szCs w:val="24"/>
          <w:lang w:val="en-US"/>
        </w:rPr>
        <w:t>Judges shall be independent in the discharge of their duties; they shall give judgment in accordance with the Constitution, laws, and their personal conviction conforming to the law</w:t>
      </w:r>
      <w:r w:rsidRPr="0055401F">
        <w:rPr>
          <w:rFonts w:ascii="Times New Roman" w:hAnsi="Times New Roman" w:cs="Times New Roman"/>
          <w:sz w:val="24"/>
          <w:szCs w:val="24"/>
          <w:lang w:val="en-US"/>
        </w:rPr>
        <w:t>.</w:t>
      </w:r>
      <w:r w:rsidRPr="0055401F">
        <w:rPr>
          <w:rFonts w:ascii="Times New Roman" w:hAnsi="Times New Roman" w:cs="Times New Roman"/>
          <w:sz w:val="24"/>
          <w:szCs w:val="24"/>
          <w:lang w:val="en-GB"/>
        </w:rPr>
        <w:t xml:space="preserve"> ` </w:t>
      </w:r>
      <w:r w:rsidR="00F728EE">
        <w:rPr>
          <w:rFonts w:ascii="Times New Roman" w:hAnsi="Times New Roman" w:cs="Times New Roman"/>
          <w:sz w:val="24"/>
          <w:szCs w:val="24"/>
          <w:lang w:val="en-GB"/>
        </w:rPr>
        <w:t>a</w:t>
      </w:r>
      <w:r w:rsidRPr="0055401F">
        <w:rPr>
          <w:rFonts w:ascii="Times New Roman" w:hAnsi="Times New Roman" w:cs="Times New Roman"/>
          <w:sz w:val="24"/>
          <w:szCs w:val="24"/>
          <w:lang w:val="en-GB"/>
        </w:rPr>
        <w:t xml:space="preserve">s stated by article 138 of the Turkish Constitution. </w:t>
      </w:r>
      <w:r w:rsidR="00F728EE" w:rsidRPr="00F728EE">
        <w:rPr>
          <w:rFonts w:ascii="Times New Roman" w:hAnsi="Times New Roman" w:cs="Times New Roman"/>
          <w:sz w:val="24"/>
          <w:szCs w:val="24"/>
          <w:lang w:val="en-GB"/>
        </w:rPr>
        <w:t xml:space="preserve">However, judges Metin Özçelik and Mustafa Başer were arrested due to their decisions to release Hidayet Karaca, a former director </w:t>
      </w:r>
      <w:r w:rsidR="00F728EE" w:rsidRPr="00F728EE">
        <w:rPr>
          <w:rFonts w:ascii="Times New Roman" w:hAnsi="Times New Roman" w:cs="Times New Roman"/>
          <w:sz w:val="24"/>
          <w:szCs w:val="24"/>
          <w:lang w:val="en-GB"/>
        </w:rPr>
        <w:lastRenderedPageBreak/>
        <w:t>of Samanyolu Media Group. They were accused of being members of a terrorist organization and subsequently dismissed from the judiciary</w:t>
      </w:r>
      <w:r w:rsidRPr="0055401F">
        <w:rPr>
          <w:rFonts w:ascii="Times New Roman" w:hAnsi="Times New Roman" w:cs="Times New Roman"/>
          <w:sz w:val="24"/>
          <w:szCs w:val="24"/>
          <w:lang w:val="en-GB"/>
        </w:rPr>
        <w:t>.</w:t>
      </w:r>
      <w:r w:rsidRPr="0055401F">
        <w:rPr>
          <w:rStyle w:val="FootnoteReference"/>
          <w:rFonts w:ascii="Times New Roman" w:hAnsi="Times New Roman" w:cs="Times New Roman"/>
          <w:sz w:val="24"/>
          <w:szCs w:val="24"/>
          <w:lang w:val="en-GB"/>
        </w:rPr>
        <w:footnoteReference w:id="34"/>
      </w:r>
      <w:r w:rsidRPr="0055401F">
        <w:rPr>
          <w:rFonts w:ascii="Times New Roman" w:hAnsi="Times New Roman" w:cs="Times New Roman"/>
          <w:sz w:val="24"/>
          <w:szCs w:val="24"/>
          <w:lang w:val="en-GB"/>
        </w:rPr>
        <w:t xml:space="preserve"> </w:t>
      </w:r>
    </w:p>
    <w:p w14:paraId="5973E030" w14:textId="6D8B62F5" w:rsidR="0055401F" w:rsidRPr="0055401F" w:rsidRDefault="0055401F" w:rsidP="0055401F">
      <w:pPr>
        <w:spacing w:line="360" w:lineRule="auto"/>
        <w:jc w:val="both"/>
        <w:rPr>
          <w:rFonts w:ascii="Times New Roman" w:hAnsi="Times New Roman" w:cs="Times New Roman"/>
          <w:sz w:val="24"/>
          <w:szCs w:val="24"/>
          <w:lang w:val="en-GB"/>
        </w:rPr>
      </w:pPr>
      <w:r w:rsidRPr="0055401F">
        <w:rPr>
          <w:rFonts w:ascii="Times New Roman" w:hAnsi="Times New Roman" w:cs="Times New Roman"/>
          <w:sz w:val="24"/>
          <w:szCs w:val="24"/>
          <w:lang w:val="en-GB"/>
        </w:rPr>
        <w:t xml:space="preserve">Another striking example have taken place after two separate incidents in Adana and Hatay cities. In the course of their duties, former Adana Chief Public Prosecutor Süleyman Bağrıyanık, former Adana Deputy Chief Public Prosecutor Ahmet Karaca, Adana prosecutors Aziz Takçı and Özcan Şişman ordered the stop of trucks after they had taken information that the trucks were illegally carrying weapons to some regions of Syria which was effectively under the control of some extremist groups at the time. They have been accused with “attempting to topple or incapacitate the Turkish Government through the use of force or coercion and obtaining and exposing information regarding the security and political activities of the state.” The case captivated the public </w:t>
      </w:r>
      <w:proofErr w:type="gramStart"/>
      <w:r w:rsidRPr="0055401F">
        <w:rPr>
          <w:rFonts w:ascii="Times New Roman" w:hAnsi="Times New Roman" w:cs="Times New Roman"/>
          <w:sz w:val="24"/>
          <w:szCs w:val="24"/>
          <w:lang w:val="en-GB"/>
        </w:rPr>
        <w:t>attention</w:t>
      </w:r>
      <w:proofErr w:type="gramEnd"/>
      <w:r w:rsidRPr="0055401F">
        <w:rPr>
          <w:rFonts w:ascii="Times New Roman" w:hAnsi="Times New Roman" w:cs="Times New Roman"/>
          <w:sz w:val="24"/>
          <w:szCs w:val="24"/>
          <w:lang w:val="en-GB"/>
        </w:rPr>
        <w:t xml:space="preserve"> and it </w:t>
      </w:r>
      <w:r w:rsidR="00F728EE">
        <w:rPr>
          <w:rFonts w:ascii="Times New Roman" w:hAnsi="Times New Roman" w:cs="Times New Roman"/>
          <w:sz w:val="24"/>
          <w:szCs w:val="24"/>
          <w:lang w:val="en-GB"/>
        </w:rPr>
        <w:t>was</w:t>
      </w:r>
      <w:r w:rsidRPr="0055401F">
        <w:rPr>
          <w:rFonts w:ascii="Times New Roman" w:hAnsi="Times New Roman" w:cs="Times New Roman"/>
          <w:sz w:val="24"/>
          <w:szCs w:val="24"/>
          <w:lang w:val="en-GB"/>
        </w:rPr>
        <w:t xml:space="preserve"> discussed among different parts of the society. The images of the weapons in the trucks were published in the Cumhuriyet newspaper by Can</w:t>
      </w:r>
      <w:r w:rsidRPr="0055401F">
        <w:rPr>
          <w:rFonts w:ascii="Times New Roman" w:hAnsi="Times New Roman" w:cs="Times New Roman"/>
          <w:sz w:val="24"/>
          <w:szCs w:val="24"/>
          <w:lang w:val="tr-TR"/>
        </w:rPr>
        <w:t xml:space="preserve"> Dündar</w:t>
      </w:r>
      <w:r w:rsidRPr="0055401F">
        <w:rPr>
          <w:rFonts w:ascii="Times New Roman" w:hAnsi="Times New Roman" w:cs="Times New Roman"/>
          <w:sz w:val="24"/>
          <w:szCs w:val="24"/>
          <w:lang w:val="en-GB"/>
        </w:rPr>
        <w:t>. Erdogan, the head of the government whom he was accused with illegal trade of weapons to the extremist groups, threatened the journalist to make him pay for the documentations published in the newspaper.</w:t>
      </w:r>
      <w:r w:rsidRPr="0055401F">
        <w:rPr>
          <w:rStyle w:val="FootnoteReference"/>
          <w:rFonts w:ascii="Times New Roman" w:hAnsi="Times New Roman" w:cs="Times New Roman"/>
          <w:sz w:val="24"/>
          <w:szCs w:val="24"/>
          <w:lang w:val="en-GB"/>
        </w:rPr>
        <w:footnoteReference w:id="35"/>
      </w:r>
      <w:r w:rsidRPr="0055401F">
        <w:rPr>
          <w:rFonts w:ascii="Times New Roman" w:hAnsi="Times New Roman" w:cs="Times New Roman"/>
          <w:sz w:val="24"/>
          <w:szCs w:val="24"/>
          <w:lang w:val="en-GB"/>
        </w:rPr>
        <w:t xml:space="preserve"> Accordingly, Can </w:t>
      </w:r>
      <w:r w:rsidRPr="0055401F">
        <w:rPr>
          <w:rFonts w:ascii="Times New Roman" w:hAnsi="Times New Roman" w:cs="Times New Roman"/>
          <w:sz w:val="24"/>
          <w:szCs w:val="24"/>
          <w:lang w:val="tr-TR"/>
        </w:rPr>
        <w:t>Dündar</w:t>
      </w:r>
      <w:r w:rsidRPr="0055401F">
        <w:rPr>
          <w:rFonts w:ascii="Times New Roman" w:hAnsi="Times New Roman" w:cs="Times New Roman"/>
          <w:sz w:val="24"/>
          <w:szCs w:val="24"/>
          <w:lang w:val="en-GB"/>
        </w:rPr>
        <w:t xml:space="preserve"> </w:t>
      </w:r>
      <w:proofErr w:type="gramStart"/>
      <w:r w:rsidRPr="0055401F">
        <w:rPr>
          <w:rFonts w:ascii="Times New Roman" w:hAnsi="Times New Roman" w:cs="Times New Roman"/>
          <w:sz w:val="24"/>
          <w:szCs w:val="24"/>
          <w:lang w:val="en-GB"/>
        </w:rPr>
        <w:t>was</w:t>
      </w:r>
      <w:proofErr w:type="gramEnd"/>
      <w:r w:rsidRPr="0055401F">
        <w:rPr>
          <w:rFonts w:ascii="Times New Roman" w:hAnsi="Times New Roman" w:cs="Times New Roman"/>
          <w:sz w:val="24"/>
          <w:szCs w:val="24"/>
          <w:lang w:val="en-GB"/>
        </w:rPr>
        <w:t xml:space="preserve"> made subject to an investigation by `independent prosecutors of the Republic of Turkey`. He was taken into police custody, </w:t>
      </w:r>
      <w:proofErr w:type="gramStart"/>
      <w:r w:rsidRPr="0055401F">
        <w:rPr>
          <w:rFonts w:ascii="Times New Roman" w:hAnsi="Times New Roman" w:cs="Times New Roman"/>
          <w:sz w:val="24"/>
          <w:szCs w:val="24"/>
          <w:lang w:val="en-GB"/>
        </w:rPr>
        <w:t>detained</w:t>
      </w:r>
      <w:proofErr w:type="gramEnd"/>
      <w:r w:rsidRPr="0055401F">
        <w:rPr>
          <w:rFonts w:ascii="Times New Roman" w:hAnsi="Times New Roman" w:cs="Times New Roman"/>
          <w:sz w:val="24"/>
          <w:szCs w:val="24"/>
          <w:lang w:val="en-GB"/>
        </w:rPr>
        <w:t xml:space="preserve"> and charged with complicity in crimes of espionage in favour of foreign countries. He had no option but to leave country not to be constantly targeted by Erdogan government. It is apparent that the CJP acted in conformity with the wishes of </w:t>
      </w:r>
      <w:proofErr w:type="gramStart"/>
      <w:r w:rsidRPr="0055401F">
        <w:rPr>
          <w:rFonts w:ascii="Times New Roman" w:hAnsi="Times New Roman" w:cs="Times New Roman"/>
          <w:sz w:val="24"/>
          <w:szCs w:val="24"/>
          <w:lang w:val="en-GB"/>
        </w:rPr>
        <w:t>Erdogan</w:t>
      </w:r>
      <w:proofErr w:type="gramEnd"/>
      <w:r w:rsidRPr="0055401F">
        <w:rPr>
          <w:rFonts w:ascii="Times New Roman" w:hAnsi="Times New Roman" w:cs="Times New Roman"/>
          <w:sz w:val="24"/>
          <w:szCs w:val="24"/>
          <w:lang w:val="en-GB"/>
        </w:rPr>
        <w:t xml:space="preserve"> and it disregarded the freedom of press which is one of the significant pillars of the democracy. Consequently, while the real criminals got away from their wrongdoings, the prosecutors, the </w:t>
      </w:r>
      <w:proofErr w:type="gramStart"/>
      <w:r w:rsidRPr="0055401F">
        <w:rPr>
          <w:rFonts w:ascii="Times New Roman" w:hAnsi="Times New Roman" w:cs="Times New Roman"/>
          <w:sz w:val="24"/>
          <w:szCs w:val="24"/>
          <w:lang w:val="en-GB"/>
        </w:rPr>
        <w:t>judges</w:t>
      </w:r>
      <w:proofErr w:type="gramEnd"/>
      <w:r w:rsidRPr="0055401F">
        <w:rPr>
          <w:rFonts w:ascii="Times New Roman" w:hAnsi="Times New Roman" w:cs="Times New Roman"/>
          <w:sz w:val="24"/>
          <w:szCs w:val="24"/>
          <w:lang w:val="en-GB"/>
        </w:rPr>
        <w:t xml:space="preserve"> and the journalists had to pay for the jobs that they have done.</w:t>
      </w:r>
    </w:p>
    <w:p w14:paraId="7AC3201E" w14:textId="276B76EE" w:rsidR="0055401F" w:rsidRPr="001C0CAE" w:rsidRDefault="00965B7E" w:rsidP="0055401F">
      <w:pPr>
        <w:pStyle w:val="ListParagraph"/>
        <w:numPr>
          <w:ilvl w:val="0"/>
          <w:numId w:val="42"/>
        </w:numPr>
        <w:spacing w:line="360" w:lineRule="auto"/>
        <w:jc w:val="both"/>
        <w:rPr>
          <w:rFonts w:ascii="Times New Roman" w:hAnsi="Times New Roman" w:cs="Times New Roman"/>
          <w:sz w:val="24"/>
          <w:szCs w:val="24"/>
          <w:lang w:val="en-US"/>
        </w:rPr>
      </w:pPr>
      <w:r w:rsidRPr="00965B7E">
        <w:rPr>
          <w:rFonts w:ascii="Times New Roman" w:hAnsi="Times New Roman" w:cs="Times New Roman"/>
          <w:b/>
          <w:bCs/>
          <w:sz w:val="24"/>
          <w:szCs w:val="24"/>
          <w:lang w:val="en-US"/>
        </w:rPr>
        <w:t>The</w:t>
      </w:r>
      <w:r>
        <w:rPr>
          <w:rFonts w:ascii="Times New Roman" w:hAnsi="Times New Roman" w:cs="Times New Roman"/>
          <w:b/>
          <w:bCs/>
          <w:sz w:val="24"/>
          <w:szCs w:val="24"/>
          <w:lang w:val="en-US"/>
        </w:rPr>
        <w:t xml:space="preserve"> coup d’etat, the </w:t>
      </w:r>
      <w:r w:rsidR="00EF0DCD">
        <w:rPr>
          <w:rFonts w:ascii="Times New Roman" w:hAnsi="Times New Roman" w:cs="Times New Roman"/>
          <w:b/>
          <w:bCs/>
          <w:sz w:val="24"/>
          <w:szCs w:val="24"/>
          <w:lang w:val="en-US"/>
        </w:rPr>
        <w:t>E</w:t>
      </w:r>
      <w:r>
        <w:rPr>
          <w:rFonts w:ascii="Times New Roman" w:hAnsi="Times New Roman" w:cs="Times New Roman"/>
          <w:b/>
          <w:bCs/>
          <w:sz w:val="24"/>
          <w:szCs w:val="24"/>
          <w:lang w:val="en-US"/>
        </w:rPr>
        <w:t>xecutive decrees</w:t>
      </w:r>
      <w:r w:rsidR="0017541D">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the </w:t>
      </w:r>
      <w:r w:rsidR="00EF0DCD">
        <w:rPr>
          <w:rFonts w:ascii="Times New Roman" w:hAnsi="Times New Roman" w:cs="Times New Roman"/>
          <w:b/>
          <w:bCs/>
          <w:sz w:val="24"/>
          <w:szCs w:val="24"/>
          <w:lang w:val="en-US"/>
        </w:rPr>
        <w:t>M</w:t>
      </w:r>
      <w:r>
        <w:rPr>
          <w:rFonts w:ascii="Times New Roman" w:hAnsi="Times New Roman" w:cs="Times New Roman"/>
          <w:b/>
          <w:bCs/>
          <w:sz w:val="24"/>
          <w:szCs w:val="24"/>
          <w:lang w:val="en-US"/>
        </w:rPr>
        <w:t xml:space="preserve">ass dismissals </w:t>
      </w:r>
      <w:r w:rsidR="001C0CAE">
        <w:rPr>
          <w:rFonts w:ascii="Times New Roman" w:hAnsi="Times New Roman" w:cs="Times New Roman"/>
          <w:b/>
          <w:bCs/>
          <w:sz w:val="24"/>
          <w:szCs w:val="24"/>
          <w:lang w:val="en-US"/>
        </w:rPr>
        <w:t xml:space="preserve">and </w:t>
      </w:r>
      <w:r w:rsidR="0017541D">
        <w:rPr>
          <w:rFonts w:ascii="Times New Roman" w:hAnsi="Times New Roman" w:cs="Times New Roman"/>
          <w:b/>
          <w:bCs/>
          <w:sz w:val="24"/>
          <w:szCs w:val="24"/>
          <w:lang w:val="en-US"/>
        </w:rPr>
        <w:t xml:space="preserve">the </w:t>
      </w:r>
      <w:r w:rsidR="00EF0DCD">
        <w:rPr>
          <w:rFonts w:ascii="Times New Roman" w:hAnsi="Times New Roman" w:cs="Times New Roman"/>
          <w:b/>
          <w:bCs/>
          <w:sz w:val="24"/>
          <w:szCs w:val="24"/>
          <w:lang w:val="en-US"/>
        </w:rPr>
        <w:t>D</w:t>
      </w:r>
      <w:r w:rsidR="001C0CAE">
        <w:rPr>
          <w:rFonts w:ascii="Times New Roman" w:hAnsi="Times New Roman" w:cs="Times New Roman"/>
          <w:b/>
          <w:bCs/>
          <w:sz w:val="24"/>
          <w:szCs w:val="24"/>
          <w:lang w:val="en-US"/>
        </w:rPr>
        <w:t xml:space="preserve">etention of judges and prosecutors </w:t>
      </w:r>
      <w:r w:rsidRPr="00965B7E">
        <w:rPr>
          <w:rFonts w:ascii="Times New Roman" w:hAnsi="Times New Roman" w:cs="Times New Roman"/>
          <w:b/>
          <w:bCs/>
          <w:sz w:val="24"/>
          <w:szCs w:val="24"/>
          <w:lang w:val="en-US"/>
        </w:rPr>
        <w:t xml:space="preserve"> </w:t>
      </w:r>
    </w:p>
    <w:p w14:paraId="19AFC99F" w14:textId="5129FB29" w:rsidR="007F3052" w:rsidRDefault="003A5ACF" w:rsidP="001C0CAE">
      <w:pPr>
        <w:spacing w:line="360" w:lineRule="auto"/>
        <w:jc w:val="both"/>
        <w:rPr>
          <w:rFonts w:ascii="Times New Roman" w:hAnsi="Times New Roman" w:cs="Times New Roman"/>
          <w:sz w:val="24"/>
          <w:szCs w:val="20"/>
          <w:lang w:val="en-GB"/>
        </w:rPr>
      </w:pPr>
      <w:r w:rsidRPr="003A5ACF">
        <w:rPr>
          <w:rFonts w:ascii="Times New Roman" w:hAnsi="Times New Roman" w:cs="Times New Roman"/>
          <w:sz w:val="24"/>
          <w:szCs w:val="20"/>
          <w:lang w:val="en-GB"/>
        </w:rPr>
        <w:t>The government maintains that the mass dismissals of judges and prosecutors were based on their alleged affiliation with a so-called terrorist organization, and that the CJP used its constitutional authority to preserve the reputation and reliability of the judiciary. On the night of the coup d'état, 2,74</w:t>
      </w:r>
      <w:r w:rsidR="005C00F8">
        <w:rPr>
          <w:rFonts w:ascii="Times New Roman" w:hAnsi="Times New Roman" w:cs="Times New Roman"/>
          <w:sz w:val="24"/>
          <w:szCs w:val="20"/>
          <w:lang w:val="en-GB"/>
        </w:rPr>
        <w:t>5</w:t>
      </w:r>
      <w:r w:rsidRPr="003A5ACF">
        <w:rPr>
          <w:rFonts w:ascii="Times New Roman" w:hAnsi="Times New Roman" w:cs="Times New Roman"/>
          <w:sz w:val="24"/>
          <w:szCs w:val="20"/>
          <w:lang w:val="en-GB"/>
        </w:rPr>
        <w:t xml:space="preserve"> judges and prosecutors were suspended. These </w:t>
      </w:r>
      <w:r>
        <w:rPr>
          <w:rFonts w:ascii="Times New Roman" w:hAnsi="Times New Roman" w:cs="Times New Roman"/>
          <w:sz w:val="24"/>
          <w:szCs w:val="20"/>
          <w:lang w:val="en-GB"/>
        </w:rPr>
        <w:t>judges were then dismissed from the profession</w:t>
      </w:r>
      <w:r w:rsidRPr="003A5ACF">
        <w:rPr>
          <w:rFonts w:ascii="Times New Roman" w:hAnsi="Times New Roman" w:cs="Times New Roman"/>
          <w:sz w:val="24"/>
          <w:szCs w:val="20"/>
          <w:lang w:val="en-GB"/>
        </w:rPr>
        <w:t xml:space="preserve"> without awaiting the final results of the criminal trials at </w:t>
      </w:r>
      <w:r>
        <w:rPr>
          <w:rFonts w:ascii="Times New Roman" w:hAnsi="Times New Roman" w:cs="Times New Roman"/>
          <w:sz w:val="24"/>
          <w:szCs w:val="20"/>
          <w:lang w:val="en-GB"/>
        </w:rPr>
        <w:t>A</w:t>
      </w:r>
      <w:r w:rsidRPr="003A5ACF">
        <w:rPr>
          <w:rFonts w:ascii="Times New Roman" w:hAnsi="Times New Roman" w:cs="Times New Roman"/>
          <w:sz w:val="24"/>
          <w:szCs w:val="20"/>
          <w:lang w:val="en-GB"/>
        </w:rPr>
        <w:t xml:space="preserve">ssize </w:t>
      </w:r>
      <w:r>
        <w:rPr>
          <w:rFonts w:ascii="Times New Roman" w:hAnsi="Times New Roman" w:cs="Times New Roman"/>
          <w:sz w:val="24"/>
          <w:szCs w:val="20"/>
          <w:lang w:val="en-GB"/>
        </w:rPr>
        <w:t>C</w:t>
      </w:r>
      <w:r w:rsidRPr="003A5ACF">
        <w:rPr>
          <w:rFonts w:ascii="Times New Roman" w:hAnsi="Times New Roman" w:cs="Times New Roman"/>
          <w:sz w:val="24"/>
          <w:szCs w:val="20"/>
          <w:lang w:val="en-GB"/>
        </w:rPr>
        <w:t>ourts. On August 24, 2016, just one month after the coup, the CJP dismissed 2,74</w:t>
      </w:r>
      <w:r w:rsidR="005C00F8">
        <w:rPr>
          <w:rFonts w:ascii="Times New Roman" w:hAnsi="Times New Roman" w:cs="Times New Roman"/>
          <w:sz w:val="24"/>
          <w:szCs w:val="20"/>
          <w:lang w:val="en-GB"/>
        </w:rPr>
        <w:t>5</w:t>
      </w:r>
      <w:r w:rsidRPr="003A5ACF">
        <w:rPr>
          <w:rFonts w:ascii="Times New Roman" w:hAnsi="Times New Roman" w:cs="Times New Roman"/>
          <w:sz w:val="24"/>
          <w:szCs w:val="20"/>
          <w:lang w:val="en-GB"/>
        </w:rPr>
        <w:t xml:space="preserve"> judges </w:t>
      </w:r>
      <w:r w:rsidRPr="003A5ACF">
        <w:rPr>
          <w:rFonts w:ascii="Times New Roman" w:hAnsi="Times New Roman" w:cs="Times New Roman"/>
          <w:sz w:val="24"/>
          <w:szCs w:val="20"/>
          <w:lang w:val="en-GB"/>
        </w:rPr>
        <w:lastRenderedPageBreak/>
        <w:t>and prosecutors. In subsequent decisions, the CJP ultimately dismissed nearly 5,000 judges and prosecutors in total</w:t>
      </w:r>
      <w:r w:rsidR="007F3052">
        <w:rPr>
          <w:rFonts w:ascii="Times New Roman" w:hAnsi="Times New Roman" w:cs="Times New Roman"/>
          <w:sz w:val="24"/>
          <w:szCs w:val="20"/>
          <w:lang w:val="en-GB"/>
        </w:rPr>
        <w:t xml:space="preserve"> including </w:t>
      </w:r>
      <w:r w:rsidR="005C00F8">
        <w:rPr>
          <w:rFonts w:ascii="Times New Roman" w:hAnsi="Times New Roman" w:cs="Times New Roman"/>
          <w:sz w:val="24"/>
          <w:szCs w:val="20"/>
          <w:lang w:val="en-GB"/>
        </w:rPr>
        <w:t xml:space="preserve">the </w:t>
      </w:r>
      <w:r w:rsidR="007F3052">
        <w:rPr>
          <w:rFonts w:ascii="Times New Roman" w:hAnsi="Times New Roman" w:cs="Times New Roman"/>
          <w:sz w:val="24"/>
          <w:szCs w:val="20"/>
          <w:lang w:val="en-GB"/>
        </w:rPr>
        <w:t>supreme court judges.</w:t>
      </w:r>
      <w:r w:rsidRPr="003A5ACF">
        <w:rPr>
          <w:rFonts w:ascii="Times New Roman" w:hAnsi="Times New Roman" w:cs="Times New Roman"/>
          <w:sz w:val="24"/>
          <w:szCs w:val="20"/>
          <w:lang w:val="en-GB"/>
        </w:rPr>
        <w:t xml:space="preserve"> These dismissal decisions are among the worst of their kind, lacking concrete or individualized reasons to justify the </w:t>
      </w:r>
      <w:r w:rsidR="005C00F8">
        <w:rPr>
          <w:rFonts w:ascii="Times New Roman" w:hAnsi="Times New Roman" w:cs="Times New Roman"/>
          <w:sz w:val="24"/>
          <w:szCs w:val="20"/>
          <w:lang w:val="en-GB"/>
        </w:rPr>
        <w:t>dismissals</w:t>
      </w:r>
      <w:r w:rsidRPr="003A5ACF">
        <w:rPr>
          <w:rFonts w:ascii="Times New Roman" w:hAnsi="Times New Roman" w:cs="Times New Roman"/>
          <w:sz w:val="24"/>
          <w:szCs w:val="20"/>
          <w:lang w:val="en-GB"/>
        </w:rPr>
        <w:t>. Instead, they consist of several pages filled with unfounded allegations and intelligence reports. The only individualization in these decisions was the inclusion of the dismissed judge's name and surname on an appended list.</w:t>
      </w:r>
      <w:r w:rsidR="007F3052">
        <w:rPr>
          <w:rFonts w:ascii="Times New Roman" w:hAnsi="Times New Roman" w:cs="Times New Roman"/>
          <w:sz w:val="24"/>
          <w:szCs w:val="20"/>
          <w:lang w:val="en-GB"/>
        </w:rPr>
        <w:t xml:space="preserve"> When the </w:t>
      </w:r>
      <w:r w:rsidR="00426B4D">
        <w:rPr>
          <w:rFonts w:ascii="Times New Roman" w:hAnsi="Times New Roman" w:cs="Times New Roman"/>
          <w:sz w:val="24"/>
          <w:szCs w:val="20"/>
          <w:lang w:val="en-GB"/>
        </w:rPr>
        <w:t>CJP</w:t>
      </w:r>
      <w:r w:rsidR="007F3052">
        <w:rPr>
          <w:rFonts w:ascii="Times New Roman" w:hAnsi="Times New Roman" w:cs="Times New Roman"/>
          <w:sz w:val="24"/>
          <w:szCs w:val="20"/>
          <w:lang w:val="en-GB"/>
        </w:rPr>
        <w:t xml:space="preserve"> was asked about the incredible detection speed of 274</w:t>
      </w:r>
      <w:r w:rsidR="006D75E1">
        <w:rPr>
          <w:rFonts w:ascii="Times New Roman" w:hAnsi="Times New Roman" w:cs="Times New Roman"/>
          <w:sz w:val="24"/>
          <w:szCs w:val="20"/>
          <w:lang w:val="en-GB"/>
        </w:rPr>
        <w:t>5</w:t>
      </w:r>
      <w:r w:rsidR="007F3052">
        <w:rPr>
          <w:rFonts w:ascii="Times New Roman" w:hAnsi="Times New Roman" w:cs="Times New Roman"/>
          <w:sz w:val="24"/>
          <w:szCs w:val="20"/>
          <w:lang w:val="en-GB"/>
        </w:rPr>
        <w:t xml:space="preserve"> judges and prosecutors at the night of the coup d’etat, it </w:t>
      </w:r>
      <w:r w:rsidR="007F3052" w:rsidRPr="007F3052">
        <w:rPr>
          <w:rFonts w:ascii="Times New Roman" w:hAnsi="Times New Roman" w:cs="Times New Roman"/>
          <w:sz w:val="24"/>
          <w:szCs w:val="20"/>
          <w:lang w:val="en-GB"/>
        </w:rPr>
        <w:t xml:space="preserve">perpetuated the falsehood particularly when responding to international bodies. Before the coup d'état, </w:t>
      </w:r>
      <w:r w:rsidR="007F3052">
        <w:rPr>
          <w:rFonts w:ascii="Times New Roman" w:hAnsi="Times New Roman" w:cs="Times New Roman"/>
          <w:sz w:val="24"/>
          <w:szCs w:val="20"/>
          <w:lang w:val="en-GB"/>
        </w:rPr>
        <w:t xml:space="preserve">the </w:t>
      </w:r>
      <w:r w:rsidR="00426B4D">
        <w:rPr>
          <w:rFonts w:ascii="Times New Roman" w:hAnsi="Times New Roman" w:cs="Times New Roman"/>
          <w:sz w:val="24"/>
          <w:szCs w:val="20"/>
          <w:lang w:val="en-GB"/>
        </w:rPr>
        <w:t>CJP</w:t>
      </w:r>
      <w:r w:rsidR="007F3052" w:rsidRPr="007F3052">
        <w:rPr>
          <w:rFonts w:ascii="Times New Roman" w:hAnsi="Times New Roman" w:cs="Times New Roman"/>
          <w:sz w:val="24"/>
          <w:szCs w:val="20"/>
          <w:lang w:val="en-GB"/>
        </w:rPr>
        <w:t xml:space="preserve"> claimed that ongoing judicial and administrative investigations were already targeting the actions of judges and prosecutors. This statement, along with other disinformation attempts, is a blatant </w:t>
      </w:r>
      <w:r w:rsidR="005C00F8">
        <w:rPr>
          <w:rFonts w:ascii="Times New Roman" w:hAnsi="Times New Roman" w:cs="Times New Roman"/>
          <w:sz w:val="24"/>
          <w:szCs w:val="20"/>
          <w:lang w:val="en-GB"/>
        </w:rPr>
        <w:t>misleading information</w:t>
      </w:r>
      <w:r w:rsidR="007F3052" w:rsidRPr="007F3052">
        <w:rPr>
          <w:rFonts w:ascii="Times New Roman" w:hAnsi="Times New Roman" w:cs="Times New Roman"/>
          <w:sz w:val="24"/>
          <w:szCs w:val="20"/>
          <w:lang w:val="en-GB"/>
        </w:rPr>
        <w:t>. Despite being repeatedly invited to provide documentation of such investigations initiated before the coup, Türkiye has consistently failed to do so, instead deflecting the examination process before the competent international bodies.</w:t>
      </w:r>
    </w:p>
    <w:p w14:paraId="3558E69A" w14:textId="79B5B2DB" w:rsidR="001C0CAE" w:rsidRPr="001C0CAE" w:rsidRDefault="006D75E1" w:rsidP="001C0CAE">
      <w:pPr>
        <w:spacing w:line="360" w:lineRule="auto"/>
        <w:jc w:val="both"/>
        <w:rPr>
          <w:rFonts w:ascii="Times New Roman" w:hAnsi="Times New Roman" w:cs="Times New Roman"/>
          <w:sz w:val="24"/>
          <w:szCs w:val="20"/>
          <w:lang w:val="en-GB"/>
        </w:rPr>
      </w:pPr>
      <w:r w:rsidRPr="006D75E1">
        <w:rPr>
          <w:rFonts w:ascii="Times New Roman" w:hAnsi="Times New Roman" w:cs="Times New Roman"/>
          <w:sz w:val="24"/>
          <w:szCs w:val="20"/>
          <w:lang w:val="en-GB"/>
        </w:rPr>
        <w:t xml:space="preserve">On July 15, 2016, while the attempted coup was still unfolding, a mass persecution against judges and prosecutors began in the form of a witch hunt. Arrest warrants were issued for 140 members of the Court of Cassation, 40 Members of the State Council, and 2 members of the Constitutional Court were taken into police custody. Additionally, 2,745 judges and prosecutors from first instance courts were suspended from their positions by the Second Chamber of the Council of Judges and Prosecutors (CJP). Simultaneously, the Ankara Chief Prosecution Office initiated investigations for those </w:t>
      </w:r>
      <w:r w:rsidR="005C00F8">
        <w:rPr>
          <w:rFonts w:ascii="Times New Roman" w:hAnsi="Times New Roman" w:cs="Times New Roman"/>
          <w:sz w:val="24"/>
          <w:szCs w:val="20"/>
          <w:lang w:val="en-GB"/>
        </w:rPr>
        <w:t>who were</w:t>
      </w:r>
      <w:r w:rsidRPr="006D75E1">
        <w:rPr>
          <w:rFonts w:ascii="Times New Roman" w:hAnsi="Times New Roman" w:cs="Times New Roman"/>
          <w:sz w:val="24"/>
          <w:szCs w:val="20"/>
          <w:lang w:val="en-GB"/>
        </w:rPr>
        <w:t xml:space="preserve"> on the lists provided by the CJP. The attempted coup served as a convenient pretext to circumvent the protections afforded to judges and prosecutors under Article 88 of Law No. 2802, which prohibits their arrest except in cases of being caught red-handed. Despite no involvement in the coup attempt by any judges and prosecutors, they were all charged with it. Chief Prosecution Offices were instructed by the Ankara Chief Prosecution Office to issue search and seizure and arrest warrants, even while soldiers were still on the streets. There are still unanswered questions about how the Second Chamber of the CJP identified and suspended 2,745 judges and prosecutors. The illegal profiling of judges and prosecutors is likely the only explanation unless the CJP provides evidence to refute allegations of conducting an unlawful campaign to collect information about their social, private, and professional lives. The National Intelligence Service, along with other intelligence services of the police and gendarme, and judges and prosecutors closely affiliated with the CJP, appear to have collaborated to obtain and store vast amounts of information through illegal profiling. One indicator of this is the inclusion of names of judges who had died </w:t>
      </w:r>
      <w:r w:rsidRPr="006D75E1">
        <w:rPr>
          <w:rFonts w:ascii="Times New Roman" w:hAnsi="Times New Roman" w:cs="Times New Roman"/>
          <w:sz w:val="24"/>
          <w:szCs w:val="20"/>
          <w:lang w:val="en-GB"/>
        </w:rPr>
        <w:lastRenderedPageBreak/>
        <w:t>before the coup attempt, suggesting that the lists were prepared in advance of the events</w:t>
      </w:r>
      <w:r w:rsidR="001C0CAE" w:rsidRPr="001C0CAE">
        <w:rPr>
          <w:rFonts w:ascii="Times New Roman" w:hAnsi="Times New Roman" w:cs="Times New Roman"/>
          <w:sz w:val="24"/>
          <w:szCs w:val="20"/>
          <w:lang w:val="en-GB"/>
        </w:rPr>
        <w:t>.</w:t>
      </w:r>
      <w:r w:rsidR="001C0CAE" w:rsidRPr="001C0CAE">
        <w:rPr>
          <w:rStyle w:val="FootnoteReference"/>
          <w:rFonts w:ascii="Times New Roman" w:hAnsi="Times New Roman" w:cs="Times New Roman"/>
          <w:sz w:val="24"/>
          <w:szCs w:val="20"/>
          <w:lang w:val="en-GB"/>
        </w:rPr>
        <w:footnoteReference w:id="36"/>
      </w:r>
      <w:r w:rsidR="001C0CAE" w:rsidRPr="001C0CAE">
        <w:rPr>
          <w:rFonts w:ascii="Times New Roman" w:hAnsi="Times New Roman" w:cs="Times New Roman"/>
          <w:sz w:val="24"/>
          <w:szCs w:val="20"/>
          <w:lang w:val="en-GB"/>
        </w:rPr>
        <w:t xml:space="preserve"> Following the arrest orders, the judges and prosecutors were detained, their homes, offices and cars were searched, their personal belongings including electronic devices were seized. Thousands of them were detained while </w:t>
      </w:r>
      <w:proofErr w:type="gramStart"/>
      <w:r w:rsidR="001C0CAE" w:rsidRPr="001C0CAE">
        <w:rPr>
          <w:rFonts w:ascii="Times New Roman" w:hAnsi="Times New Roman" w:cs="Times New Roman"/>
          <w:sz w:val="24"/>
          <w:szCs w:val="20"/>
          <w:lang w:val="en-GB"/>
        </w:rPr>
        <w:t>some  others</w:t>
      </w:r>
      <w:proofErr w:type="gramEnd"/>
      <w:r w:rsidR="001C0CAE" w:rsidRPr="001C0CAE">
        <w:rPr>
          <w:rFonts w:ascii="Times New Roman" w:hAnsi="Times New Roman" w:cs="Times New Roman"/>
          <w:sz w:val="24"/>
          <w:szCs w:val="20"/>
          <w:lang w:val="en-GB"/>
        </w:rPr>
        <w:t xml:space="preserve"> were released on remand. They </w:t>
      </w:r>
      <w:r w:rsidR="00426B4D">
        <w:rPr>
          <w:rFonts w:ascii="Times New Roman" w:hAnsi="Times New Roman" w:cs="Times New Roman"/>
          <w:sz w:val="24"/>
          <w:szCs w:val="20"/>
          <w:lang w:val="en-GB"/>
        </w:rPr>
        <w:t>were</w:t>
      </w:r>
      <w:r w:rsidR="001C0CAE" w:rsidRPr="001C0CAE">
        <w:rPr>
          <w:rFonts w:ascii="Times New Roman" w:hAnsi="Times New Roman" w:cs="Times New Roman"/>
          <w:sz w:val="24"/>
          <w:szCs w:val="20"/>
          <w:lang w:val="en-GB"/>
        </w:rPr>
        <w:t xml:space="preserve"> instructed with travel bans and with some other judicial controls such as an obligation to appear before police stations and to sign the relevant papers in a defined time period. At later stages, they have been indicted with overthrowing the constitutional order and being a member of the armed terrorist organisation. </w:t>
      </w:r>
    </w:p>
    <w:p w14:paraId="2E935FB0" w14:textId="71D6BC97" w:rsidR="001C0CAE" w:rsidRPr="001C0CAE" w:rsidRDefault="00426B4D" w:rsidP="001C0CAE">
      <w:pPr>
        <w:spacing w:line="360" w:lineRule="auto"/>
        <w:jc w:val="both"/>
        <w:rPr>
          <w:rFonts w:ascii="Times New Roman" w:hAnsi="Times New Roman" w:cs="Times New Roman"/>
          <w:sz w:val="24"/>
          <w:szCs w:val="20"/>
          <w:lang w:val="en-GB"/>
        </w:rPr>
      </w:pPr>
      <w:r w:rsidRPr="001C0CAE">
        <w:rPr>
          <w:rFonts w:ascii="Times New Roman" w:hAnsi="Times New Roman" w:cs="Times New Roman"/>
          <w:sz w:val="24"/>
          <w:szCs w:val="20"/>
          <w:lang w:val="en-GB"/>
        </w:rPr>
        <w:t>The government declared a state of emergency and derogated from some of the obligations under the European Convention on Human Rights. Furthermore, the state of emergency was pronounced to protect the national security against ‘unprecedented attacks’ to the democracy and the rule of law.</w:t>
      </w:r>
      <w:r>
        <w:rPr>
          <w:rFonts w:ascii="Times New Roman" w:hAnsi="Times New Roman" w:cs="Times New Roman"/>
          <w:sz w:val="24"/>
          <w:szCs w:val="20"/>
          <w:lang w:val="en-GB"/>
        </w:rPr>
        <w:t xml:space="preserve"> </w:t>
      </w:r>
      <w:r w:rsidR="001C0CAE" w:rsidRPr="001C0CAE">
        <w:rPr>
          <w:rFonts w:ascii="Times New Roman" w:hAnsi="Times New Roman" w:cs="Times New Roman"/>
          <w:sz w:val="24"/>
          <w:szCs w:val="20"/>
          <w:lang w:val="en-GB"/>
        </w:rPr>
        <w:t xml:space="preserve">Between the period of pre-trial detentions and deliverance of the indictments </w:t>
      </w:r>
      <w:r>
        <w:rPr>
          <w:rFonts w:ascii="Times New Roman" w:hAnsi="Times New Roman" w:cs="Times New Roman"/>
          <w:sz w:val="24"/>
          <w:szCs w:val="20"/>
          <w:lang w:val="en-GB"/>
        </w:rPr>
        <w:t>t</w:t>
      </w:r>
      <w:r w:rsidR="001C0CAE" w:rsidRPr="001C0CAE">
        <w:rPr>
          <w:rFonts w:ascii="Times New Roman" w:hAnsi="Times New Roman" w:cs="Times New Roman"/>
          <w:sz w:val="24"/>
          <w:szCs w:val="20"/>
          <w:lang w:val="en-GB"/>
        </w:rPr>
        <w:t xml:space="preserve">he CJP involved </w:t>
      </w:r>
      <w:r w:rsidR="004B624C">
        <w:rPr>
          <w:rFonts w:ascii="Times New Roman" w:hAnsi="Times New Roman" w:cs="Times New Roman"/>
          <w:sz w:val="24"/>
          <w:szCs w:val="20"/>
          <w:lang w:val="en-GB"/>
        </w:rPr>
        <w:t>in</w:t>
      </w:r>
      <w:r w:rsidR="001C0CAE" w:rsidRPr="001C0CAE">
        <w:rPr>
          <w:rFonts w:ascii="Times New Roman" w:hAnsi="Times New Roman" w:cs="Times New Roman"/>
          <w:sz w:val="24"/>
          <w:szCs w:val="20"/>
          <w:lang w:val="en-GB"/>
        </w:rPr>
        <w:t xml:space="preserve"> the investigation procedures, despite it has no statutory function in the functioning of criminal investigations. It </w:t>
      </w:r>
      <w:r w:rsidR="004B624C">
        <w:rPr>
          <w:rFonts w:ascii="Times New Roman" w:hAnsi="Times New Roman" w:cs="Times New Roman"/>
          <w:sz w:val="24"/>
          <w:szCs w:val="20"/>
          <w:lang w:val="en-GB"/>
        </w:rPr>
        <w:t>assisted</w:t>
      </w:r>
      <w:r w:rsidR="001C0CAE" w:rsidRPr="001C0CAE">
        <w:rPr>
          <w:rFonts w:ascii="Times New Roman" w:hAnsi="Times New Roman" w:cs="Times New Roman"/>
          <w:sz w:val="24"/>
          <w:szCs w:val="20"/>
          <w:lang w:val="en-GB"/>
        </w:rPr>
        <w:t xml:space="preserve"> judicial authorities to find “evidence which can constitute the terrorism crimes”. The vice president of the Council, Mehmet Yilmaz</w:t>
      </w:r>
      <w:r w:rsidR="004B624C">
        <w:rPr>
          <w:rFonts w:ascii="Times New Roman" w:hAnsi="Times New Roman" w:cs="Times New Roman"/>
          <w:sz w:val="24"/>
          <w:szCs w:val="20"/>
          <w:lang w:val="en-GB"/>
        </w:rPr>
        <w:t xml:space="preserve"> played an</w:t>
      </w:r>
      <w:r w:rsidR="001C0CAE" w:rsidRPr="001C0CAE">
        <w:rPr>
          <w:rFonts w:ascii="Times New Roman" w:hAnsi="Times New Roman" w:cs="Times New Roman"/>
          <w:sz w:val="24"/>
          <w:szCs w:val="20"/>
          <w:lang w:val="en-GB"/>
        </w:rPr>
        <w:t xml:space="preserve"> active</w:t>
      </w:r>
      <w:r w:rsidR="004B624C">
        <w:rPr>
          <w:rFonts w:ascii="Times New Roman" w:hAnsi="Times New Roman" w:cs="Times New Roman"/>
          <w:sz w:val="24"/>
          <w:szCs w:val="20"/>
          <w:lang w:val="en-GB"/>
        </w:rPr>
        <w:t xml:space="preserve"> role</w:t>
      </w:r>
      <w:r w:rsidR="001C0CAE" w:rsidRPr="001C0CAE">
        <w:rPr>
          <w:rFonts w:ascii="Times New Roman" w:hAnsi="Times New Roman" w:cs="Times New Roman"/>
          <w:sz w:val="24"/>
          <w:szCs w:val="20"/>
          <w:lang w:val="en-GB"/>
        </w:rPr>
        <w:t xml:space="preserve"> in these procedures. He promised the detainees with incentives such as a release from prison and a readmission to the judgeship profession in exchange of pleading guilty and giving incriminating statements against their colleagues. He even publicly </w:t>
      </w:r>
      <w:proofErr w:type="gramStart"/>
      <w:r w:rsidR="001C0CAE" w:rsidRPr="001C0CAE">
        <w:rPr>
          <w:rFonts w:ascii="Times New Roman" w:hAnsi="Times New Roman" w:cs="Times New Roman"/>
          <w:sz w:val="24"/>
          <w:szCs w:val="20"/>
          <w:lang w:val="en-GB"/>
        </w:rPr>
        <w:t>pressur</w:t>
      </w:r>
      <w:r w:rsidR="004B624C">
        <w:rPr>
          <w:rFonts w:ascii="Times New Roman" w:hAnsi="Times New Roman" w:cs="Times New Roman"/>
          <w:sz w:val="24"/>
          <w:szCs w:val="20"/>
          <w:lang w:val="en-GB"/>
        </w:rPr>
        <w:t>ized</w:t>
      </w:r>
      <w:r w:rsidR="001C0CAE" w:rsidRPr="001C0CAE">
        <w:rPr>
          <w:rFonts w:ascii="Times New Roman" w:hAnsi="Times New Roman" w:cs="Times New Roman"/>
          <w:sz w:val="24"/>
          <w:szCs w:val="20"/>
          <w:lang w:val="en-GB"/>
        </w:rPr>
        <w:t xml:space="preserve">  judges</w:t>
      </w:r>
      <w:proofErr w:type="gramEnd"/>
      <w:r w:rsidR="001C0CAE" w:rsidRPr="001C0CAE">
        <w:rPr>
          <w:rFonts w:ascii="Times New Roman" w:hAnsi="Times New Roman" w:cs="Times New Roman"/>
          <w:sz w:val="24"/>
          <w:szCs w:val="20"/>
          <w:lang w:val="en-GB"/>
        </w:rPr>
        <w:t xml:space="preserve"> and prosecutors to give statements against their colleagues. He later pronounced that he had made these statements to deceive judges and prosecutors and to convince them to confess.</w:t>
      </w:r>
      <w:r w:rsidR="001C0CAE" w:rsidRPr="001C0CAE">
        <w:rPr>
          <w:rStyle w:val="FootnoteReference"/>
          <w:rFonts w:ascii="Times New Roman" w:hAnsi="Times New Roman" w:cs="Times New Roman"/>
          <w:sz w:val="24"/>
          <w:szCs w:val="20"/>
          <w:lang w:val="en-GB"/>
        </w:rPr>
        <w:footnoteReference w:id="37"/>
      </w:r>
      <w:r w:rsidR="001C0CAE" w:rsidRPr="001C0CAE">
        <w:rPr>
          <w:rFonts w:ascii="Times New Roman" w:hAnsi="Times New Roman" w:cs="Times New Roman"/>
          <w:sz w:val="24"/>
          <w:szCs w:val="20"/>
          <w:lang w:val="en-GB"/>
        </w:rPr>
        <w:t xml:space="preserve"> He </w:t>
      </w:r>
      <w:r w:rsidR="004B624C">
        <w:rPr>
          <w:rFonts w:ascii="Times New Roman" w:hAnsi="Times New Roman" w:cs="Times New Roman"/>
          <w:sz w:val="24"/>
          <w:szCs w:val="20"/>
          <w:lang w:val="en-GB"/>
        </w:rPr>
        <w:t>also mentioned</w:t>
      </w:r>
      <w:r w:rsidR="001C0CAE" w:rsidRPr="001C0CAE">
        <w:rPr>
          <w:rFonts w:ascii="Times New Roman" w:hAnsi="Times New Roman" w:cs="Times New Roman"/>
          <w:sz w:val="24"/>
          <w:szCs w:val="20"/>
          <w:lang w:val="en-GB"/>
        </w:rPr>
        <w:t xml:space="preserve"> ‘a special team’ </w:t>
      </w:r>
      <w:r w:rsidR="004B624C">
        <w:rPr>
          <w:rFonts w:ascii="Times New Roman" w:hAnsi="Times New Roman" w:cs="Times New Roman"/>
          <w:sz w:val="24"/>
          <w:szCs w:val="20"/>
          <w:lang w:val="en-GB"/>
        </w:rPr>
        <w:t>tasked with</w:t>
      </w:r>
      <w:r w:rsidR="001C0CAE" w:rsidRPr="001C0CAE">
        <w:rPr>
          <w:rFonts w:ascii="Times New Roman" w:hAnsi="Times New Roman" w:cs="Times New Roman"/>
          <w:sz w:val="24"/>
          <w:szCs w:val="20"/>
          <w:lang w:val="en-GB"/>
        </w:rPr>
        <w:t xml:space="preserve"> work</w:t>
      </w:r>
      <w:r w:rsidR="004B624C">
        <w:rPr>
          <w:rFonts w:ascii="Times New Roman" w:hAnsi="Times New Roman" w:cs="Times New Roman"/>
          <w:sz w:val="24"/>
          <w:szCs w:val="20"/>
          <w:lang w:val="en-GB"/>
        </w:rPr>
        <w:t>ing</w:t>
      </w:r>
      <w:r w:rsidR="001C0CAE" w:rsidRPr="001C0CAE">
        <w:rPr>
          <w:rFonts w:ascii="Times New Roman" w:hAnsi="Times New Roman" w:cs="Times New Roman"/>
          <w:sz w:val="24"/>
          <w:szCs w:val="20"/>
          <w:lang w:val="en-GB"/>
        </w:rPr>
        <w:t xml:space="preserve"> on the statements of judges and prosecutors to identify other members within the judiciary.</w:t>
      </w:r>
      <w:r w:rsidR="001C0CAE" w:rsidRPr="001C0CAE">
        <w:rPr>
          <w:rStyle w:val="FootnoteReference"/>
          <w:rFonts w:ascii="Times New Roman" w:hAnsi="Times New Roman" w:cs="Times New Roman"/>
          <w:sz w:val="24"/>
          <w:szCs w:val="20"/>
          <w:lang w:val="en-GB"/>
        </w:rPr>
        <w:footnoteReference w:id="38"/>
      </w:r>
    </w:p>
    <w:p w14:paraId="66CAB030" w14:textId="5486918E" w:rsidR="001C0CAE" w:rsidRPr="001C0CAE" w:rsidRDefault="004B624C" w:rsidP="001C0CAE">
      <w:pPr>
        <w:spacing w:line="360" w:lineRule="auto"/>
        <w:jc w:val="both"/>
        <w:rPr>
          <w:rFonts w:ascii="Times New Roman" w:hAnsi="Times New Roman" w:cs="Times New Roman"/>
          <w:sz w:val="24"/>
          <w:szCs w:val="20"/>
          <w:lang w:val="en-GB"/>
        </w:rPr>
      </w:pPr>
      <w:r w:rsidRPr="004B624C">
        <w:rPr>
          <w:rFonts w:ascii="Times New Roman" w:hAnsi="Times New Roman" w:cs="Times New Roman"/>
          <w:sz w:val="24"/>
          <w:szCs w:val="20"/>
          <w:lang w:val="en-GB"/>
        </w:rPr>
        <w:t xml:space="preserve">Before delving into the explanation of criminal investigations and adjudications, it's crucial to </w:t>
      </w:r>
      <w:r w:rsidR="00F74560">
        <w:rPr>
          <w:rFonts w:ascii="Times New Roman" w:hAnsi="Times New Roman" w:cs="Times New Roman"/>
          <w:sz w:val="24"/>
          <w:szCs w:val="20"/>
          <w:lang w:val="en-GB"/>
        </w:rPr>
        <w:t>elaborate</w:t>
      </w:r>
      <w:r w:rsidRPr="004B624C">
        <w:rPr>
          <w:rFonts w:ascii="Times New Roman" w:hAnsi="Times New Roman" w:cs="Times New Roman"/>
          <w:sz w:val="24"/>
          <w:szCs w:val="20"/>
          <w:lang w:val="en-GB"/>
        </w:rPr>
        <w:t xml:space="preserve"> the dismissals of judges and prosecutors, as it's highly interconnected and essential to fully understand how the crackdown on the judiciary was executed without credible evidence. The Council of Judges and Prosecutors (CJP) is the institution with final authority in dismissing judges and prosecutors. With the enactment of Emergency Decree No. 667, a new </w:t>
      </w:r>
      <w:r w:rsidRPr="004B624C">
        <w:rPr>
          <w:rFonts w:ascii="Times New Roman" w:hAnsi="Times New Roman" w:cs="Times New Roman"/>
          <w:sz w:val="24"/>
          <w:szCs w:val="20"/>
          <w:lang w:val="en-GB"/>
        </w:rPr>
        <w:lastRenderedPageBreak/>
        <w:t xml:space="preserve">system for evaluating evidence was introduced to the Turkish legal system. According to this decree, the CJP can decide on the dismissals of judges and prosecutors whose names appear in lists appended to the decree-laws, or those considered to be members of, affiliated with, or have connections to a "terrorist organization." The obligation to seek credible evidence was removed. In the absence of tangible evidence, the CJP and </w:t>
      </w:r>
      <w:r w:rsidR="005C4318">
        <w:rPr>
          <w:rFonts w:ascii="Times New Roman" w:hAnsi="Times New Roman" w:cs="Times New Roman"/>
          <w:sz w:val="24"/>
          <w:szCs w:val="20"/>
          <w:lang w:val="en-GB"/>
        </w:rPr>
        <w:t>G</w:t>
      </w:r>
      <w:r w:rsidRPr="004B624C">
        <w:rPr>
          <w:rFonts w:ascii="Times New Roman" w:hAnsi="Times New Roman" w:cs="Times New Roman"/>
          <w:sz w:val="24"/>
          <w:szCs w:val="20"/>
          <w:lang w:val="en-GB"/>
        </w:rPr>
        <w:t xml:space="preserve">eneral </w:t>
      </w:r>
      <w:r w:rsidR="005C4318">
        <w:rPr>
          <w:rFonts w:ascii="Times New Roman" w:hAnsi="Times New Roman" w:cs="Times New Roman"/>
          <w:sz w:val="24"/>
          <w:szCs w:val="20"/>
          <w:lang w:val="en-GB"/>
        </w:rPr>
        <w:t>A</w:t>
      </w:r>
      <w:r w:rsidRPr="004B624C">
        <w:rPr>
          <w:rFonts w:ascii="Times New Roman" w:hAnsi="Times New Roman" w:cs="Times New Roman"/>
          <w:sz w:val="24"/>
          <w:szCs w:val="20"/>
          <w:lang w:val="en-GB"/>
        </w:rPr>
        <w:t xml:space="preserve">ssemblies of </w:t>
      </w:r>
      <w:r w:rsidR="005C4318">
        <w:rPr>
          <w:rFonts w:ascii="Times New Roman" w:hAnsi="Times New Roman" w:cs="Times New Roman"/>
          <w:sz w:val="24"/>
          <w:szCs w:val="20"/>
          <w:lang w:val="en-GB"/>
        </w:rPr>
        <w:t>S</w:t>
      </w:r>
      <w:r w:rsidRPr="004B624C">
        <w:rPr>
          <w:rFonts w:ascii="Times New Roman" w:hAnsi="Times New Roman" w:cs="Times New Roman"/>
          <w:sz w:val="24"/>
          <w:szCs w:val="20"/>
          <w:lang w:val="en-GB"/>
        </w:rPr>
        <w:t xml:space="preserve">upreme </w:t>
      </w:r>
      <w:r w:rsidR="005C4318">
        <w:rPr>
          <w:rFonts w:ascii="Times New Roman" w:hAnsi="Times New Roman" w:cs="Times New Roman"/>
          <w:sz w:val="24"/>
          <w:szCs w:val="20"/>
          <w:lang w:val="en-GB"/>
        </w:rPr>
        <w:t>C</w:t>
      </w:r>
      <w:r w:rsidRPr="004B624C">
        <w:rPr>
          <w:rFonts w:ascii="Times New Roman" w:hAnsi="Times New Roman" w:cs="Times New Roman"/>
          <w:sz w:val="24"/>
          <w:szCs w:val="20"/>
          <w:lang w:val="en-GB"/>
        </w:rPr>
        <w:t>ourts may rely on rumours, opinions, affiliations, and other factors as "evidence" to issue dismissal orders. For instance, when the General Assembly of the Constitutional Court decided to dismiss two of its members, it referenced Article 3, stating that the court's opinion formed over time sufficed for dismissal, rather than requiring hard evidence</w:t>
      </w:r>
      <w:r w:rsidR="001C0CAE" w:rsidRPr="001C0CAE">
        <w:rPr>
          <w:rFonts w:ascii="Times New Roman" w:hAnsi="Times New Roman" w:cs="Times New Roman"/>
          <w:sz w:val="24"/>
          <w:szCs w:val="20"/>
          <w:lang w:val="en-GB"/>
        </w:rPr>
        <w:t>.</w:t>
      </w:r>
      <w:r w:rsidR="001C0CAE" w:rsidRPr="001C0CAE">
        <w:rPr>
          <w:rStyle w:val="FootnoteReference"/>
          <w:rFonts w:ascii="Times New Roman" w:hAnsi="Times New Roman" w:cs="Times New Roman"/>
          <w:sz w:val="24"/>
          <w:szCs w:val="20"/>
          <w:lang w:val="en-GB"/>
        </w:rPr>
        <w:footnoteReference w:id="39"/>
      </w:r>
      <w:r w:rsidR="001C0CAE" w:rsidRPr="001C0CAE">
        <w:rPr>
          <w:rStyle w:val="FootnoteReference"/>
          <w:rFonts w:ascii="Times New Roman" w:hAnsi="Times New Roman" w:cs="Times New Roman"/>
          <w:sz w:val="24"/>
          <w:szCs w:val="20"/>
          <w:vertAlign w:val="baseline"/>
          <w:lang w:val="en-GB"/>
        </w:rPr>
        <w:t xml:space="preserve"> </w:t>
      </w:r>
      <w:r w:rsidR="00344028" w:rsidRPr="00344028">
        <w:rPr>
          <w:rStyle w:val="FootnoteReference"/>
          <w:rFonts w:ascii="Times New Roman" w:hAnsi="Times New Roman" w:cs="Times New Roman"/>
          <w:sz w:val="24"/>
          <w:szCs w:val="20"/>
          <w:vertAlign w:val="baseline"/>
          <w:lang w:val="en-GB"/>
        </w:rPr>
        <w:t xml:space="preserve">Judges, prosecutors, and other members of the Supreme Courts have been permanently banned from holding official duties, evicted from public housing, had their passports </w:t>
      </w:r>
      <w:r w:rsidR="005C4318" w:rsidRPr="00344028">
        <w:rPr>
          <w:rStyle w:val="FootnoteReference"/>
          <w:rFonts w:ascii="Times New Roman" w:hAnsi="Times New Roman" w:cs="Times New Roman"/>
          <w:sz w:val="24"/>
          <w:szCs w:val="20"/>
          <w:vertAlign w:val="baseline"/>
          <w:lang w:val="en-GB"/>
        </w:rPr>
        <w:t>cancelled</w:t>
      </w:r>
      <w:r w:rsidR="00344028" w:rsidRPr="00344028">
        <w:rPr>
          <w:rStyle w:val="FootnoteReference"/>
          <w:rFonts w:ascii="Times New Roman" w:hAnsi="Times New Roman" w:cs="Times New Roman"/>
          <w:sz w:val="24"/>
          <w:szCs w:val="20"/>
          <w:vertAlign w:val="baseline"/>
          <w:lang w:val="en-GB"/>
        </w:rPr>
        <w:t xml:space="preserve">, and sanctioned with travel bans. The principles of the right to a fair trial and proportionality have been infringed upon by those who should have been the guardians of democratic achievements. In other words, the CJP and other </w:t>
      </w:r>
      <w:r w:rsidR="005C4318">
        <w:rPr>
          <w:rStyle w:val="FootnoteReference"/>
          <w:rFonts w:ascii="Times New Roman" w:hAnsi="Times New Roman" w:cs="Times New Roman"/>
          <w:sz w:val="24"/>
          <w:szCs w:val="20"/>
          <w:vertAlign w:val="baseline"/>
          <w:lang w:val="en-GB"/>
        </w:rPr>
        <w:t>S</w:t>
      </w:r>
      <w:r w:rsidR="00344028" w:rsidRPr="00344028">
        <w:rPr>
          <w:rStyle w:val="FootnoteReference"/>
          <w:rFonts w:ascii="Times New Roman" w:hAnsi="Times New Roman" w:cs="Times New Roman"/>
          <w:sz w:val="24"/>
          <w:szCs w:val="20"/>
          <w:vertAlign w:val="baseline"/>
          <w:lang w:val="en-GB"/>
        </w:rPr>
        <w:t xml:space="preserve">upreme </w:t>
      </w:r>
      <w:r w:rsidR="005C4318">
        <w:rPr>
          <w:rStyle w:val="FootnoteReference"/>
          <w:rFonts w:ascii="Times New Roman" w:hAnsi="Times New Roman" w:cs="Times New Roman"/>
          <w:sz w:val="24"/>
          <w:szCs w:val="20"/>
          <w:vertAlign w:val="baseline"/>
          <w:lang w:val="en-GB"/>
        </w:rPr>
        <w:t>C</w:t>
      </w:r>
      <w:r w:rsidR="00344028" w:rsidRPr="00344028">
        <w:rPr>
          <w:rStyle w:val="FootnoteReference"/>
          <w:rFonts w:ascii="Times New Roman" w:hAnsi="Times New Roman" w:cs="Times New Roman"/>
          <w:sz w:val="24"/>
          <w:szCs w:val="20"/>
          <w:vertAlign w:val="baseline"/>
          <w:lang w:val="en-GB"/>
        </w:rPr>
        <w:t>ourts have failed to implement the internationally adopted principles on the right to a fair trial under the regime of emergency decrees dictated by the executive power. Consequently, they should not be regarded as independent courts capable of ensuring the full enjoyment of the right to a fair trial as enshrined in Article 14 of the ICCPR. On December 8, 2016, the European Network of Councils for the Judiciary (ENCJ) declared that "the actions and decisions of the CJP, and therefore the CJP as an institution, cannot be seen to be in compliance with European Standards for Councils for the Judiciary. Therefore, the CJP does not currently comply with the ENCJ Statutes and is no longer an institution independent of the executive and legislature, ensuring the final responsibility for the support of the judiciary in the independent delivery of justice.</w:t>
      </w:r>
      <w:r w:rsidR="001C0CAE" w:rsidRPr="001C0CAE">
        <w:rPr>
          <w:rStyle w:val="FootnoteReference"/>
          <w:rFonts w:ascii="Times New Roman" w:hAnsi="Times New Roman" w:cs="Times New Roman"/>
          <w:sz w:val="24"/>
          <w:szCs w:val="20"/>
          <w:lang w:val="en-GB"/>
        </w:rPr>
        <w:footnoteReference w:id="40"/>
      </w:r>
      <w:r w:rsidR="001C0CAE" w:rsidRPr="001C0CAE">
        <w:rPr>
          <w:rStyle w:val="FootnoteReference"/>
          <w:rFonts w:ascii="Times New Roman" w:hAnsi="Times New Roman" w:cs="Times New Roman"/>
          <w:sz w:val="24"/>
          <w:szCs w:val="20"/>
          <w:vertAlign w:val="baseline"/>
          <w:lang w:val="en-GB"/>
        </w:rPr>
        <w:t xml:space="preserve"> </w:t>
      </w:r>
      <w:r w:rsidR="001C0CAE" w:rsidRPr="001C0CAE">
        <w:rPr>
          <w:rFonts w:ascii="Times New Roman" w:hAnsi="Times New Roman" w:cs="Times New Roman"/>
          <w:sz w:val="24"/>
          <w:szCs w:val="20"/>
          <w:lang w:val="en-GB"/>
        </w:rPr>
        <w:t>Four years later ENCJ reaffirmed its findings regarding the dependency of the Turkish judiciary and it even indicated the deterioration of the situation compared to the times shortly afterwards of the coup d’état.</w:t>
      </w:r>
      <w:r w:rsidR="001C0CAE" w:rsidRPr="001C0CAE">
        <w:rPr>
          <w:rStyle w:val="FootnoteReference"/>
          <w:rFonts w:ascii="Times New Roman" w:hAnsi="Times New Roman" w:cs="Times New Roman"/>
          <w:sz w:val="24"/>
          <w:szCs w:val="20"/>
          <w:lang w:val="en-GB"/>
        </w:rPr>
        <w:footnoteReference w:id="41"/>
      </w:r>
    </w:p>
    <w:p w14:paraId="1684DC04" w14:textId="77777777" w:rsidR="00344028" w:rsidRDefault="00344028" w:rsidP="001C0CAE">
      <w:pPr>
        <w:spacing w:line="360" w:lineRule="auto"/>
        <w:jc w:val="both"/>
        <w:rPr>
          <w:rFonts w:ascii="Times New Roman" w:hAnsi="Times New Roman" w:cs="Times New Roman"/>
          <w:sz w:val="24"/>
          <w:szCs w:val="20"/>
          <w:lang w:val="en-GB"/>
        </w:rPr>
      </w:pPr>
      <w:r w:rsidRPr="00344028">
        <w:rPr>
          <w:rFonts w:ascii="Times New Roman" w:hAnsi="Times New Roman" w:cs="Times New Roman"/>
          <w:sz w:val="24"/>
          <w:szCs w:val="20"/>
          <w:lang w:val="en-GB"/>
        </w:rPr>
        <w:t xml:space="preserve">After the completion of indictments, judges and prosecutors were put on trial under the provisions of the Anti-Terrorism Law No. 3713 and the Turkish Criminal Code No. 5237. In the Turkish legal system, Assize Courts have the authority to try terrorism crimes. The Criminal Sections of the Regional Justice Courts are entrusted with hearing cases already decided by the </w:t>
      </w:r>
      <w:r w:rsidRPr="00344028">
        <w:rPr>
          <w:rFonts w:ascii="Times New Roman" w:hAnsi="Times New Roman" w:cs="Times New Roman"/>
          <w:sz w:val="24"/>
          <w:szCs w:val="20"/>
          <w:lang w:val="en-GB"/>
        </w:rPr>
        <w:lastRenderedPageBreak/>
        <w:t>Assize Courts, and the Court of Cassation serves as the supreme authority to adjudicate matters upon referral from a defendant or prosecutor of the Regional Justice Courts.</w:t>
      </w:r>
    </w:p>
    <w:p w14:paraId="689F282B" w14:textId="356E7CF2" w:rsidR="001C0CAE" w:rsidRPr="00344028" w:rsidRDefault="001C0CAE" w:rsidP="001C0CAE">
      <w:pPr>
        <w:spacing w:line="360" w:lineRule="auto"/>
        <w:jc w:val="both"/>
        <w:rPr>
          <w:rFonts w:ascii="Times New Roman" w:hAnsi="Times New Roman" w:cs="Times New Roman"/>
          <w:sz w:val="24"/>
          <w:szCs w:val="20"/>
          <w:lang w:val="en-GB"/>
        </w:rPr>
      </w:pPr>
      <w:r w:rsidRPr="001C0CAE">
        <w:rPr>
          <w:rFonts w:ascii="Times New Roman" w:hAnsi="Times New Roman" w:cs="Times New Roman"/>
          <w:sz w:val="24"/>
          <w:szCs w:val="20"/>
          <w:lang w:val="en-GB"/>
        </w:rPr>
        <w:t xml:space="preserve">One of the crucial components of the right to a fair trial under the Article 14 of the ICCPR is the independence and impartiality of the judges and courts. Defining the judicial independence and presenting the current situation of Turkish judiciary are of utmost importance to be able to make comparison between internationally applied principles and the maintenance of Turkish judiciary. Judicial independence is characterised in two main components, namely internal and external independence which provides that the judges </w:t>
      </w:r>
      <w:proofErr w:type="gramStart"/>
      <w:r w:rsidRPr="001C0CAE">
        <w:rPr>
          <w:rFonts w:ascii="Times New Roman" w:hAnsi="Times New Roman" w:cs="Times New Roman"/>
          <w:sz w:val="24"/>
          <w:szCs w:val="20"/>
          <w:lang w:val="en-GB"/>
        </w:rPr>
        <w:t>has</w:t>
      </w:r>
      <w:proofErr w:type="gramEnd"/>
      <w:r w:rsidRPr="001C0CAE">
        <w:rPr>
          <w:rFonts w:ascii="Times New Roman" w:hAnsi="Times New Roman" w:cs="Times New Roman"/>
          <w:sz w:val="24"/>
          <w:szCs w:val="20"/>
          <w:lang w:val="en-GB"/>
        </w:rPr>
        <w:t xml:space="preserve"> to be protected against the interferences from outside and from within the judiciary.</w:t>
      </w:r>
      <w:r w:rsidRPr="001C0CAE">
        <w:rPr>
          <w:rStyle w:val="FootnoteReference"/>
          <w:rFonts w:ascii="Times New Roman" w:hAnsi="Times New Roman" w:cs="Times New Roman"/>
          <w:sz w:val="24"/>
          <w:szCs w:val="20"/>
          <w:lang w:val="en-GB"/>
        </w:rPr>
        <w:footnoteReference w:id="42"/>
      </w:r>
      <w:r w:rsidRPr="001C0CAE">
        <w:rPr>
          <w:rFonts w:ascii="Times New Roman" w:hAnsi="Times New Roman" w:cs="Times New Roman"/>
          <w:sz w:val="24"/>
          <w:szCs w:val="20"/>
          <w:lang w:val="en-GB"/>
        </w:rPr>
        <w:t xml:space="preserve"> ‘External independence protects judges from external political pressure. Judiciary must not be subject to any hierarchical constraint or subordinated to any other body. Independence is, therefore, guaranteed primarily vis-à-vis the other State’s powers, especially the Executive’.</w:t>
      </w:r>
      <w:r w:rsidRPr="001C0CAE">
        <w:rPr>
          <w:rStyle w:val="FootnoteReference"/>
          <w:rFonts w:ascii="Times New Roman" w:hAnsi="Times New Roman" w:cs="Times New Roman"/>
          <w:sz w:val="24"/>
          <w:szCs w:val="20"/>
          <w:lang w:val="en-GB"/>
        </w:rPr>
        <w:footnoteReference w:id="43"/>
      </w:r>
      <w:r w:rsidR="00344028">
        <w:rPr>
          <w:rFonts w:ascii="Times New Roman" w:hAnsi="Times New Roman" w:cs="Times New Roman"/>
          <w:sz w:val="24"/>
          <w:szCs w:val="20"/>
          <w:lang w:val="en-GB"/>
        </w:rPr>
        <w:t xml:space="preserve"> </w:t>
      </w:r>
      <w:r w:rsidRPr="001C0CAE">
        <w:rPr>
          <w:rFonts w:ascii="Times New Roman" w:hAnsi="Times New Roman" w:cs="Times New Roman"/>
          <w:sz w:val="24"/>
          <w:szCs w:val="24"/>
          <w:lang w:val="en-US"/>
        </w:rPr>
        <w:t xml:space="preserve">‘Internal independence encompasses the independence of individual members of the judiciary and requires that judges designated to decide a case be free from directives or pressures from the fellow judges or those who have administrative responsibilities in the court such as the president of the court or the president of a division in the court or the Judicial Council. </w:t>
      </w:r>
      <w:r w:rsidRPr="001C0CAE">
        <w:rPr>
          <w:rFonts w:ascii="Times New Roman" w:hAnsi="Times New Roman" w:cs="Times New Roman"/>
          <w:sz w:val="24"/>
          <w:szCs w:val="24"/>
          <w:lang w:val="en-GB"/>
        </w:rPr>
        <w:t xml:space="preserve"> </w:t>
      </w:r>
    </w:p>
    <w:p w14:paraId="01158DA4" w14:textId="77777777" w:rsidR="001C0CAE" w:rsidRDefault="001C0CAE" w:rsidP="001C0CAE">
      <w:pPr>
        <w:spacing w:line="360" w:lineRule="auto"/>
        <w:jc w:val="both"/>
        <w:rPr>
          <w:rFonts w:ascii="Times New Roman" w:hAnsi="Times New Roman" w:cs="Times New Roman"/>
          <w:sz w:val="24"/>
          <w:szCs w:val="20"/>
          <w:lang w:val="en-GB"/>
        </w:rPr>
      </w:pPr>
      <w:r w:rsidRPr="001C0CAE">
        <w:rPr>
          <w:rFonts w:ascii="Times New Roman" w:hAnsi="Times New Roman" w:cs="Times New Roman"/>
          <w:sz w:val="24"/>
          <w:szCs w:val="20"/>
          <w:lang w:val="en-GB"/>
        </w:rPr>
        <w:t xml:space="preserve">The mass dismissals of judges and prosecutors constitute a heavy burden on other judges and prosecutors who are still on duty. This situation undoubtedly creates a chilling effect on them because they are being held in constant fear of being sacked and/or detained. </w:t>
      </w:r>
      <w:proofErr w:type="gramStart"/>
      <w:r w:rsidRPr="001C0CAE">
        <w:rPr>
          <w:rFonts w:ascii="Times New Roman" w:hAnsi="Times New Roman" w:cs="Times New Roman"/>
          <w:sz w:val="24"/>
          <w:szCs w:val="20"/>
          <w:lang w:val="en-GB"/>
        </w:rPr>
        <w:t>Accordingly</w:t>
      </w:r>
      <w:proofErr w:type="gramEnd"/>
      <w:r w:rsidRPr="001C0CAE">
        <w:rPr>
          <w:rFonts w:ascii="Times New Roman" w:hAnsi="Times New Roman" w:cs="Times New Roman"/>
          <w:sz w:val="24"/>
          <w:szCs w:val="20"/>
          <w:lang w:val="en-GB"/>
        </w:rPr>
        <w:t xml:space="preserve"> they should not no more be considered as independent judges.</w:t>
      </w:r>
      <w:r w:rsidRPr="001C0CAE">
        <w:rPr>
          <w:rStyle w:val="FootnoteReference"/>
          <w:rFonts w:ascii="Times New Roman" w:hAnsi="Times New Roman" w:cs="Times New Roman"/>
          <w:sz w:val="24"/>
          <w:szCs w:val="20"/>
          <w:lang w:val="en-GB"/>
        </w:rPr>
        <w:footnoteReference w:id="44"/>
      </w:r>
      <w:r w:rsidRPr="001C0CAE">
        <w:rPr>
          <w:rFonts w:ascii="Times New Roman" w:hAnsi="Times New Roman" w:cs="Times New Roman"/>
          <w:sz w:val="24"/>
          <w:szCs w:val="20"/>
          <w:lang w:val="en-GB"/>
        </w:rPr>
        <w:t xml:space="preserve"> Under the new regime of Turkey operated by the executive decrees, no one is safe from being accused with any crime which may result in imprisonment and dismissal. They have been under constant pressure of the government therefore they somehow have had to follow the instructions on the maintenance of the judicial proceedings.</w:t>
      </w:r>
    </w:p>
    <w:p w14:paraId="34A200A1" w14:textId="77777777" w:rsidR="005557CB" w:rsidRPr="005557CB" w:rsidRDefault="005557CB" w:rsidP="005557CB">
      <w:pPr>
        <w:spacing w:after="160" w:line="360" w:lineRule="auto"/>
        <w:jc w:val="both"/>
        <w:rPr>
          <w:rFonts w:ascii="Times New Roman" w:eastAsia="Times New Roman" w:hAnsi="Times New Roman" w:cs="Times New Roman"/>
          <w:color w:val="000000"/>
          <w:sz w:val="24"/>
          <w:szCs w:val="24"/>
          <w:lang w:val="en-GB" w:eastAsia="en-GB"/>
        </w:rPr>
      </w:pPr>
      <w:r w:rsidRPr="005557CB">
        <w:rPr>
          <w:rFonts w:ascii="Times New Roman" w:eastAsia="Times New Roman" w:hAnsi="Times New Roman" w:cs="Times New Roman"/>
          <w:color w:val="000000"/>
          <w:sz w:val="24"/>
          <w:szCs w:val="24"/>
          <w:lang w:val="en-GB" w:eastAsia="en-GB"/>
        </w:rPr>
        <w:t xml:space="preserve">In five groups of judgments regarding more than 1100 arrested judges in Turkey, the ECHR underlined that detentions of these judges and prosecutors on a mass scale were </w:t>
      </w:r>
      <w:r w:rsidRPr="005557CB">
        <w:rPr>
          <w:rFonts w:ascii="Times New Roman" w:eastAsia="Times New Roman" w:hAnsi="Times New Roman" w:cs="Times New Roman"/>
          <w:color w:val="000000"/>
          <w:sz w:val="24"/>
          <w:szCs w:val="24"/>
          <w:u w:val="single"/>
          <w:lang w:val="en-GB" w:eastAsia="en-GB"/>
        </w:rPr>
        <w:t>not based on any evidence</w:t>
      </w:r>
      <w:r w:rsidRPr="005557CB">
        <w:rPr>
          <w:rFonts w:ascii="Times New Roman" w:eastAsia="Times New Roman" w:hAnsi="Times New Roman" w:cs="Times New Roman"/>
          <w:color w:val="000000"/>
          <w:sz w:val="24"/>
          <w:szCs w:val="24"/>
          <w:lang w:val="en-GB" w:eastAsia="en-GB"/>
        </w:rPr>
        <w:t xml:space="preserve"> suggesting that the persons in question might have committed the crimes they </w:t>
      </w:r>
      <w:r w:rsidRPr="005557CB">
        <w:rPr>
          <w:rFonts w:ascii="Times New Roman" w:eastAsia="Times New Roman" w:hAnsi="Times New Roman" w:cs="Times New Roman"/>
          <w:color w:val="000000"/>
          <w:sz w:val="24"/>
          <w:szCs w:val="24"/>
          <w:lang w:val="en-GB" w:eastAsia="en-GB"/>
        </w:rPr>
        <w:lastRenderedPageBreak/>
        <w:t>were charged with</w:t>
      </w:r>
      <w:r w:rsidRPr="005557CB">
        <w:rPr>
          <w:rStyle w:val="FootnoteReference"/>
          <w:rFonts w:ascii="Times New Roman" w:hAnsi="Times New Roman" w:cs="Times New Roman"/>
          <w:sz w:val="24"/>
          <w:szCs w:val="24"/>
        </w:rPr>
        <w:footnoteReference w:id="45"/>
      </w:r>
      <w:r w:rsidRPr="005557CB">
        <w:rPr>
          <w:rFonts w:ascii="Times New Roman" w:eastAsia="Times New Roman" w:hAnsi="Times New Roman" w:cs="Times New Roman"/>
          <w:color w:val="000000"/>
          <w:sz w:val="24"/>
          <w:szCs w:val="24"/>
          <w:lang w:val="en-GB" w:eastAsia="en-GB"/>
        </w:rPr>
        <w:t xml:space="preserve">. More than another 1.000 applications by the arrested judges are still pending before the ECHR. </w:t>
      </w:r>
    </w:p>
    <w:p w14:paraId="0634DA29" w14:textId="64137B05" w:rsidR="005557CB" w:rsidRPr="005557CB" w:rsidRDefault="005557CB" w:rsidP="005557CB">
      <w:pPr>
        <w:pStyle w:val="NormalWeb"/>
        <w:shd w:val="clear" w:color="auto" w:fill="FFFFFF"/>
        <w:spacing w:before="0" w:beforeAutospacing="0" w:line="360" w:lineRule="auto"/>
        <w:jc w:val="both"/>
        <w:rPr>
          <w:color w:val="000000"/>
          <w:lang w:val="en-GB"/>
        </w:rPr>
      </w:pPr>
      <w:r w:rsidRPr="005557CB">
        <w:rPr>
          <w:color w:val="000000"/>
          <w:lang w:val="en-GB"/>
        </w:rPr>
        <w:t>According to the data by the European Asylum Agency</w:t>
      </w:r>
      <w:r w:rsidRPr="005557CB">
        <w:rPr>
          <w:rStyle w:val="FootnoteReference"/>
          <w:rFonts w:eastAsia="Arial"/>
          <w:color w:val="000000"/>
        </w:rPr>
        <w:footnoteReference w:id="46"/>
      </w:r>
      <w:r w:rsidRPr="005557CB">
        <w:rPr>
          <w:color w:val="000000"/>
          <w:lang w:val="en-GB"/>
        </w:rPr>
        <w:t>, only in 2022, over 55.000 Turkish citizens acquired refugee status throughout Europe. There is an estimated number of 200 former judges from Turkey living as refugees in different EU countries. Firmly believing in the fact that “Real patriotism is a willingness to challenge the state when it's wrong”, these judges in exile continue their struggle for justice on European soil.</w:t>
      </w:r>
    </w:p>
    <w:p w14:paraId="58C506B9" w14:textId="258A8C61" w:rsidR="001C0CAE" w:rsidRPr="001C0CAE" w:rsidRDefault="001C0CAE" w:rsidP="001C0CAE">
      <w:pPr>
        <w:pStyle w:val="ListParagraph"/>
        <w:numPr>
          <w:ilvl w:val="0"/>
          <w:numId w:val="42"/>
        </w:numPr>
        <w:spacing w:line="360" w:lineRule="auto"/>
        <w:jc w:val="both"/>
        <w:rPr>
          <w:rFonts w:ascii="Times New Roman" w:hAnsi="Times New Roman" w:cs="Times New Roman"/>
          <w:b/>
          <w:bCs/>
          <w:sz w:val="24"/>
          <w:szCs w:val="20"/>
          <w:lang w:val="en-GB"/>
        </w:rPr>
      </w:pPr>
      <w:r w:rsidRPr="001C0CAE">
        <w:rPr>
          <w:rFonts w:ascii="Times New Roman" w:hAnsi="Times New Roman" w:cs="Times New Roman"/>
          <w:b/>
          <w:bCs/>
          <w:sz w:val="24"/>
          <w:szCs w:val="20"/>
          <w:lang w:val="en-GB"/>
        </w:rPr>
        <w:t>The dissolution of YARSAV</w:t>
      </w:r>
    </w:p>
    <w:p w14:paraId="342CADB3" w14:textId="1407D48A" w:rsidR="001C0CAE" w:rsidRPr="001C0CAE" w:rsidRDefault="001C0CAE" w:rsidP="001C0CAE">
      <w:pPr>
        <w:spacing w:line="360" w:lineRule="auto"/>
        <w:jc w:val="both"/>
        <w:rPr>
          <w:rFonts w:ascii="Times New Roman" w:hAnsi="Times New Roman" w:cs="Times New Roman"/>
          <w:sz w:val="24"/>
          <w:szCs w:val="24"/>
          <w:lang w:val="en-GB"/>
        </w:rPr>
      </w:pPr>
      <w:r w:rsidRPr="001C0CAE">
        <w:rPr>
          <w:rFonts w:ascii="Times New Roman" w:hAnsi="Times New Roman" w:cs="Times New Roman"/>
          <w:sz w:val="24"/>
          <w:szCs w:val="24"/>
          <w:lang w:val="en-GB"/>
        </w:rPr>
        <w:t xml:space="preserve">YARSAV used to be an association of thousands of judges and prosecutors where they had a chance to discuss range of issues which are related to the judgeship profession from seeking solutions to the problems </w:t>
      </w:r>
      <w:proofErr w:type="gramStart"/>
      <w:r w:rsidRPr="001C0CAE">
        <w:rPr>
          <w:rFonts w:ascii="Times New Roman" w:hAnsi="Times New Roman" w:cs="Times New Roman"/>
          <w:sz w:val="24"/>
          <w:szCs w:val="24"/>
          <w:lang w:val="en-GB"/>
        </w:rPr>
        <w:t>of  judges</w:t>
      </w:r>
      <w:proofErr w:type="gramEnd"/>
      <w:r w:rsidRPr="001C0CAE">
        <w:rPr>
          <w:rFonts w:ascii="Times New Roman" w:hAnsi="Times New Roman" w:cs="Times New Roman"/>
          <w:sz w:val="24"/>
          <w:szCs w:val="24"/>
          <w:lang w:val="en-GB"/>
        </w:rPr>
        <w:t xml:space="preserve"> and prosecutors to the improvement of the independence of the judiciary. YARSAV </w:t>
      </w:r>
      <w:r w:rsidR="000771E8">
        <w:rPr>
          <w:rFonts w:ascii="Times New Roman" w:hAnsi="Times New Roman" w:cs="Times New Roman"/>
          <w:sz w:val="24"/>
          <w:szCs w:val="24"/>
          <w:lang w:val="en-GB"/>
        </w:rPr>
        <w:t>had been</w:t>
      </w:r>
      <w:r w:rsidRPr="001C0CAE">
        <w:rPr>
          <w:rFonts w:ascii="Times New Roman" w:hAnsi="Times New Roman" w:cs="Times New Roman"/>
          <w:sz w:val="24"/>
          <w:szCs w:val="24"/>
          <w:lang w:val="en-GB"/>
        </w:rPr>
        <w:t xml:space="preserve"> considered to be a prominent organisation by international organisations in terms of its role in preserving the independence of judges and prosecutors before </w:t>
      </w:r>
      <w:r w:rsidR="000771E8">
        <w:rPr>
          <w:rFonts w:ascii="Times New Roman" w:hAnsi="Times New Roman" w:cs="Times New Roman"/>
          <w:sz w:val="24"/>
          <w:szCs w:val="24"/>
          <w:lang w:val="en-GB"/>
        </w:rPr>
        <w:t xml:space="preserve">it was </w:t>
      </w:r>
      <w:r w:rsidRPr="001C0CAE">
        <w:rPr>
          <w:rFonts w:ascii="Times New Roman" w:hAnsi="Times New Roman" w:cs="Times New Roman"/>
          <w:sz w:val="24"/>
          <w:szCs w:val="24"/>
          <w:lang w:val="en-GB"/>
        </w:rPr>
        <w:t xml:space="preserve">dissolved right after the attempt of coup by the executive decree number 667. The president of YARSAV Murat Arslan was subsequently detained on terrorism related </w:t>
      </w:r>
      <w:proofErr w:type="gramStart"/>
      <w:r w:rsidRPr="001C0CAE">
        <w:rPr>
          <w:rFonts w:ascii="Times New Roman" w:hAnsi="Times New Roman" w:cs="Times New Roman"/>
          <w:sz w:val="24"/>
          <w:szCs w:val="24"/>
          <w:lang w:val="en-GB"/>
        </w:rPr>
        <w:t>charges</w:t>
      </w:r>
      <w:proofErr w:type="gramEnd"/>
      <w:r w:rsidRPr="001C0CAE">
        <w:rPr>
          <w:rFonts w:ascii="Times New Roman" w:hAnsi="Times New Roman" w:cs="Times New Roman"/>
          <w:sz w:val="24"/>
          <w:szCs w:val="24"/>
          <w:lang w:val="en-GB"/>
        </w:rPr>
        <w:t xml:space="preserve"> and he was sentenced to 10 years prison time. At the time of the coup d’état YARSAV had more than 1800 members and it was an institution which was a member of EAJ, MEDEL and IAJ. In an interview with Arrested Lawyers Initiative, Filipe Marques, president of MEDEL made the following remarks which depicts the current human rights situation in Turkey and the unfairness towards YARSAV and its president.</w:t>
      </w:r>
    </w:p>
    <w:p w14:paraId="31107E13" w14:textId="408DFBFC" w:rsidR="001C0CAE" w:rsidRPr="001C0CAE" w:rsidRDefault="000771E8" w:rsidP="001C0CA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t>
      </w:r>
      <w:r w:rsidR="001C0CAE" w:rsidRPr="001C0CAE">
        <w:rPr>
          <w:rFonts w:ascii="Times New Roman" w:hAnsi="Times New Roman" w:cs="Times New Roman"/>
          <w:sz w:val="24"/>
          <w:szCs w:val="24"/>
          <w:lang w:val="en-GB"/>
        </w:rPr>
        <w:t xml:space="preserve">The situation in Turkey is probably the most dramatic MEDEL had to face in its history. Our member association, YARSAV, was administratively disbanded immediately after the attempted Coup d’état of July 2016 and many of its members were arrested, dismissed, and deprived of freedom or property without any solid pieces of evidence, basic </w:t>
      </w:r>
      <w:proofErr w:type="gramStart"/>
      <w:r w:rsidR="001C0CAE" w:rsidRPr="001C0CAE">
        <w:rPr>
          <w:rFonts w:ascii="Times New Roman" w:hAnsi="Times New Roman" w:cs="Times New Roman"/>
          <w:sz w:val="24"/>
          <w:szCs w:val="24"/>
          <w:lang w:val="en-GB"/>
        </w:rPr>
        <w:t>guarantees</w:t>
      </w:r>
      <w:proofErr w:type="gramEnd"/>
      <w:r w:rsidR="001C0CAE" w:rsidRPr="001C0CAE">
        <w:rPr>
          <w:rFonts w:ascii="Times New Roman" w:hAnsi="Times New Roman" w:cs="Times New Roman"/>
          <w:sz w:val="24"/>
          <w:szCs w:val="24"/>
          <w:lang w:val="en-GB"/>
        </w:rPr>
        <w:t xml:space="preserve"> or procedural rights. Murat Arslan, the President of YARSAV, is in jail since October 2016 and was sentenced on January 18th, </w:t>
      </w:r>
      <w:proofErr w:type="gramStart"/>
      <w:r w:rsidR="001C0CAE" w:rsidRPr="001C0CAE">
        <w:rPr>
          <w:rFonts w:ascii="Times New Roman" w:hAnsi="Times New Roman" w:cs="Times New Roman"/>
          <w:sz w:val="24"/>
          <w:szCs w:val="24"/>
          <w:lang w:val="en-GB"/>
        </w:rPr>
        <w:t>2019</w:t>
      </w:r>
      <w:proofErr w:type="gramEnd"/>
      <w:r w:rsidR="001C0CAE" w:rsidRPr="001C0CAE">
        <w:rPr>
          <w:rFonts w:ascii="Times New Roman" w:hAnsi="Times New Roman" w:cs="Times New Roman"/>
          <w:sz w:val="24"/>
          <w:szCs w:val="24"/>
          <w:lang w:val="en-GB"/>
        </w:rPr>
        <w:t xml:space="preserve"> to 10 years imprisonment, after a trial that did not meet any basic principles of a due process of law. MEDEL does not recognize the legitimacy of the </w:t>
      </w:r>
      <w:r w:rsidR="001C0CAE" w:rsidRPr="001C0CAE">
        <w:rPr>
          <w:rFonts w:ascii="Times New Roman" w:hAnsi="Times New Roman" w:cs="Times New Roman"/>
          <w:sz w:val="24"/>
          <w:szCs w:val="24"/>
          <w:lang w:val="en-GB"/>
        </w:rPr>
        <w:lastRenderedPageBreak/>
        <w:t>dismantlement of YARSAV and still considers it a full member and its board members as its rightful representatives</w:t>
      </w:r>
      <w:r>
        <w:rPr>
          <w:rFonts w:ascii="Times New Roman" w:hAnsi="Times New Roman" w:cs="Times New Roman"/>
          <w:sz w:val="24"/>
          <w:szCs w:val="24"/>
          <w:lang w:val="en-GB"/>
        </w:rPr>
        <w:t>.”</w:t>
      </w:r>
      <w:r w:rsidR="001C0CAE" w:rsidRPr="001C0CAE">
        <w:rPr>
          <w:rStyle w:val="FootnoteReference"/>
          <w:rFonts w:ascii="Times New Roman" w:hAnsi="Times New Roman" w:cs="Times New Roman"/>
          <w:sz w:val="24"/>
          <w:szCs w:val="24"/>
          <w:lang w:val="en-GB"/>
        </w:rPr>
        <w:footnoteReference w:id="47"/>
      </w:r>
    </w:p>
    <w:p w14:paraId="60C174C5" w14:textId="794D71FE" w:rsidR="001C0CAE" w:rsidRPr="001C0CAE" w:rsidRDefault="001C0CAE" w:rsidP="001C0CAE">
      <w:pPr>
        <w:spacing w:line="360" w:lineRule="auto"/>
        <w:jc w:val="both"/>
        <w:rPr>
          <w:rFonts w:ascii="Times New Roman" w:hAnsi="Times New Roman" w:cs="Times New Roman"/>
          <w:sz w:val="24"/>
          <w:szCs w:val="24"/>
          <w:lang w:val="en-GB"/>
        </w:rPr>
      </w:pPr>
      <w:r w:rsidRPr="001C0CAE">
        <w:rPr>
          <w:rFonts w:ascii="Times New Roman" w:hAnsi="Times New Roman" w:cs="Times New Roman"/>
          <w:sz w:val="24"/>
          <w:szCs w:val="24"/>
          <w:lang w:val="en-GB"/>
        </w:rPr>
        <w:t xml:space="preserve">Turkey is a country where contradictions and disparities take place. At the same time of dissolution of YARSAV, the </w:t>
      </w:r>
      <w:r w:rsidR="00EE17BE">
        <w:rPr>
          <w:rFonts w:ascii="Times New Roman" w:hAnsi="Times New Roman" w:cs="Times New Roman"/>
          <w:sz w:val="24"/>
          <w:szCs w:val="24"/>
          <w:lang w:val="en-GB"/>
        </w:rPr>
        <w:t>A</w:t>
      </w:r>
      <w:r w:rsidRPr="001C0CAE">
        <w:rPr>
          <w:rFonts w:ascii="Times New Roman" w:hAnsi="Times New Roman" w:cs="Times New Roman"/>
          <w:sz w:val="24"/>
          <w:szCs w:val="24"/>
          <w:lang w:val="en-GB"/>
        </w:rPr>
        <w:t xml:space="preserve">ssociation of </w:t>
      </w:r>
      <w:r w:rsidR="00EE17BE">
        <w:rPr>
          <w:rFonts w:ascii="Times New Roman" w:hAnsi="Times New Roman" w:cs="Times New Roman"/>
          <w:sz w:val="24"/>
          <w:szCs w:val="24"/>
          <w:lang w:val="en-GB"/>
        </w:rPr>
        <w:t>U</w:t>
      </w:r>
      <w:r w:rsidRPr="001C0CAE">
        <w:rPr>
          <w:rFonts w:ascii="Times New Roman" w:hAnsi="Times New Roman" w:cs="Times New Roman"/>
          <w:sz w:val="24"/>
          <w:szCs w:val="24"/>
          <w:lang w:val="en-GB"/>
        </w:rPr>
        <w:t xml:space="preserve">nity in the </w:t>
      </w:r>
      <w:r w:rsidR="00EE17BE">
        <w:rPr>
          <w:rFonts w:ascii="Times New Roman" w:hAnsi="Times New Roman" w:cs="Times New Roman"/>
          <w:sz w:val="24"/>
          <w:szCs w:val="24"/>
          <w:lang w:val="en-GB"/>
        </w:rPr>
        <w:t>J</w:t>
      </w:r>
      <w:r w:rsidRPr="001C0CAE">
        <w:rPr>
          <w:rFonts w:ascii="Times New Roman" w:hAnsi="Times New Roman" w:cs="Times New Roman"/>
          <w:sz w:val="24"/>
          <w:szCs w:val="24"/>
          <w:lang w:val="en-GB"/>
        </w:rPr>
        <w:t>udiciary has been supported by the government at taxpayers` expense. The membership of the association is automatically proposed to all newly recruited judges and prosecutors. The association considered to be ally to the government, has more than 9000 members in the judiciary.</w:t>
      </w:r>
      <w:r w:rsidRPr="001C0CAE">
        <w:rPr>
          <w:rStyle w:val="FootnoteReference"/>
          <w:rFonts w:ascii="Times New Roman" w:hAnsi="Times New Roman" w:cs="Times New Roman"/>
          <w:sz w:val="24"/>
          <w:szCs w:val="24"/>
          <w:lang w:val="en-GB"/>
        </w:rPr>
        <w:footnoteReference w:id="48"/>
      </w:r>
      <w:r w:rsidRPr="001C0CAE">
        <w:rPr>
          <w:rFonts w:ascii="Times New Roman" w:hAnsi="Times New Roman" w:cs="Times New Roman"/>
          <w:sz w:val="24"/>
          <w:szCs w:val="24"/>
          <w:lang w:val="en-GB"/>
        </w:rPr>
        <w:t xml:space="preserve">  The closure of YARSAV and the encouragement of </w:t>
      </w:r>
      <w:r w:rsidR="005557CB" w:rsidRPr="001C0CAE">
        <w:rPr>
          <w:rFonts w:ascii="Times New Roman" w:hAnsi="Times New Roman" w:cs="Times New Roman"/>
          <w:sz w:val="24"/>
          <w:szCs w:val="24"/>
          <w:lang w:val="en-GB"/>
        </w:rPr>
        <w:t xml:space="preserve">the </w:t>
      </w:r>
      <w:r w:rsidR="005557CB">
        <w:rPr>
          <w:rFonts w:ascii="Times New Roman" w:hAnsi="Times New Roman" w:cs="Times New Roman"/>
          <w:sz w:val="24"/>
          <w:szCs w:val="24"/>
          <w:lang w:val="en-GB"/>
        </w:rPr>
        <w:t>A</w:t>
      </w:r>
      <w:r w:rsidR="005557CB" w:rsidRPr="001C0CAE">
        <w:rPr>
          <w:rFonts w:ascii="Times New Roman" w:hAnsi="Times New Roman" w:cs="Times New Roman"/>
          <w:sz w:val="24"/>
          <w:szCs w:val="24"/>
          <w:lang w:val="en-GB"/>
        </w:rPr>
        <w:t xml:space="preserve">ssociation of </w:t>
      </w:r>
      <w:r w:rsidR="005557CB">
        <w:rPr>
          <w:rFonts w:ascii="Times New Roman" w:hAnsi="Times New Roman" w:cs="Times New Roman"/>
          <w:sz w:val="24"/>
          <w:szCs w:val="24"/>
          <w:lang w:val="en-GB"/>
        </w:rPr>
        <w:t>U</w:t>
      </w:r>
      <w:r w:rsidR="005557CB" w:rsidRPr="001C0CAE">
        <w:rPr>
          <w:rFonts w:ascii="Times New Roman" w:hAnsi="Times New Roman" w:cs="Times New Roman"/>
          <w:sz w:val="24"/>
          <w:szCs w:val="24"/>
          <w:lang w:val="en-GB"/>
        </w:rPr>
        <w:t xml:space="preserve">nity in the </w:t>
      </w:r>
      <w:r w:rsidR="005557CB">
        <w:rPr>
          <w:rFonts w:ascii="Times New Roman" w:hAnsi="Times New Roman" w:cs="Times New Roman"/>
          <w:sz w:val="24"/>
          <w:szCs w:val="24"/>
          <w:lang w:val="en-GB"/>
        </w:rPr>
        <w:t>J</w:t>
      </w:r>
      <w:r w:rsidR="005557CB" w:rsidRPr="001C0CAE">
        <w:rPr>
          <w:rFonts w:ascii="Times New Roman" w:hAnsi="Times New Roman" w:cs="Times New Roman"/>
          <w:sz w:val="24"/>
          <w:szCs w:val="24"/>
          <w:lang w:val="en-GB"/>
        </w:rPr>
        <w:t xml:space="preserve">udiciary </w:t>
      </w:r>
      <w:r w:rsidRPr="001C0CAE">
        <w:rPr>
          <w:rFonts w:ascii="Times New Roman" w:hAnsi="Times New Roman" w:cs="Times New Roman"/>
          <w:sz w:val="24"/>
          <w:szCs w:val="24"/>
          <w:lang w:val="en-GB"/>
        </w:rPr>
        <w:t xml:space="preserve">sends a clear message to all judges and prosecutors that the only way not to be dismissed or imprisoned is showing the full compliance of the policies of the government in a way that costs their independence. In such an environment where judges and prosecutors are being kept under the pressure of the executive branch, the full enjoyment of the right to a fair trial is unattainable. </w:t>
      </w:r>
    </w:p>
    <w:p w14:paraId="78A9898C" w14:textId="4BFE8486" w:rsidR="001C0CAE" w:rsidRPr="001C0CAE" w:rsidRDefault="007B3592" w:rsidP="001C0CAE">
      <w:pPr>
        <w:spacing w:line="360" w:lineRule="auto"/>
        <w:jc w:val="both"/>
        <w:rPr>
          <w:rFonts w:ascii="Times New Roman" w:hAnsi="Times New Roman" w:cs="Times New Roman"/>
          <w:sz w:val="24"/>
          <w:szCs w:val="24"/>
          <w:lang w:val="en-GB"/>
        </w:rPr>
      </w:pPr>
      <w:r w:rsidRPr="007B3592">
        <w:rPr>
          <w:rFonts w:ascii="Times New Roman" w:hAnsi="Times New Roman" w:cs="Times New Roman"/>
          <w:sz w:val="24"/>
          <w:szCs w:val="24"/>
          <w:lang w:val="en-GB"/>
        </w:rPr>
        <w:t>Amidst the ongoing persecution of independent judges and prosecutors, the recruitment of new judges and prosecutors has continued on a large scale, prioritizing politically adopted criteria over professional competence and personal abilities. As of July 15, 2016, the day of the abortive coup, there were approximately 14,500 judges and prosecutors in Turkey. In the few months following July 15, 4,560 of them were dismissed. According to the European Commission's 202</w:t>
      </w:r>
      <w:r w:rsidR="00A84D1E">
        <w:rPr>
          <w:rFonts w:ascii="Times New Roman" w:hAnsi="Times New Roman" w:cs="Times New Roman"/>
          <w:sz w:val="24"/>
          <w:szCs w:val="24"/>
          <w:lang w:val="en-GB"/>
        </w:rPr>
        <w:t>3</w:t>
      </w:r>
      <w:r w:rsidRPr="007B3592">
        <w:rPr>
          <w:rFonts w:ascii="Times New Roman" w:hAnsi="Times New Roman" w:cs="Times New Roman"/>
          <w:sz w:val="24"/>
          <w:szCs w:val="24"/>
          <w:lang w:val="en-GB"/>
        </w:rPr>
        <w:t xml:space="preserve"> report, by </w:t>
      </w:r>
      <w:r w:rsidR="00A84D1E">
        <w:rPr>
          <w:rFonts w:ascii="Times New Roman" w:hAnsi="Times New Roman" w:cs="Times New Roman"/>
          <w:sz w:val="24"/>
          <w:szCs w:val="24"/>
          <w:lang w:val="en-GB"/>
        </w:rPr>
        <w:t>September</w:t>
      </w:r>
      <w:r w:rsidRPr="007B3592">
        <w:rPr>
          <w:rFonts w:ascii="Times New Roman" w:hAnsi="Times New Roman" w:cs="Times New Roman"/>
          <w:sz w:val="24"/>
          <w:szCs w:val="24"/>
          <w:lang w:val="en-GB"/>
        </w:rPr>
        <w:t xml:space="preserve"> 20</w:t>
      </w:r>
      <w:r w:rsidR="00A84D1E">
        <w:rPr>
          <w:rFonts w:ascii="Times New Roman" w:hAnsi="Times New Roman" w:cs="Times New Roman"/>
          <w:sz w:val="24"/>
          <w:szCs w:val="24"/>
          <w:lang w:val="en-GB"/>
        </w:rPr>
        <w:t>23</w:t>
      </w:r>
      <w:r w:rsidRPr="007B3592">
        <w:rPr>
          <w:rFonts w:ascii="Times New Roman" w:hAnsi="Times New Roman" w:cs="Times New Roman"/>
          <w:sz w:val="24"/>
          <w:szCs w:val="24"/>
          <w:lang w:val="en-GB"/>
        </w:rPr>
        <w:t>, the total number of judges and prosecutors had risen to 2</w:t>
      </w:r>
      <w:r w:rsidR="00A84D1E">
        <w:rPr>
          <w:rFonts w:ascii="Times New Roman" w:hAnsi="Times New Roman" w:cs="Times New Roman"/>
          <w:sz w:val="24"/>
          <w:szCs w:val="24"/>
          <w:lang w:val="en-GB"/>
        </w:rPr>
        <w:t>3</w:t>
      </w:r>
      <w:r w:rsidRPr="007B3592">
        <w:rPr>
          <w:rFonts w:ascii="Times New Roman" w:hAnsi="Times New Roman" w:cs="Times New Roman"/>
          <w:sz w:val="24"/>
          <w:szCs w:val="24"/>
          <w:lang w:val="en-GB"/>
        </w:rPr>
        <w:t>,</w:t>
      </w:r>
      <w:r w:rsidR="00A84D1E">
        <w:rPr>
          <w:rFonts w:ascii="Times New Roman" w:hAnsi="Times New Roman" w:cs="Times New Roman"/>
          <w:sz w:val="24"/>
          <w:szCs w:val="24"/>
          <w:lang w:val="en-GB"/>
        </w:rPr>
        <w:t>826</w:t>
      </w:r>
      <w:r>
        <w:rPr>
          <w:rFonts w:ascii="Times New Roman" w:hAnsi="Times New Roman" w:cs="Times New Roman"/>
          <w:sz w:val="24"/>
          <w:szCs w:val="24"/>
          <w:lang w:val="en-GB"/>
        </w:rPr>
        <w:t>.</w:t>
      </w:r>
      <w:r w:rsidR="001C0CAE" w:rsidRPr="001C0CAE">
        <w:rPr>
          <w:rStyle w:val="FootnoteReference"/>
          <w:rFonts w:ascii="Times New Roman" w:hAnsi="Times New Roman" w:cs="Times New Roman"/>
          <w:sz w:val="24"/>
          <w:szCs w:val="24"/>
          <w:lang w:val="en-GB"/>
        </w:rPr>
        <w:footnoteReference w:id="49"/>
      </w:r>
      <w:r w:rsidR="001C0CAE" w:rsidRPr="001C0CAE">
        <w:rPr>
          <w:rFonts w:ascii="Times New Roman" w:hAnsi="Times New Roman" w:cs="Times New Roman"/>
          <w:sz w:val="24"/>
          <w:szCs w:val="24"/>
          <w:lang w:val="en-GB"/>
        </w:rPr>
        <w:t xml:space="preserve"> </w:t>
      </w:r>
      <w:r w:rsidR="00AB0E1C" w:rsidRPr="00AB0E1C">
        <w:rPr>
          <w:rFonts w:ascii="Times New Roman" w:hAnsi="Times New Roman" w:cs="Times New Roman"/>
          <w:sz w:val="24"/>
          <w:szCs w:val="24"/>
          <w:lang w:val="en-GB"/>
        </w:rPr>
        <w:t>These numbers illustrate that over ten thousand judges and prosecutors were appointed, clearly indicating that the composition of the judiciary has been redesigned in favour of the government, which considers the coup d’état "a grace from God"</w:t>
      </w:r>
      <w:r w:rsidR="005557CB">
        <w:rPr>
          <w:rFonts w:ascii="Times New Roman" w:hAnsi="Times New Roman" w:cs="Times New Roman"/>
          <w:sz w:val="24"/>
          <w:szCs w:val="24"/>
          <w:lang w:val="en-GB"/>
        </w:rPr>
        <w:t xml:space="preserve"> as defined by Erdogan.</w:t>
      </w:r>
      <w:r w:rsidR="00AB0E1C" w:rsidRPr="00AB0E1C">
        <w:rPr>
          <w:rFonts w:ascii="Times New Roman" w:hAnsi="Times New Roman" w:cs="Times New Roman"/>
          <w:sz w:val="24"/>
          <w:szCs w:val="24"/>
          <w:lang w:val="en-GB"/>
        </w:rPr>
        <w:t xml:space="preserve"> Vacancies in the judiciary continue to be filled by the government, allowing pre-selected candidates to enter the system through a fast-track procedure and a non-transparent selection process.</w:t>
      </w:r>
      <w:r w:rsidR="00A84D1E">
        <w:rPr>
          <w:rFonts w:ascii="Times New Roman" w:hAnsi="Times New Roman" w:cs="Times New Roman"/>
          <w:sz w:val="24"/>
          <w:szCs w:val="24"/>
          <w:lang w:val="en-GB"/>
        </w:rPr>
        <w:t xml:space="preserve"> This claim is </w:t>
      </w:r>
      <w:r w:rsidR="00336FCC">
        <w:rPr>
          <w:rFonts w:ascii="Times New Roman" w:hAnsi="Times New Roman" w:cs="Times New Roman"/>
          <w:sz w:val="24"/>
          <w:szCs w:val="24"/>
          <w:lang w:val="en-GB"/>
        </w:rPr>
        <w:t>reiterated</w:t>
      </w:r>
      <w:r w:rsidR="00A84D1E">
        <w:rPr>
          <w:rFonts w:ascii="Times New Roman" w:hAnsi="Times New Roman" w:cs="Times New Roman"/>
          <w:sz w:val="24"/>
          <w:szCs w:val="24"/>
          <w:lang w:val="en-GB"/>
        </w:rPr>
        <w:t xml:space="preserve"> in the</w:t>
      </w:r>
      <w:r w:rsidR="00336FCC">
        <w:rPr>
          <w:rFonts w:ascii="Times New Roman" w:hAnsi="Times New Roman" w:cs="Times New Roman"/>
          <w:sz w:val="24"/>
          <w:szCs w:val="24"/>
          <w:lang w:val="en-GB"/>
        </w:rPr>
        <w:t xml:space="preserve"> 2023</w:t>
      </w:r>
      <w:r w:rsidR="00A84D1E">
        <w:rPr>
          <w:rFonts w:ascii="Times New Roman" w:hAnsi="Times New Roman" w:cs="Times New Roman"/>
          <w:sz w:val="24"/>
          <w:szCs w:val="24"/>
          <w:lang w:val="en-GB"/>
        </w:rPr>
        <w:t xml:space="preserve"> progress report of the European Commission</w:t>
      </w:r>
      <w:r w:rsidR="00336FCC">
        <w:rPr>
          <w:rFonts w:ascii="Times New Roman" w:hAnsi="Times New Roman" w:cs="Times New Roman"/>
          <w:sz w:val="24"/>
          <w:szCs w:val="24"/>
          <w:lang w:val="en-GB"/>
        </w:rPr>
        <w:t xml:space="preserve"> as saying</w:t>
      </w:r>
      <w:r w:rsidR="00A84D1E">
        <w:rPr>
          <w:rFonts w:ascii="Times New Roman" w:hAnsi="Times New Roman" w:cs="Times New Roman"/>
          <w:sz w:val="24"/>
          <w:szCs w:val="24"/>
          <w:lang w:val="en-GB"/>
        </w:rPr>
        <w:t xml:space="preserve"> </w:t>
      </w:r>
      <w:r w:rsidR="00AB0E1C" w:rsidRPr="00AB0E1C">
        <w:rPr>
          <w:rFonts w:ascii="Times New Roman" w:hAnsi="Times New Roman" w:cs="Times New Roman"/>
          <w:sz w:val="24"/>
          <w:szCs w:val="24"/>
          <w:lang w:val="en-GB"/>
        </w:rPr>
        <w:t xml:space="preserve"> </w:t>
      </w:r>
      <w:r w:rsidR="00A84D1E">
        <w:rPr>
          <w:rFonts w:ascii="Times New Roman" w:hAnsi="Times New Roman" w:cs="Times New Roman"/>
          <w:sz w:val="24"/>
          <w:szCs w:val="24"/>
          <w:lang w:val="en-GB"/>
        </w:rPr>
        <w:t>“</w:t>
      </w:r>
      <w:r w:rsidR="00A84D1E" w:rsidRPr="00A84D1E">
        <w:rPr>
          <w:rFonts w:ascii="Times New Roman" w:hAnsi="Times New Roman" w:cs="Times New Roman"/>
          <w:sz w:val="24"/>
          <w:szCs w:val="24"/>
          <w:lang w:val="en-GB"/>
        </w:rPr>
        <w:t>The selection and recruitment of judges and prosecutors is conducted in a non-transparent manner</w:t>
      </w:r>
      <w:r w:rsidR="00A84D1E">
        <w:rPr>
          <w:rFonts w:ascii="Times New Roman" w:hAnsi="Times New Roman" w:cs="Times New Roman"/>
          <w:sz w:val="24"/>
          <w:szCs w:val="24"/>
          <w:lang w:val="en-GB"/>
        </w:rPr>
        <w:t>”</w:t>
      </w:r>
      <w:r w:rsidR="00336FCC">
        <w:rPr>
          <w:rFonts w:ascii="Times New Roman" w:hAnsi="Times New Roman" w:cs="Times New Roman"/>
          <w:sz w:val="24"/>
          <w:szCs w:val="24"/>
          <w:lang w:val="en-GB"/>
        </w:rPr>
        <w:t xml:space="preserve"> and “</w:t>
      </w:r>
      <w:r w:rsidR="00336FCC" w:rsidRPr="00336FCC">
        <w:rPr>
          <w:rFonts w:ascii="Times New Roman" w:hAnsi="Times New Roman" w:cs="Times New Roman"/>
          <w:sz w:val="24"/>
          <w:szCs w:val="24"/>
          <w:lang w:val="en-GB"/>
        </w:rPr>
        <w:t xml:space="preserve">There was limited progress in setting objective, merit-based, standardised and pre-established criteria for recruiting and promoting judges and </w:t>
      </w:r>
      <w:r w:rsidR="00336FCC" w:rsidRPr="00336FCC">
        <w:rPr>
          <w:rFonts w:ascii="Times New Roman" w:hAnsi="Times New Roman" w:cs="Times New Roman"/>
          <w:sz w:val="24"/>
          <w:szCs w:val="24"/>
          <w:lang w:val="en-GB"/>
        </w:rPr>
        <w:lastRenderedPageBreak/>
        <w:t>prosecutors.</w:t>
      </w:r>
      <w:r w:rsidR="00336FCC">
        <w:rPr>
          <w:rFonts w:ascii="Times New Roman" w:hAnsi="Times New Roman" w:cs="Times New Roman"/>
          <w:sz w:val="24"/>
          <w:szCs w:val="24"/>
          <w:lang w:val="en-GB"/>
        </w:rPr>
        <w:t>”</w:t>
      </w:r>
      <w:r w:rsidR="001C0CAE" w:rsidRPr="001C0CAE">
        <w:rPr>
          <w:rStyle w:val="FootnoteReference"/>
          <w:rFonts w:ascii="Times New Roman" w:hAnsi="Times New Roman" w:cs="Times New Roman"/>
          <w:sz w:val="24"/>
          <w:szCs w:val="24"/>
          <w:lang w:val="en-GB"/>
        </w:rPr>
        <w:footnoteReference w:id="50"/>
      </w:r>
      <w:r w:rsidR="001C0CAE" w:rsidRPr="001C0CAE">
        <w:rPr>
          <w:rFonts w:ascii="Times New Roman" w:hAnsi="Times New Roman" w:cs="Times New Roman"/>
          <w:sz w:val="24"/>
          <w:szCs w:val="24"/>
          <w:lang w:val="en-GB"/>
        </w:rPr>
        <w:t xml:space="preserve"> The lack of objective, merit-based, uniform and pre-established criteria</w:t>
      </w:r>
      <w:r w:rsidR="001C0CAE" w:rsidRPr="001C0CAE">
        <w:rPr>
          <w:rStyle w:val="FootnoteReference"/>
          <w:rFonts w:ascii="Times New Roman" w:hAnsi="Times New Roman" w:cs="Times New Roman"/>
          <w:sz w:val="24"/>
          <w:szCs w:val="24"/>
          <w:lang w:val="en-GB"/>
        </w:rPr>
        <w:footnoteReference w:id="51"/>
      </w:r>
      <w:r w:rsidR="001C0CAE" w:rsidRPr="001C0CAE">
        <w:rPr>
          <w:rFonts w:ascii="Times New Roman" w:hAnsi="Times New Roman" w:cs="Times New Roman"/>
          <w:sz w:val="24"/>
          <w:szCs w:val="24"/>
          <w:lang w:val="en-GB"/>
        </w:rPr>
        <w:t xml:space="preserve"> for recruiting and promoting judges and prosecutors has opened wide the door to the politicisation of the judiciary. This severely affects not only the independence but also the appearance of impartiality of judges. </w:t>
      </w:r>
    </w:p>
    <w:p w14:paraId="3BC05F94" w14:textId="77777777" w:rsidR="00586E26" w:rsidRPr="00401CA1" w:rsidRDefault="00586E26" w:rsidP="007E2487">
      <w:pPr>
        <w:spacing w:line="360" w:lineRule="auto"/>
        <w:jc w:val="both"/>
        <w:rPr>
          <w:rFonts w:ascii="Times New Roman" w:hAnsi="Times New Roman" w:cs="Times New Roman"/>
          <w:sz w:val="24"/>
          <w:szCs w:val="24"/>
          <w:lang w:val="en-GB"/>
        </w:rPr>
      </w:pPr>
    </w:p>
    <w:sectPr w:rsidR="00586E26" w:rsidRPr="00401CA1" w:rsidSect="00B658E2">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8D4FF" w14:textId="77777777" w:rsidR="00C12BC8" w:rsidRDefault="00C12BC8">
      <w:pPr>
        <w:spacing w:after="0" w:line="240" w:lineRule="auto"/>
      </w:pPr>
      <w:r>
        <w:separator/>
      </w:r>
    </w:p>
  </w:endnote>
  <w:endnote w:type="continuationSeparator" w:id="0">
    <w:p w14:paraId="3381CF0C" w14:textId="77777777" w:rsidR="00C12BC8" w:rsidRDefault="00C12BC8">
      <w:pPr>
        <w:spacing w:after="0" w:line="240" w:lineRule="auto"/>
      </w:pPr>
      <w:r>
        <w:continuationSeparator/>
      </w:r>
    </w:p>
  </w:endnote>
  <w:endnote w:type="continuationNotice" w:id="1">
    <w:p w14:paraId="53C0AB96" w14:textId="77777777" w:rsidR="00C12BC8" w:rsidRDefault="00C12B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584324"/>
      <w:docPartObj>
        <w:docPartGallery w:val="Page Numbers (Bottom of Page)"/>
        <w:docPartUnique/>
      </w:docPartObj>
    </w:sdtPr>
    <w:sdtEndPr/>
    <w:sdtContent>
      <w:p w14:paraId="1CA82D18" w14:textId="77777777" w:rsidR="00B76F2E" w:rsidRDefault="00B76F2E">
        <w:pPr>
          <w:pStyle w:val="Footer"/>
          <w:jc w:val="center"/>
        </w:pPr>
        <w:r>
          <w:fldChar w:fldCharType="begin"/>
        </w:r>
        <w:r>
          <w:instrText>PAGE   \* MERGEFORMAT</w:instrText>
        </w:r>
        <w:r>
          <w:fldChar w:fldCharType="separate"/>
        </w:r>
        <w:r w:rsidR="000D4D10" w:rsidRPr="000D4D10">
          <w:rPr>
            <w:noProof/>
            <w:lang w:val="tr-TR"/>
          </w:rPr>
          <w:t>2</w:t>
        </w:r>
        <w:r w:rsidR="000D4D10" w:rsidRPr="000D4D10">
          <w:rPr>
            <w:noProof/>
            <w:lang w:val="tr-TR"/>
          </w:rPr>
          <w:t>1</w:t>
        </w:r>
        <w:r>
          <w:fldChar w:fldCharType="end"/>
        </w:r>
      </w:p>
    </w:sdtContent>
  </w:sdt>
  <w:p w14:paraId="62D6CF04" w14:textId="7AD6A45F" w:rsidR="00471044" w:rsidRDefault="00471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3058E" w14:textId="77777777" w:rsidR="00C12BC8" w:rsidRDefault="00C12BC8">
      <w:pPr>
        <w:spacing w:after="0" w:line="240" w:lineRule="auto"/>
      </w:pPr>
      <w:r>
        <w:separator/>
      </w:r>
    </w:p>
  </w:footnote>
  <w:footnote w:type="continuationSeparator" w:id="0">
    <w:p w14:paraId="4E754D72" w14:textId="77777777" w:rsidR="00C12BC8" w:rsidRDefault="00C12BC8">
      <w:pPr>
        <w:spacing w:after="0" w:line="240" w:lineRule="auto"/>
      </w:pPr>
      <w:r>
        <w:continuationSeparator/>
      </w:r>
    </w:p>
  </w:footnote>
  <w:footnote w:type="continuationNotice" w:id="1">
    <w:p w14:paraId="0EB8E7E6" w14:textId="77777777" w:rsidR="00C12BC8" w:rsidRDefault="00C12BC8">
      <w:pPr>
        <w:spacing w:after="0" w:line="240" w:lineRule="auto"/>
      </w:pPr>
    </w:p>
  </w:footnote>
  <w:footnote w:id="2">
    <w:p w14:paraId="36AD1398" w14:textId="77777777" w:rsidR="00B50016" w:rsidRPr="00B658E2" w:rsidRDefault="00B50016" w:rsidP="00B50016">
      <w:pPr>
        <w:pStyle w:val="FootnoteText"/>
        <w:rPr>
          <w:lang w:val="en-GB"/>
        </w:rPr>
      </w:pPr>
      <w:r>
        <w:rPr>
          <w:rStyle w:val="FootnoteReference"/>
        </w:rPr>
        <w:footnoteRef/>
      </w:r>
      <w:r w:rsidRPr="00B658E2">
        <w:rPr>
          <w:lang w:val="en-GB"/>
        </w:rPr>
        <w:t xml:space="preserve"> </w:t>
      </w:r>
      <w:r w:rsidRPr="001440D8">
        <w:rPr>
          <w:lang w:val="en-GB"/>
        </w:rPr>
        <w:t xml:space="preserve">The Volunteer Jurists is a </w:t>
      </w:r>
      <w:r w:rsidRPr="0096157F">
        <w:rPr>
          <w:lang w:val="en-GB"/>
        </w:rPr>
        <w:t xml:space="preserve">professional, non-political, </w:t>
      </w:r>
      <w:proofErr w:type="gramStart"/>
      <w:r w:rsidRPr="0096157F">
        <w:rPr>
          <w:lang w:val="en-GB"/>
        </w:rPr>
        <w:t>non-profit</w:t>
      </w:r>
      <w:proofErr w:type="gramEnd"/>
      <w:r w:rsidRPr="0096157F">
        <w:rPr>
          <w:lang w:val="en-GB"/>
        </w:rPr>
        <w:t xml:space="preserve"> and international association, aiming to disseminate, promote and defend democracy, human rights, the rule of law and the independence of the judiciary; and to fight against human rights violations against lawyers</w:t>
      </w:r>
      <w:r w:rsidRPr="001440D8">
        <w:rPr>
          <w:lang w:val="en-GB"/>
        </w:rPr>
        <w:t>.</w:t>
      </w:r>
    </w:p>
  </w:footnote>
  <w:footnote w:id="3">
    <w:p w14:paraId="23C2EE42" w14:textId="281B74EC" w:rsidR="00B50016" w:rsidRPr="00B50016" w:rsidRDefault="00B50016">
      <w:pPr>
        <w:pStyle w:val="FootnoteText"/>
        <w:rPr>
          <w:lang w:val="en-GB"/>
        </w:rPr>
      </w:pPr>
      <w:r>
        <w:rPr>
          <w:rStyle w:val="FootnoteReference"/>
        </w:rPr>
        <w:footnoteRef/>
      </w:r>
      <w:r w:rsidRPr="00B50016">
        <w:rPr>
          <w:lang w:val="en-GB"/>
        </w:rPr>
        <w:t xml:space="preserve"> Justice for Rule of Law ASBL is a professional, </w:t>
      </w:r>
      <w:proofErr w:type="gramStart"/>
      <w:r w:rsidRPr="00B50016">
        <w:rPr>
          <w:lang w:val="en-GB"/>
        </w:rPr>
        <w:t>non-political</w:t>
      </w:r>
      <w:proofErr w:type="gramEnd"/>
      <w:r w:rsidRPr="00B50016">
        <w:rPr>
          <w:lang w:val="en-GB"/>
        </w:rPr>
        <w:t xml:space="preserve"> and non-profit association, aiming to; defend judicial independence in the service of the rule of law and a lasting democracy, be in solidarity with the victims of illiberal and populist oppression, inside and outside the EU, contribute to cultural and social integration, as well as to the reintegration of jurists and their families who had to flee persecution in their country of origin.</w:t>
      </w:r>
    </w:p>
  </w:footnote>
  <w:footnote w:id="4">
    <w:p w14:paraId="0C62416E" w14:textId="410D7ECC" w:rsidR="004A1DA8" w:rsidRPr="004A1DA8" w:rsidRDefault="004A1DA8">
      <w:pPr>
        <w:pStyle w:val="FootnoteText"/>
        <w:rPr>
          <w:lang w:val="en-GB"/>
        </w:rPr>
      </w:pPr>
      <w:r>
        <w:rPr>
          <w:rStyle w:val="FootnoteReference"/>
        </w:rPr>
        <w:footnoteRef/>
      </w:r>
      <w:r w:rsidRPr="004A1DA8">
        <w:rPr>
          <w:lang w:val="en-GB"/>
        </w:rPr>
        <w:t xml:space="preserve"> </w:t>
      </w:r>
      <w:r>
        <w:rPr>
          <w:lang w:val="en-GB"/>
        </w:rPr>
        <w:t xml:space="preserve">United Nations Human Rights Council, ‘The </w:t>
      </w:r>
      <w:r w:rsidR="00B11D69">
        <w:rPr>
          <w:lang w:val="en-GB"/>
        </w:rPr>
        <w:t>R</w:t>
      </w:r>
      <w:r>
        <w:rPr>
          <w:lang w:val="en-GB"/>
        </w:rPr>
        <w:t xml:space="preserve">eport of the </w:t>
      </w:r>
      <w:r w:rsidR="00B11D69">
        <w:rPr>
          <w:lang w:val="en-GB"/>
        </w:rPr>
        <w:t>S</w:t>
      </w:r>
      <w:r>
        <w:rPr>
          <w:lang w:val="en-GB"/>
        </w:rPr>
        <w:t xml:space="preserve">pecial </w:t>
      </w:r>
      <w:r w:rsidR="00B11D69">
        <w:rPr>
          <w:lang w:val="en-GB"/>
        </w:rPr>
        <w:t>R</w:t>
      </w:r>
      <w:r>
        <w:rPr>
          <w:lang w:val="en-GB"/>
        </w:rPr>
        <w:t xml:space="preserve">apporteur on </w:t>
      </w:r>
      <w:r w:rsidR="00B11D69">
        <w:rPr>
          <w:lang w:val="en-GB"/>
        </w:rPr>
        <w:t>T</w:t>
      </w:r>
      <w:r>
        <w:rPr>
          <w:lang w:val="en-GB"/>
        </w:rPr>
        <w:t xml:space="preserve">orture and </w:t>
      </w:r>
      <w:r w:rsidR="00B11D69">
        <w:rPr>
          <w:lang w:val="en-GB"/>
        </w:rPr>
        <w:t>O</w:t>
      </w:r>
      <w:r>
        <w:rPr>
          <w:lang w:val="en-GB"/>
        </w:rPr>
        <w:t xml:space="preserve">ther </w:t>
      </w:r>
      <w:r w:rsidR="00B11D69">
        <w:rPr>
          <w:lang w:val="en-GB"/>
        </w:rPr>
        <w:t>C</w:t>
      </w:r>
      <w:r>
        <w:rPr>
          <w:lang w:val="en-GB"/>
        </w:rPr>
        <w:t xml:space="preserve">ruel, </w:t>
      </w:r>
      <w:r w:rsidR="00B11D69">
        <w:rPr>
          <w:lang w:val="en-GB"/>
        </w:rPr>
        <w:t>I</w:t>
      </w:r>
      <w:r>
        <w:rPr>
          <w:lang w:val="en-GB"/>
        </w:rPr>
        <w:t xml:space="preserve">nhuman or </w:t>
      </w:r>
      <w:r w:rsidR="00B11D69">
        <w:rPr>
          <w:lang w:val="en-GB"/>
        </w:rPr>
        <w:t>D</w:t>
      </w:r>
      <w:r>
        <w:rPr>
          <w:lang w:val="en-GB"/>
        </w:rPr>
        <w:t xml:space="preserve">egrading </w:t>
      </w:r>
      <w:r w:rsidR="00B11D69">
        <w:rPr>
          <w:lang w:val="en-GB"/>
        </w:rPr>
        <w:t>T</w:t>
      </w:r>
      <w:r>
        <w:rPr>
          <w:lang w:val="en-GB"/>
        </w:rPr>
        <w:t xml:space="preserve">reatment or </w:t>
      </w:r>
      <w:r w:rsidR="00B11D69">
        <w:rPr>
          <w:lang w:val="en-GB"/>
        </w:rPr>
        <w:t>P</w:t>
      </w:r>
      <w:r>
        <w:rPr>
          <w:lang w:val="en-GB"/>
        </w:rPr>
        <w:t>unishment on his mission to Turkey’, A/HRC/37/50/Add.1, para. 23.</w:t>
      </w:r>
    </w:p>
  </w:footnote>
  <w:footnote w:id="5">
    <w:p w14:paraId="46083F02" w14:textId="51A9EEF1" w:rsidR="00B11D69" w:rsidRPr="00B11D69" w:rsidRDefault="00B11D69">
      <w:pPr>
        <w:pStyle w:val="FootnoteText"/>
        <w:rPr>
          <w:lang w:val="en-GB"/>
        </w:rPr>
      </w:pPr>
      <w:r>
        <w:rPr>
          <w:rStyle w:val="FootnoteReference"/>
        </w:rPr>
        <w:footnoteRef/>
      </w:r>
      <w:r w:rsidRPr="00B11D69">
        <w:rPr>
          <w:lang w:val="en-GB"/>
        </w:rPr>
        <w:t xml:space="preserve"> </w:t>
      </w:r>
      <w:r>
        <w:rPr>
          <w:lang w:val="en-GB"/>
        </w:rPr>
        <w:t>United Nations Human Rights Office of the High Commissioner for Human Rights, ‘A letter drafted as part of the follow up process of the concluding observations of the fourth periodic review</w:t>
      </w:r>
      <w:proofErr w:type="gramStart"/>
      <w:r>
        <w:rPr>
          <w:lang w:val="en-GB"/>
        </w:rPr>
        <w:t>’,  31</w:t>
      </w:r>
      <w:proofErr w:type="gramEnd"/>
      <w:r>
        <w:rPr>
          <w:lang w:val="en-GB"/>
        </w:rPr>
        <w:t xml:space="preserve"> August 2016.</w:t>
      </w:r>
    </w:p>
  </w:footnote>
  <w:footnote w:id="6">
    <w:p w14:paraId="01F20F44" w14:textId="77777777" w:rsidR="007E4D19" w:rsidRPr="009951F7" w:rsidRDefault="007E4D19" w:rsidP="007E4D19">
      <w:pPr>
        <w:pStyle w:val="FootnoteText"/>
        <w:rPr>
          <w:lang w:val="en-GB"/>
        </w:rPr>
      </w:pPr>
      <w:r>
        <w:rPr>
          <w:rStyle w:val="FootnoteReference"/>
        </w:rPr>
        <w:footnoteRef/>
      </w:r>
      <w:r w:rsidRPr="009951F7">
        <w:rPr>
          <w:lang w:val="en-GB"/>
        </w:rPr>
        <w:t xml:space="preserve"> </w:t>
      </w:r>
      <w:r>
        <w:rPr>
          <w:lang w:val="en-GB"/>
        </w:rPr>
        <w:t xml:space="preserve">United Nations Committee Against Torture, ‘Concluding Observations on the fourth periodic report of Turkey Addendum – Information received from Turkey on follow up to the concluding </w:t>
      </w:r>
      <w:proofErr w:type="gramStart"/>
      <w:r>
        <w:rPr>
          <w:lang w:val="en-GB"/>
        </w:rPr>
        <w:t>observations ’</w:t>
      </w:r>
      <w:proofErr w:type="gramEnd"/>
      <w:r>
        <w:rPr>
          <w:lang w:val="en-GB"/>
        </w:rPr>
        <w:t>, (CAT/C/TUR/CO/4/Add.1), para.55-66.</w:t>
      </w:r>
    </w:p>
  </w:footnote>
  <w:footnote w:id="7">
    <w:p w14:paraId="3E406185" w14:textId="44546775" w:rsidR="007E4D19" w:rsidRPr="00651D8F" w:rsidRDefault="007E4D19" w:rsidP="007E4D19">
      <w:pPr>
        <w:pStyle w:val="FootnoteText"/>
        <w:rPr>
          <w:lang w:val="en-GB"/>
        </w:rPr>
      </w:pPr>
      <w:r>
        <w:rPr>
          <w:rStyle w:val="FootnoteReference"/>
        </w:rPr>
        <w:footnoteRef/>
      </w:r>
      <w:r w:rsidRPr="00651D8F">
        <w:rPr>
          <w:lang w:val="en-GB"/>
        </w:rPr>
        <w:t xml:space="preserve"> </w:t>
      </w:r>
      <w:r w:rsidR="00131818">
        <w:rPr>
          <w:lang w:val="en-GB"/>
        </w:rPr>
        <w:t>ibid,</w:t>
      </w:r>
      <w:r>
        <w:rPr>
          <w:lang w:val="en-GB"/>
        </w:rPr>
        <w:t xml:space="preserve"> para.55.</w:t>
      </w:r>
    </w:p>
  </w:footnote>
  <w:footnote w:id="8">
    <w:p w14:paraId="2E3A7547" w14:textId="54E0924C" w:rsidR="007B4D32" w:rsidRPr="007B4D32" w:rsidRDefault="007B4D32">
      <w:pPr>
        <w:pStyle w:val="FootnoteText"/>
        <w:rPr>
          <w:lang w:val="en-GB"/>
        </w:rPr>
      </w:pPr>
      <w:r>
        <w:rPr>
          <w:rStyle w:val="FootnoteReference"/>
        </w:rPr>
        <w:footnoteRef/>
      </w:r>
      <w:r w:rsidRPr="007B4D32">
        <w:rPr>
          <w:lang w:val="en-GB"/>
        </w:rPr>
        <w:t xml:space="preserve"> </w:t>
      </w:r>
      <w:r>
        <w:rPr>
          <w:lang w:val="en-GB"/>
        </w:rPr>
        <w:t xml:space="preserve">United Nations Committee Against Torture, ‘List of Issues prior to submission of the fifth periodic report of </w:t>
      </w:r>
      <w:proofErr w:type="gramStart"/>
      <w:r>
        <w:rPr>
          <w:lang w:val="en-GB"/>
        </w:rPr>
        <w:t>Turkey ’</w:t>
      </w:r>
      <w:proofErr w:type="gramEnd"/>
      <w:r>
        <w:rPr>
          <w:lang w:val="en-GB"/>
        </w:rPr>
        <w:t>, (CAT/C/TUR/QPR/5), para.3.</w:t>
      </w:r>
    </w:p>
  </w:footnote>
  <w:footnote w:id="9">
    <w:p w14:paraId="5E4EFD53" w14:textId="46595071" w:rsidR="00302F73" w:rsidRPr="00302F73" w:rsidRDefault="00302F73">
      <w:pPr>
        <w:pStyle w:val="FootnoteText"/>
        <w:rPr>
          <w:lang w:val="en-GB"/>
        </w:rPr>
      </w:pPr>
      <w:r>
        <w:rPr>
          <w:rStyle w:val="FootnoteReference"/>
        </w:rPr>
        <w:footnoteRef/>
      </w:r>
      <w:r w:rsidRPr="00302F73">
        <w:rPr>
          <w:lang w:val="en-GB"/>
        </w:rPr>
        <w:t xml:space="preserve"> </w:t>
      </w:r>
      <w:r w:rsidR="007E2487">
        <w:rPr>
          <w:lang w:val="en-GB"/>
        </w:rPr>
        <w:t>United Nations Committee Against Torture, CAT/C/TUR/CO/4, para.10</w:t>
      </w:r>
      <w:r w:rsidR="007B4D32">
        <w:rPr>
          <w:lang w:val="en-GB"/>
        </w:rPr>
        <w:t>.</w:t>
      </w:r>
    </w:p>
  </w:footnote>
  <w:footnote w:id="10">
    <w:p w14:paraId="69A5A06A" w14:textId="04726AD1" w:rsidR="006F5503" w:rsidRPr="005F1AEE" w:rsidRDefault="006F5503" w:rsidP="006F5503">
      <w:pPr>
        <w:pStyle w:val="FootnoteText"/>
        <w:rPr>
          <w:lang w:val="en-GB"/>
        </w:rPr>
      </w:pPr>
      <w:r>
        <w:rPr>
          <w:rStyle w:val="FootnoteReference"/>
        </w:rPr>
        <w:footnoteRef/>
      </w:r>
      <w:r w:rsidRPr="005F1AEE">
        <w:rPr>
          <w:lang w:val="en-GB"/>
        </w:rPr>
        <w:t xml:space="preserve"> </w:t>
      </w:r>
      <w:r>
        <w:rPr>
          <w:lang w:val="en-GB"/>
        </w:rPr>
        <w:t>Presidential decree number 667 article 10</w:t>
      </w:r>
      <w:r w:rsidR="0098234D">
        <w:rPr>
          <w:lang w:val="en-GB"/>
        </w:rPr>
        <w:t xml:space="preserve">, accessible at </w:t>
      </w:r>
      <w:r w:rsidR="00455119">
        <w:fldChar w:fldCharType="begin"/>
      </w:r>
      <w:r w:rsidR="00455119" w:rsidRPr="00455119">
        <w:rPr>
          <w:lang w:val="en-GB"/>
        </w:rPr>
        <w:instrText>HYPERLINK "https://www.resmigazete.gov.tr/eskiler/2016/07/20160723-8.htm"</w:instrText>
      </w:r>
      <w:r w:rsidR="00455119">
        <w:fldChar w:fldCharType="separate"/>
      </w:r>
      <w:r w:rsidR="0098234D" w:rsidRPr="00507406">
        <w:rPr>
          <w:rStyle w:val="Hyperlink"/>
          <w:lang w:val="en-GB"/>
        </w:rPr>
        <w:t>https://www.resmigazete.gov.tr/eskiler/2016/07/20160723-8.htm</w:t>
      </w:r>
      <w:r w:rsidR="00455119">
        <w:rPr>
          <w:rStyle w:val="Hyperlink"/>
          <w:lang w:val="en-GB"/>
        </w:rPr>
        <w:fldChar w:fldCharType="end"/>
      </w:r>
      <w:r w:rsidR="0098234D">
        <w:rPr>
          <w:lang w:val="en-GB"/>
        </w:rPr>
        <w:t xml:space="preserve">  , last accessed on 01.06.2024.</w:t>
      </w:r>
      <w:r>
        <w:rPr>
          <w:lang w:val="en-GB"/>
        </w:rPr>
        <w:t xml:space="preserve"> </w:t>
      </w:r>
    </w:p>
  </w:footnote>
  <w:footnote w:id="11">
    <w:p w14:paraId="34282D3D" w14:textId="77777777" w:rsidR="006C6C2A" w:rsidRPr="006C6C2A" w:rsidRDefault="006C6C2A" w:rsidP="006C6C2A">
      <w:pPr>
        <w:pStyle w:val="FootnoteText"/>
        <w:rPr>
          <w:rFonts w:ascii="Arial" w:hAnsi="Arial" w:cs="Arial"/>
          <w:sz w:val="18"/>
          <w:szCs w:val="18"/>
          <w:lang w:val="en-GB"/>
        </w:rPr>
      </w:pPr>
      <w:r w:rsidRPr="001467BE">
        <w:rPr>
          <w:rStyle w:val="FootnoteReference"/>
          <w:sz w:val="18"/>
          <w:szCs w:val="18"/>
        </w:rPr>
        <w:footnoteRef/>
      </w:r>
      <w:r w:rsidRPr="006C6C2A">
        <w:rPr>
          <w:sz w:val="18"/>
          <w:szCs w:val="18"/>
          <w:lang w:val="en-GB"/>
        </w:rPr>
        <w:t xml:space="preserve"> </w:t>
      </w:r>
      <w:r w:rsidRPr="006C6C2A">
        <w:rPr>
          <w:rFonts w:asciiTheme="minorHAnsi" w:hAnsiTheme="minorHAnsi" w:cstheme="minorHAnsi"/>
          <w:color w:val="161616"/>
          <w:shd w:val="clear" w:color="auto" w:fill="FFFFFF"/>
          <w:lang w:val="en-GB"/>
        </w:rPr>
        <w:t>Written declaration No. 791 | Doc. 15920 | 31 January 2024</w:t>
      </w:r>
      <w:r w:rsidRPr="006C6C2A">
        <w:rPr>
          <w:rFonts w:asciiTheme="minorHAnsi" w:hAnsiTheme="minorHAnsi" w:cstheme="minorHAnsi"/>
          <w:lang w:val="en-GB"/>
        </w:rPr>
        <w:t xml:space="preserve">, Systemic arbitrary deprivation of liberty in Türkiye may constitute crimes against </w:t>
      </w:r>
      <w:proofErr w:type="gramStart"/>
      <w:r w:rsidRPr="006C6C2A">
        <w:rPr>
          <w:rFonts w:asciiTheme="minorHAnsi" w:hAnsiTheme="minorHAnsi" w:cstheme="minorHAnsi"/>
          <w:lang w:val="en-GB"/>
        </w:rPr>
        <w:t>humanity</w:t>
      </w:r>
      <w:proofErr w:type="gramEnd"/>
    </w:p>
    <w:p w14:paraId="045C5CEC" w14:textId="77777777" w:rsidR="006C6C2A" w:rsidRPr="001467BE" w:rsidRDefault="006C6C2A" w:rsidP="006C6C2A">
      <w:pPr>
        <w:pStyle w:val="FootnoteText"/>
        <w:rPr>
          <w:rFonts w:ascii="Arial" w:hAnsi="Arial" w:cs="Arial"/>
          <w:sz w:val="18"/>
          <w:szCs w:val="18"/>
          <w:lang w:val="en-GB"/>
        </w:rPr>
      </w:pPr>
    </w:p>
  </w:footnote>
  <w:footnote w:id="12">
    <w:p w14:paraId="66658274" w14:textId="77777777" w:rsidR="006C6C2A" w:rsidRPr="006C6C2A" w:rsidRDefault="006C6C2A" w:rsidP="006C6C2A">
      <w:pPr>
        <w:pStyle w:val="FootnoteText"/>
        <w:rPr>
          <w:lang w:val="en-GB"/>
        </w:rPr>
      </w:pPr>
      <w:r>
        <w:rPr>
          <w:rStyle w:val="FootnoteReference"/>
        </w:rPr>
        <w:footnoteRef/>
      </w:r>
      <w:r w:rsidR="00455119">
        <w:fldChar w:fldCharType="begin"/>
      </w:r>
      <w:r w:rsidR="00455119" w:rsidRPr="00455119">
        <w:rPr>
          <w:lang w:val="en-GB"/>
        </w:rPr>
        <w:instrText>HYPERLINK "https://www.ohchr.org/sites/default/files/Documents/Issues/Detention/Opinions/Session88/A_HRC_WGAD_2020_51_A%20dvance_Edited_Version.pdf"</w:instrText>
      </w:r>
      <w:r w:rsidR="00455119">
        <w:fldChar w:fldCharType="separate"/>
      </w:r>
      <w:r w:rsidRPr="006C6C2A">
        <w:rPr>
          <w:rStyle w:val="Hyperlink"/>
          <w:lang w:val="en-GB"/>
        </w:rPr>
        <w:t>https://www.ohchr.org/sites/default/files/Documents/Issues/Detention/Opinions/Session88/A_HRC_WGAD_2020_51_A dvance_Edited_Version.pdf</w:t>
      </w:r>
      <w:r w:rsidR="00455119">
        <w:rPr>
          <w:rStyle w:val="Hyperlink"/>
          <w:lang w:val="en-GB"/>
        </w:rPr>
        <w:fldChar w:fldCharType="end"/>
      </w:r>
    </w:p>
    <w:p w14:paraId="5F4A893C" w14:textId="77777777" w:rsidR="006C6C2A" w:rsidRPr="006C6C2A" w:rsidRDefault="006C6C2A" w:rsidP="006C6C2A">
      <w:pPr>
        <w:pStyle w:val="FootnoteText"/>
        <w:rPr>
          <w:lang w:val="en-GB"/>
        </w:rPr>
      </w:pPr>
      <w:r w:rsidRPr="006C6C2A">
        <w:rPr>
          <w:lang w:val="en-GB"/>
        </w:rPr>
        <w:t xml:space="preserve">See also : </w:t>
      </w:r>
      <w:r w:rsidR="00455119">
        <w:fldChar w:fldCharType="begin"/>
      </w:r>
      <w:r w:rsidR="00455119" w:rsidRPr="00455119">
        <w:rPr>
          <w:lang w:val="en-GB"/>
        </w:rPr>
        <w:instrText>HYPERLINK "https://www.ohchr.org/sites/default/files/Documents/Issues/Detention/Opinions/Session88/A_HRC_WGAD_2020_47_Ad%20vance_Edited_Version.pdf"</w:instrText>
      </w:r>
      <w:r w:rsidR="00455119">
        <w:fldChar w:fldCharType="separate"/>
      </w:r>
      <w:r w:rsidRPr="006C6C2A">
        <w:rPr>
          <w:rStyle w:val="Hyperlink"/>
          <w:lang w:val="en-GB"/>
        </w:rPr>
        <w:t>https://www.ohchr.org/sites/default/files/Documents/Issues/Detention/Opinions/Session88/A_HRC_WGAD_2020_47_Ad vance_Edited_Version.pdf</w:t>
      </w:r>
      <w:r w:rsidR="00455119">
        <w:rPr>
          <w:rStyle w:val="Hyperlink"/>
          <w:lang w:val="en-GB"/>
        </w:rPr>
        <w:fldChar w:fldCharType="end"/>
      </w:r>
    </w:p>
    <w:p w14:paraId="497FAE9E" w14:textId="77777777" w:rsidR="006C6C2A" w:rsidRPr="006B5734" w:rsidRDefault="006C6C2A" w:rsidP="006C6C2A">
      <w:pPr>
        <w:pStyle w:val="FootnoteText"/>
        <w:rPr>
          <w:lang w:val="en-GB"/>
        </w:rPr>
      </w:pPr>
    </w:p>
  </w:footnote>
  <w:footnote w:id="13">
    <w:p w14:paraId="425ACBD9" w14:textId="77777777" w:rsidR="006C6C2A" w:rsidRPr="006C6C2A" w:rsidRDefault="006C6C2A" w:rsidP="006C6C2A">
      <w:pPr>
        <w:pStyle w:val="FootnoteText"/>
        <w:rPr>
          <w:b/>
          <w:lang w:val="en-GB"/>
        </w:rPr>
      </w:pPr>
      <w:r w:rsidRPr="00762391">
        <w:rPr>
          <w:rStyle w:val="FootnoteReference"/>
        </w:rPr>
        <w:footnoteRef/>
      </w:r>
      <w:r w:rsidRPr="006C6C2A">
        <w:rPr>
          <w:rFonts w:asciiTheme="minorHAnsi" w:eastAsia="Arial" w:hAnsiTheme="minorHAnsi" w:cstheme="minorHAnsi"/>
          <w:lang w:val="en-GB"/>
        </w:rPr>
        <w:t>WGAD Opinion No. 2022/</w:t>
      </w:r>
      <w:proofErr w:type="gramStart"/>
      <w:r w:rsidRPr="006C6C2A">
        <w:rPr>
          <w:rFonts w:asciiTheme="minorHAnsi" w:eastAsia="Arial" w:hAnsiTheme="minorHAnsi" w:cstheme="minorHAnsi"/>
          <w:lang w:val="en-GB"/>
        </w:rPr>
        <w:t>8  concerning</w:t>
      </w:r>
      <w:proofErr w:type="gramEnd"/>
      <w:r w:rsidRPr="006C6C2A">
        <w:rPr>
          <w:rFonts w:asciiTheme="minorHAnsi" w:eastAsia="Arial" w:hAnsiTheme="minorHAnsi" w:cstheme="minorHAnsi"/>
          <w:lang w:val="en-GB"/>
        </w:rPr>
        <w:t xml:space="preserve"> </w:t>
      </w:r>
      <w:proofErr w:type="spellStart"/>
      <w:r w:rsidRPr="006C6C2A">
        <w:rPr>
          <w:rFonts w:asciiTheme="minorHAnsi" w:hAnsiTheme="minorHAnsi" w:cstheme="minorHAnsi"/>
          <w:lang w:val="en-GB"/>
        </w:rPr>
        <w:t>Alettin</w:t>
      </w:r>
      <w:proofErr w:type="spellEnd"/>
      <w:r w:rsidRPr="006C6C2A">
        <w:rPr>
          <w:rFonts w:asciiTheme="minorHAnsi" w:hAnsiTheme="minorHAnsi" w:cstheme="minorHAnsi"/>
          <w:lang w:val="en-GB"/>
        </w:rPr>
        <w:t xml:space="preserve"> Duman and Tamer </w:t>
      </w:r>
      <w:proofErr w:type="spellStart"/>
      <w:r w:rsidRPr="006C6C2A">
        <w:rPr>
          <w:rFonts w:asciiTheme="minorHAnsi" w:hAnsiTheme="minorHAnsi" w:cstheme="minorHAnsi"/>
          <w:lang w:val="en-GB"/>
        </w:rPr>
        <w:t>Tibik</w:t>
      </w:r>
      <w:proofErr w:type="spellEnd"/>
      <w:r w:rsidRPr="006C6C2A">
        <w:rPr>
          <w:rFonts w:asciiTheme="minorHAnsi" w:hAnsiTheme="minorHAnsi" w:cstheme="minorHAnsi"/>
          <w:lang w:val="en-GB"/>
        </w:rPr>
        <w:t xml:space="preserve"> (Malaysia and Turkey)</w:t>
      </w:r>
      <w:r w:rsidRPr="006C6C2A">
        <w:rPr>
          <w:rFonts w:asciiTheme="minorHAnsi" w:eastAsia="Arial" w:hAnsiTheme="minorHAnsi" w:cstheme="minorHAnsi"/>
          <w:lang w:val="en-GB"/>
        </w:rPr>
        <w:t xml:space="preserve"> (7 June 2022, para.86 and 107</w:t>
      </w:r>
    </w:p>
  </w:footnote>
  <w:footnote w:id="14">
    <w:p w14:paraId="2A07BCE8" w14:textId="132BB88B" w:rsidR="007367E4" w:rsidRPr="007367E4" w:rsidRDefault="007367E4">
      <w:pPr>
        <w:pStyle w:val="FootnoteText"/>
        <w:rPr>
          <w:lang w:val="en-GB"/>
        </w:rPr>
      </w:pPr>
      <w:r>
        <w:rPr>
          <w:rStyle w:val="FootnoteReference"/>
        </w:rPr>
        <w:footnoteRef/>
      </w:r>
      <w:r w:rsidRPr="007367E4">
        <w:rPr>
          <w:lang w:val="en-GB"/>
        </w:rPr>
        <w:t xml:space="preserve"> </w:t>
      </w:r>
      <w:r>
        <w:rPr>
          <w:lang w:val="en-GB"/>
        </w:rPr>
        <w:t xml:space="preserve">European Court of Human </w:t>
      </w:r>
      <w:proofErr w:type="gramStart"/>
      <w:r w:rsidR="007D2CA7">
        <w:rPr>
          <w:lang w:val="en-GB"/>
        </w:rPr>
        <w:t>R</w:t>
      </w:r>
      <w:r>
        <w:rPr>
          <w:lang w:val="en-GB"/>
        </w:rPr>
        <w:t>ights,  ‘</w:t>
      </w:r>
      <w:proofErr w:type="gramEnd"/>
      <w:r>
        <w:rPr>
          <w:lang w:val="en-GB"/>
        </w:rPr>
        <w:t xml:space="preserve">Case of Bas v Turkey’, Application number 66448/17, 07.09.2020. </w:t>
      </w:r>
    </w:p>
  </w:footnote>
  <w:footnote w:id="15">
    <w:p w14:paraId="60DF3225" w14:textId="62B3DB92" w:rsidR="00B33192" w:rsidRPr="00B33192" w:rsidRDefault="00B33192">
      <w:pPr>
        <w:pStyle w:val="FootnoteText"/>
        <w:rPr>
          <w:lang w:val="en-GB"/>
        </w:rPr>
      </w:pPr>
      <w:r>
        <w:rPr>
          <w:rStyle w:val="FootnoteReference"/>
        </w:rPr>
        <w:footnoteRef/>
      </w:r>
      <w:r w:rsidRPr="00B33192">
        <w:rPr>
          <w:lang w:val="en-GB"/>
        </w:rPr>
        <w:t xml:space="preserve"> </w:t>
      </w:r>
      <w:r>
        <w:rPr>
          <w:lang w:val="en-GB"/>
        </w:rPr>
        <w:t>United Nations Committee Against Torture, ‘Concluding Observations on the fourth periodic report of Turkey’, (CAT/C/TUR/CO/4)</w:t>
      </w:r>
      <w:r w:rsidR="00E06146">
        <w:rPr>
          <w:lang w:val="en-GB"/>
        </w:rPr>
        <w:t xml:space="preserve">. </w:t>
      </w:r>
    </w:p>
  </w:footnote>
  <w:footnote w:id="16">
    <w:p w14:paraId="703459A3" w14:textId="2DDB6DCE" w:rsidR="00B33192" w:rsidRPr="00B33192" w:rsidRDefault="00B33192">
      <w:pPr>
        <w:pStyle w:val="FootnoteText"/>
        <w:rPr>
          <w:lang w:val="en-GB"/>
        </w:rPr>
      </w:pPr>
      <w:r>
        <w:rPr>
          <w:rStyle w:val="FootnoteReference"/>
        </w:rPr>
        <w:footnoteRef/>
      </w:r>
      <w:r w:rsidRPr="00B33192">
        <w:rPr>
          <w:lang w:val="en-GB"/>
        </w:rPr>
        <w:t xml:space="preserve"> </w:t>
      </w:r>
      <w:r>
        <w:rPr>
          <w:lang w:val="en-GB"/>
        </w:rPr>
        <w:t xml:space="preserve">United Nations Committee Against Torture, ‘Concluding Observations on the fourth periodic report of Turkey Addendum – Information received from Turkey on follow up to the concluding </w:t>
      </w:r>
      <w:proofErr w:type="gramStart"/>
      <w:r>
        <w:rPr>
          <w:lang w:val="en-GB"/>
        </w:rPr>
        <w:t>observations ’</w:t>
      </w:r>
      <w:proofErr w:type="gramEnd"/>
      <w:r>
        <w:rPr>
          <w:lang w:val="en-GB"/>
        </w:rPr>
        <w:t>, (CAT/C/TUR/CO/4/Add.1), para.52.</w:t>
      </w:r>
    </w:p>
  </w:footnote>
  <w:footnote w:id="17">
    <w:p w14:paraId="04B251E0" w14:textId="52E7EDE0" w:rsidR="00A36B8A" w:rsidRPr="00A36B8A" w:rsidRDefault="00A36B8A">
      <w:pPr>
        <w:pStyle w:val="FootnoteText"/>
        <w:rPr>
          <w:lang w:val="en-GB"/>
        </w:rPr>
      </w:pPr>
      <w:r>
        <w:rPr>
          <w:rStyle w:val="FootnoteReference"/>
        </w:rPr>
        <w:footnoteRef/>
      </w:r>
      <w:r w:rsidRPr="00A36B8A">
        <w:rPr>
          <w:lang w:val="en-GB"/>
        </w:rPr>
        <w:t xml:space="preserve"> </w:t>
      </w:r>
      <w:r w:rsidR="00551ECF">
        <w:rPr>
          <w:lang w:val="en-GB"/>
        </w:rPr>
        <w:t xml:space="preserve">European Court of Human </w:t>
      </w:r>
      <w:proofErr w:type="gramStart"/>
      <w:r w:rsidR="00551ECF">
        <w:rPr>
          <w:lang w:val="en-GB"/>
        </w:rPr>
        <w:t>rights,  ‘</w:t>
      </w:r>
      <w:proofErr w:type="gramEnd"/>
      <w:r w:rsidR="00551ECF">
        <w:rPr>
          <w:lang w:val="en-GB"/>
        </w:rPr>
        <w:t xml:space="preserve">Case of Sahin Alpay v Turkey’, Application number 16538/17, 20.03.2018. </w:t>
      </w:r>
    </w:p>
  </w:footnote>
  <w:footnote w:id="18">
    <w:p w14:paraId="207D830E" w14:textId="603F4DB7" w:rsidR="00A52F3D" w:rsidRPr="00F66055" w:rsidRDefault="00A52F3D" w:rsidP="00A52F3D">
      <w:pPr>
        <w:pStyle w:val="FootnoteText"/>
        <w:rPr>
          <w:lang w:val="en-GB"/>
        </w:rPr>
      </w:pPr>
      <w:r>
        <w:rPr>
          <w:rStyle w:val="FootnoteReference"/>
        </w:rPr>
        <w:footnoteRef/>
      </w:r>
      <w:r w:rsidRPr="00F66055">
        <w:rPr>
          <w:lang w:val="en-GB"/>
        </w:rPr>
        <w:t xml:space="preserve"> </w:t>
      </w:r>
      <w:r w:rsidR="00162163">
        <w:rPr>
          <w:lang w:val="en-GB"/>
        </w:rPr>
        <w:t xml:space="preserve">Regulation on Apprehension, Detention and Taking Statements, accessible at: </w:t>
      </w:r>
      <w:r w:rsidR="00455119">
        <w:fldChar w:fldCharType="begin"/>
      </w:r>
      <w:r w:rsidR="00455119" w:rsidRPr="00455119">
        <w:rPr>
          <w:lang w:val="en-GB"/>
        </w:rPr>
        <w:instrText>HYPERLINK "https://www.resmigazete.gov.tr/eskiler/2005/06/20050601-10.h</w:instrText>
      </w:r>
      <w:r w:rsidR="00455119" w:rsidRPr="00455119">
        <w:rPr>
          <w:lang w:val="en-GB"/>
        </w:rPr>
        <w:instrText>tm"</w:instrText>
      </w:r>
      <w:r w:rsidR="00455119">
        <w:fldChar w:fldCharType="separate"/>
      </w:r>
      <w:r w:rsidR="00162163" w:rsidRPr="00507406">
        <w:rPr>
          <w:rStyle w:val="Hyperlink"/>
          <w:lang w:val="en-GB"/>
        </w:rPr>
        <w:t>https://www.resmigazete.gov.tr/eskiler/2005/06/20050601-10.htm</w:t>
      </w:r>
      <w:r w:rsidR="00455119">
        <w:rPr>
          <w:rStyle w:val="Hyperlink"/>
          <w:lang w:val="en-GB"/>
        </w:rPr>
        <w:fldChar w:fldCharType="end"/>
      </w:r>
      <w:r w:rsidR="00162163">
        <w:rPr>
          <w:lang w:val="en-GB"/>
        </w:rPr>
        <w:t>, last accessed 01.06.202</w:t>
      </w:r>
      <w:r w:rsidR="00871C0D">
        <w:rPr>
          <w:lang w:val="en-GB"/>
        </w:rPr>
        <w:t>4</w:t>
      </w:r>
      <w:r w:rsidR="00162163">
        <w:rPr>
          <w:lang w:val="en-GB"/>
        </w:rPr>
        <w:t xml:space="preserve">. </w:t>
      </w:r>
    </w:p>
  </w:footnote>
  <w:footnote w:id="19">
    <w:p w14:paraId="0A197074" w14:textId="0B816DCF" w:rsidR="00A52F3D" w:rsidRPr="00616E9F" w:rsidRDefault="00A52F3D" w:rsidP="00A52F3D">
      <w:pPr>
        <w:pStyle w:val="FootnoteText"/>
        <w:rPr>
          <w:lang w:val="en-GB"/>
        </w:rPr>
      </w:pPr>
      <w:r>
        <w:rPr>
          <w:rStyle w:val="FootnoteReference"/>
        </w:rPr>
        <w:footnoteRef/>
      </w:r>
      <w:r w:rsidRPr="00616E9F">
        <w:rPr>
          <w:lang w:val="en-GB"/>
        </w:rPr>
        <w:t xml:space="preserve"> </w:t>
      </w:r>
      <w:r w:rsidR="00162163">
        <w:rPr>
          <w:lang w:val="en-GB"/>
        </w:rPr>
        <w:t xml:space="preserve">Criminal Procedure Law, accessible at: </w:t>
      </w:r>
      <w:r w:rsidR="00455119">
        <w:fldChar w:fldCharType="begin"/>
      </w:r>
      <w:r w:rsidR="00455119" w:rsidRPr="00455119">
        <w:rPr>
          <w:lang w:val="en-GB"/>
        </w:rPr>
        <w:instrText>HYPERLINK "https://www.mevzuat.gov.tr/MevzuatMetin/1.5.5271.pdf"</w:instrText>
      </w:r>
      <w:r w:rsidR="00455119">
        <w:fldChar w:fldCharType="separate"/>
      </w:r>
      <w:r w:rsidR="00162163" w:rsidRPr="00507406">
        <w:rPr>
          <w:rStyle w:val="Hyperlink"/>
          <w:lang w:val="en-GB"/>
        </w:rPr>
        <w:t>https://www.mevzuat.gov.tr/MevzuatMetin/1.5.5271.pdf</w:t>
      </w:r>
      <w:r w:rsidR="00455119">
        <w:rPr>
          <w:rStyle w:val="Hyperlink"/>
          <w:lang w:val="en-GB"/>
        </w:rPr>
        <w:fldChar w:fldCharType="end"/>
      </w:r>
      <w:r w:rsidR="00162163">
        <w:rPr>
          <w:lang w:val="en-GB"/>
        </w:rPr>
        <w:t>, last accessed 01.06.202</w:t>
      </w:r>
      <w:r w:rsidR="00871C0D">
        <w:rPr>
          <w:lang w:val="en-GB"/>
        </w:rPr>
        <w:t>4</w:t>
      </w:r>
      <w:r w:rsidR="00162163">
        <w:rPr>
          <w:lang w:val="en-GB"/>
        </w:rPr>
        <w:t>.</w:t>
      </w:r>
    </w:p>
  </w:footnote>
  <w:footnote w:id="20">
    <w:p w14:paraId="0CFBC6BE" w14:textId="1F0A33DB" w:rsidR="00A52F3D" w:rsidRPr="00693856" w:rsidRDefault="00A52F3D" w:rsidP="00A52F3D">
      <w:pPr>
        <w:pStyle w:val="FootnoteText"/>
        <w:rPr>
          <w:lang w:val="en-GB"/>
        </w:rPr>
      </w:pPr>
      <w:r>
        <w:rPr>
          <w:rStyle w:val="FootnoteReference"/>
        </w:rPr>
        <w:footnoteRef/>
      </w:r>
      <w:r w:rsidR="00581287">
        <w:rPr>
          <w:lang w:val="en-US"/>
        </w:rPr>
        <w:t xml:space="preserve">United Nations </w:t>
      </w:r>
      <w:r w:rsidRPr="003C31D9">
        <w:rPr>
          <w:lang w:val="en-US"/>
        </w:rPr>
        <w:t xml:space="preserve">Committee on the elimination of all forms of discrimination against </w:t>
      </w:r>
      <w:proofErr w:type="gramStart"/>
      <w:r w:rsidRPr="003C31D9">
        <w:rPr>
          <w:lang w:val="en-US"/>
        </w:rPr>
        <w:t xml:space="preserve">women,  </w:t>
      </w:r>
      <w:r w:rsidR="00581287">
        <w:rPr>
          <w:lang w:val="en-US"/>
        </w:rPr>
        <w:t>‘</w:t>
      </w:r>
      <w:proofErr w:type="gramEnd"/>
      <w:r>
        <w:rPr>
          <w:lang w:val="en-GB"/>
        </w:rPr>
        <w:t>General Recommendation 19</w:t>
      </w:r>
      <w:r w:rsidR="00581287">
        <w:rPr>
          <w:lang w:val="en-GB"/>
        </w:rPr>
        <w:t>’</w:t>
      </w:r>
      <w:r>
        <w:rPr>
          <w:lang w:val="en-GB"/>
        </w:rPr>
        <w:t>, para</w:t>
      </w:r>
      <w:r w:rsidR="00581287">
        <w:rPr>
          <w:lang w:val="en-GB"/>
        </w:rPr>
        <w:t>.</w:t>
      </w:r>
      <w:r>
        <w:rPr>
          <w:lang w:val="en-GB"/>
        </w:rPr>
        <w:t>24</w:t>
      </w:r>
      <w:r w:rsidR="00581287">
        <w:rPr>
          <w:lang w:val="en-GB"/>
        </w:rPr>
        <w:t>.</w:t>
      </w:r>
    </w:p>
  </w:footnote>
  <w:footnote w:id="21">
    <w:p w14:paraId="48D356B9" w14:textId="1B8986D0" w:rsidR="00482E04" w:rsidRPr="00E900E3" w:rsidRDefault="00482E04" w:rsidP="00482E04">
      <w:pPr>
        <w:pStyle w:val="FootnoteText"/>
        <w:rPr>
          <w:lang w:val="en-GB"/>
        </w:rPr>
      </w:pPr>
      <w:r>
        <w:rPr>
          <w:rStyle w:val="FootnoteReference"/>
        </w:rPr>
        <w:footnoteRef/>
      </w:r>
      <w:r w:rsidRPr="00174718">
        <w:rPr>
          <w:lang w:val="en-US"/>
        </w:rPr>
        <w:t xml:space="preserve"> </w:t>
      </w:r>
      <w:r w:rsidR="00E900E3">
        <w:rPr>
          <w:lang w:val="en-GB"/>
        </w:rPr>
        <w:t xml:space="preserve">United Nations Committee Against Torture, ‘List of Issues prior to submission of the fifth periodic report of </w:t>
      </w:r>
      <w:proofErr w:type="gramStart"/>
      <w:r w:rsidR="00E900E3">
        <w:rPr>
          <w:lang w:val="en-GB"/>
        </w:rPr>
        <w:t>Turkey ’</w:t>
      </w:r>
      <w:proofErr w:type="gramEnd"/>
      <w:r w:rsidR="00E900E3">
        <w:rPr>
          <w:lang w:val="en-GB"/>
        </w:rPr>
        <w:t>, (CAT/C/TUR/QPR/5), para.</w:t>
      </w:r>
      <w:r>
        <w:rPr>
          <w:lang w:val="en-US"/>
        </w:rPr>
        <w:t>17 and 18</w:t>
      </w:r>
      <w:r w:rsidR="00E900E3">
        <w:rPr>
          <w:lang w:val="en-US"/>
        </w:rPr>
        <w:t>.</w:t>
      </w:r>
      <w:r>
        <w:rPr>
          <w:lang w:val="en-US"/>
        </w:rPr>
        <w:t xml:space="preserve"> </w:t>
      </w:r>
    </w:p>
  </w:footnote>
  <w:footnote w:id="22">
    <w:p w14:paraId="117B37A5" w14:textId="7794185C" w:rsidR="00586E26" w:rsidRDefault="00586E26" w:rsidP="00586E26">
      <w:pPr>
        <w:pStyle w:val="FootnoteText"/>
        <w:rPr>
          <w:lang w:val="en-US"/>
        </w:rPr>
      </w:pPr>
      <w:r>
        <w:rPr>
          <w:rStyle w:val="FootnoteReference"/>
        </w:rPr>
        <w:footnoteRef/>
      </w:r>
      <w:r>
        <w:rPr>
          <w:lang w:val="en-US"/>
        </w:rPr>
        <w:t xml:space="preserve"> </w:t>
      </w:r>
      <w:r>
        <w:rPr>
          <w:sz w:val="18"/>
          <w:szCs w:val="18"/>
          <w:lang w:val="en-US"/>
        </w:rPr>
        <w:t>The Guardian, 17 Dec 2013, ‘</w:t>
      </w:r>
      <w:r>
        <w:rPr>
          <w:i/>
          <w:iCs/>
          <w:sz w:val="18"/>
          <w:szCs w:val="18"/>
          <w:lang w:val="en-US"/>
        </w:rPr>
        <w:t xml:space="preserve">Turkish ministers' sons arrested in corruption and bribery investigation’, </w:t>
      </w:r>
      <w:r w:rsidR="00871C0D">
        <w:rPr>
          <w:i/>
          <w:iCs/>
          <w:sz w:val="18"/>
          <w:szCs w:val="18"/>
          <w:lang w:val="en-US"/>
        </w:rPr>
        <w:t xml:space="preserve">accessible at: </w:t>
      </w:r>
      <w:r w:rsidR="00455119">
        <w:fldChar w:fldCharType="begin"/>
      </w:r>
      <w:r w:rsidR="00455119" w:rsidRPr="00455119">
        <w:rPr>
          <w:lang w:val="en-GB"/>
        </w:rPr>
        <w:instrText>HYPERLINK "https://www.theguardian.com/world/2013/dec/17/turkish-ministers-sons-arrested-corruption-investigation"</w:instrText>
      </w:r>
      <w:r w:rsidR="00455119">
        <w:fldChar w:fldCharType="separate"/>
      </w:r>
      <w:r w:rsidR="00871C0D" w:rsidRPr="00507406">
        <w:rPr>
          <w:rStyle w:val="Hyperlink"/>
          <w:i/>
          <w:iCs/>
          <w:sz w:val="18"/>
          <w:szCs w:val="18"/>
          <w:lang w:val="en-US"/>
        </w:rPr>
        <w:t>https://www.theguardian.com/world/2013/dec/17/turkish-ministers-sons-arrested-corruption-investigation</w:t>
      </w:r>
      <w:r w:rsidR="00455119">
        <w:rPr>
          <w:rStyle w:val="Hyperlink"/>
          <w:i/>
          <w:iCs/>
          <w:sz w:val="18"/>
          <w:szCs w:val="18"/>
          <w:lang w:val="en-US"/>
        </w:rPr>
        <w:fldChar w:fldCharType="end"/>
      </w:r>
      <w:r w:rsidR="00871C0D">
        <w:rPr>
          <w:i/>
          <w:iCs/>
          <w:sz w:val="18"/>
          <w:szCs w:val="18"/>
          <w:lang w:val="en-US"/>
        </w:rPr>
        <w:t xml:space="preserve">, last accessed 01.06.2024 </w:t>
      </w:r>
      <w:r>
        <w:rPr>
          <w:i/>
          <w:iCs/>
          <w:sz w:val="18"/>
          <w:szCs w:val="18"/>
          <w:lang w:val="en-US"/>
        </w:rPr>
        <w:t xml:space="preserve"> </w:t>
      </w:r>
      <w:r>
        <w:rPr>
          <w:lang w:val="en-US"/>
        </w:rPr>
        <w:t xml:space="preserve"> </w:t>
      </w:r>
    </w:p>
  </w:footnote>
  <w:footnote w:id="23">
    <w:p w14:paraId="3F126904" w14:textId="464DEBFB" w:rsidR="00586E26" w:rsidRPr="00C06385" w:rsidRDefault="00586E26" w:rsidP="00586E26">
      <w:pPr>
        <w:pStyle w:val="FootnoteText"/>
        <w:rPr>
          <w:lang w:val="en-GB"/>
        </w:rPr>
      </w:pPr>
      <w:r>
        <w:rPr>
          <w:rStyle w:val="FootnoteReference"/>
        </w:rPr>
        <w:footnoteRef/>
      </w:r>
      <w:r w:rsidRPr="00C06385">
        <w:rPr>
          <w:lang w:val="en-GB"/>
        </w:rPr>
        <w:t xml:space="preserve"> </w:t>
      </w:r>
      <w:r w:rsidR="00C06385" w:rsidRPr="00C06385">
        <w:rPr>
          <w:lang w:val="en-GB"/>
        </w:rPr>
        <w:t xml:space="preserve">Perilli L, ‘ Judicial Independence &amp; Access to </w:t>
      </w:r>
      <w:r w:rsidR="00C06385">
        <w:rPr>
          <w:lang w:val="en-GB"/>
        </w:rPr>
        <w:t xml:space="preserve">Justice’, Turkey Tribunal, accessible at: </w:t>
      </w:r>
      <w:r w:rsidR="00455119">
        <w:fldChar w:fldCharType="begin"/>
      </w:r>
      <w:r w:rsidR="00455119" w:rsidRPr="00455119">
        <w:rPr>
          <w:lang w:val="en-GB"/>
        </w:rPr>
        <w:instrText>HYPERLINK "https://turkeytribunal.org/wp-content/uploads/2021/11/Report_Luca_Perilli_-Independence_Access_to_Justice_f.pdf"</w:instrText>
      </w:r>
      <w:r w:rsidR="00455119">
        <w:fldChar w:fldCharType="separate"/>
      </w:r>
      <w:r w:rsidR="00C06385" w:rsidRPr="00507406">
        <w:rPr>
          <w:rStyle w:val="Hyperlink"/>
          <w:lang w:val="en-GB"/>
        </w:rPr>
        <w:t>https://turkeytribunal.org/wp-content/uploads/2021/11/Report_Luca_Perilli_-Independence_Access_to_Justice_f.pdf</w:t>
      </w:r>
      <w:r w:rsidR="00455119">
        <w:rPr>
          <w:rStyle w:val="Hyperlink"/>
          <w:lang w:val="en-GB"/>
        </w:rPr>
        <w:fldChar w:fldCharType="end"/>
      </w:r>
      <w:r w:rsidR="00C06385">
        <w:rPr>
          <w:lang w:val="en-GB"/>
        </w:rPr>
        <w:t>, last accessed on 01.06.2024.</w:t>
      </w:r>
    </w:p>
  </w:footnote>
  <w:footnote w:id="24">
    <w:p w14:paraId="4053A182" w14:textId="0FF888A4" w:rsidR="00586E26" w:rsidRPr="00C06385" w:rsidRDefault="00586E26" w:rsidP="00586E26">
      <w:pPr>
        <w:pStyle w:val="FootnoteText"/>
        <w:rPr>
          <w:lang w:val="en-GB"/>
        </w:rPr>
      </w:pPr>
      <w:r>
        <w:rPr>
          <w:rStyle w:val="FootnoteReference"/>
        </w:rPr>
        <w:footnoteRef/>
      </w:r>
      <w:r w:rsidR="00C06385" w:rsidRPr="00C06385">
        <w:rPr>
          <w:lang w:val="en-GB"/>
        </w:rPr>
        <w:t xml:space="preserve">Judicial Law </w:t>
      </w:r>
      <w:r w:rsidR="00C06385">
        <w:rPr>
          <w:lang w:val="en-GB"/>
        </w:rPr>
        <w:t xml:space="preserve">Enforcement Regulation, accessible at: </w:t>
      </w:r>
      <w:r w:rsidR="00455119">
        <w:fldChar w:fldCharType="begin"/>
      </w:r>
      <w:r w:rsidR="00455119" w:rsidRPr="00455119">
        <w:rPr>
          <w:lang w:val="en-GB"/>
        </w:rPr>
        <w:instrText>HYPERLINK "https://cigm.adalet.gov.tr/Resimler/SayfaDokuman/23202</w:instrText>
      </w:r>
      <w:r w:rsidR="00455119" w:rsidRPr="00455119">
        <w:rPr>
          <w:lang w:val="en-GB"/>
        </w:rPr>
        <w:instrText>0111159Adli%20Kolluk%20Y%C3%B6netmeli%C4%9Fi.pdf"</w:instrText>
      </w:r>
      <w:r w:rsidR="00455119">
        <w:fldChar w:fldCharType="separate"/>
      </w:r>
      <w:r w:rsidR="00C06385" w:rsidRPr="00507406">
        <w:rPr>
          <w:rStyle w:val="Hyperlink"/>
          <w:lang w:val="en-GB"/>
        </w:rPr>
        <w:t>https://cigm.adalet.gov.tr/Resimler/SayfaDokuman/232020111159Adli%20Kolluk%20Y%C3%B6netmeli%C4%9Fi.pdf</w:t>
      </w:r>
      <w:r w:rsidR="00455119">
        <w:rPr>
          <w:rStyle w:val="Hyperlink"/>
          <w:lang w:val="en-GB"/>
        </w:rPr>
        <w:fldChar w:fldCharType="end"/>
      </w:r>
      <w:r w:rsidR="00C06385">
        <w:rPr>
          <w:lang w:val="en-GB"/>
        </w:rPr>
        <w:t>, last accessed on 01.06.2024.</w:t>
      </w:r>
    </w:p>
  </w:footnote>
  <w:footnote w:id="25">
    <w:p w14:paraId="21B05F50" w14:textId="7E8EDF2D" w:rsidR="00586E26" w:rsidRDefault="00586E26" w:rsidP="00586E26">
      <w:pPr>
        <w:pStyle w:val="FootnoteText"/>
        <w:rPr>
          <w:lang w:val="en-US"/>
        </w:rPr>
      </w:pPr>
      <w:r>
        <w:rPr>
          <w:rStyle w:val="FootnoteReference"/>
        </w:rPr>
        <w:footnoteRef/>
      </w:r>
      <w:r>
        <w:rPr>
          <w:lang w:val="en-US"/>
        </w:rPr>
        <w:t xml:space="preserve"> On 16</w:t>
      </w:r>
      <w:r>
        <w:rPr>
          <w:vertAlign w:val="superscript"/>
          <w:lang w:val="en-US"/>
        </w:rPr>
        <w:t>th</w:t>
      </w:r>
      <w:r>
        <w:rPr>
          <w:lang w:val="en-US"/>
        </w:rPr>
        <w:t xml:space="preserve"> April 2017, the name of the council was changed from High Council of </w:t>
      </w:r>
      <w:r w:rsidR="00C06385">
        <w:rPr>
          <w:lang w:val="en-US"/>
        </w:rPr>
        <w:t>J</w:t>
      </w:r>
      <w:r>
        <w:rPr>
          <w:lang w:val="en-US"/>
        </w:rPr>
        <w:t xml:space="preserve">udges and Prosecutors to the Council of Judges and Prosecutors by the amendments in the Turkish Constitution. </w:t>
      </w:r>
    </w:p>
  </w:footnote>
  <w:footnote w:id="26">
    <w:p w14:paraId="06455602" w14:textId="1BFEDF8D" w:rsidR="00586E26" w:rsidRDefault="00586E26" w:rsidP="00586E26">
      <w:pPr>
        <w:pStyle w:val="FootnoteText"/>
        <w:rPr>
          <w:lang w:val="en-US"/>
        </w:rPr>
      </w:pPr>
      <w:r>
        <w:rPr>
          <w:rStyle w:val="FootnoteReference"/>
        </w:rPr>
        <w:footnoteRef/>
      </w:r>
      <w:r>
        <w:rPr>
          <w:lang w:val="en-US"/>
        </w:rPr>
        <w:t xml:space="preserve"> </w:t>
      </w:r>
      <w:r w:rsidR="007D2CA7">
        <w:rPr>
          <w:lang w:val="en-US"/>
        </w:rPr>
        <w:t>European Court of Human Rights</w:t>
      </w:r>
      <w:r w:rsidR="00612A1B">
        <w:rPr>
          <w:lang w:val="en-US"/>
        </w:rPr>
        <w:t>,</w:t>
      </w:r>
      <w:r w:rsidR="007D2CA7">
        <w:rPr>
          <w:lang w:val="en-US"/>
        </w:rPr>
        <w:t xml:space="preserve"> </w:t>
      </w:r>
      <w:r w:rsidR="00612A1B">
        <w:rPr>
          <w:lang w:val="en-US"/>
        </w:rPr>
        <w:t>‘</w:t>
      </w:r>
      <w:r w:rsidR="007D2CA7">
        <w:rPr>
          <w:lang w:val="en-US"/>
        </w:rPr>
        <w:t>Beaumartin vs France</w:t>
      </w:r>
      <w:r w:rsidR="00612A1B">
        <w:rPr>
          <w:lang w:val="en-US"/>
        </w:rPr>
        <w:t>’</w:t>
      </w:r>
      <w:r w:rsidR="007D2CA7">
        <w:rPr>
          <w:lang w:val="en-US"/>
        </w:rPr>
        <w:t>, Application number 15287/89, 24 November 1994, para. 38.</w:t>
      </w:r>
    </w:p>
  </w:footnote>
  <w:footnote w:id="27">
    <w:p w14:paraId="67C199CB" w14:textId="77777777" w:rsidR="00C06385" w:rsidRPr="00C06385" w:rsidRDefault="00586E26" w:rsidP="00C06385">
      <w:pPr>
        <w:pStyle w:val="FootnoteText"/>
        <w:rPr>
          <w:lang w:val="en-GB"/>
        </w:rPr>
      </w:pPr>
      <w:r>
        <w:rPr>
          <w:rStyle w:val="FootnoteReference"/>
        </w:rPr>
        <w:footnoteRef/>
      </w:r>
      <w:r>
        <w:rPr>
          <w:lang w:val="en-US"/>
        </w:rPr>
        <w:t xml:space="preserve"> </w:t>
      </w:r>
      <w:r w:rsidR="00C06385" w:rsidRPr="00C06385">
        <w:rPr>
          <w:lang w:val="en-GB"/>
        </w:rPr>
        <w:t xml:space="preserve">Perilli L, ‘ Judicial Independence &amp; Access to </w:t>
      </w:r>
      <w:r w:rsidR="00C06385">
        <w:rPr>
          <w:lang w:val="en-GB"/>
        </w:rPr>
        <w:t xml:space="preserve">Justice’, Turkey Tribunal, accessible at: </w:t>
      </w:r>
      <w:r w:rsidR="00455119">
        <w:fldChar w:fldCharType="begin"/>
      </w:r>
      <w:r w:rsidR="00455119" w:rsidRPr="00455119">
        <w:rPr>
          <w:lang w:val="en-GB"/>
        </w:rPr>
        <w:instrText>HYPERLINK "https://turkeytribunal.org/wp-content/uploads/2021/11/Report_Luca_Perilli_-Independence_Access_to_Justice_f.pdf"</w:instrText>
      </w:r>
      <w:r w:rsidR="00455119">
        <w:fldChar w:fldCharType="separate"/>
      </w:r>
      <w:r w:rsidR="00C06385" w:rsidRPr="00507406">
        <w:rPr>
          <w:rStyle w:val="Hyperlink"/>
          <w:lang w:val="en-GB"/>
        </w:rPr>
        <w:t>https://turkeytribunal.org/wp-content/uploads/2021/11/Report_Luca_Perilli_-Independence_Access_to_Justice_f.pdf</w:t>
      </w:r>
      <w:r w:rsidR="00455119">
        <w:rPr>
          <w:rStyle w:val="Hyperlink"/>
          <w:lang w:val="en-GB"/>
        </w:rPr>
        <w:fldChar w:fldCharType="end"/>
      </w:r>
      <w:r w:rsidR="00C06385">
        <w:rPr>
          <w:lang w:val="en-GB"/>
        </w:rPr>
        <w:t>, last accessed 01.06.2024.</w:t>
      </w:r>
    </w:p>
    <w:p w14:paraId="2D014B51" w14:textId="0935F616" w:rsidR="00586E26" w:rsidRPr="00C06385" w:rsidRDefault="00586E26" w:rsidP="00586E26">
      <w:pPr>
        <w:pStyle w:val="FootnoteText"/>
        <w:rPr>
          <w:lang w:val="en-GB"/>
        </w:rPr>
      </w:pPr>
    </w:p>
  </w:footnote>
  <w:footnote w:id="28">
    <w:p w14:paraId="65A92A91" w14:textId="021731CD" w:rsidR="00586E26" w:rsidRDefault="00586E26" w:rsidP="00586E26">
      <w:pPr>
        <w:pStyle w:val="FootnoteText"/>
        <w:rPr>
          <w:lang w:val="tr-TR"/>
        </w:rPr>
      </w:pPr>
      <w:r>
        <w:rPr>
          <w:rStyle w:val="FootnoteReference"/>
        </w:rPr>
        <w:footnoteRef/>
      </w:r>
      <w:r>
        <w:rPr>
          <w:lang w:val="en-US"/>
        </w:rPr>
        <w:t xml:space="preserve">  </w:t>
      </w:r>
      <w:r w:rsidRPr="00612A1B">
        <w:rPr>
          <w:lang w:val="en-US"/>
        </w:rPr>
        <w:t xml:space="preserve">Recommendation CM/Rec (2010)12 of the Committee of Ministers of the Council of Europe, on </w:t>
      </w:r>
      <w:r w:rsidR="00612A1B" w:rsidRPr="00612A1B">
        <w:rPr>
          <w:lang w:val="en-US"/>
        </w:rPr>
        <w:t>J</w:t>
      </w:r>
      <w:r w:rsidRPr="00612A1B">
        <w:rPr>
          <w:lang w:val="en-US"/>
        </w:rPr>
        <w:t>udges: independence, efficiency and responsibilities, para 44.</w:t>
      </w:r>
      <w:r>
        <w:rPr>
          <w:lang w:val="en-US"/>
        </w:rPr>
        <w:t xml:space="preserve">  </w:t>
      </w:r>
    </w:p>
  </w:footnote>
  <w:footnote w:id="29">
    <w:p w14:paraId="11A8C70F" w14:textId="05361984" w:rsidR="00630B19" w:rsidRPr="00630B19" w:rsidRDefault="00630B19">
      <w:pPr>
        <w:pStyle w:val="FootnoteText"/>
        <w:rPr>
          <w:lang w:val="en-GB"/>
        </w:rPr>
      </w:pPr>
      <w:r>
        <w:rPr>
          <w:rStyle w:val="FootnoteReference"/>
        </w:rPr>
        <w:footnoteRef/>
      </w:r>
      <w:r w:rsidRPr="00630B19">
        <w:rPr>
          <w:lang w:val="en-GB"/>
        </w:rPr>
        <w:t xml:space="preserve"> </w:t>
      </w:r>
      <w:r>
        <w:rPr>
          <w:lang w:val="en-GB"/>
        </w:rPr>
        <w:t xml:space="preserve">At the time of the elections that were held in October 2014, the name of the council was High Council of Judges and Prosecutors. </w:t>
      </w:r>
    </w:p>
  </w:footnote>
  <w:footnote w:id="30">
    <w:p w14:paraId="07169AE4" w14:textId="5C947A29" w:rsidR="00B2448B" w:rsidRDefault="00B2448B" w:rsidP="00B2448B">
      <w:pPr>
        <w:pStyle w:val="FootnoteText"/>
        <w:rPr>
          <w:lang w:val="en-US"/>
        </w:rPr>
      </w:pPr>
      <w:r>
        <w:rPr>
          <w:rStyle w:val="FootnoteReference"/>
        </w:rPr>
        <w:footnoteRef/>
      </w:r>
      <w:r>
        <w:rPr>
          <w:lang w:val="en-US"/>
        </w:rPr>
        <w:t xml:space="preserve"> ‘</w:t>
      </w:r>
      <w:r>
        <w:rPr>
          <w:lang w:val="en-GB"/>
        </w:rPr>
        <w:t xml:space="preserve">The Judicial Unity Platform’. </w:t>
      </w:r>
      <w:r w:rsidRPr="005C4344">
        <w:rPr>
          <w:lang w:val="en-GB"/>
        </w:rPr>
        <w:t>The status of the platform was subsequently changed to an association</w:t>
      </w:r>
      <w:r w:rsidR="00612A1B">
        <w:rPr>
          <w:lang w:val="en-GB"/>
        </w:rPr>
        <w:t xml:space="preserve">, accessible at: </w:t>
      </w:r>
      <w:r w:rsidR="00455119">
        <w:fldChar w:fldCharType="begin"/>
      </w:r>
      <w:r w:rsidR="00455119" w:rsidRPr="00455119">
        <w:rPr>
          <w:lang w:val="en-GB"/>
        </w:rPr>
        <w:instrText>HYPERLINK "https://yargidabirlik.org.tr/"</w:instrText>
      </w:r>
      <w:r w:rsidR="00455119">
        <w:fldChar w:fldCharType="separate"/>
      </w:r>
      <w:r w:rsidR="00612A1B" w:rsidRPr="00507406">
        <w:rPr>
          <w:rStyle w:val="Hyperlink"/>
          <w:lang w:val="en-GB"/>
        </w:rPr>
        <w:t>https://yargidabirlik.org.tr/</w:t>
      </w:r>
      <w:r w:rsidR="00455119">
        <w:rPr>
          <w:rStyle w:val="Hyperlink"/>
          <w:lang w:val="en-GB"/>
        </w:rPr>
        <w:fldChar w:fldCharType="end"/>
      </w:r>
      <w:r w:rsidR="00612A1B">
        <w:rPr>
          <w:lang w:val="en-GB"/>
        </w:rPr>
        <w:t xml:space="preserve">. </w:t>
      </w:r>
      <w:r>
        <w:rPr>
          <w:lang w:val="en-GB"/>
        </w:rPr>
        <w:t xml:space="preserve"> </w:t>
      </w:r>
    </w:p>
  </w:footnote>
  <w:footnote w:id="31">
    <w:p w14:paraId="3ECEA610" w14:textId="7F673106" w:rsidR="00FF5908" w:rsidRDefault="00FF5908" w:rsidP="00FF5908">
      <w:pPr>
        <w:pStyle w:val="FootnoteText"/>
        <w:rPr>
          <w:lang w:val="en-US"/>
        </w:rPr>
      </w:pPr>
      <w:r>
        <w:rPr>
          <w:rStyle w:val="FootnoteReference"/>
        </w:rPr>
        <w:footnoteRef/>
      </w:r>
      <w:r>
        <w:rPr>
          <w:lang w:val="en-US"/>
        </w:rPr>
        <w:t xml:space="preserve"> </w:t>
      </w:r>
      <w:r w:rsidR="00B27849" w:rsidRPr="00C06385">
        <w:rPr>
          <w:lang w:val="en-GB"/>
        </w:rPr>
        <w:t xml:space="preserve">Perilli L, ‘ Judicial Independence &amp; Access to </w:t>
      </w:r>
      <w:r w:rsidR="00B27849">
        <w:rPr>
          <w:lang w:val="en-GB"/>
        </w:rPr>
        <w:t xml:space="preserve">Justice’, Turkey Tribunal, accessible at: </w:t>
      </w:r>
      <w:r w:rsidR="00455119">
        <w:fldChar w:fldCharType="begin"/>
      </w:r>
      <w:r w:rsidR="00455119" w:rsidRPr="00455119">
        <w:rPr>
          <w:lang w:val="en-GB"/>
        </w:rPr>
        <w:instrText>HYPERLINK "https://turkeytribunal.org/wp-content/uploads/2021/11/Report_Luca_Perilli_-Independ</w:instrText>
      </w:r>
      <w:r w:rsidR="00455119" w:rsidRPr="00455119">
        <w:rPr>
          <w:lang w:val="en-GB"/>
        </w:rPr>
        <w:instrText>ence_Access_to_Justice_f.pdf"</w:instrText>
      </w:r>
      <w:r w:rsidR="00455119">
        <w:fldChar w:fldCharType="separate"/>
      </w:r>
      <w:r w:rsidR="00B27849" w:rsidRPr="00507406">
        <w:rPr>
          <w:rStyle w:val="Hyperlink"/>
          <w:lang w:val="en-GB"/>
        </w:rPr>
        <w:t>https://turkeytribunal.org/wp-content/uploads/2021/11/Report_Luca_Perilli_-Independence_Access_to_Justice_f.pdf</w:t>
      </w:r>
      <w:r w:rsidR="00455119">
        <w:rPr>
          <w:rStyle w:val="Hyperlink"/>
          <w:lang w:val="en-GB"/>
        </w:rPr>
        <w:fldChar w:fldCharType="end"/>
      </w:r>
      <w:r w:rsidR="00B27849">
        <w:rPr>
          <w:lang w:val="en-GB"/>
        </w:rPr>
        <w:t xml:space="preserve">, last accessed 01.06.2024. </w:t>
      </w:r>
    </w:p>
  </w:footnote>
  <w:footnote w:id="32">
    <w:p w14:paraId="18C58C88" w14:textId="77777777" w:rsidR="00FF5908" w:rsidRDefault="00FF5908" w:rsidP="00FF5908">
      <w:pPr>
        <w:pStyle w:val="FootnoteText"/>
        <w:rPr>
          <w:lang w:val="en-US"/>
        </w:rPr>
      </w:pPr>
      <w:r>
        <w:rPr>
          <w:rStyle w:val="FootnoteReference"/>
        </w:rPr>
        <w:footnoteRef/>
      </w:r>
      <w:r>
        <w:rPr>
          <w:lang w:val="en-US"/>
        </w:rPr>
        <w:t xml:space="preserve"> ICJ, Turkey: </w:t>
      </w:r>
      <w:proofErr w:type="gramStart"/>
      <w:r>
        <w:rPr>
          <w:lang w:val="en-US"/>
        </w:rPr>
        <w:t>the</w:t>
      </w:r>
      <w:proofErr w:type="gramEnd"/>
      <w:r>
        <w:rPr>
          <w:lang w:val="en-US"/>
        </w:rPr>
        <w:t xml:space="preserve"> Judicial System in Peril, 2 June 2016, available at https://www.icj.org/turkey-icj-raises-concernsat-threats-to-the-independence-of-judges-prosecutors-and-lawyers/</w:t>
      </w:r>
    </w:p>
  </w:footnote>
  <w:footnote w:id="33">
    <w:p w14:paraId="666B192B" w14:textId="77777777" w:rsidR="00B27849" w:rsidRDefault="00FF5908" w:rsidP="00B27849">
      <w:pPr>
        <w:pStyle w:val="FootnoteText"/>
        <w:rPr>
          <w:lang w:val="en-US"/>
        </w:rPr>
      </w:pPr>
      <w:r>
        <w:rPr>
          <w:rStyle w:val="FootnoteReference"/>
        </w:rPr>
        <w:footnoteRef/>
      </w:r>
      <w:r>
        <w:rPr>
          <w:lang w:val="en-US"/>
        </w:rPr>
        <w:t xml:space="preserve"> </w:t>
      </w:r>
      <w:r w:rsidR="00B27849" w:rsidRPr="00C06385">
        <w:rPr>
          <w:lang w:val="en-GB"/>
        </w:rPr>
        <w:t xml:space="preserve">Perilli L, ‘ Judicial Independence &amp; Access to </w:t>
      </w:r>
      <w:r w:rsidR="00B27849">
        <w:rPr>
          <w:lang w:val="en-GB"/>
        </w:rPr>
        <w:t xml:space="preserve">Justice’, Turkey Tribunal, accessible at: </w:t>
      </w:r>
      <w:r w:rsidR="00455119">
        <w:fldChar w:fldCharType="begin"/>
      </w:r>
      <w:r w:rsidR="00455119" w:rsidRPr="00455119">
        <w:rPr>
          <w:lang w:val="en-GB"/>
        </w:rPr>
        <w:instrText>HYPERLINK "https://turkeytribu</w:instrText>
      </w:r>
      <w:r w:rsidR="00455119" w:rsidRPr="00455119">
        <w:rPr>
          <w:lang w:val="en-GB"/>
        </w:rPr>
        <w:instrText>nal.org/wp-content/uploads/2021/11/Report_Luca_Perilli_-Independence_Access_to_Justice_f.pdf"</w:instrText>
      </w:r>
      <w:r w:rsidR="00455119">
        <w:fldChar w:fldCharType="separate"/>
      </w:r>
      <w:r w:rsidR="00B27849" w:rsidRPr="00507406">
        <w:rPr>
          <w:rStyle w:val="Hyperlink"/>
          <w:lang w:val="en-GB"/>
        </w:rPr>
        <w:t>https://turkeytribunal.org/wp-content/uploads/2021/11/Report_Luca_Perilli_-Independence_Access_to_Justice_f.pdf</w:t>
      </w:r>
      <w:r w:rsidR="00455119">
        <w:rPr>
          <w:rStyle w:val="Hyperlink"/>
          <w:lang w:val="en-GB"/>
        </w:rPr>
        <w:fldChar w:fldCharType="end"/>
      </w:r>
      <w:r w:rsidR="00B27849">
        <w:rPr>
          <w:lang w:val="en-GB"/>
        </w:rPr>
        <w:t xml:space="preserve">, last accessed 01.06.2024. </w:t>
      </w:r>
    </w:p>
    <w:p w14:paraId="6DACF347" w14:textId="35B16E79" w:rsidR="00FF5908" w:rsidRDefault="00FF5908" w:rsidP="00FF5908">
      <w:pPr>
        <w:pStyle w:val="FootnoteText"/>
        <w:rPr>
          <w:lang w:val="en-US"/>
        </w:rPr>
      </w:pPr>
    </w:p>
  </w:footnote>
  <w:footnote w:id="34">
    <w:p w14:paraId="52E959A3" w14:textId="0A4AFEF9" w:rsidR="0055401F" w:rsidRDefault="0055401F" w:rsidP="0055401F">
      <w:pPr>
        <w:pStyle w:val="FootnoteText"/>
        <w:rPr>
          <w:lang w:val="en-US"/>
        </w:rPr>
      </w:pPr>
      <w:r>
        <w:rPr>
          <w:rStyle w:val="FootnoteReference"/>
        </w:rPr>
        <w:footnoteRef/>
      </w:r>
      <w:r>
        <w:rPr>
          <w:lang w:val="en-US"/>
        </w:rPr>
        <w:t xml:space="preserve"> </w:t>
      </w:r>
      <w:r w:rsidR="00F728EE">
        <w:rPr>
          <w:lang w:val="tr-TR"/>
        </w:rPr>
        <w:t>ibid</w:t>
      </w:r>
    </w:p>
  </w:footnote>
  <w:footnote w:id="35">
    <w:p w14:paraId="48B343E0" w14:textId="4CB901ED" w:rsidR="0055401F" w:rsidRPr="00B27849" w:rsidRDefault="0055401F" w:rsidP="0055401F">
      <w:pPr>
        <w:pStyle w:val="FootnoteText"/>
        <w:rPr>
          <w:lang w:val="en-GB"/>
        </w:rPr>
      </w:pPr>
      <w:r>
        <w:rPr>
          <w:rStyle w:val="FootnoteReference"/>
        </w:rPr>
        <w:footnoteRef/>
      </w:r>
      <w:r w:rsidRPr="00B27849">
        <w:rPr>
          <w:lang w:val="en-GB"/>
        </w:rPr>
        <w:t xml:space="preserve"> </w:t>
      </w:r>
      <w:r w:rsidR="00455119">
        <w:fldChar w:fldCharType="begin"/>
      </w:r>
      <w:r w:rsidR="00455119" w:rsidRPr="00455119">
        <w:rPr>
          <w:lang w:val="en-GB"/>
        </w:rPr>
        <w:instrText>HYPERLINK "https://www.bbc.com/news/world-europe-34939916"</w:instrText>
      </w:r>
      <w:r w:rsidR="00455119">
        <w:fldChar w:fldCharType="separate"/>
      </w:r>
      <w:r w:rsidR="00B27849" w:rsidRPr="00B27849">
        <w:rPr>
          <w:rStyle w:val="Hyperlink"/>
          <w:lang w:val="en-GB"/>
        </w:rPr>
        <w:t>https://www.bbc.com/news/world-europe-34939916</w:t>
      </w:r>
      <w:r w:rsidR="00455119">
        <w:rPr>
          <w:rStyle w:val="Hyperlink"/>
          <w:lang w:val="en-GB"/>
        </w:rPr>
        <w:fldChar w:fldCharType="end"/>
      </w:r>
      <w:r w:rsidR="00B27849" w:rsidRPr="00B27849">
        <w:rPr>
          <w:lang w:val="en-GB"/>
        </w:rPr>
        <w:t>, las</w:t>
      </w:r>
      <w:r w:rsidR="00B27849">
        <w:rPr>
          <w:lang w:val="en-GB"/>
        </w:rPr>
        <w:t xml:space="preserve">t accessed on 01.06.2024. </w:t>
      </w:r>
    </w:p>
  </w:footnote>
  <w:footnote w:id="36">
    <w:p w14:paraId="74CF7A46" w14:textId="0A21721F" w:rsidR="001C0CAE" w:rsidRDefault="001C0CAE" w:rsidP="001C0CAE">
      <w:pPr>
        <w:pStyle w:val="FootnoteText"/>
        <w:rPr>
          <w:lang w:val="en-US"/>
        </w:rPr>
      </w:pPr>
      <w:r>
        <w:rPr>
          <w:rStyle w:val="FootnoteReference"/>
        </w:rPr>
        <w:footnoteRef/>
      </w:r>
      <w:r>
        <w:rPr>
          <w:lang w:val="en-US"/>
        </w:rPr>
        <w:t xml:space="preserve"> </w:t>
      </w:r>
      <w:r w:rsidR="005C00F8" w:rsidRPr="00C06385">
        <w:rPr>
          <w:lang w:val="en-GB"/>
        </w:rPr>
        <w:t xml:space="preserve">Perilli L, ‘ Judicial Independence &amp; Access to </w:t>
      </w:r>
      <w:r w:rsidR="005C00F8">
        <w:rPr>
          <w:lang w:val="en-GB"/>
        </w:rPr>
        <w:t xml:space="preserve">Justice’, Turkey Tribunal, accessible at: </w:t>
      </w:r>
      <w:r w:rsidR="00455119">
        <w:fldChar w:fldCharType="begin"/>
      </w:r>
      <w:r w:rsidR="00455119" w:rsidRPr="00455119">
        <w:rPr>
          <w:lang w:val="en-GB"/>
        </w:rPr>
        <w:instrText>HYPERLINK "https://turkeytribunal.org/wp-content/uploads/2021/11/Report_Luca_Perilli_-Independen</w:instrText>
      </w:r>
      <w:r w:rsidR="00455119" w:rsidRPr="00455119">
        <w:rPr>
          <w:lang w:val="en-GB"/>
        </w:rPr>
        <w:instrText>ce_Access_to_Justice_f.pdf"</w:instrText>
      </w:r>
      <w:r w:rsidR="00455119">
        <w:fldChar w:fldCharType="separate"/>
      </w:r>
      <w:r w:rsidR="005C00F8" w:rsidRPr="00507406">
        <w:rPr>
          <w:rStyle w:val="Hyperlink"/>
          <w:lang w:val="en-GB"/>
        </w:rPr>
        <w:t>https://turkeytribunal.org/wp-content/uploads/2021/11/Report_Luca_Perilli_-Independence_Access_to_Justice_f.pdf</w:t>
      </w:r>
      <w:r w:rsidR="00455119">
        <w:rPr>
          <w:rStyle w:val="Hyperlink"/>
          <w:lang w:val="en-GB"/>
        </w:rPr>
        <w:fldChar w:fldCharType="end"/>
      </w:r>
      <w:r w:rsidR="005C00F8">
        <w:rPr>
          <w:lang w:val="en-GB"/>
        </w:rPr>
        <w:t>, last accessed 01.06.2024.</w:t>
      </w:r>
    </w:p>
  </w:footnote>
  <w:footnote w:id="37">
    <w:p w14:paraId="5692D67D" w14:textId="0E0BC063" w:rsidR="001C0CAE" w:rsidRPr="005C00F8" w:rsidRDefault="001C0CAE" w:rsidP="001C0CAE">
      <w:pPr>
        <w:pStyle w:val="FootnoteText"/>
        <w:rPr>
          <w:lang w:val="en-GB"/>
        </w:rPr>
      </w:pPr>
      <w:r>
        <w:rPr>
          <w:rStyle w:val="FootnoteReference"/>
        </w:rPr>
        <w:footnoteRef/>
      </w:r>
      <w:r w:rsidRPr="005C00F8">
        <w:rPr>
          <w:lang w:val="en-GB"/>
        </w:rPr>
        <w:t xml:space="preserve"> </w:t>
      </w:r>
      <w:r w:rsidR="00455119">
        <w:fldChar w:fldCharType="begin"/>
      </w:r>
      <w:r w:rsidR="00455119" w:rsidRPr="00455119">
        <w:rPr>
          <w:lang w:val="en-GB"/>
        </w:rPr>
        <w:instrText>HYPERLINK "https://www.haberturk.com/gundem/haber</w:instrText>
      </w:r>
      <w:r w:rsidR="00455119" w:rsidRPr="00455119">
        <w:rPr>
          <w:lang w:val="en-GB"/>
        </w:rPr>
        <w:instrText>/1342282-hsyk-baskanvekili-mehmet-yilmaz-itirafci-hkim-savcilar-meslege-donemeyecek"</w:instrText>
      </w:r>
      <w:r w:rsidR="00455119">
        <w:fldChar w:fldCharType="separate"/>
      </w:r>
      <w:r w:rsidR="005C00F8" w:rsidRPr="005C00F8">
        <w:rPr>
          <w:rStyle w:val="Hyperlink"/>
          <w:lang w:val="en-GB"/>
        </w:rPr>
        <w:t>https://www.haberturk.com/gundem/haber/1342282-hsyk-baskanvekili-mehmet-yilmaz-itirafci-hkim-savcilar-meslege-donemeyecek</w:t>
      </w:r>
      <w:r w:rsidR="00455119">
        <w:rPr>
          <w:rStyle w:val="Hyperlink"/>
          <w:lang w:val="en-GB"/>
        </w:rPr>
        <w:fldChar w:fldCharType="end"/>
      </w:r>
      <w:r w:rsidR="005C00F8" w:rsidRPr="005C00F8">
        <w:rPr>
          <w:lang w:val="en-GB"/>
        </w:rPr>
        <w:t>, las</w:t>
      </w:r>
      <w:r w:rsidR="005C00F8">
        <w:rPr>
          <w:lang w:val="en-GB"/>
        </w:rPr>
        <w:t xml:space="preserve">t accessed on </w:t>
      </w:r>
      <w:proofErr w:type="gramStart"/>
      <w:r w:rsidR="005C00F8">
        <w:rPr>
          <w:lang w:val="en-GB"/>
        </w:rPr>
        <w:t>01.06.2024</w:t>
      </w:r>
      <w:proofErr w:type="gramEnd"/>
    </w:p>
  </w:footnote>
  <w:footnote w:id="38">
    <w:p w14:paraId="5A3B4FCD" w14:textId="3E58678F" w:rsidR="001C0CAE" w:rsidRDefault="001C0CAE" w:rsidP="001C0CAE">
      <w:pPr>
        <w:pStyle w:val="FootnoteText"/>
        <w:rPr>
          <w:lang w:val="en-US"/>
        </w:rPr>
      </w:pPr>
      <w:r>
        <w:rPr>
          <w:rStyle w:val="FootnoteReference"/>
        </w:rPr>
        <w:footnoteRef/>
      </w:r>
      <w:r>
        <w:rPr>
          <w:lang w:val="en-US"/>
        </w:rPr>
        <w:t xml:space="preserve"> </w:t>
      </w:r>
      <w:r w:rsidR="00455119">
        <w:fldChar w:fldCharType="begin"/>
      </w:r>
      <w:r w:rsidR="00455119" w:rsidRPr="00455119">
        <w:rPr>
          <w:lang w:val="en-GB"/>
        </w:rPr>
        <w:instrText>HYPERLINK "https://www.sabah.com.tr/gundem/2016/11/22/itirafcilar-icin-ozel-ekip-kurduk"</w:instrText>
      </w:r>
      <w:r w:rsidR="00455119">
        <w:fldChar w:fldCharType="separate"/>
      </w:r>
      <w:r w:rsidR="005C00F8" w:rsidRPr="00507406">
        <w:rPr>
          <w:rStyle w:val="Hyperlink"/>
          <w:lang w:val="en-US"/>
        </w:rPr>
        <w:t>https://www.sabah.com.tr/gundem/2016/11/22/itirafcilar-icin-ozel-ekip-kurduk</w:t>
      </w:r>
      <w:r w:rsidR="00455119">
        <w:rPr>
          <w:rStyle w:val="Hyperlink"/>
          <w:lang w:val="en-US"/>
        </w:rPr>
        <w:fldChar w:fldCharType="end"/>
      </w:r>
      <w:r w:rsidR="005C00F8">
        <w:rPr>
          <w:lang w:val="en-US"/>
        </w:rPr>
        <w:t xml:space="preserve">, </w:t>
      </w:r>
      <w:r w:rsidR="005C00F8" w:rsidRPr="005C00F8">
        <w:rPr>
          <w:lang w:val="en-GB"/>
        </w:rPr>
        <w:t>las</w:t>
      </w:r>
      <w:r w:rsidR="005C00F8">
        <w:rPr>
          <w:lang w:val="en-GB"/>
        </w:rPr>
        <w:t>t accessed on 01.06.2024</w:t>
      </w:r>
      <w:r w:rsidR="00F74560">
        <w:rPr>
          <w:lang w:val="en-GB"/>
        </w:rPr>
        <w:t>.</w:t>
      </w:r>
    </w:p>
  </w:footnote>
  <w:footnote w:id="39">
    <w:p w14:paraId="307155DF" w14:textId="2EF5A5FD" w:rsidR="001C0CAE" w:rsidRPr="005C4318" w:rsidRDefault="001C0CAE" w:rsidP="001C0CAE">
      <w:pPr>
        <w:pStyle w:val="FootnoteText"/>
        <w:rPr>
          <w:lang w:val="en-GB"/>
        </w:rPr>
      </w:pPr>
      <w:r>
        <w:rPr>
          <w:rStyle w:val="FootnoteReference"/>
        </w:rPr>
        <w:footnoteRef/>
      </w:r>
      <w:r w:rsidRPr="005C4318">
        <w:rPr>
          <w:lang w:val="en-GB"/>
        </w:rPr>
        <w:t xml:space="preserve"> </w:t>
      </w:r>
      <w:r w:rsidR="00455119">
        <w:fldChar w:fldCharType="begin"/>
      </w:r>
      <w:r w:rsidR="00455119" w:rsidRPr="00455119">
        <w:rPr>
          <w:lang w:val="en-GB"/>
        </w:rPr>
        <w:instrText>HYPERLINK "https://www.anayasa.gov.tr/tr/duyurular/anayasa-mahkemesi-uyeleri-alparslan-altan-ve-erdal-tercan-in-meslekten-cikarilmasina-iliskin-gerekceli-kararin-basin-duyurusu/"</w:instrText>
      </w:r>
      <w:r w:rsidR="00455119">
        <w:fldChar w:fldCharType="separate"/>
      </w:r>
      <w:r w:rsidR="005C4318" w:rsidRPr="005C4318">
        <w:rPr>
          <w:rStyle w:val="Hyperlink"/>
          <w:lang w:val="en-GB"/>
        </w:rPr>
        <w:t>https://www.anayasa.gov.tr/tr/duyurular/anayasa-mahkemesi-uyeleri-alparslan-altan-ve-erdal-tercan-in-meslekten-cikarilmasina-iliskin-gerekceli-kararin-basin-duyurusu/</w:t>
      </w:r>
      <w:r w:rsidR="00455119">
        <w:rPr>
          <w:rStyle w:val="Hyperlink"/>
          <w:lang w:val="en-GB"/>
        </w:rPr>
        <w:fldChar w:fldCharType="end"/>
      </w:r>
      <w:r w:rsidR="005C4318" w:rsidRPr="005C4318">
        <w:rPr>
          <w:lang w:val="en-GB"/>
        </w:rPr>
        <w:t>, las</w:t>
      </w:r>
      <w:r w:rsidR="005C4318">
        <w:rPr>
          <w:lang w:val="en-GB"/>
        </w:rPr>
        <w:t xml:space="preserve">t accessed on 01.06.2024. </w:t>
      </w:r>
    </w:p>
  </w:footnote>
  <w:footnote w:id="40">
    <w:p w14:paraId="06F82328" w14:textId="12BEAFD6" w:rsidR="001C0CAE" w:rsidRDefault="001C0CAE" w:rsidP="001C0CAE">
      <w:pPr>
        <w:pStyle w:val="FootnoteText"/>
        <w:rPr>
          <w:lang w:val="en-US"/>
        </w:rPr>
      </w:pPr>
      <w:r>
        <w:rPr>
          <w:rStyle w:val="FootnoteReference"/>
        </w:rPr>
        <w:footnoteRef/>
      </w:r>
      <w:r>
        <w:rPr>
          <w:lang w:val="en-US"/>
        </w:rPr>
        <w:t xml:space="preserve"> https://www.encj.eu/node/449</w:t>
      </w:r>
      <w:r>
        <w:rPr>
          <w:lang w:val="en-GB"/>
        </w:rPr>
        <w:t>, 8 December 2016</w:t>
      </w:r>
      <w:r w:rsidR="005C4318">
        <w:rPr>
          <w:lang w:val="en-GB"/>
        </w:rPr>
        <w:t xml:space="preserve">, </w:t>
      </w:r>
      <w:r w:rsidR="005C4318" w:rsidRPr="005C4318">
        <w:rPr>
          <w:lang w:val="en-GB"/>
        </w:rPr>
        <w:t>las</w:t>
      </w:r>
      <w:r w:rsidR="005C4318">
        <w:rPr>
          <w:lang w:val="en-GB"/>
        </w:rPr>
        <w:t>t accessed on 01.06.2024.</w:t>
      </w:r>
    </w:p>
  </w:footnote>
  <w:footnote w:id="41">
    <w:p w14:paraId="78697285" w14:textId="08FC6CDB" w:rsidR="001C0CAE" w:rsidRDefault="001C0CAE" w:rsidP="001C0CAE">
      <w:pPr>
        <w:pStyle w:val="FootnoteText"/>
        <w:rPr>
          <w:lang w:val="en-US"/>
        </w:rPr>
      </w:pPr>
      <w:r>
        <w:rPr>
          <w:rStyle w:val="FootnoteReference"/>
        </w:rPr>
        <w:footnoteRef/>
      </w:r>
      <w:r>
        <w:rPr>
          <w:lang w:val="en-US"/>
        </w:rPr>
        <w:t xml:space="preserve"> https://www.encj.eu/node/578</w:t>
      </w:r>
      <w:r>
        <w:rPr>
          <w:lang w:val="en-GB"/>
        </w:rPr>
        <w:t>, 8 December 2020</w:t>
      </w:r>
      <w:r w:rsidR="005C4318">
        <w:rPr>
          <w:lang w:val="en-GB"/>
        </w:rPr>
        <w:t xml:space="preserve">, </w:t>
      </w:r>
      <w:r w:rsidR="005C4318" w:rsidRPr="005C4318">
        <w:rPr>
          <w:lang w:val="en-GB"/>
        </w:rPr>
        <w:t>las</w:t>
      </w:r>
      <w:r w:rsidR="005C4318">
        <w:rPr>
          <w:lang w:val="en-GB"/>
        </w:rPr>
        <w:t>t accessed on 01.06.2024.</w:t>
      </w:r>
    </w:p>
  </w:footnote>
  <w:footnote w:id="42">
    <w:p w14:paraId="005B52FA" w14:textId="77777777" w:rsidR="001C0CAE" w:rsidRPr="00EA197F" w:rsidRDefault="001C0CAE" w:rsidP="001C0CAE">
      <w:pPr>
        <w:pStyle w:val="FootnoteText"/>
        <w:rPr>
          <w:lang w:val="en-US"/>
        </w:rPr>
      </w:pPr>
      <w:r>
        <w:rPr>
          <w:rStyle w:val="FootnoteReference"/>
        </w:rPr>
        <w:footnoteRef/>
      </w:r>
      <w:r>
        <w:rPr>
          <w:lang w:val="en-US"/>
        </w:rPr>
        <w:t xml:space="preserve"> </w:t>
      </w:r>
      <w:r w:rsidRPr="00EA197F">
        <w:rPr>
          <w:lang w:val="en-US"/>
        </w:rPr>
        <w:t xml:space="preserve">European Court of Human </w:t>
      </w:r>
      <w:proofErr w:type="gramStart"/>
      <w:r w:rsidRPr="00EA197F">
        <w:rPr>
          <w:lang w:val="en-US"/>
        </w:rPr>
        <w:t>Rights ,judgment</w:t>
      </w:r>
      <w:proofErr w:type="gramEnd"/>
      <w:r w:rsidRPr="00EA197F">
        <w:rPr>
          <w:lang w:val="en-US"/>
        </w:rPr>
        <w:t xml:space="preserve"> of 22.12.2009, application no. 24810/06, </w:t>
      </w:r>
      <w:proofErr w:type="spellStart"/>
      <w:r w:rsidRPr="00EA197F">
        <w:rPr>
          <w:i/>
          <w:iCs/>
          <w:lang w:val="en-US"/>
        </w:rPr>
        <w:t>Parlov-Tkalcic</w:t>
      </w:r>
      <w:proofErr w:type="spellEnd"/>
      <w:r w:rsidRPr="00EA197F">
        <w:rPr>
          <w:i/>
          <w:iCs/>
          <w:lang w:val="en-US"/>
        </w:rPr>
        <w:t xml:space="preserve"> vs. Croatia</w:t>
      </w:r>
      <w:r w:rsidRPr="00EA197F">
        <w:rPr>
          <w:lang w:val="en-US"/>
        </w:rPr>
        <w:t xml:space="preserve">, para 86; </w:t>
      </w:r>
      <w:proofErr w:type="spellStart"/>
      <w:r w:rsidRPr="00EA197F">
        <w:rPr>
          <w:i/>
          <w:iCs/>
          <w:lang w:val="en-US"/>
        </w:rPr>
        <w:t>Agrokompleks</w:t>
      </w:r>
      <w:proofErr w:type="spellEnd"/>
      <w:r w:rsidRPr="00EA197F">
        <w:rPr>
          <w:i/>
          <w:iCs/>
          <w:lang w:val="en-US"/>
        </w:rPr>
        <w:t xml:space="preserve"> vs. Ukraine</w:t>
      </w:r>
      <w:r w:rsidRPr="00EA197F">
        <w:rPr>
          <w:lang w:val="en-US"/>
        </w:rPr>
        <w:t xml:space="preserve">, judgment of 6 October 2011, No. 23465/03, para 137.  </w:t>
      </w:r>
    </w:p>
  </w:footnote>
  <w:footnote w:id="43">
    <w:p w14:paraId="4A8B01A2" w14:textId="3285BD82" w:rsidR="001C0CAE" w:rsidRDefault="001C0CAE" w:rsidP="001C0CAE">
      <w:pPr>
        <w:pStyle w:val="FootnoteText"/>
        <w:rPr>
          <w:lang w:val="en-US"/>
        </w:rPr>
      </w:pPr>
      <w:r w:rsidRPr="00EA197F">
        <w:rPr>
          <w:rStyle w:val="FootnoteReference"/>
        </w:rPr>
        <w:footnoteRef/>
      </w:r>
      <w:r w:rsidRPr="00EA197F">
        <w:rPr>
          <w:lang w:val="en-US"/>
        </w:rPr>
        <w:t xml:space="preserve"> </w:t>
      </w:r>
      <w:r w:rsidR="00EA197F" w:rsidRPr="00EA197F">
        <w:rPr>
          <w:lang w:val="en-US"/>
        </w:rPr>
        <w:t>European Court of Human Rights</w:t>
      </w:r>
      <w:r w:rsidRPr="00EA197F">
        <w:rPr>
          <w:lang w:val="en-US"/>
        </w:rPr>
        <w:t xml:space="preserve">, judgment of 24 November 1994, application no 15287/89, </w:t>
      </w:r>
      <w:r w:rsidRPr="00EA197F">
        <w:rPr>
          <w:i/>
          <w:iCs/>
          <w:lang w:val="en-US"/>
        </w:rPr>
        <w:t>Beaumartin v. France</w:t>
      </w:r>
      <w:r w:rsidRPr="00EA197F">
        <w:rPr>
          <w:lang w:val="en-US"/>
        </w:rPr>
        <w:t>, paragraph 38; CJEU, Grand Chamber, judgment of 24 June 2019, C.573/17, Popławski paragraph 96.</w:t>
      </w:r>
      <w:r w:rsidR="00EA197F">
        <w:rPr>
          <w:lang w:val="en-US"/>
        </w:rPr>
        <w:t xml:space="preserve"> </w:t>
      </w:r>
      <w:r>
        <w:rPr>
          <w:sz w:val="18"/>
          <w:szCs w:val="18"/>
          <w:lang w:val="en-US"/>
        </w:rPr>
        <w:t xml:space="preserve"> </w:t>
      </w:r>
      <w:r>
        <w:rPr>
          <w:lang w:val="en-US"/>
        </w:rPr>
        <w:t xml:space="preserve"> </w:t>
      </w:r>
    </w:p>
  </w:footnote>
  <w:footnote w:id="44">
    <w:p w14:paraId="13669BA5" w14:textId="66C7FA5C" w:rsidR="001C0CAE" w:rsidRDefault="001C0CAE" w:rsidP="001C0CAE">
      <w:pPr>
        <w:pStyle w:val="FootnoteText"/>
        <w:rPr>
          <w:lang w:val="en-US"/>
        </w:rPr>
      </w:pPr>
      <w:r>
        <w:rPr>
          <w:rStyle w:val="FootnoteReference"/>
        </w:rPr>
        <w:footnoteRef/>
      </w:r>
      <w:r>
        <w:rPr>
          <w:lang w:val="en-US"/>
        </w:rPr>
        <w:t xml:space="preserve"> </w:t>
      </w:r>
      <w:r w:rsidR="00EA197F">
        <w:rPr>
          <w:lang w:val="en-US"/>
        </w:rPr>
        <w:t xml:space="preserve">MEDEL, ‘Situation of the Turkish judiciary-  </w:t>
      </w:r>
      <w:r>
        <w:rPr>
          <w:lang w:val="en-US"/>
        </w:rPr>
        <w:t>Report</w:t>
      </w:r>
      <w:r w:rsidR="00EA197F">
        <w:rPr>
          <w:lang w:val="en-US"/>
        </w:rPr>
        <w:t xml:space="preserve"> of the platform for an independent judiciary in Turkey’,</w:t>
      </w:r>
      <w:r>
        <w:rPr>
          <w:lang w:val="en-US"/>
        </w:rPr>
        <w:t xml:space="preserve"> 17th July 2017</w:t>
      </w:r>
      <w:r w:rsidR="00EA197F">
        <w:rPr>
          <w:lang w:val="en-US"/>
        </w:rPr>
        <w:t xml:space="preserve">, accessible at: </w:t>
      </w:r>
      <w:r w:rsidR="00455119">
        <w:fldChar w:fldCharType="begin"/>
      </w:r>
      <w:r w:rsidR="00455119" w:rsidRPr="00455119">
        <w:rPr>
          <w:lang w:val="en-GB"/>
        </w:rPr>
        <w:instrText>HYPERLINK "https://medelnet.eu/situation-of-the-turkish-judiciary-platform-for-in-independent-judiciary-report/"</w:instrText>
      </w:r>
      <w:r w:rsidR="00455119">
        <w:fldChar w:fldCharType="separate"/>
      </w:r>
      <w:r w:rsidR="00EA197F" w:rsidRPr="00507406">
        <w:rPr>
          <w:rStyle w:val="Hyperlink"/>
          <w:lang w:val="en-US"/>
        </w:rPr>
        <w:t>https://medelnet.eu/situation-of-the-turkish-judiciary-platform-for-in-independent-judiciary-report/</w:t>
      </w:r>
      <w:r w:rsidR="00455119">
        <w:rPr>
          <w:rStyle w:val="Hyperlink"/>
          <w:lang w:val="en-US"/>
        </w:rPr>
        <w:fldChar w:fldCharType="end"/>
      </w:r>
      <w:r w:rsidR="00EA197F">
        <w:rPr>
          <w:lang w:val="en-US"/>
        </w:rPr>
        <w:t xml:space="preserve">, last accessed on 01.06.2024. </w:t>
      </w:r>
    </w:p>
  </w:footnote>
  <w:footnote w:id="45">
    <w:p w14:paraId="62D60EAD" w14:textId="77777777" w:rsidR="005557CB" w:rsidRPr="00155464" w:rsidRDefault="005557CB" w:rsidP="005557CB">
      <w:pPr>
        <w:pStyle w:val="FootnoteText"/>
        <w:rPr>
          <w:lang w:val="en-US"/>
        </w:rPr>
      </w:pPr>
      <w:r w:rsidRPr="00762391">
        <w:rPr>
          <w:rStyle w:val="FootnoteReference"/>
        </w:rPr>
        <w:footnoteRef/>
      </w:r>
      <w:r w:rsidRPr="00762391">
        <w:rPr>
          <w:lang w:val="en-US"/>
        </w:rPr>
        <w:t xml:space="preserve">Turan and Others v. Turkey, </w:t>
      </w:r>
      <w:r w:rsidRPr="005557CB">
        <w:rPr>
          <w:rFonts w:ascii="Arial" w:hAnsi="Arial" w:cs="Arial"/>
          <w:i/>
          <w:iCs/>
          <w:color w:val="000000"/>
          <w:sz w:val="19"/>
          <w:szCs w:val="19"/>
          <w:shd w:val="clear" w:color="auto" w:fill="FFFFFF"/>
          <w:lang w:val="en-GB"/>
        </w:rPr>
        <w:t>(Applications nos. </w:t>
      </w:r>
      <w:r w:rsidR="00455119">
        <w:fldChar w:fldCharType="begin"/>
      </w:r>
      <w:r w:rsidR="00455119" w:rsidRPr="00455119">
        <w:rPr>
          <w:lang w:val="en-GB"/>
        </w:rPr>
        <w:instrText>HYPERLINK "https://hudoc.echr.coe.int/e</w:instrText>
      </w:r>
      <w:r w:rsidR="00455119" w:rsidRPr="00455119">
        <w:rPr>
          <w:lang w:val="en-GB"/>
        </w:rPr>
        <w:instrText>ng" \l "{%22appno%22:[%2275805/16%22]}" \t "_blank"</w:instrText>
      </w:r>
      <w:r w:rsidR="00455119">
        <w:fldChar w:fldCharType="separate"/>
      </w:r>
      <w:r w:rsidRPr="005557CB">
        <w:rPr>
          <w:rStyle w:val="Hyperlink"/>
          <w:i/>
          <w:iCs/>
          <w:color w:val="0069D6"/>
          <w:sz w:val="19"/>
          <w:szCs w:val="19"/>
          <w:shd w:val="clear" w:color="auto" w:fill="FFFFFF"/>
          <w:lang w:val="en-GB"/>
        </w:rPr>
        <w:t>75805/16</w:t>
      </w:r>
      <w:r w:rsidR="00455119">
        <w:rPr>
          <w:rStyle w:val="Hyperlink"/>
          <w:i/>
          <w:iCs/>
          <w:color w:val="0069D6"/>
          <w:sz w:val="19"/>
          <w:szCs w:val="19"/>
          <w:shd w:val="clear" w:color="auto" w:fill="FFFFFF"/>
          <w:lang w:val="en-GB"/>
        </w:rPr>
        <w:fldChar w:fldCharType="end"/>
      </w:r>
      <w:r w:rsidRPr="005557CB">
        <w:rPr>
          <w:rFonts w:ascii="Arial" w:hAnsi="Arial" w:cs="Arial"/>
          <w:i/>
          <w:iCs/>
          <w:color w:val="000000"/>
          <w:sz w:val="19"/>
          <w:szCs w:val="19"/>
          <w:shd w:val="clear" w:color="auto" w:fill="FFFFFF"/>
          <w:lang w:val="en-GB"/>
        </w:rPr>
        <w:t> and 426 others), 23 November 2021; Case of Acar and Others, (Applications nos. </w:t>
      </w:r>
      <w:hyperlink r:id="rId1" w:anchor="{%22appno%22:[%2264251/16%22]}" w:tgtFrame="_blank" w:history="1">
        <w:r w:rsidRPr="005557CB">
          <w:rPr>
            <w:rStyle w:val="Hyperlink"/>
            <w:i/>
            <w:iCs/>
            <w:color w:val="0069D6"/>
            <w:sz w:val="19"/>
            <w:szCs w:val="19"/>
            <w:shd w:val="clear" w:color="auto" w:fill="FFFFFF"/>
            <w:lang w:val="en-GB"/>
          </w:rPr>
          <w:t>64251/16</w:t>
        </w:r>
      </w:hyperlink>
      <w:r w:rsidRPr="005557CB">
        <w:rPr>
          <w:rFonts w:ascii="Arial" w:hAnsi="Arial" w:cs="Arial"/>
          <w:i/>
          <w:iCs/>
          <w:color w:val="000000"/>
          <w:sz w:val="19"/>
          <w:szCs w:val="19"/>
          <w:shd w:val="clear" w:color="auto" w:fill="FFFFFF"/>
          <w:lang w:val="en-GB"/>
        </w:rPr>
        <w:t> and 49 others), 28 June 2022.</w:t>
      </w:r>
    </w:p>
  </w:footnote>
  <w:footnote w:id="46">
    <w:p w14:paraId="48FDED19" w14:textId="77777777" w:rsidR="005557CB" w:rsidRPr="005557CB" w:rsidRDefault="005557CB" w:rsidP="005557CB">
      <w:pPr>
        <w:pStyle w:val="FootnoteText"/>
        <w:rPr>
          <w:lang w:val="en-GB"/>
        </w:rPr>
      </w:pPr>
      <w:r>
        <w:rPr>
          <w:rStyle w:val="FootnoteReference"/>
        </w:rPr>
        <w:footnoteRef/>
      </w:r>
      <w:r w:rsidR="00455119">
        <w:fldChar w:fldCharType="begin"/>
      </w:r>
      <w:r w:rsidR="00455119" w:rsidRPr="00455119">
        <w:rPr>
          <w:lang w:val="en-US"/>
        </w:rPr>
        <w:instrText>HYPERLINK "https://euaa.europa.eu/latest-asylum-trends-annual-overview-2022"</w:instrText>
      </w:r>
      <w:r w:rsidR="00455119">
        <w:fldChar w:fldCharType="separate"/>
      </w:r>
      <w:r w:rsidRPr="005557CB">
        <w:rPr>
          <w:rStyle w:val="Hyperlink"/>
          <w:lang w:val="en-GB"/>
        </w:rPr>
        <w:t>https://euaa.europa.eu/latest-asylum-trends-annual-overview-2022</w:t>
      </w:r>
      <w:r w:rsidR="00455119">
        <w:rPr>
          <w:rStyle w:val="Hyperlink"/>
          <w:lang w:val="en-GB"/>
        </w:rPr>
        <w:fldChar w:fldCharType="end"/>
      </w:r>
    </w:p>
    <w:p w14:paraId="507DA149" w14:textId="77777777" w:rsidR="005557CB" w:rsidRPr="00CF7919" w:rsidRDefault="005557CB" w:rsidP="005557CB">
      <w:pPr>
        <w:pStyle w:val="FootnoteText"/>
        <w:rPr>
          <w:lang w:val="en-GB"/>
        </w:rPr>
      </w:pPr>
    </w:p>
  </w:footnote>
  <w:footnote w:id="47">
    <w:p w14:paraId="1E166C91" w14:textId="628892B8" w:rsidR="001C0CAE" w:rsidRDefault="001C0CAE" w:rsidP="001C0CAE">
      <w:pPr>
        <w:pStyle w:val="FootnoteText"/>
        <w:rPr>
          <w:lang w:val="en-US"/>
        </w:rPr>
      </w:pPr>
      <w:r>
        <w:rPr>
          <w:rStyle w:val="FootnoteReference"/>
        </w:rPr>
        <w:footnoteRef/>
      </w:r>
      <w:r>
        <w:rPr>
          <w:lang w:val="en-US"/>
        </w:rPr>
        <w:t xml:space="preserve"> Interview with Filipe Marques, President of MEDEL by the “</w:t>
      </w:r>
      <w:r w:rsidR="00EA197F">
        <w:rPr>
          <w:lang w:val="en-US"/>
        </w:rPr>
        <w:t>A</w:t>
      </w:r>
      <w:r>
        <w:rPr>
          <w:lang w:val="en-US"/>
        </w:rPr>
        <w:t xml:space="preserve">rrested </w:t>
      </w:r>
      <w:r w:rsidR="00EA197F">
        <w:rPr>
          <w:lang w:val="en-US"/>
        </w:rPr>
        <w:t>La</w:t>
      </w:r>
      <w:r>
        <w:rPr>
          <w:lang w:val="en-US"/>
        </w:rPr>
        <w:t xml:space="preserve">wyers </w:t>
      </w:r>
      <w:r w:rsidR="00EA197F">
        <w:rPr>
          <w:lang w:val="en-US"/>
        </w:rPr>
        <w:t>I</w:t>
      </w:r>
      <w:r>
        <w:rPr>
          <w:lang w:val="en-US"/>
        </w:rPr>
        <w:t>nitiative” on 21 august 2020</w:t>
      </w:r>
      <w:r w:rsidR="00EA197F">
        <w:rPr>
          <w:lang w:val="en-US"/>
        </w:rPr>
        <w:t xml:space="preserve">, accessible at : </w:t>
      </w:r>
      <w:r w:rsidR="00455119">
        <w:fldChar w:fldCharType="begin"/>
      </w:r>
      <w:r w:rsidR="00455119" w:rsidRPr="00455119">
        <w:rPr>
          <w:lang w:val="en-GB"/>
        </w:rPr>
        <w:instrText>HYPERLINK "https://medelnet.eu/the-arre</w:instrText>
      </w:r>
      <w:r w:rsidR="00455119" w:rsidRPr="00455119">
        <w:rPr>
          <w:lang w:val="en-GB"/>
        </w:rPr>
        <w:instrText>sted-lawyers-published-an-interview-with-filipe-marques-president-of-medel/"</w:instrText>
      </w:r>
      <w:r w:rsidR="00455119">
        <w:fldChar w:fldCharType="separate"/>
      </w:r>
      <w:r w:rsidR="00EA197F" w:rsidRPr="00507406">
        <w:rPr>
          <w:rStyle w:val="Hyperlink"/>
          <w:lang w:val="en-US"/>
        </w:rPr>
        <w:t>https://medelnet.eu/the-arrested-lawyers-published-an-interview-with-filipe-marques-president-of-medel/</w:t>
      </w:r>
      <w:r w:rsidR="00455119">
        <w:rPr>
          <w:rStyle w:val="Hyperlink"/>
          <w:lang w:val="en-US"/>
        </w:rPr>
        <w:fldChar w:fldCharType="end"/>
      </w:r>
      <w:r w:rsidR="00EA197F">
        <w:rPr>
          <w:lang w:val="en-US"/>
        </w:rPr>
        <w:t xml:space="preserve">, last accessed on 01.06.2024. </w:t>
      </w:r>
    </w:p>
  </w:footnote>
  <w:footnote w:id="48">
    <w:p w14:paraId="5D4FBD42" w14:textId="15F6558E" w:rsidR="001C0CAE" w:rsidRDefault="001C0CAE" w:rsidP="001C0CAE">
      <w:pPr>
        <w:pStyle w:val="FootnoteText"/>
        <w:rPr>
          <w:lang w:val="en-US"/>
        </w:rPr>
      </w:pPr>
      <w:r>
        <w:rPr>
          <w:rStyle w:val="FootnoteReference"/>
        </w:rPr>
        <w:footnoteRef/>
      </w:r>
      <w:r>
        <w:rPr>
          <w:lang w:val="en-US"/>
        </w:rPr>
        <w:t xml:space="preserve"> </w:t>
      </w:r>
      <w:r w:rsidR="0043143D" w:rsidRPr="00C06385">
        <w:rPr>
          <w:lang w:val="en-GB"/>
        </w:rPr>
        <w:t xml:space="preserve">Perilli L, ‘ Judicial Independence &amp; Access to </w:t>
      </w:r>
      <w:r w:rsidR="0043143D">
        <w:rPr>
          <w:lang w:val="en-GB"/>
        </w:rPr>
        <w:t xml:space="preserve">Justice’, Turkey Tribunal, accessible at: </w:t>
      </w:r>
      <w:r w:rsidR="00455119">
        <w:fldChar w:fldCharType="begin"/>
      </w:r>
      <w:r w:rsidR="00455119" w:rsidRPr="00455119">
        <w:rPr>
          <w:lang w:val="en-GB"/>
        </w:rPr>
        <w:instrText>HYPERLINK "https://turkeytribunal.org/wp-content/uploads/2021/11/Report_Luca_Perilli_-Independence_Access_to_Justice_f.pdf"</w:instrText>
      </w:r>
      <w:r w:rsidR="00455119">
        <w:fldChar w:fldCharType="separate"/>
      </w:r>
      <w:r w:rsidR="0043143D" w:rsidRPr="00507406">
        <w:rPr>
          <w:rStyle w:val="Hyperlink"/>
          <w:lang w:val="en-GB"/>
        </w:rPr>
        <w:t>https://turkeytribunal.org/wp-content/uploads/2021/11/Report_Luca_Perilli_-Independence_Access_to_Justice_f.pdf</w:t>
      </w:r>
      <w:r w:rsidR="00455119">
        <w:rPr>
          <w:rStyle w:val="Hyperlink"/>
          <w:lang w:val="en-GB"/>
        </w:rPr>
        <w:fldChar w:fldCharType="end"/>
      </w:r>
      <w:r w:rsidR="0043143D">
        <w:rPr>
          <w:lang w:val="en-GB"/>
        </w:rPr>
        <w:t>, last accessed 01.06.2024.</w:t>
      </w:r>
    </w:p>
  </w:footnote>
  <w:footnote w:id="49">
    <w:p w14:paraId="571C6ADC" w14:textId="7FDC2AEA" w:rsidR="001C0CAE" w:rsidRPr="00B3347C" w:rsidRDefault="001C0CAE" w:rsidP="001C0CAE">
      <w:pPr>
        <w:pStyle w:val="FootnoteText"/>
        <w:rPr>
          <w:lang w:val="en-US"/>
        </w:rPr>
      </w:pPr>
      <w:r>
        <w:rPr>
          <w:rStyle w:val="FootnoteReference"/>
        </w:rPr>
        <w:footnoteRef/>
      </w:r>
      <w:r w:rsidRPr="00B3347C">
        <w:rPr>
          <w:lang w:val="en-US"/>
        </w:rPr>
        <w:t xml:space="preserve"> </w:t>
      </w:r>
      <w:r w:rsidR="00A84D1E">
        <w:rPr>
          <w:lang w:val="en-US"/>
        </w:rPr>
        <w:t xml:space="preserve">European Commission, ‘Progress Report of Türkiye 2023’, accessible at: </w:t>
      </w:r>
      <w:r w:rsidR="00455119">
        <w:fldChar w:fldCharType="begin"/>
      </w:r>
      <w:r w:rsidR="00455119" w:rsidRPr="00455119">
        <w:rPr>
          <w:lang w:val="en-GB"/>
        </w:rPr>
        <w:instrText>HYPERLINK "https://neighbourhood-enlargement.ec.</w:instrText>
      </w:r>
      <w:r w:rsidR="00455119" w:rsidRPr="00455119">
        <w:rPr>
          <w:lang w:val="en-GB"/>
        </w:rPr>
        <w:instrText>europa.eu/system/files/2023-11/SWD_2023_696%20Türkiye%20report.pdf"</w:instrText>
      </w:r>
      <w:r w:rsidR="00455119">
        <w:fldChar w:fldCharType="separate"/>
      </w:r>
      <w:r w:rsidR="00A84D1E" w:rsidRPr="00507406">
        <w:rPr>
          <w:rStyle w:val="Hyperlink"/>
          <w:lang w:val="en-US"/>
        </w:rPr>
        <w:t>https://neighbourhood-enlargement.ec.europa.eu/system/files/2023-11/SWD_2023_696%20Türkiye%20report.pdf</w:t>
      </w:r>
      <w:r w:rsidR="00455119">
        <w:rPr>
          <w:rStyle w:val="Hyperlink"/>
          <w:lang w:val="en-US"/>
        </w:rPr>
        <w:fldChar w:fldCharType="end"/>
      </w:r>
      <w:r w:rsidR="00A84D1E">
        <w:rPr>
          <w:lang w:val="en-US"/>
        </w:rPr>
        <w:t>, p.25.</w:t>
      </w:r>
    </w:p>
  </w:footnote>
  <w:footnote w:id="50">
    <w:p w14:paraId="783C6A9C" w14:textId="77777777" w:rsidR="001C0CAE" w:rsidRPr="00B3347C" w:rsidRDefault="001C0CAE" w:rsidP="001C0CAE">
      <w:pPr>
        <w:pStyle w:val="FootnoteText"/>
      </w:pPr>
      <w:r>
        <w:rPr>
          <w:rStyle w:val="FootnoteReference"/>
        </w:rPr>
        <w:footnoteRef/>
      </w:r>
      <w:r w:rsidRPr="00B3347C">
        <w:t xml:space="preserve"> </w:t>
      </w:r>
      <w:proofErr w:type="spellStart"/>
      <w:proofErr w:type="gramStart"/>
      <w:r w:rsidRPr="00B3347C">
        <w:t>ibid</w:t>
      </w:r>
      <w:proofErr w:type="spellEnd"/>
      <w:proofErr w:type="gramEnd"/>
      <w:r w:rsidRPr="00B3347C">
        <w:t>, page 25.</w:t>
      </w:r>
    </w:p>
  </w:footnote>
  <w:footnote w:id="51">
    <w:p w14:paraId="40D2EA11" w14:textId="77777777" w:rsidR="001C0CAE" w:rsidRDefault="001C0CAE" w:rsidP="001C0CAE">
      <w:pPr>
        <w:pStyle w:val="FootnoteText"/>
        <w:rPr>
          <w:lang w:val="en-US"/>
        </w:rPr>
      </w:pPr>
      <w:r>
        <w:rPr>
          <w:rStyle w:val="FootnoteReference"/>
        </w:rPr>
        <w:footnoteRef/>
      </w:r>
      <w:r w:rsidRPr="00B3347C">
        <w:t xml:space="preserve"> CM/</w:t>
      </w:r>
      <w:proofErr w:type="gramStart"/>
      <w:r w:rsidRPr="00B3347C">
        <w:t>Rec(</w:t>
      </w:r>
      <w:proofErr w:type="gramEnd"/>
      <w:r w:rsidRPr="00B3347C">
        <w:t xml:space="preserve">2010)12, par 44. </w:t>
      </w:r>
      <w:r>
        <w:rPr>
          <w:lang w:val="en-US"/>
        </w:rPr>
        <w:t>Decisions concerning the selection and career of judges should be based on objective criteria pre-established by law or by the competent authorities. Such decisions should be based on merit, having regard to the qualifications, skills and capacity required to adjudicate cases by applying the law while respecting human dignity.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B23DF"/>
    <w:multiLevelType w:val="hybridMultilevel"/>
    <w:tmpl w:val="C004F2D8"/>
    <w:lvl w:ilvl="0" w:tplc="0E6CA7A0">
      <w:start w:val="1"/>
      <w:numFmt w:val="bullet"/>
      <w:lvlText w:val=""/>
      <w:lvlJc w:val="left"/>
      <w:pPr>
        <w:ind w:left="720" w:hanging="360"/>
      </w:pPr>
      <w:rPr>
        <w:rFonts w:ascii="Symbol" w:hAnsi="Symbol" w:hint="default"/>
      </w:rPr>
    </w:lvl>
    <w:lvl w:ilvl="1" w:tplc="1D9682AA">
      <w:start w:val="1"/>
      <w:numFmt w:val="bullet"/>
      <w:lvlText w:val="o"/>
      <w:lvlJc w:val="left"/>
      <w:pPr>
        <w:ind w:left="1440" w:hanging="360"/>
      </w:pPr>
      <w:rPr>
        <w:rFonts w:ascii="Courier New" w:hAnsi="Courier New" w:cs="Courier New" w:hint="default"/>
      </w:rPr>
    </w:lvl>
    <w:lvl w:ilvl="2" w:tplc="5C26A50A">
      <w:start w:val="1"/>
      <w:numFmt w:val="bullet"/>
      <w:lvlText w:val=""/>
      <w:lvlJc w:val="left"/>
      <w:pPr>
        <w:ind w:left="2160" w:hanging="360"/>
      </w:pPr>
      <w:rPr>
        <w:rFonts w:ascii="Wingdings" w:hAnsi="Wingdings" w:hint="default"/>
      </w:rPr>
    </w:lvl>
    <w:lvl w:ilvl="3" w:tplc="F95E246A">
      <w:start w:val="1"/>
      <w:numFmt w:val="bullet"/>
      <w:lvlText w:val=""/>
      <w:lvlJc w:val="left"/>
      <w:pPr>
        <w:ind w:left="2880" w:hanging="360"/>
      </w:pPr>
      <w:rPr>
        <w:rFonts w:ascii="Symbol" w:hAnsi="Symbol" w:hint="default"/>
      </w:rPr>
    </w:lvl>
    <w:lvl w:ilvl="4" w:tplc="3878D94E">
      <w:start w:val="1"/>
      <w:numFmt w:val="bullet"/>
      <w:lvlText w:val="o"/>
      <w:lvlJc w:val="left"/>
      <w:pPr>
        <w:ind w:left="3600" w:hanging="360"/>
      </w:pPr>
      <w:rPr>
        <w:rFonts w:ascii="Courier New" w:hAnsi="Courier New" w:cs="Courier New" w:hint="default"/>
      </w:rPr>
    </w:lvl>
    <w:lvl w:ilvl="5" w:tplc="0900BC5C">
      <w:start w:val="1"/>
      <w:numFmt w:val="bullet"/>
      <w:lvlText w:val=""/>
      <w:lvlJc w:val="left"/>
      <w:pPr>
        <w:ind w:left="4320" w:hanging="360"/>
      </w:pPr>
      <w:rPr>
        <w:rFonts w:ascii="Wingdings" w:hAnsi="Wingdings" w:hint="default"/>
      </w:rPr>
    </w:lvl>
    <w:lvl w:ilvl="6" w:tplc="BBCC1EA6">
      <w:start w:val="1"/>
      <w:numFmt w:val="bullet"/>
      <w:lvlText w:val=""/>
      <w:lvlJc w:val="left"/>
      <w:pPr>
        <w:ind w:left="5040" w:hanging="360"/>
      </w:pPr>
      <w:rPr>
        <w:rFonts w:ascii="Symbol" w:hAnsi="Symbol" w:hint="default"/>
      </w:rPr>
    </w:lvl>
    <w:lvl w:ilvl="7" w:tplc="068ECEB4">
      <w:start w:val="1"/>
      <w:numFmt w:val="bullet"/>
      <w:lvlText w:val="o"/>
      <w:lvlJc w:val="left"/>
      <w:pPr>
        <w:ind w:left="5760" w:hanging="360"/>
      </w:pPr>
      <w:rPr>
        <w:rFonts w:ascii="Courier New" w:hAnsi="Courier New" w:cs="Courier New" w:hint="default"/>
      </w:rPr>
    </w:lvl>
    <w:lvl w:ilvl="8" w:tplc="82B4AD64">
      <w:start w:val="1"/>
      <w:numFmt w:val="bullet"/>
      <w:lvlText w:val=""/>
      <w:lvlJc w:val="left"/>
      <w:pPr>
        <w:ind w:left="6480" w:hanging="360"/>
      </w:pPr>
      <w:rPr>
        <w:rFonts w:ascii="Wingdings" w:hAnsi="Wingdings" w:hint="default"/>
      </w:rPr>
    </w:lvl>
  </w:abstractNum>
  <w:abstractNum w:abstractNumId="1" w15:restartNumberingAfterBreak="0">
    <w:nsid w:val="043D3AA4"/>
    <w:multiLevelType w:val="hybridMultilevel"/>
    <w:tmpl w:val="D04A5906"/>
    <w:lvl w:ilvl="0" w:tplc="9044E9AC">
      <w:start w:val="1"/>
      <w:numFmt w:val="bullet"/>
      <w:lvlText w:val="·"/>
      <w:lvlJc w:val="left"/>
      <w:pPr>
        <w:ind w:left="709" w:hanging="360"/>
      </w:pPr>
      <w:rPr>
        <w:rFonts w:ascii="Symbol" w:eastAsia="Symbol" w:hAnsi="Symbol" w:cs="Symbol"/>
      </w:rPr>
    </w:lvl>
    <w:lvl w:ilvl="1" w:tplc="21C870B0">
      <w:start w:val="1"/>
      <w:numFmt w:val="bullet"/>
      <w:lvlText w:val="o"/>
      <w:lvlJc w:val="left"/>
      <w:pPr>
        <w:ind w:left="1429" w:hanging="360"/>
      </w:pPr>
      <w:rPr>
        <w:rFonts w:ascii="Courier New" w:eastAsia="Courier New" w:hAnsi="Courier New" w:cs="Courier New"/>
      </w:rPr>
    </w:lvl>
    <w:lvl w:ilvl="2" w:tplc="68F87E24">
      <w:start w:val="1"/>
      <w:numFmt w:val="bullet"/>
      <w:lvlText w:val="§"/>
      <w:lvlJc w:val="left"/>
      <w:pPr>
        <w:ind w:left="2149" w:hanging="360"/>
      </w:pPr>
      <w:rPr>
        <w:rFonts w:ascii="Wingdings" w:eastAsia="Wingdings" w:hAnsi="Wingdings" w:cs="Wingdings"/>
      </w:rPr>
    </w:lvl>
    <w:lvl w:ilvl="3" w:tplc="B7D04EEE">
      <w:start w:val="1"/>
      <w:numFmt w:val="bullet"/>
      <w:lvlText w:val="·"/>
      <w:lvlJc w:val="left"/>
      <w:pPr>
        <w:ind w:left="2869" w:hanging="360"/>
      </w:pPr>
      <w:rPr>
        <w:rFonts w:ascii="Symbol" w:eastAsia="Symbol" w:hAnsi="Symbol" w:cs="Symbol"/>
      </w:rPr>
    </w:lvl>
    <w:lvl w:ilvl="4" w:tplc="6500069C">
      <w:start w:val="1"/>
      <w:numFmt w:val="bullet"/>
      <w:lvlText w:val="o"/>
      <w:lvlJc w:val="left"/>
      <w:pPr>
        <w:ind w:left="3589" w:hanging="360"/>
      </w:pPr>
      <w:rPr>
        <w:rFonts w:ascii="Courier New" w:eastAsia="Courier New" w:hAnsi="Courier New" w:cs="Courier New"/>
      </w:rPr>
    </w:lvl>
    <w:lvl w:ilvl="5" w:tplc="E8468B60">
      <w:start w:val="1"/>
      <w:numFmt w:val="bullet"/>
      <w:lvlText w:val="§"/>
      <w:lvlJc w:val="left"/>
      <w:pPr>
        <w:ind w:left="4309" w:hanging="360"/>
      </w:pPr>
      <w:rPr>
        <w:rFonts w:ascii="Wingdings" w:eastAsia="Wingdings" w:hAnsi="Wingdings" w:cs="Wingdings"/>
      </w:rPr>
    </w:lvl>
    <w:lvl w:ilvl="6" w:tplc="6AC68F52">
      <w:start w:val="1"/>
      <w:numFmt w:val="bullet"/>
      <w:lvlText w:val="·"/>
      <w:lvlJc w:val="left"/>
      <w:pPr>
        <w:ind w:left="5029" w:hanging="360"/>
      </w:pPr>
      <w:rPr>
        <w:rFonts w:ascii="Symbol" w:eastAsia="Symbol" w:hAnsi="Symbol" w:cs="Symbol"/>
      </w:rPr>
    </w:lvl>
    <w:lvl w:ilvl="7" w:tplc="E9121ABC">
      <w:start w:val="1"/>
      <w:numFmt w:val="bullet"/>
      <w:lvlText w:val="o"/>
      <w:lvlJc w:val="left"/>
      <w:pPr>
        <w:ind w:left="5749" w:hanging="360"/>
      </w:pPr>
      <w:rPr>
        <w:rFonts w:ascii="Courier New" w:eastAsia="Courier New" w:hAnsi="Courier New" w:cs="Courier New"/>
      </w:rPr>
    </w:lvl>
    <w:lvl w:ilvl="8" w:tplc="258A89F2">
      <w:start w:val="1"/>
      <w:numFmt w:val="bullet"/>
      <w:lvlText w:val="§"/>
      <w:lvlJc w:val="left"/>
      <w:pPr>
        <w:ind w:left="6469" w:hanging="360"/>
      </w:pPr>
      <w:rPr>
        <w:rFonts w:ascii="Wingdings" w:eastAsia="Wingdings" w:hAnsi="Wingdings" w:cs="Wingdings"/>
      </w:rPr>
    </w:lvl>
  </w:abstractNum>
  <w:abstractNum w:abstractNumId="2" w15:restartNumberingAfterBreak="0">
    <w:nsid w:val="0596075C"/>
    <w:multiLevelType w:val="hybridMultilevel"/>
    <w:tmpl w:val="193209C4"/>
    <w:lvl w:ilvl="0" w:tplc="1EA4E040">
      <w:start w:val="1"/>
      <w:numFmt w:val="bullet"/>
      <w:lvlText w:val="-"/>
      <w:lvlJc w:val="left"/>
      <w:pPr>
        <w:ind w:left="1035" w:hanging="360"/>
      </w:pPr>
      <w:rPr>
        <w:rFonts w:ascii="Calibri" w:eastAsia="Calibri" w:hAnsi="Calibri" w:cs="Calibri" w:hint="default"/>
      </w:rPr>
    </w:lvl>
    <w:lvl w:ilvl="1" w:tplc="B2C49D2E">
      <w:start w:val="1"/>
      <w:numFmt w:val="bullet"/>
      <w:lvlText w:val="o"/>
      <w:lvlJc w:val="left"/>
      <w:pPr>
        <w:ind w:left="1755" w:hanging="360"/>
      </w:pPr>
      <w:rPr>
        <w:rFonts w:ascii="Courier New" w:hAnsi="Courier New" w:cs="Courier New" w:hint="default"/>
      </w:rPr>
    </w:lvl>
    <w:lvl w:ilvl="2" w:tplc="6B1A568E">
      <w:start w:val="1"/>
      <w:numFmt w:val="bullet"/>
      <w:lvlText w:val=""/>
      <w:lvlJc w:val="left"/>
      <w:pPr>
        <w:ind w:left="2475" w:hanging="360"/>
      </w:pPr>
      <w:rPr>
        <w:rFonts w:ascii="Wingdings" w:hAnsi="Wingdings" w:hint="default"/>
      </w:rPr>
    </w:lvl>
    <w:lvl w:ilvl="3" w:tplc="18921A0E">
      <w:start w:val="1"/>
      <w:numFmt w:val="bullet"/>
      <w:lvlText w:val=""/>
      <w:lvlJc w:val="left"/>
      <w:pPr>
        <w:ind w:left="3195" w:hanging="360"/>
      </w:pPr>
      <w:rPr>
        <w:rFonts w:ascii="Symbol" w:hAnsi="Symbol" w:hint="default"/>
      </w:rPr>
    </w:lvl>
    <w:lvl w:ilvl="4" w:tplc="F672FD90">
      <w:start w:val="1"/>
      <w:numFmt w:val="bullet"/>
      <w:lvlText w:val="o"/>
      <w:lvlJc w:val="left"/>
      <w:pPr>
        <w:ind w:left="3915" w:hanging="360"/>
      </w:pPr>
      <w:rPr>
        <w:rFonts w:ascii="Courier New" w:hAnsi="Courier New" w:cs="Courier New" w:hint="default"/>
      </w:rPr>
    </w:lvl>
    <w:lvl w:ilvl="5" w:tplc="257EC56A">
      <w:start w:val="1"/>
      <w:numFmt w:val="bullet"/>
      <w:lvlText w:val=""/>
      <w:lvlJc w:val="left"/>
      <w:pPr>
        <w:ind w:left="4635" w:hanging="360"/>
      </w:pPr>
      <w:rPr>
        <w:rFonts w:ascii="Wingdings" w:hAnsi="Wingdings" w:hint="default"/>
      </w:rPr>
    </w:lvl>
    <w:lvl w:ilvl="6" w:tplc="313659FC">
      <w:start w:val="1"/>
      <w:numFmt w:val="bullet"/>
      <w:lvlText w:val=""/>
      <w:lvlJc w:val="left"/>
      <w:pPr>
        <w:ind w:left="5355" w:hanging="360"/>
      </w:pPr>
      <w:rPr>
        <w:rFonts w:ascii="Symbol" w:hAnsi="Symbol" w:hint="default"/>
      </w:rPr>
    </w:lvl>
    <w:lvl w:ilvl="7" w:tplc="856AB7EA">
      <w:start w:val="1"/>
      <w:numFmt w:val="bullet"/>
      <w:lvlText w:val="o"/>
      <w:lvlJc w:val="left"/>
      <w:pPr>
        <w:ind w:left="6075" w:hanging="360"/>
      </w:pPr>
      <w:rPr>
        <w:rFonts w:ascii="Courier New" w:hAnsi="Courier New" w:cs="Courier New" w:hint="default"/>
      </w:rPr>
    </w:lvl>
    <w:lvl w:ilvl="8" w:tplc="0EC29728">
      <w:start w:val="1"/>
      <w:numFmt w:val="bullet"/>
      <w:lvlText w:val=""/>
      <w:lvlJc w:val="left"/>
      <w:pPr>
        <w:ind w:left="6795" w:hanging="360"/>
      </w:pPr>
      <w:rPr>
        <w:rFonts w:ascii="Wingdings" w:hAnsi="Wingdings" w:hint="default"/>
      </w:rPr>
    </w:lvl>
  </w:abstractNum>
  <w:abstractNum w:abstractNumId="3" w15:restartNumberingAfterBreak="0">
    <w:nsid w:val="0A0F1445"/>
    <w:multiLevelType w:val="hybridMultilevel"/>
    <w:tmpl w:val="9BF0C7B6"/>
    <w:lvl w:ilvl="0" w:tplc="2640C8B4">
      <w:start w:val="1"/>
      <w:numFmt w:val="bullet"/>
      <w:lvlText w:val="·"/>
      <w:lvlJc w:val="left"/>
      <w:pPr>
        <w:ind w:left="709" w:hanging="360"/>
      </w:pPr>
      <w:rPr>
        <w:rFonts w:ascii="Symbol" w:eastAsia="Symbol" w:hAnsi="Symbol" w:cs="Symbol"/>
      </w:rPr>
    </w:lvl>
    <w:lvl w:ilvl="1" w:tplc="5120C304">
      <w:start w:val="1"/>
      <w:numFmt w:val="bullet"/>
      <w:lvlText w:val="o"/>
      <w:lvlJc w:val="left"/>
      <w:pPr>
        <w:ind w:left="1429" w:hanging="360"/>
      </w:pPr>
      <w:rPr>
        <w:rFonts w:ascii="Courier New" w:eastAsia="Courier New" w:hAnsi="Courier New" w:cs="Courier New"/>
      </w:rPr>
    </w:lvl>
    <w:lvl w:ilvl="2" w:tplc="15747136">
      <w:start w:val="1"/>
      <w:numFmt w:val="bullet"/>
      <w:lvlText w:val="§"/>
      <w:lvlJc w:val="left"/>
      <w:pPr>
        <w:ind w:left="2149" w:hanging="360"/>
      </w:pPr>
      <w:rPr>
        <w:rFonts w:ascii="Wingdings" w:eastAsia="Wingdings" w:hAnsi="Wingdings" w:cs="Wingdings"/>
      </w:rPr>
    </w:lvl>
    <w:lvl w:ilvl="3" w:tplc="C24C7D5E">
      <w:start w:val="1"/>
      <w:numFmt w:val="bullet"/>
      <w:lvlText w:val="·"/>
      <w:lvlJc w:val="left"/>
      <w:pPr>
        <w:ind w:left="2869" w:hanging="360"/>
      </w:pPr>
      <w:rPr>
        <w:rFonts w:ascii="Symbol" w:eastAsia="Symbol" w:hAnsi="Symbol" w:cs="Symbol"/>
      </w:rPr>
    </w:lvl>
    <w:lvl w:ilvl="4" w:tplc="1462756E">
      <w:start w:val="1"/>
      <w:numFmt w:val="bullet"/>
      <w:lvlText w:val="o"/>
      <w:lvlJc w:val="left"/>
      <w:pPr>
        <w:ind w:left="3589" w:hanging="360"/>
      </w:pPr>
      <w:rPr>
        <w:rFonts w:ascii="Courier New" w:eastAsia="Courier New" w:hAnsi="Courier New" w:cs="Courier New"/>
      </w:rPr>
    </w:lvl>
    <w:lvl w:ilvl="5" w:tplc="56B0EFF2">
      <w:start w:val="1"/>
      <w:numFmt w:val="bullet"/>
      <w:lvlText w:val="§"/>
      <w:lvlJc w:val="left"/>
      <w:pPr>
        <w:ind w:left="4309" w:hanging="360"/>
      </w:pPr>
      <w:rPr>
        <w:rFonts w:ascii="Wingdings" w:eastAsia="Wingdings" w:hAnsi="Wingdings" w:cs="Wingdings"/>
      </w:rPr>
    </w:lvl>
    <w:lvl w:ilvl="6" w:tplc="A8CC0372">
      <w:start w:val="1"/>
      <w:numFmt w:val="bullet"/>
      <w:lvlText w:val="·"/>
      <w:lvlJc w:val="left"/>
      <w:pPr>
        <w:ind w:left="5029" w:hanging="360"/>
      </w:pPr>
      <w:rPr>
        <w:rFonts w:ascii="Symbol" w:eastAsia="Symbol" w:hAnsi="Symbol" w:cs="Symbol"/>
      </w:rPr>
    </w:lvl>
    <w:lvl w:ilvl="7" w:tplc="ACBE6D8A">
      <w:start w:val="1"/>
      <w:numFmt w:val="bullet"/>
      <w:lvlText w:val="o"/>
      <w:lvlJc w:val="left"/>
      <w:pPr>
        <w:ind w:left="5749" w:hanging="360"/>
      </w:pPr>
      <w:rPr>
        <w:rFonts w:ascii="Courier New" w:eastAsia="Courier New" w:hAnsi="Courier New" w:cs="Courier New"/>
      </w:rPr>
    </w:lvl>
    <w:lvl w:ilvl="8" w:tplc="CEBA3344">
      <w:start w:val="1"/>
      <w:numFmt w:val="bullet"/>
      <w:lvlText w:val="§"/>
      <w:lvlJc w:val="left"/>
      <w:pPr>
        <w:ind w:left="6469" w:hanging="360"/>
      </w:pPr>
      <w:rPr>
        <w:rFonts w:ascii="Wingdings" w:eastAsia="Wingdings" w:hAnsi="Wingdings" w:cs="Wingdings"/>
      </w:rPr>
    </w:lvl>
  </w:abstractNum>
  <w:abstractNum w:abstractNumId="4" w15:restartNumberingAfterBreak="0">
    <w:nsid w:val="0B0A3A76"/>
    <w:multiLevelType w:val="hybridMultilevel"/>
    <w:tmpl w:val="0A1E81F8"/>
    <w:lvl w:ilvl="0" w:tplc="9A4A8584">
      <w:start w:val="1"/>
      <w:numFmt w:val="bullet"/>
      <w:lvlText w:val="-"/>
      <w:lvlJc w:val="left"/>
      <w:pPr>
        <w:ind w:left="720" w:hanging="360"/>
      </w:pPr>
      <w:rPr>
        <w:rFonts w:ascii="Calibri" w:eastAsia="Calibri" w:hAnsi="Calibri" w:cs="Calibri" w:hint="default"/>
      </w:rPr>
    </w:lvl>
    <w:lvl w:ilvl="1" w:tplc="7A78F4E2">
      <w:start w:val="1"/>
      <w:numFmt w:val="bullet"/>
      <w:lvlText w:val="o"/>
      <w:lvlJc w:val="left"/>
      <w:pPr>
        <w:ind w:left="1440" w:hanging="360"/>
      </w:pPr>
      <w:rPr>
        <w:rFonts w:ascii="Courier New" w:hAnsi="Courier New" w:cs="Courier New" w:hint="default"/>
      </w:rPr>
    </w:lvl>
    <w:lvl w:ilvl="2" w:tplc="01E63972">
      <w:start w:val="1"/>
      <w:numFmt w:val="bullet"/>
      <w:lvlText w:val=""/>
      <w:lvlJc w:val="left"/>
      <w:pPr>
        <w:ind w:left="2160" w:hanging="360"/>
      </w:pPr>
      <w:rPr>
        <w:rFonts w:ascii="Wingdings" w:hAnsi="Wingdings" w:hint="default"/>
      </w:rPr>
    </w:lvl>
    <w:lvl w:ilvl="3" w:tplc="1372684C">
      <w:start w:val="1"/>
      <w:numFmt w:val="bullet"/>
      <w:lvlText w:val=""/>
      <w:lvlJc w:val="left"/>
      <w:pPr>
        <w:ind w:left="2880" w:hanging="360"/>
      </w:pPr>
      <w:rPr>
        <w:rFonts w:ascii="Symbol" w:hAnsi="Symbol" w:hint="default"/>
      </w:rPr>
    </w:lvl>
    <w:lvl w:ilvl="4" w:tplc="87040762">
      <w:start w:val="1"/>
      <w:numFmt w:val="bullet"/>
      <w:lvlText w:val="o"/>
      <w:lvlJc w:val="left"/>
      <w:pPr>
        <w:ind w:left="3600" w:hanging="360"/>
      </w:pPr>
      <w:rPr>
        <w:rFonts w:ascii="Courier New" w:hAnsi="Courier New" w:cs="Courier New" w:hint="default"/>
      </w:rPr>
    </w:lvl>
    <w:lvl w:ilvl="5" w:tplc="B6D6B934">
      <w:start w:val="1"/>
      <w:numFmt w:val="bullet"/>
      <w:lvlText w:val=""/>
      <w:lvlJc w:val="left"/>
      <w:pPr>
        <w:ind w:left="4320" w:hanging="360"/>
      </w:pPr>
      <w:rPr>
        <w:rFonts w:ascii="Wingdings" w:hAnsi="Wingdings" w:hint="default"/>
      </w:rPr>
    </w:lvl>
    <w:lvl w:ilvl="6" w:tplc="8A94D97A">
      <w:start w:val="1"/>
      <w:numFmt w:val="bullet"/>
      <w:lvlText w:val=""/>
      <w:lvlJc w:val="left"/>
      <w:pPr>
        <w:ind w:left="5040" w:hanging="360"/>
      </w:pPr>
      <w:rPr>
        <w:rFonts w:ascii="Symbol" w:hAnsi="Symbol" w:hint="default"/>
      </w:rPr>
    </w:lvl>
    <w:lvl w:ilvl="7" w:tplc="DA1ABF2E">
      <w:start w:val="1"/>
      <w:numFmt w:val="bullet"/>
      <w:lvlText w:val="o"/>
      <w:lvlJc w:val="left"/>
      <w:pPr>
        <w:ind w:left="5760" w:hanging="360"/>
      </w:pPr>
      <w:rPr>
        <w:rFonts w:ascii="Courier New" w:hAnsi="Courier New" w:cs="Courier New" w:hint="default"/>
      </w:rPr>
    </w:lvl>
    <w:lvl w:ilvl="8" w:tplc="B74418F2">
      <w:start w:val="1"/>
      <w:numFmt w:val="bullet"/>
      <w:lvlText w:val=""/>
      <w:lvlJc w:val="left"/>
      <w:pPr>
        <w:ind w:left="6480" w:hanging="360"/>
      </w:pPr>
      <w:rPr>
        <w:rFonts w:ascii="Wingdings" w:hAnsi="Wingdings" w:hint="default"/>
      </w:rPr>
    </w:lvl>
  </w:abstractNum>
  <w:abstractNum w:abstractNumId="5" w15:restartNumberingAfterBreak="0">
    <w:nsid w:val="1171530F"/>
    <w:multiLevelType w:val="hybridMultilevel"/>
    <w:tmpl w:val="43B25362"/>
    <w:lvl w:ilvl="0" w:tplc="71EA87B0">
      <w:start w:val="1"/>
      <w:numFmt w:val="bullet"/>
      <w:lvlText w:val=""/>
      <w:lvlJc w:val="left"/>
      <w:pPr>
        <w:ind w:left="975" w:hanging="360"/>
      </w:pPr>
      <w:rPr>
        <w:rFonts w:ascii="Symbol" w:hAnsi="Symbol" w:hint="default"/>
      </w:rPr>
    </w:lvl>
    <w:lvl w:ilvl="1" w:tplc="FBCE9E12">
      <w:start w:val="1"/>
      <w:numFmt w:val="bullet"/>
      <w:lvlText w:val="o"/>
      <w:lvlJc w:val="left"/>
      <w:pPr>
        <w:ind w:left="1695" w:hanging="360"/>
      </w:pPr>
      <w:rPr>
        <w:rFonts w:ascii="Courier New" w:hAnsi="Courier New" w:cs="Courier New" w:hint="default"/>
      </w:rPr>
    </w:lvl>
    <w:lvl w:ilvl="2" w:tplc="86002BCA">
      <w:start w:val="1"/>
      <w:numFmt w:val="bullet"/>
      <w:lvlText w:val=""/>
      <w:lvlJc w:val="left"/>
      <w:pPr>
        <w:ind w:left="2415" w:hanging="360"/>
      </w:pPr>
      <w:rPr>
        <w:rFonts w:ascii="Wingdings" w:hAnsi="Wingdings" w:hint="default"/>
      </w:rPr>
    </w:lvl>
    <w:lvl w:ilvl="3" w:tplc="6EAAFB18">
      <w:start w:val="1"/>
      <w:numFmt w:val="bullet"/>
      <w:lvlText w:val=""/>
      <w:lvlJc w:val="left"/>
      <w:pPr>
        <w:ind w:left="3135" w:hanging="360"/>
      </w:pPr>
      <w:rPr>
        <w:rFonts w:ascii="Symbol" w:hAnsi="Symbol" w:hint="default"/>
      </w:rPr>
    </w:lvl>
    <w:lvl w:ilvl="4" w:tplc="6512C450">
      <w:start w:val="1"/>
      <w:numFmt w:val="bullet"/>
      <w:lvlText w:val="o"/>
      <w:lvlJc w:val="left"/>
      <w:pPr>
        <w:ind w:left="3855" w:hanging="360"/>
      </w:pPr>
      <w:rPr>
        <w:rFonts w:ascii="Courier New" w:hAnsi="Courier New" w:cs="Courier New" w:hint="default"/>
      </w:rPr>
    </w:lvl>
    <w:lvl w:ilvl="5" w:tplc="AC222496">
      <w:start w:val="1"/>
      <w:numFmt w:val="bullet"/>
      <w:lvlText w:val=""/>
      <w:lvlJc w:val="left"/>
      <w:pPr>
        <w:ind w:left="4575" w:hanging="360"/>
      </w:pPr>
      <w:rPr>
        <w:rFonts w:ascii="Wingdings" w:hAnsi="Wingdings" w:hint="default"/>
      </w:rPr>
    </w:lvl>
    <w:lvl w:ilvl="6" w:tplc="F46EA124">
      <w:start w:val="1"/>
      <w:numFmt w:val="bullet"/>
      <w:lvlText w:val=""/>
      <w:lvlJc w:val="left"/>
      <w:pPr>
        <w:ind w:left="5295" w:hanging="360"/>
      </w:pPr>
      <w:rPr>
        <w:rFonts w:ascii="Symbol" w:hAnsi="Symbol" w:hint="default"/>
      </w:rPr>
    </w:lvl>
    <w:lvl w:ilvl="7" w:tplc="8D848FEE">
      <w:start w:val="1"/>
      <w:numFmt w:val="bullet"/>
      <w:lvlText w:val="o"/>
      <w:lvlJc w:val="left"/>
      <w:pPr>
        <w:ind w:left="6015" w:hanging="360"/>
      </w:pPr>
      <w:rPr>
        <w:rFonts w:ascii="Courier New" w:hAnsi="Courier New" w:cs="Courier New" w:hint="default"/>
      </w:rPr>
    </w:lvl>
    <w:lvl w:ilvl="8" w:tplc="3E300D7E">
      <w:start w:val="1"/>
      <w:numFmt w:val="bullet"/>
      <w:lvlText w:val=""/>
      <w:lvlJc w:val="left"/>
      <w:pPr>
        <w:ind w:left="6735" w:hanging="360"/>
      </w:pPr>
      <w:rPr>
        <w:rFonts w:ascii="Wingdings" w:hAnsi="Wingdings" w:hint="default"/>
      </w:rPr>
    </w:lvl>
  </w:abstractNum>
  <w:abstractNum w:abstractNumId="6" w15:restartNumberingAfterBreak="0">
    <w:nsid w:val="123B0C57"/>
    <w:multiLevelType w:val="hybridMultilevel"/>
    <w:tmpl w:val="535C6F90"/>
    <w:lvl w:ilvl="0" w:tplc="78DAC424">
      <w:start w:val="1"/>
      <w:numFmt w:val="bullet"/>
      <w:lvlText w:val=""/>
      <w:lvlJc w:val="left"/>
      <w:pPr>
        <w:ind w:left="780" w:hanging="360"/>
      </w:pPr>
      <w:rPr>
        <w:rFonts w:ascii="Symbol" w:hAnsi="Symbol"/>
      </w:rPr>
    </w:lvl>
    <w:lvl w:ilvl="1" w:tplc="2F74F132">
      <w:start w:val="1"/>
      <w:numFmt w:val="bullet"/>
      <w:lvlText w:val="o"/>
      <w:lvlJc w:val="left"/>
      <w:pPr>
        <w:ind w:left="1500" w:hanging="360"/>
      </w:pPr>
      <w:rPr>
        <w:rFonts w:ascii="Courier New" w:hAnsi="Courier New" w:cs="Courier New"/>
      </w:rPr>
    </w:lvl>
    <w:lvl w:ilvl="2" w:tplc="C582A80A">
      <w:start w:val="1"/>
      <w:numFmt w:val="bullet"/>
      <w:lvlText w:val=""/>
      <w:lvlJc w:val="left"/>
      <w:pPr>
        <w:ind w:left="2220" w:hanging="360"/>
      </w:pPr>
      <w:rPr>
        <w:rFonts w:ascii="Wingdings" w:hAnsi="Wingdings"/>
      </w:rPr>
    </w:lvl>
    <w:lvl w:ilvl="3" w:tplc="1FB4A658">
      <w:start w:val="1"/>
      <w:numFmt w:val="bullet"/>
      <w:lvlText w:val=""/>
      <w:lvlJc w:val="left"/>
      <w:pPr>
        <w:ind w:left="2940" w:hanging="360"/>
      </w:pPr>
      <w:rPr>
        <w:rFonts w:ascii="Symbol" w:hAnsi="Symbol"/>
      </w:rPr>
    </w:lvl>
    <w:lvl w:ilvl="4" w:tplc="07B4BE5E">
      <w:start w:val="1"/>
      <w:numFmt w:val="bullet"/>
      <w:lvlText w:val="o"/>
      <w:lvlJc w:val="left"/>
      <w:pPr>
        <w:ind w:left="3660" w:hanging="360"/>
      </w:pPr>
      <w:rPr>
        <w:rFonts w:ascii="Courier New" w:hAnsi="Courier New" w:cs="Courier New"/>
      </w:rPr>
    </w:lvl>
    <w:lvl w:ilvl="5" w:tplc="A83A426A">
      <w:start w:val="1"/>
      <w:numFmt w:val="bullet"/>
      <w:lvlText w:val=""/>
      <w:lvlJc w:val="left"/>
      <w:pPr>
        <w:ind w:left="4380" w:hanging="360"/>
      </w:pPr>
      <w:rPr>
        <w:rFonts w:ascii="Wingdings" w:hAnsi="Wingdings"/>
      </w:rPr>
    </w:lvl>
    <w:lvl w:ilvl="6" w:tplc="289C62E2">
      <w:start w:val="1"/>
      <w:numFmt w:val="bullet"/>
      <w:lvlText w:val=""/>
      <w:lvlJc w:val="left"/>
      <w:pPr>
        <w:ind w:left="5100" w:hanging="360"/>
      </w:pPr>
      <w:rPr>
        <w:rFonts w:ascii="Symbol" w:hAnsi="Symbol"/>
      </w:rPr>
    </w:lvl>
    <w:lvl w:ilvl="7" w:tplc="D89C7C9A">
      <w:start w:val="1"/>
      <w:numFmt w:val="bullet"/>
      <w:lvlText w:val="o"/>
      <w:lvlJc w:val="left"/>
      <w:pPr>
        <w:ind w:left="5820" w:hanging="360"/>
      </w:pPr>
      <w:rPr>
        <w:rFonts w:ascii="Courier New" w:hAnsi="Courier New" w:cs="Courier New"/>
      </w:rPr>
    </w:lvl>
    <w:lvl w:ilvl="8" w:tplc="A7B6990C">
      <w:start w:val="1"/>
      <w:numFmt w:val="bullet"/>
      <w:lvlText w:val=""/>
      <w:lvlJc w:val="left"/>
      <w:pPr>
        <w:ind w:left="6540" w:hanging="360"/>
      </w:pPr>
      <w:rPr>
        <w:rFonts w:ascii="Wingdings" w:hAnsi="Wingdings"/>
      </w:rPr>
    </w:lvl>
  </w:abstractNum>
  <w:abstractNum w:abstractNumId="7" w15:restartNumberingAfterBreak="0">
    <w:nsid w:val="1AF97F7E"/>
    <w:multiLevelType w:val="hybridMultilevel"/>
    <w:tmpl w:val="8D28A418"/>
    <w:lvl w:ilvl="0" w:tplc="CF4420D2">
      <w:start w:val="1"/>
      <w:numFmt w:val="bullet"/>
      <w:lvlText w:val="·"/>
      <w:lvlJc w:val="left"/>
      <w:pPr>
        <w:ind w:left="709" w:hanging="360"/>
      </w:pPr>
      <w:rPr>
        <w:rFonts w:ascii="Symbol" w:eastAsia="Symbol" w:hAnsi="Symbol" w:cs="Symbol"/>
      </w:rPr>
    </w:lvl>
    <w:lvl w:ilvl="1" w:tplc="5AA276C8">
      <w:start w:val="1"/>
      <w:numFmt w:val="bullet"/>
      <w:lvlText w:val="o"/>
      <w:lvlJc w:val="left"/>
      <w:pPr>
        <w:ind w:left="1440" w:hanging="360"/>
      </w:pPr>
      <w:rPr>
        <w:rFonts w:ascii="Courier New" w:eastAsia="Courier New" w:hAnsi="Courier New" w:cs="Courier New"/>
      </w:rPr>
    </w:lvl>
    <w:lvl w:ilvl="2" w:tplc="6BAE5C36">
      <w:start w:val="1"/>
      <w:numFmt w:val="bullet"/>
      <w:lvlText w:val="§"/>
      <w:lvlJc w:val="left"/>
      <w:pPr>
        <w:ind w:left="2160" w:hanging="360"/>
      </w:pPr>
      <w:rPr>
        <w:rFonts w:ascii="Wingdings" w:eastAsia="Wingdings" w:hAnsi="Wingdings" w:cs="Wingdings"/>
      </w:rPr>
    </w:lvl>
    <w:lvl w:ilvl="3" w:tplc="17DEF8E2">
      <w:start w:val="1"/>
      <w:numFmt w:val="bullet"/>
      <w:lvlText w:val="·"/>
      <w:lvlJc w:val="left"/>
      <w:pPr>
        <w:ind w:left="2880" w:hanging="360"/>
      </w:pPr>
      <w:rPr>
        <w:rFonts w:ascii="Symbol" w:eastAsia="Symbol" w:hAnsi="Symbol" w:cs="Symbol"/>
      </w:rPr>
    </w:lvl>
    <w:lvl w:ilvl="4" w:tplc="8A66FCAA">
      <w:start w:val="1"/>
      <w:numFmt w:val="bullet"/>
      <w:lvlText w:val="o"/>
      <w:lvlJc w:val="left"/>
      <w:pPr>
        <w:ind w:left="3600" w:hanging="360"/>
      </w:pPr>
      <w:rPr>
        <w:rFonts w:ascii="Courier New" w:eastAsia="Courier New" w:hAnsi="Courier New" w:cs="Courier New"/>
      </w:rPr>
    </w:lvl>
    <w:lvl w:ilvl="5" w:tplc="A3C2B4B2">
      <w:start w:val="1"/>
      <w:numFmt w:val="bullet"/>
      <w:lvlText w:val="§"/>
      <w:lvlJc w:val="left"/>
      <w:pPr>
        <w:ind w:left="4320" w:hanging="360"/>
      </w:pPr>
      <w:rPr>
        <w:rFonts w:ascii="Wingdings" w:eastAsia="Wingdings" w:hAnsi="Wingdings" w:cs="Wingdings"/>
      </w:rPr>
    </w:lvl>
    <w:lvl w:ilvl="6" w:tplc="95EACB14">
      <w:start w:val="1"/>
      <w:numFmt w:val="bullet"/>
      <w:lvlText w:val="·"/>
      <w:lvlJc w:val="left"/>
      <w:pPr>
        <w:ind w:left="5040" w:hanging="360"/>
      </w:pPr>
      <w:rPr>
        <w:rFonts w:ascii="Symbol" w:eastAsia="Symbol" w:hAnsi="Symbol" w:cs="Symbol"/>
      </w:rPr>
    </w:lvl>
    <w:lvl w:ilvl="7" w:tplc="63D41464">
      <w:start w:val="1"/>
      <w:numFmt w:val="bullet"/>
      <w:lvlText w:val="o"/>
      <w:lvlJc w:val="left"/>
      <w:pPr>
        <w:ind w:left="5760" w:hanging="360"/>
      </w:pPr>
      <w:rPr>
        <w:rFonts w:ascii="Courier New" w:eastAsia="Courier New" w:hAnsi="Courier New" w:cs="Courier New"/>
      </w:rPr>
    </w:lvl>
    <w:lvl w:ilvl="8" w:tplc="BEAA0622">
      <w:start w:val="1"/>
      <w:numFmt w:val="bullet"/>
      <w:lvlText w:val="§"/>
      <w:lvlJc w:val="left"/>
      <w:pPr>
        <w:ind w:left="6480" w:hanging="360"/>
      </w:pPr>
      <w:rPr>
        <w:rFonts w:ascii="Wingdings" w:eastAsia="Wingdings" w:hAnsi="Wingdings" w:cs="Wingdings"/>
      </w:rPr>
    </w:lvl>
  </w:abstractNum>
  <w:abstractNum w:abstractNumId="8" w15:restartNumberingAfterBreak="0">
    <w:nsid w:val="22141886"/>
    <w:multiLevelType w:val="hybridMultilevel"/>
    <w:tmpl w:val="08A29126"/>
    <w:lvl w:ilvl="0" w:tplc="DAB4C812">
      <w:start w:val="1"/>
      <w:numFmt w:val="bullet"/>
      <w:lvlText w:val=""/>
      <w:lvlJc w:val="left"/>
      <w:pPr>
        <w:ind w:left="975" w:hanging="360"/>
      </w:pPr>
      <w:rPr>
        <w:rFonts w:ascii="Symbol" w:hAnsi="Symbol" w:hint="default"/>
      </w:rPr>
    </w:lvl>
    <w:lvl w:ilvl="1" w:tplc="E7F2CB18">
      <w:start w:val="1"/>
      <w:numFmt w:val="bullet"/>
      <w:lvlText w:val="o"/>
      <w:lvlJc w:val="left"/>
      <w:pPr>
        <w:ind w:left="1695" w:hanging="360"/>
      </w:pPr>
      <w:rPr>
        <w:rFonts w:ascii="Courier New" w:hAnsi="Courier New" w:cs="Courier New" w:hint="default"/>
      </w:rPr>
    </w:lvl>
    <w:lvl w:ilvl="2" w:tplc="CCA209C6">
      <w:start w:val="1"/>
      <w:numFmt w:val="bullet"/>
      <w:lvlText w:val=""/>
      <w:lvlJc w:val="left"/>
      <w:pPr>
        <w:ind w:left="2415" w:hanging="360"/>
      </w:pPr>
      <w:rPr>
        <w:rFonts w:ascii="Wingdings" w:hAnsi="Wingdings" w:hint="default"/>
      </w:rPr>
    </w:lvl>
    <w:lvl w:ilvl="3" w:tplc="2C984722">
      <w:start w:val="1"/>
      <w:numFmt w:val="bullet"/>
      <w:lvlText w:val=""/>
      <w:lvlJc w:val="left"/>
      <w:pPr>
        <w:ind w:left="3135" w:hanging="360"/>
      </w:pPr>
      <w:rPr>
        <w:rFonts w:ascii="Symbol" w:hAnsi="Symbol" w:hint="default"/>
      </w:rPr>
    </w:lvl>
    <w:lvl w:ilvl="4" w:tplc="4F70F3C4">
      <w:start w:val="1"/>
      <w:numFmt w:val="bullet"/>
      <w:lvlText w:val="o"/>
      <w:lvlJc w:val="left"/>
      <w:pPr>
        <w:ind w:left="3855" w:hanging="360"/>
      </w:pPr>
      <w:rPr>
        <w:rFonts w:ascii="Courier New" w:hAnsi="Courier New" w:cs="Courier New" w:hint="default"/>
      </w:rPr>
    </w:lvl>
    <w:lvl w:ilvl="5" w:tplc="2918FEFE">
      <w:start w:val="1"/>
      <w:numFmt w:val="bullet"/>
      <w:lvlText w:val=""/>
      <w:lvlJc w:val="left"/>
      <w:pPr>
        <w:ind w:left="4575" w:hanging="360"/>
      </w:pPr>
      <w:rPr>
        <w:rFonts w:ascii="Wingdings" w:hAnsi="Wingdings" w:hint="default"/>
      </w:rPr>
    </w:lvl>
    <w:lvl w:ilvl="6" w:tplc="F504423E">
      <w:start w:val="1"/>
      <w:numFmt w:val="bullet"/>
      <w:lvlText w:val=""/>
      <w:lvlJc w:val="left"/>
      <w:pPr>
        <w:ind w:left="5295" w:hanging="360"/>
      </w:pPr>
      <w:rPr>
        <w:rFonts w:ascii="Symbol" w:hAnsi="Symbol" w:hint="default"/>
      </w:rPr>
    </w:lvl>
    <w:lvl w:ilvl="7" w:tplc="9D14708E">
      <w:start w:val="1"/>
      <w:numFmt w:val="bullet"/>
      <w:lvlText w:val="o"/>
      <w:lvlJc w:val="left"/>
      <w:pPr>
        <w:ind w:left="6015" w:hanging="360"/>
      </w:pPr>
      <w:rPr>
        <w:rFonts w:ascii="Courier New" w:hAnsi="Courier New" w:cs="Courier New" w:hint="default"/>
      </w:rPr>
    </w:lvl>
    <w:lvl w:ilvl="8" w:tplc="6E787362">
      <w:start w:val="1"/>
      <w:numFmt w:val="bullet"/>
      <w:lvlText w:val=""/>
      <w:lvlJc w:val="left"/>
      <w:pPr>
        <w:ind w:left="6735" w:hanging="360"/>
      </w:pPr>
      <w:rPr>
        <w:rFonts w:ascii="Wingdings" w:hAnsi="Wingdings" w:hint="default"/>
      </w:rPr>
    </w:lvl>
  </w:abstractNum>
  <w:abstractNum w:abstractNumId="9" w15:restartNumberingAfterBreak="0">
    <w:nsid w:val="22D3434A"/>
    <w:multiLevelType w:val="hybridMultilevel"/>
    <w:tmpl w:val="68980F1E"/>
    <w:lvl w:ilvl="0" w:tplc="35B6F132">
      <w:start w:val="1"/>
      <w:numFmt w:val="bullet"/>
      <w:lvlText w:val="·"/>
      <w:lvlJc w:val="left"/>
      <w:pPr>
        <w:ind w:left="709" w:hanging="360"/>
      </w:pPr>
      <w:rPr>
        <w:rFonts w:ascii="Symbol" w:eastAsia="Symbol" w:hAnsi="Symbol" w:cs="Symbol"/>
      </w:rPr>
    </w:lvl>
    <w:lvl w:ilvl="1" w:tplc="B9D80176">
      <w:start w:val="1"/>
      <w:numFmt w:val="bullet"/>
      <w:lvlText w:val="o"/>
      <w:lvlJc w:val="left"/>
      <w:pPr>
        <w:ind w:left="1429" w:hanging="360"/>
      </w:pPr>
      <w:rPr>
        <w:rFonts w:ascii="Courier New" w:eastAsia="Courier New" w:hAnsi="Courier New" w:cs="Courier New"/>
      </w:rPr>
    </w:lvl>
    <w:lvl w:ilvl="2" w:tplc="5C5EF1AA">
      <w:start w:val="1"/>
      <w:numFmt w:val="bullet"/>
      <w:lvlText w:val="§"/>
      <w:lvlJc w:val="left"/>
      <w:pPr>
        <w:ind w:left="2149" w:hanging="360"/>
      </w:pPr>
      <w:rPr>
        <w:rFonts w:ascii="Wingdings" w:eastAsia="Wingdings" w:hAnsi="Wingdings" w:cs="Wingdings"/>
      </w:rPr>
    </w:lvl>
    <w:lvl w:ilvl="3" w:tplc="A134E28C">
      <w:start w:val="1"/>
      <w:numFmt w:val="bullet"/>
      <w:lvlText w:val="·"/>
      <w:lvlJc w:val="left"/>
      <w:pPr>
        <w:ind w:left="2869" w:hanging="360"/>
      </w:pPr>
      <w:rPr>
        <w:rFonts w:ascii="Symbol" w:eastAsia="Symbol" w:hAnsi="Symbol" w:cs="Symbol"/>
      </w:rPr>
    </w:lvl>
    <w:lvl w:ilvl="4" w:tplc="D93A38F8">
      <w:start w:val="1"/>
      <w:numFmt w:val="bullet"/>
      <w:lvlText w:val="o"/>
      <w:lvlJc w:val="left"/>
      <w:pPr>
        <w:ind w:left="3589" w:hanging="360"/>
      </w:pPr>
      <w:rPr>
        <w:rFonts w:ascii="Courier New" w:eastAsia="Courier New" w:hAnsi="Courier New" w:cs="Courier New"/>
      </w:rPr>
    </w:lvl>
    <w:lvl w:ilvl="5" w:tplc="E2DE0FCC">
      <w:start w:val="1"/>
      <w:numFmt w:val="bullet"/>
      <w:lvlText w:val="§"/>
      <w:lvlJc w:val="left"/>
      <w:pPr>
        <w:ind w:left="4309" w:hanging="360"/>
      </w:pPr>
      <w:rPr>
        <w:rFonts w:ascii="Wingdings" w:eastAsia="Wingdings" w:hAnsi="Wingdings" w:cs="Wingdings"/>
      </w:rPr>
    </w:lvl>
    <w:lvl w:ilvl="6" w:tplc="84BC88E4">
      <w:start w:val="1"/>
      <w:numFmt w:val="bullet"/>
      <w:lvlText w:val="·"/>
      <w:lvlJc w:val="left"/>
      <w:pPr>
        <w:ind w:left="5029" w:hanging="360"/>
      </w:pPr>
      <w:rPr>
        <w:rFonts w:ascii="Symbol" w:eastAsia="Symbol" w:hAnsi="Symbol" w:cs="Symbol"/>
      </w:rPr>
    </w:lvl>
    <w:lvl w:ilvl="7" w:tplc="20022FF6">
      <w:start w:val="1"/>
      <w:numFmt w:val="bullet"/>
      <w:lvlText w:val="o"/>
      <w:lvlJc w:val="left"/>
      <w:pPr>
        <w:ind w:left="5749" w:hanging="360"/>
      </w:pPr>
      <w:rPr>
        <w:rFonts w:ascii="Courier New" w:eastAsia="Courier New" w:hAnsi="Courier New" w:cs="Courier New"/>
      </w:rPr>
    </w:lvl>
    <w:lvl w:ilvl="8" w:tplc="7CAAEDC6">
      <w:start w:val="1"/>
      <w:numFmt w:val="bullet"/>
      <w:lvlText w:val="§"/>
      <w:lvlJc w:val="left"/>
      <w:pPr>
        <w:ind w:left="6469" w:hanging="360"/>
      </w:pPr>
      <w:rPr>
        <w:rFonts w:ascii="Wingdings" w:eastAsia="Wingdings" w:hAnsi="Wingdings" w:cs="Wingdings"/>
      </w:rPr>
    </w:lvl>
  </w:abstractNum>
  <w:abstractNum w:abstractNumId="10" w15:restartNumberingAfterBreak="0">
    <w:nsid w:val="23A070C0"/>
    <w:multiLevelType w:val="hybridMultilevel"/>
    <w:tmpl w:val="9342F8E4"/>
    <w:lvl w:ilvl="0" w:tplc="003410C4">
      <w:start w:val="1"/>
      <w:numFmt w:val="bullet"/>
      <w:lvlText w:val="·"/>
      <w:lvlJc w:val="left"/>
      <w:pPr>
        <w:ind w:left="709" w:hanging="360"/>
      </w:pPr>
      <w:rPr>
        <w:rFonts w:ascii="Symbol" w:eastAsia="Symbol" w:hAnsi="Symbol" w:cs="Symbol"/>
      </w:rPr>
    </w:lvl>
    <w:lvl w:ilvl="1" w:tplc="A0BAA818">
      <w:start w:val="1"/>
      <w:numFmt w:val="bullet"/>
      <w:lvlText w:val="o"/>
      <w:lvlJc w:val="left"/>
      <w:pPr>
        <w:ind w:left="1429" w:hanging="360"/>
      </w:pPr>
      <w:rPr>
        <w:rFonts w:ascii="Courier New" w:eastAsia="Courier New" w:hAnsi="Courier New" w:cs="Courier New"/>
      </w:rPr>
    </w:lvl>
    <w:lvl w:ilvl="2" w:tplc="142AFABE">
      <w:start w:val="1"/>
      <w:numFmt w:val="bullet"/>
      <w:lvlText w:val="§"/>
      <w:lvlJc w:val="left"/>
      <w:pPr>
        <w:ind w:left="2149" w:hanging="360"/>
      </w:pPr>
      <w:rPr>
        <w:rFonts w:ascii="Wingdings" w:eastAsia="Wingdings" w:hAnsi="Wingdings" w:cs="Wingdings"/>
      </w:rPr>
    </w:lvl>
    <w:lvl w:ilvl="3" w:tplc="090A3A5C">
      <w:start w:val="1"/>
      <w:numFmt w:val="bullet"/>
      <w:lvlText w:val="·"/>
      <w:lvlJc w:val="left"/>
      <w:pPr>
        <w:ind w:left="2869" w:hanging="360"/>
      </w:pPr>
      <w:rPr>
        <w:rFonts w:ascii="Symbol" w:eastAsia="Symbol" w:hAnsi="Symbol" w:cs="Symbol"/>
      </w:rPr>
    </w:lvl>
    <w:lvl w:ilvl="4" w:tplc="44AA86E2">
      <w:start w:val="1"/>
      <w:numFmt w:val="bullet"/>
      <w:lvlText w:val="o"/>
      <w:lvlJc w:val="left"/>
      <w:pPr>
        <w:ind w:left="3589" w:hanging="360"/>
      </w:pPr>
      <w:rPr>
        <w:rFonts w:ascii="Courier New" w:eastAsia="Courier New" w:hAnsi="Courier New" w:cs="Courier New"/>
      </w:rPr>
    </w:lvl>
    <w:lvl w:ilvl="5" w:tplc="EF0C32D2">
      <w:start w:val="1"/>
      <w:numFmt w:val="bullet"/>
      <w:lvlText w:val="§"/>
      <w:lvlJc w:val="left"/>
      <w:pPr>
        <w:ind w:left="4309" w:hanging="360"/>
      </w:pPr>
      <w:rPr>
        <w:rFonts w:ascii="Wingdings" w:eastAsia="Wingdings" w:hAnsi="Wingdings" w:cs="Wingdings"/>
      </w:rPr>
    </w:lvl>
    <w:lvl w:ilvl="6" w:tplc="327E8A28">
      <w:start w:val="1"/>
      <w:numFmt w:val="bullet"/>
      <w:lvlText w:val="·"/>
      <w:lvlJc w:val="left"/>
      <w:pPr>
        <w:ind w:left="5029" w:hanging="360"/>
      </w:pPr>
      <w:rPr>
        <w:rFonts w:ascii="Symbol" w:eastAsia="Symbol" w:hAnsi="Symbol" w:cs="Symbol"/>
      </w:rPr>
    </w:lvl>
    <w:lvl w:ilvl="7" w:tplc="83583C3C">
      <w:start w:val="1"/>
      <w:numFmt w:val="bullet"/>
      <w:lvlText w:val="o"/>
      <w:lvlJc w:val="left"/>
      <w:pPr>
        <w:ind w:left="5749" w:hanging="360"/>
      </w:pPr>
      <w:rPr>
        <w:rFonts w:ascii="Courier New" w:eastAsia="Courier New" w:hAnsi="Courier New" w:cs="Courier New"/>
      </w:rPr>
    </w:lvl>
    <w:lvl w:ilvl="8" w:tplc="2BAE280C">
      <w:start w:val="1"/>
      <w:numFmt w:val="bullet"/>
      <w:lvlText w:val="§"/>
      <w:lvlJc w:val="left"/>
      <w:pPr>
        <w:ind w:left="6469" w:hanging="360"/>
      </w:pPr>
      <w:rPr>
        <w:rFonts w:ascii="Wingdings" w:eastAsia="Wingdings" w:hAnsi="Wingdings" w:cs="Wingdings"/>
      </w:rPr>
    </w:lvl>
  </w:abstractNum>
  <w:abstractNum w:abstractNumId="11" w15:restartNumberingAfterBreak="0">
    <w:nsid w:val="2622285B"/>
    <w:multiLevelType w:val="hybridMultilevel"/>
    <w:tmpl w:val="D87E0E34"/>
    <w:lvl w:ilvl="0" w:tplc="340C1F46">
      <w:start w:val="1"/>
      <w:numFmt w:val="bullet"/>
      <w:lvlText w:val="·"/>
      <w:lvlJc w:val="left"/>
      <w:pPr>
        <w:ind w:left="709" w:hanging="360"/>
      </w:pPr>
      <w:rPr>
        <w:rFonts w:ascii="Symbol" w:eastAsia="Symbol" w:hAnsi="Symbol" w:cs="Symbol"/>
      </w:rPr>
    </w:lvl>
    <w:lvl w:ilvl="1" w:tplc="1204677C">
      <w:start w:val="1"/>
      <w:numFmt w:val="bullet"/>
      <w:lvlText w:val="o"/>
      <w:lvlJc w:val="left"/>
      <w:pPr>
        <w:ind w:left="1440" w:hanging="360"/>
      </w:pPr>
      <w:rPr>
        <w:rFonts w:ascii="Courier New" w:eastAsia="Courier New" w:hAnsi="Courier New" w:cs="Courier New"/>
      </w:rPr>
    </w:lvl>
    <w:lvl w:ilvl="2" w:tplc="82B4A818">
      <w:start w:val="1"/>
      <w:numFmt w:val="bullet"/>
      <w:lvlText w:val="§"/>
      <w:lvlJc w:val="left"/>
      <w:pPr>
        <w:ind w:left="2160" w:hanging="360"/>
      </w:pPr>
      <w:rPr>
        <w:rFonts w:ascii="Wingdings" w:eastAsia="Wingdings" w:hAnsi="Wingdings" w:cs="Wingdings"/>
      </w:rPr>
    </w:lvl>
    <w:lvl w:ilvl="3" w:tplc="0AB877FA">
      <w:start w:val="1"/>
      <w:numFmt w:val="bullet"/>
      <w:lvlText w:val="·"/>
      <w:lvlJc w:val="left"/>
      <w:pPr>
        <w:ind w:left="2880" w:hanging="360"/>
      </w:pPr>
      <w:rPr>
        <w:rFonts w:ascii="Symbol" w:eastAsia="Symbol" w:hAnsi="Symbol" w:cs="Symbol"/>
      </w:rPr>
    </w:lvl>
    <w:lvl w:ilvl="4" w:tplc="23FA717A">
      <w:start w:val="1"/>
      <w:numFmt w:val="bullet"/>
      <w:lvlText w:val="o"/>
      <w:lvlJc w:val="left"/>
      <w:pPr>
        <w:ind w:left="3600" w:hanging="360"/>
      </w:pPr>
      <w:rPr>
        <w:rFonts w:ascii="Courier New" w:eastAsia="Courier New" w:hAnsi="Courier New" w:cs="Courier New"/>
      </w:rPr>
    </w:lvl>
    <w:lvl w:ilvl="5" w:tplc="B80EA460">
      <w:start w:val="1"/>
      <w:numFmt w:val="bullet"/>
      <w:lvlText w:val="§"/>
      <w:lvlJc w:val="left"/>
      <w:pPr>
        <w:ind w:left="4320" w:hanging="360"/>
      </w:pPr>
      <w:rPr>
        <w:rFonts w:ascii="Wingdings" w:eastAsia="Wingdings" w:hAnsi="Wingdings" w:cs="Wingdings"/>
      </w:rPr>
    </w:lvl>
    <w:lvl w:ilvl="6" w:tplc="74BCD500">
      <w:start w:val="1"/>
      <w:numFmt w:val="bullet"/>
      <w:lvlText w:val="·"/>
      <w:lvlJc w:val="left"/>
      <w:pPr>
        <w:ind w:left="5040" w:hanging="360"/>
      </w:pPr>
      <w:rPr>
        <w:rFonts w:ascii="Symbol" w:eastAsia="Symbol" w:hAnsi="Symbol" w:cs="Symbol"/>
      </w:rPr>
    </w:lvl>
    <w:lvl w:ilvl="7" w:tplc="E9C4B810">
      <w:start w:val="1"/>
      <w:numFmt w:val="bullet"/>
      <w:lvlText w:val="o"/>
      <w:lvlJc w:val="left"/>
      <w:pPr>
        <w:ind w:left="5760" w:hanging="360"/>
      </w:pPr>
      <w:rPr>
        <w:rFonts w:ascii="Courier New" w:eastAsia="Courier New" w:hAnsi="Courier New" w:cs="Courier New"/>
      </w:rPr>
    </w:lvl>
    <w:lvl w:ilvl="8" w:tplc="D5E8A340">
      <w:start w:val="1"/>
      <w:numFmt w:val="bullet"/>
      <w:lvlText w:val="§"/>
      <w:lvlJc w:val="left"/>
      <w:pPr>
        <w:ind w:left="6480" w:hanging="360"/>
      </w:pPr>
      <w:rPr>
        <w:rFonts w:ascii="Wingdings" w:eastAsia="Wingdings" w:hAnsi="Wingdings" w:cs="Wingdings"/>
      </w:rPr>
    </w:lvl>
  </w:abstractNum>
  <w:abstractNum w:abstractNumId="12" w15:restartNumberingAfterBreak="0">
    <w:nsid w:val="27157E3A"/>
    <w:multiLevelType w:val="hybridMultilevel"/>
    <w:tmpl w:val="A79CABC8"/>
    <w:lvl w:ilvl="0" w:tplc="99D892BA">
      <w:start w:val="1"/>
      <w:numFmt w:val="bullet"/>
      <w:lvlText w:val="·"/>
      <w:lvlJc w:val="left"/>
      <w:pPr>
        <w:ind w:left="709" w:hanging="360"/>
      </w:pPr>
      <w:rPr>
        <w:rFonts w:ascii="Symbol" w:eastAsia="Symbol" w:hAnsi="Symbol" w:cs="Symbol"/>
      </w:rPr>
    </w:lvl>
    <w:lvl w:ilvl="1" w:tplc="65049FB2">
      <w:start w:val="1"/>
      <w:numFmt w:val="bullet"/>
      <w:lvlText w:val="o"/>
      <w:lvlJc w:val="left"/>
      <w:pPr>
        <w:ind w:left="1440" w:hanging="360"/>
      </w:pPr>
      <w:rPr>
        <w:rFonts w:ascii="Courier New" w:eastAsia="Courier New" w:hAnsi="Courier New" w:cs="Courier New"/>
      </w:rPr>
    </w:lvl>
    <w:lvl w:ilvl="2" w:tplc="E730B816">
      <w:start w:val="1"/>
      <w:numFmt w:val="bullet"/>
      <w:lvlText w:val="§"/>
      <w:lvlJc w:val="left"/>
      <w:pPr>
        <w:ind w:left="2160" w:hanging="360"/>
      </w:pPr>
      <w:rPr>
        <w:rFonts w:ascii="Wingdings" w:eastAsia="Wingdings" w:hAnsi="Wingdings" w:cs="Wingdings"/>
      </w:rPr>
    </w:lvl>
    <w:lvl w:ilvl="3" w:tplc="CAC2117E">
      <w:start w:val="1"/>
      <w:numFmt w:val="bullet"/>
      <w:lvlText w:val="·"/>
      <w:lvlJc w:val="left"/>
      <w:pPr>
        <w:ind w:left="2880" w:hanging="360"/>
      </w:pPr>
      <w:rPr>
        <w:rFonts w:ascii="Symbol" w:eastAsia="Symbol" w:hAnsi="Symbol" w:cs="Symbol"/>
      </w:rPr>
    </w:lvl>
    <w:lvl w:ilvl="4" w:tplc="8F3A3C48">
      <w:start w:val="1"/>
      <w:numFmt w:val="bullet"/>
      <w:lvlText w:val="o"/>
      <w:lvlJc w:val="left"/>
      <w:pPr>
        <w:ind w:left="3600" w:hanging="360"/>
      </w:pPr>
      <w:rPr>
        <w:rFonts w:ascii="Courier New" w:eastAsia="Courier New" w:hAnsi="Courier New" w:cs="Courier New"/>
      </w:rPr>
    </w:lvl>
    <w:lvl w:ilvl="5" w:tplc="214A5F24">
      <w:start w:val="1"/>
      <w:numFmt w:val="bullet"/>
      <w:lvlText w:val="§"/>
      <w:lvlJc w:val="left"/>
      <w:pPr>
        <w:ind w:left="4320" w:hanging="360"/>
      </w:pPr>
      <w:rPr>
        <w:rFonts w:ascii="Wingdings" w:eastAsia="Wingdings" w:hAnsi="Wingdings" w:cs="Wingdings"/>
      </w:rPr>
    </w:lvl>
    <w:lvl w:ilvl="6" w:tplc="76B20D94">
      <w:start w:val="1"/>
      <w:numFmt w:val="bullet"/>
      <w:lvlText w:val="·"/>
      <w:lvlJc w:val="left"/>
      <w:pPr>
        <w:ind w:left="5040" w:hanging="360"/>
      </w:pPr>
      <w:rPr>
        <w:rFonts w:ascii="Symbol" w:eastAsia="Symbol" w:hAnsi="Symbol" w:cs="Symbol"/>
      </w:rPr>
    </w:lvl>
    <w:lvl w:ilvl="7" w:tplc="5EAED0D8">
      <w:start w:val="1"/>
      <w:numFmt w:val="bullet"/>
      <w:lvlText w:val="o"/>
      <w:lvlJc w:val="left"/>
      <w:pPr>
        <w:ind w:left="5760" w:hanging="360"/>
      </w:pPr>
      <w:rPr>
        <w:rFonts w:ascii="Courier New" w:eastAsia="Courier New" w:hAnsi="Courier New" w:cs="Courier New"/>
      </w:rPr>
    </w:lvl>
    <w:lvl w:ilvl="8" w:tplc="6868C4B0">
      <w:start w:val="1"/>
      <w:numFmt w:val="bullet"/>
      <w:lvlText w:val="§"/>
      <w:lvlJc w:val="left"/>
      <w:pPr>
        <w:ind w:left="6480" w:hanging="360"/>
      </w:pPr>
      <w:rPr>
        <w:rFonts w:ascii="Wingdings" w:eastAsia="Wingdings" w:hAnsi="Wingdings" w:cs="Wingdings"/>
      </w:rPr>
    </w:lvl>
  </w:abstractNum>
  <w:abstractNum w:abstractNumId="13" w15:restartNumberingAfterBreak="0">
    <w:nsid w:val="368E2D54"/>
    <w:multiLevelType w:val="hybridMultilevel"/>
    <w:tmpl w:val="6084255E"/>
    <w:lvl w:ilvl="0" w:tplc="13ECACEA">
      <w:start w:val="1"/>
      <w:numFmt w:val="bullet"/>
      <w:lvlText w:val=""/>
      <w:lvlJc w:val="left"/>
      <w:pPr>
        <w:ind w:left="780" w:hanging="360"/>
      </w:pPr>
      <w:rPr>
        <w:rFonts w:ascii="Symbol" w:hAnsi="Symbol"/>
      </w:rPr>
    </w:lvl>
    <w:lvl w:ilvl="1" w:tplc="266669DE">
      <w:start w:val="1"/>
      <w:numFmt w:val="bullet"/>
      <w:lvlText w:val="o"/>
      <w:lvlJc w:val="left"/>
      <w:pPr>
        <w:ind w:left="1500" w:hanging="360"/>
      </w:pPr>
      <w:rPr>
        <w:rFonts w:ascii="Courier New" w:hAnsi="Courier New" w:cs="Courier New"/>
      </w:rPr>
    </w:lvl>
    <w:lvl w:ilvl="2" w:tplc="EFB8F4A0">
      <w:start w:val="1"/>
      <w:numFmt w:val="bullet"/>
      <w:lvlText w:val=""/>
      <w:lvlJc w:val="left"/>
      <w:pPr>
        <w:ind w:left="2220" w:hanging="360"/>
      </w:pPr>
      <w:rPr>
        <w:rFonts w:ascii="Wingdings" w:hAnsi="Wingdings"/>
      </w:rPr>
    </w:lvl>
    <w:lvl w:ilvl="3" w:tplc="609A6804">
      <w:start w:val="1"/>
      <w:numFmt w:val="bullet"/>
      <w:lvlText w:val=""/>
      <w:lvlJc w:val="left"/>
      <w:pPr>
        <w:ind w:left="2940" w:hanging="360"/>
      </w:pPr>
      <w:rPr>
        <w:rFonts w:ascii="Symbol" w:hAnsi="Symbol"/>
      </w:rPr>
    </w:lvl>
    <w:lvl w:ilvl="4" w:tplc="C09CD116">
      <w:start w:val="1"/>
      <w:numFmt w:val="bullet"/>
      <w:lvlText w:val="o"/>
      <w:lvlJc w:val="left"/>
      <w:pPr>
        <w:ind w:left="3660" w:hanging="360"/>
      </w:pPr>
      <w:rPr>
        <w:rFonts w:ascii="Courier New" w:hAnsi="Courier New" w:cs="Courier New"/>
      </w:rPr>
    </w:lvl>
    <w:lvl w:ilvl="5" w:tplc="B2ACFF90">
      <w:start w:val="1"/>
      <w:numFmt w:val="bullet"/>
      <w:lvlText w:val=""/>
      <w:lvlJc w:val="left"/>
      <w:pPr>
        <w:ind w:left="4380" w:hanging="360"/>
      </w:pPr>
      <w:rPr>
        <w:rFonts w:ascii="Wingdings" w:hAnsi="Wingdings"/>
      </w:rPr>
    </w:lvl>
    <w:lvl w:ilvl="6" w:tplc="EA3471D6">
      <w:start w:val="1"/>
      <w:numFmt w:val="bullet"/>
      <w:lvlText w:val=""/>
      <w:lvlJc w:val="left"/>
      <w:pPr>
        <w:ind w:left="5100" w:hanging="360"/>
      </w:pPr>
      <w:rPr>
        <w:rFonts w:ascii="Symbol" w:hAnsi="Symbol"/>
      </w:rPr>
    </w:lvl>
    <w:lvl w:ilvl="7" w:tplc="C1E8765E">
      <w:start w:val="1"/>
      <w:numFmt w:val="bullet"/>
      <w:lvlText w:val="o"/>
      <w:lvlJc w:val="left"/>
      <w:pPr>
        <w:ind w:left="5820" w:hanging="360"/>
      </w:pPr>
      <w:rPr>
        <w:rFonts w:ascii="Courier New" w:hAnsi="Courier New" w:cs="Courier New"/>
      </w:rPr>
    </w:lvl>
    <w:lvl w:ilvl="8" w:tplc="56DC98C4">
      <w:start w:val="1"/>
      <w:numFmt w:val="bullet"/>
      <w:lvlText w:val=""/>
      <w:lvlJc w:val="left"/>
      <w:pPr>
        <w:ind w:left="6540" w:hanging="360"/>
      </w:pPr>
      <w:rPr>
        <w:rFonts w:ascii="Wingdings" w:hAnsi="Wingdings"/>
      </w:rPr>
    </w:lvl>
  </w:abstractNum>
  <w:abstractNum w:abstractNumId="14" w15:restartNumberingAfterBreak="0">
    <w:nsid w:val="393974BD"/>
    <w:multiLevelType w:val="hybridMultilevel"/>
    <w:tmpl w:val="A5868F7E"/>
    <w:lvl w:ilvl="0" w:tplc="72D836E4">
      <w:start w:val="1"/>
      <w:numFmt w:val="bullet"/>
      <w:lvlText w:val="·"/>
      <w:lvlJc w:val="left"/>
      <w:pPr>
        <w:ind w:left="709" w:hanging="360"/>
      </w:pPr>
      <w:rPr>
        <w:rFonts w:ascii="Symbol" w:eastAsia="Symbol" w:hAnsi="Symbol" w:cs="Symbol"/>
      </w:rPr>
    </w:lvl>
    <w:lvl w:ilvl="1" w:tplc="45E836CC">
      <w:start w:val="1"/>
      <w:numFmt w:val="bullet"/>
      <w:lvlText w:val="o"/>
      <w:lvlJc w:val="left"/>
      <w:pPr>
        <w:ind w:left="1429" w:hanging="360"/>
      </w:pPr>
      <w:rPr>
        <w:rFonts w:ascii="Courier New" w:eastAsia="Courier New" w:hAnsi="Courier New" w:cs="Courier New"/>
      </w:rPr>
    </w:lvl>
    <w:lvl w:ilvl="2" w:tplc="A6F0B8B8">
      <w:start w:val="1"/>
      <w:numFmt w:val="bullet"/>
      <w:lvlText w:val="§"/>
      <w:lvlJc w:val="left"/>
      <w:pPr>
        <w:ind w:left="2149" w:hanging="360"/>
      </w:pPr>
      <w:rPr>
        <w:rFonts w:ascii="Wingdings" w:eastAsia="Wingdings" w:hAnsi="Wingdings" w:cs="Wingdings"/>
      </w:rPr>
    </w:lvl>
    <w:lvl w:ilvl="3" w:tplc="EC7CE050">
      <w:start w:val="1"/>
      <w:numFmt w:val="bullet"/>
      <w:lvlText w:val="·"/>
      <w:lvlJc w:val="left"/>
      <w:pPr>
        <w:ind w:left="2869" w:hanging="360"/>
      </w:pPr>
      <w:rPr>
        <w:rFonts w:ascii="Symbol" w:eastAsia="Symbol" w:hAnsi="Symbol" w:cs="Symbol"/>
      </w:rPr>
    </w:lvl>
    <w:lvl w:ilvl="4" w:tplc="F9720F5C">
      <w:start w:val="1"/>
      <w:numFmt w:val="bullet"/>
      <w:lvlText w:val="o"/>
      <w:lvlJc w:val="left"/>
      <w:pPr>
        <w:ind w:left="3589" w:hanging="360"/>
      </w:pPr>
      <w:rPr>
        <w:rFonts w:ascii="Courier New" w:eastAsia="Courier New" w:hAnsi="Courier New" w:cs="Courier New"/>
      </w:rPr>
    </w:lvl>
    <w:lvl w:ilvl="5" w:tplc="7ADE2754">
      <w:start w:val="1"/>
      <w:numFmt w:val="bullet"/>
      <w:lvlText w:val="§"/>
      <w:lvlJc w:val="left"/>
      <w:pPr>
        <w:ind w:left="4309" w:hanging="360"/>
      </w:pPr>
      <w:rPr>
        <w:rFonts w:ascii="Wingdings" w:eastAsia="Wingdings" w:hAnsi="Wingdings" w:cs="Wingdings"/>
      </w:rPr>
    </w:lvl>
    <w:lvl w:ilvl="6" w:tplc="07E66CF6">
      <w:start w:val="1"/>
      <w:numFmt w:val="bullet"/>
      <w:lvlText w:val="·"/>
      <w:lvlJc w:val="left"/>
      <w:pPr>
        <w:ind w:left="5029" w:hanging="360"/>
      </w:pPr>
      <w:rPr>
        <w:rFonts w:ascii="Symbol" w:eastAsia="Symbol" w:hAnsi="Symbol" w:cs="Symbol"/>
      </w:rPr>
    </w:lvl>
    <w:lvl w:ilvl="7" w:tplc="AC70E2F2">
      <w:start w:val="1"/>
      <w:numFmt w:val="bullet"/>
      <w:lvlText w:val="o"/>
      <w:lvlJc w:val="left"/>
      <w:pPr>
        <w:ind w:left="5749" w:hanging="360"/>
      </w:pPr>
      <w:rPr>
        <w:rFonts w:ascii="Courier New" w:eastAsia="Courier New" w:hAnsi="Courier New" w:cs="Courier New"/>
      </w:rPr>
    </w:lvl>
    <w:lvl w:ilvl="8" w:tplc="01600D9E">
      <w:start w:val="1"/>
      <w:numFmt w:val="bullet"/>
      <w:lvlText w:val="§"/>
      <w:lvlJc w:val="left"/>
      <w:pPr>
        <w:ind w:left="6469" w:hanging="360"/>
      </w:pPr>
      <w:rPr>
        <w:rFonts w:ascii="Wingdings" w:eastAsia="Wingdings" w:hAnsi="Wingdings" w:cs="Wingdings"/>
      </w:rPr>
    </w:lvl>
  </w:abstractNum>
  <w:abstractNum w:abstractNumId="15" w15:restartNumberingAfterBreak="0">
    <w:nsid w:val="3BA321A5"/>
    <w:multiLevelType w:val="hybridMultilevel"/>
    <w:tmpl w:val="F148FAA2"/>
    <w:lvl w:ilvl="0" w:tplc="A788A71A">
      <w:start w:val="1"/>
      <w:numFmt w:val="bullet"/>
      <w:lvlText w:val="·"/>
      <w:lvlJc w:val="left"/>
      <w:pPr>
        <w:ind w:left="709" w:hanging="360"/>
      </w:pPr>
      <w:rPr>
        <w:rFonts w:ascii="Symbol" w:eastAsia="Symbol" w:hAnsi="Symbol" w:cs="Symbol"/>
      </w:rPr>
    </w:lvl>
    <w:lvl w:ilvl="1" w:tplc="3ACAE080">
      <w:start w:val="1"/>
      <w:numFmt w:val="bullet"/>
      <w:lvlText w:val="o"/>
      <w:lvlJc w:val="left"/>
      <w:pPr>
        <w:ind w:left="1440" w:hanging="360"/>
      </w:pPr>
      <w:rPr>
        <w:rFonts w:ascii="Courier New" w:eastAsia="Courier New" w:hAnsi="Courier New" w:cs="Courier New"/>
      </w:rPr>
    </w:lvl>
    <w:lvl w:ilvl="2" w:tplc="27427C1A">
      <w:start w:val="1"/>
      <w:numFmt w:val="bullet"/>
      <w:lvlText w:val="§"/>
      <w:lvlJc w:val="left"/>
      <w:pPr>
        <w:ind w:left="2160" w:hanging="360"/>
      </w:pPr>
      <w:rPr>
        <w:rFonts w:ascii="Wingdings" w:eastAsia="Wingdings" w:hAnsi="Wingdings" w:cs="Wingdings"/>
      </w:rPr>
    </w:lvl>
    <w:lvl w:ilvl="3" w:tplc="6B24E622">
      <w:start w:val="1"/>
      <w:numFmt w:val="bullet"/>
      <w:lvlText w:val="·"/>
      <w:lvlJc w:val="left"/>
      <w:pPr>
        <w:ind w:left="2880" w:hanging="360"/>
      </w:pPr>
      <w:rPr>
        <w:rFonts w:ascii="Symbol" w:eastAsia="Symbol" w:hAnsi="Symbol" w:cs="Symbol"/>
      </w:rPr>
    </w:lvl>
    <w:lvl w:ilvl="4" w:tplc="290281B6">
      <w:start w:val="1"/>
      <w:numFmt w:val="bullet"/>
      <w:lvlText w:val="o"/>
      <w:lvlJc w:val="left"/>
      <w:pPr>
        <w:ind w:left="3600" w:hanging="360"/>
      </w:pPr>
      <w:rPr>
        <w:rFonts w:ascii="Courier New" w:eastAsia="Courier New" w:hAnsi="Courier New" w:cs="Courier New"/>
      </w:rPr>
    </w:lvl>
    <w:lvl w:ilvl="5" w:tplc="9C8886B8">
      <w:start w:val="1"/>
      <w:numFmt w:val="bullet"/>
      <w:lvlText w:val="§"/>
      <w:lvlJc w:val="left"/>
      <w:pPr>
        <w:ind w:left="4320" w:hanging="360"/>
      </w:pPr>
      <w:rPr>
        <w:rFonts w:ascii="Wingdings" w:eastAsia="Wingdings" w:hAnsi="Wingdings" w:cs="Wingdings"/>
      </w:rPr>
    </w:lvl>
    <w:lvl w:ilvl="6" w:tplc="A128E574">
      <w:start w:val="1"/>
      <w:numFmt w:val="bullet"/>
      <w:lvlText w:val="·"/>
      <w:lvlJc w:val="left"/>
      <w:pPr>
        <w:ind w:left="5040" w:hanging="360"/>
      </w:pPr>
      <w:rPr>
        <w:rFonts w:ascii="Symbol" w:eastAsia="Symbol" w:hAnsi="Symbol" w:cs="Symbol"/>
      </w:rPr>
    </w:lvl>
    <w:lvl w:ilvl="7" w:tplc="2AA0908A">
      <w:start w:val="1"/>
      <w:numFmt w:val="bullet"/>
      <w:lvlText w:val="o"/>
      <w:lvlJc w:val="left"/>
      <w:pPr>
        <w:ind w:left="5760" w:hanging="360"/>
      </w:pPr>
      <w:rPr>
        <w:rFonts w:ascii="Courier New" w:eastAsia="Courier New" w:hAnsi="Courier New" w:cs="Courier New"/>
      </w:rPr>
    </w:lvl>
    <w:lvl w:ilvl="8" w:tplc="A936089A">
      <w:start w:val="1"/>
      <w:numFmt w:val="bullet"/>
      <w:lvlText w:val="§"/>
      <w:lvlJc w:val="left"/>
      <w:pPr>
        <w:ind w:left="6480" w:hanging="360"/>
      </w:pPr>
      <w:rPr>
        <w:rFonts w:ascii="Wingdings" w:eastAsia="Wingdings" w:hAnsi="Wingdings" w:cs="Wingdings"/>
      </w:rPr>
    </w:lvl>
  </w:abstractNum>
  <w:abstractNum w:abstractNumId="16" w15:restartNumberingAfterBreak="0">
    <w:nsid w:val="3BE16EB4"/>
    <w:multiLevelType w:val="hybridMultilevel"/>
    <w:tmpl w:val="5CDA6A0A"/>
    <w:lvl w:ilvl="0" w:tplc="8BF00EA0">
      <w:start w:val="1"/>
      <w:numFmt w:val="bullet"/>
      <w:lvlText w:val="·"/>
      <w:lvlJc w:val="left"/>
      <w:pPr>
        <w:ind w:left="709" w:hanging="360"/>
      </w:pPr>
      <w:rPr>
        <w:rFonts w:ascii="Symbol" w:eastAsia="Symbol" w:hAnsi="Symbol" w:cs="Symbol"/>
      </w:rPr>
    </w:lvl>
    <w:lvl w:ilvl="1" w:tplc="7F9E772C">
      <w:start w:val="1"/>
      <w:numFmt w:val="bullet"/>
      <w:lvlText w:val="o"/>
      <w:lvlJc w:val="left"/>
      <w:pPr>
        <w:ind w:left="1429" w:hanging="360"/>
      </w:pPr>
      <w:rPr>
        <w:rFonts w:ascii="Courier New" w:eastAsia="Courier New" w:hAnsi="Courier New" w:cs="Courier New"/>
      </w:rPr>
    </w:lvl>
    <w:lvl w:ilvl="2" w:tplc="45D0BAF2">
      <w:start w:val="1"/>
      <w:numFmt w:val="bullet"/>
      <w:lvlText w:val="§"/>
      <w:lvlJc w:val="left"/>
      <w:pPr>
        <w:ind w:left="2149" w:hanging="360"/>
      </w:pPr>
      <w:rPr>
        <w:rFonts w:ascii="Wingdings" w:eastAsia="Wingdings" w:hAnsi="Wingdings" w:cs="Wingdings"/>
      </w:rPr>
    </w:lvl>
    <w:lvl w:ilvl="3" w:tplc="7B445ECC">
      <w:start w:val="1"/>
      <w:numFmt w:val="bullet"/>
      <w:lvlText w:val="·"/>
      <w:lvlJc w:val="left"/>
      <w:pPr>
        <w:ind w:left="2869" w:hanging="360"/>
      </w:pPr>
      <w:rPr>
        <w:rFonts w:ascii="Symbol" w:eastAsia="Symbol" w:hAnsi="Symbol" w:cs="Symbol"/>
      </w:rPr>
    </w:lvl>
    <w:lvl w:ilvl="4" w:tplc="4828B22E">
      <w:start w:val="1"/>
      <w:numFmt w:val="bullet"/>
      <w:lvlText w:val="o"/>
      <w:lvlJc w:val="left"/>
      <w:pPr>
        <w:ind w:left="3589" w:hanging="360"/>
      </w:pPr>
      <w:rPr>
        <w:rFonts w:ascii="Courier New" w:eastAsia="Courier New" w:hAnsi="Courier New" w:cs="Courier New"/>
      </w:rPr>
    </w:lvl>
    <w:lvl w:ilvl="5" w:tplc="32764850">
      <w:start w:val="1"/>
      <w:numFmt w:val="bullet"/>
      <w:lvlText w:val="§"/>
      <w:lvlJc w:val="left"/>
      <w:pPr>
        <w:ind w:left="4309" w:hanging="360"/>
      </w:pPr>
      <w:rPr>
        <w:rFonts w:ascii="Wingdings" w:eastAsia="Wingdings" w:hAnsi="Wingdings" w:cs="Wingdings"/>
      </w:rPr>
    </w:lvl>
    <w:lvl w:ilvl="6" w:tplc="9CA4DC08">
      <w:start w:val="1"/>
      <w:numFmt w:val="bullet"/>
      <w:lvlText w:val="·"/>
      <w:lvlJc w:val="left"/>
      <w:pPr>
        <w:ind w:left="5029" w:hanging="360"/>
      </w:pPr>
      <w:rPr>
        <w:rFonts w:ascii="Symbol" w:eastAsia="Symbol" w:hAnsi="Symbol" w:cs="Symbol"/>
      </w:rPr>
    </w:lvl>
    <w:lvl w:ilvl="7" w:tplc="BDFE7496">
      <w:start w:val="1"/>
      <w:numFmt w:val="bullet"/>
      <w:lvlText w:val="o"/>
      <w:lvlJc w:val="left"/>
      <w:pPr>
        <w:ind w:left="5749" w:hanging="360"/>
      </w:pPr>
      <w:rPr>
        <w:rFonts w:ascii="Courier New" w:eastAsia="Courier New" w:hAnsi="Courier New" w:cs="Courier New"/>
      </w:rPr>
    </w:lvl>
    <w:lvl w:ilvl="8" w:tplc="2662CCC4">
      <w:start w:val="1"/>
      <w:numFmt w:val="bullet"/>
      <w:lvlText w:val="§"/>
      <w:lvlJc w:val="left"/>
      <w:pPr>
        <w:ind w:left="6469" w:hanging="360"/>
      </w:pPr>
      <w:rPr>
        <w:rFonts w:ascii="Wingdings" w:eastAsia="Wingdings" w:hAnsi="Wingdings" w:cs="Wingdings"/>
      </w:rPr>
    </w:lvl>
  </w:abstractNum>
  <w:abstractNum w:abstractNumId="17" w15:restartNumberingAfterBreak="0">
    <w:nsid w:val="3E8947D6"/>
    <w:multiLevelType w:val="hybridMultilevel"/>
    <w:tmpl w:val="3184DC74"/>
    <w:lvl w:ilvl="0" w:tplc="04823396">
      <w:start w:val="1"/>
      <w:numFmt w:val="bullet"/>
      <w:lvlText w:val=""/>
      <w:lvlJc w:val="left"/>
      <w:pPr>
        <w:ind w:left="720" w:hanging="360"/>
      </w:pPr>
      <w:rPr>
        <w:rFonts w:ascii="Symbol" w:hAnsi="Symbol" w:hint="default"/>
      </w:rPr>
    </w:lvl>
    <w:lvl w:ilvl="1" w:tplc="731EE234">
      <w:start w:val="1"/>
      <w:numFmt w:val="bullet"/>
      <w:lvlText w:val="o"/>
      <w:lvlJc w:val="left"/>
      <w:pPr>
        <w:ind w:left="1440" w:hanging="360"/>
      </w:pPr>
      <w:rPr>
        <w:rFonts w:ascii="Courier New" w:hAnsi="Courier New" w:cs="Courier New" w:hint="default"/>
      </w:rPr>
    </w:lvl>
    <w:lvl w:ilvl="2" w:tplc="9B20816A">
      <w:start w:val="1"/>
      <w:numFmt w:val="bullet"/>
      <w:lvlText w:val=""/>
      <w:lvlJc w:val="left"/>
      <w:pPr>
        <w:ind w:left="2160" w:hanging="360"/>
      </w:pPr>
      <w:rPr>
        <w:rFonts w:ascii="Wingdings" w:hAnsi="Wingdings" w:hint="default"/>
      </w:rPr>
    </w:lvl>
    <w:lvl w:ilvl="3" w:tplc="3FECA022">
      <w:start w:val="1"/>
      <w:numFmt w:val="bullet"/>
      <w:lvlText w:val=""/>
      <w:lvlJc w:val="left"/>
      <w:pPr>
        <w:ind w:left="2880" w:hanging="360"/>
      </w:pPr>
      <w:rPr>
        <w:rFonts w:ascii="Symbol" w:hAnsi="Symbol" w:hint="default"/>
      </w:rPr>
    </w:lvl>
    <w:lvl w:ilvl="4" w:tplc="9FA85798">
      <w:start w:val="1"/>
      <w:numFmt w:val="bullet"/>
      <w:lvlText w:val="o"/>
      <w:lvlJc w:val="left"/>
      <w:pPr>
        <w:ind w:left="3600" w:hanging="360"/>
      </w:pPr>
      <w:rPr>
        <w:rFonts w:ascii="Courier New" w:hAnsi="Courier New" w:cs="Courier New" w:hint="default"/>
      </w:rPr>
    </w:lvl>
    <w:lvl w:ilvl="5" w:tplc="C3063678">
      <w:start w:val="1"/>
      <w:numFmt w:val="bullet"/>
      <w:lvlText w:val=""/>
      <w:lvlJc w:val="left"/>
      <w:pPr>
        <w:ind w:left="4320" w:hanging="360"/>
      </w:pPr>
      <w:rPr>
        <w:rFonts w:ascii="Wingdings" w:hAnsi="Wingdings" w:hint="default"/>
      </w:rPr>
    </w:lvl>
    <w:lvl w:ilvl="6" w:tplc="1780F45C">
      <w:start w:val="1"/>
      <w:numFmt w:val="bullet"/>
      <w:lvlText w:val=""/>
      <w:lvlJc w:val="left"/>
      <w:pPr>
        <w:ind w:left="5040" w:hanging="360"/>
      </w:pPr>
      <w:rPr>
        <w:rFonts w:ascii="Symbol" w:hAnsi="Symbol" w:hint="default"/>
      </w:rPr>
    </w:lvl>
    <w:lvl w:ilvl="7" w:tplc="2440337C">
      <w:start w:val="1"/>
      <w:numFmt w:val="bullet"/>
      <w:lvlText w:val="o"/>
      <w:lvlJc w:val="left"/>
      <w:pPr>
        <w:ind w:left="5760" w:hanging="360"/>
      </w:pPr>
      <w:rPr>
        <w:rFonts w:ascii="Courier New" w:hAnsi="Courier New" w:cs="Courier New" w:hint="default"/>
      </w:rPr>
    </w:lvl>
    <w:lvl w:ilvl="8" w:tplc="AB9852F0">
      <w:start w:val="1"/>
      <w:numFmt w:val="bullet"/>
      <w:lvlText w:val=""/>
      <w:lvlJc w:val="left"/>
      <w:pPr>
        <w:ind w:left="6480" w:hanging="360"/>
      </w:pPr>
      <w:rPr>
        <w:rFonts w:ascii="Wingdings" w:hAnsi="Wingdings" w:hint="default"/>
      </w:rPr>
    </w:lvl>
  </w:abstractNum>
  <w:abstractNum w:abstractNumId="18" w15:restartNumberingAfterBreak="0">
    <w:nsid w:val="455D5515"/>
    <w:multiLevelType w:val="hybridMultilevel"/>
    <w:tmpl w:val="6A023AFC"/>
    <w:lvl w:ilvl="0" w:tplc="556A3B1E">
      <w:start w:val="1"/>
      <w:numFmt w:val="lowerLetter"/>
      <w:lvlText w:val="%1."/>
      <w:lvlJc w:val="left"/>
      <w:pPr>
        <w:ind w:left="780" w:hanging="360"/>
      </w:pPr>
      <w:rPr>
        <w:rFonts w:hint="default"/>
        <w:b/>
        <w:bCs/>
      </w:r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19" w15:restartNumberingAfterBreak="0">
    <w:nsid w:val="46403E1E"/>
    <w:multiLevelType w:val="hybridMultilevel"/>
    <w:tmpl w:val="7BC6C9E4"/>
    <w:lvl w:ilvl="0" w:tplc="B4B03732">
      <w:start w:val="1"/>
      <w:numFmt w:val="upperRoman"/>
      <w:pStyle w:val="Heading2"/>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B9B395E"/>
    <w:multiLevelType w:val="hybridMultilevel"/>
    <w:tmpl w:val="17046C1E"/>
    <w:lvl w:ilvl="0" w:tplc="2CF87F90">
      <w:start w:val="1"/>
      <w:numFmt w:val="bullet"/>
      <w:lvlText w:val="-"/>
      <w:lvlJc w:val="left"/>
      <w:pPr>
        <w:ind w:left="720" w:hanging="360"/>
      </w:pPr>
      <w:rPr>
        <w:rFonts w:ascii="Calibri" w:eastAsia="Calibri" w:hAnsi="Calibri" w:cs="Calibri" w:hint="default"/>
      </w:rPr>
    </w:lvl>
    <w:lvl w:ilvl="1" w:tplc="5CD01C60">
      <w:start w:val="1"/>
      <w:numFmt w:val="bullet"/>
      <w:lvlText w:val="o"/>
      <w:lvlJc w:val="left"/>
      <w:pPr>
        <w:ind w:left="1440" w:hanging="360"/>
      </w:pPr>
      <w:rPr>
        <w:rFonts w:ascii="Courier New" w:hAnsi="Courier New" w:cs="Courier New" w:hint="default"/>
      </w:rPr>
    </w:lvl>
    <w:lvl w:ilvl="2" w:tplc="11B0FB5E">
      <w:start w:val="1"/>
      <w:numFmt w:val="bullet"/>
      <w:lvlText w:val=""/>
      <w:lvlJc w:val="left"/>
      <w:pPr>
        <w:ind w:left="2160" w:hanging="360"/>
      </w:pPr>
      <w:rPr>
        <w:rFonts w:ascii="Wingdings" w:hAnsi="Wingdings" w:hint="default"/>
      </w:rPr>
    </w:lvl>
    <w:lvl w:ilvl="3" w:tplc="FB905D26">
      <w:start w:val="1"/>
      <w:numFmt w:val="bullet"/>
      <w:lvlText w:val=""/>
      <w:lvlJc w:val="left"/>
      <w:pPr>
        <w:ind w:left="2880" w:hanging="360"/>
      </w:pPr>
      <w:rPr>
        <w:rFonts w:ascii="Symbol" w:hAnsi="Symbol" w:hint="default"/>
      </w:rPr>
    </w:lvl>
    <w:lvl w:ilvl="4" w:tplc="10A0458C">
      <w:start w:val="1"/>
      <w:numFmt w:val="bullet"/>
      <w:lvlText w:val="o"/>
      <w:lvlJc w:val="left"/>
      <w:pPr>
        <w:ind w:left="3600" w:hanging="360"/>
      </w:pPr>
      <w:rPr>
        <w:rFonts w:ascii="Courier New" w:hAnsi="Courier New" w:cs="Courier New" w:hint="default"/>
      </w:rPr>
    </w:lvl>
    <w:lvl w:ilvl="5" w:tplc="9ADA44F8">
      <w:start w:val="1"/>
      <w:numFmt w:val="bullet"/>
      <w:lvlText w:val=""/>
      <w:lvlJc w:val="left"/>
      <w:pPr>
        <w:ind w:left="4320" w:hanging="360"/>
      </w:pPr>
      <w:rPr>
        <w:rFonts w:ascii="Wingdings" w:hAnsi="Wingdings" w:hint="default"/>
      </w:rPr>
    </w:lvl>
    <w:lvl w:ilvl="6" w:tplc="3542A8BA">
      <w:start w:val="1"/>
      <w:numFmt w:val="bullet"/>
      <w:lvlText w:val=""/>
      <w:lvlJc w:val="left"/>
      <w:pPr>
        <w:ind w:left="5040" w:hanging="360"/>
      </w:pPr>
      <w:rPr>
        <w:rFonts w:ascii="Symbol" w:hAnsi="Symbol" w:hint="default"/>
      </w:rPr>
    </w:lvl>
    <w:lvl w:ilvl="7" w:tplc="66DA0FD6">
      <w:start w:val="1"/>
      <w:numFmt w:val="bullet"/>
      <w:lvlText w:val="o"/>
      <w:lvlJc w:val="left"/>
      <w:pPr>
        <w:ind w:left="5760" w:hanging="360"/>
      </w:pPr>
      <w:rPr>
        <w:rFonts w:ascii="Courier New" w:hAnsi="Courier New" w:cs="Courier New" w:hint="default"/>
      </w:rPr>
    </w:lvl>
    <w:lvl w:ilvl="8" w:tplc="F30CB8EC">
      <w:start w:val="1"/>
      <w:numFmt w:val="bullet"/>
      <w:lvlText w:val=""/>
      <w:lvlJc w:val="left"/>
      <w:pPr>
        <w:ind w:left="6480" w:hanging="360"/>
      </w:pPr>
      <w:rPr>
        <w:rFonts w:ascii="Wingdings" w:hAnsi="Wingdings" w:hint="default"/>
      </w:rPr>
    </w:lvl>
  </w:abstractNum>
  <w:abstractNum w:abstractNumId="21" w15:restartNumberingAfterBreak="0">
    <w:nsid w:val="59642CF3"/>
    <w:multiLevelType w:val="hybridMultilevel"/>
    <w:tmpl w:val="269A59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E761489"/>
    <w:multiLevelType w:val="hybridMultilevel"/>
    <w:tmpl w:val="0F487F3C"/>
    <w:lvl w:ilvl="0" w:tplc="2000000B">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15:restartNumberingAfterBreak="0">
    <w:nsid w:val="5FF45E63"/>
    <w:multiLevelType w:val="hybridMultilevel"/>
    <w:tmpl w:val="A8A66E4E"/>
    <w:lvl w:ilvl="0" w:tplc="2E721F5A">
      <w:start w:val="1"/>
      <w:numFmt w:val="bullet"/>
      <w:lvlText w:val="·"/>
      <w:lvlJc w:val="left"/>
      <w:pPr>
        <w:ind w:left="709" w:hanging="360"/>
      </w:pPr>
      <w:rPr>
        <w:rFonts w:ascii="Symbol" w:eastAsia="Symbol" w:hAnsi="Symbol" w:cs="Symbol"/>
      </w:rPr>
    </w:lvl>
    <w:lvl w:ilvl="1" w:tplc="291A4DD8">
      <w:start w:val="1"/>
      <w:numFmt w:val="bullet"/>
      <w:lvlText w:val="o"/>
      <w:lvlJc w:val="left"/>
      <w:pPr>
        <w:ind w:left="1440" w:hanging="360"/>
      </w:pPr>
      <w:rPr>
        <w:rFonts w:ascii="Courier New" w:eastAsia="Courier New" w:hAnsi="Courier New" w:cs="Courier New"/>
      </w:rPr>
    </w:lvl>
    <w:lvl w:ilvl="2" w:tplc="B4E68CD0">
      <w:start w:val="1"/>
      <w:numFmt w:val="bullet"/>
      <w:lvlText w:val="§"/>
      <w:lvlJc w:val="left"/>
      <w:pPr>
        <w:ind w:left="2160" w:hanging="360"/>
      </w:pPr>
      <w:rPr>
        <w:rFonts w:ascii="Wingdings" w:eastAsia="Wingdings" w:hAnsi="Wingdings" w:cs="Wingdings"/>
      </w:rPr>
    </w:lvl>
    <w:lvl w:ilvl="3" w:tplc="98567FFA">
      <w:start w:val="1"/>
      <w:numFmt w:val="bullet"/>
      <w:lvlText w:val="·"/>
      <w:lvlJc w:val="left"/>
      <w:pPr>
        <w:ind w:left="2880" w:hanging="360"/>
      </w:pPr>
      <w:rPr>
        <w:rFonts w:ascii="Symbol" w:eastAsia="Symbol" w:hAnsi="Symbol" w:cs="Symbol"/>
      </w:rPr>
    </w:lvl>
    <w:lvl w:ilvl="4" w:tplc="3C40EC92">
      <w:start w:val="1"/>
      <w:numFmt w:val="bullet"/>
      <w:lvlText w:val="o"/>
      <w:lvlJc w:val="left"/>
      <w:pPr>
        <w:ind w:left="3600" w:hanging="360"/>
      </w:pPr>
      <w:rPr>
        <w:rFonts w:ascii="Courier New" w:eastAsia="Courier New" w:hAnsi="Courier New" w:cs="Courier New"/>
      </w:rPr>
    </w:lvl>
    <w:lvl w:ilvl="5" w:tplc="4D18FCEC">
      <w:start w:val="1"/>
      <w:numFmt w:val="bullet"/>
      <w:lvlText w:val="§"/>
      <w:lvlJc w:val="left"/>
      <w:pPr>
        <w:ind w:left="4320" w:hanging="360"/>
      </w:pPr>
      <w:rPr>
        <w:rFonts w:ascii="Wingdings" w:eastAsia="Wingdings" w:hAnsi="Wingdings" w:cs="Wingdings"/>
      </w:rPr>
    </w:lvl>
    <w:lvl w:ilvl="6" w:tplc="B02E7FD8">
      <w:start w:val="1"/>
      <w:numFmt w:val="bullet"/>
      <w:lvlText w:val="·"/>
      <w:lvlJc w:val="left"/>
      <w:pPr>
        <w:ind w:left="5040" w:hanging="360"/>
      </w:pPr>
      <w:rPr>
        <w:rFonts w:ascii="Symbol" w:eastAsia="Symbol" w:hAnsi="Symbol" w:cs="Symbol"/>
      </w:rPr>
    </w:lvl>
    <w:lvl w:ilvl="7" w:tplc="F9FA7EAE">
      <w:start w:val="1"/>
      <w:numFmt w:val="bullet"/>
      <w:lvlText w:val="o"/>
      <w:lvlJc w:val="left"/>
      <w:pPr>
        <w:ind w:left="5760" w:hanging="360"/>
      </w:pPr>
      <w:rPr>
        <w:rFonts w:ascii="Courier New" w:eastAsia="Courier New" w:hAnsi="Courier New" w:cs="Courier New"/>
      </w:rPr>
    </w:lvl>
    <w:lvl w:ilvl="8" w:tplc="44527B1A">
      <w:start w:val="1"/>
      <w:numFmt w:val="bullet"/>
      <w:lvlText w:val="§"/>
      <w:lvlJc w:val="left"/>
      <w:pPr>
        <w:ind w:left="6480" w:hanging="360"/>
      </w:pPr>
      <w:rPr>
        <w:rFonts w:ascii="Wingdings" w:eastAsia="Wingdings" w:hAnsi="Wingdings" w:cs="Wingdings"/>
      </w:rPr>
    </w:lvl>
  </w:abstractNum>
  <w:abstractNum w:abstractNumId="24" w15:restartNumberingAfterBreak="0">
    <w:nsid w:val="6021211F"/>
    <w:multiLevelType w:val="hybridMultilevel"/>
    <w:tmpl w:val="B936C68E"/>
    <w:lvl w:ilvl="0" w:tplc="E95E451E">
      <w:start w:val="1"/>
      <w:numFmt w:val="bullet"/>
      <w:lvlText w:val=""/>
      <w:lvlJc w:val="left"/>
      <w:pPr>
        <w:ind w:left="1755" w:hanging="360"/>
      </w:pPr>
      <w:rPr>
        <w:rFonts w:ascii="Symbol" w:hAnsi="Symbol" w:hint="default"/>
      </w:rPr>
    </w:lvl>
    <w:lvl w:ilvl="1" w:tplc="0A3E40C6">
      <w:start w:val="1"/>
      <w:numFmt w:val="bullet"/>
      <w:lvlText w:val="o"/>
      <w:lvlJc w:val="left"/>
      <w:pPr>
        <w:ind w:left="2475" w:hanging="360"/>
      </w:pPr>
      <w:rPr>
        <w:rFonts w:ascii="Courier New" w:hAnsi="Courier New" w:cs="Courier New" w:hint="default"/>
      </w:rPr>
    </w:lvl>
    <w:lvl w:ilvl="2" w:tplc="3E12BAAC">
      <w:start w:val="1"/>
      <w:numFmt w:val="bullet"/>
      <w:lvlText w:val=""/>
      <w:lvlJc w:val="left"/>
      <w:pPr>
        <w:ind w:left="3195" w:hanging="360"/>
      </w:pPr>
      <w:rPr>
        <w:rFonts w:ascii="Wingdings" w:hAnsi="Wingdings" w:hint="default"/>
      </w:rPr>
    </w:lvl>
    <w:lvl w:ilvl="3" w:tplc="DF882318">
      <w:start w:val="1"/>
      <w:numFmt w:val="bullet"/>
      <w:lvlText w:val=""/>
      <w:lvlJc w:val="left"/>
      <w:pPr>
        <w:ind w:left="3915" w:hanging="360"/>
      </w:pPr>
      <w:rPr>
        <w:rFonts w:ascii="Symbol" w:hAnsi="Symbol" w:hint="default"/>
      </w:rPr>
    </w:lvl>
    <w:lvl w:ilvl="4" w:tplc="D2BE66F8">
      <w:start w:val="1"/>
      <w:numFmt w:val="bullet"/>
      <w:lvlText w:val="o"/>
      <w:lvlJc w:val="left"/>
      <w:pPr>
        <w:ind w:left="4635" w:hanging="360"/>
      </w:pPr>
      <w:rPr>
        <w:rFonts w:ascii="Courier New" w:hAnsi="Courier New" w:cs="Courier New" w:hint="default"/>
      </w:rPr>
    </w:lvl>
    <w:lvl w:ilvl="5" w:tplc="BA4A2E26">
      <w:start w:val="1"/>
      <w:numFmt w:val="bullet"/>
      <w:lvlText w:val=""/>
      <w:lvlJc w:val="left"/>
      <w:pPr>
        <w:ind w:left="5355" w:hanging="360"/>
      </w:pPr>
      <w:rPr>
        <w:rFonts w:ascii="Wingdings" w:hAnsi="Wingdings" w:hint="default"/>
      </w:rPr>
    </w:lvl>
    <w:lvl w:ilvl="6" w:tplc="BBA4F6B0">
      <w:start w:val="1"/>
      <w:numFmt w:val="bullet"/>
      <w:lvlText w:val=""/>
      <w:lvlJc w:val="left"/>
      <w:pPr>
        <w:ind w:left="6075" w:hanging="360"/>
      </w:pPr>
      <w:rPr>
        <w:rFonts w:ascii="Symbol" w:hAnsi="Symbol" w:hint="default"/>
      </w:rPr>
    </w:lvl>
    <w:lvl w:ilvl="7" w:tplc="6D3ABC88">
      <w:start w:val="1"/>
      <w:numFmt w:val="bullet"/>
      <w:lvlText w:val="o"/>
      <w:lvlJc w:val="left"/>
      <w:pPr>
        <w:ind w:left="6795" w:hanging="360"/>
      </w:pPr>
      <w:rPr>
        <w:rFonts w:ascii="Courier New" w:hAnsi="Courier New" w:cs="Courier New" w:hint="default"/>
      </w:rPr>
    </w:lvl>
    <w:lvl w:ilvl="8" w:tplc="25F0DDDA">
      <w:start w:val="1"/>
      <w:numFmt w:val="bullet"/>
      <w:lvlText w:val=""/>
      <w:lvlJc w:val="left"/>
      <w:pPr>
        <w:ind w:left="7515" w:hanging="360"/>
      </w:pPr>
      <w:rPr>
        <w:rFonts w:ascii="Wingdings" w:hAnsi="Wingdings" w:hint="default"/>
      </w:rPr>
    </w:lvl>
  </w:abstractNum>
  <w:abstractNum w:abstractNumId="25" w15:restartNumberingAfterBreak="0">
    <w:nsid w:val="67987C61"/>
    <w:multiLevelType w:val="hybridMultilevel"/>
    <w:tmpl w:val="D47AFF3C"/>
    <w:lvl w:ilvl="0" w:tplc="69CC17F4">
      <w:start w:val="1"/>
      <w:numFmt w:val="bullet"/>
      <w:lvlText w:val="·"/>
      <w:lvlJc w:val="left"/>
      <w:pPr>
        <w:ind w:left="709" w:hanging="360"/>
      </w:pPr>
      <w:rPr>
        <w:rFonts w:ascii="Symbol" w:eastAsia="Symbol" w:hAnsi="Symbol" w:cs="Symbol"/>
      </w:rPr>
    </w:lvl>
    <w:lvl w:ilvl="1" w:tplc="2C34466A">
      <w:start w:val="1"/>
      <w:numFmt w:val="bullet"/>
      <w:lvlText w:val="o"/>
      <w:lvlJc w:val="left"/>
      <w:pPr>
        <w:ind w:left="1440" w:hanging="360"/>
      </w:pPr>
      <w:rPr>
        <w:rFonts w:ascii="Courier New" w:eastAsia="Courier New" w:hAnsi="Courier New" w:cs="Courier New"/>
      </w:rPr>
    </w:lvl>
    <w:lvl w:ilvl="2" w:tplc="D1AAFE50">
      <w:start w:val="1"/>
      <w:numFmt w:val="bullet"/>
      <w:lvlText w:val="§"/>
      <w:lvlJc w:val="left"/>
      <w:pPr>
        <w:ind w:left="2160" w:hanging="360"/>
      </w:pPr>
      <w:rPr>
        <w:rFonts w:ascii="Wingdings" w:eastAsia="Wingdings" w:hAnsi="Wingdings" w:cs="Wingdings"/>
      </w:rPr>
    </w:lvl>
    <w:lvl w:ilvl="3" w:tplc="F864CBB4">
      <w:start w:val="1"/>
      <w:numFmt w:val="bullet"/>
      <w:lvlText w:val="·"/>
      <w:lvlJc w:val="left"/>
      <w:pPr>
        <w:ind w:left="2880" w:hanging="360"/>
      </w:pPr>
      <w:rPr>
        <w:rFonts w:ascii="Symbol" w:eastAsia="Symbol" w:hAnsi="Symbol" w:cs="Symbol"/>
      </w:rPr>
    </w:lvl>
    <w:lvl w:ilvl="4" w:tplc="614E48B6">
      <w:start w:val="1"/>
      <w:numFmt w:val="bullet"/>
      <w:lvlText w:val="o"/>
      <w:lvlJc w:val="left"/>
      <w:pPr>
        <w:ind w:left="3600" w:hanging="360"/>
      </w:pPr>
      <w:rPr>
        <w:rFonts w:ascii="Courier New" w:eastAsia="Courier New" w:hAnsi="Courier New" w:cs="Courier New"/>
      </w:rPr>
    </w:lvl>
    <w:lvl w:ilvl="5" w:tplc="CE30B5FA">
      <w:start w:val="1"/>
      <w:numFmt w:val="bullet"/>
      <w:lvlText w:val="§"/>
      <w:lvlJc w:val="left"/>
      <w:pPr>
        <w:ind w:left="4320" w:hanging="360"/>
      </w:pPr>
      <w:rPr>
        <w:rFonts w:ascii="Wingdings" w:eastAsia="Wingdings" w:hAnsi="Wingdings" w:cs="Wingdings"/>
      </w:rPr>
    </w:lvl>
    <w:lvl w:ilvl="6" w:tplc="E92CD49E">
      <w:start w:val="1"/>
      <w:numFmt w:val="bullet"/>
      <w:lvlText w:val="·"/>
      <w:lvlJc w:val="left"/>
      <w:pPr>
        <w:ind w:left="5040" w:hanging="360"/>
      </w:pPr>
      <w:rPr>
        <w:rFonts w:ascii="Symbol" w:eastAsia="Symbol" w:hAnsi="Symbol" w:cs="Symbol"/>
      </w:rPr>
    </w:lvl>
    <w:lvl w:ilvl="7" w:tplc="63867190">
      <w:start w:val="1"/>
      <w:numFmt w:val="bullet"/>
      <w:lvlText w:val="o"/>
      <w:lvlJc w:val="left"/>
      <w:pPr>
        <w:ind w:left="5760" w:hanging="360"/>
      </w:pPr>
      <w:rPr>
        <w:rFonts w:ascii="Courier New" w:eastAsia="Courier New" w:hAnsi="Courier New" w:cs="Courier New"/>
      </w:rPr>
    </w:lvl>
    <w:lvl w:ilvl="8" w:tplc="3FECAC7E">
      <w:start w:val="1"/>
      <w:numFmt w:val="bullet"/>
      <w:lvlText w:val="§"/>
      <w:lvlJc w:val="left"/>
      <w:pPr>
        <w:ind w:left="6480" w:hanging="360"/>
      </w:pPr>
      <w:rPr>
        <w:rFonts w:ascii="Wingdings" w:eastAsia="Wingdings" w:hAnsi="Wingdings" w:cs="Wingdings"/>
      </w:rPr>
    </w:lvl>
  </w:abstractNum>
  <w:abstractNum w:abstractNumId="26" w15:restartNumberingAfterBreak="0">
    <w:nsid w:val="696E7C48"/>
    <w:multiLevelType w:val="hybridMultilevel"/>
    <w:tmpl w:val="96DE3402"/>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DAA54CA"/>
    <w:multiLevelType w:val="hybridMultilevel"/>
    <w:tmpl w:val="49022682"/>
    <w:lvl w:ilvl="0" w:tplc="2000000F">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8" w15:restartNumberingAfterBreak="0">
    <w:nsid w:val="6ECF3DFE"/>
    <w:multiLevelType w:val="hybridMultilevel"/>
    <w:tmpl w:val="FB046204"/>
    <w:lvl w:ilvl="0" w:tplc="9FC6E7F2">
      <w:start w:val="1"/>
      <w:numFmt w:val="bullet"/>
      <w:lvlText w:val=""/>
      <w:lvlJc w:val="left"/>
      <w:pPr>
        <w:ind w:left="1755" w:hanging="360"/>
      </w:pPr>
      <w:rPr>
        <w:rFonts w:ascii="Symbol" w:hAnsi="Symbol" w:hint="default"/>
      </w:rPr>
    </w:lvl>
    <w:lvl w:ilvl="1" w:tplc="E76EF59A">
      <w:start w:val="1"/>
      <w:numFmt w:val="bullet"/>
      <w:lvlText w:val="o"/>
      <w:lvlJc w:val="left"/>
      <w:pPr>
        <w:ind w:left="2475" w:hanging="360"/>
      </w:pPr>
      <w:rPr>
        <w:rFonts w:ascii="Courier New" w:hAnsi="Courier New" w:cs="Courier New" w:hint="default"/>
      </w:rPr>
    </w:lvl>
    <w:lvl w:ilvl="2" w:tplc="B1324344">
      <w:start w:val="1"/>
      <w:numFmt w:val="bullet"/>
      <w:lvlText w:val=""/>
      <w:lvlJc w:val="left"/>
      <w:pPr>
        <w:ind w:left="3195" w:hanging="360"/>
      </w:pPr>
      <w:rPr>
        <w:rFonts w:ascii="Wingdings" w:hAnsi="Wingdings" w:hint="default"/>
      </w:rPr>
    </w:lvl>
    <w:lvl w:ilvl="3" w:tplc="E35C0158">
      <w:start w:val="1"/>
      <w:numFmt w:val="bullet"/>
      <w:lvlText w:val=""/>
      <w:lvlJc w:val="left"/>
      <w:pPr>
        <w:ind w:left="3915" w:hanging="360"/>
      </w:pPr>
      <w:rPr>
        <w:rFonts w:ascii="Symbol" w:hAnsi="Symbol" w:hint="default"/>
      </w:rPr>
    </w:lvl>
    <w:lvl w:ilvl="4" w:tplc="E9D8AEF2">
      <w:start w:val="1"/>
      <w:numFmt w:val="bullet"/>
      <w:lvlText w:val="o"/>
      <w:lvlJc w:val="left"/>
      <w:pPr>
        <w:ind w:left="4635" w:hanging="360"/>
      </w:pPr>
      <w:rPr>
        <w:rFonts w:ascii="Courier New" w:hAnsi="Courier New" w:cs="Courier New" w:hint="default"/>
      </w:rPr>
    </w:lvl>
    <w:lvl w:ilvl="5" w:tplc="182A8CB2">
      <w:start w:val="1"/>
      <w:numFmt w:val="bullet"/>
      <w:lvlText w:val=""/>
      <w:lvlJc w:val="left"/>
      <w:pPr>
        <w:ind w:left="5355" w:hanging="360"/>
      </w:pPr>
      <w:rPr>
        <w:rFonts w:ascii="Wingdings" w:hAnsi="Wingdings" w:hint="default"/>
      </w:rPr>
    </w:lvl>
    <w:lvl w:ilvl="6" w:tplc="316C5620">
      <w:start w:val="1"/>
      <w:numFmt w:val="bullet"/>
      <w:lvlText w:val=""/>
      <w:lvlJc w:val="left"/>
      <w:pPr>
        <w:ind w:left="6075" w:hanging="360"/>
      </w:pPr>
      <w:rPr>
        <w:rFonts w:ascii="Symbol" w:hAnsi="Symbol" w:hint="default"/>
      </w:rPr>
    </w:lvl>
    <w:lvl w:ilvl="7" w:tplc="80F818A0">
      <w:start w:val="1"/>
      <w:numFmt w:val="bullet"/>
      <w:lvlText w:val="o"/>
      <w:lvlJc w:val="left"/>
      <w:pPr>
        <w:ind w:left="6795" w:hanging="360"/>
      </w:pPr>
      <w:rPr>
        <w:rFonts w:ascii="Courier New" w:hAnsi="Courier New" w:cs="Courier New" w:hint="default"/>
      </w:rPr>
    </w:lvl>
    <w:lvl w:ilvl="8" w:tplc="3946B91C">
      <w:start w:val="1"/>
      <w:numFmt w:val="bullet"/>
      <w:lvlText w:val=""/>
      <w:lvlJc w:val="left"/>
      <w:pPr>
        <w:ind w:left="7515" w:hanging="360"/>
      </w:pPr>
      <w:rPr>
        <w:rFonts w:ascii="Wingdings" w:hAnsi="Wingdings" w:hint="default"/>
      </w:rPr>
    </w:lvl>
  </w:abstractNum>
  <w:abstractNum w:abstractNumId="29" w15:restartNumberingAfterBreak="0">
    <w:nsid w:val="71785679"/>
    <w:multiLevelType w:val="hybridMultilevel"/>
    <w:tmpl w:val="402AE186"/>
    <w:lvl w:ilvl="0" w:tplc="78606CFC">
      <w:start w:val="1"/>
      <w:numFmt w:val="bullet"/>
      <w:lvlText w:val="-"/>
      <w:lvlJc w:val="left"/>
      <w:pPr>
        <w:ind w:left="1035" w:hanging="360"/>
      </w:pPr>
      <w:rPr>
        <w:rFonts w:ascii="Calibri" w:eastAsia="Calibri" w:hAnsi="Calibri" w:cs="Calibri" w:hint="default"/>
      </w:rPr>
    </w:lvl>
    <w:lvl w:ilvl="1" w:tplc="7FF67574">
      <w:start w:val="1"/>
      <w:numFmt w:val="bullet"/>
      <w:lvlText w:val="o"/>
      <w:lvlJc w:val="left"/>
      <w:pPr>
        <w:ind w:left="1755" w:hanging="360"/>
      </w:pPr>
      <w:rPr>
        <w:rFonts w:ascii="Courier New" w:hAnsi="Courier New" w:cs="Courier New" w:hint="default"/>
      </w:rPr>
    </w:lvl>
    <w:lvl w:ilvl="2" w:tplc="84E84BB6">
      <w:start w:val="1"/>
      <w:numFmt w:val="bullet"/>
      <w:lvlText w:val=""/>
      <w:lvlJc w:val="left"/>
      <w:pPr>
        <w:ind w:left="2475" w:hanging="360"/>
      </w:pPr>
      <w:rPr>
        <w:rFonts w:ascii="Wingdings" w:hAnsi="Wingdings" w:hint="default"/>
      </w:rPr>
    </w:lvl>
    <w:lvl w:ilvl="3" w:tplc="170A3B7C">
      <w:start w:val="1"/>
      <w:numFmt w:val="bullet"/>
      <w:lvlText w:val=""/>
      <w:lvlJc w:val="left"/>
      <w:pPr>
        <w:ind w:left="3195" w:hanging="360"/>
      </w:pPr>
      <w:rPr>
        <w:rFonts w:ascii="Symbol" w:hAnsi="Symbol" w:hint="default"/>
      </w:rPr>
    </w:lvl>
    <w:lvl w:ilvl="4" w:tplc="5914C57C">
      <w:start w:val="1"/>
      <w:numFmt w:val="bullet"/>
      <w:lvlText w:val="o"/>
      <w:lvlJc w:val="left"/>
      <w:pPr>
        <w:ind w:left="3915" w:hanging="360"/>
      </w:pPr>
      <w:rPr>
        <w:rFonts w:ascii="Courier New" w:hAnsi="Courier New" w:cs="Courier New" w:hint="default"/>
      </w:rPr>
    </w:lvl>
    <w:lvl w:ilvl="5" w:tplc="B7A0072A">
      <w:start w:val="1"/>
      <w:numFmt w:val="bullet"/>
      <w:lvlText w:val=""/>
      <w:lvlJc w:val="left"/>
      <w:pPr>
        <w:ind w:left="4635" w:hanging="360"/>
      </w:pPr>
      <w:rPr>
        <w:rFonts w:ascii="Wingdings" w:hAnsi="Wingdings" w:hint="default"/>
      </w:rPr>
    </w:lvl>
    <w:lvl w:ilvl="6" w:tplc="452AD16C">
      <w:start w:val="1"/>
      <w:numFmt w:val="bullet"/>
      <w:lvlText w:val=""/>
      <w:lvlJc w:val="left"/>
      <w:pPr>
        <w:ind w:left="5355" w:hanging="360"/>
      </w:pPr>
      <w:rPr>
        <w:rFonts w:ascii="Symbol" w:hAnsi="Symbol" w:hint="default"/>
      </w:rPr>
    </w:lvl>
    <w:lvl w:ilvl="7" w:tplc="A746BBF6">
      <w:start w:val="1"/>
      <w:numFmt w:val="bullet"/>
      <w:lvlText w:val="o"/>
      <w:lvlJc w:val="left"/>
      <w:pPr>
        <w:ind w:left="6075" w:hanging="360"/>
      </w:pPr>
      <w:rPr>
        <w:rFonts w:ascii="Courier New" w:hAnsi="Courier New" w:cs="Courier New" w:hint="default"/>
      </w:rPr>
    </w:lvl>
    <w:lvl w:ilvl="8" w:tplc="44D4D106">
      <w:start w:val="1"/>
      <w:numFmt w:val="bullet"/>
      <w:lvlText w:val=""/>
      <w:lvlJc w:val="left"/>
      <w:pPr>
        <w:ind w:left="6795" w:hanging="360"/>
      </w:pPr>
      <w:rPr>
        <w:rFonts w:ascii="Wingdings" w:hAnsi="Wingdings" w:hint="default"/>
      </w:rPr>
    </w:lvl>
  </w:abstractNum>
  <w:abstractNum w:abstractNumId="30" w15:restartNumberingAfterBreak="0">
    <w:nsid w:val="75476588"/>
    <w:multiLevelType w:val="hybridMultilevel"/>
    <w:tmpl w:val="CBAC1F3E"/>
    <w:lvl w:ilvl="0" w:tplc="F02AF970">
      <w:start w:val="1"/>
      <w:numFmt w:val="bullet"/>
      <w:lvlText w:val=""/>
      <w:lvlJc w:val="left"/>
      <w:pPr>
        <w:ind w:left="780" w:hanging="360"/>
      </w:pPr>
      <w:rPr>
        <w:rFonts w:ascii="Symbol" w:hAnsi="Symbol" w:hint="default"/>
      </w:rPr>
    </w:lvl>
    <w:lvl w:ilvl="1" w:tplc="DABE3882">
      <w:start w:val="1"/>
      <w:numFmt w:val="bullet"/>
      <w:lvlText w:val="o"/>
      <w:lvlJc w:val="left"/>
      <w:pPr>
        <w:ind w:left="1500" w:hanging="360"/>
      </w:pPr>
      <w:rPr>
        <w:rFonts w:ascii="Courier New" w:hAnsi="Courier New" w:cs="Courier New" w:hint="default"/>
      </w:rPr>
    </w:lvl>
    <w:lvl w:ilvl="2" w:tplc="2E3C388E">
      <w:start w:val="1"/>
      <w:numFmt w:val="bullet"/>
      <w:lvlText w:val=""/>
      <w:lvlJc w:val="left"/>
      <w:pPr>
        <w:ind w:left="2220" w:hanging="360"/>
      </w:pPr>
      <w:rPr>
        <w:rFonts w:ascii="Wingdings" w:hAnsi="Wingdings" w:hint="default"/>
      </w:rPr>
    </w:lvl>
    <w:lvl w:ilvl="3" w:tplc="E83608D0">
      <w:start w:val="1"/>
      <w:numFmt w:val="bullet"/>
      <w:lvlText w:val=""/>
      <w:lvlJc w:val="left"/>
      <w:pPr>
        <w:ind w:left="2940" w:hanging="360"/>
      </w:pPr>
      <w:rPr>
        <w:rFonts w:ascii="Symbol" w:hAnsi="Symbol" w:hint="default"/>
      </w:rPr>
    </w:lvl>
    <w:lvl w:ilvl="4" w:tplc="6B54EE2A">
      <w:start w:val="1"/>
      <w:numFmt w:val="bullet"/>
      <w:lvlText w:val="o"/>
      <w:lvlJc w:val="left"/>
      <w:pPr>
        <w:ind w:left="3660" w:hanging="360"/>
      </w:pPr>
      <w:rPr>
        <w:rFonts w:ascii="Courier New" w:hAnsi="Courier New" w:cs="Courier New" w:hint="default"/>
      </w:rPr>
    </w:lvl>
    <w:lvl w:ilvl="5" w:tplc="5B3EB320">
      <w:start w:val="1"/>
      <w:numFmt w:val="bullet"/>
      <w:lvlText w:val=""/>
      <w:lvlJc w:val="left"/>
      <w:pPr>
        <w:ind w:left="4380" w:hanging="360"/>
      </w:pPr>
      <w:rPr>
        <w:rFonts w:ascii="Wingdings" w:hAnsi="Wingdings" w:hint="default"/>
      </w:rPr>
    </w:lvl>
    <w:lvl w:ilvl="6" w:tplc="65E22C58">
      <w:start w:val="1"/>
      <w:numFmt w:val="bullet"/>
      <w:lvlText w:val=""/>
      <w:lvlJc w:val="left"/>
      <w:pPr>
        <w:ind w:left="5100" w:hanging="360"/>
      </w:pPr>
      <w:rPr>
        <w:rFonts w:ascii="Symbol" w:hAnsi="Symbol" w:hint="default"/>
      </w:rPr>
    </w:lvl>
    <w:lvl w:ilvl="7" w:tplc="A712DE16">
      <w:start w:val="1"/>
      <w:numFmt w:val="bullet"/>
      <w:lvlText w:val="o"/>
      <w:lvlJc w:val="left"/>
      <w:pPr>
        <w:ind w:left="5820" w:hanging="360"/>
      </w:pPr>
      <w:rPr>
        <w:rFonts w:ascii="Courier New" w:hAnsi="Courier New" w:cs="Courier New" w:hint="default"/>
      </w:rPr>
    </w:lvl>
    <w:lvl w:ilvl="8" w:tplc="7A5EEB2A">
      <w:start w:val="1"/>
      <w:numFmt w:val="bullet"/>
      <w:lvlText w:val=""/>
      <w:lvlJc w:val="left"/>
      <w:pPr>
        <w:ind w:left="6540" w:hanging="360"/>
      </w:pPr>
      <w:rPr>
        <w:rFonts w:ascii="Wingdings" w:hAnsi="Wingdings" w:hint="default"/>
      </w:rPr>
    </w:lvl>
  </w:abstractNum>
  <w:abstractNum w:abstractNumId="31" w15:restartNumberingAfterBreak="0">
    <w:nsid w:val="7566135D"/>
    <w:multiLevelType w:val="hybridMultilevel"/>
    <w:tmpl w:val="11F07DA8"/>
    <w:lvl w:ilvl="0" w:tplc="3D208046">
      <w:start w:val="1"/>
      <w:numFmt w:val="bullet"/>
      <w:lvlText w:val=""/>
      <w:lvlJc w:val="left"/>
      <w:pPr>
        <w:ind w:left="780" w:hanging="360"/>
      </w:pPr>
      <w:rPr>
        <w:rFonts w:ascii="Symbol" w:hAnsi="Symbol" w:hint="default"/>
      </w:rPr>
    </w:lvl>
    <w:lvl w:ilvl="1" w:tplc="9C7CC22E">
      <w:start w:val="1"/>
      <w:numFmt w:val="bullet"/>
      <w:lvlText w:val="o"/>
      <w:lvlJc w:val="left"/>
      <w:pPr>
        <w:ind w:left="1500" w:hanging="360"/>
      </w:pPr>
      <w:rPr>
        <w:rFonts w:ascii="Courier New" w:hAnsi="Courier New" w:cs="Courier New" w:hint="default"/>
      </w:rPr>
    </w:lvl>
    <w:lvl w:ilvl="2" w:tplc="0082F300">
      <w:start w:val="1"/>
      <w:numFmt w:val="bullet"/>
      <w:lvlText w:val=""/>
      <w:lvlJc w:val="left"/>
      <w:pPr>
        <w:ind w:left="2220" w:hanging="360"/>
      </w:pPr>
      <w:rPr>
        <w:rFonts w:ascii="Wingdings" w:hAnsi="Wingdings" w:hint="default"/>
      </w:rPr>
    </w:lvl>
    <w:lvl w:ilvl="3" w:tplc="F33E1D0E">
      <w:start w:val="1"/>
      <w:numFmt w:val="bullet"/>
      <w:lvlText w:val=""/>
      <w:lvlJc w:val="left"/>
      <w:pPr>
        <w:ind w:left="2940" w:hanging="360"/>
      </w:pPr>
      <w:rPr>
        <w:rFonts w:ascii="Symbol" w:hAnsi="Symbol" w:hint="default"/>
      </w:rPr>
    </w:lvl>
    <w:lvl w:ilvl="4" w:tplc="EB162860">
      <w:start w:val="1"/>
      <w:numFmt w:val="bullet"/>
      <w:lvlText w:val="o"/>
      <w:lvlJc w:val="left"/>
      <w:pPr>
        <w:ind w:left="3660" w:hanging="360"/>
      </w:pPr>
      <w:rPr>
        <w:rFonts w:ascii="Courier New" w:hAnsi="Courier New" w:cs="Courier New" w:hint="default"/>
      </w:rPr>
    </w:lvl>
    <w:lvl w:ilvl="5" w:tplc="60645226">
      <w:start w:val="1"/>
      <w:numFmt w:val="bullet"/>
      <w:lvlText w:val=""/>
      <w:lvlJc w:val="left"/>
      <w:pPr>
        <w:ind w:left="4380" w:hanging="360"/>
      </w:pPr>
      <w:rPr>
        <w:rFonts w:ascii="Wingdings" w:hAnsi="Wingdings" w:hint="default"/>
      </w:rPr>
    </w:lvl>
    <w:lvl w:ilvl="6" w:tplc="ED64A618">
      <w:start w:val="1"/>
      <w:numFmt w:val="bullet"/>
      <w:lvlText w:val=""/>
      <w:lvlJc w:val="left"/>
      <w:pPr>
        <w:ind w:left="5100" w:hanging="360"/>
      </w:pPr>
      <w:rPr>
        <w:rFonts w:ascii="Symbol" w:hAnsi="Symbol" w:hint="default"/>
      </w:rPr>
    </w:lvl>
    <w:lvl w:ilvl="7" w:tplc="70D07ECE">
      <w:start w:val="1"/>
      <w:numFmt w:val="bullet"/>
      <w:lvlText w:val="o"/>
      <w:lvlJc w:val="left"/>
      <w:pPr>
        <w:ind w:left="5820" w:hanging="360"/>
      </w:pPr>
      <w:rPr>
        <w:rFonts w:ascii="Courier New" w:hAnsi="Courier New" w:cs="Courier New" w:hint="default"/>
      </w:rPr>
    </w:lvl>
    <w:lvl w:ilvl="8" w:tplc="26469F56">
      <w:start w:val="1"/>
      <w:numFmt w:val="bullet"/>
      <w:lvlText w:val=""/>
      <w:lvlJc w:val="left"/>
      <w:pPr>
        <w:ind w:left="6540" w:hanging="360"/>
      </w:pPr>
      <w:rPr>
        <w:rFonts w:ascii="Wingdings" w:hAnsi="Wingdings" w:hint="default"/>
      </w:rPr>
    </w:lvl>
  </w:abstractNum>
  <w:abstractNum w:abstractNumId="32" w15:restartNumberingAfterBreak="0">
    <w:nsid w:val="78B929E2"/>
    <w:multiLevelType w:val="hybridMultilevel"/>
    <w:tmpl w:val="C3DC7EA0"/>
    <w:lvl w:ilvl="0" w:tplc="FFFFFFFF">
      <w:start w:val="1"/>
      <w:numFmt w:val="lowerLetter"/>
      <w:lvlText w:val="%1."/>
      <w:lvlJc w:val="left"/>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num w:numId="1" w16cid:durableId="673728273">
    <w:abstractNumId w:val="20"/>
  </w:num>
  <w:num w:numId="2" w16cid:durableId="1426195561">
    <w:abstractNumId w:val="2"/>
  </w:num>
  <w:num w:numId="3" w16cid:durableId="395205336">
    <w:abstractNumId w:val="24"/>
  </w:num>
  <w:num w:numId="4" w16cid:durableId="1663239816">
    <w:abstractNumId w:val="0"/>
  </w:num>
  <w:num w:numId="5" w16cid:durableId="473303855">
    <w:abstractNumId w:val="10"/>
  </w:num>
  <w:num w:numId="6" w16cid:durableId="1495875257">
    <w:abstractNumId w:val="25"/>
  </w:num>
  <w:num w:numId="7" w16cid:durableId="126511207">
    <w:abstractNumId w:val="5"/>
  </w:num>
  <w:num w:numId="8" w16cid:durableId="1432896286">
    <w:abstractNumId w:val="31"/>
  </w:num>
  <w:num w:numId="9" w16cid:durableId="1438988917">
    <w:abstractNumId w:val="13"/>
  </w:num>
  <w:num w:numId="10" w16cid:durableId="297036462">
    <w:abstractNumId w:val="3"/>
  </w:num>
  <w:num w:numId="11" w16cid:durableId="511648305">
    <w:abstractNumId w:val="9"/>
  </w:num>
  <w:num w:numId="12" w16cid:durableId="770706858">
    <w:abstractNumId w:val="12"/>
  </w:num>
  <w:num w:numId="13" w16cid:durableId="1888829862">
    <w:abstractNumId w:val="11"/>
  </w:num>
  <w:num w:numId="14" w16cid:durableId="521089662">
    <w:abstractNumId w:val="4"/>
  </w:num>
  <w:num w:numId="15" w16cid:durableId="522790154">
    <w:abstractNumId w:val="29"/>
  </w:num>
  <w:num w:numId="16" w16cid:durableId="1057053565">
    <w:abstractNumId w:val="28"/>
  </w:num>
  <w:num w:numId="17" w16cid:durableId="1113596717">
    <w:abstractNumId w:val="17"/>
  </w:num>
  <w:num w:numId="18" w16cid:durableId="763526584">
    <w:abstractNumId w:val="14"/>
  </w:num>
  <w:num w:numId="19" w16cid:durableId="880214925">
    <w:abstractNumId w:val="15"/>
  </w:num>
  <w:num w:numId="20" w16cid:durableId="524442683">
    <w:abstractNumId w:val="8"/>
  </w:num>
  <w:num w:numId="21" w16cid:durableId="1451513859">
    <w:abstractNumId w:val="30"/>
  </w:num>
  <w:num w:numId="22" w16cid:durableId="840776627">
    <w:abstractNumId w:val="6"/>
  </w:num>
  <w:num w:numId="23" w16cid:durableId="806976991">
    <w:abstractNumId w:val="1"/>
  </w:num>
  <w:num w:numId="24" w16cid:durableId="546767577">
    <w:abstractNumId w:val="16"/>
  </w:num>
  <w:num w:numId="25" w16cid:durableId="33122487">
    <w:abstractNumId w:val="7"/>
  </w:num>
  <w:num w:numId="26" w16cid:durableId="2100636872">
    <w:abstractNumId w:val="23"/>
  </w:num>
  <w:num w:numId="27" w16cid:durableId="1915554559">
    <w:abstractNumId w:val="19"/>
  </w:num>
  <w:num w:numId="28" w16cid:durableId="1117025606">
    <w:abstractNumId w:val="19"/>
  </w:num>
  <w:num w:numId="29" w16cid:durableId="1098987454">
    <w:abstractNumId w:val="19"/>
  </w:num>
  <w:num w:numId="30" w16cid:durableId="290476883">
    <w:abstractNumId w:val="19"/>
    <w:lvlOverride w:ilvl="0">
      <w:startOverride w:val="1"/>
    </w:lvlOverride>
  </w:num>
  <w:num w:numId="31" w16cid:durableId="1436901159">
    <w:abstractNumId w:val="19"/>
  </w:num>
  <w:num w:numId="32" w16cid:durableId="343015720">
    <w:abstractNumId w:val="19"/>
  </w:num>
  <w:num w:numId="33" w16cid:durableId="974869706">
    <w:abstractNumId w:val="19"/>
  </w:num>
  <w:num w:numId="34" w16cid:durableId="1580091163">
    <w:abstractNumId w:val="19"/>
  </w:num>
  <w:num w:numId="35" w16cid:durableId="815142852">
    <w:abstractNumId w:val="19"/>
  </w:num>
  <w:num w:numId="36" w16cid:durableId="1304196601">
    <w:abstractNumId w:val="19"/>
  </w:num>
  <w:num w:numId="37" w16cid:durableId="1035740988">
    <w:abstractNumId w:val="21"/>
  </w:num>
  <w:num w:numId="38" w16cid:durableId="1441030979">
    <w:abstractNumId w:val="22"/>
  </w:num>
  <w:num w:numId="39" w16cid:durableId="1711765919">
    <w:abstractNumId w:val="19"/>
  </w:num>
  <w:num w:numId="40" w16cid:durableId="662198168">
    <w:abstractNumId w:val="27"/>
  </w:num>
  <w:num w:numId="41" w16cid:durableId="2042247036">
    <w:abstractNumId w:val="26"/>
  </w:num>
  <w:num w:numId="42" w16cid:durableId="86854707">
    <w:abstractNumId w:val="18"/>
  </w:num>
  <w:num w:numId="43" w16cid:durableId="15369301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6C6"/>
    <w:rsid w:val="00006DCD"/>
    <w:rsid w:val="0000777E"/>
    <w:rsid w:val="0001404A"/>
    <w:rsid w:val="00020744"/>
    <w:rsid w:val="00025963"/>
    <w:rsid w:val="00026884"/>
    <w:rsid w:val="00046903"/>
    <w:rsid w:val="0005292F"/>
    <w:rsid w:val="00062020"/>
    <w:rsid w:val="000771E8"/>
    <w:rsid w:val="000A1D6F"/>
    <w:rsid w:val="000A2BAC"/>
    <w:rsid w:val="000C09E8"/>
    <w:rsid w:val="000C54BE"/>
    <w:rsid w:val="000D18B6"/>
    <w:rsid w:val="000D33EC"/>
    <w:rsid w:val="000D4D10"/>
    <w:rsid w:val="000D7092"/>
    <w:rsid w:val="000F24E7"/>
    <w:rsid w:val="001060AA"/>
    <w:rsid w:val="00122750"/>
    <w:rsid w:val="001303E1"/>
    <w:rsid w:val="00131818"/>
    <w:rsid w:val="00134C80"/>
    <w:rsid w:val="00135A9C"/>
    <w:rsid w:val="001421CF"/>
    <w:rsid w:val="001440D8"/>
    <w:rsid w:val="001459A4"/>
    <w:rsid w:val="00162163"/>
    <w:rsid w:val="00174718"/>
    <w:rsid w:val="0017541D"/>
    <w:rsid w:val="00191927"/>
    <w:rsid w:val="00193A9B"/>
    <w:rsid w:val="00195C56"/>
    <w:rsid w:val="001A2915"/>
    <w:rsid w:val="001B27FF"/>
    <w:rsid w:val="001B5E5B"/>
    <w:rsid w:val="001C0CAE"/>
    <w:rsid w:val="001C6784"/>
    <w:rsid w:val="001D23D7"/>
    <w:rsid w:val="001F4EEC"/>
    <w:rsid w:val="00211549"/>
    <w:rsid w:val="00213F0F"/>
    <w:rsid w:val="00233F65"/>
    <w:rsid w:val="00240729"/>
    <w:rsid w:val="002422C2"/>
    <w:rsid w:val="00247AD7"/>
    <w:rsid w:val="00247BAC"/>
    <w:rsid w:val="00251EC3"/>
    <w:rsid w:val="002728F0"/>
    <w:rsid w:val="00274E99"/>
    <w:rsid w:val="00286BF3"/>
    <w:rsid w:val="00293552"/>
    <w:rsid w:val="002A673B"/>
    <w:rsid w:val="002B444C"/>
    <w:rsid w:val="002B6FE3"/>
    <w:rsid w:val="002C28C3"/>
    <w:rsid w:val="002C3AFF"/>
    <w:rsid w:val="002E462B"/>
    <w:rsid w:val="002E6340"/>
    <w:rsid w:val="002F1D99"/>
    <w:rsid w:val="002F70FB"/>
    <w:rsid w:val="00302F73"/>
    <w:rsid w:val="00310198"/>
    <w:rsid w:val="00315166"/>
    <w:rsid w:val="00326FDB"/>
    <w:rsid w:val="003303CB"/>
    <w:rsid w:val="00336FCC"/>
    <w:rsid w:val="00337968"/>
    <w:rsid w:val="00344028"/>
    <w:rsid w:val="00346E5C"/>
    <w:rsid w:val="003479D2"/>
    <w:rsid w:val="003541F0"/>
    <w:rsid w:val="003652F5"/>
    <w:rsid w:val="0037200A"/>
    <w:rsid w:val="00375408"/>
    <w:rsid w:val="00381576"/>
    <w:rsid w:val="00382E1B"/>
    <w:rsid w:val="00386B4E"/>
    <w:rsid w:val="003A2010"/>
    <w:rsid w:val="003A4236"/>
    <w:rsid w:val="003A5ACF"/>
    <w:rsid w:val="003A5C39"/>
    <w:rsid w:val="003B47A9"/>
    <w:rsid w:val="003C34FB"/>
    <w:rsid w:val="003D1C8D"/>
    <w:rsid w:val="003E780A"/>
    <w:rsid w:val="003E7AB5"/>
    <w:rsid w:val="00401C16"/>
    <w:rsid w:val="00401CA1"/>
    <w:rsid w:val="004030FE"/>
    <w:rsid w:val="00403451"/>
    <w:rsid w:val="004052E3"/>
    <w:rsid w:val="0041762B"/>
    <w:rsid w:val="004222A2"/>
    <w:rsid w:val="00426B4D"/>
    <w:rsid w:val="0043143D"/>
    <w:rsid w:val="004350A1"/>
    <w:rsid w:val="00445755"/>
    <w:rsid w:val="00455119"/>
    <w:rsid w:val="0046070B"/>
    <w:rsid w:val="00461F7B"/>
    <w:rsid w:val="00471044"/>
    <w:rsid w:val="004726C6"/>
    <w:rsid w:val="00475EA1"/>
    <w:rsid w:val="00482E04"/>
    <w:rsid w:val="0049099F"/>
    <w:rsid w:val="004926FE"/>
    <w:rsid w:val="004A1DA8"/>
    <w:rsid w:val="004A683B"/>
    <w:rsid w:val="004B624C"/>
    <w:rsid w:val="004E05D2"/>
    <w:rsid w:val="0050195F"/>
    <w:rsid w:val="00520BC4"/>
    <w:rsid w:val="00551ECF"/>
    <w:rsid w:val="0055401F"/>
    <w:rsid w:val="005557CB"/>
    <w:rsid w:val="005645C8"/>
    <w:rsid w:val="00581287"/>
    <w:rsid w:val="00586E26"/>
    <w:rsid w:val="00595246"/>
    <w:rsid w:val="005A73EA"/>
    <w:rsid w:val="005B0273"/>
    <w:rsid w:val="005C00F8"/>
    <w:rsid w:val="005C4318"/>
    <w:rsid w:val="005C4344"/>
    <w:rsid w:val="005D5B43"/>
    <w:rsid w:val="005E05BB"/>
    <w:rsid w:val="005F1AEE"/>
    <w:rsid w:val="005F3A2C"/>
    <w:rsid w:val="005F68C2"/>
    <w:rsid w:val="00600457"/>
    <w:rsid w:val="00605706"/>
    <w:rsid w:val="006063A4"/>
    <w:rsid w:val="00612A1B"/>
    <w:rsid w:val="00630B19"/>
    <w:rsid w:val="00651D8F"/>
    <w:rsid w:val="00676988"/>
    <w:rsid w:val="006A13F8"/>
    <w:rsid w:val="006A6291"/>
    <w:rsid w:val="006A71C7"/>
    <w:rsid w:val="006B50E2"/>
    <w:rsid w:val="006B719E"/>
    <w:rsid w:val="006C6B0F"/>
    <w:rsid w:val="006C6C2A"/>
    <w:rsid w:val="006D75E1"/>
    <w:rsid w:val="006E4AD5"/>
    <w:rsid w:val="006F5503"/>
    <w:rsid w:val="006F62B2"/>
    <w:rsid w:val="0070268E"/>
    <w:rsid w:val="00724718"/>
    <w:rsid w:val="007254EC"/>
    <w:rsid w:val="00725A47"/>
    <w:rsid w:val="00726A30"/>
    <w:rsid w:val="00730869"/>
    <w:rsid w:val="007367E4"/>
    <w:rsid w:val="00741B90"/>
    <w:rsid w:val="007554A6"/>
    <w:rsid w:val="0076145C"/>
    <w:rsid w:val="00763B9C"/>
    <w:rsid w:val="00773E55"/>
    <w:rsid w:val="007A2824"/>
    <w:rsid w:val="007B3592"/>
    <w:rsid w:val="007B4D32"/>
    <w:rsid w:val="007B6F5F"/>
    <w:rsid w:val="007C4B8C"/>
    <w:rsid w:val="007D2CA7"/>
    <w:rsid w:val="007D300A"/>
    <w:rsid w:val="007D6F41"/>
    <w:rsid w:val="007E2487"/>
    <w:rsid w:val="007E44DA"/>
    <w:rsid w:val="007E4D19"/>
    <w:rsid w:val="007F3052"/>
    <w:rsid w:val="007F3C3A"/>
    <w:rsid w:val="007F7281"/>
    <w:rsid w:val="008005A0"/>
    <w:rsid w:val="008066A3"/>
    <w:rsid w:val="00813949"/>
    <w:rsid w:val="00825AD2"/>
    <w:rsid w:val="00827780"/>
    <w:rsid w:val="00833C15"/>
    <w:rsid w:val="00836093"/>
    <w:rsid w:val="00843B31"/>
    <w:rsid w:val="00855EB7"/>
    <w:rsid w:val="00871C0D"/>
    <w:rsid w:val="008A19EE"/>
    <w:rsid w:val="008B2447"/>
    <w:rsid w:val="008B58BC"/>
    <w:rsid w:val="008D1226"/>
    <w:rsid w:val="008F5B19"/>
    <w:rsid w:val="0091125D"/>
    <w:rsid w:val="00913E60"/>
    <w:rsid w:val="009209BD"/>
    <w:rsid w:val="009427D3"/>
    <w:rsid w:val="009452AF"/>
    <w:rsid w:val="00946268"/>
    <w:rsid w:val="0095576E"/>
    <w:rsid w:val="009611F1"/>
    <w:rsid w:val="0096157F"/>
    <w:rsid w:val="00965B7E"/>
    <w:rsid w:val="0098234D"/>
    <w:rsid w:val="00982F1D"/>
    <w:rsid w:val="00985146"/>
    <w:rsid w:val="009874E9"/>
    <w:rsid w:val="009951F7"/>
    <w:rsid w:val="009D5D43"/>
    <w:rsid w:val="009D7E4E"/>
    <w:rsid w:val="009E23D6"/>
    <w:rsid w:val="009E4424"/>
    <w:rsid w:val="009E59C3"/>
    <w:rsid w:val="00A04227"/>
    <w:rsid w:val="00A06B11"/>
    <w:rsid w:val="00A2731C"/>
    <w:rsid w:val="00A30CE5"/>
    <w:rsid w:val="00A36B8A"/>
    <w:rsid w:val="00A52F3D"/>
    <w:rsid w:val="00A67602"/>
    <w:rsid w:val="00A84D1E"/>
    <w:rsid w:val="00AB0E1C"/>
    <w:rsid w:val="00AC5387"/>
    <w:rsid w:val="00AC75D0"/>
    <w:rsid w:val="00AE196D"/>
    <w:rsid w:val="00AE2260"/>
    <w:rsid w:val="00AE6148"/>
    <w:rsid w:val="00AF20C6"/>
    <w:rsid w:val="00B11D69"/>
    <w:rsid w:val="00B140DC"/>
    <w:rsid w:val="00B2448B"/>
    <w:rsid w:val="00B25C13"/>
    <w:rsid w:val="00B27849"/>
    <w:rsid w:val="00B319A4"/>
    <w:rsid w:val="00B33192"/>
    <w:rsid w:val="00B3347C"/>
    <w:rsid w:val="00B41856"/>
    <w:rsid w:val="00B50016"/>
    <w:rsid w:val="00B658E2"/>
    <w:rsid w:val="00B66243"/>
    <w:rsid w:val="00B7118F"/>
    <w:rsid w:val="00B712A5"/>
    <w:rsid w:val="00B76F2E"/>
    <w:rsid w:val="00BC3781"/>
    <w:rsid w:val="00BE4785"/>
    <w:rsid w:val="00C0021D"/>
    <w:rsid w:val="00C003AC"/>
    <w:rsid w:val="00C06385"/>
    <w:rsid w:val="00C07DD8"/>
    <w:rsid w:val="00C12BC8"/>
    <w:rsid w:val="00C2495B"/>
    <w:rsid w:val="00C26BB4"/>
    <w:rsid w:val="00C37449"/>
    <w:rsid w:val="00C4198D"/>
    <w:rsid w:val="00C64BE1"/>
    <w:rsid w:val="00C6780F"/>
    <w:rsid w:val="00C7061C"/>
    <w:rsid w:val="00C76F04"/>
    <w:rsid w:val="00C85CEA"/>
    <w:rsid w:val="00CB0332"/>
    <w:rsid w:val="00CB36CF"/>
    <w:rsid w:val="00CB7D16"/>
    <w:rsid w:val="00CC1D04"/>
    <w:rsid w:val="00CD0971"/>
    <w:rsid w:val="00CF53A8"/>
    <w:rsid w:val="00D020C5"/>
    <w:rsid w:val="00D04555"/>
    <w:rsid w:val="00D07FED"/>
    <w:rsid w:val="00D11B8C"/>
    <w:rsid w:val="00D222D6"/>
    <w:rsid w:val="00D26424"/>
    <w:rsid w:val="00D36267"/>
    <w:rsid w:val="00D40265"/>
    <w:rsid w:val="00D44DE2"/>
    <w:rsid w:val="00D63115"/>
    <w:rsid w:val="00D76F12"/>
    <w:rsid w:val="00D81B1E"/>
    <w:rsid w:val="00D85CD4"/>
    <w:rsid w:val="00D8653E"/>
    <w:rsid w:val="00D94873"/>
    <w:rsid w:val="00D95F34"/>
    <w:rsid w:val="00D96475"/>
    <w:rsid w:val="00DD29FE"/>
    <w:rsid w:val="00DF2506"/>
    <w:rsid w:val="00DF44EC"/>
    <w:rsid w:val="00E059FA"/>
    <w:rsid w:val="00E06146"/>
    <w:rsid w:val="00E264B8"/>
    <w:rsid w:val="00E30A87"/>
    <w:rsid w:val="00E36A5D"/>
    <w:rsid w:val="00E47EED"/>
    <w:rsid w:val="00E6122D"/>
    <w:rsid w:val="00E756D4"/>
    <w:rsid w:val="00E762EE"/>
    <w:rsid w:val="00E900E3"/>
    <w:rsid w:val="00EA197F"/>
    <w:rsid w:val="00EA1E94"/>
    <w:rsid w:val="00EA1F01"/>
    <w:rsid w:val="00EA4D2E"/>
    <w:rsid w:val="00EC6A4C"/>
    <w:rsid w:val="00EC7035"/>
    <w:rsid w:val="00ED188A"/>
    <w:rsid w:val="00ED7695"/>
    <w:rsid w:val="00EE17BE"/>
    <w:rsid w:val="00EE5C3D"/>
    <w:rsid w:val="00EF0DCD"/>
    <w:rsid w:val="00F00621"/>
    <w:rsid w:val="00F041B9"/>
    <w:rsid w:val="00F065C8"/>
    <w:rsid w:val="00F26782"/>
    <w:rsid w:val="00F359D5"/>
    <w:rsid w:val="00F4577E"/>
    <w:rsid w:val="00F6422A"/>
    <w:rsid w:val="00F728EE"/>
    <w:rsid w:val="00F74560"/>
    <w:rsid w:val="00F770A6"/>
    <w:rsid w:val="00F8766F"/>
    <w:rsid w:val="00F9077A"/>
    <w:rsid w:val="00F91AE4"/>
    <w:rsid w:val="00F96A6D"/>
    <w:rsid w:val="00FA0826"/>
    <w:rsid w:val="00FB373F"/>
    <w:rsid w:val="00FE40E6"/>
    <w:rsid w:val="00FF2E38"/>
    <w:rsid w:val="00FF427B"/>
    <w:rsid w:val="00FF5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EBD4C"/>
  <w15:docId w15:val="{71D52C9F-68A3-40EB-948B-D1E3B8D22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1"/>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1"/>
    <w:uiPriority w:val="9"/>
    <w:unhideWhenUsed/>
    <w:qFormat/>
    <w:rsid w:val="00EA1E94"/>
    <w:pPr>
      <w:numPr>
        <w:numId w:val="27"/>
      </w:numPr>
      <w:outlineLvl w:val="1"/>
    </w:pPr>
    <w:rPr>
      <w:b/>
      <w:sz w:val="28"/>
      <w:lang w:val="en-GB"/>
    </w:rPr>
  </w:style>
  <w:style w:type="paragraph" w:styleId="Heading3">
    <w:name w:val="heading 3"/>
    <w:basedOn w:val="Normal"/>
    <w:next w:val="Normal"/>
    <w:link w:val="Heading3Char1"/>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1"/>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1"/>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1"/>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1"/>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1"/>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1"/>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1">
    <w:name w:val="Heading 1 Char1"/>
    <w:basedOn w:val="DefaultParagraphFont"/>
    <w:link w:val="Heading1"/>
    <w:uiPriority w:val="9"/>
    <w:rPr>
      <w:rFonts w:ascii="Arial" w:eastAsia="Arial" w:hAnsi="Arial" w:cs="Arial"/>
      <w:sz w:val="40"/>
      <w:szCs w:val="40"/>
    </w:rPr>
  </w:style>
  <w:style w:type="character" w:customStyle="1" w:styleId="Heading2Char1">
    <w:name w:val="Heading 2 Char1"/>
    <w:basedOn w:val="DefaultParagraphFont"/>
    <w:link w:val="Heading2"/>
    <w:uiPriority w:val="9"/>
    <w:rsid w:val="00EA1E94"/>
    <w:rPr>
      <w:b/>
      <w:sz w:val="28"/>
      <w:lang w:val="en-GB"/>
    </w:rPr>
  </w:style>
  <w:style w:type="character" w:customStyle="1" w:styleId="Heading3Char1">
    <w:name w:val="Heading 3 Char1"/>
    <w:basedOn w:val="DefaultParagraphFont"/>
    <w:link w:val="Heading3"/>
    <w:uiPriority w:val="9"/>
    <w:rPr>
      <w:rFonts w:ascii="Arial" w:eastAsia="Arial" w:hAnsi="Arial" w:cs="Arial"/>
      <w:sz w:val="30"/>
      <w:szCs w:val="30"/>
    </w:rPr>
  </w:style>
  <w:style w:type="character" w:customStyle="1" w:styleId="Heading4Char1">
    <w:name w:val="Heading 4 Char1"/>
    <w:basedOn w:val="DefaultParagraphFont"/>
    <w:link w:val="Heading4"/>
    <w:uiPriority w:val="9"/>
    <w:rPr>
      <w:rFonts w:ascii="Arial" w:eastAsia="Arial" w:hAnsi="Arial" w:cs="Arial"/>
      <w:b/>
      <w:bCs/>
      <w:sz w:val="26"/>
      <w:szCs w:val="26"/>
    </w:rPr>
  </w:style>
  <w:style w:type="character" w:customStyle="1" w:styleId="Heading5Char1">
    <w:name w:val="Heading 5 Char1"/>
    <w:basedOn w:val="DefaultParagraphFont"/>
    <w:link w:val="Heading5"/>
    <w:uiPriority w:val="9"/>
    <w:rPr>
      <w:rFonts w:ascii="Arial" w:eastAsia="Arial" w:hAnsi="Arial" w:cs="Arial"/>
      <w:b/>
      <w:bCs/>
      <w:sz w:val="24"/>
      <w:szCs w:val="24"/>
    </w:rPr>
  </w:style>
  <w:style w:type="character" w:customStyle="1" w:styleId="Heading6Char1">
    <w:name w:val="Heading 6 Char1"/>
    <w:basedOn w:val="DefaultParagraphFont"/>
    <w:link w:val="Heading6"/>
    <w:uiPriority w:val="9"/>
    <w:rPr>
      <w:rFonts w:ascii="Arial" w:eastAsia="Arial" w:hAnsi="Arial" w:cs="Arial"/>
      <w:b/>
      <w:bCs/>
      <w:sz w:val="22"/>
      <w:szCs w:val="22"/>
    </w:rPr>
  </w:style>
  <w:style w:type="character" w:customStyle="1" w:styleId="Heading7Char1">
    <w:name w:val="Heading 7 Char1"/>
    <w:basedOn w:val="DefaultParagraphFont"/>
    <w:link w:val="Heading7"/>
    <w:uiPriority w:val="9"/>
    <w:rPr>
      <w:rFonts w:ascii="Arial" w:eastAsia="Arial" w:hAnsi="Arial" w:cs="Arial"/>
      <w:b/>
      <w:bCs/>
      <w:i/>
      <w:iCs/>
      <w:sz w:val="22"/>
      <w:szCs w:val="22"/>
    </w:rPr>
  </w:style>
  <w:style w:type="character" w:customStyle="1" w:styleId="Heading8Char1">
    <w:name w:val="Heading 8 Char1"/>
    <w:basedOn w:val="DefaultParagraphFont"/>
    <w:link w:val="Heading8"/>
    <w:uiPriority w:val="9"/>
    <w:rPr>
      <w:rFonts w:ascii="Arial" w:eastAsia="Arial" w:hAnsi="Arial" w:cs="Arial"/>
      <w:i/>
      <w:iCs/>
      <w:sz w:val="22"/>
      <w:szCs w:val="22"/>
    </w:rPr>
  </w:style>
  <w:style w:type="character" w:customStyle="1" w:styleId="Heading9Char1">
    <w:name w:val="Heading 9 Char1"/>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paragraph" w:styleId="Title">
    <w:name w:val="Title"/>
    <w:basedOn w:val="Normal"/>
    <w:next w:val="Normal"/>
    <w:link w:val="TitleChar1"/>
    <w:uiPriority w:val="10"/>
    <w:qFormat/>
    <w:pPr>
      <w:spacing w:before="300"/>
      <w:contextualSpacing/>
    </w:pPr>
    <w:rPr>
      <w:sz w:val="48"/>
      <w:szCs w:val="48"/>
    </w:rPr>
  </w:style>
  <w:style w:type="character" w:customStyle="1" w:styleId="TitleChar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pPr>
      <w:spacing w:before="200"/>
    </w:pPr>
    <w:rPr>
      <w:sz w:val="24"/>
      <w:szCs w:val="24"/>
    </w:rPr>
  </w:style>
  <w:style w:type="character" w:customStyle="1" w:styleId="SubtitleChar1">
    <w:name w:val="Subtitle Char1"/>
    <w:basedOn w:val="DefaultParagraphFont"/>
    <w:link w:val="Subtitle"/>
    <w:uiPriority w:val="11"/>
    <w:rPr>
      <w:sz w:val="24"/>
      <w:szCs w:val="24"/>
    </w:rPr>
  </w:style>
  <w:style w:type="paragraph" w:styleId="Quote">
    <w:name w:val="Quote"/>
    <w:basedOn w:val="Normal"/>
    <w:next w:val="Normal"/>
    <w:link w:val="QuoteChar1"/>
    <w:uiPriority w:val="29"/>
    <w:qFormat/>
    <w:pPr>
      <w:ind w:left="720" w:right="720"/>
    </w:pPr>
    <w:rPr>
      <w:i/>
    </w:rPr>
  </w:style>
  <w:style w:type="character" w:customStyle="1" w:styleId="QuoteChar1">
    <w:name w:val="Quote Char1"/>
    <w:link w:val="Quote"/>
    <w:uiPriority w:val="29"/>
    <w:rPr>
      <w:i/>
    </w:r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IntenseQuoteChar1">
    <w:name w:val="Intense Quote Char1"/>
    <w:link w:val="IntenseQuote"/>
    <w:uiPriority w:val="30"/>
    <w:rPr>
      <w:i/>
    </w:rPr>
  </w:style>
  <w:style w:type="paragraph" w:styleId="Header">
    <w:name w:val="header"/>
    <w:basedOn w:val="Normal"/>
    <w:link w:val="HeaderChar1"/>
    <w:uiPriority w:val="99"/>
    <w:unhideWhenUsed/>
    <w:pPr>
      <w:tabs>
        <w:tab w:val="center" w:pos="7143"/>
        <w:tab w:val="right" w:pos="14287"/>
      </w:tabs>
      <w:spacing w:after="0" w:line="240" w:lineRule="auto"/>
    </w:p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7143"/>
        <w:tab w:val="right" w:pos="14287"/>
      </w:tabs>
      <w:spacing w:after="0" w:line="240" w:lineRule="auto"/>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rPr>
      <w:b/>
      <w:bCs/>
      <w:color w:val="4F81BD" w:themeColor="accent1"/>
      <w:sz w:val="18"/>
      <w:szCs w:val="18"/>
    </w:rPr>
  </w:style>
  <w:style w:type="character" w:customStyle="1" w:styleId="FooterChar1">
    <w:name w:val="Footer Char1"/>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hemeFill="accent1" w:themeFillTint="34"/>
      </w:tcPr>
    </w:tblStylePr>
    <w:tblStylePr w:type="band1Horz">
      <w:rPr>
        <w:rFonts w:ascii="Arial" w:hAnsi="Arial"/>
        <w:color w:val="404040"/>
        <w:sz w:val="22"/>
      </w:rPr>
      <w:tblPr/>
      <w:tcPr>
        <w:shd w:val="clear" w:color="DAE5F1" w:fill="DAE5F1"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Pr/>
      <w:tcPr>
        <w:shd w:val="clear" w:color="F2DCDC" w:fill="F2DCDC"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Pr/>
      <w:tcPr>
        <w:shd w:val="clear" w:color="EAF1DC" w:fill="EAF1D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Pr/>
      <w:tcPr>
        <w:shd w:val="clear" w:color="E5DFEC" w:fill="E5DFEC"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Pr/>
      <w:tcPr>
        <w:shd w:val="clear" w:color="DAEEF3" w:fill="DAEE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Pr/>
      <w:tcPr>
        <w:shd w:val="clear" w:color="FDE9D8"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AE5F1" w:fill="DAE5F1" w:themeFill="accent1" w:themeFillTint="34"/>
      </w:tcPr>
    </w:tblStylePr>
    <w:tblStylePr w:type="band1Horz">
      <w:rPr>
        <w:rFonts w:ascii="Arial" w:hAnsi="Arial"/>
        <w:color w:val="404040"/>
        <w:sz w:val="22"/>
      </w:rPr>
      <w:tblPr/>
      <w:tcPr>
        <w:shd w:val="clear" w:color="DAE5F1" w:fill="DAE5F1"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Pr/>
      <w:tcPr>
        <w:shd w:val="clear" w:color="F2DCDC" w:fill="F2DCDC"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Pr/>
      <w:tcPr>
        <w:shd w:val="clear" w:color="EAF1DC" w:fill="EAF1D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Pr/>
      <w:tcPr>
        <w:shd w:val="clear" w:color="E5DFEC" w:fill="E5DFEC"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Pr/>
      <w:tcPr>
        <w:shd w:val="clear" w:color="DAEEF3" w:fill="DAEE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Pr/>
      <w:tcPr>
        <w:shd w:val="clear" w:color="FDE9D8"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hemeFill="accent1" w:themeFillTint="32"/>
      </w:tcPr>
    </w:tblStylePr>
    <w:tblStylePr w:type="band1Horz">
      <w:rPr>
        <w:rFonts w:ascii="Arial" w:hAnsi="Arial"/>
        <w:color w:val="404040"/>
        <w:sz w:val="22"/>
      </w:rPr>
      <w:tblPr/>
      <w:tcPr>
        <w:shd w:val="clear" w:color="DCE6F2" w:fill="DCE6F2"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Pr/>
      <w:tcPr>
        <w:shd w:val="clear" w:color="F2DCDC" w:fill="F2DCDC"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Pr/>
      <w:tcPr>
        <w:shd w:val="clear" w:color="EAF1DC" w:fill="EAF1D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Pr/>
      <w:tcPr>
        <w:shd w:val="clear" w:color="E5DFEC" w:fill="E5DFEC"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Pr/>
      <w:tcPr>
        <w:shd w:val="clear" w:color="DAEEF3" w:fill="DAEE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Pr/>
      <w:tcPr>
        <w:shd w:val="clear" w:color="FDE9D8"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BFBFBF" w:themeFill="text1" w:themeFillTint="40"/>
    </w:tblPr>
    <w:tblStylePr w:type="firstRow">
      <w:rPr>
        <w:rFonts w:ascii="Arial" w:hAnsi="Arial"/>
        <w:b/>
        <w:color w:val="FFFFFF"/>
        <w:sz w:val="22"/>
      </w:rPr>
      <w:tblPr/>
      <w:tcPr>
        <w:shd w:val="clear" w:color="000000" w:fill="000000" w:themeFill="text1"/>
      </w:tcPr>
    </w:tblStylePr>
    <w:tblStylePr w:type="lastRow">
      <w:rPr>
        <w:rFonts w:ascii="Arial" w:hAnsi="Arial"/>
        <w:b/>
        <w:color w:val="FFFFFF"/>
        <w:sz w:val="22"/>
      </w:rPr>
      <w:tblPr/>
      <w:tcPr>
        <w:tcBorders>
          <w:top w:val="single" w:sz="4" w:space="0" w:color="FFFFFF" w:themeColor="light1"/>
        </w:tcBorders>
        <w:shd w:val="clear" w:color="000000" w:fill="000000" w:themeFill="text1"/>
      </w:tcPr>
    </w:tblStylePr>
    <w:tblStylePr w:type="firstCol">
      <w:rPr>
        <w:rFonts w:ascii="Arial" w:hAnsi="Arial"/>
        <w:b/>
        <w:color w:val="FFFFFF"/>
        <w:sz w:val="22"/>
      </w:rPr>
      <w:tblPr/>
      <w:tcPr>
        <w:shd w:val="clear" w:color="000000" w:fill="000000" w:themeFill="text1"/>
      </w:tcPr>
    </w:tblStylePr>
    <w:tblStylePr w:type="lastCol">
      <w:rPr>
        <w:rFonts w:ascii="Arial" w:hAnsi="Arial"/>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fill="DAE5F1" w:themeFill="accent1" w:themeFillTint="34"/>
    </w:tblPr>
    <w:tblStylePr w:type="firstRow">
      <w:rPr>
        <w:rFonts w:ascii="Arial" w:hAnsi="Arial"/>
        <w:b/>
        <w:color w:val="FFFFFF"/>
        <w:sz w:val="22"/>
      </w:rPr>
      <w:tblPr/>
      <w:tcPr>
        <w:shd w:val="clear" w:color="4F81BD" w:fill="4F81BD" w:themeFill="accent1"/>
      </w:tcPr>
    </w:tblStylePr>
    <w:tblStylePr w:type="lastRow">
      <w:rPr>
        <w:rFonts w:ascii="Arial" w:hAnsi="Arial"/>
        <w:b/>
        <w:color w:val="FFFFFF"/>
        <w:sz w:val="22"/>
      </w:rPr>
      <w:tblPr/>
      <w:tcPr>
        <w:tcBorders>
          <w:top w:val="single" w:sz="4" w:space="0" w:color="FFFFFF" w:themeColor="light1"/>
        </w:tcBorders>
        <w:shd w:val="clear" w:color="4F81BD" w:fill="4F81BD" w:themeFill="accent1"/>
      </w:tcPr>
    </w:tblStylePr>
    <w:tblStylePr w:type="firstCol">
      <w:rPr>
        <w:rFonts w:ascii="Arial" w:hAnsi="Arial"/>
        <w:b/>
        <w:color w:val="FFFFFF"/>
        <w:sz w:val="22"/>
      </w:rPr>
      <w:tblPr/>
      <w:tcPr>
        <w:shd w:val="clear" w:color="4F81BD" w:fill="4F81BD" w:themeFill="accent1"/>
      </w:tcPr>
    </w:tblStylePr>
    <w:tblStylePr w:type="lastCol">
      <w:rPr>
        <w:rFonts w:ascii="Arial" w:hAnsi="Arial"/>
        <w:b/>
        <w:color w:val="FFFFFF"/>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fill="F2DCDC" w:themeFill="accent2" w:themeFillTint="32"/>
    </w:tblPr>
    <w:tblStylePr w:type="firstRow">
      <w:rPr>
        <w:rFonts w:ascii="Arial" w:hAnsi="Arial"/>
        <w:b/>
        <w:color w:val="FFFFFF"/>
        <w:sz w:val="22"/>
      </w:rPr>
      <w:tblPr/>
      <w:tcPr>
        <w:shd w:val="clear" w:color="C0504D" w:fill="C0504D" w:themeFill="accent2"/>
      </w:tcPr>
    </w:tblStylePr>
    <w:tblStylePr w:type="lastRow">
      <w:rPr>
        <w:rFonts w:ascii="Arial" w:hAnsi="Arial"/>
        <w:b/>
        <w:color w:val="FFFFFF"/>
        <w:sz w:val="22"/>
      </w:rPr>
      <w:tblPr/>
      <w:tcPr>
        <w:tcBorders>
          <w:top w:val="single" w:sz="4" w:space="0" w:color="FFFFFF" w:themeColor="light1"/>
        </w:tcBorders>
        <w:shd w:val="clear" w:color="C0504D" w:fill="C0504D" w:themeFill="accent2"/>
      </w:tcPr>
    </w:tblStylePr>
    <w:tblStylePr w:type="firstCol">
      <w:rPr>
        <w:rFonts w:ascii="Arial" w:hAnsi="Arial"/>
        <w:b/>
        <w:color w:val="FFFFFF"/>
        <w:sz w:val="22"/>
      </w:rPr>
      <w:tblPr/>
      <w:tcPr>
        <w:shd w:val="clear" w:color="C0504D" w:fill="C0504D" w:themeFill="accent2"/>
      </w:tcPr>
    </w:tblStylePr>
    <w:tblStylePr w:type="lastCol">
      <w:rPr>
        <w:rFonts w:ascii="Arial" w:hAnsi="Arial"/>
        <w:b/>
        <w:color w:val="FFFFFF"/>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fill="EAF1DC" w:themeFill="accent3" w:themeFillTint="34"/>
    </w:tblPr>
    <w:tblStylePr w:type="firstRow">
      <w:rPr>
        <w:rFonts w:ascii="Arial" w:hAnsi="Arial"/>
        <w:b/>
        <w:color w:val="FFFFFF"/>
        <w:sz w:val="22"/>
      </w:rPr>
      <w:tblPr/>
      <w:tcPr>
        <w:shd w:val="clear" w:color="9BBB59" w:fill="9BBB59" w:themeFill="accent3"/>
      </w:tcPr>
    </w:tblStylePr>
    <w:tblStylePr w:type="lastRow">
      <w:rPr>
        <w:rFonts w:ascii="Arial" w:hAnsi="Arial"/>
        <w:b/>
        <w:color w:val="FFFFFF"/>
        <w:sz w:val="22"/>
      </w:rPr>
      <w:tblPr/>
      <w:tcPr>
        <w:tcBorders>
          <w:top w:val="single" w:sz="4" w:space="0" w:color="FFFFFF" w:themeColor="light1"/>
        </w:tcBorders>
        <w:shd w:val="clear" w:color="9BBB59" w:fill="9BBB59" w:themeFill="accent3"/>
      </w:tcPr>
    </w:tblStylePr>
    <w:tblStylePr w:type="firstCol">
      <w:rPr>
        <w:rFonts w:ascii="Arial" w:hAnsi="Arial"/>
        <w:b/>
        <w:color w:val="FFFFFF"/>
        <w:sz w:val="22"/>
      </w:rPr>
      <w:tblPr/>
      <w:tcPr>
        <w:shd w:val="clear" w:color="9BBB59" w:fill="9BBB59" w:themeFill="accent3"/>
      </w:tcPr>
    </w:tblStylePr>
    <w:tblStylePr w:type="lastCol">
      <w:rPr>
        <w:rFonts w:ascii="Arial" w:hAnsi="Arial"/>
        <w:b/>
        <w:color w:val="FFFFFF"/>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fill="E5DFEC" w:themeFill="accent4" w:themeFillTint="34"/>
    </w:tblPr>
    <w:tblStylePr w:type="firstRow">
      <w:rPr>
        <w:rFonts w:ascii="Arial" w:hAnsi="Arial"/>
        <w:b/>
        <w:color w:val="FFFFFF"/>
        <w:sz w:val="22"/>
      </w:rPr>
      <w:tblPr/>
      <w:tcPr>
        <w:shd w:val="clear" w:color="8064A2" w:fill="8064A2" w:themeFill="accent4"/>
      </w:tcPr>
    </w:tblStylePr>
    <w:tblStylePr w:type="lastRow">
      <w:rPr>
        <w:rFonts w:ascii="Arial" w:hAnsi="Arial"/>
        <w:b/>
        <w:color w:val="FFFFFF"/>
        <w:sz w:val="22"/>
      </w:rPr>
      <w:tblPr/>
      <w:tcPr>
        <w:tcBorders>
          <w:top w:val="single" w:sz="4" w:space="0" w:color="FFFFFF" w:themeColor="light1"/>
        </w:tcBorders>
        <w:shd w:val="clear" w:color="8064A2" w:fill="8064A2" w:themeFill="accent4"/>
      </w:tcPr>
    </w:tblStylePr>
    <w:tblStylePr w:type="firstCol">
      <w:rPr>
        <w:rFonts w:ascii="Arial" w:hAnsi="Arial"/>
        <w:b/>
        <w:color w:val="FFFFFF"/>
        <w:sz w:val="22"/>
      </w:rPr>
      <w:tblPr/>
      <w:tcPr>
        <w:shd w:val="clear" w:color="8064A2" w:fill="8064A2" w:themeFill="accent4"/>
      </w:tcPr>
    </w:tblStylePr>
    <w:tblStylePr w:type="lastCol">
      <w:rPr>
        <w:rFonts w:ascii="Arial" w:hAnsi="Arial"/>
        <w:b/>
        <w:color w:val="FFFFFF"/>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fill="DAEEF3" w:themeFill="accent5" w:themeFillTint="34"/>
    </w:tblPr>
    <w:tblStylePr w:type="firstRow">
      <w:rPr>
        <w:rFonts w:ascii="Arial" w:hAnsi="Arial"/>
        <w:b/>
        <w:color w:val="FFFFFF"/>
        <w:sz w:val="22"/>
      </w:rPr>
      <w:tblPr/>
      <w:tcPr>
        <w:shd w:val="clear" w:color="4BACC6" w:fill="4BACC6" w:themeFill="accent5"/>
      </w:tcPr>
    </w:tblStylePr>
    <w:tblStylePr w:type="lastRow">
      <w:rPr>
        <w:rFonts w:ascii="Arial" w:hAnsi="Arial"/>
        <w:b/>
        <w:color w:val="FFFFFF"/>
        <w:sz w:val="22"/>
      </w:rPr>
      <w:tblPr/>
      <w:tcPr>
        <w:tcBorders>
          <w:top w:val="single" w:sz="4" w:space="0" w:color="FFFFFF" w:themeColor="light1"/>
        </w:tcBorders>
        <w:shd w:val="clear" w:color="4BACC6" w:fill="4BACC6" w:themeFill="accent5"/>
      </w:tcPr>
    </w:tblStylePr>
    <w:tblStylePr w:type="firstCol">
      <w:rPr>
        <w:rFonts w:ascii="Arial" w:hAnsi="Arial"/>
        <w:b/>
        <w:color w:val="FFFFFF"/>
        <w:sz w:val="22"/>
      </w:rPr>
      <w:tblPr/>
      <w:tcPr>
        <w:shd w:val="clear" w:color="4BACC6" w:fill="4BACC6" w:themeFill="accent5"/>
      </w:tcPr>
    </w:tblStylePr>
    <w:tblStylePr w:type="lastCol">
      <w:rPr>
        <w:rFonts w:ascii="Arial" w:hAnsi="Arial"/>
        <w:b/>
        <w:color w:val="FFFFFF"/>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fill="FDE9D8" w:themeFill="accent6" w:themeFillTint="34"/>
    </w:tblPr>
    <w:tblStylePr w:type="firstRow">
      <w:rPr>
        <w:rFonts w:ascii="Arial" w:hAnsi="Arial"/>
        <w:b/>
        <w:color w:val="FFFFFF"/>
        <w:sz w:val="22"/>
      </w:rPr>
      <w:tblPr/>
      <w:tcPr>
        <w:shd w:val="clear" w:color="F79646" w:fill="F79646" w:themeFill="accent6"/>
      </w:tcPr>
    </w:tblStylePr>
    <w:tblStylePr w:type="lastRow">
      <w:rPr>
        <w:rFonts w:ascii="Arial" w:hAnsi="Arial"/>
        <w:b/>
        <w:color w:val="FFFFFF"/>
        <w:sz w:val="22"/>
      </w:rPr>
      <w:tblPr/>
      <w:tcPr>
        <w:tcBorders>
          <w:top w:val="single" w:sz="4" w:space="0" w:color="FFFFFF" w:themeColor="light1"/>
        </w:tcBorders>
        <w:shd w:val="clear" w:color="F79646" w:fill="F79646" w:themeFill="accent6"/>
      </w:tcPr>
    </w:tblStylePr>
    <w:tblStylePr w:type="firstCol">
      <w:rPr>
        <w:rFonts w:ascii="Arial" w:hAnsi="Arial"/>
        <w:b/>
        <w:color w:val="FFFFFF"/>
        <w:sz w:val="22"/>
      </w:rPr>
      <w:tblPr/>
      <w:tcPr>
        <w:shd w:val="clear" w:color="F79646" w:fill="F79646" w:themeFill="accent6"/>
      </w:tcPr>
    </w:tblStylePr>
    <w:tblStylePr w:type="lastCol">
      <w:rPr>
        <w:rFonts w:ascii="Arial" w:hAnsi="Arial"/>
        <w:b/>
        <w:color w:val="FFFFFF"/>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rFonts w:ascii="Arial" w:hAnsi="Arial"/>
        <w:color w:val="7F7F7F" w:themeColor="text1" w:themeTint="80" w:themeShade="95"/>
        <w:sz w:val="22"/>
      </w:rPr>
      <w:tblPr/>
      <w:tcPr>
        <w:shd w:val="clear" w:color="CBCBCB"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rFonts w:ascii="Arial" w:hAnsi="Arial"/>
        <w:color w:val="A6BFDD" w:themeColor="accent1" w:themeTint="80" w:themeShade="95"/>
        <w:sz w:val="22"/>
      </w:rPr>
      <w:tblPr/>
      <w:tcPr>
        <w:shd w:val="clear" w:color="DAE5F1"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rFonts w:ascii="Arial" w:hAnsi="Arial"/>
        <w:color w:val="D99695" w:themeColor="accent2" w:themeTint="97" w:themeShade="95"/>
        <w:sz w:val="22"/>
      </w:rPr>
      <w:tblPr/>
      <w:tcPr>
        <w:shd w:val="clear" w:color="F2DCDC"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rFonts w:ascii="Arial" w:hAnsi="Arial"/>
        <w:color w:val="9ABB59" w:themeColor="accent3" w:themeTint="FE" w:themeShade="95"/>
        <w:sz w:val="22"/>
      </w:rPr>
      <w:tblPr/>
      <w:tcPr>
        <w:shd w:val="clear" w:color="EAF1DC"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rFonts w:ascii="Arial" w:hAnsi="Arial"/>
        <w:color w:val="B2A1C6" w:themeColor="accent4" w:themeTint="9A" w:themeShade="95"/>
        <w:sz w:val="22"/>
      </w:rPr>
      <w:tblPr/>
      <w:tcPr>
        <w:shd w:val="clear" w:color="E5DFEC"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rFonts w:ascii="Arial" w:hAnsi="Arial"/>
        <w:color w:val="266779" w:themeColor="accent5" w:themeShade="95"/>
        <w:sz w:val="22"/>
      </w:rPr>
      <w:tblPr/>
      <w:tcPr>
        <w:shd w:val="clear" w:color="DAEEF3"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rFonts w:ascii="Arial" w:hAnsi="Arial"/>
        <w:color w:val="266779" w:themeColor="accent5" w:themeShade="95"/>
        <w:sz w:val="22"/>
      </w:rPr>
      <w:tblPr/>
      <w:tcPr>
        <w:shd w:val="clear" w:color="FDE9D8"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F2F2F2" w:fill="F2F2F2" w:themeFill="text1" w:themeFillTint="0D"/>
      </w:tcPr>
    </w:tblStylePr>
    <w:tblStylePr w:type="band1Horz">
      <w:rPr>
        <w:rFonts w:ascii="Arial" w:hAnsi="Arial"/>
        <w:color w:val="7F7F7F" w:themeColor="text1" w:themeTint="80" w:themeShade="95"/>
        <w:sz w:val="22"/>
      </w:rPr>
      <w:tblPr/>
      <w:tcPr>
        <w:shd w:val="clear" w:color="F2F2F2"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FFFFFF"/>
      </w:tcPr>
    </w:tblStylePr>
    <w:tblStylePr w:type="band1Vert">
      <w:tblPr/>
      <w:tcPr>
        <w:shd w:val="clear" w:color="DAE5F1" w:fill="DAE5F1" w:themeFill="accent1" w:themeFillTint="34"/>
      </w:tcPr>
    </w:tblStylePr>
    <w:tblStylePr w:type="band1Horz">
      <w:rPr>
        <w:rFonts w:ascii="Arial" w:hAnsi="Arial"/>
        <w:color w:val="A6BFDD" w:themeColor="accent1" w:themeTint="80" w:themeShade="95"/>
        <w:sz w:val="22"/>
      </w:rPr>
      <w:tblPr/>
      <w:tcPr>
        <w:shd w:val="clear" w:color="DAE5F1"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FFFFFF"/>
      </w:tcPr>
    </w:tblStylePr>
    <w:tblStylePr w:type="band1Vert">
      <w:tblPr/>
      <w:tcPr>
        <w:shd w:val="clear" w:color="F2DCDC" w:fill="F2DCDC" w:themeFill="accent2" w:themeFillTint="32"/>
      </w:tcPr>
    </w:tblStylePr>
    <w:tblStylePr w:type="band1Horz">
      <w:rPr>
        <w:rFonts w:ascii="Arial" w:hAnsi="Arial"/>
        <w:color w:val="D99695" w:themeColor="accent2" w:themeTint="97" w:themeShade="95"/>
        <w:sz w:val="22"/>
      </w:rPr>
      <w:tblPr/>
      <w:tcPr>
        <w:shd w:val="clear" w:color="F2DCDC"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FFFFFF"/>
      </w:tcPr>
    </w:tblStylePr>
    <w:tblStylePr w:type="band1Vert">
      <w:tblPr/>
      <w:tcPr>
        <w:shd w:val="clear" w:color="EAF1DC" w:fill="EAF1DC" w:themeFill="accent3" w:themeFillTint="34"/>
      </w:tcPr>
    </w:tblStylePr>
    <w:tblStylePr w:type="band1Horz">
      <w:rPr>
        <w:rFonts w:ascii="Arial" w:hAnsi="Arial"/>
        <w:color w:val="9ABB59" w:themeColor="accent3" w:themeTint="FE" w:themeShade="95"/>
        <w:sz w:val="22"/>
      </w:rPr>
      <w:tblPr/>
      <w:tcPr>
        <w:shd w:val="clear" w:color="EAF1DC"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FFFFFF"/>
      </w:tcPr>
    </w:tblStylePr>
    <w:tblStylePr w:type="band1Vert">
      <w:tblPr/>
      <w:tcPr>
        <w:shd w:val="clear" w:color="E5DFEC" w:fill="E5DFEC" w:themeFill="accent4" w:themeFillTint="34"/>
      </w:tcPr>
    </w:tblStylePr>
    <w:tblStylePr w:type="band1Horz">
      <w:rPr>
        <w:rFonts w:ascii="Arial" w:hAnsi="Arial"/>
        <w:color w:val="B2A1C6" w:themeColor="accent4" w:themeTint="9A" w:themeShade="95"/>
        <w:sz w:val="22"/>
      </w:rPr>
      <w:tblPr/>
      <w:tcPr>
        <w:shd w:val="clear" w:color="E5DFEC"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FFFFFF"/>
      </w:tcPr>
    </w:tblStylePr>
    <w:tblStylePr w:type="band1Vert">
      <w:tblPr/>
      <w:tcPr>
        <w:shd w:val="clear" w:color="DAEEF3" w:fill="DAEEF3" w:themeFill="accent5" w:themeFillTint="34"/>
      </w:tcPr>
    </w:tblStylePr>
    <w:tblStylePr w:type="band1Horz">
      <w:rPr>
        <w:rFonts w:ascii="Arial" w:hAnsi="Arial"/>
        <w:color w:val="266779" w:themeColor="accent5" w:themeShade="95"/>
        <w:sz w:val="22"/>
      </w:rPr>
      <w:tblPr/>
      <w:tcPr>
        <w:shd w:val="clear" w:color="DAEEF3"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FFFFFF"/>
      </w:tcPr>
    </w:tblStylePr>
    <w:tblStylePr w:type="band1Vert">
      <w:tblPr/>
      <w:tcPr>
        <w:shd w:val="clear" w:color="FDE9D8" w:fill="FDE9D8" w:themeFill="accent6" w:themeFillTint="34"/>
      </w:tcPr>
    </w:tblStylePr>
    <w:tblStylePr w:type="band1Horz">
      <w:rPr>
        <w:rFonts w:ascii="Arial" w:hAnsi="Arial"/>
        <w:color w:val="B15407" w:themeColor="accent6" w:themeShade="95"/>
        <w:sz w:val="22"/>
      </w:rPr>
      <w:tblPr/>
      <w:tcPr>
        <w:shd w:val="clear" w:color="FDE9D8"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hemeFill="text1" w:themeFillTint="40"/>
      </w:tcPr>
    </w:tblStylePr>
    <w:tblStylePr w:type="band1Horz">
      <w:rPr>
        <w:rFonts w:ascii="Arial" w:hAnsi="Arial"/>
        <w:color w:val="404040"/>
        <w:sz w:val="22"/>
      </w:rPr>
      <w:tblPr/>
      <w:tcPr>
        <w:shd w:val="clear" w:color="BFBFBF"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hemeFill="accent1" w:themeFillTint="40"/>
      </w:tcPr>
    </w:tblStylePr>
    <w:tblStylePr w:type="band1Horz">
      <w:rPr>
        <w:rFonts w:ascii="Arial" w:hAnsi="Arial"/>
        <w:color w:val="404040"/>
        <w:sz w:val="22"/>
      </w:rPr>
      <w:tblPr/>
      <w:tcPr>
        <w:shd w:val="clear" w:color="D2DFEE" w:fill="D2DFEE"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hemeFill="accent2" w:themeFillTint="40"/>
      </w:tcPr>
    </w:tblStylePr>
    <w:tblStylePr w:type="band1Horz">
      <w:rPr>
        <w:rFonts w:ascii="Arial" w:hAnsi="Arial"/>
        <w:color w:val="404040"/>
        <w:sz w:val="22"/>
      </w:rPr>
      <w:tblPr/>
      <w:tcPr>
        <w:shd w:val="clear" w:color="EFD2D2" w:fill="EFD2D2"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hemeFill="accent3" w:themeFillTint="40"/>
      </w:tcPr>
    </w:tblStylePr>
    <w:tblStylePr w:type="band1Horz">
      <w:rPr>
        <w:rFonts w:ascii="Arial" w:hAnsi="Arial"/>
        <w:color w:val="404040"/>
        <w:sz w:val="22"/>
      </w:rPr>
      <w:tblPr/>
      <w:tcPr>
        <w:shd w:val="clear" w:color="E5EED5" w:fill="E5EED5"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hemeFill="accent4" w:themeFillTint="40"/>
      </w:tcPr>
    </w:tblStylePr>
    <w:tblStylePr w:type="band1Horz">
      <w:rPr>
        <w:rFonts w:ascii="Arial" w:hAnsi="Arial"/>
        <w:color w:val="404040"/>
        <w:sz w:val="22"/>
      </w:rPr>
      <w:tblPr/>
      <w:tcPr>
        <w:shd w:val="clear" w:color="DFD8E7" w:fill="DFD8E7"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hemeFill="accent5" w:themeFillTint="40"/>
      </w:tcPr>
    </w:tblStylePr>
    <w:tblStylePr w:type="band1Horz">
      <w:rPr>
        <w:rFonts w:ascii="Arial" w:hAnsi="Arial"/>
        <w:color w:val="404040"/>
        <w:sz w:val="22"/>
      </w:rPr>
      <w:tblPr/>
      <w:tcPr>
        <w:shd w:val="clear" w:color="D1EAF0" w:fill="D1EA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hemeFill="accent6" w:themeFillTint="40"/>
      </w:tcPr>
    </w:tblStylePr>
    <w:tblStylePr w:type="band1Horz">
      <w:rPr>
        <w:rFonts w:ascii="Arial" w:hAnsi="Arial"/>
        <w:color w:val="404040"/>
        <w:sz w:val="22"/>
      </w:rPr>
      <w:tblPr/>
      <w:tcPr>
        <w:shd w:val="clear" w:color="FDE4D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hemeFill="text1" w:themeFillTint="40"/>
      </w:tcPr>
    </w:tblStylePr>
    <w:tblStylePr w:type="band1Horz">
      <w:rPr>
        <w:rFonts w:ascii="Arial" w:hAnsi="Arial"/>
        <w:color w:val="404040"/>
        <w:sz w:val="22"/>
      </w:rPr>
      <w:tblPr/>
      <w:tcPr>
        <w:shd w:val="clear" w:color="BFBFBF"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hemeFill="accent1" w:themeFillTint="40"/>
      </w:tcPr>
    </w:tblStylePr>
    <w:tblStylePr w:type="band1Horz">
      <w:rPr>
        <w:rFonts w:ascii="Arial" w:hAnsi="Arial"/>
        <w:color w:val="404040"/>
        <w:sz w:val="22"/>
      </w:rPr>
      <w:tblPr/>
      <w:tcPr>
        <w:shd w:val="clear" w:color="D2DFEE" w:fill="D2DFEE"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hemeFill="accent2" w:themeFillTint="40"/>
      </w:tcPr>
    </w:tblStylePr>
    <w:tblStylePr w:type="band1Horz">
      <w:rPr>
        <w:rFonts w:ascii="Arial" w:hAnsi="Arial"/>
        <w:color w:val="404040"/>
        <w:sz w:val="22"/>
      </w:rPr>
      <w:tblPr/>
      <w:tcPr>
        <w:shd w:val="clear" w:color="EFD2D2" w:fill="EFD2D2"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hemeFill="accent3" w:themeFillTint="40"/>
      </w:tcPr>
    </w:tblStylePr>
    <w:tblStylePr w:type="band1Horz">
      <w:rPr>
        <w:rFonts w:ascii="Arial" w:hAnsi="Arial"/>
        <w:color w:val="404040"/>
        <w:sz w:val="22"/>
      </w:rPr>
      <w:tblPr/>
      <w:tcPr>
        <w:shd w:val="clear" w:color="E5EED5" w:fill="E5EED5"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hemeFill="accent4" w:themeFillTint="40"/>
      </w:tcPr>
    </w:tblStylePr>
    <w:tblStylePr w:type="band1Horz">
      <w:rPr>
        <w:rFonts w:ascii="Arial" w:hAnsi="Arial"/>
        <w:color w:val="404040"/>
        <w:sz w:val="22"/>
      </w:rPr>
      <w:tblPr/>
      <w:tcPr>
        <w:shd w:val="clear" w:color="DFD8E7" w:fill="DFD8E7"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hemeFill="accent5" w:themeFillTint="40"/>
      </w:tcPr>
    </w:tblStylePr>
    <w:tblStylePr w:type="band1Horz">
      <w:rPr>
        <w:rFonts w:ascii="Arial" w:hAnsi="Arial"/>
        <w:color w:val="404040"/>
        <w:sz w:val="22"/>
      </w:rPr>
      <w:tblPr/>
      <w:tcPr>
        <w:shd w:val="clear" w:color="D1EAF0" w:fill="D1EA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hemeFill="accent6" w:themeFillTint="40"/>
      </w:tcPr>
    </w:tblStylePr>
    <w:tblStylePr w:type="band1Horz">
      <w:rPr>
        <w:rFonts w:ascii="Arial" w:hAnsi="Arial"/>
        <w:color w:val="404040"/>
        <w:sz w:val="22"/>
      </w:rPr>
      <w:tblPr/>
      <w:tcPr>
        <w:shd w:val="clear" w:color="FDE4D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rFonts w:ascii="Arial" w:hAnsi="Arial"/>
        <w:color w:val="000000" w:themeColor="text1"/>
        <w:sz w:val="22"/>
      </w:rPr>
      <w:tblPr/>
      <w:tcPr>
        <w:shd w:val="clear" w:color="BFBFBF"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rFonts w:ascii="Arial" w:hAnsi="Arial"/>
        <w:color w:val="2A4A71" w:themeColor="accent1" w:themeShade="95"/>
        <w:sz w:val="22"/>
      </w:rPr>
      <w:tblPr/>
      <w:tcPr>
        <w:shd w:val="clear" w:color="D2DFEE"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rFonts w:ascii="Arial" w:hAnsi="Arial"/>
        <w:color w:val="D99695" w:themeColor="accent2" w:themeTint="97" w:themeShade="95"/>
        <w:sz w:val="22"/>
      </w:rPr>
      <w:tblPr/>
      <w:tcPr>
        <w:shd w:val="clear" w:color="EFD2D2"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rFonts w:ascii="Arial" w:hAnsi="Arial"/>
        <w:color w:val="C3D69B" w:themeColor="accent3" w:themeTint="98" w:themeShade="95"/>
        <w:sz w:val="22"/>
      </w:rPr>
      <w:tblPr/>
      <w:tcPr>
        <w:shd w:val="clear" w:color="E5EED5"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rFonts w:ascii="Arial" w:hAnsi="Arial"/>
        <w:color w:val="B2A1C6" w:themeColor="accent4" w:themeTint="9A" w:themeShade="95"/>
        <w:sz w:val="22"/>
      </w:rPr>
      <w:tblPr/>
      <w:tcPr>
        <w:shd w:val="clear" w:color="DFD8E7"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rFonts w:ascii="Arial" w:hAnsi="Arial"/>
        <w:color w:val="92CCDC" w:themeColor="accent5" w:themeTint="9A" w:themeShade="95"/>
        <w:sz w:val="22"/>
      </w:rPr>
      <w:tblPr/>
      <w:tcPr>
        <w:shd w:val="clear" w:color="D1EAF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rFonts w:ascii="Arial" w:hAnsi="Arial"/>
        <w:color w:val="FAC090" w:themeColor="accent6" w:themeTint="98" w:themeShade="95"/>
        <w:sz w:val="22"/>
      </w:rPr>
      <w:tblPr/>
      <w:tcPr>
        <w:shd w:val="clear" w:color="FDE4D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FFFFFF"/>
      </w:tcPr>
    </w:tblStylePr>
    <w:tblStylePr w:type="band1Vert">
      <w:tblPr/>
      <w:tcPr>
        <w:shd w:val="clear" w:color="BFBFBF" w:fill="BFBFBF" w:themeFill="text1" w:themeFillTint="40"/>
      </w:tcPr>
    </w:tblStylePr>
    <w:tblStylePr w:type="band1Horz">
      <w:rPr>
        <w:rFonts w:ascii="Arial" w:hAnsi="Arial"/>
        <w:color w:val="7F7F7F" w:themeColor="text1" w:themeTint="80" w:themeShade="95"/>
        <w:sz w:val="22"/>
      </w:rPr>
      <w:tblPr/>
      <w:tcPr>
        <w:shd w:val="clear" w:color="BFBFB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FFFFFF"/>
      </w:tcPr>
    </w:tblStylePr>
    <w:tblStylePr w:type="band1Vert">
      <w:tblPr/>
      <w:tcPr>
        <w:shd w:val="clear" w:color="D2DFEE" w:fill="D2DFEE" w:themeFill="accent1" w:themeFillTint="40"/>
      </w:tcPr>
    </w:tblStylePr>
    <w:tblStylePr w:type="band1Horz">
      <w:rPr>
        <w:rFonts w:ascii="Arial" w:hAnsi="Arial"/>
        <w:color w:val="2A4A71" w:themeColor="accent1" w:themeShade="95"/>
        <w:sz w:val="22"/>
      </w:rPr>
      <w:tblPr/>
      <w:tcPr>
        <w:shd w:val="clear" w:color="D2DFEE"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FFFFFF"/>
      </w:tcPr>
    </w:tblStylePr>
    <w:tblStylePr w:type="band1Vert">
      <w:tblPr/>
      <w:tcPr>
        <w:shd w:val="clear" w:color="EFD2D2" w:fill="EFD2D2" w:themeFill="accent2" w:themeFillTint="40"/>
      </w:tcPr>
    </w:tblStylePr>
    <w:tblStylePr w:type="band1Horz">
      <w:rPr>
        <w:rFonts w:ascii="Arial" w:hAnsi="Arial"/>
        <w:color w:val="D99695" w:themeColor="accent2" w:themeTint="97" w:themeShade="95"/>
        <w:sz w:val="22"/>
      </w:rPr>
      <w:tblPr/>
      <w:tcPr>
        <w:shd w:val="clear" w:color="EFD2D2"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FFFFFF"/>
      </w:tcPr>
    </w:tblStylePr>
    <w:tblStylePr w:type="band1Vert">
      <w:tblPr/>
      <w:tcPr>
        <w:shd w:val="clear" w:color="E5EED5" w:fill="E5EED5" w:themeFill="accent3" w:themeFillTint="40"/>
      </w:tcPr>
    </w:tblStylePr>
    <w:tblStylePr w:type="band1Horz">
      <w:rPr>
        <w:rFonts w:ascii="Arial" w:hAnsi="Arial"/>
        <w:color w:val="C3D69B" w:themeColor="accent3" w:themeTint="98" w:themeShade="95"/>
        <w:sz w:val="22"/>
      </w:rPr>
      <w:tblPr/>
      <w:tcPr>
        <w:shd w:val="clear" w:color="E5EED5"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FFFFFF"/>
      </w:tcPr>
    </w:tblStylePr>
    <w:tblStylePr w:type="band1Vert">
      <w:tblPr/>
      <w:tcPr>
        <w:shd w:val="clear" w:color="DFD8E7" w:fill="DFD8E7" w:themeFill="accent4" w:themeFillTint="40"/>
      </w:tcPr>
    </w:tblStylePr>
    <w:tblStylePr w:type="band1Horz">
      <w:rPr>
        <w:rFonts w:ascii="Arial" w:hAnsi="Arial"/>
        <w:color w:val="B2A1C6" w:themeColor="accent4" w:themeTint="9A" w:themeShade="95"/>
        <w:sz w:val="22"/>
      </w:rPr>
      <w:tblPr/>
      <w:tcPr>
        <w:shd w:val="clear" w:color="DFD8E7"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FFFFFF"/>
      </w:tcPr>
    </w:tblStylePr>
    <w:tblStylePr w:type="band1Vert">
      <w:tblPr/>
      <w:tcPr>
        <w:shd w:val="clear" w:color="D1EAF0" w:fill="D1EAF0" w:themeFill="accent5" w:themeFillTint="40"/>
      </w:tcPr>
    </w:tblStylePr>
    <w:tblStylePr w:type="band1Horz">
      <w:rPr>
        <w:rFonts w:ascii="Arial" w:hAnsi="Arial"/>
        <w:color w:val="92CCDC" w:themeColor="accent5" w:themeTint="9A" w:themeShade="95"/>
        <w:sz w:val="22"/>
      </w:rPr>
      <w:tblPr/>
      <w:tcPr>
        <w:shd w:val="clear" w:color="D1EAF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FFFFFF"/>
      </w:tcPr>
    </w:tblStylePr>
    <w:tblStylePr w:type="band1Vert">
      <w:tblPr/>
      <w:tcPr>
        <w:shd w:val="clear" w:color="FDE4D0" w:fill="FDE4D0" w:themeFill="accent6" w:themeFillTint="40"/>
      </w:tcPr>
    </w:tblStylePr>
    <w:tblStylePr w:type="band1Horz">
      <w:rPr>
        <w:rFonts w:ascii="Arial" w:hAnsi="Arial"/>
        <w:color w:val="FAC090" w:themeColor="accent6" w:themeTint="98" w:themeShade="95"/>
        <w:sz w:val="22"/>
      </w:rPr>
      <w:tblPr/>
      <w:tcPr>
        <w:shd w:val="clear" w:color="FDE4D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fill="7F7F7F" w:themeFill="text1" w:themeFillTint="80"/>
      </w:tcPr>
    </w:tblStylePr>
    <w:tblStylePr w:type="lastRow">
      <w:rPr>
        <w:rFonts w:ascii="Arial" w:hAnsi="Arial"/>
        <w:color w:val="F2F2F2"/>
        <w:sz w:val="22"/>
      </w:rPr>
      <w:tblPr/>
      <w:tcPr>
        <w:shd w:val="clear" w:color="7F7F7F" w:fill="7F7F7F" w:themeFill="text1" w:themeFillTint="80"/>
      </w:tcPr>
    </w:tblStylePr>
    <w:tblStylePr w:type="firstCol">
      <w:rPr>
        <w:rFonts w:ascii="Arial" w:hAnsi="Arial"/>
        <w:color w:val="F2F2F2"/>
        <w:sz w:val="22"/>
      </w:rPr>
      <w:tblPr/>
      <w:tcPr>
        <w:shd w:val="clear" w:color="7F7F7F" w:fill="7F7F7F" w:themeFill="text1" w:themeFillTint="80"/>
      </w:tcPr>
    </w:tblStylePr>
    <w:tblStylePr w:type="lastCol">
      <w:rPr>
        <w:rFonts w:ascii="Arial" w:hAnsi="Arial"/>
        <w:color w:val="F2F2F2"/>
        <w:sz w:val="22"/>
      </w:rPr>
      <w:tblPr/>
      <w:tcPr>
        <w:shd w:val="clear" w:color="7F7F7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D8AC2" w:fill="5D8AC2" w:themeFill="accent1" w:themeFillTint="EA"/>
      </w:tcPr>
    </w:tblStylePr>
    <w:tblStylePr w:type="lastRow">
      <w:rPr>
        <w:rFonts w:ascii="Arial" w:hAnsi="Arial"/>
        <w:color w:val="F2F2F2"/>
        <w:sz w:val="22"/>
      </w:rPr>
      <w:tblPr/>
      <w:tcPr>
        <w:shd w:val="clear" w:color="5D8AC2" w:fill="5D8AC2" w:themeFill="accent1" w:themeFillTint="EA"/>
      </w:tcPr>
    </w:tblStylePr>
    <w:tblStylePr w:type="firstCol">
      <w:rPr>
        <w:rFonts w:ascii="Arial" w:hAnsi="Arial"/>
        <w:color w:val="F2F2F2"/>
        <w:sz w:val="22"/>
      </w:rPr>
      <w:tblPr/>
      <w:tcPr>
        <w:shd w:val="clear" w:color="5D8AC2" w:fill="5D8AC2" w:themeFill="accent1" w:themeFillTint="EA"/>
      </w:tcPr>
    </w:tblStylePr>
    <w:tblStylePr w:type="lastCol">
      <w:rPr>
        <w:rFonts w:ascii="Arial" w:hAnsi="Arial"/>
        <w:color w:val="F2F2F2"/>
        <w:sz w:val="22"/>
      </w:rPr>
      <w:tblPr/>
      <w:tcPr>
        <w:shd w:val="clear" w:color="5D8AC2"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D99695" w:fill="D99695" w:themeFill="accent2" w:themeFillTint="97"/>
      </w:tcPr>
    </w:tblStylePr>
    <w:tblStylePr w:type="lastRow">
      <w:rPr>
        <w:rFonts w:ascii="Arial" w:hAnsi="Arial"/>
        <w:color w:val="F2F2F2"/>
        <w:sz w:val="22"/>
      </w:rPr>
      <w:tblPr/>
      <w:tcPr>
        <w:shd w:val="clear" w:color="D99695" w:fill="D99695" w:themeFill="accent2" w:themeFillTint="97"/>
      </w:tcPr>
    </w:tblStylePr>
    <w:tblStylePr w:type="firstCol">
      <w:rPr>
        <w:rFonts w:ascii="Arial" w:hAnsi="Arial"/>
        <w:color w:val="F2F2F2"/>
        <w:sz w:val="22"/>
      </w:rPr>
      <w:tblPr/>
      <w:tcPr>
        <w:shd w:val="clear" w:color="D99695" w:fill="D99695" w:themeFill="accent2" w:themeFillTint="97"/>
      </w:tcPr>
    </w:tblStylePr>
    <w:tblStylePr w:type="lastCol">
      <w:rPr>
        <w:rFonts w:ascii="Arial" w:hAnsi="Arial"/>
        <w:color w:val="F2F2F2"/>
        <w:sz w:val="22"/>
      </w:rPr>
      <w:tblPr/>
      <w:tcPr>
        <w:shd w:val="clear" w:color="D99695"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9ABB59" w:fill="9ABB59" w:themeFill="accent3" w:themeFillTint="FE"/>
      </w:tcPr>
    </w:tblStylePr>
    <w:tblStylePr w:type="lastRow">
      <w:rPr>
        <w:rFonts w:ascii="Arial" w:hAnsi="Arial"/>
        <w:color w:val="F2F2F2"/>
        <w:sz w:val="22"/>
      </w:rPr>
      <w:tblPr/>
      <w:tcPr>
        <w:shd w:val="clear" w:color="9ABB59" w:fill="9ABB59" w:themeFill="accent3" w:themeFillTint="FE"/>
      </w:tcPr>
    </w:tblStylePr>
    <w:tblStylePr w:type="firstCol">
      <w:rPr>
        <w:rFonts w:ascii="Arial" w:hAnsi="Arial"/>
        <w:color w:val="F2F2F2"/>
        <w:sz w:val="22"/>
      </w:rPr>
      <w:tblPr/>
      <w:tcPr>
        <w:shd w:val="clear" w:color="9ABB59" w:fill="9ABB59" w:themeFill="accent3" w:themeFillTint="FE"/>
      </w:tcPr>
    </w:tblStylePr>
    <w:tblStylePr w:type="lastCol">
      <w:rPr>
        <w:rFonts w:ascii="Arial" w:hAnsi="Arial"/>
        <w:color w:val="F2F2F2"/>
        <w:sz w:val="22"/>
      </w:rPr>
      <w:tblPr/>
      <w:tcPr>
        <w:shd w:val="clear" w:color="9ABB59"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B2A1C6" w:fill="B2A1C6" w:themeFill="accent4" w:themeFillTint="9A"/>
      </w:tcPr>
    </w:tblStylePr>
    <w:tblStylePr w:type="lastRow">
      <w:rPr>
        <w:rFonts w:ascii="Arial" w:hAnsi="Arial"/>
        <w:color w:val="F2F2F2"/>
        <w:sz w:val="22"/>
      </w:rPr>
      <w:tblPr/>
      <w:tcPr>
        <w:shd w:val="clear" w:color="B2A1C6" w:fill="B2A1C6" w:themeFill="accent4" w:themeFillTint="9A"/>
      </w:tcPr>
    </w:tblStylePr>
    <w:tblStylePr w:type="firstCol">
      <w:rPr>
        <w:rFonts w:ascii="Arial" w:hAnsi="Arial"/>
        <w:color w:val="F2F2F2"/>
        <w:sz w:val="22"/>
      </w:rPr>
      <w:tblPr/>
      <w:tcPr>
        <w:shd w:val="clear" w:color="B2A1C6" w:fill="B2A1C6" w:themeFill="accent4" w:themeFillTint="9A"/>
      </w:tcPr>
    </w:tblStylePr>
    <w:tblStylePr w:type="lastCol">
      <w:rPr>
        <w:rFonts w:ascii="Arial" w:hAnsi="Arial"/>
        <w:color w:val="F2F2F2"/>
        <w:sz w:val="22"/>
      </w:rPr>
      <w:tblPr/>
      <w:tcPr>
        <w:shd w:val="clear" w:color="B2A1C6"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BACC6" w:fill="4BACC6" w:themeFill="accent5"/>
      </w:tcPr>
    </w:tblStylePr>
    <w:tblStylePr w:type="lastRow">
      <w:rPr>
        <w:rFonts w:ascii="Arial" w:hAnsi="Arial"/>
        <w:color w:val="F2F2F2"/>
        <w:sz w:val="22"/>
      </w:rPr>
      <w:tblPr/>
      <w:tcPr>
        <w:shd w:val="clear" w:color="4BACC6" w:fill="4BACC6" w:themeFill="accent5"/>
      </w:tcPr>
    </w:tblStylePr>
    <w:tblStylePr w:type="firstCol">
      <w:rPr>
        <w:rFonts w:ascii="Arial" w:hAnsi="Arial"/>
        <w:color w:val="F2F2F2"/>
        <w:sz w:val="22"/>
      </w:rPr>
      <w:tblPr/>
      <w:tcPr>
        <w:shd w:val="clear" w:color="4BACC6" w:fill="4BACC6" w:themeFill="accent5"/>
      </w:tcPr>
    </w:tblStylePr>
    <w:tblStylePr w:type="lastCol">
      <w:rPr>
        <w:rFonts w:ascii="Arial" w:hAnsi="Arial"/>
        <w:color w:val="F2F2F2"/>
        <w:sz w:val="22"/>
      </w:rPr>
      <w:tblPr/>
      <w:tcPr>
        <w:shd w:val="clear" w:color="4BACC6"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79646" w:fill="F79646" w:themeFill="accent6"/>
      </w:tcPr>
    </w:tblStylePr>
    <w:tblStylePr w:type="lastRow">
      <w:rPr>
        <w:rFonts w:ascii="Arial" w:hAnsi="Arial"/>
        <w:color w:val="F2F2F2"/>
        <w:sz w:val="22"/>
      </w:rPr>
      <w:tblPr/>
      <w:tcPr>
        <w:shd w:val="clear" w:color="F79646" w:fill="F79646" w:themeFill="accent6"/>
      </w:tcPr>
    </w:tblStylePr>
    <w:tblStylePr w:type="firstCol">
      <w:rPr>
        <w:rFonts w:ascii="Arial" w:hAnsi="Arial"/>
        <w:color w:val="F2F2F2"/>
        <w:sz w:val="22"/>
      </w:rPr>
      <w:tblPr/>
      <w:tcPr>
        <w:shd w:val="clear" w:color="F79646" w:fill="F79646" w:themeFill="accent6"/>
      </w:tcPr>
    </w:tblStylePr>
    <w:tblStylePr w:type="lastCol">
      <w:rPr>
        <w:rFonts w:ascii="Arial" w:hAnsi="Arial"/>
        <w:color w:val="F2F2F2"/>
        <w:sz w:val="22"/>
      </w:rPr>
      <w:tblPr/>
      <w:tcPr>
        <w:shd w:val="clear" w:color="F7964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fill="7F7F7F" w:themeFill="text1" w:themeFillTint="80"/>
      </w:tcPr>
    </w:tblStylePr>
    <w:tblStylePr w:type="lastRow">
      <w:rPr>
        <w:rFonts w:ascii="Arial" w:hAnsi="Arial"/>
        <w:color w:val="F2F2F2"/>
        <w:sz w:val="22"/>
      </w:rPr>
      <w:tblPr/>
      <w:tcPr>
        <w:shd w:val="clear" w:color="7F7F7F" w:fill="7F7F7F" w:themeFill="text1" w:themeFillTint="80"/>
      </w:tcPr>
    </w:tblStylePr>
    <w:tblStylePr w:type="firstCol">
      <w:rPr>
        <w:rFonts w:ascii="Arial" w:hAnsi="Arial"/>
        <w:color w:val="F2F2F2"/>
        <w:sz w:val="22"/>
      </w:rPr>
      <w:tblPr/>
      <w:tcPr>
        <w:shd w:val="clear" w:color="7F7F7F" w:fill="7F7F7F" w:themeFill="text1" w:themeFillTint="80"/>
      </w:tcPr>
    </w:tblStylePr>
    <w:tblStylePr w:type="lastCol">
      <w:rPr>
        <w:rFonts w:ascii="Arial" w:hAnsi="Arial"/>
        <w:color w:val="F2F2F2"/>
        <w:sz w:val="22"/>
      </w:rPr>
      <w:tblPr/>
      <w:tcPr>
        <w:shd w:val="clear" w:color="7F7F7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fill="5D8AC2" w:themeFill="accent1" w:themeFillTint="EA"/>
      </w:tcPr>
    </w:tblStylePr>
    <w:tblStylePr w:type="lastRow">
      <w:rPr>
        <w:rFonts w:ascii="Arial" w:hAnsi="Arial"/>
        <w:color w:val="F2F2F2"/>
        <w:sz w:val="22"/>
      </w:rPr>
      <w:tblPr/>
      <w:tcPr>
        <w:shd w:val="clear" w:color="5D8AC2" w:fill="5D8AC2" w:themeFill="accent1" w:themeFillTint="EA"/>
      </w:tcPr>
    </w:tblStylePr>
    <w:tblStylePr w:type="firstCol">
      <w:rPr>
        <w:rFonts w:ascii="Arial" w:hAnsi="Arial"/>
        <w:color w:val="F2F2F2"/>
        <w:sz w:val="22"/>
      </w:rPr>
      <w:tblPr/>
      <w:tcPr>
        <w:shd w:val="clear" w:color="5D8AC2" w:fill="5D8AC2" w:themeFill="accent1" w:themeFillTint="EA"/>
      </w:tcPr>
    </w:tblStylePr>
    <w:tblStylePr w:type="lastCol">
      <w:rPr>
        <w:rFonts w:ascii="Arial" w:hAnsi="Arial"/>
        <w:color w:val="F2F2F2"/>
        <w:sz w:val="22"/>
      </w:rPr>
      <w:tblPr/>
      <w:tcPr>
        <w:shd w:val="clear" w:color="5D8AC2"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fill="D99695" w:themeFill="accent2" w:themeFillTint="97"/>
      </w:tcPr>
    </w:tblStylePr>
    <w:tblStylePr w:type="lastRow">
      <w:rPr>
        <w:rFonts w:ascii="Arial" w:hAnsi="Arial"/>
        <w:color w:val="F2F2F2"/>
        <w:sz w:val="22"/>
      </w:rPr>
      <w:tblPr/>
      <w:tcPr>
        <w:shd w:val="clear" w:color="D99695" w:fill="D99695" w:themeFill="accent2" w:themeFillTint="97"/>
      </w:tcPr>
    </w:tblStylePr>
    <w:tblStylePr w:type="firstCol">
      <w:rPr>
        <w:rFonts w:ascii="Arial" w:hAnsi="Arial"/>
        <w:color w:val="F2F2F2"/>
        <w:sz w:val="22"/>
      </w:rPr>
      <w:tblPr/>
      <w:tcPr>
        <w:shd w:val="clear" w:color="D99695" w:fill="D99695" w:themeFill="accent2" w:themeFillTint="97"/>
      </w:tcPr>
    </w:tblStylePr>
    <w:tblStylePr w:type="lastCol">
      <w:rPr>
        <w:rFonts w:ascii="Arial" w:hAnsi="Arial"/>
        <w:color w:val="F2F2F2"/>
        <w:sz w:val="22"/>
      </w:rPr>
      <w:tblPr/>
      <w:tcPr>
        <w:shd w:val="clear" w:color="D99695"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fill="9ABB59" w:themeFill="accent3" w:themeFillTint="FE"/>
      </w:tcPr>
    </w:tblStylePr>
    <w:tblStylePr w:type="lastRow">
      <w:rPr>
        <w:rFonts w:ascii="Arial" w:hAnsi="Arial"/>
        <w:color w:val="F2F2F2"/>
        <w:sz w:val="22"/>
      </w:rPr>
      <w:tblPr/>
      <w:tcPr>
        <w:shd w:val="clear" w:color="9ABB59" w:fill="9ABB59" w:themeFill="accent3" w:themeFillTint="FE"/>
      </w:tcPr>
    </w:tblStylePr>
    <w:tblStylePr w:type="firstCol">
      <w:rPr>
        <w:rFonts w:ascii="Arial" w:hAnsi="Arial"/>
        <w:color w:val="F2F2F2"/>
        <w:sz w:val="22"/>
      </w:rPr>
      <w:tblPr/>
      <w:tcPr>
        <w:shd w:val="clear" w:color="9ABB59" w:fill="9ABB59" w:themeFill="accent3" w:themeFillTint="FE"/>
      </w:tcPr>
    </w:tblStylePr>
    <w:tblStylePr w:type="lastCol">
      <w:rPr>
        <w:rFonts w:ascii="Arial" w:hAnsi="Arial"/>
        <w:color w:val="F2F2F2"/>
        <w:sz w:val="22"/>
      </w:rPr>
      <w:tblPr/>
      <w:tcPr>
        <w:shd w:val="clear" w:color="9ABB59"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fill="B2A1C6" w:themeFill="accent4" w:themeFillTint="9A"/>
      </w:tcPr>
    </w:tblStylePr>
    <w:tblStylePr w:type="lastRow">
      <w:rPr>
        <w:rFonts w:ascii="Arial" w:hAnsi="Arial"/>
        <w:color w:val="F2F2F2"/>
        <w:sz w:val="22"/>
      </w:rPr>
      <w:tblPr/>
      <w:tcPr>
        <w:shd w:val="clear" w:color="B2A1C6" w:fill="B2A1C6" w:themeFill="accent4" w:themeFillTint="9A"/>
      </w:tcPr>
    </w:tblStylePr>
    <w:tblStylePr w:type="firstCol">
      <w:rPr>
        <w:rFonts w:ascii="Arial" w:hAnsi="Arial"/>
        <w:color w:val="F2F2F2"/>
        <w:sz w:val="22"/>
      </w:rPr>
      <w:tblPr/>
      <w:tcPr>
        <w:shd w:val="clear" w:color="B2A1C6" w:fill="B2A1C6" w:themeFill="accent4" w:themeFillTint="9A"/>
      </w:tcPr>
    </w:tblStylePr>
    <w:tblStylePr w:type="lastCol">
      <w:rPr>
        <w:rFonts w:ascii="Arial" w:hAnsi="Arial"/>
        <w:color w:val="F2F2F2"/>
        <w:sz w:val="22"/>
      </w:rPr>
      <w:tblPr/>
      <w:tcPr>
        <w:shd w:val="clear" w:color="B2A1C6"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fill="4BACC6" w:themeFill="accent5"/>
      </w:tcPr>
    </w:tblStylePr>
    <w:tblStylePr w:type="lastRow">
      <w:rPr>
        <w:rFonts w:ascii="Arial" w:hAnsi="Arial"/>
        <w:color w:val="F2F2F2"/>
        <w:sz w:val="22"/>
      </w:rPr>
      <w:tblPr/>
      <w:tcPr>
        <w:shd w:val="clear" w:color="4BACC6" w:fill="4BACC6" w:themeFill="accent5"/>
      </w:tcPr>
    </w:tblStylePr>
    <w:tblStylePr w:type="firstCol">
      <w:rPr>
        <w:rFonts w:ascii="Arial" w:hAnsi="Arial"/>
        <w:color w:val="F2F2F2"/>
        <w:sz w:val="22"/>
      </w:rPr>
      <w:tblPr/>
      <w:tcPr>
        <w:shd w:val="clear" w:color="4BACC6" w:fill="4BACC6" w:themeFill="accent5"/>
      </w:tcPr>
    </w:tblStylePr>
    <w:tblStylePr w:type="lastCol">
      <w:rPr>
        <w:rFonts w:ascii="Arial" w:hAnsi="Arial"/>
        <w:color w:val="F2F2F2"/>
        <w:sz w:val="22"/>
      </w:rPr>
      <w:tblPr/>
      <w:tcPr>
        <w:shd w:val="clear" w:color="4BACC6"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fill="F79646" w:themeFill="accent6"/>
      </w:tcPr>
    </w:tblStylePr>
    <w:tblStylePr w:type="lastRow">
      <w:rPr>
        <w:rFonts w:ascii="Arial" w:hAnsi="Arial"/>
        <w:color w:val="F2F2F2"/>
        <w:sz w:val="22"/>
      </w:rPr>
      <w:tblPr/>
      <w:tcPr>
        <w:shd w:val="clear" w:color="F79646" w:fill="F79646" w:themeFill="accent6"/>
      </w:tcPr>
    </w:tblStylePr>
    <w:tblStylePr w:type="firstCol">
      <w:rPr>
        <w:rFonts w:ascii="Arial" w:hAnsi="Arial"/>
        <w:color w:val="F2F2F2"/>
        <w:sz w:val="22"/>
      </w:rPr>
      <w:tblPr/>
      <w:tcPr>
        <w:shd w:val="clear" w:color="F79646" w:fill="F79646" w:themeFill="accent6"/>
      </w:tcPr>
    </w:tblStylePr>
    <w:tblStylePr w:type="lastCol">
      <w:rPr>
        <w:rFonts w:ascii="Arial" w:hAnsi="Arial"/>
        <w:color w:val="F2F2F2"/>
        <w:sz w:val="22"/>
      </w:rPr>
      <w:tblPr/>
      <w:tcPr>
        <w:shd w:val="clear" w:color="F7964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EndnoteText">
    <w:name w:val="endnote text"/>
    <w:basedOn w:val="Normal"/>
    <w:link w:val="EndnoteTextChar1"/>
    <w:uiPriority w:val="99"/>
    <w:semiHidden/>
    <w:unhideWhenUsed/>
    <w:pPr>
      <w:spacing w:after="0" w:line="240" w:lineRule="auto"/>
    </w:pPr>
    <w:rPr>
      <w:sz w:val="20"/>
    </w:rPr>
  </w:style>
  <w:style w:type="character" w:customStyle="1" w:styleId="EndnoteTextChar1">
    <w:name w:val="Endnote Text Char1"/>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qFormat/>
  </w:style>
  <w:style w:type="character" w:styleId="Hyperlink">
    <w:name w:val="Hyperlink"/>
    <w:basedOn w:val="DefaultParagraphFont"/>
    <w:uiPriority w:val="99"/>
    <w:unhideWhenUsed/>
    <w:rPr>
      <w:color w:val="0000FF"/>
      <w:u w:val="single"/>
    </w:rPr>
  </w:style>
  <w:style w:type="character" w:customStyle="1" w:styleId="module-messagemetadatadate">
    <w:name w:val="module-message__metadata__date"/>
    <w:basedOn w:val="DefaultParagraphFont"/>
  </w:style>
  <w:style w:type="paragraph" w:styleId="FootnoteText">
    <w:name w:val="footnote text"/>
    <w:basedOn w:val="Normal"/>
    <w:link w:val="FootnoteTextChar1"/>
    <w:uiPriority w:val="99"/>
    <w:unhideWhenUsed/>
    <w:qFormat/>
    <w:pPr>
      <w:spacing w:after="0" w:line="240" w:lineRule="auto"/>
    </w:pPr>
    <w:rPr>
      <w:sz w:val="20"/>
      <w:szCs w:val="20"/>
    </w:rPr>
  </w:style>
  <w:style w:type="character" w:customStyle="1" w:styleId="FootnoteTextChar1">
    <w:name w:val="Footnote Text Char1"/>
    <w:basedOn w:val="DefaultParagraphFont"/>
    <w:link w:val="FootnoteText"/>
    <w:uiPriority w:val="99"/>
    <w:rPr>
      <w:sz w:val="20"/>
      <w:szCs w:val="20"/>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
    <w:basedOn w:val="DefaultParagraphFont"/>
    <w:uiPriority w:val="99"/>
    <w:unhideWhenUsed/>
    <w:qFormat/>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UnresolvedMention1">
    <w:name w:val="Unresolved Mention1"/>
    <w:basedOn w:val="DefaultParagraphFont"/>
    <w:uiPriority w:val="99"/>
    <w:semiHidden/>
    <w:unhideWhenUsed/>
    <w:rsid w:val="005E05BB"/>
    <w:rPr>
      <w:color w:val="605E5C"/>
      <w:shd w:val="clear" w:color="auto" w:fill="E1DFDD"/>
    </w:rPr>
  </w:style>
  <w:style w:type="paragraph" w:customStyle="1" w:styleId="Default">
    <w:name w:val="Default"/>
    <w:rsid w:val="00471044"/>
    <w:pPr>
      <w:autoSpaceDE w:val="0"/>
      <w:autoSpaceDN w:val="0"/>
      <w:adjustRightInd w:val="0"/>
      <w:spacing w:after="0" w:line="240" w:lineRule="auto"/>
    </w:pPr>
    <w:rPr>
      <w:rFonts w:ascii="Trebuchet MS" w:hAnsi="Trebuchet MS" w:cs="Trebuchet MS"/>
      <w:color w:val="000000"/>
      <w:sz w:val="24"/>
      <w:szCs w:val="24"/>
      <w:lang w:val="en-US"/>
    </w:rPr>
  </w:style>
  <w:style w:type="paragraph" w:styleId="Revision">
    <w:name w:val="Revision"/>
    <w:hidden/>
    <w:uiPriority w:val="99"/>
    <w:semiHidden/>
    <w:rsid w:val="00471044"/>
    <w:pPr>
      <w:spacing w:after="0" w:line="240" w:lineRule="auto"/>
    </w:pPr>
  </w:style>
  <w:style w:type="character" w:styleId="UnresolvedMention">
    <w:name w:val="Unresolved Mention"/>
    <w:basedOn w:val="DefaultParagraphFont"/>
    <w:uiPriority w:val="99"/>
    <w:semiHidden/>
    <w:unhideWhenUsed/>
    <w:rsid w:val="00982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hudoc.echr.coe.int/eng"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Arial"/>
        <a:cs typeface="Arial"/>
      </a:majorFont>
      <a:minorFont>
        <a:latin typeface="Calibri"/>
        <a:ea typeface="Arial"/>
        <a:cs typeface="Arial"/>
      </a:minorFont>
    </a:fontScheme>
    <a:fmtScheme name="Ofis">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2024-06-12T10:26:42+00:00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2024-06-12T10:26:42+00:00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2024-06-12T10:26:42+00:00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EB592724-A21E-4AED-8352-0189384B01FE}">
  <ds:schemaRefs>
    <ds:schemaRef ds:uri="http://schemas.openxmlformats.org/officeDocument/2006/bibliography"/>
  </ds:schemaRefs>
</ds:datastoreItem>
</file>

<file path=customXml/itemProps2.xml><?xml version="1.0" encoding="utf-8"?>
<ds:datastoreItem xmlns:ds="http://schemas.openxmlformats.org/officeDocument/2006/customXml" ds:itemID="{3D2D4244-D239-4407-A64D-AE7280356FD7}"/>
</file>

<file path=customXml/itemProps3.xml><?xml version="1.0" encoding="utf-8"?>
<ds:datastoreItem xmlns:ds="http://schemas.openxmlformats.org/officeDocument/2006/customXml" ds:itemID="{C390B244-4793-4615-B9FB-C0811CA788F4}"/>
</file>

<file path=customXml/itemProps4.xml><?xml version="1.0" encoding="utf-8"?>
<ds:datastoreItem xmlns:ds="http://schemas.openxmlformats.org/officeDocument/2006/customXml" ds:itemID="{31BFC567-1D4C-4255-8A42-D37BF67F2808}"/>
</file>

<file path=docProps/app.xml><?xml version="1.0" encoding="utf-8"?>
<Properties xmlns="http://schemas.openxmlformats.org/officeDocument/2006/extended-properties" xmlns:vt="http://schemas.openxmlformats.org/officeDocument/2006/docPropsVTypes">
  <Template>Normal.dotm</Template>
  <TotalTime>1</TotalTime>
  <Pages>22</Pages>
  <Words>7130</Words>
  <Characters>40644</Characters>
  <Application>Microsoft Office Word</Application>
  <DocSecurity>4</DocSecurity>
  <Lines>338</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L-X2</dc:creator>
  <cp:lastModifiedBy>Jack Matthew Pope</cp:lastModifiedBy>
  <cp:revision>2</cp:revision>
  <dcterms:created xsi:type="dcterms:W3CDTF">2024-06-10T10:25:00Z</dcterms:created>
  <dcterms:modified xsi:type="dcterms:W3CDTF">2024-06-10T10:25:00Z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