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0144" w14:textId="7ADA12B1" w:rsidR="002C79F5" w:rsidRPr="00B831E3" w:rsidRDefault="002C79F5" w:rsidP="002C79F5">
      <w:pPr>
        <w:pBdr>
          <w:bottom w:val="single" w:sz="18" w:space="1" w:color="auto"/>
        </w:pBdr>
        <w:jc w:val="cente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31E3">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 Submission to The</w:t>
      </w:r>
      <w:bookmarkStart w:id="0" w:name="OLE_LINK22"/>
      <w:r w:rsidRPr="00B831E3">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Committee on Economic, Social, and Cultural Rights</w:t>
      </w:r>
      <w:bookmarkEnd w:id="0"/>
      <w:r w:rsidRPr="00B831E3">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regarding </w:t>
      </w:r>
      <w:r w:rsidRPr="00B831E3">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Egypt </w:t>
      </w:r>
      <w:r w:rsidRPr="00B831E3">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the list of issues</w:t>
      </w:r>
    </w:p>
    <w:p w14:paraId="396ED033" w14:textId="0C9354E4" w:rsidR="002C79F5" w:rsidRPr="00B831E3" w:rsidRDefault="002C79F5" w:rsidP="002C79F5">
      <w:pPr>
        <w:pBdr>
          <w:bottom w:val="single" w:sz="18" w:space="1" w:color="auto"/>
        </w:pBdr>
        <w:jc w:val="cente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31E3">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 2025</w:t>
      </w:r>
    </w:p>
    <w:p w14:paraId="08305603" w14:textId="77777777" w:rsidR="002C79F5" w:rsidRPr="00176EB3" w:rsidRDefault="002C79F5" w:rsidP="002C79F5">
      <w:pPr>
        <w:jc w:val="both"/>
        <w:rPr>
          <w:rFonts w:asciiTheme="majorBidi" w:hAnsiTheme="majorBidi" w:cstheme="majorBidi"/>
        </w:rPr>
      </w:pPr>
      <w:r w:rsidRPr="00A058E9">
        <w:rPr>
          <w:rFonts w:asciiTheme="majorBidi" w:hAnsiTheme="majorBidi" w:cstheme="majorBidi"/>
        </w:rPr>
        <w:t>Maat</w:t>
      </w:r>
      <w:r w:rsidRPr="00176EB3">
        <w:rPr>
          <w:rFonts w:asciiTheme="majorBidi" w:hAnsiTheme="majorBidi" w:cstheme="majorBidi"/>
        </w:rPr>
        <w:t xml:space="preserve"> for Peace, Development, and Human Rights presents this report to </w:t>
      </w:r>
      <w:r w:rsidRPr="00A058E9">
        <w:rPr>
          <w:rFonts w:asciiTheme="majorBidi" w:hAnsiTheme="majorBidi" w:cstheme="majorBidi"/>
        </w:rPr>
        <w:t xml:space="preserve">the Committee </w:t>
      </w:r>
      <w:r w:rsidRPr="00176EB3">
        <w:rPr>
          <w:rFonts w:asciiTheme="majorBidi" w:hAnsiTheme="majorBidi" w:cstheme="majorBidi"/>
        </w:rPr>
        <w:t>on Economic, Social, and Cultural Rights</w:t>
      </w:r>
      <w:r w:rsidRPr="00A058E9">
        <w:rPr>
          <w:rFonts w:asciiTheme="majorBidi" w:hAnsiTheme="majorBidi" w:cstheme="majorBidi"/>
        </w:rPr>
        <w:t xml:space="preserve"> (CESCR)</w:t>
      </w:r>
      <w:r w:rsidRPr="00176EB3">
        <w:rPr>
          <w:rFonts w:asciiTheme="majorBidi" w:hAnsiTheme="majorBidi" w:cstheme="majorBidi"/>
        </w:rPr>
        <w:t xml:space="preserve"> to assess Egypt's compliance with the provisions of the International Covenant on Economic, Social, and Cultural Rights. This report provides an opportunity to review the progress made by the state in implementing certain provisions of the Covenant, both in terms of practice and legislation. The years following the last review before </w:t>
      </w:r>
      <w:r w:rsidRPr="00A058E9">
        <w:rPr>
          <w:rFonts w:asciiTheme="majorBidi" w:hAnsiTheme="majorBidi" w:cstheme="majorBidi"/>
        </w:rPr>
        <w:t>CESCR</w:t>
      </w:r>
      <w:r w:rsidRPr="00176EB3">
        <w:rPr>
          <w:rFonts w:asciiTheme="majorBidi" w:hAnsiTheme="majorBidi" w:cstheme="majorBidi"/>
        </w:rPr>
        <w:t xml:space="preserve"> have seen increased interest from the Egyptian government in promoting economic, social, and cultural rights, amidst global changes such as the COVID-19 pandemic and the Russian-Ukrainian war, which have led to rising inflation rates and increased living costs.</w:t>
      </w:r>
    </w:p>
    <w:p w14:paraId="41606F6E" w14:textId="65D9A07C" w:rsidR="002C79F5" w:rsidRPr="00176EB3" w:rsidRDefault="002C79F5" w:rsidP="002C79F5">
      <w:pPr>
        <w:jc w:val="both"/>
        <w:rPr>
          <w:rFonts w:asciiTheme="majorBidi" w:hAnsiTheme="majorBidi" w:cstheme="majorBidi"/>
        </w:rPr>
      </w:pPr>
      <w:r w:rsidRPr="00176EB3">
        <w:rPr>
          <w:rFonts w:asciiTheme="majorBidi" w:hAnsiTheme="majorBidi" w:cstheme="majorBidi"/>
        </w:rPr>
        <w:t xml:space="preserve">In this context, the government has allocated unprecedented funds for social protection, exceeding 700 billion Egyptian pounds in the 2025–2026 budget. This includes, among other things, support for social security pensions, and the Takaful and Karama program, in addition to social housing programs and health insurance, and an expansion of cash transfers aimed at the neediest segments of society. </w:t>
      </w:r>
      <w:r w:rsidRPr="00A058E9">
        <w:rPr>
          <w:rFonts w:asciiTheme="majorBidi" w:hAnsiTheme="majorBidi" w:cstheme="majorBidi"/>
        </w:rPr>
        <w:t>Maat</w:t>
      </w:r>
      <w:r w:rsidRPr="00176EB3">
        <w:rPr>
          <w:rFonts w:asciiTheme="majorBidi" w:hAnsiTheme="majorBidi" w:cstheme="majorBidi"/>
        </w:rPr>
        <w:t xml:space="preserve"> hopes that the questions raised in this report will assist </w:t>
      </w:r>
      <w:r w:rsidRPr="00A058E9">
        <w:rPr>
          <w:rFonts w:asciiTheme="majorBidi" w:hAnsiTheme="majorBidi" w:cstheme="majorBidi"/>
        </w:rPr>
        <w:t>CESCR</w:t>
      </w:r>
      <w:r w:rsidRPr="00176EB3">
        <w:rPr>
          <w:rFonts w:asciiTheme="majorBidi" w:hAnsiTheme="majorBidi" w:cstheme="majorBidi"/>
        </w:rPr>
        <w:t xml:space="preserve"> in preparing the list of issues regarding Egypt’s compliance with the provisions of the International Covenant on Economic, Social, and Cultural Rights.</w:t>
      </w:r>
    </w:p>
    <w:p w14:paraId="2B9FAD99" w14:textId="77777777" w:rsidR="002C79F5" w:rsidRPr="00AB720E" w:rsidRDefault="002C79F5" w:rsidP="002C79F5">
      <w:pPr>
        <w:jc w:val="both"/>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720E">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 The Right to Work – Article 6</w:t>
      </w:r>
    </w:p>
    <w:p w14:paraId="27D389DF" w14:textId="63EC53F6" w:rsidR="002C79F5" w:rsidRPr="00176EB3" w:rsidRDefault="002C79F5" w:rsidP="002C79F5">
      <w:pPr>
        <w:jc w:val="both"/>
        <w:rPr>
          <w:rFonts w:asciiTheme="majorBidi" w:hAnsiTheme="majorBidi" w:cstheme="majorBidi"/>
        </w:rPr>
      </w:pPr>
      <w:r w:rsidRPr="00176EB3">
        <w:rPr>
          <w:rFonts w:asciiTheme="majorBidi" w:hAnsiTheme="majorBidi" w:cstheme="majorBidi"/>
        </w:rPr>
        <w:t xml:space="preserve">A number of articles in the Egyptian Constitution guarantee the right to work and the provision of public jobs to citizens based on competence. Unemployment rates have reached low levels in the years following Egypt's last review before </w:t>
      </w:r>
      <w:r w:rsidRPr="00A058E9">
        <w:rPr>
          <w:rFonts w:asciiTheme="majorBidi" w:hAnsiTheme="majorBidi" w:cstheme="majorBidi"/>
        </w:rPr>
        <w:t>CESCR</w:t>
      </w:r>
      <w:r w:rsidRPr="00176EB3">
        <w:rPr>
          <w:rFonts w:asciiTheme="majorBidi" w:hAnsiTheme="majorBidi" w:cstheme="majorBidi"/>
        </w:rPr>
        <w:t>. According to the results of the labor force survey for the third quarter of 2025, the unemployment rate reached 6.4%.</w:t>
      </w:r>
      <w:r w:rsidRPr="00A058E9">
        <w:rPr>
          <w:rStyle w:val="FootnoteReference"/>
          <w:rFonts w:asciiTheme="majorBidi" w:hAnsiTheme="majorBidi" w:cstheme="majorBidi"/>
        </w:rPr>
        <w:footnoteReference w:id="1"/>
      </w:r>
      <w:r w:rsidRPr="00176EB3">
        <w:rPr>
          <w:rFonts w:asciiTheme="majorBidi" w:hAnsiTheme="majorBidi" w:cstheme="majorBidi"/>
        </w:rPr>
        <w:t xml:space="preserve"> The Ministry of Labor's plan aims to provide 900,000 jobs annually. Among other positive developments documented by </w:t>
      </w:r>
      <w:r w:rsidRPr="00A058E9">
        <w:rPr>
          <w:rFonts w:asciiTheme="majorBidi" w:hAnsiTheme="majorBidi" w:cstheme="majorBidi"/>
        </w:rPr>
        <w:t>Maat</w:t>
      </w:r>
      <w:r w:rsidRPr="00176EB3">
        <w:rPr>
          <w:rFonts w:asciiTheme="majorBidi" w:hAnsiTheme="majorBidi" w:cstheme="majorBidi"/>
        </w:rPr>
        <w:t xml:space="preserve"> is the launch of the national employment bulletin by the Ministry of Labor, which focuses on presenting all available job opportunities in the private sector. The Ministry has also established a database for informal workers. As of June 2025, the number of registered informal workers in </w:t>
      </w:r>
      <w:r w:rsidRPr="00A45C79">
        <w:rPr>
          <w:rFonts w:asciiTheme="majorBidi" w:hAnsiTheme="majorBidi" w:cstheme="majorBidi"/>
        </w:rPr>
        <w:lastRenderedPageBreak/>
        <w:t>the database was 1.2 million, which is less than the official statistics estimating the size of informal workers at between 8 to 13 million. Despite the Ministry's creation of a database for informal workers, it still does not encompass all categories, such as migrant workers and temporary employment, to name a few.</w:t>
      </w:r>
    </w:p>
    <w:p w14:paraId="795CE7D5" w14:textId="77777777" w:rsidR="002C79F5" w:rsidRPr="00176EB3" w:rsidRDefault="002C79F5" w:rsidP="002C79F5">
      <w:pPr>
        <w:jc w:val="both"/>
        <w:rPr>
          <w:rFonts w:asciiTheme="majorBidi" w:hAnsiTheme="majorBidi" w:cstheme="majorBidi"/>
        </w:rPr>
      </w:pPr>
      <w:r w:rsidRPr="00176EB3">
        <w:rPr>
          <w:rFonts w:asciiTheme="majorBidi" w:hAnsiTheme="majorBidi" w:cstheme="majorBidi"/>
        </w:rPr>
        <w:t>On the legislative level, the Egyptian Labor Law No. 14 of 2025 was issued, which came into force in September 2025. According to some experts, this law represents a balanced framework between workers' rights and employers' needs. The Labor Law reinforces women's rights and prohibits discrimination against them by stipulating the principle of equal pay for work of equal value, and it criminalizes harassment against women in the workplace. Additionally, the law increases maternity leave for women to four months, up from three months in the repealed law.</w:t>
      </w:r>
      <w:r w:rsidRPr="00A058E9">
        <w:rPr>
          <w:rStyle w:val="FootnoteReference"/>
          <w:rFonts w:asciiTheme="majorBidi" w:hAnsiTheme="majorBidi" w:cstheme="majorBidi"/>
        </w:rPr>
        <w:footnoteReference w:id="2"/>
      </w:r>
    </w:p>
    <w:p w14:paraId="7C36BC94" w14:textId="77777777" w:rsidR="002C79F5" w:rsidRPr="00176EB3" w:rsidRDefault="002C79F5" w:rsidP="002C79F5">
      <w:pPr>
        <w:jc w:val="both"/>
        <w:rPr>
          <w:rFonts w:asciiTheme="majorBidi" w:hAnsiTheme="majorBidi" w:cstheme="majorBidi"/>
          <w:color w:val="FF0000"/>
        </w:rPr>
      </w:pPr>
      <w:r w:rsidRPr="00176EB3">
        <w:rPr>
          <w:rFonts w:asciiTheme="majorBidi" w:hAnsiTheme="majorBidi" w:cstheme="majorBidi"/>
        </w:rPr>
        <w:t>Despite these positive developments, the right to work in Egypt faces several challenges. While the overall unemployment rates have declined, youth unemployment remains high, reaching 14.2% among the age group of 15 to 29, according to government data.</w:t>
      </w:r>
      <w:r w:rsidRPr="00A058E9">
        <w:rPr>
          <w:rStyle w:val="FootnoteReference"/>
          <w:rFonts w:asciiTheme="majorBidi" w:hAnsiTheme="majorBidi" w:cstheme="majorBidi"/>
        </w:rPr>
        <w:footnoteReference w:id="3"/>
      </w:r>
      <w:r w:rsidRPr="00176EB3">
        <w:rPr>
          <w:rFonts w:asciiTheme="majorBidi" w:hAnsiTheme="majorBidi" w:cstheme="majorBidi"/>
        </w:rPr>
        <w:t xml:space="preserve"> The implementation of the minimum wage in certain private sector establishments has also been sluggish.</w:t>
      </w:r>
      <w:r w:rsidRPr="00A058E9">
        <w:rPr>
          <w:rStyle w:val="FootnoteReference"/>
          <w:rFonts w:asciiTheme="majorBidi" w:hAnsiTheme="majorBidi" w:cstheme="majorBidi"/>
        </w:rPr>
        <w:footnoteReference w:id="4"/>
      </w:r>
      <w:r w:rsidRPr="00176EB3">
        <w:rPr>
          <w:rFonts w:asciiTheme="majorBidi" w:hAnsiTheme="majorBidi" w:cstheme="majorBidi"/>
        </w:rPr>
        <w:t xml:space="preserve"> The Ministry of Labor's circular stipulates that no establishment shall be exempt from the minimum wage application</w:t>
      </w:r>
      <w:r w:rsidRPr="00A058E9">
        <w:rPr>
          <w:rFonts w:asciiTheme="majorBidi" w:hAnsiTheme="majorBidi" w:cstheme="majorBidi"/>
        </w:rPr>
        <w:t xml:space="preserve">, </w:t>
      </w:r>
      <w:r w:rsidRPr="00176EB3">
        <w:rPr>
          <w:rFonts w:asciiTheme="majorBidi" w:hAnsiTheme="majorBidi" w:cstheme="majorBidi"/>
        </w:rPr>
        <w:t xml:space="preserve">except for charitable associations and </w:t>
      </w:r>
      <w:r w:rsidRPr="00307051">
        <w:rPr>
          <w:rFonts w:asciiTheme="majorBidi" w:hAnsiTheme="majorBidi" w:cstheme="majorBidi"/>
        </w:rPr>
        <w:t>NGOs. However, the reality indicates that some private sector establishments are evading the implementation of the minimum wage, despite inspection campaigns led by the Ministry of Labor since October 2025.</w:t>
      </w:r>
      <w:r w:rsidRPr="00307051">
        <w:rPr>
          <w:rStyle w:val="FootnoteReference"/>
          <w:rFonts w:asciiTheme="majorBidi" w:hAnsiTheme="majorBidi" w:cstheme="majorBidi"/>
        </w:rPr>
        <w:footnoteReference w:id="5"/>
      </w:r>
    </w:p>
    <w:p w14:paraId="5AED70AD" w14:textId="77777777" w:rsidR="002C79F5" w:rsidRPr="00176EB3" w:rsidRDefault="002C79F5" w:rsidP="002C79F5">
      <w:pPr>
        <w:jc w:val="both"/>
        <w:rPr>
          <w:rFonts w:asciiTheme="majorBidi" w:hAnsiTheme="majorBidi" w:cstheme="majorBidi"/>
        </w:rPr>
      </w:pPr>
      <w:r w:rsidRPr="00A058E9">
        <w:rPr>
          <w:rFonts w:asciiTheme="majorBidi" w:hAnsiTheme="majorBidi" w:cstheme="majorBidi"/>
        </w:rPr>
        <w:t>Maat</w:t>
      </w:r>
      <w:r w:rsidRPr="00176EB3">
        <w:rPr>
          <w:rFonts w:asciiTheme="majorBidi" w:hAnsiTheme="majorBidi" w:cstheme="majorBidi"/>
        </w:rPr>
        <w:t xml:space="preserve"> has also observed a lack of oversight by the Ministry of Labor in monitoring transportation methods for informal workers, particularly in farms and establishments employing children. This has led to recurring incidents resulting in the deaths of a significant number of workers, including children. Despite the Egyptian government launching the Egyptian Occupational Safety and Health Strategy, which concluded in 2020 and aimed to reduce the number of people injured or killed at work and to lower workplace injury rates by at least 40%, the government still needs to update this plan.</w:t>
      </w:r>
    </w:p>
    <w:p w14:paraId="620880E0" w14:textId="77777777" w:rsidR="002C79F5" w:rsidRPr="00176EB3" w:rsidRDefault="002C79F5" w:rsidP="002C79F5">
      <w:pPr>
        <w:jc w:val="both"/>
        <w:rPr>
          <w:rFonts w:asciiTheme="majorBidi" w:hAnsiTheme="majorBidi" w:cstheme="majorBidi"/>
        </w:rPr>
      </w:pPr>
      <w:r w:rsidRPr="00176EB3">
        <w:rPr>
          <w:rFonts w:asciiTheme="majorBidi" w:hAnsiTheme="majorBidi" w:cstheme="majorBidi"/>
        </w:rPr>
        <w:t xml:space="preserve">According to the annual bulletin of workplace injury statistics from public sector, public enterprise, and private sector establishments issued by the Central Agency for Public Mobilization and </w:t>
      </w:r>
      <w:r w:rsidRPr="00176EB3">
        <w:rPr>
          <w:rFonts w:asciiTheme="majorBidi" w:hAnsiTheme="majorBidi" w:cstheme="majorBidi"/>
        </w:rPr>
        <w:lastRenderedPageBreak/>
        <w:t>Statistics, the total number of workplace injury cases in Egypt reached 8,317 in 2023, which is the latest available statistics.</w:t>
      </w:r>
      <w:r w:rsidRPr="00A058E9">
        <w:rPr>
          <w:rStyle w:val="FootnoteReference"/>
          <w:rFonts w:asciiTheme="majorBidi" w:hAnsiTheme="majorBidi" w:cstheme="majorBidi"/>
        </w:rPr>
        <w:footnoteReference w:id="6"/>
      </w:r>
    </w:p>
    <w:p w14:paraId="7B44FE05" w14:textId="34B831D7" w:rsidR="002C79F5" w:rsidRPr="00CD497F" w:rsidRDefault="00017134" w:rsidP="002C79F5">
      <w:pPr>
        <w:jc w:val="both"/>
        <w:rPr>
          <w:rFonts w:asciiTheme="majorBidi" w:hAnsiTheme="majorBidi" w:cstheme="majorBidi"/>
          <w:b/>
          <w:bCs/>
        </w:rPr>
      </w:pPr>
      <w:r>
        <w:rPr>
          <w:rFonts w:asciiTheme="majorBidi" w:hAnsiTheme="majorBidi" w:cstheme="majorBidi"/>
          <w:b/>
          <w:bCs/>
        </w:rPr>
        <w:t>Maat</w:t>
      </w:r>
      <w:r w:rsidR="002C79F5" w:rsidRPr="00CD497F">
        <w:rPr>
          <w:rFonts w:asciiTheme="majorBidi" w:hAnsiTheme="majorBidi" w:cstheme="majorBidi"/>
          <w:b/>
          <w:bCs/>
        </w:rPr>
        <w:t xml:space="preserve"> encourage</w:t>
      </w:r>
      <w:r>
        <w:rPr>
          <w:rFonts w:asciiTheme="majorBidi" w:hAnsiTheme="majorBidi" w:cstheme="majorBidi"/>
          <w:b/>
          <w:bCs/>
        </w:rPr>
        <w:t>s</w:t>
      </w:r>
      <w:r w:rsidR="002C79F5" w:rsidRPr="00CD497F">
        <w:rPr>
          <w:rFonts w:asciiTheme="majorBidi" w:hAnsiTheme="majorBidi" w:cstheme="majorBidi"/>
          <w:b/>
          <w:bCs/>
        </w:rPr>
        <w:t xml:space="preserve"> CESCR to raise the following questions:</w:t>
      </w:r>
    </w:p>
    <w:p w14:paraId="20D1EE32" w14:textId="77777777" w:rsidR="002C79F5" w:rsidRPr="00176EB3" w:rsidRDefault="002C79F5" w:rsidP="002C79F5">
      <w:pPr>
        <w:numPr>
          <w:ilvl w:val="0"/>
          <w:numId w:val="45"/>
        </w:numPr>
        <w:jc w:val="both"/>
        <w:rPr>
          <w:rFonts w:asciiTheme="majorBidi" w:hAnsiTheme="majorBidi" w:cstheme="majorBidi"/>
        </w:rPr>
      </w:pPr>
      <w:r w:rsidRPr="00176EB3">
        <w:rPr>
          <w:rFonts w:asciiTheme="majorBidi" w:hAnsiTheme="majorBidi" w:cstheme="majorBidi"/>
        </w:rPr>
        <w:t>How many inspection campaigns did the Ministry of Labor conduct in 2025 on transportation methods for workers in agricultural areas and establishments employing children?</w:t>
      </w:r>
    </w:p>
    <w:p w14:paraId="30ABA8B1" w14:textId="77777777" w:rsidR="002C79F5" w:rsidRPr="00176EB3" w:rsidRDefault="002C79F5" w:rsidP="002C79F5">
      <w:pPr>
        <w:numPr>
          <w:ilvl w:val="0"/>
          <w:numId w:val="45"/>
        </w:numPr>
        <w:jc w:val="both"/>
        <w:rPr>
          <w:rFonts w:asciiTheme="majorBidi" w:hAnsiTheme="majorBidi" w:cstheme="majorBidi"/>
        </w:rPr>
      </w:pPr>
      <w:r w:rsidRPr="00176EB3">
        <w:rPr>
          <w:rFonts w:asciiTheme="majorBidi" w:hAnsiTheme="majorBidi" w:cstheme="majorBidi"/>
        </w:rPr>
        <w:t>What measures is the government taking to encourage informal workers to register in the database launched by the Ministry of Labor?</w:t>
      </w:r>
    </w:p>
    <w:p w14:paraId="44734E71" w14:textId="77777777" w:rsidR="002C79F5" w:rsidRPr="00176EB3" w:rsidRDefault="002C79F5" w:rsidP="002C79F5">
      <w:pPr>
        <w:numPr>
          <w:ilvl w:val="0"/>
          <w:numId w:val="45"/>
        </w:numPr>
        <w:jc w:val="both"/>
        <w:rPr>
          <w:rFonts w:asciiTheme="majorBidi" w:hAnsiTheme="majorBidi" w:cstheme="majorBidi"/>
        </w:rPr>
      </w:pPr>
      <w:r w:rsidRPr="00176EB3">
        <w:rPr>
          <w:rFonts w:asciiTheme="majorBidi" w:hAnsiTheme="majorBidi" w:cstheme="majorBidi"/>
        </w:rPr>
        <w:t>Has the government established a timetable for ratifying International Labor Organization Convention No. 190?</w:t>
      </w:r>
    </w:p>
    <w:p w14:paraId="16950B1D" w14:textId="77777777" w:rsidR="002C79F5" w:rsidRPr="00176EB3" w:rsidRDefault="002C79F5" w:rsidP="002C79F5">
      <w:pPr>
        <w:numPr>
          <w:ilvl w:val="0"/>
          <w:numId w:val="45"/>
        </w:numPr>
        <w:jc w:val="both"/>
        <w:rPr>
          <w:rFonts w:asciiTheme="majorBidi" w:hAnsiTheme="majorBidi" w:cstheme="majorBidi"/>
        </w:rPr>
      </w:pPr>
      <w:r w:rsidRPr="00176EB3">
        <w:rPr>
          <w:rFonts w:asciiTheme="majorBidi" w:hAnsiTheme="majorBidi" w:cstheme="majorBidi"/>
        </w:rPr>
        <w:t>What measures has the government taken to update the Egyptian Occupational Safety and Health Strategy?</w:t>
      </w:r>
    </w:p>
    <w:p w14:paraId="6ED804A4" w14:textId="77777777" w:rsidR="002C79F5" w:rsidRPr="00176EB3" w:rsidRDefault="002C79F5" w:rsidP="002C79F5">
      <w:pPr>
        <w:numPr>
          <w:ilvl w:val="0"/>
          <w:numId w:val="45"/>
        </w:numPr>
        <w:jc w:val="both"/>
        <w:rPr>
          <w:rFonts w:asciiTheme="majorBidi" w:hAnsiTheme="majorBidi" w:cstheme="majorBidi"/>
        </w:rPr>
      </w:pPr>
      <w:r w:rsidRPr="00176EB3">
        <w:rPr>
          <w:rFonts w:asciiTheme="majorBidi" w:hAnsiTheme="majorBidi" w:cstheme="majorBidi"/>
        </w:rPr>
        <w:t>What implementation mechanisms has the Ministry of Labor established to apply the minimum wage, particularly in all private sector establishments?</w:t>
      </w:r>
    </w:p>
    <w:p w14:paraId="7036EEC0" w14:textId="77777777" w:rsidR="002C79F5" w:rsidRPr="00AB720E" w:rsidRDefault="002C79F5" w:rsidP="002C79F5">
      <w:pPr>
        <w:jc w:val="both"/>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720E">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 Trade Union Rights – Article 8</w:t>
      </w:r>
    </w:p>
    <w:p w14:paraId="0672409A" w14:textId="77777777" w:rsidR="002C79F5" w:rsidRPr="00176EB3" w:rsidRDefault="002C79F5" w:rsidP="002C79F5">
      <w:pPr>
        <w:jc w:val="both"/>
        <w:rPr>
          <w:rFonts w:asciiTheme="majorBidi" w:hAnsiTheme="majorBidi" w:cstheme="majorBidi"/>
        </w:rPr>
      </w:pPr>
      <w:r w:rsidRPr="00176EB3">
        <w:rPr>
          <w:rFonts w:asciiTheme="majorBidi" w:hAnsiTheme="majorBidi" w:cstheme="majorBidi"/>
        </w:rPr>
        <w:t xml:space="preserve">The fifth periodic report submitted by Egypt to </w:t>
      </w:r>
      <w:r w:rsidRPr="00A058E9">
        <w:rPr>
          <w:rFonts w:asciiTheme="majorBidi" w:hAnsiTheme="majorBidi" w:cstheme="majorBidi"/>
        </w:rPr>
        <w:t>CESCR</w:t>
      </w:r>
      <w:r w:rsidRPr="00176EB3">
        <w:rPr>
          <w:rFonts w:asciiTheme="majorBidi" w:hAnsiTheme="majorBidi" w:cstheme="majorBidi"/>
        </w:rPr>
        <w:t xml:space="preserve"> noted that the Trade Union Organizations Law and its amendments, which guarantee the right to organize strikes, are indicators of the implementation of Article 8 of the Covenant concerning the right to exercise trade union activities and form trade unions. </w:t>
      </w:r>
      <w:r w:rsidRPr="00A058E9">
        <w:rPr>
          <w:rFonts w:asciiTheme="majorBidi" w:hAnsiTheme="majorBidi" w:cstheme="majorBidi"/>
        </w:rPr>
        <w:t>Maat</w:t>
      </w:r>
      <w:r w:rsidRPr="00176EB3">
        <w:rPr>
          <w:rFonts w:asciiTheme="majorBidi" w:hAnsiTheme="majorBidi" w:cstheme="majorBidi"/>
        </w:rPr>
        <w:t xml:space="preserve"> notes that the formation and independence of trade unions is a constitutional right in Egypt, and the National Human Rights Strategy aimed to enhance the capabilities of trade unions and committees in collective bargaining, resolving individual and collective disputes, and concluding collective labor agreements.</w:t>
      </w:r>
      <w:r w:rsidRPr="00A058E9">
        <w:rPr>
          <w:rStyle w:val="FootnoteReference"/>
          <w:rFonts w:asciiTheme="majorBidi" w:hAnsiTheme="majorBidi" w:cstheme="majorBidi"/>
        </w:rPr>
        <w:footnoteReference w:id="7"/>
      </w:r>
    </w:p>
    <w:p w14:paraId="6825095E" w14:textId="77777777" w:rsidR="002C79F5" w:rsidRPr="00176EB3" w:rsidRDefault="002C79F5" w:rsidP="002C79F5">
      <w:pPr>
        <w:jc w:val="both"/>
        <w:rPr>
          <w:rFonts w:asciiTheme="majorBidi" w:hAnsiTheme="majorBidi" w:cstheme="majorBidi"/>
        </w:rPr>
      </w:pPr>
      <w:r w:rsidRPr="00A058E9">
        <w:rPr>
          <w:rFonts w:asciiTheme="majorBidi" w:hAnsiTheme="majorBidi" w:cstheme="majorBidi"/>
        </w:rPr>
        <w:t>Maat</w:t>
      </w:r>
      <w:r w:rsidRPr="00176EB3">
        <w:rPr>
          <w:rFonts w:asciiTheme="majorBidi" w:hAnsiTheme="majorBidi" w:cstheme="majorBidi"/>
        </w:rPr>
        <w:t xml:space="preserve"> has also reviewed developments regarding the normalization of trade unions in Egypt. The Ministry of Labor issued Ministerial Decree No. 133 of 2025 on June 13, 2025, concerning updating the databases of trade union organizations across the republic. This decree is considered </w:t>
      </w:r>
      <w:r w:rsidRPr="00176EB3">
        <w:rPr>
          <w:rFonts w:asciiTheme="majorBidi" w:hAnsiTheme="majorBidi" w:cstheme="majorBidi"/>
        </w:rPr>
        <w:lastRenderedPageBreak/>
        <w:t>an organizational step in preparation for the union elections for the period from 2026 to 2030.</w:t>
      </w:r>
      <w:r w:rsidRPr="00A058E9">
        <w:rPr>
          <w:rStyle w:val="FootnoteReference"/>
          <w:rFonts w:asciiTheme="majorBidi" w:hAnsiTheme="majorBidi" w:cstheme="majorBidi"/>
        </w:rPr>
        <w:footnoteReference w:id="8"/>
      </w:r>
      <w:r w:rsidRPr="00176EB3">
        <w:rPr>
          <w:rFonts w:asciiTheme="majorBidi" w:hAnsiTheme="majorBidi" w:cstheme="majorBidi"/>
        </w:rPr>
        <w:t xml:space="preserve"> The decree stipulates in its second article that all trade union organizations must update their data with the relevant administrative authorities, starting from July 1, 2025, for a duration of three months.</w:t>
      </w:r>
    </w:p>
    <w:p w14:paraId="6FE5488B" w14:textId="77777777" w:rsidR="002C79F5" w:rsidRPr="00176EB3" w:rsidRDefault="002C79F5" w:rsidP="002C79F5">
      <w:pPr>
        <w:jc w:val="both"/>
        <w:rPr>
          <w:rFonts w:asciiTheme="majorBidi" w:hAnsiTheme="majorBidi" w:cstheme="majorBidi"/>
          <w:color w:val="FF0000"/>
        </w:rPr>
      </w:pPr>
      <w:r w:rsidRPr="00176EB3">
        <w:rPr>
          <w:rFonts w:asciiTheme="majorBidi" w:hAnsiTheme="majorBidi" w:cstheme="majorBidi"/>
        </w:rPr>
        <w:t xml:space="preserve">However, on August 11, 2025, trade union organizations submitted a memorandum to the Minister of Labor objecting to certain provisions of Ministerial Decree No. 133 of 2025 regarding the updating of trade union organizations' data and its submission, particularly the requirement for the approval of the membership lists of the trade union organization or the professional trade union committee by </w:t>
      </w:r>
      <w:r w:rsidRPr="003B4F62">
        <w:rPr>
          <w:rFonts w:asciiTheme="majorBidi" w:hAnsiTheme="majorBidi" w:cstheme="majorBidi"/>
        </w:rPr>
        <w:t>the establishment management or social insurance.</w:t>
      </w:r>
      <w:r w:rsidRPr="003B4F62">
        <w:rPr>
          <w:rStyle w:val="FootnoteReference"/>
          <w:rFonts w:asciiTheme="majorBidi" w:hAnsiTheme="majorBidi" w:cstheme="majorBidi"/>
        </w:rPr>
        <w:footnoteReference w:id="9"/>
      </w:r>
    </w:p>
    <w:p w14:paraId="4A1CDDD4" w14:textId="77777777" w:rsidR="002C79F5" w:rsidRPr="00DE381A" w:rsidRDefault="002C79F5" w:rsidP="002C79F5">
      <w:pPr>
        <w:jc w:val="both"/>
        <w:rPr>
          <w:rFonts w:asciiTheme="majorBidi" w:hAnsiTheme="majorBidi" w:cstheme="majorBidi"/>
        </w:rPr>
      </w:pPr>
      <w:r w:rsidRPr="00176EB3">
        <w:rPr>
          <w:rFonts w:asciiTheme="majorBidi" w:hAnsiTheme="majorBidi" w:cstheme="majorBidi"/>
        </w:rPr>
        <w:t>This requirement for approval of these lists by the establishment management or social insurance is seen as a potential obstacle, making it difficult for some trade union organizations due to employers' refusal to approve the lists as a result of their lack of cooperation with the trade union or other administrative barriers. According to the memorandum, this provision could lead to employers intervening in the affairs of trade unions or imposing restrictions on them, which could violate International Labor Organization Convention No. 87 regarding the freedom of association and the protection of the right to organize.</w:t>
      </w:r>
    </w:p>
    <w:p w14:paraId="5076E60E" w14:textId="77777777" w:rsidR="002C79F5" w:rsidRPr="00DE381A" w:rsidRDefault="002C79F5" w:rsidP="002C79F5">
      <w:pPr>
        <w:jc w:val="both"/>
        <w:rPr>
          <w:rFonts w:asciiTheme="majorBidi" w:hAnsiTheme="majorBidi" w:cstheme="majorBidi"/>
        </w:rPr>
      </w:pPr>
      <w:r w:rsidRPr="00DE381A">
        <w:rPr>
          <w:rFonts w:asciiTheme="majorBidi" w:hAnsiTheme="majorBidi" w:cstheme="majorBidi"/>
        </w:rPr>
        <w:t>Practical implementation of the normalization of trade unions has revealed additional challenges. Labor directorates receive data from trade unions without providing any acknowledgment of receipt to these organizations, merely promising to deliver a confirmation of the data update after the end of the specified three-month period for completing the submission process.</w:t>
      </w:r>
    </w:p>
    <w:p w14:paraId="7C649155" w14:textId="77777777" w:rsidR="002C79F5" w:rsidRPr="00DE381A" w:rsidRDefault="002C79F5" w:rsidP="002C79F5">
      <w:pPr>
        <w:jc w:val="both"/>
        <w:rPr>
          <w:rFonts w:asciiTheme="majorBidi" w:hAnsiTheme="majorBidi" w:cstheme="majorBidi"/>
        </w:rPr>
      </w:pPr>
      <w:r w:rsidRPr="00DE381A">
        <w:rPr>
          <w:rFonts w:asciiTheme="majorBidi" w:hAnsiTheme="majorBidi" w:cstheme="majorBidi"/>
        </w:rPr>
        <w:t>On another note, there have been positive developments, including court rulings to lift guardianship imposed on certain unions. On May 25, 2025, the Administrative Court issued a final ruling to annul the judicial guardianship imposed on the Scientific Professions Syndicate. The court indicated in its ruling that the contested administrative decision was issued in violation of the law and represented an infringement on the independent will of the elected general assembly members. The court considered that imposing guardianship or managing unions through administrative decisions contradicts the principles of union independence and the right to professional organization.</w:t>
      </w:r>
    </w:p>
    <w:p w14:paraId="39285973" w14:textId="04A30D7C" w:rsidR="002C79F5" w:rsidRPr="003B4F62" w:rsidRDefault="00017134" w:rsidP="002C79F5">
      <w:pPr>
        <w:jc w:val="both"/>
        <w:rPr>
          <w:rFonts w:asciiTheme="majorBidi" w:hAnsiTheme="majorBidi" w:cstheme="majorBidi"/>
          <w:b/>
          <w:bCs/>
        </w:rPr>
      </w:pPr>
      <w:r>
        <w:rPr>
          <w:rFonts w:asciiTheme="majorBidi" w:hAnsiTheme="majorBidi" w:cstheme="majorBidi"/>
          <w:b/>
          <w:bCs/>
        </w:rPr>
        <w:lastRenderedPageBreak/>
        <w:t>Maat</w:t>
      </w:r>
      <w:r w:rsidR="002C79F5" w:rsidRPr="003B4F62">
        <w:rPr>
          <w:rFonts w:asciiTheme="majorBidi" w:hAnsiTheme="majorBidi" w:cstheme="majorBidi"/>
          <w:b/>
          <w:bCs/>
        </w:rPr>
        <w:t xml:space="preserve"> encourage</w:t>
      </w:r>
      <w:r>
        <w:rPr>
          <w:rFonts w:asciiTheme="majorBidi" w:hAnsiTheme="majorBidi" w:cstheme="majorBidi"/>
          <w:b/>
          <w:bCs/>
        </w:rPr>
        <w:t>s</w:t>
      </w:r>
      <w:r w:rsidR="002C79F5" w:rsidRPr="003B4F62">
        <w:rPr>
          <w:rFonts w:asciiTheme="majorBidi" w:hAnsiTheme="majorBidi" w:cstheme="majorBidi"/>
          <w:b/>
          <w:bCs/>
        </w:rPr>
        <w:t xml:space="preserve"> CESCR to raise the following questions:</w:t>
      </w:r>
    </w:p>
    <w:p w14:paraId="5BFC5616" w14:textId="77777777" w:rsidR="002C79F5" w:rsidRPr="00DE381A" w:rsidRDefault="002C79F5" w:rsidP="002C79F5">
      <w:pPr>
        <w:numPr>
          <w:ilvl w:val="0"/>
          <w:numId w:val="46"/>
        </w:numPr>
        <w:jc w:val="both"/>
        <w:rPr>
          <w:rFonts w:asciiTheme="majorBidi" w:hAnsiTheme="majorBidi" w:cstheme="majorBidi"/>
        </w:rPr>
      </w:pPr>
      <w:r w:rsidRPr="00DE381A">
        <w:rPr>
          <w:rFonts w:asciiTheme="majorBidi" w:hAnsiTheme="majorBidi" w:cstheme="majorBidi"/>
        </w:rPr>
        <w:t>How many labor union organizations are targeted for establishment based on the national database of labor union organizations created under Decree No. 133 of 2025?</w:t>
      </w:r>
    </w:p>
    <w:p w14:paraId="7A7F6481" w14:textId="77777777" w:rsidR="002C79F5" w:rsidRPr="00DE381A" w:rsidRDefault="002C79F5" w:rsidP="002C79F5">
      <w:pPr>
        <w:numPr>
          <w:ilvl w:val="0"/>
          <w:numId w:val="46"/>
        </w:numPr>
        <w:jc w:val="both"/>
        <w:rPr>
          <w:rFonts w:asciiTheme="majorBidi" w:hAnsiTheme="majorBidi" w:cstheme="majorBidi"/>
        </w:rPr>
      </w:pPr>
      <w:r w:rsidRPr="00DE381A">
        <w:rPr>
          <w:rFonts w:asciiTheme="majorBidi" w:hAnsiTheme="majorBidi" w:cstheme="majorBidi"/>
        </w:rPr>
        <w:t>What steps are being taken to remove bureaucratic obstacles to the normalization of labor unions?</w:t>
      </w:r>
    </w:p>
    <w:p w14:paraId="043F92E4" w14:textId="77777777" w:rsidR="002C79F5" w:rsidRPr="00DE381A" w:rsidRDefault="002C79F5" w:rsidP="002C79F5">
      <w:pPr>
        <w:numPr>
          <w:ilvl w:val="0"/>
          <w:numId w:val="46"/>
        </w:numPr>
        <w:jc w:val="both"/>
        <w:rPr>
          <w:rFonts w:asciiTheme="majorBidi" w:hAnsiTheme="majorBidi" w:cstheme="majorBidi"/>
        </w:rPr>
      </w:pPr>
      <w:r w:rsidRPr="00DE381A">
        <w:rPr>
          <w:rFonts w:asciiTheme="majorBidi" w:hAnsiTheme="majorBidi" w:cstheme="majorBidi"/>
        </w:rPr>
        <w:t xml:space="preserve">What judicial rulings have been issued since the last government review before </w:t>
      </w:r>
      <w:r w:rsidRPr="00A058E9">
        <w:rPr>
          <w:rFonts w:asciiTheme="majorBidi" w:hAnsiTheme="majorBidi" w:cstheme="majorBidi"/>
        </w:rPr>
        <w:t>CESCR</w:t>
      </w:r>
      <w:r w:rsidRPr="00DE381A">
        <w:rPr>
          <w:rFonts w:asciiTheme="majorBidi" w:hAnsiTheme="majorBidi" w:cstheme="majorBidi"/>
        </w:rPr>
        <w:t xml:space="preserve"> regarding the annulment of judicial guardianship over unions?</w:t>
      </w:r>
    </w:p>
    <w:p w14:paraId="15F2E935" w14:textId="77777777" w:rsidR="002C79F5" w:rsidRPr="00AB720E" w:rsidRDefault="002C79F5" w:rsidP="002C79F5">
      <w:pPr>
        <w:jc w:val="both"/>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720E">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 Adequate Housing as an Element of Sufficient Standard of Living – Article 11</w:t>
      </w:r>
    </w:p>
    <w:p w14:paraId="22E94875" w14:textId="77777777" w:rsidR="002C79F5" w:rsidRPr="00DE381A" w:rsidRDefault="002C79F5" w:rsidP="002C79F5">
      <w:pPr>
        <w:jc w:val="both"/>
        <w:rPr>
          <w:rFonts w:asciiTheme="majorBidi" w:hAnsiTheme="majorBidi" w:cstheme="majorBidi"/>
        </w:rPr>
      </w:pPr>
      <w:r w:rsidRPr="00DE381A">
        <w:rPr>
          <w:rFonts w:asciiTheme="majorBidi" w:hAnsiTheme="majorBidi" w:cstheme="majorBidi"/>
        </w:rPr>
        <w:t>The right to adequate housing is recognized as a fundamental human right and an integral part of the core values of human dignity and equality, serving as a key component in ensuring an adequate standard of living for every individual and their family according to Article 11 of the Covenant.</w:t>
      </w:r>
      <w:r w:rsidRPr="00A058E9">
        <w:rPr>
          <w:rStyle w:val="FootnoteReference"/>
          <w:rFonts w:asciiTheme="majorBidi" w:hAnsiTheme="majorBidi" w:cstheme="majorBidi"/>
        </w:rPr>
        <w:footnoteReference w:id="10"/>
      </w:r>
      <w:r w:rsidRPr="00DE381A">
        <w:rPr>
          <w:rFonts w:asciiTheme="majorBidi" w:hAnsiTheme="majorBidi" w:cstheme="majorBidi"/>
        </w:rPr>
        <w:t xml:space="preserve"> In the period following Egypt's last review by </w:t>
      </w:r>
      <w:r w:rsidRPr="00A058E9">
        <w:rPr>
          <w:rFonts w:asciiTheme="majorBidi" w:hAnsiTheme="majorBidi" w:cstheme="majorBidi"/>
        </w:rPr>
        <w:t>CESCR</w:t>
      </w:r>
      <w:r w:rsidRPr="00DE381A">
        <w:rPr>
          <w:rFonts w:asciiTheme="majorBidi" w:hAnsiTheme="majorBidi" w:cstheme="majorBidi"/>
        </w:rPr>
        <w:t>, the government has continued its efforts to guarantee the right to adequate housing. The Egyptian government launched the "Housing for All Egyptians" initiative, which has benefited 671,000 recipients as of November 2025, according to official data. The government has also achieved the goal of eliminating unsafe, informal areas, home to over 14 million people in 2014,</w:t>
      </w:r>
      <w:r w:rsidRPr="00A058E9">
        <w:rPr>
          <w:rStyle w:val="FootnoteReference"/>
          <w:rFonts w:asciiTheme="majorBidi" w:hAnsiTheme="majorBidi" w:cstheme="majorBidi"/>
        </w:rPr>
        <w:footnoteReference w:id="11"/>
      </w:r>
      <w:r w:rsidRPr="00DE381A">
        <w:rPr>
          <w:rFonts w:asciiTheme="majorBidi" w:hAnsiTheme="majorBidi" w:cstheme="majorBidi"/>
        </w:rPr>
        <w:t xml:space="preserve"> by developing more than 357 areas at a cost of 63 billion Egyptian pounds.</w:t>
      </w:r>
    </w:p>
    <w:p w14:paraId="6A8D7ECD" w14:textId="77777777" w:rsidR="002C79F5" w:rsidRPr="00DE381A" w:rsidRDefault="002C79F5" w:rsidP="002C79F5">
      <w:pPr>
        <w:jc w:val="both"/>
        <w:rPr>
          <w:rFonts w:asciiTheme="majorBidi" w:hAnsiTheme="majorBidi" w:cstheme="majorBidi"/>
        </w:rPr>
      </w:pPr>
      <w:r w:rsidRPr="00DE381A">
        <w:rPr>
          <w:rFonts w:asciiTheme="majorBidi" w:hAnsiTheme="majorBidi" w:cstheme="majorBidi"/>
        </w:rPr>
        <w:t xml:space="preserve">Moreover, on August 4, 2025, the President approved Law No. 164 of 2025 concerning certain provisions related to rental laws and the reorganization of the relationship between landlords and tenants, commonly referred to as the </w:t>
      </w:r>
      <w:r w:rsidRPr="00840743">
        <w:rPr>
          <w:rFonts w:asciiTheme="majorBidi" w:hAnsiTheme="majorBidi" w:cstheme="majorBidi"/>
        </w:rPr>
        <w:t>Old Lease Law</w:t>
      </w:r>
      <w:r w:rsidRPr="00DE381A">
        <w:rPr>
          <w:rFonts w:asciiTheme="majorBidi" w:hAnsiTheme="majorBidi" w:cstheme="majorBidi"/>
        </w:rPr>
        <w:t>. This law stipulates a rental period of seven years for residential units and five years for commercial and administrative units, obligating tenants to vacate the property upon expiration unless the contract is renewed by agreement with the landlord.</w:t>
      </w:r>
      <w:r w:rsidRPr="00A058E9">
        <w:rPr>
          <w:rStyle w:val="FootnoteReference"/>
          <w:rFonts w:asciiTheme="majorBidi" w:hAnsiTheme="majorBidi" w:cstheme="majorBidi"/>
        </w:rPr>
        <w:footnoteReference w:id="12"/>
      </w:r>
      <w:r w:rsidRPr="00DE381A">
        <w:rPr>
          <w:rFonts w:asciiTheme="majorBidi" w:hAnsiTheme="majorBidi" w:cstheme="majorBidi"/>
        </w:rPr>
        <w:t xml:space="preserve"> The implementation of this law has sparked debate, particularly among tenants who fear losing the homes they have lived in. However, under the law, these tenants have the right to apply for an alternative unit from the state, whether on a rental or ownership basis, provided they </w:t>
      </w:r>
      <w:r w:rsidRPr="00DE381A">
        <w:rPr>
          <w:rFonts w:asciiTheme="majorBidi" w:hAnsiTheme="majorBidi" w:cstheme="majorBidi"/>
        </w:rPr>
        <w:lastRenderedPageBreak/>
        <w:t>apply before the expiration of the period specified in the second article of the aforementioned law and submit a declaration of vacating the old unit immediately upon allocation.</w:t>
      </w:r>
      <w:r w:rsidRPr="00A058E9">
        <w:rPr>
          <w:rStyle w:val="FootnoteReference"/>
          <w:rFonts w:asciiTheme="majorBidi" w:hAnsiTheme="majorBidi" w:cstheme="majorBidi"/>
        </w:rPr>
        <w:footnoteReference w:id="13"/>
      </w:r>
    </w:p>
    <w:p w14:paraId="5146778E" w14:textId="77777777" w:rsidR="002C79F5" w:rsidRPr="00DE381A" w:rsidRDefault="002C79F5" w:rsidP="002C79F5">
      <w:pPr>
        <w:jc w:val="both"/>
        <w:rPr>
          <w:rFonts w:asciiTheme="majorBidi" w:hAnsiTheme="majorBidi" w:cstheme="majorBidi"/>
        </w:rPr>
      </w:pPr>
      <w:r w:rsidRPr="00DE381A">
        <w:rPr>
          <w:rFonts w:asciiTheme="majorBidi" w:hAnsiTheme="majorBidi" w:cstheme="majorBidi"/>
        </w:rPr>
        <w:t>Despite these positive developments regarding the right to housing in Egypt, a joint study issued by the "Alliance for Financial Inclusion" (AFI) and the Central Bank of Egypt in collaboration with the United Nations Human Settlements Programme examined the challenges faced in implementing the presidential initiative "Housing for All Egyptians." The study highlighted the difficulty of convincing banks to participate in financing the initiative, especially given the nature of the target audience, which indicated that 65% of the target audience had not previously engaged with banks. The initiative began with cooperation from only four banks but is now working with 30 different financing entities, including 22 banks.</w:t>
      </w:r>
      <w:r w:rsidRPr="00A058E9">
        <w:rPr>
          <w:rStyle w:val="FootnoteReference"/>
          <w:rFonts w:asciiTheme="majorBidi" w:hAnsiTheme="majorBidi" w:cstheme="majorBidi"/>
        </w:rPr>
        <w:footnoteReference w:id="14"/>
      </w:r>
    </w:p>
    <w:p w14:paraId="176570CF" w14:textId="77777777" w:rsidR="002C79F5" w:rsidRPr="00DE381A" w:rsidRDefault="002C79F5" w:rsidP="002C79F5">
      <w:pPr>
        <w:jc w:val="both"/>
        <w:rPr>
          <w:rFonts w:asciiTheme="majorBidi" w:hAnsiTheme="majorBidi" w:cstheme="majorBidi"/>
        </w:rPr>
      </w:pPr>
      <w:r w:rsidRPr="00DE381A">
        <w:rPr>
          <w:rFonts w:asciiTheme="majorBidi" w:hAnsiTheme="majorBidi" w:cstheme="majorBidi"/>
        </w:rPr>
        <w:t>On the other hand, despite the expansion in building new cities, particularly in the desert hinterland and the development of essential services and facilities, there remains a shortage of services.</w:t>
      </w:r>
      <w:r w:rsidRPr="00A058E9">
        <w:rPr>
          <w:rStyle w:val="FootnoteReference"/>
          <w:rFonts w:asciiTheme="majorBidi" w:hAnsiTheme="majorBidi" w:cstheme="majorBidi"/>
        </w:rPr>
        <w:footnoteReference w:id="15"/>
      </w:r>
      <w:r w:rsidRPr="00DE381A">
        <w:rPr>
          <w:rFonts w:asciiTheme="majorBidi" w:hAnsiTheme="majorBidi" w:cstheme="majorBidi"/>
        </w:rPr>
        <w:t xml:space="preserve"> The geographical distance of the new cities from job centers necessitates the establishment of new transport lines, which are often not available.</w:t>
      </w:r>
      <w:r w:rsidRPr="00A058E9">
        <w:rPr>
          <w:rStyle w:val="FootnoteReference"/>
          <w:rFonts w:asciiTheme="majorBidi" w:hAnsiTheme="majorBidi" w:cstheme="majorBidi"/>
        </w:rPr>
        <w:footnoteReference w:id="16"/>
      </w:r>
    </w:p>
    <w:p w14:paraId="29A57018" w14:textId="79BD6676" w:rsidR="002C79F5" w:rsidRPr="00840743" w:rsidRDefault="00017134" w:rsidP="002C79F5">
      <w:pPr>
        <w:jc w:val="both"/>
        <w:rPr>
          <w:rFonts w:asciiTheme="majorBidi" w:hAnsiTheme="majorBidi" w:cstheme="majorBidi"/>
          <w:b/>
          <w:bCs/>
        </w:rPr>
      </w:pPr>
      <w:r>
        <w:rPr>
          <w:rFonts w:asciiTheme="majorBidi" w:hAnsiTheme="majorBidi" w:cstheme="majorBidi"/>
          <w:b/>
          <w:bCs/>
        </w:rPr>
        <w:t>Maat</w:t>
      </w:r>
      <w:r w:rsidR="002C79F5" w:rsidRPr="00840743">
        <w:rPr>
          <w:rFonts w:asciiTheme="majorBidi" w:hAnsiTheme="majorBidi" w:cstheme="majorBidi"/>
          <w:b/>
          <w:bCs/>
        </w:rPr>
        <w:t xml:space="preserve"> encourage</w:t>
      </w:r>
      <w:r>
        <w:rPr>
          <w:rFonts w:asciiTheme="majorBidi" w:hAnsiTheme="majorBidi" w:cstheme="majorBidi"/>
          <w:b/>
          <w:bCs/>
        </w:rPr>
        <w:t>s</w:t>
      </w:r>
      <w:r w:rsidR="002C79F5" w:rsidRPr="00840743">
        <w:rPr>
          <w:rFonts w:asciiTheme="majorBidi" w:hAnsiTheme="majorBidi" w:cstheme="majorBidi"/>
          <w:b/>
          <w:bCs/>
        </w:rPr>
        <w:t xml:space="preserve"> CESCR to raise the following questions:</w:t>
      </w:r>
    </w:p>
    <w:p w14:paraId="4ACA19B7" w14:textId="77777777" w:rsidR="002C79F5" w:rsidRPr="00DE381A" w:rsidRDefault="002C79F5" w:rsidP="002C79F5">
      <w:pPr>
        <w:numPr>
          <w:ilvl w:val="0"/>
          <w:numId w:val="47"/>
        </w:numPr>
        <w:jc w:val="both"/>
        <w:rPr>
          <w:rFonts w:asciiTheme="majorBidi" w:hAnsiTheme="majorBidi" w:cstheme="majorBidi"/>
        </w:rPr>
      </w:pPr>
      <w:r w:rsidRPr="00DE381A">
        <w:rPr>
          <w:rFonts w:asciiTheme="majorBidi" w:hAnsiTheme="majorBidi" w:cstheme="majorBidi"/>
        </w:rPr>
        <w:t>What steps have been taken to remove obstacles to financing the "Housing for All Egyptians" initiative?</w:t>
      </w:r>
    </w:p>
    <w:p w14:paraId="464968E2" w14:textId="77777777" w:rsidR="002C79F5" w:rsidRPr="00DE381A" w:rsidRDefault="002C79F5" w:rsidP="002C79F5">
      <w:pPr>
        <w:numPr>
          <w:ilvl w:val="0"/>
          <w:numId w:val="47"/>
        </w:numPr>
        <w:jc w:val="both"/>
        <w:rPr>
          <w:rFonts w:asciiTheme="majorBidi" w:hAnsiTheme="majorBidi" w:cstheme="majorBidi"/>
        </w:rPr>
      </w:pPr>
      <w:r w:rsidRPr="00DE381A">
        <w:rPr>
          <w:rFonts w:asciiTheme="majorBidi" w:hAnsiTheme="majorBidi" w:cstheme="majorBidi"/>
        </w:rPr>
        <w:t>How many tenants subject to the provisions of Law No. 164 of 2025 have applied for alternative housing?</w:t>
      </w:r>
    </w:p>
    <w:p w14:paraId="0949730E" w14:textId="77777777" w:rsidR="002C79F5" w:rsidRPr="00AB720E" w:rsidRDefault="002C79F5" w:rsidP="002C79F5">
      <w:pPr>
        <w:jc w:val="both"/>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720E">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Fourth: The Right to Health Care – Article 12</w:t>
      </w:r>
    </w:p>
    <w:p w14:paraId="61CFA877" w14:textId="6C47CD52" w:rsidR="002C79F5" w:rsidRPr="00DE381A" w:rsidRDefault="002C79F5" w:rsidP="002C79F5">
      <w:pPr>
        <w:jc w:val="both"/>
        <w:rPr>
          <w:rFonts w:asciiTheme="majorBidi" w:hAnsiTheme="majorBidi" w:cstheme="majorBidi"/>
        </w:rPr>
      </w:pPr>
      <w:r w:rsidRPr="00DE381A">
        <w:rPr>
          <w:rFonts w:asciiTheme="majorBidi" w:hAnsiTheme="majorBidi" w:cstheme="majorBidi"/>
        </w:rPr>
        <w:t>Expenditure on the health sector reached 617.9 billion Egyptian pounds according to the 2025/2026 budget. Despite this, the percentage of health expenditure has not reached the levels stipulated in the Egyptian Constitution.</w:t>
      </w:r>
      <w:r w:rsidRPr="00A058E9">
        <w:rPr>
          <w:rStyle w:val="FootnoteReference"/>
          <w:rFonts w:asciiTheme="majorBidi" w:hAnsiTheme="majorBidi" w:cstheme="majorBidi"/>
        </w:rPr>
        <w:footnoteReference w:id="17"/>
      </w:r>
      <w:r w:rsidRPr="00DE381A">
        <w:rPr>
          <w:rFonts w:asciiTheme="majorBidi" w:hAnsiTheme="majorBidi" w:cstheme="majorBidi"/>
        </w:rPr>
        <w:t xml:space="preserve"> During the period following the last review before </w:t>
      </w:r>
      <w:r w:rsidRPr="00A058E9">
        <w:rPr>
          <w:rFonts w:asciiTheme="majorBidi" w:hAnsiTheme="majorBidi" w:cstheme="majorBidi"/>
        </w:rPr>
        <w:t>CESCR</w:t>
      </w:r>
      <w:r w:rsidRPr="00DE381A">
        <w:rPr>
          <w:rFonts w:asciiTheme="majorBidi" w:hAnsiTheme="majorBidi" w:cstheme="majorBidi"/>
        </w:rPr>
        <w:t xml:space="preserve">, there were positive developments, including the Egyptian government's launch of the National Public Health Strategy, which includes seven main priorities, one of which is the </w:t>
      </w:r>
      <w:r w:rsidRPr="00DE381A">
        <w:rPr>
          <w:rFonts w:asciiTheme="majorBidi" w:hAnsiTheme="majorBidi" w:cstheme="majorBidi"/>
        </w:rPr>
        <w:lastRenderedPageBreak/>
        <w:t>prevention and control of diseases impacting public health.</w:t>
      </w:r>
      <w:r w:rsidRPr="00A058E9">
        <w:rPr>
          <w:rStyle w:val="FootnoteReference"/>
          <w:rFonts w:asciiTheme="majorBidi" w:hAnsiTheme="majorBidi" w:cstheme="majorBidi"/>
        </w:rPr>
        <w:footnoteReference w:id="18"/>
      </w:r>
      <w:r w:rsidRPr="00DE381A">
        <w:rPr>
          <w:rFonts w:asciiTheme="majorBidi" w:hAnsiTheme="majorBidi" w:cstheme="majorBidi"/>
        </w:rPr>
        <w:t xml:space="preserve"> </w:t>
      </w:r>
      <w:r w:rsidRPr="00A058E9">
        <w:rPr>
          <w:rFonts w:asciiTheme="majorBidi" w:hAnsiTheme="majorBidi" w:cstheme="majorBidi"/>
        </w:rPr>
        <w:t>Maat</w:t>
      </w:r>
      <w:r w:rsidRPr="00DE381A">
        <w:rPr>
          <w:rFonts w:asciiTheme="majorBidi" w:hAnsiTheme="majorBidi" w:cstheme="majorBidi"/>
        </w:rPr>
        <w:t xml:space="preserve"> also observed the continued implementation of public health initiatives, which include 14 presidential initiatives under the banner "100 </w:t>
      </w:r>
      <w:r w:rsidRPr="00A058E9">
        <w:rPr>
          <w:rFonts w:asciiTheme="majorBidi" w:hAnsiTheme="majorBidi" w:cstheme="majorBidi"/>
        </w:rPr>
        <w:t xml:space="preserve">Million </w:t>
      </w:r>
      <w:r w:rsidR="00313E42">
        <w:rPr>
          <w:rFonts w:asciiTheme="majorBidi" w:hAnsiTheme="majorBidi" w:cstheme="majorBidi"/>
        </w:rPr>
        <w:t>Health</w:t>
      </w:r>
      <w:r w:rsidRPr="00DE381A">
        <w:rPr>
          <w:rFonts w:asciiTheme="majorBidi" w:hAnsiTheme="majorBidi" w:cstheme="majorBidi"/>
        </w:rPr>
        <w:t>," aiming to achieve comprehensive health care for all citizens while ensuring easy access to health services. These initiatives provided 218 million services to about 94 million citizens across more than 3,527 health units.</w:t>
      </w:r>
    </w:p>
    <w:p w14:paraId="767EC8E6" w14:textId="2D9382C0" w:rsidR="002C79F5" w:rsidRPr="00DE381A" w:rsidRDefault="002C79F5" w:rsidP="002C79F5">
      <w:pPr>
        <w:jc w:val="both"/>
        <w:rPr>
          <w:rFonts w:asciiTheme="majorBidi" w:hAnsiTheme="majorBidi" w:cstheme="majorBidi"/>
        </w:rPr>
      </w:pPr>
      <w:r w:rsidRPr="00DE381A">
        <w:rPr>
          <w:rFonts w:asciiTheme="majorBidi" w:hAnsiTheme="majorBidi" w:cstheme="majorBidi"/>
        </w:rPr>
        <w:t xml:space="preserve">On October 30, 2025, the Cabinet discussed the start of the second phase of the Comprehensive Health Insurance System. The Ministry of Health and Population is implementing the system in six phases, with the first phase covering the governorates of Port Said, Suez, South Sinai, Ismailia, Aswan, and Luxor, at a cost of approximately 51.2 billion pounds. </w:t>
      </w:r>
      <w:r w:rsidRPr="00313E42">
        <w:rPr>
          <w:rFonts w:asciiTheme="majorBidi" w:hAnsiTheme="majorBidi" w:cstheme="majorBidi"/>
        </w:rPr>
        <w:t>However, Maat documented some complaints from citizens adversely affected by the implementation of this system, as retroactive debts dating back</w:t>
      </w:r>
      <w:r w:rsidRPr="00DE381A">
        <w:rPr>
          <w:rFonts w:asciiTheme="majorBidi" w:hAnsiTheme="majorBidi" w:cstheme="majorBidi"/>
          <w:color w:val="FF0000"/>
        </w:rPr>
        <w:t xml:space="preserve"> </w:t>
      </w:r>
      <w:r w:rsidRPr="00DE381A">
        <w:rPr>
          <w:rFonts w:asciiTheme="majorBidi" w:hAnsiTheme="majorBidi" w:cstheme="majorBidi"/>
        </w:rPr>
        <w:t>to 2019 through 2025 were imposed on them. According to testimonies, fines and late fees were charged to those who failed to pay contributions, preventing them from accessing certain government services, such as renewing driver's licenses or obtaining health certificates for children enrolled in schools.</w:t>
      </w:r>
      <w:r w:rsidRPr="00A058E9">
        <w:rPr>
          <w:rStyle w:val="FootnoteReference"/>
          <w:rFonts w:asciiTheme="majorBidi" w:hAnsiTheme="majorBidi" w:cstheme="majorBidi"/>
        </w:rPr>
        <w:footnoteReference w:id="19"/>
      </w:r>
      <w:r w:rsidRPr="00A058E9">
        <w:rPr>
          <w:rFonts w:asciiTheme="majorBidi" w:hAnsiTheme="majorBidi" w:cstheme="majorBidi"/>
        </w:rPr>
        <w:t xml:space="preserve"> </w:t>
      </w:r>
      <w:r w:rsidRPr="00DE381A">
        <w:rPr>
          <w:rFonts w:asciiTheme="majorBidi" w:hAnsiTheme="majorBidi" w:cstheme="majorBidi"/>
        </w:rPr>
        <w:t>Regarding reducing maternal mortality, the Joint United Nations Group report on maternal mortality praised the Egyptian government’s efforts in decreasing maternal mortality as one of the top ten countries with the greatest reduction in maternal mortality rates.</w:t>
      </w:r>
      <w:r w:rsidRPr="00A058E9">
        <w:rPr>
          <w:rStyle w:val="FootnoteReference"/>
          <w:rFonts w:asciiTheme="majorBidi" w:hAnsiTheme="majorBidi" w:cstheme="majorBidi"/>
        </w:rPr>
        <w:footnoteReference w:id="20"/>
      </w:r>
    </w:p>
    <w:p w14:paraId="78EE206E" w14:textId="5874DEB2" w:rsidR="002C79F5" w:rsidRPr="00F47E10" w:rsidRDefault="002C79F5" w:rsidP="002C79F5">
      <w:pPr>
        <w:jc w:val="both"/>
        <w:rPr>
          <w:rFonts w:asciiTheme="majorBidi" w:hAnsiTheme="majorBidi" w:cstheme="majorBidi"/>
        </w:rPr>
      </w:pPr>
      <w:r w:rsidRPr="00DE381A">
        <w:rPr>
          <w:rFonts w:asciiTheme="majorBidi" w:hAnsiTheme="majorBidi" w:cstheme="majorBidi"/>
        </w:rPr>
        <w:t xml:space="preserve">Despite these positive developments in health care, challenges remain in enhancing the right to health in Egypt as outlined in Article 12 of the Covenant. </w:t>
      </w:r>
      <w:r w:rsidRPr="00E9566F">
        <w:rPr>
          <w:rFonts w:asciiTheme="majorBidi" w:hAnsiTheme="majorBidi" w:cstheme="majorBidi"/>
        </w:rPr>
        <w:t>The number of Egyptians suffering from anemia has increased; according to government data, 40% of Egyptians are affected by this condition.</w:t>
      </w:r>
      <w:r w:rsidRPr="00E9566F">
        <w:rPr>
          <w:rStyle w:val="FootnoteReference"/>
          <w:rFonts w:asciiTheme="majorBidi" w:hAnsiTheme="majorBidi" w:cstheme="majorBidi"/>
        </w:rPr>
        <w:footnoteReference w:id="21"/>
      </w:r>
      <w:r w:rsidRPr="00E9566F">
        <w:rPr>
          <w:rFonts w:asciiTheme="majorBidi" w:hAnsiTheme="majorBidi" w:cstheme="majorBidi"/>
        </w:rPr>
        <w:t xml:space="preserve"> Additionally, the rates of cesarean sections have risen in Egypt, with the Ministry of Health and Population citing that Egypt has the highest rate of cesarean births in the world, at 72%. Cesarean deliveries can lead to complications for both mother and child and contribute to increased anemia rates in mothers and weakened immunity in children. Furthermore, the cesarean wound takes a year to heal.</w:t>
      </w:r>
      <w:r w:rsidRPr="00E9566F">
        <w:rPr>
          <w:rStyle w:val="FootnoteReference"/>
          <w:rFonts w:asciiTheme="majorBidi" w:hAnsiTheme="majorBidi" w:cstheme="majorBidi"/>
        </w:rPr>
        <w:footnoteReference w:id="22"/>
      </w:r>
      <w:r w:rsidRPr="00E9566F">
        <w:rPr>
          <w:rFonts w:asciiTheme="majorBidi" w:hAnsiTheme="majorBidi" w:cstheme="majorBidi"/>
        </w:rPr>
        <w:t xml:space="preserve"> The Deputy Minister of Health and Population deemed the rates of cesarean deliveries in Egypt a medical disaster, which necessitates new regulatory measures to reduce </w:t>
      </w:r>
      <w:r w:rsidRPr="00E9566F">
        <w:rPr>
          <w:rFonts w:asciiTheme="majorBidi" w:hAnsiTheme="majorBidi" w:cstheme="majorBidi"/>
        </w:rPr>
        <w:lastRenderedPageBreak/>
        <w:t>unnecessary cesarean operations.</w:t>
      </w:r>
      <w:r w:rsidR="00E9566F" w:rsidRPr="00E9566F">
        <w:rPr>
          <w:rFonts w:asciiTheme="majorBidi" w:hAnsiTheme="majorBidi" w:cstheme="majorBidi" w:hint="cs"/>
          <w:rtl/>
        </w:rPr>
        <w:t xml:space="preserve"> </w:t>
      </w:r>
      <w:r w:rsidR="00E9566F" w:rsidRPr="00E9566F">
        <w:rPr>
          <w:rFonts w:asciiTheme="majorBidi" w:hAnsiTheme="majorBidi" w:cstheme="majorBidi"/>
        </w:rPr>
        <w:t>Although the Egyptian Ministry of Health imposed new standards on the private sector in August 2025 to reduce cesarean births, cesarean birth rates remain high according to government data.</w:t>
      </w:r>
    </w:p>
    <w:p w14:paraId="625F05FC" w14:textId="77777777" w:rsidR="002C79F5" w:rsidRPr="00F47E10" w:rsidRDefault="002C79F5" w:rsidP="002C79F5">
      <w:pPr>
        <w:jc w:val="both"/>
        <w:rPr>
          <w:rFonts w:asciiTheme="majorBidi" w:hAnsiTheme="majorBidi" w:cstheme="majorBidi"/>
        </w:rPr>
      </w:pPr>
      <w:r w:rsidRPr="00F47E10">
        <w:rPr>
          <w:rFonts w:asciiTheme="majorBidi" w:hAnsiTheme="majorBidi" w:cstheme="majorBidi"/>
        </w:rPr>
        <w:t>In a related context, despite the increasing focus on mental health and the establishment of an electronic platform to provide mental health services,</w:t>
      </w:r>
      <w:r w:rsidRPr="00A058E9">
        <w:rPr>
          <w:rStyle w:val="FootnoteReference"/>
          <w:rFonts w:asciiTheme="majorBidi" w:hAnsiTheme="majorBidi" w:cstheme="majorBidi"/>
        </w:rPr>
        <w:footnoteReference w:id="23"/>
      </w:r>
      <w:r w:rsidRPr="00F47E10">
        <w:rPr>
          <w:rFonts w:asciiTheme="majorBidi" w:hAnsiTheme="majorBidi" w:cstheme="majorBidi"/>
        </w:rPr>
        <w:t xml:space="preserve"> some decisions hinder the implementation of these positive steps. In August 2025, the financial and administrative regulations for government mental health hospitals were issued by Minister of Health Decision No. 220 of 2025, which resulted in an increase in the prices of all medical services provided in mental health hospitals.</w:t>
      </w:r>
      <w:r w:rsidRPr="00A058E9">
        <w:rPr>
          <w:rStyle w:val="FootnoteReference"/>
          <w:rFonts w:asciiTheme="majorBidi" w:hAnsiTheme="majorBidi" w:cstheme="majorBidi"/>
        </w:rPr>
        <w:footnoteReference w:id="24"/>
      </w:r>
      <w:r w:rsidRPr="00F47E10">
        <w:rPr>
          <w:rFonts w:asciiTheme="majorBidi" w:hAnsiTheme="majorBidi" w:cstheme="majorBidi"/>
        </w:rPr>
        <w:t xml:space="preserve"> A significant obstacle remains in the health sector in Egypt, characterized by a shortage of medical doctors due to physician migration resulting from economic difficulties and low wages. The government has attempted to address this issue by expanding medical school establishments to employ 29,000 doctors by 2028, alongside training and enhancing the capabilities of existing doctors.</w:t>
      </w:r>
      <w:r w:rsidRPr="00A058E9">
        <w:rPr>
          <w:rStyle w:val="FootnoteReference"/>
          <w:rFonts w:asciiTheme="majorBidi" w:hAnsiTheme="majorBidi" w:cstheme="majorBidi"/>
        </w:rPr>
        <w:footnoteReference w:id="25"/>
      </w:r>
      <w:r w:rsidRPr="00A058E9">
        <w:rPr>
          <w:rFonts w:asciiTheme="majorBidi" w:hAnsiTheme="majorBidi" w:cstheme="majorBidi"/>
        </w:rPr>
        <w:t xml:space="preserve"> </w:t>
      </w:r>
      <w:r w:rsidRPr="00F47E10">
        <w:rPr>
          <w:rFonts w:asciiTheme="majorBidi" w:hAnsiTheme="majorBidi" w:cstheme="majorBidi"/>
        </w:rPr>
        <w:t>According to a government study on Egypt's medical needs until 2025, the doctor-to-population ratio in Egypt stands at 8.6 doctors per 10,000 citizens, whereas the global average is 23 doctors per 10,000 citizens.</w:t>
      </w:r>
      <w:r w:rsidRPr="00A058E9">
        <w:rPr>
          <w:rStyle w:val="FootnoteReference"/>
          <w:rFonts w:asciiTheme="majorBidi" w:hAnsiTheme="majorBidi" w:cstheme="majorBidi"/>
        </w:rPr>
        <w:footnoteReference w:id="26"/>
      </w:r>
      <w:r w:rsidRPr="00F47E10">
        <w:rPr>
          <w:rFonts w:asciiTheme="majorBidi" w:hAnsiTheme="majorBidi" w:cstheme="majorBidi"/>
        </w:rPr>
        <w:t xml:space="preserve"> The study indicated that Egypt graduates around 9,000 doctors annually, yet 60% of them choose to work abroad, leading to a decrease in the number of practicing physicians within the country. The study further noted that out of 213,000 doctors authorized to practice in Egypt, only 82,000 are currently working in various health institutions.</w:t>
      </w:r>
      <w:r w:rsidRPr="00A058E9">
        <w:rPr>
          <w:rStyle w:val="FootnoteReference"/>
          <w:rFonts w:asciiTheme="majorBidi" w:hAnsiTheme="majorBidi" w:cstheme="majorBidi"/>
        </w:rPr>
        <w:footnoteReference w:id="27"/>
      </w:r>
      <w:r w:rsidRPr="00F47E10">
        <w:rPr>
          <w:rFonts w:asciiTheme="majorBidi" w:hAnsiTheme="majorBidi" w:cstheme="majorBidi"/>
        </w:rPr>
        <w:t xml:space="preserve"> This data reflects Egypt’s urgent need for more doctors. However, according to a decision by the Supreme Committee for Delegation in the Ministry of Health, the assignment of medical school graduates is no longer mandatory but depends on the needs, specifically the shortages in hospitals and health units, starting in 2025.</w:t>
      </w:r>
      <w:r w:rsidRPr="00A058E9">
        <w:rPr>
          <w:rStyle w:val="FootnoteReference"/>
          <w:rFonts w:asciiTheme="majorBidi" w:hAnsiTheme="majorBidi" w:cstheme="majorBidi"/>
        </w:rPr>
        <w:footnoteReference w:id="28"/>
      </w:r>
      <w:r w:rsidRPr="00F47E10">
        <w:rPr>
          <w:rFonts w:asciiTheme="majorBidi" w:hAnsiTheme="majorBidi" w:cstheme="majorBidi"/>
        </w:rPr>
        <w:t xml:space="preserve"> This decision conflicts with the government's objective of increasing the number of medical practitioners.</w:t>
      </w:r>
    </w:p>
    <w:p w14:paraId="2B0029F4" w14:textId="77777777" w:rsidR="00017134" w:rsidRPr="00017134" w:rsidRDefault="00017134" w:rsidP="00017134">
      <w:pPr>
        <w:jc w:val="both"/>
        <w:rPr>
          <w:rFonts w:asciiTheme="majorBidi" w:hAnsiTheme="majorBidi" w:cstheme="majorBidi"/>
          <w:b/>
          <w:bCs/>
        </w:rPr>
      </w:pPr>
      <w:r w:rsidRPr="00017134">
        <w:rPr>
          <w:rFonts w:asciiTheme="majorBidi" w:hAnsiTheme="majorBidi" w:cstheme="majorBidi"/>
          <w:b/>
          <w:bCs/>
        </w:rPr>
        <w:t>Maat encourages CESCR to raise the following questions:</w:t>
      </w:r>
    </w:p>
    <w:p w14:paraId="1E3B1C16" w14:textId="77777777" w:rsidR="002C79F5" w:rsidRPr="00F47E10" w:rsidRDefault="002C79F5" w:rsidP="002C79F5">
      <w:pPr>
        <w:numPr>
          <w:ilvl w:val="0"/>
          <w:numId w:val="48"/>
        </w:numPr>
        <w:jc w:val="both"/>
        <w:rPr>
          <w:rFonts w:asciiTheme="majorBidi" w:hAnsiTheme="majorBidi" w:cstheme="majorBidi"/>
        </w:rPr>
      </w:pPr>
      <w:r w:rsidRPr="00F47E10">
        <w:rPr>
          <w:rFonts w:asciiTheme="majorBidi" w:hAnsiTheme="majorBidi" w:cstheme="majorBidi"/>
        </w:rPr>
        <w:lastRenderedPageBreak/>
        <w:t>What steps does the government (Ministry of Health and Population) intend to take to cover the shortage of medical doctors?</w:t>
      </w:r>
    </w:p>
    <w:p w14:paraId="5CB14671" w14:textId="77777777" w:rsidR="002C79F5" w:rsidRPr="00F47E10" w:rsidRDefault="002C79F5" w:rsidP="002C79F5">
      <w:pPr>
        <w:numPr>
          <w:ilvl w:val="0"/>
          <w:numId w:val="48"/>
        </w:numPr>
        <w:jc w:val="both"/>
        <w:rPr>
          <w:rFonts w:asciiTheme="majorBidi" w:hAnsiTheme="majorBidi" w:cstheme="majorBidi"/>
        </w:rPr>
      </w:pPr>
      <w:r w:rsidRPr="00F47E10">
        <w:rPr>
          <w:rFonts w:asciiTheme="majorBidi" w:hAnsiTheme="majorBidi" w:cstheme="majorBidi"/>
        </w:rPr>
        <w:t>What is the Ministry of Health and Population’s plan to reduce the high rates of cesarean deliveries?</w:t>
      </w:r>
    </w:p>
    <w:p w14:paraId="17E83DB6" w14:textId="77777777" w:rsidR="002C79F5" w:rsidRPr="00F47E10" w:rsidRDefault="002C79F5" w:rsidP="002C79F5">
      <w:pPr>
        <w:numPr>
          <w:ilvl w:val="0"/>
          <w:numId w:val="48"/>
        </w:numPr>
        <w:jc w:val="both"/>
        <w:rPr>
          <w:rFonts w:asciiTheme="majorBidi" w:hAnsiTheme="majorBidi" w:cstheme="majorBidi"/>
        </w:rPr>
      </w:pPr>
      <w:r w:rsidRPr="00F47E10">
        <w:rPr>
          <w:rFonts w:asciiTheme="majorBidi" w:hAnsiTheme="majorBidi" w:cstheme="majorBidi"/>
        </w:rPr>
        <w:t>What actions have been taken to address the complaints of those affected by the implementation of the comprehensive health insurance system in the first phase governorates?</w:t>
      </w:r>
    </w:p>
    <w:p w14:paraId="43942EBB" w14:textId="77777777" w:rsidR="002C79F5" w:rsidRPr="00F47E10" w:rsidRDefault="002C79F5" w:rsidP="002C79F5">
      <w:pPr>
        <w:numPr>
          <w:ilvl w:val="0"/>
          <w:numId w:val="48"/>
        </w:numPr>
        <w:jc w:val="both"/>
        <w:rPr>
          <w:rFonts w:asciiTheme="majorBidi" w:hAnsiTheme="majorBidi" w:cstheme="majorBidi"/>
        </w:rPr>
      </w:pPr>
      <w:r w:rsidRPr="00F47E10">
        <w:rPr>
          <w:rFonts w:asciiTheme="majorBidi" w:hAnsiTheme="majorBidi" w:cstheme="majorBidi"/>
        </w:rPr>
        <w:t>Have any steps been taken to reconsider the financial and administrative regulations for government mental health hospitals issued by Minister of Health Decision No. 220 of 2025?</w:t>
      </w:r>
    </w:p>
    <w:p w14:paraId="26D19DF1" w14:textId="77777777" w:rsidR="002C79F5" w:rsidRPr="00AB720E" w:rsidRDefault="002C79F5" w:rsidP="002C79F5">
      <w:pPr>
        <w:jc w:val="both"/>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720E">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Fifth: The Right to Education – Articles 13 and 14</w:t>
      </w:r>
    </w:p>
    <w:p w14:paraId="52A4F081" w14:textId="77777777" w:rsidR="002C79F5" w:rsidRPr="00F47E10" w:rsidRDefault="002C79F5" w:rsidP="002C79F5">
      <w:pPr>
        <w:jc w:val="both"/>
        <w:rPr>
          <w:rFonts w:asciiTheme="majorBidi" w:hAnsiTheme="majorBidi" w:cstheme="majorBidi"/>
          <w:color w:val="FF0000"/>
        </w:rPr>
      </w:pPr>
      <w:r w:rsidRPr="00F47E10">
        <w:rPr>
          <w:rFonts w:asciiTheme="majorBidi" w:hAnsiTheme="majorBidi" w:cstheme="majorBidi"/>
        </w:rPr>
        <w:t>Education is a constitutional right under the amended Egyptian Constitution of 2019, and the state must ensure free education at all stages according to Article 19 of the Constitution. Education allocations have increased by 7% in the proposed budget for 2025-2026. According to the analytical statement for the general budget 2025-2026, spending on education in the upcoming budget has reached 315 billion Egyptian pounds compared to 294 billion Egyptian pounds in the 2024/2025 fiscal year.</w:t>
      </w:r>
      <w:r w:rsidRPr="00E9566F">
        <w:rPr>
          <w:rFonts w:asciiTheme="majorBidi" w:hAnsiTheme="majorBidi" w:cstheme="majorBidi"/>
        </w:rPr>
        <w:t xml:space="preserve"> However, these allocations have not reached the percentage stipulated in the Egyptian Constitution, which mandates no less than 4% of the Gross National Product, gradually increasing to reach global standards.</w:t>
      </w:r>
      <w:r w:rsidRPr="00E9566F">
        <w:rPr>
          <w:rStyle w:val="FootnoteReference"/>
          <w:rFonts w:asciiTheme="majorBidi" w:hAnsiTheme="majorBidi" w:cstheme="majorBidi"/>
        </w:rPr>
        <w:footnoteReference w:id="29"/>
      </w:r>
    </w:p>
    <w:p w14:paraId="1CAB696B" w14:textId="77777777" w:rsidR="002C79F5" w:rsidRPr="00F47E10" w:rsidRDefault="002C79F5" w:rsidP="002C79F5">
      <w:pPr>
        <w:jc w:val="both"/>
        <w:rPr>
          <w:rFonts w:asciiTheme="majorBidi" w:hAnsiTheme="majorBidi" w:cstheme="majorBidi"/>
        </w:rPr>
      </w:pPr>
      <w:r w:rsidRPr="00F47E10">
        <w:rPr>
          <w:rFonts w:asciiTheme="majorBidi" w:hAnsiTheme="majorBidi" w:cstheme="majorBidi"/>
        </w:rPr>
        <w:t xml:space="preserve">In addition, the Ministry of Education and Technical Education, in collaboration with UNICEF and UNESCO, launched the strategic plan for the years 2024 to 2029, aimed at providing education for all without discrimination. The new plan is based on implementing the targets of the National Sustainable Development Agenda "Egypt Vision 2030" and the National Human Rights Strategy, </w:t>
      </w:r>
      <w:r w:rsidRPr="00A058E9">
        <w:rPr>
          <w:rFonts w:asciiTheme="majorBidi" w:hAnsiTheme="majorBidi" w:cstheme="majorBidi"/>
        </w:rPr>
        <w:t>to achieve</w:t>
      </w:r>
      <w:r w:rsidRPr="00F47E10">
        <w:rPr>
          <w:rFonts w:asciiTheme="majorBidi" w:hAnsiTheme="majorBidi" w:cstheme="majorBidi"/>
        </w:rPr>
        <w:t xml:space="preserve"> inclusive and equitable access to education for all groups, ensuring quality education according to international standards, and promoting sustainability and lifelong learning.</w:t>
      </w:r>
      <w:r w:rsidRPr="00A058E9">
        <w:rPr>
          <w:rStyle w:val="FootnoteReference"/>
          <w:rFonts w:asciiTheme="majorBidi" w:hAnsiTheme="majorBidi" w:cstheme="majorBidi"/>
        </w:rPr>
        <w:footnoteReference w:id="30"/>
      </w:r>
    </w:p>
    <w:p w14:paraId="76F7FE91" w14:textId="77777777" w:rsidR="002C79F5" w:rsidRPr="00F47E10" w:rsidRDefault="002C79F5" w:rsidP="002C79F5">
      <w:pPr>
        <w:jc w:val="both"/>
        <w:rPr>
          <w:rFonts w:asciiTheme="majorBidi" w:hAnsiTheme="majorBidi" w:cstheme="majorBidi"/>
          <w:color w:val="FF0000"/>
        </w:rPr>
      </w:pPr>
      <w:r w:rsidRPr="00F47E10">
        <w:rPr>
          <w:rFonts w:asciiTheme="majorBidi" w:hAnsiTheme="majorBidi" w:cstheme="majorBidi"/>
        </w:rPr>
        <w:t xml:space="preserve">Despite this positive progress, education in Egypt continues to face fundamental challenges, the most significant of which are the shortage of teachers and classrooms. To address these challenges, </w:t>
      </w:r>
      <w:r w:rsidRPr="00F47E10">
        <w:rPr>
          <w:rFonts w:asciiTheme="majorBidi" w:hAnsiTheme="majorBidi" w:cstheme="majorBidi"/>
        </w:rPr>
        <w:lastRenderedPageBreak/>
        <w:t xml:space="preserve">President Abdel Fattah El-Sisi approved, in August 2025, amendments to the Education Law issued by Law No. 189 of 2025, modifying some provisions of the Education Law issued by Law No. 139 of 1981. The amendments allowed for the extension of teachers' services beyond the legal retirement age in cases of necessity and actual need. These amendments were made in an attempt to fill the gap of teachers in Egyptian schools. The Ministry of Education has developed a plan to appoint 100,000 teachers over five years, </w:t>
      </w:r>
      <w:r w:rsidRPr="00017134">
        <w:rPr>
          <w:rFonts w:asciiTheme="majorBidi" w:hAnsiTheme="majorBidi" w:cstheme="majorBidi"/>
        </w:rPr>
        <w:t>but this plan has not been fully implemented. In June 2025, the Minister of Education announced that only 19,000 teachers had been appointed out of the targeted 100,000 for the period from 2022 to 2027. However, the shortage of teachers persists. According to official data from October 2024, Egyptian schools are facing a shortage of 655 teachers.</w:t>
      </w:r>
    </w:p>
    <w:p w14:paraId="22EDF292" w14:textId="77777777" w:rsidR="002C79F5" w:rsidRPr="00F47E10" w:rsidRDefault="002C79F5" w:rsidP="002C79F5">
      <w:pPr>
        <w:jc w:val="both"/>
        <w:rPr>
          <w:rFonts w:asciiTheme="majorBidi" w:hAnsiTheme="majorBidi" w:cstheme="majorBidi"/>
        </w:rPr>
      </w:pPr>
      <w:r w:rsidRPr="00F47E10">
        <w:rPr>
          <w:rFonts w:asciiTheme="majorBidi" w:hAnsiTheme="majorBidi" w:cstheme="majorBidi"/>
        </w:rPr>
        <w:t xml:space="preserve">The </w:t>
      </w:r>
      <w:bookmarkStart w:id="1" w:name="OLE_LINK24"/>
      <w:r w:rsidRPr="00F47E10">
        <w:rPr>
          <w:rFonts w:asciiTheme="majorBidi" w:hAnsiTheme="majorBidi" w:cstheme="majorBidi"/>
        </w:rPr>
        <w:t>Educational Buildings Authority</w:t>
      </w:r>
      <w:bookmarkEnd w:id="1"/>
      <w:r w:rsidRPr="00F47E10">
        <w:rPr>
          <w:rFonts w:asciiTheme="majorBidi" w:hAnsiTheme="majorBidi" w:cstheme="majorBidi"/>
        </w:rPr>
        <w:t>, responsible for constructing schools in Egypt, continued to build schools across various educational stages during the reporting period. Nevertheless, the Minister of Education acknowledged the shortage of classrooms in Egypt. According to the minister's data, Egypt needs 250,000 classrooms to reduce overcrowding among students in schools.</w:t>
      </w:r>
      <w:r w:rsidRPr="00A058E9">
        <w:rPr>
          <w:rStyle w:val="FootnoteReference"/>
          <w:rFonts w:asciiTheme="majorBidi" w:hAnsiTheme="majorBidi" w:cstheme="majorBidi"/>
        </w:rPr>
        <w:footnoteReference w:id="31"/>
      </w:r>
      <w:r w:rsidRPr="00F47E10">
        <w:rPr>
          <w:rFonts w:asciiTheme="majorBidi" w:hAnsiTheme="majorBidi" w:cstheme="majorBidi"/>
        </w:rPr>
        <w:t xml:space="preserve"> The construction of new classrooms faces challenges, the most significant of which are the burdensome conditions for obtaining land for building, as imposed by the General Authority for Educational Buildings, according to the Ministry of Education’s Strategy - 2014-2030.</w:t>
      </w:r>
      <w:r w:rsidRPr="00A058E9">
        <w:rPr>
          <w:rStyle w:val="FootnoteReference"/>
          <w:rFonts w:asciiTheme="majorBidi" w:hAnsiTheme="majorBidi" w:cstheme="majorBidi"/>
        </w:rPr>
        <w:footnoteReference w:id="32"/>
      </w:r>
      <w:r w:rsidRPr="00F47E10">
        <w:rPr>
          <w:rFonts w:asciiTheme="majorBidi" w:hAnsiTheme="majorBidi" w:cstheme="majorBidi"/>
        </w:rPr>
        <w:t xml:space="preserve"> The continuation of these obstacles leads to overcrowded classrooms, delaying the implementation of Articles 13 and 14 of the Covenant and the fourth Sustainable Development Goal related to quality education.</w:t>
      </w:r>
    </w:p>
    <w:p w14:paraId="5ECF5EB1" w14:textId="77777777" w:rsidR="00017134" w:rsidRPr="00017134" w:rsidRDefault="00017134" w:rsidP="00017134">
      <w:pPr>
        <w:jc w:val="both"/>
        <w:rPr>
          <w:rFonts w:asciiTheme="majorBidi" w:hAnsiTheme="majorBidi" w:cstheme="majorBidi"/>
          <w:b/>
          <w:bCs/>
        </w:rPr>
      </w:pPr>
      <w:r w:rsidRPr="00017134">
        <w:rPr>
          <w:rFonts w:asciiTheme="majorBidi" w:hAnsiTheme="majorBidi" w:cstheme="majorBidi"/>
          <w:b/>
          <w:bCs/>
        </w:rPr>
        <w:t>Maat encourages CESCR to raise the following questions:</w:t>
      </w:r>
    </w:p>
    <w:p w14:paraId="3FAF596B" w14:textId="77777777" w:rsidR="002C79F5" w:rsidRPr="00F47E10" w:rsidRDefault="002C79F5" w:rsidP="002C79F5">
      <w:pPr>
        <w:numPr>
          <w:ilvl w:val="0"/>
          <w:numId w:val="49"/>
        </w:numPr>
        <w:jc w:val="both"/>
        <w:rPr>
          <w:rFonts w:asciiTheme="majorBidi" w:hAnsiTheme="majorBidi" w:cstheme="majorBidi"/>
        </w:rPr>
      </w:pPr>
      <w:r w:rsidRPr="00F47E10">
        <w:rPr>
          <w:rFonts w:asciiTheme="majorBidi" w:hAnsiTheme="majorBidi" w:cstheme="majorBidi"/>
        </w:rPr>
        <w:t>What measures has the state taken to increase the number of teachers and train them to address the acknowledged shortage in their numbers?</w:t>
      </w:r>
    </w:p>
    <w:p w14:paraId="45063144" w14:textId="77777777" w:rsidR="002C79F5" w:rsidRPr="00F47E10" w:rsidRDefault="002C79F5" w:rsidP="002C79F5">
      <w:pPr>
        <w:numPr>
          <w:ilvl w:val="0"/>
          <w:numId w:val="49"/>
        </w:numPr>
        <w:jc w:val="both"/>
        <w:rPr>
          <w:rFonts w:asciiTheme="majorBidi" w:hAnsiTheme="majorBidi" w:cstheme="majorBidi"/>
        </w:rPr>
      </w:pPr>
      <w:r w:rsidRPr="00F47E10">
        <w:rPr>
          <w:rFonts w:asciiTheme="majorBidi" w:hAnsiTheme="majorBidi" w:cstheme="majorBidi"/>
        </w:rPr>
        <w:t>What recent measures have been taken to increase the number of classrooms to cover the current shortage recognized by the government?</w:t>
      </w:r>
    </w:p>
    <w:p w14:paraId="199CDDEA" w14:textId="77777777" w:rsidR="002C79F5" w:rsidRPr="00A058E9" w:rsidRDefault="002C79F5" w:rsidP="002C79F5">
      <w:pPr>
        <w:jc w:val="both"/>
        <w:rPr>
          <w:rFonts w:asciiTheme="majorBidi" w:hAnsiTheme="majorBidi" w:cstheme="majorBidi"/>
        </w:rPr>
      </w:pPr>
    </w:p>
    <w:p w14:paraId="4994A190" w14:textId="532B01AF" w:rsidR="004A7201" w:rsidRPr="00BF478D" w:rsidRDefault="004A7201" w:rsidP="00BF478D">
      <w:pPr>
        <w:rPr>
          <w:rtl/>
        </w:rPr>
      </w:pPr>
    </w:p>
    <w:sectPr w:rsidR="004A7201" w:rsidRPr="00BF478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E5DA" w14:textId="77777777" w:rsidR="007529F3" w:rsidRDefault="007529F3" w:rsidP="004F6D5A">
      <w:pPr>
        <w:spacing w:after="0" w:line="240" w:lineRule="auto"/>
      </w:pPr>
      <w:r>
        <w:separator/>
      </w:r>
    </w:p>
  </w:endnote>
  <w:endnote w:type="continuationSeparator" w:id="0">
    <w:p w14:paraId="04FE2AB7" w14:textId="77777777" w:rsidR="007529F3" w:rsidRDefault="007529F3"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9126B" w14:textId="77777777" w:rsidR="007529F3" w:rsidRDefault="007529F3" w:rsidP="004F6D5A">
      <w:pPr>
        <w:spacing w:after="0" w:line="240" w:lineRule="auto"/>
      </w:pPr>
      <w:r>
        <w:separator/>
      </w:r>
    </w:p>
  </w:footnote>
  <w:footnote w:type="continuationSeparator" w:id="0">
    <w:p w14:paraId="3E3A6B96" w14:textId="77777777" w:rsidR="007529F3" w:rsidRDefault="007529F3" w:rsidP="004F6D5A">
      <w:pPr>
        <w:spacing w:after="0" w:line="240" w:lineRule="auto"/>
      </w:pPr>
      <w:r>
        <w:continuationSeparator/>
      </w:r>
    </w:p>
  </w:footnote>
  <w:footnote w:id="1">
    <w:p w14:paraId="31FA162D"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Egypt’s unemployment inches up during 3Q 2025 to hit 6.4%, </w:t>
      </w:r>
      <w:hyperlink r:id="rId1" w:history="1">
        <w:r w:rsidRPr="00A45C79">
          <w:rPr>
            <w:rStyle w:val="Hyperlink"/>
            <w:rFonts w:asciiTheme="majorBidi" w:hAnsiTheme="majorBidi" w:cstheme="majorBidi"/>
            <w:sz w:val="16"/>
            <w:szCs w:val="16"/>
          </w:rPr>
          <w:t>https://shorturl.at/3j9AM</w:t>
        </w:r>
      </w:hyperlink>
    </w:p>
  </w:footnote>
  <w:footnote w:id="2">
    <w:p w14:paraId="2289AA8D"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Labor Law No. 14 of 2025, available at: </w:t>
      </w:r>
      <w:hyperlink r:id="rId2" w:history="1">
        <w:r w:rsidRPr="00A45C79">
          <w:rPr>
            <w:rStyle w:val="Hyperlink"/>
            <w:rFonts w:asciiTheme="majorBidi" w:hAnsiTheme="majorBidi" w:cstheme="majorBidi"/>
            <w:sz w:val="16"/>
            <w:szCs w:val="16"/>
          </w:rPr>
          <w:t>https://shorturl.at/6VTuS</w:t>
        </w:r>
      </w:hyperlink>
      <w:r w:rsidRPr="00A45C79">
        <w:rPr>
          <w:rFonts w:asciiTheme="majorBidi" w:hAnsiTheme="majorBidi" w:cstheme="majorBidi"/>
          <w:sz w:val="16"/>
          <w:szCs w:val="16"/>
        </w:rPr>
        <w:t xml:space="preserve"> </w:t>
      </w:r>
    </w:p>
  </w:footnote>
  <w:footnote w:id="3">
    <w:p w14:paraId="1660B68C" w14:textId="5C5F35F2"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Where have unemployment rates reached in </w:t>
      </w:r>
      <w:r w:rsidR="00CD497F" w:rsidRPr="00A45C79">
        <w:rPr>
          <w:rFonts w:asciiTheme="majorBidi" w:hAnsiTheme="majorBidi" w:cstheme="majorBidi"/>
          <w:sz w:val="16"/>
          <w:szCs w:val="16"/>
        </w:rPr>
        <w:t>Egypt?</w:t>
      </w:r>
      <w:r w:rsidRPr="00A45C79">
        <w:rPr>
          <w:rFonts w:asciiTheme="majorBidi" w:hAnsiTheme="majorBidi" w:cstheme="majorBidi"/>
          <w:sz w:val="16"/>
          <w:szCs w:val="16"/>
        </w:rPr>
        <w:t xml:space="preserve"> at: </w:t>
      </w:r>
      <w:hyperlink r:id="rId3" w:history="1">
        <w:r w:rsidRPr="00A45C79">
          <w:rPr>
            <w:rStyle w:val="Hyperlink"/>
            <w:rFonts w:asciiTheme="majorBidi" w:hAnsiTheme="majorBidi" w:cstheme="majorBidi"/>
            <w:sz w:val="16"/>
            <w:szCs w:val="16"/>
          </w:rPr>
          <w:t>https://shorturl.at/Un5hf</w:t>
        </w:r>
      </w:hyperlink>
      <w:r w:rsidRPr="00A45C79">
        <w:rPr>
          <w:rFonts w:asciiTheme="majorBidi" w:hAnsiTheme="majorBidi" w:cstheme="majorBidi"/>
          <w:sz w:val="16"/>
          <w:szCs w:val="16"/>
        </w:rPr>
        <w:t xml:space="preserve"> </w:t>
      </w:r>
    </w:p>
  </w:footnote>
  <w:footnote w:id="4">
    <w:p w14:paraId="1747CBBD"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The National Wage Council in Egypt set the minimum wage in the private sector at 7,000 Egyptian pounds, as of March 1, 2025. </w:t>
      </w:r>
    </w:p>
  </w:footnote>
  <w:footnote w:id="5">
    <w:p w14:paraId="385FD1F3"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the following link: </w:t>
      </w:r>
      <w:hyperlink r:id="rId4" w:history="1">
        <w:r w:rsidRPr="00A45C79">
          <w:rPr>
            <w:rStyle w:val="Hyperlink"/>
            <w:rFonts w:asciiTheme="majorBidi" w:hAnsiTheme="majorBidi" w:cstheme="majorBidi"/>
            <w:sz w:val="16"/>
            <w:szCs w:val="16"/>
          </w:rPr>
          <w:t>https://shorturl.at/wfGIu</w:t>
        </w:r>
      </w:hyperlink>
      <w:r w:rsidRPr="00A45C79">
        <w:rPr>
          <w:rFonts w:asciiTheme="majorBidi" w:hAnsiTheme="majorBidi" w:cstheme="majorBidi"/>
          <w:sz w:val="16"/>
          <w:szCs w:val="16"/>
        </w:rPr>
        <w:t xml:space="preserve"> </w:t>
      </w:r>
    </w:p>
  </w:footnote>
  <w:footnote w:id="6">
    <w:p w14:paraId="4F062B45"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Work injury statistics, Central Agency for Public Mobilization and Statistics, at: </w:t>
      </w:r>
      <w:hyperlink r:id="rId5" w:history="1">
        <w:r w:rsidRPr="00A45C79">
          <w:rPr>
            <w:rStyle w:val="Hyperlink"/>
            <w:rFonts w:asciiTheme="majorBidi" w:hAnsiTheme="majorBidi" w:cstheme="majorBidi"/>
            <w:sz w:val="16"/>
            <w:szCs w:val="16"/>
          </w:rPr>
          <w:t>https://www.capmas.gov.eg/publications/13</w:t>
        </w:r>
      </w:hyperlink>
      <w:r w:rsidRPr="00A45C79">
        <w:rPr>
          <w:rFonts w:asciiTheme="majorBidi" w:hAnsiTheme="majorBidi" w:cstheme="majorBidi"/>
          <w:sz w:val="16"/>
          <w:szCs w:val="16"/>
        </w:rPr>
        <w:t xml:space="preserve"> </w:t>
      </w:r>
    </w:p>
  </w:footnote>
  <w:footnote w:id="7">
    <w:p w14:paraId="3AB6E7A9"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National Human Rights Strategy</w:t>
      </w:r>
      <w:r w:rsidRPr="00A45C79">
        <w:rPr>
          <w:rFonts w:asciiTheme="majorBidi" w:hAnsiTheme="majorBidi" w:cstheme="majorBidi"/>
          <w:sz w:val="16"/>
          <w:szCs w:val="16"/>
          <w:lang w:bidi="ar-EG"/>
        </w:rPr>
        <w:t xml:space="preserve">, </w:t>
      </w:r>
      <w:hyperlink r:id="rId6" w:history="1">
        <w:r w:rsidRPr="00A45C79">
          <w:rPr>
            <w:rStyle w:val="Hyperlink"/>
            <w:rFonts w:asciiTheme="majorBidi" w:hAnsiTheme="majorBidi" w:cstheme="majorBidi"/>
            <w:sz w:val="16"/>
            <w:szCs w:val="16"/>
            <w:lang w:bidi="ar-EG"/>
          </w:rPr>
          <w:t>https://sschr.gov.eg/media/gapb5bq4/national-human-rights-strategy.pdf</w:t>
        </w:r>
      </w:hyperlink>
    </w:p>
  </w:footnote>
  <w:footnote w:id="8">
    <w:p w14:paraId="15E1FFF6"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Labor issues a decision to update the databases of trade union organizations, available at: </w:t>
      </w:r>
      <w:hyperlink r:id="rId7" w:history="1">
        <w:r w:rsidRPr="00A45C79">
          <w:rPr>
            <w:rStyle w:val="Hyperlink"/>
            <w:rFonts w:asciiTheme="majorBidi" w:hAnsiTheme="majorBidi" w:cstheme="majorBidi"/>
            <w:sz w:val="16"/>
            <w:szCs w:val="16"/>
          </w:rPr>
          <w:t>https://shorturl.at/ulfYk</w:t>
        </w:r>
      </w:hyperlink>
      <w:r w:rsidRPr="00A45C79">
        <w:rPr>
          <w:rFonts w:asciiTheme="majorBidi" w:hAnsiTheme="majorBidi" w:cstheme="majorBidi"/>
          <w:sz w:val="16"/>
          <w:szCs w:val="16"/>
        </w:rPr>
        <w:t xml:space="preserve"> </w:t>
      </w:r>
    </w:p>
  </w:footnote>
  <w:footnote w:id="9">
    <w:p w14:paraId="1A25315F"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a memorandum from trade union organizations to the Minister of Labor, at: </w:t>
      </w:r>
      <w:hyperlink r:id="rId8" w:history="1">
        <w:r w:rsidRPr="00A45C79">
          <w:rPr>
            <w:rStyle w:val="Hyperlink"/>
            <w:rFonts w:asciiTheme="majorBidi" w:hAnsiTheme="majorBidi" w:cstheme="majorBidi"/>
            <w:sz w:val="16"/>
            <w:szCs w:val="16"/>
          </w:rPr>
          <w:t>https://shorturl.at/4lyQz</w:t>
        </w:r>
      </w:hyperlink>
      <w:r w:rsidRPr="00A45C79">
        <w:rPr>
          <w:rFonts w:asciiTheme="majorBidi" w:hAnsiTheme="majorBidi" w:cstheme="majorBidi"/>
          <w:sz w:val="16"/>
          <w:szCs w:val="16"/>
        </w:rPr>
        <w:t xml:space="preserve"> </w:t>
      </w:r>
    </w:p>
  </w:footnote>
  <w:footnote w:id="10">
    <w:p w14:paraId="1FE3DB69"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Guidelines for the Implementation of the Right to Adequate Housing, </w:t>
      </w:r>
      <w:hyperlink r:id="rId9" w:history="1">
        <w:r w:rsidRPr="00A45C79">
          <w:rPr>
            <w:rStyle w:val="Hyperlink"/>
            <w:rFonts w:asciiTheme="majorBidi" w:hAnsiTheme="majorBidi" w:cstheme="majorBidi"/>
            <w:sz w:val="16"/>
            <w:szCs w:val="16"/>
          </w:rPr>
          <w:t>https://docs.un.org/en/A/HRC/43/43</w:t>
        </w:r>
      </w:hyperlink>
    </w:p>
  </w:footnote>
  <w:footnote w:id="11">
    <w:p w14:paraId="03651314"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Cairo: Getting out of slums, at: </w:t>
      </w:r>
      <w:hyperlink r:id="rId10" w:history="1">
        <w:r w:rsidRPr="00A45C79">
          <w:rPr>
            <w:rStyle w:val="Hyperlink"/>
            <w:rFonts w:asciiTheme="majorBidi" w:hAnsiTheme="majorBidi" w:cstheme="majorBidi"/>
            <w:sz w:val="16"/>
            <w:szCs w:val="16"/>
          </w:rPr>
          <w:t>https://url-shortener.me/AI81</w:t>
        </w:r>
      </w:hyperlink>
      <w:r w:rsidRPr="00A45C79">
        <w:rPr>
          <w:rFonts w:asciiTheme="majorBidi" w:hAnsiTheme="majorBidi" w:cstheme="majorBidi"/>
          <w:sz w:val="16"/>
          <w:szCs w:val="16"/>
        </w:rPr>
        <w:t xml:space="preserve"> </w:t>
      </w:r>
    </w:p>
  </w:footnote>
  <w:footnote w:id="12">
    <w:p w14:paraId="5799A820"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The law is available at: </w:t>
      </w:r>
      <w:hyperlink r:id="rId11" w:history="1">
        <w:r w:rsidRPr="00A45C79">
          <w:rPr>
            <w:rStyle w:val="Hyperlink"/>
            <w:rFonts w:asciiTheme="majorBidi" w:hAnsiTheme="majorBidi" w:cstheme="majorBidi"/>
            <w:sz w:val="16"/>
            <w:szCs w:val="16"/>
          </w:rPr>
          <w:t>https://shorturl.at/emjHi</w:t>
        </w:r>
      </w:hyperlink>
      <w:r w:rsidRPr="00A45C79">
        <w:rPr>
          <w:rFonts w:asciiTheme="majorBidi" w:hAnsiTheme="majorBidi" w:cstheme="majorBidi"/>
          <w:sz w:val="16"/>
          <w:szCs w:val="16"/>
        </w:rPr>
        <w:t xml:space="preserve"> </w:t>
      </w:r>
    </w:p>
  </w:footnote>
  <w:footnote w:id="13">
    <w:p w14:paraId="3CD3C6DD"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Articles 2 and 8 of Law No. 164 of 2025, at: </w:t>
      </w:r>
      <w:hyperlink r:id="rId12" w:history="1">
        <w:r w:rsidRPr="00A45C79">
          <w:rPr>
            <w:rStyle w:val="Hyperlink"/>
            <w:rFonts w:asciiTheme="majorBidi" w:hAnsiTheme="majorBidi" w:cstheme="majorBidi"/>
            <w:sz w:val="16"/>
            <w:szCs w:val="16"/>
          </w:rPr>
          <w:t>https://moj.gov.eg:73/Doc/001/710571642025.pdf</w:t>
        </w:r>
      </w:hyperlink>
      <w:r w:rsidRPr="00A45C79">
        <w:rPr>
          <w:rFonts w:asciiTheme="majorBidi" w:hAnsiTheme="majorBidi" w:cstheme="majorBidi"/>
          <w:sz w:val="16"/>
          <w:szCs w:val="16"/>
        </w:rPr>
        <w:t xml:space="preserve">. </w:t>
      </w:r>
    </w:p>
  </w:footnote>
  <w:footnote w:id="14">
    <w:p w14:paraId="2380F410"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the statement of the Presidency of the Council of Ministers at: </w:t>
      </w:r>
      <w:hyperlink r:id="rId13" w:history="1">
        <w:r w:rsidRPr="00A45C79">
          <w:rPr>
            <w:rStyle w:val="Hyperlink"/>
            <w:rFonts w:asciiTheme="majorBidi" w:hAnsiTheme="majorBidi" w:cstheme="majorBidi"/>
            <w:sz w:val="16"/>
            <w:szCs w:val="16"/>
          </w:rPr>
          <w:t>https://shorturl.at/Ev5uX</w:t>
        </w:r>
      </w:hyperlink>
      <w:r w:rsidRPr="00A45C79">
        <w:rPr>
          <w:rFonts w:asciiTheme="majorBidi" w:hAnsiTheme="majorBidi" w:cstheme="majorBidi"/>
          <w:sz w:val="16"/>
          <w:szCs w:val="16"/>
        </w:rPr>
        <w:t xml:space="preserve"> </w:t>
      </w:r>
    </w:p>
  </w:footnote>
  <w:footnote w:id="15">
    <w:p w14:paraId="251FD33F"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Lack of services slows down the development of some new city projects, at: </w:t>
      </w:r>
      <w:hyperlink r:id="rId14" w:history="1">
        <w:r w:rsidRPr="00A45C79">
          <w:rPr>
            <w:rStyle w:val="Hyperlink"/>
            <w:rFonts w:asciiTheme="majorBidi" w:hAnsiTheme="majorBidi" w:cstheme="majorBidi"/>
            <w:sz w:val="16"/>
            <w:szCs w:val="16"/>
          </w:rPr>
          <w:t>https://www.almasryalyoum.com/news/details/2560767</w:t>
        </w:r>
      </w:hyperlink>
      <w:r w:rsidRPr="00A45C79">
        <w:rPr>
          <w:rFonts w:asciiTheme="majorBidi" w:hAnsiTheme="majorBidi" w:cstheme="majorBidi"/>
          <w:sz w:val="16"/>
          <w:szCs w:val="16"/>
        </w:rPr>
        <w:t xml:space="preserve"> </w:t>
      </w:r>
    </w:p>
  </w:footnote>
  <w:footnote w:id="16">
    <w:p w14:paraId="50F7CBA9"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Complaints from some citizens on social media, including on the Presidency of the Council of Ministers page </w:t>
      </w:r>
    </w:p>
  </w:footnote>
  <w:footnote w:id="17">
    <w:p w14:paraId="4D4CFFF0"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Indicators about the health sector in Egypt, at: </w:t>
      </w:r>
      <w:hyperlink r:id="rId15" w:history="1">
        <w:r w:rsidRPr="00A45C79">
          <w:rPr>
            <w:rStyle w:val="Hyperlink"/>
            <w:rFonts w:asciiTheme="majorBidi" w:hAnsiTheme="majorBidi" w:cstheme="majorBidi"/>
            <w:sz w:val="16"/>
            <w:szCs w:val="16"/>
          </w:rPr>
          <w:t>https://shorturl.at/Mbk7U</w:t>
        </w:r>
      </w:hyperlink>
      <w:r w:rsidRPr="00A45C79">
        <w:rPr>
          <w:rFonts w:asciiTheme="majorBidi" w:hAnsiTheme="majorBidi" w:cstheme="majorBidi"/>
          <w:sz w:val="16"/>
          <w:szCs w:val="16"/>
        </w:rPr>
        <w:t xml:space="preserve"> </w:t>
      </w:r>
    </w:p>
  </w:footnote>
  <w:footnote w:id="18">
    <w:p w14:paraId="1E038975"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Egypt’s National Health Strategy 2024-2030, at: </w:t>
      </w:r>
      <w:hyperlink r:id="rId16" w:history="1">
        <w:r w:rsidRPr="00A45C79">
          <w:rPr>
            <w:rStyle w:val="Hyperlink"/>
            <w:rFonts w:asciiTheme="majorBidi" w:hAnsiTheme="majorBidi" w:cstheme="majorBidi"/>
            <w:sz w:val="16"/>
            <w:szCs w:val="16"/>
          </w:rPr>
          <w:t>https://shorturl.at/QCpkE</w:t>
        </w:r>
      </w:hyperlink>
      <w:r w:rsidRPr="00A45C79">
        <w:rPr>
          <w:rFonts w:asciiTheme="majorBidi" w:hAnsiTheme="majorBidi" w:cstheme="majorBidi"/>
          <w:sz w:val="16"/>
          <w:szCs w:val="16"/>
        </w:rPr>
        <w:t xml:space="preserve"> </w:t>
      </w:r>
    </w:p>
  </w:footnote>
  <w:footnote w:id="19">
    <w:p w14:paraId="08BD1D3B"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After five years of promises... the poor of Luxor are surprised by retroactive comprehensive health insurance debts, at: </w:t>
      </w:r>
      <w:hyperlink r:id="rId17" w:history="1">
        <w:r w:rsidRPr="00A45C79">
          <w:rPr>
            <w:rStyle w:val="Hyperlink"/>
            <w:rFonts w:asciiTheme="majorBidi" w:hAnsiTheme="majorBidi" w:cstheme="majorBidi"/>
            <w:sz w:val="16"/>
            <w:szCs w:val="16"/>
          </w:rPr>
          <w:t>https://shorturl.at/8O13s</w:t>
        </w:r>
      </w:hyperlink>
      <w:r w:rsidRPr="00A45C79">
        <w:rPr>
          <w:rFonts w:asciiTheme="majorBidi" w:hAnsiTheme="majorBidi" w:cstheme="majorBidi"/>
          <w:sz w:val="16"/>
          <w:szCs w:val="16"/>
        </w:rPr>
        <w:t xml:space="preserve"> </w:t>
      </w:r>
    </w:p>
  </w:footnote>
  <w:footnote w:id="20">
    <w:p w14:paraId="5A171E19"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Trends in maternal mortality 2000 to 2020: estimates by WHO, UNICEF, UNFPA, World Bank Group and UNDESA/Population Division, </w:t>
      </w:r>
      <w:hyperlink r:id="rId18" w:history="1">
        <w:r w:rsidRPr="00A45C79">
          <w:rPr>
            <w:rStyle w:val="Hyperlink"/>
            <w:rFonts w:asciiTheme="majorBidi" w:hAnsiTheme="majorBidi" w:cstheme="majorBidi"/>
            <w:sz w:val="16"/>
            <w:szCs w:val="16"/>
          </w:rPr>
          <w:t>https://shorturl.at/ZthTn</w:t>
        </w:r>
      </w:hyperlink>
    </w:p>
  </w:footnote>
  <w:footnote w:id="21">
    <w:p w14:paraId="43EA91BA"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Iron Deficiency- The Hidden Challenge in Egypt’s Growth, </w:t>
      </w:r>
      <w:hyperlink r:id="rId19" w:history="1">
        <w:r w:rsidRPr="00A45C79">
          <w:rPr>
            <w:rStyle w:val="Hyperlink"/>
            <w:rFonts w:asciiTheme="majorBidi" w:hAnsiTheme="majorBidi" w:cstheme="majorBidi"/>
            <w:sz w:val="16"/>
            <w:szCs w:val="16"/>
          </w:rPr>
          <w:t>https://shorturl.at/ziNjN</w:t>
        </w:r>
      </w:hyperlink>
    </w:p>
  </w:footnote>
  <w:footnote w:id="22">
    <w:p w14:paraId="18E574F3"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what are the complications of a medically unjustified caesarean section and its impact on the baby’s health? At: </w:t>
      </w:r>
      <w:hyperlink r:id="rId20" w:history="1">
        <w:r w:rsidRPr="00A45C79">
          <w:rPr>
            <w:rStyle w:val="Hyperlink"/>
            <w:rFonts w:asciiTheme="majorBidi" w:hAnsiTheme="majorBidi" w:cstheme="majorBidi"/>
            <w:sz w:val="16"/>
            <w:szCs w:val="16"/>
          </w:rPr>
          <w:t>https://www.facebook.com/watch/?v=1751873582106824</w:t>
        </w:r>
      </w:hyperlink>
      <w:r w:rsidRPr="00A45C79">
        <w:rPr>
          <w:rFonts w:asciiTheme="majorBidi" w:hAnsiTheme="majorBidi" w:cstheme="majorBidi"/>
          <w:sz w:val="16"/>
          <w:szCs w:val="16"/>
        </w:rPr>
        <w:t xml:space="preserve"> </w:t>
      </w:r>
    </w:p>
  </w:footnote>
  <w:footnote w:id="23">
    <w:p w14:paraId="35C442BA"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National Human Rights Strategy: Three Years of Progress and Challenges, </w:t>
      </w:r>
      <w:hyperlink r:id="rId21" w:history="1">
        <w:r w:rsidRPr="00A45C79">
          <w:rPr>
            <w:rStyle w:val="Hyperlink"/>
            <w:rFonts w:asciiTheme="majorBidi" w:hAnsiTheme="majorBidi" w:cstheme="majorBidi"/>
            <w:sz w:val="16"/>
            <w:szCs w:val="16"/>
          </w:rPr>
          <w:t>https://shorturl.at/Rwxrg</w:t>
        </w:r>
      </w:hyperlink>
    </w:p>
  </w:footnote>
  <w:footnote w:id="24">
    <w:p w14:paraId="4540B91B"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By rates reaching 330%...an increase in the prices of mental health hospital services, at: </w:t>
      </w:r>
      <w:hyperlink r:id="rId22" w:history="1">
        <w:r w:rsidRPr="00A45C79">
          <w:rPr>
            <w:rStyle w:val="Hyperlink"/>
            <w:rFonts w:asciiTheme="majorBidi" w:hAnsiTheme="majorBidi" w:cstheme="majorBidi"/>
            <w:sz w:val="16"/>
            <w:szCs w:val="16"/>
          </w:rPr>
          <w:t>https://shorturl.at/2zrgd</w:t>
        </w:r>
      </w:hyperlink>
      <w:r w:rsidRPr="00A45C79">
        <w:rPr>
          <w:rFonts w:asciiTheme="majorBidi" w:hAnsiTheme="majorBidi" w:cstheme="majorBidi"/>
          <w:sz w:val="16"/>
          <w:szCs w:val="16"/>
        </w:rPr>
        <w:t xml:space="preserve"> </w:t>
      </w:r>
    </w:p>
  </w:footnote>
  <w:footnote w:id="25">
    <w:p w14:paraId="5F0A0AFC"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What is the state’s plan to confront the migration of doctors? available at: </w:t>
      </w:r>
      <w:hyperlink r:id="rId23" w:history="1">
        <w:r w:rsidRPr="00A45C79">
          <w:rPr>
            <w:rStyle w:val="Hyperlink"/>
            <w:rFonts w:asciiTheme="majorBidi" w:hAnsiTheme="majorBidi" w:cstheme="majorBidi"/>
            <w:sz w:val="16"/>
            <w:szCs w:val="16"/>
          </w:rPr>
          <w:t>https://www.youtube.com/watch?v=ggHAjB0LAMY</w:t>
        </w:r>
      </w:hyperlink>
      <w:r w:rsidRPr="00A45C79">
        <w:rPr>
          <w:rFonts w:asciiTheme="majorBidi" w:hAnsiTheme="majorBidi" w:cstheme="majorBidi"/>
          <w:sz w:val="16"/>
          <w:szCs w:val="16"/>
        </w:rPr>
        <w:t xml:space="preserve"> </w:t>
      </w:r>
    </w:p>
  </w:footnote>
  <w:footnote w:id="26">
    <w:p w14:paraId="1F545F02"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There is widespread controversy in Egypt regarding the abolition of the “assignment of doctors”... What is the truth about this? at: </w:t>
      </w:r>
      <w:hyperlink r:id="rId24" w:history="1">
        <w:r w:rsidRPr="00A45C79">
          <w:rPr>
            <w:rStyle w:val="Hyperlink"/>
            <w:rFonts w:asciiTheme="majorBidi" w:hAnsiTheme="majorBidi" w:cstheme="majorBidi"/>
            <w:sz w:val="16"/>
            <w:szCs w:val="16"/>
          </w:rPr>
          <w:t>https://shorturl.at/X5Io8</w:t>
        </w:r>
      </w:hyperlink>
      <w:r w:rsidRPr="00A45C79">
        <w:rPr>
          <w:rFonts w:asciiTheme="majorBidi" w:hAnsiTheme="majorBidi" w:cstheme="majorBidi"/>
          <w:sz w:val="16"/>
          <w:szCs w:val="16"/>
        </w:rPr>
        <w:t xml:space="preserve"> </w:t>
      </w:r>
    </w:p>
  </w:footnote>
  <w:footnote w:id="27">
    <w:p w14:paraId="02CD9411"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Addressing the Doctors' Exodus: Retaining Egypt's Talent and Harnessing Global Expertise, </w:t>
      </w:r>
      <w:hyperlink r:id="rId25" w:history="1">
        <w:r w:rsidRPr="00A45C79">
          <w:rPr>
            <w:rStyle w:val="Hyperlink"/>
            <w:rFonts w:asciiTheme="majorBidi" w:hAnsiTheme="majorBidi" w:cstheme="majorBidi"/>
            <w:sz w:val="16"/>
            <w:szCs w:val="16"/>
          </w:rPr>
          <w:t>https://shorturl.at/l2Hdf</w:t>
        </w:r>
      </w:hyperlink>
    </w:p>
  </w:footnote>
  <w:footnote w:id="28">
    <w:p w14:paraId="23B5F677"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Ibid.</w:t>
      </w:r>
    </w:p>
  </w:footnote>
  <w:footnote w:id="29">
    <w:p w14:paraId="16BD061B"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Amended Egyptian Constitution of 2019, Article 19, at: </w:t>
      </w:r>
      <w:hyperlink r:id="rId26" w:history="1">
        <w:r w:rsidRPr="00A45C79">
          <w:rPr>
            <w:rStyle w:val="Hyperlink"/>
            <w:rFonts w:asciiTheme="majorBidi" w:hAnsiTheme="majorBidi" w:cstheme="majorBidi"/>
            <w:sz w:val="16"/>
            <w:szCs w:val="16"/>
          </w:rPr>
          <w:t>https://manshurat.org/node/14675</w:t>
        </w:r>
      </w:hyperlink>
      <w:r w:rsidRPr="00A45C79">
        <w:rPr>
          <w:rFonts w:asciiTheme="majorBidi" w:hAnsiTheme="majorBidi" w:cstheme="majorBidi"/>
          <w:sz w:val="16"/>
          <w:szCs w:val="16"/>
        </w:rPr>
        <w:t xml:space="preserve"> </w:t>
      </w:r>
    </w:p>
  </w:footnote>
  <w:footnote w:id="30">
    <w:p w14:paraId="6CA0003D"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Available at: </w:t>
      </w:r>
      <w:hyperlink r:id="rId27" w:history="1">
        <w:r w:rsidRPr="00A45C79">
          <w:rPr>
            <w:rStyle w:val="Hyperlink"/>
            <w:rFonts w:asciiTheme="majorBidi" w:hAnsiTheme="majorBidi" w:cstheme="majorBidi"/>
            <w:sz w:val="16"/>
            <w:szCs w:val="16"/>
          </w:rPr>
          <w:t>https://shorturl.at/gLtH6</w:t>
        </w:r>
      </w:hyperlink>
      <w:r w:rsidRPr="00A45C79">
        <w:rPr>
          <w:rFonts w:asciiTheme="majorBidi" w:hAnsiTheme="majorBidi" w:cstheme="majorBidi"/>
          <w:sz w:val="16"/>
          <w:szCs w:val="16"/>
        </w:rPr>
        <w:t xml:space="preserve"> </w:t>
      </w:r>
    </w:p>
  </w:footnote>
  <w:footnote w:id="31">
    <w:p w14:paraId="51361A79"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Minister of Education: We have a deficit of 250,000 classrooms and 460,000 teachers, at: </w:t>
      </w:r>
      <w:hyperlink r:id="rId28" w:history="1">
        <w:r w:rsidRPr="00A45C79">
          <w:rPr>
            <w:rStyle w:val="Hyperlink"/>
            <w:rFonts w:asciiTheme="majorBidi" w:hAnsiTheme="majorBidi" w:cstheme="majorBidi"/>
            <w:sz w:val="16"/>
            <w:szCs w:val="16"/>
          </w:rPr>
          <w:t>https://shorturl.at/uXup2</w:t>
        </w:r>
      </w:hyperlink>
      <w:r w:rsidRPr="00A45C79">
        <w:rPr>
          <w:rFonts w:asciiTheme="majorBidi" w:hAnsiTheme="majorBidi" w:cstheme="majorBidi"/>
          <w:sz w:val="16"/>
          <w:szCs w:val="16"/>
        </w:rPr>
        <w:t xml:space="preserve"> </w:t>
      </w:r>
    </w:p>
  </w:footnote>
  <w:footnote w:id="32">
    <w:p w14:paraId="23A2669B" w14:textId="77777777" w:rsidR="002C79F5" w:rsidRPr="00A45C79" w:rsidRDefault="002C79F5" w:rsidP="002C79F5">
      <w:pPr>
        <w:pStyle w:val="FootnoteText"/>
        <w:jc w:val="both"/>
        <w:rPr>
          <w:rFonts w:asciiTheme="majorBidi" w:hAnsiTheme="majorBidi" w:cstheme="majorBidi"/>
          <w:sz w:val="16"/>
          <w:szCs w:val="16"/>
        </w:rPr>
      </w:pPr>
      <w:r w:rsidRPr="00A45C79">
        <w:rPr>
          <w:rStyle w:val="FootnoteReference"/>
          <w:rFonts w:asciiTheme="majorBidi" w:hAnsiTheme="majorBidi" w:cstheme="majorBidi"/>
          <w:sz w:val="16"/>
          <w:szCs w:val="16"/>
        </w:rPr>
        <w:footnoteRef/>
      </w:r>
      <w:r w:rsidRPr="00A45C79">
        <w:rPr>
          <w:rFonts w:asciiTheme="majorBidi" w:hAnsiTheme="majorBidi" w:cstheme="majorBidi"/>
          <w:sz w:val="16"/>
          <w:szCs w:val="16"/>
        </w:rPr>
        <w:t xml:space="preserve"> See: The strategic plan for pre-university education, at: </w:t>
      </w:r>
      <w:hyperlink r:id="rId29" w:history="1">
        <w:r w:rsidRPr="00A45C79">
          <w:rPr>
            <w:rStyle w:val="Hyperlink"/>
            <w:rFonts w:asciiTheme="majorBidi" w:hAnsiTheme="majorBidi" w:cstheme="majorBidi"/>
            <w:sz w:val="16"/>
            <w:szCs w:val="16"/>
          </w:rPr>
          <w:t>https://rb.gy/movb0u</w:t>
        </w:r>
      </w:hyperlink>
      <w:r w:rsidRPr="00A45C79">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6"/>
  </w:num>
  <w:num w:numId="3" w16cid:durableId="483819352">
    <w:abstractNumId w:val="1"/>
  </w:num>
  <w:num w:numId="4" w16cid:durableId="1550531087">
    <w:abstractNumId w:val="15"/>
  </w:num>
  <w:num w:numId="5" w16cid:durableId="365302262">
    <w:abstractNumId w:val="4"/>
  </w:num>
  <w:num w:numId="6" w16cid:durableId="1490904455">
    <w:abstractNumId w:val="35"/>
  </w:num>
  <w:num w:numId="7" w16cid:durableId="1975796718">
    <w:abstractNumId w:val="42"/>
  </w:num>
  <w:num w:numId="8" w16cid:durableId="168910388">
    <w:abstractNumId w:val="46"/>
  </w:num>
  <w:num w:numId="9" w16cid:durableId="864364265">
    <w:abstractNumId w:val="33"/>
  </w:num>
  <w:num w:numId="10" w16cid:durableId="1110662610">
    <w:abstractNumId w:val="36"/>
  </w:num>
  <w:num w:numId="11" w16cid:durableId="48504678">
    <w:abstractNumId w:val="27"/>
  </w:num>
  <w:num w:numId="12" w16cid:durableId="1057243330">
    <w:abstractNumId w:val="45"/>
  </w:num>
  <w:num w:numId="13" w16cid:durableId="113838224">
    <w:abstractNumId w:val="25"/>
  </w:num>
  <w:num w:numId="14" w16cid:durableId="1819300015">
    <w:abstractNumId w:val="9"/>
  </w:num>
  <w:num w:numId="15" w16cid:durableId="1354769003">
    <w:abstractNumId w:val="31"/>
  </w:num>
  <w:num w:numId="16" w16cid:durableId="765884069">
    <w:abstractNumId w:val="16"/>
  </w:num>
  <w:num w:numId="17" w16cid:durableId="1830708544">
    <w:abstractNumId w:val="0"/>
  </w:num>
  <w:num w:numId="18" w16cid:durableId="1195772453">
    <w:abstractNumId w:val="22"/>
  </w:num>
  <w:num w:numId="19" w16cid:durableId="116266373">
    <w:abstractNumId w:val="2"/>
  </w:num>
  <w:num w:numId="20" w16cid:durableId="1165899663">
    <w:abstractNumId w:val="12"/>
  </w:num>
  <w:num w:numId="21" w16cid:durableId="1921870603">
    <w:abstractNumId w:val="48"/>
  </w:num>
  <w:num w:numId="22" w16cid:durableId="1106846340">
    <w:abstractNumId w:val="14"/>
  </w:num>
  <w:num w:numId="23" w16cid:durableId="1120413215">
    <w:abstractNumId w:val="19"/>
  </w:num>
  <w:num w:numId="24" w16cid:durableId="884490536">
    <w:abstractNumId w:val="34"/>
  </w:num>
  <w:num w:numId="25" w16cid:durableId="1098991049">
    <w:abstractNumId w:val="39"/>
  </w:num>
  <w:num w:numId="26" w16cid:durableId="631596808">
    <w:abstractNumId w:val="10"/>
  </w:num>
  <w:num w:numId="27" w16cid:durableId="1306087360">
    <w:abstractNumId w:val="8"/>
  </w:num>
  <w:num w:numId="28" w16cid:durableId="909191109">
    <w:abstractNumId w:val="28"/>
  </w:num>
  <w:num w:numId="29" w16cid:durableId="556204899">
    <w:abstractNumId w:val="29"/>
  </w:num>
  <w:num w:numId="30" w16cid:durableId="1668284805">
    <w:abstractNumId w:val="17"/>
  </w:num>
  <w:num w:numId="31" w16cid:durableId="1777868951">
    <w:abstractNumId w:val="26"/>
  </w:num>
  <w:num w:numId="32" w16cid:durableId="1614898655">
    <w:abstractNumId w:val="7"/>
  </w:num>
  <w:num w:numId="33" w16cid:durableId="364449577">
    <w:abstractNumId w:val="13"/>
  </w:num>
  <w:num w:numId="34" w16cid:durableId="248081818">
    <w:abstractNumId w:val="44"/>
  </w:num>
  <w:num w:numId="35" w16cid:durableId="1742749116">
    <w:abstractNumId w:val="40"/>
  </w:num>
  <w:num w:numId="36" w16cid:durableId="1632056943">
    <w:abstractNumId w:val="30"/>
  </w:num>
  <w:num w:numId="37" w16cid:durableId="16198188">
    <w:abstractNumId w:val="38"/>
  </w:num>
  <w:num w:numId="38" w16cid:durableId="995642619">
    <w:abstractNumId w:val="23"/>
  </w:num>
  <w:num w:numId="39" w16cid:durableId="1951429902">
    <w:abstractNumId w:val="47"/>
  </w:num>
  <w:num w:numId="40" w16cid:durableId="1660618793">
    <w:abstractNumId w:val="24"/>
  </w:num>
  <w:num w:numId="41" w16cid:durableId="566649021">
    <w:abstractNumId w:val="43"/>
  </w:num>
  <w:num w:numId="42" w16cid:durableId="230387690">
    <w:abstractNumId w:val="18"/>
  </w:num>
  <w:num w:numId="43" w16cid:durableId="335613693">
    <w:abstractNumId w:val="3"/>
  </w:num>
  <w:num w:numId="44" w16cid:durableId="1955866269">
    <w:abstractNumId w:val="5"/>
  </w:num>
  <w:num w:numId="45" w16cid:durableId="1236166310">
    <w:abstractNumId w:val="32"/>
  </w:num>
  <w:num w:numId="46" w16cid:durableId="1135757983">
    <w:abstractNumId w:val="41"/>
  </w:num>
  <w:num w:numId="47" w16cid:durableId="1772360755">
    <w:abstractNumId w:val="37"/>
  </w:num>
  <w:num w:numId="48" w16cid:durableId="562985464">
    <w:abstractNumId w:val="11"/>
  </w:num>
  <w:num w:numId="49" w16cid:durableId="187002296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17134"/>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C79F5"/>
    <w:rsid w:val="002D0B34"/>
    <w:rsid w:val="002D5B01"/>
    <w:rsid w:val="002D65A3"/>
    <w:rsid w:val="002D7273"/>
    <w:rsid w:val="0030426A"/>
    <w:rsid w:val="00307051"/>
    <w:rsid w:val="00313E42"/>
    <w:rsid w:val="003216C7"/>
    <w:rsid w:val="00326F85"/>
    <w:rsid w:val="003319F3"/>
    <w:rsid w:val="003439F7"/>
    <w:rsid w:val="00360DAB"/>
    <w:rsid w:val="00371F59"/>
    <w:rsid w:val="00372B51"/>
    <w:rsid w:val="0038184B"/>
    <w:rsid w:val="00383811"/>
    <w:rsid w:val="003A0EBE"/>
    <w:rsid w:val="003A1F96"/>
    <w:rsid w:val="003A60A9"/>
    <w:rsid w:val="003A745E"/>
    <w:rsid w:val="003B4F62"/>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56782"/>
    <w:rsid w:val="006807A3"/>
    <w:rsid w:val="00683E71"/>
    <w:rsid w:val="00690C3F"/>
    <w:rsid w:val="00693967"/>
    <w:rsid w:val="006946CB"/>
    <w:rsid w:val="006B1AFB"/>
    <w:rsid w:val="006C53FC"/>
    <w:rsid w:val="006F5D15"/>
    <w:rsid w:val="00713444"/>
    <w:rsid w:val="00720C57"/>
    <w:rsid w:val="00741D51"/>
    <w:rsid w:val="0074772B"/>
    <w:rsid w:val="0075015E"/>
    <w:rsid w:val="007529F3"/>
    <w:rsid w:val="00755B2C"/>
    <w:rsid w:val="00771104"/>
    <w:rsid w:val="00786D2C"/>
    <w:rsid w:val="007A3C77"/>
    <w:rsid w:val="007B5697"/>
    <w:rsid w:val="007C2144"/>
    <w:rsid w:val="007C3E73"/>
    <w:rsid w:val="007C4503"/>
    <w:rsid w:val="007E38ED"/>
    <w:rsid w:val="007E56C8"/>
    <w:rsid w:val="007F62CB"/>
    <w:rsid w:val="00823531"/>
    <w:rsid w:val="00823F46"/>
    <w:rsid w:val="00826C6D"/>
    <w:rsid w:val="00840743"/>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45C79"/>
    <w:rsid w:val="00A537CE"/>
    <w:rsid w:val="00A63977"/>
    <w:rsid w:val="00A64F85"/>
    <w:rsid w:val="00A81650"/>
    <w:rsid w:val="00A81860"/>
    <w:rsid w:val="00A83C1E"/>
    <w:rsid w:val="00AB2EAB"/>
    <w:rsid w:val="00AB720E"/>
    <w:rsid w:val="00AE7B0F"/>
    <w:rsid w:val="00AF7FD1"/>
    <w:rsid w:val="00B01D47"/>
    <w:rsid w:val="00B23185"/>
    <w:rsid w:val="00B35D5B"/>
    <w:rsid w:val="00B36D64"/>
    <w:rsid w:val="00B50DC2"/>
    <w:rsid w:val="00B53978"/>
    <w:rsid w:val="00B66916"/>
    <w:rsid w:val="00B76BA7"/>
    <w:rsid w:val="00B831E3"/>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566F"/>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E187A29-D660-4C26-BA25-C451F12E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shorturl.at/4lyQz" TargetMode="External"/><Relationship Id="rId13" Type="http://schemas.openxmlformats.org/officeDocument/2006/relationships/hyperlink" Target="https://shorturl.at/Ev5uX" TargetMode="External"/><Relationship Id="rId18" Type="http://schemas.openxmlformats.org/officeDocument/2006/relationships/hyperlink" Target="https://shorturl.at/ZthTn" TargetMode="External"/><Relationship Id="rId26" Type="http://schemas.openxmlformats.org/officeDocument/2006/relationships/hyperlink" Target="https://manshurat.org/node/14675" TargetMode="External"/><Relationship Id="rId3" Type="http://schemas.openxmlformats.org/officeDocument/2006/relationships/hyperlink" Target="https://shorturl.at/Un5hf" TargetMode="External"/><Relationship Id="rId21" Type="http://schemas.openxmlformats.org/officeDocument/2006/relationships/hyperlink" Target="https://shorturl.at/Rwxrg" TargetMode="External"/><Relationship Id="rId7" Type="http://schemas.openxmlformats.org/officeDocument/2006/relationships/hyperlink" Target="https://shorturl.at/ulfYk" TargetMode="External"/><Relationship Id="rId12" Type="http://schemas.openxmlformats.org/officeDocument/2006/relationships/hyperlink" Target="https://moj.gov.eg:73/Doc/001/710571642025.pdf" TargetMode="External"/><Relationship Id="rId17" Type="http://schemas.openxmlformats.org/officeDocument/2006/relationships/hyperlink" Target="https://shorturl.at/8O13s" TargetMode="External"/><Relationship Id="rId25" Type="http://schemas.openxmlformats.org/officeDocument/2006/relationships/hyperlink" Target="https://shorturl.at/l2Hdf" TargetMode="External"/><Relationship Id="rId2" Type="http://schemas.openxmlformats.org/officeDocument/2006/relationships/hyperlink" Target="https://shorturl.at/6VTuS" TargetMode="External"/><Relationship Id="rId16" Type="http://schemas.openxmlformats.org/officeDocument/2006/relationships/hyperlink" Target="https://shorturl.at/QCpkE" TargetMode="External"/><Relationship Id="rId20" Type="http://schemas.openxmlformats.org/officeDocument/2006/relationships/hyperlink" Target="https://www.facebook.com/watch/?v=1751873582106824" TargetMode="External"/><Relationship Id="rId29" Type="http://schemas.openxmlformats.org/officeDocument/2006/relationships/hyperlink" Target="https://rb.gy/movb0u" TargetMode="External"/><Relationship Id="rId1" Type="http://schemas.openxmlformats.org/officeDocument/2006/relationships/hyperlink" Target="https://shorturl.at/3j9AM" TargetMode="External"/><Relationship Id="rId6" Type="http://schemas.openxmlformats.org/officeDocument/2006/relationships/hyperlink" Target="https://sschr.gov.eg/media/gapb5bq4/national-human-rights-strategy.pdf" TargetMode="External"/><Relationship Id="rId11" Type="http://schemas.openxmlformats.org/officeDocument/2006/relationships/hyperlink" Target="https://shorturl.at/emjHi" TargetMode="External"/><Relationship Id="rId24" Type="http://schemas.openxmlformats.org/officeDocument/2006/relationships/hyperlink" Target="https://shorturl.at/X5Io8" TargetMode="External"/><Relationship Id="rId5" Type="http://schemas.openxmlformats.org/officeDocument/2006/relationships/hyperlink" Target="https://www.capmas.gov.eg/publications/13" TargetMode="External"/><Relationship Id="rId15" Type="http://schemas.openxmlformats.org/officeDocument/2006/relationships/hyperlink" Target="https://shorturl.at/Mbk7U" TargetMode="External"/><Relationship Id="rId23" Type="http://schemas.openxmlformats.org/officeDocument/2006/relationships/hyperlink" Target="https://www.youtube.com/watch?v=ggHAjB0LAMY" TargetMode="External"/><Relationship Id="rId28" Type="http://schemas.openxmlformats.org/officeDocument/2006/relationships/hyperlink" Target="https://shorturl.at/uXup2" TargetMode="External"/><Relationship Id="rId10" Type="http://schemas.openxmlformats.org/officeDocument/2006/relationships/hyperlink" Target="https://url-shortener.me/AI81" TargetMode="External"/><Relationship Id="rId19" Type="http://schemas.openxmlformats.org/officeDocument/2006/relationships/hyperlink" Target="https://shorturl.at/ziNjN" TargetMode="External"/><Relationship Id="rId4" Type="http://schemas.openxmlformats.org/officeDocument/2006/relationships/hyperlink" Target="https://shorturl.at/wfGIu" TargetMode="External"/><Relationship Id="rId9" Type="http://schemas.openxmlformats.org/officeDocument/2006/relationships/hyperlink" Target="https://docs.un.org/en/A/HRC/43/43" TargetMode="External"/><Relationship Id="rId14" Type="http://schemas.openxmlformats.org/officeDocument/2006/relationships/hyperlink" Target="https://www.almasryalyoum.com/news/details/2560767" TargetMode="External"/><Relationship Id="rId22" Type="http://schemas.openxmlformats.org/officeDocument/2006/relationships/hyperlink" Target="https://shorturl.at/2zrgd" TargetMode="External"/><Relationship Id="rId27" Type="http://schemas.openxmlformats.org/officeDocument/2006/relationships/hyperlink" Target="https://shorturl.at/gLtH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3244</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6</cp:revision>
  <dcterms:created xsi:type="dcterms:W3CDTF">2025-11-26T12:52:00Z</dcterms:created>
  <dcterms:modified xsi:type="dcterms:W3CDTF">2025-11-26T14:34:00Z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