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2">
      <w:pPr>
        <w:spacing w:line="276"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3">
      <w:pPr>
        <w:spacing w:line="276"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4">
      <w:pPr>
        <w:spacing w:line="276"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5">
      <w:pPr>
        <w:spacing w:line="276"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6">
      <w:pPr>
        <w:spacing w:line="276"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7">
      <w:pPr>
        <w:spacing w:line="276"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Human Rights Platform </w:t>
      </w:r>
    </w:p>
    <w:p w:rsidR="00000000" w:rsidDel="00000000" w:rsidP="00000000" w:rsidRDefault="00000000" w:rsidRPr="00000000" w14:paraId="00000008">
      <w:pPr>
        <w:spacing w:line="276"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9">
      <w:pPr>
        <w:spacing w:line="276"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Lists of Issues </w:t>
      </w:r>
    </w:p>
    <w:p w:rsidR="00000000" w:rsidDel="00000000" w:rsidP="00000000" w:rsidRDefault="00000000" w:rsidRPr="00000000" w14:paraId="0000000A">
      <w:pPr>
        <w:spacing w:line="276"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Prior to Reporting on Cyprus</w:t>
      </w:r>
    </w:p>
    <w:p w:rsidR="00000000" w:rsidDel="00000000" w:rsidP="00000000" w:rsidRDefault="00000000" w:rsidRPr="00000000" w14:paraId="0000000B">
      <w:pPr>
        <w:spacing w:line="276"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C">
      <w:pPr>
        <w:spacing w:line="276"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CEDAW - </w:t>
      </w:r>
    </w:p>
    <w:p w:rsidR="00000000" w:rsidDel="00000000" w:rsidP="00000000" w:rsidRDefault="00000000" w:rsidRPr="00000000" w14:paraId="0000000D">
      <w:pPr>
        <w:spacing w:line="276"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Convention on the Elimination of All Forms of Discrimination against Women</w:t>
      </w:r>
    </w:p>
    <w:p w:rsidR="00000000" w:rsidDel="00000000" w:rsidP="00000000" w:rsidRDefault="00000000" w:rsidRPr="00000000" w14:paraId="0000000E">
      <w:pPr>
        <w:spacing w:line="276"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F">
      <w:pPr>
        <w:spacing w:line="276"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89 (PSWG) Pre-Sessional Working Group </w:t>
      </w:r>
    </w:p>
    <w:p w:rsidR="00000000" w:rsidDel="00000000" w:rsidP="00000000" w:rsidRDefault="00000000" w:rsidRPr="00000000" w14:paraId="00000010">
      <w:pPr>
        <w:spacing w:line="276"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11">
      <w:pPr>
        <w:spacing w:line="276"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(19 Feb 2024 - 23 Feb 2024)</w:t>
      </w:r>
    </w:p>
    <w:p w:rsidR="00000000" w:rsidDel="00000000" w:rsidP="00000000" w:rsidRDefault="00000000" w:rsidRPr="00000000" w14:paraId="00000012">
      <w:pPr>
        <w:spacing w:line="276"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13">
      <w:pPr>
        <w:spacing w:line="276"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14">
      <w:pPr>
        <w:spacing w:line="276"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15">
      <w:pPr>
        <w:spacing w:line="276"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16">
      <w:pPr>
        <w:spacing w:line="276"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17">
      <w:pPr>
        <w:spacing w:line="276"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02 January 2024</w:t>
      </w:r>
    </w:p>
    <w:p w:rsidR="00000000" w:rsidDel="00000000" w:rsidP="00000000" w:rsidRDefault="00000000" w:rsidRPr="00000000" w14:paraId="00000018">
      <w:pPr>
        <w:spacing w:line="276"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19">
      <w:pPr>
        <w:spacing w:line="276"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1A">
      <w:pPr>
        <w:spacing w:line="240" w:lineRule="auto"/>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01B">
      <w:pPr>
        <w:spacing w:line="240" w:lineRule="auto"/>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01C">
      <w:pPr>
        <w:spacing w:line="240" w:lineRule="auto"/>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01D">
      <w:pPr>
        <w:spacing w:line="240" w:lineRule="auto"/>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01E">
      <w:pPr>
        <w:spacing w:line="240" w:lineRule="auto"/>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01F">
      <w:pPr>
        <w:spacing w:line="240" w:lineRule="auto"/>
        <w:rPr>
          <w:rFonts w:ascii="Calibri" w:cs="Calibri" w:eastAsia="Calibri" w:hAnsi="Calibri"/>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20">
      <w:pPr>
        <w:spacing w:line="240" w:lineRule="auto"/>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Information about the Human Rights Platform </w:t>
      </w:r>
    </w:p>
    <w:p w:rsidR="00000000" w:rsidDel="00000000" w:rsidP="00000000" w:rsidRDefault="00000000" w:rsidRPr="00000000" w14:paraId="00000021">
      <w:pPr>
        <w:spacing w:line="240" w:lineRule="auto"/>
        <w:rPr>
          <w:rFonts w:ascii="Calibri" w:cs="Calibri" w:eastAsia="Calibri" w:hAnsi="Calibri"/>
          <w:b w:val="1"/>
          <w:sz w:val="24"/>
          <w:szCs w:val="24"/>
          <w:u w:val="single"/>
        </w:rPr>
      </w:pPr>
      <w:r w:rsidDel="00000000" w:rsidR="00000000" w:rsidRPr="00000000">
        <w:rPr>
          <w:rtl w:val="0"/>
        </w:rPr>
      </w:r>
    </w:p>
    <w:p w:rsidR="00000000" w:rsidDel="00000000" w:rsidP="00000000" w:rsidRDefault="00000000" w:rsidRPr="00000000" w14:paraId="00000022">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Human Rights Platform</w:t>
      </w:r>
      <w:r w:rsidDel="00000000" w:rsidR="00000000" w:rsidRPr="00000000">
        <w:rPr>
          <w:rFonts w:ascii="Calibri" w:cs="Calibri" w:eastAsia="Calibri" w:hAnsi="Calibri"/>
          <w:sz w:val="24"/>
          <w:szCs w:val="24"/>
          <w:vertAlign w:val="superscript"/>
        </w:rPr>
        <w:footnoteReference w:customMarkFollows="0" w:id="0"/>
      </w:r>
      <w:r w:rsidDel="00000000" w:rsidR="00000000" w:rsidRPr="00000000">
        <w:rPr>
          <w:rFonts w:ascii="Calibri" w:cs="Calibri" w:eastAsia="Calibri" w:hAnsi="Calibri"/>
          <w:sz w:val="24"/>
          <w:szCs w:val="24"/>
          <w:rtl w:val="0"/>
        </w:rPr>
        <w:t xml:space="preserve"> was founded in 2021 in Nicosia Cyprus by the five leading rights-based CSOs; Refugee Rights Association, Queer Cyprus Association, Universal Patients’ Rights Association, Turkish Cypriot Human Rights Foundation and Civil Society Initiative.  The main objective of the platform is to contribute to developing a more just, equitable, democratic and inclusive society where human rights are not only respected but cherished. The Platform closely monitors human rights violations in various areas and consistently engages in advocacy and lobbying to promote human rights. </w:t>
      </w:r>
    </w:p>
    <w:p w:rsidR="00000000" w:rsidDel="00000000" w:rsidP="00000000" w:rsidRDefault="00000000" w:rsidRPr="00000000" w14:paraId="00000023">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4">
      <w:pPr>
        <w:spacing w:line="276" w:lineRule="auto"/>
        <w:rPr>
          <w:rFonts w:ascii="Calibri" w:cs="Calibri" w:eastAsia="Calibri" w:hAnsi="Calibri"/>
          <w:b w:val="1"/>
          <w:sz w:val="24"/>
          <w:szCs w:val="24"/>
          <w:u w:val="single"/>
        </w:rPr>
      </w:pPr>
      <w:r w:rsidDel="00000000" w:rsidR="00000000" w:rsidRPr="00000000">
        <w:rPr>
          <w:rtl w:val="0"/>
        </w:rPr>
      </w:r>
    </w:p>
    <w:p w:rsidR="00000000" w:rsidDel="00000000" w:rsidP="00000000" w:rsidRDefault="00000000" w:rsidRPr="00000000" w14:paraId="00000025">
      <w:pPr>
        <w:spacing w:line="276" w:lineRule="auto"/>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Information about the Report</w:t>
      </w:r>
    </w:p>
    <w:p w:rsidR="00000000" w:rsidDel="00000000" w:rsidP="00000000" w:rsidRDefault="00000000" w:rsidRPr="00000000" w14:paraId="00000026">
      <w:pPr>
        <w:spacing w:line="276"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report is prepared as the List of Issues Prior to Reporting the Convention on the Elimination of All Forms of Discrimination against Women (CEDAW) for the Republic of Cyprus. The list of issues includes questions regarding migrant, refugee, and trafficking victim women as well as lesbian, bisexual, transgender, and intersex (LBTI+) women's concerns.</w:t>
      </w:r>
    </w:p>
    <w:p w:rsidR="00000000" w:rsidDel="00000000" w:rsidP="00000000" w:rsidRDefault="00000000" w:rsidRPr="00000000" w14:paraId="00000027">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9">
      <w:pPr>
        <w:ind w:left="0" w:firstLine="0"/>
        <w:rPr>
          <w:rFonts w:ascii="Calibri" w:cs="Calibri" w:eastAsia="Calibri" w:hAnsi="Calibri"/>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A">
      <w:pPr>
        <w:numPr>
          <w:ilvl w:val="0"/>
          <w:numId w:val="1"/>
        </w:numPr>
        <w:ind w:left="720" w:hanging="36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Women and Peace and Security </w:t>
      </w:r>
    </w:p>
    <w:p w:rsidR="00000000" w:rsidDel="00000000" w:rsidP="00000000" w:rsidRDefault="00000000" w:rsidRPr="00000000" w14:paraId="0000002B">
      <w:pPr>
        <w:ind w:left="720" w:firstLine="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2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Republic of Cyprus announced the adoption of the </w:t>
      </w:r>
      <w:hyperlink r:id="rId7">
        <w:r w:rsidDel="00000000" w:rsidR="00000000" w:rsidRPr="00000000">
          <w:rPr>
            <w:rFonts w:ascii="Calibri" w:cs="Calibri" w:eastAsia="Calibri" w:hAnsi="Calibri"/>
            <w:color w:val="1155cc"/>
            <w:sz w:val="24"/>
            <w:szCs w:val="24"/>
            <w:u w:val="single"/>
            <w:rtl w:val="0"/>
          </w:rPr>
          <w:t xml:space="preserve">National Action Plan on Women, Peace and Security </w:t>
        </w:r>
      </w:hyperlink>
      <w:r w:rsidDel="00000000" w:rsidR="00000000" w:rsidRPr="00000000">
        <w:rPr>
          <w:rFonts w:ascii="Calibri" w:cs="Calibri" w:eastAsia="Calibri" w:hAnsi="Calibri"/>
          <w:sz w:val="24"/>
          <w:szCs w:val="24"/>
          <w:rtl w:val="0"/>
        </w:rPr>
        <w:t xml:space="preserve">for the Implementation of United Nations Security Council Resolution 1325. The Action Plan is for the period between 2021 and 2025 and it involves 4 pillars; Participation and Empowerment, Protection, Prevention and Promotion/Information for the Resolution. Despite one of its primary aims being to promote women's role in peace-making, as well as strengthen their participation in peace processes, the Turkish Cypriot Community was largely excluded from the drafting of the Action Plan. The RoC did not even provide a Turkish translation of the document, leaving its TCc completely out of this process. Unfortunately, the Turkish Cypriot women are not aware of such a plan being implemented, cannot understand its content and also their CSOs are not consulted either for the drafting or the implementation of the plan.</w:t>
      </w:r>
    </w:p>
    <w:p w:rsidR="00000000" w:rsidDel="00000000" w:rsidP="00000000" w:rsidRDefault="00000000" w:rsidRPr="00000000" w14:paraId="0000002D">
      <w:pPr>
        <w:spacing w:line="240"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E">
      <w:pPr>
        <w:numPr>
          <w:ilvl w:val="0"/>
          <w:numId w:val="2"/>
        </w:numPr>
        <w:spacing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Will the Republic of Cyprus provide the Turkish version of the National Action Plan on Women, Peace and Security? What steps are planned to ensure the active participation of Turkish Cypriot women in implementing this plan? How does the RoC intend to guarantee equal involvement of Turkish Cypriots in both the drafting and implementation of future Action Plans?</w:t>
      </w:r>
    </w:p>
    <w:p w:rsidR="00000000" w:rsidDel="00000000" w:rsidP="00000000" w:rsidRDefault="00000000" w:rsidRPr="00000000" w14:paraId="0000002F">
      <w:pPr>
        <w:spacing w:line="240"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0">
      <w:pPr>
        <w:numPr>
          <w:ilvl w:val="0"/>
          <w:numId w:val="2"/>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 does the Republic of Cyprus ensure that LGBTI+ women are included in the peace process? Especially, how have LBTI+ women's participation in the Bi-Communal Technical Committee on Gender Equality ensured? How equal participation of women from different backgrounds such as ethnicity, religion, race, and disability are ensured in the peace process?</w:t>
      </w:r>
    </w:p>
    <w:p w:rsidR="00000000" w:rsidDel="00000000" w:rsidP="00000000" w:rsidRDefault="00000000" w:rsidRPr="00000000" w14:paraId="0000003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2">
      <w:pPr>
        <w:numPr>
          <w:ilvl w:val="0"/>
          <w:numId w:val="1"/>
        </w:numPr>
        <w:ind w:left="720" w:hanging="36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Refugee and asylum-seeking women</w:t>
      </w:r>
    </w:p>
    <w:p w:rsidR="00000000" w:rsidDel="00000000" w:rsidP="00000000" w:rsidRDefault="00000000" w:rsidRPr="00000000" w14:paraId="0000003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4">
      <w:pPr>
        <w:ind w:left="0" w:firstLine="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The Green Line, which is patrolled by the United Nations Peacekeeping Force in Cyprus (UNFICYP), is not a borderline for the RoC, nor is it an official entry point. However, the authorities have been denying the entry of the asylum seekers trying to cross from the areas not effectively controlled by the RoC, causing them to wait for weeks and months, which results in degrading treatment.</w:t>
      </w:r>
    </w:p>
    <w:p w:rsidR="00000000" w:rsidDel="00000000" w:rsidP="00000000" w:rsidRDefault="00000000" w:rsidRPr="00000000" w14:paraId="00000035">
      <w:pPr>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w:t>
      </w:r>
    </w:p>
    <w:p w:rsidR="00000000" w:rsidDel="00000000" w:rsidP="00000000" w:rsidRDefault="00000000" w:rsidRPr="00000000" w14:paraId="00000036">
      <w:pPr>
        <w:ind w:left="0" w:firstLine="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The areas that are not effectively controlled by the RoC have no asylum system in place. The EU Acqui is suspended and its local legal framework is very outdated. When asylum seekers arrive irregularly, they are arrested and detained. The conditions at detention facilities are deplorable. Subsequently, deportation orders are issued against them, without respect for the principle of non-refoulement. Access to territory is not ensured for persons who arrive regularly if the local bodies consider that their intention is to seek asylum. </w:t>
      </w:r>
    </w:p>
    <w:p w:rsidR="00000000" w:rsidDel="00000000" w:rsidP="00000000" w:rsidRDefault="00000000" w:rsidRPr="00000000" w14:paraId="00000037">
      <w:pPr>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w:t>
      </w:r>
    </w:p>
    <w:p w:rsidR="00000000" w:rsidDel="00000000" w:rsidP="00000000" w:rsidRDefault="00000000" w:rsidRPr="00000000" w14:paraId="00000038">
      <w:pPr>
        <w:ind w:left="0" w:firstLine="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Three young Cameroonian asylum seekers, one female and two males,  were trapped in the buffer zone in 2021 when the authorities denied their entrance via the Ledra Palace checkpoint. The asylum seekers could not return to the areas not under the effective control of the RoC, for the reasons provided above. They stayed in a tent in the buffer zone from the 24th of May 2021 to the 3rd of December 2021, with no proper access to their basic rights. After the RoC authorities insistently denied their entry via the checkpoint, the asylum seekers could only be saved when they were reallocated to Italy, with the help of Pope Francis.If these asylum seekers returned back to the areas not effectively controlled by the RoC, they would be immediately arrested since they crossed irregularly to the buffer zone first, and then detained, brought before the court, imprisoned and deported to their countries of origin, where there is a high risk that they would be persecuted.</w:t>
      </w:r>
    </w:p>
    <w:p w:rsidR="00000000" w:rsidDel="00000000" w:rsidP="00000000" w:rsidRDefault="00000000" w:rsidRPr="00000000" w14:paraId="00000039">
      <w:pPr>
        <w:spacing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A">
      <w:pPr>
        <w:spacing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 What measures will be taken by the RoC to prevent pushbacks of asylum seekers from the checkpoints? Will there be any vulnerability checks at the first entry points?</w:t>
      </w:r>
    </w:p>
    <w:p w:rsidR="00000000" w:rsidDel="00000000" w:rsidP="00000000" w:rsidRDefault="00000000" w:rsidRPr="00000000" w14:paraId="0000003B">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3C">
      <w:pPr>
        <w:spacing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 How does the Republic of Cyprus ensure that a gender-sensitive approach is systematically applied in the determination of LBTI+ women, recognising gender-based persecution, and providing protection to refugee and asylum-seeking LBTI+ women and girls?</w:t>
      </w:r>
    </w:p>
    <w:p w:rsidR="00000000" w:rsidDel="00000000" w:rsidP="00000000" w:rsidRDefault="00000000" w:rsidRPr="00000000" w14:paraId="0000003D">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E">
      <w:pPr>
        <w:numPr>
          <w:ilvl w:val="0"/>
          <w:numId w:val="1"/>
        </w:numPr>
        <w:ind w:left="720" w:hanging="36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to justice </w:t>
      </w:r>
    </w:p>
    <w:p w:rsidR="00000000" w:rsidDel="00000000" w:rsidP="00000000" w:rsidRDefault="00000000" w:rsidRPr="00000000" w14:paraId="0000003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July 2022, a rape case was reported in the areas not effectively controlled by the RoC. However, due to a lack of cooperation between the RoC and the area not under its control, the main suspect regularly crossed to the effectively controlled areas, halting the investigation. This escape now jeopardizes the prosecution of two alleged accomplices. Additionally, the suspect couldn't be extradited due to a lack of cooperation between the two sides in Cyprus. Similar incidents have happened before, one of which resulted in the infamous ECtHR case decision, </w:t>
      </w:r>
      <w:r w:rsidDel="00000000" w:rsidR="00000000" w:rsidRPr="00000000">
        <w:rPr>
          <w:rFonts w:ascii="Calibri" w:cs="Calibri" w:eastAsia="Calibri" w:hAnsi="Calibri"/>
          <w:i w:val="1"/>
          <w:sz w:val="24"/>
          <w:szCs w:val="24"/>
          <w:rtl w:val="0"/>
        </w:rPr>
        <w:t xml:space="preserve">Güzelyurtlu v Cyprus and Turkey</w:t>
      </w:r>
      <w:r w:rsidDel="00000000" w:rsidR="00000000" w:rsidRPr="00000000">
        <w:rPr>
          <w:rFonts w:ascii="Calibri" w:cs="Calibri" w:eastAsia="Calibri" w:hAnsi="Calibri"/>
          <w:sz w:val="24"/>
          <w:szCs w:val="24"/>
          <w:rtl w:val="0"/>
        </w:rPr>
        <w:t xml:space="preserve">.  This lack of cooperation perpetuates impunity and denies victims access to justice.</w:t>
      </w:r>
    </w:p>
    <w:p w:rsidR="00000000" w:rsidDel="00000000" w:rsidP="00000000" w:rsidRDefault="00000000" w:rsidRPr="00000000" w14:paraId="0000004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Turkish Cypriot women face significant obstacles when seeking justice following instances of sexual or physical abuse. In the regions under the effective control of the Republic of Cyprus (RoC), neither the police nor the hospitals offer services in the Turkish language. Furthermore, all laws and regulations are exclusively available in Greek, leaving the majority of Turkish Cypriots unable to understand their content. Consequently, they find themselves uninformed about their rights and the necessary procedures to be followed after such incidents.</w:t>
      </w:r>
    </w:p>
    <w:p w:rsidR="00000000" w:rsidDel="00000000" w:rsidP="00000000" w:rsidRDefault="00000000" w:rsidRPr="00000000" w14:paraId="0000004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June 2023, for instance, a Turkish Cypriot young woman was sexually harassed and later physically attacked in severe forms with allegedly racist motives in the Ayia Napa region (located in the areas under the effective control of the RoC). The victim said that when she went to the police to complain, the police told her that she needed to receive an assault report from the hospital. Since neither the police nor the hospitals provide any services in the Turkish language, she went to the northern part of Cyprus and reached her doctor. However, the report had no validity in the areas under the effective control of the RoC, therefore legally it could not be used for the case.</w:t>
      </w:r>
      <w:r w:rsidDel="00000000" w:rsidR="00000000" w:rsidRPr="00000000">
        <w:rPr>
          <w:rFonts w:ascii="Calibri" w:cs="Calibri" w:eastAsia="Calibri" w:hAnsi="Calibri"/>
          <w:sz w:val="24"/>
          <w:szCs w:val="24"/>
          <w:vertAlign w:val="superscript"/>
        </w:rPr>
        <w:footnoteReference w:customMarkFollows="0" w:id="1"/>
      </w:r>
      <w:r w:rsidDel="00000000" w:rsidR="00000000" w:rsidRPr="00000000">
        <w:rPr>
          <w:rFonts w:ascii="Calibri" w:cs="Calibri" w:eastAsia="Calibri" w:hAnsi="Calibri"/>
          <w:sz w:val="24"/>
          <w:szCs w:val="24"/>
          <w:rtl w:val="0"/>
        </w:rPr>
        <w:t xml:space="preserve"> Shortly after the incident, the police announced that this was an isolated event and there was no racial motivation involved, raising questions on whether this allegation was seriously investigated.</w:t>
      </w:r>
      <w:r w:rsidDel="00000000" w:rsidR="00000000" w:rsidRPr="00000000">
        <w:rPr>
          <w:rFonts w:ascii="Calibri" w:cs="Calibri" w:eastAsia="Calibri" w:hAnsi="Calibri"/>
          <w:sz w:val="24"/>
          <w:szCs w:val="24"/>
          <w:vertAlign w:val="superscript"/>
        </w:rPr>
        <w:footnoteReference w:customMarkFollows="0" w:id="2"/>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4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6">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 Will the RoC translate its laws and regulations into</w:t>
      </w:r>
      <w:r w:rsidDel="00000000" w:rsidR="00000000" w:rsidRPr="00000000">
        <w:rPr>
          <w:rFonts w:ascii="Calibri" w:cs="Calibri" w:eastAsia="Calibri" w:hAnsi="Calibri"/>
          <w:sz w:val="24"/>
          <w:szCs w:val="24"/>
          <w:rtl w:val="0"/>
        </w:rPr>
        <w:t xml:space="preserve"> the Turkish</w:t>
      </w:r>
      <w:r w:rsidDel="00000000" w:rsidR="00000000" w:rsidRPr="00000000">
        <w:rPr>
          <w:rFonts w:ascii="Calibri" w:cs="Calibri" w:eastAsia="Calibri" w:hAnsi="Calibri"/>
          <w:sz w:val="24"/>
          <w:szCs w:val="24"/>
          <w:rtl w:val="0"/>
        </w:rPr>
        <w:t xml:space="preserve"> language? Will there be any measures taken to inform Turkish Cypriot women, including LBTI+ women, of their rights? Will there be any information campaigns, communication materials or any online documents available to ensure that women, </w:t>
      </w:r>
      <w:r w:rsidDel="00000000" w:rsidR="00000000" w:rsidRPr="00000000">
        <w:rPr>
          <w:rFonts w:ascii="Calibri" w:cs="Calibri" w:eastAsia="Calibri" w:hAnsi="Calibri"/>
          <w:sz w:val="24"/>
          <w:szCs w:val="24"/>
          <w:rtl w:val="0"/>
        </w:rPr>
        <w:t xml:space="preserve"> including LBTI+ women, are aware of the steps to be taken to access justice in cases of abuse? </w:t>
      </w:r>
      <w:r w:rsidDel="00000000" w:rsidR="00000000" w:rsidRPr="00000000">
        <w:rPr>
          <w:rtl w:val="0"/>
        </w:rPr>
      </w:r>
    </w:p>
    <w:p w:rsidR="00000000" w:rsidDel="00000000" w:rsidP="00000000" w:rsidRDefault="00000000" w:rsidRPr="00000000" w14:paraId="00000047">
      <w:pPr>
        <w:spacing w:line="240" w:lineRule="auto"/>
        <w:ind w:left="0" w:firstLine="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8">
      <w:pPr>
        <w:spacing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6.  Can the Republic of Cyprus provide information on instances where the Convention has been invoked or referred to in court proceedings to address discrimination against women, including Turkish Cypriot and LBTI+ women, and the outcomes of such cases?</w:t>
      </w:r>
    </w:p>
    <w:p w:rsidR="00000000" w:rsidDel="00000000" w:rsidP="00000000" w:rsidRDefault="00000000" w:rsidRPr="00000000" w14:paraId="00000049">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4A">
      <w:pPr>
        <w:spacing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 How does the Republic of Cyprus ensure that Turkish Cypriot and LBTI+ women have access to free legal aid programs and other legal complaint mechanisms to address discrimination and enforce their right to equality?</w:t>
      </w:r>
    </w:p>
    <w:p w:rsidR="00000000" w:rsidDel="00000000" w:rsidP="00000000" w:rsidRDefault="00000000" w:rsidRPr="00000000" w14:paraId="0000004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C">
      <w:pPr>
        <w:numPr>
          <w:ilvl w:val="0"/>
          <w:numId w:val="1"/>
        </w:numPr>
        <w:ind w:left="720" w:hanging="36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Trafficking and exploitation of prostitution</w:t>
      </w:r>
    </w:p>
    <w:p w:rsidR="00000000" w:rsidDel="00000000" w:rsidP="00000000" w:rsidRDefault="00000000" w:rsidRPr="00000000" w14:paraId="0000004D">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E">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Loose and unfair migration policies and inadequate controls in the areas not effectively controlled by the RoC result in uncontrolled migration, which traffickers exploit to recruit victims.</w:t>
      </w:r>
      <w:r w:rsidDel="00000000" w:rsidR="00000000" w:rsidRPr="00000000">
        <w:rPr>
          <w:rFonts w:ascii="Calibri" w:cs="Calibri" w:eastAsia="Calibri" w:hAnsi="Calibri"/>
          <w:sz w:val="24"/>
          <w:szCs w:val="24"/>
          <w:vertAlign w:val="superscript"/>
        </w:rPr>
        <w:footnoteReference w:customMarkFollows="0" w:id="3"/>
      </w:r>
      <w:r w:rsidDel="00000000" w:rsidR="00000000" w:rsidRPr="00000000">
        <w:rPr>
          <w:rFonts w:ascii="Calibri" w:cs="Calibri" w:eastAsia="Calibri" w:hAnsi="Calibri"/>
          <w:sz w:val="24"/>
          <w:szCs w:val="24"/>
          <w:rtl w:val="0"/>
        </w:rPr>
        <w:t xml:space="preserve">  Unfortunately, there is no collaboration between the two sides to combat human trafficking or protect victims, despite the existence of the Bi-Communal Technical Committee on Crime and Criminal Matters. Victims encounter challenges in securing protection in the RoC due to authorities citing jurisdictional issues and a lack of evidence to support their cases. In addition, it has been observed that the Human Trafficking Unit in the Police fails to understand the latest human trafficking trends in the areas not effectively controlled by the RoC and they lack updated information in terms of the context and legal framework.</w:t>
      </w:r>
      <w:r w:rsidDel="00000000" w:rsidR="00000000" w:rsidRPr="00000000">
        <w:rPr>
          <w:rFonts w:ascii="Calibri" w:cs="Calibri" w:eastAsia="Calibri" w:hAnsi="Calibri"/>
          <w:sz w:val="24"/>
          <w:szCs w:val="24"/>
          <w:vertAlign w:val="superscript"/>
        </w:rPr>
        <w:footnoteReference w:customMarkFollows="0" w:id="4"/>
      </w:r>
      <w:r w:rsidDel="00000000" w:rsidR="00000000" w:rsidRPr="00000000">
        <w:rPr>
          <w:rFonts w:ascii="Calibri" w:cs="Calibri" w:eastAsia="Calibri" w:hAnsi="Calibri"/>
          <w:sz w:val="24"/>
          <w:szCs w:val="24"/>
          <w:rtl w:val="0"/>
        </w:rPr>
        <w:t xml:space="preserve">  This results in them being prejudiced against certain groups of victims, and most recently the victims from Nigeria and Cameroon, since they have an outdated belief that the trafficking victims from the areas not effectively controlled by the RoC are merely from Eastern European countries.</w:t>
      </w:r>
      <w:r w:rsidDel="00000000" w:rsidR="00000000" w:rsidRPr="00000000">
        <w:rPr>
          <w:rFonts w:ascii="Calibri" w:cs="Calibri" w:eastAsia="Calibri" w:hAnsi="Calibri"/>
          <w:sz w:val="24"/>
          <w:szCs w:val="24"/>
          <w:vertAlign w:val="superscript"/>
        </w:rPr>
        <w:footnoteReference w:customMarkFollows="0" w:id="5"/>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4F">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0">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the authorities fail to identify the victims, they mostly apply to asylum, in order to regularize their stay in the RoC, although this is mostly not their legal status. With the increase in the number of asylum seekers throughout the past few years, the needs of the trafficking victims are never taken into account once they are within the pool of the high number of asylum seekers.</w:t>
      </w:r>
      <w:r w:rsidDel="00000000" w:rsidR="00000000" w:rsidRPr="00000000">
        <w:rPr>
          <w:rFonts w:ascii="Calibri" w:cs="Calibri" w:eastAsia="Calibri" w:hAnsi="Calibri"/>
          <w:sz w:val="24"/>
          <w:szCs w:val="24"/>
          <w:vertAlign w:val="superscript"/>
        </w:rPr>
        <w:footnoteReference w:customMarkFollows="0" w:id="6"/>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51">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2">
      <w:pPr>
        <w:spacing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8. </w:t>
      </w:r>
      <w:r w:rsidDel="00000000" w:rsidR="00000000" w:rsidRPr="00000000">
        <w:rPr>
          <w:rFonts w:ascii="Calibri" w:cs="Calibri" w:eastAsia="Calibri" w:hAnsi="Calibri"/>
          <w:sz w:val="24"/>
          <w:szCs w:val="24"/>
          <w:rtl w:val="0"/>
        </w:rPr>
        <w:t xml:space="preserve">What steps has the Republic of Cyprus taken to ensure legal protection and assistance of women and girls trafficked in the non-controlled areas? </w:t>
      </w:r>
    </w:p>
    <w:p w:rsidR="00000000" w:rsidDel="00000000" w:rsidP="00000000" w:rsidRDefault="00000000" w:rsidRPr="00000000" w14:paraId="00000053">
      <w:pPr>
        <w:spacing w:line="240"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4">
      <w:pPr>
        <w:spacing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9. How shall the Republic of Cyprus ensure that Bi-Communal Technical Committee on Crime and Criminal Matters works effectively to prevent human trafficking and prosecute the perpetrators? </w:t>
      </w:r>
    </w:p>
    <w:p w:rsidR="00000000" w:rsidDel="00000000" w:rsidP="00000000" w:rsidRDefault="00000000" w:rsidRPr="00000000" w14:paraId="00000055">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6">
      <w:pPr>
        <w:numPr>
          <w:ilvl w:val="0"/>
          <w:numId w:val="1"/>
        </w:numPr>
        <w:ind w:left="720" w:hanging="36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Nationality</w:t>
      </w:r>
    </w:p>
    <w:p w:rsidR="00000000" w:rsidDel="00000000" w:rsidP="00000000" w:rsidRDefault="00000000" w:rsidRPr="00000000" w14:paraId="00000057">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5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Republic of Cyprus demonstrates discriminatory practices in granting citizenship to children born to a Turkish Cypriot and Turkish parent. Although legally one parent’s citizenship should satisfy the criteria for citizenship, the RoC links this issue to the Cyprus problem. For the RoC, every non-Cypriot entering the island from the northern part is deemed to be illegally entering and residing. Under their exceptional rule on citizenship, if one of the parents enters or resides illegally on the island, then their children are not eligible to receive citizenship unless there is a Council of Ministers decision. For a short period of time, the RoC granted citizenship to some of the mixed-marriage children, by considering their father’s origin. If the father is Cypriot, then the child had way more chances to receive citizenship. However, for the time being, it is almost impossible to have such a decision from the Council of Ministers. To navigate around this rule of exception, many mixed couples are choosing to get married and give birth in Turkey. In such cases, the children swiftly attain citizenship. However, this also creates important challenges for many women, since they are forced to travel towards the end of their pregnancies, to Turkey where many have no doctor or even someone that they know. Some face health challenges due to the stress and travelling shortly before their due date. </w:t>
      </w:r>
    </w:p>
    <w:p w:rsidR="00000000" w:rsidDel="00000000" w:rsidP="00000000" w:rsidRDefault="00000000" w:rsidRPr="00000000" w14:paraId="0000005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Mixed marriage children who could not receive RoC citizenship due to discriminatory policies have reported that the officers of the RoC have been creating bureaucratic problems and preventing their freedom of movement throughout the island. Some of the mixed-marriage children who were adults were asked to cross the checkpoints in the presence of their Cypriot parents, or else they were told that their Cypriot parents should prove that they were indeed their parents. </w:t>
      </w:r>
    </w:p>
    <w:p w:rsidR="00000000" w:rsidDel="00000000" w:rsidP="00000000" w:rsidRDefault="00000000" w:rsidRPr="00000000" w14:paraId="0000005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Some also reported that the officer's way of communicating was disrespectful towards them. Some even were told by the officers that they were not ‘Cypriots’ and that if they really were, they would carry the identification document of the RoC.  </w:t>
      </w:r>
    </w:p>
    <w:p w:rsidR="00000000" w:rsidDel="00000000" w:rsidP="00000000" w:rsidRDefault="00000000" w:rsidRPr="00000000" w14:paraId="0000005C">
      <w:pPr>
        <w:spacing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D">
      <w:pPr>
        <w:spacing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 How will the Republic of Cyprus amend its exceptional rule covering mixed marriages in Cyprus, to promote equal rights amongst all children born from a Cypriot parent?</w:t>
      </w:r>
    </w:p>
    <w:p w:rsidR="00000000" w:rsidDel="00000000" w:rsidP="00000000" w:rsidRDefault="00000000" w:rsidRPr="00000000" w14:paraId="0000005E">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F">
      <w:pPr>
        <w:spacing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 What steps with the RoC take to tackle discriminatory and bureaucratic barriers faced by mixed-marriage children at the checkpoints?</w:t>
      </w:r>
    </w:p>
    <w:p w:rsidR="00000000" w:rsidDel="00000000" w:rsidP="00000000" w:rsidRDefault="00000000" w:rsidRPr="00000000" w14:paraId="00000060">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1">
      <w:pPr>
        <w:spacing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 How does the Republic of Cyprus ensure that Turkish Cypriot LBTI+ women who are equal citizens of the Republic of Cyprus have the right to get residence permits for their non-citizen partners? How does the Republic of Cyprus ensure that the right of residency and citizenship for the non-citizen partners is not violated even if they travel to the northern part of the island?</w:t>
      </w:r>
    </w:p>
    <w:p w:rsidR="00000000" w:rsidDel="00000000" w:rsidP="00000000" w:rsidRDefault="00000000" w:rsidRPr="00000000" w14:paraId="00000062">
      <w:pPr>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3">
      <w:pPr>
        <w:numPr>
          <w:ilvl w:val="0"/>
          <w:numId w:val="1"/>
        </w:numPr>
        <w:ind w:left="720" w:hanging="36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Education </w:t>
      </w:r>
    </w:p>
    <w:p w:rsidR="00000000" w:rsidDel="00000000" w:rsidP="00000000" w:rsidRDefault="00000000" w:rsidRPr="00000000" w14:paraId="00000064">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5">
      <w:pPr>
        <w:spacing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13. What steps have been taken to ensure that educational and academic choices, including in non-traditional fields, are diversified for women from diverse sexual orientations, sexual expression and sex characteristics as well as diverse ethnic, religious, and racial backgrounds?</w:t>
      </w:r>
    </w:p>
    <w:p w:rsidR="00000000" w:rsidDel="00000000" w:rsidP="00000000" w:rsidRDefault="00000000" w:rsidRPr="00000000" w14:paraId="00000066">
      <w:pPr>
        <w:spacing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67">
      <w:pPr>
        <w:spacing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14. How does the Republic of Cyprus integrate Turkish Cypriot and immigrant women and girls into the education system at all levels, and what measures are in place to address any barriers they may face in accessing education? Furthermore how Turkish as one of the official languages of the Republic of Cyprus is provided in all educational institutions as a right to education in the mother tongue? How many schools provide Turkish education?</w:t>
      </w:r>
    </w:p>
    <w:p w:rsidR="00000000" w:rsidDel="00000000" w:rsidP="00000000" w:rsidRDefault="00000000" w:rsidRPr="00000000" w14:paraId="00000068">
      <w:pPr>
        <w:spacing w:line="240" w:lineRule="auto"/>
        <w:ind w:left="14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9">
      <w:pPr>
        <w:spacing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15. How does the Republic of Cyprus ensure that LBTI+ women and girls are protected at school and not subjected to any kind of discrimination, and what measures are in place to ensure safe spaces for all LBTI+ students, teachers and educational professionals?</w:t>
      </w:r>
    </w:p>
    <w:p w:rsidR="00000000" w:rsidDel="00000000" w:rsidP="00000000" w:rsidRDefault="00000000" w:rsidRPr="00000000" w14:paraId="0000006A">
      <w:pPr>
        <w:spacing w:line="240"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B">
      <w:pPr>
        <w:spacing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16. Can the Republic of Cyprus provide updated statistical data, disaggregated by sex and ethnicity including Tuskish Cypriot women, on the state-provided scholarships for graduate and post-graduate students?</w:t>
      </w:r>
    </w:p>
    <w:p w:rsidR="00000000" w:rsidDel="00000000" w:rsidP="00000000" w:rsidRDefault="00000000" w:rsidRPr="00000000" w14:paraId="0000006C">
      <w:pPr>
        <w:numPr>
          <w:ilvl w:val="0"/>
          <w:numId w:val="1"/>
        </w:numPr>
        <w:ind w:left="720" w:hanging="36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Marriage and family relations </w:t>
      </w:r>
    </w:p>
    <w:p w:rsidR="00000000" w:rsidDel="00000000" w:rsidP="00000000" w:rsidRDefault="00000000" w:rsidRPr="00000000" w14:paraId="0000006D">
      <w:pPr>
        <w:ind w:left="720" w:firstLine="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6E">
      <w:pPr>
        <w:spacing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17. What steps has the Republic of Cyprus taken to address the issue of forced marriage, particularly as it affects women and girls from ethnic or religious minorities, including immigrant women? </w:t>
      </w:r>
    </w:p>
    <w:p w:rsidR="00000000" w:rsidDel="00000000" w:rsidP="00000000" w:rsidRDefault="00000000" w:rsidRPr="00000000" w14:paraId="0000006F">
      <w:pPr>
        <w:spacing w:line="240" w:lineRule="auto"/>
        <w:ind w:left="14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0">
      <w:pPr>
        <w:spacing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18. How does the Republic of Cyprus ensure that women and girls have the right to choose their partners and are not subject to coercion or violence in the context of marriage or relationships including same-sex partners? </w:t>
      </w:r>
    </w:p>
    <w:p w:rsidR="00000000" w:rsidDel="00000000" w:rsidP="00000000" w:rsidRDefault="00000000" w:rsidRPr="00000000" w14:paraId="00000071">
      <w:pPr>
        <w:spacing w:line="240"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2">
      <w:pPr>
        <w:spacing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19. Is civil partnership law translated into Turkish and available publicly for Turkish-speaking Cypriot citizens?</w:t>
      </w:r>
    </w:p>
    <w:p w:rsidR="00000000" w:rsidDel="00000000" w:rsidP="00000000" w:rsidRDefault="00000000" w:rsidRPr="00000000" w14:paraId="00000073">
      <w:pPr>
        <w:spacing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4">
      <w:pPr>
        <w:numPr>
          <w:ilvl w:val="0"/>
          <w:numId w:val="1"/>
        </w:numPr>
        <w:ind w:left="720" w:hanging="36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Gender-Based Violence Against Women:</w:t>
      </w:r>
    </w:p>
    <w:p w:rsidR="00000000" w:rsidDel="00000000" w:rsidP="00000000" w:rsidRDefault="00000000" w:rsidRPr="00000000" w14:paraId="00000075">
      <w:pPr>
        <w:ind w:left="720" w:firstLine="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76">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20.. What specific measures and resources have been allocated to combat all forms of violence against women, including Turkish Cypriot women, and how is the implementation of these measures monitored? </w:t>
      </w:r>
    </w:p>
    <w:p w:rsidR="00000000" w:rsidDel="00000000" w:rsidP="00000000" w:rsidRDefault="00000000" w:rsidRPr="00000000" w14:paraId="00000077">
      <w:pPr>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8">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21. How does the Republic of Cyprus ensure that Turkish Cypriot women have access to specialized services for victims of gender-based violence, including shelters and support staff?</w:t>
      </w:r>
    </w:p>
    <w:p w:rsidR="00000000" w:rsidDel="00000000" w:rsidP="00000000" w:rsidRDefault="00000000" w:rsidRPr="00000000" w14:paraId="00000079">
      <w:pPr>
        <w:ind w:left="14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A">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22. How does the Republic of Cyprus ensure that women who are victims of gender-based violence, including LBTI women and women from ethnic or religious minorities, have access to effective and appropriate support services, including legal aid, counselling, and medical care? </w:t>
      </w:r>
    </w:p>
    <w:p w:rsidR="00000000" w:rsidDel="00000000" w:rsidP="00000000" w:rsidRDefault="00000000" w:rsidRPr="00000000" w14:paraId="0000007B">
      <w:pPr>
        <w:ind w:left="14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C">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23. What measures has the Republic of Cyprus taken to ensure that these services are culturally sensitive and accessible to all women, regardless of their background or identity?</w:t>
      </w:r>
    </w:p>
    <w:p w:rsidR="00000000" w:rsidDel="00000000" w:rsidP="00000000" w:rsidRDefault="00000000" w:rsidRPr="00000000" w14:paraId="0000007D">
      <w:pPr>
        <w:ind w:left="14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E">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24. How Republic of Cyprus ensure that intersex women are not subject to unnecessary medical interventions when they are born?</w:t>
      </w:r>
    </w:p>
    <w:p w:rsidR="00000000" w:rsidDel="00000000" w:rsidP="00000000" w:rsidRDefault="00000000" w:rsidRPr="00000000" w14:paraId="0000007F">
      <w:pPr>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0">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25. How Republic of Cyprus ensure that laws preventing so-called ‘conversion therapies’ are applied? Since the implementation of the law, how many people have been brought to court because of this crime?</w:t>
      </w:r>
    </w:p>
    <w:p w:rsidR="00000000" w:rsidDel="00000000" w:rsidP="00000000" w:rsidRDefault="00000000" w:rsidRPr="00000000" w14:paraId="00000081">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2">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3">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4">
      <w:pPr>
        <w:numPr>
          <w:ilvl w:val="0"/>
          <w:numId w:val="1"/>
        </w:numPr>
        <w:ind w:left="720" w:hanging="36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Non-Discrimination:</w:t>
      </w:r>
      <w:r w:rsidDel="00000000" w:rsidR="00000000" w:rsidRPr="00000000">
        <w:rPr>
          <w:rtl w:val="0"/>
        </w:rPr>
      </w:r>
    </w:p>
    <w:p w:rsidR="00000000" w:rsidDel="00000000" w:rsidP="00000000" w:rsidRDefault="00000000" w:rsidRPr="00000000" w14:paraId="00000085">
      <w:pPr>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6">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26. What legislative and policy measures have been implemented to promote, enforce, and monitor equality and non-discrimination based on gender and sexual orientation, including intersecting forms of discrimination including Turkish Cypriot and all immigrant women?</w:t>
      </w:r>
    </w:p>
    <w:p w:rsidR="00000000" w:rsidDel="00000000" w:rsidP="00000000" w:rsidRDefault="00000000" w:rsidRPr="00000000" w14:paraId="00000087">
      <w:pPr>
        <w:ind w:left="14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88">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27. How does the Republic of Cyprus ensure that the legal framework protects the rights of women from all ethnic backgrounds, including Turkish Cypriots, and addresses any discriminatory practices they may face? </w:t>
      </w:r>
    </w:p>
    <w:p w:rsidR="00000000" w:rsidDel="00000000" w:rsidP="00000000" w:rsidRDefault="00000000" w:rsidRPr="00000000" w14:paraId="00000089">
      <w:pPr>
        <w:ind w:left="14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A">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28. What measures has the Republic of Cyprus taken to address discrimination against women who identify as LBTI, particularly in the areas of access to justice, education, and healthcare? How does the Republic of Cyprus ensure that LBTI women have equal access to these services and are not subjected to discrimination or violence?</w:t>
      </w:r>
    </w:p>
    <w:p w:rsidR="00000000" w:rsidDel="00000000" w:rsidP="00000000" w:rsidRDefault="00000000" w:rsidRPr="00000000" w14:paraId="0000008B">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C">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8D">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E">
      <w:pPr>
        <w:spacing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8F">
      <w:pPr>
        <w:spacing w:line="240" w:lineRule="auto"/>
        <w:rPr>
          <w:rFonts w:ascii="Calibri" w:cs="Calibri" w:eastAsia="Calibri" w:hAnsi="Calibri"/>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0">
      <w:pPr>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ANNEX I</w:t>
      </w:r>
    </w:p>
    <w:p w:rsidR="00000000" w:rsidDel="00000000" w:rsidP="00000000" w:rsidRDefault="00000000" w:rsidRPr="00000000" w14:paraId="00000091">
      <w:pPr>
        <w:spacing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92">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following recommendations are taken from the </w:t>
      </w:r>
      <w:r w:rsidDel="00000000" w:rsidR="00000000" w:rsidRPr="00000000">
        <w:rPr>
          <w:rFonts w:ascii="Calibri" w:cs="Calibri" w:eastAsia="Calibri" w:hAnsi="Calibri"/>
          <w:b w:val="1"/>
          <w:i w:val="1"/>
          <w:sz w:val="24"/>
          <w:szCs w:val="24"/>
          <w:rtl w:val="0"/>
        </w:rPr>
        <w:t xml:space="preserve">ILGA-World’s General Comments (Recommendations) by United Nations Treaty Bodies: References to LGBTI and SOGIESC </w:t>
      </w:r>
      <w:r w:rsidDel="00000000" w:rsidR="00000000" w:rsidRPr="00000000">
        <w:rPr>
          <w:rFonts w:ascii="Calibri" w:cs="Calibri" w:eastAsia="Calibri" w:hAnsi="Calibri"/>
          <w:sz w:val="24"/>
          <w:szCs w:val="24"/>
          <w:rtl w:val="0"/>
        </w:rPr>
        <w:t xml:space="preserve">document</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sz w:val="24"/>
          <w:szCs w:val="24"/>
          <w:vertAlign w:val="superscript"/>
        </w:rPr>
        <w:footnoteReference w:customMarkFollows="0" w:id="7"/>
      </w:r>
      <w:r w:rsidDel="00000000" w:rsidR="00000000" w:rsidRPr="00000000">
        <w:rPr>
          <w:rFonts w:ascii="Calibri" w:cs="Calibri" w:eastAsia="Calibri" w:hAnsi="Calibri"/>
          <w:sz w:val="24"/>
          <w:szCs w:val="24"/>
          <w:rtl w:val="0"/>
        </w:rPr>
        <w:t xml:space="preserve"> These recommendations are made specifically for the LBTI+ women as part of the CEDAW convention.</w:t>
      </w:r>
    </w:p>
    <w:p w:rsidR="00000000" w:rsidDel="00000000" w:rsidP="00000000" w:rsidRDefault="00000000" w:rsidRPr="00000000" w14:paraId="00000093">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4">
      <w:pPr>
        <w:spacing w:line="240"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b w:val="1"/>
          <w:sz w:val="24"/>
          <w:szCs w:val="24"/>
          <w:rtl w:val="0"/>
        </w:rPr>
        <w:t xml:space="preserve">General Recommendation No. 27 (2010) on older women and protection of their</w:t>
      </w:r>
    </w:p>
    <w:p w:rsidR="00000000" w:rsidDel="00000000" w:rsidP="00000000" w:rsidRDefault="00000000" w:rsidRPr="00000000" w14:paraId="00000095">
      <w:pPr>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human rights CEDAW/C/GC/27</w:t>
      </w:r>
    </w:p>
    <w:p w:rsidR="00000000" w:rsidDel="00000000" w:rsidP="00000000" w:rsidRDefault="00000000" w:rsidRPr="00000000" w14:paraId="00000096">
      <w:pPr>
        <w:spacing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97">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discrimination experienced by older women is often multidimensional, with the age factor compounding other forms of discrimination based on sexual orientation and gender identity (para. 13).</w:t>
      </w:r>
    </w:p>
    <w:p w:rsidR="00000000" w:rsidDel="00000000" w:rsidP="00000000" w:rsidRDefault="00000000" w:rsidRPr="00000000" w14:paraId="00000098">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99">
      <w:pPr>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﻿General Recommendation No. 28 (2010) on the core obligations of States parties under article 2 CEDAW/C/GC/28</w:t>
      </w:r>
    </w:p>
    <w:p w:rsidR="00000000" w:rsidDel="00000000" w:rsidP="00000000" w:rsidRDefault="00000000" w:rsidRPr="00000000" w14:paraId="0000009A">
      <w:pPr>
        <w:spacing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9B">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“Sex” refers to biological differences between men and women; “gender” refers to socially constructed identities, attributes and roles for women and men and society’s social and cultural meaning for these biological differences resulting in hierarchical relationships between women and men and in the distribution of power and rights favouring men and</w:t>
      </w:r>
    </w:p>
    <w:p w:rsidR="00000000" w:rsidDel="00000000" w:rsidP="00000000" w:rsidRDefault="00000000" w:rsidRPr="00000000" w14:paraId="0000009C">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disadvantaging women (para. 5);</w:t>
      </w:r>
    </w:p>
    <w:p w:rsidR="00000000" w:rsidDel="00000000" w:rsidP="00000000" w:rsidRDefault="00000000" w:rsidRPr="00000000" w14:paraId="0000009D">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9E">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discrimination of women based on sex and gender is inextricably linked with other factors such as sexual orientation and gender identity; State's duty to legally recognize intersecting forms of discrimination and their compounded negative impact on the women concerned and prohibit them, and to adopt and pursue policies and programmes to eliminate such occurrences, including temporary special measures (para. 18);</w:t>
      </w:r>
    </w:p>
    <w:p w:rsidR="00000000" w:rsidDel="00000000" w:rsidP="00000000" w:rsidRDefault="00000000" w:rsidRPr="00000000" w14:paraId="0000009F">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A0">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Lesbian women are among groups of women particularly vulnerable to discrimination through civil and penal laws, regulations and customary law and practices (para. 31).</w:t>
      </w:r>
    </w:p>
    <w:p w:rsidR="00000000" w:rsidDel="00000000" w:rsidP="00000000" w:rsidRDefault="00000000" w:rsidRPr="00000000" w14:paraId="000000A1">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A2">
      <w:pPr>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﻿General Recommendation No. 29 (2013) Article 16: Economic consequences of</w:t>
      </w:r>
    </w:p>
    <w:p w:rsidR="00000000" w:rsidDel="00000000" w:rsidP="00000000" w:rsidRDefault="00000000" w:rsidRPr="00000000" w14:paraId="000000A3">
      <w:pPr>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marriage, family relations and their dissolution CEDAW/C/GC/29</w:t>
      </w:r>
    </w:p>
    <w:p w:rsidR="00000000" w:rsidDel="00000000" w:rsidP="00000000" w:rsidRDefault="00000000" w:rsidRPr="00000000" w14:paraId="000000A4">
      <w:pPr>
        <w:spacing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5">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Certain forms of relationships (namely, same-sex relationships) are not legally, socially or culturally accepted in a considerable number of States parties; where they are recognized, whether as a de facto union, registered partnership or marriage, the State should ensure protection of the economic rights of the women in those relationships (para. 24).</w:t>
      </w:r>
      <w:r w:rsidDel="00000000" w:rsidR="00000000" w:rsidRPr="00000000">
        <w:br w:type="page"/>
      </w:r>
      <w:r w:rsidDel="00000000" w:rsidR="00000000" w:rsidRPr="00000000">
        <w:rPr>
          <w:rtl w:val="0"/>
        </w:rPr>
      </w:r>
    </w:p>
    <w:p w:rsidR="00000000" w:rsidDel="00000000" w:rsidP="00000000" w:rsidRDefault="00000000" w:rsidRPr="00000000" w14:paraId="000000A6">
      <w:pPr>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General Recommendation No. 30 (2013) on women in conflict prevention, conflict and post-conflict situations CEDAW/C/GC/30</w:t>
      </w:r>
    </w:p>
    <w:p w:rsidR="00000000" w:rsidDel="00000000" w:rsidP="00000000" w:rsidRDefault="00000000" w:rsidRPr="00000000" w14:paraId="000000A7">
      <w:pPr>
        <w:spacing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8">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State duty to address the specific risks and particular needs of different groups of internally displaced and refugee women who are subjected to multiple and intersecting discrimination, including women belonging to sexual minorities (para. 57 (b)).</w:t>
      </w:r>
    </w:p>
    <w:p w:rsidR="00000000" w:rsidDel="00000000" w:rsidP="00000000" w:rsidRDefault="00000000" w:rsidRPr="00000000" w14:paraId="000000A9">
      <w:pPr>
        <w:spacing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A">
      <w:pPr>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﻿General Recommendation No. 32 (2014) on the gender-related dimensions of refugee status, asylum, nationality and statelessness of women CEDAW/C/GC/32</w:t>
      </w:r>
    </w:p>
    <w:p w:rsidR="00000000" w:rsidDel="00000000" w:rsidP="00000000" w:rsidRDefault="00000000" w:rsidRPr="00000000" w14:paraId="000000AB">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C">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Discrimination against women based on sex and/or gender is often inextricably linked with and compounded by other factors such as being lesbian, bisexual or transgender; State duty to legally recognize such intersecting forms of discrimination and their compounded negative impact on the women concerned and prohibit them (para. 6);</w:t>
      </w:r>
    </w:p>
    <w:p w:rsidR="00000000" w:rsidDel="00000000" w:rsidP="00000000" w:rsidRDefault="00000000" w:rsidRPr="00000000" w14:paraId="000000AD">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AE">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Gender-related claims to asylum may intersect with other proscribed grounds of discrimination, including being lesbian, bisexual or transgender (para. 16);</w:t>
      </w:r>
    </w:p>
    <w:p w:rsidR="00000000" w:rsidDel="00000000" w:rsidP="00000000" w:rsidRDefault="00000000" w:rsidRPr="00000000" w14:paraId="000000AF">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B0">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State duty to consider adding being lesbian, bisexual or transgender to the list of grounds for refugee status in their national asylum legislation (para. 38)</w:t>
      </w:r>
    </w:p>
    <w:p w:rsidR="00000000" w:rsidDel="00000000" w:rsidP="00000000" w:rsidRDefault="00000000" w:rsidRPr="00000000" w14:paraId="000000B1">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B2">
      <w:pPr>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﻿General Recommendation No. 33 (2015) on women’s access to justice CEDAW/C/GC/33</w:t>
      </w:r>
    </w:p>
    <w:p w:rsidR="00000000" w:rsidDel="00000000" w:rsidP="00000000" w:rsidRDefault="00000000" w:rsidRPr="00000000" w14:paraId="000000B3">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4">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Discrimination may be directed against women on the basis of their sex and gender; “gender” refers to socially constructed identities, attributes and roles for women and men and the cultural meaning imposed by society on biological differences, which are consistently reflected within the justice system and its institutions (para. 7);</w:t>
      </w:r>
    </w:p>
    <w:p w:rsidR="00000000" w:rsidDel="00000000" w:rsidP="00000000" w:rsidRDefault="00000000" w:rsidRPr="00000000" w14:paraId="000000B5">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B6">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Grounds for intersecting or compounded discrimination may include identity as a lesbian, bisexual or transgender woman or intersex person; these intersecting factors make it more difficult for women from those groups to gain access to justice (para. 8);</w:t>
      </w:r>
    </w:p>
    <w:p w:rsidR="00000000" w:rsidDel="00000000" w:rsidP="00000000" w:rsidRDefault="00000000" w:rsidRPr="00000000" w14:paraId="000000B7">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B8">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Women are disproportionately criminalized owing to their situation or status, such as identity as a lesbian, bisexual or transgender woman or intersex person (para. 49)</w:t>
      </w:r>
    </w:p>
    <w:p w:rsidR="00000000" w:rsidDel="00000000" w:rsidP="00000000" w:rsidRDefault="00000000" w:rsidRPr="00000000" w14:paraId="000000B9">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BA">
      <w:pPr>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﻿﻿General Recommendation No. 35 (2017) on gender-based violence against women, updating general recommendation No. 19 CEDAW/C/GC/35</w:t>
      </w:r>
    </w:p>
    <w:p w:rsidR="00000000" w:rsidDel="00000000" w:rsidP="00000000" w:rsidRDefault="00000000" w:rsidRPr="00000000" w14:paraId="000000BB">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C">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Discrimination against women is inextricably linked to other factors that affected their lives, such as being lesbian, bisexual, transgender or intersex; gender-based violence may affect some women to different degrees, or in different ways, meaning that appropriate legal and policy responses are needed (para. 12);</w:t>
      </w:r>
    </w:p>
    <w:p w:rsidR="00000000" w:rsidDel="00000000" w:rsidP="00000000" w:rsidRDefault="00000000" w:rsidRPr="00000000" w14:paraId="000000BD">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BE">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State duty to repeal provisions that criminalize being lesbian, bisexual or transgender (para. 29 (c) (i)).</w:t>
      </w:r>
    </w:p>
    <w:p w:rsidR="00000000" w:rsidDel="00000000" w:rsidP="00000000" w:rsidRDefault="00000000" w:rsidRPr="00000000" w14:paraId="000000BF">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C0">
      <w:pPr>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﻿General Recommendation No. 36 (2017) on the right of girls and women to</w:t>
      </w:r>
    </w:p>
    <w:p w:rsidR="00000000" w:rsidDel="00000000" w:rsidP="00000000" w:rsidRDefault="00000000" w:rsidRPr="00000000" w14:paraId="000000C1">
      <w:pPr>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Education CEDAW/C/GC/36</w:t>
      </w:r>
    </w:p>
    <w:p w:rsidR="00000000" w:rsidDel="00000000" w:rsidP="00000000" w:rsidRDefault="00000000" w:rsidRPr="00000000" w14:paraId="000000C2">
      <w:pPr>
        <w:spacing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3">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Limited education and cultural taboos are among the factors that prevent lesbian, bisexual, transgender, and intersex students from achieving social mobility and increase their vulnerability to violence (para. 45);</w:t>
      </w:r>
    </w:p>
    <w:p w:rsidR="00000000" w:rsidDel="00000000" w:rsidP="00000000" w:rsidRDefault="00000000" w:rsidRPr="00000000" w14:paraId="000000C4">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C5">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State duty to address discrimination against lesbian, bisexual and transgender women and girls, and intersex persons by ensuring that policies are in place to address the obstacles that impede their access to education (para. 46 (i));</w:t>
      </w:r>
    </w:p>
    <w:p w:rsidR="00000000" w:rsidDel="00000000" w:rsidP="00000000" w:rsidRDefault="00000000" w:rsidRPr="00000000" w14:paraId="000000C6">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C7">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Lesbian, bisexual, transgender, and intersex children experience both sexism and homophobia (para. 66)</w:t>
      </w:r>
    </w:p>
    <w:p w:rsidR="00000000" w:rsidDel="00000000" w:rsidP="00000000" w:rsidRDefault="00000000" w:rsidRPr="00000000" w14:paraId="000000C8">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C9">
      <w:pPr>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﻿General Recommendation No. 37 (2018) on the gender-related dimensions of disaster risk reduction in the context of climate change CEDAW/C/GC/37</w:t>
      </w:r>
    </w:p>
    <w:p w:rsidR="00000000" w:rsidDel="00000000" w:rsidP="00000000" w:rsidRDefault="00000000" w:rsidRPr="00000000" w14:paraId="000000CA">
      <w:pPr>
        <w:spacing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B">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Situations of crisis exacerbate pre-existing gender inequalities and compound the intersecting forms of discrimination against, among others, women belonging to sexual minority groups who are often disproportionately affected compared with men or other women (para. 2);</w:t>
      </w:r>
    </w:p>
    <w:p w:rsidR="00000000" w:rsidDel="00000000" w:rsidP="00000000" w:rsidRDefault="00000000" w:rsidRPr="00000000" w14:paraId="000000CC">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State duty to ensure that all measures and activities relating to disaster risk reduction and climate change are based on equality and non-discrimination, with priority being accorded to the most marginalized groups of women and girls, such as those from sexual minority groups</w:t>
      </w:r>
    </w:p>
    <w:p w:rsidR="00000000" w:rsidDel="00000000" w:rsidP="00000000" w:rsidRDefault="00000000" w:rsidRPr="00000000" w14:paraId="000000CD">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(para. 26 (a));</w:t>
      </w:r>
    </w:p>
    <w:p w:rsidR="00000000" w:rsidDel="00000000" w:rsidP="00000000" w:rsidRDefault="00000000" w:rsidRPr="00000000" w14:paraId="000000CE">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CF">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State duty to inform the authorities, emergency services workers and other groups about the rights and needs of women and girls, including lesbian, bisexual and transgender women and girls and intersex persons, and the ways in which they may be exposed to and affected by gender-based violence (para. 57 (e));</w:t>
      </w:r>
    </w:p>
    <w:p w:rsidR="00000000" w:rsidDel="00000000" w:rsidP="00000000" w:rsidRDefault="00000000" w:rsidRPr="00000000" w14:paraId="000000D0">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D1">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State duty to explicitly include in health-care policies and standards relating to situations of disaster-specific measures to ensure the promotion and protection of the rights of lesbian, bisexual and transgender women and girls and intersex persons (para. 68 (f)).</w:t>
      </w:r>
    </w:p>
    <w:p w:rsidR="00000000" w:rsidDel="00000000" w:rsidP="00000000" w:rsidRDefault="00000000" w:rsidRPr="00000000" w14:paraId="000000D2">
      <w:pPr>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 </w:t>
      </w:r>
    </w:p>
    <w:p w:rsidR="00000000" w:rsidDel="00000000" w:rsidP="00000000" w:rsidRDefault="00000000" w:rsidRPr="00000000" w14:paraId="000000D3">
      <w:pPr>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D4">
      <w:pPr>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General Recommendation No. 38 (2020) on trafficking in women and girls in the context of</w:t>
      </w:r>
    </w:p>
    <w:p w:rsidR="00000000" w:rsidDel="00000000" w:rsidP="00000000" w:rsidRDefault="00000000" w:rsidRPr="00000000" w14:paraId="000000D5">
      <w:pPr>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global migration CEDAW/C/GC/38</w:t>
      </w:r>
    </w:p>
    <w:p w:rsidR="00000000" w:rsidDel="00000000" w:rsidP="00000000" w:rsidRDefault="00000000" w:rsidRPr="00000000" w14:paraId="000000D6">
      <w:pPr>
        <w:spacing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D7">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State duty to interpret the grounds for identifying victims of persecution under the Convention relating to the Status of Refugees, in line with the Guidelines on International Protection of the Office of the United Nations High Commissioner for Refugees, including No. 9 on sexual orientation and gender identity (para. 88).</w:t>
      </w:r>
    </w:p>
    <w:p w:rsidR="00000000" w:rsidDel="00000000" w:rsidP="00000000" w:rsidRDefault="00000000" w:rsidRPr="00000000" w14:paraId="000000D8">
      <w:pPr>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 </w:t>
      </w:r>
    </w:p>
    <w:p w:rsidR="00000000" w:rsidDel="00000000" w:rsidP="00000000" w:rsidRDefault="00000000" w:rsidRPr="00000000" w14:paraId="000000D9">
      <w:pPr>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﻿General Recommendation No. 39 (2020) on the Rights of Indigenous Women and girls CEDAW/C/GC/39</w:t>
      </w:r>
    </w:p>
    <w:p w:rsidR="00000000" w:rsidDel="00000000" w:rsidP="00000000" w:rsidRDefault="00000000" w:rsidRPr="00000000" w14:paraId="000000DA">
      <w:pPr>
        <w:spacing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DB">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Lesbian, bisexual, transgender and intersex Indigenous women and girls regularly face intersecting forms of discrimination (para. 22);</w:t>
      </w:r>
    </w:p>
    <w:p w:rsidR="00000000" w:rsidDel="00000000" w:rsidP="00000000" w:rsidRDefault="00000000" w:rsidRPr="00000000" w14:paraId="000000DC">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DD">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State duty to develop comprehensive policies to eliminate discrimination against Indigenous women and girls, inclusive of measures to address intersectional discrimination faced by Indigenous women and girls, including lesbian, bisexual, transgender and intersex women (para. 23 (a));</w:t>
      </w:r>
    </w:p>
    <w:p w:rsidR="00000000" w:rsidDel="00000000" w:rsidP="00000000" w:rsidRDefault="00000000" w:rsidRPr="00000000" w14:paraId="000000DE">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F">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State duty to ensure that quality health services and facilities are available, accessible, affordable, culturally appropriate and acceptable for Indigenous women and girls, including lesbian, bisexual, transgender and intersex women and girls (para. 52 (a)).</w:t>
      </w:r>
    </w:p>
    <w:p w:rsidR="00000000" w:rsidDel="00000000" w:rsidP="00000000" w:rsidRDefault="00000000" w:rsidRPr="00000000" w14:paraId="000000E0">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E1">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E2">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3">
      <w:pPr>
        <w:spacing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4">
      <w:pPr>
        <w:spacing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5">
      <w:pPr>
        <w:spacing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6">
      <w:pPr>
        <w:spacing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7">
      <w:pPr>
        <w:spacing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8">
      <w:pPr>
        <w:spacing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9">
      <w:pPr>
        <w:spacing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A">
      <w:pPr>
        <w:spacing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B">
      <w:pPr>
        <w:spacing w:line="240" w:lineRule="auto"/>
        <w:rPr>
          <w:rFonts w:ascii="Calibri" w:cs="Calibri" w:eastAsia="Calibri" w:hAnsi="Calibri"/>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EC">
      <w:pPr>
        <w:spacing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ANNEX II</w:t>
      </w:r>
      <w:r w:rsidDel="00000000" w:rsidR="00000000" w:rsidRPr="00000000">
        <w:rPr>
          <w:rtl w:val="0"/>
        </w:rPr>
      </w:r>
    </w:p>
    <w:p w:rsidR="00000000" w:rsidDel="00000000" w:rsidP="00000000" w:rsidRDefault="00000000" w:rsidRPr="00000000" w14:paraId="000000ED">
      <w:pPr>
        <w:spacing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E">
      <w:pPr>
        <w:spacing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Contact Details of the Submitting Organisations</w:t>
      </w:r>
      <w:r w:rsidDel="00000000" w:rsidR="00000000" w:rsidRPr="00000000">
        <w:rPr>
          <w:rtl w:val="0"/>
        </w:rPr>
      </w:r>
    </w:p>
    <w:p w:rsidR="00000000" w:rsidDel="00000000" w:rsidP="00000000" w:rsidRDefault="00000000" w:rsidRPr="00000000" w14:paraId="000000EF">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Queer Cyprus Association</w:t>
      </w:r>
      <w:r w:rsidDel="00000000" w:rsidR="00000000" w:rsidRPr="00000000">
        <w:rPr>
          <w:rFonts w:ascii="Calibri" w:cs="Calibri" w:eastAsia="Calibri" w:hAnsi="Calibri"/>
          <w:sz w:val="24"/>
          <w:szCs w:val="24"/>
          <w:vertAlign w:val="superscript"/>
        </w:rPr>
        <w:footnoteReference w:customMarkFollows="0" w:id="8"/>
      </w:r>
      <w:r w:rsidDel="00000000" w:rsidR="00000000" w:rsidRPr="00000000">
        <w:rPr>
          <w:rFonts w:ascii="Calibri" w:cs="Calibri" w:eastAsia="Calibri" w:hAnsi="Calibri"/>
          <w:sz w:val="24"/>
          <w:szCs w:val="24"/>
          <w:rtl w:val="0"/>
        </w:rPr>
        <w:t xml:space="preserve"> </w:t>
        <w:tab/>
        <w:tab/>
        <w:t xml:space="preserve">-Erman Dolmacı</w:t>
        <w:tab/>
        <w:t xml:space="preserve">- </w:t>
      </w:r>
      <w:hyperlink r:id="rId8">
        <w:r w:rsidDel="00000000" w:rsidR="00000000" w:rsidRPr="00000000">
          <w:rPr>
            <w:rFonts w:ascii="Calibri" w:cs="Calibri" w:eastAsia="Calibri" w:hAnsi="Calibri"/>
            <w:color w:val="1155cc"/>
            <w:sz w:val="24"/>
            <w:szCs w:val="24"/>
            <w:u w:val="single"/>
            <w:rtl w:val="0"/>
          </w:rPr>
          <w:t xml:space="preserve">erman@ihpcy.eu</w:t>
        </w:r>
      </w:hyperlink>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F0">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Refugee Rights Association</w:t>
      </w:r>
      <w:r w:rsidDel="00000000" w:rsidR="00000000" w:rsidRPr="00000000">
        <w:rPr>
          <w:rFonts w:ascii="Calibri" w:cs="Calibri" w:eastAsia="Calibri" w:hAnsi="Calibri"/>
          <w:sz w:val="24"/>
          <w:szCs w:val="24"/>
          <w:vertAlign w:val="superscript"/>
        </w:rPr>
        <w:footnoteReference w:customMarkFollows="0" w:id="9"/>
      </w:r>
      <w:r w:rsidDel="00000000" w:rsidR="00000000" w:rsidRPr="00000000">
        <w:rPr>
          <w:rFonts w:ascii="Calibri" w:cs="Calibri" w:eastAsia="Calibri" w:hAnsi="Calibri"/>
          <w:sz w:val="24"/>
          <w:szCs w:val="24"/>
          <w:rtl w:val="0"/>
        </w:rPr>
        <w:tab/>
        <w:tab/>
        <w:t xml:space="preserve">-Fezile Osum</w:t>
        <w:tab/>
        <w:tab/>
        <w:t xml:space="preserve">- </w:t>
      </w:r>
      <w:hyperlink r:id="rId9">
        <w:r w:rsidDel="00000000" w:rsidR="00000000" w:rsidRPr="00000000">
          <w:rPr>
            <w:rFonts w:ascii="Calibri" w:cs="Calibri" w:eastAsia="Calibri" w:hAnsi="Calibri"/>
            <w:color w:val="1155cc"/>
            <w:sz w:val="24"/>
            <w:szCs w:val="24"/>
            <w:u w:val="single"/>
            <w:rtl w:val="0"/>
          </w:rPr>
          <w:t xml:space="preserve">fezile@ihpcy.eu</w:t>
        </w:r>
      </w:hyperlink>
      <w:r w:rsidDel="00000000" w:rsidR="00000000" w:rsidRPr="00000000">
        <w:rPr>
          <w:rFonts w:ascii="Calibri" w:cs="Calibri" w:eastAsia="Calibri" w:hAnsi="Calibri"/>
          <w:sz w:val="24"/>
          <w:szCs w:val="24"/>
          <w:rtl w:val="0"/>
        </w:rPr>
        <w:t xml:space="preserve"> </w:t>
      </w:r>
    </w:p>
    <w:sectPr>
      <w:headerReference r:id="rId10" w:type="default"/>
      <w:footerReference r:id="rId11" w:type="default"/>
      <w:pgSz w:h="16838" w:w="11906" w:orient="portrait"/>
      <w:pgMar w:bottom="0" w:top="0" w:left="997.7952755905512" w:right="1020.472440944882" w:header="2265" w:footer="145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6">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F1">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hyperlink r:id="rId1">
        <w:r w:rsidDel="00000000" w:rsidR="00000000" w:rsidRPr="00000000">
          <w:rPr>
            <w:rFonts w:ascii="Calibri" w:cs="Calibri" w:eastAsia="Calibri" w:hAnsi="Calibri"/>
            <w:color w:val="1155cc"/>
            <w:sz w:val="20"/>
            <w:szCs w:val="20"/>
            <w:u w:val="single"/>
            <w:rtl w:val="0"/>
          </w:rPr>
          <w:t xml:space="preserve">https://insanhaklariplatformu.eu/about</w:t>
        </w:r>
      </w:hyperlink>
      <w:r w:rsidDel="00000000" w:rsidR="00000000" w:rsidRPr="00000000">
        <w:rPr>
          <w:rFonts w:ascii="Calibri" w:cs="Calibri" w:eastAsia="Calibri" w:hAnsi="Calibri"/>
          <w:sz w:val="20"/>
          <w:szCs w:val="20"/>
          <w:rtl w:val="0"/>
        </w:rPr>
        <w:t xml:space="preserve"> </w:t>
      </w:r>
    </w:p>
  </w:footnote>
  <w:footnote w:id="8">
    <w:p w:rsidR="00000000" w:rsidDel="00000000" w:rsidP="00000000" w:rsidRDefault="00000000" w:rsidRPr="00000000" w14:paraId="000000F2">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hyperlink r:id="rId2">
        <w:r w:rsidDel="00000000" w:rsidR="00000000" w:rsidRPr="00000000">
          <w:rPr>
            <w:rFonts w:ascii="Calibri" w:cs="Calibri" w:eastAsia="Calibri" w:hAnsi="Calibri"/>
            <w:color w:val="1155cc"/>
            <w:sz w:val="20"/>
            <w:szCs w:val="20"/>
            <w:u w:val="single"/>
            <w:rtl w:val="0"/>
          </w:rPr>
          <w:t xml:space="preserve">https://www.queercyprus.org/en/</w:t>
        </w:r>
      </w:hyperlink>
      <w:r w:rsidDel="00000000" w:rsidR="00000000" w:rsidRPr="00000000">
        <w:rPr>
          <w:rFonts w:ascii="Calibri" w:cs="Calibri" w:eastAsia="Calibri" w:hAnsi="Calibri"/>
          <w:sz w:val="20"/>
          <w:szCs w:val="20"/>
          <w:rtl w:val="0"/>
        </w:rPr>
        <w:t xml:space="preserve"> </w:t>
      </w:r>
    </w:p>
  </w:footnote>
  <w:footnote w:id="9">
    <w:p w:rsidR="00000000" w:rsidDel="00000000" w:rsidP="00000000" w:rsidRDefault="00000000" w:rsidRPr="00000000" w14:paraId="000000F3">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hyperlink r:id="rId3">
        <w:r w:rsidDel="00000000" w:rsidR="00000000" w:rsidRPr="00000000">
          <w:rPr>
            <w:rFonts w:ascii="Calibri" w:cs="Calibri" w:eastAsia="Calibri" w:hAnsi="Calibri"/>
            <w:color w:val="1155cc"/>
            <w:sz w:val="20"/>
            <w:szCs w:val="20"/>
            <w:u w:val="single"/>
            <w:rtl w:val="0"/>
          </w:rPr>
          <w:t xml:space="preserve">https://mhdkibris.com/?lang=en</w:t>
        </w:r>
      </w:hyperlink>
      <w:r w:rsidDel="00000000" w:rsidR="00000000" w:rsidRPr="00000000">
        <w:rPr>
          <w:rFonts w:ascii="Calibri" w:cs="Calibri" w:eastAsia="Calibri" w:hAnsi="Calibri"/>
          <w:sz w:val="20"/>
          <w:szCs w:val="20"/>
          <w:rtl w:val="0"/>
        </w:rPr>
        <w:t xml:space="preserve"> </w:t>
      </w:r>
    </w:p>
  </w:footnote>
  <w:footnote w:id="7">
    <w:p w:rsidR="00000000" w:rsidDel="00000000" w:rsidP="00000000" w:rsidRDefault="00000000" w:rsidRPr="00000000" w14:paraId="000000F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4">
        <w:r w:rsidDel="00000000" w:rsidR="00000000" w:rsidRPr="00000000">
          <w:rPr>
            <w:color w:val="1155cc"/>
            <w:sz w:val="20"/>
            <w:szCs w:val="20"/>
            <w:u w:val="single"/>
            <w:rtl w:val="0"/>
          </w:rPr>
          <w:t xml:space="preserve">https://ilga.org/downloads/Treaty_Bodies_compilation_general_recommendations.pdf</w:t>
        </w:r>
      </w:hyperlink>
      <w:r w:rsidDel="00000000" w:rsidR="00000000" w:rsidRPr="00000000">
        <w:rPr>
          <w:sz w:val="20"/>
          <w:szCs w:val="20"/>
          <w:rtl w:val="0"/>
        </w:rPr>
        <w:t xml:space="preserve"> </w:t>
      </w:r>
    </w:p>
  </w:footnote>
  <w:footnote w:id="1">
    <w:p w:rsidR="00000000" w:rsidDel="00000000" w:rsidP="00000000" w:rsidRDefault="00000000" w:rsidRPr="00000000" w14:paraId="000000F7">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rtl w:val="0"/>
        </w:rPr>
        <w:t xml:space="preserve">The Human Rights Platform collected in-depth information about this incident via various parties involved in the case. </w:t>
      </w:r>
      <w:r w:rsidDel="00000000" w:rsidR="00000000" w:rsidRPr="00000000">
        <w:rPr>
          <w:rtl w:val="0"/>
        </w:rPr>
      </w:r>
    </w:p>
  </w:footnote>
  <w:footnote w:id="2">
    <w:p w:rsidR="00000000" w:rsidDel="00000000" w:rsidP="00000000" w:rsidRDefault="00000000" w:rsidRPr="00000000" w14:paraId="000000F8">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rtl w:val="0"/>
        </w:rPr>
        <w:t xml:space="preserve">KISA, 'You can not fight nationalism and racism by hiding them under the carpet!' (9 June 2023) &lt; https://kisa.org.cy/you-dont-hide-nationalism-under-the-carpet/&gt; accessed 25 September 2023.</w:t>
      </w:r>
      <w:r w:rsidDel="00000000" w:rsidR="00000000" w:rsidRPr="00000000">
        <w:rPr>
          <w:rtl w:val="0"/>
        </w:rPr>
      </w:r>
    </w:p>
  </w:footnote>
  <w:footnote w:id="3">
    <w:p w:rsidR="00000000" w:rsidDel="00000000" w:rsidP="00000000" w:rsidRDefault="00000000" w:rsidRPr="00000000" w14:paraId="000000F9">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rtl w:val="0"/>
        </w:rPr>
        <w:t xml:space="preserve">The Human Rights Platform regularly monitors issues related to migration and anti-trafficking in the areas not effectively controlled by the RoC. Here is one of the interviews delivered on this issue: France24, ‘Human Trafficking Raises Alarm in Divided Cyprus’ 17 April 2022, &lt;</w:t>
      </w:r>
      <w:hyperlink r:id="rId5">
        <w:r w:rsidDel="00000000" w:rsidR="00000000" w:rsidRPr="00000000">
          <w:rPr>
            <w:rFonts w:ascii="Calibri" w:cs="Calibri" w:eastAsia="Calibri" w:hAnsi="Calibri"/>
            <w:color w:val="1155cc"/>
            <w:u w:val="single"/>
            <w:rtl w:val="0"/>
          </w:rPr>
          <w:t xml:space="preserve">https://www.france24.com/en/live-news/20220417-human-trafficking-raises-alarm-in-divided-cyprus</w:t>
        </w:r>
      </w:hyperlink>
      <w:r w:rsidDel="00000000" w:rsidR="00000000" w:rsidRPr="00000000">
        <w:rPr>
          <w:rFonts w:ascii="Calibri" w:cs="Calibri" w:eastAsia="Calibri" w:hAnsi="Calibri"/>
          <w:rtl w:val="0"/>
        </w:rPr>
        <w:t xml:space="preserve">&gt;  accessed 25 September 2023.</w:t>
      </w:r>
      <w:r w:rsidDel="00000000" w:rsidR="00000000" w:rsidRPr="00000000">
        <w:rPr>
          <w:rtl w:val="0"/>
        </w:rPr>
      </w:r>
    </w:p>
  </w:footnote>
  <w:footnote w:id="4">
    <w:p w:rsidR="00000000" w:rsidDel="00000000" w:rsidP="00000000" w:rsidRDefault="00000000" w:rsidRPr="00000000" w14:paraId="000000FA">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rtl w:val="0"/>
        </w:rPr>
        <w:t xml:space="preserve">Nasia Hadjigeorgiou, ‘Human Trafficking in Cyprus: The Crime, Victims, Perpetrators, and Their Connections to the Island’s Frozen Conflict’ PCC Report 1/2022, p.24-25 &lt;</w:t>
      </w:r>
      <w:hyperlink r:id="rId6">
        <w:r w:rsidDel="00000000" w:rsidR="00000000" w:rsidRPr="00000000">
          <w:rPr>
            <w:rFonts w:ascii="Calibri" w:cs="Calibri" w:eastAsia="Calibri" w:hAnsi="Calibri"/>
            <w:color w:val="1155cc"/>
            <w:u w:val="single"/>
            <w:rtl w:val="0"/>
          </w:rPr>
          <w:t xml:space="preserve">https://www.prio.org/publications/13219</w:t>
        </w:r>
      </w:hyperlink>
      <w:r w:rsidDel="00000000" w:rsidR="00000000" w:rsidRPr="00000000">
        <w:rPr>
          <w:rFonts w:ascii="Calibri" w:cs="Calibri" w:eastAsia="Calibri" w:hAnsi="Calibri"/>
          <w:rtl w:val="0"/>
        </w:rPr>
        <w:t xml:space="preserve">&gt; accessed 28 September 2023.</w:t>
      </w:r>
      <w:r w:rsidDel="00000000" w:rsidR="00000000" w:rsidRPr="00000000">
        <w:rPr>
          <w:rtl w:val="0"/>
        </w:rPr>
      </w:r>
    </w:p>
  </w:footnote>
  <w:footnote w:id="5">
    <w:p w:rsidR="00000000" w:rsidDel="00000000" w:rsidP="00000000" w:rsidRDefault="00000000" w:rsidRPr="00000000" w14:paraId="000000FB">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rtl w:val="0"/>
        </w:rPr>
        <w:t xml:space="preserve">Ibid</w:t>
      </w:r>
      <w:r w:rsidDel="00000000" w:rsidR="00000000" w:rsidRPr="00000000">
        <w:rPr>
          <w:rFonts w:ascii="Calibri" w:cs="Calibri" w:eastAsia="Calibri" w:hAnsi="Calibri"/>
          <w:sz w:val="20"/>
          <w:szCs w:val="20"/>
          <w:rtl w:val="0"/>
        </w:rPr>
        <w:t xml:space="preserve">. </w:t>
      </w:r>
    </w:p>
  </w:footnote>
  <w:footnote w:id="6">
    <w:p w:rsidR="00000000" w:rsidDel="00000000" w:rsidP="00000000" w:rsidRDefault="00000000" w:rsidRPr="00000000" w14:paraId="000000FC">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rtl w:val="0"/>
        </w:rPr>
        <w:t xml:space="preserve">The Human Rights Platform met with various CSO stakeholders in the RoC and this was highlighted as a major issue of concern.</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4">
    <w:pPr>
      <w:rPr/>
    </w:pPr>
    <w:r w:rsidDel="00000000" w:rsidR="00000000" w:rsidRPr="00000000">
      <w:rPr/>
      <w:pict>
        <v:shape id="WordPictureWatermark1" style="position:absolute;width:598.1782677165354pt;height:845.7917626560283pt;rotation:0;z-index:-503316481;mso-position-horizontal-relative:margin;mso-position-horizontal:center;mso-position-vertical-relative:margin;mso-position-vertical:center;" alt="" type="#_x0000_t75">
          <v:imagedata cropbottom="0f" cropleft="0f" cropright="0f" croptop="0f" r:id="rId1" o:title="image1.jp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mailto:fezile@ihpcy.eu"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mfa.gov.cy/press-releases/2020/12/29/national-action-plan-unsc-resolution-1325/" TargetMode="External"/><Relationship Id="rId8" Type="http://schemas.openxmlformats.org/officeDocument/2006/relationships/hyperlink" Target="mailto:erman@ihpcy.e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insanhaklariplatformu.eu/about" TargetMode="External"/><Relationship Id="rId2" Type="http://schemas.openxmlformats.org/officeDocument/2006/relationships/hyperlink" Target="https://www.queercyprus.org/en/" TargetMode="External"/><Relationship Id="rId3" Type="http://schemas.openxmlformats.org/officeDocument/2006/relationships/hyperlink" Target="https://mhdkibris.com/?lang=en" TargetMode="External"/><Relationship Id="rId4" Type="http://schemas.openxmlformats.org/officeDocument/2006/relationships/hyperlink" Target="https://ilga.org/downloads/Treaty_Bodies_compilation_general_recommendations.pdf" TargetMode="External"/><Relationship Id="rId5" Type="http://schemas.openxmlformats.org/officeDocument/2006/relationships/hyperlink" Target="https://www.france24.com/en/live-news/20220417-human-trafficking-raises-alarm-in-divided-cyprus" TargetMode="External"/><Relationship Id="rId6" Type="http://schemas.openxmlformats.org/officeDocument/2006/relationships/hyperlink" Target="https://www.prio.org/publications/1321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