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98F9B3B" w14:textId="6F563927" w:rsidR="00981133" w:rsidRDefault="00DA2EF7">
      <w:pPr>
        <w:pStyle w:val="Body"/>
        <w:rPr>
          <w:b/>
          <w:bCs/>
          <w:sz w:val="22"/>
          <w:szCs w:val="22"/>
        </w:rPr>
      </w:pPr>
      <w:r w:rsidRPr="00B42CC6">
        <w:rPr>
          <w:rFonts w:ascii="inherit" w:eastAsia="Times New Roman" w:hAnsi="inherit" w:cs="Courier New"/>
          <w:noProof/>
          <w:color w:val="212121"/>
          <w:sz w:val="20"/>
          <w:szCs w:val="20"/>
        </w:rPr>
        <w:drawing>
          <wp:anchor distT="0" distB="0" distL="114300" distR="114300" simplePos="0" relativeHeight="251661312" behindDoc="0" locked="0" layoutInCell="1" allowOverlap="1" wp14:anchorId="2EC2E33B" wp14:editId="0AB59805">
            <wp:simplePos x="0" y="0"/>
            <wp:positionH relativeFrom="column">
              <wp:posOffset>0</wp:posOffset>
            </wp:positionH>
            <wp:positionV relativeFrom="paragraph">
              <wp:posOffset>-685800</wp:posOffset>
            </wp:positionV>
            <wp:extent cx="1371600" cy="728345"/>
            <wp:effectExtent l="0" t="0" r="0" b="0"/>
            <wp:wrapNone/>
            <wp:docPr id="1" name="Picture 1"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728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2E633" w14:textId="59DB6D00" w:rsidR="00981133" w:rsidRPr="00D454F5" w:rsidRDefault="00DA2EF7">
      <w:pPr>
        <w:pStyle w:val="Body"/>
        <w:rPr>
          <w:sz w:val="22"/>
          <w:szCs w:val="22"/>
        </w:rPr>
      </w:pPr>
      <w:r w:rsidRPr="00D454F5">
        <w:rPr>
          <w:b/>
          <w:bCs/>
          <w:sz w:val="22"/>
          <w:szCs w:val="22"/>
        </w:rPr>
        <w:t xml:space="preserve">Briefing Note to the Committee on Economic, Social and Cultural Rights, </w:t>
      </w:r>
      <w:r w:rsidR="00831824" w:rsidRPr="00D454F5">
        <w:rPr>
          <w:b/>
          <w:bCs/>
          <w:sz w:val="22"/>
          <w:szCs w:val="22"/>
        </w:rPr>
        <w:t xml:space="preserve">prior to the adoption of the </w:t>
      </w:r>
      <w:r w:rsidR="00831824" w:rsidRPr="00D454F5">
        <w:rPr>
          <w:b/>
          <w:sz w:val="22"/>
          <w:szCs w:val="22"/>
        </w:rPr>
        <w:t>List of Issues Prior to Reporting</w:t>
      </w:r>
    </w:p>
    <w:p w14:paraId="6285FC1B" w14:textId="77777777" w:rsidR="00981133" w:rsidRPr="00D454F5" w:rsidRDefault="00981133">
      <w:pPr>
        <w:pStyle w:val="Body"/>
        <w:rPr>
          <w:sz w:val="22"/>
          <w:szCs w:val="22"/>
        </w:rPr>
      </w:pPr>
    </w:p>
    <w:p w14:paraId="38FA8179" w14:textId="51F17F20" w:rsidR="00DA2EF7" w:rsidRPr="00D454F5" w:rsidRDefault="00DA2EF7">
      <w:pPr>
        <w:pStyle w:val="Body"/>
        <w:rPr>
          <w:sz w:val="22"/>
          <w:szCs w:val="22"/>
        </w:rPr>
      </w:pPr>
      <w:r w:rsidRPr="00D454F5">
        <w:rPr>
          <w:sz w:val="22"/>
          <w:szCs w:val="22"/>
        </w:rPr>
        <w:t>Norway’s energy policy and its obligations under the International Covenant on Economic, Social and Cultural Rights</w:t>
      </w:r>
    </w:p>
    <w:p w14:paraId="3E97D6C2" w14:textId="0D54FD57" w:rsidR="00A433F0" w:rsidRDefault="00A433F0">
      <w:pPr>
        <w:pStyle w:val="Body"/>
        <w:pBdr>
          <w:bottom w:val="single" w:sz="6" w:space="1" w:color="auto"/>
        </w:pBdr>
        <w:rPr>
          <w:i/>
          <w:iCs/>
          <w:sz w:val="22"/>
          <w:szCs w:val="22"/>
        </w:rPr>
      </w:pPr>
    </w:p>
    <w:p w14:paraId="4A3EED6F" w14:textId="30B40893" w:rsidR="00981133" w:rsidRPr="00B42CC6" w:rsidRDefault="00981133" w:rsidP="00B42CC6">
      <w:pPr>
        <w:pStyle w:val="Body"/>
        <w:rPr>
          <w:iCs/>
          <w:color w:val="7F7F7F"/>
          <w:sz w:val="22"/>
          <w:szCs w:val="22"/>
          <w:u w:color="7F7F7F"/>
        </w:rPr>
      </w:pPr>
    </w:p>
    <w:tbl>
      <w:tblPr>
        <w:tblW w:w="8516" w:type="dxa"/>
        <w:tblInd w:w="108" w:type="dxa"/>
        <w:shd w:val="clear" w:color="auto" w:fill="DBE5F1" w:themeFill="accent1" w:themeFillTint="33"/>
        <w:tblLayout w:type="fixed"/>
        <w:tblLook w:val="04A0" w:firstRow="1" w:lastRow="0" w:firstColumn="1" w:lastColumn="0" w:noHBand="0" w:noVBand="1"/>
      </w:tblPr>
      <w:tblGrid>
        <w:gridCol w:w="8516"/>
      </w:tblGrid>
      <w:tr w:rsidR="00981133" w14:paraId="75005B2C" w14:textId="77777777" w:rsidTr="00B42CC6">
        <w:trPr>
          <w:trHeight w:val="3068"/>
        </w:trPr>
        <w:tc>
          <w:tcPr>
            <w:tcW w:w="8516" w:type="dxa"/>
            <w:shd w:val="clear" w:color="auto" w:fill="DBE5F1" w:themeFill="accent1" w:themeFillTint="33"/>
            <w:tcMar>
              <w:top w:w="80" w:type="dxa"/>
              <w:left w:w="80" w:type="dxa"/>
              <w:bottom w:w="80" w:type="dxa"/>
              <w:right w:w="80" w:type="dxa"/>
            </w:tcMar>
          </w:tcPr>
          <w:p w14:paraId="2D0EA632" w14:textId="55CA8EED" w:rsidR="00164BE6" w:rsidRPr="00B42CC6" w:rsidRDefault="00164BE6" w:rsidP="00B42CC6">
            <w:pPr>
              <w:pStyle w:val="Body"/>
              <w:spacing w:after="240"/>
              <w:rPr>
                <w:iCs/>
                <w:color w:val="auto"/>
                <w:sz w:val="22"/>
                <w:szCs w:val="22"/>
                <w:u w:color="7F7F7F"/>
              </w:rPr>
            </w:pPr>
            <w:r w:rsidRPr="00B42CC6">
              <w:rPr>
                <w:iCs/>
                <w:color w:val="auto"/>
                <w:sz w:val="22"/>
                <w:szCs w:val="22"/>
                <w:u w:color="7F7F7F"/>
              </w:rPr>
              <w:t xml:space="preserve">Norway’s current oil and gas extraction and export policy </w:t>
            </w:r>
            <w:r w:rsidR="00A40405" w:rsidRPr="00B42CC6">
              <w:rPr>
                <w:iCs/>
                <w:color w:val="auto"/>
                <w:sz w:val="22"/>
                <w:szCs w:val="22"/>
                <w:u w:color="7F7F7F"/>
              </w:rPr>
              <w:t>contributes significantly to climate change and thereby result</w:t>
            </w:r>
            <w:r w:rsidR="00366D4E">
              <w:rPr>
                <w:iCs/>
                <w:color w:val="auto"/>
                <w:sz w:val="22"/>
                <w:szCs w:val="22"/>
                <w:u w:color="7F7F7F"/>
              </w:rPr>
              <w:t>s</w:t>
            </w:r>
            <w:r w:rsidR="00A40405" w:rsidRPr="00B42CC6">
              <w:rPr>
                <w:iCs/>
                <w:color w:val="auto"/>
                <w:sz w:val="22"/>
                <w:szCs w:val="22"/>
                <w:u w:color="7F7F7F"/>
              </w:rPr>
              <w:t xml:space="preserve"> in adverse climate-induced impacts on multiple rights protected by the Covenant, such as the rights to health, food, water and sanitation. Conseq</w:t>
            </w:r>
            <w:r w:rsidR="00DD1ABE" w:rsidRPr="00B42CC6">
              <w:rPr>
                <w:iCs/>
                <w:color w:val="auto"/>
                <w:sz w:val="22"/>
                <w:szCs w:val="22"/>
                <w:u w:color="7F7F7F"/>
              </w:rPr>
              <w:t>uently, these policies infringe</w:t>
            </w:r>
            <w:r w:rsidR="00A40405" w:rsidRPr="00B42CC6">
              <w:rPr>
                <w:iCs/>
                <w:color w:val="auto"/>
                <w:sz w:val="22"/>
                <w:szCs w:val="22"/>
                <w:u w:color="7F7F7F"/>
              </w:rPr>
              <w:t xml:space="preserve"> Norway’s</w:t>
            </w:r>
            <w:r w:rsidRPr="00B42CC6">
              <w:rPr>
                <w:iCs/>
                <w:color w:val="auto"/>
                <w:sz w:val="22"/>
                <w:szCs w:val="22"/>
                <w:u w:color="7F7F7F"/>
              </w:rPr>
              <w:t xml:space="preserve"> obligations under the International Covenant on Economic, S</w:t>
            </w:r>
            <w:r w:rsidR="00702D3E">
              <w:rPr>
                <w:iCs/>
                <w:color w:val="auto"/>
                <w:sz w:val="22"/>
                <w:szCs w:val="22"/>
                <w:u w:color="7F7F7F"/>
              </w:rPr>
              <w:t>ocial and Cultural Rights.</w:t>
            </w:r>
            <w:r w:rsidR="006C3E47">
              <w:rPr>
                <w:iCs/>
                <w:color w:val="auto"/>
                <w:sz w:val="22"/>
                <w:szCs w:val="22"/>
                <w:u w:color="7F7F7F"/>
              </w:rPr>
              <w:t xml:space="preserve"> </w:t>
            </w:r>
            <w:r w:rsidRPr="00B42CC6">
              <w:rPr>
                <w:iCs/>
                <w:color w:val="auto"/>
                <w:sz w:val="22"/>
                <w:szCs w:val="22"/>
                <w:u w:color="7F7F7F"/>
              </w:rPr>
              <w:t>In this context, we urge the Task Force to question Norway regarding:</w:t>
            </w:r>
          </w:p>
          <w:p w14:paraId="719C26B4" w14:textId="77777777" w:rsidR="00627294" w:rsidRDefault="00702D3E" w:rsidP="00B42CC6">
            <w:pPr>
              <w:pStyle w:val="Body"/>
              <w:numPr>
                <w:ilvl w:val="0"/>
                <w:numId w:val="4"/>
              </w:numPr>
              <w:rPr>
                <w:b/>
                <w:sz w:val="22"/>
                <w:szCs w:val="22"/>
              </w:rPr>
            </w:pPr>
            <w:proofErr w:type="gramStart"/>
            <w:r>
              <w:rPr>
                <w:b/>
                <w:sz w:val="22"/>
                <w:szCs w:val="22"/>
              </w:rPr>
              <w:t>g</w:t>
            </w:r>
            <w:r w:rsidR="00F722DB" w:rsidRPr="00B42CC6">
              <w:rPr>
                <w:b/>
                <w:sz w:val="22"/>
                <w:szCs w:val="22"/>
              </w:rPr>
              <w:t>iven</w:t>
            </w:r>
            <w:proofErr w:type="gramEnd"/>
            <w:r w:rsidR="00F722DB" w:rsidRPr="00B42CC6">
              <w:rPr>
                <w:b/>
                <w:sz w:val="22"/>
                <w:szCs w:val="22"/>
              </w:rPr>
              <w:t xml:space="preserve"> that the extraction and export of fossil fuels unavoidably results in the emission of greenhouse gases, how does the State Party reconcile the continuing and expanding extraction of oil and gas</w:t>
            </w:r>
            <w:r w:rsidR="00DD1ABE">
              <w:rPr>
                <w:b/>
                <w:sz w:val="22"/>
                <w:szCs w:val="22"/>
              </w:rPr>
              <w:t>, including</w:t>
            </w:r>
            <w:r w:rsidR="00F722DB" w:rsidRPr="00B42CC6">
              <w:rPr>
                <w:b/>
                <w:sz w:val="22"/>
                <w:szCs w:val="22"/>
              </w:rPr>
              <w:t xml:space="preserve"> in the Arctic</w:t>
            </w:r>
            <w:r w:rsidR="00DD1ABE">
              <w:rPr>
                <w:b/>
                <w:sz w:val="22"/>
                <w:szCs w:val="22"/>
              </w:rPr>
              <w:t>,</w:t>
            </w:r>
            <w:r w:rsidR="00F722DB" w:rsidRPr="00B42CC6">
              <w:rPr>
                <w:b/>
                <w:sz w:val="22"/>
                <w:szCs w:val="22"/>
              </w:rPr>
              <w:t xml:space="preserve"> and inevitable climate-induced</w:t>
            </w:r>
            <w:r>
              <w:rPr>
                <w:b/>
                <w:sz w:val="22"/>
                <w:szCs w:val="22"/>
              </w:rPr>
              <w:t xml:space="preserve"> impacts on econom</w:t>
            </w:r>
            <w:r w:rsidR="00DD1ABE">
              <w:rPr>
                <w:b/>
                <w:sz w:val="22"/>
                <w:szCs w:val="22"/>
              </w:rPr>
              <w:t>ic, social and cultural rights</w:t>
            </w:r>
            <w:r>
              <w:rPr>
                <w:b/>
                <w:sz w:val="22"/>
                <w:szCs w:val="22"/>
              </w:rPr>
              <w:t xml:space="preserve"> within Norway and extraterritorially</w:t>
            </w:r>
            <w:r w:rsidR="00F722DB" w:rsidRPr="00F722DB">
              <w:rPr>
                <w:b/>
                <w:sz w:val="22"/>
                <w:szCs w:val="22"/>
              </w:rPr>
              <w:t xml:space="preserve">, with </w:t>
            </w:r>
            <w:r>
              <w:rPr>
                <w:b/>
                <w:sz w:val="22"/>
                <w:szCs w:val="22"/>
              </w:rPr>
              <w:t>the obligations provided under the Covenant</w:t>
            </w:r>
            <w:r w:rsidR="00F722DB" w:rsidRPr="00F722DB">
              <w:rPr>
                <w:b/>
                <w:sz w:val="22"/>
                <w:szCs w:val="22"/>
              </w:rPr>
              <w:t>?</w:t>
            </w:r>
            <w:r w:rsidR="00F722DB" w:rsidRPr="00B42CC6">
              <w:rPr>
                <w:b/>
                <w:sz w:val="22"/>
                <w:szCs w:val="22"/>
              </w:rPr>
              <w:t xml:space="preserve"> </w:t>
            </w:r>
          </w:p>
          <w:p w14:paraId="69797EBF" w14:textId="757F0D9F" w:rsidR="00981133" w:rsidRPr="00366D4E" w:rsidRDefault="00627294" w:rsidP="00B42CC6">
            <w:pPr>
              <w:pStyle w:val="Body"/>
            </w:pPr>
            <w:r>
              <w:rPr>
                <w:b/>
                <w:sz w:val="4"/>
                <w:szCs w:val="4"/>
              </w:rPr>
              <w:t xml:space="preserve"> .</w:t>
            </w:r>
          </w:p>
        </w:tc>
      </w:tr>
    </w:tbl>
    <w:p w14:paraId="1062B0DB" w14:textId="0CFDFB03" w:rsidR="00A433F0" w:rsidRDefault="00A433F0" w:rsidP="00B42CC6">
      <w:pPr>
        <w:pStyle w:val="Body"/>
        <w:pBdr>
          <w:top w:val="nil"/>
        </w:pBdr>
        <w:spacing w:after="240"/>
        <w:rPr>
          <w:b/>
          <w:bCs/>
          <w:sz w:val="22"/>
          <w:szCs w:val="22"/>
        </w:rPr>
      </w:pPr>
      <w:r>
        <w:rPr>
          <w:b/>
          <w:bCs/>
          <w:sz w:val="22"/>
          <w:szCs w:val="22"/>
        </w:rPr>
        <w:t xml:space="preserve">Climate Change and the Protection of Economic, Social and Cultural Rights </w:t>
      </w:r>
    </w:p>
    <w:p w14:paraId="35277A0E" w14:textId="77777777" w:rsidR="00A433F0" w:rsidRDefault="00A433F0" w:rsidP="00B42CC6">
      <w:pPr>
        <w:pStyle w:val="Body"/>
        <w:pBdr>
          <w:top w:val="nil"/>
        </w:pBdr>
        <w:spacing w:after="240"/>
        <w:rPr>
          <w:sz w:val="22"/>
          <w:szCs w:val="22"/>
        </w:rPr>
      </w:pPr>
      <w:r>
        <w:rPr>
          <w:sz w:val="22"/>
          <w:szCs w:val="22"/>
        </w:rPr>
        <w:t>Climate change will detrimentally impact the rights to health, food, housing, water and sanitation.</w:t>
      </w:r>
      <w:r>
        <w:rPr>
          <w:sz w:val="22"/>
          <w:szCs w:val="22"/>
          <w:vertAlign w:val="superscript"/>
        </w:rPr>
        <w:footnoteReference w:id="2"/>
      </w:r>
      <w:r>
        <w:rPr>
          <w:sz w:val="22"/>
          <w:szCs w:val="22"/>
        </w:rPr>
        <w:t xml:space="preserve"> These foreseeable impacts trigger human rights obligations and responsibility among all duty bearers.</w:t>
      </w:r>
      <w:r>
        <w:rPr>
          <w:sz w:val="22"/>
          <w:szCs w:val="22"/>
          <w:vertAlign w:val="superscript"/>
        </w:rPr>
        <w:footnoteReference w:id="3"/>
      </w:r>
      <w:r>
        <w:rPr>
          <w:position w:val="13"/>
          <w:sz w:val="22"/>
          <w:szCs w:val="22"/>
        </w:rPr>
        <w:t xml:space="preserve"> </w:t>
      </w:r>
      <w:r>
        <w:rPr>
          <w:sz w:val="22"/>
          <w:szCs w:val="22"/>
        </w:rPr>
        <w:t xml:space="preserve"> Failure to prevent foreseeable human rights harm caused by climate change, including mobilizing maximum available resources in an effort to do so, constitutes a breach of this obligation.</w:t>
      </w:r>
      <w:r>
        <w:rPr>
          <w:sz w:val="22"/>
          <w:szCs w:val="22"/>
          <w:vertAlign w:val="superscript"/>
        </w:rPr>
        <w:footnoteReference w:id="4"/>
      </w:r>
      <w:r>
        <w:rPr>
          <w:position w:val="13"/>
          <w:sz w:val="22"/>
          <w:szCs w:val="22"/>
        </w:rPr>
        <w:t xml:space="preserve"> </w:t>
      </w:r>
      <w:r>
        <w:rPr>
          <w:sz w:val="22"/>
          <w:szCs w:val="22"/>
          <w:lang w:val="nl-NL"/>
        </w:rPr>
        <w:t>The Special Rapporteur</w:t>
      </w:r>
      <w:r>
        <w:rPr>
          <w:sz w:val="22"/>
          <w:szCs w:val="22"/>
        </w:rPr>
        <w:t xml:space="preserve"> on the environment  has underlined that: </w:t>
      </w:r>
    </w:p>
    <w:p w14:paraId="46824347" w14:textId="77777777" w:rsidR="00A433F0" w:rsidRDefault="00A433F0" w:rsidP="00B42CC6">
      <w:pPr>
        <w:pStyle w:val="Body"/>
        <w:pBdr>
          <w:top w:val="nil"/>
        </w:pBdr>
        <w:spacing w:after="240"/>
        <w:rPr>
          <w:sz w:val="22"/>
          <w:szCs w:val="22"/>
        </w:rPr>
      </w:pPr>
      <w:r>
        <w:rPr>
          <w:sz w:val="22"/>
          <w:szCs w:val="22"/>
        </w:rPr>
        <w:t>‘</w:t>
      </w:r>
      <w:r>
        <w:rPr>
          <w:i/>
          <w:iCs/>
          <w:sz w:val="22"/>
          <w:szCs w:val="22"/>
        </w:rPr>
        <w:t>The foreseeable adverse effects of climate change on the enjoyment of human rights give rise to duties of States to take actions to protect against those effects. Human rights obligations apply not only to decisions about how much climate protection to pursue, but also to the mitigation and adaptation measures through which the protection is achieved.</w:t>
      </w:r>
      <w:r>
        <w:rPr>
          <w:i/>
          <w:iCs/>
          <w:sz w:val="22"/>
          <w:szCs w:val="22"/>
          <w:vertAlign w:val="superscript"/>
        </w:rPr>
        <w:footnoteReference w:id="5"/>
      </w:r>
      <w:r>
        <w:rPr>
          <w:sz w:val="22"/>
          <w:szCs w:val="22"/>
        </w:rPr>
        <w:t xml:space="preserve">’ </w:t>
      </w:r>
    </w:p>
    <w:p w14:paraId="08C4BA25" w14:textId="73203BA1" w:rsidR="00A433F0" w:rsidRDefault="00A433F0" w:rsidP="00B42CC6">
      <w:pPr>
        <w:pStyle w:val="Body"/>
        <w:pBdr>
          <w:top w:val="nil"/>
        </w:pBdr>
        <w:spacing w:after="240"/>
        <w:rPr>
          <w:sz w:val="22"/>
          <w:szCs w:val="22"/>
        </w:rPr>
      </w:pPr>
      <w:r>
        <w:rPr>
          <w:sz w:val="22"/>
          <w:szCs w:val="22"/>
        </w:rPr>
        <w:t xml:space="preserve">The CESCR has </w:t>
      </w:r>
      <w:r w:rsidR="00702D3E">
        <w:rPr>
          <w:sz w:val="22"/>
          <w:szCs w:val="22"/>
        </w:rPr>
        <w:t>recognized</w:t>
      </w:r>
      <w:r>
        <w:rPr>
          <w:sz w:val="22"/>
          <w:szCs w:val="22"/>
        </w:rPr>
        <w:t xml:space="preserve"> these risks and the consequent State obligations and has urged States to take measures to mitigate and adapt to climate change</w:t>
      </w:r>
      <w:r>
        <w:rPr>
          <w:sz w:val="22"/>
          <w:szCs w:val="22"/>
          <w:vertAlign w:val="superscript"/>
        </w:rPr>
        <w:footnoteReference w:id="6"/>
      </w:r>
      <w:r>
        <w:rPr>
          <w:sz w:val="22"/>
          <w:szCs w:val="22"/>
        </w:rPr>
        <w:t>, including in relation to fossil fuel extraction.</w:t>
      </w:r>
      <w:r>
        <w:rPr>
          <w:sz w:val="22"/>
          <w:szCs w:val="22"/>
          <w:vertAlign w:val="superscript"/>
        </w:rPr>
        <w:footnoteReference w:id="7"/>
      </w:r>
      <w:bookmarkStart w:id="0" w:name="_GoBack"/>
      <w:bookmarkEnd w:id="0"/>
      <w:r>
        <w:rPr>
          <w:sz w:val="22"/>
          <w:szCs w:val="22"/>
        </w:rPr>
        <w:t xml:space="preserve">  These human rights impacts will be felt around the world, but disproportionately upon disadvantaged and </w:t>
      </w:r>
      <w:r w:rsidR="00DD1ABE">
        <w:rPr>
          <w:sz w:val="22"/>
          <w:szCs w:val="22"/>
        </w:rPr>
        <w:t>marginalized</w:t>
      </w:r>
      <w:r>
        <w:rPr>
          <w:sz w:val="22"/>
          <w:szCs w:val="22"/>
        </w:rPr>
        <w:t xml:space="preserve"> groups </w:t>
      </w:r>
      <w:r w:rsidR="00DD1ABE">
        <w:rPr>
          <w:sz w:val="22"/>
          <w:szCs w:val="22"/>
        </w:rPr>
        <w:t>whose</w:t>
      </w:r>
      <w:r>
        <w:rPr>
          <w:sz w:val="22"/>
          <w:szCs w:val="22"/>
        </w:rPr>
        <w:t xml:space="preserve"> economic, social and cultural rights</w:t>
      </w:r>
      <w:r w:rsidR="00DD1ABE">
        <w:rPr>
          <w:sz w:val="22"/>
          <w:szCs w:val="22"/>
        </w:rPr>
        <w:t xml:space="preserve"> States already struggle to fulfill</w:t>
      </w:r>
      <w:r>
        <w:rPr>
          <w:sz w:val="22"/>
          <w:szCs w:val="22"/>
        </w:rPr>
        <w:t xml:space="preserve">. </w:t>
      </w:r>
      <w:r w:rsidR="00DD1ABE">
        <w:rPr>
          <w:sz w:val="22"/>
          <w:szCs w:val="22"/>
        </w:rPr>
        <w:t>Given that the overwhelming majority of oil and gas supplied to the global comm</w:t>
      </w:r>
      <w:r w:rsidR="00E833D4">
        <w:rPr>
          <w:sz w:val="22"/>
          <w:szCs w:val="22"/>
        </w:rPr>
        <w:t>odity chain ends as emission of greenhouse gases, t</w:t>
      </w:r>
      <w:r>
        <w:rPr>
          <w:sz w:val="22"/>
          <w:szCs w:val="22"/>
        </w:rPr>
        <w:t>he</w:t>
      </w:r>
      <w:r w:rsidR="00E833D4">
        <w:rPr>
          <w:sz w:val="22"/>
          <w:szCs w:val="22"/>
        </w:rPr>
        <w:t xml:space="preserve"> vast amounts of greenhouse gas</w:t>
      </w:r>
      <w:r>
        <w:rPr>
          <w:sz w:val="22"/>
          <w:szCs w:val="22"/>
        </w:rPr>
        <w:t xml:space="preserve">es </w:t>
      </w:r>
      <w:r w:rsidR="00E833D4">
        <w:rPr>
          <w:sz w:val="22"/>
          <w:szCs w:val="22"/>
        </w:rPr>
        <w:t>embedded in</w:t>
      </w:r>
      <w:r>
        <w:rPr>
          <w:sz w:val="22"/>
          <w:szCs w:val="22"/>
        </w:rPr>
        <w:t xml:space="preserve"> oil</w:t>
      </w:r>
      <w:r w:rsidR="00E833D4">
        <w:rPr>
          <w:sz w:val="22"/>
          <w:szCs w:val="22"/>
        </w:rPr>
        <w:t xml:space="preserve"> extracted in Norway will impact the economic, social and cultural r</w:t>
      </w:r>
      <w:r>
        <w:rPr>
          <w:sz w:val="22"/>
          <w:szCs w:val="22"/>
        </w:rPr>
        <w:t xml:space="preserve">ights of persons living both within Norway and outside of its national boundaries.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8516"/>
      </w:tblGrid>
      <w:tr w:rsidR="000C6E97" w14:paraId="4399C0A9" w14:textId="77777777" w:rsidTr="000C6E97">
        <w:tc>
          <w:tcPr>
            <w:tcW w:w="8516" w:type="dxa"/>
            <w:shd w:val="clear" w:color="auto" w:fill="DBE5F1" w:themeFill="accent1" w:themeFillTint="33"/>
          </w:tcPr>
          <w:p w14:paraId="7ED50980" w14:textId="1E2C29BC" w:rsidR="00D454F5" w:rsidRPr="00B42CC6" w:rsidRDefault="00D454F5" w:rsidP="000C6E97">
            <w:pPr>
              <w:pStyle w:val="Body"/>
              <w:spacing w:after="240"/>
              <w:rPr>
                <w:sz w:val="20"/>
                <w:szCs w:val="22"/>
              </w:rPr>
            </w:pPr>
            <w:r w:rsidRPr="00B42CC6">
              <w:rPr>
                <w:b/>
                <w:bCs/>
                <w:sz w:val="20"/>
                <w:szCs w:val="22"/>
              </w:rPr>
              <w:lastRenderedPageBreak/>
              <w:t xml:space="preserve">Key findings from the </w:t>
            </w:r>
            <w:r w:rsidR="00447E15" w:rsidRPr="00B42CC6">
              <w:rPr>
                <w:b/>
                <w:bCs/>
                <w:sz w:val="20"/>
                <w:szCs w:val="22"/>
              </w:rPr>
              <w:t xml:space="preserve">IPCC report on </w:t>
            </w:r>
            <w:r w:rsidRPr="00B42CC6">
              <w:rPr>
                <w:b/>
                <w:bCs/>
                <w:sz w:val="20"/>
                <w:szCs w:val="22"/>
              </w:rPr>
              <w:t>Global Warming by 1.5c of Warming</w:t>
            </w:r>
            <w:r w:rsidRPr="00B42CC6">
              <w:rPr>
                <w:sz w:val="20"/>
                <w:szCs w:val="22"/>
              </w:rPr>
              <w:t xml:space="preserve"> </w:t>
            </w:r>
          </w:p>
          <w:p w14:paraId="2243323C" w14:textId="7F9D99F9" w:rsidR="00D454F5" w:rsidRPr="00B42CC6" w:rsidRDefault="00D454F5" w:rsidP="00D454F5">
            <w:pPr>
              <w:pStyle w:val="Body"/>
              <w:spacing w:after="240"/>
              <w:rPr>
                <w:sz w:val="20"/>
                <w:szCs w:val="22"/>
              </w:rPr>
            </w:pPr>
            <w:r w:rsidRPr="00B42CC6">
              <w:rPr>
                <w:sz w:val="20"/>
                <w:szCs w:val="22"/>
              </w:rPr>
              <w:t>On the 8</w:t>
            </w:r>
            <w:r w:rsidRPr="00B42CC6">
              <w:rPr>
                <w:sz w:val="20"/>
                <w:szCs w:val="22"/>
                <w:vertAlign w:val="superscript"/>
              </w:rPr>
              <w:t>th</w:t>
            </w:r>
            <w:r w:rsidRPr="00B42CC6">
              <w:rPr>
                <w:sz w:val="20"/>
                <w:szCs w:val="22"/>
              </w:rPr>
              <w:t xml:space="preserve"> October 2018, the Intergovernmental Panel on Climate Change released its Special Report on </w:t>
            </w:r>
            <w:r w:rsidRPr="00B42CC6">
              <w:rPr>
                <w:bCs/>
                <w:iCs/>
                <w:sz w:val="20"/>
                <w:szCs w:val="22"/>
              </w:rPr>
              <w:t>the impacts of global warming of 1.5 °C above pre-industrial levels and related global greenhouse gas emission pathways.</w:t>
            </w:r>
            <w:r w:rsidRPr="00B42CC6">
              <w:rPr>
                <w:rStyle w:val="FootnoteReference"/>
                <w:bCs/>
                <w:iCs/>
                <w:sz w:val="20"/>
                <w:szCs w:val="22"/>
              </w:rPr>
              <w:footnoteReference w:id="8"/>
            </w:r>
            <w:r w:rsidRPr="00B42CC6">
              <w:rPr>
                <w:bCs/>
                <w:iCs/>
                <w:sz w:val="20"/>
                <w:szCs w:val="22"/>
              </w:rPr>
              <w:t xml:space="preserve"> The report represents the international scientific consensus regarding climate change and climate policies and has been endorsed by all governments </w:t>
            </w:r>
            <w:r w:rsidR="00E833D4" w:rsidRPr="00B42CC6">
              <w:rPr>
                <w:bCs/>
                <w:iCs/>
                <w:sz w:val="20"/>
                <w:szCs w:val="22"/>
              </w:rPr>
              <w:t xml:space="preserve">– Norway included – </w:t>
            </w:r>
            <w:r w:rsidRPr="00B42CC6">
              <w:rPr>
                <w:bCs/>
                <w:iCs/>
                <w:sz w:val="20"/>
                <w:szCs w:val="22"/>
              </w:rPr>
              <w:t>on the 6</w:t>
            </w:r>
            <w:r w:rsidRPr="00B42CC6">
              <w:rPr>
                <w:bCs/>
                <w:iCs/>
                <w:sz w:val="20"/>
                <w:szCs w:val="22"/>
                <w:vertAlign w:val="superscript"/>
              </w:rPr>
              <w:t>th</w:t>
            </w:r>
            <w:r w:rsidRPr="00B42CC6">
              <w:rPr>
                <w:bCs/>
                <w:iCs/>
                <w:sz w:val="20"/>
                <w:szCs w:val="22"/>
              </w:rPr>
              <w:t xml:space="preserve"> of October.</w:t>
            </w:r>
          </w:p>
          <w:p w14:paraId="63DEA006" w14:textId="5F803F93" w:rsidR="00937230" w:rsidRPr="00B42CC6" w:rsidRDefault="00A82842">
            <w:pPr>
              <w:pStyle w:val="Body"/>
              <w:spacing w:after="240"/>
              <w:rPr>
                <w:bCs/>
                <w:sz w:val="20"/>
                <w:szCs w:val="22"/>
              </w:rPr>
            </w:pPr>
            <w:r w:rsidRPr="00B42CC6">
              <w:rPr>
                <w:bCs/>
                <w:sz w:val="20"/>
                <w:szCs w:val="22"/>
              </w:rPr>
              <w:t>The report highlights that maintaining the increase of temperatures to 1.5</w:t>
            </w:r>
            <w:r w:rsidR="00E833D4" w:rsidRPr="00B42CC6">
              <w:rPr>
                <w:bCs/>
                <w:sz w:val="20"/>
                <w:szCs w:val="22"/>
              </w:rPr>
              <w:t>º</w:t>
            </w:r>
            <w:r w:rsidRPr="00B42CC6">
              <w:rPr>
                <w:bCs/>
                <w:sz w:val="20"/>
                <w:szCs w:val="22"/>
              </w:rPr>
              <w:t xml:space="preserve">c in 2100 </w:t>
            </w:r>
            <w:r w:rsidR="00937230" w:rsidRPr="00B42CC6">
              <w:rPr>
                <w:bCs/>
                <w:sz w:val="20"/>
                <w:szCs w:val="22"/>
              </w:rPr>
              <w:t xml:space="preserve">is an </w:t>
            </w:r>
            <w:proofErr w:type="gramStart"/>
            <w:r w:rsidR="00937230" w:rsidRPr="00B42CC6">
              <w:rPr>
                <w:bCs/>
                <w:sz w:val="20"/>
                <w:szCs w:val="22"/>
              </w:rPr>
              <w:t>imperative</w:t>
            </w:r>
            <w:proofErr w:type="gramEnd"/>
            <w:r w:rsidR="00937230" w:rsidRPr="00B42CC6">
              <w:rPr>
                <w:bCs/>
                <w:sz w:val="20"/>
                <w:szCs w:val="22"/>
              </w:rPr>
              <w:t xml:space="preserve"> as an increase of temperature of more than 1.5</w:t>
            </w:r>
            <w:r w:rsidR="00E833D4" w:rsidRPr="00B42CC6">
              <w:rPr>
                <w:bCs/>
                <w:sz w:val="20"/>
                <w:szCs w:val="22"/>
              </w:rPr>
              <w:t>º</w:t>
            </w:r>
            <w:r w:rsidR="00937230" w:rsidRPr="00B42CC6">
              <w:rPr>
                <w:bCs/>
                <w:sz w:val="20"/>
                <w:szCs w:val="22"/>
              </w:rPr>
              <w:t xml:space="preserve">c would imply </w:t>
            </w:r>
            <w:r w:rsidR="00E833D4" w:rsidRPr="00B42CC6">
              <w:rPr>
                <w:bCs/>
                <w:sz w:val="20"/>
                <w:szCs w:val="22"/>
              </w:rPr>
              <w:t>that the</w:t>
            </w:r>
            <w:r w:rsidR="00937230" w:rsidRPr="00B42CC6">
              <w:rPr>
                <w:bCs/>
                <w:sz w:val="20"/>
                <w:szCs w:val="22"/>
              </w:rPr>
              <w:t xml:space="preserve"> human rights</w:t>
            </w:r>
            <w:r w:rsidR="00E833D4" w:rsidRPr="00B42CC6">
              <w:rPr>
                <w:bCs/>
                <w:sz w:val="20"/>
                <w:szCs w:val="22"/>
              </w:rPr>
              <w:t xml:space="preserve"> of millions of additional persons are undermined and would increase the likelihood of</w:t>
            </w:r>
            <w:r w:rsidR="00937230" w:rsidRPr="00B42CC6">
              <w:rPr>
                <w:bCs/>
                <w:sz w:val="20"/>
                <w:szCs w:val="22"/>
              </w:rPr>
              <w:t xml:space="preserve"> systemic </w:t>
            </w:r>
            <w:r w:rsidR="00E833D4" w:rsidRPr="00B42CC6">
              <w:rPr>
                <w:bCs/>
                <w:sz w:val="20"/>
                <w:szCs w:val="22"/>
              </w:rPr>
              <w:t>and large-scale climatic</w:t>
            </w:r>
            <w:r w:rsidR="00937230" w:rsidRPr="00B42CC6">
              <w:rPr>
                <w:bCs/>
                <w:sz w:val="20"/>
                <w:szCs w:val="22"/>
              </w:rPr>
              <w:t xml:space="preserve"> risks.</w:t>
            </w:r>
            <w:r w:rsidR="0070620D" w:rsidRPr="00B42CC6">
              <w:rPr>
                <w:rStyle w:val="FootnoteReference"/>
                <w:bCs/>
                <w:sz w:val="20"/>
                <w:szCs w:val="22"/>
              </w:rPr>
              <w:t xml:space="preserve"> </w:t>
            </w:r>
            <w:r w:rsidR="0070620D" w:rsidRPr="00B42CC6">
              <w:rPr>
                <w:rStyle w:val="FootnoteReference"/>
                <w:bCs/>
                <w:sz w:val="20"/>
                <w:szCs w:val="22"/>
              </w:rPr>
              <w:footnoteReference w:id="9"/>
            </w:r>
            <w:r w:rsidR="0070620D" w:rsidRPr="00B42CC6">
              <w:rPr>
                <w:bCs/>
                <w:sz w:val="20"/>
                <w:szCs w:val="22"/>
              </w:rPr>
              <w:t xml:space="preserve"> </w:t>
            </w:r>
            <w:r w:rsidR="00937230" w:rsidRPr="00B42CC6">
              <w:rPr>
                <w:bCs/>
                <w:sz w:val="20"/>
                <w:szCs w:val="22"/>
              </w:rPr>
              <w:t xml:space="preserve"> </w:t>
            </w:r>
          </w:p>
          <w:p w14:paraId="2BF68056" w14:textId="6CFC4449" w:rsidR="006C3E47" w:rsidRPr="00B42CC6" w:rsidRDefault="00937230">
            <w:pPr>
              <w:pStyle w:val="Body"/>
              <w:spacing w:after="240"/>
              <w:rPr>
                <w:bCs/>
                <w:sz w:val="20"/>
                <w:szCs w:val="22"/>
              </w:rPr>
            </w:pPr>
            <w:r w:rsidRPr="00B42CC6">
              <w:rPr>
                <w:bCs/>
                <w:sz w:val="20"/>
                <w:szCs w:val="22"/>
              </w:rPr>
              <w:t xml:space="preserve">The report confirms that, if governments decide to act decisively and as a matter of urgency, </w:t>
            </w:r>
            <w:r w:rsidR="00E833D4" w:rsidRPr="00B42CC6">
              <w:rPr>
                <w:bCs/>
                <w:sz w:val="20"/>
                <w:szCs w:val="22"/>
              </w:rPr>
              <w:t xml:space="preserve">it is likely that the increase of </w:t>
            </w:r>
            <w:r w:rsidRPr="00B42CC6">
              <w:rPr>
                <w:bCs/>
                <w:sz w:val="20"/>
                <w:szCs w:val="22"/>
              </w:rPr>
              <w:t>temperature</w:t>
            </w:r>
            <w:r w:rsidR="00E833D4" w:rsidRPr="00B42CC6">
              <w:rPr>
                <w:bCs/>
                <w:sz w:val="20"/>
                <w:szCs w:val="22"/>
              </w:rPr>
              <w:t>s</w:t>
            </w:r>
            <w:r w:rsidRPr="00B42CC6">
              <w:rPr>
                <w:bCs/>
                <w:sz w:val="20"/>
                <w:szCs w:val="22"/>
              </w:rPr>
              <w:t xml:space="preserve"> </w:t>
            </w:r>
            <w:r w:rsidR="00E833D4" w:rsidRPr="00B42CC6">
              <w:rPr>
                <w:bCs/>
                <w:sz w:val="20"/>
                <w:szCs w:val="22"/>
              </w:rPr>
              <w:t>could be kept</w:t>
            </w:r>
            <w:r w:rsidRPr="00B42CC6">
              <w:rPr>
                <w:bCs/>
                <w:sz w:val="20"/>
                <w:szCs w:val="22"/>
              </w:rPr>
              <w:t xml:space="preserve"> below this “defense line”. This requires however rapid and far-reaching transitions</w:t>
            </w:r>
            <w:r w:rsidR="00E833D4" w:rsidRPr="00B42CC6">
              <w:rPr>
                <w:bCs/>
                <w:sz w:val="20"/>
                <w:szCs w:val="22"/>
              </w:rPr>
              <w:t xml:space="preserve"> in all economic sectors – including</w:t>
            </w:r>
            <w:r w:rsidRPr="00B42CC6">
              <w:rPr>
                <w:bCs/>
                <w:sz w:val="20"/>
                <w:szCs w:val="22"/>
              </w:rPr>
              <w:t xml:space="preserve"> </w:t>
            </w:r>
            <w:r w:rsidR="00E833D4" w:rsidRPr="00B42CC6">
              <w:rPr>
                <w:bCs/>
                <w:sz w:val="20"/>
                <w:szCs w:val="22"/>
              </w:rPr>
              <w:t>that the</w:t>
            </w:r>
            <w:r w:rsidRPr="00B42CC6">
              <w:rPr>
                <w:bCs/>
                <w:sz w:val="20"/>
                <w:szCs w:val="22"/>
              </w:rPr>
              <w:t xml:space="preserve"> energy sector </w:t>
            </w:r>
            <w:r w:rsidR="00E833D4" w:rsidRPr="00B42CC6">
              <w:rPr>
                <w:bCs/>
                <w:sz w:val="20"/>
                <w:szCs w:val="22"/>
              </w:rPr>
              <w:t xml:space="preserve">transitions </w:t>
            </w:r>
            <w:r w:rsidRPr="00B42CC6">
              <w:rPr>
                <w:bCs/>
                <w:sz w:val="20"/>
                <w:szCs w:val="22"/>
              </w:rPr>
              <w:t>away from fossil fuels.</w:t>
            </w:r>
            <w:r w:rsidRPr="00B42CC6">
              <w:rPr>
                <w:rStyle w:val="FootnoteReference"/>
                <w:bCs/>
                <w:sz w:val="20"/>
                <w:szCs w:val="22"/>
              </w:rPr>
              <w:footnoteReference w:id="10"/>
            </w:r>
            <w:r w:rsidR="0070620D" w:rsidRPr="00B42CC6">
              <w:rPr>
                <w:bCs/>
                <w:sz w:val="20"/>
                <w:szCs w:val="22"/>
              </w:rPr>
              <w:t xml:space="preserve"> </w:t>
            </w:r>
          </w:p>
          <w:p w14:paraId="058111EF" w14:textId="62672E31" w:rsidR="00937230" w:rsidRPr="00B42CC6" w:rsidRDefault="00E833D4" w:rsidP="00B42CC6">
            <w:pPr>
              <w:pStyle w:val="Body"/>
              <w:spacing w:after="240"/>
              <w:rPr>
                <w:bCs/>
                <w:sz w:val="22"/>
                <w:szCs w:val="22"/>
              </w:rPr>
            </w:pPr>
            <w:r w:rsidRPr="00B42CC6">
              <w:rPr>
                <w:bCs/>
                <w:sz w:val="20"/>
                <w:szCs w:val="22"/>
              </w:rPr>
              <w:t xml:space="preserve">To avoid relying on </w:t>
            </w:r>
            <w:proofErr w:type="spellStart"/>
            <w:r w:rsidRPr="00B42CC6">
              <w:rPr>
                <w:bCs/>
                <w:sz w:val="20"/>
                <w:szCs w:val="22"/>
              </w:rPr>
              <w:t>geoengineering</w:t>
            </w:r>
            <w:proofErr w:type="spellEnd"/>
            <w:r w:rsidRPr="00B42CC6">
              <w:rPr>
                <w:bCs/>
                <w:sz w:val="20"/>
                <w:szCs w:val="22"/>
              </w:rPr>
              <w:t xml:space="preserve"> technologies – which the report identifies as being associated with high risks of adverse impact on land, energy, water and food if deployed at a large scale,</w:t>
            </w:r>
            <w:r w:rsidRPr="00B42CC6">
              <w:rPr>
                <w:rStyle w:val="FootnoteReference"/>
                <w:bCs/>
                <w:sz w:val="20"/>
                <w:szCs w:val="22"/>
              </w:rPr>
              <w:footnoteReference w:id="11"/>
            </w:r>
            <w:r w:rsidRPr="00B42CC6">
              <w:rPr>
                <w:bCs/>
                <w:sz w:val="20"/>
                <w:szCs w:val="22"/>
              </w:rPr>
              <w:t xml:space="preserve"> </w:t>
            </w:r>
            <w:r w:rsidR="006C3E47" w:rsidRPr="00B42CC6">
              <w:rPr>
                <w:bCs/>
                <w:sz w:val="20"/>
                <w:szCs w:val="22"/>
              </w:rPr>
              <w:t>a rapid decrease of the consumption of all oil fossil fuels and their quasi-elimination from the energy sector by 2050</w:t>
            </w:r>
            <w:r w:rsidRPr="00B42CC6">
              <w:rPr>
                <w:bCs/>
                <w:sz w:val="20"/>
                <w:szCs w:val="22"/>
              </w:rPr>
              <w:t xml:space="preserve"> is required</w:t>
            </w:r>
            <w:r w:rsidR="006C3E47" w:rsidRPr="00B42CC6">
              <w:rPr>
                <w:bCs/>
                <w:sz w:val="20"/>
                <w:szCs w:val="22"/>
              </w:rPr>
              <w:t>.</w:t>
            </w:r>
            <w:r w:rsidR="006C3E47" w:rsidRPr="00B42CC6">
              <w:rPr>
                <w:rStyle w:val="FootnoteReference"/>
                <w:bCs/>
                <w:sz w:val="20"/>
                <w:szCs w:val="22"/>
              </w:rPr>
              <w:footnoteReference w:id="12"/>
            </w:r>
          </w:p>
        </w:tc>
      </w:tr>
    </w:tbl>
    <w:p w14:paraId="5C924CB4" w14:textId="77777777" w:rsidR="00981133" w:rsidRDefault="00DA2EF7">
      <w:pPr>
        <w:pStyle w:val="Body"/>
        <w:spacing w:after="240"/>
        <w:rPr>
          <w:b/>
          <w:bCs/>
          <w:sz w:val="22"/>
          <w:szCs w:val="22"/>
        </w:rPr>
      </w:pPr>
      <w:r w:rsidRPr="000C6E97">
        <w:rPr>
          <w:b/>
          <w:bCs/>
          <w:sz w:val="22"/>
          <w:szCs w:val="22"/>
        </w:rPr>
        <w:t>Norway’s oil and gas export context</w:t>
      </w:r>
    </w:p>
    <w:p w14:paraId="7395833C" w14:textId="263A7F07" w:rsidR="00981133" w:rsidRDefault="00DA2EF7">
      <w:pPr>
        <w:pStyle w:val="Body"/>
        <w:spacing w:after="240"/>
        <w:rPr>
          <w:sz w:val="22"/>
          <w:szCs w:val="22"/>
        </w:rPr>
      </w:pPr>
      <w:r>
        <w:rPr>
          <w:sz w:val="22"/>
          <w:szCs w:val="22"/>
        </w:rPr>
        <w:t>Norway is Europe’s largest producer and exporter of oil and gas. The Norwegian government has recently offered 56 new licenses for the exploration and extraction of fossil fuels, including in new areas further north into the Arctic and the Barents Sea allowing for exploration further north than any previous licenses.</w:t>
      </w:r>
      <w:r>
        <w:rPr>
          <w:sz w:val="22"/>
          <w:szCs w:val="22"/>
          <w:vertAlign w:val="superscript"/>
        </w:rPr>
        <w:footnoteReference w:id="13"/>
      </w:r>
      <w:r>
        <w:rPr>
          <w:sz w:val="22"/>
          <w:szCs w:val="22"/>
        </w:rPr>
        <w:t xml:space="preserve"> These new licenses would result in increase in the country’s oil and gas extraction, resulting in inevitable </w:t>
      </w:r>
      <w:bookmarkStart w:id="1" w:name="OpenAt"/>
      <w:bookmarkEnd w:id="1"/>
      <w:r>
        <w:rPr>
          <w:sz w:val="22"/>
          <w:szCs w:val="22"/>
        </w:rPr>
        <w:t xml:space="preserve">and significant additional emissions of greenhouse gases from their combustion. </w:t>
      </w:r>
      <w:r w:rsidR="00267A26">
        <w:rPr>
          <w:sz w:val="22"/>
          <w:szCs w:val="22"/>
        </w:rPr>
        <w:t xml:space="preserve">Additionally, they would lock-in decades of investments in infrastructures thereby leading to a long-term allocation to resources away from clean energy sectors. </w:t>
      </w:r>
      <w:r>
        <w:rPr>
          <w:sz w:val="22"/>
          <w:szCs w:val="22"/>
        </w:rPr>
        <w:t>Consequently, such exploitation would have a significant impact on the climate.</w:t>
      </w:r>
    </w:p>
    <w:p w14:paraId="49D87993" w14:textId="77777777" w:rsidR="00981133" w:rsidRDefault="00DA2EF7">
      <w:pPr>
        <w:pStyle w:val="Body"/>
        <w:spacing w:after="240"/>
        <w:rPr>
          <w:sz w:val="22"/>
          <w:szCs w:val="22"/>
          <w:vertAlign w:val="superscript"/>
        </w:rPr>
      </w:pPr>
      <w:r>
        <w:rPr>
          <w:sz w:val="22"/>
          <w:szCs w:val="22"/>
        </w:rPr>
        <w:t>The country has implemented policies to reduce emissions of greenhouse gases emitted from its national territory. However, the emissions reported by Norway under international climate reporting obligations only account for greenhouse gases emitted within the Norwegian territory and therefore do not account for the contribution to climate change that the extractions and exports of fossil fuels would unavoidably result in. The emissions resulting from the consumption of Norway’s oil and gas exports are equivalent to about 500 million metric tons (Mt) of CO</w:t>
      </w:r>
      <w:r>
        <w:rPr>
          <w:sz w:val="22"/>
          <w:szCs w:val="22"/>
          <w:vertAlign w:val="subscript"/>
        </w:rPr>
        <w:t>2</w:t>
      </w:r>
      <w:r>
        <w:rPr>
          <w:sz w:val="22"/>
          <w:szCs w:val="22"/>
        </w:rPr>
        <w:t>.  By contrast, Norway reported national emissions of approximately 50 Mt in 2016.</w:t>
      </w:r>
      <w:r>
        <w:rPr>
          <w:sz w:val="22"/>
          <w:szCs w:val="22"/>
          <w:vertAlign w:val="superscript"/>
        </w:rPr>
        <w:t xml:space="preserve"> </w:t>
      </w:r>
      <w:r>
        <w:rPr>
          <w:sz w:val="22"/>
          <w:szCs w:val="22"/>
          <w:vertAlign w:val="superscript"/>
        </w:rPr>
        <w:footnoteReference w:id="14"/>
      </w:r>
      <w:r>
        <w:rPr>
          <w:sz w:val="22"/>
          <w:szCs w:val="22"/>
          <w:vertAlign w:val="superscript"/>
        </w:rPr>
        <w:t xml:space="preserve"> </w:t>
      </w:r>
    </w:p>
    <w:p w14:paraId="10BCE215" w14:textId="23896663" w:rsidR="00981133" w:rsidRDefault="00DA2EF7">
      <w:pPr>
        <w:pStyle w:val="Body"/>
        <w:spacing w:after="240"/>
        <w:rPr>
          <w:sz w:val="22"/>
          <w:szCs w:val="22"/>
        </w:rPr>
      </w:pPr>
      <w:r w:rsidRPr="00B42CC6">
        <w:rPr>
          <w:b/>
          <w:sz w:val="22"/>
          <w:szCs w:val="22"/>
        </w:rPr>
        <w:lastRenderedPageBreak/>
        <w:t xml:space="preserve">The </w:t>
      </w:r>
      <w:r w:rsidR="00A433F0">
        <w:rPr>
          <w:b/>
          <w:sz w:val="22"/>
          <w:szCs w:val="22"/>
        </w:rPr>
        <w:t xml:space="preserve">annual </w:t>
      </w:r>
      <w:r w:rsidRPr="00B42CC6">
        <w:rPr>
          <w:b/>
          <w:sz w:val="22"/>
          <w:szCs w:val="22"/>
        </w:rPr>
        <w:t>climate footprint of Norwegian’s energy exports is consequently about 10 times bigger than its domestic footprint.</w:t>
      </w:r>
      <w:r>
        <w:rPr>
          <w:sz w:val="22"/>
          <w:szCs w:val="22"/>
        </w:rPr>
        <w:t xml:space="preserve"> In terms of exporting emissions, Norway is the 7th largest exporter of greenhouse gas emissions in the world</w:t>
      </w:r>
      <w:r>
        <w:rPr>
          <w:sz w:val="22"/>
          <w:szCs w:val="22"/>
          <w:vertAlign w:val="superscript"/>
        </w:rPr>
        <w:footnoteReference w:id="15"/>
      </w:r>
      <w:r>
        <w:rPr>
          <w:sz w:val="22"/>
          <w:szCs w:val="22"/>
        </w:rPr>
        <w:t xml:space="preserve">– highlighting the need to focus upon its emissions exports as a major source of climate impacts. </w:t>
      </w:r>
      <w:r w:rsidR="00627294">
        <w:rPr>
          <w:sz w:val="22"/>
          <w:szCs w:val="22"/>
        </w:rPr>
        <w:t xml:space="preserve">Not only is the country refusing to consider the phasing out of fossil fuels extraction </w:t>
      </w:r>
      <w:proofErr w:type="gramStart"/>
      <w:r w:rsidR="00627294">
        <w:rPr>
          <w:sz w:val="22"/>
          <w:szCs w:val="22"/>
        </w:rPr>
        <w:t>but</w:t>
      </w:r>
      <w:proofErr w:type="gramEnd"/>
      <w:r w:rsidR="00627294">
        <w:rPr>
          <w:sz w:val="22"/>
          <w:szCs w:val="22"/>
        </w:rPr>
        <w:t xml:space="preserve"> by providing new licenses it guarantees that Norway will continue to extract oil and gas for several additional decades.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8516"/>
      </w:tblGrid>
      <w:tr w:rsidR="002D6183" w14:paraId="10146FAD" w14:textId="77777777" w:rsidTr="00B42CC6">
        <w:tc>
          <w:tcPr>
            <w:tcW w:w="8516" w:type="dxa"/>
            <w:shd w:val="clear" w:color="auto" w:fill="DBE5F1" w:themeFill="accent1" w:themeFillTint="33"/>
          </w:tcPr>
          <w:p w14:paraId="503B23C6" w14:textId="5D030141" w:rsidR="002D6183" w:rsidRPr="00B42CC6" w:rsidRDefault="002D6183">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240"/>
              <w:rPr>
                <w:b/>
                <w:bCs/>
                <w:sz w:val="20"/>
                <w:szCs w:val="20"/>
              </w:rPr>
            </w:pPr>
            <w:r w:rsidRPr="00B42CC6">
              <w:rPr>
                <w:b/>
                <w:bCs/>
                <w:sz w:val="20"/>
                <w:szCs w:val="20"/>
              </w:rPr>
              <w:t>Recent recommendations adopted by other human rights treaty bodies in relation to the extraction and exports of fossil fuels by Norway</w:t>
            </w:r>
          </w:p>
          <w:p w14:paraId="5B1FA1C5" w14:textId="2F6E9CCC" w:rsidR="002D6183" w:rsidRPr="00B42CC6" w:rsidRDefault="002D6183" w:rsidP="002D6183">
            <w:pPr>
              <w:pStyle w:val="Body"/>
              <w:keepNext/>
              <w:keepLines/>
              <w:spacing w:before="200" w:after="240"/>
              <w:outlineLvl w:val="1"/>
              <w:rPr>
                <w:bCs/>
                <w:sz w:val="20"/>
                <w:szCs w:val="20"/>
                <w:lang w:val="en-GB"/>
              </w:rPr>
            </w:pPr>
            <w:r w:rsidRPr="00B42CC6">
              <w:rPr>
                <w:bCs/>
                <w:sz w:val="20"/>
                <w:szCs w:val="20"/>
                <w:lang w:val="en-GB"/>
              </w:rPr>
              <w:t>While each committee is only mandated to review the fulfilment by the State Parties of its obligations under the human rights treaty to which each committee is related, comparing recommendations made by other committee</w:t>
            </w:r>
            <w:r w:rsidR="000C6E97" w:rsidRPr="00B42CC6">
              <w:rPr>
                <w:bCs/>
                <w:sz w:val="20"/>
                <w:szCs w:val="20"/>
                <w:lang w:val="en-GB"/>
              </w:rPr>
              <w:t>s can also provide comparative information regarding the scope of application of these instruments, particularly in the context of activities affecting similarly the rights</w:t>
            </w:r>
            <w:r w:rsidRPr="00B42CC6">
              <w:rPr>
                <w:bCs/>
                <w:sz w:val="20"/>
                <w:szCs w:val="20"/>
                <w:lang w:val="en-GB"/>
              </w:rPr>
              <w:t xml:space="preserve"> </w:t>
            </w:r>
            <w:r w:rsidR="000C6E97" w:rsidRPr="00B42CC6">
              <w:rPr>
                <w:bCs/>
                <w:sz w:val="20"/>
                <w:szCs w:val="20"/>
                <w:lang w:val="en-GB"/>
              </w:rPr>
              <w:t>protected by more than one of the human rights treaties.</w:t>
            </w:r>
          </w:p>
          <w:p w14:paraId="039856C3" w14:textId="41820E6F" w:rsidR="002D6183" w:rsidRPr="00B42CC6" w:rsidRDefault="002D6183" w:rsidP="002D6183">
            <w:pPr>
              <w:pStyle w:val="Body"/>
              <w:keepNext/>
              <w:keepLines/>
              <w:spacing w:before="200" w:after="240"/>
              <w:outlineLvl w:val="1"/>
              <w:rPr>
                <w:b/>
                <w:bCs/>
                <w:sz w:val="20"/>
                <w:szCs w:val="20"/>
                <w:lang w:val="en-GB"/>
              </w:rPr>
            </w:pPr>
            <w:r w:rsidRPr="00B42CC6">
              <w:rPr>
                <w:b/>
                <w:bCs/>
                <w:i/>
                <w:sz w:val="20"/>
                <w:szCs w:val="20"/>
                <w:lang w:val="en-GB"/>
              </w:rPr>
              <w:t>Committee on the Elimination of Discrimination Against Women – November 2017</w:t>
            </w:r>
            <w:r w:rsidR="000C6E97" w:rsidRPr="00B42CC6">
              <w:rPr>
                <w:rStyle w:val="FootnoteReference"/>
                <w:b/>
                <w:bCs/>
                <w:i/>
                <w:sz w:val="20"/>
                <w:szCs w:val="20"/>
                <w:lang w:val="en-GB"/>
              </w:rPr>
              <w:footnoteReference w:id="16"/>
            </w:r>
          </w:p>
          <w:p w14:paraId="4C252BCB" w14:textId="77777777" w:rsidR="002D6183" w:rsidRPr="00B42CC6" w:rsidRDefault="002D6183" w:rsidP="002D6183">
            <w:pPr>
              <w:pStyle w:val="Body"/>
              <w:keepNext/>
              <w:keepLines/>
              <w:spacing w:before="200" w:after="240"/>
              <w:outlineLvl w:val="1"/>
              <w:rPr>
                <w:bCs/>
                <w:sz w:val="20"/>
                <w:szCs w:val="20"/>
                <w:lang w:val="en-GB"/>
              </w:rPr>
            </w:pPr>
            <w:r w:rsidRPr="00B42CC6">
              <w:rPr>
                <w:bCs/>
                <w:sz w:val="20"/>
                <w:szCs w:val="20"/>
                <w:lang w:val="en-GB"/>
              </w:rPr>
              <w:t>Extra-territorial obligations</w:t>
            </w:r>
          </w:p>
          <w:p w14:paraId="07D84D55" w14:textId="5EB2A626" w:rsidR="002D6183" w:rsidRPr="00B42CC6" w:rsidRDefault="002D6183" w:rsidP="002D6183">
            <w:pPr>
              <w:pStyle w:val="Body"/>
              <w:keepNext/>
              <w:keepLines/>
              <w:spacing w:before="200" w:after="240"/>
              <w:outlineLvl w:val="1"/>
              <w:rPr>
                <w:bCs/>
                <w:sz w:val="20"/>
                <w:szCs w:val="20"/>
                <w:lang w:val="en-GB"/>
              </w:rPr>
            </w:pPr>
            <w:r w:rsidRPr="00B42CC6">
              <w:rPr>
                <w:bCs/>
                <w:sz w:val="20"/>
                <w:szCs w:val="20"/>
                <w:lang w:val="en-GB"/>
              </w:rPr>
              <w:t>[The Committee] is concerned that continuing and expanding extraction of oil and gas in the Arctic by the State party and its inevitable greenhouse gas emissions undermines its obligations to ensure women’s substantive equality with men, as climate change disproportionately impacts women, especially in situations of poverty, since they are more reliant on natural resources for their livelihoods than men and have lesser capacity to deal with natural hazards.</w:t>
            </w:r>
          </w:p>
          <w:p w14:paraId="101B66A9" w14:textId="069CE5B6" w:rsidR="002D6183" w:rsidRPr="00B42CC6" w:rsidRDefault="002D6183" w:rsidP="002D6183">
            <w:pPr>
              <w:pStyle w:val="Body"/>
              <w:keepNext/>
              <w:keepLines/>
              <w:spacing w:before="200" w:after="240"/>
              <w:outlineLvl w:val="1"/>
              <w:rPr>
                <w:bCs/>
                <w:sz w:val="20"/>
                <w:szCs w:val="20"/>
                <w:lang w:val="en-GB"/>
              </w:rPr>
            </w:pPr>
            <w:r w:rsidRPr="00B42CC6">
              <w:rPr>
                <w:bCs/>
                <w:sz w:val="20"/>
                <w:szCs w:val="20"/>
                <w:lang w:val="en-GB"/>
              </w:rPr>
              <w:t>The Committee recommends that the State party review its climate change and energy policies, and specifically its policy on extraction of oil and gas, to ensure it takes into account the disproportionate negative impacts of climate change on women’s rights.</w:t>
            </w:r>
            <w:r w:rsidRPr="00B42CC6" w:rsidDel="005242AA">
              <w:rPr>
                <w:bCs/>
                <w:sz w:val="20"/>
                <w:szCs w:val="20"/>
                <w:lang w:val="en-GB"/>
              </w:rPr>
              <w:t xml:space="preserve"> </w:t>
            </w:r>
          </w:p>
          <w:p w14:paraId="4EA16C1A" w14:textId="4AF07B5C" w:rsidR="002D6183" w:rsidRPr="00B42CC6" w:rsidRDefault="002D6183" w:rsidP="002D6183">
            <w:pPr>
              <w:pStyle w:val="Body"/>
              <w:keepNext/>
              <w:keepLines/>
              <w:spacing w:before="200" w:after="240"/>
              <w:outlineLvl w:val="1"/>
              <w:rPr>
                <w:b/>
                <w:bCs/>
                <w:sz w:val="20"/>
                <w:szCs w:val="20"/>
              </w:rPr>
            </w:pPr>
            <w:r w:rsidRPr="00B42CC6">
              <w:rPr>
                <w:b/>
                <w:bCs/>
                <w:i/>
                <w:sz w:val="20"/>
                <w:szCs w:val="20"/>
              </w:rPr>
              <w:t>Committee on the Rights of the Child –</w:t>
            </w:r>
            <w:r w:rsidR="000C6E97" w:rsidRPr="00B42CC6">
              <w:rPr>
                <w:b/>
                <w:bCs/>
                <w:i/>
                <w:sz w:val="20"/>
                <w:szCs w:val="20"/>
              </w:rPr>
              <w:t xml:space="preserve"> June 2018</w:t>
            </w:r>
            <w:r w:rsidR="000C6E97" w:rsidRPr="00B42CC6">
              <w:rPr>
                <w:rStyle w:val="FootnoteReference"/>
                <w:b/>
                <w:bCs/>
                <w:i/>
                <w:sz w:val="20"/>
                <w:szCs w:val="20"/>
              </w:rPr>
              <w:footnoteReference w:id="17"/>
            </w:r>
          </w:p>
          <w:p w14:paraId="38C0323A" w14:textId="21BCEF00" w:rsidR="002D6183" w:rsidRPr="00B42CC6" w:rsidRDefault="002D6183" w:rsidP="002D6183">
            <w:pPr>
              <w:pStyle w:val="Body"/>
              <w:keepNext/>
              <w:keepLines/>
              <w:spacing w:before="200" w:after="240"/>
              <w:outlineLvl w:val="1"/>
              <w:rPr>
                <w:bCs/>
                <w:sz w:val="20"/>
                <w:szCs w:val="20"/>
              </w:rPr>
            </w:pPr>
            <w:r w:rsidRPr="00B42CC6">
              <w:rPr>
                <w:bCs/>
                <w:sz w:val="20"/>
                <w:szCs w:val="20"/>
              </w:rPr>
              <w:t>Environmental Health</w:t>
            </w:r>
          </w:p>
          <w:p w14:paraId="67ED2795" w14:textId="67AC615A" w:rsidR="002D6183" w:rsidRDefault="002D6183" w:rsidP="00B42CC6">
            <w:pPr>
              <w:pStyle w:val="Body"/>
              <w:spacing w:after="240"/>
              <w:rPr>
                <w:b/>
                <w:bCs/>
                <w:sz w:val="22"/>
                <w:szCs w:val="22"/>
              </w:rPr>
            </w:pPr>
            <w:r w:rsidRPr="00B42CC6">
              <w:rPr>
                <w:bCs/>
                <w:sz w:val="20"/>
                <w:szCs w:val="20"/>
              </w:rPr>
              <w:t>In the light of the State party’s exploitation of fossil fuels, the Committee recommends that it increase its focus on alternative energy and establish safeguards to protect children, both in the State party as well as abroad, from the negative impacts of fossil fuels.</w:t>
            </w:r>
          </w:p>
        </w:tc>
      </w:tr>
    </w:tbl>
    <w:p w14:paraId="4CD849D3" w14:textId="77777777" w:rsidR="000C6E97" w:rsidRPr="00B42CC6" w:rsidRDefault="000C6E97">
      <w:pPr>
        <w:pStyle w:val="Body"/>
        <w:spacing w:after="240"/>
        <w:rPr>
          <w:b/>
          <w:bCs/>
          <w:sz w:val="2"/>
          <w:szCs w:val="2"/>
        </w:rPr>
      </w:pPr>
    </w:p>
    <w:p w14:paraId="1EA898C7" w14:textId="77777777" w:rsidR="00981133" w:rsidRDefault="00DA2EF7">
      <w:pPr>
        <w:pStyle w:val="Body"/>
        <w:spacing w:after="240"/>
        <w:rPr>
          <w:sz w:val="22"/>
          <w:szCs w:val="22"/>
        </w:rPr>
      </w:pPr>
      <w:r>
        <w:rPr>
          <w:b/>
          <w:bCs/>
          <w:sz w:val="22"/>
          <w:szCs w:val="22"/>
        </w:rPr>
        <w:t>Responsibility for oil and gas exports</w:t>
      </w:r>
      <w:r>
        <w:rPr>
          <w:sz w:val="22"/>
          <w:szCs w:val="22"/>
        </w:rPr>
        <w:t xml:space="preserve"> </w:t>
      </w:r>
    </w:p>
    <w:p w14:paraId="3F3F1A38" w14:textId="68B9C040" w:rsidR="00981133" w:rsidRDefault="00DA2EF7">
      <w:pPr>
        <w:pStyle w:val="Body"/>
        <w:spacing w:after="240"/>
        <w:rPr>
          <w:sz w:val="22"/>
          <w:szCs w:val="22"/>
        </w:rPr>
      </w:pPr>
      <w:r>
        <w:rPr>
          <w:sz w:val="22"/>
          <w:szCs w:val="22"/>
        </w:rPr>
        <w:t>As it has been established, the continued emissions of fossil fuels impacts upon the capacity to progressively reali</w:t>
      </w:r>
      <w:r w:rsidR="009E18C8">
        <w:rPr>
          <w:sz w:val="22"/>
          <w:szCs w:val="22"/>
        </w:rPr>
        <w:t>z</w:t>
      </w:r>
      <w:r>
        <w:rPr>
          <w:sz w:val="22"/>
          <w:szCs w:val="22"/>
        </w:rPr>
        <w:t>e economic, social and cultural rights</w:t>
      </w:r>
      <w:r w:rsidR="000C6E97">
        <w:rPr>
          <w:sz w:val="22"/>
          <w:szCs w:val="22"/>
        </w:rPr>
        <w:t xml:space="preserve"> – both in Norway and extra-territorially</w:t>
      </w:r>
      <w:r>
        <w:rPr>
          <w:sz w:val="22"/>
          <w:szCs w:val="22"/>
        </w:rPr>
        <w:t xml:space="preserve">. As </w:t>
      </w:r>
      <w:r w:rsidR="006C6331">
        <w:rPr>
          <w:sz w:val="22"/>
          <w:szCs w:val="22"/>
        </w:rPr>
        <w:t xml:space="preserve">the </w:t>
      </w:r>
      <w:r w:rsidR="000C6E97">
        <w:rPr>
          <w:sz w:val="22"/>
          <w:szCs w:val="22"/>
        </w:rPr>
        <w:t>overwhelming</w:t>
      </w:r>
      <w:r w:rsidR="006C6331">
        <w:rPr>
          <w:sz w:val="22"/>
          <w:szCs w:val="22"/>
        </w:rPr>
        <w:t xml:space="preserve"> majority of </w:t>
      </w:r>
      <w:r>
        <w:rPr>
          <w:sz w:val="22"/>
          <w:szCs w:val="22"/>
        </w:rPr>
        <w:t xml:space="preserve">petroleum is used as fuel, there is no doubt that the Norwegian Government has knowledge of the </w:t>
      </w:r>
      <w:r w:rsidR="000C6E97">
        <w:rPr>
          <w:sz w:val="22"/>
          <w:szCs w:val="22"/>
        </w:rPr>
        <w:t>predictability of the</w:t>
      </w:r>
      <w:r w:rsidR="009E18C8">
        <w:rPr>
          <w:sz w:val="22"/>
          <w:szCs w:val="22"/>
        </w:rPr>
        <w:t xml:space="preserve"> </w:t>
      </w:r>
      <w:r>
        <w:rPr>
          <w:sz w:val="22"/>
          <w:szCs w:val="22"/>
        </w:rPr>
        <w:t xml:space="preserve">harm that will result from the export of fossil fuels </w:t>
      </w:r>
      <w:r w:rsidR="009E18C8">
        <w:rPr>
          <w:sz w:val="22"/>
          <w:szCs w:val="22"/>
        </w:rPr>
        <w:t xml:space="preserve">extracted </w:t>
      </w:r>
      <w:r>
        <w:rPr>
          <w:sz w:val="22"/>
          <w:szCs w:val="22"/>
        </w:rPr>
        <w:t xml:space="preserve">in its territory. </w:t>
      </w:r>
    </w:p>
    <w:p w14:paraId="72DD9967" w14:textId="2EE6BCBB" w:rsidR="00981133" w:rsidRDefault="00DA2EF7">
      <w:pPr>
        <w:pStyle w:val="Body"/>
        <w:spacing w:after="240"/>
        <w:rPr>
          <w:sz w:val="22"/>
          <w:szCs w:val="22"/>
        </w:rPr>
      </w:pPr>
      <w:r>
        <w:rPr>
          <w:sz w:val="22"/>
          <w:szCs w:val="22"/>
        </w:rPr>
        <w:t xml:space="preserve">CESCR has </w:t>
      </w:r>
      <w:proofErr w:type="spellStart"/>
      <w:r>
        <w:rPr>
          <w:sz w:val="22"/>
          <w:szCs w:val="22"/>
        </w:rPr>
        <w:t>recognised</w:t>
      </w:r>
      <w:proofErr w:type="spellEnd"/>
      <w:r>
        <w:rPr>
          <w:sz w:val="22"/>
          <w:szCs w:val="22"/>
        </w:rPr>
        <w:t xml:space="preserve"> that </w:t>
      </w:r>
      <w:proofErr w:type="gramStart"/>
      <w:r>
        <w:rPr>
          <w:sz w:val="22"/>
          <w:szCs w:val="22"/>
        </w:rPr>
        <w:t xml:space="preserve">responsibility for the human rights impacts of climate change is shared by </w:t>
      </w:r>
      <w:r w:rsidR="002D6183">
        <w:rPr>
          <w:sz w:val="22"/>
          <w:szCs w:val="22"/>
        </w:rPr>
        <w:t xml:space="preserve">the </w:t>
      </w:r>
      <w:r>
        <w:rPr>
          <w:sz w:val="22"/>
          <w:szCs w:val="22"/>
        </w:rPr>
        <w:t>countries</w:t>
      </w:r>
      <w:r w:rsidR="002D6183">
        <w:rPr>
          <w:sz w:val="22"/>
          <w:szCs w:val="22"/>
        </w:rPr>
        <w:t xml:space="preserve"> exporting fossil fuels</w:t>
      </w:r>
      <w:proofErr w:type="gramEnd"/>
      <w:r>
        <w:rPr>
          <w:sz w:val="22"/>
          <w:szCs w:val="22"/>
        </w:rPr>
        <w:t>. In 2017 CESCR in its concluding observations on Australia recommended that the state review its coal export policy in the context of climate change.</w:t>
      </w:r>
      <w:r>
        <w:rPr>
          <w:sz w:val="22"/>
          <w:szCs w:val="22"/>
          <w:vertAlign w:val="superscript"/>
        </w:rPr>
        <w:footnoteReference w:id="18"/>
      </w:r>
      <w:r>
        <w:rPr>
          <w:sz w:val="22"/>
          <w:szCs w:val="22"/>
        </w:rPr>
        <w:t xml:space="preserve"> This recommendation implies that countries are responsible for the human rights impacts of the fossil fuels they export, and thus have a responsibility to limit such exports. This is </w:t>
      </w:r>
      <w:r w:rsidR="009E18C8">
        <w:rPr>
          <w:sz w:val="22"/>
          <w:szCs w:val="22"/>
        </w:rPr>
        <w:t xml:space="preserve">also </w:t>
      </w:r>
      <w:r>
        <w:rPr>
          <w:sz w:val="22"/>
          <w:szCs w:val="22"/>
        </w:rPr>
        <w:t xml:space="preserve">in line with a previous recommendation of </w:t>
      </w:r>
      <w:proofErr w:type="gramStart"/>
      <w:r>
        <w:rPr>
          <w:sz w:val="22"/>
          <w:szCs w:val="22"/>
        </w:rPr>
        <w:t>CESCR which</w:t>
      </w:r>
      <w:proofErr w:type="gramEnd"/>
      <w:r>
        <w:rPr>
          <w:sz w:val="22"/>
          <w:szCs w:val="22"/>
        </w:rPr>
        <w:t xml:space="preserve"> recogni</w:t>
      </w:r>
      <w:r w:rsidR="009E18C8">
        <w:rPr>
          <w:sz w:val="22"/>
          <w:szCs w:val="22"/>
        </w:rPr>
        <w:t>z</w:t>
      </w:r>
      <w:r>
        <w:rPr>
          <w:sz w:val="22"/>
          <w:szCs w:val="22"/>
        </w:rPr>
        <w:t>ed the responsibility of states for the human rights impacts of another hazardous export, arms.</w:t>
      </w:r>
      <w:r>
        <w:rPr>
          <w:sz w:val="22"/>
          <w:szCs w:val="22"/>
          <w:vertAlign w:val="superscript"/>
        </w:rPr>
        <w:footnoteReference w:id="19"/>
      </w:r>
      <w:r>
        <w:rPr>
          <w:sz w:val="22"/>
          <w:szCs w:val="22"/>
        </w:rPr>
        <w:t xml:space="preserve"> </w:t>
      </w:r>
    </w:p>
    <w:p w14:paraId="3A52F410" w14:textId="20A03F1D" w:rsidR="00981133" w:rsidRDefault="00DA2EF7">
      <w:pPr>
        <w:pStyle w:val="Body"/>
        <w:spacing w:after="240"/>
        <w:rPr>
          <w:sz w:val="22"/>
          <w:szCs w:val="22"/>
        </w:rPr>
      </w:pPr>
      <w:r>
        <w:rPr>
          <w:sz w:val="22"/>
          <w:szCs w:val="22"/>
        </w:rPr>
        <w:t xml:space="preserve">Norway, as an exporter of fossil fuel exporter must therefore review its oil and gas export policies </w:t>
      </w:r>
      <w:r w:rsidR="009E18C8">
        <w:rPr>
          <w:sz w:val="22"/>
          <w:szCs w:val="22"/>
        </w:rPr>
        <w:t>and avoid to grant new licenses for the extraction of fossil fuels under its jurisdiction to avoid locking in decades more of fossil fuel supply and greenhouse gases emissions</w:t>
      </w:r>
      <w:r>
        <w:rPr>
          <w:sz w:val="22"/>
          <w:szCs w:val="22"/>
        </w:rPr>
        <w:t xml:space="preserve">. In the following it will be affirmed that </w:t>
      </w:r>
      <w:r w:rsidR="0092570A">
        <w:rPr>
          <w:sz w:val="22"/>
          <w:szCs w:val="22"/>
        </w:rPr>
        <w:t xml:space="preserve">international </w:t>
      </w:r>
      <w:r>
        <w:rPr>
          <w:sz w:val="22"/>
          <w:szCs w:val="22"/>
        </w:rPr>
        <w:t xml:space="preserve">law </w:t>
      </w:r>
      <w:r w:rsidR="0092570A">
        <w:rPr>
          <w:sz w:val="22"/>
          <w:szCs w:val="22"/>
        </w:rPr>
        <w:t xml:space="preserve">or the international climate regime do not limit the scope of the obligations of Norway under the ICESCR. </w:t>
      </w:r>
    </w:p>
    <w:p w14:paraId="1B69D62B" w14:textId="77777777" w:rsidR="00981133" w:rsidRDefault="00DA2EF7">
      <w:pPr>
        <w:pStyle w:val="Body"/>
        <w:spacing w:after="240"/>
        <w:rPr>
          <w:b/>
          <w:bCs/>
          <w:sz w:val="22"/>
          <w:szCs w:val="22"/>
        </w:rPr>
      </w:pPr>
      <w:r>
        <w:rPr>
          <w:b/>
          <w:bCs/>
          <w:sz w:val="22"/>
          <w:szCs w:val="22"/>
        </w:rPr>
        <w:t xml:space="preserve">Relationship with the climate treaty regime </w:t>
      </w:r>
    </w:p>
    <w:p w14:paraId="4A7CBB7E" w14:textId="0937815B" w:rsidR="00447E15" w:rsidRDefault="00DA2EF7">
      <w:pPr>
        <w:pStyle w:val="Body"/>
        <w:rPr>
          <w:sz w:val="22"/>
          <w:szCs w:val="22"/>
        </w:rPr>
      </w:pPr>
      <w:r>
        <w:rPr>
          <w:sz w:val="22"/>
          <w:szCs w:val="22"/>
        </w:rPr>
        <w:t xml:space="preserve">Obligations under the UNFCCC and Paris Agreements and commitments to </w:t>
      </w:r>
      <w:r w:rsidR="00447E15">
        <w:rPr>
          <w:sz w:val="22"/>
          <w:szCs w:val="22"/>
        </w:rPr>
        <w:t>fulfill</w:t>
      </w:r>
      <w:r>
        <w:rPr>
          <w:sz w:val="22"/>
          <w:szCs w:val="22"/>
        </w:rPr>
        <w:t xml:space="preserve"> those obligations do not absolve states of their obligations under human rights treaties. Through the State reporting procedure, the Committee has expressed concerns about the carbon dioxide emissions of an individual party, despite the State party’s commitments as a developed country under the United Nations Framework Convention on Climate Change and the Kyoto Protocol, as well as its nationally determined contribution under the Paris Agreement.</w:t>
      </w:r>
      <w:r>
        <w:rPr>
          <w:sz w:val="22"/>
          <w:szCs w:val="22"/>
          <w:vertAlign w:val="superscript"/>
        </w:rPr>
        <w:footnoteReference w:id="20"/>
      </w:r>
      <w:r>
        <w:rPr>
          <w:sz w:val="22"/>
          <w:szCs w:val="22"/>
        </w:rPr>
        <w:t xml:space="preserve"> Furthermore, the committee has also recommended that </w:t>
      </w:r>
      <w:r w:rsidR="009E18C8">
        <w:rPr>
          <w:sz w:val="22"/>
          <w:szCs w:val="22"/>
        </w:rPr>
        <w:t xml:space="preserve">an </w:t>
      </w:r>
      <w:r>
        <w:rPr>
          <w:sz w:val="22"/>
          <w:szCs w:val="22"/>
        </w:rPr>
        <w:t>individual State party “</w:t>
      </w:r>
      <w:proofErr w:type="spellStart"/>
      <w:r>
        <w:rPr>
          <w:sz w:val="22"/>
          <w:szCs w:val="22"/>
          <w:lang w:val="de-DE"/>
        </w:rPr>
        <w:t>increase</w:t>
      </w:r>
      <w:proofErr w:type="spellEnd"/>
      <w:r>
        <w:rPr>
          <w:sz w:val="22"/>
          <w:szCs w:val="22"/>
          <w:lang w:val="de-DE"/>
        </w:rPr>
        <w:t xml:space="preserve"> </w:t>
      </w:r>
      <w:proofErr w:type="spellStart"/>
      <w:r>
        <w:rPr>
          <w:sz w:val="22"/>
          <w:szCs w:val="22"/>
          <w:lang w:val="de-DE"/>
        </w:rPr>
        <w:t>its</w:t>
      </w:r>
      <w:proofErr w:type="spellEnd"/>
      <w:r>
        <w:rPr>
          <w:sz w:val="22"/>
          <w:szCs w:val="22"/>
          <w:lang w:val="de-DE"/>
        </w:rPr>
        <w:t xml:space="preserve"> </w:t>
      </w:r>
      <w:proofErr w:type="spellStart"/>
      <w:r>
        <w:rPr>
          <w:sz w:val="22"/>
          <w:szCs w:val="22"/>
          <w:lang w:val="de-DE"/>
        </w:rPr>
        <w:t>efforts</w:t>
      </w:r>
      <w:proofErr w:type="spellEnd"/>
      <w:r>
        <w:rPr>
          <w:sz w:val="22"/>
          <w:szCs w:val="22"/>
          <w:lang w:val="de-DE"/>
        </w:rPr>
        <w:t xml:space="preserve"> </w:t>
      </w:r>
      <w:proofErr w:type="spellStart"/>
      <w:r>
        <w:rPr>
          <w:sz w:val="22"/>
          <w:szCs w:val="22"/>
          <w:lang w:val="de-DE"/>
        </w:rPr>
        <w:t>to</w:t>
      </w:r>
      <w:proofErr w:type="spellEnd"/>
      <w:r>
        <w:rPr>
          <w:sz w:val="22"/>
          <w:szCs w:val="22"/>
          <w:lang w:val="de-DE"/>
        </w:rPr>
        <w:t xml:space="preserve"> </w:t>
      </w:r>
      <w:proofErr w:type="spellStart"/>
      <w:r>
        <w:rPr>
          <w:sz w:val="22"/>
          <w:szCs w:val="22"/>
          <w:lang w:val="de-DE"/>
        </w:rPr>
        <w:t>reduce</w:t>
      </w:r>
      <w:proofErr w:type="spellEnd"/>
      <w:r>
        <w:rPr>
          <w:sz w:val="22"/>
          <w:szCs w:val="22"/>
          <w:lang w:val="de-DE"/>
        </w:rPr>
        <w:t xml:space="preserve"> </w:t>
      </w:r>
      <w:proofErr w:type="spellStart"/>
      <w:r>
        <w:rPr>
          <w:sz w:val="22"/>
          <w:szCs w:val="22"/>
          <w:lang w:val="de-DE"/>
        </w:rPr>
        <w:t>greenhouse</w:t>
      </w:r>
      <w:proofErr w:type="spellEnd"/>
      <w:r>
        <w:rPr>
          <w:sz w:val="22"/>
          <w:szCs w:val="22"/>
          <w:lang w:val="de-DE"/>
        </w:rPr>
        <w:t xml:space="preserve"> gas </w:t>
      </w:r>
      <w:proofErr w:type="spellStart"/>
      <w:r>
        <w:rPr>
          <w:sz w:val="22"/>
          <w:szCs w:val="22"/>
          <w:lang w:val="de-DE"/>
        </w:rPr>
        <w:t>emissions</w:t>
      </w:r>
      <w:proofErr w:type="spellEnd"/>
      <w:r>
        <w:rPr>
          <w:sz w:val="22"/>
          <w:szCs w:val="22"/>
          <w:lang w:val="de-DE"/>
        </w:rPr>
        <w:t xml:space="preserve"> </w:t>
      </w:r>
      <w:proofErr w:type="spellStart"/>
      <w:r>
        <w:rPr>
          <w:sz w:val="22"/>
          <w:szCs w:val="22"/>
          <w:lang w:val="de-DE"/>
        </w:rPr>
        <w:t>and</w:t>
      </w:r>
      <w:proofErr w:type="spellEnd"/>
      <w:r>
        <w:rPr>
          <w:sz w:val="22"/>
          <w:szCs w:val="22"/>
          <w:lang w:val="de-DE"/>
        </w:rPr>
        <w:t xml:space="preserve"> </w:t>
      </w:r>
      <w:proofErr w:type="spellStart"/>
      <w:r>
        <w:rPr>
          <w:sz w:val="22"/>
          <w:szCs w:val="22"/>
          <w:lang w:val="de-DE"/>
        </w:rPr>
        <w:t>set</w:t>
      </w:r>
      <w:proofErr w:type="spellEnd"/>
      <w:r>
        <w:rPr>
          <w:sz w:val="22"/>
          <w:szCs w:val="22"/>
          <w:lang w:val="de-DE"/>
        </w:rPr>
        <w:t xml:space="preserve"> national </w:t>
      </w:r>
      <w:proofErr w:type="spellStart"/>
      <w:r>
        <w:rPr>
          <w:sz w:val="22"/>
          <w:szCs w:val="22"/>
          <w:lang w:val="de-DE"/>
        </w:rPr>
        <w:t>targets</w:t>
      </w:r>
      <w:proofErr w:type="spellEnd"/>
      <w:r>
        <w:rPr>
          <w:sz w:val="22"/>
          <w:szCs w:val="22"/>
          <w:lang w:val="de-DE"/>
        </w:rPr>
        <w:t xml:space="preserve"> </w:t>
      </w:r>
      <w:proofErr w:type="spellStart"/>
      <w:r>
        <w:rPr>
          <w:sz w:val="22"/>
          <w:szCs w:val="22"/>
          <w:lang w:val="de-DE"/>
        </w:rPr>
        <w:t>with</w:t>
      </w:r>
      <w:proofErr w:type="spellEnd"/>
      <w:r>
        <w:rPr>
          <w:sz w:val="22"/>
          <w:szCs w:val="22"/>
          <w:lang w:val="de-DE"/>
        </w:rPr>
        <w:t xml:space="preserve"> time-</w:t>
      </w:r>
      <w:proofErr w:type="spellStart"/>
      <w:r>
        <w:rPr>
          <w:sz w:val="22"/>
          <w:szCs w:val="22"/>
          <w:lang w:val="de-DE"/>
        </w:rPr>
        <w:t>bound</w:t>
      </w:r>
      <w:proofErr w:type="spellEnd"/>
      <w:r>
        <w:rPr>
          <w:sz w:val="22"/>
          <w:szCs w:val="22"/>
          <w:lang w:val="de-DE"/>
        </w:rPr>
        <w:t xml:space="preserve"> </w:t>
      </w:r>
      <w:proofErr w:type="spellStart"/>
      <w:r>
        <w:rPr>
          <w:sz w:val="22"/>
          <w:szCs w:val="22"/>
          <w:lang w:val="de-DE"/>
        </w:rPr>
        <w:t>benchmarks</w:t>
      </w:r>
      <w:proofErr w:type="spellEnd"/>
      <w:r>
        <w:rPr>
          <w:sz w:val="22"/>
          <w:szCs w:val="22"/>
        </w:rPr>
        <w:t>”,</w:t>
      </w:r>
      <w:r>
        <w:rPr>
          <w:sz w:val="22"/>
          <w:szCs w:val="22"/>
          <w:vertAlign w:val="superscript"/>
        </w:rPr>
        <w:footnoteReference w:id="21"/>
      </w:r>
      <w:r>
        <w:rPr>
          <w:sz w:val="22"/>
          <w:szCs w:val="22"/>
        </w:rPr>
        <w:t xml:space="preserve"> “pursue alternative and renewable energy production”</w:t>
      </w:r>
      <w:r>
        <w:rPr>
          <w:sz w:val="22"/>
          <w:szCs w:val="22"/>
          <w:vertAlign w:val="superscript"/>
        </w:rPr>
        <w:footnoteReference w:id="22"/>
      </w:r>
      <w:r>
        <w:rPr>
          <w:sz w:val="22"/>
          <w:szCs w:val="22"/>
        </w:rPr>
        <w:t xml:space="preserve"> and “review [their] position in support of coal mines and coal exports.”</w:t>
      </w:r>
      <w:r>
        <w:rPr>
          <w:sz w:val="22"/>
          <w:szCs w:val="22"/>
          <w:vertAlign w:val="superscript"/>
        </w:rPr>
        <w:footnoteReference w:id="23"/>
      </w:r>
      <w:r>
        <w:rPr>
          <w:sz w:val="22"/>
          <w:szCs w:val="22"/>
        </w:rPr>
        <w:t xml:space="preserve"> As a result, nothing in the climate treaty system precludes Norway from responsibility for the climate impacts of its fossil fuel </w:t>
      </w:r>
      <w:r w:rsidR="009E18C8">
        <w:rPr>
          <w:sz w:val="22"/>
          <w:szCs w:val="22"/>
        </w:rPr>
        <w:t xml:space="preserve">extraction and </w:t>
      </w:r>
      <w:r>
        <w:rPr>
          <w:sz w:val="22"/>
          <w:szCs w:val="22"/>
        </w:rPr>
        <w:t xml:space="preserve">exports. </w:t>
      </w:r>
    </w:p>
    <w:p w14:paraId="7B52E58B" w14:textId="77777777" w:rsidR="00D454F5" w:rsidRDefault="00D454F5">
      <w:pPr>
        <w:pStyle w:val="Body"/>
        <w:rPr>
          <w:sz w:val="22"/>
          <w:szCs w:val="22"/>
        </w:rPr>
      </w:pPr>
    </w:p>
    <w:p w14:paraId="1CE9F0B4" w14:textId="316A478B" w:rsidR="0092570A" w:rsidRDefault="00D454F5" w:rsidP="00B42CC6">
      <w:pPr>
        <w:pStyle w:val="Body"/>
        <w:rPr>
          <w:sz w:val="22"/>
          <w:szCs w:val="22"/>
        </w:rPr>
      </w:pPr>
      <w:r>
        <w:rPr>
          <w:sz w:val="22"/>
          <w:szCs w:val="22"/>
        </w:rPr>
        <w:t>As the committee noted in its 2018 statement on the release of the IPCC Special Report on Global Warming by 1.5c, “</w:t>
      </w:r>
      <w:r w:rsidRPr="00B42CC6">
        <w:rPr>
          <w:b/>
          <w:sz w:val="22"/>
          <w:szCs w:val="22"/>
        </w:rPr>
        <w:t>human rights mechanisms have an essential role to play in protecting human rights by ensuring that States avoid taking measures that could accelerate climate change</w:t>
      </w:r>
      <w:r w:rsidRPr="00D454F5">
        <w:rPr>
          <w:sz w:val="22"/>
          <w:szCs w:val="22"/>
        </w:rPr>
        <w:t xml:space="preserve">, and that they dedicate the maximum available resources to the adoption of measures that could mitigate climate change. </w:t>
      </w:r>
      <w:r>
        <w:rPr>
          <w:sz w:val="22"/>
          <w:szCs w:val="22"/>
        </w:rPr>
        <w:t>(…)</w:t>
      </w:r>
      <w:r w:rsidRPr="00D454F5">
        <w:rPr>
          <w:sz w:val="22"/>
          <w:szCs w:val="22"/>
        </w:rPr>
        <w:t xml:space="preserve"> </w:t>
      </w:r>
      <w:r w:rsidRPr="00B42CC6">
        <w:rPr>
          <w:b/>
          <w:sz w:val="22"/>
          <w:szCs w:val="22"/>
        </w:rPr>
        <w:t>A fundamental shift in the global energy order is urgently required from hydrocarbon to renewable energy sources</w:t>
      </w:r>
      <w:r w:rsidRPr="00D454F5">
        <w:rPr>
          <w:sz w:val="22"/>
          <w:szCs w:val="22"/>
        </w:rPr>
        <w:t>, in order to avoid dangerous anthropogenic interference with the climate system and the significant human rights violations that such interference would cause.</w:t>
      </w:r>
      <w:r>
        <w:rPr>
          <w:sz w:val="22"/>
          <w:szCs w:val="22"/>
        </w:rPr>
        <w:t>”</w:t>
      </w:r>
    </w:p>
    <w:p w14:paraId="55C3DC7E" w14:textId="77777777" w:rsidR="0092570A" w:rsidRDefault="0092570A" w:rsidP="00B42CC6">
      <w:pPr>
        <w:pStyle w:val="Body"/>
        <w:rPr>
          <w:sz w:val="22"/>
          <w:szCs w:val="22"/>
        </w:rPr>
      </w:pPr>
    </w:p>
    <w:p w14:paraId="55EEA2F7" w14:textId="77777777" w:rsidR="0092570A" w:rsidRPr="00B42CC6" w:rsidRDefault="0092570A" w:rsidP="00B42CC6">
      <w:pPr>
        <w:pStyle w:val="Body"/>
        <w:rPr>
          <w:sz w:val="22"/>
          <w:szCs w:val="22"/>
        </w:rPr>
      </w:pPr>
    </w:p>
    <w:p w14:paraId="5F852743" w14:textId="77777777" w:rsidR="0092570A" w:rsidRDefault="0092570A">
      <w:pPr>
        <w:pStyle w:val="Body"/>
        <w:spacing w:after="240"/>
        <w:rPr>
          <w:b/>
          <w:bCs/>
          <w:position w:val="16"/>
          <w:sz w:val="22"/>
          <w:szCs w:val="22"/>
        </w:rPr>
      </w:pPr>
    </w:p>
    <w:p w14:paraId="3BC78274" w14:textId="6A0F9BBD" w:rsidR="00981133" w:rsidRPr="00B42CC6" w:rsidRDefault="00DA2EF7">
      <w:pPr>
        <w:pStyle w:val="Body"/>
        <w:spacing w:after="240"/>
        <w:rPr>
          <w:sz w:val="22"/>
          <w:szCs w:val="22"/>
        </w:rPr>
      </w:pPr>
      <w:r w:rsidRPr="00B42CC6">
        <w:rPr>
          <w:color w:val="7F7F7F"/>
          <w:sz w:val="22"/>
          <w:szCs w:val="22"/>
          <w:u w:color="7F7F7F"/>
        </w:rPr>
        <w:t xml:space="preserve">This short briefing note was prepared by the </w:t>
      </w:r>
      <w:r w:rsidRPr="00B42CC6">
        <w:rPr>
          <w:rStyle w:val="Link"/>
          <w:sz w:val="22"/>
          <w:szCs w:val="22"/>
        </w:rPr>
        <w:t>Center for International Environmental Law (CIEL)</w:t>
      </w:r>
      <w:r w:rsidR="00366D4E" w:rsidRPr="00B42CC6">
        <w:rPr>
          <w:rStyle w:val="Link"/>
          <w:sz w:val="22"/>
          <w:szCs w:val="22"/>
        </w:rPr>
        <w:t xml:space="preserve"> </w:t>
      </w:r>
      <w:r w:rsidR="00366D4E" w:rsidRPr="00B42CC6">
        <w:rPr>
          <w:color w:val="7F7F7F"/>
          <w:sz w:val="22"/>
          <w:szCs w:val="22"/>
          <w:u w:color="7F7F7F"/>
        </w:rPr>
        <w:t>in cooperation with partners in the country under review</w:t>
      </w:r>
      <w:r w:rsidRPr="00B42CC6">
        <w:rPr>
          <w:color w:val="7F7F7F"/>
          <w:sz w:val="22"/>
          <w:szCs w:val="22"/>
          <w:u w:color="7F7F7F"/>
        </w:rPr>
        <w:t xml:space="preserve">. </w:t>
      </w:r>
      <w:r w:rsidR="00C33751">
        <w:rPr>
          <w:color w:val="7F7F7F"/>
          <w:sz w:val="22"/>
          <w:szCs w:val="22"/>
          <w:u w:color="7F7F7F"/>
        </w:rPr>
        <w:t>F</w:t>
      </w:r>
      <w:r w:rsidRPr="00B42CC6">
        <w:rPr>
          <w:color w:val="7F7F7F"/>
          <w:sz w:val="22"/>
          <w:szCs w:val="22"/>
          <w:u w:color="7F7F7F"/>
        </w:rPr>
        <w:t>or any additional information: S</w:t>
      </w:r>
      <w:r w:rsidRPr="00B42CC6">
        <w:rPr>
          <w:color w:val="7F7F7F"/>
          <w:sz w:val="22"/>
          <w:szCs w:val="22"/>
          <w:u w:color="7F7F7F"/>
          <w:lang w:val="fr-FR"/>
        </w:rPr>
        <w:t>é</w:t>
      </w:r>
      <w:proofErr w:type="spellStart"/>
      <w:r w:rsidRPr="00B42CC6">
        <w:rPr>
          <w:color w:val="7F7F7F"/>
          <w:sz w:val="22"/>
          <w:szCs w:val="22"/>
          <w:u w:color="7F7F7F"/>
          <w:lang w:val="nl-NL"/>
        </w:rPr>
        <w:t>bastien</w:t>
      </w:r>
      <w:proofErr w:type="spellEnd"/>
      <w:r w:rsidRPr="00B42CC6">
        <w:rPr>
          <w:color w:val="7F7F7F"/>
          <w:sz w:val="22"/>
          <w:szCs w:val="22"/>
          <w:u w:color="7F7F7F"/>
          <w:lang w:val="nl-NL"/>
        </w:rPr>
        <w:t xml:space="preserve"> Duyck</w:t>
      </w:r>
      <w:r w:rsidRPr="00B42CC6">
        <w:rPr>
          <w:sz w:val="22"/>
          <w:szCs w:val="22"/>
        </w:rPr>
        <w:t xml:space="preserve"> </w:t>
      </w:r>
      <w:hyperlink r:id="rId9" w:history="1">
        <w:r w:rsidRPr="00B42CC6">
          <w:rPr>
            <w:rStyle w:val="Link"/>
            <w:sz w:val="22"/>
            <w:szCs w:val="22"/>
          </w:rPr>
          <w:t>sduyck@ciel.org</w:t>
        </w:r>
      </w:hyperlink>
      <w:r w:rsidRPr="00B42CC6">
        <w:rPr>
          <w:sz w:val="22"/>
          <w:szCs w:val="22"/>
        </w:rPr>
        <w:t xml:space="preserve"> </w:t>
      </w:r>
      <w:r w:rsidRPr="00B42CC6">
        <w:rPr>
          <w:color w:val="7F7F7F"/>
          <w:sz w:val="22"/>
          <w:szCs w:val="22"/>
          <w:u w:color="7F7F7F"/>
        </w:rPr>
        <w:t>(+41786966362)</w:t>
      </w:r>
    </w:p>
    <w:sectPr w:rsidR="00981133" w:rsidRPr="00B42CC6">
      <w:headerReference w:type="default" r:id="rId10"/>
      <w:footerReference w:type="default" r:id="rId11"/>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31834E" w14:textId="77777777" w:rsidR="00267A26" w:rsidRDefault="00267A26">
      <w:r>
        <w:separator/>
      </w:r>
    </w:p>
  </w:endnote>
  <w:endnote w:type="continuationSeparator" w:id="0">
    <w:p w14:paraId="6F535815" w14:textId="77777777" w:rsidR="00267A26" w:rsidRDefault="00267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949DB" w14:textId="77777777" w:rsidR="00267A26" w:rsidRDefault="00267A26">
    <w:pPr>
      <w:pStyle w:val="Footer"/>
      <w:tabs>
        <w:tab w:val="clear" w:pos="8640"/>
        <w:tab w:val="right" w:pos="8280"/>
      </w:tabs>
      <w:jc w:val="center"/>
    </w:pPr>
    <w:r>
      <w:fldChar w:fldCharType="begin"/>
    </w:r>
    <w:r>
      <w:instrText xml:space="preserve"> PAGE </w:instrText>
    </w:r>
    <w:r>
      <w:fldChar w:fldCharType="separate"/>
    </w:r>
    <w:r w:rsidR="00B42CC6">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975AE" w14:textId="77777777" w:rsidR="00267A26" w:rsidRDefault="00267A26">
      <w:r>
        <w:separator/>
      </w:r>
    </w:p>
  </w:footnote>
  <w:footnote w:type="continuationSeparator" w:id="0">
    <w:p w14:paraId="4F822732" w14:textId="77777777" w:rsidR="00267A26" w:rsidRDefault="00267A26">
      <w:r>
        <w:continuationSeparator/>
      </w:r>
    </w:p>
  </w:footnote>
  <w:footnote w:type="continuationNotice" w:id="1">
    <w:p w14:paraId="171185C8" w14:textId="77777777" w:rsidR="00267A26" w:rsidRDefault="00267A26"/>
  </w:footnote>
  <w:footnote w:id="2">
    <w:p w14:paraId="54B76D38"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rPr>
        <w:t xml:space="preserve"> </w:t>
      </w:r>
      <w:proofErr w:type="gramStart"/>
      <w:r w:rsidRPr="00B42CC6">
        <w:rPr>
          <w:sz w:val="18"/>
          <w:szCs w:val="18"/>
        </w:rPr>
        <w:t xml:space="preserve">Human Rights Council, Analytical Study at </w:t>
      </w:r>
      <w:proofErr w:type="spellStart"/>
      <w:r w:rsidRPr="00B42CC6">
        <w:rPr>
          <w:sz w:val="18"/>
          <w:szCs w:val="18"/>
        </w:rPr>
        <w:t>para</w:t>
      </w:r>
      <w:proofErr w:type="spellEnd"/>
      <w:r w:rsidRPr="00B42CC6">
        <w:rPr>
          <w:sz w:val="18"/>
          <w:szCs w:val="18"/>
        </w:rPr>
        <w:t xml:space="preserve"> 32.</w:t>
      </w:r>
      <w:proofErr w:type="gramEnd"/>
    </w:p>
  </w:footnote>
  <w:footnote w:id="3">
    <w:p w14:paraId="1BE5D038"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rPr>
        <w:t xml:space="preserve"> </w:t>
      </w:r>
      <w:r w:rsidRPr="00B42CC6">
        <w:rPr>
          <w:i/>
          <w:iCs/>
          <w:sz w:val="18"/>
          <w:szCs w:val="18"/>
        </w:rPr>
        <w:t xml:space="preserve">Ibid </w:t>
      </w:r>
    </w:p>
  </w:footnote>
  <w:footnote w:id="4">
    <w:p w14:paraId="5A71A3C6"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rPr>
        <w:t xml:space="preserve"> </w:t>
      </w:r>
      <w:proofErr w:type="spellStart"/>
      <w:r w:rsidRPr="00B42CC6">
        <w:rPr>
          <w:i/>
          <w:iCs/>
          <w:sz w:val="18"/>
          <w:szCs w:val="18"/>
          <w:lang w:val="es-ES_tradnl"/>
        </w:rPr>
        <w:t>ibid</w:t>
      </w:r>
      <w:proofErr w:type="spellEnd"/>
      <w:r w:rsidRPr="00B42CC6">
        <w:rPr>
          <w:sz w:val="18"/>
          <w:szCs w:val="18"/>
        </w:rPr>
        <w:t xml:space="preserve">. </w:t>
      </w:r>
      <w:proofErr w:type="gramStart"/>
      <w:r w:rsidRPr="00B42CC6">
        <w:rPr>
          <w:sz w:val="18"/>
          <w:szCs w:val="18"/>
        </w:rPr>
        <w:t>at</w:t>
      </w:r>
      <w:proofErr w:type="gramEnd"/>
      <w:r w:rsidRPr="00B42CC6">
        <w:rPr>
          <w:sz w:val="18"/>
          <w:szCs w:val="18"/>
        </w:rPr>
        <w:t xml:space="preserve"> </w:t>
      </w:r>
      <w:proofErr w:type="spellStart"/>
      <w:r w:rsidRPr="00B42CC6">
        <w:rPr>
          <w:sz w:val="18"/>
          <w:szCs w:val="18"/>
        </w:rPr>
        <w:t>para</w:t>
      </w:r>
      <w:proofErr w:type="spellEnd"/>
      <w:r w:rsidRPr="00B42CC6">
        <w:rPr>
          <w:sz w:val="18"/>
          <w:szCs w:val="18"/>
        </w:rPr>
        <w:t xml:space="preserve"> 48. </w:t>
      </w:r>
    </w:p>
  </w:footnote>
  <w:footnote w:id="5">
    <w:p w14:paraId="54A4BBF2"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rPr>
        <w:t xml:space="preserve"> A/HRC/25/53</w:t>
      </w:r>
    </w:p>
  </w:footnote>
  <w:footnote w:id="6">
    <w:p w14:paraId="4ECB04A9"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lang w:val="de-DE"/>
        </w:rPr>
        <w:t xml:space="preserve"> E/C.12/AUS/CO/4 (CESCR, 2009)</w:t>
      </w:r>
    </w:p>
  </w:footnote>
  <w:footnote w:id="7">
    <w:p w14:paraId="5D7EA7C0" w14:textId="77777777" w:rsidR="00267A26" w:rsidRPr="00B42CC6" w:rsidRDefault="00267A26" w:rsidP="00A433F0">
      <w:pPr>
        <w:pStyle w:val="FootnoteText"/>
        <w:rPr>
          <w:sz w:val="18"/>
          <w:szCs w:val="18"/>
        </w:rPr>
      </w:pPr>
      <w:r w:rsidRPr="00B42CC6">
        <w:rPr>
          <w:sz w:val="18"/>
          <w:szCs w:val="18"/>
          <w:vertAlign w:val="superscript"/>
        </w:rPr>
        <w:footnoteRef/>
      </w:r>
      <w:r w:rsidRPr="00B42CC6">
        <w:rPr>
          <w:sz w:val="18"/>
          <w:szCs w:val="18"/>
          <w:lang w:val="de-DE"/>
        </w:rPr>
        <w:t xml:space="preserve"> E/C.12/AUS/CO/5 (CESCR, 2017), </w:t>
      </w:r>
      <w:proofErr w:type="spellStart"/>
      <w:r w:rsidRPr="00B42CC6">
        <w:rPr>
          <w:sz w:val="18"/>
          <w:szCs w:val="18"/>
          <w:lang w:val="de-DE"/>
        </w:rPr>
        <w:t>paragraph</w:t>
      </w:r>
      <w:proofErr w:type="spellEnd"/>
      <w:r w:rsidRPr="00B42CC6">
        <w:rPr>
          <w:sz w:val="18"/>
          <w:szCs w:val="18"/>
          <w:lang w:val="de-DE"/>
        </w:rPr>
        <w:t xml:space="preserve"> 12.</w:t>
      </w:r>
    </w:p>
  </w:footnote>
  <w:footnote w:id="8">
    <w:p w14:paraId="29CC3D9A" w14:textId="264AABCC" w:rsidR="00267A26" w:rsidRPr="00B42CC6" w:rsidRDefault="00267A26">
      <w:pPr>
        <w:pStyle w:val="FootnoteText"/>
        <w:rPr>
          <w:sz w:val="18"/>
          <w:szCs w:val="18"/>
          <w:lang w:val="fr-FR"/>
        </w:rPr>
      </w:pPr>
      <w:r w:rsidRPr="00B42CC6">
        <w:rPr>
          <w:rStyle w:val="FootnoteReference"/>
          <w:sz w:val="18"/>
          <w:szCs w:val="18"/>
        </w:rPr>
        <w:footnoteRef/>
      </w:r>
      <w:r w:rsidRPr="00B42CC6">
        <w:rPr>
          <w:sz w:val="18"/>
          <w:szCs w:val="18"/>
        </w:rPr>
        <w:t xml:space="preserve"> http://www.ipcc.ch/report/sr15/</w:t>
      </w:r>
    </w:p>
  </w:footnote>
  <w:footnote w:id="9">
    <w:p w14:paraId="1DB42D1A" w14:textId="77777777" w:rsidR="00267A26" w:rsidRPr="00B42CC6" w:rsidRDefault="00267A26" w:rsidP="0070620D">
      <w:pPr>
        <w:pStyle w:val="FootnoteText"/>
        <w:rPr>
          <w:sz w:val="18"/>
          <w:szCs w:val="18"/>
          <w:lang w:val="fr-FR"/>
        </w:rPr>
      </w:pPr>
      <w:r w:rsidRPr="00B42CC6">
        <w:rPr>
          <w:rStyle w:val="FootnoteReference"/>
          <w:sz w:val="18"/>
          <w:szCs w:val="18"/>
        </w:rPr>
        <w:footnoteRef/>
      </w:r>
      <w:r w:rsidRPr="00B42CC6">
        <w:rPr>
          <w:sz w:val="18"/>
          <w:szCs w:val="18"/>
        </w:rPr>
        <w:t xml:space="preserve"> IPCC Special Report on Global Warming by 1.5c, Summary for Policymakers, finding C B.1, B.2 and B.5</w:t>
      </w:r>
    </w:p>
  </w:footnote>
  <w:footnote w:id="10">
    <w:p w14:paraId="6835F253" w14:textId="4375AA3D" w:rsidR="00267A26" w:rsidRPr="00B42CC6" w:rsidRDefault="00267A26">
      <w:pPr>
        <w:pStyle w:val="FootnoteText"/>
        <w:rPr>
          <w:sz w:val="18"/>
          <w:szCs w:val="18"/>
          <w:lang w:val="fr-FR"/>
        </w:rPr>
      </w:pPr>
      <w:r w:rsidRPr="00B42CC6">
        <w:rPr>
          <w:rStyle w:val="FootnoteReference"/>
          <w:sz w:val="18"/>
          <w:szCs w:val="18"/>
        </w:rPr>
        <w:footnoteRef/>
      </w:r>
      <w:r w:rsidRPr="00B42CC6">
        <w:rPr>
          <w:sz w:val="18"/>
          <w:szCs w:val="18"/>
        </w:rPr>
        <w:t xml:space="preserve"> IPCC Special Report on Global Warming by 1.5c, Summary for Policymakers, finding C 2.2</w:t>
      </w:r>
    </w:p>
  </w:footnote>
  <w:footnote w:id="11">
    <w:p w14:paraId="66DA629E" w14:textId="77777777" w:rsidR="00267A26" w:rsidRPr="00B42CC6" w:rsidRDefault="00267A26" w:rsidP="00E833D4">
      <w:pPr>
        <w:pStyle w:val="FootnoteText"/>
        <w:rPr>
          <w:sz w:val="18"/>
          <w:szCs w:val="18"/>
          <w:lang w:val="fr-FR"/>
        </w:rPr>
      </w:pPr>
      <w:r w:rsidRPr="00B42CC6">
        <w:rPr>
          <w:rStyle w:val="FootnoteReference"/>
          <w:sz w:val="18"/>
          <w:szCs w:val="18"/>
        </w:rPr>
        <w:footnoteRef/>
      </w:r>
      <w:r w:rsidRPr="00B42CC6">
        <w:rPr>
          <w:sz w:val="18"/>
          <w:szCs w:val="18"/>
        </w:rPr>
        <w:t xml:space="preserve"> IPCC Special Report on Global Warming by 1.5c, Summary for Policymakers, finding C 3.4</w:t>
      </w:r>
    </w:p>
  </w:footnote>
  <w:footnote w:id="12">
    <w:p w14:paraId="3A5B5222" w14:textId="0868276A" w:rsidR="00267A26" w:rsidRPr="00B42CC6" w:rsidRDefault="00267A26">
      <w:pPr>
        <w:pStyle w:val="FootnoteText"/>
        <w:rPr>
          <w:sz w:val="18"/>
          <w:szCs w:val="18"/>
          <w:lang w:val="fr-FR"/>
        </w:rPr>
      </w:pPr>
      <w:r w:rsidRPr="00B42CC6">
        <w:rPr>
          <w:rStyle w:val="FootnoteReference"/>
          <w:sz w:val="18"/>
          <w:szCs w:val="18"/>
        </w:rPr>
        <w:footnoteRef/>
      </w:r>
      <w:r w:rsidRPr="00B42CC6">
        <w:rPr>
          <w:sz w:val="18"/>
          <w:szCs w:val="18"/>
        </w:rPr>
        <w:t xml:space="preserve"> IPCC Special Report on Global Warming by 1.5c, Summary for Policymakers, </w:t>
      </w:r>
      <w:r w:rsidRPr="00B42CC6">
        <w:rPr>
          <w:sz w:val="18"/>
          <w:szCs w:val="18"/>
          <w:lang w:val="fr-FR"/>
        </w:rPr>
        <w:t>Figure SPM 3.b</w:t>
      </w:r>
    </w:p>
  </w:footnote>
  <w:footnote w:id="13">
    <w:p w14:paraId="573AD9AE"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Energy Policies of IEA Countries: Norway (International Energy Agency, 2017), 15. </w:t>
      </w:r>
    </w:p>
  </w:footnote>
  <w:footnote w:id="14">
    <w:p w14:paraId="07BDCCB2"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See The Sky’s Limit Norway: Why Norway Should Lead the Way in a Managed Decline of Oil and Gas Extraction, http://priceofoil.org/2017/08/09/the-skys-limit-norway-why-norway-should-lead-the-way-in-a-managed-decline-of-oil-and-gas-extraction/</w:t>
      </w:r>
    </w:p>
  </w:footnote>
  <w:footnote w:id="15">
    <w:p w14:paraId="17626C08"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w:t>
      </w:r>
      <w:r w:rsidRPr="00B42CC6">
        <w:rPr>
          <w:i/>
          <w:iCs/>
          <w:sz w:val="18"/>
          <w:szCs w:val="18"/>
        </w:rPr>
        <w:t xml:space="preserve">Ibid </w:t>
      </w:r>
    </w:p>
  </w:footnote>
  <w:footnote w:id="16">
    <w:p w14:paraId="35708760" w14:textId="12546EAD" w:rsidR="00267A26" w:rsidRPr="00B42CC6" w:rsidRDefault="00267A26">
      <w:pPr>
        <w:pStyle w:val="FootnoteText"/>
        <w:rPr>
          <w:sz w:val="18"/>
          <w:szCs w:val="18"/>
          <w:lang w:val="fr-FR"/>
        </w:rPr>
      </w:pPr>
      <w:r w:rsidRPr="00B42CC6">
        <w:rPr>
          <w:rStyle w:val="FootnoteReference"/>
          <w:sz w:val="18"/>
          <w:szCs w:val="18"/>
        </w:rPr>
        <w:footnoteRef/>
      </w:r>
      <w:r w:rsidRPr="00B42CC6">
        <w:rPr>
          <w:sz w:val="18"/>
          <w:szCs w:val="18"/>
        </w:rPr>
        <w:t xml:space="preserve"> </w:t>
      </w:r>
      <w:r w:rsidRPr="00B42CC6">
        <w:rPr>
          <w:sz w:val="18"/>
          <w:szCs w:val="18"/>
          <w:lang w:val="en-GB"/>
        </w:rPr>
        <w:t>CEDAW/C/NOR/CO/9</w:t>
      </w:r>
    </w:p>
  </w:footnote>
  <w:footnote w:id="17">
    <w:p w14:paraId="06B9581C" w14:textId="46421B32" w:rsidR="00267A26" w:rsidRPr="00B42CC6" w:rsidRDefault="00267A26">
      <w:pPr>
        <w:pStyle w:val="FootnoteText"/>
        <w:rPr>
          <w:sz w:val="18"/>
          <w:szCs w:val="18"/>
          <w:lang w:val="fr-FR"/>
        </w:rPr>
      </w:pPr>
      <w:r w:rsidRPr="00B42CC6">
        <w:rPr>
          <w:rStyle w:val="FootnoteReference"/>
          <w:sz w:val="18"/>
          <w:szCs w:val="18"/>
        </w:rPr>
        <w:footnoteRef/>
      </w:r>
      <w:r w:rsidRPr="00B42CC6">
        <w:rPr>
          <w:sz w:val="18"/>
          <w:szCs w:val="18"/>
        </w:rPr>
        <w:t xml:space="preserve"> CRC/C/NOR/CO/5-6</w:t>
      </w:r>
    </w:p>
  </w:footnote>
  <w:footnote w:id="18">
    <w:p w14:paraId="4C10959E"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E/C.12/AUS/CO/5 </w:t>
      </w:r>
      <w:r w:rsidRPr="00B42CC6">
        <w:rPr>
          <w:sz w:val="18"/>
          <w:szCs w:val="18"/>
          <w:lang w:val="de-DE"/>
        </w:rPr>
        <w:t>(CESCR, 2017)</w:t>
      </w:r>
    </w:p>
  </w:footnote>
  <w:footnote w:id="19">
    <w:p w14:paraId="3348AE3C"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w:t>
      </w:r>
      <w:proofErr w:type="gramStart"/>
      <w:r w:rsidRPr="00B42CC6">
        <w:rPr>
          <w:sz w:val="18"/>
          <w:szCs w:val="18"/>
        </w:rPr>
        <w:t>E/C.12/GBR/CO/6, (CESCR, 2016), paragraph 12.</w:t>
      </w:r>
      <w:proofErr w:type="gramEnd"/>
    </w:p>
  </w:footnote>
  <w:footnote w:id="20">
    <w:p w14:paraId="6A99C505"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E/C.12/AUS/CO/5 (CESCR, 2017)</w:t>
      </w:r>
    </w:p>
  </w:footnote>
  <w:footnote w:id="21">
    <w:p w14:paraId="28283D04"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E/C.12/RUS/CO/6, </w:t>
      </w:r>
      <w:r w:rsidRPr="00B42CC6">
        <w:rPr>
          <w:sz w:val="18"/>
          <w:szCs w:val="18"/>
          <w:lang w:val="de-DE"/>
        </w:rPr>
        <w:t>(CESCR, 2017)</w:t>
      </w:r>
    </w:p>
  </w:footnote>
  <w:footnote w:id="22">
    <w:p w14:paraId="2AB98105"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E/C.12/CAN/CO/6 (CESCR, 2016); E/C.12/AUS/CO/5 (CESCR, 2017)</w:t>
      </w:r>
    </w:p>
  </w:footnote>
  <w:footnote w:id="23">
    <w:p w14:paraId="299769FF" w14:textId="77777777" w:rsidR="00267A26" w:rsidRPr="00B42CC6" w:rsidRDefault="00267A26">
      <w:pPr>
        <w:pStyle w:val="FootnoteText"/>
        <w:rPr>
          <w:sz w:val="18"/>
          <w:szCs w:val="18"/>
        </w:rPr>
      </w:pPr>
      <w:r w:rsidRPr="00B42CC6">
        <w:rPr>
          <w:sz w:val="18"/>
          <w:szCs w:val="18"/>
          <w:vertAlign w:val="superscript"/>
        </w:rPr>
        <w:footnoteRef/>
      </w:r>
      <w:r w:rsidRPr="00B42CC6">
        <w:rPr>
          <w:sz w:val="18"/>
          <w:szCs w:val="18"/>
        </w:rPr>
        <w:t xml:space="preserve"> E/C.12/AUS/CO/5 (CESCR, 2017)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195E7" w14:textId="77777777" w:rsidR="00267A26" w:rsidRDefault="00267A26">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2280"/>
    <w:multiLevelType w:val="hybridMultilevel"/>
    <w:tmpl w:val="72E8A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2C938D9"/>
    <w:multiLevelType w:val="hybridMultilevel"/>
    <w:tmpl w:val="45D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830BEC"/>
    <w:multiLevelType w:val="hybridMultilevel"/>
    <w:tmpl w:val="13367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C2D0ADA"/>
    <w:multiLevelType w:val="hybridMultilevel"/>
    <w:tmpl w:val="E738F92E"/>
    <w:lvl w:ilvl="0" w:tplc="1CE286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4D28156">
      <w:start w:val="1"/>
      <w:numFmt w:val="bullet"/>
      <w:lvlText w:val="o"/>
      <w:lvlJc w:val="left"/>
      <w:pPr>
        <w:ind w:left="10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36B7A6">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1C4CC0">
      <w:start w:val="1"/>
      <w:numFmt w:val="bullet"/>
      <w:lvlText w:val="·"/>
      <w:lvlJc w:val="left"/>
      <w:pPr>
        <w:ind w:left="24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0F66966">
      <w:start w:val="1"/>
      <w:numFmt w:val="bullet"/>
      <w:lvlText w:val="o"/>
      <w:lvlJc w:val="left"/>
      <w:pPr>
        <w:ind w:left="31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B74A858">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9DC6354">
      <w:start w:val="1"/>
      <w:numFmt w:val="bullet"/>
      <w:lvlText w:val="·"/>
      <w:lvlJc w:val="left"/>
      <w:pPr>
        <w:ind w:left="46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E181ACA">
      <w:start w:val="1"/>
      <w:numFmt w:val="bullet"/>
      <w:lvlText w:val="o"/>
      <w:lvlJc w:val="left"/>
      <w:pPr>
        <w:ind w:left="53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9142C78">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trackRevisions/>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981133"/>
    <w:rsid w:val="000C6E97"/>
    <w:rsid w:val="00147405"/>
    <w:rsid w:val="00164BE6"/>
    <w:rsid w:val="00267A26"/>
    <w:rsid w:val="002D6183"/>
    <w:rsid w:val="00366D4E"/>
    <w:rsid w:val="00447E15"/>
    <w:rsid w:val="004D2D81"/>
    <w:rsid w:val="00627294"/>
    <w:rsid w:val="006C3E47"/>
    <w:rsid w:val="006C6331"/>
    <w:rsid w:val="00702D3E"/>
    <w:rsid w:val="0070620D"/>
    <w:rsid w:val="00831824"/>
    <w:rsid w:val="0092570A"/>
    <w:rsid w:val="00937230"/>
    <w:rsid w:val="00981133"/>
    <w:rsid w:val="009E18C8"/>
    <w:rsid w:val="00A40405"/>
    <w:rsid w:val="00A433F0"/>
    <w:rsid w:val="00A82842"/>
    <w:rsid w:val="00B42CC6"/>
    <w:rsid w:val="00C33751"/>
    <w:rsid w:val="00D454F5"/>
    <w:rsid w:val="00DA2EF7"/>
    <w:rsid w:val="00DD1ABE"/>
    <w:rsid w:val="00E833D4"/>
    <w:rsid w:val="00F722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660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uiPriority w:val="34"/>
    <w:qFormat/>
    <w:pPr>
      <w:ind w:left="720"/>
    </w:pPr>
    <w:rPr>
      <w:rFonts w:ascii="Cambria" w:eastAsia="Cambria" w:hAnsi="Cambria" w:cs="Cambria"/>
      <w:color w:val="000000"/>
      <w:sz w:val="24"/>
      <w:szCs w:val="24"/>
      <w:u w:color="000000"/>
    </w:rPr>
  </w:style>
  <w:style w:type="paragraph" w:styleId="FootnoteText">
    <w:name w:val="footnote text"/>
    <w:link w:val="FootnoteTextChar"/>
    <w:uiPriority w:val="99"/>
    <w:pPr>
      <w:spacing w:after="60"/>
    </w:pPr>
    <w:rPr>
      <w:rFonts w:ascii="Cambria" w:eastAsia="Cambria" w:hAnsi="Cambria" w:cs="Cambria"/>
      <w:color w:val="000000"/>
      <w:u w:color="000000"/>
    </w:rPr>
  </w:style>
  <w:style w:type="character" w:customStyle="1" w:styleId="Link">
    <w:name w:val="Link"/>
    <w:rPr>
      <w:color w:val="0000FF"/>
      <w:u w:val="single" w:color="0000FF"/>
      <w:lang w:val="en-US"/>
    </w:rPr>
  </w:style>
  <w:style w:type="character" w:customStyle="1" w:styleId="FootnoteTextChar">
    <w:name w:val="Footnote Text Char"/>
    <w:basedOn w:val="DefaultParagraphFont"/>
    <w:link w:val="FootnoteText"/>
    <w:uiPriority w:val="99"/>
    <w:rsid w:val="00A40405"/>
    <w:rPr>
      <w:rFonts w:ascii="Cambria" w:eastAsia="Cambria" w:hAnsi="Cambria" w:cs="Cambria"/>
      <w:color w:val="000000"/>
      <w:u w:color="000000"/>
    </w:rPr>
  </w:style>
  <w:style w:type="character" w:styleId="FootnoteReference">
    <w:name w:val="footnote reference"/>
    <w:basedOn w:val="DefaultParagraphFont"/>
    <w:uiPriority w:val="99"/>
    <w:unhideWhenUsed/>
    <w:rsid w:val="00A40405"/>
    <w:rPr>
      <w:vertAlign w:val="superscript"/>
    </w:rPr>
  </w:style>
  <w:style w:type="character" w:styleId="CommentReference">
    <w:name w:val="annotation reference"/>
    <w:basedOn w:val="DefaultParagraphFont"/>
    <w:uiPriority w:val="99"/>
    <w:semiHidden/>
    <w:unhideWhenUsed/>
    <w:rsid w:val="00A433F0"/>
    <w:rPr>
      <w:sz w:val="18"/>
      <w:szCs w:val="18"/>
    </w:rPr>
  </w:style>
  <w:style w:type="paragraph" w:styleId="CommentText">
    <w:name w:val="annotation text"/>
    <w:basedOn w:val="Normal"/>
    <w:link w:val="CommentTextChar"/>
    <w:uiPriority w:val="99"/>
    <w:semiHidden/>
    <w:unhideWhenUsed/>
    <w:rsid w:val="00A433F0"/>
  </w:style>
  <w:style w:type="character" w:customStyle="1" w:styleId="CommentTextChar">
    <w:name w:val="Comment Text Char"/>
    <w:basedOn w:val="DefaultParagraphFont"/>
    <w:link w:val="CommentText"/>
    <w:uiPriority w:val="99"/>
    <w:semiHidden/>
    <w:rsid w:val="00A433F0"/>
    <w:rPr>
      <w:sz w:val="24"/>
      <w:szCs w:val="24"/>
    </w:rPr>
  </w:style>
  <w:style w:type="paragraph" w:styleId="CommentSubject">
    <w:name w:val="annotation subject"/>
    <w:basedOn w:val="CommentText"/>
    <w:next w:val="CommentText"/>
    <w:link w:val="CommentSubjectChar"/>
    <w:uiPriority w:val="99"/>
    <w:semiHidden/>
    <w:unhideWhenUsed/>
    <w:rsid w:val="00A433F0"/>
    <w:rPr>
      <w:b/>
      <w:bCs/>
      <w:sz w:val="20"/>
      <w:szCs w:val="20"/>
    </w:rPr>
  </w:style>
  <w:style w:type="character" w:customStyle="1" w:styleId="CommentSubjectChar">
    <w:name w:val="Comment Subject Char"/>
    <w:basedOn w:val="CommentTextChar"/>
    <w:link w:val="CommentSubject"/>
    <w:uiPriority w:val="99"/>
    <w:semiHidden/>
    <w:rsid w:val="00A433F0"/>
    <w:rPr>
      <w:b/>
      <w:bCs/>
      <w:sz w:val="24"/>
      <w:szCs w:val="24"/>
    </w:rPr>
  </w:style>
  <w:style w:type="paragraph" w:styleId="BalloonText">
    <w:name w:val="Balloon Text"/>
    <w:basedOn w:val="Normal"/>
    <w:link w:val="BalloonTextChar"/>
    <w:uiPriority w:val="99"/>
    <w:semiHidden/>
    <w:unhideWhenUsed/>
    <w:rsid w:val="00A433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33F0"/>
    <w:rPr>
      <w:rFonts w:ascii="Lucida Grande" w:hAnsi="Lucida Grande" w:cs="Lucida Grande"/>
      <w:sz w:val="18"/>
      <w:szCs w:val="18"/>
    </w:rPr>
  </w:style>
  <w:style w:type="table" w:styleId="TableGrid">
    <w:name w:val="Table Grid"/>
    <w:basedOn w:val="TableNormal"/>
    <w:uiPriority w:val="59"/>
    <w:rsid w:val="002D61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uiPriority w:val="34"/>
    <w:qFormat/>
    <w:pPr>
      <w:ind w:left="720"/>
    </w:pPr>
    <w:rPr>
      <w:rFonts w:ascii="Cambria" w:eastAsia="Cambria" w:hAnsi="Cambria" w:cs="Cambria"/>
      <w:color w:val="000000"/>
      <w:sz w:val="24"/>
      <w:szCs w:val="24"/>
      <w:u w:color="000000"/>
    </w:rPr>
  </w:style>
  <w:style w:type="paragraph" w:styleId="FootnoteText">
    <w:name w:val="footnote text"/>
    <w:link w:val="FootnoteTextChar"/>
    <w:uiPriority w:val="99"/>
    <w:pPr>
      <w:spacing w:after="60"/>
    </w:pPr>
    <w:rPr>
      <w:rFonts w:ascii="Cambria" w:eastAsia="Cambria" w:hAnsi="Cambria" w:cs="Cambria"/>
      <w:color w:val="000000"/>
      <w:u w:color="000000"/>
    </w:rPr>
  </w:style>
  <w:style w:type="character" w:customStyle="1" w:styleId="Link">
    <w:name w:val="Link"/>
    <w:rPr>
      <w:color w:val="0000FF"/>
      <w:u w:val="single" w:color="0000FF"/>
      <w:lang w:val="en-US"/>
    </w:rPr>
  </w:style>
  <w:style w:type="character" w:customStyle="1" w:styleId="FootnoteTextChar">
    <w:name w:val="Footnote Text Char"/>
    <w:basedOn w:val="DefaultParagraphFont"/>
    <w:link w:val="FootnoteText"/>
    <w:uiPriority w:val="99"/>
    <w:rsid w:val="00A40405"/>
    <w:rPr>
      <w:rFonts w:ascii="Cambria" w:eastAsia="Cambria" w:hAnsi="Cambria" w:cs="Cambria"/>
      <w:color w:val="000000"/>
      <w:u w:color="000000"/>
    </w:rPr>
  </w:style>
  <w:style w:type="character" w:styleId="FootnoteReference">
    <w:name w:val="footnote reference"/>
    <w:basedOn w:val="DefaultParagraphFont"/>
    <w:uiPriority w:val="99"/>
    <w:unhideWhenUsed/>
    <w:rsid w:val="00A40405"/>
    <w:rPr>
      <w:vertAlign w:val="superscript"/>
    </w:rPr>
  </w:style>
  <w:style w:type="character" w:styleId="CommentReference">
    <w:name w:val="annotation reference"/>
    <w:basedOn w:val="DefaultParagraphFont"/>
    <w:uiPriority w:val="99"/>
    <w:semiHidden/>
    <w:unhideWhenUsed/>
    <w:rsid w:val="00A433F0"/>
    <w:rPr>
      <w:sz w:val="18"/>
      <w:szCs w:val="18"/>
    </w:rPr>
  </w:style>
  <w:style w:type="paragraph" w:styleId="CommentText">
    <w:name w:val="annotation text"/>
    <w:basedOn w:val="Normal"/>
    <w:link w:val="CommentTextChar"/>
    <w:uiPriority w:val="99"/>
    <w:semiHidden/>
    <w:unhideWhenUsed/>
    <w:rsid w:val="00A433F0"/>
  </w:style>
  <w:style w:type="character" w:customStyle="1" w:styleId="CommentTextChar">
    <w:name w:val="Comment Text Char"/>
    <w:basedOn w:val="DefaultParagraphFont"/>
    <w:link w:val="CommentText"/>
    <w:uiPriority w:val="99"/>
    <w:semiHidden/>
    <w:rsid w:val="00A433F0"/>
    <w:rPr>
      <w:sz w:val="24"/>
      <w:szCs w:val="24"/>
    </w:rPr>
  </w:style>
  <w:style w:type="paragraph" w:styleId="CommentSubject">
    <w:name w:val="annotation subject"/>
    <w:basedOn w:val="CommentText"/>
    <w:next w:val="CommentText"/>
    <w:link w:val="CommentSubjectChar"/>
    <w:uiPriority w:val="99"/>
    <w:semiHidden/>
    <w:unhideWhenUsed/>
    <w:rsid w:val="00A433F0"/>
    <w:rPr>
      <w:b/>
      <w:bCs/>
      <w:sz w:val="20"/>
      <w:szCs w:val="20"/>
    </w:rPr>
  </w:style>
  <w:style w:type="character" w:customStyle="1" w:styleId="CommentSubjectChar">
    <w:name w:val="Comment Subject Char"/>
    <w:basedOn w:val="CommentTextChar"/>
    <w:link w:val="CommentSubject"/>
    <w:uiPriority w:val="99"/>
    <w:semiHidden/>
    <w:rsid w:val="00A433F0"/>
    <w:rPr>
      <w:b/>
      <w:bCs/>
      <w:sz w:val="24"/>
      <w:szCs w:val="24"/>
    </w:rPr>
  </w:style>
  <w:style w:type="paragraph" w:styleId="BalloonText">
    <w:name w:val="Balloon Text"/>
    <w:basedOn w:val="Normal"/>
    <w:link w:val="BalloonTextChar"/>
    <w:uiPriority w:val="99"/>
    <w:semiHidden/>
    <w:unhideWhenUsed/>
    <w:rsid w:val="00A433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33F0"/>
    <w:rPr>
      <w:rFonts w:ascii="Lucida Grande" w:hAnsi="Lucida Grande" w:cs="Lucida Grande"/>
      <w:sz w:val="18"/>
      <w:szCs w:val="18"/>
    </w:rPr>
  </w:style>
  <w:style w:type="table" w:styleId="TableGrid">
    <w:name w:val="Table Grid"/>
    <w:basedOn w:val="TableNormal"/>
    <w:uiPriority w:val="59"/>
    <w:rsid w:val="002D61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848004">
      <w:bodyDiv w:val="1"/>
      <w:marLeft w:val="0"/>
      <w:marRight w:val="0"/>
      <w:marTop w:val="0"/>
      <w:marBottom w:val="0"/>
      <w:divBdr>
        <w:top w:val="none" w:sz="0" w:space="0" w:color="auto"/>
        <w:left w:val="none" w:sz="0" w:space="0" w:color="auto"/>
        <w:bottom w:val="none" w:sz="0" w:space="0" w:color="auto"/>
        <w:right w:val="none" w:sz="0" w:space="0" w:color="auto"/>
      </w:divBdr>
    </w:div>
    <w:div w:id="1768958662">
      <w:bodyDiv w:val="1"/>
      <w:marLeft w:val="0"/>
      <w:marRight w:val="0"/>
      <w:marTop w:val="0"/>
      <w:marBottom w:val="0"/>
      <w:divBdr>
        <w:top w:val="none" w:sz="0" w:space="0" w:color="auto"/>
        <w:left w:val="none" w:sz="0" w:space="0" w:color="auto"/>
        <w:bottom w:val="none" w:sz="0" w:space="0" w:color="auto"/>
        <w:right w:val="none" w:sz="0" w:space="0" w:color="auto"/>
      </w:divBdr>
    </w:div>
    <w:div w:id="205792299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duyck@ciel.org"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04A9CE-402B-4BAF-8AAF-6B1F97BD9971}"/>
</file>

<file path=customXml/itemProps2.xml><?xml version="1.0" encoding="utf-8"?>
<ds:datastoreItem xmlns:ds="http://schemas.openxmlformats.org/officeDocument/2006/customXml" ds:itemID="{802BE7B2-AD6F-4935-A8FB-C1109B17EBB9}"/>
</file>

<file path=customXml/itemProps3.xml><?xml version="1.0" encoding="utf-8"?>
<ds:datastoreItem xmlns:ds="http://schemas.openxmlformats.org/officeDocument/2006/customXml" ds:itemID="{7C5C56E5-AB81-488B-A5FE-8AF34F31626D}"/>
</file>

<file path=docProps/app.xml><?xml version="1.0" encoding="utf-8"?>
<Properties xmlns="http://schemas.openxmlformats.org/officeDocument/2006/extended-properties" xmlns:vt="http://schemas.openxmlformats.org/officeDocument/2006/docPropsVTypes">
  <Template>Normal.dotm</Template>
  <TotalTime>1</TotalTime>
  <Pages>4</Pages>
  <Words>1717</Words>
  <Characters>9791</Characters>
  <Application>Microsoft Macintosh Word</Application>
  <DocSecurity>0</DocSecurity>
  <Lines>81</Lines>
  <Paragraphs>22</Paragraphs>
  <ScaleCrop>false</ScaleCrop>
  <Company>University of Lapland</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Sébastien Duyck</cp:lastModifiedBy>
  <cp:revision>2</cp:revision>
  <dcterms:created xsi:type="dcterms:W3CDTF">2018-10-13T11:53:00Z</dcterms:created>
  <dcterms:modified xsi:type="dcterms:W3CDTF">2018-10-13T11:53:00Z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