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CA19C" w14:textId="77777777" w:rsidR="000A36A1" w:rsidRPr="000A36A1" w:rsidRDefault="000A36A1" w:rsidP="000A36A1">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A36A1">
        <w:rPr>
          <w:rFonts w:ascii="Times New Roman" w:eastAsia="Times New Roman" w:hAnsi="Times New Roman" w:cs="Times New Roman"/>
          <w:b/>
          <w:bCs/>
          <w:kern w:val="36"/>
          <w:sz w:val="48"/>
          <w:szCs w:val="48"/>
          <w14:ligatures w14:val="none"/>
        </w:rPr>
        <w:t>Follow-up Report to the UN Committee on Economic, Social and Cultural Rights (CESCR)</w:t>
      </w:r>
    </w:p>
    <w:p w14:paraId="1600B950" w14:textId="77777777" w:rsidR="000A36A1" w:rsidRPr="000A36A1" w:rsidRDefault="000A36A1" w:rsidP="000A36A1">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On the Implementation of Concluding Observations by Lithuania</w:t>
      </w:r>
    </w:p>
    <w:p w14:paraId="34D1EB29" w14:textId="77777777" w:rsidR="000A36A1" w:rsidRPr="000A36A1" w:rsidRDefault="000A36A1" w:rsidP="000A36A1">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79th Session – Follow-up Procedure</w:t>
      </w:r>
    </w:p>
    <w:p w14:paraId="7437471A" w14:textId="0B16E6AB"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lang w:val="fr-FR"/>
          <w14:ligatures w14:val="none"/>
        </w:rPr>
      </w:pPr>
      <w:proofErr w:type="spellStart"/>
      <w:r w:rsidRPr="000A36A1">
        <w:rPr>
          <w:rFonts w:ascii="Times New Roman" w:eastAsia="Times New Roman" w:hAnsi="Times New Roman" w:cs="Times New Roman"/>
          <w:b/>
          <w:bCs/>
          <w:kern w:val="0"/>
          <w:lang w:val="fr-FR"/>
          <w14:ligatures w14:val="none"/>
        </w:rPr>
        <w:t>Submitted</w:t>
      </w:r>
      <w:proofErr w:type="spellEnd"/>
      <w:r w:rsidRPr="000A36A1">
        <w:rPr>
          <w:rFonts w:ascii="Times New Roman" w:eastAsia="Times New Roman" w:hAnsi="Times New Roman" w:cs="Times New Roman"/>
          <w:b/>
          <w:bCs/>
          <w:kern w:val="0"/>
          <w:lang w:val="fr-FR"/>
          <w14:ligatures w14:val="none"/>
        </w:rPr>
        <w:t xml:space="preserve"> </w:t>
      </w:r>
      <w:proofErr w:type="gramStart"/>
      <w:r w:rsidRPr="000A36A1">
        <w:rPr>
          <w:rFonts w:ascii="Times New Roman" w:eastAsia="Times New Roman" w:hAnsi="Times New Roman" w:cs="Times New Roman"/>
          <w:b/>
          <w:bCs/>
          <w:kern w:val="0"/>
          <w:lang w:val="fr-FR"/>
          <w14:ligatures w14:val="none"/>
        </w:rPr>
        <w:t>by:</w:t>
      </w:r>
      <w:proofErr w:type="gramEnd"/>
      <w:r w:rsidRPr="000A36A1">
        <w:rPr>
          <w:rFonts w:ascii="Times New Roman" w:eastAsia="Times New Roman" w:hAnsi="Times New Roman" w:cs="Times New Roman"/>
          <w:kern w:val="0"/>
          <w:lang w:val="fr-FR"/>
          <w14:ligatures w14:val="none"/>
        </w:rPr>
        <w:br/>
      </w:r>
      <w:r w:rsidRPr="000A36A1">
        <w:rPr>
          <w:rFonts w:ascii="Open Sans" w:hAnsi="Open Sans" w:cs="Open Sans"/>
          <w:b/>
          <w:bCs/>
          <w:sz w:val="23"/>
          <w:szCs w:val="23"/>
          <w:shd w:val="clear" w:color="auto" w:fill="F9FAFD"/>
          <w:lang w:val="fr-FR"/>
        </w:rPr>
        <w:t>Alliance internationale pour la défense des droits et des libertés</w:t>
      </w:r>
      <w:r w:rsidRPr="000A36A1">
        <w:rPr>
          <w:rFonts w:ascii="Times New Roman" w:eastAsia="Times New Roman" w:hAnsi="Times New Roman" w:cs="Times New Roman"/>
          <w:kern w:val="0"/>
          <w:lang w:val="fr-FR"/>
          <w14:ligatures w14:val="none"/>
        </w:rPr>
        <w:br/>
        <w:t xml:space="preserve">AIDL International </w:t>
      </w:r>
      <w:proofErr w:type="spellStart"/>
      <w:r w:rsidRPr="000A36A1">
        <w:rPr>
          <w:rFonts w:ascii="Times New Roman" w:eastAsia="Times New Roman" w:hAnsi="Times New Roman" w:cs="Times New Roman"/>
          <w:kern w:val="0"/>
          <w:lang w:val="fr-FR"/>
          <w14:ligatures w14:val="none"/>
        </w:rPr>
        <w:t>Foundation</w:t>
      </w:r>
      <w:proofErr w:type="spellEnd"/>
    </w:p>
    <w:p w14:paraId="07AFAE07"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Contact:</w:t>
      </w:r>
      <w:r w:rsidRPr="000A36A1">
        <w:rPr>
          <w:rFonts w:ascii="Times New Roman" w:eastAsia="Times New Roman" w:hAnsi="Times New Roman" w:cs="Times New Roman"/>
          <w:kern w:val="0"/>
          <w14:ligatures w14:val="none"/>
        </w:rPr>
        <w:br/>
        <w:t xml:space="preserve">Email: </w:t>
      </w:r>
      <w:hyperlink r:id="rId5" w:history="1">
        <w:r w:rsidRPr="000A36A1">
          <w:rPr>
            <w:rFonts w:ascii="Times New Roman" w:eastAsia="Times New Roman" w:hAnsi="Times New Roman" w:cs="Times New Roman"/>
            <w:color w:val="0000FF"/>
            <w:kern w:val="0"/>
            <w:u w:val="single"/>
            <w14:ligatures w14:val="none"/>
          </w:rPr>
          <w:t>AIDL@AIDL.EU</w:t>
        </w:r>
      </w:hyperlink>
      <w:r w:rsidRPr="000A36A1">
        <w:rPr>
          <w:rFonts w:ascii="Times New Roman" w:eastAsia="Times New Roman" w:hAnsi="Times New Roman" w:cs="Times New Roman"/>
          <w:kern w:val="0"/>
          <w14:ligatures w14:val="none"/>
        </w:rPr>
        <w:br/>
        <w:t xml:space="preserve">Website: </w:t>
      </w:r>
      <w:hyperlink r:id="rId6" w:history="1">
        <w:r w:rsidRPr="000A36A1">
          <w:rPr>
            <w:rFonts w:ascii="Times New Roman" w:eastAsia="Times New Roman" w:hAnsi="Times New Roman" w:cs="Times New Roman"/>
            <w:color w:val="0000FF"/>
            <w:kern w:val="0"/>
            <w:u w:val="single"/>
            <w14:ligatures w14:val="none"/>
          </w:rPr>
          <w:t>www.aidl.eu</w:t>
        </w:r>
      </w:hyperlink>
    </w:p>
    <w:p w14:paraId="79B40680"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Submission type:</w:t>
      </w:r>
      <w:r w:rsidRPr="000A36A1">
        <w:rPr>
          <w:rFonts w:ascii="Times New Roman" w:eastAsia="Times New Roman" w:hAnsi="Times New Roman" w:cs="Times New Roman"/>
          <w:kern w:val="0"/>
          <w14:ligatures w14:val="none"/>
        </w:rPr>
        <w:t xml:space="preserve"> Civil Society Follow-up Report (SP Report)</w:t>
      </w:r>
      <w:r w:rsidRPr="000A36A1">
        <w:rPr>
          <w:rFonts w:ascii="Times New Roman" w:eastAsia="Times New Roman" w:hAnsi="Times New Roman" w:cs="Times New Roman"/>
          <w:kern w:val="0"/>
          <w14:ligatures w14:val="none"/>
        </w:rPr>
        <w:br/>
      </w:r>
      <w:r w:rsidRPr="000A36A1">
        <w:rPr>
          <w:rFonts w:ascii="Times New Roman" w:eastAsia="Times New Roman" w:hAnsi="Times New Roman" w:cs="Times New Roman"/>
          <w:b/>
          <w:bCs/>
          <w:kern w:val="0"/>
          <w14:ligatures w14:val="none"/>
        </w:rPr>
        <w:t>Date:</w:t>
      </w:r>
      <w:r w:rsidRPr="000A36A1">
        <w:rPr>
          <w:rFonts w:ascii="Times New Roman" w:eastAsia="Times New Roman" w:hAnsi="Times New Roman" w:cs="Times New Roman"/>
          <w:kern w:val="0"/>
          <w14:ligatures w14:val="none"/>
        </w:rPr>
        <w:t xml:space="preserve"> January 2026</w:t>
      </w:r>
    </w:p>
    <w:p w14:paraId="2C0067E6"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1. Introduction</w:t>
      </w:r>
    </w:p>
    <w:p w14:paraId="269E9E0D" w14:textId="5FABD66F"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Open Sans" w:hAnsi="Open Sans" w:cs="Open Sans"/>
          <w:b/>
          <w:bCs/>
          <w:sz w:val="23"/>
          <w:szCs w:val="23"/>
          <w:shd w:val="clear" w:color="auto" w:fill="F9FAFD"/>
        </w:rPr>
        <w:t xml:space="preserve">Alliance </w:t>
      </w:r>
      <w:proofErr w:type="spellStart"/>
      <w:r w:rsidRPr="000A36A1">
        <w:rPr>
          <w:rFonts w:ascii="Open Sans" w:hAnsi="Open Sans" w:cs="Open Sans"/>
          <w:b/>
          <w:bCs/>
          <w:sz w:val="23"/>
          <w:szCs w:val="23"/>
          <w:shd w:val="clear" w:color="auto" w:fill="F9FAFD"/>
        </w:rPr>
        <w:t>internationale</w:t>
      </w:r>
      <w:proofErr w:type="spellEnd"/>
      <w:r w:rsidRPr="000A36A1">
        <w:rPr>
          <w:rFonts w:ascii="Open Sans" w:hAnsi="Open Sans" w:cs="Open Sans"/>
          <w:b/>
          <w:bCs/>
          <w:sz w:val="23"/>
          <w:szCs w:val="23"/>
          <w:shd w:val="clear" w:color="auto" w:fill="F9FAFD"/>
        </w:rPr>
        <w:t xml:space="preserve"> pour la </w:t>
      </w:r>
      <w:proofErr w:type="spellStart"/>
      <w:r w:rsidRPr="000A36A1">
        <w:rPr>
          <w:rFonts w:ascii="Open Sans" w:hAnsi="Open Sans" w:cs="Open Sans"/>
          <w:b/>
          <w:bCs/>
          <w:sz w:val="23"/>
          <w:szCs w:val="23"/>
          <w:shd w:val="clear" w:color="auto" w:fill="F9FAFD"/>
        </w:rPr>
        <w:t>défense</w:t>
      </w:r>
      <w:proofErr w:type="spellEnd"/>
      <w:r w:rsidRPr="000A36A1">
        <w:rPr>
          <w:rFonts w:ascii="Open Sans" w:hAnsi="Open Sans" w:cs="Open Sans"/>
          <w:b/>
          <w:bCs/>
          <w:sz w:val="23"/>
          <w:szCs w:val="23"/>
          <w:shd w:val="clear" w:color="auto" w:fill="F9FAFD"/>
        </w:rPr>
        <w:t xml:space="preserve"> des droits et des </w:t>
      </w:r>
      <w:proofErr w:type="spellStart"/>
      <w:r w:rsidRPr="000A36A1">
        <w:rPr>
          <w:rFonts w:ascii="Open Sans" w:hAnsi="Open Sans" w:cs="Open Sans"/>
          <w:b/>
          <w:bCs/>
          <w:sz w:val="23"/>
          <w:szCs w:val="23"/>
          <w:shd w:val="clear" w:color="auto" w:fill="F9FAFD"/>
        </w:rPr>
        <w:t>libertés</w:t>
      </w:r>
      <w:proofErr w:type="spellEnd"/>
      <w:r w:rsidRPr="000A36A1">
        <w:rPr>
          <w:rFonts w:ascii="Times New Roman" w:eastAsia="Times New Roman" w:hAnsi="Times New Roman" w:cs="Times New Roman"/>
          <w:kern w:val="0"/>
          <w14:ligatures w14:val="none"/>
        </w:rPr>
        <w:t xml:space="preserve"> and AIDL International Foundation respectfully submit this follow-up report to the Committee on Economic, Social and Cultural Rights pursuant to the Committee’s follow-up procedure regarding Lithuania’s implementation of selected priority recommendations contained in its most recent Concluding Observations.</w:t>
      </w:r>
    </w:p>
    <w:p w14:paraId="2E2214BE"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This submission aims to assist the Committee in assessing the level of compliance by the State party with its obligations under the International Covenant on Economic, Social and Cultural Rights (ICESCR), with particular attention to structural reforms, policy implementation, and the practical enjoyment of rights by vulnerable and disadvantaged groups.</w:t>
      </w:r>
    </w:p>
    <w:p w14:paraId="65F9EF73" w14:textId="23D6ADF9"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The assessment below is based on publicly available information, reports by national and international civil society organizations, academic research, and official statements and data published by Lithuanian authorities.</w:t>
      </w:r>
    </w:p>
    <w:p w14:paraId="406407C9"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2. Overview of Priority Recommendations under Follow-up</w:t>
      </w:r>
    </w:p>
    <w:p w14:paraId="588B9145"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In its Concluding Observations, the Committee identified several priority areas requiring timely action by Lithuania. These included in particular:</w:t>
      </w:r>
    </w:p>
    <w:p w14:paraId="7D50E971" w14:textId="77777777" w:rsidR="000A36A1" w:rsidRPr="000A36A1" w:rsidRDefault="000A36A1" w:rsidP="000A36A1">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Ensuring the right to adequate housing, especially for vulnerable groups including Roma communities and low-income households.</w:t>
      </w:r>
    </w:p>
    <w:p w14:paraId="24188B0A" w14:textId="77777777" w:rsidR="000A36A1" w:rsidRPr="000A36A1" w:rsidRDefault="000A36A1" w:rsidP="000A36A1">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Strengthening social protection systems to effectively reduce poverty and social exclusion.</w:t>
      </w:r>
    </w:p>
    <w:p w14:paraId="5C9AC331" w14:textId="77777777" w:rsidR="000A36A1" w:rsidRPr="000A36A1" w:rsidRDefault="000A36A1" w:rsidP="000A36A1">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Addressing discrimination and ensuring equal access to economic and social rights.</w:t>
      </w:r>
    </w:p>
    <w:p w14:paraId="383F105C" w14:textId="77777777" w:rsidR="000A36A1" w:rsidRPr="000A36A1" w:rsidRDefault="000A36A1" w:rsidP="000A36A1">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lastRenderedPageBreak/>
        <w:t xml:space="preserve">Improving </w:t>
      </w:r>
      <w:proofErr w:type="spellStart"/>
      <w:r w:rsidRPr="000A36A1">
        <w:rPr>
          <w:rFonts w:ascii="Times New Roman" w:eastAsia="Times New Roman" w:hAnsi="Times New Roman" w:cs="Times New Roman"/>
          <w:kern w:val="0"/>
          <w14:ligatures w14:val="none"/>
        </w:rPr>
        <w:t>labour</w:t>
      </w:r>
      <w:proofErr w:type="spellEnd"/>
      <w:r w:rsidRPr="000A36A1">
        <w:rPr>
          <w:rFonts w:ascii="Times New Roman" w:eastAsia="Times New Roman" w:hAnsi="Times New Roman" w:cs="Times New Roman"/>
          <w:kern w:val="0"/>
          <w14:ligatures w14:val="none"/>
        </w:rPr>
        <w:t xml:space="preserve"> protections and ensuring adequate wages and safe working conditions.</w:t>
      </w:r>
    </w:p>
    <w:p w14:paraId="66635FED" w14:textId="77777777" w:rsidR="000A36A1" w:rsidRPr="000A36A1" w:rsidRDefault="000A36A1" w:rsidP="000A36A1">
      <w:pPr>
        <w:numPr>
          <w:ilvl w:val="0"/>
          <w:numId w:val="2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Guaranteeing access to essential health services for marginalized groups, including migrants and persons living in poverty.</w:t>
      </w:r>
    </w:p>
    <w:p w14:paraId="0D640462"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This report evaluates the progress achieved in these areas.</w:t>
      </w:r>
    </w:p>
    <w:p w14:paraId="597AFF98"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3. Assessment of Implementation by Area</w:t>
      </w:r>
    </w:p>
    <w:p w14:paraId="5EAC5032" w14:textId="77777777" w:rsidR="000A36A1" w:rsidRPr="000A36A1" w:rsidRDefault="000A36A1" w:rsidP="000A36A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3.1 Right to Adequate Housing</w:t>
      </w:r>
    </w:p>
    <w:p w14:paraId="138D702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(Articles 2 and 11 of the Covenant)</w:t>
      </w:r>
    </w:p>
    <w:p w14:paraId="341511F1"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Committee recommendation:</w:t>
      </w:r>
      <w:r w:rsidRPr="000A36A1">
        <w:rPr>
          <w:rFonts w:ascii="Times New Roman" w:eastAsia="Times New Roman" w:hAnsi="Times New Roman" w:cs="Times New Roman"/>
          <w:kern w:val="0"/>
          <w14:ligatures w14:val="none"/>
        </w:rPr>
        <w:br/>
        <w:t>The Committee urged Lithuania to ensure access to adequate, affordable and secure housing, prevent forced evictions, and address housing exclusion affecting vulnerable groups, including Roma communities.</w:t>
      </w:r>
    </w:p>
    <w:p w14:paraId="275E08BE"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AIDL assessment:</w:t>
      </w:r>
      <w:r w:rsidRPr="000A36A1">
        <w:rPr>
          <w:rFonts w:ascii="Times New Roman" w:eastAsia="Times New Roman" w:hAnsi="Times New Roman" w:cs="Times New Roman"/>
          <w:kern w:val="0"/>
          <w14:ligatures w14:val="none"/>
        </w:rPr>
        <w:br/>
        <w:t xml:space="preserve">Implementation remains </w:t>
      </w:r>
      <w:r w:rsidRPr="000A36A1">
        <w:rPr>
          <w:rFonts w:ascii="Times New Roman" w:eastAsia="Times New Roman" w:hAnsi="Times New Roman" w:cs="Times New Roman"/>
          <w:b/>
          <w:bCs/>
          <w:kern w:val="0"/>
          <w14:ligatures w14:val="none"/>
        </w:rPr>
        <w:t>partial and insufficient</w:t>
      </w:r>
      <w:r w:rsidRPr="000A36A1">
        <w:rPr>
          <w:rFonts w:ascii="Times New Roman" w:eastAsia="Times New Roman" w:hAnsi="Times New Roman" w:cs="Times New Roman"/>
          <w:kern w:val="0"/>
          <w14:ligatures w14:val="none"/>
        </w:rPr>
        <w:t>.</w:t>
      </w:r>
    </w:p>
    <w:p w14:paraId="5D8231B8"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While certain policy initiatives have been announced to expand social housing stock, the scale of implementation remains limited in relation to demand. Long waiting lists for social housing persist in major municipalities, and housing affordability continues to deteriorate due to rising rental and utility costs.</w:t>
      </w:r>
    </w:p>
    <w:p w14:paraId="66BA51B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Roma communities and other marginalized groups continue to face de facto segregation, substandard living conditions, and barriers to accessing municipal housing programs. Reports indicate that evictions continue to occur in some localities without adequate safeguards or effective remedies.</w:t>
      </w:r>
    </w:p>
    <w:p w14:paraId="14DE76B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Conclusion:</w:t>
      </w:r>
      <w:r w:rsidRPr="000A36A1">
        <w:rPr>
          <w:rFonts w:ascii="Times New Roman" w:eastAsia="Times New Roman" w:hAnsi="Times New Roman" w:cs="Times New Roman"/>
          <w:kern w:val="0"/>
          <w14:ligatures w14:val="none"/>
        </w:rPr>
        <w:br/>
        <w:t>The State party has taken limited administrative steps but has not adopted a comprehensive rights-based housing strategy aligned with ICESCR standards.</w:t>
      </w:r>
    </w:p>
    <w:p w14:paraId="357DD12E" w14:textId="1DD805B4"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36CEA51B" w14:textId="77777777" w:rsidR="000A36A1" w:rsidRPr="000A36A1" w:rsidRDefault="000A36A1" w:rsidP="000A36A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3.2 Social Protection and Poverty Reduction</w:t>
      </w:r>
    </w:p>
    <w:p w14:paraId="30A0DD05"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(Articles 9 and 11 of the Covenant)</w:t>
      </w:r>
    </w:p>
    <w:p w14:paraId="264BC4FC"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Committee recommendation:</w:t>
      </w:r>
      <w:r w:rsidRPr="000A36A1">
        <w:rPr>
          <w:rFonts w:ascii="Times New Roman" w:eastAsia="Times New Roman" w:hAnsi="Times New Roman" w:cs="Times New Roman"/>
          <w:kern w:val="0"/>
          <w14:ligatures w14:val="none"/>
        </w:rPr>
        <w:br/>
        <w:t>The Committee called on Lithuania to strengthen social security benefits to ensure an adequate standard of living and to reduce poverty, particularly among children, older persons, persons with disabilities, and single-parent households.</w:t>
      </w:r>
    </w:p>
    <w:p w14:paraId="43D0CBEB"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AIDL assessment:</w:t>
      </w:r>
      <w:r w:rsidRPr="000A36A1">
        <w:rPr>
          <w:rFonts w:ascii="Times New Roman" w:eastAsia="Times New Roman" w:hAnsi="Times New Roman" w:cs="Times New Roman"/>
          <w:kern w:val="0"/>
          <w14:ligatures w14:val="none"/>
        </w:rPr>
        <w:br/>
        <w:t xml:space="preserve">Implementation is </w:t>
      </w:r>
      <w:r w:rsidRPr="000A36A1">
        <w:rPr>
          <w:rFonts w:ascii="Times New Roman" w:eastAsia="Times New Roman" w:hAnsi="Times New Roman" w:cs="Times New Roman"/>
          <w:b/>
          <w:bCs/>
          <w:kern w:val="0"/>
          <w14:ligatures w14:val="none"/>
        </w:rPr>
        <w:t>partial</w:t>
      </w:r>
      <w:r w:rsidRPr="000A36A1">
        <w:rPr>
          <w:rFonts w:ascii="Times New Roman" w:eastAsia="Times New Roman" w:hAnsi="Times New Roman" w:cs="Times New Roman"/>
          <w:kern w:val="0"/>
          <w14:ligatures w14:val="none"/>
        </w:rPr>
        <w:t>.</w:t>
      </w:r>
    </w:p>
    <w:p w14:paraId="3C2BBE14"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Although incremental increases to certain benefits have been introduced, social assistance levels remain low in comparison to the actual cost of living. A significant proportion of beneficiaries remain below the national at-risk-of-poverty threshold.</w:t>
      </w:r>
    </w:p>
    <w:p w14:paraId="7527D895"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lastRenderedPageBreak/>
        <w:t>Child poverty and in-work poverty remain persistent challenges, particularly in rural regions and among households dependent on precarious employment.</w:t>
      </w:r>
    </w:p>
    <w:p w14:paraId="14ACCBB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Conclusion:</w:t>
      </w:r>
      <w:r w:rsidRPr="000A36A1">
        <w:rPr>
          <w:rFonts w:ascii="Times New Roman" w:eastAsia="Times New Roman" w:hAnsi="Times New Roman" w:cs="Times New Roman"/>
          <w:kern w:val="0"/>
          <w14:ligatures w14:val="none"/>
        </w:rPr>
        <w:br/>
        <w:t>Current measures do not yet satisfy the minimum core obligation to guarantee an adequate standard of living for all beneficiaries.</w:t>
      </w:r>
    </w:p>
    <w:p w14:paraId="4E964D5B" w14:textId="77777777" w:rsidR="000A36A1" w:rsidRPr="000A36A1" w:rsidRDefault="000A36A1" w:rsidP="000A36A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3.3 Non-discrimination and Equality</w:t>
      </w:r>
    </w:p>
    <w:p w14:paraId="77228987"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(Article 2(2) of the Covenant)</w:t>
      </w:r>
    </w:p>
    <w:p w14:paraId="0302E859"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Committee recommendation:</w:t>
      </w:r>
      <w:r w:rsidRPr="000A36A1">
        <w:rPr>
          <w:rFonts w:ascii="Times New Roman" w:eastAsia="Times New Roman" w:hAnsi="Times New Roman" w:cs="Times New Roman"/>
          <w:kern w:val="0"/>
          <w14:ligatures w14:val="none"/>
        </w:rPr>
        <w:br/>
        <w:t>The Committee urged Lithuania to strengthen anti-discrimination protections in practice and ensure equal access to economic and social rights for ethnic minorities, migrants, and other vulnerable groups.</w:t>
      </w:r>
    </w:p>
    <w:p w14:paraId="21984BD1"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AIDL assessment:</w:t>
      </w:r>
      <w:r w:rsidRPr="000A36A1">
        <w:rPr>
          <w:rFonts w:ascii="Times New Roman" w:eastAsia="Times New Roman" w:hAnsi="Times New Roman" w:cs="Times New Roman"/>
          <w:kern w:val="0"/>
          <w14:ligatures w14:val="none"/>
        </w:rPr>
        <w:br/>
        <w:t xml:space="preserve">Implementation remains </w:t>
      </w:r>
      <w:r w:rsidRPr="000A36A1">
        <w:rPr>
          <w:rFonts w:ascii="Times New Roman" w:eastAsia="Times New Roman" w:hAnsi="Times New Roman" w:cs="Times New Roman"/>
          <w:b/>
          <w:bCs/>
          <w:kern w:val="0"/>
          <w14:ligatures w14:val="none"/>
        </w:rPr>
        <w:t>limited</w:t>
      </w:r>
      <w:r w:rsidRPr="000A36A1">
        <w:rPr>
          <w:rFonts w:ascii="Times New Roman" w:eastAsia="Times New Roman" w:hAnsi="Times New Roman" w:cs="Times New Roman"/>
          <w:kern w:val="0"/>
          <w14:ligatures w14:val="none"/>
        </w:rPr>
        <w:t>.</w:t>
      </w:r>
    </w:p>
    <w:p w14:paraId="6AA14E38"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Despite the existence of formal anti-discrimination legislation, structural barriers persist in access to housing, employment, education, and health services for Roma communities and some migrant groups.</w:t>
      </w:r>
    </w:p>
    <w:p w14:paraId="49429B27"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Underreporting of discrimination cases, limited access to legal aid, and weak enforcement mechanisms continue to undermine effective protection.</w:t>
      </w:r>
    </w:p>
    <w:p w14:paraId="1B46F4B9"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Conclusion:</w:t>
      </w:r>
      <w:r w:rsidRPr="000A36A1">
        <w:rPr>
          <w:rFonts w:ascii="Times New Roman" w:eastAsia="Times New Roman" w:hAnsi="Times New Roman" w:cs="Times New Roman"/>
          <w:kern w:val="0"/>
          <w14:ligatures w14:val="none"/>
        </w:rPr>
        <w:br/>
        <w:t>Progress remains largely formalistic and has not resulted in substantial improvement in lived equality outcomes.</w:t>
      </w:r>
    </w:p>
    <w:p w14:paraId="0C27109D" w14:textId="056051CD"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51B4FB60" w14:textId="77777777" w:rsidR="000A36A1" w:rsidRPr="000A36A1" w:rsidRDefault="000A36A1" w:rsidP="000A36A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 xml:space="preserve">3.4 </w:t>
      </w:r>
      <w:proofErr w:type="spellStart"/>
      <w:r w:rsidRPr="000A36A1">
        <w:rPr>
          <w:rFonts w:ascii="Times New Roman" w:eastAsia="Times New Roman" w:hAnsi="Times New Roman" w:cs="Times New Roman"/>
          <w:b/>
          <w:bCs/>
          <w:kern w:val="0"/>
          <w:sz w:val="27"/>
          <w:szCs w:val="27"/>
          <w14:ligatures w14:val="none"/>
        </w:rPr>
        <w:t>Labour</w:t>
      </w:r>
      <w:proofErr w:type="spellEnd"/>
      <w:r w:rsidRPr="000A36A1">
        <w:rPr>
          <w:rFonts w:ascii="Times New Roman" w:eastAsia="Times New Roman" w:hAnsi="Times New Roman" w:cs="Times New Roman"/>
          <w:b/>
          <w:bCs/>
          <w:kern w:val="0"/>
          <w:sz w:val="27"/>
          <w:szCs w:val="27"/>
          <w14:ligatures w14:val="none"/>
        </w:rPr>
        <w:t xml:space="preserve"> Rights and Adequate Remuneration</w:t>
      </w:r>
    </w:p>
    <w:p w14:paraId="271C6F63"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(Articles 6 and 7 of the Covenant)</w:t>
      </w:r>
    </w:p>
    <w:p w14:paraId="08E9F6D2"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Committee recommendation:</w:t>
      </w:r>
      <w:r w:rsidRPr="000A36A1">
        <w:rPr>
          <w:rFonts w:ascii="Times New Roman" w:eastAsia="Times New Roman" w:hAnsi="Times New Roman" w:cs="Times New Roman"/>
          <w:kern w:val="0"/>
          <w14:ligatures w14:val="none"/>
        </w:rPr>
        <w:br/>
        <w:t>The Committee requested measures to ensure fair wages, protection against exploitation, and safe working conditions, including for migrant workers and workers in low-wage sectors.</w:t>
      </w:r>
    </w:p>
    <w:p w14:paraId="12AE7F34"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AIDL assessment:</w:t>
      </w:r>
      <w:r w:rsidRPr="000A36A1">
        <w:rPr>
          <w:rFonts w:ascii="Times New Roman" w:eastAsia="Times New Roman" w:hAnsi="Times New Roman" w:cs="Times New Roman"/>
          <w:kern w:val="0"/>
          <w14:ligatures w14:val="none"/>
        </w:rPr>
        <w:br/>
        <w:t xml:space="preserve">Implementation is </w:t>
      </w:r>
      <w:r w:rsidRPr="000A36A1">
        <w:rPr>
          <w:rFonts w:ascii="Times New Roman" w:eastAsia="Times New Roman" w:hAnsi="Times New Roman" w:cs="Times New Roman"/>
          <w:b/>
          <w:bCs/>
          <w:kern w:val="0"/>
          <w14:ligatures w14:val="none"/>
        </w:rPr>
        <w:t>partial</w:t>
      </w:r>
      <w:r w:rsidRPr="000A36A1">
        <w:rPr>
          <w:rFonts w:ascii="Times New Roman" w:eastAsia="Times New Roman" w:hAnsi="Times New Roman" w:cs="Times New Roman"/>
          <w:kern w:val="0"/>
          <w14:ligatures w14:val="none"/>
        </w:rPr>
        <w:t>.</w:t>
      </w:r>
    </w:p>
    <w:p w14:paraId="4B52A81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 xml:space="preserve">Minimum wage increases have occurred, but wage levels remain insufficient for many workers to meet basic living costs, particularly in urban areas. </w:t>
      </w:r>
      <w:proofErr w:type="spellStart"/>
      <w:r w:rsidRPr="000A36A1">
        <w:rPr>
          <w:rFonts w:ascii="Times New Roman" w:eastAsia="Times New Roman" w:hAnsi="Times New Roman" w:cs="Times New Roman"/>
          <w:kern w:val="0"/>
          <w14:ligatures w14:val="none"/>
        </w:rPr>
        <w:t>Labour</w:t>
      </w:r>
      <w:proofErr w:type="spellEnd"/>
      <w:r w:rsidRPr="000A36A1">
        <w:rPr>
          <w:rFonts w:ascii="Times New Roman" w:eastAsia="Times New Roman" w:hAnsi="Times New Roman" w:cs="Times New Roman"/>
          <w:kern w:val="0"/>
          <w14:ligatures w14:val="none"/>
        </w:rPr>
        <w:t xml:space="preserve"> inspections remain understaffed, and enforcement capacity is limited.</w:t>
      </w:r>
    </w:p>
    <w:p w14:paraId="3D08192E"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 xml:space="preserve">Certain sectors continue to exhibit patterns of precarious employment, excessive working hours, and weak access to remedies for </w:t>
      </w:r>
      <w:proofErr w:type="spellStart"/>
      <w:r w:rsidRPr="000A36A1">
        <w:rPr>
          <w:rFonts w:ascii="Times New Roman" w:eastAsia="Times New Roman" w:hAnsi="Times New Roman" w:cs="Times New Roman"/>
          <w:kern w:val="0"/>
          <w14:ligatures w14:val="none"/>
        </w:rPr>
        <w:t>labour</w:t>
      </w:r>
      <w:proofErr w:type="spellEnd"/>
      <w:r w:rsidRPr="000A36A1">
        <w:rPr>
          <w:rFonts w:ascii="Times New Roman" w:eastAsia="Times New Roman" w:hAnsi="Times New Roman" w:cs="Times New Roman"/>
          <w:kern w:val="0"/>
          <w14:ligatures w14:val="none"/>
        </w:rPr>
        <w:t xml:space="preserve"> rights violations.</w:t>
      </w:r>
    </w:p>
    <w:p w14:paraId="7ABADFD6"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lastRenderedPageBreak/>
        <w:t>Conclusion:</w:t>
      </w:r>
      <w:r w:rsidRPr="000A36A1">
        <w:rPr>
          <w:rFonts w:ascii="Times New Roman" w:eastAsia="Times New Roman" w:hAnsi="Times New Roman" w:cs="Times New Roman"/>
          <w:kern w:val="0"/>
          <w14:ligatures w14:val="none"/>
        </w:rPr>
        <w:br/>
        <w:t xml:space="preserve">Structural weaknesses in enforcement persist and undermine the effective realization of the right to just and </w:t>
      </w:r>
      <w:proofErr w:type="spellStart"/>
      <w:r w:rsidRPr="000A36A1">
        <w:rPr>
          <w:rFonts w:ascii="Times New Roman" w:eastAsia="Times New Roman" w:hAnsi="Times New Roman" w:cs="Times New Roman"/>
          <w:kern w:val="0"/>
          <w14:ligatures w14:val="none"/>
        </w:rPr>
        <w:t>favourable</w:t>
      </w:r>
      <w:proofErr w:type="spellEnd"/>
      <w:r w:rsidRPr="000A36A1">
        <w:rPr>
          <w:rFonts w:ascii="Times New Roman" w:eastAsia="Times New Roman" w:hAnsi="Times New Roman" w:cs="Times New Roman"/>
          <w:kern w:val="0"/>
          <w14:ligatures w14:val="none"/>
        </w:rPr>
        <w:t xml:space="preserve"> conditions of work.</w:t>
      </w:r>
    </w:p>
    <w:p w14:paraId="6E2A04AF" w14:textId="5B2EDFB1"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5D0295CC" w14:textId="77777777" w:rsidR="000A36A1" w:rsidRPr="000A36A1" w:rsidRDefault="000A36A1" w:rsidP="000A36A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0A36A1">
        <w:rPr>
          <w:rFonts w:ascii="Times New Roman" w:eastAsia="Times New Roman" w:hAnsi="Times New Roman" w:cs="Times New Roman"/>
          <w:b/>
          <w:bCs/>
          <w:kern w:val="0"/>
          <w:sz w:val="27"/>
          <w:szCs w:val="27"/>
          <w14:ligatures w14:val="none"/>
        </w:rPr>
        <w:t>3.5 Access to Health Services</w:t>
      </w:r>
    </w:p>
    <w:p w14:paraId="4739A66D"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(Article 12 of the Covenant)</w:t>
      </w:r>
    </w:p>
    <w:p w14:paraId="09B26BFB"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Committee recommendation:</w:t>
      </w:r>
      <w:r w:rsidRPr="000A36A1">
        <w:rPr>
          <w:rFonts w:ascii="Times New Roman" w:eastAsia="Times New Roman" w:hAnsi="Times New Roman" w:cs="Times New Roman"/>
          <w:kern w:val="0"/>
          <w14:ligatures w14:val="none"/>
        </w:rPr>
        <w:br/>
        <w:t>The Committee called for improved access to health care, particularly for low-income persons, migrants, rural populations, and marginalized communities.</w:t>
      </w:r>
    </w:p>
    <w:p w14:paraId="1CE5417F"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AIDL assessment:</w:t>
      </w:r>
      <w:r w:rsidRPr="000A36A1">
        <w:rPr>
          <w:rFonts w:ascii="Times New Roman" w:eastAsia="Times New Roman" w:hAnsi="Times New Roman" w:cs="Times New Roman"/>
          <w:kern w:val="0"/>
          <w14:ligatures w14:val="none"/>
        </w:rPr>
        <w:br/>
        <w:t xml:space="preserve">Implementation is </w:t>
      </w:r>
      <w:r w:rsidRPr="000A36A1">
        <w:rPr>
          <w:rFonts w:ascii="Times New Roman" w:eastAsia="Times New Roman" w:hAnsi="Times New Roman" w:cs="Times New Roman"/>
          <w:b/>
          <w:bCs/>
          <w:kern w:val="0"/>
          <w14:ligatures w14:val="none"/>
        </w:rPr>
        <w:t>partial</w:t>
      </w:r>
      <w:r w:rsidRPr="000A36A1">
        <w:rPr>
          <w:rFonts w:ascii="Times New Roman" w:eastAsia="Times New Roman" w:hAnsi="Times New Roman" w:cs="Times New Roman"/>
          <w:kern w:val="0"/>
          <w14:ligatures w14:val="none"/>
        </w:rPr>
        <w:t>.</w:t>
      </w:r>
    </w:p>
    <w:p w14:paraId="220E594A"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Geographic disparities in access to healthcare services remain significant, particularly in rural areas. Informal barriers, including administrative complexity and cost-sharing mechanisms, continue to affect access for vulnerable groups.</w:t>
      </w:r>
    </w:p>
    <w:p w14:paraId="1B842F8C"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Mental health services remain insufficiently resourced, and waiting times for specialized care remain excessive.</w:t>
      </w:r>
    </w:p>
    <w:p w14:paraId="3920C229"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b/>
          <w:bCs/>
          <w:kern w:val="0"/>
          <w14:ligatures w14:val="none"/>
        </w:rPr>
        <w:t>Conclusion:</w:t>
      </w:r>
      <w:r w:rsidRPr="000A36A1">
        <w:rPr>
          <w:rFonts w:ascii="Times New Roman" w:eastAsia="Times New Roman" w:hAnsi="Times New Roman" w:cs="Times New Roman"/>
          <w:kern w:val="0"/>
          <w14:ligatures w14:val="none"/>
        </w:rPr>
        <w:br/>
        <w:t>While certain reforms are underway, access to health services remains unequal and does not fully comply with the principles of availability, accessibility, acceptability, and quality under the Covenant.</w:t>
      </w:r>
    </w:p>
    <w:p w14:paraId="38C5707E" w14:textId="30486850"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09796433"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4. Overall Evaluation</w:t>
      </w:r>
    </w:p>
    <w:p w14:paraId="1105A483"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 xml:space="preserve">AIDL concludes that Lithuania has demonstrated </w:t>
      </w:r>
      <w:r w:rsidRPr="000A36A1">
        <w:rPr>
          <w:rFonts w:ascii="Times New Roman" w:eastAsia="Times New Roman" w:hAnsi="Times New Roman" w:cs="Times New Roman"/>
          <w:b/>
          <w:bCs/>
          <w:kern w:val="0"/>
          <w14:ligatures w14:val="none"/>
        </w:rPr>
        <w:t>limited and fragmented compliance</w:t>
      </w:r>
      <w:r w:rsidRPr="000A36A1">
        <w:rPr>
          <w:rFonts w:ascii="Times New Roman" w:eastAsia="Times New Roman" w:hAnsi="Times New Roman" w:cs="Times New Roman"/>
          <w:kern w:val="0"/>
          <w14:ligatures w14:val="none"/>
        </w:rPr>
        <w:t xml:space="preserve"> with the Committee’s priority recommendations.</w:t>
      </w:r>
    </w:p>
    <w:p w14:paraId="208500F8"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Most actions undertaken to date remain incremental, policy-oriented, and insufficiently resourced. Structural challenges affecting vulnerable groups persist, and measurable progress in the realization of Covenant rights remains modest.</w:t>
      </w:r>
    </w:p>
    <w:p w14:paraId="2982F998"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The absence of a comprehensive, rights-based implementation framework with clear benchmarks and public accountability mechanisms continues to hinder effective compliance.</w:t>
      </w:r>
    </w:p>
    <w:p w14:paraId="20AE0B58" w14:textId="64D684D3"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4FF6019D"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5. Recommendations to the Committee</w:t>
      </w:r>
    </w:p>
    <w:p w14:paraId="2BA8CB4A"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AIDL respectfully recommends that the Committee:</w:t>
      </w:r>
    </w:p>
    <w:p w14:paraId="058B94E7"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Request updated, disaggregated data from Lithuania on housing access, poverty levels, social protection coverage, and discrimination complaints.</w:t>
      </w:r>
    </w:p>
    <w:p w14:paraId="56DC0C2D"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lastRenderedPageBreak/>
        <w:t>Urge the State party to adopt a national rights-based housing strategy consistent with Article 11 of the Covenant, including measurable targets and budget allocations.</w:t>
      </w:r>
    </w:p>
    <w:p w14:paraId="52CC0545"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Recommend a substantial increase in social protection benefits to meet adequacy standards.</w:t>
      </w:r>
    </w:p>
    <w:p w14:paraId="77F3099F"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Call for strengthened enforcement of anti-discrimination legislation and improved access to legal remedies.</w:t>
      </w:r>
    </w:p>
    <w:p w14:paraId="41C505A2"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 xml:space="preserve">Encourage increased funding and institutional capacity for </w:t>
      </w:r>
      <w:proofErr w:type="spellStart"/>
      <w:r w:rsidRPr="000A36A1">
        <w:rPr>
          <w:rFonts w:ascii="Times New Roman" w:eastAsia="Times New Roman" w:hAnsi="Times New Roman" w:cs="Times New Roman"/>
          <w:kern w:val="0"/>
          <w14:ligatures w14:val="none"/>
        </w:rPr>
        <w:t>labour</w:t>
      </w:r>
      <w:proofErr w:type="spellEnd"/>
      <w:r w:rsidRPr="000A36A1">
        <w:rPr>
          <w:rFonts w:ascii="Times New Roman" w:eastAsia="Times New Roman" w:hAnsi="Times New Roman" w:cs="Times New Roman"/>
          <w:kern w:val="0"/>
          <w14:ligatures w14:val="none"/>
        </w:rPr>
        <w:t xml:space="preserve"> inspection authorities.</w:t>
      </w:r>
    </w:p>
    <w:p w14:paraId="3E75EED8" w14:textId="77777777" w:rsidR="000A36A1" w:rsidRPr="000A36A1" w:rsidRDefault="000A36A1" w:rsidP="000A36A1">
      <w:pPr>
        <w:numPr>
          <w:ilvl w:val="0"/>
          <w:numId w:val="26"/>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Request time-bound commitments to improve equitable access to healthcare, including mental health services.</w:t>
      </w:r>
    </w:p>
    <w:p w14:paraId="4D58A9E3" w14:textId="14B28299"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5D7A4600"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6. Concluding Statement</w:t>
      </w:r>
    </w:p>
    <w:p w14:paraId="36DC545A"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AIDL reaffirms its readiness to cooperate with the Committee and other stakeholders in promoting the effective implementation of the Covenant in Lithuania.</w:t>
      </w:r>
    </w:p>
    <w:p w14:paraId="3D9CDF2E" w14:textId="77777777" w:rsidR="000A36A1" w:rsidRPr="000A36A1" w:rsidRDefault="000A36A1" w:rsidP="000A36A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We respectfully submit this follow-up report for the Committee’s consideration under the follow-up procedure to the Concluding Observations.</w:t>
      </w:r>
    </w:p>
    <w:p w14:paraId="462AC36C" w14:textId="1F48E94C" w:rsidR="000A36A1" w:rsidRPr="000A36A1" w:rsidRDefault="000A36A1" w:rsidP="000A36A1">
      <w:pPr>
        <w:bidi w:val="0"/>
        <w:spacing w:after="0" w:line="240" w:lineRule="auto"/>
        <w:jc w:val="both"/>
        <w:rPr>
          <w:rFonts w:ascii="Times New Roman" w:eastAsia="Times New Roman" w:hAnsi="Times New Roman" w:cs="Times New Roman"/>
          <w:kern w:val="0"/>
          <w14:ligatures w14:val="none"/>
        </w:rPr>
      </w:pPr>
    </w:p>
    <w:p w14:paraId="7197ECA9" w14:textId="77777777" w:rsidR="000A36A1" w:rsidRPr="000A36A1" w:rsidRDefault="000A36A1" w:rsidP="000A36A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0A36A1">
        <w:rPr>
          <w:rFonts w:ascii="Times New Roman" w:eastAsia="Times New Roman" w:hAnsi="Times New Roman" w:cs="Times New Roman"/>
          <w:b/>
          <w:bCs/>
          <w:kern w:val="0"/>
          <w:sz w:val="36"/>
          <w:szCs w:val="36"/>
          <w14:ligatures w14:val="none"/>
        </w:rPr>
        <w:t>Signature</w:t>
      </w:r>
    </w:p>
    <w:p w14:paraId="6C5EF4D8"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14:ligatures w14:val="none"/>
        </w:rPr>
      </w:pPr>
      <w:r w:rsidRPr="000A36A1">
        <w:rPr>
          <w:rFonts w:ascii="Times New Roman" w:eastAsia="Times New Roman" w:hAnsi="Times New Roman" w:cs="Times New Roman"/>
          <w:kern w:val="0"/>
          <w14:ligatures w14:val="none"/>
        </w:rPr>
        <w:t>Submitted on behalf of:</w:t>
      </w:r>
    </w:p>
    <w:p w14:paraId="11E40094" w14:textId="096D2CDA"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lang w:val="fr-FR"/>
          <w14:ligatures w14:val="none"/>
        </w:rPr>
      </w:pPr>
      <w:r w:rsidRPr="000A36A1">
        <w:rPr>
          <w:rFonts w:ascii="Open Sans" w:hAnsi="Open Sans" w:cs="Open Sans"/>
          <w:b/>
          <w:bCs/>
          <w:sz w:val="23"/>
          <w:szCs w:val="23"/>
          <w:shd w:val="clear" w:color="auto" w:fill="F9FAFD"/>
          <w:lang w:val="fr-FR"/>
        </w:rPr>
        <w:t>Alliance internationale pour la défense des droits et des libertés</w:t>
      </w:r>
      <w:r>
        <w:rPr>
          <w:rFonts w:ascii="Times New Roman" w:eastAsia="Times New Roman" w:hAnsi="Times New Roman" w:cs="Times New Roman"/>
          <w:kern w:val="0"/>
          <w:lang w:val="fr-FR"/>
          <w14:ligatures w14:val="none"/>
        </w:rPr>
        <w:t xml:space="preserve"> </w:t>
      </w:r>
      <w:r w:rsidRPr="000A36A1">
        <w:rPr>
          <w:rFonts w:ascii="Times New Roman" w:eastAsia="Times New Roman" w:hAnsi="Times New Roman" w:cs="Times New Roman"/>
          <w:kern w:val="0"/>
          <w:lang w:val="fr-FR"/>
          <w14:ligatures w14:val="none"/>
        </w:rPr>
        <w:br/>
      </w:r>
      <w:proofErr w:type="spellStart"/>
      <w:r w:rsidRPr="000A36A1">
        <w:rPr>
          <w:rFonts w:ascii="Times New Roman" w:eastAsia="Times New Roman" w:hAnsi="Times New Roman" w:cs="Times New Roman"/>
          <w:b/>
          <w:bCs/>
          <w:kern w:val="0"/>
          <w:lang w:val="fr-FR"/>
          <w14:ligatures w14:val="none"/>
        </w:rPr>
        <w:t>AIDL</w:t>
      </w:r>
      <w:proofErr w:type="spellEnd"/>
      <w:r w:rsidRPr="000A36A1">
        <w:rPr>
          <w:rFonts w:ascii="Times New Roman" w:eastAsia="Times New Roman" w:hAnsi="Times New Roman" w:cs="Times New Roman"/>
          <w:b/>
          <w:bCs/>
          <w:kern w:val="0"/>
          <w:lang w:val="fr-FR"/>
          <w14:ligatures w14:val="none"/>
        </w:rPr>
        <w:t xml:space="preserve"> International </w:t>
      </w:r>
      <w:proofErr w:type="spellStart"/>
      <w:r w:rsidRPr="000A36A1">
        <w:rPr>
          <w:rFonts w:ascii="Times New Roman" w:eastAsia="Times New Roman" w:hAnsi="Times New Roman" w:cs="Times New Roman"/>
          <w:b/>
          <w:bCs/>
          <w:kern w:val="0"/>
          <w:lang w:val="fr-FR"/>
          <w14:ligatures w14:val="none"/>
        </w:rPr>
        <w:t>Foundation</w:t>
      </w:r>
      <w:proofErr w:type="spellEnd"/>
    </w:p>
    <w:p w14:paraId="72F6D5D9" w14:textId="77777777" w:rsidR="000A36A1" w:rsidRPr="000A36A1" w:rsidRDefault="000A36A1" w:rsidP="000A36A1">
      <w:pPr>
        <w:bidi w:val="0"/>
        <w:spacing w:before="100" w:beforeAutospacing="1" w:after="100" w:afterAutospacing="1" w:line="240" w:lineRule="auto"/>
        <w:rPr>
          <w:rFonts w:ascii="Times New Roman" w:eastAsia="Times New Roman" w:hAnsi="Times New Roman" w:cs="Times New Roman"/>
          <w:kern w:val="0"/>
          <w:lang w:val="fr-FR"/>
          <w14:ligatures w14:val="none"/>
        </w:rPr>
      </w:pPr>
      <w:proofErr w:type="gramStart"/>
      <w:r w:rsidRPr="000A36A1">
        <w:rPr>
          <w:rFonts w:ascii="Times New Roman" w:eastAsia="Times New Roman" w:hAnsi="Times New Roman" w:cs="Times New Roman"/>
          <w:kern w:val="0"/>
          <w:lang w:val="fr-FR"/>
          <w14:ligatures w14:val="none"/>
        </w:rPr>
        <w:t>Email:</w:t>
      </w:r>
      <w:proofErr w:type="gramEnd"/>
      <w:r w:rsidRPr="000A36A1">
        <w:rPr>
          <w:rFonts w:ascii="Times New Roman" w:eastAsia="Times New Roman" w:hAnsi="Times New Roman" w:cs="Times New Roman"/>
          <w:kern w:val="0"/>
          <w:lang w:val="fr-FR"/>
          <w14:ligatures w14:val="none"/>
        </w:rPr>
        <w:t xml:space="preserve"> </w:t>
      </w:r>
      <w:hyperlink r:id="rId7" w:history="1">
        <w:r w:rsidRPr="000A36A1">
          <w:rPr>
            <w:rFonts w:ascii="Times New Roman" w:eastAsia="Times New Roman" w:hAnsi="Times New Roman" w:cs="Times New Roman"/>
            <w:color w:val="0000FF"/>
            <w:kern w:val="0"/>
            <w:u w:val="single"/>
            <w:lang w:val="fr-FR"/>
            <w14:ligatures w14:val="none"/>
          </w:rPr>
          <w:t>AIDL@AIDL.EU</w:t>
        </w:r>
      </w:hyperlink>
      <w:r w:rsidRPr="000A36A1">
        <w:rPr>
          <w:rFonts w:ascii="Times New Roman" w:eastAsia="Times New Roman" w:hAnsi="Times New Roman" w:cs="Times New Roman"/>
          <w:kern w:val="0"/>
          <w:lang w:val="fr-FR"/>
          <w14:ligatures w14:val="none"/>
        </w:rPr>
        <w:br/>
      </w:r>
      <w:proofErr w:type="spellStart"/>
      <w:proofErr w:type="gramStart"/>
      <w:r w:rsidRPr="000A36A1">
        <w:rPr>
          <w:rFonts w:ascii="Times New Roman" w:eastAsia="Times New Roman" w:hAnsi="Times New Roman" w:cs="Times New Roman"/>
          <w:kern w:val="0"/>
          <w:lang w:val="fr-FR"/>
          <w14:ligatures w14:val="none"/>
        </w:rPr>
        <w:t>Website</w:t>
      </w:r>
      <w:proofErr w:type="spellEnd"/>
      <w:r w:rsidRPr="000A36A1">
        <w:rPr>
          <w:rFonts w:ascii="Times New Roman" w:eastAsia="Times New Roman" w:hAnsi="Times New Roman" w:cs="Times New Roman"/>
          <w:kern w:val="0"/>
          <w:lang w:val="fr-FR"/>
          <w14:ligatures w14:val="none"/>
        </w:rPr>
        <w:t>:</w:t>
      </w:r>
      <w:proofErr w:type="gramEnd"/>
      <w:r w:rsidRPr="000A36A1">
        <w:rPr>
          <w:rFonts w:ascii="Times New Roman" w:eastAsia="Times New Roman" w:hAnsi="Times New Roman" w:cs="Times New Roman"/>
          <w:kern w:val="0"/>
          <w:lang w:val="fr-FR"/>
          <w14:ligatures w14:val="none"/>
        </w:rPr>
        <w:t xml:space="preserve"> </w:t>
      </w:r>
      <w:hyperlink r:id="rId8" w:history="1">
        <w:r w:rsidRPr="000A36A1">
          <w:rPr>
            <w:rFonts w:ascii="Times New Roman" w:eastAsia="Times New Roman" w:hAnsi="Times New Roman" w:cs="Times New Roman"/>
            <w:color w:val="0000FF"/>
            <w:kern w:val="0"/>
            <w:u w:val="single"/>
            <w:lang w:val="fr-FR"/>
            <w14:ligatures w14:val="none"/>
          </w:rPr>
          <w:t>www.aidl.eu</w:t>
        </w:r>
      </w:hyperlink>
    </w:p>
    <w:p w14:paraId="7CCB6253" w14:textId="09E834D4" w:rsidR="000A36A1" w:rsidRPr="000A36A1" w:rsidRDefault="000A36A1" w:rsidP="000A36A1">
      <w:pPr>
        <w:bidi w:val="0"/>
        <w:spacing w:after="0" w:line="240" w:lineRule="auto"/>
        <w:jc w:val="both"/>
        <w:rPr>
          <w:rFonts w:ascii="Times New Roman" w:eastAsia="Times New Roman" w:hAnsi="Times New Roman" w:cs="Times New Roman"/>
          <w:kern w:val="0"/>
          <w:lang w:val="fr-FR"/>
          <w14:ligatures w14:val="none"/>
        </w:rPr>
      </w:pPr>
    </w:p>
    <w:p w14:paraId="341746A1" w14:textId="1F234DF9" w:rsidR="007142EA" w:rsidRPr="000A36A1" w:rsidRDefault="007142EA" w:rsidP="000A36A1">
      <w:pPr>
        <w:jc w:val="both"/>
        <w:rPr>
          <w:lang w:val="fr-FR"/>
        </w:rPr>
      </w:pPr>
    </w:p>
    <w:sectPr w:rsidR="007142EA" w:rsidRPr="000A36A1" w:rsidSect="007142EA">
      <w:pgSz w:w="11906" w:h="16838"/>
      <w:pgMar w:top="993" w:right="1274" w:bottom="1135" w:left="1418"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6CED"/>
    <w:multiLevelType w:val="multilevel"/>
    <w:tmpl w:val="15E0B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921DB"/>
    <w:multiLevelType w:val="multilevel"/>
    <w:tmpl w:val="EF4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B6F03"/>
    <w:multiLevelType w:val="multilevel"/>
    <w:tmpl w:val="48F6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D17B2"/>
    <w:multiLevelType w:val="multilevel"/>
    <w:tmpl w:val="8886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7410D"/>
    <w:multiLevelType w:val="multilevel"/>
    <w:tmpl w:val="9BA8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40B0F"/>
    <w:multiLevelType w:val="multilevel"/>
    <w:tmpl w:val="F6D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E0364"/>
    <w:multiLevelType w:val="multilevel"/>
    <w:tmpl w:val="6F40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12866"/>
    <w:multiLevelType w:val="multilevel"/>
    <w:tmpl w:val="F23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D2DB4"/>
    <w:multiLevelType w:val="multilevel"/>
    <w:tmpl w:val="1A08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77707"/>
    <w:multiLevelType w:val="multilevel"/>
    <w:tmpl w:val="46B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97FCE"/>
    <w:multiLevelType w:val="multilevel"/>
    <w:tmpl w:val="B736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3E6B29"/>
    <w:multiLevelType w:val="multilevel"/>
    <w:tmpl w:val="B890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A25ABF"/>
    <w:multiLevelType w:val="multilevel"/>
    <w:tmpl w:val="26B2F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0B008D"/>
    <w:multiLevelType w:val="multilevel"/>
    <w:tmpl w:val="7EAE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AA33F3"/>
    <w:multiLevelType w:val="multilevel"/>
    <w:tmpl w:val="7178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E6818"/>
    <w:multiLevelType w:val="multilevel"/>
    <w:tmpl w:val="44525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6B6256"/>
    <w:multiLevelType w:val="multilevel"/>
    <w:tmpl w:val="AAEA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E1480C"/>
    <w:multiLevelType w:val="multilevel"/>
    <w:tmpl w:val="6CFA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C60821"/>
    <w:multiLevelType w:val="multilevel"/>
    <w:tmpl w:val="0A84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7C452C"/>
    <w:multiLevelType w:val="multilevel"/>
    <w:tmpl w:val="EC7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0F5028"/>
    <w:multiLevelType w:val="multilevel"/>
    <w:tmpl w:val="3C86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DC0EFF"/>
    <w:multiLevelType w:val="multilevel"/>
    <w:tmpl w:val="DBEE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677DCF"/>
    <w:multiLevelType w:val="multilevel"/>
    <w:tmpl w:val="9AF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9D322C"/>
    <w:multiLevelType w:val="multilevel"/>
    <w:tmpl w:val="02E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B66863"/>
    <w:multiLevelType w:val="multilevel"/>
    <w:tmpl w:val="DA34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0C8067B"/>
    <w:multiLevelType w:val="multilevel"/>
    <w:tmpl w:val="99D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982AA3"/>
    <w:multiLevelType w:val="multilevel"/>
    <w:tmpl w:val="F4AA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041704">
    <w:abstractNumId w:val="20"/>
  </w:num>
  <w:num w:numId="2" w16cid:durableId="778337087">
    <w:abstractNumId w:val="23"/>
  </w:num>
  <w:num w:numId="3" w16cid:durableId="113670822">
    <w:abstractNumId w:val="25"/>
  </w:num>
  <w:num w:numId="4" w16cid:durableId="31156994">
    <w:abstractNumId w:val="2"/>
  </w:num>
  <w:num w:numId="5" w16cid:durableId="798111680">
    <w:abstractNumId w:val="1"/>
  </w:num>
  <w:num w:numId="6" w16cid:durableId="366493120">
    <w:abstractNumId w:val="5"/>
  </w:num>
  <w:num w:numId="7" w16cid:durableId="693309723">
    <w:abstractNumId w:val="11"/>
  </w:num>
  <w:num w:numId="8" w16cid:durableId="1190296017">
    <w:abstractNumId w:val="22"/>
  </w:num>
  <w:num w:numId="9" w16cid:durableId="2033988484">
    <w:abstractNumId w:val="9"/>
  </w:num>
  <w:num w:numId="10" w16cid:durableId="356974919">
    <w:abstractNumId w:val="3"/>
  </w:num>
  <w:num w:numId="11" w16cid:durableId="617026886">
    <w:abstractNumId w:val="16"/>
  </w:num>
  <w:num w:numId="12" w16cid:durableId="1279604833">
    <w:abstractNumId w:val="21"/>
  </w:num>
  <w:num w:numId="13" w16cid:durableId="1998849284">
    <w:abstractNumId w:val="4"/>
  </w:num>
  <w:num w:numId="14" w16cid:durableId="990141076">
    <w:abstractNumId w:val="6"/>
  </w:num>
  <w:num w:numId="15" w16cid:durableId="1168714505">
    <w:abstractNumId w:val="14"/>
  </w:num>
  <w:num w:numId="16" w16cid:durableId="433522421">
    <w:abstractNumId w:val="15"/>
  </w:num>
  <w:num w:numId="17" w16cid:durableId="687567097">
    <w:abstractNumId w:val="7"/>
  </w:num>
  <w:num w:numId="18" w16cid:durableId="537200598">
    <w:abstractNumId w:val="19"/>
  </w:num>
  <w:num w:numId="19" w16cid:durableId="52513173">
    <w:abstractNumId w:val="18"/>
  </w:num>
  <w:num w:numId="20" w16cid:durableId="940262377">
    <w:abstractNumId w:val="10"/>
  </w:num>
  <w:num w:numId="21" w16cid:durableId="280772896">
    <w:abstractNumId w:val="26"/>
  </w:num>
  <w:num w:numId="22" w16cid:durableId="608660124">
    <w:abstractNumId w:val="12"/>
  </w:num>
  <w:num w:numId="23" w16cid:durableId="1045522500">
    <w:abstractNumId w:val="13"/>
  </w:num>
  <w:num w:numId="24" w16cid:durableId="703406957">
    <w:abstractNumId w:val="17"/>
  </w:num>
  <w:num w:numId="25" w16cid:durableId="499974222">
    <w:abstractNumId w:val="0"/>
  </w:num>
  <w:num w:numId="26" w16cid:durableId="896668856">
    <w:abstractNumId w:val="24"/>
  </w:num>
  <w:num w:numId="27" w16cid:durableId="2841183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EA"/>
    <w:rsid w:val="000A36A1"/>
    <w:rsid w:val="00265417"/>
    <w:rsid w:val="00312D97"/>
    <w:rsid w:val="007142EA"/>
    <w:rsid w:val="00825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04A"/>
  <w15:chartTrackingRefBased/>
  <w15:docId w15:val="{C222C5BD-7213-46C0-9D2D-8070AAC5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142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142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142E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142E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142E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142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42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42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42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42E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142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142E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142E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142EA"/>
    <w:rPr>
      <w:rFonts w:eastAsiaTheme="majorEastAsia" w:cstheme="majorBidi"/>
      <w:color w:val="2F5496" w:themeColor="accent1" w:themeShade="BF"/>
    </w:rPr>
  </w:style>
  <w:style w:type="character" w:customStyle="1" w:styleId="6Char">
    <w:name w:val="عنوان 6 Char"/>
    <w:basedOn w:val="a0"/>
    <w:link w:val="6"/>
    <w:uiPriority w:val="9"/>
    <w:semiHidden/>
    <w:rsid w:val="007142EA"/>
    <w:rPr>
      <w:rFonts w:eastAsiaTheme="majorEastAsia" w:cstheme="majorBidi"/>
      <w:i/>
      <w:iCs/>
      <w:color w:val="595959" w:themeColor="text1" w:themeTint="A6"/>
    </w:rPr>
  </w:style>
  <w:style w:type="character" w:customStyle="1" w:styleId="7Char">
    <w:name w:val="عنوان 7 Char"/>
    <w:basedOn w:val="a0"/>
    <w:link w:val="7"/>
    <w:uiPriority w:val="9"/>
    <w:semiHidden/>
    <w:rsid w:val="007142EA"/>
    <w:rPr>
      <w:rFonts w:eastAsiaTheme="majorEastAsia" w:cstheme="majorBidi"/>
      <w:color w:val="595959" w:themeColor="text1" w:themeTint="A6"/>
    </w:rPr>
  </w:style>
  <w:style w:type="character" w:customStyle="1" w:styleId="8Char">
    <w:name w:val="عنوان 8 Char"/>
    <w:basedOn w:val="a0"/>
    <w:link w:val="8"/>
    <w:uiPriority w:val="9"/>
    <w:semiHidden/>
    <w:rsid w:val="007142EA"/>
    <w:rPr>
      <w:rFonts w:eastAsiaTheme="majorEastAsia" w:cstheme="majorBidi"/>
      <w:i/>
      <w:iCs/>
      <w:color w:val="272727" w:themeColor="text1" w:themeTint="D8"/>
    </w:rPr>
  </w:style>
  <w:style w:type="character" w:customStyle="1" w:styleId="9Char">
    <w:name w:val="عنوان 9 Char"/>
    <w:basedOn w:val="a0"/>
    <w:link w:val="9"/>
    <w:uiPriority w:val="9"/>
    <w:semiHidden/>
    <w:rsid w:val="007142EA"/>
    <w:rPr>
      <w:rFonts w:eastAsiaTheme="majorEastAsia" w:cstheme="majorBidi"/>
      <w:color w:val="272727" w:themeColor="text1" w:themeTint="D8"/>
    </w:rPr>
  </w:style>
  <w:style w:type="paragraph" w:styleId="a3">
    <w:name w:val="Title"/>
    <w:basedOn w:val="a"/>
    <w:next w:val="a"/>
    <w:link w:val="Char"/>
    <w:uiPriority w:val="10"/>
    <w:qFormat/>
    <w:rsid w:val="00714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42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42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42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42EA"/>
    <w:pPr>
      <w:spacing w:before="160"/>
      <w:jc w:val="center"/>
    </w:pPr>
    <w:rPr>
      <w:i/>
      <w:iCs/>
      <w:color w:val="404040" w:themeColor="text1" w:themeTint="BF"/>
    </w:rPr>
  </w:style>
  <w:style w:type="character" w:customStyle="1" w:styleId="Char1">
    <w:name w:val="اقتباس Char"/>
    <w:basedOn w:val="a0"/>
    <w:link w:val="a5"/>
    <w:uiPriority w:val="29"/>
    <w:rsid w:val="007142EA"/>
    <w:rPr>
      <w:i/>
      <w:iCs/>
      <w:color w:val="404040" w:themeColor="text1" w:themeTint="BF"/>
    </w:rPr>
  </w:style>
  <w:style w:type="paragraph" w:styleId="a6">
    <w:name w:val="List Paragraph"/>
    <w:basedOn w:val="a"/>
    <w:uiPriority w:val="34"/>
    <w:qFormat/>
    <w:rsid w:val="007142EA"/>
    <w:pPr>
      <w:ind w:left="720"/>
      <w:contextualSpacing/>
    </w:pPr>
  </w:style>
  <w:style w:type="character" w:styleId="a7">
    <w:name w:val="Intense Emphasis"/>
    <w:basedOn w:val="a0"/>
    <w:uiPriority w:val="21"/>
    <w:qFormat/>
    <w:rsid w:val="007142EA"/>
    <w:rPr>
      <w:i/>
      <w:iCs/>
      <w:color w:val="2F5496" w:themeColor="accent1" w:themeShade="BF"/>
    </w:rPr>
  </w:style>
  <w:style w:type="paragraph" w:styleId="a8">
    <w:name w:val="Intense Quote"/>
    <w:basedOn w:val="a"/>
    <w:next w:val="a"/>
    <w:link w:val="Char2"/>
    <w:uiPriority w:val="30"/>
    <w:qFormat/>
    <w:rsid w:val="007142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142EA"/>
    <w:rPr>
      <w:i/>
      <w:iCs/>
      <w:color w:val="2F5496" w:themeColor="accent1" w:themeShade="BF"/>
    </w:rPr>
  </w:style>
  <w:style w:type="character" w:styleId="a9">
    <w:name w:val="Intense Reference"/>
    <w:basedOn w:val="a0"/>
    <w:uiPriority w:val="32"/>
    <w:qFormat/>
    <w:rsid w:val="007142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idl.eu/" TargetMode="External"/><Relationship Id="rId3" Type="http://schemas.openxmlformats.org/officeDocument/2006/relationships/settings" Target="settings.xml"/><Relationship Id="rId7" Type="http://schemas.openxmlformats.org/officeDocument/2006/relationships/hyperlink" Target="mailto:AIDL@AIDL.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dl.eu/" TargetMode="External"/><Relationship Id="rId5" Type="http://schemas.openxmlformats.org/officeDocument/2006/relationships/hyperlink" Target="mailto:AIDL@AIDL.E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1312</Words>
  <Characters>7482</Characters>
  <Application>Microsoft Office Word</Application>
  <DocSecurity>0</DocSecurity>
  <Lines>62</Lines>
  <Paragraphs>17</Paragraphs>
  <ScaleCrop>false</ScaleCrop>
  <Company/>
  <LinksUpToDate>false</LinksUpToDate>
  <CharactersWithSpaces>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ALLIANCE INTERNATIONALE AIDL</dc:creator>
  <cp:keywords/>
  <dc:description/>
  <cp:lastModifiedBy>ALLIANCE INTERNATIONALE AIDL</cp:lastModifiedBy>
  <cp:revision>2</cp:revision>
  <dcterms:created xsi:type="dcterms:W3CDTF">2026-01-18T13:12:00Z</dcterms:created>
  <dcterms:modified xsi:type="dcterms:W3CDTF">2026-01-18T13:39:00Z</dcterms:modified>
</cp:coreProperties>
</file>