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EF022" w14:textId="77777777" w:rsidR="001404A6" w:rsidRDefault="00000000">
      <w:pPr>
        <w:widowControl w:val="0"/>
        <w:pBdr>
          <w:top w:val="nil"/>
          <w:left w:val="nil"/>
          <w:bottom w:val="nil"/>
          <w:right w:val="nil"/>
          <w:between w:val="nil"/>
        </w:pBdr>
        <w:spacing w:before="200"/>
        <w:ind w:left="-90" w:right="337"/>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     Feminist League</w:t>
      </w:r>
      <w:r>
        <w:rPr>
          <w:noProof/>
        </w:rPr>
        <w:drawing>
          <wp:anchor distT="0" distB="0" distL="0" distR="0" simplePos="0" relativeHeight="251658240" behindDoc="0" locked="0" layoutInCell="1" hidden="0" allowOverlap="1" wp14:anchorId="08A59895" wp14:editId="53DB2F0B">
            <wp:simplePos x="0" y="0"/>
            <wp:positionH relativeFrom="column">
              <wp:posOffset>-371472</wp:posOffset>
            </wp:positionH>
            <wp:positionV relativeFrom="paragraph">
              <wp:posOffset>0</wp:posOffset>
            </wp:positionV>
            <wp:extent cx="2512304" cy="614363"/>
            <wp:effectExtent l="0" t="0" r="0" b="0"/>
            <wp:wrapSquare wrapText="bothSides" distT="0" distB="0" distL="0" distR="0"/>
            <wp:docPr id="13" name="image1.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with medium confidence"/>
                    <pic:cNvPicPr preferRelativeResize="0"/>
                  </pic:nvPicPr>
                  <pic:blipFill>
                    <a:blip r:embed="rId8"/>
                    <a:srcRect/>
                    <a:stretch>
                      <a:fillRect/>
                    </a:stretch>
                  </pic:blipFill>
                  <pic:spPr>
                    <a:xfrm>
                      <a:off x="0" y="0"/>
                      <a:ext cx="2512304" cy="614363"/>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1AA8AB90" wp14:editId="53CA82BC">
            <wp:simplePos x="0" y="0"/>
            <wp:positionH relativeFrom="column">
              <wp:posOffset>5010150</wp:posOffset>
            </wp:positionH>
            <wp:positionV relativeFrom="paragraph">
              <wp:posOffset>114300</wp:posOffset>
            </wp:positionV>
            <wp:extent cx="1195388" cy="1195388"/>
            <wp:effectExtent l="0" t="0" r="0" b="0"/>
            <wp:wrapTopAndBottom distT="114300" distB="114300"/>
            <wp:docPr id="1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195388" cy="1195388"/>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1B0654D2" wp14:editId="5CF0ACB1">
            <wp:simplePos x="0" y="0"/>
            <wp:positionH relativeFrom="column">
              <wp:posOffset>2343150</wp:posOffset>
            </wp:positionH>
            <wp:positionV relativeFrom="paragraph">
              <wp:posOffset>114300</wp:posOffset>
            </wp:positionV>
            <wp:extent cx="2347363" cy="785813"/>
            <wp:effectExtent l="0" t="0" r="0" b="0"/>
            <wp:wrapTopAndBottom distT="114300" distB="11430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347363" cy="785813"/>
                    </a:xfrm>
                    <a:prstGeom prst="rect">
                      <a:avLst/>
                    </a:prstGeom>
                    <a:ln/>
                  </pic:spPr>
                </pic:pic>
              </a:graphicData>
            </a:graphic>
          </wp:anchor>
        </w:drawing>
      </w:r>
    </w:p>
    <w:p w14:paraId="39BEFC81" w14:textId="77777777" w:rsidR="001404A6" w:rsidRDefault="001404A6">
      <w:pPr>
        <w:spacing w:before="200"/>
        <w:ind w:right="337"/>
        <w:jc w:val="both"/>
        <w:rPr>
          <w:rFonts w:ascii="Times New Roman" w:eastAsia="Times New Roman" w:hAnsi="Times New Roman" w:cs="Times New Roman"/>
          <w:sz w:val="24"/>
          <w:szCs w:val="24"/>
        </w:rPr>
      </w:pPr>
    </w:p>
    <w:p w14:paraId="6EE9A485" w14:textId="77777777" w:rsidR="001404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Gabriella </w:t>
      </w:r>
      <w:proofErr w:type="spellStart"/>
      <w:r>
        <w:rPr>
          <w:rFonts w:ascii="Times New Roman" w:eastAsia="Times New Roman" w:hAnsi="Times New Roman" w:cs="Times New Roman"/>
          <w:sz w:val="24"/>
          <w:szCs w:val="24"/>
        </w:rPr>
        <w:t>Habtom</w:t>
      </w:r>
      <w:proofErr w:type="spellEnd"/>
    </w:p>
    <w:p w14:paraId="14598359" w14:textId="77777777" w:rsidR="001404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Secretary of the Human Rights Committee</w:t>
      </w:r>
    </w:p>
    <w:p w14:paraId="491098B7" w14:textId="77777777" w:rsidR="001404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Committee Secretariat</w:t>
      </w:r>
    </w:p>
    <w:p w14:paraId="1CBF84D7" w14:textId="77777777" w:rsidR="001404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8-14 Avenue de la </w:t>
      </w:r>
      <w:proofErr w:type="spellStart"/>
      <w:r>
        <w:rPr>
          <w:rFonts w:ascii="Times New Roman" w:eastAsia="Times New Roman" w:hAnsi="Times New Roman" w:cs="Times New Roman"/>
          <w:sz w:val="24"/>
          <w:szCs w:val="24"/>
        </w:rPr>
        <w:t>Paix</w:t>
      </w:r>
      <w:proofErr w:type="spellEnd"/>
    </w:p>
    <w:p w14:paraId="7A57F635" w14:textId="77777777" w:rsidR="001404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 1211 Geneva 10</w:t>
      </w:r>
    </w:p>
    <w:p w14:paraId="1B8D41BF" w14:textId="77777777" w:rsidR="001404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Switzerland</w:t>
      </w:r>
    </w:p>
    <w:p w14:paraId="152004D8" w14:textId="77777777" w:rsidR="001404A6" w:rsidRDefault="00000000">
      <w:pPr>
        <w:jc w:val="both"/>
        <w:rPr>
          <w:rFonts w:ascii="Times New Roman" w:eastAsia="Times New Roman" w:hAnsi="Times New Roman" w:cs="Times New Roman"/>
          <w:color w:val="1155CC"/>
          <w:sz w:val="26"/>
          <w:szCs w:val="26"/>
        </w:rPr>
      </w:pPr>
      <w:r>
        <w:rPr>
          <w:rFonts w:ascii="Times New Roman" w:eastAsia="Times New Roman" w:hAnsi="Times New Roman" w:cs="Times New Roman"/>
          <w:sz w:val="24"/>
          <w:szCs w:val="24"/>
        </w:rPr>
        <w:t xml:space="preserve">Via Email: </w:t>
      </w:r>
      <w:hyperlink r:id="rId11">
        <w:r>
          <w:rPr>
            <w:rFonts w:ascii="Times New Roman" w:eastAsia="Times New Roman" w:hAnsi="Times New Roman" w:cs="Times New Roman"/>
            <w:color w:val="1155CC"/>
            <w:sz w:val="24"/>
            <w:szCs w:val="24"/>
            <w:u w:val="single"/>
          </w:rPr>
          <w:t>ghabtom@ohchr.org</w:t>
        </w:r>
      </w:hyperlink>
      <w:r>
        <w:rPr>
          <w:rFonts w:ascii="Times New Roman" w:eastAsia="Times New Roman" w:hAnsi="Times New Roman" w:cs="Times New Roman"/>
          <w:sz w:val="24"/>
          <w:szCs w:val="24"/>
        </w:rPr>
        <w:t xml:space="preserve">; </w:t>
      </w:r>
      <w:hyperlink r:id="rId12">
        <w:r>
          <w:rPr>
            <w:rFonts w:ascii="Times New Roman" w:eastAsia="Times New Roman" w:hAnsi="Times New Roman" w:cs="Times New Roman"/>
            <w:color w:val="1155CC"/>
            <w:sz w:val="24"/>
            <w:szCs w:val="24"/>
            <w:u w:val="single"/>
          </w:rPr>
          <w:t>crosniansky@ohchr.org</w:t>
        </w:r>
      </w:hyperlink>
      <w:r>
        <w:rPr>
          <w:rFonts w:ascii="Times New Roman" w:eastAsia="Times New Roman" w:hAnsi="Times New Roman" w:cs="Times New Roman"/>
          <w:sz w:val="24"/>
          <w:szCs w:val="24"/>
        </w:rPr>
        <w:t xml:space="preserve">; </w:t>
      </w:r>
      <w:hyperlink r:id="rId13">
        <w:r>
          <w:rPr>
            <w:rFonts w:ascii="Times New Roman" w:eastAsia="Times New Roman" w:hAnsi="Times New Roman" w:cs="Times New Roman"/>
            <w:color w:val="1155CC"/>
            <w:sz w:val="24"/>
            <w:szCs w:val="24"/>
            <w:u w:val="single"/>
          </w:rPr>
          <w:t>ccpr@ohchr.org</w:t>
        </w:r>
      </w:hyperlink>
      <w:r>
        <w:rPr>
          <w:rFonts w:ascii="Times New Roman" w:eastAsia="Times New Roman" w:hAnsi="Times New Roman" w:cs="Times New Roman"/>
          <w:sz w:val="24"/>
          <w:szCs w:val="24"/>
        </w:rPr>
        <w:t xml:space="preserve">; </w:t>
      </w:r>
      <w:hyperlink r:id="rId14">
        <w:r>
          <w:rPr>
            <w:rFonts w:ascii="Times New Roman" w:eastAsia="Times New Roman" w:hAnsi="Times New Roman" w:cs="Times New Roman"/>
            <w:color w:val="1155CC"/>
            <w:sz w:val="24"/>
            <w:szCs w:val="24"/>
            <w:u w:val="single"/>
          </w:rPr>
          <w:t>ohchr-ccpr@un.org</w:t>
        </w:r>
      </w:hyperlink>
      <w:r>
        <w:rPr>
          <w:rFonts w:ascii="Times New Roman" w:eastAsia="Times New Roman" w:hAnsi="Times New Roman" w:cs="Times New Roman"/>
          <w:sz w:val="24"/>
          <w:szCs w:val="24"/>
        </w:rPr>
        <w:t xml:space="preserve">  </w:t>
      </w:r>
    </w:p>
    <w:p w14:paraId="08669EC0" w14:textId="77777777" w:rsidR="001404A6" w:rsidRDefault="00000000">
      <w:pPr>
        <w:shd w:val="clear" w:color="auto" w:fill="FFFFFF"/>
        <w:spacing w:before="2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on the List of Issues Prior to Reporting for Kazakhstan for Consideration by the Human Rights Committee at its 137th session (27 Feb - 24 Mar 2023)</w:t>
      </w:r>
    </w:p>
    <w:p w14:paraId="63E4DBC7" w14:textId="77777777" w:rsidR="001404A6" w:rsidRDefault="00000000">
      <w:pPr>
        <w:shd w:val="clear" w:color="auto" w:fill="FFFFFF"/>
        <w:spacing w:before="2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20 December 2022</w:t>
      </w:r>
    </w:p>
    <w:p w14:paraId="5DD04BB1" w14:textId="77777777" w:rsidR="001404A6" w:rsidRDefault="00000000">
      <w:pPr>
        <w:shd w:val="clear" w:color="auto" w:fill="FFFFFF"/>
        <w:spacing w:before="2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1AF49C72" w14:textId="77777777" w:rsidR="001404A6" w:rsidRDefault="00000000">
      <w:pPr>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present the following submission in advance of the 137th session of the Human Rights Committee (‘the Committee’), taking place between 27 Feb - 24 Mar 2023, for consideration of the List of Issues Prior to Reporting for </w:t>
      </w:r>
      <w:r>
        <w:rPr>
          <w:rFonts w:ascii="Times New Roman" w:eastAsia="Times New Roman" w:hAnsi="Times New Roman" w:cs="Times New Roman"/>
          <w:b/>
          <w:sz w:val="24"/>
          <w:szCs w:val="24"/>
        </w:rPr>
        <w:t>Kazakhstan</w:t>
      </w:r>
      <w:r>
        <w:rPr>
          <w:rFonts w:ascii="Times New Roman" w:eastAsia="Times New Roman" w:hAnsi="Times New Roman" w:cs="Times New Roman"/>
          <w:sz w:val="24"/>
          <w:szCs w:val="24"/>
        </w:rPr>
        <w:t xml:space="preserve">. Our joint submission details our concerns </w:t>
      </w:r>
      <w:proofErr w:type="gramStart"/>
      <w:r>
        <w:rPr>
          <w:rFonts w:ascii="Times New Roman" w:eastAsia="Times New Roman" w:hAnsi="Times New Roman" w:cs="Times New Roman"/>
          <w:sz w:val="24"/>
          <w:szCs w:val="24"/>
        </w:rPr>
        <w:t>with regard to</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laws related to rape and other forms of sexual violence and procedures and practices which effectively deny access to justice for survivors of sexual violence.</w:t>
      </w:r>
      <w:r>
        <w:rPr>
          <w:rFonts w:ascii="Times New Roman" w:eastAsia="Times New Roman" w:hAnsi="Times New Roman" w:cs="Times New Roman"/>
          <w:sz w:val="24"/>
          <w:szCs w:val="24"/>
        </w:rPr>
        <w:t xml:space="preserve"> Specifically, Kazakhstan’s legal system provides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opportunities for perpetrators to escape criminal liability or punishment, namely through the way sexual violence crimes are defined; allowing for the direct release of a perpetrator from liability or punishment in certain circumstances; and through the way sexual violence crimes are investigated and prosecuted, including with respect to adolescent girls. </w:t>
      </w:r>
      <w:r>
        <w:rPr>
          <w:rFonts w:ascii="Times New Roman" w:eastAsia="Times New Roman" w:hAnsi="Times New Roman" w:cs="Times New Roman"/>
          <w:b/>
          <w:sz w:val="24"/>
          <w:szCs w:val="24"/>
        </w:rPr>
        <w:t>We recommend questions to be put before Kazakhstan by the Committee and the legal and practice change required to ensure that perpetrators of sexual violence are brought to justice and that survivors access justice.</w:t>
      </w:r>
    </w:p>
    <w:p w14:paraId="35227E68" w14:textId="77777777" w:rsidR="001404A6" w:rsidRDefault="00000000">
      <w:pPr>
        <w:spacing w:before="200"/>
        <w:ind w:right="337"/>
        <w:jc w:val="both"/>
        <w:rPr>
          <w:rFonts w:ascii="Times New Roman" w:eastAsia="Times New Roman" w:hAnsi="Times New Roman" w:cs="Times New Roman"/>
          <w:b/>
          <w:sz w:val="24"/>
          <w:szCs w:val="24"/>
        </w:rPr>
      </w:pPr>
      <w:bookmarkStart w:id="0" w:name="_heading=h.dp8bry4jx9q7" w:colFirst="0" w:colLast="0"/>
      <w:bookmarkEnd w:id="0"/>
      <w:r>
        <w:rPr>
          <w:rFonts w:ascii="Times New Roman" w:eastAsia="Times New Roman" w:hAnsi="Times New Roman" w:cs="Times New Roman"/>
          <w:b/>
          <w:sz w:val="24"/>
          <w:szCs w:val="24"/>
        </w:rPr>
        <w:t>Information about the authors of the submission</w:t>
      </w:r>
    </w:p>
    <w:p w14:paraId="07583014" w14:textId="77777777" w:rsidR="001404A6" w:rsidRDefault="00000000">
      <w:pPr>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Equality Now </w:t>
      </w:r>
      <w:r>
        <w:rPr>
          <w:rFonts w:ascii="Times New Roman" w:eastAsia="Times New Roman" w:hAnsi="Times New Roman" w:cs="Times New Roman"/>
          <w:sz w:val="24"/>
          <w:szCs w:val="24"/>
          <w:highlight w:val="white"/>
        </w:rPr>
        <w:t xml:space="preserve">is an international human rights organisation with ECOSOC status working to protect and promote the rights of women and girls worldwide since 1992, including through our membership network of individuals and organisations in over 160 countries. This submission is in reference to Equality Now’s 2019 report, “Roadblocks to Justice: How the </w:t>
      </w:r>
      <w:r>
        <w:rPr>
          <w:rFonts w:ascii="Times New Roman" w:eastAsia="Times New Roman" w:hAnsi="Times New Roman" w:cs="Times New Roman"/>
          <w:sz w:val="24"/>
          <w:szCs w:val="24"/>
          <w:highlight w:val="white"/>
        </w:rPr>
        <w:lastRenderedPageBreak/>
        <w:t>Law is Failing Survivors of Sexual Violence in Eurasia”</w:t>
      </w:r>
      <w:r>
        <w:rPr>
          <w:rFonts w:ascii="Times New Roman" w:eastAsia="Times New Roman" w:hAnsi="Times New Roman" w:cs="Times New Roman"/>
          <w:sz w:val="24"/>
          <w:szCs w:val="24"/>
          <w:highlight w:val="white"/>
          <w:vertAlign w:val="superscript"/>
        </w:rPr>
        <w:footnoteReference w:id="1"/>
      </w:r>
      <w:r>
        <w:rPr>
          <w:rFonts w:ascii="Times New Roman" w:eastAsia="Times New Roman" w:hAnsi="Times New Roman" w:cs="Times New Roman"/>
          <w:sz w:val="24"/>
          <w:szCs w:val="24"/>
          <w:highlight w:val="white"/>
        </w:rPr>
        <w:t xml:space="preserve"> which identified gaps in the law, thereby allowing for actual and potential impunity for perpetrators of sexual violence crimes.</w:t>
      </w:r>
    </w:p>
    <w:p w14:paraId="5D393001"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public fund “The Public Movement Against Violence #NeMolchi.Kz”</w:t>
      </w:r>
      <w:r>
        <w:rPr>
          <w:rFonts w:ascii="Times New Roman" w:eastAsia="Times New Roman" w:hAnsi="Times New Roman" w:cs="Times New Roman"/>
          <w:sz w:val="24"/>
          <w:szCs w:val="24"/>
        </w:rPr>
        <w:t xml:space="preserve"> is based in Almaty, Kazakhstan but operates across the country and in Central Asia more broadly. Since July 2016, it has been working as a public movement to protect the rights of women and children who have experienced different forms of violence.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cases that it deals with are sexual abuse, but it also works on domestic violence, economic violence and bride kidnapping. It provides legal, </w:t>
      </w:r>
      <w:proofErr w:type="gramStart"/>
      <w:r>
        <w:rPr>
          <w:rFonts w:ascii="Times New Roman" w:eastAsia="Times New Roman" w:hAnsi="Times New Roman" w:cs="Times New Roman"/>
          <w:sz w:val="24"/>
          <w:szCs w:val="24"/>
        </w:rPr>
        <w:t>psychological</w:t>
      </w:r>
      <w:proofErr w:type="gramEnd"/>
      <w:r>
        <w:rPr>
          <w:rFonts w:ascii="Times New Roman" w:eastAsia="Times New Roman" w:hAnsi="Times New Roman" w:cs="Times New Roman"/>
          <w:sz w:val="24"/>
          <w:szCs w:val="24"/>
        </w:rPr>
        <w:t xml:space="preserve"> and social support to survivors, organises training and seminars for youth and undertakes litigation in cases relating to child custody, property and alimony. </w:t>
      </w:r>
    </w:p>
    <w:p w14:paraId="75F36DCD"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Feminist League of Kazakhstan</w:t>
      </w:r>
      <w:r>
        <w:rPr>
          <w:rFonts w:ascii="Times New Roman" w:eastAsia="Times New Roman" w:hAnsi="Times New Roman" w:cs="Times New Roman"/>
          <w:sz w:val="24"/>
          <w:szCs w:val="24"/>
        </w:rPr>
        <w:t xml:space="preserve"> is an organisation with ECOSOC status, based in Almaty, Kazakhstan and was registered as an organisation in 1994. It has been advocating for equality in all spheres of life, including economic, political, social, cultural and within the family unit. It engages in fighting against sexism in education, </w:t>
      </w:r>
      <w:proofErr w:type="gramStart"/>
      <w:r>
        <w:rPr>
          <w:rFonts w:ascii="Times New Roman" w:eastAsia="Times New Roman" w:hAnsi="Times New Roman" w:cs="Times New Roman"/>
          <w:sz w:val="24"/>
          <w:szCs w:val="24"/>
        </w:rPr>
        <w:t>culture</w:t>
      </w:r>
      <w:proofErr w:type="gramEnd"/>
      <w:r>
        <w:rPr>
          <w:rFonts w:ascii="Times New Roman" w:eastAsia="Times New Roman" w:hAnsi="Times New Roman" w:cs="Times New Roman"/>
          <w:sz w:val="24"/>
          <w:szCs w:val="24"/>
        </w:rPr>
        <w:t xml:space="preserve"> and the media, creating a space for feminist culture and examining laws relating to women and making recommendations to the Kazakh government. </w:t>
      </w:r>
    </w:p>
    <w:p w14:paraId="16C850B4"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legal provisions and practices detailed in this submission highlight the failure of the State to comply with its obligations under </w:t>
      </w:r>
      <w:r>
        <w:rPr>
          <w:rFonts w:ascii="Times New Roman" w:eastAsia="Times New Roman" w:hAnsi="Times New Roman" w:cs="Times New Roman"/>
          <w:b/>
          <w:sz w:val="24"/>
          <w:szCs w:val="24"/>
        </w:rPr>
        <w:t>Article 2</w:t>
      </w:r>
      <w:r>
        <w:rPr>
          <w:rFonts w:ascii="Times New Roman" w:eastAsia="Times New Roman" w:hAnsi="Times New Roman" w:cs="Times New Roman"/>
          <w:sz w:val="24"/>
          <w:szCs w:val="24"/>
        </w:rPr>
        <w:t xml:space="preserve"> (non-discrimination), </w:t>
      </w:r>
      <w:r>
        <w:rPr>
          <w:rFonts w:ascii="Times New Roman" w:eastAsia="Times New Roman" w:hAnsi="Times New Roman" w:cs="Times New Roman"/>
          <w:b/>
          <w:sz w:val="24"/>
          <w:szCs w:val="24"/>
        </w:rPr>
        <w:t>Article 3</w:t>
      </w:r>
      <w:r>
        <w:rPr>
          <w:rFonts w:ascii="Times New Roman" w:eastAsia="Times New Roman" w:hAnsi="Times New Roman" w:cs="Times New Roman"/>
          <w:sz w:val="24"/>
          <w:szCs w:val="24"/>
        </w:rPr>
        <w:t xml:space="preserve"> (equality for men and women), </w:t>
      </w:r>
      <w:r>
        <w:rPr>
          <w:rFonts w:ascii="Times New Roman" w:eastAsia="Times New Roman" w:hAnsi="Times New Roman" w:cs="Times New Roman"/>
          <w:b/>
          <w:sz w:val="24"/>
          <w:szCs w:val="24"/>
        </w:rPr>
        <w:t>Article 7</w:t>
      </w:r>
      <w:r>
        <w:rPr>
          <w:rFonts w:ascii="Times New Roman" w:eastAsia="Times New Roman" w:hAnsi="Times New Roman" w:cs="Times New Roman"/>
          <w:sz w:val="24"/>
          <w:szCs w:val="24"/>
        </w:rPr>
        <w:t xml:space="preserve"> (prohibition of inhuman treatment) and </w:t>
      </w:r>
      <w:r>
        <w:rPr>
          <w:rFonts w:ascii="Times New Roman" w:eastAsia="Times New Roman" w:hAnsi="Times New Roman" w:cs="Times New Roman"/>
          <w:b/>
          <w:sz w:val="24"/>
          <w:szCs w:val="24"/>
        </w:rPr>
        <w:t xml:space="preserve">Article 26 </w:t>
      </w:r>
      <w:r>
        <w:rPr>
          <w:rFonts w:ascii="Times New Roman" w:eastAsia="Times New Roman" w:hAnsi="Times New Roman" w:cs="Times New Roman"/>
          <w:sz w:val="24"/>
          <w:szCs w:val="24"/>
        </w:rPr>
        <w:t xml:space="preserve">(equality before the law) of the ICCPR. Specifically, this submission details Kazakhstan’s failure </w:t>
      </w:r>
      <w:proofErr w:type="gramStart"/>
      <w:r>
        <w:rPr>
          <w:rFonts w:ascii="Times New Roman" w:eastAsia="Times New Roman" w:hAnsi="Times New Roman" w:cs="Times New Roman"/>
          <w:sz w:val="24"/>
          <w:szCs w:val="24"/>
        </w:rPr>
        <w:t>with regard to</w:t>
      </w:r>
      <w:proofErr w:type="gramEnd"/>
      <w:r>
        <w:rPr>
          <w:rFonts w:ascii="Times New Roman" w:eastAsia="Times New Roman" w:hAnsi="Times New Roman" w:cs="Times New Roman"/>
          <w:sz w:val="24"/>
          <w:szCs w:val="24"/>
        </w:rPr>
        <w:t xml:space="preserve"> laws, procedures and practices related to rape and other forms of sexual violence which effectively deny survivors of sexual violence access to justice.</w:t>
      </w:r>
    </w:p>
    <w:p w14:paraId="1DCCCD5A"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reiterate the Concluding Observations on the second periodic report of Kazakhstan</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and underline</w:t>
      </w:r>
      <w:proofErr w:type="gramStart"/>
      <w:r>
        <w:rPr>
          <w:rFonts w:ascii="Times New Roman" w:eastAsia="Times New Roman" w:hAnsi="Times New Roman" w:cs="Times New Roman"/>
          <w:sz w:val="24"/>
          <w:szCs w:val="24"/>
        </w:rPr>
        <w:t>, in particular, the</w:t>
      </w:r>
      <w:proofErr w:type="gramEnd"/>
      <w:r>
        <w:rPr>
          <w:rFonts w:ascii="Times New Roman" w:eastAsia="Times New Roman" w:hAnsi="Times New Roman" w:cs="Times New Roman"/>
          <w:sz w:val="24"/>
          <w:szCs w:val="24"/>
        </w:rPr>
        <w:t xml:space="preserve"> recommendations urging the government to: </w:t>
      </w:r>
    </w:p>
    <w:p w14:paraId="54EEC5DE" w14:textId="77777777" w:rsidR="001404A6" w:rsidRDefault="00000000">
      <w:pPr>
        <w:widowControl w:val="0"/>
        <w:numPr>
          <w:ilvl w:val="1"/>
          <w:numId w:val="1"/>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 preventive measures, including raising awareness of the unacceptability and adverse impact of violence against </w:t>
      </w:r>
      <w:proofErr w:type="gramStart"/>
      <w:r>
        <w:rPr>
          <w:rFonts w:ascii="Times New Roman" w:eastAsia="Times New Roman" w:hAnsi="Times New Roman" w:cs="Times New Roman"/>
          <w:sz w:val="24"/>
          <w:szCs w:val="24"/>
        </w:rPr>
        <w:t>women;</w:t>
      </w:r>
      <w:proofErr w:type="gramEnd"/>
    </w:p>
    <w:p w14:paraId="6729BD1F" w14:textId="77777777" w:rsidR="001404A6" w:rsidRDefault="00000000">
      <w:pPr>
        <w:widowControl w:val="0"/>
        <w:numPr>
          <w:ilvl w:val="1"/>
          <w:numId w:val="1"/>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Encourage reporting of such cases, inter alia, by systematically informing women of their rights and of the existing legal avenues through which they can receive </w:t>
      </w:r>
      <w:proofErr w:type="gramStart"/>
      <w:r>
        <w:rPr>
          <w:rFonts w:ascii="Times New Roman" w:eastAsia="Times New Roman" w:hAnsi="Times New Roman" w:cs="Times New Roman"/>
          <w:sz w:val="24"/>
          <w:szCs w:val="24"/>
        </w:rPr>
        <w:t>protection;</w:t>
      </w:r>
      <w:proofErr w:type="gramEnd"/>
      <w:r>
        <w:rPr>
          <w:rFonts w:ascii="Times New Roman" w:eastAsia="Times New Roman" w:hAnsi="Times New Roman" w:cs="Times New Roman"/>
          <w:sz w:val="24"/>
          <w:szCs w:val="24"/>
        </w:rPr>
        <w:t xml:space="preserve"> </w:t>
      </w:r>
    </w:p>
    <w:p w14:paraId="4749488B" w14:textId="77777777" w:rsidR="001404A6" w:rsidRDefault="00000000">
      <w:pPr>
        <w:widowControl w:val="0"/>
        <w:numPr>
          <w:ilvl w:val="1"/>
          <w:numId w:val="1"/>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 the human and financial capacity of special divisions working on violence against women and ensuring that law enforcement, the judiciary, social workers and medical staff receive appropriate training on how to detect and deal properly with cases of violence against </w:t>
      </w:r>
      <w:proofErr w:type="gramStart"/>
      <w:r>
        <w:rPr>
          <w:rFonts w:ascii="Times New Roman" w:eastAsia="Times New Roman" w:hAnsi="Times New Roman" w:cs="Times New Roman"/>
          <w:sz w:val="24"/>
          <w:szCs w:val="24"/>
        </w:rPr>
        <w:t>women;</w:t>
      </w:r>
      <w:proofErr w:type="gramEnd"/>
    </w:p>
    <w:p w14:paraId="6170E71E" w14:textId="77777777" w:rsidR="001404A6" w:rsidRDefault="00000000">
      <w:pPr>
        <w:widowControl w:val="0"/>
        <w:numPr>
          <w:ilvl w:val="1"/>
          <w:numId w:val="1"/>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Ensuring that all cases of violence against women are promptly and thoroughly investigated, that perpetrators are brought to justice, and that victims have access to remedies and means of protection, including sufficient, </w:t>
      </w:r>
      <w:proofErr w:type="gramStart"/>
      <w:r>
        <w:rPr>
          <w:rFonts w:ascii="Times New Roman" w:eastAsia="Times New Roman" w:hAnsi="Times New Roman" w:cs="Times New Roman"/>
          <w:sz w:val="24"/>
          <w:szCs w:val="24"/>
        </w:rPr>
        <w:t>safe</w:t>
      </w:r>
      <w:proofErr w:type="gramEnd"/>
      <w:r>
        <w:rPr>
          <w:rFonts w:ascii="Times New Roman" w:eastAsia="Times New Roman" w:hAnsi="Times New Roman" w:cs="Times New Roman"/>
          <w:sz w:val="24"/>
          <w:szCs w:val="24"/>
        </w:rPr>
        <w:t xml:space="preserve"> and adequately funded shelters/crisis centres and suitable support services throughout the country.</w:t>
      </w:r>
    </w:p>
    <w:p w14:paraId="435F55F2" w14:textId="77777777" w:rsidR="001404A6" w:rsidRDefault="001404A6">
      <w:pPr>
        <w:widowControl w:val="0"/>
        <w:spacing w:before="200"/>
        <w:ind w:right="337"/>
        <w:jc w:val="both"/>
        <w:rPr>
          <w:rFonts w:ascii="Times New Roman" w:eastAsia="Times New Roman" w:hAnsi="Times New Roman" w:cs="Times New Roman"/>
          <w:b/>
          <w:sz w:val="24"/>
          <w:szCs w:val="24"/>
        </w:rPr>
      </w:pPr>
    </w:p>
    <w:p w14:paraId="3B70FBE8" w14:textId="77777777" w:rsidR="001404A6" w:rsidRDefault="001404A6">
      <w:pPr>
        <w:widowControl w:val="0"/>
        <w:spacing w:before="200"/>
        <w:ind w:right="337"/>
        <w:jc w:val="both"/>
        <w:rPr>
          <w:rFonts w:ascii="Times New Roman" w:eastAsia="Times New Roman" w:hAnsi="Times New Roman" w:cs="Times New Roman"/>
          <w:b/>
          <w:sz w:val="24"/>
          <w:szCs w:val="24"/>
        </w:rPr>
      </w:pPr>
    </w:p>
    <w:p w14:paraId="787CC8B2" w14:textId="77777777" w:rsidR="001404A6" w:rsidRDefault="00000000">
      <w:pPr>
        <w:widowControl w:val="0"/>
        <w:spacing w:before="200"/>
        <w:ind w:right="33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Definitions of sexual violence crimes are not in compliance with international standards and enable impunity for perpetrators </w:t>
      </w:r>
    </w:p>
    <w:p w14:paraId="662C5790"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legislation of Kazakhstan does not provide a consent-based definition of rape as provided by international human rights standards.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Instead, the constituent elements of the definition of rape in the Criminal Code of Kazakhstan (Article 120) are violence, threat of violence or abusing the helpless condition of the victim. ‘Violent acts of a sexual nature’ (Article 121),</w:t>
      </w:r>
      <w:r>
        <w:rPr>
          <w:rFonts w:ascii="Times New Roman" w:eastAsia="Times New Roman" w:hAnsi="Times New Roman" w:cs="Times New Roman"/>
          <w:color w:val="0E101A"/>
          <w:sz w:val="24"/>
          <w:szCs w:val="24"/>
        </w:rPr>
        <w:t xml:space="preserve"> which do not fall under the definition of rape in the Criminal Code of </w:t>
      </w:r>
      <w:r>
        <w:rPr>
          <w:rFonts w:ascii="Times New Roman" w:eastAsia="Times New Roman" w:hAnsi="Times New Roman" w:cs="Times New Roman"/>
          <w:sz w:val="24"/>
          <w:szCs w:val="24"/>
        </w:rPr>
        <w:t>Kazakhstan</w:t>
      </w:r>
      <w:r>
        <w:rPr>
          <w:rFonts w:ascii="Times New Roman" w:eastAsia="Times New Roman" w:hAnsi="Times New Roman" w:cs="Times New Roman"/>
          <w:color w:val="0E101A"/>
          <w:sz w:val="24"/>
          <w:szCs w:val="24"/>
        </w:rPr>
        <w:t xml:space="preserve">, still require the sexual act to have been committed with the use of violence, threat of violence or abusing the helpless state of the victim. In contrast to the behaviour criminalised under the offence of rape, this provision applies to penile and non-penile penetration of </w:t>
      </w:r>
      <w:r>
        <w:rPr>
          <w:rFonts w:ascii="Times New Roman" w:eastAsia="Times New Roman" w:hAnsi="Times New Roman" w:cs="Times New Roman"/>
          <w:i/>
          <w:color w:val="0E101A"/>
          <w:sz w:val="24"/>
          <w:szCs w:val="24"/>
        </w:rPr>
        <w:t>other orifices</w:t>
      </w:r>
      <w:r>
        <w:rPr>
          <w:rFonts w:ascii="Times New Roman" w:eastAsia="Times New Roman" w:hAnsi="Times New Roman" w:cs="Times New Roman"/>
          <w:color w:val="0E101A"/>
          <w:sz w:val="24"/>
          <w:szCs w:val="24"/>
        </w:rPr>
        <w:t xml:space="preserve"> and can also be committed by persons of the same sex. Derogatory terminology is used in the definition of the crime, namely “sodomy, lesbianism or other acts of a sexual nature in a perverted form”. </w:t>
      </w:r>
    </w:p>
    <w:p w14:paraId="4E2815BD" w14:textId="77777777" w:rsidR="001404A6" w:rsidRDefault="00000000">
      <w:pPr>
        <w:widowControl w:val="0"/>
        <w:numPr>
          <w:ilvl w:val="0"/>
          <w:numId w:val="3"/>
        </w:numPr>
        <w:spacing w:before="200"/>
        <w:ind w:right="337"/>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the Criminal Code of Kazakhstan (Article 123),</w:t>
      </w:r>
      <w:r>
        <w:rPr>
          <w:rFonts w:ascii="Times New Roman" w:eastAsia="Times New Roman" w:hAnsi="Times New Roman" w:cs="Times New Roman"/>
          <w:color w:val="0E101A"/>
          <w:sz w:val="24"/>
          <w:szCs w:val="24"/>
          <w:vertAlign w:val="superscript"/>
        </w:rPr>
        <w:footnoteReference w:id="4"/>
      </w:r>
      <w:r>
        <w:rPr>
          <w:rFonts w:ascii="Times New Roman" w:eastAsia="Times New Roman" w:hAnsi="Times New Roman" w:cs="Times New Roman"/>
          <w:color w:val="0E101A"/>
          <w:sz w:val="24"/>
          <w:szCs w:val="24"/>
        </w:rPr>
        <w:t xml:space="preserve"> the crime of ‘compulsion or coercion into sexual intercourse or other acts of a sexual nature’ involves any of the types of behaviour criminalised by the offences of rape and assault of a sexual nature, but that have been committed by blackmail, threats to destroy, damage, or confiscate property, or by using the material or other dependence of the victim. This offence is classified as a less serious crime under the general classification of crimes, as well as less serious than the other two offences and carries lower penalties.</w:t>
      </w:r>
      <w:r>
        <w:rPr>
          <w:rFonts w:ascii="Times New Roman" w:eastAsia="Times New Roman" w:hAnsi="Times New Roman" w:cs="Times New Roman"/>
          <w:color w:val="0E101A"/>
          <w:sz w:val="24"/>
          <w:szCs w:val="24"/>
          <w:vertAlign w:val="superscript"/>
        </w:rPr>
        <w:footnoteReference w:id="5"/>
      </w:r>
      <w:r>
        <w:rPr>
          <w:rFonts w:ascii="Times New Roman" w:eastAsia="Times New Roman" w:hAnsi="Times New Roman" w:cs="Times New Roman"/>
          <w:color w:val="0E101A"/>
          <w:sz w:val="24"/>
          <w:szCs w:val="24"/>
        </w:rPr>
        <w:t xml:space="preserve"> The problematic assumption behind this definition is a myth that if an act is not committed by using physical violence or serious threats to life and health, it cannot amount to rape and should only be criminalised as a minor crime. This presumption ignores other, and many times equally serious, means which perpetrators use to overcome the genuine and free will of the victim. The recent Baseline Evaluation Report on Georgia by the Group of Experts on Action against Violence against Women and Domestic Violence (GREVIO) under the </w:t>
      </w:r>
      <w:r>
        <w:rPr>
          <w:rFonts w:ascii="Times New Roman" w:eastAsia="Times New Roman" w:hAnsi="Times New Roman" w:cs="Times New Roman"/>
          <w:sz w:val="24"/>
          <w:szCs w:val="24"/>
        </w:rPr>
        <w:t xml:space="preserve">Council of Europe Convention on preventing and combating violence against women and domestic violence (Istanbul Convention), </w:t>
      </w:r>
      <w:r>
        <w:rPr>
          <w:rFonts w:ascii="Times New Roman" w:eastAsia="Times New Roman" w:hAnsi="Times New Roman" w:cs="Times New Roman"/>
          <w:color w:val="0E101A"/>
          <w:sz w:val="24"/>
          <w:szCs w:val="24"/>
        </w:rPr>
        <w:t>which analysed the similar legislative construction of the Criminal Code of Georgia, stated that having a crime of coercion/compulsion, which is equivalent to rape but is treated as a less serious crime, “</w:t>
      </w:r>
      <w:r>
        <w:rPr>
          <w:rFonts w:ascii="Times New Roman" w:eastAsia="Times New Roman" w:hAnsi="Times New Roman" w:cs="Times New Roman"/>
          <w:sz w:val="24"/>
          <w:szCs w:val="24"/>
        </w:rPr>
        <w:t>reinforces the myth that rape always involves physical force or threat thereof”</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lastRenderedPageBreak/>
        <w:t>reinforces the notion of a hierarchy of rape victims.</w:t>
      </w:r>
      <w:r>
        <w:rPr>
          <w:rFonts w:ascii="Times New Roman" w:eastAsia="Times New Roman" w:hAnsi="Times New Roman" w:cs="Times New Roman"/>
          <w:sz w:val="24"/>
          <w:szCs w:val="24"/>
          <w:vertAlign w:val="superscript"/>
        </w:rPr>
        <w:footnoteReference w:id="7"/>
      </w:r>
    </w:p>
    <w:p w14:paraId="72D6D91C" w14:textId="77777777" w:rsidR="001404A6" w:rsidRDefault="00000000">
      <w:pPr>
        <w:numPr>
          <w:ilvl w:val="0"/>
          <w:numId w:val="3"/>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the legislation of Kazakhstan does not criminalise causing another person to engage in non-consensual acts of a sexual nature with a third person (Istanbul Convention, Article 36, paragraph 1</w:t>
      </w:r>
      <w:r>
        <w:rPr>
          <w:rFonts w:ascii="Times New Roman" w:eastAsia="Times New Roman" w:hAnsi="Times New Roman" w:cs="Times New Roman"/>
          <w:i/>
          <w:sz w:val="24"/>
          <w:szCs w:val="24"/>
        </w:rPr>
        <w:t>c</w:t>
      </w:r>
      <w:r>
        <w:rPr>
          <w:rFonts w:ascii="Times New Roman" w:eastAsia="Times New Roman" w:hAnsi="Times New Roman" w:cs="Times New Roman"/>
          <w:sz w:val="24"/>
          <w:szCs w:val="24"/>
        </w:rPr>
        <w:t>).</w:t>
      </w:r>
    </w:p>
    <w:p w14:paraId="37540521" w14:textId="77777777" w:rsidR="001404A6" w:rsidRDefault="00000000">
      <w:pPr>
        <w:widowControl w:val="0"/>
        <w:numPr>
          <w:ilvl w:val="0"/>
          <w:numId w:val="3"/>
        </w:numPr>
        <w:spacing w:before="200"/>
        <w:ind w:right="337"/>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 xml:space="preserve">While existing definitions of sexual violence are problematic for the </w:t>
      </w:r>
      <w:proofErr w:type="gramStart"/>
      <w:r>
        <w:rPr>
          <w:rFonts w:ascii="Times New Roman" w:eastAsia="Times New Roman" w:hAnsi="Times New Roman" w:cs="Times New Roman"/>
          <w:sz w:val="24"/>
          <w:szCs w:val="24"/>
        </w:rPr>
        <w:t>above mentioned</w:t>
      </w:r>
      <w:proofErr w:type="gramEnd"/>
      <w:r>
        <w:rPr>
          <w:rFonts w:ascii="Times New Roman" w:eastAsia="Times New Roman" w:hAnsi="Times New Roman" w:cs="Times New Roman"/>
          <w:sz w:val="24"/>
          <w:szCs w:val="24"/>
        </w:rPr>
        <w:t xml:space="preserve"> reasons, survivors’ access to justice is further hindered by the excessive formalism of investigators, prosecutors and judges.</w:t>
      </w:r>
    </w:p>
    <w:p w14:paraId="2D558381" w14:textId="77777777" w:rsidR="001404A6" w:rsidRDefault="00000000">
      <w:pPr>
        <w:widowControl w:val="0"/>
        <w:numPr>
          <w:ilvl w:val="1"/>
          <w:numId w:val="3"/>
        </w:numPr>
        <w:spacing w:before="200"/>
        <w:ind w:right="337"/>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“Violence” is primarily interpreted as the use of physical force </w:t>
      </w:r>
      <w:r>
        <w:rPr>
          <w:rFonts w:ascii="Times New Roman" w:eastAsia="Times New Roman" w:hAnsi="Times New Roman" w:cs="Times New Roman"/>
          <w:sz w:val="24"/>
          <w:szCs w:val="24"/>
        </w:rPr>
        <w:t xml:space="preserve">rather than also including psychological or economic harm or of any other form of coercion. </w:t>
      </w:r>
    </w:p>
    <w:p w14:paraId="44A2AE66" w14:textId="77777777" w:rsidR="001404A6" w:rsidRDefault="00000000">
      <w:pPr>
        <w:widowControl w:val="0"/>
        <w:numPr>
          <w:ilvl w:val="1"/>
          <w:numId w:val="3"/>
        </w:numPr>
        <w:spacing w:before="200"/>
        <w:ind w:right="337"/>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The definition of a ‘threat’ is limited to threats of murder or inflicting serious bodily harm. Blackmail and some other forms of psychological violence as a means of committing rape would likely be prosecuted as compulsion or coercion which carry a lesser sentence despite being effectively the same crime. In addition, threats of violence need to be a threat of ‘imminent’ violence. Threats of future violence, no matter how severe, are not considered as an element of rape.</w:t>
      </w:r>
    </w:p>
    <w:p w14:paraId="30096449"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where the victim may have suffered additional forms of serious physical injuries while being subjected to rape, the local organisations’ experience suggests that they are not being recorded as separate offences by the authorities. In cases where rape is alleged but there is no additional serious physical harm, the courts may even dismiss the rape charge. It is common practice that nobody, including law enforcement and the courts, will believe that rape was committed when there is no shouting, witnesses, </w:t>
      </w:r>
      <w:proofErr w:type="gramStart"/>
      <w:r>
        <w:rPr>
          <w:rFonts w:ascii="Times New Roman" w:eastAsia="Times New Roman" w:hAnsi="Times New Roman" w:cs="Times New Roman"/>
          <w:sz w:val="24"/>
          <w:szCs w:val="24"/>
        </w:rPr>
        <w:t>resistance</w:t>
      </w:r>
      <w:proofErr w:type="gramEnd"/>
      <w:r>
        <w:rPr>
          <w:rFonts w:ascii="Times New Roman" w:eastAsia="Times New Roman" w:hAnsi="Times New Roman" w:cs="Times New Roman"/>
          <w:sz w:val="24"/>
          <w:szCs w:val="24"/>
        </w:rPr>
        <w:t xml:space="preserve"> or additional injuries. While the “helpless state of the victim” is included in the definition of rape as an alternative element to the requirement for additional violence on the part of the perpetrator, in practice there does not appear to be a common understanding about what “helpless state” means, but generally it has not included helpless state caused by being a victim of domestic violence for </w:t>
      </w:r>
      <w:proofErr w:type="gramStart"/>
      <w:r>
        <w:rPr>
          <w:rFonts w:ascii="Times New Roman" w:eastAsia="Times New Roman" w:hAnsi="Times New Roman" w:cs="Times New Roman"/>
          <w:sz w:val="24"/>
          <w:szCs w:val="24"/>
        </w:rPr>
        <w:t>example, or</w:t>
      </w:r>
      <w:proofErr w:type="gramEnd"/>
      <w:r>
        <w:rPr>
          <w:rFonts w:ascii="Times New Roman" w:eastAsia="Times New Roman" w:hAnsi="Times New Roman" w:cs="Times New Roman"/>
          <w:sz w:val="24"/>
          <w:szCs w:val="24"/>
        </w:rPr>
        <w:t xml:space="preserve"> being subjected to psychological pressure.</w:t>
      </w:r>
    </w:p>
    <w:p w14:paraId="73590734"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contrary to international and regional standards, Articles 120, 121 and 123 (where Article 123 criminalises compulsion to sexual acts) do not include the lack of voluntary and genuine consent on the part of the victim as a constituent element for sexual violence crimes. As well as neglecting the importance of consent, the reviewed sexual violence laws do not enumerate a wide range of coercive circumstances that can overcome the will of the victim. </w:t>
      </w:r>
    </w:p>
    <w:p w14:paraId="3976490E"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it comes to girls and adolescent girls, the </w:t>
      </w:r>
      <w:proofErr w:type="spellStart"/>
      <w:r>
        <w:rPr>
          <w:rFonts w:ascii="Times New Roman" w:eastAsia="Times New Roman" w:hAnsi="Times New Roman" w:cs="Times New Roman"/>
          <w:sz w:val="24"/>
          <w:szCs w:val="24"/>
        </w:rPr>
        <w:t>Сriminal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Сode</w:t>
      </w:r>
      <w:proofErr w:type="spellEnd"/>
      <w:r>
        <w:rPr>
          <w:rFonts w:ascii="Times New Roman" w:eastAsia="Times New Roman" w:hAnsi="Times New Roman" w:cs="Times New Roman"/>
          <w:sz w:val="24"/>
          <w:szCs w:val="24"/>
        </w:rPr>
        <w:t xml:space="preserve"> of Kazakhstan differentiates between sexual intercourse with a person under 16 years (statutory rape, Article 122) and rape of/assault of a sexual nature against a person under 18 years (committed by violence, the threat of violence or abusing the victim’s helplessness, Articles 120 and 121, where the age of a victim is an aggravating factor). </w:t>
      </w:r>
    </w:p>
    <w:p w14:paraId="09DD7EF9"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 Article 122, there is a very problematic assumption that the underage person consented, </w:t>
      </w:r>
      <w:proofErr w:type="gramStart"/>
      <w:r>
        <w:rPr>
          <w:rFonts w:ascii="Times New Roman" w:eastAsia="Times New Roman" w:hAnsi="Times New Roman" w:cs="Times New Roman"/>
          <w:sz w:val="24"/>
          <w:szCs w:val="24"/>
        </w:rPr>
        <w:t>wanted</w:t>
      </w:r>
      <w:proofErr w:type="gramEnd"/>
      <w:r>
        <w:rPr>
          <w:rFonts w:ascii="Times New Roman" w:eastAsia="Times New Roman" w:hAnsi="Times New Roman" w:cs="Times New Roman"/>
          <w:sz w:val="24"/>
          <w:szCs w:val="24"/>
        </w:rPr>
        <w:t xml:space="preserve"> or even initiated sexual intercourse with an adult, which can put the blame on the underaged person instead of the perpetrator and affect the way the perpetrator might </w:t>
      </w:r>
      <w:r>
        <w:rPr>
          <w:rFonts w:ascii="Times New Roman" w:eastAsia="Times New Roman" w:hAnsi="Times New Roman" w:cs="Times New Roman"/>
          <w:sz w:val="24"/>
          <w:szCs w:val="24"/>
        </w:rPr>
        <w:lastRenderedPageBreak/>
        <w:t>be treated by the criminal justice system. The clarification from the Supreme Court</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provides that “[t]he helpless state [to qualify actions as rape or assault of a sexual nature] shall be understood as the victim’s inability due to her physical or mental condition, minor [under the age of 14</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elderly age, physical defects, mental disorder, other painful or unconscious condition, etc.) to resist the perpetrator </w:t>
      </w:r>
      <w:r>
        <w:rPr>
          <w:rFonts w:ascii="Times New Roman" w:eastAsia="Times New Roman" w:hAnsi="Times New Roman" w:cs="Times New Roman"/>
          <w:b/>
          <w:sz w:val="24"/>
          <w:szCs w:val="24"/>
        </w:rPr>
        <w:t>who was aware</w:t>
      </w:r>
      <w:r>
        <w:rPr>
          <w:rFonts w:ascii="Times New Roman" w:eastAsia="Times New Roman" w:hAnsi="Times New Roman" w:cs="Times New Roman"/>
          <w:sz w:val="24"/>
          <w:szCs w:val="24"/>
        </w:rPr>
        <w:t xml:space="preserve"> that the victim is in such state” (emphasis added). However, in practice, if a victim is under the age of 14, the actions of the perpetrator are still not qualified as either rape or violent action of a sexual nature because </w:t>
      </w:r>
      <w:proofErr w:type="gramStart"/>
      <w:r>
        <w:rPr>
          <w:rFonts w:ascii="Times New Roman" w:eastAsia="Times New Roman" w:hAnsi="Times New Roman" w:cs="Times New Roman"/>
          <w:sz w:val="24"/>
          <w:szCs w:val="24"/>
        </w:rPr>
        <w:t>authorities</w:t>
      </w:r>
      <w:proofErr w:type="gramEnd"/>
      <w:r>
        <w:rPr>
          <w:rFonts w:ascii="Times New Roman" w:eastAsia="Times New Roman" w:hAnsi="Times New Roman" w:cs="Times New Roman"/>
          <w:sz w:val="24"/>
          <w:szCs w:val="24"/>
        </w:rPr>
        <w:t xml:space="preserve"> side with the perpetrator who says that the girl did not look underage, but looked older.</w:t>
      </w:r>
    </w:p>
    <w:p w14:paraId="115CC49E" w14:textId="77777777" w:rsidR="001404A6" w:rsidRDefault="001404A6">
      <w:pPr>
        <w:widowControl w:val="0"/>
        <w:spacing w:before="200"/>
        <w:ind w:right="337"/>
        <w:jc w:val="both"/>
        <w:rPr>
          <w:rFonts w:ascii="Times New Roman" w:eastAsia="Times New Roman" w:hAnsi="Times New Roman" w:cs="Times New Roman"/>
          <w:sz w:val="24"/>
          <w:szCs w:val="24"/>
        </w:rPr>
      </w:pPr>
    </w:p>
    <w:p w14:paraId="2EEF90AE" w14:textId="77777777" w:rsidR="001404A6" w:rsidRDefault="00000000">
      <w:pPr>
        <w:widowControl w:val="0"/>
        <w:spacing w:before="200"/>
        <w:ind w:right="33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Failure to provide mandatory prosecution for sexual violence and legal provisions allowing impunity for perpetrators of sexual violence</w:t>
      </w:r>
    </w:p>
    <w:p w14:paraId="378E2E4A" w14:textId="77777777" w:rsidR="001404A6" w:rsidRDefault="001404A6">
      <w:pPr>
        <w:widowControl w:val="0"/>
        <w:spacing w:before="200"/>
        <w:ind w:right="337"/>
        <w:jc w:val="both"/>
        <w:rPr>
          <w:rFonts w:ascii="Times New Roman" w:eastAsia="Times New Roman" w:hAnsi="Times New Roman" w:cs="Times New Roman"/>
          <w:b/>
          <w:sz w:val="24"/>
          <w:szCs w:val="24"/>
        </w:rPr>
      </w:pPr>
    </w:p>
    <w:p w14:paraId="6492A6DF" w14:textId="77777777" w:rsidR="001404A6" w:rsidRDefault="00000000">
      <w:pPr>
        <w:widowControl w:val="0"/>
        <w:numPr>
          <w:ilvl w:val="0"/>
          <w:numId w:val="3"/>
        </w:numPr>
        <w:pBdr>
          <w:top w:val="nil"/>
          <w:left w:val="nil"/>
          <w:bottom w:val="nil"/>
          <w:right w:val="nil"/>
          <w:between w:val="nil"/>
        </w:pBdr>
        <w:spacing w:before="200"/>
        <w:ind w:left="714" w:right="335" w:hanging="35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While provisions allowing termination of criminal proceedings upon reconciliation of the parties were mostly repealed, there are still provisions allowing impunity for perpetrators of sexual violence. </w:t>
      </w:r>
      <w:r>
        <w:rPr>
          <w:rFonts w:ascii="Times New Roman" w:eastAsia="Times New Roman" w:hAnsi="Times New Roman" w:cs="Times New Roman"/>
          <w:color w:val="000000"/>
          <w:sz w:val="24"/>
          <w:szCs w:val="24"/>
        </w:rPr>
        <w:t xml:space="preserve">Under Article 35(5) of the Code of Criminal Procedure “Circumstances precluding the proceedings”, a criminal case is subject to termination in the absence of a complaint from a victim in cases under Articles 120(1) and 121(1) </w:t>
      </w:r>
      <w:r>
        <w:rPr>
          <w:rFonts w:ascii="Times New Roman" w:eastAsia="Times New Roman" w:hAnsi="Times New Roman" w:cs="Times New Roman"/>
          <w:sz w:val="24"/>
          <w:szCs w:val="24"/>
        </w:rPr>
        <w:t>(non-aggravated r</w:t>
      </w:r>
      <w:r>
        <w:rPr>
          <w:rFonts w:ascii="Times New Roman" w:eastAsia="Times New Roman" w:hAnsi="Times New Roman" w:cs="Times New Roman"/>
          <w:color w:val="000000"/>
          <w:sz w:val="24"/>
          <w:szCs w:val="24"/>
        </w:rPr>
        <w:t xml:space="preserve">ape </w:t>
      </w:r>
      <w:r>
        <w:rPr>
          <w:rFonts w:ascii="Times New Roman" w:eastAsia="Times New Roman" w:hAnsi="Times New Roman" w:cs="Times New Roman"/>
          <w:sz w:val="24"/>
          <w:szCs w:val="24"/>
        </w:rPr>
        <w:t>and</w:t>
      </w:r>
      <w:r>
        <w:rPr>
          <w:rFonts w:ascii="Times New Roman" w:eastAsia="Times New Roman" w:hAnsi="Times New Roman" w:cs="Times New Roman"/>
          <w:color w:val="000000"/>
          <w:sz w:val="24"/>
          <w:szCs w:val="24"/>
        </w:rPr>
        <w:t xml:space="preserve"> violent action of a sexual nature). </w:t>
      </w:r>
    </w:p>
    <w:p w14:paraId="6918989E" w14:textId="77777777" w:rsidR="001404A6" w:rsidRDefault="00000000">
      <w:pPr>
        <w:widowControl w:val="0"/>
        <w:numPr>
          <w:ilvl w:val="0"/>
          <w:numId w:val="3"/>
        </w:numPr>
        <w:pBdr>
          <w:top w:val="nil"/>
          <w:left w:val="nil"/>
          <w:bottom w:val="nil"/>
          <w:right w:val="nil"/>
          <w:between w:val="nil"/>
        </w:pBdr>
        <w:spacing w:before="200"/>
        <w:ind w:left="714" w:right="335" w:hanging="35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lack of mandatory (ex officio) prosecution for sexual violence denies justice to survivors and is contrary to international human rights standards. </w:t>
      </w:r>
      <w:r>
        <w:rPr>
          <w:rFonts w:ascii="Times New Roman" w:eastAsia="Times New Roman" w:hAnsi="Times New Roman" w:cs="Times New Roman"/>
          <w:sz w:val="24"/>
          <w:szCs w:val="24"/>
        </w:rPr>
        <w:t xml:space="preserve">Criminal cases under Articles 120(1) and 121(1) of the Criminal code (non-aggravated rape or violent action of a sexual nature) </w:t>
      </w:r>
      <w:proofErr w:type="gramStart"/>
      <w:r>
        <w:rPr>
          <w:rFonts w:ascii="Times New Roman" w:eastAsia="Times New Roman" w:hAnsi="Times New Roman" w:cs="Times New Roman"/>
          <w:sz w:val="24"/>
          <w:szCs w:val="24"/>
        </w:rPr>
        <w:t>still remain</w:t>
      </w:r>
      <w:proofErr w:type="gramEnd"/>
      <w:r>
        <w:rPr>
          <w:rFonts w:ascii="Times New Roman" w:eastAsia="Times New Roman" w:hAnsi="Times New Roman" w:cs="Times New Roman"/>
          <w:sz w:val="24"/>
          <w:szCs w:val="24"/>
        </w:rPr>
        <w:t xml:space="preserve"> cases of public-private prosecution.</w:t>
      </w:r>
      <w:r>
        <w:rPr>
          <w:rFonts w:ascii="Times New Roman" w:eastAsia="Times New Roman" w:hAnsi="Times New Roman" w:cs="Times New Roman"/>
          <w:b/>
          <w:sz w:val="24"/>
          <w:szCs w:val="24"/>
        </w:rPr>
        <w:t xml:space="preserve"> </w:t>
      </w:r>
      <w:r>
        <w:rPr>
          <w:rFonts w:ascii="Times New Roman" w:eastAsia="Times New Roman" w:hAnsi="Times New Roman" w:cs="Times New Roman"/>
          <w:color w:val="000000"/>
          <w:sz w:val="24"/>
          <w:szCs w:val="24"/>
        </w:rPr>
        <w:t>As noted by the Committee in its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Concluding Observations on the second periodic report, Kazakhstan should “[c]</w:t>
      </w:r>
      <w:proofErr w:type="spellStart"/>
      <w:r>
        <w:rPr>
          <w:rFonts w:ascii="Times New Roman" w:eastAsia="Times New Roman" w:hAnsi="Times New Roman" w:cs="Times New Roman"/>
          <w:sz w:val="24"/>
          <w:szCs w:val="24"/>
        </w:rPr>
        <w:t>lassify</w:t>
      </w:r>
      <w:proofErr w:type="spellEnd"/>
      <w:r>
        <w:rPr>
          <w:rFonts w:ascii="Times New Roman" w:eastAsia="Times New Roman" w:hAnsi="Times New Roman" w:cs="Times New Roman"/>
          <w:sz w:val="24"/>
          <w:szCs w:val="24"/>
        </w:rPr>
        <w:t xml:space="preserve"> acts of violence against women as public prosecution cases subject to ex officio investigation and prosecution”. </w:t>
      </w:r>
    </w:p>
    <w:p w14:paraId="6FA3DCE8" w14:textId="77777777" w:rsidR="001404A6" w:rsidRDefault="00000000">
      <w:pPr>
        <w:widowControl w:val="0"/>
        <w:numPr>
          <w:ilvl w:val="0"/>
          <w:numId w:val="3"/>
        </w:numPr>
        <w:pBdr>
          <w:top w:val="nil"/>
          <w:left w:val="nil"/>
          <w:bottom w:val="nil"/>
          <w:right w:val="nil"/>
          <w:between w:val="nil"/>
        </w:pBdr>
        <w:spacing w:before="200"/>
        <w:ind w:left="714" w:right="335" w:hanging="35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Article 32 of the Criminal Procedure Code provides that cases defined as non-aggravated compulsion to perform sexual actions (Article 123(1) of the Criminal Code) will qualify as cases of private prosecution, meaning they are initiated upon a claim by the victim and will be terminated in case of reconciliation with the defendant, or when the victim has withdrawn the complaint for any other reason. Such legal provisions deny justice to </w:t>
      </w:r>
      <w:proofErr w:type="gramStart"/>
      <w:r>
        <w:rPr>
          <w:rFonts w:ascii="Times New Roman" w:eastAsia="Times New Roman" w:hAnsi="Times New Roman" w:cs="Times New Roman"/>
          <w:sz w:val="24"/>
          <w:szCs w:val="24"/>
        </w:rPr>
        <w:t>survivors, because</w:t>
      </w:r>
      <w:proofErr w:type="gramEnd"/>
      <w:r>
        <w:rPr>
          <w:rFonts w:ascii="Times New Roman" w:eastAsia="Times New Roman" w:hAnsi="Times New Roman" w:cs="Times New Roman"/>
          <w:sz w:val="24"/>
          <w:szCs w:val="24"/>
        </w:rPr>
        <w:t xml:space="preserve"> the survivor, rather than the state, is required to bear the burden of the criminal proceedings, including when it comes to the collection of evidence required to prove the circumstances of the crime. </w:t>
      </w:r>
    </w:p>
    <w:p w14:paraId="7C5EA59E"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provisions mentioned in this subsection also give space to local law enforcement authorities to discourage women from filing such claims and to postpone the initiation of the investigation, anticipating in practice that one way or another, a woman is likely to withdraw her claim. Local groups further assert that they frequently hear from investigators that the </w:t>
      </w:r>
      <w:r>
        <w:rPr>
          <w:rFonts w:ascii="Times New Roman" w:eastAsia="Times New Roman" w:hAnsi="Times New Roman" w:cs="Times New Roman"/>
          <w:sz w:val="24"/>
          <w:szCs w:val="24"/>
        </w:rPr>
        <w:lastRenderedPageBreak/>
        <w:t xml:space="preserve">women themselves are to blame for the sexual violence they suffered, even those who come forward with additional severe physical injuries. Moreover, the authorities fail to protect victims from pressure from relatives or family members to withdraw her complaint, and local groups report there have often been situations where the victims have been intimidated or convinced to take bribes. Due to the clustering of the population in small, close-knit communities or enclaves, it is incredibly difficult for reports to be filed against the perpetrators. There is also pressure on women to keep silent by the senior community leaders. </w:t>
      </w:r>
    </w:p>
    <w:p w14:paraId="5604899F" w14:textId="77777777" w:rsidR="001404A6" w:rsidRDefault="00000000">
      <w:pPr>
        <w:widowControl w:val="0"/>
        <w:numPr>
          <w:ilvl w:val="0"/>
          <w:numId w:val="3"/>
        </w:numPr>
        <w:spacing w:before="200"/>
        <w:ind w:right="337"/>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Regarding underage survivors of sexual violence, local experts highlight that there are no child-friendly complaint mechanisms through which children can seek redress and often they cannot even report abuse. Under Article 67 of the Family Code of Kazakhstan, “protection of the rights and legitimate interests of the child is carried out by parents or other legal representatives of the child”. In practice, this provision is interpreted in a way that children can file a complaint only with their parents’ consent, nor can any forensic examinations be conducted witho</w:t>
      </w:r>
      <w:r>
        <w:rPr>
          <w:rFonts w:ascii="Times New Roman" w:eastAsia="Times New Roman" w:hAnsi="Times New Roman" w:cs="Times New Roman"/>
          <w:color w:val="222222"/>
          <w:sz w:val="24"/>
          <w:szCs w:val="24"/>
        </w:rPr>
        <w:t xml:space="preserve">ut their parents’ permission, even when the parent is an alleged perpetrator. For example, in one case litigated </w:t>
      </w:r>
      <w:r>
        <w:rPr>
          <w:rFonts w:ascii="Times New Roman" w:eastAsia="Times New Roman" w:hAnsi="Times New Roman" w:cs="Times New Roman"/>
          <w:sz w:val="24"/>
          <w:szCs w:val="24"/>
        </w:rPr>
        <w:t xml:space="preserve">by “The Public Movement Against Violence #NeMolchi.Kz”, a girl was sexually abused by a stranger. A criminal case was initiated after receiving a complaint from a girl and her mother, and the investigation was opened. However, the case was closed under the above-mentioned Article 35(5) of the Code of Criminal Procedure after her father withdrew the complaint despite protests from the girl and her mother. The experts highlight that this is a widespread problem, especially in the Turkistan Region of Kazakhstan, where there are more than 100 similar cases. This practice completely overlooks that children are particularly vulnerable to sexual violence through power relationships. They are especially vulnerable to abuse by an adult or older peer in the family or in a setting or relationship where there is a position of trust, dependence, or power. </w:t>
      </w:r>
    </w:p>
    <w:p w14:paraId="07206FE8" w14:textId="77777777" w:rsidR="001404A6" w:rsidRDefault="00000000">
      <w:pPr>
        <w:widowControl w:val="0"/>
        <w:numPr>
          <w:ilvl w:val="0"/>
          <w:numId w:val="3"/>
        </w:numPr>
        <w:spacing w:before="200"/>
        <w:ind w:right="337"/>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Retraction or withdrawal of her statement by the victim and/or her legal representative should not be a basis to terminate the investigation. The onus is on investigators and prosecutors to build a robust case by collecting all evidence which will work towards ensuring that the case can continue if the victim withdraws the complaint or is otherwise unavailable to testify.</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Investigators and prosecutors are required to make sure all the evidence has been gathered and consider other, alternative sources of evidence.</w:t>
      </w:r>
      <w:r>
        <w:rPr>
          <w:rFonts w:ascii="Times New Roman" w:eastAsia="Times New Roman" w:hAnsi="Times New Roman" w:cs="Times New Roman"/>
          <w:sz w:val="24"/>
          <w:szCs w:val="24"/>
          <w:vertAlign w:val="superscript"/>
        </w:rPr>
        <w:footnoteReference w:id="11"/>
      </w:r>
    </w:p>
    <w:p w14:paraId="0271D447"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Local groups also assert that in practice often there is no distinction made between numerous acts of rape: multiple rapes by the same person will be considered as one act of rape </w:t>
      </w:r>
      <w:proofErr w:type="gramStart"/>
      <w:r>
        <w:rPr>
          <w:rFonts w:ascii="Times New Roman" w:eastAsia="Times New Roman" w:hAnsi="Times New Roman" w:cs="Times New Roman"/>
          <w:sz w:val="24"/>
          <w:szCs w:val="24"/>
        </w:rPr>
        <w:t>despite the fact that</w:t>
      </w:r>
      <w:proofErr w:type="gramEnd"/>
      <w:r>
        <w:rPr>
          <w:rFonts w:ascii="Times New Roman" w:eastAsia="Times New Roman" w:hAnsi="Times New Roman" w:cs="Times New Roman"/>
          <w:sz w:val="24"/>
          <w:szCs w:val="24"/>
        </w:rPr>
        <w:t xml:space="preserve"> Article 120 of the Criminal Code explicitly criminalises multiple rapes by the same individual and imposes a graver penalty than for a single rape committed by the same individual. </w:t>
      </w:r>
    </w:p>
    <w:p w14:paraId="63E955B9" w14:textId="77777777" w:rsidR="001404A6" w:rsidRDefault="001404A6">
      <w:pPr>
        <w:widowControl w:val="0"/>
        <w:shd w:val="clear" w:color="auto" w:fill="FFFFFF"/>
        <w:spacing w:before="200"/>
        <w:jc w:val="both"/>
        <w:rPr>
          <w:rFonts w:ascii="Times New Roman" w:eastAsia="Times New Roman" w:hAnsi="Times New Roman" w:cs="Times New Roman"/>
          <w:b/>
          <w:color w:val="222222"/>
          <w:sz w:val="24"/>
          <w:szCs w:val="24"/>
        </w:rPr>
      </w:pPr>
    </w:p>
    <w:p w14:paraId="098A8150" w14:textId="77777777" w:rsidR="001404A6" w:rsidRDefault="001404A6">
      <w:pPr>
        <w:widowControl w:val="0"/>
        <w:shd w:val="clear" w:color="auto" w:fill="FFFFFF"/>
        <w:spacing w:before="200"/>
        <w:jc w:val="both"/>
        <w:rPr>
          <w:rFonts w:ascii="Times New Roman" w:eastAsia="Times New Roman" w:hAnsi="Times New Roman" w:cs="Times New Roman"/>
          <w:b/>
          <w:color w:val="222222"/>
          <w:sz w:val="24"/>
          <w:szCs w:val="24"/>
        </w:rPr>
      </w:pPr>
    </w:p>
    <w:p w14:paraId="218FA225" w14:textId="77777777" w:rsidR="001404A6" w:rsidRDefault="00000000">
      <w:pPr>
        <w:widowControl w:val="0"/>
        <w:shd w:val="clear" w:color="auto" w:fill="FFFFFF"/>
        <w:spacing w:before="200"/>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Burdensome evidence and corroboration requirements to prove sexual violence</w:t>
      </w:r>
    </w:p>
    <w:p w14:paraId="1E4C353E" w14:textId="77777777" w:rsidR="001404A6" w:rsidRDefault="00000000">
      <w:pPr>
        <w:widowControl w:val="0"/>
        <w:numPr>
          <w:ilvl w:val="0"/>
          <w:numId w:val="3"/>
        </w:numPr>
        <w:shd w:val="clear" w:color="auto" w:fill="FFFFFF"/>
        <w:spacing w:before="20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Law enforcement agencies apply overly burdensome evidence and corroboration requirements for bringing charges against perpetrators of sexual violence, while overwhelmingly strict requirements are also applied by judges to issue a judgment of conviction for these kinds of crimes. </w:t>
      </w:r>
      <w:proofErr w:type="gramStart"/>
      <w:r>
        <w:rPr>
          <w:rFonts w:ascii="Times New Roman" w:eastAsia="Times New Roman" w:hAnsi="Times New Roman" w:cs="Times New Roman"/>
          <w:color w:val="222222"/>
          <w:sz w:val="24"/>
          <w:szCs w:val="24"/>
        </w:rPr>
        <w:t>In particular, in</w:t>
      </w:r>
      <w:proofErr w:type="gramEnd"/>
      <w:r>
        <w:rPr>
          <w:rFonts w:ascii="Times New Roman" w:eastAsia="Times New Roman" w:hAnsi="Times New Roman" w:cs="Times New Roman"/>
          <w:color w:val="222222"/>
          <w:sz w:val="24"/>
          <w:szCs w:val="24"/>
        </w:rPr>
        <w:t xml:space="preserve"> the overwhelming majority of cases, sexual violence crimes are prosecuted, and perpetrators are being convicted, only when physical injuries are found on the body of the victim, as well as biological materials associated with a sexual act. Such practice leaves the vast number of sexual violence acts, even those currently envisaged under the law, to go unpunished in practice because the authorities are solely investigating sexual violence crimes where the perpetrator used physical force and the victim physically resisted. Such practice is also one of the main causes of the high attrition rate of sexual violence crimes and the reason why a vast number of cases never reach the stage of prosecution.</w:t>
      </w:r>
    </w:p>
    <w:p w14:paraId="6CA35028" w14:textId="77777777" w:rsidR="001404A6" w:rsidRDefault="00000000">
      <w:pPr>
        <w:widowControl w:val="0"/>
        <w:numPr>
          <w:ilvl w:val="0"/>
          <w:numId w:val="3"/>
        </w:numPr>
        <w:shd w:val="clear" w:color="auto" w:fill="FFFFFF"/>
        <w:spacing w:before="20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 addition, law enforcement agencies systematically face </w:t>
      </w:r>
      <w:proofErr w:type="gramStart"/>
      <w:r>
        <w:rPr>
          <w:rFonts w:ascii="Times New Roman" w:eastAsia="Times New Roman" w:hAnsi="Times New Roman" w:cs="Times New Roman"/>
          <w:color w:val="222222"/>
          <w:sz w:val="24"/>
          <w:szCs w:val="24"/>
        </w:rPr>
        <w:t>a number of</w:t>
      </w:r>
      <w:proofErr w:type="gramEnd"/>
      <w:r>
        <w:rPr>
          <w:rFonts w:ascii="Times New Roman" w:eastAsia="Times New Roman" w:hAnsi="Times New Roman" w:cs="Times New Roman"/>
          <w:color w:val="222222"/>
          <w:sz w:val="24"/>
          <w:szCs w:val="24"/>
        </w:rPr>
        <w:t xml:space="preserve"> issues related to the insufficient number and expertise of experts when appointing and conducting forensic examinations in criminal cases. Finding an expert is the responsibility of an investigator. However, finding an expert with a specific expertise is often quite time-consuming. Depending on the number of specialists involved (from two or more), expert examinations </w:t>
      </w:r>
      <w:proofErr w:type="gramStart"/>
      <w:r>
        <w:rPr>
          <w:rFonts w:ascii="Times New Roman" w:eastAsia="Times New Roman" w:hAnsi="Times New Roman" w:cs="Times New Roman"/>
          <w:color w:val="222222"/>
          <w:sz w:val="24"/>
          <w:szCs w:val="24"/>
        </w:rPr>
        <w:t>are  delayed</w:t>
      </w:r>
      <w:proofErr w:type="gramEnd"/>
      <w:r>
        <w:rPr>
          <w:rFonts w:ascii="Times New Roman" w:eastAsia="Times New Roman" w:hAnsi="Times New Roman" w:cs="Times New Roman"/>
          <w:color w:val="222222"/>
          <w:sz w:val="24"/>
          <w:szCs w:val="24"/>
        </w:rPr>
        <w:t xml:space="preserve"> for three months or more, which also delays the whole process. Also, </w:t>
      </w:r>
      <w:r>
        <w:rPr>
          <w:rFonts w:ascii="Times New Roman" w:eastAsia="Times New Roman" w:hAnsi="Times New Roman" w:cs="Times New Roman"/>
          <w:color w:val="222222"/>
          <w:sz w:val="24"/>
          <w:szCs w:val="24"/>
          <w:highlight w:val="white"/>
        </w:rPr>
        <w:t>it is not uncommon for law enforcement and lawyers to recommend to families that they hire a private expert which could cost around $200 which is prohibitive for many families.</w:t>
      </w:r>
    </w:p>
    <w:p w14:paraId="5046F70E" w14:textId="77777777" w:rsidR="001404A6" w:rsidRDefault="00000000">
      <w:pPr>
        <w:widowControl w:val="0"/>
        <w:shd w:val="clear" w:color="auto" w:fill="FFFFFF"/>
        <w:spacing w:before="200"/>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Gender stereotyping and discriminatory investigation procedures</w:t>
      </w:r>
    </w:p>
    <w:p w14:paraId="4D80BCE9" w14:textId="77777777" w:rsidR="001404A6" w:rsidRDefault="00000000">
      <w:pPr>
        <w:widowControl w:val="0"/>
        <w:numPr>
          <w:ilvl w:val="0"/>
          <w:numId w:val="3"/>
        </w:numPr>
        <w:shd w:val="clear" w:color="auto" w:fill="FFFFFF"/>
        <w:spacing w:before="20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Gender stereotyping and discriminatory investigation procedures applied in practice constitute a significant barrier to justice for survivors of sexual violence. These include, according to victims’ lawyers, the victim being required to repeat the facts of her traumatic experiences several times, examining the victim’s prior sexual history, examining her mental health to question her credibility, and lack of gender-sensitive questioning during the investigation and court proceedings. Victims of sexual violence further allege humiliating and ridiculing attitudes on the part of law enforcement officials, which, coupled with the lack of adequate infrastructure in police stations, deters victims’ participation in criminal investigation in </w:t>
      </w:r>
      <w:proofErr w:type="gramStart"/>
      <w:r>
        <w:rPr>
          <w:rFonts w:ascii="Times New Roman" w:eastAsia="Times New Roman" w:hAnsi="Times New Roman" w:cs="Times New Roman"/>
          <w:color w:val="222222"/>
          <w:sz w:val="24"/>
          <w:szCs w:val="24"/>
        </w:rPr>
        <w:t>a number of</w:t>
      </w:r>
      <w:proofErr w:type="gramEnd"/>
      <w:r>
        <w:rPr>
          <w:rFonts w:ascii="Times New Roman" w:eastAsia="Times New Roman" w:hAnsi="Times New Roman" w:cs="Times New Roman"/>
          <w:color w:val="222222"/>
          <w:sz w:val="24"/>
          <w:szCs w:val="24"/>
        </w:rPr>
        <w:t xml:space="preserve"> cases:</w:t>
      </w:r>
    </w:p>
    <w:p w14:paraId="5EDC14E7" w14:textId="77777777" w:rsidR="001404A6" w:rsidRDefault="00000000">
      <w:pPr>
        <w:widowControl w:val="0"/>
        <w:numPr>
          <w:ilvl w:val="1"/>
          <w:numId w:val="3"/>
        </w:numPr>
        <w:shd w:val="clear" w:color="auto" w:fill="FFFFFF"/>
        <w:spacing w:before="20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Forensic examinations are intrusive and often extremely traumatising, especially when conducted by experts of the opposite sex (men constitute </w:t>
      </w:r>
      <w:proofErr w:type="gramStart"/>
      <w:r>
        <w:rPr>
          <w:rFonts w:ascii="Times New Roman" w:eastAsia="Times New Roman" w:hAnsi="Times New Roman" w:cs="Times New Roman"/>
          <w:color w:val="222222"/>
          <w:sz w:val="24"/>
          <w:szCs w:val="24"/>
        </w:rPr>
        <w:t>the majority of</w:t>
      </w:r>
      <w:proofErr w:type="gramEnd"/>
      <w:r>
        <w:rPr>
          <w:rFonts w:ascii="Times New Roman" w:eastAsia="Times New Roman" w:hAnsi="Times New Roman" w:cs="Times New Roman"/>
          <w:color w:val="222222"/>
          <w:sz w:val="24"/>
          <w:szCs w:val="24"/>
        </w:rPr>
        <w:t xml:space="preserve"> forensic experts while the victims are predominantly female). Stereotypes and drawing negative inferences from the condition of the victim’s hymen also proves to be a problem, since it regularly leads to examining prior sexual history and thereby pre-judging the reliability of the victim’s testimony, rather than establishing injuries.</w:t>
      </w:r>
    </w:p>
    <w:p w14:paraId="3C1ACF17" w14:textId="77777777" w:rsidR="001404A6" w:rsidRDefault="00000000">
      <w:pPr>
        <w:widowControl w:val="0"/>
        <w:numPr>
          <w:ilvl w:val="1"/>
          <w:numId w:val="3"/>
        </w:numPr>
        <w:shd w:val="clear" w:color="auto" w:fill="FFFFFF"/>
        <w:spacing w:before="20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questioning of the victim during the investigation stage is often conducted in a common/shared space at the police station where other investigators and victims are also present, and the victim’s story can be easily overheard by them. This causes additional fear and humiliation to the victims throughout the process. </w:t>
      </w:r>
    </w:p>
    <w:p w14:paraId="6B8771C8" w14:textId="77777777" w:rsidR="001404A6" w:rsidRDefault="00000000">
      <w:pPr>
        <w:widowControl w:val="0"/>
        <w:numPr>
          <w:ilvl w:val="1"/>
          <w:numId w:val="3"/>
        </w:numPr>
        <w:shd w:val="clear" w:color="auto" w:fill="FFFFFF"/>
        <w:spacing w:before="20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Victims and their lawyers report that investigative questions and rude comments made by investigators during questioning implicitly, and sometimes explicitly, judge the victim’s behaviour and are aimed at “sharing” the responsibility with the perpetrator for inducing the sexual violence.</w:t>
      </w:r>
    </w:p>
    <w:p w14:paraId="4624E9FC" w14:textId="77777777" w:rsidR="001404A6" w:rsidRDefault="00000000">
      <w:pPr>
        <w:widowControl w:val="0"/>
        <w:numPr>
          <w:ilvl w:val="1"/>
          <w:numId w:val="3"/>
        </w:numPr>
        <w:shd w:val="clear" w:color="auto" w:fill="FFFFFF"/>
        <w:spacing w:before="20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Victims are forced to come face-to-face with the perpetrators and perpetrators themselves can pose questions directly to the victims, which causes victims to feel confused, </w:t>
      </w:r>
      <w:proofErr w:type="gramStart"/>
      <w:r>
        <w:rPr>
          <w:rFonts w:ascii="Times New Roman" w:eastAsia="Times New Roman" w:hAnsi="Times New Roman" w:cs="Times New Roman"/>
          <w:color w:val="222222"/>
          <w:sz w:val="24"/>
          <w:szCs w:val="24"/>
        </w:rPr>
        <w:t>intimidated</w:t>
      </w:r>
      <w:proofErr w:type="gramEnd"/>
      <w:r>
        <w:rPr>
          <w:rFonts w:ascii="Times New Roman" w:eastAsia="Times New Roman" w:hAnsi="Times New Roman" w:cs="Times New Roman"/>
          <w:color w:val="222222"/>
          <w:sz w:val="24"/>
          <w:szCs w:val="24"/>
        </w:rPr>
        <w:t xml:space="preserve"> and embarrassed. The defendant’s lawyers often express a demeaning attitude toward the victim, which investigators and judges do little to prevent. The same problems are applicable to cases of sexual violence against children. For example, it is not unusual for a perpetrator to sit a half metre away from a child survivor together with several other people including her own lawyers, defendant’s lawyers, psychologist, investigator, police escort etc. in a very small office.  </w:t>
      </w:r>
    </w:p>
    <w:p w14:paraId="11314AC8" w14:textId="77777777" w:rsidR="001404A6" w:rsidRDefault="00000000">
      <w:pPr>
        <w:widowControl w:val="0"/>
        <w:numPr>
          <w:ilvl w:val="1"/>
          <w:numId w:val="3"/>
        </w:numPr>
        <w:shd w:val="clear" w:color="auto" w:fill="FFFFFF"/>
        <w:spacing w:before="20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There are no rules limiting admissibility of evidence on prior sexual history, which is very often applied against the interests of the victim.</w:t>
      </w:r>
    </w:p>
    <w:p w14:paraId="2B0E9327"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victim-centred approaches by law enforcement leads to victims’ secondary victimisation and denies them access to justice. An example was given by a contributor to this submission of a case involving a woman who was raped on a train by two train attendants. During the investigation of the crime, the investigator asked why the woman did not scream during the rape, to which he received the answer that she had experienced multiple rapes at the age of 16 and could not overcome the psychological barrier. The investigator opened a criminal case on this fact, and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put pressure on the victim, he specifically interrogated residents from the village where the woman had previously lived, questioned her relatives and others, which then became public knowledge in that village. The CEDAW Committee emphasised the fact that “the secondary victimisation of women by the criminal justice system has an impact on their access to justice, owing to their heightened vulnerability to mental and physical abuse and threats during arrest, questioning and in detention”.</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vertAlign w:val="superscript"/>
        </w:rPr>
        <w:t xml:space="preserve"> </w:t>
      </w:r>
    </w:p>
    <w:p w14:paraId="6930175B"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Forensic psychological examination is no less problematic since victims are often met with bias and disbelief and are subjected to victim-blaming, unethical and sometimes humiliating </w:t>
      </w:r>
      <w:proofErr w:type="gramStart"/>
      <w:r>
        <w:rPr>
          <w:rFonts w:ascii="Times New Roman" w:eastAsia="Times New Roman" w:hAnsi="Times New Roman" w:cs="Times New Roman"/>
          <w:sz w:val="24"/>
          <w:szCs w:val="24"/>
        </w:rPr>
        <w:t>questions</w:t>
      </w:r>
      <w:proofErr w:type="gramEnd"/>
      <w:r>
        <w:rPr>
          <w:rFonts w:ascii="Times New Roman" w:eastAsia="Times New Roman" w:hAnsi="Times New Roman" w:cs="Times New Roman"/>
          <w:sz w:val="24"/>
          <w:szCs w:val="24"/>
        </w:rPr>
        <w:t xml:space="preserve"> and comments. Forensic psychiatric examinations implicitly assess whether the victim is prone to lying. Lack of evidence-based, gender sensitive protocols of psychological forensic examinations </w:t>
      </w:r>
      <w:proofErr w:type="gramStart"/>
      <w:r>
        <w:rPr>
          <w:rFonts w:ascii="Times New Roman" w:eastAsia="Times New Roman" w:hAnsi="Times New Roman" w:cs="Times New Roman"/>
          <w:sz w:val="24"/>
          <w:szCs w:val="24"/>
        </w:rPr>
        <w:t>puts</w:t>
      </w:r>
      <w:proofErr w:type="gramEnd"/>
      <w:r>
        <w:rPr>
          <w:rFonts w:ascii="Times New Roman" w:eastAsia="Times New Roman" w:hAnsi="Times New Roman" w:cs="Times New Roman"/>
          <w:sz w:val="24"/>
          <w:szCs w:val="24"/>
        </w:rPr>
        <w:t xml:space="preserve"> the practice in contravention of human rights standards.</w:t>
      </w:r>
    </w:p>
    <w:p w14:paraId="74FCF63E"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lack of common rules and procedures across the country on how to handle cases of sexual violence, resulting in each investigator operating in his/her own way. This detrimentally affects the uniform application of justice and is difficult for victims to navigate within this system. Furthermore, local groups have expressed that there have been claims that investigators have impeded access to justice by assisting perpetrators to escape justice, without facing any legal repercussions themselves for obstructing justice. Examples include assisting perpetrators to flee and being influenced by their own personal relationship to the perpetrator. </w:t>
      </w:r>
    </w:p>
    <w:p w14:paraId="277F8FDA" w14:textId="77777777" w:rsidR="001404A6" w:rsidRDefault="00000000">
      <w:pPr>
        <w:widowControl w:val="0"/>
        <w:numPr>
          <w:ilvl w:val="0"/>
          <w:numId w:val="3"/>
        </w:numPr>
        <w:shd w:val="clear" w:color="auto" w:fill="FFFFFF"/>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of these become an additional factor why women and girls face barriers </w:t>
      </w:r>
      <w:proofErr w:type="gramStart"/>
      <w:r>
        <w:rPr>
          <w:rFonts w:ascii="Times New Roman" w:eastAsia="Times New Roman" w:hAnsi="Times New Roman" w:cs="Times New Roman"/>
          <w:sz w:val="24"/>
          <w:szCs w:val="24"/>
        </w:rPr>
        <w:t>to  reporting</w:t>
      </w:r>
      <w:proofErr w:type="gramEnd"/>
      <w:r>
        <w:rPr>
          <w:rFonts w:ascii="Times New Roman" w:eastAsia="Times New Roman" w:hAnsi="Times New Roman" w:cs="Times New Roman"/>
          <w:sz w:val="24"/>
          <w:szCs w:val="24"/>
        </w:rPr>
        <w:t xml:space="preserve"> sexual violence. </w:t>
      </w:r>
    </w:p>
    <w:p w14:paraId="63BE6440" w14:textId="77777777" w:rsidR="001404A6" w:rsidRDefault="00000000">
      <w:pPr>
        <w:widowControl w:val="0"/>
        <w:numPr>
          <w:ilvl w:val="0"/>
          <w:numId w:val="3"/>
        </w:numPr>
        <w:shd w:val="clear" w:color="auto" w:fill="FFFFFF"/>
        <w:spacing w:before="200"/>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Local groups report that the situation is particularly difficult for women and girls living in rural areas where they are not provided with enough information and are not sufficiently </w:t>
      </w:r>
      <w:proofErr w:type="gramStart"/>
      <w:r>
        <w:rPr>
          <w:rFonts w:ascii="Times New Roman" w:eastAsia="Times New Roman" w:hAnsi="Times New Roman" w:cs="Times New Roman"/>
          <w:sz w:val="24"/>
          <w:szCs w:val="24"/>
        </w:rPr>
        <w:t>empowered  to</w:t>
      </w:r>
      <w:proofErr w:type="gramEnd"/>
      <w:r>
        <w:rPr>
          <w:rFonts w:ascii="Times New Roman" w:eastAsia="Times New Roman" w:hAnsi="Times New Roman" w:cs="Times New Roman"/>
          <w:sz w:val="24"/>
          <w:szCs w:val="24"/>
        </w:rPr>
        <w:t xml:space="preserve"> file a complaint and instead are easily dissuaded from seeking justice. If there are no witnesses, </w:t>
      </w:r>
      <w:r>
        <w:rPr>
          <w:rFonts w:ascii="Times New Roman" w:eastAsia="Times New Roman" w:hAnsi="Times New Roman" w:cs="Times New Roman"/>
          <w:sz w:val="24"/>
          <w:szCs w:val="24"/>
        </w:rPr>
        <w:lastRenderedPageBreak/>
        <w:t xml:space="preserve">a victim living in a rural area will, in most cases, keep silent about the crime because of the lack of trust that she will be believed. In cases where there are witnesses, there is a greater, yet still limited, chance that the case will be able to proceed because of burdensome evidence and corroboration requirements. </w:t>
      </w:r>
    </w:p>
    <w:p w14:paraId="1A18E516" w14:textId="77777777" w:rsidR="001404A6" w:rsidRDefault="00000000">
      <w:pPr>
        <w:numPr>
          <w:ilvl w:val="0"/>
          <w:numId w:val="3"/>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from vulnerable and marginalised groups experience intersecting forms of discrimination and serious barriers in accessing justice for sexual violence. </w:t>
      </w:r>
      <w:proofErr w:type="gramStart"/>
      <w:r>
        <w:rPr>
          <w:rFonts w:ascii="Times New Roman" w:eastAsia="Times New Roman" w:hAnsi="Times New Roman" w:cs="Times New Roman"/>
          <w:sz w:val="24"/>
          <w:szCs w:val="24"/>
        </w:rPr>
        <w:t>In particular, women</w:t>
      </w:r>
      <w:proofErr w:type="gramEnd"/>
      <w:r>
        <w:rPr>
          <w:rFonts w:ascii="Times New Roman" w:eastAsia="Times New Roman" w:hAnsi="Times New Roman" w:cs="Times New Roman"/>
          <w:sz w:val="24"/>
          <w:szCs w:val="24"/>
        </w:rPr>
        <w:t xml:space="preserve"> with disabilities, ethnic minority women, LBT women, women in prostitution, drug users and migrant women, all experience specific challenges related to their unique situation. Barriers include the existing legislative regulation preventing women from filing reports for fear of themselves being penalised for their activities (legislation penalising women in prostitution and leaving “buyers” unpunished, repressive legislation on drug use), stigma towards women in prostitution, drug users, LBT women and women with disabilities, lack of reasonable accommodation (for women with disabilities) and language barriers (for migrant and ethnic minorities).</w:t>
      </w:r>
    </w:p>
    <w:p w14:paraId="48193DCE" w14:textId="77777777" w:rsidR="001404A6" w:rsidRDefault="00000000">
      <w:pPr>
        <w:widowControl w:val="0"/>
        <w:spacing w:before="200"/>
        <w:ind w:right="33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Need to outlaw sexual harassment</w:t>
      </w:r>
    </w:p>
    <w:p w14:paraId="0B64E640" w14:textId="77777777" w:rsidR="001404A6" w:rsidRDefault="00000000">
      <w:pPr>
        <w:widowControl w:val="0"/>
        <w:numPr>
          <w:ilvl w:val="0"/>
          <w:numId w:val="3"/>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its views of the Committee on the Elimination of Discrimination against Women concerning Communication No. 45/2012, the Committee recommended Kazakhstan to adopt, without delay, comprehensive legislation, in particular in the field of labour, to combat sexual harassment in the workplace, in line with the Committee’s general recommendation No. 19, including a comprehensive definition of sexual harassment in the workplace in line with the international norms and standards, establishing effective complaints procedures, remedies and sanctions. Seven years after, sexual harassment has not yet been outlawed in Kazakhstan.</w:t>
      </w:r>
    </w:p>
    <w:p w14:paraId="38E1D3A2" w14:textId="77777777" w:rsidR="001404A6" w:rsidRDefault="001404A6">
      <w:pPr>
        <w:widowControl w:val="0"/>
        <w:spacing w:before="200"/>
        <w:ind w:right="337"/>
        <w:jc w:val="both"/>
        <w:rPr>
          <w:rFonts w:ascii="Times New Roman" w:eastAsia="Times New Roman" w:hAnsi="Times New Roman" w:cs="Times New Roman"/>
          <w:b/>
          <w:sz w:val="24"/>
          <w:szCs w:val="24"/>
        </w:rPr>
      </w:pPr>
    </w:p>
    <w:p w14:paraId="4A80B209" w14:textId="77777777" w:rsidR="001404A6" w:rsidRDefault="00000000">
      <w:pPr>
        <w:widowControl w:val="0"/>
        <w:spacing w:before="200"/>
        <w:ind w:right="33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Suggested Questions for Kazakhstan</w:t>
      </w:r>
    </w:p>
    <w:p w14:paraId="463AE859" w14:textId="77777777" w:rsidR="001404A6" w:rsidRDefault="00000000">
      <w:p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urge the Committee to raise the following questions with the government of Kazakhstan regarding the violations of the Convention addressed in this submission:</w:t>
      </w:r>
    </w:p>
    <w:p w14:paraId="5CF07972" w14:textId="77777777" w:rsidR="001404A6" w:rsidRDefault="00000000">
      <w:pPr>
        <w:numPr>
          <w:ilvl w:val="0"/>
          <w:numId w:val="2"/>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plans does the Government of Kazakhstan have to introduce a consent-based definition of rape?</w:t>
      </w:r>
    </w:p>
    <w:p w14:paraId="106FDF76" w14:textId="77777777" w:rsidR="001404A6" w:rsidRDefault="00000000">
      <w:pPr>
        <w:numPr>
          <w:ilvl w:val="0"/>
          <w:numId w:val="2"/>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plans are there to abolish Article 123 of the Criminal Code (compulsion/coercion) and instead treat the acts covered by the article as rape, which entails sanctions corresponding to the gravity of the crime?</w:t>
      </w:r>
    </w:p>
    <w:p w14:paraId="2EDC6B90" w14:textId="77777777" w:rsidR="001404A6" w:rsidRDefault="00000000">
      <w:pPr>
        <w:numPr>
          <w:ilvl w:val="0"/>
          <w:numId w:val="2"/>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is the Government taking to abolish private-public prosecution in law as well as other provisions which allow impunity for sexual violence crimes, in accordance with the Committee’s previous recommendations and international human rights standards? </w:t>
      </w:r>
    </w:p>
    <w:p w14:paraId="591747E8" w14:textId="77777777" w:rsidR="001404A6" w:rsidRDefault="00000000">
      <w:pPr>
        <w:numPr>
          <w:ilvl w:val="0"/>
          <w:numId w:val="2"/>
        </w:numPr>
        <w:spacing w:before="200"/>
        <w:ind w:right="3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is the Government taking to criminalise causing another person to engage in non-consensual acts of a sexual nature with a third person</w:t>
      </w:r>
      <w:r>
        <w:rPr>
          <w:rFonts w:ascii="Times New Roman" w:eastAsia="Times New Roman" w:hAnsi="Times New Roman" w:cs="Times New Roman"/>
        </w:rPr>
        <w:t>?</w:t>
      </w:r>
    </w:p>
    <w:p w14:paraId="6D2E6BE4" w14:textId="77777777" w:rsidR="001404A6" w:rsidRDefault="00000000">
      <w:pPr>
        <w:numPr>
          <w:ilvl w:val="0"/>
          <w:numId w:val="2"/>
        </w:numPr>
        <w:spacing w:before="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plans does the Government have to ensure that all cases of sexual violence against women and girls are investigated, </w:t>
      </w:r>
      <w:proofErr w:type="gramStart"/>
      <w:r>
        <w:rPr>
          <w:rFonts w:ascii="Times New Roman" w:eastAsia="Times New Roman" w:hAnsi="Times New Roman" w:cs="Times New Roman"/>
          <w:sz w:val="24"/>
          <w:szCs w:val="24"/>
        </w:rPr>
        <w:t>prosecuted</w:t>
      </w:r>
      <w:proofErr w:type="gramEnd"/>
      <w:r>
        <w:rPr>
          <w:rFonts w:ascii="Times New Roman" w:eastAsia="Times New Roman" w:hAnsi="Times New Roman" w:cs="Times New Roman"/>
          <w:sz w:val="24"/>
          <w:szCs w:val="24"/>
        </w:rPr>
        <w:t xml:space="preserve"> and adjudicated with a victim-centred approach </w:t>
      </w:r>
      <w:r>
        <w:rPr>
          <w:rFonts w:ascii="Times New Roman" w:eastAsia="Times New Roman" w:hAnsi="Times New Roman" w:cs="Times New Roman"/>
          <w:sz w:val="24"/>
          <w:szCs w:val="24"/>
        </w:rPr>
        <w:lastRenderedPageBreak/>
        <w:t>and from a gendered perspective, including ensuring that victims are not subjected to secondary victimisation?</w:t>
      </w:r>
    </w:p>
    <w:p w14:paraId="28EDF726" w14:textId="77777777" w:rsidR="001404A6" w:rsidRDefault="00000000">
      <w:pPr>
        <w:numPr>
          <w:ilvl w:val="0"/>
          <w:numId w:val="2"/>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Will the Government make sure that burdensome evidentiary standards and corroboration requirements are removed in relation to sexual violence crimes?</w:t>
      </w:r>
    </w:p>
    <w:p w14:paraId="4C2F473E" w14:textId="77777777" w:rsidR="001404A6" w:rsidRDefault="00000000">
      <w:pPr>
        <w:numPr>
          <w:ilvl w:val="0"/>
          <w:numId w:val="2"/>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is the Government taking to combat rape and sexual violence against vulnerable and marginalised women, particularly migrant women, LBT women and women with disabilities, and to ensure their access to justice?</w:t>
      </w:r>
    </w:p>
    <w:p w14:paraId="4CCCF894" w14:textId="77777777" w:rsidR="001404A6" w:rsidRDefault="00000000">
      <w:pPr>
        <w:numPr>
          <w:ilvl w:val="0"/>
          <w:numId w:val="2"/>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is the Government taking to make sure that there are child-sensitive and child-friendly procedures on sexual violence, which makes sure that perpetrators are brought to justice?</w:t>
      </w:r>
    </w:p>
    <w:p w14:paraId="6E69248C" w14:textId="77777777" w:rsidR="001404A6" w:rsidRDefault="00000000">
      <w:pPr>
        <w:numPr>
          <w:ilvl w:val="0"/>
          <w:numId w:val="2"/>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plans does the Government have to develop guidelines for criminal justice actors, in full compliance with international human rights standards, for handling sexual violence cases?</w:t>
      </w:r>
    </w:p>
    <w:p w14:paraId="52AC0672" w14:textId="77777777" w:rsidR="001404A6" w:rsidRDefault="00000000">
      <w:pPr>
        <w:numPr>
          <w:ilvl w:val="0"/>
          <w:numId w:val="2"/>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is the Government taking to adopt comprehensive legislation to combat sexual harassment?</w:t>
      </w:r>
    </w:p>
    <w:p w14:paraId="2C80195C" w14:textId="77777777" w:rsidR="001404A6" w:rsidRDefault="00000000">
      <w:pPr>
        <w:numPr>
          <w:ilvl w:val="0"/>
          <w:numId w:val="2"/>
        </w:numPr>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public information campaigns and educational measures is the Government implementing on the unacceptability of sexual violence?</w:t>
      </w:r>
    </w:p>
    <w:p w14:paraId="49599F03" w14:textId="77777777" w:rsidR="001404A6" w:rsidRDefault="001404A6">
      <w:pPr>
        <w:spacing w:before="200"/>
        <w:jc w:val="both"/>
        <w:rPr>
          <w:rFonts w:ascii="Times New Roman" w:eastAsia="Times New Roman" w:hAnsi="Times New Roman" w:cs="Times New Roman"/>
          <w:sz w:val="24"/>
          <w:szCs w:val="24"/>
        </w:rPr>
      </w:pPr>
    </w:p>
    <w:p w14:paraId="0E35FF99" w14:textId="77777777" w:rsidR="001404A6" w:rsidRDefault="001404A6">
      <w:pPr>
        <w:pBdr>
          <w:top w:val="nil"/>
          <w:left w:val="nil"/>
          <w:bottom w:val="nil"/>
          <w:right w:val="nil"/>
          <w:between w:val="nil"/>
        </w:pBdr>
        <w:spacing w:before="200"/>
        <w:ind w:right="337"/>
        <w:jc w:val="both"/>
        <w:rPr>
          <w:rFonts w:ascii="Times New Roman" w:eastAsia="Times New Roman" w:hAnsi="Times New Roman" w:cs="Times New Roman"/>
          <w:sz w:val="24"/>
          <w:szCs w:val="24"/>
          <w:vertAlign w:val="subscript"/>
        </w:rPr>
      </w:pPr>
    </w:p>
    <w:p w14:paraId="489B4B53" w14:textId="77777777" w:rsidR="001404A6" w:rsidRDefault="001404A6">
      <w:pPr>
        <w:jc w:val="both"/>
        <w:rPr>
          <w:rFonts w:ascii="Times New Roman" w:eastAsia="Times New Roman" w:hAnsi="Times New Roman" w:cs="Times New Roman"/>
        </w:rPr>
      </w:pPr>
    </w:p>
    <w:sectPr w:rsidR="001404A6">
      <w:footerReference w:type="default" r:id="rId15"/>
      <w:pgSz w:w="12240" w:h="15840"/>
      <w:pgMar w:top="1440" w:right="90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2E386" w14:textId="77777777" w:rsidR="00067196" w:rsidRDefault="00067196">
      <w:r>
        <w:separator/>
      </w:r>
    </w:p>
  </w:endnote>
  <w:endnote w:type="continuationSeparator" w:id="0">
    <w:p w14:paraId="29ED9110" w14:textId="77777777" w:rsidR="00067196" w:rsidRDefault="00067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9C452" w14:textId="77777777" w:rsidR="001404A6" w:rsidRDefault="00000000">
    <w:pPr>
      <w:jc w:val="right"/>
    </w:pPr>
    <w:r>
      <w:fldChar w:fldCharType="begin"/>
    </w:r>
    <w:r>
      <w:instrText>PAGE</w:instrText>
    </w:r>
    <w:r>
      <w:fldChar w:fldCharType="separate"/>
    </w:r>
    <w:r w:rsidR="0099673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A56E5" w14:textId="77777777" w:rsidR="00067196" w:rsidRDefault="00067196">
      <w:r>
        <w:separator/>
      </w:r>
    </w:p>
  </w:footnote>
  <w:footnote w:type="continuationSeparator" w:id="0">
    <w:p w14:paraId="59E99881" w14:textId="77777777" w:rsidR="00067196" w:rsidRDefault="00067196">
      <w:r>
        <w:continuationSeparator/>
      </w:r>
    </w:p>
  </w:footnote>
  <w:footnote w:id="1">
    <w:p w14:paraId="64755CE9" w14:textId="77777777" w:rsidR="001404A6" w:rsidRDefault="00000000">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Please see: </w:t>
      </w:r>
      <w:hyperlink r:id="rId1">
        <w:r>
          <w:rPr>
            <w:rFonts w:ascii="Times New Roman" w:eastAsia="Times New Roman" w:hAnsi="Times New Roman" w:cs="Times New Roman"/>
            <w:color w:val="1155CC"/>
            <w:sz w:val="20"/>
            <w:szCs w:val="20"/>
            <w:u w:val="single"/>
          </w:rPr>
          <w:t>https://www.equalitynow.org/roadblocks_to_justice</w:t>
        </w:r>
      </w:hyperlink>
    </w:p>
  </w:footnote>
  <w:footnote w:id="2">
    <w:p w14:paraId="057A544E" w14:textId="77777777" w:rsidR="001404A6" w:rsidRDefault="00000000">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CCPR/C/KAZ/CO/2</w:t>
      </w:r>
    </w:p>
  </w:footnote>
  <w:footnote w:id="3">
    <w:p w14:paraId="4100D8E7" w14:textId="77777777" w:rsidR="001404A6" w:rsidRDefault="00000000">
      <w:pPr>
        <w:jc w:val="both"/>
        <w:rPr>
          <w:sz w:val="16"/>
          <w:szCs w:val="16"/>
        </w:rPr>
      </w:pPr>
      <w:r>
        <w:rPr>
          <w:vertAlign w:val="superscript"/>
        </w:rPr>
        <w:footnoteRef/>
      </w:r>
      <w:r>
        <w:rPr>
          <w:sz w:val="16"/>
          <w:szCs w:val="16"/>
        </w:rPr>
        <w:t xml:space="preserve"> </w:t>
      </w:r>
      <w:r>
        <w:rPr>
          <w:rFonts w:ascii="Times New Roman" w:eastAsia="Times New Roman" w:hAnsi="Times New Roman" w:cs="Times New Roman"/>
          <w:sz w:val="20"/>
          <w:szCs w:val="20"/>
        </w:rPr>
        <w:t>Under international human rights standards, rape and other sexual violence crimes should be based on the lack of free and voluntary consent of the victim, as provided by the Committee on the Elimination of Discrimination against Women (CEDAW)</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and other international human rights jurisprudence and standards, including the Istanbul Convention, the European Court of Human Rights, the International Criminal Court (ICC),</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the Inter-American Court,</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the International Criminal Tribunal for Rwanda (ICTR)</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the International Criminal Tribunal for the Former Yugoslavia (ICTY), the Mechanism to Follow Up on the Implementation of the Convention on the Prevention, Punishment and Eradication of Violence against Women (MESECVI), and the Declaration on Violence Against Women, Girls and Adolescents and their Sexual and Reproductive Rights.</w:t>
      </w:r>
    </w:p>
  </w:footnote>
  <w:footnote w:id="4">
    <w:p w14:paraId="588DE1F8" w14:textId="77777777" w:rsidR="001404A6" w:rsidRDefault="00000000">
      <w:pPr>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 original title ‘Статья 123. Понуждение к половому сношению, мужеложству, лесбиянству или иным действиям сексуального характера’</w:t>
      </w:r>
    </w:p>
  </w:footnote>
  <w:footnote w:id="5">
    <w:p w14:paraId="5622CEF1" w14:textId="77777777" w:rsidR="001404A6" w:rsidRDefault="00000000">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Non-aggravated rape is punishable up to 8 years of imprisonment; non-aggravated coercion is punishable up to 3 years of imprisonment. </w:t>
      </w:r>
    </w:p>
  </w:footnote>
  <w:footnote w:id="6">
    <w:p w14:paraId="1069EA51" w14:textId="77777777" w:rsidR="001404A6" w:rsidRDefault="00000000">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GREVIO, Baseline Evaluation Report on Georgia (22 November 2022), available at: </w:t>
      </w:r>
      <w:hyperlink r:id="rId2">
        <w:r>
          <w:rPr>
            <w:rFonts w:ascii="Times New Roman" w:eastAsia="Times New Roman" w:hAnsi="Times New Roman" w:cs="Times New Roman"/>
            <w:color w:val="1155CC"/>
            <w:sz w:val="20"/>
            <w:szCs w:val="20"/>
            <w:u w:val="single"/>
          </w:rPr>
          <w:t>https://rm.coe.int/grevio-report-on-georgia-2022/1680a917aa</w:t>
        </w:r>
      </w:hyperlink>
      <w:r>
        <w:rPr>
          <w:rFonts w:ascii="Times New Roman" w:eastAsia="Times New Roman" w:hAnsi="Times New Roman" w:cs="Times New Roman"/>
          <w:sz w:val="20"/>
          <w:szCs w:val="20"/>
        </w:rPr>
        <w:t xml:space="preserve">, para. 256. </w:t>
      </w:r>
    </w:p>
  </w:footnote>
  <w:footnote w:id="7">
    <w:p w14:paraId="4A4ED514" w14:textId="77777777" w:rsidR="001404A6" w:rsidRDefault="00000000">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para. 257.</w:t>
      </w:r>
    </w:p>
  </w:footnote>
  <w:footnote w:id="8">
    <w:p w14:paraId="4D514E2F" w14:textId="77777777" w:rsidR="001404A6" w:rsidRDefault="00000000">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Resolution of the Supreme Court of Kazakhstan from 11 May 2007 No 4 "On Certain Issues of Qualification of Crimes Related to Rape and Other Violent Acts of Sexual Nature", para. 5</w:t>
      </w:r>
    </w:p>
  </w:footnote>
  <w:footnote w:id="9">
    <w:p w14:paraId="43314CD2" w14:textId="77777777" w:rsidR="001404A6" w:rsidRDefault="00000000">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 23 of the Civil Code</w:t>
      </w:r>
    </w:p>
  </w:footnote>
  <w:footnote w:id="10">
    <w:p w14:paraId="555CF5C5" w14:textId="77777777" w:rsidR="001404A6" w:rsidRDefault="00000000">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Istanbul Convention, Article 55; Opuz v. Turkey, App. no. 33401/02, (ECHR, 09 June 2009), para. 145; Explanatory Report to the Istanbul Convention, para. 280. </w:t>
      </w:r>
    </w:p>
  </w:footnote>
  <w:footnote w:id="11">
    <w:p w14:paraId="6A4D6C77" w14:textId="77777777" w:rsidR="001404A6" w:rsidRDefault="00000000">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Istanbul Convention, Article 55; Explanatory Report, para. 280; Crown Prosecution Service Guidelines, Domestic Abuse Guidelines for Prosecutors.</w:t>
      </w:r>
    </w:p>
  </w:footnote>
  <w:footnote w:id="12">
    <w:p w14:paraId="374712A2" w14:textId="77777777" w:rsidR="001404A6" w:rsidRDefault="00000000">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 General Recommendation No. 33, para. 48.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A69AB"/>
    <w:multiLevelType w:val="multilevel"/>
    <w:tmpl w:val="46C0B6E6"/>
    <w:lvl w:ilvl="0">
      <w:start w:val="1"/>
      <w:numFmt w:val="decimal"/>
      <w:lvlText w:val="%1."/>
      <w:lvlJc w:val="left"/>
      <w:pPr>
        <w:ind w:left="720" w:hanging="360"/>
      </w:pPr>
      <w:rPr>
        <w:u w:val="none"/>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B3B2717"/>
    <w:multiLevelType w:val="multilevel"/>
    <w:tmpl w:val="91DE58C8"/>
    <w:lvl w:ilvl="0">
      <w:start w:val="1"/>
      <w:numFmt w:val="decimal"/>
      <w:lvlText w:val="%1."/>
      <w:lvlJc w:val="left"/>
      <w:pPr>
        <w:ind w:left="720" w:hanging="360"/>
      </w:pPr>
      <w:rPr>
        <w:rFonts w:ascii="Arial" w:eastAsia="Arial" w:hAnsi="Arial" w:cs="Arial"/>
        <w:b w:val="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08631FA"/>
    <w:multiLevelType w:val="multilevel"/>
    <w:tmpl w:val="27A2C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5245630">
    <w:abstractNumId w:val="0"/>
  </w:num>
  <w:num w:numId="2" w16cid:durableId="1729718517">
    <w:abstractNumId w:val="2"/>
  </w:num>
  <w:num w:numId="3" w16cid:durableId="153110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4A6"/>
    <w:rsid w:val="00067196"/>
    <w:rsid w:val="001404A6"/>
    <w:rsid w:val="00996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714E03"/>
  <w15:docId w15:val="{7D03B486-C6CB-0544-9B30-D20F898DC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44143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4143E"/>
    <w:rPr>
      <w:rFonts w:ascii="Times New Roman" w:hAnsi="Times New Roman" w:cs="Times New Roman"/>
      <w:sz w:val="18"/>
      <w:szCs w:val="18"/>
    </w:rPr>
  </w:style>
  <w:style w:type="character" w:customStyle="1" w:styleId="m1125603061997803637m8796428502085613983gmail-m3320798997328763623m4068579927284533844m9026408792038486892gmail-m-1437512617846173852gmail-m-1873825960710624822gmail-il">
    <w:name w:val="m_1125603061997803637m_8796428502085613983gmail-m_3320798997328763623m_4068579927284533844m_9026408792038486892gmail-m_-1437512617846173852gmail-m_-1873825960710624822gmail-il"/>
    <w:basedOn w:val="DefaultParagraphFont"/>
    <w:rsid w:val="00F1050F"/>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BD3670"/>
    <w:pPr>
      <w:ind w:left="720"/>
      <w:contextualSpacing/>
    </w:pPr>
  </w:style>
  <w:style w:type="paragraph" w:styleId="CommentSubject">
    <w:name w:val="annotation subject"/>
    <w:basedOn w:val="CommentText"/>
    <w:next w:val="CommentText"/>
    <w:link w:val="CommentSubjectChar"/>
    <w:uiPriority w:val="99"/>
    <w:semiHidden/>
    <w:unhideWhenUsed/>
    <w:rsid w:val="00FB32A6"/>
    <w:rPr>
      <w:b/>
      <w:bCs/>
    </w:rPr>
  </w:style>
  <w:style w:type="character" w:customStyle="1" w:styleId="CommentSubjectChar">
    <w:name w:val="Comment Subject Char"/>
    <w:basedOn w:val="CommentTextChar"/>
    <w:link w:val="CommentSubject"/>
    <w:uiPriority w:val="99"/>
    <w:semiHidden/>
    <w:rsid w:val="00FB32A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cpr@ohchr.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rosniansky@ohchr.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habtom@ohchr.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ohchr-ccpr@un.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rm.coe.int/grevio-report-on-georgia-2022/1680a917aa"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Ly6bQJKST00e8e25hZwFlxEFpg==">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4197</Words>
  <Characters>23923</Characters>
  <Application>Microsoft Office Word</Application>
  <DocSecurity>0</DocSecurity>
  <Lines>199</Lines>
  <Paragraphs>56</Paragraphs>
  <ScaleCrop>false</ScaleCrop>
  <Company/>
  <LinksUpToDate>false</LinksUpToDate>
  <CharactersWithSpaces>28064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Alexandra Patsalides</cp:lastModifiedBy>
  <cp:revision>2</cp:revision>
  <dcterms:created xsi:type="dcterms:W3CDTF">2022-12-20T18:39:00Z</dcterms:created>
  <dcterms:modified xsi:type="dcterms:W3CDTF">2022-12-20T18:39:00Z</dcterms:modified>
</cp:coreProperties>
</file>